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auto"/>
        <w:spacing w:before="120" w:beforeLines="50" w:after="120" w:afterLines="50"/>
        <w:jc w:val="center"/>
        <w:rPr>
          <w:rFonts w:hint="eastAsia" w:ascii="黑体" w:hAnsi="黑体" w:eastAsia="黑体" w:cs="黑体"/>
          <w:sz w:val="48"/>
          <w:szCs w:val="48"/>
          <w:highlight w:val="none"/>
          <w:lang w:eastAsia="zh-CN"/>
        </w:rPr>
      </w:pPr>
      <w:bookmarkStart w:id="0" w:name="_Toc29940"/>
      <w:bookmarkStart w:id="1" w:name="_Toc13728"/>
      <w:bookmarkStart w:id="2" w:name="_Toc30050"/>
      <w:r>
        <w:rPr>
          <w:rFonts w:hint="eastAsia" w:ascii="黑体" w:hAnsi="黑体" w:eastAsia="黑体" w:cs="黑体"/>
          <w:sz w:val="32"/>
          <w:szCs w:val="32"/>
          <w:highlight w:val="none"/>
          <w:lang w:val="en-US" w:eastAsia="zh-CN"/>
        </w:rPr>
        <w:t xml:space="preserve"> </w:t>
      </w:r>
      <w:bookmarkEnd w:id="0"/>
      <w:bookmarkEnd w:id="1"/>
    </w:p>
    <w:p>
      <w:pPr>
        <w:shd w:val="clear" w:color="auto" w:fill="auto"/>
        <w:spacing w:before="120" w:beforeLines="50" w:after="120" w:afterLines="50"/>
        <w:jc w:val="center"/>
        <w:rPr>
          <w:rFonts w:hint="eastAsia" w:ascii="黑体" w:hAnsi="黑体" w:eastAsia="黑体" w:cs="黑体"/>
          <w:sz w:val="48"/>
          <w:szCs w:val="48"/>
          <w:highlight w:val="none"/>
          <w:lang w:eastAsia="zh-CN"/>
        </w:rPr>
      </w:pPr>
    </w:p>
    <w:p>
      <w:pPr>
        <w:shd w:val="clear" w:color="auto" w:fill="auto"/>
        <w:spacing w:before="120" w:beforeLines="50" w:after="120" w:afterLines="50"/>
        <w:jc w:val="center"/>
        <w:rPr>
          <w:rFonts w:hint="eastAsia" w:ascii="黑体" w:hAnsi="黑体" w:eastAsia="黑体" w:cs="黑体"/>
          <w:sz w:val="48"/>
          <w:szCs w:val="48"/>
          <w:highlight w:val="none"/>
          <w:lang w:eastAsia="zh-CN"/>
        </w:rPr>
      </w:pPr>
    </w:p>
    <w:p>
      <w:pPr>
        <w:shd w:val="clear" w:color="auto" w:fill="auto"/>
        <w:spacing w:before="120" w:beforeLines="50" w:after="120" w:afterLines="50"/>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长沙市轨道交通1、2、3、4、5号线、西环线2024年度消防安全类物资采购项目（标段一）</w:t>
      </w:r>
    </w:p>
    <w:p>
      <w:pPr>
        <w:shd w:val="clear" w:color="auto" w:fill="auto"/>
        <w:spacing w:before="120" w:beforeLines="50" w:after="120" w:afterLines="50"/>
        <w:jc w:val="center"/>
        <w:rPr>
          <w:rFonts w:hint="eastAsia" w:ascii="黑体" w:hAnsi="黑体" w:eastAsia="黑体" w:cs="黑体"/>
          <w:sz w:val="48"/>
          <w:szCs w:val="48"/>
          <w:highlight w:val="none"/>
        </w:rPr>
      </w:pPr>
      <w:r>
        <w:rPr>
          <w:rFonts w:hint="eastAsia" w:ascii="黑体" w:hAnsi="黑体" w:eastAsia="黑体" w:cs="黑体"/>
          <w:sz w:val="48"/>
          <w:szCs w:val="48"/>
          <w:highlight w:val="none"/>
        </w:rPr>
        <w:t>用户需求书</w:t>
      </w:r>
      <w:bookmarkEnd w:id="2"/>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center"/>
        <w:rPr>
          <w:rFonts w:hint="eastAsia" w:ascii="宋体" w:hAnsi="宋体" w:cs="宋体"/>
          <w:color w:val="000000"/>
          <w:kern w:val="0"/>
          <w:sz w:val="44"/>
          <w:highlight w:val="none"/>
        </w:rPr>
      </w:pPr>
    </w:p>
    <w:p>
      <w:pPr>
        <w:shd w:val="clear" w:color="auto" w:fill="auto"/>
        <w:spacing w:line="360" w:lineRule="auto"/>
        <w:jc w:val="both"/>
        <w:rPr>
          <w:rFonts w:hint="eastAsia" w:ascii="宋体" w:hAnsi="宋体" w:cs="宋体"/>
          <w:color w:val="000000"/>
          <w:kern w:val="0"/>
          <w:sz w:val="44"/>
          <w:highlight w:val="none"/>
        </w:rPr>
      </w:pPr>
    </w:p>
    <w:p>
      <w:pPr>
        <w:shd w:val="clear" w:color="auto" w:fill="auto"/>
        <w:spacing w:line="360" w:lineRule="auto"/>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ascii="宋体" w:hAnsi="宋体" w:cs="宋体"/>
          <w:color w:val="000000"/>
          <w:kern w:val="0"/>
          <w:sz w:val="44"/>
          <w:highlight w:val="none"/>
        </w:rPr>
      </w:pPr>
    </w:p>
    <w:p>
      <w:pPr>
        <w:pStyle w:val="2"/>
        <w:rPr>
          <w:rFonts w:hint="eastAsia" w:ascii="宋体" w:hAnsi="宋体" w:cs="宋体"/>
          <w:color w:val="000000"/>
          <w:kern w:val="0"/>
          <w:sz w:val="44"/>
          <w:highlight w:val="none"/>
        </w:rPr>
      </w:pPr>
    </w:p>
    <w:p>
      <w:pPr>
        <w:rPr>
          <w:rFonts w:hint="eastAsia"/>
        </w:rPr>
      </w:pPr>
    </w:p>
    <w:p>
      <w:pPr>
        <w:shd w:val="clear" w:color="auto" w:fill="auto"/>
        <w:spacing w:line="360" w:lineRule="auto"/>
        <w:jc w:val="center"/>
        <w:rPr>
          <w:rFonts w:hint="eastAsia" w:ascii="宋体" w:hAnsi="宋体" w:cs="宋体"/>
          <w:color w:val="000000"/>
          <w:kern w:val="0"/>
          <w:sz w:val="32"/>
          <w:szCs w:val="32"/>
          <w:highlight w:val="none"/>
        </w:rPr>
      </w:pPr>
      <w:bookmarkStart w:id="3" w:name="_Toc23446"/>
      <w:bookmarkStart w:id="4" w:name="_Toc17754"/>
      <w:r>
        <w:rPr>
          <w:rFonts w:hint="eastAsia" w:ascii="宋体" w:hAnsi="宋体" w:cs="宋体"/>
          <w:color w:val="000000"/>
          <w:kern w:val="0"/>
          <w:sz w:val="32"/>
          <w:szCs w:val="32"/>
          <w:highlight w:val="none"/>
        </w:rPr>
        <w:t>编制时间：</w:t>
      </w:r>
      <w:r>
        <w:rPr>
          <w:rFonts w:hint="eastAsia" w:ascii="宋体" w:hAnsi="宋体" w:cs="宋体"/>
          <w:color w:val="000000"/>
          <w:kern w:val="0"/>
          <w:sz w:val="32"/>
          <w:szCs w:val="32"/>
          <w:highlight w:val="none"/>
          <w:lang w:val="en-US" w:eastAsia="zh-CN"/>
        </w:rPr>
        <w:t>2024</w:t>
      </w:r>
      <w:r>
        <w:rPr>
          <w:rFonts w:hint="eastAsia" w:ascii="宋体" w:hAnsi="宋体" w:cs="宋体"/>
          <w:color w:val="000000"/>
          <w:kern w:val="0"/>
          <w:sz w:val="32"/>
          <w:szCs w:val="32"/>
          <w:highlight w:val="none"/>
        </w:rPr>
        <w:t>年</w:t>
      </w:r>
      <w:r>
        <w:rPr>
          <w:rFonts w:hint="eastAsia" w:ascii="宋体" w:hAnsi="宋体" w:cs="宋体"/>
          <w:color w:val="000000"/>
          <w:kern w:val="0"/>
          <w:sz w:val="32"/>
          <w:szCs w:val="32"/>
          <w:highlight w:val="none"/>
          <w:lang w:val="en-US" w:eastAsia="zh-CN"/>
        </w:rPr>
        <w:t>5</w:t>
      </w:r>
      <w:r>
        <w:rPr>
          <w:rFonts w:hint="eastAsia" w:ascii="宋体" w:hAnsi="宋体" w:cs="宋体"/>
          <w:color w:val="000000"/>
          <w:kern w:val="0"/>
          <w:sz w:val="32"/>
          <w:szCs w:val="32"/>
          <w:highlight w:val="none"/>
        </w:rPr>
        <w:t>月</w:t>
      </w:r>
      <w:bookmarkEnd w:id="3"/>
      <w:bookmarkEnd w:id="4"/>
    </w:p>
    <w:p>
      <w:pPr>
        <w:pStyle w:val="2"/>
        <w:rPr>
          <w:rFonts w:hint="eastAsia" w:ascii="宋体" w:hAnsi="宋体" w:cs="宋体"/>
          <w:color w:val="000000"/>
          <w:kern w:val="0"/>
          <w:sz w:val="32"/>
          <w:szCs w:val="32"/>
          <w:highlight w:val="none"/>
        </w:rPr>
      </w:pPr>
    </w:p>
    <w:p>
      <w:pPr>
        <w:pStyle w:val="2"/>
        <w:rPr>
          <w:rFonts w:hint="eastAsia"/>
        </w:rPr>
      </w:pPr>
    </w:p>
    <w:p>
      <w:pPr>
        <w:pStyle w:val="8"/>
        <w:shd w:val="clear" w:color="auto" w:fill="auto"/>
        <w:spacing w:line="360" w:lineRule="auto"/>
        <w:ind w:firstLine="0" w:firstLineChars="0"/>
        <w:jc w:val="center"/>
        <w:rPr>
          <w:rFonts w:ascii="宋体" w:hAnsi="宋体" w:cs="宋体"/>
          <w:b/>
          <w:bCs/>
          <w:color w:val="000000"/>
          <w:w w:val="90"/>
          <w:sz w:val="36"/>
          <w:szCs w:val="36"/>
          <w:highlight w:val="none"/>
        </w:rPr>
        <w:sectPr>
          <w:footerReference r:id="rId3" w:type="default"/>
          <w:pgSz w:w="11905" w:h="16838"/>
          <w:pgMar w:top="567" w:right="1134" w:bottom="1134" w:left="1417" w:header="850" w:footer="992" w:gutter="0"/>
          <w:pgBorders>
            <w:top w:val="none" w:sz="0" w:space="0"/>
            <w:left w:val="none" w:sz="0" w:space="0"/>
            <w:bottom w:val="none" w:sz="0" w:space="0"/>
            <w:right w:val="none" w:sz="0" w:space="0"/>
          </w:pgBorders>
          <w:pgNumType w:fmt="decimal"/>
          <w:cols w:space="720" w:num="1"/>
          <w:docGrid w:linePitch="312" w:charSpace="0"/>
        </w:sectPr>
      </w:pPr>
    </w:p>
    <w:p>
      <w:pPr>
        <w:pStyle w:val="15"/>
        <w:numPr>
          <w:ilvl w:val="0"/>
          <w:numId w:val="5"/>
        </w:numPr>
        <w:bidi w:val="0"/>
        <w:ind w:left="0" w:leftChars="0" w:firstLine="0" w:firstLineChars="0"/>
        <w:rPr>
          <w:rFonts w:hint="eastAsia" w:ascii="宋体" w:hAnsi="宋体" w:eastAsia="宋体" w:cs="宋体"/>
          <w:b/>
          <w:bCs w:val="0"/>
          <w:sz w:val="28"/>
          <w:szCs w:val="28"/>
          <w:lang w:val="en-US" w:eastAsia="zh-CN"/>
        </w:rPr>
      </w:pPr>
      <w:bookmarkStart w:id="5" w:name="_Toc5634"/>
      <w:bookmarkStart w:id="6" w:name="_Toc3199"/>
      <w:bookmarkStart w:id="7" w:name="_Toc4680"/>
      <w:bookmarkStart w:id="8" w:name="_Toc19384"/>
      <w:bookmarkStart w:id="9" w:name="_Toc15701"/>
      <w:bookmarkStart w:id="10" w:name="_Toc15563"/>
      <w:bookmarkStart w:id="11" w:name="_Toc20278"/>
      <w:bookmarkStart w:id="12" w:name="_Toc26134"/>
      <w:bookmarkStart w:id="13" w:name="_Toc7000"/>
      <w:bookmarkStart w:id="14" w:name="_Toc19814"/>
      <w:bookmarkStart w:id="15" w:name="_Toc28452"/>
      <w:bookmarkStart w:id="16" w:name="_Toc9414"/>
      <w:bookmarkStart w:id="17" w:name="_Toc22296"/>
      <w:bookmarkStart w:id="18" w:name="_Toc15240"/>
      <w:bookmarkStart w:id="19" w:name="_Toc15158"/>
      <w:bookmarkStart w:id="20" w:name="_Toc19802"/>
      <w:bookmarkStart w:id="21" w:name="_Toc12814286"/>
      <w:bookmarkStart w:id="22" w:name="_Toc24534"/>
      <w:bookmarkStart w:id="23" w:name="_Toc8494"/>
      <w:bookmarkStart w:id="24" w:name="_Toc21014"/>
      <w:bookmarkStart w:id="25" w:name="_Toc9654"/>
      <w:bookmarkStart w:id="26" w:name="_Toc396"/>
      <w:bookmarkStart w:id="27" w:name="_Toc31792"/>
      <w:bookmarkStart w:id="28" w:name="_Toc14202"/>
      <w:bookmarkStart w:id="29" w:name="_Toc31914"/>
      <w:bookmarkStart w:id="30" w:name="_Toc8666"/>
      <w:bookmarkStart w:id="31" w:name="_Toc23787"/>
      <w:bookmarkStart w:id="32" w:name="_Toc17076"/>
      <w:bookmarkStart w:id="33" w:name="_Toc2991"/>
      <w:bookmarkStart w:id="34" w:name="_Toc27128"/>
      <w:bookmarkStart w:id="35" w:name="_Toc14545"/>
      <w:bookmarkStart w:id="36" w:name="_Toc14865"/>
      <w:bookmarkStart w:id="37" w:name="_Toc17404"/>
      <w:r>
        <w:rPr>
          <w:rFonts w:hint="eastAsia" w:ascii="宋体" w:hAnsi="宋体" w:eastAsia="宋体" w:cs="宋体"/>
          <w:b/>
          <w:bCs w:val="0"/>
          <w:sz w:val="28"/>
          <w:szCs w:val="28"/>
          <w:lang w:val="en-US" w:eastAsia="zh-CN"/>
        </w:rPr>
        <w:t>需求清单</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pPr>
        <w:pStyle w:val="15"/>
        <w:numPr>
          <w:ilvl w:val="0"/>
          <w:numId w:val="0"/>
        </w:numPr>
        <w:bidi w:val="0"/>
        <w:ind w:leftChars="0"/>
        <w:rPr>
          <w:rFonts w:hint="default" w:ascii="宋体" w:hAnsi="宋体" w:eastAsia="宋体" w:cs="宋体"/>
          <w:b w:val="0"/>
          <w:bCs/>
          <w:sz w:val="28"/>
          <w:szCs w:val="28"/>
          <w:lang w:val="en-US" w:eastAsia="zh-CN"/>
        </w:rPr>
      </w:pPr>
      <w:r>
        <w:rPr>
          <w:rFonts w:hint="eastAsia" w:ascii="宋体" w:hAnsi="宋体" w:cs="宋体"/>
          <w:b w:val="0"/>
          <w:bCs/>
          <w:sz w:val="28"/>
          <w:szCs w:val="28"/>
          <w:lang w:val="en-US" w:eastAsia="zh-CN"/>
        </w:rPr>
        <w:t>1.1 筹备期物资清单</w:t>
      </w:r>
    </w:p>
    <w:p>
      <w:pPr>
        <w:pStyle w:val="11"/>
        <w:numPr>
          <w:ilvl w:val="0"/>
          <w:numId w:val="0"/>
        </w:numPr>
        <w:shd w:val="clear" w:color="auto" w:fill="auto"/>
        <w:bidi w:val="0"/>
        <w:ind w:leftChars="0"/>
        <w:jc w:val="center"/>
        <w:rPr>
          <w:rFonts w:hint="eastAsia" w:ascii="宋体" w:hAnsi="宋体" w:eastAsia="宋体" w:cs="宋体"/>
          <w:sz w:val="21"/>
          <w:szCs w:val="21"/>
          <w:highlight w:val="none"/>
        </w:rPr>
      </w:pPr>
      <w:bookmarkStart w:id="38" w:name="_Toc9015"/>
      <w:bookmarkStart w:id="39" w:name="_Toc27978"/>
      <w:bookmarkStart w:id="40" w:name="_Toc7073"/>
      <w:r>
        <w:rPr>
          <w:rFonts w:hint="eastAsia" w:ascii="宋体" w:hAnsi="宋体" w:eastAsia="宋体" w:cs="宋体"/>
          <w:sz w:val="21"/>
          <w:szCs w:val="21"/>
          <w:highlight w:val="none"/>
          <w:lang w:val="en-US" w:eastAsia="zh-CN"/>
        </w:rPr>
        <w:t>1号线北延一期</w:t>
      </w:r>
      <w:r>
        <w:rPr>
          <w:rFonts w:hint="eastAsia" w:ascii="宋体" w:hAnsi="宋体" w:eastAsia="宋体" w:cs="宋体"/>
          <w:sz w:val="21"/>
          <w:szCs w:val="21"/>
          <w:highlight w:val="none"/>
        </w:rPr>
        <w:t>清单</w:t>
      </w:r>
      <w:bookmarkEnd w:id="38"/>
      <w:bookmarkEnd w:id="39"/>
      <w:bookmarkEnd w:id="40"/>
    </w:p>
    <w:tbl>
      <w:tblPr>
        <w:tblStyle w:val="6"/>
        <w:tblW w:w="6182" w:type="pct"/>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0"/>
        <w:gridCol w:w="1120"/>
        <w:gridCol w:w="1090"/>
        <w:gridCol w:w="5469"/>
        <w:gridCol w:w="719"/>
        <w:gridCol w:w="790"/>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需求数量</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321" w:name="_GoBack" w:colFirst="2" w:colLast="3"/>
            <w:r>
              <w:rPr>
                <w:rFonts w:hint="eastAsia" w:ascii="宋体" w:hAnsi="宋体" w:eastAsia="宋体" w:cs="宋体"/>
                <w:i w:val="0"/>
                <w:iCs w:val="0"/>
                <w:color w:val="000000"/>
                <w:kern w:val="0"/>
                <w:sz w:val="21"/>
                <w:szCs w:val="21"/>
                <w:u w:val="none"/>
                <w:lang w:val="en-US" w:eastAsia="zh-CN" w:bidi="ar"/>
              </w:rPr>
              <w:t>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易燃液体防火安全柜</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170L</w:t>
            </w: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黄色安全柜</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 ≥138kg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容积 45GAL/170L</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门类型 双门/手动</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可调层板 2</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bookmarkEnd w:id="321"/>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消防设施柜</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1.采用镀锌钢结构，外喷环氧树脂;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2.规格：标准双开门，带防爆玻璃视窗，T型隔物架结构；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3.尺寸（长*宽*高）：1800*600*1800mm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4.层板：3块层板；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5.柜体颜色：红色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柜子满足存放6套消防战斗服（消防战斗服、消防头盔、消防胶靴、消防手套、消防腰带）、2盏强光工作灯、1根照明线、1块防火毯、一把消防斧、1把消防扳手、20块消防毛巾、6套正压式呼吸器、6个带方位灯呼救器、6盏手提式防爆照明灯。</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路线灯</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用于消防员在黑暗救援现场的导向，内置电池，可连续工作时间≥24h</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可见距离≥100m</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可粘贴在头盔、墙面、地面等多种物体表面，不易脱落</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外壳为高强度全透明工程塑料，具有防压、防踩、防水、可反复粘贴特性</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工作温度：-20～80℃</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质量≤18g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救生衣</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产品面料：210D加密材料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颜色：橙色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填充物：5mmEPE珍珠棉，3.8cm织带及插扣，专业海式SOLAS反光条</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w:t>
            </w: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类型：二氧化碳灭火器 符合国家CCC认证标准的中国强制性产品认证（CCC）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种类：手提式二氧化碳灭火器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灭火剂重量：3kg±0.15kg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有效喷射时间：≥8S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喷射距离：≥1m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工作压力：15.7mpa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试验压力：23.6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超压保持动作压力：5.7~23.6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使用温度：-10~+55℃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存放环境温度：-10~+45℃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充装系数：≤0.68kg/L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灭火级别：3B</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消防斧</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材质：45#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刃口硬度：HRC48-54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重量：0.8-1Kg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消防扳手</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适用范围：开启地上消火栓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材质：55#钢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长度：≥35cm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开口距离：5.5±0.1cm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防火毯</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1.用于火灾逃生、扑灭火源，人体灭火，隔离浓烟，抢救财物，危险救助；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2.材料：耐燃氧化纤；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3.规格尺寸≥1.2*1.2m材质：是一种经过特殊处理的玻璃纤维斜纹织物，如绸缎一样光滑、柔软，紧密、而且不刺激皮肤。厚度：0.5mm耐热：500度</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消防战斗服</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17款，</w:t>
            </w:r>
            <w:r>
              <w:rPr>
                <w:rFonts w:hint="eastAsia" w:ascii="宋体" w:hAnsi="宋体" w:eastAsia="宋体" w:cs="宋体"/>
                <w:i w:val="0"/>
                <w:iCs w:val="0"/>
                <w:color w:val="000000"/>
                <w:kern w:val="0"/>
                <w:sz w:val="21"/>
                <w:szCs w:val="21"/>
                <w:u w:val="none"/>
                <w:lang w:val="en-US" w:eastAsia="zh-CN" w:bidi="ar"/>
              </w:rPr>
              <w:t>分体式，带反光贴符合国家CCC认证标准的中国强制性产品认证（CCC）</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自救呼吸器</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符合国家CCC认证标准的中国强制性产品认证（CCC）</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消防头盔</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17款，</w:t>
            </w:r>
            <w:r>
              <w:rPr>
                <w:rFonts w:hint="eastAsia" w:ascii="宋体" w:hAnsi="宋体" w:eastAsia="宋体" w:cs="宋体"/>
                <w:i w:val="0"/>
                <w:iCs w:val="0"/>
                <w:color w:val="000000"/>
                <w:kern w:val="0"/>
                <w:sz w:val="21"/>
                <w:szCs w:val="21"/>
                <w:u w:val="none"/>
                <w:lang w:val="en-US" w:eastAsia="zh-CN" w:bidi="ar"/>
              </w:rPr>
              <w:t>披肩采用具有阻燃防水性能的纤维织物制作，帽壳颜色:黄色；</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顶</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消防胶靴</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17款，</w:t>
            </w:r>
            <w:r>
              <w:rPr>
                <w:rFonts w:hint="eastAsia" w:ascii="宋体" w:hAnsi="宋体" w:eastAsia="宋体" w:cs="宋体"/>
                <w:i w:val="0"/>
                <w:iCs w:val="0"/>
                <w:color w:val="000000"/>
                <w:kern w:val="0"/>
                <w:sz w:val="21"/>
                <w:szCs w:val="21"/>
                <w:u w:val="none"/>
                <w:lang w:val="en-US" w:eastAsia="zh-CN" w:bidi="ar"/>
              </w:rPr>
              <w:t xml:space="preserve">材质：灭火防护靴帮面材料为橡胶靴面靴底材料为橡胶底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质量:每双灭火防护靴的质量≤3000g</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消防手套</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17款，</w:t>
            </w:r>
            <w:r>
              <w:rPr>
                <w:rFonts w:hint="eastAsia" w:ascii="宋体" w:hAnsi="宋体" w:eastAsia="宋体" w:cs="宋体"/>
                <w:i w:val="0"/>
                <w:iCs w:val="0"/>
                <w:color w:val="000000"/>
                <w:kern w:val="0"/>
                <w:sz w:val="21"/>
                <w:szCs w:val="21"/>
                <w:u w:val="none"/>
                <w:lang w:val="en-US" w:eastAsia="zh-CN" w:bidi="ar"/>
              </w:rPr>
              <w:t>组成：由阻燃外层 防水层 隔热层和衬里组合而成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适用范围：手部防护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工艺：具备阻燃 隔热 防水性能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阴燃时间：经向≤2S 纬向≤2S</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双</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消防腰带</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auto"/>
                <w:kern w:val="0"/>
                <w:sz w:val="21"/>
                <w:szCs w:val="21"/>
                <w:highlight w:val="none"/>
                <w:u w:val="none"/>
                <w:lang w:val="en-US" w:eastAsia="zh-CN" w:bidi="ar"/>
              </w:rPr>
              <w:t>17款，</w:t>
            </w:r>
            <w:r>
              <w:rPr>
                <w:rFonts w:hint="eastAsia" w:ascii="宋体" w:hAnsi="宋体" w:eastAsia="宋体" w:cs="宋体"/>
                <w:i w:val="0"/>
                <w:iCs w:val="0"/>
                <w:color w:val="000000"/>
                <w:kern w:val="0"/>
                <w:sz w:val="21"/>
                <w:szCs w:val="21"/>
                <w:u w:val="none"/>
                <w:lang w:val="en-US" w:eastAsia="zh-CN" w:bidi="ar"/>
              </w:rPr>
              <w:t xml:space="preserve">结构：带长连续可调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材质：聚酰胺纤维或聚酯纤维制成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工艺：强度高 耐冲击 阻燃性能好 重量轻 耐磨耐腐蚀 不霉不蛀等特点</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消防毛巾</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约850*350mm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带方位灯呼救器</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允许静止时间：30S±5S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预报警时间：15S±3S</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预报警声级强度：距离1米远处≥78dB</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报警声响信号：连续声响信号</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报警声级强度：距离3米远处＞95dB</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欠压警示电压：7.5V±0.2V</w:t>
            </w:r>
          </w:p>
          <w:p>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连续开机时间：≥15h</w:t>
            </w:r>
          </w:p>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连续报警时间：≥120min</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救生照明线</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符合GB26783-2011《消防救生照明线》的标准，提供国家消防装备质量监督检验中心出具的检验报告及3C认证证书复印件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用于在黑暗或地下场所作业时的导向和照明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安全救生照明导向线柔软、可折叠弯曲，其折角可以为5°以下，并不会影响发光性能，弯曲可以实现360°，长度≥200m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多功能手提电源：采用消防红ABS工程塑料外壳制造的手提式12V移动直流电源，带有自充电的可拆卸强光手电筒及多个USB充电插口，带有电压电量显示表，重量≤7kg，电流≥500mA；侧下方内置充电器存放箱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导向加强功能：救生照明线线体自带不少于9只红色流动发光箭头，电源总开关开启后线体与所有流动跑光箭头同时发光，不停流动的红色箭头清晰指示火场逃生方向，每2m设有高亮度三角形夜光导向块，加强导向功能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钢芯加强型线体：线体为穿雾性能优越的荧光绿色，内置直径≥1.5mm的钢芯，抗拉力≥40kg，冷光源、高亮度的救生照明线具有功耗低的特点，每百米耗能≤15W，热辐射低，不会产生高温，无需将发光线全部拉出就可以通电使用，长期通电不自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卷轴外置强光闪烁信号，可吸引逃生人员认清逃生出口，百米远距离清晰可见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200m线常亮使用时间≥11h，闪亮时间≥33h，对人体没有触电危险；使用寿命≥10000 h，亮度≥50cdl/m2，每100m重量≤2kg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配有铝质包装箱，方便运输</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消防水带接头</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DN65</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消防水带</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8-50-25</w:t>
            </w:r>
          </w:p>
        </w:tc>
        <w:tc>
          <w:tcPr>
            <w:tcW w:w="2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设计工作压力：0.8MPa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公称内径：50mm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长度：25m</w:t>
            </w:r>
          </w:p>
        </w:tc>
        <w:tc>
          <w:tcPr>
            <w:tcW w:w="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03"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1148</w:t>
            </w:r>
          </w:p>
        </w:tc>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10"/>
        <w:rPr>
          <w:rFonts w:hint="eastAsia"/>
          <w:lang w:val="en-US" w:eastAsia="zh-CN"/>
        </w:rPr>
      </w:pPr>
    </w:p>
    <w:p>
      <w:pPr>
        <w:pStyle w:val="15"/>
        <w:numPr>
          <w:ilvl w:val="0"/>
          <w:numId w:val="0"/>
        </w:numPr>
        <w:bidi w:val="0"/>
        <w:ind w:leftChars="0"/>
        <w:rPr>
          <w:rFonts w:hint="eastAsia" w:ascii="宋体" w:hAnsi="宋体" w:cs="宋体"/>
          <w:b w:val="0"/>
          <w:bCs/>
          <w:sz w:val="28"/>
          <w:szCs w:val="28"/>
          <w:lang w:val="en-US" w:eastAsia="zh-CN"/>
        </w:rPr>
      </w:pPr>
      <w:r>
        <w:rPr>
          <w:rFonts w:hint="eastAsia" w:ascii="宋体" w:hAnsi="宋体" w:cs="宋体"/>
          <w:b w:val="0"/>
          <w:bCs/>
          <w:sz w:val="28"/>
          <w:szCs w:val="28"/>
          <w:lang w:val="en-US" w:eastAsia="zh-CN"/>
        </w:rPr>
        <w:t>1.2 运营期物资清单</w:t>
      </w:r>
    </w:p>
    <w:p>
      <w:pPr>
        <w:pStyle w:val="11"/>
        <w:numPr>
          <w:ilvl w:val="0"/>
          <w:numId w:val="0"/>
        </w:numPr>
        <w:shd w:val="clear" w:color="auto" w:fill="auto"/>
        <w:bidi w:val="0"/>
        <w:ind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1号线清单</w:t>
      </w:r>
    </w:p>
    <w:tbl>
      <w:tblPr>
        <w:tblStyle w:val="6"/>
        <w:tblW w:w="6189" w:type="pct"/>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2"/>
        <w:gridCol w:w="1129"/>
        <w:gridCol w:w="1076"/>
        <w:gridCol w:w="5482"/>
        <w:gridCol w:w="732"/>
        <w:gridCol w:w="779"/>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blHeader/>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1"/>
                <w:rFonts w:hint="eastAsia" w:ascii="宋体" w:hAnsi="宋体" w:eastAsia="宋体" w:cs="宋体"/>
                <w:sz w:val="21"/>
                <w:szCs w:val="21"/>
                <w:lang w:val="en-US" w:eastAsia="zh-CN" w:bidi="ar"/>
              </w:rPr>
              <w:t>序号</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1"/>
                <w:rFonts w:hint="eastAsia" w:ascii="宋体" w:hAnsi="宋体" w:eastAsia="宋体" w:cs="宋体"/>
                <w:sz w:val="21"/>
                <w:szCs w:val="21"/>
                <w:lang w:val="en-US" w:eastAsia="zh-CN" w:bidi="ar"/>
              </w:rPr>
              <w:t>物资名称</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1"/>
                <w:rFonts w:hint="eastAsia" w:ascii="宋体" w:hAnsi="宋体" w:eastAsia="宋体" w:cs="宋体"/>
                <w:sz w:val="21"/>
                <w:szCs w:val="21"/>
                <w:lang w:val="en-US" w:eastAsia="zh-CN" w:bidi="ar"/>
              </w:rPr>
              <w:t>规格型号</w:t>
            </w:r>
          </w:p>
        </w:tc>
        <w:tc>
          <w:tcPr>
            <w:tcW w:w="2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1"/>
                <w:rFonts w:hint="eastAsia" w:ascii="宋体" w:hAnsi="宋体" w:eastAsia="宋体" w:cs="宋体"/>
                <w:sz w:val="21"/>
                <w:szCs w:val="21"/>
                <w:lang w:val="en-US" w:eastAsia="zh-CN" w:bidi="ar"/>
              </w:rPr>
              <w:t>技术参数</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1"/>
                <w:rFonts w:hint="eastAsia" w:ascii="宋体" w:hAnsi="宋体" w:eastAsia="宋体" w:cs="宋体"/>
                <w:sz w:val="21"/>
                <w:szCs w:val="21"/>
                <w:lang w:val="en-US" w:eastAsia="zh-CN" w:bidi="ar"/>
              </w:rPr>
              <w:t>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1"/>
                <w:rFonts w:hint="eastAsia" w:ascii="宋体" w:hAnsi="宋体" w:eastAsia="宋体" w:cs="宋体"/>
                <w:sz w:val="21"/>
                <w:szCs w:val="21"/>
                <w:lang w:val="en-US" w:eastAsia="zh-CN" w:bidi="ar"/>
              </w:rPr>
              <w:t>需求数量</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Style w:val="21"/>
                <w:rFonts w:hint="eastAsia" w:ascii="宋体" w:hAnsi="宋体" w:eastAsia="宋体" w:cs="宋体"/>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w:t>
            </w:r>
          </w:p>
        </w:tc>
        <w:tc>
          <w:tcPr>
            <w:tcW w:w="2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ABC干粉灭火器，符合国家CCC认证标准的中国强制性产品认证（CCC）</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35kg</w:t>
            </w:r>
          </w:p>
        </w:tc>
        <w:tc>
          <w:tcPr>
            <w:tcW w:w="2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推车式干粉灭火器，符合国家CCC认证标准的中国强制性产品认证（CCC）</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消防斧</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材质：45#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刃口硬度：HRC48-54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重量：0.8-1Kg</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自救呼吸器</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符合国家CCC认证标准的中国强制性产品认证（CCC）</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消防水带</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8-50-25</w:t>
            </w:r>
          </w:p>
        </w:tc>
        <w:tc>
          <w:tcPr>
            <w:tcW w:w="25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设计工作压力：0.8MPa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公称内径：50mm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长度：25m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126</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11"/>
        <w:numPr>
          <w:ilvl w:val="0"/>
          <w:numId w:val="0"/>
        </w:numPr>
        <w:shd w:val="clear" w:color="auto" w:fill="auto"/>
        <w:bidi w:val="0"/>
        <w:ind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2号线清单</w:t>
      </w:r>
    </w:p>
    <w:tbl>
      <w:tblPr>
        <w:tblStyle w:val="6"/>
        <w:tblW w:w="6189" w:type="pct"/>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1"/>
        <w:gridCol w:w="1131"/>
        <w:gridCol w:w="1081"/>
        <w:gridCol w:w="5498"/>
        <w:gridCol w:w="730"/>
        <w:gridCol w:w="779"/>
        <w:gridCol w:w="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blHeader/>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需求数量</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类型：二氧化碳灭火器 符合国家CCC认证标准的中国强制性产品认证（CCC）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种类：手提式二氧化碳灭火器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灭火剂重量：3kg±0.15kg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有效喷射时间：≥8S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喷射距离：≥1m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工作压力：15.7mpa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试验压力：23.6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超压保持动作压力：5.7~23.6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使用温度：-10~+55℃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存放环境温度：-10~+45℃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充装系数：≤0.68kg/L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灭火级别：3B</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干粉灭火器，符合国家CCC认证标准的中国强制性产品认证（CCC）</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ABC干粉灭火器，符合国家CCC认证标准的中国强制性产品认证（CCC）</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消防斧</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材质：45#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刃口硬度：HRC48-54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重量：0.8-1Kg</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消防扳手</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适用范围：开启地上消火栓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材质：55#钢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长度：≥35cm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开口距离：5.5±0.1cm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防火毯</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1.用于火灾逃生、扑灭火源，人体灭火，隔离浓烟，抢救财物，危险救助；</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2.材料：耐燃氧化纤；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3.规格尺寸≥1.2*1.2m材质：是一种经过特殊处理的玻璃纤维斜纹织物，如绸缎一样光滑、柔软，紧密、而且不刺激皮肤。厚度：0.5mm耐热：500度</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自救呼吸器</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符合国家CCC认证标准的中国强制性产品认证（CCC）</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128</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消防毛巾</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约850*350mm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消防水带</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8-50-25</w:t>
            </w:r>
          </w:p>
        </w:tc>
        <w:tc>
          <w:tcPr>
            <w:tcW w:w="26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设计工作压力：0.8MPa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公称内径：50mm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长度：25m</w:t>
            </w:r>
          </w:p>
        </w:tc>
        <w:tc>
          <w:tcPr>
            <w:tcW w:w="3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1257</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bl>
    <w:p>
      <w:pPr>
        <w:pStyle w:val="11"/>
        <w:numPr>
          <w:ilvl w:val="0"/>
          <w:numId w:val="0"/>
        </w:numPr>
        <w:shd w:val="clear" w:color="auto" w:fill="auto"/>
        <w:bidi w:val="0"/>
        <w:ind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3号线清单</w:t>
      </w:r>
    </w:p>
    <w:tbl>
      <w:tblPr>
        <w:tblStyle w:val="6"/>
        <w:tblW w:w="6201" w:type="pct"/>
        <w:tblInd w:w="-10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7"/>
        <w:gridCol w:w="1150"/>
        <w:gridCol w:w="1076"/>
        <w:gridCol w:w="5495"/>
        <w:gridCol w:w="732"/>
        <w:gridCol w:w="780"/>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blHeader/>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2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需求数量</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w:t>
            </w:r>
          </w:p>
        </w:tc>
        <w:tc>
          <w:tcPr>
            <w:tcW w:w="2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类型：二氧化碳灭火器 符合国家CCC认证标准的中国强制性产品认证（CCC）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种类：手提式二氧化碳灭火器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灭火剂重量：3kg±0.15kg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有效喷射时间：≥8S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喷射距离：≥1m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工作压力：15.7mpa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试验压力：23.6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超压保持动作压力：5.7~23.6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使用温度：-10~+55℃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存放环境温度：-10~+45℃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充装系数：≤0.68kg/L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灭火级别：3B</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w:t>
            </w:r>
          </w:p>
        </w:tc>
        <w:tc>
          <w:tcPr>
            <w:tcW w:w="2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干粉灭火器，符合国家CCC认证标准的中国强制性产品认证（CCC）</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w:t>
            </w:r>
          </w:p>
        </w:tc>
        <w:tc>
          <w:tcPr>
            <w:tcW w:w="2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ABC干粉灭火器，符合国家CCC认证标准的中国强制性产品认证（CCC）</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消防水带</w:t>
            </w:r>
          </w:p>
        </w:tc>
        <w:tc>
          <w:tcPr>
            <w:tcW w:w="5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8-50-25</w:t>
            </w:r>
          </w:p>
        </w:tc>
        <w:tc>
          <w:tcPr>
            <w:tcW w:w="25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设计工作压力：0.8MPa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公称内径：50mm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长度：25m</w:t>
            </w:r>
          </w:p>
        </w:tc>
        <w:tc>
          <w:tcPr>
            <w:tcW w:w="3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20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989</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11"/>
        <w:numPr>
          <w:ilvl w:val="0"/>
          <w:numId w:val="0"/>
        </w:numPr>
        <w:shd w:val="clear" w:color="auto" w:fill="auto"/>
        <w:bidi w:val="0"/>
        <w:ind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4号线清单</w:t>
      </w:r>
    </w:p>
    <w:tbl>
      <w:tblPr>
        <w:tblStyle w:val="6"/>
        <w:tblW w:w="6195" w:type="pct"/>
        <w:tblInd w:w="-10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
        <w:gridCol w:w="1151"/>
        <w:gridCol w:w="1056"/>
        <w:gridCol w:w="5520"/>
        <w:gridCol w:w="720"/>
        <w:gridCol w:w="780"/>
        <w:gridCol w:w="8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blHeader/>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需求数量</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6"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类型：二氧化碳灭火器 符合国家CCC认证标准的中国强制性产品认证（CCC）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种类：手提式二氧化碳灭火器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灭火剂重量：3kg±0.15kg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有效喷射时间：≥8S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喷射距离：≥1m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工作压力：15.7mpa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试验压力：23.6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超压保持动作压力：5.7~23.6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使用温度：-10~+55℃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存放环境温度：-10~+45℃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充装系数：≤0.68kg/L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灭火级别：3B</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干粉灭火器，符合国家CCC认证标准的中国强制性产品认证（CCC）</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109</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ABC干粉灭火器，符合国家CCC认证标准的中国强制性产品认证（CCC）</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264</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35kg</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推车式干粉灭火器，符合国家CCC认证标准的中国强制性产品认证（CCC）</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6"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消防斧</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材质：45#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刃口硬度：HRC48-54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重量：0.8-1Kg</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8"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消防扳手</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适用范围：开启地上消火栓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材质：55#钢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长度：≥35cm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开口距离：5.5±0.1cm</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消防水带</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8-50-25</w:t>
            </w:r>
          </w:p>
        </w:tc>
        <w:tc>
          <w:tcPr>
            <w:tcW w:w="26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设计工作压力：0.8MPa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公称内径：50mm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长度：25m</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4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6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435</w:t>
            </w:r>
          </w:p>
        </w:tc>
        <w:tc>
          <w:tcPr>
            <w:tcW w:w="4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11"/>
        <w:numPr>
          <w:ilvl w:val="0"/>
          <w:numId w:val="0"/>
        </w:numPr>
        <w:shd w:val="clear" w:color="auto" w:fill="auto"/>
        <w:bidi w:val="0"/>
        <w:ind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5号线清单</w:t>
      </w:r>
    </w:p>
    <w:tbl>
      <w:tblPr>
        <w:tblStyle w:val="6"/>
        <w:tblW w:w="6206" w:type="pct"/>
        <w:tblInd w:w="-10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33"/>
        <w:gridCol w:w="1151"/>
        <w:gridCol w:w="1060"/>
        <w:gridCol w:w="5525"/>
        <w:gridCol w:w="722"/>
        <w:gridCol w:w="779"/>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blHeader/>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需求数量</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3kg</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类型：二氧化碳灭火器 符合国家CCC认证标准的中国强制性产品认证（CCC）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种类：手提式二氧化碳灭火器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灭火剂重量：3kg±0.15kg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有效喷射时间：≥8S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喷射距离：≥1m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工作压力：15.7mpa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试验压力：23.6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超压保持动作压力：5.7~23.6 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使用温度：-10~+55℃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存放环境温度：-10~+45℃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充装系数：≤0.68kg/L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灭火级别：3B</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4kg</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干粉灭火器，符合国家CCC认证标准的中国强制性产品认证（CCC）</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5kg</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ABC干粉灭火器，符合国家CCC认证标准的中国强制性产品认证（CCC）</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932</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自救呼吸器</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符合国家CCC认证标准的中国强制性产品认证（CCC）</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消防水带</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8-50-25</w:t>
            </w:r>
          </w:p>
        </w:tc>
        <w:tc>
          <w:tcPr>
            <w:tcW w:w="2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设计工作压力：0.8MPa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公称内径：50mm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长度：25m</w:t>
            </w:r>
          </w:p>
        </w:tc>
        <w:tc>
          <w:tcPr>
            <w:tcW w:w="3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条</w:t>
            </w:r>
          </w:p>
        </w:tc>
        <w:tc>
          <w:tcPr>
            <w:tcW w:w="3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0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1083</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bl>
    <w:p>
      <w:pPr>
        <w:pStyle w:val="11"/>
        <w:numPr>
          <w:ilvl w:val="0"/>
          <w:numId w:val="0"/>
        </w:numPr>
        <w:shd w:val="clear" w:color="auto" w:fill="auto"/>
        <w:bidi w:val="0"/>
        <w:ind w:left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西环线清单</w:t>
      </w:r>
    </w:p>
    <w:tbl>
      <w:tblPr>
        <w:tblStyle w:val="6"/>
        <w:tblW w:w="6206" w:type="pct"/>
        <w:tblInd w:w="-10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7"/>
        <w:gridCol w:w="1128"/>
        <w:gridCol w:w="1096"/>
        <w:gridCol w:w="5456"/>
        <w:gridCol w:w="753"/>
        <w:gridCol w:w="823"/>
        <w:gridCol w:w="8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 w:hRule="atLeast"/>
          <w:tblHeader/>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物资名称</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规格型号</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技术参数</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需求数量</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消防水带</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DN65</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25m/卷；双头水带卡口；帆布水带</w:t>
            </w:r>
            <w:r>
              <w:rPr>
                <w:rFonts w:hint="eastAsia" w:ascii="宋体" w:hAnsi="宋体" w:cs="宋体"/>
                <w:i w:val="0"/>
                <w:iCs w:val="0"/>
                <w:color w:val="auto"/>
                <w:kern w:val="0"/>
                <w:sz w:val="21"/>
                <w:szCs w:val="21"/>
                <w:u w:val="none"/>
                <w:lang w:val="en-US" w:eastAsia="zh-CN" w:bidi="ar"/>
              </w:rPr>
              <w:t xml:space="preserve"> 工作压力0.8Mpa</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路线灯</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用于消防员在黑暗救援现场的导向，内置电池，可连续工作时间≥24h</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可见距离≥100m</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可粘贴在头盔、墙面、地面等多种物体表面，不易脱落</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外壳为高强度全透明工程塑料，具有防压、防踩、防水、可反复粘贴特性</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工作温度：-20～80℃</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质量≤18g</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二氧化碳灭火器</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5kg</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类型：手提式二氧化碳灭火器，MT/5型；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灭火剂：二氧化碳CO₂；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灭火级别;34B；</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灭火剂充装量：5kg；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使用温度：-10℃⁓55℃；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水压试验压力：25.5MPa</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瓶</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消防斧</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材质：45#</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刃口硬度：HRC48-54</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重量：0.8-1Kg</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消防扳手</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适用范围：开启地上消火栓</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材质：55#钢</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长度：≥35cm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开口距离：5.5±0.1cm</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把</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防火毯</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1.用于火灾逃生、扑灭火源，人体灭火，隔离浓烟，抢救财物，危险救助；</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2.材料：耐燃氧化纤；</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3.规格尺寸≥1.2*1.2m材质：是一种经过特殊处理的玻璃纤维斜纹织物，如绸缎一样光滑、柔软，紧密、而且不刺激皮肤。厚度：0.5mm耐热：500度</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消防战斗服</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17款，</w:t>
            </w:r>
            <w:r>
              <w:rPr>
                <w:rFonts w:hint="eastAsia" w:ascii="宋体" w:hAnsi="宋体" w:eastAsia="宋体" w:cs="宋体"/>
                <w:i w:val="0"/>
                <w:iCs w:val="0"/>
                <w:color w:val="auto"/>
                <w:kern w:val="0"/>
                <w:sz w:val="21"/>
                <w:szCs w:val="21"/>
                <w:u w:val="none"/>
                <w:lang w:val="en-US" w:eastAsia="zh-CN" w:bidi="ar"/>
              </w:rPr>
              <w:t>分体式，带反光贴符合国家CCC认证标准的中国强制性产品认证（CCC）</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自救呼吸器</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符合国家CCC认证标准的中国强制性产品认证（CCC）</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90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消防胶靴</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highlight w:val="none"/>
                <w:u w:val="none"/>
                <w:lang w:val="en-US" w:eastAsia="zh-CN" w:bidi="ar"/>
              </w:rPr>
              <w:t>17款，</w:t>
            </w:r>
            <w:r>
              <w:rPr>
                <w:rFonts w:hint="eastAsia" w:ascii="宋体" w:hAnsi="宋体" w:eastAsia="宋体" w:cs="宋体"/>
                <w:i w:val="0"/>
                <w:iCs w:val="0"/>
                <w:color w:val="auto"/>
                <w:kern w:val="0"/>
                <w:sz w:val="21"/>
                <w:szCs w:val="21"/>
                <w:u w:val="none"/>
                <w:lang w:val="en-US" w:eastAsia="zh-CN" w:bidi="ar"/>
              </w:rPr>
              <w:t xml:space="preserve">材质：灭火防护靴帮面材料为橡胶靴面靴底材料为橡胶底 </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质量:每双灭火防护靴的质量≤3000g</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双</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消防毛巾</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约850*350mm</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带方位灯呼救器</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允许静止时间：30S±5S</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预报警时间：15S±3S</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预报警声级强度：距离1米远处≥78dB</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报警声响信号：连续声响信号</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报警声级强度：距离3米远处＞95dB</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欠压警示电压：7.5V±0.2V</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连续开机时间：≥15h</w:t>
            </w:r>
          </w:p>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连续报警时间：≥120min</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救生照明线</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符合GB26783-2011《消防救生照明线》的标准，提供国家消防装备质量监督检验中心出具的检验报告及3C认证证书复印件</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用于在黑暗或地下场所作业时的导向和照明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安全救生照明导向线柔软、可折叠弯曲，其折角可以为5°以下，并不会影响发光性能，弯曲可以实现360°，长度≥200m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多功能手提电源：采用消防红ABS工程塑料外壳制造的手提式12V移动直流电源，带有自充电的可拆卸强光手电筒及多个USB充电插口，带有电压电量显示表，重量≤7kg，电流≥500mA；侧下方内置充电器存放箱</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导向加强功能：救生照明线线体自带不少于9只红色流动发光箭头，电源总开关开启后线体与所有流动跑光箭头同时发光，不停流动的红色箭头清晰指示火场逃生方向，每2m设有高亮度三角形夜光导向块，加强导向功能</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钢芯加强型线体：线体为穿雾性能优越的荧光绿色，内置直径≥1.5mm的钢芯，抗拉力≥40kg，冷光源、高亮度的救生照明线具有功耗低的特点，每百米耗能≤15W，热辐射低，不会产生高温，无需将发光线全部拉出就可以通电使用，长期通电不自燃</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卷轴外置强光闪烁信号，可吸引逃生人员认清逃生出口，百米远距离清晰可见</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200m线常亮使用时间≥11h，闪亮时间≥33h，对人体没有触电危险；使用寿命≥10000 h，亮度≥50cdl/m2，每100m重量≤2kg</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配有铝质包装箱，方便运输</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消防水带接头</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DN65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测压水枪</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KY65</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KY65，国标加厚消防水枪；全铜高压球阀；带0-1.6mPa压力表</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15</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消防设施柜</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left"/>
              <w:rPr>
                <w:rFonts w:hint="eastAsia" w:ascii="宋体" w:hAnsi="宋体" w:eastAsia="宋体" w:cs="宋体"/>
                <w:i w:val="0"/>
                <w:iCs w:val="0"/>
                <w:color w:val="auto"/>
                <w:kern w:val="0"/>
                <w:sz w:val="21"/>
                <w:szCs w:val="21"/>
                <w:u w:val="none"/>
                <w:lang w:val="en-US" w:eastAsia="zh-CN" w:bidi="ar"/>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1.采用镀锌钢结构，外喷环氧树脂;</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2.规格：标准双开门，带防爆玻璃视窗，T型隔物架结构；</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3.尺寸（长*宽*高）：1800*600*1800mm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4.层板：3块层板；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5.柜体颜色：红色</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柜子满足存放6套消防战斗服（消防战斗服、消防头盔、消防胶靴、消防手套、消防腰带）、2盏强光工作灯、1根照明线、1块防火毯、一把消防斧、1把消防扳手、20块消防毛巾、6套正压式呼吸器、6个带方位灯呼救器、6盏手提式防爆照明灯。</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个</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便携式防爆强光工作灯</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8000mA</w:t>
            </w: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电池容量：8000mA 开关类型：推进式开关 强光12h，弱光24h</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10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7</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手提式防爆探照灯</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额定电压 14.8V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额定容量 2Ah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光源 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 200mA（工作光）400mA（强光）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平均使用寿命 ≥100000h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连续放电时间 ≥13h（工作光）≥7h（强光）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电池充电时间 5h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电池使用寿命 约1000（循环）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外形尺寸 φ70mm*197mm（外径*长）</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外壳防护等级 IP68（100米）</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cs="宋体"/>
                <w:i w:val="0"/>
                <w:iCs w:val="0"/>
                <w:color w:val="auto"/>
                <w:kern w:val="0"/>
                <w:sz w:val="21"/>
                <w:szCs w:val="21"/>
                <w:u w:val="none"/>
                <w:lang w:val="en-US" w:eastAsia="zh-CN" w:bidi="ar"/>
              </w:rPr>
              <w:t>9</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18</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强光灯</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轻便式多功能强光灯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额定电压 11.1V</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额定容量 4Ah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光源 LED</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电流 700mA（强光）/300mA（工作光）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平均使用寿命 ≥100000 h</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连续放电时间 6.5 h（强光）/13h（工作光）</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充电时间 6 h（正常使用后）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8 h（电池耗尽后）</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电池使用寿命 ≥1000（循环）</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外壳防护等级 IP65</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台</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19</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担架</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展开尺寸：200*54*18cm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折叠尺寸：102*31*12cm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PVC面料尺寸：170*55cm</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保险带：2条</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材料：高强度铝合金</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滚轮：2个</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担架承重：≥150公斤</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副</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trPr>
        <w:tc>
          <w:tcPr>
            <w:tcW w:w="2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消防器材检查封签</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p>
        </w:tc>
        <w:tc>
          <w:tcPr>
            <w:tcW w:w="25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不干胶贴纸，每张10枚，每枚尺寸65*190（mm），每枚带长沙地铁LOGO。</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2400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418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合计</w:t>
            </w:r>
          </w:p>
        </w:tc>
        <w:tc>
          <w:tcPr>
            <w:tcW w:w="3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3173</w:t>
            </w:r>
          </w:p>
        </w:tc>
        <w:tc>
          <w:tcPr>
            <w:tcW w:w="4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jc w:val="center"/>
              <w:rPr>
                <w:rFonts w:hint="eastAsia" w:ascii="宋体" w:hAnsi="宋体" w:eastAsia="宋体" w:cs="宋体"/>
                <w:i w:val="0"/>
                <w:iCs w:val="0"/>
                <w:color w:val="auto"/>
                <w:sz w:val="21"/>
                <w:szCs w:val="21"/>
                <w:u w:val="none"/>
              </w:rPr>
            </w:pPr>
          </w:p>
        </w:tc>
      </w:tr>
    </w:tbl>
    <w:p>
      <w:pPr>
        <w:pStyle w:val="15"/>
        <w:keepNext w:val="0"/>
        <w:keepLines w:val="0"/>
        <w:pageBreakBefore w:val="0"/>
        <w:numPr>
          <w:ilvl w:val="0"/>
          <w:numId w:val="0"/>
        </w:numPr>
        <w:kinsoku/>
        <w:topLinePunct w:val="0"/>
        <w:bidi w:val="0"/>
        <w:adjustRightInd/>
        <w:snapToGrid/>
        <w:spacing w:line="560" w:lineRule="exact"/>
        <w:ind w:left="0" w:leftChars="0" w:firstLine="562" w:firstLineChars="200"/>
        <w:rPr>
          <w:rFonts w:hint="eastAsia" w:ascii="宋体" w:hAnsi="宋体" w:eastAsia="宋体" w:cs="宋体"/>
          <w:b/>
          <w:bCs w:val="0"/>
          <w:kern w:val="2"/>
          <w:sz w:val="28"/>
          <w:szCs w:val="28"/>
          <w:lang w:val="en-US" w:eastAsia="zh-CN" w:bidi="ar-SA"/>
        </w:rPr>
      </w:pPr>
      <w:bookmarkStart w:id="41" w:name="_Toc25743"/>
      <w:bookmarkStart w:id="42" w:name="_Toc22428"/>
      <w:bookmarkStart w:id="43" w:name="_Toc20623"/>
      <w:bookmarkStart w:id="44" w:name="_Toc9876"/>
      <w:bookmarkStart w:id="45" w:name="_Toc12814287"/>
      <w:bookmarkStart w:id="46" w:name="_Toc785"/>
      <w:bookmarkStart w:id="47" w:name="_Toc16972"/>
      <w:bookmarkStart w:id="48" w:name="_Toc16704"/>
      <w:bookmarkStart w:id="49" w:name="_Toc23125"/>
      <w:bookmarkStart w:id="50" w:name="_Toc13698"/>
      <w:bookmarkStart w:id="51" w:name="_Toc14501"/>
      <w:bookmarkStart w:id="52" w:name="_Toc2995"/>
      <w:bookmarkStart w:id="53" w:name="_Toc4699"/>
      <w:bookmarkStart w:id="54" w:name="_Toc10195"/>
      <w:bookmarkStart w:id="55" w:name="_Toc31000"/>
      <w:bookmarkStart w:id="56" w:name="_Toc23258"/>
      <w:bookmarkStart w:id="57" w:name="_Toc5410"/>
      <w:bookmarkStart w:id="58" w:name="_Toc27734"/>
      <w:bookmarkStart w:id="59" w:name="_Toc32598"/>
      <w:bookmarkStart w:id="60" w:name="_Toc14064"/>
      <w:bookmarkStart w:id="61" w:name="_Toc6300"/>
      <w:bookmarkStart w:id="62" w:name="_Toc10901"/>
      <w:bookmarkStart w:id="63" w:name="_Toc474766746"/>
      <w:bookmarkStart w:id="64" w:name="_Toc3330"/>
      <w:bookmarkStart w:id="65" w:name="_Toc2737"/>
      <w:bookmarkStart w:id="66" w:name="_Toc2815"/>
      <w:bookmarkStart w:id="67" w:name="_Toc7664"/>
      <w:bookmarkStart w:id="68" w:name="_Toc29947"/>
      <w:bookmarkStart w:id="69" w:name="_Toc21114"/>
      <w:bookmarkStart w:id="70" w:name="_Toc27691"/>
      <w:bookmarkStart w:id="71" w:name="_Toc28853"/>
      <w:bookmarkStart w:id="72" w:name="_Toc29965"/>
      <w:bookmarkStart w:id="73" w:name="_Toc28445"/>
      <w:bookmarkStart w:id="74" w:name="_Toc21182"/>
      <w:bookmarkStart w:id="75" w:name="_Toc31728"/>
    </w:p>
    <w:p>
      <w:pPr>
        <w:pStyle w:val="15"/>
        <w:keepNext w:val="0"/>
        <w:keepLines w:val="0"/>
        <w:pageBreakBefore w:val="0"/>
        <w:numPr>
          <w:ilvl w:val="0"/>
          <w:numId w:val="0"/>
        </w:numPr>
        <w:kinsoku/>
        <w:topLinePunct w:val="0"/>
        <w:bidi w:val="0"/>
        <w:adjustRightInd/>
        <w:snapToGrid/>
        <w:spacing w:line="560" w:lineRule="exact"/>
        <w:ind w:left="0" w:leftChars="0" w:firstLine="562" w:firstLineChars="200"/>
        <w:rPr>
          <w:rFonts w:hint="eastAsia" w:ascii="宋体" w:hAnsi="宋体" w:eastAsia="宋体" w:cs="宋体"/>
          <w:b/>
          <w:bCs w:val="0"/>
          <w:sz w:val="28"/>
          <w:szCs w:val="28"/>
          <w:lang w:val="en-US" w:eastAsia="zh-CN"/>
        </w:rPr>
      </w:pPr>
      <w:r>
        <w:rPr>
          <w:rFonts w:hint="eastAsia" w:ascii="宋体" w:hAnsi="宋体" w:eastAsia="宋体" w:cs="宋体"/>
          <w:b/>
          <w:bCs w:val="0"/>
          <w:kern w:val="2"/>
          <w:sz w:val="28"/>
          <w:szCs w:val="28"/>
          <w:lang w:val="en-US" w:eastAsia="zh-CN" w:bidi="ar-SA"/>
        </w:rPr>
        <w:t>2、</w:t>
      </w:r>
      <w:r>
        <w:rPr>
          <w:rFonts w:hint="eastAsia" w:ascii="宋体" w:hAnsi="宋体" w:eastAsia="宋体" w:cs="宋体"/>
          <w:b/>
          <w:bCs w:val="0"/>
          <w:sz w:val="28"/>
          <w:szCs w:val="28"/>
          <w:lang w:val="en-US" w:eastAsia="zh-CN"/>
        </w:rPr>
        <w:t>交货时间和地点</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16"/>
        <w:keepNext w:val="0"/>
        <w:keepLines w:val="0"/>
        <w:pageBreakBefore w:val="0"/>
        <w:numPr>
          <w:ilvl w:val="1"/>
          <w:numId w:val="0"/>
        </w:numPr>
        <w:kinsoku/>
        <w:topLinePunct w:val="0"/>
        <w:bidi w:val="0"/>
        <w:adjustRightInd/>
        <w:snapToGrid/>
        <w:spacing w:line="560" w:lineRule="exact"/>
        <w:ind w:left="0" w:leftChars="0" w:firstLine="560" w:firstLineChars="200"/>
        <w:rPr>
          <w:rFonts w:hint="eastAsia" w:ascii="宋体" w:hAnsi="宋体" w:eastAsia="宋体" w:cs="宋体"/>
          <w:b w:val="0"/>
          <w:bCs w:val="0"/>
          <w:sz w:val="28"/>
          <w:szCs w:val="28"/>
          <w:lang w:val="en-US" w:eastAsia="zh-CN"/>
        </w:rPr>
      </w:pPr>
      <w:bookmarkStart w:id="76" w:name="_Toc29915"/>
      <w:bookmarkStart w:id="77" w:name="_Toc17309"/>
      <w:bookmarkStart w:id="78" w:name="_Toc368"/>
      <w:bookmarkStart w:id="79" w:name="_Toc21817"/>
      <w:bookmarkStart w:id="80" w:name="_Toc6641"/>
      <w:bookmarkStart w:id="81" w:name="_Toc12814288"/>
      <w:bookmarkStart w:id="82" w:name="_Toc13253"/>
      <w:bookmarkStart w:id="83" w:name="_Toc14257_WPSOffice_Level1"/>
      <w:bookmarkStart w:id="84" w:name="_Toc23131_WPSOffice_Level1"/>
      <w:r>
        <w:rPr>
          <w:rFonts w:hint="eastAsia" w:ascii="宋体" w:hAnsi="宋体" w:eastAsia="宋体" w:cs="宋体"/>
          <w:b w:val="0"/>
          <w:bCs w:val="0"/>
          <w:i w:val="0"/>
          <w:iCs w:val="0"/>
          <w:caps w:val="0"/>
          <w:strike w:val="0"/>
          <w:dstrike w:val="0"/>
          <w:outline w:val="0"/>
          <w:shadow w:val="0"/>
          <w:emboss w:val="0"/>
          <w:imprint w:val="0"/>
          <w:vanish w:val="0"/>
          <w:spacing w:val="0"/>
          <w:kern w:val="0"/>
          <w:position w:val="0"/>
          <w:sz w:val="28"/>
          <w:szCs w:val="28"/>
          <w:u w:val="none"/>
          <w:vertAlign w:val="baseline"/>
          <w:lang w:val="en-US" w:eastAsia="zh-CN" w:bidi="ar-SA"/>
        </w:rPr>
        <w:t xml:space="preserve">2.1 </w:t>
      </w:r>
      <w:r>
        <w:rPr>
          <w:rFonts w:hint="eastAsia" w:ascii="宋体" w:hAnsi="宋体" w:eastAsia="宋体" w:cs="宋体"/>
          <w:b w:val="0"/>
          <w:bCs w:val="0"/>
          <w:sz w:val="28"/>
          <w:szCs w:val="28"/>
          <w:lang w:val="en-US" w:eastAsia="zh-CN"/>
        </w:rPr>
        <w:t>交货时间</w:t>
      </w:r>
      <w:bookmarkEnd w:id="76"/>
      <w:bookmarkEnd w:id="77"/>
      <w:bookmarkEnd w:id="78"/>
      <w:bookmarkEnd w:id="79"/>
      <w:bookmarkEnd w:id="80"/>
      <w:bookmarkEnd w:id="81"/>
      <w:bookmarkEnd w:id="82"/>
      <w:bookmarkEnd w:id="83"/>
      <w:bookmarkEnd w:id="84"/>
      <w:bookmarkStart w:id="85" w:name="_Toc12814289"/>
      <w:bookmarkStart w:id="86" w:name="_Toc32710"/>
      <w:bookmarkStart w:id="87" w:name="_Toc26748"/>
      <w:bookmarkStart w:id="88" w:name="_Toc16121"/>
      <w:bookmarkStart w:id="89" w:name="_Toc12768"/>
      <w:bookmarkStart w:id="90" w:name="_Toc28243"/>
      <w:bookmarkStart w:id="91" w:name="_Toc26083"/>
    </w:p>
    <w:bookmarkEnd w:id="85"/>
    <w:bookmarkEnd w:id="86"/>
    <w:bookmarkEnd w:id="87"/>
    <w:bookmarkEnd w:id="88"/>
    <w:bookmarkEnd w:id="89"/>
    <w:bookmarkEnd w:id="90"/>
    <w:bookmarkEnd w:id="91"/>
    <w:p>
      <w:pPr>
        <w:pStyle w:val="16"/>
        <w:keepNext w:val="0"/>
        <w:keepLines w:val="0"/>
        <w:pageBreakBefore w:val="0"/>
        <w:numPr>
          <w:ilvl w:val="1"/>
          <w:numId w:val="0"/>
        </w:numPr>
        <w:kinsoku/>
        <w:topLinePunct w:val="0"/>
        <w:bidi w:val="0"/>
        <w:adjustRightInd/>
        <w:snapToGrid/>
        <w:spacing w:line="560" w:lineRule="exact"/>
        <w:ind w:left="0" w:leftChars="0" w:firstLine="560" w:firstLineChars="200"/>
        <w:rPr>
          <w:rFonts w:hint="eastAsia" w:ascii="宋体" w:hAnsi="宋体" w:cs="宋体"/>
          <w:kern w:val="0"/>
          <w:sz w:val="28"/>
          <w:szCs w:val="28"/>
          <w:highlight w:val="none"/>
          <w:u w:val="none"/>
          <w:lang w:val="en-US" w:eastAsia="zh-CN" w:bidi="ar-SA"/>
        </w:rPr>
      </w:pPr>
      <w:bookmarkStart w:id="92" w:name="_Toc31339"/>
      <w:bookmarkStart w:id="93" w:name="_Toc22320"/>
      <w:bookmarkStart w:id="94" w:name="_Toc1785"/>
      <w:bookmarkStart w:id="95" w:name="_Toc29829_WPSOffice_Level1"/>
      <w:bookmarkStart w:id="96" w:name="_Toc18561"/>
      <w:bookmarkStart w:id="97" w:name="_Toc30238"/>
      <w:bookmarkStart w:id="98" w:name="_Toc21665_WPSOffice_Level1"/>
      <w:bookmarkStart w:id="99" w:name="_Toc11373"/>
      <w:bookmarkStart w:id="100" w:name="_Toc12814290"/>
      <w:r>
        <w:rPr>
          <w:rFonts w:hint="eastAsia" w:ascii="宋体" w:hAnsi="宋体" w:cs="宋体"/>
          <w:kern w:val="0"/>
          <w:sz w:val="28"/>
          <w:szCs w:val="28"/>
          <w:highlight w:val="none"/>
          <w:u w:val="none"/>
          <w:lang w:val="en-US" w:eastAsia="zh-CN" w:bidi="ar-SA"/>
        </w:rPr>
        <w:t xml:space="preserve">2.1.1 </w:t>
      </w:r>
      <w:r>
        <w:rPr>
          <w:rFonts w:hint="eastAsia" w:ascii="宋体" w:hAnsi="宋体" w:eastAsia="宋体" w:cs="宋体"/>
          <w:kern w:val="0"/>
          <w:sz w:val="28"/>
          <w:szCs w:val="28"/>
          <w:highlight w:val="none"/>
          <w:u w:val="none"/>
          <w:lang w:val="en-US" w:eastAsia="zh-CN" w:bidi="ar-SA"/>
        </w:rPr>
        <w:t>灭火器、自救呼吸器按采购人要求分批次供货</w:t>
      </w:r>
      <w:r>
        <w:rPr>
          <w:rFonts w:hint="eastAsia" w:ascii="宋体" w:hAnsi="宋体" w:cs="宋体"/>
          <w:kern w:val="0"/>
          <w:sz w:val="28"/>
          <w:szCs w:val="28"/>
          <w:highlight w:val="none"/>
          <w:u w:val="none"/>
          <w:lang w:val="en-US" w:eastAsia="zh-CN" w:bidi="ar-SA"/>
        </w:rPr>
        <w:t>，每批次数量以采购人要求的供货数量为准，每批次</w:t>
      </w:r>
      <w:r>
        <w:rPr>
          <w:rFonts w:hint="eastAsia" w:ascii="宋体" w:hAnsi="宋体" w:cs="宋体"/>
          <w:color w:val="auto"/>
          <w:kern w:val="0"/>
          <w:sz w:val="28"/>
          <w:szCs w:val="28"/>
          <w:highlight w:val="none"/>
          <w:lang w:val="en-US" w:eastAsia="zh-CN" w:bidi="ar-SA"/>
        </w:rPr>
        <w:t>供货期限为自收到长沙市轨道交通运营有限公司发出书</w:t>
      </w:r>
      <w:r>
        <w:rPr>
          <w:rFonts w:hint="eastAsia" w:ascii="宋体" w:hAnsi="宋体" w:eastAsia="宋体" w:cs="宋体"/>
          <w:kern w:val="0"/>
          <w:sz w:val="28"/>
          <w:szCs w:val="28"/>
          <w:highlight w:val="none"/>
          <w:u w:val="none"/>
          <w:lang w:val="en-US" w:eastAsia="zh-CN" w:bidi="ar-SA"/>
        </w:rPr>
        <w:t>面供货通知之日起10个自然日内完成供货</w:t>
      </w:r>
      <w:r>
        <w:rPr>
          <w:rFonts w:hint="eastAsia" w:ascii="宋体" w:hAnsi="宋体" w:cs="宋体"/>
          <w:kern w:val="0"/>
          <w:sz w:val="28"/>
          <w:szCs w:val="28"/>
          <w:highlight w:val="none"/>
          <w:u w:val="none"/>
          <w:lang w:val="en-US" w:eastAsia="zh-CN" w:bidi="ar-SA"/>
        </w:rPr>
        <w:t>。</w:t>
      </w:r>
    </w:p>
    <w:p>
      <w:pPr>
        <w:keepNext w:val="0"/>
        <w:keepLines w:val="0"/>
        <w:pageBreakBefore w:val="0"/>
        <w:widowControl/>
        <w:shd w:val="clear" w:color="auto" w:fill="auto"/>
        <w:tabs>
          <w:tab w:val="center" w:pos="4201"/>
          <w:tab w:val="right" w:leader="dot" w:pos="9298"/>
        </w:tabs>
        <w:kinsoku/>
        <w:wordWrap/>
        <w:overflowPunct/>
        <w:topLinePunct w:val="0"/>
        <w:autoSpaceDE w:val="0"/>
        <w:autoSpaceDN w:val="0"/>
        <w:bidi w:val="0"/>
        <w:adjustRightInd/>
        <w:snapToGrid/>
        <w:spacing w:line="560" w:lineRule="exact"/>
        <w:ind w:firstLine="560" w:firstLineChars="200"/>
        <w:textAlignment w:val="auto"/>
        <w:rPr>
          <w:rFonts w:hint="eastAsia" w:ascii="宋体" w:hAnsi="宋体" w:cs="宋体"/>
          <w:kern w:val="0"/>
          <w:sz w:val="28"/>
          <w:szCs w:val="28"/>
          <w:highlight w:val="none"/>
          <w:u w:val="none"/>
          <w:lang w:val="en-US" w:eastAsia="zh-CN" w:bidi="ar-SA"/>
        </w:rPr>
      </w:pPr>
      <w:r>
        <w:rPr>
          <w:rFonts w:hint="eastAsia" w:ascii="宋体" w:hAnsi="宋体" w:cs="宋体"/>
          <w:kern w:val="0"/>
          <w:sz w:val="28"/>
          <w:szCs w:val="28"/>
          <w:highlight w:val="none"/>
          <w:u w:val="none"/>
          <w:lang w:val="en-US" w:eastAsia="zh-CN" w:bidi="ar-SA"/>
        </w:rPr>
        <w:t>2.1.2 其他物资</w:t>
      </w:r>
      <w:r>
        <w:rPr>
          <w:rFonts w:hint="eastAsia" w:ascii="宋体" w:hAnsi="宋体" w:cs="宋体"/>
          <w:color w:val="auto"/>
          <w:kern w:val="0"/>
          <w:sz w:val="28"/>
          <w:szCs w:val="28"/>
          <w:highlight w:val="none"/>
          <w:lang w:val="en-US" w:eastAsia="zh-CN" w:bidi="ar-SA"/>
        </w:rPr>
        <w:t>供货期限为自收到长沙市轨道交通运营有限公司发出书</w:t>
      </w:r>
      <w:r>
        <w:rPr>
          <w:rFonts w:hint="eastAsia" w:ascii="宋体" w:hAnsi="宋体" w:eastAsia="宋体" w:cs="宋体"/>
          <w:kern w:val="0"/>
          <w:sz w:val="28"/>
          <w:szCs w:val="28"/>
          <w:highlight w:val="none"/>
          <w:u w:val="none"/>
          <w:lang w:val="en-US" w:eastAsia="zh-CN" w:bidi="ar-SA"/>
        </w:rPr>
        <w:t>面供货通知之日起10个自然日内完成供货</w:t>
      </w:r>
      <w:r>
        <w:rPr>
          <w:rFonts w:hint="eastAsia" w:ascii="宋体" w:hAnsi="宋体" w:cs="宋体"/>
          <w:kern w:val="0"/>
          <w:sz w:val="28"/>
          <w:szCs w:val="28"/>
          <w:highlight w:val="none"/>
          <w:u w:val="none"/>
          <w:lang w:val="en-US" w:eastAsia="zh-CN" w:bidi="ar-SA"/>
        </w:rPr>
        <w:t>。</w:t>
      </w:r>
    </w:p>
    <w:p>
      <w:pPr>
        <w:pStyle w:val="13"/>
        <w:keepNext w:val="0"/>
        <w:keepLines w:val="0"/>
        <w:pageBreakBefore w:val="0"/>
        <w:numPr>
          <w:ilvl w:val="2"/>
          <w:numId w:val="0"/>
        </w:numPr>
        <w:shd w:val="clear" w:color="auto" w:fill="auto"/>
        <w:kinsoku/>
        <w:topLinePunct w:val="0"/>
        <w:bidi w:val="0"/>
        <w:adjustRightInd/>
        <w:snapToGrid/>
        <w:spacing w:before="0" w:beforeLines="0" w:after="0" w:afterLines="0" w:line="560" w:lineRule="exact"/>
        <w:ind w:left="0" w:leftChars="0" w:firstLine="560" w:firstLineChars="200"/>
        <w:outlineLvl w:val="9"/>
        <w:rPr>
          <w:rFonts w:hint="eastAsia" w:ascii="宋体" w:hAnsi="宋体" w:eastAsia="宋体" w:cs="宋体"/>
          <w:b w:val="0"/>
          <w:bCs w:val="0"/>
          <w:sz w:val="28"/>
          <w:szCs w:val="28"/>
          <w:highlight w:val="none"/>
        </w:rPr>
      </w:pPr>
      <w:r>
        <w:rPr>
          <w:rFonts w:hint="eastAsia" w:ascii="宋体" w:hAnsi="宋体" w:eastAsia="宋体" w:cs="宋体"/>
          <w:b w:val="0"/>
          <w:bCs w:val="0"/>
          <w:i w:val="0"/>
          <w:kern w:val="21"/>
          <w:sz w:val="28"/>
          <w:szCs w:val="28"/>
          <w:lang w:val="en-US" w:eastAsia="zh-CN" w:bidi="ar-SA"/>
        </w:rPr>
        <w:t xml:space="preserve">2.2 </w:t>
      </w:r>
      <w:r>
        <w:rPr>
          <w:rFonts w:hint="eastAsia" w:ascii="宋体" w:hAnsi="宋体" w:eastAsia="宋体" w:cs="宋体"/>
          <w:b w:val="0"/>
          <w:bCs w:val="0"/>
          <w:sz w:val="28"/>
          <w:szCs w:val="28"/>
          <w:highlight w:val="none"/>
        </w:rPr>
        <w:t>交货地点</w:t>
      </w:r>
      <w:bookmarkEnd w:id="92"/>
      <w:bookmarkEnd w:id="93"/>
      <w:bookmarkEnd w:id="94"/>
      <w:bookmarkEnd w:id="95"/>
      <w:bookmarkEnd w:id="96"/>
      <w:bookmarkEnd w:id="97"/>
      <w:bookmarkEnd w:id="98"/>
      <w:bookmarkEnd w:id="99"/>
      <w:bookmarkEnd w:id="100"/>
    </w:p>
    <w:p>
      <w:pPr>
        <w:pStyle w:val="10"/>
        <w:keepNext w:val="0"/>
        <w:keepLines w:val="0"/>
        <w:pageBreakBefore w:val="0"/>
        <w:shd w:val="clear" w:color="auto" w:fill="auto"/>
        <w:kinsoku/>
        <w:topLinePunct w:val="0"/>
        <w:bidi w:val="0"/>
        <w:adjustRightInd/>
        <w:snapToGrid/>
        <w:spacing w:line="560" w:lineRule="exact"/>
        <w:ind w:firstLine="560" w:firstLineChars="200"/>
        <w:rPr>
          <w:rFonts w:hint="eastAsia" w:ascii="宋体" w:hAnsi="宋体" w:eastAsia="宋体" w:cs="宋体"/>
          <w:color w:val="000000"/>
          <w:sz w:val="28"/>
          <w:szCs w:val="28"/>
          <w:highlight w:val="none"/>
          <w:u w:val="none"/>
        </w:rPr>
      </w:pPr>
      <w:r>
        <w:rPr>
          <w:rFonts w:hint="eastAsia" w:ascii="宋体" w:hAnsi="宋体" w:eastAsia="宋体" w:cs="宋体"/>
          <w:color w:val="000000"/>
          <w:sz w:val="28"/>
          <w:szCs w:val="28"/>
          <w:highlight w:val="none"/>
          <w:u w:val="none"/>
          <w:lang w:val="en-US" w:eastAsia="zh-CN"/>
        </w:rPr>
        <w:t>1号线北延一期</w:t>
      </w:r>
      <w:r>
        <w:rPr>
          <w:rFonts w:hint="eastAsia" w:hAnsi="宋体" w:cs="宋体"/>
          <w:color w:val="000000"/>
          <w:sz w:val="28"/>
          <w:szCs w:val="28"/>
          <w:highlight w:val="none"/>
          <w:u w:val="none"/>
          <w:lang w:val="en-US" w:eastAsia="zh-CN"/>
        </w:rPr>
        <w:t>清单、</w:t>
      </w:r>
      <w:r>
        <w:rPr>
          <w:rFonts w:hint="eastAsia" w:ascii="宋体" w:hAnsi="宋体" w:eastAsia="宋体" w:cs="宋体"/>
          <w:color w:val="000000"/>
          <w:sz w:val="28"/>
          <w:szCs w:val="28"/>
          <w:highlight w:val="none"/>
          <w:u w:val="none"/>
          <w:lang w:val="en-US" w:eastAsia="zh-CN"/>
        </w:rPr>
        <w:t>1</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1</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尚双塘</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2</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2</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黄兴</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3</w:t>
      </w:r>
      <w:r>
        <w:rPr>
          <w:rFonts w:hint="eastAsia" w:ascii="宋体" w:hAnsi="宋体" w:eastAsia="宋体" w:cs="宋体"/>
          <w:color w:val="000000"/>
          <w:sz w:val="28"/>
          <w:szCs w:val="28"/>
          <w:highlight w:val="none"/>
          <w:u w:val="none"/>
        </w:rPr>
        <w:t>号线清单</w:t>
      </w:r>
      <w:r>
        <w:rPr>
          <w:rFonts w:hint="eastAsia" w:hAnsi="宋体" w:cs="宋体"/>
          <w:color w:val="000000"/>
          <w:sz w:val="28"/>
          <w:szCs w:val="28"/>
          <w:highlight w:val="none"/>
          <w:u w:val="none"/>
          <w:lang w:eastAsia="zh-CN"/>
        </w:rPr>
        <w:t>、</w:t>
      </w:r>
      <w:r>
        <w:rPr>
          <w:rFonts w:hint="eastAsia" w:hAnsi="宋体" w:cs="宋体"/>
          <w:color w:val="000000"/>
          <w:sz w:val="28"/>
          <w:szCs w:val="28"/>
          <w:highlight w:val="none"/>
          <w:u w:val="none"/>
          <w:lang w:val="en-US" w:eastAsia="zh-CN"/>
        </w:rPr>
        <w:t>西环线清单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3</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洋湖垸</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4</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4</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星城</w:t>
      </w:r>
      <w:r>
        <w:rPr>
          <w:rFonts w:hint="eastAsia" w:ascii="宋体" w:hAnsi="宋体" w:eastAsia="宋体" w:cs="宋体"/>
          <w:sz w:val="28"/>
          <w:szCs w:val="28"/>
          <w:highlight w:val="none"/>
          <w:u w:val="none"/>
        </w:rPr>
        <w:t>车辆段</w:t>
      </w:r>
      <w:r>
        <w:rPr>
          <w:rFonts w:hint="eastAsia" w:hAnsi="宋体" w:cs="宋体"/>
          <w:sz w:val="28"/>
          <w:szCs w:val="28"/>
          <w:highlight w:val="none"/>
          <w:u w:val="none"/>
          <w:lang w:eastAsia="zh-CN"/>
        </w:rPr>
        <w:t>，</w:t>
      </w:r>
      <w:r>
        <w:rPr>
          <w:rFonts w:hint="eastAsia" w:ascii="宋体" w:hAnsi="宋体" w:eastAsia="宋体" w:cs="宋体"/>
          <w:sz w:val="28"/>
          <w:szCs w:val="28"/>
          <w:highlight w:val="none"/>
          <w:u w:val="none"/>
          <w:lang w:val="en-US" w:eastAsia="zh-CN"/>
        </w:rPr>
        <w:t>5</w:t>
      </w:r>
      <w:r>
        <w:rPr>
          <w:rFonts w:hint="eastAsia" w:ascii="宋体" w:hAnsi="宋体" w:eastAsia="宋体" w:cs="宋体"/>
          <w:color w:val="000000"/>
          <w:sz w:val="28"/>
          <w:szCs w:val="28"/>
          <w:highlight w:val="none"/>
          <w:u w:val="none"/>
        </w:rPr>
        <w:t>号线清单</w:t>
      </w:r>
      <w:r>
        <w:rPr>
          <w:rFonts w:hint="eastAsia" w:ascii="宋体" w:hAnsi="宋体" w:eastAsia="宋体" w:cs="宋体"/>
          <w:sz w:val="28"/>
          <w:szCs w:val="28"/>
          <w:highlight w:val="none"/>
          <w:u w:val="none"/>
        </w:rPr>
        <w:t>送货至长沙市轨道交通</w:t>
      </w:r>
      <w:r>
        <w:rPr>
          <w:rFonts w:hint="eastAsia" w:ascii="宋体" w:hAnsi="宋体" w:eastAsia="宋体" w:cs="宋体"/>
          <w:sz w:val="28"/>
          <w:szCs w:val="28"/>
          <w:highlight w:val="none"/>
          <w:u w:val="none"/>
          <w:lang w:val="en-US" w:eastAsia="zh-CN"/>
        </w:rPr>
        <w:t>5</w:t>
      </w:r>
      <w:r>
        <w:rPr>
          <w:rFonts w:hint="eastAsia" w:ascii="宋体" w:hAnsi="宋体" w:eastAsia="宋体" w:cs="宋体"/>
          <w:sz w:val="28"/>
          <w:szCs w:val="28"/>
          <w:highlight w:val="none"/>
          <w:u w:val="none"/>
        </w:rPr>
        <w:t>号线</w:t>
      </w:r>
      <w:r>
        <w:rPr>
          <w:rFonts w:hint="eastAsia" w:ascii="宋体" w:hAnsi="宋体" w:eastAsia="宋体" w:cs="宋体"/>
          <w:sz w:val="28"/>
          <w:szCs w:val="28"/>
          <w:highlight w:val="none"/>
          <w:u w:val="none"/>
          <w:lang w:eastAsia="zh-CN"/>
        </w:rPr>
        <w:t>水渡河</w:t>
      </w:r>
      <w:r>
        <w:rPr>
          <w:rFonts w:hint="eastAsia" w:ascii="宋体" w:hAnsi="宋体" w:eastAsia="宋体" w:cs="宋体"/>
          <w:sz w:val="28"/>
          <w:szCs w:val="28"/>
          <w:highlight w:val="none"/>
          <w:u w:val="none"/>
        </w:rPr>
        <w:t>车辆段</w:t>
      </w:r>
      <w:r>
        <w:rPr>
          <w:rFonts w:hint="eastAsia" w:ascii="宋体" w:hAnsi="宋体" w:eastAsia="宋体" w:cs="宋体"/>
          <w:sz w:val="28"/>
          <w:szCs w:val="28"/>
          <w:highlight w:val="none"/>
          <w:u w:val="none"/>
          <w:lang w:eastAsia="zh-CN"/>
        </w:rPr>
        <w:t>，</w:t>
      </w:r>
      <w:r>
        <w:rPr>
          <w:rFonts w:hint="eastAsia" w:ascii="宋体" w:hAnsi="宋体" w:eastAsia="宋体" w:cs="宋体"/>
          <w:sz w:val="28"/>
          <w:szCs w:val="28"/>
          <w:highlight w:val="none"/>
          <w:u w:val="none"/>
        </w:rPr>
        <w:t>或送货至</w:t>
      </w:r>
      <w:r>
        <w:rPr>
          <w:rFonts w:hint="eastAsia" w:ascii="宋体" w:hAnsi="宋体" w:eastAsia="宋体" w:cs="宋体"/>
          <w:sz w:val="28"/>
          <w:szCs w:val="28"/>
          <w:highlight w:val="none"/>
          <w:u w:val="none"/>
          <w:lang w:eastAsia="zh-CN"/>
        </w:rPr>
        <w:t>采购人</w:t>
      </w:r>
      <w:r>
        <w:rPr>
          <w:rFonts w:hint="eastAsia" w:ascii="宋体" w:hAnsi="宋体" w:eastAsia="宋体" w:cs="宋体"/>
          <w:sz w:val="28"/>
          <w:szCs w:val="28"/>
          <w:highlight w:val="none"/>
          <w:u w:val="none"/>
        </w:rPr>
        <w:t>指定的长沙市任意地点</w:t>
      </w:r>
      <w:r>
        <w:rPr>
          <w:rFonts w:hint="eastAsia" w:ascii="宋体" w:hAnsi="宋体" w:eastAsia="宋体" w:cs="宋体"/>
          <w:color w:val="000000"/>
          <w:sz w:val="28"/>
          <w:szCs w:val="28"/>
          <w:highlight w:val="none"/>
          <w:u w:val="none"/>
        </w:rPr>
        <w:t>。</w:t>
      </w:r>
    </w:p>
    <w:p>
      <w:pPr>
        <w:pStyle w:val="9"/>
        <w:keepNext w:val="0"/>
        <w:keepLines w:val="0"/>
        <w:pageBreakBefore w:val="0"/>
        <w:numPr>
          <w:ilvl w:val="0"/>
          <w:numId w:val="0"/>
        </w:numPr>
        <w:shd w:val="clear" w:color="auto" w:fill="auto"/>
        <w:kinsoku/>
        <w:topLinePunct w:val="0"/>
        <w:bidi w:val="0"/>
        <w:adjustRightInd/>
        <w:snapToGrid/>
        <w:spacing w:before="0" w:beforeLines="0" w:after="0" w:afterLines="0" w:line="560" w:lineRule="exact"/>
        <w:ind w:left="0" w:leftChars="0" w:firstLine="562" w:firstLineChars="200"/>
        <w:outlineLvl w:val="9"/>
        <w:rPr>
          <w:rFonts w:hint="eastAsia" w:ascii="宋体" w:hAnsi="宋体" w:eastAsia="宋体" w:cs="宋体"/>
          <w:b/>
          <w:bCs/>
          <w:kern w:val="0"/>
          <w:sz w:val="28"/>
          <w:szCs w:val="28"/>
          <w:highlight w:val="none"/>
        </w:rPr>
      </w:pPr>
      <w:bookmarkStart w:id="101" w:name="_Toc474766747"/>
      <w:bookmarkStart w:id="102" w:name="_Toc7763"/>
      <w:bookmarkStart w:id="103" w:name="_Toc6261"/>
      <w:bookmarkStart w:id="104" w:name="_Toc2210"/>
      <w:bookmarkStart w:id="105" w:name="_Toc31982"/>
      <w:bookmarkStart w:id="106" w:name="_Toc19115"/>
      <w:bookmarkStart w:id="107" w:name="_Toc23002"/>
      <w:bookmarkStart w:id="108" w:name="_Toc18005"/>
      <w:bookmarkStart w:id="109" w:name="_Toc3852"/>
      <w:bookmarkStart w:id="110" w:name="_Toc25461"/>
      <w:bookmarkStart w:id="111" w:name="_Toc28074"/>
      <w:bookmarkStart w:id="112" w:name="_Toc26790"/>
      <w:bookmarkStart w:id="113" w:name="_Toc29802"/>
      <w:bookmarkStart w:id="114" w:name="_Toc32207"/>
      <w:bookmarkStart w:id="115" w:name="_Toc23111"/>
      <w:bookmarkStart w:id="116" w:name="_Toc4555"/>
      <w:bookmarkStart w:id="117" w:name="_Toc6939"/>
      <w:bookmarkStart w:id="118" w:name="_Toc8624"/>
      <w:bookmarkStart w:id="119" w:name="_Toc19020"/>
      <w:bookmarkStart w:id="120" w:name="_Toc3921"/>
      <w:bookmarkStart w:id="121" w:name="_Toc12814291"/>
      <w:bookmarkStart w:id="122" w:name="_Toc32368"/>
      <w:bookmarkStart w:id="123" w:name="_Toc30074"/>
      <w:bookmarkStart w:id="124" w:name="_Toc11410"/>
      <w:bookmarkStart w:id="125" w:name="_Toc22954"/>
      <w:bookmarkStart w:id="126" w:name="_Toc12100"/>
      <w:bookmarkStart w:id="127" w:name="_Toc32229"/>
      <w:bookmarkStart w:id="128" w:name="_Toc16451"/>
      <w:bookmarkStart w:id="129" w:name="_Toc29177"/>
      <w:bookmarkStart w:id="130" w:name="_Toc3192"/>
      <w:bookmarkStart w:id="131" w:name="_Toc4829"/>
      <w:bookmarkStart w:id="132" w:name="_Toc22775"/>
      <w:bookmarkStart w:id="133" w:name="_Toc16459"/>
      <w:bookmarkStart w:id="134" w:name="_Toc30276"/>
      <w:bookmarkStart w:id="135" w:name="_Toc17371"/>
      <w:r>
        <w:rPr>
          <w:rFonts w:hint="eastAsia" w:ascii="宋体" w:hAnsi="宋体" w:eastAsia="宋体" w:cs="宋体"/>
          <w:b/>
          <w:bCs/>
          <w:kern w:val="0"/>
          <w:sz w:val="28"/>
          <w:szCs w:val="28"/>
          <w:lang w:val="en-US" w:eastAsia="zh-CN" w:bidi="ar-SA"/>
        </w:rPr>
        <w:t>3、</w:t>
      </w:r>
      <w:r>
        <w:rPr>
          <w:rFonts w:hint="eastAsia" w:ascii="宋体" w:hAnsi="宋体" w:eastAsia="宋体" w:cs="宋体"/>
          <w:b/>
          <w:bCs/>
          <w:kern w:val="0"/>
          <w:sz w:val="28"/>
          <w:szCs w:val="28"/>
          <w:highlight w:val="none"/>
        </w:rPr>
        <w:t>技术要求</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3.1 物资的设计制造需满足相关的国家标准GB、行业标准及规定的要求，以上各项标准以最新版本为准。</w:t>
      </w:r>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eastAsia="zh-CN"/>
        </w:rPr>
      </w:pPr>
      <w:r>
        <w:rPr>
          <w:rFonts w:hint="eastAsia" w:ascii="宋体" w:hAnsi="宋体" w:eastAsia="宋体" w:cs="宋体"/>
          <w:color w:val="auto"/>
          <w:kern w:val="0"/>
          <w:sz w:val="28"/>
          <w:szCs w:val="28"/>
          <w:highlight w:val="none"/>
          <w:lang w:eastAsia="zh-CN"/>
        </w:rPr>
        <w:t xml:space="preserve">3.2 </w:t>
      </w:r>
      <w:r>
        <w:rPr>
          <w:rFonts w:hint="eastAsia" w:ascii="宋体" w:hAnsi="宋体" w:eastAsia="宋体" w:cs="宋体"/>
          <w:color w:val="auto"/>
          <w:kern w:val="0"/>
          <w:sz w:val="28"/>
          <w:szCs w:val="28"/>
          <w:highlight w:val="none"/>
          <w:lang w:val="en-US" w:eastAsia="zh-CN"/>
        </w:rPr>
        <w:t>物资需提供合格证</w:t>
      </w:r>
      <w:r>
        <w:rPr>
          <w:rFonts w:hint="eastAsia" w:ascii="宋体" w:hAnsi="宋体" w:eastAsia="宋体" w:cs="宋体"/>
          <w:color w:val="auto"/>
          <w:kern w:val="0"/>
          <w:sz w:val="28"/>
          <w:szCs w:val="28"/>
          <w:highlight w:val="none"/>
          <w:lang w:eastAsia="zh-CN"/>
        </w:rPr>
        <w:t>。</w:t>
      </w:r>
    </w:p>
    <w:p>
      <w:pPr>
        <w:pStyle w:val="9"/>
        <w:keepNext w:val="0"/>
        <w:keepLines w:val="0"/>
        <w:pageBreakBefore w:val="0"/>
        <w:numPr>
          <w:ilvl w:val="1"/>
          <w:numId w:val="0"/>
        </w:numPr>
        <w:shd w:val="clear" w:color="auto" w:fill="auto"/>
        <w:kinsoku/>
        <w:topLinePunct w:val="0"/>
        <w:bidi w:val="0"/>
        <w:adjustRightInd/>
        <w:snapToGrid/>
        <w:spacing w:before="0" w:beforeLines="0" w:after="0" w:afterLines="0" w:line="560" w:lineRule="exact"/>
        <w:ind w:left="0" w:leftChars="0" w:firstLine="562" w:firstLineChars="200"/>
        <w:outlineLvl w:val="9"/>
        <w:rPr>
          <w:rFonts w:hint="eastAsia" w:ascii="宋体" w:hAnsi="宋体" w:eastAsia="宋体" w:cs="宋体"/>
          <w:b/>
          <w:bCs/>
          <w:i w:val="0"/>
          <w:snapToGrid/>
          <w:spacing w:val="0"/>
          <w:w w:val="100"/>
          <w:kern w:val="21"/>
          <w:sz w:val="28"/>
          <w:szCs w:val="28"/>
          <w:lang w:val="en-US" w:eastAsia="zh-CN" w:bidi="ar-SA"/>
        </w:rPr>
      </w:pPr>
      <w:bookmarkStart w:id="136" w:name="_Toc15079"/>
      <w:bookmarkStart w:id="137" w:name="_Toc26495"/>
      <w:bookmarkStart w:id="138" w:name="_Toc11448"/>
      <w:bookmarkStart w:id="139" w:name="_Toc5794"/>
      <w:bookmarkStart w:id="140" w:name="_Toc13042"/>
      <w:bookmarkStart w:id="141" w:name="_Toc3533"/>
      <w:bookmarkStart w:id="142" w:name="_Toc19517"/>
      <w:bookmarkStart w:id="143" w:name="_Toc7209"/>
      <w:bookmarkStart w:id="144" w:name="_Toc7940"/>
      <w:bookmarkStart w:id="145" w:name="_Toc364"/>
      <w:bookmarkStart w:id="146" w:name="_Toc9614"/>
      <w:bookmarkStart w:id="147" w:name="_Toc1231"/>
      <w:bookmarkStart w:id="148" w:name="_Toc559"/>
      <w:bookmarkStart w:id="149" w:name="_Toc16878"/>
      <w:bookmarkStart w:id="150" w:name="_Toc14494"/>
      <w:bookmarkStart w:id="151" w:name="_Toc26395"/>
      <w:bookmarkStart w:id="152" w:name="_Toc16160"/>
      <w:bookmarkStart w:id="153" w:name="_Toc26909"/>
      <w:bookmarkStart w:id="154" w:name="_Toc24076"/>
      <w:bookmarkStart w:id="155" w:name="_Toc6473"/>
      <w:bookmarkStart w:id="156" w:name="_Toc23661"/>
      <w:bookmarkStart w:id="157" w:name="_Toc28415"/>
      <w:bookmarkStart w:id="158" w:name="_Toc5226"/>
      <w:bookmarkStart w:id="159" w:name="_Toc3772"/>
      <w:bookmarkStart w:id="160" w:name="_Toc26702"/>
      <w:bookmarkStart w:id="161" w:name="_Toc20878"/>
      <w:bookmarkStart w:id="162" w:name="_Toc8665"/>
      <w:bookmarkStart w:id="163" w:name="_Toc7709"/>
      <w:bookmarkStart w:id="164" w:name="_Toc9629"/>
      <w:bookmarkStart w:id="165" w:name="_Toc28154"/>
      <w:bookmarkStart w:id="166" w:name="_Toc24203"/>
      <w:bookmarkStart w:id="167" w:name="_Toc12814294"/>
      <w:bookmarkStart w:id="168" w:name="_Toc21079"/>
      <w:bookmarkStart w:id="169" w:name="_Toc18956"/>
      <w:r>
        <w:rPr>
          <w:rFonts w:hint="eastAsia" w:ascii="宋体" w:hAnsi="宋体" w:eastAsia="宋体" w:cs="宋体"/>
          <w:b/>
          <w:bCs/>
          <w:i w:val="0"/>
          <w:snapToGrid/>
          <w:spacing w:val="0"/>
          <w:w w:val="100"/>
          <w:kern w:val="21"/>
          <w:sz w:val="28"/>
          <w:szCs w:val="28"/>
          <w:lang w:val="en-US" w:eastAsia="zh-CN" w:bidi="ar-SA"/>
        </w:rPr>
        <w:t>4、项目管理</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pPr>
        <w:pStyle w:val="10"/>
        <w:keepNext w:val="0"/>
        <w:keepLines w:val="0"/>
        <w:pageBreakBefore w:val="0"/>
        <w:shd w:val="clear" w:color="auto" w:fill="auto"/>
        <w:kinsoku/>
        <w:topLinePunct w:val="0"/>
        <w:bidi w:val="0"/>
        <w:adjustRightInd/>
        <w:snapToGrid/>
        <w:spacing w:line="560" w:lineRule="exact"/>
        <w:ind w:firstLine="560" w:firstLineChars="20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供货商</w:t>
      </w:r>
      <w:r>
        <w:rPr>
          <w:rFonts w:hint="eastAsia" w:ascii="宋体" w:hAnsi="宋体" w:eastAsia="宋体" w:cs="宋体"/>
          <w:sz w:val="28"/>
          <w:szCs w:val="28"/>
          <w:highlight w:val="none"/>
        </w:rPr>
        <w:t>应指定专人负责跟进项目的执行。</w:t>
      </w:r>
    </w:p>
    <w:p>
      <w:pPr>
        <w:pStyle w:val="9"/>
        <w:keepNext w:val="0"/>
        <w:keepLines w:val="0"/>
        <w:pageBreakBefore w:val="0"/>
        <w:numPr>
          <w:ilvl w:val="1"/>
          <w:numId w:val="0"/>
        </w:numPr>
        <w:shd w:val="clear" w:color="auto" w:fill="auto"/>
        <w:kinsoku/>
        <w:topLinePunct w:val="0"/>
        <w:bidi w:val="0"/>
        <w:adjustRightInd/>
        <w:snapToGrid/>
        <w:spacing w:before="0" w:beforeLines="0" w:after="0" w:afterLines="0" w:line="560" w:lineRule="exact"/>
        <w:ind w:leftChars="0" w:firstLine="562" w:firstLineChars="200"/>
        <w:jc w:val="left"/>
        <w:outlineLvl w:val="9"/>
        <w:rPr>
          <w:rFonts w:hint="eastAsia" w:ascii="宋体" w:hAnsi="宋体" w:eastAsia="宋体" w:cs="宋体"/>
          <w:b/>
          <w:bCs/>
          <w:i w:val="0"/>
          <w:snapToGrid/>
          <w:spacing w:val="0"/>
          <w:w w:val="100"/>
          <w:kern w:val="21"/>
          <w:sz w:val="28"/>
          <w:szCs w:val="28"/>
          <w:lang w:val="en-US" w:eastAsia="zh-CN" w:bidi="ar-SA"/>
        </w:rPr>
      </w:pPr>
      <w:bookmarkStart w:id="170" w:name="_Toc6400"/>
      <w:bookmarkStart w:id="171" w:name="_Toc15316"/>
      <w:bookmarkStart w:id="172" w:name="_Toc9457"/>
      <w:bookmarkStart w:id="173" w:name="_Toc19248"/>
      <w:bookmarkStart w:id="174" w:name="_Toc29015"/>
      <w:bookmarkStart w:id="175" w:name="_Toc30654"/>
      <w:bookmarkStart w:id="176" w:name="_Toc12814295"/>
      <w:bookmarkStart w:id="177" w:name="_Toc2263"/>
      <w:bookmarkStart w:id="178" w:name="_Toc5987"/>
      <w:bookmarkStart w:id="179" w:name="_Toc23327"/>
      <w:bookmarkStart w:id="180" w:name="_Toc12370"/>
      <w:bookmarkStart w:id="181" w:name="_Toc13761"/>
      <w:bookmarkStart w:id="182" w:name="_Toc5211"/>
      <w:bookmarkStart w:id="183" w:name="_Toc30379"/>
      <w:bookmarkStart w:id="184" w:name="_Toc9690"/>
      <w:bookmarkStart w:id="185" w:name="_Toc12479"/>
      <w:bookmarkStart w:id="186" w:name="_Toc21460"/>
      <w:bookmarkStart w:id="187" w:name="_Toc30774"/>
      <w:bookmarkStart w:id="188" w:name="_Toc30192"/>
      <w:bookmarkStart w:id="189" w:name="_Toc26657"/>
      <w:bookmarkStart w:id="190" w:name="_Toc19872"/>
      <w:bookmarkStart w:id="191" w:name="_Toc19804"/>
      <w:bookmarkStart w:id="192" w:name="_Toc2730"/>
      <w:bookmarkStart w:id="193" w:name="_Toc27194"/>
      <w:bookmarkStart w:id="194" w:name="_Toc13788"/>
      <w:bookmarkStart w:id="195" w:name="_Toc13926"/>
      <w:bookmarkStart w:id="196" w:name="_Toc32169"/>
      <w:bookmarkStart w:id="197" w:name="_Toc4459"/>
      <w:bookmarkStart w:id="198" w:name="_Toc2748"/>
      <w:bookmarkStart w:id="199" w:name="_Toc14367"/>
      <w:bookmarkStart w:id="200" w:name="_Toc3174"/>
      <w:bookmarkStart w:id="201" w:name="_Toc26443"/>
      <w:bookmarkStart w:id="202" w:name="_Toc3236"/>
      <w:r>
        <w:rPr>
          <w:rFonts w:hint="eastAsia" w:ascii="宋体" w:hAnsi="宋体" w:eastAsia="宋体" w:cs="宋体"/>
          <w:b/>
          <w:bCs/>
          <w:i w:val="0"/>
          <w:snapToGrid/>
          <w:spacing w:val="0"/>
          <w:w w:val="100"/>
          <w:kern w:val="21"/>
          <w:sz w:val="28"/>
          <w:szCs w:val="28"/>
          <w:lang w:val="en-US" w:eastAsia="zh-CN" w:bidi="ar-SA"/>
        </w:rPr>
        <w:t>5、验收要求</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eastAsia="zh-CN"/>
        </w:rPr>
      </w:pPr>
      <w:bookmarkStart w:id="203" w:name="_Toc14814"/>
      <w:bookmarkStart w:id="204" w:name="_Toc12223"/>
      <w:bookmarkStart w:id="205" w:name="_Toc14214"/>
      <w:bookmarkStart w:id="206" w:name="_Toc16133"/>
      <w:bookmarkStart w:id="207" w:name="_Toc2180"/>
      <w:bookmarkStart w:id="208" w:name="_Toc12814298"/>
      <w:r>
        <w:rPr>
          <w:rFonts w:hint="eastAsia" w:ascii="宋体" w:hAnsi="宋体" w:eastAsia="宋体" w:cs="宋体"/>
          <w:color w:val="auto"/>
          <w:kern w:val="0"/>
          <w:sz w:val="28"/>
          <w:szCs w:val="28"/>
          <w:highlight w:val="none"/>
          <w:lang w:val="en-US" w:eastAsia="zh-CN"/>
        </w:rPr>
        <w:t>5.1</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eastAsia="zh-CN"/>
        </w:rPr>
        <w:t>采取目测和简易测量的方法对货物的外观检验，对照合格证书对</w:t>
      </w:r>
      <w:r>
        <w:rPr>
          <w:rFonts w:hint="eastAsia" w:ascii="宋体" w:hAnsi="宋体" w:eastAsia="宋体" w:cs="宋体"/>
          <w:color w:val="auto"/>
          <w:kern w:val="0"/>
          <w:sz w:val="28"/>
          <w:szCs w:val="28"/>
          <w:highlight w:val="none"/>
          <w:lang w:val="en-US" w:eastAsia="zh-CN"/>
        </w:rPr>
        <w:t>产品</w:t>
      </w:r>
      <w:r>
        <w:rPr>
          <w:rFonts w:hint="eastAsia" w:ascii="宋体" w:hAnsi="宋体" w:eastAsia="宋体" w:cs="宋体"/>
          <w:color w:val="auto"/>
          <w:kern w:val="0"/>
          <w:sz w:val="28"/>
          <w:szCs w:val="28"/>
          <w:highlight w:val="none"/>
          <w:lang w:eastAsia="zh-CN"/>
        </w:rPr>
        <w:t>进行检验。</w:t>
      </w:r>
      <w:bookmarkEnd w:id="203"/>
      <w:bookmarkEnd w:id="204"/>
      <w:bookmarkEnd w:id="205"/>
      <w:bookmarkEnd w:id="206"/>
      <w:bookmarkEnd w:id="207"/>
      <w:bookmarkEnd w:id="208"/>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209" w:name="_Toc20502"/>
      <w:bookmarkStart w:id="210" w:name="_Toc30679"/>
      <w:bookmarkStart w:id="211" w:name="_Toc32731"/>
      <w:bookmarkStart w:id="212" w:name="_Toc12814300"/>
      <w:bookmarkStart w:id="213" w:name="_Toc20727"/>
      <w:r>
        <w:rPr>
          <w:rFonts w:hint="eastAsia" w:ascii="宋体" w:hAnsi="宋体" w:eastAsia="宋体" w:cs="宋体"/>
          <w:color w:val="auto"/>
          <w:kern w:val="0"/>
          <w:sz w:val="28"/>
          <w:szCs w:val="28"/>
          <w:highlight w:val="none"/>
          <w:lang w:val="en-US" w:eastAsia="zh-CN"/>
        </w:rPr>
        <w:t>5.2</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lang w:val="en-US" w:eastAsia="zh-CN"/>
        </w:rPr>
        <w:t>采取送验的方法对货物进行检验，如检验不合格，检验费由供货商支付。</w:t>
      </w:r>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5.3 包括但不限于以上检验方法。</w:t>
      </w:r>
      <w:bookmarkEnd w:id="209"/>
      <w:bookmarkEnd w:id="210"/>
      <w:bookmarkEnd w:id="211"/>
      <w:bookmarkEnd w:id="212"/>
      <w:bookmarkEnd w:id="213"/>
    </w:p>
    <w:p>
      <w:pPr>
        <w:pStyle w:val="9"/>
        <w:keepNext w:val="0"/>
        <w:keepLines w:val="0"/>
        <w:pageBreakBefore w:val="0"/>
        <w:numPr>
          <w:ilvl w:val="1"/>
          <w:numId w:val="0"/>
        </w:numPr>
        <w:shd w:val="clear" w:color="auto" w:fill="auto"/>
        <w:kinsoku/>
        <w:topLinePunct w:val="0"/>
        <w:bidi w:val="0"/>
        <w:adjustRightInd/>
        <w:snapToGrid/>
        <w:spacing w:before="0" w:beforeLines="0" w:after="0" w:afterLines="0" w:line="560" w:lineRule="exact"/>
        <w:ind w:left="0" w:leftChars="0" w:firstLine="562" w:firstLineChars="200"/>
        <w:outlineLvl w:val="9"/>
        <w:rPr>
          <w:rFonts w:hint="eastAsia" w:ascii="宋体" w:hAnsi="宋体" w:eastAsia="宋体" w:cs="宋体"/>
          <w:b/>
          <w:bCs/>
          <w:i w:val="0"/>
          <w:snapToGrid/>
          <w:spacing w:val="0"/>
          <w:w w:val="100"/>
          <w:kern w:val="21"/>
          <w:sz w:val="28"/>
          <w:szCs w:val="28"/>
          <w:lang w:val="en-US" w:eastAsia="zh-CN" w:bidi="ar-SA"/>
        </w:rPr>
      </w:pPr>
      <w:bookmarkStart w:id="214" w:name="_Toc31848"/>
      <w:bookmarkStart w:id="215" w:name="_Toc16846"/>
      <w:bookmarkStart w:id="216" w:name="_Toc10176"/>
      <w:bookmarkStart w:id="217" w:name="_Toc12269"/>
      <w:bookmarkStart w:id="218" w:name="_Toc3560"/>
      <w:bookmarkStart w:id="219" w:name="_Toc8423"/>
      <w:bookmarkStart w:id="220" w:name="_Toc29038"/>
      <w:bookmarkStart w:id="221" w:name="_Toc28356"/>
      <w:bookmarkStart w:id="222" w:name="_Toc22533"/>
      <w:bookmarkStart w:id="223" w:name="_Toc23156"/>
      <w:bookmarkStart w:id="224" w:name="_Toc21085"/>
      <w:bookmarkStart w:id="225" w:name="_Toc20974"/>
      <w:bookmarkStart w:id="226" w:name="_Toc9779"/>
      <w:bookmarkStart w:id="227" w:name="_Toc25724"/>
      <w:bookmarkStart w:id="228" w:name="_Toc23223"/>
      <w:bookmarkStart w:id="229" w:name="_Toc9310"/>
      <w:bookmarkStart w:id="230" w:name="_Toc24442"/>
      <w:bookmarkStart w:id="231" w:name="_Toc30811"/>
      <w:bookmarkStart w:id="232" w:name="_Toc13028"/>
      <w:bookmarkStart w:id="233" w:name="_Toc21922"/>
      <w:bookmarkStart w:id="234" w:name="_Toc14787"/>
      <w:bookmarkStart w:id="235" w:name="_Toc24691"/>
      <w:bookmarkStart w:id="236" w:name="_Toc31539"/>
      <w:bookmarkStart w:id="237" w:name="_Toc18985"/>
      <w:bookmarkStart w:id="238" w:name="_Toc21368"/>
      <w:bookmarkStart w:id="239" w:name="_Toc22070"/>
      <w:bookmarkStart w:id="240" w:name="_Toc8417"/>
      <w:bookmarkStart w:id="241" w:name="_Toc25592"/>
      <w:bookmarkStart w:id="242" w:name="_Toc28177"/>
      <w:bookmarkStart w:id="243" w:name="_Toc30431"/>
      <w:bookmarkStart w:id="244" w:name="_Toc20007"/>
      <w:bookmarkStart w:id="245" w:name="_Toc12814303"/>
      <w:bookmarkStart w:id="246" w:name="_Toc13129"/>
      <w:bookmarkStart w:id="247" w:name="_Toc4983"/>
      <w:r>
        <w:rPr>
          <w:rFonts w:hint="eastAsia" w:ascii="宋体" w:hAnsi="宋体" w:eastAsia="宋体" w:cs="宋体"/>
          <w:b/>
          <w:bCs/>
          <w:i w:val="0"/>
          <w:snapToGrid/>
          <w:spacing w:val="0"/>
          <w:w w:val="100"/>
          <w:kern w:val="21"/>
          <w:sz w:val="28"/>
          <w:szCs w:val="28"/>
          <w:lang w:val="en-US" w:eastAsia="zh-CN" w:bidi="ar-SA"/>
        </w:rPr>
        <w:t>6、质保期</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p>
    <w:p>
      <w:pPr>
        <w:pStyle w:val="9"/>
        <w:keepNext w:val="0"/>
        <w:keepLines w:val="0"/>
        <w:pageBreakBefore w:val="0"/>
        <w:widowControl/>
        <w:numPr>
          <w:ilvl w:val="1"/>
          <w:numId w:val="0"/>
        </w:numPr>
        <w:shd w:val="clear" w:color="auto" w:fill="auto"/>
        <w:kinsoku/>
        <w:wordWrap w:val="0"/>
        <w:overflowPunct w:val="0"/>
        <w:topLinePunct w:val="0"/>
        <w:autoSpaceDE w:val="0"/>
        <w:autoSpaceDN/>
        <w:bidi w:val="0"/>
        <w:adjustRightInd/>
        <w:snapToGrid/>
        <w:spacing w:before="0" w:beforeLines="0" w:after="0" w:afterLines="0" w:line="560" w:lineRule="exact"/>
        <w:ind w:firstLine="560" w:firstLineChars="200"/>
        <w:textAlignment w:val="baseline"/>
        <w:outlineLvl w:val="9"/>
        <w:rPr>
          <w:rFonts w:hint="eastAsia" w:ascii="宋体" w:hAnsi="宋体" w:eastAsia="宋体" w:cs="宋体"/>
          <w:b w:val="0"/>
          <w:bCs w:val="0"/>
          <w:i w:val="0"/>
          <w:snapToGrid/>
          <w:spacing w:val="0"/>
          <w:w w:val="100"/>
          <w:kern w:val="21"/>
          <w:sz w:val="28"/>
          <w:szCs w:val="28"/>
          <w:lang w:val="en-US" w:eastAsia="zh-CN" w:bidi="ar-SA"/>
        </w:rPr>
      </w:pPr>
      <w:bookmarkStart w:id="248" w:name="_Toc13712"/>
      <w:bookmarkStart w:id="249" w:name="_Toc31679_WPSOffice_Level1"/>
      <w:bookmarkStart w:id="250" w:name="_Toc12814304"/>
      <w:bookmarkStart w:id="251" w:name="_Toc29867"/>
      <w:bookmarkStart w:id="252" w:name="_Toc23888"/>
      <w:bookmarkStart w:id="253" w:name="_Toc31583_WPSOffice_Level1"/>
      <w:bookmarkStart w:id="254" w:name="_Toc24020"/>
      <w:bookmarkStart w:id="255" w:name="_Toc13183"/>
      <w:r>
        <w:rPr>
          <w:rFonts w:hint="eastAsia" w:ascii="宋体" w:hAnsi="宋体" w:eastAsia="宋体" w:cs="宋体"/>
          <w:b w:val="0"/>
          <w:bCs w:val="0"/>
          <w:i w:val="0"/>
          <w:snapToGrid/>
          <w:spacing w:val="0"/>
          <w:w w:val="100"/>
          <w:kern w:val="21"/>
          <w:sz w:val="28"/>
          <w:szCs w:val="28"/>
          <w:lang w:val="en-US" w:eastAsia="zh-CN" w:bidi="ar-SA"/>
        </w:rPr>
        <w:t>6.1 质保期要求</w:t>
      </w:r>
      <w:bookmarkEnd w:id="248"/>
      <w:bookmarkEnd w:id="249"/>
      <w:bookmarkEnd w:id="250"/>
      <w:bookmarkEnd w:id="251"/>
      <w:bookmarkEnd w:id="252"/>
      <w:bookmarkEnd w:id="253"/>
      <w:bookmarkEnd w:id="254"/>
      <w:bookmarkEnd w:id="255"/>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256" w:name="_Toc15841"/>
      <w:bookmarkStart w:id="257" w:name="_Toc12814305"/>
      <w:bookmarkStart w:id="258" w:name="_Toc25096"/>
      <w:bookmarkStart w:id="259" w:name="_Toc31296"/>
      <w:r>
        <w:rPr>
          <w:rFonts w:hint="eastAsia" w:ascii="宋体" w:hAnsi="宋体" w:eastAsia="宋体" w:cs="宋体"/>
          <w:color w:val="auto"/>
          <w:kern w:val="0"/>
          <w:sz w:val="28"/>
          <w:szCs w:val="28"/>
          <w:highlight w:val="none"/>
          <w:lang w:val="en-US" w:eastAsia="zh-CN"/>
        </w:rPr>
        <w:t xml:space="preserve">6.1.1 </w:t>
      </w:r>
      <w:r>
        <w:rPr>
          <w:rFonts w:hint="eastAsia" w:ascii="宋体" w:hAnsi="宋体" w:cs="宋体"/>
          <w:color w:val="auto"/>
          <w:kern w:val="0"/>
          <w:sz w:val="28"/>
          <w:szCs w:val="28"/>
          <w:highlight w:val="none"/>
          <w:lang w:val="en-US" w:eastAsia="zh-CN" w:bidi="ar-SA"/>
        </w:rPr>
        <w:t>灭火器、自救呼吸器</w:t>
      </w:r>
      <w:r>
        <w:rPr>
          <w:rFonts w:hint="eastAsia" w:ascii="宋体" w:hAnsi="宋体" w:eastAsia="宋体" w:cs="宋体"/>
          <w:color w:val="auto"/>
          <w:kern w:val="0"/>
          <w:sz w:val="28"/>
          <w:szCs w:val="28"/>
          <w:highlight w:val="none"/>
          <w:lang w:val="en-US" w:eastAsia="zh-CN"/>
        </w:rPr>
        <w:t>的质保期</w:t>
      </w:r>
      <w:r>
        <w:rPr>
          <w:rFonts w:hint="eastAsia" w:ascii="宋体" w:hAnsi="宋体" w:cs="宋体"/>
          <w:color w:val="auto"/>
          <w:kern w:val="0"/>
          <w:sz w:val="28"/>
          <w:szCs w:val="28"/>
          <w:highlight w:val="none"/>
          <w:lang w:val="en-US" w:eastAsia="zh-CN"/>
        </w:rPr>
        <w:t>自当批次物资</w:t>
      </w:r>
      <w:r>
        <w:rPr>
          <w:rFonts w:hint="eastAsia" w:ascii="宋体" w:hAnsi="宋体" w:eastAsia="宋体" w:cs="宋体"/>
          <w:color w:val="auto"/>
          <w:kern w:val="0"/>
          <w:sz w:val="28"/>
          <w:szCs w:val="28"/>
          <w:highlight w:val="none"/>
          <w:lang w:val="en-US" w:eastAsia="zh-CN"/>
        </w:rPr>
        <w:t>全部验收合格之日算起为24个月。</w:t>
      </w:r>
      <w:r>
        <w:rPr>
          <w:rFonts w:hint="eastAsia" w:ascii="宋体" w:hAnsi="宋体" w:cs="宋体"/>
          <w:color w:val="auto"/>
          <w:kern w:val="0"/>
          <w:sz w:val="28"/>
          <w:szCs w:val="28"/>
          <w:highlight w:val="none"/>
          <w:lang w:val="en-US" w:eastAsia="zh-CN" w:bidi="ar-SA"/>
        </w:rPr>
        <w:t>除灭火器、自救呼吸器外物资</w:t>
      </w:r>
      <w:r>
        <w:rPr>
          <w:rFonts w:hint="eastAsia" w:ascii="宋体" w:hAnsi="宋体" w:eastAsia="宋体" w:cs="宋体"/>
          <w:color w:val="auto"/>
          <w:kern w:val="0"/>
          <w:sz w:val="28"/>
          <w:szCs w:val="28"/>
          <w:highlight w:val="none"/>
          <w:lang w:val="en-US" w:eastAsia="zh-CN"/>
        </w:rPr>
        <w:t>的质保期从全部物资验收合格之日算起为24个月。</w:t>
      </w:r>
      <w:bookmarkEnd w:id="256"/>
      <w:bookmarkEnd w:id="257"/>
      <w:bookmarkEnd w:id="258"/>
      <w:bookmarkEnd w:id="259"/>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260" w:name="_Toc12814306"/>
      <w:bookmarkStart w:id="261" w:name="_Toc15239"/>
      <w:bookmarkStart w:id="262" w:name="_Toc13123"/>
      <w:bookmarkStart w:id="263" w:name="_Toc11058"/>
      <w:bookmarkStart w:id="264" w:name="_Toc11662"/>
      <w:r>
        <w:rPr>
          <w:rFonts w:hint="eastAsia" w:ascii="宋体" w:hAnsi="宋体" w:cs="宋体"/>
          <w:color w:val="auto"/>
          <w:kern w:val="0"/>
          <w:sz w:val="28"/>
          <w:szCs w:val="28"/>
          <w:highlight w:val="none"/>
          <w:lang w:val="en-US" w:eastAsia="zh-CN"/>
        </w:rPr>
        <w:t xml:space="preserve">6.1.2 </w:t>
      </w:r>
      <w:r>
        <w:rPr>
          <w:rFonts w:hint="eastAsia" w:ascii="宋体" w:hAnsi="宋体" w:eastAsia="宋体" w:cs="宋体"/>
          <w:color w:val="auto"/>
          <w:kern w:val="0"/>
          <w:sz w:val="28"/>
          <w:szCs w:val="28"/>
          <w:highlight w:val="none"/>
          <w:lang w:val="en-US" w:eastAsia="zh-CN"/>
        </w:rPr>
        <w:t>如需求清单中物资的</w:t>
      </w:r>
      <w:r>
        <w:rPr>
          <w:rFonts w:hint="eastAsia" w:ascii="宋体" w:hAnsi="宋体" w:cs="宋体"/>
          <w:color w:val="auto"/>
          <w:kern w:val="0"/>
          <w:sz w:val="28"/>
          <w:szCs w:val="28"/>
          <w:highlight w:val="none"/>
          <w:lang w:val="en-US" w:eastAsia="zh-CN"/>
        </w:rPr>
        <w:t>所投</w:t>
      </w:r>
      <w:r>
        <w:rPr>
          <w:rFonts w:hint="eastAsia" w:ascii="宋体" w:hAnsi="宋体" w:eastAsia="宋体" w:cs="宋体"/>
          <w:color w:val="auto"/>
          <w:kern w:val="0"/>
          <w:sz w:val="28"/>
          <w:szCs w:val="28"/>
          <w:highlight w:val="none"/>
          <w:lang w:val="en-US" w:eastAsia="zh-CN"/>
        </w:rPr>
        <w:t>品牌生产商质保期</w:t>
      </w:r>
      <w:r>
        <w:rPr>
          <w:rFonts w:hint="eastAsia" w:ascii="宋体" w:hAnsi="宋体" w:cs="宋体"/>
          <w:color w:val="auto"/>
          <w:kern w:val="0"/>
          <w:sz w:val="28"/>
          <w:szCs w:val="28"/>
          <w:highlight w:val="none"/>
          <w:lang w:val="en-US" w:eastAsia="zh-CN"/>
        </w:rPr>
        <w:t>/有效期</w:t>
      </w:r>
      <w:r>
        <w:rPr>
          <w:rFonts w:hint="eastAsia" w:ascii="宋体" w:hAnsi="宋体" w:eastAsia="宋体" w:cs="宋体"/>
          <w:color w:val="auto"/>
          <w:kern w:val="0"/>
          <w:sz w:val="28"/>
          <w:szCs w:val="28"/>
          <w:highlight w:val="none"/>
          <w:lang w:val="en-US" w:eastAsia="zh-CN"/>
        </w:rPr>
        <w:t>高于24个月的，按</w:t>
      </w:r>
      <w:r>
        <w:rPr>
          <w:rFonts w:hint="eastAsia" w:ascii="宋体" w:hAnsi="宋体" w:cs="宋体"/>
          <w:color w:val="auto"/>
          <w:kern w:val="0"/>
          <w:sz w:val="28"/>
          <w:szCs w:val="28"/>
          <w:highlight w:val="none"/>
          <w:lang w:val="en-US" w:eastAsia="zh-CN"/>
        </w:rPr>
        <w:t>所投</w:t>
      </w:r>
      <w:r>
        <w:rPr>
          <w:rFonts w:hint="eastAsia" w:ascii="宋体" w:hAnsi="宋体" w:eastAsia="宋体" w:cs="宋体"/>
          <w:color w:val="auto"/>
          <w:kern w:val="0"/>
          <w:sz w:val="28"/>
          <w:szCs w:val="28"/>
          <w:highlight w:val="none"/>
          <w:lang w:val="en-US" w:eastAsia="zh-CN"/>
        </w:rPr>
        <w:t>品牌生产商承诺的质保期</w:t>
      </w:r>
      <w:r>
        <w:rPr>
          <w:rFonts w:hint="eastAsia" w:ascii="宋体" w:hAnsi="宋体" w:cs="宋体"/>
          <w:color w:val="auto"/>
          <w:kern w:val="0"/>
          <w:sz w:val="28"/>
          <w:szCs w:val="28"/>
          <w:highlight w:val="none"/>
          <w:lang w:val="en-US" w:eastAsia="zh-CN"/>
        </w:rPr>
        <w:t>/有效期</w:t>
      </w:r>
      <w:r>
        <w:rPr>
          <w:rFonts w:hint="eastAsia" w:ascii="宋体" w:hAnsi="宋体" w:eastAsia="宋体" w:cs="宋体"/>
          <w:color w:val="auto"/>
          <w:kern w:val="0"/>
          <w:sz w:val="28"/>
          <w:szCs w:val="28"/>
          <w:highlight w:val="none"/>
          <w:lang w:val="en-US" w:eastAsia="zh-CN"/>
        </w:rPr>
        <w:t>执行。供货商不能免除质保期结束后，</w:t>
      </w:r>
      <w:r>
        <w:rPr>
          <w:rFonts w:hint="eastAsia" w:ascii="宋体" w:hAnsi="宋体" w:cs="宋体"/>
          <w:color w:val="auto"/>
          <w:kern w:val="0"/>
          <w:sz w:val="28"/>
          <w:szCs w:val="28"/>
          <w:highlight w:val="none"/>
          <w:lang w:val="en-US" w:eastAsia="zh-CN"/>
        </w:rPr>
        <w:t>所投</w:t>
      </w:r>
      <w:r>
        <w:rPr>
          <w:rFonts w:hint="eastAsia" w:ascii="宋体" w:hAnsi="宋体" w:eastAsia="宋体" w:cs="宋体"/>
          <w:color w:val="auto"/>
          <w:kern w:val="0"/>
          <w:sz w:val="28"/>
          <w:szCs w:val="28"/>
          <w:highlight w:val="none"/>
          <w:lang w:val="en-US" w:eastAsia="zh-CN"/>
        </w:rPr>
        <w:t>品牌生产商质保期</w:t>
      </w:r>
      <w:r>
        <w:rPr>
          <w:rFonts w:hint="eastAsia" w:ascii="宋体" w:hAnsi="宋体" w:cs="宋体"/>
          <w:color w:val="auto"/>
          <w:kern w:val="0"/>
          <w:sz w:val="28"/>
          <w:szCs w:val="28"/>
          <w:highlight w:val="none"/>
          <w:lang w:val="en-US" w:eastAsia="zh-CN"/>
        </w:rPr>
        <w:t>/有效期</w:t>
      </w:r>
      <w:r>
        <w:rPr>
          <w:rFonts w:hint="eastAsia" w:ascii="宋体" w:hAnsi="宋体" w:eastAsia="宋体" w:cs="宋体"/>
          <w:color w:val="auto"/>
          <w:kern w:val="0"/>
          <w:sz w:val="28"/>
          <w:szCs w:val="28"/>
          <w:highlight w:val="none"/>
          <w:lang w:val="en-US" w:eastAsia="zh-CN"/>
        </w:rPr>
        <w:t>高于6.1.1规定的质保期期间的质量责任。</w:t>
      </w:r>
      <w:bookmarkEnd w:id="260"/>
      <w:bookmarkEnd w:id="261"/>
      <w:bookmarkEnd w:id="262"/>
      <w:bookmarkEnd w:id="263"/>
      <w:bookmarkEnd w:id="264"/>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default" w:ascii="宋体" w:hAnsi="宋体" w:cs="宋体"/>
          <w:color w:val="auto"/>
          <w:kern w:val="0"/>
          <w:sz w:val="28"/>
          <w:szCs w:val="28"/>
          <w:highlight w:val="none"/>
          <w:lang w:val="en-US" w:eastAsia="zh-CN"/>
        </w:rPr>
      </w:pPr>
      <w:r>
        <w:rPr>
          <w:rFonts w:hint="eastAsia" w:ascii="宋体" w:hAnsi="宋体" w:cs="宋体"/>
          <w:color w:val="auto"/>
          <w:kern w:val="0"/>
          <w:sz w:val="28"/>
          <w:szCs w:val="28"/>
          <w:highlight w:val="none"/>
          <w:lang w:val="en-US" w:eastAsia="zh-CN"/>
        </w:rPr>
        <w:t>6.1.3 含有效期的物资到货时剩余有效期应不低于总有效期的四分之三。</w:t>
      </w:r>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265" w:name="_Toc31009"/>
      <w:bookmarkStart w:id="266" w:name="_Toc12814307"/>
      <w:bookmarkStart w:id="267" w:name="_Toc6435"/>
      <w:bookmarkStart w:id="268" w:name="_Toc20871"/>
      <w:bookmarkStart w:id="269" w:name="_Toc31434"/>
      <w:bookmarkStart w:id="270" w:name="_Toc15855"/>
      <w:r>
        <w:rPr>
          <w:rFonts w:hint="eastAsia" w:ascii="宋体" w:hAnsi="宋体" w:eastAsia="宋体" w:cs="宋体"/>
          <w:color w:val="auto"/>
          <w:kern w:val="0"/>
          <w:sz w:val="28"/>
          <w:szCs w:val="28"/>
          <w:highlight w:val="none"/>
          <w:lang w:val="en-US" w:eastAsia="zh-CN"/>
        </w:rPr>
        <w:t>6.2 质保期供货商的履约责任</w:t>
      </w:r>
      <w:bookmarkEnd w:id="265"/>
      <w:bookmarkEnd w:id="266"/>
      <w:bookmarkEnd w:id="267"/>
      <w:bookmarkEnd w:id="268"/>
      <w:bookmarkEnd w:id="269"/>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271" w:name="_Toc12643"/>
      <w:bookmarkStart w:id="272" w:name="_Toc10878"/>
      <w:bookmarkStart w:id="273" w:name="_Toc10689"/>
      <w:bookmarkStart w:id="274" w:name="_Toc12814308"/>
      <w:bookmarkStart w:id="275" w:name="_Toc415755728"/>
      <w:bookmarkStart w:id="276" w:name="_Toc9825"/>
      <w:bookmarkStart w:id="277" w:name="_Toc15934"/>
      <w:r>
        <w:rPr>
          <w:rFonts w:hint="eastAsia" w:ascii="宋体" w:hAnsi="宋体" w:eastAsia="宋体" w:cs="宋体"/>
          <w:color w:val="auto"/>
          <w:kern w:val="0"/>
          <w:sz w:val="28"/>
          <w:szCs w:val="28"/>
          <w:highlight w:val="none"/>
          <w:lang w:val="en-US" w:eastAsia="zh-CN"/>
        </w:rPr>
        <w:t>6.2.1 若在正常质保期内出现的缺陷，采购人应以书面形式向供货商索赔，供货商应说明其缺陷产生的原因以及弥补缺陷的方法。</w:t>
      </w:r>
      <w:bookmarkEnd w:id="271"/>
      <w:bookmarkEnd w:id="272"/>
      <w:bookmarkEnd w:id="273"/>
      <w:bookmarkEnd w:id="274"/>
      <w:bookmarkEnd w:id="275"/>
      <w:bookmarkEnd w:id="276"/>
      <w:bookmarkEnd w:id="277"/>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278" w:name="_Toc1892"/>
      <w:bookmarkStart w:id="279" w:name="_Toc415755729"/>
      <w:bookmarkStart w:id="280" w:name="_Toc31112"/>
      <w:bookmarkStart w:id="281" w:name="_Toc12814309"/>
      <w:bookmarkStart w:id="282" w:name="_Toc11520"/>
      <w:bookmarkStart w:id="283" w:name="_Toc5467"/>
      <w:bookmarkStart w:id="284" w:name="_Toc29068"/>
      <w:r>
        <w:rPr>
          <w:rFonts w:hint="eastAsia" w:ascii="宋体" w:hAnsi="宋体" w:eastAsia="宋体" w:cs="宋体"/>
          <w:color w:val="auto"/>
          <w:kern w:val="0"/>
          <w:sz w:val="28"/>
          <w:szCs w:val="28"/>
          <w:highlight w:val="none"/>
          <w:lang w:val="en-US" w:eastAsia="zh-CN"/>
        </w:rPr>
        <w:t>6.2.2 除非另有规定，原则上供货商应在采购人提出索赔的7个自然日内完成补救，供货商应根据采购人的要求，尽快修复、更换物资有缺陷的部分，以使物资的相应部分恢复到合同所规定的状态和规格。</w:t>
      </w:r>
      <w:bookmarkEnd w:id="278"/>
      <w:bookmarkEnd w:id="279"/>
      <w:bookmarkEnd w:id="280"/>
      <w:bookmarkEnd w:id="281"/>
      <w:bookmarkEnd w:id="282"/>
      <w:bookmarkEnd w:id="283"/>
      <w:bookmarkEnd w:id="284"/>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285" w:name="_Toc4733"/>
      <w:bookmarkStart w:id="286" w:name="_Toc20285"/>
      <w:bookmarkStart w:id="287" w:name="_Toc27180"/>
      <w:bookmarkStart w:id="288" w:name="_Toc415755730"/>
      <w:bookmarkStart w:id="289" w:name="_Toc12814310"/>
      <w:bookmarkStart w:id="290" w:name="_Toc26854"/>
      <w:bookmarkStart w:id="291" w:name="_Toc12537"/>
      <w:r>
        <w:rPr>
          <w:rFonts w:hint="eastAsia" w:ascii="宋体" w:hAnsi="宋体" w:eastAsia="宋体" w:cs="宋体"/>
          <w:color w:val="auto"/>
          <w:kern w:val="0"/>
          <w:sz w:val="28"/>
          <w:szCs w:val="28"/>
          <w:highlight w:val="none"/>
          <w:lang w:val="en-US" w:eastAsia="zh-CN"/>
        </w:rPr>
        <w:t>6.2.3 供货商应承担因修复、更换物资而产生的所有费用。若供货商不能在6.2.2所规定的时限内完成物资的修复、更换，采购人有权在通知供货商后自行修复、更换，其费用及风险均由供货商承担，但这并不影响合同所规定的供货商的责任。</w:t>
      </w:r>
      <w:bookmarkEnd w:id="285"/>
      <w:bookmarkEnd w:id="286"/>
      <w:bookmarkEnd w:id="287"/>
      <w:bookmarkEnd w:id="288"/>
      <w:bookmarkEnd w:id="289"/>
      <w:bookmarkEnd w:id="290"/>
      <w:bookmarkEnd w:id="291"/>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292" w:name="_Toc12814311"/>
      <w:bookmarkStart w:id="293" w:name="OLE_LINK17"/>
      <w:bookmarkStart w:id="294" w:name="_Toc18221"/>
      <w:bookmarkStart w:id="295" w:name="_Toc23109"/>
      <w:bookmarkStart w:id="296" w:name="_Toc415755731"/>
      <w:bookmarkStart w:id="297" w:name="_Toc13501"/>
      <w:bookmarkStart w:id="298" w:name="_Toc24065"/>
      <w:bookmarkStart w:id="299" w:name="_Toc28721"/>
      <w:r>
        <w:rPr>
          <w:rFonts w:hint="eastAsia" w:ascii="宋体" w:hAnsi="宋体" w:eastAsia="宋体" w:cs="宋体"/>
          <w:color w:val="auto"/>
          <w:kern w:val="0"/>
          <w:sz w:val="28"/>
          <w:szCs w:val="28"/>
          <w:highlight w:val="none"/>
          <w:lang w:val="en-US" w:eastAsia="zh-CN"/>
        </w:rPr>
        <w:t>6.2.4 质保期后供货商将提供产品全寿命周期的技术支持和物资的长期供货支持。在某些零部件的型号停产后，供货商需协助采购人找到替代品。</w:t>
      </w:r>
      <w:bookmarkEnd w:id="292"/>
      <w:bookmarkEnd w:id="293"/>
      <w:bookmarkEnd w:id="294"/>
      <w:bookmarkEnd w:id="295"/>
      <w:bookmarkEnd w:id="296"/>
      <w:bookmarkEnd w:id="297"/>
      <w:bookmarkEnd w:id="298"/>
      <w:bookmarkEnd w:id="299"/>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300" w:name="_Toc27257"/>
      <w:bookmarkStart w:id="301" w:name="_Toc22245"/>
      <w:bookmarkStart w:id="302" w:name="_Toc8485"/>
      <w:bookmarkStart w:id="303" w:name="_Toc12814312"/>
      <w:bookmarkStart w:id="304" w:name="_Toc22636"/>
      <w:r>
        <w:rPr>
          <w:rFonts w:hint="eastAsia" w:ascii="宋体" w:hAnsi="宋体" w:eastAsia="宋体" w:cs="宋体"/>
          <w:color w:val="auto"/>
          <w:kern w:val="0"/>
          <w:sz w:val="28"/>
          <w:szCs w:val="28"/>
          <w:highlight w:val="none"/>
          <w:lang w:val="en-US" w:eastAsia="zh-CN"/>
        </w:rPr>
        <w:t>6.2.5 供货商必须提供返修件的合格证。需返厂维修的备件，须在7个自然日内完成返修，如不能在限期内完成则以双方商定日期为准。</w:t>
      </w:r>
      <w:bookmarkEnd w:id="300"/>
      <w:bookmarkEnd w:id="301"/>
      <w:bookmarkEnd w:id="302"/>
      <w:bookmarkEnd w:id="303"/>
      <w:bookmarkEnd w:id="304"/>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305" w:name="_Toc667"/>
      <w:bookmarkStart w:id="306" w:name="_Toc30603"/>
      <w:bookmarkStart w:id="307" w:name="_Toc12814313"/>
      <w:bookmarkStart w:id="308" w:name="_Toc1818"/>
      <w:bookmarkStart w:id="309" w:name="_Toc2026"/>
      <w:r>
        <w:rPr>
          <w:rFonts w:hint="eastAsia" w:ascii="宋体" w:hAnsi="宋体" w:eastAsia="宋体" w:cs="宋体"/>
          <w:color w:val="auto"/>
          <w:kern w:val="0"/>
          <w:sz w:val="28"/>
          <w:szCs w:val="28"/>
          <w:highlight w:val="none"/>
          <w:lang w:val="en-US" w:eastAsia="zh-CN"/>
        </w:rPr>
        <w:t>6.2.6 备件返厂维修时，需供货商负责给予替换件，保证现场有合格</w:t>
      </w:r>
      <w:r>
        <w:rPr>
          <w:rFonts w:hint="eastAsia" w:ascii="宋体" w:hAnsi="宋体" w:cs="宋体"/>
          <w:color w:val="auto"/>
          <w:kern w:val="0"/>
          <w:sz w:val="28"/>
          <w:szCs w:val="28"/>
          <w:highlight w:val="none"/>
          <w:lang w:val="en-US" w:eastAsia="zh-CN"/>
        </w:rPr>
        <w:t>产品可以使用</w:t>
      </w:r>
      <w:r>
        <w:rPr>
          <w:rFonts w:hint="eastAsia" w:ascii="宋体" w:hAnsi="宋体" w:eastAsia="宋体" w:cs="宋体"/>
          <w:color w:val="auto"/>
          <w:kern w:val="0"/>
          <w:sz w:val="28"/>
          <w:szCs w:val="28"/>
          <w:highlight w:val="none"/>
          <w:lang w:val="en-US" w:eastAsia="zh-CN"/>
        </w:rPr>
        <w:t>。</w:t>
      </w:r>
      <w:bookmarkEnd w:id="305"/>
      <w:bookmarkEnd w:id="306"/>
      <w:bookmarkEnd w:id="307"/>
      <w:bookmarkEnd w:id="308"/>
      <w:bookmarkEnd w:id="309"/>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310" w:name="_Toc31678"/>
      <w:bookmarkStart w:id="311" w:name="_Toc9681"/>
      <w:bookmarkStart w:id="312" w:name="_Toc12814314"/>
      <w:bookmarkStart w:id="313" w:name="_Toc16117"/>
      <w:bookmarkStart w:id="314" w:name="_Toc17140"/>
      <w:r>
        <w:rPr>
          <w:rFonts w:hint="eastAsia" w:ascii="宋体" w:hAnsi="宋体" w:eastAsia="宋体" w:cs="宋体"/>
          <w:color w:val="auto"/>
          <w:kern w:val="0"/>
          <w:sz w:val="28"/>
          <w:szCs w:val="28"/>
          <w:highlight w:val="none"/>
          <w:lang w:val="en-US" w:eastAsia="zh-CN"/>
        </w:rPr>
        <w:t>6.2.7 若供货商因未满足技术规格要求而须对该备件进行更换时，供货商将无偿更换该备件。</w:t>
      </w:r>
      <w:bookmarkEnd w:id="310"/>
      <w:bookmarkEnd w:id="311"/>
      <w:bookmarkEnd w:id="312"/>
      <w:bookmarkEnd w:id="313"/>
      <w:bookmarkEnd w:id="314"/>
    </w:p>
    <w:p>
      <w:pPr>
        <w:keepNext w:val="0"/>
        <w:keepLines w:val="0"/>
        <w:pageBreakBefore w:val="0"/>
        <w:widowControl/>
        <w:shd w:val="clear" w:color="auto" w:fill="auto"/>
        <w:tabs>
          <w:tab w:val="center" w:pos="4201"/>
          <w:tab w:val="right" w:leader="dot" w:pos="9298"/>
        </w:tabs>
        <w:kinsoku/>
        <w:topLinePunct w:val="0"/>
        <w:autoSpaceDE w:val="0"/>
        <w:autoSpaceDN w:val="0"/>
        <w:bidi w:val="0"/>
        <w:adjustRightInd/>
        <w:snapToGrid/>
        <w:spacing w:line="560" w:lineRule="exact"/>
        <w:ind w:firstLine="560" w:firstLineChars="200"/>
        <w:rPr>
          <w:rFonts w:hint="eastAsia" w:ascii="宋体" w:hAnsi="宋体" w:eastAsia="宋体" w:cs="宋体"/>
          <w:color w:val="auto"/>
          <w:kern w:val="0"/>
          <w:sz w:val="28"/>
          <w:szCs w:val="28"/>
          <w:highlight w:val="none"/>
          <w:lang w:val="en-US" w:eastAsia="zh-CN"/>
        </w:rPr>
      </w:pPr>
      <w:bookmarkStart w:id="315" w:name="_Toc25484"/>
      <w:bookmarkStart w:id="316" w:name="_Toc28310"/>
      <w:bookmarkStart w:id="317" w:name="_Toc12814315"/>
      <w:bookmarkStart w:id="318" w:name="_Toc4948"/>
      <w:bookmarkStart w:id="319" w:name="_Toc17885"/>
      <w:r>
        <w:rPr>
          <w:rFonts w:hint="eastAsia" w:ascii="宋体" w:hAnsi="宋体" w:eastAsia="宋体" w:cs="宋体"/>
          <w:color w:val="auto"/>
          <w:kern w:val="0"/>
          <w:sz w:val="28"/>
          <w:szCs w:val="28"/>
          <w:highlight w:val="none"/>
          <w:lang w:val="en-US" w:eastAsia="zh-CN"/>
        </w:rPr>
        <w:t>6.2.8 质保期/有效期内发生非人为原因产品出现质量问题，供货商须免费更换。如并非上述原因造成的质量问题，供货商须</w:t>
      </w:r>
      <w:bookmarkStart w:id="320" w:name="OLE_LINK4"/>
      <w:r>
        <w:rPr>
          <w:rFonts w:hint="eastAsia" w:ascii="宋体" w:hAnsi="宋体" w:eastAsia="宋体" w:cs="宋体"/>
          <w:color w:val="auto"/>
          <w:kern w:val="0"/>
          <w:sz w:val="28"/>
          <w:szCs w:val="28"/>
          <w:highlight w:val="none"/>
          <w:lang w:val="en-US" w:eastAsia="zh-CN"/>
        </w:rPr>
        <w:t>同</w:t>
      </w:r>
      <w:bookmarkEnd w:id="320"/>
      <w:r>
        <w:rPr>
          <w:rFonts w:hint="eastAsia" w:ascii="宋体" w:hAnsi="宋体" w:eastAsia="宋体" w:cs="宋体"/>
          <w:color w:val="auto"/>
          <w:kern w:val="0"/>
          <w:sz w:val="28"/>
          <w:szCs w:val="28"/>
          <w:highlight w:val="none"/>
          <w:lang w:val="en-US" w:eastAsia="zh-CN"/>
        </w:rPr>
        <w:t>采购人进行协商并提供相应的技术支持。</w:t>
      </w:r>
      <w:bookmarkEnd w:id="270"/>
      <w:bookmarkEnd w:id="315"/>
      <w:bookmarkEnd w:id="316"/>
      <w:bookmarkEnd w:id="317"/>
      <w:bookmarkEnd w:id="318"/>
      <w:bookmarkEnd w:id="319"/>
    </w:p>
    <w:p>
      <w:pPr>
        <w:pStyle w:val="9"/>
        <w:keepNext w:val="0"/>
        <w:keepLines w:val="0"/>
        <w:pageBreakBefore w:val="0"/>
        <w:numPr>
          <w:ilvl w:val="1"/>
          <w:numId w:val="0"/>
        </w:numPr>
        <w:shd w:val="clear" w:color="auto" w:fill="auto"/>
        <w:kinsoku/>
        <w:topLinePunct w:val="0"/>
        <w:bidi w:val="0"/>
        <w:adjustRightInd/>
        <w:snapToGrid/>
        <w:spacing w:before="0" w:beforeLines="0" w:after="0" w:afterLines="0" w:line="560" w:lineRule="exact"/>
        <w:ind w:firstLine="562" w:firstLineChars="200"/>
        <w:outlineLvl w:val="9"/>
        <w:rPr>
          <w:rFonts w:hint="eastAsia" w:ascii="宋体" w:hAnsi="宋体" w:eastAsia="宋体" w:cs="宋体"/>
          <w:b/>
          <w:bCs/>
          <w:i w:val="0"/>
          <w:snapToGrid/>
          <w:spacing w:val="0"/>
          <w:w w:val="100"/>
          <w:kern w:val="21"/>
          <w:sz w:val="28"/>
          <w:szCs w:val="28"/>
          <w:lang w:val="en-US" w:eastAsia="zh-CN" w:bidi="ar-SA"/>
        </w:rPr>
      </w:pPr>
      <w:r>
        <w:rPr>
          <w:rFonts w:hint="eastAsia" w:ascii="宋体" w:hAnsi="宋体" w:eastAsia="宋体" w:cs="宋体"/>
          <w:b/>
          <w:bCs/>
          <w:i w:val="0"/>
          <w:snapToGrid/>
          <w:spacing w:val="0"/>
          <w:w w:val="100"/>
          <w:kern w:val="21"/>
          <w:sz w:val="28"/>
          <w:szCs w:val="28"/>
          <w:lang w:val="en-US" w:eastAsia="zh-CN" w:bidi="ar-SA"/>
        </w:rPr>
        <w:t>7、责任保险</w:t>
      </w:r>
    </w:p>
    <w:p>
      <w:pPr>
        <w:pStyle w:val="10"/>
        <w:rPr>
          <w:rFonts w:hint="eastAsia" w:hAnsi="宋体" w:cs="宋体"/>
          <w:color w:val="auto"/>
          <w:kern w:val="0"/>
          <w:sz w:val="28"/>
          <w:szCs w:val="28"/>
          <w:highlight w:val="none"/>
          <w:lang w:val="en-US" w:eastAsia="zh-CN" w:bidi="ar-SA"/>
        </w:rPr>
      </w:pPr>
      <w:r>
        <w:rPr>
          <w:rFonts w:hint="default" w:ascii="宋体" w:hAnsi="宋体" w:eastAsia="宋体" w:cs="宋体"/>
          <w:color w:val="auto"/>
          <w:kern w:val="0"/>
          <w:sz w:val="28"/>
          <w:szCs w:val="28"/>
          <w:highlight w:val="none"/>
          <w:lang w:val="en-US" w:eastAsia="zh-CN" w:bidi="ar-SA"/>
        </w:rPr>
        <w:t>灭火器</w:t>
      </w:r>
      <w:r>
        <w:rPr>
          <w:rFonts w:hint="eastAsia" w:ascii="宋体" w:hAnsi="宋体" w:eastAsia="宋体" w:cs="宋体"/>
          <w:color w:val="auto"/>
          <w:kern w:val="0"/>
          <w:sz w:val="28"/>
          <w:szCs w:val="28"/>
          <w:highlight w:val="none"/>
          <w:lang w:val="en-US" w:eastAsia="zh-CN" w:bidi="ar-SA"/>
        </w:rPr>
        <w:t>、自救呼吸器、防火毯、消防战斗服、消防头盔、消防胶靴</w:t>
      </w:r>
      <w:r>
        <w:rPr>
          <w:rFonts w:hint="eastAsia" w:hAnsi="宋体" w:cs="宋体"/>
          <w:color w:val="auto"/>
          <w:kern w:val="0"/>
          <w:sz w:val="28"/>
          <w:szCs w:val="28"/>
          <w:highlight w:val="none"/>
          <w:lang w:val="en-US" w:eastAsia="zh-CN" w:bidi="ar-SA"/>
        </w:rPr>
        <w:t>在交货时供货商须提供已投保产品责任险证明。</w:t>
      </w:r>
    </w:p>
    <w:p>
      <w:pPr>
        <w:pStyle w:val="9"/>
        <w:keepNext w:val="0"/>
        <w:keepLines w:val="0"/>
        <w:pageBreakBefore w:val="0"/>
        <w:numPr>
          <w:ilvl w:val="1"/>
          <w:numId w:val="0"/>
        </w:numPr>
        <w:shd w:val="clear" w:color="auto" w:fill="auto"/>
        <w:kinsoku/>
        <w:topLinePunct w:val="0"/>
        <w:bidi w:val="0"/>
        <w:adjustRightInd/>
        <w:snapToGrid/>
        <w:spacing w:before="0" w:beforeLines="0" w:after="0" w:afterLines="0" w:line="560" w:lineRule="exact"/>
        <w:ind w:firstLine="562" w:firstLineChars="200"/>
        <w:outlineLvl w:val="9"/>
        <w:rPr>
          <w:rFonts w:hint="eastAsia" w:ascii="宋体" w:hAnsi="宋体" w:eastAsia="宋体" w:cs="宋体"/>
          <w:b/>
          <w:bCs/>
          <w:i w:val="0"/>
          <w:snapToGrid/>
          <w:spacing w:val="0"/>
          <w:w w:val="100"/>
          <w:kern w:val="21"/>
          <w:sz w:val="28"/>
          <w:szCs w:val="28"/>
          <w:lang w:val="en-US" w:eastAsia="zh-CN" w:bidi="ar-SA"/>
        </w:rPr>
      </w:pPr>
      <w:r>
        <w:rPr>
          <w:rFonts w:hint="eastAsia" w:ascii="宋体" w:hAnsi="宋体" w:eastAsia="宋体" w:cs="宋体"/>
          <w:b/>
          <w:bCs/>
          <w:i w:val="0"/>
          <w:snapToGrid/>
          <w:spacing w:val="0"/>
          <w:w w:val="100"/>
          <w:kern w:val="21"/>
          <w:sz w:val="28"/>
          <w:szCs w:val="28"/>
          <w:lang w:val="en-US" w:eastAsia="zh-CN" w:bidi="ar-SA"/>
        </w:rPr>
        <w:t>8、其他</w:t>
      </w:r>
    </w:p>
    <w:p>
      <w:pPr>
        <w:pStyle w:val="10"/>
        <w:numPr>
          <w:ilvl w:val="0"/>
          <w:numId w:val="0"/>
        </w:numPr>
        <w:ind w:firstLine="560" w:firstLineChars="200"/>
        <w:rPr>
          <w:rFonts w:hint="eastAsia" w:ascii="宋体" w:hAnsi="宋体" w:eastAsia="宋体" w:cs="宋体"/>
          <w:color w:val="auto"/>
          <w:kern w:val="0"/>
          <w:sz w:val="28"/>
          <w:szCs w:val="28"/>
          <w:highlight w:val="none"/>
          <w:u w:val="none"/>
          <w:lang w:val="en-US" w:eastAsia="zh-CN" w:bidi="ar-SA"/>
        </w:rPr>
      </w:pPr>
      <w:r>
        <w:rPr>
          <w:rFonts w:hint="eastAsia" w:ascii="宋体" w:hAnsi="宋体" w:eastAsia="宋体" w:cs="宋体"/>
          <w:kern w:val="0"/>
          <w:sz w:val="28"/>
          <w:szCs w:val="28"/>
          <w:highlight w:val="none"/>
          <w:u w:val="none"/>
          <w:lang w:val="en-US" w:eastAsia="zh-CN" w:bidi="ar-SA"/>
        </w:rPr>
        <w:t>灭火器、自救呼吸器需求数量为预估数量，最终供货数量不超过预估需求数量，</w:t>
      </w:r>
      <w:r>
        <w:rPr>
          <w:rFonts w:hint="eastAsia" w:hAnsi="宋体" w:cs="宋体"/>
          <w:kern w:val="0"/>
          <w:sz w:val="28"/>
          <w:szCs w:val="28"/>
          <w:highlight w:val="none"/>
          <w:u w:val="none"/>
          <w:lang w:val="en-US" w:eastAsia="zh-CN" w:bidi="ar-SA"/>
        </w:rPr>
        <w:t>根据实际供货数量办理</w:t>
      </w:r>
      <w:r>
        <w:rPr>
          <w:rFonts w:hint="eastAsia" w:ascii="宋体" w:hAnsi="宋体" w:eastAsia="宋体" w:cs="宋体"/>
          <w:kern w:val="0"/>
          <w:sz w:val="28"/>
          <w:szCs w:val="28"/>
          <w:highlight w:val="none"/>
          <w:u w:val="none"/>
          <w:lang w:val="en-US" w:eastAsia="zh-CN" w:bidi="ar-SA"/>
        </w:rPr>
        <w:t>项目履约验收。</w:t>
      </w:r>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4153"/>
        <w:tab w:val="right" w:pos="8306"/>
      </w:tabs>
      <w:jc w:val="both"/>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
                            <w:tabs>
                              <w:tab w:val="center" w:pos="4153"/>
                              <w:tab w:val="right" w:pos="8306"/>
                            </w:tabs>
                            <w:rPr>
                              <w:rFonts w:hint="eastAsia" w:eastAsia="宋体"/>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3"/>
                      <w:tabs>
                        <w:tab w:val="center" w:pos="4153"/>
                        <w:tab w:val="right" w:pos="8306"/>
                      </w:tabs>
                      <w:rPr>
                        <w:rFonts w:hint="eastAsia" w:eastAsia="宋体"/>
                        <w:lang w:eastAsia="zh-CN"/>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48185E"/>
    <w:multiLevelType w:val="singleLevel"/>
    <w:tmpl w:val="C148185E"/>
    <w:lvl w:ilvl="0" w:tentative="0">
      <w:start w:val="1"/>
      <w:numFmt w:val="decimal"/>
      <w:suff w:val="nothing"/>
      <w:lvlText w:val="%1、"/>
      <w:lvlJc w:val="left"/>
    </w:lvl>
  </w:abstractNum>
  <w:abstractNum w:abstractNumId="1">
    <w:nsid w:val="F094866F"/>
    <w:multiLevelType w:val="multilevel"/>
    <w:tmpl w:val="F094866F"/>
    <w:lvl w:ilvl="0" w:tentative="0">
      <w:start w:val="1"/>
      <w:numFmt w:val="decimal"/>
      <w:pStyle w:val="15"/>
      <w:suff w:val="nothing"/>
      <w:lvlText w:val="%1　"/>
      <w:lvlJc w:val="left"/>
      <w:pPr>
        <w:ind w:left="0" w:firstLine="0"/>
      </w:pPr>
      <w:rPr>
        <w:rFonts w:hint="default" w:ascii="黑体" w:hAnsi="Times New Roman" w:eastAsia="黑体"/>
        <w:b w:val="0"/>
        <w:i w:val="0"/>
        <w:sz w:val="28"/>
        <w:szCs w:val="28"/>
      </w:rPr>
    </w:lvl>
    <w:lvl w:ilvl="1" w:tentative="0">
      <w:start w:val="1"/>
      <w:numFmt w:val="decimal"/>
      <w:pStyle w:val="16"/>
      <w:suff w:val="nothing"/>
      <w:lvlText w:val="%1.%2　"/>
      <w:lvlJc w:val="left"/>
      <w:pPr>
        <w:ind w:left="0" w:firstLine="0"/>
      </w:pPr>
      <w:rPr>
        <w:rFonts w:hint="default" w:ascii="黑体" w:hAnsi="黑体" w:eastAsia="黑体" w:cs="黑体"/>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7"/>
      <w:suff w:val="nothing"/>
      <w:lvlText w:val="%1.%2.%3　"/>
      <w:lvlJc w:val="left"/>
      <w:pPr>
        <w:tabs>
          <w:tab w:val="left" w:pos="0"/>
        </w:tabs>
        <w:ind w:left="709" w:firstLine="0"/>
      </w:pPr>
      <w:rPr>
        <w:rFonts w:hint="default" w:ascii="黑体" w:hAnsi="黑体" w:eastAsia="黑体" w:cs="黑体"/>
        <w:b w:val="0"/>
        <w:i w:val="0"/>
        <w:sz w:val="21"/>
        <w:szCs w:val="21"/>
      </w:rPr>
    </w:lvl>
    <w:lvl w:ilvl="3" w:tentative="0">
      <w:start w:val="1"/>
      <w:numFmt w:val="decimal"/>
      <w:pStyle w:val="18"/>
      <w:suff w:val="nothing"/>
      <w:lvlText w:val="%1.%2.%3.%4　"/>
      <w:lvlJc w:val="left"/>
      <w:pPr>
        <w:ind w:left="142" w:firstLine="0"/>
      </w:pPr>
      <w:rPr>
        <w:rFonts w:hint="default" w:ascii="黑体" w:hAnsi="黑体" w:eastAsia="黑体" w:cs="黑体"/>
        <w:b w:val="0"/>
        <w:i w:val="0"/>
        <w:sz w:val="21"/>
        <w:szCs w:val="21"/>
      </w:rPr>
    </w:lvl>
    <w:lvl w:ilvl="4" w:tentative="0">
      <w:start w:val="1"/>
      <w:numFmt w:val="decimal"/>
      <w:pStyle w:val="19"/>
      <w:suff w:val="nothing"/>
      <w:lvlText w:val="%1.%2.%3.%4.%5　"/>
      <w:lvlJc w:val="left"/>
      <w:pPr>
        <w:ind w:left="0" w:firstLine="0"/>
      </w:pPr>
      <w:rPr>
        <w:rFonts w:hint="default" w:ascii="宋体" w:hAnsi="宋体" w:eastAsia="宋体" w:cs="宋体"/>
        <w:b w:val="0"/>
        <w:i w:val="0"/>
        <w:sz w:val="21"/>
        <w:szCs w:val="21"/>
      </w:rPr>
    </w:lvl>
    <w:lvl w:ilvl="5" w:tentative="0">
      <w:start w:val="1"/>
      <w:numFmt w:val="decimal"/>
      <w:pStyle w:val="2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601E6674"/>
    <w:multiLevelType w:val="multilevel"/>
    <w:tmpl w:val="601E6674"/>
    <w:lvl w:ilvl="0" w:tentative="0">
      <w:start w:val="1"/>
      <w:numFmt w:val="decimal"/>
      <w:pStyle w:val="12"/>
      <w:suff w:val="nothing"/>
      <w:lvlText w:val="注%1："/>
      <w:lvlJc w:val="left"/>
      <w:pPr>
        <w:tabs>
          <w:tab w:val="left" w:pos="0"/>
        </w:tabs>
        <w:ind w:left="811" w:hanging="448"/>
      </w:pPr>
      <w:rPr>
        <w:rFonts w:hint="default" w:ascii="黑体" w:hAnsi="黑体" w:eastAsia="黑体" w:cs="黑体"/>
        <w:b w:val="0"/>
        <w:bCs w:val="0"/>
        <w:i w:val="0"/>
        <w:iCs w:val="0"/>
        <w:outline/>
        <w:sz w:val="18"/>
        <w:szCs w:val="18"/>
        <w:vertAlign w:val="baseline"/>
        <w14:textOutline w14:w="9525" w14:cap="flat" w14:cmpd="sng" w14:algn="ctr">
          <w14:solidFill>
            <w14:srgbClr w14:val="000000"/>
          </w14:solidFill>
          <w14:prstDash w14:val="solid"/>
          <w14:round/>
        </w14:textOutline>
        <w14:textFill>
          <w14:noFill/>
        </w14:textFill>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3">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4">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9"/>
      <w:suff w:val="nothing"/>
      <w:lvlText w:val="%1.%2　"/>
      <w:lvlJc w:val="left"/>
      <w:pPr>
        <w:ind w:left="-141" w:firstLine="0"/>
      </w:pPr>
      <w:rPr>
        <w:rFonts w:hint="eastAsia" w:ascii="黑体" w:hAnsi="Times New Roman" w:eastAsia="黑体"/>
        <w:b w:val="0"/>
        <w:i w:val="0"/>
        <w:snapToGrid/>
        <w:spacing w:val="0"/>
        <w:w w:val="100"/>
        <w:kern w:val="21"/>
        <w:sz w:val="21"/>
      </w:rPr>
    </w:lvl>
    <w:lvl w:ilvl="2" w:tentative="0">
      <w:start w:val="1"/>
      <w:numFmt w:val="decimal"/>
      <w:pStyle w:val="13"/>
      <w:suff w:val="nothing"/>
      <w:lvlText w:val="%1.%2.%3　"/>
      <w:lvlJc w:val="left"/>
      <w:pPr>
        <w:ind w:left="-141" w:firstLine="0"/>
      </w:pPr>
      <w:rPr>
        <w:rFonts w:hint="eastAsia" w:ascii="黑体" w:hAnsi="Times New Roman" w:eastAsia="黑体"/>
        <w:b w:val="0"/>
        <w:i w:val="0"/>
        <w:sz w:val="21"/>
      </w:rPr>
    </w:lvl>
    <w:lvl w:ilvl="3" w:tentative="0">
      <w:start w:val="1"/>
      <w:numFmt w:val="decimal"/>
      <w:pStyle w:val="14"/>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rPr>
        <w:rFonts w:hint="eastAsia"/>
      </w:rPr>
    </w:lvl>
    <w:lvl w:ilvl="8" w:tentative="0">
      <w:start w:val="1"/>
      <w:numFmt w:val="decimal"/>
      <w:lvlText w:val="%1.%2.%3.%4.%5.%6.%7.%8.%9"/>
      <w:lvlJc w:val="left"/>
      <w:pPr>
        <w:tabs>
          <w:tab w:val="left" w:pos="4961"/>
        </w:tabs>
        <w:ind w:left="4961" w:hanging="1700"/>
      </w:pPr>
      <w:rPr>
        <w:rFonts w:hint="eastAsia"/>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ZmM1OWQ1NzI2MTViMTMxMjJiZjk5MjM4MDljZjEifQ=="/>
  </w:docVars>
  <w:rsids>
    <w:rsidRoot w:val="00000000"/>
    <w:rsid w:val="00360E24"/>
    <w:rsid w:val="00882D4F"/>
    <w:rsid w:val="01390BCC"/>
    <w:rsid w:val="02A72A5B"/>
    <w:rsid w:val="02E004F0"/>
    <w:rsid w:val="03130EE3"/>
    <w:rsid w:val="04B6671D"/>
    <w:rsid w:val="05D47115"/>
    <w:rsid w:val="065B5A88"/>
    <w:rsid w:val="06A967F3"/>
    <w:rsid w:val="071D689A"/>
    <w:rsid w:val="0A1B17B6"/>
    <w:rsid w:val="0A1B7A08"/>
    <w:rsid w:val="0B3B68B6"/>
    <w:rsid w:val="0B9F3D21"/>
    <w:rsid w:val="0D782A7C"/>
    <w:rsid w:val="0DA03D99"/>
    <w:rsid w:val="0DAD0977"/>
    <w:rsid w:val="0F274759"/>
    <w:rsid w:val="0F362BEE"/>
    <w:rsid w:val="0F882FC9"/>
    <w:rsid w:val="10240C99"/>
    <w:rsid w:val="114973DD"/>
    <w:rsid w:val="118F0306"/>
    <w:rsid w:val="11CB5870"/>
    <w:rsid w:val="11FD1184"/>
    <w:rsid w:val="1312127D"/>
    <w:rsid w:val="13125648"/>
    <w:rsid w:val="13581385"/>
    <w:rsid w:val="13A97E33"/>
    <w:rsid w:val="14123C2A"/>
    <w:rsid w:val="1434287D"/>
    <w:rsid w:val="149E726C"/>
    <w:rsid w:val="14B051F1"/>
    <w:rsid w:val="14C71E81"/>
    <w:rsid w:val="14D108BF"/>
    <w:rsid w:val="14EB2147"/>
    <w:rsid w:val="14FB3017"/>
    <w:rsid w:val="15CF16A7"/>
    <w:rsid w:val="16924BAE"/>
    <w:rsid w:val="17E53404"/>
    <w:rsid w:val="181261E0"/>
    <w:rsid w:val="181810EC"/>
    <w:rsid w:val="18257BE3"/>
    <w:rsid w:val="18420624"/>
    <w:rsid w:val="18622C73"/>
    <w:rsid w:val="190C1415"/>
    <w:rsid w:val="1A226249"/>
    <w:rsid w:val="1AE9320B"/>
    <w:rsid w:val="1B544B28"/>
    <w:rsid w:val="1B826613"/>
    <w:rsid w:val="1BBD219D"/>
    <w:rsid w:val="1C42072D"/>
    <w:rsid w:val="1CFB0859"/>
    <w:rsid w:val="1E320A25"/>
    <w:rsid w:val="20B322F1"/>
    <w:rsid w:val="23826B8E"/>
    <w:rsid w:val="248D3F1A"/>
    <w:rsid w:val="25317C88"/>
    <w:rsid w:val="255E40F2"/>
    <w:rsid w:val="259049AF"/>
    <w:rsid w:val="26EF18EA"/>
    <w:rsid w:val="27532690"/>
    <w:rsid w:val="277F50E9"/>
    <w:rsid w:val="28C36E49"/>
    <w:rsid w:val="28DD59C6"/>
    <w:rsid w:val="292024ED"/>
    <w:rsid w:val="2A6E7CB5"/>
    <w:rsid w:val="2B063160"/>
    <w:rsid w:val="2B0C0F7B"/>
    <w:rsid w:val="2B14272F"/>
    <w:rsid w:val="2B1E0CAF"/>
    <w:rsid w:val="2B2B12EB"/>
    <w:rsid w:val="2B59181D"/>
    <w:rsid w:val="2C3B319A"/>
    <w:rsid w:val="2D870D8D"/>
    <w:rsid w:val="2DB9777E"/>
    <w:rsid w:val="2DC518B5"/>
    <w:rsid w:val="2E073C7C"/>
    <w:rsid w:val="2E0E0B66"/>
    <w:rsid w:val="2FD162F0"/>
    <w:rsid w:val="30CD2F5B"/>
    <w:rsid w:val="317412B6"/>
    <w:rsid w:val="329E6B50"/>
    <w:rsid w:val="32E91BA2"/>
    <w:rsid w:val="32F63CCD"/>
    <w:rsid w:val="330C0244"/>
    <w:rsid w:val="34000F51"/>
    <w:rsid w:val="345968B4"/>
    <w:rsid w:val="35174405"/>
    <w:rsid w:val="359F496F"/>
    <w:rsid w:val="36C268FC"/>
    <w:rsid w:val="36E96615"/>
    <w:rsid w:val="38196A36"/>
    <w:rsid w:val="38912AC0"/>
    <w:rsid w:val="3BF04819"/>
    <w:rsid w:val="3CAE0CB8"/>
    <w:rsid w:val="3E005ADD"/>
    <w:rsid w:val="3F3B19D7"/>
    <w:rsid w:val="4013025E"/>
    <w:rsid w:val="40300E10"/>
    <w:rsid w:val="41BD4E8B"/>
    <w:rsid w:val="430F3E4B"/>
    <w:rsid w:val="43152337"/>
    <w:rsid w:val="433A54D5"/>
    <w:rsid w:val="434B7D0F"/>
    <w:rsid w:val="43F860E9"/>
    <w:rsid w:val="44BF2763"/>
    <w:rsid w:val="44C9538F"/>
    <w:rsid w:val="459C2AA4"/>
    <w:rsid w:val="46E83D43"/>
    <w:rsid w:val="47415D8C"/>
    <w:rsid w:val="47905F8C"/>
    <w:rsid w:val="483F6ED3"/>
    <w:rsid w:val="487B35EF"/>
    <w:rsid w:val="493529FF"/>
    <w:rsid w:val="494E3190"/>
    <w:rsid w:val="49AF4DC2"/>
    <w:rsid w:val="4A823420"/>
    <w:rsid w:val="4B62373B"/>
    <w:rsid w:val="4BA17066"/>
    <w:rsid w:val="4BDC67D7"/>
    <w:rsid w:val="4C1415E6"/>
    <w:rsid w:val="4C5818EF"/>
    <w:rsid w:val="4C5E4F57"/>
    <w:rsid w:val="4E7D7917"/>
    <w:rsid w:val="51B01DB1"/>
    <w:rsid w:val="52B4142D"/>
    <w:rsid w:val="53283BC9"/>
    <w:rsid w:val="544A1C8B"/>
    <w:rsid w:val="54AA6F8B"/>
    <w:rsid w:val="54AB5048"/>
    <w:rsid w:val="553D1BAE"/>
    <w:rsid w:val="56123AFC"/>
    <w:rsid w:val="57367199"/>
    <w:rsid w:val="57DA3DF9"/>
    <w:rsid w:val="57FE314A"/>
    <w:rsid w:val="59486D73"/>
    <w:rsid w:val="5A732DC8"/>
    <w:rsid w:val="5A821E11"/>
    <w:rsid w:val="5B2C58C8"/>
    <w:rsid w:val="5B6E1487"/>
    <w:rsid w:val="5CEB6393"/>
    <w:rsid w:val="5E0D5A4A"/>
    <w:rsid w:val="5F6E0BB6"/>
    <w:rsid w:val="60802C57"/>
    <w:rsid w:val="60F8107F"/>
    <w:rsid w:val="62427DCF"/>
    <w:rsid w:val="62AA3014"/>
    <w:rsid w:val="62C16D24"/>
    <w:rsid w:val="636C365E"/>
    <w:rsid w:val="63822E81"/>
    <w:rsid w:val="638F6B15"/>
    <w:rsid w:val="64BF3E88"/>
    <w:rsid w:val="64CB127E"/>
    <w:rsid w:val="656767D3"/>
    <w:rsid w:val="663A5C95"/>
    <w:rsid w:val="6683763C"/>
    <w:rsid w:val="66B61BF6"/>
    <w:rsid w:val="6740552D"/>
    <w:rsid w:val="674E19F8"/>
    <w:rsid w:val="67AA7A24"/>
    <w:rsid w:val="68ED6FEF"/>
    <w:rsid w:val="6A590DE0"/>
    <w:rsid w:val="6B713F07"/>
    <w:rsid w:val="6B7D0AFE"/>
    <w:rsid w:val="6B856828"/>
    <w:rsid w:val="6C474C68"/>
    <w:rsid w:val="6CDA788A"/>
    <w:rsid w:val="6CFB7514"/>
    <w:rsid w:val="6D341690"/>
    <w:rsid w:val="6D7221B9"/>
    <w:rsid w:val="6F2E3EAA"/>
    <w:rsid w:val="6F6873CF"/>
    <w:rsid w:val="712D08D1"/>
    <w:rsid w:val="7161057A"/>
    <w:rsid w:val="71AA0173"/>
    <w:rsid w:val="71DD22F7"/>
    <w:rsid w:val="72F61171"/>
    <w:rsid w:val="72FB10E4"/>
    <w:rsid w:val="72FC62FB"/>
    <w:rsid w:val="73644352"/>
    <w:rsid w:val="73E3171A"/>
    <w:rsid w:val="75324707"/>
    <w:rsid w:val="75947170"/>
    <w:rsid w:val="75DA132A"/>
    <w:rsid w:val="77974CF6"/>
    <w:rsid w:val="77A72C02"/>
    <w:rsid w:val="790A113C"/>
    <w:rsid w:val="790A599B"/>
    <w:rsid w:val="7AC70A2F"/>
    <w:rsid w:val="7B3453FA"/>
    <w:rsid w:val="7B767318"/>
    <w:rsid w:val="7BDC361F"/>
    <w:rsid w:val="7C38637B"/>
    <w:rsid w:val="7D23702C"/>
    <w:rsid w:val="7EEC431B"/>
    <w:rsid w:val="7FCE7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footer"/>
    <w:basedOn w:val="1"/>
    <w:qFormat/>
    <w:uiPriority w:val="0"/>
    <w:pPr>
      <w:snapToGrid w:val="0"/>
      <w:ind w:right="210" w:rightChars="100"/>
      <w:jc w:val="righ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列出段落11"/>
    <w:basedOn w:val="1"/>
    <w:qFormat/>
    <w:uiPriority w:val="0"/>
    <w:pPr>
      <w:ind w:firstLine="420" w:firstLineChars="200"/>
    </w:pPr>
    <w:rPr>
      <w:rFonts w:hint="eastAsia"/>
      <w:szCs w:val="20"/>
    </w:rPr>
  </w:style>
  <w:style w:type="paragraph" w:customStyle="1" w:styleId="9">
    <w:name w:val="附录章标题"/>
    <w:next w:val="10"/>
    <w:qFormat/>
    <w:uiPriority w:val="0"/>
    <w:pPr>
      <w:numPr>
        <w:ilvl w:val="1"/>
        <w:numId w:val="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1">
    <w:name w:val="附录表标题"/>
    <w:basedOn w:val="1"/>
    <w:next w:val="10"/>
    <w:qFormat/>
    <w:uiPriority w:val="0"/>
    <w:pPr>
      <w:numPr>
        <w:ilvl w:val="1"/>
        <w:numId w:val="2"/>
      </w:numPr>
      <w:tabs>
        <w:tab w:val="left" w:pos="180"/>
      </w:tabs>
      <w:spacing w:before="50" w:beforeLines="50" w:after="50" w:afterLines="50"/>
      <w:ind w:left="0" w:firstLine="0"/>
      <w:jc w:val="center"/>
    </w:pPr>
    <w:rPr>
      <w:rFonts w:ascii="黑体" w:eastAsia="黑体"/>
      <w:szCs w:val="21"/>
    </w:rPr>
  </w:style>
  <w:style w:type="paragraph" w:customStyle="1" w:styleId="12">
    <w:name w:val="注×：（正文）"/>
    <w:qFormat/>
    <w:uiPriority w:val="0"/>
    <w:pPr>
      <w:numPr>
        <w:ilvl w:val="0"/>
        <w:numId w:val="3"/>
      </w:numPr>
      <w:jc w:val="both"/>
    </w:pPr>
    <w:rPr>
      <w:rFonts w:ascii="宋体" w:hAnsi="Times New Roman" w:eastAsia="宋体" w:cs="Times New Roman"/>
      <w:sz w:val="18"/>
      <w:szCs w:val="18"/>
      <w:lang w:val="en-US" w:eastAsia="zh-CN" w:bidi="ar-SA"/>
    </w:rPr>
  </w:style>
  <w:style w:type="paragraph" w:customStyle="1" w:styleId="13">
    <w:name w:val="附录一级条标题"/>
    <w:basedOn w:val="9"/>
    <w:next w:val="10"/>
    <w:qFormat/>
    <w:uiPriority w:val="0"/>
    <w:pPr>
      <w:numPr>
        <w:ilvl w:val="2"/>
        <w:numId w:val="1"/>
      </w:numPr>
      <w:tabs>
        <w:tab w:val="left" w:pos="360"/>
      </w:tabs>
      <w:autoSpaceDN w:val="0"/>
      <w:spacing w:before="50" w:beforeLines="50" w:after="50" w:afterLines="50"/>
      <w:outlineLvl w:val="2"/>
    </w:pPr>
  </w:style>
  <w:style w:type="paragraph" w:customStyle="1" w:styleId="14">
    <w:name w:val="附录二级条标题"/>
    <w:basedOn w:val="1"/>
    <w:next w:val="10"/>
    <w:qFormat/>
    <w:uiPriority w:val="0"/>
    <w:pPr>
      <w:widowControl/>
      <w:numPr>
        <w:ilvl w:val="3"/>
        <w:numId w:val="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5">
    <w:name w:val="章标题"/>
    <w:basedOn w:val="1"/>
    <w:qFormat/>
    <w:uiPriority w:val="0"/>
    <w:pPr>
      <w:numPr>
        <w:ilvl w:val="0"/>
        <w:numId w:val="4"/>
      </w:numPr>
    </w:pPr>
  </w:style>
  <w:style w:type="paragraph" w:customStyle="1" w:styleId="16">
    <w:name w:val="一级条标题"/>
    <w:basedOn w:val="1"/>
    <w:qFormat/>
    <w:uiPriority w:val="0"/>
    <w:pPr>
      <w:numPr>
        <w:ilvl w:val="1"/>
        <w:numId w:val="4"/>
      </w:numPr>
    </w:pPr>
  </w:style>
  <w:style w:type="paragraph" w:customStyle="1" w:styleId="17">
    <w:name w:val="二级条标题"/>
    <w:basedOn w:val="1"/>
    <w:qFormat/>
    <w:uiPriority w:val="0"/>
    <w:pPr>
      <w:numPr>
        <w:ilvl w:val="2"/>
        <w:numId w:val="4"/>
      </w:numPr>
      <w:ind w:left="709"/>
    </w:pPr>
  </w:style>
  <w:style w:type="paragraph" w:customStyle="1" w:styleId="18">
    <w:name w:val="三级条标题"/>
    <w:basedOn w:val="1"/>
    <w:qFormat/>
    <w:uiPriority w:val="0"/>
    <w:pPr>
      <w:numPr>
        <w:ilvl w:val="3"/>
        <w:numId w:val="4"/>
      </w:numPr>
      <w:ind w:left="142"/>
    </w:pPr>
  </w:style>
  <w:style w:type="paragraph" w:customStyle="1" w:styleId="19">
    <w:name w:val="四级条标题"/>
    <w:basedOn w:val="1"/>
    <w:qFormat/>
    <w:uiPriority w:val="0"/>
    <w:pPr>
      <w:numPr>
        <w:ilvl w:val="4"/>
        <w:numId w:val="4"/>
      </w:numPr>
    </w:pPr>
  </w:style>
  <w:style w:type="paragraph" w:customStyle="1" w:styleId="20">
    <w:name w:val="五级条标题"/>
    <w:basedOn w:val="1"/>
    <w:qFormat/>
    <w:uiPriority w:val="0"/>
    <w:pPr>
      <w:numPr>
        <w:ilvl w:val="5"/>
        <w:numId w:val="4"/>
      </w:numPr>
    </w:pPr>
  </w:style>
  <w:style w:type="character" w:customStyle="1" w:styleId="21">
    <w:name w:val="font31"/>
    <w:basedOn w:val="7"/>
    <w:qFormat/>
    <w:uiPriority w:val="0"/>
    <w:rPr>
      <w:rFonts w:hint="eastAsia" w:ascii="宋体" w:hAnsi="宋体" w:eastAsia="宋体" w:cs="宋体"/>
      <w:b/>
      <w:bCs/>
      <w:color w:val="000000"/>
      <w:sz w:val="21"/>
      <w:szCs w:val="21"/>
      <w:u w:val="none"/>
    </w:rPr>
  </w:style>
  <w:style w:type="character" w:customStyle="1" w:styleId="22">
    <w:name w:val="font11"/>
    <w:basedOn w:val="7"/>
    <w:qFormat/>
    <w:uiPriority w:val="0"/>
    <w:rPr>
      <w:rFonts w:hint="eastAsia" w:ascii="宋体" w:hAnsi="宋体" w:eastAsia="宋体" w:cs="宋体"/>
      <w:color w:val="000000"/>
      <w:sz w:val="20"/>
      <w:szCs w:val="20"/>
      <w:u w:val="none"/>
    </w:rPr>
  </w:style>
  <w:style w:type="character" w:customStyle="1" w:styleId="23">
    <w:name w:val="font01"/>
    <w:basedOn w:val="7"/>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6811</Words>
  <Characters>8174</Characters>
  <Lines>0</Lines>
  <Paragraphs>0</Paragraphs>
  <TotalTime>1</TotalTime>
  <ScaleCrop>false</ScaleCrop>
  <LinksUpToDate>false</LinksUpToDate>
  <CharactersWithSpaces>8409</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2023-09-26T00:48:00Z</dcterms:created>
  <dc:creator>Administrator</dc:creator>
  <cp:lastModifiedBy>沈敏</cp:lastModifiedBy>
  <cp:lastPrinted>2024-04-24T09:27:00Z</cp:lastPrinted>
  <dcterms:modified xsi:type="dcterms:W3CDTF">2024-05-16T10:17:53Z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057F4CF78F38435CBA0B47E3A82077F7_12</vt:lpwstr>
  </property>
</Properties>
</file>