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宋体" w:eastAsia="黑体"/>
          <w:color w:val="auto"/>
        </w:rPr>
      </w:pPr>
      <w:r>
        <w:rPr>
          <w:rFonts w:hint="eastAsia" w:ascii="方正小标宋简体" w:hAnsi="宋体" w:eastAsia="方正小标宋简体" w:cs="Times New Roman"/>
          <w:sz w:val="44"/>
          <w:szCs w:val="44"/>
          <w:lang w:val="en-US" w:eastAsia="zh-CN"/>
        </w:rPr>
        <w:t xml:space="preserve">       </w:t>
      </w:r>
    </w:p>
    <w:p>
      <w:pPr>
        <w:spacing w:line="360" w:lineRule="auto"/>
        <w:jc w:val="left"/>
        <w:rPr>
          <w:rFonts w:ascii="黑体" w:hAnsi="宋体" w:eastAsia="黑体"/>
          <w:color w:val="auto"/>
        </w:rPr>
      </w:pPr>
    </w:p>
    <w:p>
      <w:pPr>
        <w:spacing w:line="600" w:lineRule="exact"/>
        <w:jc w:val="center"/>
        <w:rPr>
          <w:rFonts w:hint="eastAsia" w:ascii="方正小标宋简体" w:hAnsi="宋体" w:eastAsia="方正小标宋简体" w:cs="Times New Roman"/>
          <w:bCs/>
          <w:sz w:val="44"/>
          <w:szCs w:val="44"/>
          <w:lang w:val="en-US" w:eastAsia="zh-CN"/>
        </w:rPr>
      </w:pPr>
      <w:r>
        <w:rPr>
          <w:rFonts w:hint="eastAsia" w:ascii="方正小标宋简体" w:hAnsi="宋体" w:eastAsia="方正小标宋简体" w:cs="Times New Roman"/>
          <w:bCs/>
          <w:sz w:val="44"/>
          <w:szCs w:val="44"/>
          <w:lang w:val="en-US" w:eastAsia="zh-CN"/>
        </w:rPr>
        <w:t>2024-2025年度长沙火车南站西广场</w:t>
      </w:r>
    </w:p>
    <w:p>
      <w:pPr>
        <w:spacing w:line="600" w:lineRule="exact"/>
        <w:jc w:val="center"/>
        <w:rPr>
          <w:rFonts w:hint="eastAsia" w:ascii="方正小标宋简体" w:hAnsi="宋体" w:eastAsia="方正小标宋简体" w:cs="Times New Roman"/>
          <w:bCs/>
          <w:sz w:val="44"/>
          <w:szCs w:val="44"/>
          <w:lang w:val="en-US" w:eastAsia="zh-CN"/>
        </w:rPr>
      </w:pPr>
      <w:r>
        <w:rPr>
          <w:rFonts w:hint="eastAsia" w:ascii="方正小标宋简体" w:hAnsi="宋体" w:eastAsia="方正小标宋简体" w:cs="Times New Roman"/>
          <w:bCs/>
          <w:sz w:val="44"/>
          <w:szCs w:val="44"/>
          <w:lang w:val="en-US" w:eastAsia="zh-CN"/>
        </w:rPr>
        <w:t>电梯维保项目</w:t>
      </w:r>
      <w:bookmarkStart w:id="0" w:name="_Toc30751"/>
      <w:r>
        <w:rPr>
          <w:rFonts w:hint="eastAsia" w:ascii="方正小标宋简体" w:hAnsi="宋体" w:eastAsia="方正小标宋简体" w:cs="Times New Roman"/>
          <w:bCs/>
          <w:sz w:val="44"/>
          <w:szCs w:val="44"/>
          <w:lang w:val="en-US" w:eastAsia="zh-CN"/>
        </w:rPr>
        <w:t>用户需求书</w:t>
      </w:r>
      <w:bookmarkEnd w:id="0"/>
    </w:p>
    <w:p>
      <w:pPr>
        <w:overflowPunct w:val="0"/>
        <w:autoSpaceDE w:val="0"/>
        <w:autoSpaceDN w:val="0"/>
        <w:adjustRightInd w:val="0"/>
        <w:snapToGrid w:val="0"/>
        <w:spacing w:line="360" w:lineRule="auto"/>
        <w:jc w:val="center"/>
        <w:outlineLvl w:val="9"/>
        <w:rPr>
          <w:rFonts w:asciiTheme="majorEastAsia" w:hAnsiTheme="majorEastAsia" w:eastAsiaTheme="majorEastAsia"/>
          <w:color w:val="auto"/>
          <w:sz w:val="44"/>
          <w:szCs w:val="44"/>
        </w:rPr>
      </w:pPr>
    </w:p>
    <w:p>
      <w:pPr>
        <w:overflowPunct w:val="0"/>
        <w:autoSpaceDE w:val="0"/>
        <w:autoSpaceDN w:val="0"/>
        <w:adjustRightInd w:val="0"/>
        <w:snapToGrid w:val="0"/>
        <w:spacing w:line="360" w:lineRule="auto"/>
        <w:jc w:val="center"/>
        <w:outlineLvl w:val="9"/>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（设备维保</w:t>
      </w:r>
      <w:r>
        <w:rPr>
          <w:rFonts w:hint="eastAsia" w:ascii="黑体" w:hAnsi="黑体" w:eastAsia="黑体" w:cs="黑体"/>
          <w:color w:val="auto"/>
          <w:sz w:val="32"/>
          <w:szCs w:val="32"/>
        </w:rPr>
        <w:t>服务</w:t>
      </w:r>
      <w:r>
        <w:rPr>
          <w:rFonts w:hint="eastAsia" w:ascii="黑体" w:hAnsi="黑体" w:eastAsia="黑体" w:cs="黑体"/>
          <w:color w:val="auto"/>
          <w:sz w:val="32"/>
          <w:szCs w:val="32"/>
          <w:lang w:val="zh-CN"/>
        </w:rPr>
        <w:t>类）</w:t>
      </w:r>
    </w:p>
    <w:p>
      <w:pPr>
        <w:spacing w:line="360" w:lineRule="auto"/>
        <w:jc w:val="center"/>
        <w:outlineLvl w:val="9"/>
        <w:rPr>
          <w:rFonts w:asciiTheme="majorEastAsia" w:hAnsiTheme="majorEastAsia" w:eastAsiaTheme="majorEastAsia"/>
          <w:b/>
          <w:bCs/>
          <w:color w:val="auto"/>
          <w:sz w:val="52"/>
        </w:rPr>
      </w:pPr>
    </w:p>
    <w:p>
      <w:pPr>
        <w:spacing w:line="360" w:lineRule="auto"/>
        <w:jc w:val="center"/>
        <w:outlineLvl w:val="9"/>
        <w:rPr>
          <w:rFonts w:asciiTheme="majorEastAsia" w:hAnsiTheme="majorEastAsia" w:eastAsiaTheme="majorEastAsia"/>
          <w:b/>
          <w:bCs/>
          <w:color w:val="auto"/>
          <w:sz w:val="52"/>
        </w:rPr>
      </w:pPr>
    </w:p>
    <w:p>
      <w:pPr>
        <w:spacing w:line="360" w:lineRule="auto"/>
        <w:jc w:val="center"/>
        <w:outlineLvl w:val="9"/>
        <w:rPr>
          <w:rFonts w:asciiTheme="majorEastAsia" w:hAnsiTheme="majorEastAsia" w:eastAsiaTheme="majorEastAsia"/>
          <w:b/>
          <w:bCs/>
          <w:color w:val="auto"/>
          <w:sz w:val="52"/>
        </w:rPr>
      </w:pPr>
    </w:p>
    <w:p>
      <w:pPr>
        <w:spacing w:line="360" w:lineRule="auto"/>
        <w:jc w:val="center"/>
        <w:outlineLvl w:val="9"/>
        <w:rPr>
          <w:rFonts w:asciiTheme="majorEastAsia" w:hAnsiTheme="majorEastAsia" w:eastAsiaTheme="majorEastAsia"/>
          <w:b/>
          <w:bCs/>
          <w:color w:val="auto"/>
          <w:sz w:val="52"/>
        </w:rPr>
      </w:pPr>
    </w:p>
    <w:p>
      <w:pPr>
        <w:jc w:val="center"/>
        <w:outlineLvl w:val="9"/>
        <w:rPr>
          <w:rFonts w:asciiTheme="majorEastAsia" w:hAnsiTheme="majorEastAsia" w:eastAsiaTheme="majorEastAsia"/>
          <w:b/>
          <w:bCs/>
          <w:color w:val="auto"/>
          <w:sz w:val="32"/>
        </w:rPr>
      </w:pPr>
    </w:p>
    <w:p>
      <w:pPr>
        <w:spacing w:line="360" w:lineRule="auto"/>
        <w:ind w:firstLine="1751" w:firstLineChars="545"/>
        <w:outlineLvl w:val="9"/>
        <w:rPr>
          <w:rFonts w:asciiTheme="majorEastAsia" w:hAnsiTheme="majorEastAsia" w:eastAsiaTheme="majorEastAsia"/>
          <w:b/>
          <w:bCs/>
          <w:color w:val="auto"/>
          <w:sz w:val="32"/>
          <w:szCs w:val="32"/>
        </w:rPr>
      </w:pPr>
    </w:p>
    <w:p>
      <w:pPr>
        <w:spacing w:line="360" w:lineRule="auto"/>
        <w:outlineLvl w:val="9"/>
        <w:rPr>
          <w:rFonts w:asciiTheme="majorEastAsia" w:hAnsiTheme="majorEastAsia" w:eastAsiaTheme="majorEastAsia"/>
          <w:b/>
          <w:bCs/>
          <w:color w:val="auto"/>
          <w:sz w:val="32"/>
        </w:rPr>
      </w:pPr>
    </w:p>
    <w:p>
      <w:pPr>
        <w:jc w:val="center"/>
        <w:outlineLvl w:val="9"/>
        <w:rPr>
          <w:rFonts w:hint="eastAsia" w:asciiTheme="majorEastAsia" w:hAnsiTheme="majorEastAsia" w:eastAsiaTheme="majorEastAsia"/>
          <w:b/>
          <w:bCs/>
          <w:color w:val="auto"/>
          <w:sz w:val="32"/>
        </w:rPr>
      </w:pPr>
      <w:r>
        <w:rPr>
          <w:rFonts w:hint="eastAsia" w:asciiTheme="majorEastAsia" w:hAnsiTheme="majorEastAsia" w:eastAsiaTheme="majorEastAsia"/>
          <w:b/>
          <w:bCs/>
          <w:color w:val="auto"/>
          <w:sz w:val="32"/>
        </w:rPr>
        <w:t>2</w:t>
      </w:r>
      <w:r>
        <w:rPr>
          <w:rFonts w:asciiTheme="majorEastAsia" w:hAnsiTheme="majorEastAsia" w:eastAsiaTheme="majorEastAsia"/>
          <w:b/>
          <w:bCs/>
          <w:color w:val="auto"/>
          <w:sz w:val="32"/>
        </w:rPr>
        <w:t>02</w:t>
      </w:r>
      <w:r>
        <w:rPr>
          <w:rFonts w:hint="eastAsia" w:asciiTheme="majorEastAsia" w:hAnsiTheme="majorEastAsia" w:eastAsiaTheme="majorEastAsia"/>
          <w:b/>
          <w:bCs/>
          <w:color w:val="auto"/>
          <w:sz w:val="32"/>
          <w:lang w:val="en-US" w:eastAsia="zh-CN"/>
        </w:rPr>
        <w:t>4</w:t>
      </w:r>
      <w:r>
        <w:rPr>
          <w:rFonts w:hint="eastAsia" w:asciiTheme="majorEastAsia" w:hAnsiTheme="majorEastAsia" w:eastAsiaTheme="majorEastAsia"/>
          <w:b/>
          <w:bCs/>
          <w:color w:val="auto"/>
          <w:sz w:val="32"/>
        </w:rPr>
        <w:t>年</w:t>
      </w:r>
      <w:r>
        <w:rPr>
          <w:rFonts w:hint="eastAsia" w:asciiTheme="majorEastAsia" w:hAnsiTheme="majorEastAsia" w:eastAsiaTheme="majorEastAsia"/>
          <w:b/>
          <w:bCs/>
          <w:color w:val="auto"/>
          <w:sz w:val="32"/>
          <w:lang w:val="en-US" w:eastAsia="zh-CN"/>
        </w:rPr>
        <w:t>3</w:t>
      </w:r>
      <w:r>
        <w:rPr>
          <w:rFonts w:hint="eastAsia" w:asciiTheme="majorEastAsia" w:hAnsiTheme="majorEastAsia" w:eastAsiaTheme="majorEastAsia"/>
          <w:b/>
          <w:bCs/>
          <w:color w:val="auto"/>
          <w:sz w:val="32"/>
        </w:rPr>
        <w:t>月</w:t>
      </w:r>
    </w:p>
    <w:p>
      <w:pPr>
        <w:bidi w:val="0"/>
        <w:outlineLvl w:val="9"/>
        <w:rPr>
          <w:rFonts w:hint="eastAsia"/>
        </w:rPr>
      </w:pPr>
    </w:p>
    <w:p>
      <w:pPr>
        <w:bidi w:val="0"/>
        <w:outlineLvl w:val="9"/>
        <w:rPr>
          <w:rFonts w:hint="eastAsia"/>
        </w:rPr>
      </w:pPr>
    </w:p>
    <w:p>
      <w:pPr>
        <w:bidi w:val="0"/>
        <w:outlineLvl w:val="9"/>
        <w:rPr>
          <w:rFonts w:hint="eastAsi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sectPr>
          <w:headerReference r:id="rId3" w:type="default"/>
          <w:footerReference r:id="rId4" w:type="default"/>
          <w:pgSz w:w="11906" w:h="16838"/>
          <w:pgMar w:top="1440" w:right="1531" w:bottom="1440" w:left="170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sdt>
      <w:sdtPr>
        <w:rPr>
          <w:rFonts w:ascii="宋体" w:hAnsi="宋体" w:eastAsia="宋体" w:cstheme="minorBidi"/>
          <w:kern w:val="2"/>
          <w:sz w:val="21"/>
          <w:szCs w:val="22"/>
          <w:lang w:val="en-US" w:eastAsia="zh-CN" w:bidi="ar-SA"/>
        </w:rPr>
        <w:id w:val="147473270"/>
        <w15:color w:val="DBDBDB"/>
        <w:docPartObj>
          <w:docPartGallery w:val="Table of Contents"/>
          <w:docPartUnique/>
        </w:docPartObj>
      </w:sdtPr>
      <w:sdtEndPr>
        <w:rPr>
          <w:rFonts w:hint="eastAsia" w:asciiTheme="minorHAnsi" w:hAnsiTheme="minorHAnsi" w:eastAsiaTheme="minorEastAsia" w:cstheme="minorBidi"/>
          <w:b/>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b/>
            </w:rPr>
          </w:pPr>
          <w:r>
            <w:rPr>
              <w:rFonts w:hint="eastAsia" w:ascii="方正小标宋简体" w:hAnsi="方正小标宋简体" w:eastAsia="方正小标宋简体" w:cs="方正小标宋简体"/>
              <w:sz w:val="28"/>
              <w:szCs w:val="28"/>
            </w:rPr>
            <w:t>目</w:t>
          </w:r>
          <w:r>
            <w:rPr>
              <w:rFonts w:hint="eastAsia" w:ascii="方正小标宋简体" w:hAnsi="方正小标宋简体" w:eastAsia="方正小标宋简体" w:cs="方正小标宋简体"/>
              <w:sz w:val="28"/>
              <w:szCs w:val="28"/>
              <w:lang w:val="en-US" w:eastAsia="zh-CN"/>
            </w:rPr>
            <w:t xml:space="preserve">    </w:t>
          </w:r>
          <w:r>
            <w:rPr>
              <w:rFonts w:hint="eastAsia" w:ascii="方正小标宋简体" w:hAnsi="方正小标宋简体" w:eastAsia="方正小标宋简体" w:cs="方正小标宋简体"/>
              <w:sz w:val="28"/>
              <w:szCs w:val="28"/>
            </w:rPr>
            <w:t>录</w:t>
          </w:r>
          <w:r>
            <w:rPr>
              <w:rFonts w:hint="eastAsia"/>
            </w:rPr>
            <w:fldChar w:fldCharType="begin"/>
          </w:r>
          <w:r>
            <w:rPr>
              <w:rFonts w:hint="eastAsia"/>
            </w:rPr>
            <w:instrText xml:space="preserve">TOC \o "1-2" \h \u </w:instrText>
          </w:r>
          <w:r>
            <w:rPr>
              <w:rFonts w:hint="eastAsia"/>
            </w:rPr>
            <w:fldChar w:fldCharType="separate"/>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_Toc6982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eastAsia="zh-CN"/>
            </w:rPr>
            <w:t xml:space="preserve">一、 </w:t>
          </w:r>
          <w:r>
            <w:rPr>
              <w:rFonts w:hint="eastAsia" w:asciiTheme="minorEastAsia" w:hAnsiTheme="minorEastAsia" w:eastAsiaTheme="minorEastAsia" w:cstheme="minorEastAsia"/>
              <w:b w:val="0"/>
              <w:bCs/>
              <w:sz w:val="21"/>
              <w:szCs w:val="21"/>
              <w:highlight w:val="none"/>
            </w:rPr>
            <w:t>项目概况</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_Toc6982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_Toc1630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 xml:space="preserve">二、 </w:t>
          </w:r>
          <w:r>
            <w:rPr>
              <w:rFonts w:hint="eastAsia" w:asciiTheme="minorEastAsia" w:hAnsiTheme="minorEastAsia" w:eastAsiaTheme="minorEastAsia" w:cstheme="minorEastAsia"/>
              <w:b w:val="0"/>
              <w:bCs/>
              <w:sz w:val="21"/>
              <w:szCs w:val="21"/>
              <w:highlight w:val="none"/>
            </w:rPr>
            <w:t>服务承包范围期限及承包方式</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_Toc1630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_Toc19821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（一） 服务范围</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_Toc19821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_Toc24874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（二） 承包方式</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_Toc24874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_Toc5828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 xml:space="preserve">三、 </w:t>
          </w:r>
          <w:r>
            <w:rPr>
              <w:rFonts w:hint="eastAsia" w:asciiTheme="minorEastAsia" w:hAnsiTheme="minorEastAsia" w:eastAsiaTheme="minorEastAsia" w:cstheme="minorEastAsia"/>
              <w:b w:val="0"/>
              <w:bCs/>
              <w:sz w:val="21"/>
              <w:szCs w:val="21"/>
              <w:highlight w:val="none"/>
              <w:lang w:eastAsia="zh-CN"/>
            </w:rPr>
            <w:t>服务质量和标准</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_Toc5828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_Toc8729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（一） 定义</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_Toc8729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_Toc21392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（二） 质保要求</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_Toc21392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_Toc20171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（三） 采用标准及规范</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_Toc20171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_Toc7210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 xml:space="preserve">四、 </w:t>
          </w:r>
          <w:r>
            <w:rPr>
              <w:rFonts w:hint="eastAsia" w:asciiTheme="minorEastAsia" w:hAnsiTheme="minorEastAsia" w:eastAsiaTheme="minorEastAsia" w:cstheme="minorEastAsia"/>
              <w:b w:val="0"/>
              <w:bCs/>
              <w:sz w:val="21"/>
              <w:szCs w:val="21"/>
              <w:highlight w:val="none"/>
              <w:lang w:eastAsia="zh-CN"/>
            </w:rPr>
            <w:t>项目实施要求</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_Toc7210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5</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_Toc2996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（一） 现场管理要求</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_Toc2996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5</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_Toc28301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（二） 安全管理要求</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_Toc28301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10</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_Toc18957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eastAsia="zh-CN"/>
            </w:rPr>
            <w:t xml:space="preserve">五、 </w:t>
          </w:r>
          <w:r>
            <w:rPr>
              <w:rFonts w:hint="eastAsia" w:asciiTheme="minorEastAsia" w:hAnsiTheme="minorEastAsia" w:eastAsiaTheme="minorEastAsia" w:cstheme="minorEastAsia"/>
              <w:b w:val="0"/>
              <w:bCs/>
              <w:sz w:val="21"/>
              <w:szCs w:val="21"/>
              <w:highlight w:val="none"/>
              <w:lang w:eastAsia="zh-CN"/>
            </w:rPr>
            <w:t>项目验收</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_Toc18957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13</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_Toc9790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（一） 付款及验收文件</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_Toc9790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13</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_Toc12959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（二） 验收程序</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_Toc12959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_Toc17478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（三） 质量管理与控制依据</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_Toc17478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_Toc19344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（四） 质量管理与控制方法与手段</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_Toc19344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14</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_Toc2659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 xml:space="preserve">六、 </w:t>
          </w:r>
          <w:r>
            <w:rPr>
              <w:rFonts w:hint="eastAsia" w:asciiTheme="minorEastAsia" w:hAnsiTheme="minorEastAsia" w:eastAsiaTheme="minorEastAsia" w:cstheme="minorEastAsia"/>
              <w:b w:val="0"/>
              <w:bCs/>
              <w:sz w:val="21"/>
              <w:szCs w:val="21"/>
              <w:highlight w:val="none"/>
            </w:rPr>
            <w:t>考核评价</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_Toc2659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15</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_Toc20769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（一） 检查考核方式</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_Toc20769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15</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_Toc25571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lang w:val="en-US" w:eastAsia="zh-CN"/>
            </w:rPr>
            <w:t>（二） 考核结果及运用</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_Toc25571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15</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_Toc11778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 xml:space="preserve">七、 </w:t>
          </w:r>
          <w:r>
            <w:rPr>
              <w:rFonts w:hint="eastAsia" w:asciiTheme="minorEastAsia" w:hAnsiTheme="minorEastAsia" w:eastAsiaTheme="minorEastAsia" w:cstheme="minorEastAsia"/>
              <w:b w:val="0"/>
              <w:bCs/>
              <w:sz w:val="21"/>
              <w:szCs w:val="21"/>
              <w:highlight w:val="none"/>
            </w:rPr>
            <w:t>附件</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_Toc11778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16</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_Toc23912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kern w:val="2"/>
              <w:sz w:val="21"/>
              <w:szCs w:val="21"/>
            </w:rPr>
            <w:t>附件一：设备台账清单</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_Toc23912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17</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_Toc32168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kern w:val="2"/>
              <w:sz w:val="21"/>
              <w:szCs w:val="21"/>
              <w:highlight w:val="none"/>
            </w:rPr>
            <w:t>附件二：</w:t>
          </w:r>
          <w:r>
            <w:rPr>
              <w:rFonts w:hint="eastAsia" w:asciiTheme="minorEastAsia" w:hAnsiTheme="minorEastAsia" w:eastAsiaTheme="minorEastAsia" w:cstheme="minorEastAsia"/>
              <w:b w:val="0"/>
              <w:bCs/>
              <w:kern w:val="2"/>
              <w:sz w:val="21"/>
              <w:szCs w:val="21"/>
              <w:highlight w:val="none"/>
              <w:lang w:eastAsia="zh-CN"/>
            </w:rPr>
            <w:t>易损</w:t>
          </w:r>
          <w:r>
            <w:rPr>
              <w:rFonts w:hint="eastAsia" w:asciiTheme="minorEastAsia" w:hAnsiTheme="minorEastAsia" w:eastAsiaTheme="minorEastAsia" w:cstheme="minorEastAsia"/>
              <w:b w:val="0"/>
              <w:bCs/>
              <w:kern w:val="2"/>
              <w:sz w:val="21"/>
              <w:szCs w:val="21"/>
              <w:highlight w:val="none"/>
            </w:rPr>
            <w:t>件及耗材清单</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_Toc32168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19</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_Toc18242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kern w:val="2"/>
              <w:sz w:val="21"/>
              <w:szCs w:val="21"/>
            </w:rPr>
            <w:t>附件三：零配件清单</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_Toc18242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20</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_Toc2644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kern w:val="2"/>
              <w:sz w:val="21"/>
              <w:szCs w:val="21"/>
            </w:rPr>
            <w:t>附件四：设备检修周期与工作内容</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_Toc2644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22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_Toc17583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kern w:val="2"/>
              <w:sz w:val="21"/>
              <w:szCs w:val="21"/>
            </w:rPr>
            <w:t>附件五：故障处理流程</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_Toc17583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30</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_Toc8534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kern w:val="2"/>
              <w:sz w:val="21"/>
              <w:szCs w:val="21"/>
            </w:rPr>
            <w:t>附件六：电梯故障处理记录表</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_Toc8534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31</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pStyle w:val="108"/>
            <w:keepNext w:val="0"/>
            <w:keepLines w:val="0"/>
            <w:pageBreakBefore w:val="0"/>
            <w:widowControl/>
            <w:tabs>
              <w:tab w:val="right" w:leader="dot" w:pos="8674"/>
            </w:tabs>
            <w:kinsoku/>
            <w:wordWrap/>
            <w:overflowPunct/>
            <w:topLinePunct w:val="0"/>
            <w:autoSpaceDE/>
            <w:autoSpaceDN/>
            <w:bidi w:val="0"/>
            <w:adjustRightInd/>
            <w:snapToGrid/>
            <w:spacing w:line="400" w:lineRule="exact"/>
            <w:textAlignment w:val="auto"/>
            <w:rPr>
              <w:b/>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\l _Toc25835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kern w:val="2"/>
              <w:sz w:val="21"/>
              <w:szCs w:val="21"/>
            </w:rPr>
            <w:t>附件</w:t>
          </w:r>
          <w:r>
            <w:rPr>
              <w:rFonts w:hint="eastAsia" w:asciiTheme="minorEastAsia" w:hAnsiTheme="minorEastAsia" w:eastAsiaTheme="minorEastAsia" w:cstheme="minorEastAsia"/>
              <w:b w:val="0"/>
              <w:bCs/>
              <w:kern w:val="2"/>
              <w:sz w:val="21"/>
              <w:szCs w:val="21"/>
              <w:lang w:eastAsia="zh-CN"/>
            </w:rPr>
            <w:t>七</w:t>
          </w:r>
          <w:r>
            <w:rPr>
              <w:rFonts w:hint="eastAsia" w:asciiTheme="minorEastAsia" w:hAnsiTheme="minorEastAsia" w:eastAsiaTheme="minorEastAsia" w:cstheme="minorEastAsia"/>
              <w:b w:val="0"/>
              <w:bCs/>
              <w:kern w:val="2"/>
              <w:sz w:val="21"/>
              <w:szCs w:val="21"/>
            </w:rPr>
            <w:t>：电梯维修保养月度考核评分表</w:t>
          </w:r>
          <w:r>
            <w:rPr>
              <w:rFonts w:hint="eastAsia" w:asciiTheme="minorEastAsia" w:hAnsiTheme="minorEastAsia" w:eastAsiaTheme="minorEastAsia" w:cstheme="minorEastAsia"/>
              <w:b w:val="0"/>
              <w:bCs/>
              <w:sz w:val="21"/>
              <w:szCs w:val="21"/>
            </w:rPr>
            <w:tab/>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PAGEREF _Toc25835 \h </w:instrText>
          </w:r>
          <w:r>
            <w:rPr>
              <w:rFonts w:hint="eastAsia" w:asciiTheme="minorEastAsia" w:hAnsiTheme="minorEastAsia" w:eastAsiaTheme="minorEastAsia" w:cstheme="minorEastAsia"/>
              <w:b w:val="0"/>
              <w:bCs/>
              <w:sz w:val="21"/>
              <w:szCs w:val="21"/>
            </w:rPr>
            <w:fldChar w:fldCharType="separate"/>
          </w:r>
          <w:r>
            <w:rPr>
              <w:rFonts w:hint="eastAsia" w:asciiTheme="minorEastAsia" w:hAnsiTheme="minorEastAsia" w:eastAsiaTheme="minorEastAsia" w:cstheme="minorEastAsia"/>
              <w:b w:val="0"/>
              <w:bCs/>
              <w:sz w:val="21"/>
              <w:szCs w:val="21"/>
            </w:rPr>
            <w:t>32</w:t>
          </w:r>
          <w:r>
            <w:rPr>
              <w:rFonts w:hint="eastAsia"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fldChar w:fldCharType="end"/>
          </w:r>
        </w:p>
        <w:p>
          <w:pPr>
            <w:bidi w:val="0"/>
            <w:outlineLvl w:val="9"/>
            <w:rPr>
              <w:rFonts w:hint="eastAsia"/>
            </w:rPr>
          </w:pPr>
          <w:r>
            <w:rPr>
              <w:rFonts w:hint="eastAsia"/>
              <w:b/>
            </w:rPr>
            <w:fldChar w:fldCharType="end"/>
          </w:r>
        </w:p>
      </w:sdtContent>
    </w:sdt>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0" w:firstLineChars="0"/>
        <w:textAlignment w:val="auto"/>
        <w:outlineLvl w:val="0"/>
        <w:rPr>
          <w:rFonts w:hint="eastAsia" w:ascii="黑体" w:hAnsi="黑体" w:eastAsia="黑体" w:cs="黑体"/>
          <w:b w:val="0"/>
          <w:bCs w:val="0"/>
          <w:color w:val="auto"/>
          <w:sz w:val="32"/>
          <w:szCs w:val="32"/>
          <w:highlight w:val="none"/>
          <w:lang w:eastAsia="zh-CN"/>
        </w:rPr>
        <w:sectPr>
          <w:footerReference r:id="rId5" w:type="default"/>
          <w:pgSz w:w="11906" w:h="16838"/>
          <w:pgMar w:top="1440" w:right="1531" w:bottom="1440" w:left="170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3498"/>
      <w:bookmarkStart w:id="2" w:name="_Toc93068880"/>
      <w:bookmarkStart w:id="3" w:name="_Toc17042"/>
      <w:bookmarkStart w:id="4" w:name="_Toc15029"/>
      <w:bookmarkStart w:id="5" w:name="_Toc931"/>
      <w:bookmarkStart w:id="6" w:name="_Toc13735"/>
      <w:bookmarkStart w:id="7" w:name="_Toc532484913"/>
      <w:bookmarkStart w:id="8" w:name="_Toc6982"/>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0" w:firstLineChars="0"/>
        <w:textAlignment w:val="auto"/>
        <w:outlineLvl w:val="0"/>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项目概况</w:t>
      </w:r>
      <w:bookmarkEnd w:id="1"/>
      <w:bookmarkEnd w:id="2"/>
      <w:bookmarkEnd w:id="3"/>
      <w:bookmarkEnd w:id="4"/>
      <w:bookmarkEnd w:id="5"/>
      <w:bookmarkEnd w:id="6"/>
      <w:bookmarkEnd w:id="7"/>
      <w:bookmarkEnd w:id="8"/>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长沙火车南站西广场位于雨花区花侯路以东，火车南站屋檐滴水线和黎托高速汽车站站房以西，湘凤路以南、湘秀路以北。本项目为西广场区域包括地面广场、下沉广场、杜花路地下通道及负一、负二社会车辆停车区共计</w:t>
      </w:r>
      <w:r>
        <w:rPr>
          <w:rFonts w:hint="eastAsia" w:ascii="仿宋_GB2312" w:hAnsi="仿宋_GB2312" w:eastAsia="仿宋_GB2312" w:cs="仿宋_GB2312"/>
          <w:color w:val="auto"/>
          <w:sz w:val="32"/>
          <w:szCs w:val="32"/>
          <w:highlight w:val="none"/>
        </w:rPr>
        <w:t>22台自动扶梯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四台室外梯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、5台楼梯升降平台、3台垂直升降平台及其附属设施</w:t>
      </w:r>
      <w:r>
        <w:rPr>
          <w:rFonts w:hint="eastAsia" w:ascii="仿宋_GB2312" w:hAnsi="仿宋_GB2312" w:eastAsia="仿宋_GB2312" w:cs="仿宋_GB2312"/>
          <w:color w:val="auto"/>
          <w:sz w:val="32"/>
          <w:szCs w:val="32"/>
          <w:highlight w:val="none"/>
          <w:lang w:val="en-US" w:eastAsia="zh-CN"/>
        </w:rPr>
        <w:t>的维保工作</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0" w:firstLineChars="0"/>
        <w:textAlignment w:val="auto"/>
        <w:outlineLvl w:val="0"/>
        <w:rPr>
          <w:rFonts w:hint="eastAsia" w:ascii="黑体" w:hAnsi="黑体" w:eastAsia="黑体" w:cs="黑体"/>
          <w:b w:val="0"/>
          <w:bCs w:val="0"/>
          <w:color w:val="auto"/>
          <w:sz w:val="32"/>
          <w:szCs w:val="32"/>
          <w:highlight w:val="none"/>
        </w:rPr>
      </w:pPr>
      <w:bookmarkStart w:id="9" w:name="_Toc93068881"/>
      <w:bookmarkStart w:id="10" w:name="_Toc532484914"/>
      <w:bookmarkStart w:id="11" w:name="_Toc1630"/>
      <w:bookmarkStart w:id="12" w:name="_Toc28129"/>
      <w:r>
        <w:rPr>
          <w:rFonts w:hint="eastAsia" w:ascii="黑体" w:hAnsi="黑体" w:eastAsia="黑体" w:cs="黑体"/>
          <w:b w:val="0"/>
          <w:bCs w:val="0"/>
          <w:color w:val="auto"/>
          <w:sz w:val="32"/>
          <w:szCs w:val="32"/>
          <w:highlight w:val="none"/>
        </w:rPr>
        <w:t>服务承包范围期限及承包方式</w:t>
      </w:r>
      <w:bookmarkEnd w:id="9"/>
      <w:bookmarkEnd w:id="10"/>
      <w:bookmarkEnd w:id="11"/>
      <w:bookmarkEnd w:id="12"/>
    </w:p>
    <w:p>
      <w:pPr>
        <w:pStyle w:val="27"/>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rPr>
      </w:pPr>
      <w:bookmarkStart w:id="13" w:name="_Toc19821"/>
      <w:bookmarkStart w:id="14" w:name="_Toc27491"/>
      <w:bookmarkStart w:id="15" w:name="_Toc93068882"/>
      <w:r>
        <w:rPr>
          <w:rFonts w:hint="eastAsia" w:ascii="楷体_GB2312" w:hAnsi="楷体_GB2312" w:eastAsia="楷体_GB2312" w:cs="楷体_GB2312"/>
          <w:b w:val="0"/>
          <w:color w:val="auto"/>
          <w:sz w:val="32"/>
          <w:szCs w:val="32"/>
        </w:rPr>
        <w:t>服务范围</w:t>
      </w:r>
      <w:bookmarkEnd w:id="13"/>
      <w:bookmarkEnd w:id="14"/>
      <w:bookmarkEnd w:id="15"/>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范围包含对西广场22台自动扶梯、5台楼梯升降平台、3台垂直升降平台（详见附件一：《设备台账清单》）</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其附属设施的维保工作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自动扶梯包括</w:t>
      </w:r>
      <w:r>
        <w:rPr>
          <w:rFonts w:hint="eastAsia" w:ascii="仿宋_GB2312" w:hAnsi="仿宋_GB2312" w:eastAsia="仿宋_GB2312" w:cs="仿宋_GB2312"/>
          <w:color w:val="auto"/>
          <w:sz w:val="32"/>
          <w:szCs w:val="32"/>
          <w:lang w:eastAsia="zh-CN"/>
        </w:rPr>
        <w:t>但不限于</w:t>
      </w:r>
      <w:r>
        <w:rPr>
          <w:rFonts w:hint="eastAsia" w:ascii="仿宋_GB2312" w:hAnsi="仿宋_GB2312" w:eastAsia="仿宋_GB2312" w:cs="仿宋_GB2312"/>
          <w:color w:val="auto"/>
          <w:sz w:val="32"/>
          <w:szCs w:val="32"/>
        </w:rPr>
        <w:t>饰板、饰条、外包板、防攀爬装置、防滑球、三角警示牌、安全标示、标牌、毛刷、语音播报装置</w:t>
      </w:r>
      <w:r>
        <w:rPr>
          <w:rFonts w:hint="eastAsia" w:ascii="仿宋_GB2312" w:hAnsi="仿宋_GB2312" w:eastAsia="仿宋_GB2312" w:cs="仿宋_GB2312"/>
          <w:color w:val="auto"/>
          <w:sz w:val="32"/>
          <w:szCs w:val="32"/>
          <w:lang w:eastAsia="zh-CN"/>
        </w:rPr>
        <w:t>等的维保、</w:t>
      </w:r>
      <w:r>
        <w:rPr>
          <w:rFonts w:hint="eastAsia" w:ascii="仿宋_GB2312" w:hAnsi="仿宋_GB2312" w:eastAsia="仿宋_GB2312" w:cs="仿宋_GB2312"/>
          <w:color w:val="auto"/>
          <w:sz w:val="32"/>
          <w:szCs w:val="32"/>
        </w:rPr>
        <w:t>底坑</w:t>
      </w:r>
      <w:r>
        <w:rPr>
          <w:rFonts w:hint="eastAsia" w:ascii="仿宋_GB2312" w:hAnsi="仿宋_GB2312" w:eastAsia="仿宋_GB2312" w:cs="仿宋_GB2312"/>
          <w:color w:val="auto"/>
          <w:sz w:val="32"/>
          <w:szCs w:val="32"/>
          <w:lang w:eastAsia="zh-CN"/>
        </w:rPr>
        <w:t>杂物</w:t>
      </w:r>
      <w:r>
        <w:rPr>
          <w:rFonts w:hint="eastAsia" w:ascii="仿宋_GB2312" w:hAnsi="仿宋_GB2312" w:eastAsia="仿宋_GB2312" w:cs="仿宋_GB2312"/>
          <w:color w:val="auto"/>
          <w:sz w:val="32"/>
          <w:szCs w:val="32"/>
        </w:rPr>
        <w:t>清理</w:t>
      </w:r>
      <w:r>
        <w:rPr>
          <w:rFonts w:hint="eastAsia" w:ascii="仿宋_GB2312" w:hAnsi="仿宋_GB2312" w:eastAsia="仿宋_GB2312" w:cs="仿宋_GB2312"/>
          <w:color w:val="auto"/>
          <w:sz w:val="32"/>
          <w:szCs w:val="32"/>
          <w:lang w:eastAsia="zh-CN"/>
        </w:rPr>
        <w:t>和排水管道疏通等作业；</w:t>
      </w:r>
      <w:r>
        <w:rPr>
          <w:rFonts w:hint="eastAsia" w:ascii="仿宋_GB2312" w:hAnsi="仿宋_GB2312" w:eastAsia="仿宋_GB2312" w:cs="仿宋_GB2312"/>
          <w:color w:val="auto"/>
          <w:sz w:val="32"/>
          <w:szCs w:val="32"/>
        </w:rPr>
        <w:t>升降平台包括</w:t>
      </w:r>
      <w:r>
        <w:rPr>
          <w:rFonts w:hint="eastAsia" w:ascii="仿宋_GB2312" w:hAnsi="仿宋_GB2312" w:eastAsia="仿宋_GB2312" w:cs="仿宋_GB2312"/>
          <w:color w:val="auto"/>
          <w:sz w:val="32"/>
          <w:szCs w:val="32"/>
          <w:lang w:eastAsia="zh-CN"/>
        </w:rPr>
        <w:t>但不限于</w:t>
      </w:r>
      <w:r>
        <w:rPr>
          <w:rFonts w:hint="eastAsia" w:ascii="仿宋_GB2312" w:hAnsi="仿宋_GB2312" w:eastAsia="仿宋_GB2312" w:cs="仿宋_GB2312"/>
          <w:color w:val="auto"/>
          <w:sz w:val="32"/>
          <w:szCs w:val="32"/>
        </w:rPr>
        <w:t>传动装置、管路、导轨、制动器、平台</w:t>
      </w:r>
      <w:r>
        <w:rPr>
          <w:rFonts w:hint="eastAsia" w:ascii="仿宋_GB2312" w:hAnsi="仿宋_GB2312" w:eastAsia="仿宋_GB2312" w:cs="仿宋_GB2312"/>
          <w:color w:val="auto"/>
          <w:sz w:val="32"/>
          <w:szCs w:val="32"/>
          <w:lang w:eastAsia="zh-CN"/>
        </w:rPr>
        <w:t>的维保及</w:t>
      </w:r>
      <w:r>
        <w:rPr>
          <w:rFonts w:hint="eastAsia" w:ascii="仿宋_GB2312" w:hAnsi="仿宋_GB2312" w:eastAsia="仿宋_GB2312" w:cs="仿宋_GB2312"/>
          <w:color w:val="auto"/>
          <w:sz w:val="32"/>
          <w:szCs w:val="32"/>
        </w:rPr>
        <w:t>钢结构除锈补漆</w:t>
      </w:r>
      <w:r>
        <w:rPr>
          <w:rFonts w:hint="eastAsia" w:ascii="仿宋_GB2312" w:hAnsi="仿宋_GB2312" w:eastAsia="仿宋_GB2312" w:cs="仿宋_GB2312"/>
          <w:color w:val="auto"/>
          <w:sz w:val="32"/>
          <w:szCs w:val="32"/>
          <w:lang w:eastAsia="zh-CN"/>
        </w:rPr>
        <w:t>、清洁等</w:t>
      </w:r>
      <w:r>
        <w:rPr>
          <w:rFonts w:hint="eastAsia" w:ascii="仿宋_GB2312" w:hAnsi="仿宋_GB2312" w:eastAsia="仿宋_GB2312" w:cs="仿宋_GB2312"/>
          <w:color w:val="auto"/>
          <w:sz w:val="32"/>
          <w:szCs w:val="32"/>
        </w:rPr>
        <w:t>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维保工作主要内容为：</w:t>
      </w:r>
      <w:r>
        <w:rPr>
          <w:rFonts w:hint="eastAsia" w:ascii="仿宋_GB2312" w:hAnsi="仿宋_GB2312" w:eastAsia="仿宋_GB2312" w:cs="仿宋_GB2312"/>
          <w:color w:val="auto"/>
          <w:sz w:val="32"/>
          <w:szCs w:val="32"/>
        </w:rPr>
        <w:t>（1）日常维护保养、故障维修、配合工作</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大部分（具体内容见附件二：《设备检修周期与工作内容》）；（2）开展第（1）工作所需的人工、工器具、劳保用品、消耗材料、备品备件、安全实施保护工作等，开展维保范围内电扶梯的年审及取证、负载测试、安全检验（含重大故障的第三方安全检验）、计量仪器与仪表检验等工作；（3）安全值守、专项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本次项目维保服务期限为</w:t>
      </w:r>
      <w:r>
        <w:rPr>
          <w:rFonts w:hint="eastAsia" w:ascii="仿宋_GB2312" w:hAnsi="仿宋_GB2312" w:eastAsia="仿宋_GB2312" w:cs="仿宋_GB2312"/>
          <w:color w:val="auto"/>
          <w:sz w:val="32"/>
          <w:szCs w:val="32"/>
          <w:lang w:val="en-US" w:eastAsia="zh-CN"/>
        </w:rPr>
        <w:t>12个月</w:t>
      </w:r>
      <w:r>
        <w:rPr>
          <w:rFonts w:hint="eastAsia" w:ascii="仿宋_GB2312" w:hAnsi="仿宋_GB2312" w:eastAsia="仿宋_GB2312" w:cs="仿宋_GB2312"/>
          <w:color w:val="auto"/>
          <w:sz w:val="32"/>
          <w:szCs w:val="32"/>
        </w:rPr>
        <w:t>。维保时间如有变动，按照实际发生时间为</w:t>
      </w:r>
      <w:r>
        <w:rPr>
          <w:rFonts w:hint="eastAsia" w:ascii="仿宋_GB2312" w:hAnsi="仿宋_GB2312" w:eastAsia="仿宋_GB2312" w:cs="仿宋_GB2312"/>
          <w:color w:val="auto"/>
          <w:sz w:val="32"/>
          <w:szCs w:val="32"/>
          <w:highlight w:val="none"/>
        </w:rPr>
        <w:t>准，合同具体起始时间以</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发出的</w:t>
      </w:r>
      <w:r>
        <w:rPr>
          <w:rFonts w:hint="eastAsia" w:ascii="仿宋_GB2312" w:hAnsi="仿宋_GB2312" w:eastAsia="仿宋_GB2312" w:cs="仿宋_GB2312"/>
          <w:color w:val="auto"/>
          <w:sz w:val="32"/>
          <w:szCs w:val="32"/>
          <w:highlight w:val="none"/>
          <w:lang w:eastAsia="zh-CN"/>
        </w:rPr>
        <w:t>进场通知书</w:t>
      </w:r>
      <w:r>
        <w:rPr>
          <w:rFonts w:hint="eastAsia" w:ascii="仿宋_GB2312" w:hAnsi="仿宋_GB2312" w:eastAsia="仿宋_GB2312" w:cs="仿宋_GB2312"/>
          <w:color w:val="auto"/>
          <w:sz w:val="32"/>
          <w:szCs w:val="32"/>
          <w:highlight w:val="none"/>
        </w:rPr>
        <w:t>为准。</w:t>
      </w:r>
    </w:p>
    <w:p>
      <w:pPr>
        <w:pStyle w:val="27"/>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rPr>
      </w:pPr>
      <w:bookmarkStart w:id="16" w:name="_Toc93068883"/>
      <w:bookmarkStart w:id="17" w:name="_Toc24874"/>
      <w:bookmarkStart w:id="18" w:name="_Toc22526"/>
      <w:r>
        <w:rPr>
          <w:rFonts w:hint="eastAsia" w:ascii="楷体_GB2312" w:hAnsi="楷体_GB2312" w:eastAsia="楷体_GB2312" w:cs="楷体_GB2312"/>
          <w:b w:val="0"/>
          <w:color w:val="auto"/>
          <w:sz w:val="32"/>
          <w:szCs w:val="32"/>
        </w:rPr>
        <w:t>承包方式</w:t>
      </w:r>
      <w:bookmarkEnd w:id="16"/>
      <w:bookmarkEnd w:id="17"/>
      <w:bookmarkEnd w:id="18"/>
    </w:p>
    <w:p>
      <w:pPr>
        <w:pStyle w:val="27"/>
        <w:keepNext w:val="0"/>
        <w:keepLines w:val="0"/>
        <w:pageBreakBefore w:val="0"/>
        <w:widowControl w:val="0"/>
        <w:numPr>
          <w:ilvl w:val="0"/>
          <w:numId w:val="5"/>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9" w:name="_Toc9577"/>
      <w:bookmarkStart w:id="20" w:name="_Toc9273"/>
      <w:bookmarkStart w:id="21" w:name="_Toc532484915"/>
      <w:r>
        <w:rPr>
          <w:rFonts w:hint="eastAsia" w:ascii="仿宋_GB2312" w:hAnsi="仿宋_GB2312" w:eastAsia="仿宋_GB2312" w:cs="仿宋_GB2312"/>
          <w:b w:val="0"/>
          <w:color w:val="auto"/>
          <w:sz w:val="32"/>
          <w:szCs w:val="32"/>
          <w:lang w:val="en-US" w:eastAsia="zh-CN"/>
        </w:rPr>
        <w:t>本项目维保费用包含自动扶梯及升降平台在合同实施过程中应缴纳的一切税费、管理费、保险费以及培训、人工、财务、食宿、服装、装备、设备、实施维保所需的各类耗材及工器具、紧急维修费用、法定节假日值班值守费用等一切与该项目管理有关的费用。</w:t>
      </w:r>
      <w:bookmarkEnd w:id="19"/>
      <w:bookmarkEnd w:id="20"/>
    </w:p>
    <w:p>
      <w:pPr>
        <w:pStyle w:val="27"/>
        <w:keepNext w:val="0"/>
        <w:keepLines w:val="0"/>
        <w:pageBreakBefore w:val="0"/>
        <w:widowControl w:val="0"/>
        <w:numPr>
          <w:ilvl w:val="0"/>
          <w:numId w:val="5"/>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22" w:name="_Toc1303"/>
      <w:bookmarkStart w:id="23" w:name="_Toc27578"/>
      <w:r>
        <w:rPr>
          <w:rFonts w:hint="eastAsia" w:ascii="仿宋_GB2312" w:hAnsi="仿宋_GB2312" w:eastAsia="仿宋_GB2312" w:cs="仿宋_GB2312"/>
          <w:b w:val="0"/>
          <w:color w:val="auto"/>
          <w:sz w:val="32"/>
          <w:szCs w:val="32"/>
          <w:lang w:val="en-US" w:eastAsia="zh-CN"/>
        </w:rPr>
        <w:t>本项目自动扶梯年度检测、取证及费用由中标人负责。</w:t>
      </w:r>
      <w:bookmarkEnd w:id="22"/>
      <w:bookmarkEnd w:id="23"/>
    </w:p>
    <w:p>
      <w:pPr>
        <w:pStyle w:val="27"/>
        <w:keepNext w:val="0"/>
        <w:keepLines w:val="0"/>
        <w:pageBreakBefore w:val="0"/>
        <w:widowControl w:val="0"/>
        <w:numPr>
          <w:ilvl w:val="0"/>
          <w:numId w:val="5"/>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24" w:name="_Toc27465"/>
      <w:bookmarkStart w:id="25" w:name="_Toc24257"/>
      <w:r>
        <w:rPr>
          <w:rFonts w:hint="eastAsia" w:ascii="仿宋_GB2312" w:hAnsi="仿宋_GB2312" w:eastAsia="仿宋_GB2312" w:cs="仿宋_GB2312"/>
          <w:b w:val="0"/>
          <w:color w:val="auto"/>
          <w:sz w:val="32"/>
          <w:szCs w:val="32"/>
          <w:lang w:val="en-US" w:eastAsia="zh-CN"/>
        </w:rPr>
        <w:t>本项目自动扶梯及升降平台易损件及耗材全部由中标人根据维保工作需要自行负责，《易损件及耗材清单》（详见附件二）仅对种类进行定性</w:t>
      </w:r>
      <w:bookmarkStart w:id="26" w:name="_Hlk66263755"/>
      <w:r>
        <w:rPr>
          <w:rFonts w:hint="eastAsia" w:ascii="仿宋_GB2312" w:hAnsi="仿宋_GB2312" w:eastAsia="仿宋_GB2312" w:cs="仿宋_GB2312"/>
          <w:b w:val="0"/>
          <w:color w:val="auto"/>
          <w:sz w:val="32"/>
          <w:szCs w:val="32"/>
          <w:lang w:val="en-US" w:eastAsia="zh-CN"/>
        </w:rPr>
        <w:t>，实际使用中无论消耗多少易损件及耗材，均由中标人负责（不另计费）。</w:t>
      </w:r>
      <w:bookmarkEnd w:id="24"/>
      <w:bookmarkEnd w:id="25"/>
    </w:p>
    <w:p>
      <w:pPr>
        <w:pStyle w:val="27"/>
        <w:keepNext w:val="0"/>
        <w:keepLines w:val="0"/>
        <w:pageBreakBefore w:val="0"/>
        <w:widowControl w:val="0"/>
        <w:numPr>
          <w:ilvl w:val="0"/>
          <w:numId w:val="5"/>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27" w:name="_Toc4614"/>
      <w:bookmarkStart w:id="28" w:name="_Toc13862"/>
      <w:r>
        <w:rPr>
          <w:rFonts w:hint="eastAsia" w:ascii="仿宋_GB2312" w:hAnsi="仿宋_GB2312" w:eastAsia="仿宋_GB2312" w:cs="仿宋_GB2312"/>
          <w:b w:val="0"/>
          <w:color w:val="auto"/>
          <w:sz w:val="32"/>
          <w:szCs w:val="32"/>
          <w:lang w:val="en-US" w:eastAsia="zh-CN"/>
        </w:rPr>
        <w:t>本项目配件采购费用包含自动扶梯及升降平台维保过程中需更换的零配件。招标人有权对《零配件清单》（详见附件三）内数量进行调整。对于零配件清单内所列的零配件，在不超过《零配件清单》合同总价时，由中标人根据实际使用需求进行采购并安装；对于超过《零配件清单》合同总价或清单外所需零配件，由招标人另行采购</w:t>
      </w:r>
      <w:bookmarkEnd w:id="27"/>
      <w:bookmarkEnd w:id="28"/>
      <w:r>
        <w:rPr>
          <w:rFonts w:hint="eastAsia" w:ascii="仿宋_GB2312" w:hAnsi="仿宋_GB2312" w:eastAsia="仿宋_GB2312" w:cs="仿宋_GB2312"/>
          <w:b w:val="0"/>
          <w:color w:val="auto"/>
          <w:sz w:val="32"/>
          <w:szCs w:val="32"/>
          <w:lang w:val="en-US" w:eastAsia="zh-CN"/>
        </w:rPr>
        <w:t>并安装。</w:t>
      </w:r>
    </w:p>
    <w:bookmarkEnd w:id="26"/>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outlineLvl w:val="0"/>
        <w:rPr>
          <w:rFonts w:hint="eastAsia" w:ascii="黑体" w:hAnsi="黑体" w:eastAsia="黑体" w:cs="黑体"/>
          <w:b w:val="0"/>
          <w:bCs w:val="0"/>
          <w:color w:val="auto"/>
          <w:sz w:val="32"/>
          <w:szCs w:val="32"/>
          <w:highlight w:val="none"/>
        </w:rPr>
      </w:pPr>
      <w:bookmarkStart w:id="29" w:name="_Toc5828"/>
      <w:bookmarkStart w:id="30" w:name="_Toc14142"/>
      <w:bookmarkStart w:id="31" w:name="_Toc93068884"/>
      <w:r>
        <w:rPr>
          <w:rFonts w:hint="eastAsia" w:ascii="黑体" w:hAnsi="黑体" w:eastAsia="黑体" w:cs="黑体"/>
          <w:b w:val="0"/>
          <w:bCs w:val="0"/>
          <w:color w:val="auto"/>
          <w:sz w:val="32"/>
          <w:szCs w:val="32"/>
          <w:highlight w:val="none"/>
          <w:lang w:eastAsia="zh-CN"/>
        </w:rPr>
        <w:t>服务质量和标准</w:t>
      </w:r>
      <w:bookmarkEnd w:id="29"/>
      <w:bookmarkEnd w:id="30"/>
      <w:r>
        <w:rPr>
          <w:rFonts w:hint="eastAsia" w:ascii="黑体" w:hAnsi="黑体" w:eastAsia="黑体" w:cs="黑体"/>
          <w:b w:val="0"/>
          <w:bCs w:val="0"/>
          <w:color w:val="auto"/>
          <w:sz w:val="32"/>
          <w:szCs w:val="32"/>
          <w:highlight w:val="none"/>
          <w:lang w:val="en-US" w:eastAsia="zh-CN"/>
        </w:rPr>
        <w:t xml:space="preserve">  </w:t>
      </w:r>
      <w:bookmarkEnd w:id="21"/>
      <w:bookmarkEnd w:id="31"/>
    </w:p>
    <w:p>
      <w:pPr>
        <w:pStyle w:val="27"/>
        <w:keepNext w:val="0"/>
        <w:keepLines w:val="0"/>
        <w:pageBreakBefore w:val="0"/>
        <w:widowControl w:val="0"/>
        <w:numPr>
          <w:ilvl w:val="0"/>
          <w:numId w:val="6"/>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lang w:val="en-US" w:eastAsia="zh-CN"/>
        </w:rPr>
      </w:pPr>
      <w:bookmarkStart w:id="32" w:name="_Toc16587"/>
      <w:bookmarkStart w:id="33" w:name="_Toc8729"/>
      <w:bookmarkStart w:id="34" w:name="_Toc93068886"/>
      <w:r>
        <w:rPr>
          <w:rFonts w:hint="eastAsia" w:ascii="楷体_GB2312" w:hAnsi="楷体_GB2312" w:eastAsia="楷体_GB2312" w:cs="楷体_GB2312"/>
          <w:b w:val="0"/>
          <w:color w:val="auto"/>
          <w:sz w:val="32"/>
          <w:szCs w:val="32"/>
          <w:lang w:val="en-US" w:eastAsia="zh-CN"/>
        </w:rPr>
        <w:t>定义</w:t>
      </w:r>
      <w:bookmarkEnd w:id="32"/>
      <w:bookmarkEnd w:id="33"/>
      <w:bookmarkEnd w:id="34"/>
    </w:p>
    <w:p>
      <w:pPr>
        <w:pStyle w:val="27"/>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35" w:name="_Toc21910"/>
      <w:bookmarkStart w:id="36" w:name="_Toc26147"/>
      <w:r>
        <w:rPr>
          <w:rFonts w:hint="eastAsia" w:ascii="仿宋_GB2312" w:hAnsi="仿宋_GB2312" w:eastAsia="仿宋_GB2312" w:cs="仿宋_GB2312"/>
          <w:b w:val="0"/>
          <w:color w:val="auto"/>
          <w:sz w:val="32"/>
          <w:szCs w:val="32"/>
          <w:lang w:val="en-US" w:eastAsia="zh-CN"/>
        </w:rPr>
        <w:t>日常维护保养是按合同（附件四:《设备检修周期与工作内容》）中的计划检修项目进行的半月检、季检、半年检、年检等工作。</w:t>
      </w:r>
      <w:bookmarkEnd w:id="35"/>
      <w:bookmarkEnd w:id="36"/>
    </w:p>
    <w:p>
      <w:pPr>
        <w:pStyle w:val="27"/>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37" w:name="_Toc4057"/>
      <w:bookmarkStart w:id="38" w:name="_Toc15122"/>
      <w:r>
        <w:rPr>
          <w:rFonts w:hint="eastAsia" w:ascii="仿宋_GB2312" w:hAnsi="仿宋_GB2312" w:eastAsia="仿宋_GB2312" w:cs="仿宋_GB2312"/>
          <w:b w:val="0"/>
          <w:color w:val="auto"/>
          <w:sz w:val="32"/>
          <w:szCs w:val="32"/>
          <w:lang w:val="en-US" w:eastAsia="zh-CN"/>
        </w:rPr>
        <w:t>应急维修是指对已通知中标人的自动扶梯及电梯所发生的故障进行处理、修复，处理后应于立即通知招标人。</w:t>
      </w:r>
      <w:bookmarkEnd w:id="37"/>
      <w:bookmarkEnd w:id="38"/>
    </w:p>
    <w:p>
      <w:pPr>
        <w:pStyle w:val="27"/>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39" w:name="_Toc13938"/>
      <w:bookmarkStart w:id="40" w:name="_Toc31081"/>
      <w:r>
        <w:rPr>
          <w:rFonts w:hint="eastAsia" w:ascii="仿宋_GB2312" w:hAnsi="仿宋_GB2312" w:eastAsia="仿宋_GB2312" w:cs="仿宋_GB2312"/>
          <w:b w:val="0"/>
          <w:color w:val="auto"/>
          <w:sz w:val="32"/>
          <w:szCs w:val="32"/>
          <w:lang w:val="en-US" w:eastAsia="zh-CN"/>
        </w:rPr>
        <w:t>配合工作是指一段特殊时期内为保证自动扶梯及电梯正常运行而开展的工作，包括对某个部件进行专项维护保养和专项检查及整改、维保过程中存在的问题及设备缺陷进行排查与整改、节假日前检查，重要接待任务前检查及安全值守、演练配合、突发事件配合处理等。通知对方的形式，包括口头、电话、电子邮件、书面通知等。</w:t>
      </w:r>
      <w:bookmarkEnd w:id="39"/>
      <w:bookmarkEnd w:id="40"/>
    </w:p>
    <w:p>
      <w:pPr>
        <w:pStyle w:val="27"/>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41" w:name="_Toc14986"/>
      <w:bookmarkStart w:id="42" w:name="_Toc28688"/>
      <w:r>
        <w:rPr>
          <w:rFonts w:hint="eastAsia" w:ascii="仿宋_GB2312" w:hAnsi="仿宋_GB2312" w:eastAsia="仿宋_GB2312" w:cs="仿宋_GB2312"/>
          <w:b w:val="0"/>
          <w:color w:val="auto"/>
          <w:sz w:val="32"/>
          <w:szCs w:val="32"/>
          <w:lang w:val="en-US" w:eastAsia="zh-CN"/>
        </w:rPr>
        <w:t>专项检查是指对某个部件或某台设备进行专项维护保养和问题排查及整改，不包含配合工作中维保问题及设备缺陷排查与整改、节假日前检查、运营接待任务前检查、突发事件配合处理（专项检查任务以招标人书面通知为准）。</w:t>
      </w:r>
    </w:p>
    <w:p>
      <w:pPr>
        <w:pStyle w:val="27"/>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故障响应时间是在接报故障后赶赴且到达现场处理的时间；接报是指招标人通知中标人的形式，包括口头、电话、电子邮件、书面等；现场是指故障发生地点或报故障的部门等。</w:t>
      </w:r>
      <w:bookmarkEnd w:id="41"/>
      <w:bookmarkEnd w:id="42"/>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lang w:val="en-US" w:eastAsia="zh-CN"/>
        </w:rPr>
      </w:pPr>
      <w:bookmarkStart w:id="43" w:name="_Toc31686"/>
      <w:bookmarkStart w:id="44" w:name="_Toc7817"/>
      <w:r>
        <w:rPr>
          <w:rFonts w:hint="eastAsia" w:ascii="仿宋_GB2312" w:hAnsi="仿宋_GB2312" w:eastAsia="仿宋_GB2312" w:cs="仿宋_GB2312"/>
          <w:b w:val="0"/>
          <w:color w:val="auto"/>
          <w:sz w:val="32"/>
          <w:szCs w:val="32"/>
          <w:lang w:val="en-US" w:eastAsia="zh-CN"/>
        </w:rPr>
        <w:t>设备维修维护时间要求：</w:t>
      </w:r>
      <w:bookmarkEnd w:id="43"/>
      <w:bookmarkEnd w:id="44"/>
    </w:p>
    <w:tbl>
      <w:tblPr>
        <w:tblStyle w:val="30"/>
        <w:tblpPr w:leftFromText="180" w:rightFromText="180" w:vertAnchor="text" w:horzAnchor="page" w:tblpX="2917" w:tblpY="1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179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56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故障响应时间</w:t>
            </w:r>
          </w:p>
        </w:tc>
        <w:tc>
          <w:tcPr>
            <w:tcW w:w="1794"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修复时间</w:t>
            </w:r>
          </w:p>
        </w:tc>
        <w:tc>
          <w:tcPr>
            <w:tcW w:w="2126"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56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≤30分钟</w:t>
            </w:r>
          </w:p>
        </w:tc>
        <w:tc>
          <w:tcPr>
            <w:tcW w:w="1794"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≤4小时</w:t>
            </w:r>
          </w:p>
        </w:tc>
        <w:tc>
          <w:tcPr>
            <w:tcW w:w="2126"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100%</w:t>
            </w:r>
          </w:p>
        </w:tc>
      </w:tr>
    </w:tbl>
    <w:p>
      <w:pPr>
        <w:pStyle w:val="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20" w:firstLineChars="200"/>
        <w:textAlignment w:val="auto"/>
        <w:outlineLvl w:val="9"/>
        <w:rPr>
          <w:rFonts w:hint="eastAsia" w:asciiTheme="majorEastAsia" w:hAnsiTheme="majorEastAsia" w:eastAsiaTheme="majorEastAsia" w:cstheme="minorBidi"/>
          <w:color w:val="auto"/>
          <w:sz w:val="21"/>
          <w:szCs w:val="21"/>
        </w:rPr>
      </w:pPr>
    </w:p>
    <w:p>
      <w:pPr>
        <w:pStyle w:val="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20" w:firstLineChars="200"/>
        <w:textAlignment w:val="auto"/>
        <w:outlineLvl w:val="9"/>
        <w:rPr>
          <w:rFonts w:hint="eastAsia" w:asciiTheme="majorEastAsia" w:hAnsiTheme="majorEastAsia" w:eastAsiaTheme="majorEastAsia" w:cstheme="minorBidi"/>
          <w:color w:val="auto"/>
          <w:sz w:val="21"/>
          <w:szCs w:val="21"/>
        </w:rPr>
      </w:pPr>
    </w:p>
    <w:p>
      <w:pPr>
        <w:pStyle w:val="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20" w:firstLineChars="200"/>
        <w:textAlignment w:val="auto"/>
        <w:outlineLvl w:val="9"/>
        <w:rPr>
          <w:rFonts w:hint="eastAsia" w:asciiTheme="majorEastAsia" w:hAnsiTheme="majorEastAsia" w:eastAsiaTheme="majorEastAsia" w:cstheme="minorBidi"/>
          <w:color w:val="auto"/>
          <w:sz w:val="21"/>
          <w:szCs w:val="21"/>
        </w:rPr>
      </w:pPr>
    </w:p>
    <w:p>
      <w:pPr>
        <w:pStyle w:val="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20" w:firstLineChars="200"/>
        <w:textAlignment w:val="auto"/>
        <w:outlineLvl w:val="9"/>
        <w:rPr>
          <w:rFonts w:hint="eastAsia" w:asciiTheme="majorEastAsia" w:hAnsiTheme="majorEastAsia" w:eastAsiaTheme="majorEastAsia" w:cstheme="minorBidi"/>
          <w:color w:val="auto"/>
          <w:sz w:val="21"/>
          <w:szCs w:val="21"/>
        </w:rPr>
      </w:pPr>
    </w:p>
    <w:p>
      <w:pPr>
        <w:pStyle w:val="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20" w:firstLineChars="200"/>
        <w:textAlignment w:val="auto"/>
        <w:outlineLvl w:val="9"/>
        <w:rPr>
          <w:rFonts w:hint="eastAsia" w:asciiTheme="majorEastAsia" w:hAnsiTheme="majorEastAsia" w:eastAsiaTheme="majorEastAsia"/>
          <w:b w:val="0"/>
          <w:color w:val="auto"/>
          <w:sz w:val="28"/>
          <w:szCs w:val="28"/>
          <w:lang w:val="en-US" w:eastAsia="zh-CN"/>
        </w:rPr>
      </w:pPr>
      <w:r>
        <w:rPr>
          <w:rFonts w:hint="eastAsia" w:asciiTheme="majorEastAsia" w:hAnsiTheme="majorEastAsia" w:eastAsiaTheme="majorEastAsia" w:cstheme="minorBidi"/>
          <w:color w:val="auto"/>
          <w:sz w:val="21"/>
          <w:szCs w:val="21"/>
        </w:rPr>
        <w:t>备注</w:t>
      </w:r>
      <w:r>
        <w:rPr>
          <w:rFonts w:asciiTheme="majorEastAsia" w:hAnsiTheme="majorEastAsia" w:eastAsiaTheme="majorEastAsia" w:cstheme="minorBidi"/>
          <w:color w:val="auto"/>
          <w:sz w:val="21"/>
          <w:szCs w:val="21"/>
        </w:rPr>
        <w:t>：遇到设备无法运行的严重故障时，故障完全修复须另行采购更换重要零部件，且无法满足上表时限要求</w:t>
      </w:r>
      <w:r>
        <w:rPr>
          <w:rFonts w:hint="eastAsia" w:asciiTheme="majorEastAsia" w:hAnsiTheme="majorEastAsia" w:eastAsiaTheme="majorEastAsia" w:cstheme="minorBidi"/>
          <w:color w:val="auto"/>
          <w:sz w:val="21"/>
          <w:szCs w:val="21"/>
        </w:rPr>
        <w:t>的</w:t>
      </w:r>
      <w:r>
        <w:rPr>
          <w:rFonts w:asciiTheme="majorEastAsia" w:hAnsiTheme="majorEastAsia" w:eastAsiaTheme="majorEastAsia" w:cstheme="minorBidi"/>
          <w:color w:val="auto"/>
          <w:sz w:val="21"/>
          <w:szCs w:val="21"/>
        </w:rPr>
        <w:t>，报</w:t>
      </w:r>
      <w:r>
        <w:rPr>
          <w:rFonts w:hint="eastAsia" w:asciiTheme="majorEastAsia" w:hAnsiTheme="majorEastAsia" w:eastAsiaTheme="majorEastAsia" w:cstheme="minorBidi"/>
          <w:color w:val="auto"/>
          <w:sz w:val="21"/>
          <w:szCs w:val="21"/>
          <w:lang w:eastAsia="zh-CN"/>
        </w:rPr>
        <w:t>招标人</w:t>
      </w:r>
      <w:r>
        <w:rPr>
          <w:rFonts w:asciiTheme="majorEastAsia" w:hAnsiTheme="majorEastAsia" w:eastAsiaTheme="majorEastAsia" w:cstheme="minorBidi"/>
          <w:color w:val="auto"/>
          <w:sz w:val="21"/>
          <w:szCs w:val="21"/>
        </w:rPr>
        <w:t>后，具体修复时间需与</w:t>
      </w:r>
      <w:r>
        <w:rPr>
          <w:rFonts w:hint="eastAsia" w:asciiTheme="majorEastAsia" w:hAnsiTheme="majorEastAsia" w:eastAsiaTheme="majorEastAsia" w:cstheme="minorBidi"/>
          <w:color w:val="auto"/>
          <w:sz w:val="21"/>
          <w:szCs w:val="21"/>
          <w:lang w:eastAsia="zh-CN"/>
        </w:rPr>
        <w:t>招标人</w:t>
      </w:r>
      <w:r>
        <w:rPr>
          <w:rFonts w:hint="eastAsia" w:asciiTheme="majorEastAsia" w:hAnsiTheme="majorEastAsia" w:eastAsiaTheme="majorEastAsia" w:cstheme="minorBidi"/>
          <w:color w:val="auto"/>
          <w:sz w:val="21"/>
          <w:szCs w:val="21"/>
        </w:rPr>
        <w:t>协</w:t>
      </w:r>
      <w:r>
        <w:rPr>
          <w:rFonts w:asciiTheme="majorEastAsia" w:hAnsiTheme="majorEastAsia" w:eastAsiaTheme="majorEastAsia" w:cstheme="minorBidi"/>
          <w:color w:val="auto"/>
          <w:sz w:val="21"/>
          <w:szCs w:val="21"/>
        </w:rPr>
        <w:t>商并经</w:t>
      </w:r>
      <w:r>
        <w:rPr>
          <w:rFonts w:hint="eastAsia" w:asciiTheme="majorEastAsia" w:hAnsiTheme="majorEastAsia" w:eastAsiaTheme="majorEastAsia" w:cstheme="minorBidi"/>
          <w:color w:val="auto"/>
          <w:sz w:val="21"/>
          <w:szCs w:val="21"/>
          <w:lang w:eastAsia="zh-CN"/>
        </w:rPr>
        <w:t>招标人</w:t>
      </w:r>
      <w:r>
        <w:rPr>
          <w:rFonts w:asciiTheme="majorEastAsia" w:hAnsiTheme="majorEastAsia" w:eastAsiaTheme="majorEastAsia" w:cstheme="minorBidi"/>
          <w:color w:val="auto"/>
          <w:sz w:val="21"/>
          <w:szCs w:val="21"/>
        </w:rPr>
        <w:t>同意。</w:t>
      </w:r>
      <w:bookmarkStart w:id="45" w:name="_Toc26853"/>
    </w:p>
    <w:p>
      <w:pPr>
        <w:pStyle w:val="27"/>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46" w:name="_Toc30104"/>
      <w:r>
        <w:rPr>
          <w:rFonts w:hint="eastAsia" w:ascii="仿宋_GB2312" w:hAnsi="仿宋_GB2312" w:eastAsia="仿宋_GB2312" w:cs="仿宋_GB2312"/>
          <w:b w:val="0"/>
          <w:color w:val="auto"/>
          <w:sz w:val="32"/>
          <w:szCs w:val="32"/>
          <w:lang w:val="en-US" w:eastAsia="zh-CN"/>
        </w:rPr>
        <w:t>故障修复是按照故障处理流程（附件五：《故障处理流程》）通过维修，故障设备恢复到原来技术指标及状态，并填写记录表（附件六：《电梯故障处理记录表》）。</w:t>
      </w:r>
      <w:bookmarkEnd w:id="45"/>
      <w:bookmarkEnd w:id="46"/>
    </w:p>
    <w:p>
      <w:pPr>
        <w:pStyle w:val="27"/>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47" w:name="_Toc4409"/>
      <w:bookmarkStart w:id="48" w:name="_Toc17076"/>
      <w:r>
        <w:rPr>
          <w:rFonts w:hint="eastAsia" w:ascii="仿宋_GB2312" w:hAnsi="仿宋_GB2312" w:eastAsia="仿宋_GB2312" w:cs="仿宋_GB2312"/>
          <w:b w:val="0"/>
          <w:color w:val="auto"/>
          <w:sz w:val="32"/>
          <w:szCs w:val="32"/>
          <w:lang w:val="en-US" w:eastAsia="zh-CN"/>
        </w:rPr>
        <w:t>故障修复时间是通过维修，故障设备恢复到原来技术指标及状态所需的时间，此时限计算方式是指中标人维修人员接报时刻起至故障处理完毕后的回报时刻止。</w:t>
      </w:r>
      <w:bookmarkEnd w:id="47"/>
      <w:bookmarkEnd w:id="48"/>
    </w:p>
    <w:p>
      <w:pPr>
        <w:pStyle w:val="27"/>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49" w:name="_Toc691"/>
      <w:bookmarkStart w:id="50" w:name="_Toc29578"/>
      <w:r>
        <w:rPr>
          <w:rFonts w:hint="eastAsia" w:ascii="仿宋_GB2312" w:hAnsi="仿宋_GB2312" w:eastAsia="仿宋_GB2312" w:cs="仿宋_GB2312"/>
          <w:b w:val="0"/>
          <w:color w:val="auto"/>
          <w:sz w:val="32"/>
          <w:szCs w:val="32"/>
          <w:lang w:val="en-US" w:eastAsia="zh-CN"/>
        </w:rPr>
        <w:t>设备故障是设备自身或维保不当导致设备不能运行或部件性能下降的故障。</w:t>
      </w:r>
      <w:bookmarkEnd w:id="49"/>
      <w:bookmarkEnd w:id="50"/>
    </w:p>
    <w:p>
      <w:pPr>
        <w:pStyle w:val="27"/>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电扶梯是本项目中的自动扶梯、楼梯升降平台、垂直升降平台，简称电扶梯。</w:t>
      </w:r>
    </w:p>
    <w:p>
      <w:pPr>
        <w:pStyle w:val="27"/>
        <w:keepNext w:val="0"/>
        <w:keepLines w:val="0"/>
        <w:pageBreakBefore w:val="0"/>
        <w:widowControl w:val="0"/>
        <w:numPr>
          <w:ilvl w:val="0"/>
          <w:numId w:val="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51" w:name="_Toc9847"/>
      <w:bookmarkStart w:id="52" w:name="_Toc11474"/>
      <w:r>
        <w:rPr>
          <w:rFonts w:hint="eastAsia" w:ascii="仿宋_GB2312" w:hAnsi="仿宋_GB2312" w:eastAsia="仿宋_GB2312" w:cs="仿宋_GB2312"/>
          <w:b w:val="0"/>
          <w:color w:val="auto"/>
          <w:sz w:val="32"/>
          <w:szCs w:val="32"/>
          <w:lang w:val="en-US" w:eastAsia="zh-CN"/>
        </w:rPr>
        <w:t>电扶梯系统运行指标：自动扶梯运行可靠度≥98.5%（可靠度采用可用性计算公式：可用性=运行时间/(运行时间+停机时间）。</w:t>
      </w:r>
      <w:bookmarkEnd w:id="51"/>
      <w:bookmarkEnd w:id="52"/>
    </w:p>
    <w:p>
      <w:pPr>
        <w:pStyle w:val="27"/>
        <w:keepNext w:val="0"/>
        <w:keepLines w:val="0"/>
        <w:pageBreakBefore w:val="0"/>
        <w:widowControl w:val="0"/>
        <w:numPr>
          <w:ilvl w:val="0"/>
          <w:numId w:val="6"/>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lang w:val="en-US" w:eastAsia="zh-CN"/>
        </w:rPr>
      </w:pPr>
      <w:bookmarkStart w:id="53" w:name="_Toc21392"/>
      <w:bookmarkStart w:id="54" w:name="_Toc14594"/>
      <w:r>
        <w:rPr>
          <w:rFonts w:hint="eastAsia" w:ascii="楷体_GB2312" w:hAnsi="楷体_GB2312" w:eastAsia="楷体_GB2312" w:cs="楷体_GB2312"/>
          <w:b w:val="0"/>
          <w:color w:val="auto"/>
          <w:sz w:val="32"/>
          <w:szCs w:val="32"/>
          <w:lang w:val="en-US" w:eastAsia="zh-CN"/>
        </w:rPr>
        <w:t>质保要求</w:t>
      </w:r>
      <w:bookmarkEnd w:id="53"/>
      <w:bookmarkEnd w:id="54"/>
    </w:p>
    <w:p>
      <w:pPr>
        <w:pStyle w:val="27"/>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_GB2312" w:hAnsi="仿宋_GB2312" w:eastAsia="仿宋_GB2312" w:cs="仿宋_GB2312"/>
          <w:b w:val="0"/>
          <w:strike/>
          <w:dstrike w:val="0"/>
          <w:color w:val="auto"/>
          <w:sz w:val="32"/>
          <w:szCs w:val="32"/>
          <w:highlight w:val="red"/>
          <w:lang w:val="en-US" w:eastAsia="zh-CN"/>
        </w:rPr>
      </w:pPr>
      <w:bookmarkStart w:id="55" w:name="_Toc30741"/>
      <w:bookmarkStart w:id="56" w:name="_Toc8762"/>
      <w:r>
        <w:rPr>
          <w:rFonts w:hint="eastAsia" w:ascii="仿宋_GB2312" w:hAnsi="仿宋_GB2312" w:eastAsia="仿宋_GB2312" w:cs="仿宋_GB2312"/>
          <w:b w:val="0"/>
          <w:color w:val="auto"/>
          <w:sz w:val="32"/>
          <w:szCs w:val="32"/>
          <w:highlight w:val="none"/>
          <w:lang w:val="en-US" w:eastAsia="zh-CN"/>
        </w:rPr>
        <w:t>中标人维保服务过程所更换的主要零配件质保期为1年，扶手带质保期为2年，质保期从安装完成设备运行正常之日起开始计算。</w:t>
      </w:r>
      <w:bookmarkEnd w:id="55"/>
      <w:bookmarkEnd w:id="56"/>
    </w:p>
    <w:p>
      <w:pPr>
        <w:pStyle w:val="27"/>
        <w:keepNext w:val="0"/>
        <w:keepLines w:val="0"/>
        <w:pageBreakBefore w:val="0"/>
        <w:widowControl w:val="0"/>
        <w:numPr>
          <w:ilvl w:val="0"/>
          <w:numId w:val="6"/>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lang w:val="en-US" w:eastAsia="zh-CN"/>
        </w:rPr>
      </w:pPr>
      <w:bookmarkStart w:id="57" w:name="_Toc93068887"/>
      <w:bookmarkStart w:id="58" w:name="_Toc20171"/>
      <w:bookmarkStart w:id="59" w:name="_Toc29924"/>
      <w:r>
        <w:rPr>
          <w:rFonts w:hint="eastAsia" w:ascii="楷体_GB2312" w:hAnsi="楷体_GB2312" w:eastAsia="楷体_GB2312" w:cs="楷体_GB2312"/>
          <w:b w:val="0"/>
          <w:color w:val="auto"/>
          <w:sz w:val="32"/>
          <w:szCs w:val="32"/>
          <w:lang w:val="en-US" w:eastAsia="zh-CN"/>
        </w:rPr>
        <w:t>采用标准及规范</w:t>
      </w:r>
      <w:bookmarkEnd w:id="57"/>
      <w:bookmarkEnd w:id="58"/>
      <w:bookmarkEnd w:id="59"/>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《电梯使用管理与维护保养规则》 TSG T5001-2009 </w:t>
      </w:r>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《电梯监督检验和定期检验规则》 TSG T7001-2023</w:t>
      </w:r>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《中华人民共和国特种设备安全法》 2013年中华人民共和国主席第4号令</w:t>
      </w:r>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《长沙市电梯安全管理办法》</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2014年1月14日长沙市人民政府令第125号公布 2019年9月16日长沙市人民政府令第139号修正</w:t>
      </w:r>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《电梯、自动扶梯和自动人行道维修规范》 GB/T18775-2009</w:t>
      </w:r>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《电梯制造与安装安全规范》 GB/T 7588</w:t>
      </w:r>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《自动扶梯和自动人行道的制造与安装安全规范》GB16899</w:t>
      </w:r>
      <w:r>
        <w:rPr>
          <w:rFonts w:hint="eastAsia" w:ascii="仿宋_GB2312" w:hAnsi="仿宋_GB2312" w:eastAsia="仿宋_GB2312" w:cs="仿宋_GB2312"/>
          <w:color w:val="auto"/>
          <w:sz w:val="32"/>
          <w:szCs w:val="32"/>
          <w:highlight w:val="none"/>
          <w:lang w:val="en-US" w:eastAsia="zh-CN"/>
        </w:rPr>
        <w:t>-2011</w:t>
      </w:r>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《电梯维护保养规则》TSG T5002-2017</w:t>
      </w:r>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《电梯监督检验和定期检验规则》</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TSG T700</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-2023</w:t>
      </w:r>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《电梯自行检测规则》</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TSG T7008-2023</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满足下列标准或要求，按要求高者执行，如有最新版本，按新版本执行：</w:t>
      </w:r>
    </w:p>
    <w:p>
      <w:pPr>
        <w:pStyle w:val="27"/>
        <w:keepNext w:val="0"/>
        <w:keepLines w:val="0"/>
        <w:pageBreakBefore w:val="0"/>
        <w:widowControl w:val="0"/>
        <w:numPr>
          <w:ilvl w:val="0"/>
          <w:numId w:val="8"/>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highlight w:val="none"/>
          <w:lang w:val="en-US" w:eastAsia="zh-CN"/>
        </w:rPr>
      </w:pPr>
      <w:bookmarkStart w:id="60" w:name="_Toc26311"/>
      <w:bookmarkStart w:id="61" w:name="_Toc27363"/>
      <w:r>
        <w:rPr>
          <w:rFonts w:hint="eastAsia" w:ascii="仿宋_GB2312" w:hAnsi="仿宋_GB2312" w:eastAsia="仿宋_GB2312" w:cs="仿宋_GB2312"/>
          <w:b w:val="0"/>
          <w:color w:val="auto"/>
          <w:sz w:val="32"/>
          <w:szCs w:val="32"/>
          <w:highlight w:val="none"/>
          <w:lang w:val="en-US" w:eastAsia="zh-CN"/>
        </w:rPr>
        <w:t>招标人的各种会议纪要、决议、通知等；</w:t>
      </w:r>
      <w:bookmarkEnd w:id="60"/>
      <w:bookmarkEnd w:id="61"/>
    </w:p>
    <w:p>
      <w:pPr>
        <w:pStyle w:val="27"/>
        <w:keepNext w:val="0"/>
        <w:keepLines w:val="0"/>
        <w:pageBreakBefore w:val="0"/>
        <w:widowControl w:val="0"/>
        <w:numPr>
          <w:ilvl w:val="0"/>
          <w:numId w:val="8"/>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highlight w:val="none"/>
          <w:lang w:val="en-US" w:eastAsia="zh-CN"/>
        </w:rPr>
      </w:pPr>
      <w:bookmarkStart w:id="62" w:name="_Toc20389"/>
      <w:bookmarkStart w:id="63" w:name="_Toc13346"/>
      <w:r>
        <w:rPr>
          <w:rFonts w:hint="eastAsia" w:ascii="仿宋_GB2312" w:hAnsi="仿宋_GB2312" w:eastAsia="仿宋_GB2312" w:cs="仿宋_GB2312"/>
          <w:b w:val="0"/>
          <w:color w:val="auto"/>
          <w:sz w:val="32"/>
          <w:szCs w:val="32"/>
          <w:highlight w:val="none"/>
          <w:lang w:val="en-US" w:eastAsia="zh-CN"/>
        </w:rPr>
        <w:t>招标人的企业标准；</w:t>
      </w:r>
      <w:bookmarkEnd w:id="62"/>
      <w:bookmarkEnd w:id="63"/>
    </w:p>
    <w:p>
      <w:pPr>
        <w:pStyle w:val="27"/>
        <w:keepNext w:val="0"/>
        <w:keepLines w:val="0"/>
        <w:pageBreakBefore w:val="0"/>
        <w:widowControl w:val="0"/>
        <w:numPr>
          <w:ilvl w:val="0"/>
          <w:numId w:val="8"/>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highlight w:val="none"/>
          <w:lang w:val="en-US" w:eastAsia="zh-CN"/>
        </w:rPr>
      </w:pPr>
      <w:bookmarkStart w:id="64" w:name="_Toc13064"/>
      <w:bookmarkStart w:id="65" w:name="_Toc14110"/>
      <w:r>
        <w:rPr>
          <w:rFonts w:hint="eastAsia" w:ascii="仿宋_GB2312" w:hAnsi="仿宋_GB2312" w:eastAsia="仿宋_GB2312" w:cs="仿宋_GB2312"/>
          <w:b w:val="0"/>
          <w:color w:val="auto"/>
          <w:sz w:val="32"/>
          <w:szCs w:val="32"/>
          <w:highlight w:val="none"/>
          <w:lang w:val="en-US" w:eastAsia="zh-CN"/>
        </w:rPr>
        <w:t>招标人的规章制度；</w:t>
      </w:r>
      <w:bookmarkEnd w:id="64"/>
      <w:bookmarkEnd w:id="65"/>
    </w:p>
    <w:p>
      <w:pPr>
        <w:pStyle w:val="27"/>
        <w:keepNext w:val="0"/>
        <w:keepLines w:val="0"/>
        <w:pageBreakBefore w:val="0"/>
        <w:widowControl w:val="0"/>
        <w:numPr>
          <w:ilvl w:val="0"/>
          <w:numId w:val="8"/>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highlight w:val="none"/>
          <w:lang w:val="en-US" w:eastAsia="zh-CN"/>
        </w:rPr>
      </w:pPr>
      <w:bookmarkStart w:id="66" w:name="_Toc23963"/>
      <w:bookmarkStart w:id="67" w:name="_Toc12466"/>
      <w:r>
        <w:rPr>
          <w:rFonts w:hint="eastAsia" w:ascii="仿宋_GB2312" w:hAnsi="仿宋_GB2312" w:eastAsia="仿宋_GB2312" w:cs="仿宋_GB2312"/>
          <w:b w:val="0"/>
          <w:color w:val="auto"/>
          <w:sz w:val="32"/>
          <w:szCs w:val="32"/>
          <w:highlight w:val="none"/>
          <w:lang w:val="en-US" w:eastAsia="zh-CN"/>
        </w:rPr>
        <w:t>建设部、国家市场监督管理总局、省市特种设备检验检测与管理机构等最新相关的维修规则、规程、工作手册、规章制度等；</w:t>
      </w:r>
      <w:bookmarkEnd w:id="66"/>
      <w:bookmarkEnd w:id="67"/>
    </w:p>
    <w:p>
      <w:pPr>
        <w:pStyle w:val="27"/>
        <w:keepNext w:val="0"/>
        <w:keepLines w:val="0"/>
        <w:pageBreakBefore w:val="0"/>
        <w:widowControl w:val="0"/>
        <w:numPr>
          <w:ilvl w:val="0"/>
          <w:numId w:val="8"/>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highlight w:val="none"/>
          <w:shd w:val="clear" w:color="auto" w:fill="auto"/>
          <w:lang w:val="en-US" w:eastAsia="zh-CN"/>
        </w:rPr>
      </w:pPr>
      <w:bookmarkStart w:id="68" w:name="_Toc8270"/>
      <w:bookmarkStart w:id="69" w:name="_Toc5022"/>
      <w:r>
        <w:rPr>
          <w:rFonts w:hint="eastAsia" w:ascii="仿宋_GB2312" w:hAnsi="仿宋_GB2312" w:eastAsia="仿宋_GB2312" w:cs="仿宋_GB2312"/>
          <w:b w:val="0"/>
          <w:color w:val="auto"/>
          <w:sz w:val="32"/>
          <w:szCs w:val="32"/>
          <w:highlight w:val="none"/>
          <w:shd w:val="clear" w:color="auto" w:fill="auto"/>
          <w:lang w:val="en-US" w:eastAsia="zh-CN"/>
        </w:rPr>
        <w:t>相关行业出版的专业书籍、文献、教材等；</w:t>
      </w:r>
      <w:bookmarkEnd w:id="68"/>
      <w:bookmarkEnd w:id="69"/>
    </w:p>
    <w:p>
      <w:pPr>
        <w:pStyle w:val="27"/>
        <w:keepNext w:val="0"/>
        <w:keepLines w:val="0"/>
        <w:pageBreakBefore w:val="0"/>
        <w:widowControl w:val="0"/>
        <w:numPr>
          <w:ilvl w:val="0"/>
          <w:numId w:val="8"/>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highlight w:val="none"/>
          <w:shd w:val="clear" w:color="auto" w:fill="auto"/>
          <w:lang w:val="en-US" w:eastAsia="zh-CN"/>
        </w:rPr>
      </w:pPr>
      <w:bookmarkStart w:id="70" w:name="_Toc29843"/>
      <w:bookmarkStart w:id="71" w:name="_Toc20644"/>
      <w:r>
        <w:rPr>
          <w:rFonts w:hint="eastAsia" w:ascii="仿宋_GB2312" w:hAnsi="仿宋_GB2312" w:eastAsia="仿宋_GB2312" w:cs="仿宋_GB2312"/>
          <w:b w:val="0"/>
          <w:color w:val="auto"/>
          <w:sz w:val="32"/>
          <w:szCs w:val="32"/>
          <w:highlight w:val="none"/>
          <w:shd w:val="clear" w:color="auto" w:fill="auto"/>
          <w:lang w:val="en-US" w:eastAsia="zh-CN"/>
        </w:rPr>
        <w:t>以上均未涉及的或存在冲突的，由招标人与中标人共同商定。</w:t>
      </w:r>
      <w:bookmarkEnd w:id="70"/>
      <w:bookmarkEnd w:id="71"/>
      <w:bookmarkStart w:id="72" w:name="_Toc164752341"/>
    </w:p>
    <w:bookmarkEnd w:id="72"/>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outlineLvl w:val="0"/>
        <w:rPr>
          <w:rFonts w:hint="default" w:ascii="黑体" w:hAnsi="黑体" w:eastAsia="黑体" w:cs="黑体"/>
          <w:b w:val="0"/>
          <w:bCs w:val="0"/>
          <w:color w:val="auto"/>
          <w:sz w:val="32"/>
          <w:szCs w:val="32"/>
          <w:highlight w:val="none"/>
          <w:lang w:val="en-US" w:eastAsia="zh-CN"/>
        </w:rPr>
      </w:pPr>
      <w:bookmarkStart w:id="73" w:name="_Toc15965"/>
      <w:bookmarkStart w:id="74" w:name="_Toc93068888"/>
      <w:bookmarkStart w:id="75" w:name="_Toc3110"/>
      <w:bookmarkStart w:id="76" w:name="_Toc3246"/>
      <w:bookmarkStart w:id="77" w:name="_Toc7210"/>
      <w:bookmarkStart w:id="78" w:name="_Toc532484916"/>
      <w:bookmarkStart w:id="79" w:name="_Toc17812"/>
      <w:bookmarkStart w:id="80" w:name="_Toc7141"/>
      <w:r>
        <w:rPr>
          <w:rFonts w:hint="eastAsia" w:ascii="黑体" w:hAnsi="黑体" w:eastAsia="黑体" w:cs="黑体"/>
          <w:b w:val="0"/>
          <w:bCs w:val="0"/>
          <w:color w:val="auto"/>
          <w:sz w:val="32"/>
          <w:szCs w:val="32"/>
          <w:highlight w:val="none"/>
          <w:lang w:eastAsia="zh-CN"/>
        </w:rPr>
        <w:t>项目实施要求</w:t>
      </w:r>
      <w:bookmarkEnd w:id="73"/>
      <w:bookmarkEnd w:id="74"/>
      <w:bookmarkEnd w:id="75"/>
      <w:bookmarkEnd w:id="76"/>
      <w:bookmarkEnd w:id="77"/>
      <w:bookmarkEnd w:id="78"/>
      <w:bookmarkEnd w:id="79"/>
      <w:bookmarkEnd w:id="80"/>
    </w:p>
    <w:p>
      <w:pPr>
        <w:pStyle w:val="27"/>
        <w:keepNext w:val="0"/>
        <w:keepLines w:val="0"/>
        <w:pageBreakBefore w:val="0"/>
        <w:widowControl w:val="0"/>
        <w:numPr>
          <w:ilvl w:val="0"/>
          <w:numId w:val="9"/>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default" w:ascii="楷体_GB2312" w:hAnsi="楷体_GB2312" w:eastAsia="楷体_GB2312" w:cs="楷体_GB2312"/>
          <w:b w:val="0"/>
          <w:color w:val="auto"/>
          <w:sz w:val="32"/>
          <w:szCs w:val="32"/>
          <w:lang w:val="en-US" w:eastAsia="zh-CN"/>
        </w:rPr>
      </w:pPr>
      <w:bookmarkStart w:id="81" w:name="_Toc2996"/>
      <w:r>
        <w:rPr>
          <w:rFonts w:hint="eastAsia" w:ascii="楷体_GB2312" w:hAnsi="楷体_GB2312" w:eastAsia="楷体_GB2312" w:cs="楷体_GB2312"/>
          <w:b w:val="0"/>
          <w:color w:val="auto"/>
          <w:sz w:val="32"/>
          <w:szCs w:val="32"/>
          <w:lang w:val="en-US" w:eastAsia="zh-CN"/>
        </w:rPr>
        <w:t>现场管理</w:t>
      </w:r>
      <w:r>
        <w:rPr>
          <w:rFonts w:hint="eastAsia" w:ascii="楷体_GB2312" w:hAnsi="楷体_GB2312" w:cs="楷体_GB2312"/>
          <w:b w:val="0"/>
          <w:color w:val="auto"/>
          <w:sz w:val="32"/>
          <w:szCs w:val="32"/>
          <w:lang w:val="en-US" w:eastAsia="zh-CN"/>
        </w:rPr>
        <w:t>要求</w:t>
      </w:r>
      <w:bookmarkEnd w:id="81"/>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82" w:name="_Toc2717"/>
      <w:bookmarkStart w:id="83" w:name="_Toc31000"/>
      <w:r>
        <w:rPr>
          <w:rFonts w:hint="eastAsia" w:ascii="仿宋_GB2312" w:hAnsi="仿宋_GB2312" w:eastAsia="仿宋_GB2312" w:cs="仿宋_GB2312"/>
          <w:b w:val="0"/>
          <w:color w:val="auto"/>
          <w:sz w:val="32"/>
          <w:szCs w:val="32"/>
          <w:lang w:val="en-US" w:eastAsia="zh-CN"/>
        </w:rPr>
        <w:t>原则上自动扶梯维保维修作业时间为非运营时间（运营时间：早上7点至24：00），因考虑实际情况，可由招标人指定在特定运营时间进行维保作业的电梯，双方另行协商。临时任务以及故障处理时间以招标人通知为准。</w:t>
      </w:r>
      <w:bookmarkEnd w:id="82"/>
      <w:bookmarkEnd w:id="83"/>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strike w:val="0"/>
          <w:color w:val="auto"/>
          <w:sz w:val="32"/>
          <w:szCs w:val="32"/>
          <w:lang w:val="en-US" w:eastAsia="zh-CN"/>
        </w:rPr>
      </w:pPr>
      <w:bookmarkStart w:id="84" w:name="_Toc28387"/>
      <w:bookmarkStart w:id="85" w:name="_Toc28690"/>
      <w:r>
        <w:rPr>
          <w:rFonts w:hint="eastAsia" w:ascii="仿宋_GB2312" w:hAnsi="仿宋_GB2312" w:eastAsia="仿宋_GB2312" w:cs="仿宋_GB2312"/>
          <w:b w:val="0"/>
          <w:strike w:val="0"/>
          <w:dstrike w:val="0"/>
          <w:color w:val="auto"/>
          <w:sz w:val="32"/>
          <w:szCs w:val="32"/>
          <w:lang w:val="en-US" w:eastAsia="zh-CN"/>
        </w:rPr>
        <w:t>中标人应制定科学的备品备件储备定额，确保不影响设备检修要求，保证所供备品备件、材料是全新的、未使用过的，原则上应使用自动扶梯原有零部件的品牌型号规格,并完全符合合同规定的质量、品牌、规格和性能的要求。合同中未明确的，须符合国家标准并满足实际规格要求。注明生产厂家的必须按照该品牌提供零部件，未注明生产厂家的零部件中标人可选用经招标人确认的其他品牌。中标人应保证所有备品备件在正确安装、正常的使用和保养条件下，在其使用寿命期内应具有或高于原设计的功能及性能。</w:t>
      </w:r>
      <w:bookmarkEnd w:id="84"/>
      <w:bookmarkEnd w:id="85"/>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strike w:val="0"/>
          <w:dstrike w:val="0"/>
          <w:color w:val="auto"/>
          <w:sz w:val="32"/>
          <w:szCs w:val="32"/>
          <w:highlight w:val="none"/>
          <w:lang w:val="en-US" w:eastAsia="zh-CN"/>
        </w:rPr>
      </w:pPr>
      <w:bookmarkStart w:id="86" w:name="_Toc13345"/>
      <w:bookmarkStart w:id="87" w:name="_Toc2852"/>
      <w:r>
        <w:rPr>
          <w:rFonts w:hint="eastAsia" w:ascii="仿宋_GB2312" w:hAnsi="仿宋_GB2312" w:eastAsia="仿宋_GB2312" w:cs="仿宋_GB2312"/>
          <w:b w:val="0"/>
          <w:strike w:val="0"/>
          <w:dstrike w:val="0"/>
          <w:color w:val="auto"/>
          <w:sz w:val="32"/>
          <w:szCs w:val="32"/>
          <w:highlight w:val="none"/>
          <w:lang w:val="en-US" w:eastAsia="zh-CN"/>
        </w:rPr>
        <w:t>中标人入场后须对自动扶梯和升降平台的现有标示标牌进行整体更换，后续如有损坏，须持续更换。</w:t>
      </w:r>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strike w:val="0"/>
          <w:dstrike w:val="0"/>
          <w:color w:val="auto"/>
          <w:sz w:val="32"/>
          <w:szCs w:val="32"/>
          <w:highlight w:val="none"/>
          <w:lang w:val="en-US" w:eastAsia="zh-CN"/>
        </w:rPr>
      </w:pPr>
      <w:r>
        <w:rPr>
          <w:rFonts w:hint="eastAsia" w:ascii="仿宋_GB2312" w:hAnsi="仿宋_GB2312" w:eastAsia="仿宋_GB2312" w:cs="仿宋_GB2312"/>
          <w:b w:val="0"/>
          <w:strike w:val="0"/>
          <w:dstrike w:val="0"/>
          <w:color w:val="auto"/>
          <w:sz w:val="32"/>
          <w:szCs w:val="32"/>
          <w:highlight w:val="none"/>
          <w:lang w:val="en-US" w:eastAsia="zh-CN"/>
        </w:rPr>
        <w:t>合同执行过程中发生备品备件更换的，中标人负责搬运至招标人指定位置。</w:t>
      </w:r>
      <w:bookmarkEnd w:id="86"/>
      <w:bookmarkEnd w:id="87"/>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strike w:val="0"/>
          <w:dstrike w:val="0"/>
          <w:color w:val="auto"/>
          <w:sz w:val="32"/>
          <w:szCs w:val="32"/>
          <w:lang w:val="en-US" w:eastAsia="zh-CN"/>
        </w:rPr>
      </w:pPr>
      <w:bookmarkStart w:id="88" w:name="_Toc31152"/>
      <w:bookmarkStart w:id="89" w:name="_Toc29081"/>
      <w:r>
        <w:rPr>
          <w:rFonts w:hint="eastAsia" w:ascii="仿宋_GB2312" w:hAnsi="仿宋_GB2312" w:eastAsia="仿宋_GB2312" w:cs="仿宋_GB2312"/>
          <w:b w:val="0"/>
          <w:strike w:val="0"/>
          <w:dstrike w:val="0"/>
          <w:color w:val="auto"/>
          <w:sz w:val="32"/>
          <w:szCs w:val="32"/>
          <w:lang w:val="en-US" w:eastAsia="zh-CN"/>
        </w:rPr>
        <w:t>节假日及特护期期间，中标人需安排专人值守。</w:t>
      </w:r>
      <w:bookmarkEnd w:id="88"/>
      <w:bookmarkEnd w:id="89"/>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strike w:val="0"/>
          <w:dstrike w:val="0"/>
          <w:color w:val="auto"/>
          <w:sz w:val="32"/>
          <w:szCs w:val="32"/>
          <w:lang w:val="en-US" w:eastAsia="zh-CN"/>
        </w:rPr>
      </w:pPr>
      <w:bookmarkStart w:id="90" w:name="_Toc27982"/>
      <w:bookmarkStart w:id="91" w:name="_Toc3513"/>
      <w:r>
        <w:rPr>
          <w:rFonts w:hint="eastAsia" w:ascii="仿宋_GB2312" w:hAnsi="仿宋_GB2312" w:eastAsia="仿宋_GB2312" w:cs="仿宋_GB2312"/>
          <w:b w:val="0"/>
          <w:strike w:val="0"/>
          <w:dstrike w:val="0"/>
          <w:color w:val="auto"/>
          <w:sz w:val="32"/>
          <w:szCs w:val="32"/>
          <w:lang w:val="en-US" w:eastAsia="zh-CN"/>
        </w:rPr>
        <w:t>中标人必须确保按照设备检修周期与工作内容（若在合同执行过程中版本有更新，维修保养工作应以新版本为准）的要求及招标人对指定设备所提出的检修要求进行相关的检修作业，并按照相关规定要求，填写相关记录。保养记录表格内容必须对应设备检修周期与工作内容的项目，以免错漏。中标人根据设备检修周期与工作内容制定检修工艺、检修质量标准、检修工具等手册，经招标人审核后作为施工标准。中标人在进行设备的维修维护过程中，未经招标人同意，不得擅自更改系统及设备的原设计。</w:t>
      </w:r>
      <w:bookmarkEnd w:id="90"/>
      <w:bookmarkEnd w:id="91"/>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strike w:val="0"/>
          <w:dstrike w:val="0"/>
          <w:color w:val="auto"/>
          <w:sz w:val="32"/>
          <w:szCs w:val="32"/>
          <w:lang w:val="en-US" w:eastAsia="zh-CN"/>
        </w:rPr>
      </w:pPr>
      <w:bookmarkStart w:id="92" w:name="_Toc5546"/>
      <w:bookmarkStart w:id="93" w:name="_Toc18678"/>
      <w:r>
        <w:rPr>
          <w:rFonts w:hint="eastAsia" w:ascii="仿宋_GB2312" w:hAnsi="仿宋_GB2312" w:eastAsia="仿宋_GB2312" w:cs="仿宋_GB2312"/>
          <w:b w:val="0"/>
          <w:strike w:val="0"/>
          <w:dstrike w:val="0"/>
          <w:color w:val="auto"/>
          <w:sz w:val="32"/>
          <w:szCs w:val="32"/>
          <w:lang w:val="en-US" w:eastAsia="zh-CN"/>
        </w:rPr>
        <w:t>中标人应本着“实事求是”的原则和态度对西广场自动扶梯及升降平台进行维修维护工作。针对具体的故障，采取切实可行的办法进行处理，坚决杜绝夸大故障、敷衍行事现象的出现，切实维护项目双方的利益。</w:t>
      </w:r>
      <w:bookmarkEnd w:id="92"/>
      <w:bookmarkEnd w:id="93"/>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94" w:name="_Toc30452"/>
      <w:bookmarkStart w:id="95" w:name="_Toc6949"/>
      <w:r>
        <w:rPr>
          <w:rFonts w:hint="eastAsia" w:ascii="仿宋_GB2312" w:hAnsi="仿宋_GB2312" w:eastAsia="仿宋_GB2312" w:cs="仿宋_GB2312"/>
          <w:b w:val="0"/>
          <w:color w:val="auto"/>
          <w:sz w:val="32"/>
          <w:szCs w:val="32"/>
          <w:lang w:val="en-US" w:eastAsia="zh-CN"/>
        </w:rPr>
        <w:t>设备的应急抢修原则上由中标人组织进行，原则上中标人项目负责人为抢修指挥者，中标人项目负责人或技术人员向招标人报告抢修情况。若招标人项目组先到现场可先由招标人项目组代表作为现场抢修指挥，中标人项目负责人或技术人员到场后自然替代。</w:t>
      </w:r>
      <w:bookmarkEnd w:id="94"/>
      <w:bookmarkEnd w:id="95"/>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96" w:name="_Toc22538"/>
      <w:bookmarkStart w:id="97" w:name="_Toc13949"/>
      <w:r>
        <w:rPr>
          <w:rFonts w:hint="eastAsia" w:ascii="仿宋_GB2312" w:hAnsi="仿宋_GB2312" w:eastAsia="仿宋_GB2312" w:cs="仿宋_GB2312"/>
          <w:b w:val="0"/>
          <w:color w:val="auto"/>
          <w:sz w:val="32"/>
          <w:szCs w:val="32"/>
          <w:lang w:val="en-US" w:eastAsia="zh-CN"/>
        </w:rPr>
        <w:t>中标人所安排的检修人员必须配备相应的通信设备设施，并在招标人进行备案，如有变更，必须及时通知招标人，保持通信设施24小时畅通，不得以任何理由拒绝接听招标人的电话。</w:t>
      </w:r>
      <w:bookmarkEnd w:id="96"/>
      <w:bookmarkEnd w:id="97"/>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98" w:name="_Toc11973"/>
      <w:bookmarkStart w:id="99" w:name="_Toc5645"/>
      <w:r>
        <w:rPr>
          <w:rFonts w:hint="eastAsia" w:ascii="仿宋_GB2312" w:hAnsi="仿宋_GB2312" w:eastAsia="仿宋_GB2312" w:cs="仿宋_GB2312"/>
          <w:b w:val="0"/>
          <w:color w:val="auto"/>
          <w:sz w:val="32"/>
          <w:szCs w:val="32"/>
          <w:lang w:val="en-US" w:eastAsia="zh-CN"/>
        </w:rPr>
        <w:t>中标人应对本方人员进行文明生产教育，当中标人人员发现招标人要求存在差异时，应及时的向相关负责人员反映，寻求解决。中标人作业人员不得与招标人人员进行争执（包括现场监控人员、工作人员、设备房使用部门人员），更不准与其他相关工作人员或旅客争执吵闹。</w:t>
      </w:r>
      <w:bookmarkEnd w:id="98"/>
      <w:bookmarkEnd w:id="99"/>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00" w:name="_Toc969"/>
      <w:bookmarkStart w:id="101" w:name="_Toc31689"/>
      <w:r>
        <w:rPr>
          <w:rFonts w:hint="eastAsia" w:ascii="仿宋_GB2312" w:hAnsi="仿宋_GB2312" w:eastAsia="仿宋_GB2312" w:cs="仿宋_GB2312"/>
          <w:b w:val="0"/>
          <w:color w:val="auto"/>
          <w:sz w:val="32"/>
          <w:szCs w:val="32"/>
          <w:lang w:val="en-US" w:eastAsia="zh-CN"/>
        </w:rPr>
        <w:t>中标人必须根据招标人的计划及要求安排人员开展安全检查、专项普查、节假日及重大活动值守等工作。</w:t>
      </w:r>
      <w:bookmarkEnd w:id="100"/>
      <w:bookmarkEnd w:id="101"/>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02" w:name="_Toc16328"/>
      <w:bookmarkStart w:id="103" w:name="_Toc29120"/>
      <w:r>
        <w:rPr>
          <w:rFonts w:hint="eastAsia" w:ascii="仿宋_GB2312" w:hAnsi="仿宋_GB2312" w:eastAsia="仿宋_GB2312" w:cs="仿宋_GB2312"/>
          <w:b w:val="0"/>
          <w:color w:val="auto"/>
          <w:sz w:val="32"/>
          <w:szCs w:val="32"/>
          <w:lang w:val="en-US" w:eastAsia="zh-CN"/>
        </w:rPr>
        <w:t>每年11月30日前提交下一年的年度计划，每月25日前提交下一个月维保计划及本月度故障或事故报告（如有）。每月月底招标人可召开一次维护保养例会，会上中标人对本月维保工作总结进行报告，并就需要招标人协调事项进行沟通，招标人有权更改开会时间和周期。每月5日前向招标人提交上一月的故障维修记录表（附件四）、维保记录（书面）、安全和技能培训等各种记录。对故障处理时间超24小时、电梯摔人、有责客伤等影响较大的故障或事件，应在处理完毕后24小时内向招标人提交处理经过及原因分析报告，如不能举证自身无责，则应承担相关责任。以上所有记录表格格式及内容必须全面如实反映系统维护保养的需求、反映实际的作业情况及故障情况，并得到招标人认可，对不符合要求、瞒报或漏报事实的报告，招标人可视情节进行考核，并退回中标人重新修改，次日再次提交给招标人。专项维护保养记录在作业完成后2个工作日内提交给招标人。</w:t>
      </w:r>
      <w:bookmarkEnd w:id="102"/>
      <w:bookmarkEnd w:id="103"/>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04" w:name="_Toc11531"/>
      <w:bookmarkStart w:id="105" w:name="_Toc16642"/>
      <w:r>
        <w:rPr>
          <w:rFonts w:hint="eastAsia" w:ascii="仿宋_GB2312" w:hAnsi="仿宋_GB2312" w:eastAsia="仿宋_GB2312" w:cs="仿宋_GB2312"/>
          <w:b w:val="0"/>
          <w:color w:val="auto"/>
          <w:sz w:val="32"/>
          <w:szCs w:val="32"/>
          <w:lang w:val="en-US" w:eastAsia="zh-CN"/>
        </w:rPr>
        <w:t>为保证设备维保工作服务质量，中标人须设立项目组，项目组人员必须是与中标人签订正式劳动合同的正式员工。必须保证执行本合同的维护保养人员数量及技术能力稳定，现场维护保养人员、项目经理、电梯专职安全、技术管理人员须持有有效中华人民共和国特种设备安全管理和作业人员证（T），并把相关资料复印件提供给招标人。中标人务必遵照国家规定的劳动法用工。中标人更换维护保养及其它项目组人员必须通知招标人并提交有关人员资料，必须确保替换人员的资历、经验不低于原来被替换的人员（毕业后未转正、一年内的实习生不作为正式作业人员，不计在内），并提供相关内部或送外的培训书面证明，未经招标人书面允许认可，不得更换维护保养</w:t>
      </w:r>
      <w:r>
        <w:rPr>
          <w:rFonts w:hint="eastAsia" w:ascii="仿宋_GB2312" w:hAnsi="仿宋_GB2312" w:eastAsia="仿宋_GB2312" w:cs="仿宋_GB2312"/>
          <w:b w:val="0"/>
          <w:bCs/>
          <w:color w:val="auto"/>
          <w:w w:val="98"/>
          <w:sz w:val="32"/>
          <w:szCs w:val="32"/>
          <w:lang w:val="en-US" w:eastAsia="zh-CN"/>
        </w:rPr>
        <w:t>人员。现场维修保养人员不得少于2人，因维修技术问题中标人项目人员不能解决的由中标人自行安排其他技术人员协助处</w:t>
      </w:r>
      <w:r>
        <w:rPr>
          <w:rFonts w:hint="eastAsia" w:ascii="仿宋_GB2312" w:hAnsi="仿宋_GB2312" w:eastAsia="仿宋_GB2312" w:cs="仿宋_GB2312"/>
          <w:b w:val="0"/>
          <w:color w:val="auto"/>
          <w:sz w:val="32"/>
          <w:szCs w:val="32"/>
          <w:lang w:val="en-US" w:eastAsia="zh-CN"/>
        </w:rPr>
        <w:t>理。</w:t>
      </w:r>
      <w:bookmarkEnd w:id="104"/>
      <w:bookmarkEnd w:id="105"/>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06" w:name="_Toc11147"/>
      <w:bookmarkStart w:id="107" w:name="_Toc21731"/>
      <w:r>
        <w:rPr>
          <w:rFonts w:hint="eastAsia" w:ascii="仿宋_GB2312" w:hAnsi="仿宋_GB2312" w:eastAsia="仿宋_GB2312" w:cs="仿宋_GB2312"/>
          <w:b w:val="0"/>
          <w:color w:val="auto"/>
          <w:sz w:val="32"/>
          <w:szCs w:val="32"/>
          <w:lang w:val="en-US" w:eastAsia="zh-CN"/>
        </w:rPr>
        <w:t>中标人须按照招标人要求的格式制定详细的维修保养方案、维修保养计划及时间安排表，在项目签订前一个月内提交给招标人审定，中标人必须按审定的维护保养方案（维保手册）、计划及实施细则进行设备维护保养工作，在维保过程中，中标人有义务协助招标人完善维保作业的内容，并向招标人提出合理化建议。</w:t>
      </w:r>
      <w:bookmarkEnd w:id="106"/>
      <w:bookmarkEnd w:id="107"/>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08" w:name="_Toc7955"/>
      <w:bookmarkStart w:id="109" w:name="_Toc28075"/>
      <w:r>
        <w:rPr>
          <w:rFonts w:hint="eastAsia" w:ascii="仿宋_GB2312" w:hAnsi="仿宋_GB2312" w:eastAsia="仿宋_GB2312" w:cs="仿宋_GB2312"/>
          <w:b w:val="0"/>
          <w:color w:val="auto"/>
          <w:sz w:val="32"/>
          <w:szCs w:val="32"/>
          <w:lang w:val="en-US" w:eastAsia="zh-CN"/>
        </w:rPr>
        <w:t>中标人必须按照招标人要求将合同实施过程中产生的相关文件资料进行归档并移交招标人。</w:t>
      </w:r>
      <w:bookmarkEnd w:id="108"/>
      <w:bookmarkEnd w:id="109"/>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10" w:name="_Toc9475"/>
      <w:bookmarkStart w:id="111" w:name="_Toc14033"/>
      <w:r>
        <w:rPr>
          <w:rFonts w:hint="eastAsia" w:ascii="仿宋_GB2312" w:hAnsi="仿宋_GB2312" w:eastAsia="仿宋_GB2312" w:cs="仿宋_GB2312"/>
          <w:b w:val="0"/>
          <w:color w:val="auto"/>
          <w:sz w:val="32"/>
          <w:szCs w:val="32"/>
          <w:lang w:val="en-US" w:eastAsia="zh-CN"/>
        </w:rPr>
        <w:t>需用到的备品备件原则上全部由中标人人员进行搬运，特殊情况，招标人可给与协助。</w:t>
      </w:r>
      <w:bookmarkEnd w:id="110"/>
      <w:bookmarkEnd w:id="111"/>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12" w:name="_Toc6727"/>
      <w:bookmarkStart w:id="113" w:name="_Toc31443"/>
      <w:r>
        <w:rPr>
          <w:rFonts w:hint="eastAsia" w:ascii="仿宋_GB2312" w:hAnsi="仿宋_GB2312" w:eastAsia="仿宋_GB2312" w:cs="仿宋_GB2312"/>
          <w:b w:val="0"/>
          <w:color w:val="auto"/>
          <w:sz w:val="32"/>
          <w:szCs w:val="32"/>
          <w:lang w:val="en-US" w:eastAsia="zh-CN"/>
        </w:rPr>
        <w:t>中标人项目负责人至少每季度对维保范围内设备运行状态、作</w:t>
      </w:r>
      <w:r>
        <w:rPr>
          <w:rFonts w:hint="eastAsia" w:ascii="仿宋_GB2312" w:hAnsi="仿宋_GB2312" w:eastAsia="仿宋_GB2312" w:cs="仿宋_GB2312"/>
          <w:b w:val="0"/>
          <w:bCs/>
          <w:color w:val="auto"/>
          <w:spacing w:val="-6"/>
          <w:sz w:val="32"/>
          <w:szCs w:val="32"/>
          <w:lang w:val="en-US" w:eastAsia="zh-CN"/>
        </w:rPr>
        <w:t>业人员施工作业质量及安全进行一次监察评估，评估记录交交招标人存档。</w:t>
      </w:r>
      <w:bookmarkEnd w:id="112"/>
      <w:bookmarkEnd w:id="113"/>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14" w:name="_Toc10943"/>
      <w:bookmarkStart w:id="115" w:name="_Toc7313"/>
      <w:r>
        <w:rPr>
          <w:rFonts w:hint="eastAsia" w:ascii="仿宋_GB2312" w:hAnsi="仿宋_GB2312" w:eastAsia="仿宋_GB2312" w:cs="仿宋_GB2312"/>
          <w:b w:val="0"/>
          <w:color w:val="auto"/>
          <w:sz w:val="32"/>
          <w:szCs w:val="32"/>
          <w:lang w:val="en-US" w:eastAsia="zh-CN"/>
        </w:rPr>
        <w:t>中标人必须按招标人要求办理与本项目有关的证件，同时在人员发生变动、合同到期等情况下，按招标人要求回收相关证件资料原件。</w:t>
      </w:r>
      <w:bookmarkEnd w:id="114"/>
      <w:bookmarkEnd w:id="115"/>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16" w:name="_Toc18876"/>
      <w:bookmarkStart w:id="117" w:name="_Toc22521"/>
      <w:r>
        <w:rPr>
          <w:rFonts w:hint="eastAsia" w:ascii="仿宋_GB2312" w:hAnsi="仿宋_GB2312" w:eastAsia="仿宋_GB2312" w:cs="仿宋_GB2312"/>
          <w:b w:val="0"/>
          <w:color w:val="auto"/>
          <w:sz w:val="32"/>
          <w:szCs w:val="32"/>
          <w:lang w:val="en-US" w:eastAsia="zh-CN"/>
        </w:rPr>
        <w:t>中标人负责人必须向招标人书面报备有效的通讯方式，包括电话、通讯地址、邮箱地址等，如上述信息发生变动，中标人须重新向招标人书面报备。</w:t>
      </w:r>
      <w:bookmarkEnd w:id="116"/>
      <w:bookmarkEnd w:id="117"/>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18" w:name="_Toc18135"/>
      <w:bookmarkStart w:id="119" w:name="_Toc22329"/>
      <w:r>
        <w:rPr>
          <w:rFonts w:hint="eastAsia" w:ascii="仿宋_GB2312" w:hAnsi="仿宋_GB2312" w:eastAsia="仿宋_GB2312" w:cs="仿宋_GB2312"/>
          <w:b w:val="0"/>
          <w:color w:val="auto"/>
          <w:sz w:val="32"/>
          <w:szCs w:val="32"/>
          <w:lang w:val="en-US" w:eastAsia="zh-CN"/>
        </w:rPr>
        <w:t>自合同签订起，中标人须向招标人书面报备用章授权证明资料，中标人提交招标人资料文件须加盖相应公章。</w:t>
      </w:r>
      <w:bookmarkEnd w:id="118"/>
      <w:bookmarkEnd w:id="119"/>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20" w:name="_Toc19250"/>
      <w:bookmarkStart w:id="121" w:name="_Toc8013"/>
      <w:r>
        <w:rPr>
          <w:rFonts w:hint="eastAsia" w:ascii="仿宋_GB2312" w:hAnsi="仿宋_GB2312" w:eastAsia="仿宋_GB2312" w:cs="仿宋_GB2312"/>
          <w:b w:val="0"/>
          <w:color w:val="auto"/>
          <w:sz w:val="32"/>
          <w:szCs w:val="32"/>
          <w:lang w:val="en-US" w:eastAsia="zh-CN"/>
        </w:rPr>
        <w:t>国标、检规发生细则变化影响电梯年审时，中标人须在电梯年审前3个月向招标人书面提出提醒，同时配合招标人完成相应的整改。</w:t>
      </w:r>
      <w:bookmarkEnd w:id="120"/>
      <w:bookmarkEnd w:id="121"/>
    </w:p>
    <w:p>
      <w:pPr>
        <w:pStyle w:val="27"/>
        <w:keepNext w:val="0"/>
        <w:keepLines w:val="0"/>
        <w:pageBreakBefore w:val="0"/>
        <w:widowControl w:val="0"/>
        <w:numPr>
          <w:ilvl w:val="0"/>
          <w:numId w:val="10"/>
        </w:numPr>
        <w:kinsoku/>
        <w:wordWrap/>
        <w:overflowPunct/>
        <w:topLinePunct w:val="0"/>
        <w:autoSpaceDE/>
        <w:autoSpaceDN/>
        <w:bidi w:val="0"/>
        <w:adjustRightInd/>
        <w:snapToGrid/>
        <w:spacing w:before="0" w:after="0" w:line="560" w:lineRule="exact"/>
        <w:ind w:left="0" w:leftChars="0" w:firstLine="720" w:firstLineChars="228"/>
        <w:jc w:val="left"/>
        <w:textAlignment w:val="auto"/>
        <w:outlineLvl w:val="9"/>
        <w:rPr>
          <w:rFonts w:hint="eastAsia" w:ascii="仿宋_GB2312" w:hAnsi="仿宋_GB2312" w:eastAsia="仿宋_GB2312" w:cs="仿宋_GB2312"/>
          <w:b w:val="0"/>
          <w:bCs/>
          <w:color w:val="auto"/>
          <w:w w:val="99"/>
          <w:sz w:val="32"/>
          <w:szCs w:val="32"/>
          <w:highlight w:val="none"/>
          <w:lang w:val="en-US" w:eastAsia="zh-CN"/>
        </w:rPr>
      </w:pPr>
      <w:bookmarkStart w:id="122" w:name="_Toc19625"/>
      <w:bookmarkStart w:id="123" w:name="_Toc14"/>
      <w:r>
        <w:rPr>
          <w:rFonts w:hint="eastAsia" w:ascii="仿宋_GB2312" w:hAnsi="仿宋_GB2312" w:eastAsia="仿宋_GB2312" w:cs="仿宋_GB2312"/>
          <w:b w:val="0"/>
          <w:bCs/>
          <w:color w:val="auto"/>
          <w:w w:val="99"/>
          <w:sz w:val="32"/>
          <w:szCs w:val="32"/>
          <w:highlight w:val="none"/>
          <w:lang w:val="en-US" w:eastAsia="zh-CN"/>
        </w:rPr>
        <w:t>中标人须向招标人提交的日常管理文件包括日常维护保养记录、维护保养计划、故障处理记录、维保月度质量报告、安全和技能培训记录、本月总结及下月工作计划、专项维护保养记录（如有）、分析报告（如有）等。对于重要核心的备件，除提供合格证、产地证外，还需提供相应的出厂试验报告等文件。</w:t>
      </w:r>
      <w:bookmarkEnd w:id="122"/>
      <w:bookmarkEnd w:id="123"/>
    </w:p>
    <w:p>
      <w:pPr>
        <w:pStyle w:val="27"/>
        <w:keepNext w:val="0"/>
        <w:keepLines w:val="0"/>
        <w:pageBreakBefore w:val="0"/>
        <w:widowControl w:val="0"/>
        <w:numPr>
          <w:ilvl w:val="0"/>
          <w:numId w:val="9"/>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lang w:val="en-US" w:eastAsia="zh-CN"/>
        </w:rPr>
      </w:pPr>
      <w:bookmarkStart w:id="124" w:name="_Toc28301"/>
      <w:r>
        <w:rPr>
          <w:rFonts w:hint="eastAsia" w:ascii="楷体_GB2312" w:hAnsi="楷体_GB2312" w:eastAsia="楷体_GB2312" w:cs="楷体_GB2312"/>
          <w:b w:val="0"/>
          <w:color w:val="auto"/>
          <w:sz w:val="32"/>
          <w:szCs w:val="32"/>
          <w:lang w:val="en-US" w:eastAsia="zh-CN"/>
        </w:rPr>
        <w:t>安全管理要求</w:t>
      </w:r>
      <w:bookmarkEnd w:id="124"/>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25" w:name="_Toc24684"/>
      <w:bookmarkStart w:id="126" w:name="_Toc2370"/>
      <w:r>
        <w:rPr>
          <w:rFonts w:hint="eastAsia" w:ascii="仿宋_GB2312" w:hAnsi="仿宋_GB2312" w:eastAsia="仿宋_GB2312" w:cs="仿宋_GB2312"/>
          <w:b w:val="0"/>
          <w:color w:val="auto"/>
          <w:sz w:val="32"/>
          <w:szCs w:val="32"/>
          <w:lang w:val="en-US" w:eastAsia="zh-CN"/>
        </w:rPr>
        <w:t>招标人向中标人提供完成本项目的基础资料，提供中标人认为需要了解的公司各部门制定的规章制度及规范。</w:t>
      </w:r>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招标人有权对工期、安全、质量、人员、设备、仪器进行监督检查，对不符合技术要求或特种设备相关管理规定或项目要求及招标人管理的工作，中标人必须自费进行返工。</w:t>
      </w:r>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招标人协助驻现场维修保养人员有力的开展工作（包括半月检、季检、半年检、年检、故障处理等），负责对驻现场维修保养人员的临时工作证的资格和数量进行审核，给予中标人驻现场作业人员办理临时工作证。</w:t>
      </w:r>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招标人向中标人免费提供设备维护所需用电、用水。</w:t>
      </w:r>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招标人有权每季度一次抽查中标人项目范围内的备件库存清单并检验库存状况。</w:t>
      </w:r>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中标人对自动扶梯及升降平台维护保养的质量和安全性能承担责任。合同期间因中标人责任发生的任何故障、伤人或造成财产损失和法律责任的，都全部由中标人承担所有责任及费用。如若损害招标人权益的，中标人有义务赔偿招标人损失，中标人有义务监管设备接口施工，配合招标人有关设备维保、操作培训。</w:t>
      </w:r>
      <w:bookmarkEnd w:id="125"/>
      <w:bookmarkEnd w:id="126"/>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27" w:name="_Toc11032"/>
      <w:bookmarkStart w:id="128" w:name="_Toc17369"/>
      <w:r>
        <w:rPr>
          <w:rFonts w:hint="eastAsia" w:ascii="仿宋_GB2312" w:hAnsi="仿宋_GB2312" w:eastAsia="仿宋_GB2312" w:cs="仿宋_GB2312"/>
          <w:b w:val="0"/>
          <w:color w:val="auto"/>
          <w:sz w:val="32"/>
          <w:szCs w:val="32"/>
          <w:lang w:val="en-US" w:eastAsia="zh-CN"/>
        </w:rPr>
        <w:t>中标人必须牢固树立“安全第一、预防为主”的思想，掌握、严守招标人制定的相关规章制度，相关规章制度在项目进场会时明确，若规章制度在合同执行过程中版本有更新，中标人无条件执行最新规章制度。</w:t>
      </w:r>
      <w:bookmarkEnd w:id="127"/>
      <w:bookmarkEnd w:id="128"/>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29" w:name="_Toc17107"/>
      <w:bookmarkStart w:id="130" w:name="_Toc28512"/>
      <w:r>
        <w:rPr>
          <w:rFonts w:hint="eastAsia" w:ascii="仿宋_GB2312" w:hAnsi="仿宋_GB2312" w:eastAsia="仿宋_GB2312" w:cs="仿宋_GB2312"/>
          <w:b w:val="0"/>
          <w:color w:val="auto"/>
          <w:sz w:val="32"/>
          <w:szCs w:val="32"/>
          <w:lang w:val="en-US" w:eastAsia="zh-CN"/>
        </w:rPr>
        <w:t>中标人应对所有参与该项目的作业人员统一着工装，并按要求穿戴劳保用品，为维护招标人的社会形象，作业人员在作业期间严禁穿戴奇装异服。</w:t>
      </w:r>
      <w:bookmarkEnd w:id="129"/>
      <w:bookmarkEnd w:id="130"/>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31" w:name="_Toc5039"/>
      <w:bookmarkStart w:id="132" w:name="_Toc10388"/>
      <w:r>
        <w:rPr>
          <w:rFonts w:hint="eastAsia" w:ascii="仿宋_GB2312" w:hAnsi="仿宋_GB2312" w:eastAsia="仿宋_GB2312" w:cs="仿宋_GB2312"/>
          <w:b w:val="0"/>
          <w:color w:val="auto"/>
          <w:sz w:val="32"/>
          <w:szCs w:val="32"/>
          <w:lang w:val="en-US" w:eastAsia="zh-CN"/>
        </w:rPr>
        <w:t>在作业中，中标人人员只负责所辖设备设施的检修，对于不熟悉的设备设施不得进行摸、碰，更不得对不清楚的设备设施进行操作。进入设备房进行检修作业的必须确认该设备房的使用部门在场方可进行检修作业，当设备房内无使用部门人员监控时，严禁进入他人设备房进行相关的检修作业。</w:t>
      </w:r>
      <w:bookmarkEnd w:id="131"/>
      <w:bookmarkEnd w:id="132"/>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33" w:name="_Toc21008"/>
      <w:bookmarkStart w:id="134" w:name="_Toc11410"/>
      <w:r>
        <w:rPr>
          <w:rFonts w:hint="eastAsia" w:ascii="仿宋_GB2312" w:hAnsi="仿宋_GB2312" w:eastAsia="仿宋_GB2312" w:cs="仿宋_GB2312"/>
          <w:b w:val="0"/>
          <w:color w:val="auto"/>
          <w:sz w:val="32"/>
          <w:szCs w:val="32"/>
          <w:lang w:val="en-US" w:eastAsia="zh-CN"/>
        </w:rPr>
        <w:t>中标人应该严格按照“安全第一、预防为主”的思想，不断的加强员工的安全生产教育，将安全生产贯彻到日常的工作中。对于招标人要求参加的安全生产会议，中标人应该认真的组织相关人员参加。对于招标人颁布的安全生产规定，中标人应不折不扣的执行。对于由中标人不按照相关安全规定和检修规程进行作业所引发的损失、事故，中标人负全部责任，并赔偿直接损失。</w:t>
      </w:r>
      <w:bookmarkEnd w:id="133"/>
      <w:bookmarkEnd w:id="134"/>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35" w:name="_Toc7519"/>
      <w:bookmarkStart w:id="136" w:name="_Toc31999"/>
      <w:r>
        <w:rPr>
          <w:rFonts w:hint="eastAsia" w:ascii="仿宋_GB2312" w:hAnsi="仿宋_GB2312" w:eastAsia="仿宋_GB2312" w:cs="仿宋_GB2312"/>
          <w:b w:val="0"/>
          <w:color w:val="auto"/>
          <w:sz w:val="32"/>
          <w:szCs w:val="32"/>
          <w:lang w:val="en-US" w:eastAsia="zh-CN"/>
        </w:rPr>
        <w:t>中标人在检修过程中所发生的事故，中标人应本着“诚实、合作、及时”的思想及时通知招标人，配合招标人做好事故的调查和分析工作，不得隐瞒、推卸责任。</w:t>
      </w:r>
      <w:bookmarkEnd w:id="135"/>
      <w:bookmarkEnd w:id="136"/>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37" w:name="_Toc5381"/>
      <w:bookmarkStart w:id="138" w:name="_Toc20986"/>
      <w:bookmarkStart w:id="139" w:name="_Toc15006"/>
      <w:bookmarkStart w:id="140" w:name="_Toc13130"/>
      <w:bookmarkStart w:id="141" w:name="_Toc532484917"/>
      <w:bookmarkStart w:id="142" w:name="_Toc24694"/>
      <w:bookmarkStart w:id="143" w:name="_Toc1689"/>
      <w:r>
        <w:rPr>
          <w:rFonts w:hint="eastAsia" w:ascii="仿宋_GB2312" w:hAnsi="仿宋_GB2312" w:eastAsia="仿宋_GB2312" w:cs="仿宋_GB2312"/>
          <w:b w:val="0"/>
          <w:color w:val="auto"/>
          <w:sz w:val="32"/>
          <w:szCs w:val="32"/>
          <w:lang w:val="en-US" w:eastAsia="zh-CN"/>
        </w:rPr>
        <w:t>中标人必须参加招标人组织的不定期故障演练，演练按故障处理流程要求执行。</w:t>
      </w:r>
      <w:bookmarkEnd w:id="137"/>
      <w:bookmarkEnd w:id="138"/>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44" w:name="_Toc23036"/>
      <w:bookmarkStart w:id="145" w:name="_Toc11741"/>
      <w:r>
        <w:rPr>
          <w:rFonts w:hint="eastAsia" w:ascii="仿宋_GB2312" w:hAnsi="仿宋_GB2312" w:eastAsia="仿宋_GB2312" w:cs="仿宋_GB2312"/>
          <w:b w:val="0"/>
          <w:color w:val="auto"/>
          <w:sz w:val="32"/>
          <w:szCs w:val="32"/>
          <w:lang w:val="en-US" w:eastAsia="zh-CN"/>
        </w:rPr>
        <w:t>中标人须每月将项目组成员在中标人公司接受的各项培训记录提交给招标人备案。</w:t>
      </w:r>
      <w:bookmarkEnd w:id="144"/>
      <w:bookmarkEnd w:id="145"/>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46" w:name="_Toc20720"/>
      <w:bookmarkStart w:id="147" w:name="_Toc13608"/>
      <w:r>
        <w:rPr>
          <w:rFonts w:hint="eastAsia" w:ascii="仿宋_GB2312" w:hAnsi="仿宋_GB2312" w:eastAsia="仿宋_GB2312" w:cs="仿宋_GB2312"/>
          <w:b w:val="0"/>
          <w:color w:val="auto"/>
          <w:sz w:val="32"/>
          <w:szCs w:val="32"/>
          <w:lang w:val="en-US" w:eastAsia="zh-CN"/>
        </w:rPr>
        <w:t>中标人必须严格按照项目要求及招标人所制定的规章制度进行作业，回收维保过程中产生废弃物、危险品及废油并负责处理，保持环境卫生并负责由于设备润滑油污染地面石材的清洁和更换。</w:t>
      </w:r>
      <w:bookmarkEnd w:id="146"/>
      <w:bookmarkEnd w:id="147"/>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中标人维护保养前，应对现场设备运行情况进行全面了解，在招标人提供的地点配备充足的备品备件及材料，故障发生时能及时更换。现场作业须遵守招标人的安全作业程序、条文。承担维修过程中损坏西广场有关设备的全部责任，承担维修保养不当引发事件的全部责任。</w:t>
      </w:r>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48" w:name="_Toc3101"/>
      <w:bookmarkStart w:id="149" w:name="_Toc22710"/>
      <w:r>
        <w:rPr>
          <w:rFonts w:hint="eastAsia" w:ascii="仿宋_GB2312" w:hAnsi="仿宋_GB2312" w:eastAsia="仿宋_GB2312" w:cs="仿宋_GB2312"/>
          <w:b w:val="0"/>
          <w:color w:val="auto"/>
          <w:sz w:val="32"/>
          <w:szCs w:val="32"/>
          <w:lang w:val="en-US" w:eastAsia="zh-CN"/>
        </w:rPr>
        <w:t>中标人在维护保养中所有更换下来的故障备品备件、零部件及材料必须在更换时交还招标人处理，涉及到中标人核心知识产权的，双方共同销损。</w:t>
      </w:r>
      <w:bookmarkEnd w:id="148"/>
      <w:bookmarkEnd w:id="149"/>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0" w:firstLineChars="228"/>
        <w:jc w:val="left"/>
        <w:textAlignment w:val="auto"/>
        <w:outlineLvl w:val="9"/>
        <w:rPr>
          <w:rFonts w:hint="eastAsia" w:ascii="仿宋_GB2312" w:hAnsi="仿宋_GB2312" w:eastAsia="仿宋_GB2312" w:cs="仿宋_GB2312"/>
          <w:b w:val="0"/>
          <w:bCs/>
          <w:color w:val="auto"/>
          <w:w w:val="99"/>
          <w:sz w:val="32"/>
          <w:szCs w:val="32"/>
          <w:lang w:val="en-US" w:eastAsia="zh-CN"/>
        </w:rPr>
      </w:pPr>
      <w:bookmarkStart w:id="150" w:name="_Toc237"/>
      <w:bookmarkStart w:id="151" w:name="_Toc18352"/>
      <w:r>
        <w:rPr>
          <w:rFonts w:hint="eastAsia" w:ascii="仿宋_GB2312" w:hAnsi="仿宋_GB2312" w:eastAsia="仿宋_GB2312" w:cs="仿宋_GB2312"/>
          <w:b w:val="0"/>
          <w:bCs/>
          <w:color w:val="auto"/>
          <w:w w:val="99"/>
          <w:sz w:val="32"/>
          <w:szCs w:val="32"/>
          <w:lang w:val="en-US" w:eastAsia="zh-CN"/>
        </w:rPr>
        <w:t>中标人由于未履行相关职责，违反相关特种设备质量安全管理办法、法规或条例等，被特种设备安全监督管理部门检查发现并处罚招标人的全部金额及相关法律责任由中标人承担。</w:t>
      </w:r>
      <w:bookmarkEnd w:id="150"/>
      <w:bookmarkEnd w:id="151"/>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52" w:name="_Toc31074"/>
      <w:bookmarkStart w:id="153" w:name="_Toc32466"/>
      <w:r>
        <w:rPr>
          <w:rFonts w:hint="eastAsia" w:ascii="仿宋_GB2312" w:hAnsi="仿宋_GB2312" w:eastAsia="仿宋_GB2312" w:cs="仿宋_GB2312"/>
          <w:b w:val="0"/>
          <w:color w:val="auto"/>
          <w:sz w:val="32"/>
          <w:szCs w:val="32"/>
          <w:lang w:val="en-US" w:eastAsia="zh-CN"/>
        </w:rPr>
        <w:t>中标人每年对负责维护保养的电梯进行至少一次全面的检修，以确保电梯安全运行，并确保招标人相关设备及对设备的管理工作通过政府部门年度安全检验及检测，费用及相关证件的办理由中标人负责，由于中标人原因所产生的所有复检费用，由中标人承担。</w:t>
      </w:r>
      <w:bookmarkEnd w:id="152"/>
      <w:bookmarkEnd w:id="153"/>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中标人更换的备品备件及材料未按照原设备品牌型号更换的（停产或市面上有升级替换产品，中标人向招标人提交正式书面说明，并经招标人确认的除外）或有缺陷的，中标人应在收到招标人书面警告两个工作日内用符合项目要求的产品替换。给招标人造成损失的，须赔偿招标人的损失。损失金额以招标人计算为准（中标人有证据证明招标人计算有误除外）。</w:t>
      </w:r>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中标人必须预留足够时间向质检部门提出检验需求，并在检验日期到期前张贴新检验标志。</w:t>
      </w:r>
    </w:p>
    <w:p>
      <w:pPr>
        <w:pStyle w:val="27"/>
        <w:keepNext w:val="0"/>
        <w:keepLines w:val="0"/>
        <w:pageBreakBefore w:val="0"/>
        <w:widowControl w:val="0"/>
        <w:numPr>
          <w:ilvl w:val="0"/>
          <w:numId w:val="11"/>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54" w:name="_Toc23110"/>
      <w:bookmarkStart w:id="155" w:name="_Toc18346"/>
      <w:r>
        <w:rPr>
          <w:rFonts w:hint="eastAsia" w:ascii="仿宋_GB2312" w:hAnsi="仿宋_GB2312" w:eastAsia="仿宋_GB2312" w:cs="仿宋_GB2312"/>
          <w:b w:val="0"/>
          <w:color w:val="auto"/>
          <w:sz w:val="32"/>
          <w:szCs w:val="32"/>
          <w:lang w:val="en-US" w:eastAsia="zh-CN"/>
        </w:rPr>
        <w:t>本项目所有服务内容必须严格按照《中华人民共和国特种设备安全法》第二十二条、四十五条和《中华人民共和国国务院第549号（特种设备安全监察条例）》第三十一条等相关法律法规及行业主管部门的规定执行，确保所有的作业依法依规开展。中标人必须严格遵守《长沙市电梯安全管理办法》第二十一条：“电梯维护保养单位在本市开展电梯维护保养业务，应当具备相应资质条件要求，在本市设置固定办公场所，配备相应资格的作业人员、仪器设备和应急救援电话”。第二十二条：“至少每十五日进行一次维护保养工作要求，制定相应应急救援预案，至少每半年进行一次应急演练要求。建立电梯的维护保养记录和技术档案，进行电梯定期检验前的安全性能自行检查”。自行检查项目不得少于《电梯维护保养规则》与《电梯、自动扶梯监督检验和定期检验规则》关于年度维护保养和电梯定期检验检测规定的项目及其内容，并向电梯使用管理者出具检测报告。法律、法规、规章及电梯安全技术规范规定的其他安全管理职责等内容。</w:t>
      </w:r>
      <w:bookmarkEnd w:id="154"/>
      <w:bookmarkEnd w:id="155"/>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outlineLvl w:val="0"/>
        <w:rPr>
          <w:rFonts w:hint="eastAsia" w:ascii="黑体" w:hAnsi="黑体" w:eastAsia="黑体" w:cs="黑体"/>
          <w:b w:val="0"/>
          <w:bCs w:val="0"/>
          <w:color w:val="auto"/>
          <w:sz w:val="32"/>
          <w:szCs w:val="32"/>
          <w:highlight w:val="none"/>
          <w:lang w:eastAsia="zh-CN"/>
        </w:rPr>
      </w:pPr>
      <w:bookmarkStart w:id="156" w:name="_Toc18957"/>
      <w:bookmarkStart w:id="157" w:name="_Toc93068889"/>
      <w:bookmarkStart w:id="158" w:name="_Toc26793"/>
      <w:r>
        <w:rPr>
          <w:rFonts w:hint="eastAsia" w:ascii="黑体" w:hAnsi="黑体" w:eastAsia="黑体" w:cs="黑体"/>
          <w:b w:val="0"/>
          <w:bCs w:val="0"/>
          <w:color w:val="auto"/>
          <w:sz w:val="32"/>
          <w:szCs w:val="32"/>
          <w:highlight w:val="none"/>
          <w:lang w:eastAsia="zh-CN"/>
        </w:rPr>
        <w:t>项目验收</w:t>
      </w:r>
      <w:bookmarkEnd w:id="139"/>
      <w:bookmarkEnd w:id="140"/>
      <w:bookmarkEnd w:id="141"/>
      <w:bookmarkEnd w:id="142"/>
      <w:bookmarkEnd w:id="143"/>
      <w:bookmarkEnd w:id="156"/>
      <w:bookmarkEnd w:id="157"/>
      <w:bookmarkEnd w:id="158"/>
    </w:p>
    <w:p>
      <w:pPr>
        <w:pStyle w:val="27"/>
        <w:keepNext w:val="0"/>
        <w:keepLines w:val="0"/>
        <w:pageBreakBefore w:val="0"/>
        <w:widowControl w:val="0"/>
        <w:numPr>
          <w:ilvl w:val="0"/>
          <w:numId w:val="12"/>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lang w:val="en-US" w:eastAsia="zh-CN"/>
        </w:rPr>
      </w:pPr>
      <w:bookmarkStart w:id="159" w:name="_Toc26607"/>
      <w:bookmarkStart w:id="160" w:name="_Toc9790"/>
      <w:r>
        <w:rPr>
          <w:rFonts w:hint="eastAsia" w:ascii="楷体_GB2312" w:hAnsi="楷体_GB2312" w:eastAsia="楷体_GB2312" w:cs="楷体_GB2312"/>
          <w:b w:val="0"/>
          <w:color w:val="auto"/>
          <w:sz w:val="32"/>
          <w:szCs w:val="32"/>
          <w:lang w:val="en-US" w:eastAsia="zh-CN"/>
        </w:rPr>
        <w:t>付款及验收文件</w:t>
      </w:r>
      <w:bookmarkEnd w:id="159"/>
      <w:bookmarkEnd w:id="160"/>
    </w:p>
    <w:p>
      <w:pPr>
        <w:pStyle w:val="27"/>
        <w:keepNext w:val="0"/>
        <w:keepLines w:val="0"/>
        <w:pageBreakBefore w:val="0"/>
        <w:widowControl w:val="0"/>
        <w:numPr>
          <w:ilvl w:val="0"/>
          <w:numId w:val="13"/>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highlight w:val="none"/>
          <w:lang w:val="en-US" w:eastAsia="zh-CN"/>
        </w:rPr>
      </w:pPr>
      <w:bookmarkStart w:id="161" w:name="_Toc14669"/>
      <w:r>
        <w:rPr>
          <w:rFonts w:hint="eastAsia" w:ascii="仿宋_GB2312" w:hAnsi="仿宋_GB2312" w:eastAsia="仿宋_GB2312" w:cs="仿宋_GB2312"/>
          <w:b w:val="0"/>
          <w:color w:val="auto"/>
          <w:sz w:val="32"/>
          <w:szCs w:val="32"/>
          <w:highlight w:val="none"/>
          <w:lang w:val="en-US" w:eastAsia="zh-CN"/>
        </w:rPr>
        <w:t>自动扶梯及升降平台维保服务付款文件包括：评价评分表、费用清单。验收文件包括：日常维护保养记录、维保质量抽查记录表、评价评分表、整改(考核)通知书（如有）、故障处理记录、月度（年度）评价、月（年）度维护保养计划、月度维保质量报告、月度（年度）安全培训、</w:t>
      </w:r>
      <w:bookmarkEnd w:id="161"/>
      <w:r>
        <w:rPr>
          <w:rFonts w:hint="eastAsia" w:ascii="仿宋_GB2312" w:hAnsi="仿宋_GB2312" w:eastAsia="仿宋_GB2312" w:cs="仿宋_GB2312"/>
          <w:b w:val="0"/>
          <w:color w:val="auto"/>
          <w:sz w:val="32"/>
          <w:szCs w:val="32"/>
          <w:highlight w:val="none"/>
          <w:lang w:val="en-US" w:eastAsia="zh-CN"/>
        </w:rPr>
        <w:t>服务质量分析评价报告。</w:t>
      </w:r>
    </w:p>
    <w:p>
      <w:pPr>
        <w:pStyle w:val="27"/>
        <w:keepNext w:val="0"/>
        <w:keepLines w:val="0"/>
        <w:pageBreakBefore w:val="0"/>
        <w:widowControl w:val="0"/>
        <w:numPr>
          <w:ilvl w:val="0"/>
          <w:numId w:val="13"/>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62" w:name="_Toc19115"/>
      <w:r>
        <w:rPr>
          <w:rFonts w:hint="eastAsia" w:ascii="仿宋_GB2312" w:hAnsi="仿宋_GB2312" w:eastAsia="仿宋_GB2312" w:cs="仿宋_GB2312"/>
          <w:b w:val="0"/>
          <w:color w:val="auto"/>
          <w:sz w:val="32"/>
          <w:szCs w:val="32"/>
          <w:lang w:val="en-US" w:eastAsia="zh-CN"/>
        </w:rPr>
        <w:t>零配件更换付款及验收文件包括：电梯故障处理记录、零配件合格证（出厂试验报告）、费用清单。</w:t>
      </w:r>
      <w:bookmarkEnd w:id="162"/>
    </w:p>
    <w:p>
      <w:pPr>
        <w:pStyle w:val="27"/>
        <w:keepNext w:val="0"/>
        <w:keepLines w:val="0"/>
        <w:pageBreakBefore w:val="0"/>
        <w:widowControl w:val="0"/>
        <w:numPr>
          <w:ilvl w:val="0"/>
          <w:numId w:val="12"/>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lang w:val="en-US" w:eastAsia="zh-CN"/>
        </w:rPr>
      </w:pPr>
      <w:bookmarkStart w:id="163" w:name="_Toc13197"/>
      <w:bookmarkStart w:id="164" w:name="_Toc12959"/>
      <w:r>
        <w:rPr>
          <w:rFonts w:hint="eastAsia" w:ascii="楷体_GB2312" w:hAnsi="楷体_GB2312" w:eastAsia="楷体_GB2312" w:cs="楷体_GB2312"/>
          <w:b w:val="0"/>
          <w:color w:val="auto"/>
          <w:sz w:val="32"/>
          <w:szCs w:val="32"/>
          <w:lang w:val="en-US" w:eastAsia="zh-CN"/>
        </w:rPr>
        <w:t>验收程序</w:t>
      </w:r>
      <w:bookmarkEnd w:id="163"/>
      <w:bookmarkEnd w:id="164"/>
    </w:p>
    <w:p>
      <w:pPr>
        <w:pStyle w:val="27"/>
        <w:keepNext w:val="0"/>
        <w:keepLines w:val="0"/>
        <w:pageBreakBefore w:val="0"/>
        <w:widowControl w:val="0"/>
        <w:numPr>
          <w:ilvl w:val="0"/>
          <w:numId w:val="14"/>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65" w:name="_Toc22099"/>
      <w:bookmarkStart w:id="166" w:name="_Toc29577"/>
      <w:r>
        <w:rPr>
          <w:rFonts w:hint="eastAsia" w:ascii="仿宋_GB2312" w:hAnsi="仿宋_GB2312" w:eastAsia="仿宋_GB2312" w:cs="仿宋_GB2312"/>
          <w:b w:val="0"/>
          <w:color w:val="auto"/>
          <w:sz w:val="32"/>
          <w:szCs w:val="32"/>
          <w:lang w:val="en-US" w:eastAsia="zh-CN"/>
        </w:rPr>
        <w:t>中标人按照要求进行维护保养工作，在每个自然月结束后的5个工作日内以书面形式提交维护保养报告，维护保养成果及维护保养报告经招标人确认达到合同要求的技术及质量标准，视为合格。每周期付款前招标人组织对维保资料进行查验后办理付款手续。</w:t>
      </w:r>
      <w:bookmarkEnd w:id="165"/>
      <w:bookmarkEnd w:id="166"/>
    </w:p>
    <w:p>
      <w:pPr>
        <w:pStyle w:val="27"/>
        <w:keepNext w:val="0"/>
        <w:keepLines w:val="0"/>
        <w:pageBreakBefore w:val="0"/>
        <w:widowControl w:val="0"/>
        <w:numPr>
          <w:ilvl w:val="0"/>
          <w:numId w:val="14"/>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highlight w:val="none"/>
          <w:lang w:val="en-US" w:eastAsia="zh-CN"/>
        </w:rPr>
      </w:pPr>
      <w:bookmarkStart w:id="167" w:name="_Toc30544"/>
      <w:bookmarkStart w:id="168" w:name="_Toc8109"/>
      <w:r>
        <w:rPr>
          <w:rFonts w:hint="eastAsia" w:ascii="仿宋_GB2312" w:hAnsi="仿宋_GB2312" w:eastAsia="仿宋_GB2312" w:cs="仿宋_GB2312"/>
          <w:b w:val="0"/>
          <w:color w:val="auto"/>
          <w:sz w:val="32"/>
          <w:szCs w:val="32"/>
          <w:highlight w:val="none"/>
          <w:lang w:val="en-US" w:eastAsia="zh-CN"/>
        </w:rPr>
        <w:t>中标人按照要求完成零配件更换并由招标人完成电梯故障处理记录审核。每周期付款前招标人组织对零配件更换资料进行查验后办理付款手续。</w:t>
      </w:r>
      <w:bookmarkEnd w:id="167"/>
      <w:bookmarkEnd w:id="168"/>
    </w:p>
    <w:p>
      <w:pPr>
        <w:pStyle w:val="27"/>
        <w:keepNext w:val="0"/>
        <w:keepLines w:val="0"/>
        <w:pageBreakBefore w:val="0"/>
        <w:widowControl w:val="0"/>
        <w:numPr>
          <w:ilvl w:val="0"/>
          <w:numId w:val="14"/>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69" w:name="_Toc27103"/>
      <w:bookmarkStart w:id="170" w:name="_Toc779"/>
      <w:r>
        <w:rPr>
          <w:rFonts w:hint="eastAsia" w:ascii="仿宋_GB2312" w:hAnsi="仿宋_GB2312" w:eastAsia="仿宋_GB2312" w:cs="仿宋_GB2312"/>
          <w:b w:val="0"/>
          <w:color w:val="auto"/>
          <w:sz w:val="32"/>
          <w:szCs w:val="32"/>
          <w:lang w:val="en-US" w:eastAsia="zh-CN"/>
        </w:rPr>
        <w:t>项目合同履约完成后，由中标人提出申请并提交成册验收文件，招标人按相关项目验收程序组织开展项目验收。</w:t>
      </w:r>
      <w:bookmarkEnd w:id="169"/>
      <w:bookmarkEnd w:id="170"/>
      <w:r>
        <w:rPr>
          <w:rFonts w:hint="eastAsia" w:ascii="仿宋_GB2312" w:hAnsi="仿宋_GB2312" w:eastAsia="仿宋_GB2312" w:cs="仿宋_GB2312"/>
          <w:b w:val="0"/>
          <w:color w:val="auto"/>
          <w:sz w:val="32"/>
          <w:szCs w:val="32"/>
          <w:lang w:val="en-US" w:eastAsia="zh-CN"/>
        </w:rPr>
        <w:t>如维保内容尚未完成或质量不合格的，由中标人在商定的期限内整改，再进行验收直至符合要求为止，由此发生的费用由中标人承担。</w:t>
      </w:r>
    </w:p>
    <w:p>
      <w:pPr>
        <w:pStyle w:val="27"/>
        <w:keepNext w:val="0"/>
        <w:keepLines w:val="0"/>
        <w:pageBreakBefore w:val="0"/>
        <w:widowControl w:val="0"/>
        <w:numPr>
          <w:ilvl w:val="0"/>
          <w:numId w:val="12"/>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lang w:val="en-US" w:eastAsia="zh-CN"/>
        </w:rPr>
      </w:pPr>
      <w:bookmarkStart w:id="171" w:name="_Toc32077"/>
      <w:bookmarkStart w:id="172" w:name="_Toc17478"/>
      <w:r>
        <w:rPr>
          <w:rFonts w:hint="eastAsia" w:ascii="楷体_GB2312" w:hAnsi="楷体_GB2312" w:eastAsia="楷体_GB2312" w:cs="楷体_GB2312"/>
          <w:b w:val="0"/>
          <w:color w:val="auto"/>
          <w:sz w:val="32"/>
          <w:szCs w:val="32"/>
          <w:lang w:val="en-US" w:eastAsia="zh-CN"/>
        </w:rPr>
        <w:t>质量管理与控制依据</w:t>
      </w:r>
      <w:bookmarkEnd w:id="171"/>
      <w:bookmarkEnd w:id="172"/>
      <w:r>
        <w:rPr>
          <w:rFonts w:hint="eastAsia" w:ascii="楷体_GB2312" w:hAnsi="楷体_GB2312" w:eastAsia="楷体_GB2312" w:cs="楷体_GB2312"/>
          <w:b w:val="0"/>
          <w:color w:val="auto"/>
          <w:sz w:val="32"/>
          <w:szCs w:val="32"/>
          <w:lang w:val="en-US" w:eastAsia="zh-CN"/>
        </w:rPr>
        <w:t xml:space="preserve">     </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_GB2312" w:hAnsi="仿宋_GB2312" w:eastAsia="仿宋_GB2312" w:cs="仿宋_GB2312"/>
          <w:b w:val="0"/>
          <w:color w:val="auto"/>
          <w:sz w:val="32"/>
          <w:szCs w:val="32"/>
          <w:lang w:val="en-US" w:eastAsia="zh-CN"/>
        </w:rPr>
      </w:pPr>
      <w:bookmarkStart w:id="173" w:name="_Toc19344"/>
      <w:bookmarkStart w:id="174" w:name="_Toc31626"/>
      <w:r>
        <w:rPr>
          <w:rFonts w:hint="eastAsia" w:ascii="仿宋_GB2312" w:hAnsi="仿宋_GB2312" w:eastAsia="仿宋_GB2312" w:cs="仿宋_GB2312"/>
          <w:b w:val="0"/>
          <w:color w:val="auto"/>
          <w:sz w:val="32"/>
          <w:szCs w:val="32"/>
          <w:lang w:val="en-US" w:eastAsia="zh-CN"/>
        </w:rPr>
        <w:t>质量管理与控制依据参照本用户需求书第三条中第（三）项“采用标准及规范”。</w:t>
      </w:r>
    </w:p>
    <w:p>
      <w:pPr>
        <w:pStyle w:val="27"/>
        <w:keepNext w:val="0"/>
        <w:keepLines w:val="0"/>
        <w:pageBreakBefore w:val="0"/>
        <w:widowControl w:val="0"/>
        <w:numPr>
          <w:ilvl w:val="0"/>
          <w:numId w:val="12"/>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lang w:val="en-US" w:eastAsia="zh-CN"/>
        </w:rPr>
      </w:pPr>
      <w:r>
        <w:rPr>
          <w:rFonts w:hint="eastAsia" w:ascii="楷体_GB2312" w:hAnsi="楷体_GB2312" w:eastAsia="楷体_GB2312" w:cs="楷体_GB2312"/>
          <w:b w:val="0"/>
          <w:color w:val="auto"/>
          <w:sz w:val="32"/>
          <w:szCs w:val="32"/>
          <w:lang w:val="en-US" w:eastAsia="zh-CN"/>
        </w:rPr>
        <w:t>质量管理与控制方法</w:t>
      </w:r>
      <w:bookmarkEnd w:id="173"/>
      <w:bookmarkEnd w:id="174"/>
    </w:p>
    <w:p>
      <w:pPr>
        <w:pStyle w:val="27"/>
        <w:keepNext w:val="0"/>
        <w:keepLines w:val="0"/>
        <w:pageBreakBefore w:val="0"/>
        <w:widowControl w:val="0"/>
        <w:numPr>
          <w:ilvl w:val="0"/>
          <w:numId w:val="15"/>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75" w:name="_Toc2065"/>
      <w:bookmarkStart w:id="176" w:name="_Toc27106"/>
      <w:r>
        <w:rPr>
          <w:rFonts w:hint="eastAsia" w:ascii="仿宋_GB2312" w:hAnsi="仿宋_GB2312" w:eastAsia="仿宋_GB2312" w:cs="仿宋_GB2312"/>
          <w:b w:val="0"/>
          <w:color w:val="auto"/>
          <w:sz w:val="32"/>
          <w:szCs w:val="32"/>
          <w:lang w:val="en-US" w:eastAsia="zh-CN"/>
        </w:rPr>
        <w:t>招标人每个月进行抽查，将相应检查结果纳入对中标人的月度考核、评价之中，中标人须给予招标人充分的配合。</w:t>
      </w:r>
      <w:bookmarkEnd w:id="175"/>
      <w:bookmarkEnd w:id="176"/>
      <w:r>
        <w:rPr>
          <w:rFonts w:hint="eastAsia" w:ascii="仿宋_GB2312" w:hAnsi="仿宋_GB2312" w:eastAsia="仿宋_GB2312" w:cs="仿宋_GB2312"/>
          <w:b w:val="0"/>
          <w:color w:val="auto"/>
          <w:sz w:val="32"/>
          <w:szCs w:val="32"/>
          <w:lang w:val="en-US" w:eastAsia="zh-CN"/>
        </w:rPr>
        <w:t>在合同期满前，以抽检的形式对设备维保质量及设备运行状态进行评估，对抽检不合格的，中标人须进行整改。</w:t>
      </w:r>
    </w:p>
    <w:p>
      <w:pPr>
        <w:pStyle w:val="27"/>
        <w:keepNext w:val="0"/>
        <w:keepLines w:val="0"/>
        <w:pageBreakBefore w:val="0"/>
        <w:widowControl w:val="0"/>
        <w:numPr>
          <w:ilvl w:val="0"/>
          <w:numId w:val="15"/>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77" w:name="_Toc3924"/>
      <w:bookmarkStart w:id="178" w:name="_Toc7269"/>
      <w:r>
        <w:rPr>
          <w:rFonts w:hint="eastAsia" w:ascii="仿宋_GB2312" w:hAnsi="仿宋_GB2312" w:eastAsia="仿宋_GB2312" w:cs="仿宋_GB2312"/>
          <w:b w:val="0"/>
          <w:color w:val="auto"/>
          <w:sz w:val="32"/>
          <w:szCs w:val="32"/>
          <w:lang w:val="en-US" w:eastAsia="zh-CN"/>
        </w:rPr>
        <w:t>检查与验收，指招标人组织相关人员对本项目约定范围内的所有设备、设施维修维护工作进行检查与验收。参与人员为招标人及承包单位主要技术、管理人员，检查结果纳入月度考核、评价。</w:t>
      </w:r>
      <w:bookmarkEnd w:id="177"/>
      <w:bookmarkEnd w:id="178"/>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0" w:firstLineChars="0"/>
        <w:textAlignment w:val="auto"/>
        <w:outlineLvl w:val="0"/>
        <w:rPr>
          <w:rFonts w:hint="eastAsia" w:ascii="黑体" w:hAnsi="黑体" w:eastAsia="黑体" w:cs="黑体"/>
          <w:b w:val="0"/>
          <w:bCs w:val="0"/>
          <w:color w:val="auto"/>
          <w:sz w:val="32"/>
          <w:szCs w:val="32"/>
          <w:highlight w:val="none"/>
        </w:rPr>
      </w:pPr>
      <w:bookmarkStart w:id="179" w:name="_Toc93068890"/>
      <w:bookmarkStart w:id="180" w:name="_Toc13416"/>
      <w:bookmarkStart w:id="181" w:name="_Toc2659"/>
      <w:r>
        <w:rPr>
          <w:rFonts w:hint="eastAsia" w:ascii="黑体" w:hAnsi="黑体" w:eastAsia="黑体" w:cs="黑体"/>
          <w:b w:val="0"/>
          <w:bCs w:val="0"/>
          <w:color w:val="auto"/>
          <w:sz w:val="32"/>
          <w:szCs w:val="32"/>
          <w:highlight w:val="none"/>
        </w:rPr>
        <w:t>考核评价</w:t>
      </w:r>
      <w:bookmarkEnd w:id="179"/>
      <w:bookmarkEnd w:id="180"/>
      <w:bookmarkEnd w:id="181"/>
    </w:p>
    <w:p>
      <w:pPr>
        <w:pStyle w:val="27"/>
        <w:keepNext w:val="0"/>
        <w:keepLines w:val="0"/>
        <w:pageBreakBefore w:val="0"/>
        <w:widowControl w:val="0"/>
        <w:numPr>
          <w:ilvl w:val="0"/>
          <w:numId w:val="16"/>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lang w:val="en-US" w:eastAsia="zh-CN"/>
        </w:rPr>
      </w:pPr>
      <w:bookmarkStart w:id="182" w:name="_Toc20769"/>
      <w:bookmarkStart w:id="183" w:name="_Toc9518"/>
      <w:bookmarkStart w:id="184" w:name="_Toc532484918"/>
      <w:r>
        <w:rPr>
          <w:rFonts w:hint="eastAsia" w:ascii="楷体_GB2312" w:hAnsi="楷体_GB2312" w:eastAsia="楷体_GB2312" w:cs="楷体_GB2312"/>
          <w:b w:val="0"/>
          <w:color w:val="auto"/>
          <w:sz w:val="32"/>
          <w:szCs w:val="32"/>
          <w:lang w:val="en-US" w:eastAsia="zh-CN"/>
        </w:rPr>
        <w:t>检查考核方式</w:t>
      </w:r>
      <w:bookmarkEnd w:id="182"/>
      <w:bookmarkEnd w:id="183"/>
    </w:p>
    <w:p>
      <w:pPr>
        <w:pStyle w:val="27"/>
        <w:keepNext w:val="0"/>
        <w:keepLines w:val="0"/>
        <w:pageBreakBefore w:val="0"/>
        <w:widowControl w:val="0"/>
        <w:numPr>
          <w:ilvl w:val="0"/>
          <w:numId w:val="1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85" w:name="_Toc4638"/>
      <w:bookmarkStart w:id="186" w:name="_Toc21981"/>
      <w:r>
        <w:rPr>
          <w:rFonts w:hint="eastAsia" w:ascii="仿宋_GB2312" w:hAnsi="仿宋_GB2312" w:eastAsia="仿宋_GB2312" w:cs="仿宋_GB2312"/>
          <w:b w:val="0"/>
          <w:color w:val="auto"/>
          <w:sz w:val="32"/>
          <w:szCs w:val="32"/>
          <w:lang w:val="en-US" w:eastAsia="zh-CN"/>
        </w:rPr>
        <w:t>招标人根据用户需求书和附件七：《电梯维修保养月度考核评分表》的要求，结合中标人投标文件中响应和承诺的内容，对中标人履职尽责情况进行检查，对检查中发现的不合格项均纳入月度考核范围并下达整改(考核)通知书，当中标人收到招标人整改(考核)通知书后，必须在两个工作日内完成相关申诉、确认及签字，否则视为同意考核内容。对于整改不到位或造成严重影响的情形，招标人可根据实际情况将加重处罚。</w:t>
      </w:r>
      <w:bookmarkEnd w:id="185"/>
      <w:bookmarkEnd w:id="186"/>
    </w:p>
    <w:p>
      <w:pPr>
        <w:pStyle w:val="27"/>
        <w:keepNext w:val="0"/>
        <w:keepLines w:val="0"/>
        <w:pageBreakBefore w:val="0"/>
        <w:widowControl w:val="0"/>
        <w:numPr>
          <w:ilvl w:val="0"/>
          <w:numId w:val="1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87" w:name="_Toc31411"/>
      <w:bookmarkStart w:id="188" w:name="_Toc4210"/>
      <w:r>
        <w:rPr>
          <w:rFonts w:hint="eastAsia" w:ascii="仿宋_GB2312" w:hAnsi="仿宋_GB2312" w:eastAsia="仿宋_GB2312" w:cs="仿宋_GB2312"/>
          <w:b w:val="0"/>
          <w:color w:val="auto"/>
          <w:sz w:val="32"/>
          <w:szCs w:val="32"/>
          <w:lang w:val="en-US" w:eastAsia="zh-CN"/>
        </w:rPr>
        <w:t>招标人根据附件三：《零配件清单》及月度实际更换零配件情况进行核查。</w:t>
      </w:r>
      <w:bookmarkEnd w:id="187"/>
      <w:bookmarkEnd w:id="188"/>
    </w:p>
    <w:p>
      <w:pPr>
        <w:pStyle w:val="27"/>
        <w:keepNext w:val="0"/>
        <w:keepLines w:val="0"/>
        <w:pageBreakBefore w:val="0"/>
        <w:widowControl w:val="0"/>
        <w:numPr>
          <w:ilvl w:val="0"/>
          <w:numId w:val="17"/>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bookmarkStart w:id="189" w:name="_Toc31039"/>
      <w:bookmarkStart w:id="190" w:name="_Toc32058"/>
      <w:r>
        <w:rPr>
          <w:rFonts w:hint="eastAsia" w:ascii="仿宋_GB2312" w:hAnsi="仿宋_GB2312" w:eastAsia="仿宋_GB2312" w:cs="仿宋_GB2312"/>
          <w:b w:val="0"/>
          <w:color w:val="auto"/>
          <w:sz w:val="32"/>
          <w:szCs w:val="32"/>
          <w:lang w:val="en-US" w:eastAsia="zh-CN"/>
        </w:rPr>
        <w:t>招标人采用月度考核方式，由招标人对管理区域的电梯维保工作进行考核评价。</w:t>
      </w:r>
      <w:bookmarkEnd w:id="189"/>
      <w:bookmarkEnd w:id="190"/>
    </w:p>
    <w:p>
      <w:pPr>
        <w:pStyle w:val="27"/>
        <w:keepNext w:val="0"/>
        <w:keepLines w:val="0"/>
        <w:pageBreakBefore w:val="0"/>
        <w:widowControl w:val="0"/>
        <w:numPr>
          <w:ilvl w:val="0"/>
          <w:numId w:val="16"/>
        </w:numPr>
        <w:kinsoku/>
        <w:wordWrap/>
        <w:overflowPunct/>
        <w:topLinePunct w:val="0"/>
        <w:autoSpaceDE/>
        <w:autoSpaceDN/>
        <w:bidi w:val="0"/>
        <w:adjustRightInd/>
        <w:snapToGrid/>
        <w:spacing w:before="0" w:after="0" w:line="560" w:lineRule="exact"/>
        <w:ind w:left="0" w:leftChars="0" w:firstLine="420" w:firstLineChars="0"/>
        <w:jc w:val="left"/>
        <w:textAlignment w:val="auto"/>
        <w:outlineLvl w:val="1"/>
        <w:rPr>
          <w:rFonts w:hint="eastAsia" w:ascii="楷体_GB2312" w:hAnsi="楷体_GB2312" w:eastAsia="楷体_GB2312" w:cs="楷体_GB2312"/>
          <w:b w:val="0"/>
          <w:color w:val="auto"/>
          <w:sz w:val="32"/>
          <w:szCs w:val="32"/>
          <w:lang w:val="en-US" w:eastAsia="zh-CN"/>
        </w:rPr>
      </w:pPr>
      <w:bookmarkStart w:id="191" w:name="_Toc6663"/>
      <w:bookmarkStart w:id="192" w:name="_Toc25571"/>
      <w:r>
        <w:rPr>
          <w:rFonts w:hint="eastAsia" w:ascii="楷体_GB2312" w:hAnsi="楷体_GB2312" w:eastAsia="楷体_GB2312" w:cs="楷体_GB2312"/>
          <w:b w:val="0"/>
          <w:color w:val="auto"/>
          <w:sz w:val="32"/>
          <w:szCs w:val="32"/>
          <w:lang w:val="en-US" w:eastAsia="zh-CN"/>
        </w:rPr>
        <w:t>考核结果及运用</w:t>
      </w:r>
      <w:bookmarkEnd w:id="191"/>
      <w:bookmarkEnd w:id="192"/>
    </w:p>
    <w:p>
      <w:pPr>
        <w:pStyle w:val="27"/>
        <w:keepNext w:val="0"/>
        <w:keepLines w:val="0"/>
        <w:pageBreakBefore w:val="0"/>
        <w:widowControl w:val="0"/>
        <w:numPr>
          <w:ilvl w:val="0"/>
          <w:numId w:val="18"/>
        </w:numPr>
        <w:kinsoku/>
        <w:wordWrap/>
        <w:overflowPunct/>
        <w:topLinePunct w:val="0"/>
        <w:autoSpaceDE/>
        <w:autoSpaceDN/>
        <w:bidi w:val="0"/>
        <w:adjustRightInd/>
        <w:snapToGrid/>
        <w:spacing w:before="0" w:after="0" w:line="560" w:lineRule="exact"/>
        <w:ind w:left="0" w:leftChars="0" w:firstLine="566" w:firstLineChars="177"/>
        <w:jc w:val="left"/>
        <w:textAlignment w:val="auto"/>
        <w:outlineLvl w:val="9"/>
        <w:rPr>
          <w:rFonts w:hint="eastAsia" w:ascii="仿宋_GB2312" w:hAnsi="仿宋_GB2312" w:eastAsia="仿宋_GB2312" w:cs="仿宋_GB2312"/>
          <w:b w:val="0"/>
          <w:color w:val="auto"/>
          <w:sz w:val="32"/>
          <w:szCs w:val="32"/>
          <w:lang w:val="en-US" w:eastAsia="zh-CN"/>
        </w:rPr>
      </w:pPr>
      <w:bookmarkStart w:id="193" w:name="_Toc2787"/>
      <w:bookmarkStart w:id="194" w:name="_Toc10442"/>
      <w:r>
        <w:rPr>
          <w:rFonts w:hint="eastAsia" w:ascii="仿宋_GB2312" w:hAnsi="仿宋_GB2312" w:eastAsia="仿宋_GB2312" w:cs="仿宋_GB2312"/>
          <w:b w:val="0"/>
          <w:color w:val="auto"/>
          <w:sz w:val="32"/>
          <w:szCs w:val="32"/>
          <w:lang w:val="en-US" w:eastAsia="zh-CN"/>
        </w:rPr>
        <w:t>维保服务考核采取百分制进行评分，满分100分，其中：</w:t>
      </w:r>
      <w:bookmarkEnd w:id="193"/>
      <w:bookmarkEnd w:id="194"/>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bookmarkStart w:id="195" w:name="_Toc25746"/>
      <w:bookmarkStart w:id="196" w:name="_Toc20600"/>
      <w:r>
        <w:rPr>
          <w:rFonts w:hint="eastAsia" w:ascii="仿宋_GB2312" w:hAnsi="仿宋_GB2312" w:eastAsia="仿宋_GB2312" w:cs="仿宋_GB2312"/>
          <w:b w:val="0"/>
          <w:bCs w:val="0"/>
          <w:color w:val="auto"/>
          <w:kern w:val="2"/>
          <w:sz w:val="32"/>
          <w:szCs w:val="32"/>
          <w:lang w:val="en-US" w:eastAsia="zh-CN" w:bidi="ar-SA"/>
        </w:rPr>
        <w:t>90分≤考核结果≤100分的，支付当月100%的维保服务费。</w:t>
      </w:r>
      <w:bookmarkEnd w:id="195"/>
      <w:bookmarkEnd w:id="196"/>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bookmarkStart w:id="197" w:name="_Toc1782"/>
      <w:bookmarkStart w:id="198" w:name="_Toc11632"/>
      <w:r>
        <w:rPr>
          <w:rFonts w:hint="eastAsia" w:ascii="仿宋_GB2312" w:hAnsi="仿宋_GB2312" w:eastAsia="仿宋_GB2312" w:cs="仿宋_GB2312"/>
          <w:b w:val="0"/>
          <w:bCs w:val="0"/>
          <w:color w:val="auto"/>
          <w:kern w:val="2"/>
          <w:sz w:val="32"/>
          <w:szCs w:val="32"/>
          <w:lang w:val="en-US" w:eastAsia="zh-CN" w:bidi="ar-SA"/>
        </w:rPr>
        <w:t>80分≤考核结果＜90分的，支付当月95%的维保服务费。</w:t>
      </w:r>
      <w:bookmarkEnd w:id="197"/>
      <w:bookmarkEnd w:id="198"/>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bookmarkStart w:id="199" w:name="_Toc27342"/>
      <w:bookmarkStart w:id="200" w:name="_Toc32512"/>
      <w:r>
        <w:rPr>
          <w:rFonts w:hint="eastAsia" w:ascii="仿宋_GB2312" w:hAnsi="仿宋_GB2312" w:eastAsia="仿宋_GB2312" w:cs="仿宋_GB2312"/>
          <w:b w:val="0"/>
          <w:bCs w:val="0"/>
          <w:color w:val="auto"/>
          <w:kern w:val="2"/>
          <w:sz w:val="32"/>
          <w:szCs w:val="32"/>
          <w:lang w:val="en-US" w:eastAsia="zh-CN" w:bidi="ar-SA"/>
        </w:rPr>
        <w:t>70分≤考核结果＜80分的，支付当月85%的维保服务费。</w:t>
      </w:r>
      <w:bookmarkEnd w:id="199"/>
      <w:bookmarkEnd w:id="200"/>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bookmarkStart w:id="201" w:name="_Toc23954"/>
      <w:bookmarkStart w:id="202" w:name="_Toc6123"/>
      <w:r>
        <w:rPr>
          <w:rFonts w:hint="eastAsia" w:ascii="仿宋_GB2312" w:hAnsi="仿宋_GB2312" w:eastAsia="仿宋_GB2312" w:cs="仿宋_GB2312"/>
          <w:b w:val="0"/>
          <w:bCs w:val="0"/>
          <w:color w:val="auto"/>
          <w:kern w:val="2"/>
          <w:sz w:val="32"/>
          <w:szCs w:val="32"/>
          <w:lang w:val="en-US" w:eastAsia="zh-CN" w:bidi="ar-SA"/>
        </w:rPr>
        <w:t>考核结果＜70分的，支付当月75%的维保服务费。</w:t>
      </w:r>
      <w:bookmarkEnd w:id="201"/>
      <w:bookmarkEnd w:id="202"/>
    </w:p>
    <w:p>
      <w:pPr>
        <w:pStyle w:val="27"/>
        <w:keepNext w:val="0"/>
        <w:keepLines w:val="0"/>
        <w:pageBreakBefore w:val="0"/>
        <w:widowControl w:val="0"/>
        <w:numPr>
          <w:ilvl w:val="0"/>
          <w:numId w:val="18"/>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维保费用提报采用按月考核，季度支付模式进行。</w:t>
      </w:r>
    </w:p>
    <w:p>
      <w:pPr>
        <w:pStyle w:val="27"/>
        <w:keepNext w:val="0"/>
        <w:keepLines w:val="0"/>
        <w:pageBreakBefore w:val="0"/>
        <w:widowControl w:val="0"/>
        <w:numPr>
          <w:ilvl w:val="0"/>
          <w:numId w:val="18"/>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零配件更换按实计量计费，当月维保服务考核结果不影响零配件费用结算，均按季度支付配件费。</w:t>
      </w:r>
    </w:p>
    <w:p>
      <w:pPr>
        <w:pStyle w:val="27"/>
        <w:keepNext w:val="0"/>
        <w:keepLines w:val="0"/>
        <w:pageBreakBefore w:val="0"/>
        <w:widowControl w:val="0"/>
        <w:numPr>
          <w:ilvl w:val="0"/>
          <w:numId w:val="18"/>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中标人一个年度内月度考核连续2次或累计3次考核结果低于70分的，招标人有权单方面终止合同,所有责任及后果均由中标人承担。</w:t>
      </w:r>
    </w:p>
    <w:p>
      <w:pPr>
        <w:pStyle w:val="27"/>
        <w:keepNext w:val="0"/>
        <w:keepLines w:val="0"/>
        <w:pageBreakBefore w:val="0"/>
        <w:widowControl w:val="0"/>
        <w:numPr>
          <w:ilvl w:val="0"/>
          <w:numId w:val="18"/>
        </w:numPr>
        <w:kinsoku/>
        <w:wordWrap/>
        <w:overflowPunct/>
        <w:topLinePunct w:val="0"/>
        <w:autoSpaceDE/>
        <w:autoSpaceDN/>
        <w:bidi w:val="0"/>
        <w:adjustRightInd/>
        <w:snapToGrid/>
        <w:spacing w:before="0" w:after="0" w:line="560" w:lineRule="exact"/>
        <w:ind w:left="0" w:leftChars="0" w:firstLine="729" w:firstLineChars="228"/>
        <w:jc w:val="left"/>
        <w:textAlignment w:val="auto"/>
        <w:outlineLvl w:val="9"/>
        <w:rPr>
          <w:rFonts w:hint="default"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因中标人严重违约，导致发生人员伤亡或造成招标人重大经济损失和造成严重影响的，招标人可单方面终止合同，并由中标人承担一切后果及责任，且不允许再参与招标人今后的所有电梯维保服务招标项目。</w:t>
      </w:r>
    </w:p>
    <w:bookmarkEnd w:id="184"/>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0" w:firstLineChars="0"/>
        <w:textAlignment w:val="auto"/>
        <w:outlineLvl w:val="0"/>
        <w:rPr>
          <w:rFonts w:hint="eastAsia" w:ascii="黑体" w:hAnsi="黑体" w:eastAsia="黑体" w:cs="黑体"/>
          <w:b w:val="0"/>
          <w:bCs w:val="0"/>
          <w:color w:val="auto"/>
          <w:sz w:val="32"/>
          <w:szCs w:val="32"/>
          <w:highlight w:val="none"/>
        </w:rPr>
      </w:pPr>
      <w:bookmarkStart w:id="203" w:name="_Toc93068891"/>
      <w:bookmarkStart w:id="204" w:name="_Toc19869"/>
      <w:bookmarkStart w:id="205" w:name="_Toc11778"/>
      <w:bookmarkStart w:id="206" w:name="_Toc93068893"/>
      <w:r>
        <w:rPr>
          <w:rFonts w:hint="eastAsia" w:ascii="黑体" w:hAnsi="黑体" w:eastAsia="黑体" w:cs="黑体"/>
          <w:b w:val="0"/>
          <w:bCs w:val="0"/>
          <w:color w:val="auto"/>
          <w:sz w:val="32"/>
          <w:szCs w:val="32"/>
          <w:highlight w:val="none"/>
        </w:rPr>
        <w:t>附件</w:t>
      </w:r>
      <w:bookmarkEnd w:id="203"/>
      <w:bookmarkEnd w:id="204"/>
      <w:bookmarkEnd w:id="205"/>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asciiTheme="majorEastAsia" w:hAnsiTheme="majorEastAsia" w:eastAsiaTheme="majorEastAsia"/>
          <w:color w:val="auto"/>
          <w:sz w:val="28"/>
          <w:szCs w:val="28"/>
        </w:rPr>
      </w:pPr>
      <w:bookmarkStart w:id="207" w:name="_Hlk65833578"/>
      <w:r>
        <w:rPr>
          <w:rFonts w:hint="eastAsia" w:asciiTheme="majorEastAsia" w:hAnsiTheme="majorEastAsia" w:eastAsiaTheme="majorEastAsia"/>
          <w:color w:val="auto"/>
          <w:sz w:val="28"/>
          <w:szCs w:val="28"/>
        </w:rPr>
        <w:t>附件一：设备台账清单</w:t>
      </w:r>
    </w:p>
    <w:bookmarkEnd w:id="207"/>
    <w:p>
      <w:pPr>
        <w:keepNext w:val="0"/>
        <w:keepLines w:val="0"/>
        <w:pageBreakBefore w:val="0"/>
        <w:widowControl w:val="0"/>
        <w:tabs>
          <w:tab w:val="left" w:pos="1260"/>
        </w:tabs>
        <w:kinsoku/>
        <w:wordWrap/>
        <w:overflowPunct/>
        <w:topLinePunct w:val="0"/>
        <w:autoSpaceDE/>
        <w:autoSpaceDN/>
        <w:bidi w:val="0"/>
        <w:adjustRightInd w:val="0"/>
        <w:snapToGrid w:val="0"/>
        <w:spacing w:line="560" w:lineRule="exact"/>
        <w:ind w:firstLine="560" w:firstLineChars="200"/>
        <w:textAlignment w:val="auto"/>
        <w:outlineLvl w:val="9"/>
        <w:rPr>
          <w:rFonts w:asciiTheme="majorEastAsia" w:hAnsiTheme="majorEastAsia" w:eastAsiaTheme="majorEastAsia"/>
          <w:color w:val="auto"/>
          <w:sz w:val="28"/>
          <w:szCs w:val="28"/>
          <w:highlight w:val="none"/>
        </w:rPr>
      </w:pPr>
      <w:bookmarkStart w:id="208" w:name="_Toc2470"/>
      <w:r>
        <w:rPr>
          <w:rFonts w:hint="eastAsia" w:asciiTheme="majorEastAsia" w:hAnsiTheme="majorEastAsia" w:eastAsiaTheme="majorEastAsia"/>
          <w:color w:val="auto"/>
          <w:sz w:val="28"/>
          <w:szCs w:val="28"/>
          <w:highlight w:val="none"/>
        </w:rPr>
        <w:t>附件二</w:t>
      </w:r>
      <w:r>
        <w:rPr>
          <w:rFonts w:asciiTheme="majorEastAsia" w:hAnsiTheme="majorEastAsia" w:eastAsiaTheme="majorEastAsia"/>
          <w:color w:val="auto"/>
          <w:sz w:val="28"/>
          <w:szCs w:val="28"/>
          <w:highlight w:val="none"/>
        </w:rPr>
        <w:t>：</w:t>
      </w:r>
      <w:r>
        <w:rPr>
          <w:rFonts w:hint="eastAsia" w:asciiTheme="majorEastAsia" w:hAnsiTheme="majorEastAsia" w:eastAsiaTheme="majorEastAsia"/>
          <w:b w:val="0"/>
          <w:color w:val="auto"/>
          <w:sz w:val="28"/>
          <w:szCs w:val="28"/>
          <w:highlight w:val="none"/>
          <w:lang w:eastAsia="zh-CN"/>
        </w:rPr>
        <w:t>易损</w:t>
      </w:r>
      <w:r>
        <w:rPr>
          <w:rFonts w:hint="eastAsia" w:asciiTheme="majorEastAsia" w:hAnsiTheme="majorEastAsia" w:eastAsiaTheme="majorEastAsia"/>
          <w:b w:val="0"/>
          <w:color w:val="auto"/>
          <w:sz w:val="28"/>
          <w:szCs w:val="28"/>
          <w:highlight w:val="none"/>
        </w:rPr>
        <w:t>件及耗材清单</w:t>
      </w:r>
      <w:bookmarkEnd w:id="208"/>
    </w:p>
    <w:p>
      <w:pPr>
        <w:keepNext w:val="0"/>
        <w:keepLines w:val="0"/>
        <w:pageBreakBefore w:val="0"/>
        <w:widowControl w:val="0"/>
        <w:tabs>
          <w:tab w:val="left" w:pos="1260"/>
        </w:tabs>
        <w:kinsoku/>
        <w:wordWrap/>
        <w:overflowPunct/>
        <w:topLinePunct w:val="0"/>
        <w:autoSpaceDE/>
        <w:autoSpaceDN/>
        <w:bidi w:val="0"/>
        <w:adjustRightInd w:val="0"/>
        <w:snapToGrid w:val="0"/>
        <w:spacing w:line="560" w:lineRule="exact"/>
        <w:ind w:firstLine="560" w:firstLineChars="200"/>
        <w:textAlignment w:val="auto"/>
        <w:outlineLvl w:val="9"/>
        <w:rPr>
          <w:rFonts w:cs="Times New Roman" w:asciiTheme="majorEastAsia" w:hAnsiTheme="majorEastAsia" w:eastAsiaTheme="majorEastAsia"/>
          <w:color w:val="auto"/>
          <w:sz w:val="28"/>
          <w:szCs w:val="28"/>
        </w:rPr>
      </w:pPr>
      <w:bookmarkStart w:id="209" w:name="_Toc16768"/>
      <w:r>
        <w:rPr>
          <w:rFonts w:hint="eastAsia" w:asciiTheme="majorEastAsia" w:hAnsiTheme="majorEastAsia" w:eastAsiaTheme="majorEastAsia"/>
          <w:color w:val="auto"/>
          <w:sz w:val="28"/>
          <w:szCs w:val="28"/>
        </w:rPr>
        <w:t>附件三</w:t>
      </w:r>
      <w:r>
        <w:rPr>
          <w:rFonts w:asciiTheme="majorEastAsia" w:hAnsiTheme="majorEastAsia" w:eastAsiaTheme="majorEastAsia"/>
          <w:color w:val="auto"/>
          <w:sz w:val="28"/>
          <w:szCs w:val="28"/>
        </w:rPr>
        <w:t>：</w:t>
      </w:r>
      <w:r>
        <w:rPr>
          <w:rFonts w:hint="eastAsia" w:cs="Times New Roman" w:asciiTheme="majorEastAsia" w:hAnsiTheme="majorEastAsia" w:eastAsiaTheme="majorEastAsia"/>
          <w:color w:val="auto"/>
          <w:sz w:val="28"/>
          <w:szCs w:val="28"/>
        </w:rPr>
        <w:t>零</w:t>
      </w:r>
      <w:r>
        <w:rPr>
          <w:rFonts w:cs="Times New Roman" w:asciiTheme="majorEastAsia" w:hAnsiTheme="majorEastAsia" w:eastAsiaTheme="majorEastAsia"/>
          <w:color w:val="auto"/>
          <w:sz w:val="28"/>
          <w:szCs w:val="28"/>
        </w:rPr>
        <w:t>配件清单</w:t>
      </w:r>
      <w:bookmarkEnd w:id="209"/>
    </w:p>
    <w:p>
      <w:pPr>
        <w:keepNext w:val="0"/>
        <w:keepLines w:val="0"/>
        <w:pageBreakBefore w:val="0"/>
        <w:widowControl w:val="0"/>
        <w:tabs>
          <w:tab w:val="left" w:pos="1260"/>
        </w:tabs>
        <w:kinsoku/>
        <w:wordWrap/>
        <w:overflowPunct/>
        <w:topLinePunct w:val="0"/>
        <w:autoSpaceDE/>
        <w:autoSpaceDN/>
        <w:bidi w:val="0"/>
        <w:adjustRightInd w:val="0"/>
        <w:snapToGrid w:val="0"/>
        <w:spacing w:line="560" w:lineRule="exact"/>
        <w:ind w:firstLine="560" w:firstLineChars="200"/>
        <w:textAlignment w:val="auto"/>
        <w:outlineLvl w:val="9"/>
        <w:rPr>
          <w:rFonts w:asciiTheme="majorEastAsia" w:hAnsiTheme="majorEastAsia" w:eastAsiaTheme="majorEastAsia"/>
          <w:color w:val="auto"/>
          <w:sz w:val="28"/>
          <w:szCs w:val="28"/>
        </w:rPr>
      </w:pPr>
      <w:bookmarkStart w:id="210" w:name="_Toc25798"/>
      <w:r>
        <w:rPr>
          <w:rFonts w:hint="eastAsia" w:asciiTheme="majorEastAsia" w:hAnsiTheme="majorEastAsia" w:eastAsiaTheme="majorEastAsia"/>
          <w:color w:val="auto"/>
          <w:sz w:val="28"/>
          <w:szCs w:val="28"/>
        </w:rPr>
        <w:t>附件四</w:t>
      </w:r>
      <w:r>
        <w:rPr>
          <w:rFonts w:asciiTheme="majorEastAsia" w:hAnsiTheme="majorEastAsia" w:eastAsiaTheme="majorEastAsia"/>
          <w:color w:val="auto"/>
          <w:sz w:val="28"/>
          <w:szCs w:val="28"/>
        </w:rPr>
        <w:t>：</w:t>
      </w:r>
      <w:r>
        <w:rPr>
          <w:rFonts w:hint="eastAsia" w:asciiTheme="majorEastAsia" w:hAnsiTheme="majorEastAsia" w:eastAsiaTheme="majorEastAsia"/>
          <w:color w:val="auto"/>
          <w:sz w:val="28"/>
          <w:szCs w:val="28"/>
        </w:rPr>
        <w:t>设备检修周期与工作内容</w:t>
      </w:r>
      <w:bookmarkEnd w:id="210"/>
    </w:p>
    <w:p>
      <w:pPr>
        <w:keepNext w:val="0"/>
        <w:keepLines w:val="0"/>
        <w:pageBreakBefore w:val="0"/>
        <w:widowControl w:val="0"/>
        <w:tabs>
          <w:tab w:val="left" w:pos="1260"/>
        </w:tabs>
        <w:kinsoku/>
        <w:wordWrap/>
        <w:overflowPunct/>
        <w:topLinePunct w:val="0"/>
        <w:autoSpaceDE/>
        <w:autoSpaceDN/>
        <w:bidi w:val="0"/>
        <w:adjustRightInd w:val="0"/>
        <w:snapToGrid w:val="0"/>
        <w:spacing w:line="560" w:lineRule="exact"/>
        <w:ind w:firstLine="560" w:firstLineChars="200"/>
        <w:textAlignment w:val="auto"/>
        <w:outlineLvl w:val="9"/>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附</w:t>
      </w:r>
      <w:r>
        <w:rPr>
          <w:rFonts w:asciiTheme="majorEastAsia" w:hAnsiTheme="majorEastAsia" w:eastAsiaTheme="majorEastAsia"/>
          <w:color w:val="auto"/>
          <w:sz w:val="28"/>
          <w:szCs w:val="28"/>
        </w:rPr>
        <w:t>件</w:t>
      </w:r>
      <w:r>
        <w:rPr>
          <w:rFonts w:hint="eastAsia" w:asciiTheme="majorEastAsia" w:hAnsiTheme="majorEastAsia" w:eastAsiaTheme="majorEastAsia"/>
          <w:color w:val="auto"/>
          <w:sz w:val="28"/>
          <w:szCs w:val="28"/>
        </w:rPr>
        <w:t>五</w:t>
      </w:r>
      <w:r>
        <w:rPr>
          <w:rFonts w:asciiTheme="majorEastAsia" w:hAnsiTheme="majorEastAsia" w:eastAsiaTheme="majorEastAsia"/>
          <w:color w:val="auto"/>
          <w:sz w:val="28"/>
          <w:szCs w:val="28"/>
        </w:rPr>
        <w:t>：故障</w:t>
      </w:r>
      <w:r>
        <w:rPr>
          <w:rFonts w:hint="eastAsia" w:asciiTheme="majorEastAsia" w:hAnsiTheme="majorEastAsia" w:eastAsiaTheme="majorEastAsia"/>
          <w:color w:val="auto"/>
          <w:sz w:val="28"/>
          <w:szCs w:val="28"/>
        </w:rPr>
        <w:t>处</w:t>
      </w:r>
      <w:r>
        <w:rPr>
          <w:rFonts w:asciiTheme="majorEastAsia" w:hAnsiTheme="majorEastAsia" w:eastAsiaTheme="majorEastAsia"/>
          <w:color w:val="auto"/>
          <w:sz w:val="28"/>
          <w:szCs w:val="28"/>
        </w:rPr>
        <w:t>理流程</w:t>
      </w:r>
    </w:p>
    <w:p>
      <w:pPr>
        <w:keepNext w:val="0"/>
        <w:keepLines w:val="0"/>
        <w:pageBreakBefore w:val="0"/>
        <w:widowControl w:val="0"/>
        <w:tabs>
          <w:tab w:val="left" w:pos="1260"/>
        </w:tabs>
        <w:kinsoku/>
        <w:wordWrap/>
        <w:overflowPunct/>
        <w:topLinePunct w:val="0"/>
        <w:autoSpaceDE/>
        <w:autoSpaceDN/>
        <w:bidi w:val="0"/>
        <w:adjustRightInd w:val="0"/>
        <w:snapToGrid w:val="0"/>
        <w:spacing w:line="560" w:lineRule="exact"/>
        <w:ind w:firstLine="560" w:firstLineChars="200"/>
        <w:textAlignment w:val="auto"/>
        <w:outlineLvl w:val="9"/>
        <w:rPr>
          <w:rFonts w:hint="eastAsia" w:cs="Times New Roman" w:asciiTheme="majorEastAsia" w:hAnsiTheme="majorEastAsia" w:eastAsiaTheme="majorEastAsia"/>
          <w:color w:val="auto"/>
          <w:sz w:val="28"/>
          <w:szCs w:val="28"/>
        </w:rPr>
      </w:pPr>
      <w:r>
        <w:rPr>
          <w:rFonts w:hint="eastAsia" w:cs="Times New Roman" w:asciiTheme="majorEastAsia" w:hAnsiTheme="majorEastAsia" w:eastAsiaTheme="majorEastAsia"/>
          <w:color w:val="auto"/>
          <w:sz w:val="28"/>
          <w:szCs w:val="28"/>
        </w:rPr>
        <w:t>附件六：故障维修记录表</w:t>
      </w:r>
    </w:p>
    <w:p>
      <w:pPr>
        <w:keepNext w:val="0"/>
        <w:keepLines w:val="0"/>
        <w:pageBreakBefore w:val="0"/>
        <w:widowControl w:val="0"/>
        <w:tabs>
          <w:tab w:val="left" w:pos="1260"/>
        </w:tabs>
        <w:kinsoku/>
        <w:wordWrap/>
        <w:overflowPunct/>
        <w:topLinePunct w:val="0"/>
        <w:autoSpaceDE/>
        <w:autoSpaceDN/>
        <w:bidi w:val="0"/>
        <w:adjustRightInd w:val="0"/>
        <w:snapToGrid w:val="0"/>
        <w:spacing w:line="560" w:lineRule="exact"/>
        <w:ind w:firstLine="560" w:firstLineChars="200"/>
        <w:textAlignment w:val="auto"/>
        <w:outlineLvl w:val="9"/>
        <w:rPr>
          <w:rFonts w:hint="eastAsia" w:cs="Times New Roman" w:asciiTheme="majorEastAsia" w:hAnsiTheme="majorEastAsia" w:eastAsiaTheme="majorEastAsia"/>
          <w:color w:val="auto"/>
          <w:kern w:val="2"/>
          <w:sz w:val="28"/>
          <w:szCs w:val="28"/>
        </w:rPr>
      </w:pPr>
      <w:r>
        <w:rPr>
          <w:rFonts w:hint="eastAsia" w:cs="Times New Roman" w:asciiTheme="majorEastAsia" w:hAnsiTheme="majorEastAsia" w:eastAsiaTheme="majorEastAsia"/>
          <w:color w:val="auto"/>
          <w:sz w:val="28"/>
          <w:szCs w:val="28"/>
        </w:rPr>
        <w:t>附件</w:t>
      </w:r>
      <w:r>
        <w:rPr>
          <w:rFonts w:hint="eastAsia" w:cs="Times New Roman" w:asciiTheme="majorEastAsia" w:hAnsiTheme="majorEastAsia" w:eastAsiaTheme="majorEastAsia"/>
          <w:color w:val="auto"/>
          <w:sz w:val="28"/>
          <w:szCs w:val="28"/>
          <w:lang w:eastAsia="zh-CN"/>
        </w:rPr>
        <w:t>七</w:t>
      </w:r>
      <w:r>
        <w:rPr>
          <w:rFonts w:hint="eastAsia" w:cs="Times New Roman" w:asciiTheme="majorEastAsia" w:hAnsiTheme="majorEastAsia" w:eastAsiaTheme="majorEastAsia"/>
          <w:color w:val="auto"/>
          <w:sz w:val="28"/>
          <w:szCs w:val="28"/>
        </w:rPr>
        <w:t>：</w:t>
      </w:r>
      <w:r>
        <w:rPr>
          <w:rFonts w:hint="eastAsia" w:cs="Times New Roman" w:asciiTheme="majorEastAsia" w:hAnsiTheme="majorEastAsia" w:eastAsiaTheme="majorEastAsia"/>
          <w:color w:val="auto"/>
          <w:kern w:val="2"/>
          <w:sz w:val="28"/>
          <w:szCs w:val="28"/>
        </w:rPr>
        <w:t>电梯维修保养月度考核评分表</w:t>
      </w:r>
    </w:p>
    <w:p>
      <w:pPr>
        <w:keepNext w:val="0"/>
        <w:keepLines w:val="0"/>
        <w:pageBreakBefore w:val="0"/>
        <w:widowControl w:val="0"/>
        <w:tabs>
          <w:tab w:val="left" w:pos="1260"/>
        </w:tabs>
        <w:kinsoku/>
        <w:wordWrap/>
        <w:overflowPunct/>
        <w:topLinePunct w:val="0"/>
        <w:autoSpaceDE/>
        <w:autoSpaceDN/>
        <w:bidi w:val="0"/>
        <w:adjustRightInd w:val="0"/>
        <w:snapToGrid w:val="0"/>
        <w:spacing w:line="560" w:lineRule="exact"/>
        <w:ind w:firstLine="560" w:firstLineChars="200"/>
        <w:textAlignment w:val="auto"/>
        <w:outlineLvl w:val="9"/>
        <w:rPr>
          <w:rFonts w:ascii="仿宋" w:hAnsi="仿宋" w:eastAsia="仿宋"/>
          <w:color w:val="auto"/>
          <w:sz w:val="28"/>
          <w:szCs w:val="28"/>
        </w:rPr>
      </w:pPr>
      <w:r>
        <w:rPr>
          <w:rFonts w:ascii="仿宋" w:hAnsi="仿宋" w:eastAsia="仿宋"/>
          <w:color w:val="auto"/>
          <w:sz w:val="28"/>
          <w:szCs w:val="28"/>
        </w:rPr>
        <w:br w:type="page"/>
      </w:r>
    </w:p>
    <w:p>
      <w:pPr>
        <w:pStyle w:val="4"/>
        <w:pageBreakBefore w:val="0"/>
        <w:widowControl w:val="0"/>
        <w:kinsoku/>
        <w:wordWrap/>
        <w:overflowPunct/>
        <w:topLinePunct w:val="0"/>
        <w:autoSpaceDE/>
        <w:autoSpaceDN/>
        <w:bidi w:val="0"/>
        <w:spacing w:before="120" w:after="120" w:line="360" w:lineRule="exact"/>
        <w:textAlignment w:val="auto"/>
        <w:rPr>
          <w:rFonts w:cs="Times New Roman" w:asciiTheme="majorEastAsia" w:hAnsiTheme="majorEastAsia" w:eastAsiaTheme="majorEastAsia"/>
          <w:color w:val="auto"/>
          <w:kern w:val="2"/>
          <w:sz w:val="28"/>
          <w:szCs w:val="28"/>
        </w:rPr>
      </w:pPr>
      <w:bookmarkStart w:id="211" w:name="_Toc93068892"/>
      <w:bookmarkStart w:id="212" w:name="_Toc23912"/>
      <w:bookmarkStart w:id="213" w:name="_Toc11877"/>
      <w:r>
        <w:rPr>
          <w:rFonts w:hint="eastAsia" w:cs="Times New Roman" w:asciiTheme="majorEastAsia" w:hAnsiTheme="majorEastAsia" w:eastAsiaTheme="majorEastAsia"/>
          <w:color w:val="auto"/>
          <w:kern w:val="2"/>
          <w:sz w:val="28"/>
          <w:szCs w:val="28"/>
        </w:rPr>
        <w:t>附件一：设备台账清单</w:t>
      </w:r>
      <w:bookmarkEnd w:id="211"/>
      <w:bookmarkEnd w:id="212"/>
      <w:bookmarkEnd w:id="213"/>
    </w:p>
    <w:p>
      <w:pPr>
        <w:pageBreakBefore w:val="0"/>
        <w:widowControl w:val="0"/>
        <w:numPr>
          <w:ilvl w:val="0"/>
          <w:numId w:val="19"/>
        </w:numPr>
        <w:kinsoku/>
        <w:wordWrap/>
        <w:overflowPunct/>
        <w:topLinePunct w:val="0"/>
        <w:autoSpaceDE/>
        <w:autoSpaceDN/>
        <w:bidi w:val="0"/>
        <w:adjustRightInd w:val="0"/>
        <w:snapToGrid w:val="0"/>
        <w:spacing w:line="360" w:lineRule="exact"/>
        <w:textAlignment w:val="auto"/>
        <w:rPr>
          <w:rFonts w:hint="eastAsia" w:ascii="仿宋" w:hAnsi="仿宋" w:eastAsia="仿宋"/>
          <w:color w:val="auto"/>
          <w:sz w:val="28"/>
          <w:szCs w:val="28"/>
        </w:rPr>
      </w:pPr>
      <w:r>
        <w:rPr>
          <w:rFonts w:ascii="仿宋" w:hAnsi="仿宋" w:eastAsia="仿宋"/>
          <w:color w:val="auto"/>
          <w:sz w:val="28"/>
          <w:szCs w:val="28"/>
        </w:rPr>
        <w:t>自动扶梯</w:t>
      </w:r>
      <w:r>
        <w:rPr>
          <w:rFonts w:hint="eastAsia" w:ascii="仿宋" w:hAnsi="仿宋" w:eastAsia="仿宋"/>
          <w:color w:val="auto"/>
          <w:sz w:val="28"/>
          <w:szCs w:val="28"/>
        </w:rPr>
        <w:t>台账</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5"/>
        <w:gridCol w:w="1274"/>
        <w:gridCol w:w="707"/>
        <w:gridCol w:w="3226"/>
        <w:gridCol w:w="1163"/>
        <w:gridCol w:w="1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jc w:val="center"/>
              <w:rPr>
                <w:rFonts w:ascii="仿宋" w:hAnsi="仿宋" w:eastAsia="仿宋" w:cs="Times New Roman"/>
                <w:color w:val="auto"/>
                <w:sz w:val="28"/>
                <w:szCs w:val="28"/>
              </w:rPr>
            </w:pPr>
            <w:r>
              <w:rPr>
                <w:rFonts w:hint="eastAsia" w:ascii="仿宋" w:hAnsi="仿宋" w:eastAsia="仿宋" w:cs="Times New Roman"/>
                <w:color w:val="auto"/>
                <w:szCs w:val="21"/>
              </w:rPr>
              <w:t>序</w:t>
            </w:r>
            <w:r>
              <w:rPr>
                <w:rFonts w:ascii="仿宋" w:hAnsi="仿宋" w:eastAsia="仿宋" w:cs="Times New Roman"/>
                <w:color w:val="auto"/>
                <w:szCs w:val="21"/>
              </w:rPr>
              <w:t>号</w:t>
            </w:r>
          </w:p>
        </w:tc>
        <w:tc>
          <w:tcPr>
            <w:tcW w:w="1274" w:type="dxa"/>
            <w:shd w:val="clear" w:color="auto" w:fill="auto"/>
            <w:noWrap w:val="0"/>
            <w:vAlign w:val="center"/>
          </w:tcPr>
          <w:p>
            <w:pPr>
              <w:jc w:val="center"/>
              <w:rPr>
                <w:rFonts w:ascii="仿宋" w:hAnsi="仿宋" w:eastAsia="仿宋" w:cs="Times New Roman"/>
                <w:color w:val="auto"/>
                <w:sz w:val="28"/>
                <w:szCs w:val="28"/>
              </w:rPr>
            </w:pPr>
            <w:r>
              <w:rPr>
                <w:rFonts w:hint="eastAsia" w:ascii="仿宋" w:hAnsi="仿宋" w:eastAsia="仿宋" w:cs="Times New Roman"/>
                <w:color w:val="auto"/>
                <w:szCs w:val="21"/>
              </w:rPr>
              <w:t>安</w:t>
            </w:r>
            <w:r>
              <w:rPr>
                <w:rFonts w:ascii="仿宋" w:hAnsi="仿宋" w:eastAsia="仿宋" w:cs="Times New Roman"/>
                <w:color w:val="auto"/>
                <w:szCs w:val="21"/>
              </w:rPr>
              <w:t>装位置</w:t>
            </w:r>
          </w:p>
        </w:tc>
        <w:tc>
          <w:tcPr>
            <w:tcW w:w="707" w:type="dxa"/>
            <w:shd w:val="clear" w:color="auto" w:fill="auto"/>
            <w:noWrap w:val="0"/>
            <w:vAlign w:val="center"/>
          </w:tcPr>
          <w:p>
            <w:pPr>
              <w:jc w:val="center"/>
              <w:rPr>
                <w:rFonts w:ascii="仿宋" w:hAnsi="仿宋" w:eastAsia="仿宋" w:cs="Times New Roman"/>
                <w:color w:val="auto"/>
                <w:szCs w:val="21"/>
              </w:rPr>
            </w:pPr>
            <w:r>
              <w:rPr>
                <w:rFonts w:hint="eastAsia" w:ascii="仿宋" w:hAnsi="仿宋" w:eastAsia="仿宋" w:cs="Times New Roman"/>
                <w:color w:val="auto"/>
                <w:szCs w:val="21"/>
              </w:rPr>
              <w:t>内</w:t>
            </w:r>
            <w:r>
              <w:rPr>
                <w:rFonts w:ascii="仿宋" w:hAnsi="仿宋" w:eastAsia="仿宋" w:cs="Times New Roman"/>
                <w:color w:val="auto"/>
                <w:szCs w:val="21"/>
              </w:rPr>
              <w:t>部编号</w:t>
            </w:r>
          </w:p>
        </w:tc>
        <w:tc>
          <w:tcPr>
            <w:tcW w:w="3226"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型</w:t>
            </w:r>
            <w:r>
              <w:rPr>
                <w:rFonts w:ascii="仿宋" w:hAnsi="仿宋" w:eastAsia="仿宋" w:cs="Times New Roman"/>
                <w:color w:val="auto"/>
                <w:szCs w:val="21"/>
              </w:rPr>
              <w:t>号规格</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电</w:t>
            </w:r>
            <w:r>
              <w:rPr>
                <w:rFonts w:ascii="仿宋" w:hAnsi="仿宋" w:eastAsia="仿宋" w:cs="Times New Roman"/>
                <w:color w:val="auto"/>
                <w:szCs w:val="21"/>
              </w:rPr>
              <w:t>机功率（</w:t>
            </w:r>
            <w:r>
              <w:rPr>
                <w:rFonts w:hint="eastAsia" w:ascii="仿宋" w:hAnsi="仿宋" w:eastAsia="仿宋" w:cs="Times New Roman"/>
                <w:color w:val="auto"/>
                <w:szCs w:val="21"/>
              </w:rPr>
              <w:t>KW</w:t>
            </w:r>
            <w:r>
              <w:rPr>
                <w:rFonts w:ascii="仿宋" w:hAnsi="仿宋" w:eastAsia="仿宋" w:cs="Times New Roman"/>
                <w:color w:val="auto"/>
                <w:szCs w:val="21"/>
              </w:rPr>
              <w:t>）</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制</w:t>
            </w:r>
            <w:r>
              <w:rPr>
                <w:rFonts w:ascii="仿宋" w:hAnsi="仿宋" w:eastAsia="仿宋" w:cs="Times New Roman"/>
                <w:color w:val="auto"/>
                <w:szCs w:val="21"/>
              </w:rPr>
              <w:t>造厂家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spacing w:line="360" w:lineRule="auto"/>
              <w:jc w:val="center"/>
              <w:rPr>
                <w:rFonts w:ascii="仿宋" w:hAnsi="仿宋" w:eastAsia="仿宋" w:cs="Times New Roman"/>
                <w:color w:val="auto"/>
                <w:szCs w:val="21"/>
              </w:rPr>
            </w:pPr>
            <w:r>
              <w:rPr>
                <w:rFonts w:hint="eastAsia" w:ascii="仿宋" w:hAnsi="仿宋" w:eastAsia="仿宋" w:cs="Times New Roman"/>
                <w:color w:val="auto"/>
                <w:szCs w:val="21"/>
              </w:rPr>
              <w:t>1</w:t>
            </w:r>
          </w:p>
        </w:tc>
        <w:tc>
          <w:tcPr>
            <w:tcW w:w="1274" w:type="dxa"/>
            <w:shd w:val="clear" w:color="auto" w:fill="auto"/>
            <w:noWrap w:val="0"/>
            <w:vAlign w:val="center"/>
          </w:tcPr>
          <w:p>
            <w:pPr>
              <w:jc w:val="center"/>
              <w:rPr>
                <w:rFonts w:ascii="仿宋" w:hAnsi="仿宋" w:eastAsia="仿宋" w:cs="Times New Roman"/>
                <w:color w:val="auto"/>
                <w:sz w:val="28"/>
                <w:szCs w:val="28"/>
              </w:rPr>
            </w:pPr>
            <w:r>
              <w:rPr>
                <w:rFonts w:hint="eastAsia" w:ascii="仿宋" w:hAnsi="仿宋" w:eastAsia="仿宋" w:cs="Times New Roman"/>
                <w:color w:val="auto"/>
                <w:szCs w:val="21"/>
              </w:rPr>
              <w:t>西广场四区-1F~-2F</w:t>
            </w:r>
          </w:p>
        </w:tc>
        <w:tc>
          <w:tcPr>
            <w:tcW w:w="707" w:type="dxa"/>
            <w:shd w:val="clear" w:color="auto" w:fill="auto"/>
            <w:noWrap w:val="0"/>
            <w:vAlign w:val="center"/>
          </w:tcPr>
          <w:p>
            <w:pPr>
              <w:spacing w:line="360" w:lineRule="auto"/>
              <w:jc w:val="center"/>
              <w:rPr>
                <w:rFonts w:ascii="仿宋" w:hAnsi="仿宋" w:eastAsia="仿宋" w:cs="Times New Roman"/>
                <w:color w:val="auto"/>
                <w:szCs w:val="21"/>
              </w:rPr>
            </w:pPr>
            <w:r>
              <w:rPr>
                <w:rFonts w:hint="eastAsia" w:ascii="仿宋" w:hAnsi="仿宋" w:eastAsia="仿宋" w:cs="Times New Roman"/>
                <w:color w:val="auto"/>
                <w:szCs w:val="21"/>
              </w:rPr>
              <w:t>1</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9300AE-10-EN-30-100-K-R，提升高度：4.5M,名义速度:0.5m/s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jc w:val="center"/>
              <w:rPr>
                <w:rFonts w:ascii="仿宋" w:hAnsi="仿宋" w:eastAsia="仿宋" w:cs="Times New Roman"/>
                <w:color w:val="auto"/>
                <w:szCs w:val="21"/>
              </w:rPr>
            </w:pPr>
            <w:r>
              <w:rPr>
                <w:rFonts w:hint="eastAsia" w:ascii="仿宋" w:hAnsi="仿宋" w:eastAsia="仿宋" w:cs="Times New Roman"/>
                <w:color w:val="auto"/>
                <w:szCs w:val="21"/>
              </w:rPr>
              <w:t>2</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西广场四区-2F~-1F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2</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jc w:val="left"/>
              <w:rPr>
                <w:rFonts w:ascii="仿宋" w:hAnsi="仿宋" w:eastAsia="仿宋" w:cs="Times New Roman"/>
                <w:color w:val="auto"/>
                <w:sz w:val="28"/>
                <w:szCs w:val="28"/>
              </w:rPr>
            </w:pPr>
            <w:r>
              <w:rPr>
                <w:rFonts w:hint="eastAsia" w:ascii="仿宋" w:hAnsi="仿宋" w:eastAsia="仿宋" w:cs="Times New Roman"/>
                <w:color w:val="auto"/>
                <w:szCs w:val="21"/>
              </w:rPr>
              <w:t>9300AE-10-EN-30-100-K-W,提升高度：6.15M,名义速度:0.5m/s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7.5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jc w:val="center"/>
              <w:rPr>
                <w:rFonts w:ascii="仿宋" w:hAnsi="仿宋" w:eastAsia="仿宋" w:cs="Times New Roman"/>
                <w:color w:val="auto"/>
                <w:szCs w:val="21"/>
              </w:rPr>
            </w:pPr>
            <w:r>
              <w:rPr>
                <w:rFonts w:hint="eastAsia" w:ascii="仿宋" w:hAnsi="仿宋" w:eastAsia="仿宋" w:cs="Times New Roman"/>
                <w:color w:val="auto"/>
                <w:szCs w:val="21"/>
              </w:rPr>
              <w:t>3</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西广场四区-1F~广场</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3</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9300AE-10-EN-30-100-K-W，提升高度：6.15M,名义速度:0.5m/s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7.5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4</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西广场四区广场~-1F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4</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9300AE-10-EN-30-100-K-W，提升高度：6.35M,名义速度:0.5m/s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7.5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西广场五区-2F~-1F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9300AE-10-EN-30-100-K-R，提升高度：4.56M,名义速度:0.5m/s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6</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西广场五区-1F~-2F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6</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9300AE-10-EN-30-100-K-R，提升高度：4.56M,名义速度:0.5m/s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7</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西广场四区广场~-1F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7</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9300AE-10-EN-30-100-K-W，提升高度：5.89M,名义速度:0.5m/s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8</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西广场四区-1F~广场</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8</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9300AE-10-EN-30-100-K-W，提升高度：5.89M,名义速度:0.5m/s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9</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西广场五区的士区</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9</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9300AE-10-EN-30-100-K-W，提升高度：4.57M,名义速度:0.5m/s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10</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西广场五区的士区</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10</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9300AE-10-EN-30-100-K-W，提升高度：4.57M,名义速度:0.5m/s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11</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西广场二区-1F~-2F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11</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9300AE-10-EN-30-100-K-W，提升高度：6M,名义速度:0.5m/s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7.5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12</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西广场二区-2F~-1F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12</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9300AE-10-EN-30-100-K-W，提升高度：6M,名义速度:0.5m/s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7.5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13</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西广场二区-2F~-1F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13</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9300AE-10-EN-30-100-K-W，提升高度：4.59M,名义速度:0.5m/s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14</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西广场二区-1F~-2F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14</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9300AE-10-EN-30-100-K-W，提升高度：4.59M,名义速度:0.5m/s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15</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西广场一区广场~-1F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15</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9300AE-10-EN-30-100-K-W，提升高度：6.35M,名义速度:0.5m/s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7.5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16</w:t>
            </w:r>
          </w:p>
        </w:tc>
        <w:tc>
          <w:tcPr>
            <w:tcW w:w="1274"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西广场一区-1F~广场</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16</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9300AE-10-EN-30-100-K-W，提升高度：6.09M,名义速度:0.5m/s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7.5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17</w:t>
            </w:r>
          </w:p>
        </w:tc>
        <w:tc>
          <w:tcPr>
            <w:tcW w:w="1274"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西广场一区-2F~-1F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17</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9300AE-10-EN-30-100-K-W，提升高度：4.56M,名义速度:0.5m/s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18</w:t>
            </w:r>
          </w:p>
        </w:tc>
        <w:tc>
          <w:tcPr>
            <w:tcW w:w="1274"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西广场二区-1F~-2F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18</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9300AE-10-EN-30-100-K-W，提升高度：4.56M,名义速度:0.5m/s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19</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西广场三区1F~-2F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19</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9300AE-10-EN-30-100-K-R，提升高度：4.57M,名义速度:0.5m/s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20</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西广场三区2F~-1F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20</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9300AE-10-EN-30-100-K-R，提升高度：4.57M,名义速度:0.5m/s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21</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西广场三区广场~-1F</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21</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9300AE-10-EN-30-100-K-R，提升高度：5.4M,名义速度:0.5m/s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62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22</w:t>
            </w:r>
          </w:p>
        </w:tc>
        <w:tc>
          <w:tcPr>
            <w:tcW w:w="1274"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西广场三区-1F~广场</w:t>
            </w:r>
          </w:p>
        </w:tc>
        <w:tc>
          <w:tcPr>
            <w:tcW w:w="70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22</w:t>
            </w:r>
            <w:r>
              <w:rPr>
                <w:rFonts w:ascii="仿宋" w:hAnsi="仿宋" w:eastAsia="仿宋" w:cs="Times New Roman"/>
                <w:color w:val="auto"/>
                <w:szCs w:val="21"/>
              </w:rPr>
              <w:t>#</w:t>
            </w:r>
          </w:p>
        </w:tc>
        <w:tc>
          <w:tcPr>
            <w:tcW w:w="32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9300AE-10-EN-30-100-K-R，提升高度：5.4M,名义速度:0.5m/s</w:t>
            </w:r>
          </w:p>
        </w:tc>
        <w:tc>
          <w:tcPr>
            <w:tcW w:w="1163"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5.5</w:t>
            </w:r>
          </w:p>
        </w:tc>
        <w:tc>
          <w:tcPr>
            <w:tcW w:w="1721"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迅</w:t>
            </w:r>
            <w:r>
              <w:rPr>
                <w:rFonts w:ascii="仿宋" w:hAnsi="仿宋" w:eastAsia="仿宋" w:cs="Times New Roman"/>
                <w:color w:val="auto"/>
                <w:szCs w:val="21"/>
              </w:rPr>
              <w:t>达（中国）电梯有限公司</w:t>
            </w:r>
          </w:p>
        </w:tc>
      </w:tr>
    </w:tbl>
    <w:p>
      <w:pPr>
        <w:pageBreakBefore w:val="0"/>
        <w:widowControl w:val="0"/>
        <w:numPr>
          <w:ilvl w:val="0"/>
          <w:numId w:val="19"/>
        </w:numPr>
        <w:kinsoku/>
        <w:wordWrap/>
        <w:overflowPunct/>
        <w:topLinePunct w:val="0"/>
        <w:autoSpaceDE/>
        <w:autoSpaceDN/>
        <w:bidi w:val="0"/>
        <w:adjustRightInd w:val="0"/>
        <w:snapToGrid w:val="0"/>
        <w:spacing w:line="3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楼道升降平台台账</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987"/>
        <w:gridCol w:w="1559"/>
        <w:gridCol w:w="695"/>
        <w:gridCol w:w="3521"/>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序</w:t>
            </w:r>
            <w:r>
              <w:rPr>
                <w:rFonts w:ascii="仿宋" w:hAnsi="仿宋" w:eastAsia="仿宋" w:cs="Times New Roman"/>
                <w:color w:val="auto"/>
                <w:szCs w:val="21"/>
              </w:rPr>
              <w:t>号</w:t>
            </w:r>
          </w:p>
        </w:tc>
        <w:tc>
          <w:tcPr>
            <w:tcW w:w="98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设备</w:t>
            </w:r>
          </w:p>
          <w:p>
            <w:pPr>
              <w:tabs>
                <w:tab w:val="left" w:pos="1260"/>
              </w:tabs>
              <w:adjustRightInd w:val="0"/>
              <w:snapToGrid w:val="0"/>
              <w:jc w:val="center"/>
              <w:rPr>
                <w:rFonts w:ascii="仿宋" w:hAnsi="仿宋" w:eastAsia="仿宋" w:cs="Times New Roman"/>
                <w:color w:val="auto"/>
                <w:szCs w:val="21"/>
              </w:rPr>
            </w:pPr>
            <w:r>
              <w:rPr>
                <w:rFonts w:ascii="仿宋" w:hAnsi="仿宋" w:eastAsia="仿宋" w:cs="Times New Roman"/>
                <w:color w:val="auto"/>
                <w:szCs w:val="21"/>
              </w:rPr>
              <w:t>名称</w:t>
            </w:r>
          </w:p>
        </w:tc>
        <w:tc>
          <w:tcPr>
            <w:tcW w:w="1559"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安</w:t>
            </w:r>
            <w:r>
              <w:rPr>
                <w:rFonts w:ascii="仿宋" w:hAnsi="仿宋" w:eastAsia="仿宋" w:cs="Times New Roman"/>
                <w:color w:val="auto"/>
                <w:szCs w:val="21"/>
              </w:rPr>
              <w:t>装位置</w:t>
            </w:r>
          </w:p>
        </w:tc>
        <w:tc>
          <w:tcPr>
            <w:tcW w:w="69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内</w:t>
            </w:r>
            <w:r>
              <w:rPr>
                <w:rFonts w:ascii="仿宋" w:hAnsi="仿宋" w:eastAsia="仿宋" w:cs="Times New Roman"/>
                <w:color w:val="auto"/>
                <w:szCs w:val="21"/>
              </w:rPr>
              <w:t>部编号</w:t>
            </w:r>
          </w:p>
        </w:tc>
        <w:tc>
          <w:tcPr>
            <w:tcW w:w="3521"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型</w:t>
            </w:r>
            <w:r>
              <w:rPr>
                <w:rFonts w:ascii="仿宋" w:hAnsi="仿宋" w:eastAsia="仿宋" w:cs="Times New Roman"/>
                <w:color w:val="auto"/>
                <w:szCs w:val="21"/>
              </w:rPr>
              <w:t>号规格</w:t>
            </w:r>
          </w:p>
        </w:tc>
        <w:tc>
          <w:tcPr>
            <w:tcW w:w="1476"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制</w:t>
            </w:r>
            <w:r>
              <w:rPr>
                <w:rFonts w:ascii="仿宋" w:hAnsi="仿宋" w:eastAsia="仿宋" w:cs="Times New Roman"/>
                <w:color w:val="auto"/>
                <w:szCs w:val="21"/>
              </w:rPr>
              <w:t>造厂家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1</w:t>
            </w:r>
          </w:p>
        </w:tc>
        <w:tc>
          <w:tcPr>
            <w:tcW w:w="98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楼</w:t>
            </w:r>
            <w:r>
              <w:rPr>
                <w:rFonts w:ascii="仿宋" w:hAnsi="仿宋" w:eastAsia="仿宋" w:cs="Times New Roman"/>
                <w:color w:val="auto"/>
                <w:szCs w:val="21"/>
              </w:rPr>
              <w:t>道升降</w:t>
            </w:r>
            <w:r>
              <w:rPr>
                <w:rFonts w:hint="eastAsia" w:ascii="仿宋" w:hAnsi="仿宋" w:eastAsia="仿宋" w:cs="Times New Roman"/>
                <w:color w:val="auto"/>
                <w:szCs w:val="21"/>
              </w:rPr>
              <w:t>平</w:t>
            </w:r>
            <w:r>
              <w:rPr>
                <w:rFonts w:ascii="仿宋" w:hAnsi="仿宋" w:eastAsia="仿宋" w:cs="Times New Roman"/>
                <w:color w:val="auto"/>
                <w:szCs w:val="21"/>
              </w:rPr>
              <w:t>台</w:t>
            </w:r>
          </w:p>
        </w:tc>
        <w:tc>
          <w:tcPr>
            <w:tcW w:w="1559" w:type="dxa"/>
            <w:shd w:val="clear" w:color="auto" w:fill="auto"/>
            <w:noWrap w:val="0"/>
            <w:vAlign w:val="center"/>
          </w:tcPr>
          <w:p>
            <w:pPr>
              <w:jc w:val="center"/>
              <w:rPr>
                <w:rFonts w:ascii="仿宋" w:hAnsi="仿宋" w:eastAsia="仿宋" w:cs="Times New Roman"/>
                <w:color w:val="auto"/>
                <w:szCs w:val="21"/>
              </w:rPr>
            </w:pPr>
            <w:r>
              <w:rPr>
                <w:rFonts w:hint="eastAsia" w:ascii="仿宋" w:hAnsi="仿宋" w:eastAsia="仿宋" w:cs="Times New Roman"/>
                <w:color w:val="auto"/>
                <w:szCs w:val="21"/>
              </w:rPr>
              <w:t>西广场四区1F~-2F</w:t>
            </w:r>
          </w:p>
        </w:tc>
        <w:tc>
          <w:tcPr>
            <w:tcW w:w="695"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1</w:t>
            </w:r>
            <w:r>
              <w:rPr>
                <w:rFonts w:ascii="仿宋" w:hAnsi="仿宋" w:eastAsia="仿宋" w:cs="Times New Roman"/>
                <w:color w:val="auto"/>
                <w:szCs w:val="21"/>
              </w:rPr>
              <w:t>#</w:t>
            </w:r>
          </w:p>
        </w:tc>
        <w:tc>
          <w:tcPr>
            <w:tcW w:w="3521"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额定载重：300kg,驱动方式：齿轮齿条，运载装置型式：轮椅车平台式</w:t>
            </w:r>
          </w:p>
        </w:tc>
        <w:tc>
          <w:tcPr>
            <w:tcW w:w="1476"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ThyssenKRUPP Ceteco(蒂森克虏伯)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2</w:t>
            </w:r>
          </w:p>
        </w:tc>
        <w:tc>
          <w:tcPr>
            <w:tcW w:w="987"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楼</w:t>
            </w:r>
            <w:r>
              <w:rPr>
                <w:rFonts w:ascii="仿宋" w:hAnsi="仿宋" w:eastAsia="仿宋" w:cs="Times New Roman"/>
                <w:color w:val="auto"/>
                <w:szCs w:val="21"/>
              </w:rPr>
              <w:t>道升降</w:t>
            </w:r>
            <w:r>
              <w:rPr>
                <w:rFonts w:hint="eastAsia" w:ascii="仿宋" w:hAnsi="仿宋" w:eastAsia="仿宋" w:cs="Times New Roman"/>
                <w:color w:val="auto"/>
                <w:szCs w:val="21"/>
              </w:rPr>
              <w:t>平</w:t>
            </w:r>
            <w:r>
              <w:rPr>
                <w:rFonts w:ascii="仿宋" w:hAnsi="仿宋" w:eastAsia="仿宋" w:cs="Times New Roman"/>
                <w:color w:val="auto"/>
                <w:szCs w:val="21"/>
              </w:rPr>
              <w:t>台</w:t>
            </w:r>
          </w:p>
        </w:tc>
        <w:tc>
          <w:tcPr>
            <w:tcW w:w="1559"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西广场五区1F~-2F</w:t>
            </w:r>
          </w:p>
        </w:tc>
        <w:tc>
          <w:tcPr>
            <w:tcW w:w="69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2</w:t>
            </w:r>
            <w:r>
              <w:rPr>
                <w:rFonts w:ascii="仿宋" w:hAnsi="仿宋" w:eastAsia="仿宋" w:cs="Times New Roman"/>
                <w:color w:val="auto"/>
                <w:szCs w:val="21"/>
              </w:rPr>
              <w:t>#</w:t>
            </w:r>
          </w:p>
        </w:tc>
        <w:tc>
          <w:tcPr>
            <w:tcW w:w="3521"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额定载重：300kg,驱动方式：齿轮齿条，运载装置型式：轮椅车平台式</w:t>
            </w:r>
          </w:p>
        </w:tc>
        <w:tc>
          <w:tcPr>
            <w:tcW w:w="1476" w:type="dxa"/>
            <w:shd w:val="clear" w:color="auto" w:fill="auto"/>
            <w:noWrap w:val="0"/>
            <w:vAlign w:val="top"/>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ThyssenKRUPP Ceteco(蒂森克虏伯)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3</w:t>
            </w:r>
          </w:p>
        </w:tc>
        <w:tc>
          <w:tcPr>
            <w:tcW w:w="987"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楼</w:t>
            </w:r>
            <w:r>
              <w:rPr>
                <w:rFonts w:ascii="仿宋" w:hAnsi="仿宋" w:eastAsia="仿宋" w:cs="Times New Roman"/>
                <w:color w:val="auto"/>
                <w:szCs w:val="21"/>
              </w:rPr>
              <w:t>道升降</w:t>
            </w:r>
            <w:r>
              <w:rPr>
                <w:rFonts w:hint="eastAsia" w:ascii="仿宋" w:hAnsi="仿宋" w:eastAsia="仿宋" w:cs="Times New Roman"/>
                <w:color w:val="auto"/>
                <w:szCs w:val="21"/>
              </w:rPr>
              <w:t>平</w:t>
            </w:r>
            <w:r>
              <w:rPr>
                <w:rFonts w:ascii="仿宋" w:hAnsi="仿宋" w:eastAsia="仿宋" w:cs="Times New Roman"/>
                <w:color w:val="auto"/>
                <w:szCs w:val="21"/>
              </w:rPr>
              <w:t>台</w:t>
            </w:r>
          </w:p>
        </w:tc>
        <w:tc>
          <w:tcPr>
            <w:tcW w:w="1559" w:type="dxa"/>
            <w:shd w:val="clear" w:color="auto" w:fill="auto"/>
            <w:noWrap w:val="0"/>
            <w:vAlign w:val="top"/>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西广场二区2F~-1F</w:t>
            </w:r>
          </w:p>
        </w:tc>
        <w:tc>
          <w:tcPr>
            <w:tcW w:w="69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3</w:t>
            </w:r>
            <w:r>
              <w:rPr>
                <w:rFonts w:ascii="仿宋" w:hAnsi="仿宋" w:eastAsia="仿宋" w:cs="Times New Roman"/>
                <w:color w:val="auto"/>
                <w:szCs w:val="21"/>
              </w:rPr>
              <w:t>#</w:t>
            </w:r>
          </w:p>
        </w:tc>
        <w:tc>
          <w:tcPr>
            <w:tcW w:w="3521"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额定载重：300kg,驱动方式：齿轮齿条，运载装置型式：轮椅车平台式</w:t>
            </w:r>
          </w:p>
        </w:tc>
        <w:tc>
          <w:tcPr>
            <w:tcW w:w="1476" w:type="dxa"/>
            <w:shd w:val="clear" w:color="auto" w:fill="auto"/>
            <w:noWrap w:val="0"/>
            <w:vAlign w:val="top"/>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ThyssenKRUPP Ceteco(蒂森克虏伯)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4</w:t>
            </w:r>
          </w:p>
        </w:tc>
        <w:tc>
          <w:tcPr>
            <w:tcW w:w="987"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楼</w:t>
            </w:r>
            <w:r>
              <w:rPr>
                <w:rFonts w:ascii="仿宋" w:hAnsi="仿宋" w:eastAsia="仿宋" w:cs="Times New Roman"/>
                <w:color w:val="auto"/>
                <w:szCs w:val="21"/>
              </w:rPr>
              <w:t>道升降</w:t>
            </w:r>
            <w:r>
              <w:rPr>
                <w:rFonts w:hint="eastAsia" w:ascii="仿宋" w:hAnsi="仿宋" w:eastAsia="仿宋" w:cs="Times New Roman"/>
                <w:color w:val="auto"/>
                <w:szCs w:val="21"/>
              </w:rPr>
              <w:t>平</w:t>
            </w:r>
            <w:r>
              <w:rPr>
                <w:rFonts w:ascii="仿宋" w:hAnsi="仿宋" w:eastAsia="仿宋" w:cs="Times New Roman"/>
                <w:color w:val="auto"/>
                <w:szCs w:val="21"/>
              </w:rPr>
              <w:t>台</w:t>
            </w:r>
          </w:p>
        </w:tc>
        <w:tc>
          <w:tcPr>
            <w:tcW w:w="1559" w:type="dxa"/>
            <w:shd w:val="clear" w:color="auto" w:fill="auto"/>
            <w:noWrap w:val="0"/>
            <w:vAlign w:val="top"/>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西广场三区1F~-2F</w:t>
            </w:r>
          </w:p>
        </w:tc>
        <w:tc>
          <w:tcPr>
            <w:tcW w:w="69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4</w:t>
            </w:r>
            <w:r>
              <w:rPr>
                <w:rFonts w:ascii="仿宋" w:hAnsi="仿宋" w:eastAsia="仿宋" w:cs="Times New Roman"/>
                <w:color w:val="auto"/>
                <w:szCs w:val="21"/>
              </w:rPr>
              <w:t>#</w:t>
            </w:r>
          </w:p>
        </w:tc>
        <w:tc>
          <w:tcPr>
            <w:tcW w:w="3521"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额定载重：300kg,驱动方式：齿轮齿条，运载装置型式：轮椅车平台式</w:t>
            </w:r>
          </w:p>
        </w:tc>
        <w:tc>
          <w:tcPr>
            <w:tcW w:w="1476" w:type="dxa"/>
            <w:shd w:val="clear" w:color="auto" w:fill="auto"/>
            <w:noWrap w:val="0"/>
            <w:vAlign w:val="top"/>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ThyssenKRUPP Ceteco(蒂森克虏伯)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w:t>
            </w:r>
          </w:p>
        </w:tc>
        <w:tc>
          <w:tcPr>
            <w:tcW w:w="987"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楼</w:t>
            </w:r>
            <w:r>
              <w:rPr>
                <w:rFonts w:ascii="仿宋" w:hAnsi="仿宋" w:eastAsia="仿宋" w:cs="Times New Roman"/>
                <w:color w:val="auto"/>
                <w:szCs w:val="21"/>
              </w:rPr>
              <w:t>道升降</w:t>
            </w:r>
            <w:r>
              <w:rPr>
                <w:rFonts w:hint="eastAsia" w:ascii="仿宋" w:hAnsi="仿宋" w:eastAsia="仿宋" w:cs="Times New Roman"/>
                <w:color w:val="auto"/>
                <w:szCs w:val="21"/>
              </w:rPr>
              <w:t>平</w:t>
            </w:r>
            <w:r>
              <w:rPr>
                <w:rFonts w:ascii="仿宋" w:hAnsi="仿宋" w:eastAsia="仿宋" w:cs="Times New Roman"/>
                <w:color w:val="auto"/>
                <w:szCs w:val="21"/>
              </w:rPr>
              <w:t>台</w:t>
            </w:r>
          </w:p>
        </w:tc>
        <w:tc>
          <w:tcPr>
            <w:tcW w:w="1559" w:type="dxa"/>
            <w:shd w:val="clear" w:color="auto" w:fill="auto"/>
            <w:noWrap w:val="0"/>
            <w:vAlign w:val="top"/>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西广场三区1F~广场层</w:t>
            </w:r>
          </w:p>
        </w:tc>
        <w:tc>
          <w:tcPr>
            <w:tcW w:w="69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hint="eastAsia" w:ascii="仿宋" w:hAnsi="仿宋" w:eastAsia="仿宋" w:cs="Times New Roman"/>
                <w:color w:val="auto"/>
                <w:szCs w:val="21"/>
              </w:rPr>
              <w:t>5</w:t>
            </w:r>
            <w:r>
              <w:rPr>
                <w:rFonts w:ascii="仿宋" w:hAnsi="仿宋" w:eastAsia="仿宋" w:cs="Times New Roman"/>
                <w:color w:val="auto"/>
                <w:szCs w:val="21"/>
              </w:rPr>
              <w:t>#</w:t>
            </w:r>
          </w:p>
        </w:tc>
        <w:tc>
          <w:tcPr>
            <w:tcW w:w="3521"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额定载重：300kg,驱动方式：齿轮齿条，运载装置型式：轮椅车平台式</w:t>
            </w:r>
          </w:p>
        </w:tc>
        <w:tc>
          <w:tcPr>
            <w:tcW w:w="1476" w:type="dxa"/>
            <w:shd w:val="clear" w:color="auto" w:fill="auto"/>
            <w:noWrap w:val="0"/>
            <w:vAlign w:val="top"/>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ThyssenKRUPP Ceteco(蒂森克虏伯)</w:t>
            </w:r>
          </w:p>
        </w:tc>
      </w:tr>
    </w:tbl>
    <w:p>
      <w:pPr>
        <w:rPr>
          <w:rFonts w:hint="eastAsia"/>
          <w:color w:val="auto"/>
        </w:rPr>
      </w:pPr>
    </w:p>
    <w:p>
      <w:pPr>
        <w:pageBreakBefore w:val="0"/>
        <w:widowControl w:val="0"/>
        <w:numPr>
          <w:ilvl w:val="0"/>
          <w:numId w:val="19"/>
        </w:numPr>
        <w:kinsoku/>
        <w:wordWrap/>
        <w:overflowPunct/>
        <w:topLinePunct w:val="0"/>
        <w:autoSpaceDE/>
        <w:autoSpaceDN/>
        <w:bidi w:val="0"/>
        <w:adjustRightInd w:val="0"/>
        <w:snapToGrid w:val="0"/>
        <w:spacing w:line="3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垂直升降平台台账</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987"/>
        <w:gridCol w:w="1559"/>
        <w:gridCol w:w="695"/>
        <w:gridCol w:w="3521"/>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ascii="仿宋" w:hAnsi="仿宋" w:eastAsia="仿宋" w:cs="Times New Roman"/>
                <w:color w:val="auto"/>
                <w:szCs w:val="21"/>
              </w:rPr>
              <w:t>1</w:t>
            </w:r>
          </w:p>
        </w:tc>
        <w:tc>
          <w:tcPr>
            <w:tcW w:w="987"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垂</w:t>
            </w:r>
            <w:r>
              <w:rPr>
                <w:rFonts w:ascii="仿宋" w:hAnsi="仿宋" w:eastAsia="仿宋" w:cs="Times New Roman"/>
                <w:color w:val="auto"/>
                <w:szCs w:val="21"/>
              </w:rPr>
              <w:t>直</w:t>
            </w:r>
            <w:r>
              <w:rPr>
                <w:rFonts w:hint="eastAsia" w:ascii="仿宋" w:hAnsi="仿宋" w:eastAsia="仿宋" w:cs="Times New Roman"/>
                <w:color w:val="auto"/>
                <w:szCs w:val="21"/>
              </w:rPr>
              <w:t>升</w:t>
            </w:r>
            <w:r>
              <w:rPr>
                <w:rFonts w:ascii="仿宋" w:hAnsi="仿宋" w:eastAsia="仿宋" w:cs="Times New Roman"/>
                <w:color w:val="auto"/>
                <w:szCs w:val="21"/>
              </w:rPr>
              <w:t>降</w:t>
            </w:r>
            <w:r>
              <w:rPr>
                <w:rFonts w:hint="eastAsia" w:ascii="仿宋" w:hAnsi="仿宋" w:eastAsia="仿宋" w:cs="Times New Roman"/>
                <w:color w:val="auto"/>
                <w:szCs w:val="21"/>
              </w:rPr>
              <w:t>平</w:t>
            </w:r>
            <w:r>
              <w:rPr>
                <w:rFonts w:ascii="仿宋" w:hAnsi="仿宋" w:eastAsia="仿宋" w:cs="Times New Roman"/>
                <w:color w:val="auto"/>
                <w:szCs w:val="21"/>
              </w:rPr>
              <w:t>台</w:t>
            </w:r>
          </w:p>
        </w:tc>
        <w:tc>
          <w:tcPr>
            <w:tcW w:w="1559"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西</w:t>
            </w:r>
            <w:r>
              <w:rPr>
                <w:rFonts w:ascii="仿宋" w:hAnsi="仿宋" w:eastAsia="仿宋" w:cs="Times New Roman"/>
                <w:color w:val="auto"/>
                <w:szCs w:val="21"/>
              </w:rPr>
              <w:t>的士入口，广场层</w:t>
            </w:r>
            <w:r>
              <w:rPr>
                <w:rFonts w:hint="eastAsia" w:ascii="仿宋" w:hAnsi="仿宋" w:eastAsia="仿宋" w:cs="Times New Roman"/>
                <w:color w:val="auto"/>
                <w:szCs w:val="21"/>
              </w:rPr>
              <w:t>~-</w:t>
            </w:r>
            <w:r>
              <w:rPr>
                <w:rFonts w:ascii="仿宋" w:hAnsi="仿宋" w:eastAsia="仿宋" w:cs="Times New Roman"/>
                <w:color w:val="auto"/>
                <w:szCs w:val="21"/>
              </w:rPr>
              <w:t>1F</w:t>
            </w:r>
          </w:p>
        </w:tc>
        <w:tc>
          <w:tcPr>
            <w:tcW w:w="69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ascii="仿宋" w:hAnsi="仿宋" w:eastAsia="仿宋" w:cs="Times New Roman"/>
                <w:color w:val="auto"/>
                <w:szCs w:val="21"/>
              </w:rPr>
              <w:t>1#</w:t>
            </w:r>
          </w:p>
        </w:tc>
        <w:tc>
          <w:tcPr>
            <w:tcW w:w="3521" w:type="dxa"/>
            <w:shd w:val="clear" w:color="auto" w:fill="auto"/>
            <w:noWrap w:val="0"/>
            <w:vAlign w:val="top"/>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THY4822 额定载重:410kg,额定速度：0.15m/s，驱动方式：螺杆螺母，层站数：2层2站</w:t>
            </w:r>
          </w:p>
        </w:tc>
        <w:tc>
          <w:tcPr>
            <w:tcW w:w="1476" w:type="dxa"/>
            <w:shd w:val="clear" w:color="auto" w:fill="auto"/>
            <w:noWrap w:val="0"/>
            <w:vAlign w:val="top"/>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Aritco LiftAB(瑞特科）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ascii="仿宋" w:hAnsi="仿宋" w:eastAsia="仿宋" w:cs="Times New Roman"/>
                <w:color w:val="auto"/>
                <w:szCs w:val="21"/>
              </w:rPr>
              <w:t>2</w:t>
            </w:r>
          </w:p>
        </w:tc>
        <w:tc>
          <w:tcPr>
            <w:tcW w:w="987"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垂</w:t>
            </w:r>
            <w:r>
              <w:rPr>
                <w:rFonts w:ascii="仿宋" w:hAnsi="仿宋" w:eastAsia="仿宋" w:cs="Times New Roman"/>
                <w:color w:val="auto"/>
                <w:szCs w:val="21"/>
              </w:rPr>
              <w:t>直</w:t>
            </w:r>
            <w:r>
              <w:rPr>
                <w:rFonts w:hint="eastAsia" w:ascii="仿宋" w:hAnsi="仿宋" w:eastAsia="仿宋" w:cs="Times New Roman"/>
                <w:color w:val="auto"/>
                <w:szCs w:val="21"/>
              </w:rPr>
              <w:t>升</w:t>
            </w:r>
            <w:r>
              <w:rPr>
                <w:rFonts w:ascii="仿宋" w:hAnsi="仿宋" w:eastAsia="仿宋" w:cs="Times New Roman"/>
                <w:color w:val="auto"/>
                <w:szCs w:val="21"/>
              </w:rPr>
              <w:t>降</w:t>
            </w:r>
            <w:r>
              <w:rPr>
                <w:rFonts w:hint="eastAsia" w:ascii="仿宋" w:hAnsi="仿宋" w:eastAsia="仿宋" w:cs="Times New Roman"/>
                <w:color w:val="auto"/>
                <w:szCs w:val="21"/>
              </w:rPr>
              <w:t>平</w:t>
            </w:r>
            <w:r>
              <w:rPr>
                <w:rFonts w:ascii="仿宋" w:hAnsi="仿宋" w:eastAsia="仿宋" w:cs="Times New Roman"/>
                <w:color w:val="auto"/>
                <w:szCs w:val="21"/>
              </w:rPr>
              <w:t>台</w:t>
            </w:r>
          </w:p>
        </w:tc>
        <w:tc>
          <w:tcPr>
            <w:tcW w:w="1559"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西</w:t>
            </w:r>
            <w:r>
              <w:rPr>
                <w:rFonts w:ascii="仿宋" w:hAnsi="仿宋" w:eastAsia="仿宋" w:cs="Times New Roman"/>
                <w:color w:val="auto"/>
                <w:szCs w:val="21"/>
              </w:rPr>
              <w:t>广场四区-</w:t>
            </w:r>
            <w:r>
              <w:rPr>
                <w:rFonts w:hint="eastAsia" w:ascii="仿宋" w:hAnsi="仿宋" w:eastAsia="仿宋" w:cs="Times New Roman"/>
                <w:color w:val="auto"/>
                <w:szCs w:val="21"/>
              </w:rPr>
              <w:t>1</w:t>
            </w:r>
            <w:r>
              <w:rPr>
                <w:rFonts w:ascii="仿宋" w:hAnsi="仿宋" w:eastAsia="仿宋" w:cs="Times New Roman"/>
                <w:color w:val="auto"/>
                <w:szCs w:val="21"/>
              </w:rPr>
              <w:t>F</w:t>
            </w:r>
            <w:r>
              <w:rPr>
                <w:rFonts w:hint="eastAsia" w:ascii="仿宋" w:hAnsi="仿宋" w:eastAsia="仿宋" w:cs="Times New Roman"/>
                <w:color w:val="auto"/>
                <w:szCs w:val="21"/>
              </w:rPr>
              <w:t>~</w:t>
            </w:r>
            <w:r>
              <w:rPr>
                <w:rFonts w:ascii="仿宋" w:hAnsi="仿宋" w:eastAsia="仿宋" w:cs="Times New Roman"/>
                <w:color w:val="auto"/>
                <w:szCs w:val="21"/>
              </w:rPr>
              <w:t>广场层</w:t>
            </w:r>
          </w:p>
        </w:tc>
        <w:tc>
          <w:tcPr>
            <w:tcW w:w="69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ascii="仿宋" w:hAnsi="仿宋" w:eastAsia="仿宋" w:cs="Times New Roman"/>
                <w:color w:val="auto"/>
                <w:szCs w:val="21"/>
              </w:rPr>
              <w:t>2#</w:t>
            </w:r>
          </w:p>
        </w:tc>
        <w:tc>
          <w:tcPr>
            <w:tcW w:w="3521" w:type="dxa"/>
            <w:shd w:val="clear" w:color="auto" w:fill="auto"/>
            <w:noWrap w:val="0"/>
            <w:vAlign w:val="top"/>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THY4822 额定载重:410kg,额定速度：0.15m/s，驱动方式：螺杆螺母，层站数：2层2站</w:t>
            </w:r>
          </w:p>
        </w:tc>
        <w:tc>
          <w:tcPr>
            <w:tcW w:w="1476" w:type="dxa"/>
            <w:shd w:val="clear" w:color="auto" w:fill="auto"/>
            <w:noWrap w:val="0"/>
            <w:vAlign w:val="top"/>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Aritco LiftAB(瑞特科）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ascii="仿宋" w:hAnsi="仿宋" w:eastAsia="仿宋" w:cs="Times New Roman"/>
                <w:color w:val="auto"/>
                <w:szCs w:val="21"/>
              </w:rPr>
              <w:t>3</w:t>
            </w:r>
          </w:p>
        </w:tc>
        <w:tc>
          <w:tcPr>
            <w:tcW w:w="987" w:type="dxa"/>
            <w:shd w:val="clear" w:color="auto" w:fill="auto"/>
            <w:noWrap w:val="0"/>
            <w:vAlign w:val="center"/>
          </w:tcPr>
          <w:p>
            <w:pPr>
              <w:tabs>
                <w:tab w:val="left" w:pos="1260"/>
              </w:tabs>
              <w:adjustRightInd w:val="0"/>
              <w:snapToGrid w:val="0"/>
              <w:jc w:val="center"/>
              <w:rPr>
                <w:rFonts w:ascii="仿宋" w:hAnsi="仿宋" w:eastAsia="仿宋" w:cs="Times New Roman"/>
                <w:color w:val="auto"/>
                <w:sz w:val="28"/>
                <w:szCs w:val="28"/>
              </w:rPr>
            </w:pPr>
            <w:r>
              <w:rPr>
                <w:rFonts w:hint="eastAsia" w:ascii="仿宋" w:hAnsi="仿宋" w:eastAsia="仿宋" w:cs="Times New Roman"/>
                <w:color w:val="auto"/>
                <w:szCs w:val="21"/>
              </w:rPr>
              <w:t>垂</w:t>
            </w:r>
            <w:r>
              <w:rPr>
                <w:rFonts w:ascii="仿宋" w:hAnsi="仿宋" w:eastAsia="仿宋" w:cs="Times New Roman"/>
                <w:color w:val="auto"/>
                <w:szCs w:val="21"/>
              </w:rPr>
              <w:t>直</w:t>
            </w:r>
            <w:r>
              <w:rPr>
                <w:rFonts w:hint="eastAsia" w:ascii="仿宋" w:hAnsi="仿宋" w:eastAsia="仿宋" w:cs="Times New Roman"/>
                <w:color w:val="auto"/>
                <w:szCs w:val="21"/>
              </w:rPr>
              <w:t>升</w:t>
            </w:r>
            <w:r>
              <w:rPr>
                <w:rFonts w:ascii="仿宋" w:hAnsi="仿宋" w:eastAsia="仿宋" w:cs="Times New Roman"/>
                <w:color w:val="auto"/>
                <w:szCs w:val="21"/>
              </w:rPr>
              <w:t>降</w:t>
            </w:r>
            <w:r>
              <w:rPr>
                <w:rFonts w:hint="eastAsia" w:ascii="仿宋" w:hAnsi="仿宋" w:eastAsia="仿宋" w:cs="Times New Roman"/>
                <w:color w:val="auto"/>
                <w:szCs w:val="21"/>
              </w:rPr>
              <w:t>平</w:t>
            </w:r>
            <w:r>
              <w:rPr>
                <w:rFonts w:ascii="仿宋" w:hAnsi="仿宋" w:eastAsia="仿宋" w:cs="Times New Roman"/>
                <w:color w:val="auto"/>
                <w:szCs w:val="21"/>
              </w:rPr>
              <w:t>台</w:t>
            </w:r>
          </w:p>
        </w:tc>
        <w:tc>
          <w:tcPr>
            <w:tcW w:w="1559" w:type="dxa"/>
            <w:shd w:val="clear" w:color="auto" w:fill="auto"/>
            <w:noWrap w:val="0"/>
            <w:vAlign w:val="center"/>
          </w:tcPr>
          <w:p>
            <w:pPr>
              <w:tabs>
                <w:tab w:val="left" w:pos="1260"/>
              </w:tabs>
              <w:adjustRightInd w:val="0"/>
              <w:snapToGrid w:val="0"/>
              <w:rPr>
                <w:rFonts w:ascii="仿宋" w:hAnsi="仿宋" w:eastAsia="仿宋" w:cs="Times New Roman"/>
                <w:color w:val="auto"/>
                <w:sz w:val="28"/>
                <w:szCs w:val="28"/>
              </w:rPr>
            </w:pPr>
            <w:r>
              <w:rPr>
                <w:rFonts w:hint="eastAsia" w:ascii="仿宋" w:hAnsi="仿宋" w:eastAsia="仿宋" w:cs="Times New Roman"/>
                <w:color w:val="auto"/>
                <w:szCs w:val="21"/>
              </w:rPr>
              <w:t>西</w:t>
            </w:r>
            <w:r>
              <w:rPr>
                <w:rFonts w:ascii="仿宋" w:hAnsi="仿宋" w:eastAsia="仿宋" w:cs="Times New Roman"/>
                <w:color w:val="auto"/>
                <w:szCs w:val="21"/>
              </w:rPr>
              <w:t>广场三区-1F~广场层</w:t>
            </w:r>
          </w:p>
        </w:tc>
        <w:tc>
          <w:tcPr>
            <w:tcW w:w="695" w:type="dxa"/>
            <w:shd w:val="clear" w:color="auto" w:fill="auto"/>
            <w:noWrap w:val="0"/>
            <w:vAlign w:val="center"/>
          </w:tcPr>
          <w:p>
            <w:pPr>
              <w:tabs>
                <w:tab w:val="left" w:pos="1260"/>
              </w:tabs>
              <w:adjustRightInd w:val="0"/>
              <w:snapToGrid w:val="0"/>
              <w:jc w:val="center"/>
              <w:rPr>
                <w:rFonts w:ascii="仿宋" w:hAnsi="仿宋" w:eastAsia="仿宋" w:cs="Times New Roman"/>
                <w:color w:val="auto"/>
                <w:szCs w:val="21"/>
              </w:rPr>
            </w:pPr>
            <w:r>
              <w:rPr>
                <w:rFonts w:ascii="仿宋" w:hAnsi="仿宋" w:eastAsia="仿宋" w:cs="Times New Roman"/>
                <w:color w:val="auto"/>
                <w:szCs w:val="21"/>
              </w:rPr>
              <w:t>3#</w:t>
            </w:r>
          </w:p>
        </w:tc>
        <w:tc>
          <w:tcPr>
            <w:tcW w:w="3521"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THY4822 额定载重:410kg,额定速度：0.15m/s，驱动方式：螺杆螺母，层站数：2层2站</w:t>
            </w:r>
          </w:p>
        </w:tc>
        <w:tc>
          <w:tcPr>
            <w:tcW w:w="1476" w:type="dxa"/>
            <w:shd w:val="clear" w:color="auto" w:fill="auto"/>
            <w:noWrap w:val="0"/>
            <w:vAlign w:val="center"/>
          </w:tcPr>
          <w:p>
            <w:pPr>
              <w:tabs>
                <w:tab w:val="left" w:pos="1260"/>
              </w:tabs>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Aritco LiftAB(瑞特科）</w:t>
            </w:r>
          </w:p>
        </w:tc>
      </w:tr>
    </w:tbl>
    <w:p>
      <w:pPr>
        <w:rPr>
          <w:rFonts w:hint="eastAsia"/>
          <w:color w:val="auto"/>
        </w:rPr>
      </w:pPr>
    </w:p>
    <w:p>
      <w:pPr>
        <w:rPr>
          <w:rFonts w:hint="eastAsia" w:cs="Times New Roman" w:asciiTheme="majorEastAsia" w:hAnsiTheme="majorEastAsia" w:eastAsiaTheme="majorEastAsia"/>
          <w:color w:val="auto"/>
          <w:kern w:val="2"/>
          <w:sz w:val="28"/>
          <w:szCs w:val="28"/>
        </w:rPr>
      </w:pPr>
      <w:r>
        <w:rPr>
          <w:rFonts w:hint="eastAsia" w:cs="Times New Roman" w:asciiTheme="majorEastAsia" w:hAnsiTheme="majorEastAsia" w:eastAsiaTheme="majorEastAsia"/>
          <w:color w:val="auto"/>
          <w:kern w:val="2"/>
          <w:sz w:val="28"/>
          <w:szCs w:val="28"/>
        </w:rPr>
        <w:br w:type="page"/>
      </w:r>
    </w:p>
    <w:p>
      <w:pPr>
        <w:pStyle w:val="4"/>
        <w:keepNext/>
        <w:keepLines/>
        <w:pageBreakBefore w:val="0"/>
        <w:widowControl w:val="0"/>
        <w:kinsoku/>
        <w:wordWrap/>
        <w:overflowPunct/>
        <w:topLinePunct w:val="0"/>
        <w:autoSpaceDE/>
        <w:autoSpaceDN/>
        <w:bidi w:val="0"/>
        <w:adjustRightInd/>
        <w:snapToGrid/>
        <w:spacing w:before="120" w:after="0" w:line="440" w:lineRule="exact"/>
        <w:textAlignment w:val="auto"/>
        <w:rPr>
          <w:rFonts w:cs="Times New Roman" w:asciiTheme="majorEastAsia" w:hAnsiTheme="majorEastAsia" w:eastAsiaTheme="majorEastAsia"/>
          <w:b/>
          <w:bCs/>
          <w:color w:val="auto"/>
          <w:kern w:val="2"/>
          <w:sz w:val="28"/>
          <w:szCs w:val="28"/>
          <w:highlight w:val="none"/>
        </w:rPr>
      </w:pPr>
      <w:bookmarkStart w:id="214" w:name="_Toc15199"/>
      <w:bookmarkStart w:id="215" w:name="_Toc32168"/>
      <w:bookmarkStart w:id="216" w:name="_附件二：易损件及耗材清单"/>
      <w:r>
        <w:rPr>
          <w:rFonts w:hint="eastAsia" w:cs="Times New Roman" w:asciiTheme="majorEastAsia" w:hAnsiTheme="majorEastAsia" w:eastAsiaTheme="majorEastAsia"/>
          <w:b/>
          <w:bCs/>
          <w:color w:val="auto"/>
          <w:kern w:val="2"/>
          <w:sz w:val="28"/>
          <w:szCs w:val="28"/>
          <w:highlight w:val="none"/>
        </w:rPr>
        <w:t>附件二：</w:t>
      </w:r>
      <w:r>
        <w:rPr>
          <w:rFonts w:hint="eastAsia" w:cs="Times New Roman" w:asciiTheme="majorEastAsia" w:hAnsiTheme="majorEastAsia" w:eastAsiaTheme="majorEastAsia"/>
          <w:b/>
          <w:bCs/>
          <w:color w:val="auto"/>
          <w:kern w:val="2"/>
          <w:sz w:val="28"/>
          <w:szCs w:val="28"/>
          <w:highlight w:val="none"/>
          <w:lang w:eastAsia="zh-CN"/>
        </w:rPr>
        <w:t>易损</w:t>
      </w:r>
      <w:r>
        <w:rPr>
          <w:rFonts w:hint="eastAsia" w:cs="Times New Roman" w:asciiTheme="majorEastAsia" w:hAnsiTheme="majorEastAsia" w:eastAsiaTheme="majorEastAsia"/>
          <w:b/>
          <w:bCs/>
          <w:color w:val="auto"/>
          <w:kern w:val="2"/>
          <w:sz w:val="28"/>
          <w:szCs w:val="28"/>
          <w:highlight w:val="none"/>
        </w:rPr>
        <w:t>件及耗材清单</w:t>
      </w:r>
      <w:bookmarkEnd w:id="206"/>
      <w:bookmarkEnd w:id="214"/>
      <w:bookmarkEnd w:id="215"/>
    </w:p>
    <w:bookmarkEnd w:id="216"/>
    <w:tbl>
      <w:tblPr>
        <w:tblStyle w:val="30"/>
        <w:tblW w:w="86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3405"/>
        <w:gridCol w:w="2970"/>
        <w:gridCol w:w="780"/>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各类安全开关（如梯级下陷、梯级缺失、梳齿板保护开关、扶手入口保护、防逆转保护、梯级链延长保护等）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各类弹簧（如梯级链压缩弹簧、扶手带涨紧弹簧等)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非自复位开关</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T/Z1R236-02Zr</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自复位开关</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T/Z1R236-02Z</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抱闸打开开关</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ZS 236-02z-M20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抱闸打开开关</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X42A-S02/1Z</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轴套/卡套</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停止开关</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施耐德140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门锁开关</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TKB-1A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锁定开关</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蒂森ATXF-WB</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过载开关</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施耐德UI-30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楼呼叫按钮</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蒂森DA511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层楼锁</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蒂森S8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报警按钮</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蒂森LA38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230V C1A</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48V C0.5A</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24V B6A</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3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生胶带</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3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电工胶布</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34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绝缘胶布</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抹布</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清洗剂</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扫帚</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PVC胶水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玻璃胶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各类螺丝、螺母</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胶垫</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润滑油</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齿轮油</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轴承黄油</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标识标贴（含急停标识、安全警示标识、年检标识等）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r>
    </w:tbl>
    <w:p>
      <w:pPr>
        <w:tabs>
          <w:tab w:val="left" w:pos="6300"/>
        </w:tabs>
        <w:spacing w:line="360" w:lineRule="auto"/>
        <w:rPr>
          <w:rFonts w:ascii="仿宋" w:hAnsi="仿宋" w:eastAsia="仿宋"/>
          <w:color w:val="auto"/>
          <w:szCs w:val="21"/>
        </w:rPr>
        <w:sectPr>
          <w:footerReference r:id="rId6" w:type="default"/>
          <w:pgSz w:w="11906" w:h="16838"/>
          <w:pgMar w:top="1440" w:right="1531" w:bottom="1440" w:left="170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120" w:after="120" w:line="560" w:lineRule="exact"/>
        <w:textAlignment w:val="auto"/>
        <w:rPr>
          <w:rFonts w:cs="Times New Roman" w:asciiTheme="majorEastAsia" w:hAnsiTheme="majorEastAsia" w:eastAsiaTheme="majorEastAsia"/>
          <w:color w:val="auto"/>
          <w:kern w:val="2"/>
          <w:sz w:val="28"/>
          <w:szCs w:val="28"/>
        </w:rPr>
      </w:pPr>
      <w:bookmarkStart w:id="217" w:name="_Toc93068894"/>
      <w:bookmarkStart w:id="218" w:name="_Toc18242"/>
      <w:bookmarkStart w:id="219" w:name="_Toc2656"/>
      <w:r>
        <w:rPr>
          <w:rFonts w:hint="eastAsia" w:cs="Times New Roman" w:asciiTheme="majorEastAsia" w:hAnsiTheme="majorEastAsia" w:eastAsiaTheme="majorEastAsia"/>
          <w:color w:val="auto"/>
          <w:kern w:val="2"/>
          <w:sz w:val="28"/>
          <w:szCs w:val="28"/>
        </w:rPr>
        <w:t>附件三：零配件清单</w:t>
      </w:r>
      <w:bookmarkEnd w:id="217"/>
      <w:bookmarkEnd w:id="218"/>
      <w:bookmarkEnd w:id="219"/>
    </w:p>
    <w:tbl>
      <w:tblPr>
        <w:tblStyle w:val="30"/>
        <w:tblW w:w="919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2040"/>
        <w:gridCol w:w="3945"/>
        <w:gridCol w:w="112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bookmarkStart w:id="220" w:name="_Toc93068895"/>
            <w:r>
              <w:rPr>
                <w:rFonts w:hint="eastAsia" w:ascii="宋体" w:hAnsi="宋体" w:eastAsia="宋体" w:cs="宋体"/>
                <w:i w:val="0"/>
                <w:iCs w:val="0"/>
                <w:color w:val="auto"/>
                <w:kern w:val="0"/>
                <w:sz w:val="20"/>
                <w:szCs w:val="20"/>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备件名称</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驱动滑块</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扶梯防偏轮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6202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托带轮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迅达9300 70*50*6204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六角轮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迅达9300 75*35*6204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八角轮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迅达9300 70*50*6204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扶梯导向切块</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330*30*13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梯级链</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133.33*76*25*12.7，内链片：40*4.5，</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外链片：33*5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梳齿板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迅达9300/铝合金/SMR313609/左中右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上下接触器</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富士GMD-30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shd w:val="clear" w:color="auto" w:fill="auto"/>
                <w:lang w:val="en-US" w:eastAsia="zh-CN" w:bidi="ar-SA"/>
              </w:rPr>
            </w:pPr>
            <w:r>
              <w:rPr>
                <w:rFonts w:hint="eastAsia" w:ascii="宋体" w:hAnsi="宋体" w:eastAsia="宋体" w:cs="宋体"/>
                <w:i w:val="0"/>
                <w:iCs w:val="0"/>
                <w:color w:val="auto"/>
                <w:kern w:val="0"/>
                <w:sz w:val="20"/>
                <w:szCs w:val="20"/>
                <w:highlight w:val="none"/>
                <w:u w:val="none"/>
                <w:shd w:val="clear" w:color="auto" w:fill="auto"/>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RJ2S系列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扶手带</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迅达电梯9300专用，STD黑色（超薄型）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回转链</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链行17节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急停开关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钥匙开关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梯级缺失开关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NBN40-L2-E2-V1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梯级链缺失开关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摩擦轮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迅达9300 Φ497*30 三孔</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测速轮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迅达9300 110*30*6204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压带轮</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迅达9300 Φ75*35 6204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锁触点</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扶手带驱动轴轴承座</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FL210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刹车皮（弯头型）</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迅达9300专用（弯头型）</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制动刹车片</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680mm*730mm*1040mm</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故障显示器</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1D30-SR-SD 50606857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围裙板</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26</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出入口毛刷/盖板</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27</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外侧端面盖板</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28</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内侧端面盖板</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29</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顶尖限位开关</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欧姆龙WLD-2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主接触器</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富士SC-E3P</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抱闸磨损检测开关</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ZE-N-2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抱闸接触器</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3RT60 15-1AF02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相序继电器</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DPA51CM44 B014(208-480V)</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34</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扶手带张紧轮组件</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60*55*6202,节距78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扶手带张紧轮组件</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60*55*2-6202,6轮，节距78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36</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接触器</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LC1-D38F7C</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37</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扶手带摩擦轮传动带</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38</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涨紧轮</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60*55*2-6202,6轮，节距78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39</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扶梯多楔带</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检测检修盒</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主机测速光电</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迅达9300传感器</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扶手带驱动链</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16B-2/20B-2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玻璃板</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扶手带驱动轴轴承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FL210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扶手带导向轮轴承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46</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电机轴承</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6209  6210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47</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前沿板</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适用迅达9300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48</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梯级</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ses1000mm*400mm,材质：铝合金</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49</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电磁铁</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AC 110/120V 50/60HZ</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扶手带驱动轴总成</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外径190*47厚*内孔60*22齿</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运行方向指示灯</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TGF9803(SSH438053)AC/DC24V IP55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主机驱动链</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16B-2/20B-2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机房盖板</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材质：铝合金 1524*343mm</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775" w:type="dxa"/>
            <w:vMerge w:val="restart"/>
            <w:tcBorders>
              <w:top w:val="single" w:color="000000" w:sz="4" w:space="0"/>
              <w:left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上主机主板PT（PEM54W.Q.1DNO）</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775" w:type="dxa"/>
            <w:vMerge w:val="continue"/>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auto"/>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下主机主板PB（PEM52W.Q.1D.NO)</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auto"/>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77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w:t>
            </w:r>
          </w:p>
        </w:tc>
        <w:tc>
          <w:tcPr>
            <w:tcW w:w="204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电机减速器</w:t>
            </w:r>
          </w:p>
        </w:tc>
        <w:tc>
          <w:tcPr>
            <w:tcW w:w="394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7.5kw电机减速器FTJ160DL</w:t>
            </w:r>
          </w:p>
        </w:tc>
        <w:tc>
          <w:tcPr>
            <w:tcW w:w="112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7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w:t>
            </w:r>
          </w:p>
        </w:tc>
        <w:tc>
          <w:tcPr>
            <w:tcW w:w="204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机房控制柜</w:t>
            </w:r>
          </w:p>
        </w:tc>
        <w:tc>
          <w:tcPr>
            <w:tcW w:w="394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迅达9300AE专用，</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规格：650×600×210mm，上</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7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p>
        </w:tc>
        <w:tc>
          <w:tcPr>
            <w:tcW w:w="204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i w:val="0"/>
                <w:iCs w:val="0"/>
                <w:color w:val="auto"/>
                <w:sz w:val="20"/>
                <w:szCs w:val="20"/>
                <w:u w:val="none"/>
              </w:rPr>
            </w:pPr>
          </w:p>
        </w:tc>
        <w:tc>
          <w:tcPr>
            <w:tcW w:w="394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迅达9300AE专用，</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规格：650×600×210mm，下</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7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57</w:t>
            </w:r>
          </w:p>
        </w:tc>
        <w:tc>
          <w:tcPr>
            <w:tcW w:w="20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变频器</w:t>
            </w:r>
          </w:p>
        </w:tc>
        <w:tc>
          <w:tcPr>
            <w:tcW w:w="394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NXL00075C5H1SSS0000</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Input:U1:3～380～500V 50/60HZ</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Output:U2:3～0～U1 0～320HZ</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pPr>
        <w:rPr>
          <w:rFonts w:hint="eastAsia" w:cs="Times New Roman" w:asciiTheme="majorEastAsia" w:hAnsiTheme="majorEastAsia" w:eastAsiaTheme="majorEastAsia"/>
          <w:color w:val="auto"/>
          <w:kern w:val="2"/>
          <w:sz w:val="28"/>
          <w:szCs w:val="28"/>
        </w:rPr>
      </w:pPr>
      <w:r>
        <w:rPr>
          <w:rFonts w:hint="eastAsia" w:cs="Times New Roman" w:asciiTheme="majorEastAsia" w:hAnsiTheme="majorEastAsia" w:eastAsiaTheme="majorEastAsia"/>
          <w:color w:val="auto"/>
          <w:kern w:val="2"/>
          <w:sz w:val="28"/>
          <w:szCs w:val="28"/>
        </w:rPr>
        <w:br w:type="page"/>
      </w:r>
    </w:p>
    <w:p>
      <w:pPr>
        <w:pStyle w:val="4"/>
        <w:spacing w:before="120" w:after="120" w:line="240" w:lineRule="auto"/>
        <w:rPr>
          <w:rFonts w:cs="Times New Roman" w:asciiTheme="majorEastAsia" w:hAnsiTheme="majorEastAsia" w:eastAsiaTheme="majorEastAsia"/>
          <w:color w:val="auto"/>
          <w:kern w:val="2"/>
          <w:sz w:val="28"/>
          <w:szCs w:val="28"/>
        </w:rPr>
      </w:pPr>
      <w:bookmarkStart w:id="221" w:name="_Toc24899"/>
      <w:bookmarkStart w:id="222" w:name="_Toc2644"/>
      <w:bookmarkStart w:id="223" w:name="_附件四：设备检修周期与工作内容"/>
      <w:r>
        <w:rPr>
          <w:rFonts w:hint="eastAsia" w:cs="Times New Roman" w:asciiTheme="majorEastAsia" w:hAnsiTheme="majorEastAsia" w:eastAsiaTheme="majorEastAsia"/>
          <w:color w:val="auto"/>
          <w:kern w:val="2"/>
          <w:sz w:val="28"/>
          <w:szCs w:val="28"/>
        </w:rPr>
        <w:t>附件四：设备检修周期与工作内容</w:t>
      </w:r>
      <w:bookmarkEnd w:id="220"/>
      <w:bookmarkEnd w:id="221"/>
      <w:bookmarkEnd w:id="222"/>
    </w:p>
    <w:bookmarkEnd w:id="223"/>
    <w:p>
      <w:pPr>
        <w:pageBreakBefore w:val="0"/>
        <w:widowControl w:val="0"/>
        <w:numPr>
          <w:ilvl w:val="0"/>
          <w:numId w:val="20"/>
        </w:numPr>
        <w:kinsoku/>
        <w:wordWrap/>
        <w:overflowPunct/>
        <w:topLinePunct w:val="0"/>
        <w:autoSpaceDE/>
        <w:autoSpaceDN/>
        <w:bidi w:val="0"/>
        <w:adjustRightInd w:val="0"/>
        <w:snapToGrid w:val="0"/>
        <w:spacing w:line="3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自动扶梯维保记录表</w:t>
      </w:r>
    </w:p>
    <w:tbl>
      <w:tblPr>
        <w:tblStyle w:val="30"/>
        <w:tblW w:w="9284" w:type="dxa"/>
        <w:jc w:val="center"/>
        <w:tblLayout w:type="autofit"/>
        <w:tblCellMar>
          <w:top w:w="0" w:type="dxa"/>
          <w:left w:w="108" w:type="dxa"/>
          <w:bottom w:w="0" w:type="dxa"/>
          <w:right w:w="108" w:type="dxa"/>
        </w:tblCellMar>
      </w:tblPr>
      <w:tblGrid>
        <w:gridCol w:w="645"/>
        <w:gridCol w:w="2835"/>
        <w:gridCol w:w="3675"/>
        <w:gridCol w:w="1050"/>
        <w:gridCol w:w="1079"/>
      </w:tblGrid>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序号</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作业项目、内容</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标准、要求或记录</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是否符合要求</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记录说明不合格项</w:t>
            </w: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三角夹口位置的警示牌检查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无松脱，无丢失</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护栏检查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无松脱，无锈蚀</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安全标签检查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无损坏，字迹模糊不清，无遗失。</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总电源开关检查、紧固</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电压380V±10%</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A5</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马达检查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运行正常无异响无抖动</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A6</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eastAsia="zh-CN" w:bidi="ar"/>
              </w:rPr>
              <w:t>电</w:t>
            </w:r>
            <w:r>
              <w:rPr>
                <w:rFonts w:hint="eastAsia" w:ascii="仿宋" w:hAnsi="仿宋" w:eastAsia="仿宋" w:cs="仿宋"/>
                <w:color w:val="auto"/>
                <w:kern w:val="0"/>
                <w:sz w:val="21"/>
                <w:szCs w:val="21"/>
                <w:lang w:bidi="ar"/>
              </w:rPr>
              <w:t>磁制动器检查、调整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抱闸间隙0.2mm～0.7mm</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673"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A7</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防反转装置检查、调整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扶梯反转前，工作制动器和附加制动器动作，扶梯停梯。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843"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A8</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主驱动检查、调整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运行中电机温度和减速箱油温正常，轴承无异常发热，无异响，齿面无不正常磨损</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A9</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断链保护装置检查、调整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驱运链拉伸或断裂保护开关是否动作</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597"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A10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超速开关检查、调整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扶梯速度超过额定速度的5%时，开关是否动作</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A11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自动润滑系统检查、调整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每40个小时润滑系统启动一次</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A12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控制柜检查、清洁</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线头、插接件无松脱，接地可靠</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A13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检修盒检查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扶梯使用检修盒时，是否按检修速度运行且只能是检修盒操纵扶梯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A14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平台情况检查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螺检无松脱和丢失</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A15</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梳齿板的安全开关检查、调整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梳齿板抬高时开关是否动作</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9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A16</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栏柱检查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无松脱，无锈蚀</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28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A17</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操作开关检查、测试</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能否正常开关梯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38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A18</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防踏板顶起开关检查、调整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梯级顶起时开关动作</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A19</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不锈钢外包板检查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无局部变形，无松脱，接口平整</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A20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裙板检查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无局部变形，无松脱，接口平整</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A21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扶手带驱动装置检查、调整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各驱动轮无明显磨损，转动灵活</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A22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扶手导轨检查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无局部变形，无锈蚀现象</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A23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扶手带检查、调整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表面无裂纹、剥落，无不正常磨损，开口部无明显张开</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A24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金属桁架与导轨检查、紧固</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防锈可靠，无锈蚀现象，无明显变形</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A25</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左右旁板开关检查、调整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旁板与梯级间隙增大时开关动作，扶梯停梯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684"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A26</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左右断扶手带开关检查、调整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扶手带拉伸长度为总长度的2%或断裂时，开关动作，扶梯停梯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A27</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断梯级及断梯级链轮开关</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梯级或梯级链轮断裂时，开关动作，扶梯停梯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A28</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底坑环境检查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无垃圾无杂物</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A29</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涨紧检查、调整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检查、调整  弹簧刻度尺范围200mm～400mm</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A30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梯级检查、调整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无变形、无破损和无正常磨损</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A31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梯级链检查、调整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无不正常磨损伸长</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434"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A32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停止开关检查、调整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按下开关扶梯能否停梯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525"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A33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检修插座检查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电源220V±10%</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A34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照明检查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是否损坏</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A35</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电机通风口</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清洁，无明显灰尘及杂物阻挡风口</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A36</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分离机房、各驱动和转向站</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清洁、无杂物，运行正常</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A37</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自动运行功能</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工作正常</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保险管检查、确认</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工作正常，规格与铭牌相同</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主接触器与控制柜内继电器、接触器检查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工作可靠，无异常噪音</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机房内（含各控制柜）通风口、风扇、滤网检查与清洁</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清洁、风扇工作正常</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各控制柜内各接线端子、开关及电缆接头</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各接线紧固、整齐，线号齐全清晰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B5</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梯级/踏板链张紧装置</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工作正常，符合制造单位要求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B6</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清洁导轨</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清洁，无杂物</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B7</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梯级轴衬</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润滑有效，运行工况正常（对带油嘴的梯级轴衬加油脂润滑）</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B8</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梯级链润滑</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润滑有效，运行工况正常（对带油嘴的梯级链加油脂润滑）</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B9</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检查梯级</w:t>
            </w:r>
            <w:r>
              <w:rPr>
                <w:rFonts w:hint="eastAsia" w:ascii="仿宋" w:hAnsi="仿宋" w:eastAsia="仿宋" w:cs="仿宋"/>
                <w:color w:val="auto"/>
                <w:kern w:val="0"/>
                <w:sz w:val="21"/>
                <w:szCs w:val="21"/>
              </w:rPr>
              <w:t>/踏板链和大链轴滚轮</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清洁灰尘和尘絮，磨损量不超过制造单位要求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B10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检查梯级</w:t>
            </w:r>
            <w:r>
              <w:rPr>
                <w:rFonts w:hint="eastAsia" w:ascii="仿宋" w:hAnsi="仿宋" w:eastAsia="仿宋" w:cs="仿宋"/>
                <w:color w:val="auto"/>
                <w:kern w:val="0"/>
                <w:sz w:val="21"/>
                <w:szCs w:val="21"/>
              </w:rPr>
              <w:t>/踏板链条伸长、磨损情况</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磨损程度不超过制造单位要求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B11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梯级</w:t>
            </w:r>
            <w:r>
              <w:rPr>
                <w:rFonts w:hint="eastAsia" w:ascii="仿宋" w:hAnsi="仿宋" w:eastAsia="仿宋" w:cs="仿宋"/>
                <w:color w:val="auto"/>
                <w:kern w:val="0"/>
                <w:sz w:val="21"/>
                <w:szCs w:val="21"/>
              </w:rPr>
              <w:t>/踏板滚轮与轴承检查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磨损符合制造单位标准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B12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检查主、附制动器运行间隙</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不超过制造单位要求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B13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防灌水保护装置</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动作可靠（雨季到来之前必须完成）</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B14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主驱动链</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清理表面油污，润滑，链条磨损程度不超过制造单位要求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B15</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编码器（旋转编码器）</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清洁，安装牢固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B16</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梯级/踏板清洁与磨损情况检查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除去梯级上集中的灰尘和尘絮，梯级/踏板无变形、和不正常磨损</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B17</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清洁扶手带表面</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B18</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检查扶手带驱动及张紧装置</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检查调整，符合制造单位标准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B19</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检查扶手带及梯级去静电装置</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工作正常</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B20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检查梯级/踏板与梯级/踏板之间运行间隙</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符合制造单位标准、要求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B21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扶手带的运行速度</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相对于梯级、踏板或者胶带的速度允差为</w:t>
            </w:r>
            <w:r>
              <w:rPr>
                <w:rFonts w:hint="eastAsia" w:ascii="仿宋" w:hAnsi="仿宋" w:eastAsia="仿宋" w:cs="仿宋"/>
                <w:color w:val="auto"/>
                <w:kern w:val="0"/>
                <w:sz w:val="21"/>
                <w:szCs w:val="21"/>
              </w:rPr>
              <w:t>0～＋2％</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制动器摩擦片/闸瓦衬片厚度</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不小于制造单位要求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制动器螺丝松紧情况、接线检查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紧固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附加制动器</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清洁和润滑，功能可靠</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制动器机械装置</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清洁和润滑，工作有效</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C5</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主驱动链链条滑块</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清洁，厚度符合制造单位标准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C6</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电动机与减速机联轴器</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连接无松动，弹性元件外观良好，无老化等现象</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C7</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减速机内润滑油（齿轮油）</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按照制造单位的要求进行检查、更换，油质符合制造单位要求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C8</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调整梳齿板梳齿与踏板面齿槽啮合深度和间隙</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符合标准值</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C9</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扶手带张紧度张紧弹簧负荷长度</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符合制造单位标准与要求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C10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扶手带速度监控器系统</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工作正常</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C11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扶手带托轮、滑轮群、防静电轮</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清洁，无损伤，托轮转动平滑</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C12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扶手带导向块和导向轮</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清洁，工作正常</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C13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扶手带断带保护开关</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功能正常</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C14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梯级踏板加热装置</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功能正常，温度感应器接线牢固（冬季到来之前必须完成）</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C15</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上下链轮轴承、扶手驱动主轴轴承、摩擦轮轴承更换润滑脂</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开始流出新润滑油为止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主机速度检测功能</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功能可靠，清洁感应面，感应间隙符合制造单位要求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制动器铁芯（柱塞）</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视情况进行清洁、润滑，磨损量不超过制造单位要求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制动器制动弹簧压缩量</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符合制造单位要求，保持有足够的制动力</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导电回路绝缘性能测试</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符合标准值</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452"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D5</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电线、电缆</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无破损，固定牢固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547"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D6</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扶手带内侧凸缘处</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无损伤，清洁扶手导轨滑动面</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717"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D7</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检查梯路导轨接头、梯路导轨磨损情况</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导轨螺栓紧固，导轨接头平滑、磨损符合制造单位要求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687"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D8</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进入梳齿板处的梯级与导轮的轴向窜动量</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符合制造单位标准与要求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D9</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内外盖板连接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紧密牢固，连接处的凸台、缝隙符合制造单位要求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D10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主机轴承更换润滑脂</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开始流出新润滑油为止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D11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主机机座、驱动装置安装螺栓检查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紧固、划线</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D12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电气安全装置</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动作可靠，间隙正常</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D13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金属桁架状态检查</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螺栓紧固，无锈蚀现象，无明显变形</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D14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年检附加项</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完成自动扶梯年度检修附表内容。</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2196" w:hRule="atLeast"/>
          <w:jc w:val="center"/>
        </w:trPr>
        <w:tc>
          <w:tcPr>
            <w:tcW w:w="92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注：</w:t>
            </w:r>
          </w:p>
          <w:p>
            <w:pPr>
              <w:widowControl/>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 xml:space="preserve">1.日常半月维保完成A项目(半月维保周期不能超过15天)，日常季度维保完成A＋B项目，半年度维保完成A＋B＋C 项目， 年度维保完成A＋B＋C＋D 项目。                       </w:t>
            </w:r>
          </w:p>
          <w:p>
            <w:pPr>
              <w:widowControl/>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 xml:space="preserve">2.记号说明：“√”：确认正常；“○”：需调整；“×”：需修理等；“/”：该梯没有此项目。                                         </w:t>
            </w:r>
          </w:p>
          <w:p>
            <w:pPr>
              <w:widowControl/>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 xml:space="preserve">3.维护保养项目（内容）和要求中对测试、试验有明确规定的，应当按照规定进行测试、试验，没有明确规定的，一般为检查、调整、清洁和润滑。                                                                                                                       4.维护保养基本要求中，规定为“符合标准值”的，是指符合对应的国家标准、行业标准和制造单位要求，维护保养基本要求中，规定为“制造单位要求”的，按照制造单位的要求，其他没有明确“要求”的，应当为安全技术规范、标准或者制造单位等的要求。 </w:t>
            </w:r>
          </w:p>
          <w:p>
            <w:pPr>
              <w:widowControl/>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 xml:space="preserve">5.维护保养实际以以上内容为主，实际使用表格由维保单提供。                                                                                                                                </w:t>
            </w:r>
          </w:p>
        </w:tc>
      </w:tr>
      <w:tr>
        <w:tblPrEx>
          <w:tblCellMar>
            <w:top w:w="0" w:type="dxa"/>
            <w:left w:w="108" w:type="dxa"/>
            <w:bottom w:w="0" w:type="dxa"/>
            <w:right w:w="108" w:type="dxa"/>
          </w:tblCellMar>
        </w:tblPrEx>
        <w:trPr>
          <w:trHeight w:val="464" w:hRule="atLeast"/>
          <w:jc w:val="center"/>
        </w:trPr>
        <w:tc>
          <w:tcPr>
            <w:tcW w:w="92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保养维修记述：</w:t>
            </w:r>
          </w:p>
        </w:tc>
      </w:tr>
      <w:tr>
        <w:tblPrEx>
          <w:tblCellMar>
            <w:top w:w="0" w:type="dxa"/>
            <w:left w:w="108" w:type="dxa"/>
            <w:bottom w:w="0" w:type="dxa"/>
            <w:right w:w="108" w:type="dxa"/>
          </w:tblCellMar>
        </w:tblPrEx>
        <w:trPr>
          <w:trHeight w:val="554" w:hRule="atLeast"/>
          <w:jc w:val="center"/>
        </w:trPr>
        <w:tc>
          <w:tcPr>
            <w:tcW w:w="92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需修理项目：</w:t>
            </w:r>
          </w:p>
        </w:tc>
      </w:tr>
      <w:tr>
        <w:tblPrEx>
          <w:tblCellMar>
            <w:top w:w="0" w:type="dxa"/>
            <w:left w:w="108" w:type="dxa"/>
            <w:bottom w:w="0" w:type="dxa"/>
            <w:right w:w="108" w:type="dxa"/>
          </w:tblCellMar>
        </w:tblPrEx>
        <w:trPr>
          <w:trHeight w:val="562" w:hRule="atLeast"/>
          <w:jc w:val="center"/>
        </w:trPr>
        <w:tc>
          <w:tcPr>
            <w:tcW w:w="92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维保单位质量检验（查）人员抽查记录：</w:t>
            </w:r>
          </w:p>
        </w:tc>
      </w:tr>
      <w:tr>
        <w:tblPrEx>
          <w:tblCellMar>
            <w:top w:w="0" w:type="dxa"/>
            <w:left w:w="108" w:type="dxa"/>
            <w:bottom w:w="0" w:type="dxa"/>
            <w:right w:w="108" w:type="dxa"/>
          </w:tblCellMar>
        </w:tblPrEx>
        <w:trPr>
          <w:trHeight w:val="557" w:hRule="atLeast"/>
          <w:jc w:val="center"/>
        </w:trPr>
        <w:tc>
          <w:tcPr>
            <w:tcW w:w="92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用户意见：</w:t>
            </w:r>
          </w:p>
        </w:tc>
      </w:tr>
      <w:tr>
        <w:tblPrEx>
          <w:tblCellMar>
            <w:top w:w="0" w:type="dxa"/>
            <w:left w:w="108" w:type="dxa"/>
            <w:bottom w:w="0" w:type="dxa"/>
            <w:right w:w="108" w:type="dxa"/>
          </w:tblCellMar>
        </w:tblPrEx>
        <w:trPr>
          <w:trHeight w:val="692" w:hRule="atLeast"/>
          <w:jc w:val="center"/>
        </w:trPr>
        <w:tc>
          <w:tcPr>
            <w:tcW w:w="92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用户确认：</w:t>
            </w:r>
          </w:p>
        </w:tc>
      </w:tr>
      <w:tr>
        <w:tblPrEx>
          <w:tblCellMar>
            <w:top w:w="0" w:type="dxa"/>
            <w:left w:w="108" w:type="dxa"/>
            <w:bottom w:w="0" w:type="dxa"/>
            <w:right w:w="108" w:type="dxa"/>
          </w:tblCellMar>
        </w:tblPrEx>
        <w:trPr>
          <w:trHeight w:val="473" w:hRule="atLeast"/>
          <w:jc w:val="center"/>
        </w:trPr>
        <w:tc>
          <w:tcPr>
            <w:tcW w:w="92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注： 本表一式</w:t>
            </w:r>
            <w:r>
              <w:rPr>
                <w:rFonts w:hint="eastAsia" w:ascii="仿宋" w:hAnsi="仿宋" w:eastAsia="仿宋" w:cs="仿宋"/>
                <w:color w:val="auto"/>
                <w:kern w:val="0"/>
                <w:sz w:val="21"/>
                <w:szCs w:val="21"/>
                <w:lang w:eastAsia="zh-CN" w:bidi="ar"/>
              </w:rPr>
              <w:t>二</w:t>
            </w:r>
            <w:r>
              <w:rPr>
                <w:rFonts w:hint="eastAsia" w:ascii="仿宋" w:hAnsi="仿宋" w:eastAsia="仿宋" w:cs="仿宋"/>
                <w:color w:val="auto"/>
                <w:kern w:val="0"/>
                <w:sz w:val="21"/>
                <w:szCs w:val="21"/>
                <w:lang w:bidi="ar"/>
              </w:rPr>
              <w:t xml:space="preserve">份，用户（第一联），保养单位（第二联）。保存年限：4年                                                                                                                                                                     </w:t>
            </w:r>
          </w:p>
        </w:tc>
      </w:tr>
    </w:tbl>
    <w:p>
      <w:pPr>
        <w:adjustRightInd w:val="0"/>
        <w:snapToGrid w:val="0"/>
        <w:ind w:firstLine="210" w:firstLineChars="100"/>
        <w:jc w:val="left"/>
        <w:rPr>
          <w:rFonts w:hint="eastAsia" w:ascii="黑体" w:hAnsi="黑体" w:eastAsia="黑体" w:cs="黑体"/>
          <w:color w:val="auto"/>
          <w:szCs w:val="21"/>
        </w:rPr>
      </w:pPr>
    </w:p>
    <w:p>
      <w:pPr>
        <w:rPr>
          <w:rFonts w:hint="eastAsia" w:ascii="黑体" w:hAnsi="黑体" w:eastAsia="黑体" w:cs="黑体"/>
          <w:color w:val="auto"/>
          <w:szCs w:val="21"/>
        </w:rPr>
      </w:pPr>
      <w:r>
        <w:rPr>
          <w:rFonts w:hint="eastAsia" w:ascii="黑体" w:hAnsi="黑体" w:eastAsia="黑体" w:cs="黑体"/>
          <w:color w:val="auto"/>
          <w:szCs w:val="21"/>
        </w:rPr>
        <w:br w:type="page"/>
      </w:r>
    </w:p>
    <w:p>
      <w:pPr>
        <w:pageBreakBefore w:val="0"/>
        <w:widowControl w:val="0"/>
        <w:numPr>
          <w:ilvl w:val="0"/>
          <w:numId w:val="20"/>
        </w:numPr>
        <w:kinsoku/>
        <w:wordWrap/>
        <w:overflowPunct/>
        <w:topLinePunct w:val="0"/>
        <w:autoSpaceDE/>
        <w:autoSpaceDN/>
        <w:bidi w:val="0"/>
        <w:adjustRightInd w:val="0"/>
        <w:snapToGrid w:val="0"/>
        <w:spacing w:line="3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楼梯升降平台维保记录表</w:t>
      </w:r>
    </w:p>
    <w:tbl>
      <w:tblPr>
        <w:tblStyle w:val="30"/>
        <w:tblW w:w="9073" w:type="dxa"/>
        <w:jc w:val="center"/>
        <w:tblLayout w:type="autofit"/>
        <w:tblCellMar>
          <w:top w:w="0" w:type="dxa"/>
          <w:left w:w="108" w:type="dxa"/>
          <w:bottom w:w="0" w:type="dxa"/>
          <w:right w:w="108" w:type="dxa"/>
        </w:tblCellMar>
      </w:tblPr>
      <w:tblGrid>
        <w:gridCol w:w="1056"/>
        <w:gridCol w:w="2796"/>
        <w:gridCol w:w="2796"/>
        <w:gridCol w:w="948"/>
        <w:gridCol w:w="1477"/>
      </w:tblGrid>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序号</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作业项目、内容</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标准、要求或记录</w:t>
            </w:r>
          </w:p>
        </w:tc>
        <w:tc>
          <w:tcPr>
            <w:tcW w:w="948"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是否符合要求</w:t>
            </w:r>
          </w:p>
        </w:tc>
        <w:tc>
          <w:tcPr>
            <w:tcW w:w="1477"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记录说明不合格项</w:t>
            </w: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1</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宋体"/>
                <w:color w:val="auto"/>
                <w:kern w:val="0"/>
                <w:szCs w:val="21"/>
                <w:lang w:bidi="ar"/>
              </w:rPr>
            </w:pPr>
            <w:r>
              <w:rPr>
                <w:rFonts w:hint="eastAsia" w:ascii="仿宋" w:hAnsi="仿宋" w:eastAsia="仿宋" w:cs="宋体"/>
                <w:color w:val="auto"/>
                <w:kern w:val="0"/>
                <w:szCs w:val="21"/>
                <w:lang w:bidi="ar"/>
              </w:rPr>
              <w:t>总体卫生情况</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宋体"/>
                <w:color w:val="auto"/>
                <w:kern w:val="0"/>
                <w:szCs w:val="21"/>
                <w:lang w:bidi="ar"/>
              </w:rPr>
            </w:pPr>
            <w:r>
              <w:rPr>
                <w:rFonts w:hint="eastAsia" w:ascii="仿宋" w:hAnsi="仿宋" w:eastAsia="仿宋" w:cs="宋体"/>
                <w:color w:val="auto"/>
                <w:kern w:val="0"/>
                <w:szCs w:val="21"/>
                <w:lang w:bidi="ar"/>
              </w:rPr>
              <w:t>检查</w:t>
            </w:r>
            <w:r>
              <w:rPr>
                <w:rFonts w:ascii="仿宋" w:hAnsi="仿宋" w:eastAsia="仿宋" w:cs="宋体"/>
                <w:color w:val="auto"/>
                <w:kern w:val="0"/>
                <w:szCs w:val="21"/>
                <w:lang w:bidi="ar"/>
              </w:rPr>
              <w:t>平台、扶</w:t>
            </w:r>
            <w:r>
              <w:rPr>
                <w:rFonts w:hint="eastAsia" w:ascii="仿宋" w:hAnsi="仿宋" w:eastAsia="仿宋" w:cs="宋体"/>
                <w:color w:val="auto"/>
                <w:kern w:val="0"/>
                <w:szCs w:val="21"/>
                <w:lang w:bidi="ar"/>
              </w:rPr>
              <w:t>手</w:t>
            </w:r>
            <w:r>
              <w:rPr>
                <w:rFonts w:ascii="仿宋" w:hAnsi="仿宋" w:eastAsia="仿宋" w:cs="宋体"/>
                <w:color w:val="auto"/>
                <w:kern w:val="0"/>
                <w:szCs w:val="21"/>
                <w:lang w:bidi="ar"/>
              </w:rPr>
              <w:t>无明显垃圾、油污</w:t>
            </w:r>
          </w:p>
        </w:tc>
        <w:tc>
          <w:tcPr>
            <w:tcW w:w="948"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ascii="仿宋" w:hAnsi="仿宋" w:eastAsia="仿宋" w:cs="宋体"/>
                <w:color w:val="auto"/>
                <w:kern w:val="0"/>
                <w:szCs w:val="21"/>
                <w:lang w:bidi="ar"/>
              </w:rPr>
              <w:t>A</w:t>
            </w:r>
            <w:r>
              <w:rPr>
                <w:rFonts w:hint="eastAsia" w:ascii="仿宋" w:hAnsi="仿宋" w:eastAsia="仿宋" w:cs="宋体"/>
                <w:color w:val="auto"/>
                <w:kern w:val="0"/>
                <w:szCs w:val="21"/>
                <w:lang w:bidi="ar"/>
              </w:rPr>
              <w:t>2</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扶手检查</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无松动，无锈蚀</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ascii="仿宋" w:hAnsi="仿宋" w:eastAsia="仿宋" w:cs="宋体"/>
                <w:color w:val="auto"/>
                <w:kern w:val="0"/>
                <w:szCs w:val="21"/>
                <w:lang w:bidi="ar"/>
              </w:rPr>
              <w:t>A</w:t>
            </w:r>
            <w:r>
              <w:rPr>
                <w:rFonts w:hint="eastAsia" w:ascii="仿宋" w:hAnsi="仿宋" w:eastAsia="仿宋" w:cs="宋体"/>
                <w:color w:val="auto"/>
                <w:kern w:val="0"/>
                <w:szCs w:val="21"/>
                <w:lang w:bidi="ar"/>
              </w:rPr>
              <w:t>3</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安全标识检查</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无</w:t>
            </w:r>
            <w:r>
              <w:rPr>
                <w:rFonts w:ascii="仿宋" w:hAnsi="仿宋" w:eastAsia="仿宋" w:cs="宋体"/>
                <w:color w:val="auto"/>
                <w:kern w:val="0"/>
                <w:szCs w:val="21"/>
                <w:lang w:bidi="ar"/>
              </w:rPr>
              <w:t>损坏，</w:t>
            </w:r>
            <w:r>
              <w:rPr>
                <w:rFonts w:hint="eastAsia" w:ascii="仿宋" w:hAnsi="仿宋" w:eastAsia="仿宋" w:cs="宋体"/>
                <w:color w:val="auto"/>
                <w:kern w:val="0"/>
                <w:szCs w:val="21"/>
                <w:lang w:bidi="ar"/>
              </w:rPr>
              <w:t>无</w:t>
            </w:r>
            <w:r>
              <w:rPr>
                <w:rFonts w:ascii="仿宋" w:hAnsi="仿宋" w:eastAsia="仿宋" w:cs="宋体"/>
                <w:color w:val="auto"/>
                <w:kern w:val="0"/>
                <w:szCs w:val="21"/>
                <w:lang w:bidi="ar"/>
              </w:rPr>
              <w:t>字迹模糊不清，</w:t>
            </w:r>
            <w:r>
              <w:rPr>
                <w:rFonts w:hint="eastAsia" w:ascii="仿宋" w:hAnsi="仿宋" w:eastAsia="仿宋" w:cs="宋体"/>
                <w:color w:val="auto"/>
                <w:kern w:val="0"/>
                <w:szCs w:val="21"/>
                <w:lang w:bidi="ar"/>
              </w:rPr>
              <w:t>无遗失</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ascii="仿宋" w:hAnsi="仿宋" w:eastAsia="仿宋" w:cs="宋体"/>
                <w:color w:val="auto"/>
                <w:kern w:val="0"/>
                <w:szCs w:val="21"/>
                <w:lang w:bidi="ar"/>
              </w:rPr>
              <w:t>A4</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Times New Roman"/>
                <w:color w:val="auto"/>
                <w:szCs w:val="21"/>
              </w:rPr>
              <w:t>检查升降平台上下方向</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Times New Roman"/>
                <w:color w:val="auto"/>
                <w:szCs w:val="21"/>
              </w:rPr>
              <w:t>测</w:t>
            </w:r>
            <w:r>
              <w:rPr>
                <w:rFonts w:ascii="仿宋" w:hAnsi="仿宋" w:eastAsia="仿宋" w:cs="Times New Roman"/>
                <w:color w:val="auto"/>
                <w:szCs w:val="21"/>
              </w:rPr>
              <w:t>试上下</w:t>
            </w:r>
            <w:r>
              <w:rPr>
                <w:rFonts w:hint="eastAsia" w:ascii="仿宋" w:hAnsi="仿宋" w:eastAsia="仿宋" w:cs="Times New Roman"/>
                <w:color w:val="auto"/>
                <w:szCs w:val="21"/>
              </w:rPr>
              <w:t>运行功能正</w:t>
            </w:r>
            <w:r>
              <w:rPr>
                <w:rFonts w:ascii="仿宋" w:hAnsi="仿宋" w:eastAsia="仿宋" w:cs="Times New Roman"/>
                <w:color w:val="auto"/>
                <w:szCs w:val="21"/>
              </w:rPr>
              <w:t>常</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5</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自动打</w:t>
            </w:r>
            <w:r>
              <w:rPr>
                <w:rFonts w:ascii="仿宋" w:hAnsi="仿宋" w:eastAsia="仿宋" w:cs="Times New Roman"/>
                <w:color w:val="auto"/>
                <w:szCs w:val="21"/>
              </w:rPr>
              <w:t>开、</w:t>
            </w:r>
            <w:r>
              <w:rPr>
                <w:rFonts w:hint="eastAsia" w:ascii="仿宋" w:hAnsi="仿宋" w:eastAsia="仿宋" w:cs="宋体"/>
                <w:color w:val="auto"/>
                <w:kern w:val="0"/>
                <w:szCs w:val="21"/>
                <w:lang w:bidi="ar"/>
              </w:rPr>
              <w:t>折叠</w:t>
            </w:r>
            <w:r>
              <w:rPr>
                <w:rFonts w:ascii="仿宋" w:hAnsi="仿宋" w:eastAsia="仿宋" w:cs="Times New Roman"/>
                <w:color w:val="auto"/>
                <w:szCs w:val="21"/>
              </w:rPr>
              <w:t>功</w:t>
            </w:r>
            <w:r>
              <w:rPr>
                <w:rFonts w:hint="eastAsia" w:ascii="仿宋" w:hAnsi="仿宋" w:eastAsia="仿宋" w:cs="Times New Roman"/>
                <w:color w:val="auto"/>
                <w:szCs w:val="21"/>
              </w:rPr>
              <w:t>及</w:t>
            </w:r>
            <w:r>
              <w:rPr>
                <w:rFonts w:ascii="仿宋" w:hAnsi="仿宋" w:eastAsia="仿宋" w:cs="Times New Roman"/>
                <w:color w:val="auto"/>
                <w:szCs w:val="21"/>
              </w:rPr>
              <w:t>开关</w:t>
            </w:r>
            <w:r>
              <w:rPr>
                <w:rFonts w:hint="eastAsia" w:ascii="仿宋" w:hAnsi="仿宋" w:eastAsia="仿宋" w:cs="Times New Roman"/>
                <w:color w:val="auto"/>
                <w:szCs w:val="21"/>
              </w:rPr>
              <w:t>检</w:t>
            </w:r>
            <w:r>
              <w:rPr>
                <w:rFonts w:ascii="仿宋" w:hAnsi="仿宋" w:eastAsia="仿宋" w:cs="Times New Roman"/>
                <w:color w:val="auto"/>
                <w:szCs w:val="21"/>
              </w:rPr>
              <w:t>查</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检</w:t>
            </w:r>
            <w:r>
              <w:rPr>
                <w:rFonts w:ascii="仿宋" w:hAnsi="仿宋" w:eastAsia="仿宋" w:cs="Times New Roman"/>
                <w:color w:val="auto"/>
                <w:szCs w:val="21"/>
              </w:rPr>
              <w:t>查开关</w:t>
            </w:r>
            <w:r>
              <w:rPr>
                <w:rFonts w:hint="eastAsia" w:ascii="仿宋" w:hAnsi="仿宋" w:eastAsia="仿宋" w:cs="Times New Roman"/>
                <w:color w:val="auto"/>
                <w:szCs w:val="21"/>
              </w:rPr>
              <w:t>，测</w:t>
            </w:r>
            <w:r>
              <w:rPr>
                <w:rFonts w:ascii="仿宋" w:hAnsi="仿宋" w:eastAsia="仿宋" w:cs="Times New Roman"/>
                <w:color w:val="auto"/>
                <w:szCs w:val="21"/>
              </w:rPr>
              <w:t>试</w:t>
            </w:r>
            <w:r>
              <w:rPr>
                <w:rFonts w:hint="eastAsia" w:ascii="仿宋" w:hAnsi="仿宋" w:eastAsia="仿宋" w:cs="Times New Roman"/>
                <w:color w:val="auto"/>
                <w:szCs w:val="21"/>
              </w:rPr>
              <w:t>功</w:t>
            </w:r>
            <w:r>
              <w:rPr>
                <w:rFonts w:ascii="仿宋" w:hAnsi="仿宋" w:eastAsia="仿宋" w:cs="Times New Roman"/>
                <w:color w:val="auto"/>
                <w:szCs w:val="21"/>
              </w:rPr>
              <w:t>能正常</w:t>
            </w:r>
            <w:r>
              <w:rPr>
                <w:rFonts w:hint="eastAsia" w:ascii="仿宋" w:hAnsi="仿宋" w:eastAsia="仿宋" w:cs="Times New Roman"/>
                <w:color w:val="auto"/>
                <w:szCs w:val="21"/>
              </w:rPr>
              <w:t>，</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A6</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控制柜内各部件检</w:t>
            </w:r>
            <w:r>
              <w:rPr>
                <w:rFonts w:ascii="仿宋" w:hAnsi="仿宋" w:eastAsia="仿宋" w:cs="Times New Roman"/>
                <w:color w:val="auto"/>
                <w:szCs w:val="21"/>
              </w:rPr>
              <w:t>查</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清洁，接线端子无异</w:t>
            </w:r>
            <w:r>
              <w:rPr>
                <w:rFonts w:ascii="仿宋" w:hAnsi="仿宋" w:eastAsia="仿宋" w:cs="Times New Roman"/>
                <w:color w:val="auto"/>
                <w:szCs w:val="21"/>
              </w:rPr>
              <w:t>常，松动，</w:t>
            </w:r>
            <w:r>
              <w:rPr>
                <w:rFonts w:hint="eastAsia" w:ascii="仿宋" w:hAnsi="仿宋" w:eastAsia="仿宋" w:cs="Times New Roman"/>
                <w:color w:val="auto"/>
                <w:szCs w:val="21"/>
              </w:rPr>
              <w:t>紧固接</w:t>
            </w:r>
            <w:r>
              <w:rPr>
                <w:rFonts w:ascii="仿宋" w:hAnsi="仿宋" w:eastAsia="仿宋" w:cs="Times New Roman"/>
                <w:color w:val="auto"/>
                <w:szCs w:val="21"/>
              </w:rPr>
              <w:t>线端子</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7</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 w:hAnsi="仿宋" w:eastAsia="仿宋" w:cs="宋体"/>
                <w:color w:val="auto"/>
                <w:kern w:val="0"/>
                <w:szCs w:val="21"/>
                <w:lang w:bidi="ar"/>
              </w:rPr>
            </w:pPr>
            <w:r>
              <w:rPr>
                <w:rFonts w:hint="eastAsia" w:ascii="仿宋" w:hAnsi="仿宋" w:eastAsia="仿宋" w:cs="宋体"/>
                <w:color w:val="auto"/>
                <w:kern w:val="0"/>
                <w:szCs w:val="21"/>
                <w:lang w:bidi="ar"/>
              </w:rPr>
              <w:t>附</w:t>
            </w:r>
            <w:r>
              <w:rPr>
                <w:rFonts w:ascii="仿宋" w:hAnsi="仿宋" w:eastAsia="仿宋" w:cs="宋体"/>
                <w:color w:val="auto"/>
                <w:kern w:val="0"/>
                <w:szCs w:val="21"/>
                <w:lang w:bidi="ar"/>
              </w:rPr>
              <w:t>带手持控制装置</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 w:hAnsi="仿宋" w:eastAsia="仿宋" w:cs="宋体"/>
                <w:color w:val="auto"/>
                <w:kern w:val="0"/>
                <w:szCs w:val="21"/>
                <w:lang w:bidi="ar"/>
              </w:rPr>
            </w:pPr>
            <w:r>
              <w:rPr>
                <w:rFonts w:hint="eastAsia" w:ascii="仿宋" w:hAnsi="仿宋" w:eastAsia="仿宋" w:cs="宋体"/>
                <w:color w:val="auto"/>
                <w:kern w:val="0"/>
                <w:szCs w:val="21"/>
                <w:lang w:bidi="ar"/>
              </w:rPr>
              <w:t>测</w:t>
            </w:r>
            <w:r>
              <w:rPr>
                <w:rFonts w:ascii="仿宋" w:hAnsi="仿宋" w:eastAsia="仿宋" w:cs="宋体"/>
                <w:color w:val="auto"/>
                <w:kern w:val="0"/>
                <w:szCs w:val="21"/>
                <w:lang w:bidi="ar"/>
              </w:rPr>
              <w:t>试功能</w:t>
            </w:r>
            <w:r>
              <w:rPr>
                <w:rFonts w:hint="eastAsia" w:ascii="仿宋" w:hAnsi="仿宋" w:eastAsia="仿宋" w:cs="宋体"/>
                <w:color w:val="auto"/>
                <w:kern w:val="0"/>
                <w:szCs w:val="21"/>
                <w:lang w:bidi="ar"/>
              </w:rPr>
              <w:t>（自</w:t>
            </w:r>
            <w:r>
              <w:rPr>
                <w:rFonts w:ascii="仿宋" w:hAnsi="仿宋" w:eastAsia="仿宋" w:cs="宋体"/>
                <w:color w:val="auto"/>
                <w:kern w:val="0"/>
                <w:szCs w:val="21"/>
                <w:lang w:bidi="ar"/>
              </w:rPr>
              <w:t>动</w:t>
            </w:r>
            <w:r>
              <w:rPr>
                <w:rFonts w:hint="eastAsia" w:ascii="仿宋" w:hAnsi="仿宋" w:eastAsia="仿宋" w:cs="宋体"/>
                <w:color w:val="auto"/>
                <w:kern w:val="0"/>
                <w:szCs w:val="21"/>
                <w:lang w:bidi="ar"/>
              </w:rPr>
              <w:t>折叠</w:t>
            </w:r>
            <w:r>
              <w:rPr>
                <w:rFonts w:ascii="仿宋" w:hAnsi="仿宋" w:eastAsia="仿宋" w:cs="宋体"/>
                <w:color w:val="auto"/>
                <w:kern w:val="0"/>
                <w:szCs w:val="21"/>
                <w:lang w:bidi="ar"/>
              </w:rPr>
              <w:t>功能、上</w:t>
            </w:r>
            <w:r>
              <w:rPr>
                <w:rFonts w:hint="eastAsia" w:ascii="仿宋" w:hAnsi="仿宋" w:eastAsia="仿宋" w:cs="宋体"/>
                <w:color w:val="auto"/>
                <w:kern w:val="0"/>
                <w:szCs w:val="21"/>
                <w:lang w:bidi="ar"/>
              </w:rPr>
              <w:t>、</w:t>
            </w:r>
            <w:r>
              <w:rPr>
                <w:rFonts w:ascii="仿宋" w:hAnsi="仿宋" w:eastAsia="仿宋" w:cs="宋体"/>
                <w:color w:val="auto"/>
                <w:kern w:val="0"/>
                <w:szCs w:val="21"/>
                <w:lang w:bidi="ar"/>
              </w:rPr>
              <w:t>下</w:t>
            </w:r>
            <w:r>
              <w:rPr>
                <w:rFonts w:hint="eastAsia" w:ascii="仿宋" w:hAnsi="仿宋" w:eastAsia="仿宋" w:cs="宋体"/>
                <w:color w:val="auto"/>
                <w:kern w:val="0"/>
                <w:szCs w:val="21"/>
                <w:lang w:bidi="ar"/>
              </w:rPr>
              <w:t>、</w:t>
            </w:r>
            <w:r>
              <w:rPr>
                <w:rFonts w:ascii="仿宋" w:hAnsi="仿宋" w:eastAsia="仿宋" w:cs="宋体"/>
                <w:color w:val="auto"/>
                <w:kern w:val="0"/>
                <w:szCs w:val="21"/>
                <w:lang w:bidi="ar"/>
              </w:rPr>
              <w:t>急停功能</w:t>
            </w:r>
            <w:r>
              <w:rPr>
                <w:rFonts w:hint="eastAsia" w:ascii="仿宋" w:hAnsi="仿宋" w:eastAsia="仿宋" w:cs="宋体"/>
                <w:color w:val="auto"/>
                <w:kern w:val="0"/>
                <w:szCs w:val="21"/>
                <w:lang w:bidi="ar"/>
              </w:rPr>
              <w:t>正</w:t>
            </w:r>
            <w:r>
              <w:rPr>
                <w:rFonts w:ascii="仿宋" w:hAnsi="仿宋" w:eastAsia="仿宋" w:cs="宋体"/>
                <w:color w:val="auto"/>
                <w:kern w:val="0"/>
                <w:szCs w:val="21"/>
                <w:lang w:bidi="ar"/>
              </w:rPr>
              <w:t>常）</w:t>
            </w:r>
          </w:p>
        </w:tc>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8</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紧</w:t>
            </w:r>
            <w:r>
              <w:rPr>
                <w:rFonts w:ascii="仿宋" w:hAnsi="仿宋" w:eastAsia="仿宋" w:cs="Times New Roman"/>
                <w:color w:val="auto"/>
                <w:szCs w:val="21"/>
              </w:rPr>
              <w:t>急停止功能</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测</w:t>
            </w:r>
            <w:r>
              <w:rPr>
                <w:rFonts w:ascii="仿宋" w:hAnsi="仿宋" w:eastAsia="仿宋" w:cs="Times New Roman"/>
                <w:color w:val="auto"/>
                <w:szCs w:val="21"/>
              </w:rPr>
              <w:t>试正常</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9</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制</w:t>
            </w:r>
            <w:r>
              <w:rPr>
                <w:rFonts w:ascii="仿宋" w:hAnsi="仿宋" w:eastAsia="仿宋" w:cs="Times New Roman"/>
                <w:color w:val="auto"/>
                <w:szCs w:val="21"/>
              </w:rPr>
              <w:t>动器</w:t>
            </w:r>
            <w:r>
              <w:rPr>
                <w:rFonts w:hint="eastAsia" w:ascii="仿宋" w:hAnsi="仿宋" w:eastAsia="仿宋" w:cs="Times New Roman"/>
                <w:color w:val="auto"/>
                <w:szCs w:val="21"/>
              </w:rPr>
              <w:t>检</w:t>
            </w:r>
            <w:r>
              <w:rPr>
                <w:rFonts w:ascii="仿宋" w:hAnsi="仿宋" w:eastAsia="仿宋" w:cs="Times New Roman"/>
                <w:color w:val="auto"/>
                <w:szCs w:val="21"/>
              </w:rPr>
              <w:t>查</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松紧</w:t>
            </w:r>
            <w:r>
              <w:rPr>
                <w:rFonts w:ascii="仿宋" w:hAnsi="仿宋" w:eastAsia="仿宋" w:cs="Times New Roman"/>
                <w:color w:val="auto"/>
                <w:szCs w:val="21"/>
              </w:rPr>
              <w:t>度正常，根据需要调节</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10</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整</w:t>
            </w:r>
            <w:r>
              <w:rPr>
                <w:rFonts w:ascii="仿宋" w:hAnsi="仿宋" w:eastAsia="仿宋" w:cs="Times New Roman"/>
                <w:color w:val="auto"/>
                <w:szCs w:val="21"/>
              </w:rPr>
              <w:t>体运行</w:t>
            </w:r>
            <w:r>
              <w:rPr>
                <w:rFonts w:hint="eastAsia" w:ascii="仿宋" w:hAnsi="仿宋" w:eastAsia="仿宋" w:cs="Times New Roman"/>
                <w:color w:val="auto"/>
                <w:szCs w:val="21"/>
              </w:rPr>
              <w:t>状</w:t>
            </w:r>
            <w:r>
              <w:rPr>
                <w:rFonts w:ascii="仿宋" w:hAnsi="仿宋" w:eastAsia="仿宋" w:cs="Times New Roman"/>
                <w:color w:val="auto"/>
                <w:szCs w:val="21"/>
              </w:rPr>
              <w:t>态</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试</w:t>
            </w:r>
            <w:r>
              <w:rPr>
                <w:rFonts w:ascii="仿宋" w:hAnsi="仿宋" w:eastAsia="仿宋" w:cs="Times New Roman"/>
                <w:color w:val="auto"/>
                <w:szCs w:val="21"/>
              </w:rPr>
              <w:t>乘运行无</w:t>
            </w:r>
            <w:r>
              <w:rPr>
                <w:rFonts w:hint="eastAsia" w:ascii="仿宋" w:hAnsi="仿宋" w:eastAsia="仿宋" w:cs="Times New Roman"/>
                <w:color w:val="auto"/>
                <w:szCs w:val="21"/>
              </w:rPr>
              <w:t>异</w:t>
            </w:r>
            <w:r>
              <w:rPr>
                <w:rFonts w:ascii="仿宋" w:hAnsi="仿宋" w:eastAsia="仿宋" w:cs="Times New Roman"/>
                <w:color w:val="auto"/>
                <w:szCs w:val="21"/>
              </w:rPr>
              <w:t>常</w:t>
            </w:r>
            <w:r>
              <w:rPr>
                <w:rFonts w:hint="eastAsia" w:ascii="仿宋" w:hAnsi="仿宋" w:eastAsia="仿宋" w:cs="Times New Roman"/>
                <w:color w:val="auto"/>
                <w:szCs w:val="21"/>
              </w:rPr>
              <w:t>抖动</w:t>
            </w:r>
            <w:r>
              <w:rPr>
                <w:rFonts w:ascii="仿宋" w:hAnsi="仿宋" w:eastAsia="仿宋" w:cs="Times New Roman"/>
                <w:color w:val="auto"/>
                <w:szCs w:val="21"/>
              </w:rPr>
              <w:t>，无异响，运行</w:t>
            </w:r>
            <w:r>
              <w:rPr>
                <w:rFonts w:hint="eastAsia" w:ascii="仿宋" w:hAnsi="仿宋" w:eastAsia="仿宋" w:cs="Times New Roman"/>
                <w:color w:val="auto"/>
                <w:szCs w:val="21"/>
              </w:rPr>
              <w:t>平</w:t>
            </w:r>
            <w:r>
              <w:rPr>
                <w:rFonts w:ascii="仿宋" w:hAnsi="仿宋" w:eastAsia="仿宋" w:cs="Times New Roman"/>
                <w:color w:val="auto"/>
                <w:szCs w:val="21"/>
              </w:rPr>
              <w:t>稳</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B</w:t>
            </w:r>
            <w:r>
              <w:rPr>
                <w:rFonts w:ascii="仿宋" w:hAnsi="仿宋" w:eastAsia="仿宋" w:cs="宋体"/>
                <w:color w:val="auto"/>
                <w:kern w:val="0"/>
                <w:szCs w:val="21"/>
                <w:lang w:bidi="ar"/>
              </w:rPr>
              <w:t>1</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平</w:t>
            </w:r>
            <w:r>
              <w:rPr>
                <w:rFonts w:ascii="仿宋" w:hAnsi="仿宋" w:eastAsia="仿宋" w:cs="Times New Roman"/>
                <w:color w:val="auto"/>
                <w:szCs w:val="21"/>
              </w:rPr>
              <w:t>台检查</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检</w:t>
            </w:r>
            <w:r>
              <w:rPr>
                <w:rFonts w:ascii="仿宋" w:hAnsi="仿宋" w:eastAsia="仿宋" w:cs="Times New Roman"/>
                <w:color w:val="auto"/>
                <w:szCs w:val="21"/>
              </w:rPr>
              <w:t>查、</w:t>
            </w:r>
            <w:r>
              <w:rPr>
                <w:rFonts w:hint="eastAsia" w:ascii="仿宋" w:hAnsi="仿宋" w:eastAsia="仿宋" w:cs="Times New Roman"/>
                <w:color w:val="auto"/>
                <w:szCs w:val="21"/>
              </w:rPr>
              <w:t>清</w:t>
            </w:r>
            <w:r>
              <w:rPr>
                <w:rFonts w:ascii="仿宋" w:hAnsi="仿宋" w:eastAsia="仿宋" w:cs="Times New Roman"/>
                <w:color w:val="auto"/>
                <w:szCs w:val="21"/>
              </w:rPr>
              <w:t>洗并润滑铰链销、斜板及杠</w:t>
            </w:r>
            <w:r>
              <w:rPr>
                <w:rFonts w:hint="eastAsia" w:ascii="仿宋" w:hAnsi="仿宋" w:eastAsia="仿宋" w:cs="Times New Roman"/>
                <w:color w:val="auto"/>
                <w:szCs w:val="21"/>
              </w:rPr>
              <w:t>杆</w:t>
            </w:r>
            <w:r>
              <w:rPr>
                <w:rFonts w:ascii="仿宋" w:hAnsi="仿宋" w:eastAsia="仿宋" w:cs="Times New Roman"/>
                <w:color w:val="auto"/>
                <w:szCs w:val="21"/>
              </w:rPr>
              <w:t>，根据需要调节</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ascii="仿宋" w:hAnsi="仿宋" w:eastAsia="仿宋" w:cs="宋体"/>
                <w:color w:val="auto"/>
                <w:kern w:val="0"/>
                <w:szCs w:val="21"/>
                <w:lang w:bidi="ar"/>
              </w:rPr>
              <w:t>B2</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传</w:t>
            </w:r>
            <w:r>
              <w:rPr>
                <w:rFonts w:ascii="仿宋" w:hAnsi="仿宋" w:eastAsia="仿宋" w:cs="Times New Roman"/>
                <w:color w:val="auto"/>
                <w:szCs w:val="21"/>
              </w:rPr>
              <w:t>动装置与齿轮箱检查</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ascii="仿宋" w:hAnsi="仿宋" w:eastAsia="仿宋" w:cs="Times New Roman"/>
                <w:color w:val="auto"/>
                <w:szCs w:val="21"/>
              </w:rPr>
              <w:t>无明显磨损</w:t>
            </w:r>
            <w:r>
              <w:rPr>
                <w:rFonts w:hint="eastAsia" w:ascii="仿宋" w:hAnsi="仿宋" w:eastAsia="仿宋" w:cs="Times New Roman"/>
                <w:color w:val="auto"/>
                <w:szCs w:val="21"/>
              </w:rPr>
              <w:t>，</w:t>
            </w:r>
            <w:r>
              <w:rPr>
                <w:rFonts w:ascii="仿宋" w:hAnsi="仿宋" w:eastAsia="仿宋" w:cs="Times New Roman"/>
                <w:color w:val="auto"/>
                <w:szCs w:val="21"/>
              </w:rPr>
              <w:t>油位正常，根据需要润滑</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B3</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自</w:t>
            </w:r>
            <w:r>
              <w:rPr>
                <w:rFonts w:ascii="仿宋" w:hAnsi="仿宋" w:eastAsia="仿宋" w:cs="Times New Roman"/>
                <w:color w:val="auto"/>
                <w:szCs w:val="21"/>
              </w:rPr>
              <w:t>动器</w:t>
            </w:r>
            <w:r>
              <w:rPr>
                <w:rFonts w:hint="eastAsia" w:ascii="仿宋" w:hAnsi="仿宋" w:eastAsia="仿宋" w:cs="Times New Roman"/>
                <w:color w:val="auto"/>
                <w:szCs w:val="21"/>
              </w:rPr>
              <w:t>爪间</w:t>
            </w:r>
            <w:r>
              <w:rPr>
                <w:rFonts w:ascii="仿宋" w:hAnsi="仿宋" w:eastAsia="仿宋" w:cs="Times New Roman"/>
                <w:color w:val="auto"/>
                <w:szCs w:val="21"/>
              </w:rPr>
              <w:t>隙及截止开关</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检</w:t>
            </w:r>
            <w:r>
              <w:rPr>
                <w:rFonts w:ascii="仿宋" w:hAnsi="仿宋" w:eastAsia="仿宋" w:cs="Times New Roman"/>
                <w:color w:val="auto"/>
                <w:szCs w:val="21"/>
              </w:rPr>
              <w:t>查制动器爪自由端间隙及截止开关</w:t>
            </w:r>
            <w:r>
              <w:rPr>
                <w:rFonts w:hint="eastAsia" w:ascii="仿宋" w:hAnsi="仿宋" w:eastAsia="仿宋" w:cs="Times New Roman"/>
                <w:color w:val="auto"/>
                <w:szCs w:val="21"/>
              </w:rPr>
              <w:t>符</w:t>
            </w:r>
            <w:r>
              <w:rPr>
                <w:rFonts w:ascii="仿宋" w:hAnsi="仿宋" w:eastAsia="仿宋" w:cs="Times New Roman"/>
                <w:color w:val="auto"/>
                <w:szCs w:val="21"/>
              </w:rPr>
              <w:t>合</w:t>
            </w:r>
            <w:r>
              <w:rPr>
                <w:rFonts w:hint="eastAsia" w:ascii="仿宋" w:hAnsi="仿宋" w:eastAsia="仿宋" w:cs="Times New Roman"/>
                <w:color w:val="auto"/>
                <w:szCs w:val="21"/>
              </w:rPr>
              <w:t>制</w:t>
            </w:r>
            <w:r>
              <w:rPr>
                <w:rFonts w:ascii="仿宋" w:hAnsi="仿宋" w:eastAsia="仿宋" w:cs="Times New Roman"/>
                <w:color w:val="auto"/>
                <w:szCs w:val="21"/>
              </w:rPr>
              <w:t>造单位</w:t>
            </w:r>
            <w:r>
              <w:rPr>
                <w:rFonts w:hint="eastAsia" w:ascii="仿宋" w:hAnsi="仿宋" w:eastAsia="仿宋" w:cs="Times New Roman"/>
                <w:color w:val="auto"/>
                <w:szCs w:val="21"/>
              </w:rPr>
              <w:t>标</w:t>
            </w:r>
            <w:r>
              <w:rPr>
                <w:rFonts w:ascii="仿宋" w:hAnsi="仿宋" w:eastAsia="仿宋" w:cs="Times New Roman"/>
                <w:color w:val="auto"/>
                <w:szCs w:val="21"/>
              </w:rPr>
              <w:t>准与要求</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C</w:t>
            </w:r>
            <w:r>
              <w:rPr>
                <w:rFonts w:ascii="仿宋" w:hAnsi="仿宋" w:eastAsia="仿宋" w:cs="宋体"/>
                <w:color w:val="auto"/>
                <w:kern w:val="0"/>
                <w:szCs w:val="21"/>
                <w:lang w:bidi="ar"/>
              </w:rPr>
              <w:t>1</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传动</w:t>
            </w:r>
            <w:r>
              <w:rPr>
                <w:rFonts w:ascii="仿宋" w:hAnsi="仿宋" w:eastAsia="仿宋" w:cs="Times New Roman"/>
                <w:color w:val="auto"/>
                <w:szCs w:val="21"/>
              </w:rPr>
              <w:t>装置检查</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检查</w:t>
            </w:r>
            <w:r>
              <w:rPr>
                <w:rFonts w:ascii="仿宋" w:hAnsi="仿宋" w:eastAsia="仿宋" w:cs="Times New Roman"/>
                <w:color w:val="auto"/>
                <w:szCs w:val="21"/>
              </w:rPr>
              <w:t>传动齿轮间隙</w:t>
            </w:r>
            <w:r>
              <w:rPr>
                <w:rFonts w:hint="eastAsia" w:ascii="仿宋" w:hAnsi="仿宋" w:eastAsia="仿宋" w:cs="Times New Roman"/>
                <w:color w:val="auto"/>
                <w:szCs w:val="21"/>
              </w:rPr>
              <w:t>及</w:t>
            </w:r>
            <w:r>
              <w:rPr>
                <w:rFonts w:ascii="仿宋" w:hAnsi="仿宋" w:eastAsia="仿宋" w:cs="Times New Roman"/>
                <w:color w:val="auto"/>
                <w:szCs w:val="21"/>
              </w:rPr>
              <w:t>磨损情况，符合制造单位标准与要求</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C</w:t>
            </w:r>
            <w:r>
              <w:rPr>
                <w:rFonts w:ascii="仿宋" w:hAnsi="仿宋" w:eastAsia="仿宋" w:cs="宋体"/>
                <w:color w:val="auto"/>
                <w:kern w:val="0"/>
                <w:szCs w:val="21"/>
                <w:lang w:bidi="ar"/>
              </w:rPr>
              <w:t>2</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检</w:t>
            </w:r>
            <w:r>
              <w:rPr>
                <w:rFonts w:ascii="仿宋" w:hAnsi="仿宋" w:eastAsia="仿宋" w:cs="Times New Roman"/>
                <w:color w:val="auto"/>
                <w:szCs w:val="21"/>
              </w:rPr>
              <w:t>查上部及下部滑座，检查尼龙滚</w:t>
            </w:r>
            <w:r>
              <w:rPr>
                <w:rFonts w:hint="eastAsia" w:ascii="仿宋" w:hAnsi="仿宋" w:eastAsia="仿宋" w:cs="Times New Roman"/>
                <w:color w:val="auto"/>
                <w:szCs w:val="21"/>
              </w:rPr>
              <w:t>轴</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符</w:t>
            </w:r>
            <w:r>
              <w:rPr>
                <w:rFonts w:ascii="仿宋" w:hAnsi="仿宋" w:eastAsia="仿宋" w:cs="Times New Roman"/>
                <w:color w:val="auto"/>
                <w:szCs w:val="21"/>
              </w:rPr>
              <w:t>合</w:t>
            </w:r>
            <w:r>
              <w:rPr>
                <w:rFonts w:hint="eastAsia" w:ascii="仿宋" w:hAnsi="仿宋" w:eastAsia="仿宋" w:cs="Times New Roman"/>
                <w:color w:val="auto"/>
                <w:szCs w:val="21"/>
              </w:rPr>
              <w:t>制</w:t>
            </w:r>
            <w:r>
              <w:rPr>
                <w:rFonts w:ascii="仿宋" w:hAnsi="仿宋" w:eastAsia="仿宋" w:cs="Times New Roman"/>
                <w:color w:val="auto"/>
                <w:szCs w:val="21"/>
              </w:rPr>
              <w:t>造单位</w:t>
            </w:r>
            <w:r>
              <w:rPr>
                <w:rFonts w:hint="eastAsia" w:ascii="仿宋" w:hAnsi="仿宋" w:eastAsia="仿宋" w:cs="Times New Roman"/>
                <w:color w:val="auto"/>
                <w:szCs w:val="21"/>
              </w:rPr>
              <w:t>标</w:t>
            </w:r>
            <w:r>
              <w:rPr>
                <w:rFonts w:ascii="仿宋" w:hAnsi="仿宋" w:eastAsia="仿宋" w:cs="Times New Roman"/>
                <w:color w:val="auto"/>
                <w:szCs w:val="21"/>
              </w:rPr>
              <w:t>准与要求</w:t>
            </w:r>
            <w:r>
              <w:rPr>
                <w:rFonts w:hint="eastAsia" w:ascii="仿宋" w:hAnsi="仿宋" w:eastAsia="仿宋" w:cs="Times New Roman"/>
                <w:color w:val="auto"/>
                <w:szCs w:val="21"/>
              </w:rPr>
              <w:t>，</w:t>
            </w:r>
            <w:r>
              <w:rPr>
                <w:rFonts w:ascii="仿宋" w:hAnsi="仿宋" w:eastAsia="仿宋" w:cs="Times New Roman"/>
                <w:color w:val="auto"/>
                <w:szCs w:val="21"/>
              </w:rPr>
              <w:t>根据实际情况更换</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auto"/>
                <w:szCs w:val="21"/>
              </w:rPr>
            </w:pPr>
            <w:r>
              <w:rPr>
                <w:rFonts w:hint="eastAsia" w:ascii="仿宋" w:hAnsi="仿宋" w:eastAsia="仿宋" w:cs="Times New Roman"/>
                <w:color w:val="auto"/>
                <w:szCs w:val="21"/>
              </w:rPr>
              <w:t>D</w:t>
            </w:r>
            <w:r>
              <w:rPr>
                <w:rFonts w:ascii="仿宋" w:hAnsi="仿宋" w:eastAsia="仿宋" w:cs="Times New Roman"/>
                <w:color w:val="auto"/>
                <w:szCs w:val="21"/>
              </w:rPr>
              <w:t>1</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导</w:t>
            </w:r>
            <w:r>
              <w:rPr>
                <w:rFonts w:ascii="仿宋" w:hAnsi="仿宋" w:eastAsia="仿宋" w:cs="Times New Roman"/>
                <w:color w:val="auto"/>
                <w:szCs w:val="21"/>
              </w:rPr>
              <w:t>轨、传动装置内部清理</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清</w:t>
            </w:r>
            <w:r>
              <w:rPr>
                <w:rFonts w:ascii="仿宋" w:hAnsi="仿宋" w:eastAsia="仿宋" w:cs="Times New Roman"/>
                <w:color w:val="auto"/>
                <w:szCs w:val="21"/>
              </w:rPr>
              <w:t>除润滑脂及灰尘，新加润滑脂</w:t>
            </w:r>
          </w:p>
        </w:tc>
        <w:tc>
          <w:tcPr>
            <w:tcW w:w="94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注：</w:t>
            </w:r>
          </w:p>
          <w:p>
            <w:pPr>
              <w:widowControl/>
              <w:jc w:val="left"/>
              <w:textAlignment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1</w:t>
            </w:r>
            <w:r>
              <w:rPr>
                <w:rFonts w:ascii="仿宋" w:hAnsi="仿宋" w:eastAsia="仿宋" w:cs="宋体"/>
                <w:color w:val="auto"/>
                <w:kern w:val="0"/>
                <w:szCs w:val="21"/>
                <w:lang w:bidi="ar"/>
              </w:rPr>
              <w:t>.</w:t>
            </w:r>
            <w:r>
              <w:rPr>
                <w:rFonts w:hint="eastAsia" w:ascii="仿宋" w:hAnsi="仿宋" w:eastAsia="仿宋" w:cs="宋体"/>
                <w:color w:val="auto"/>
                <w:kern w:val="0"/>
                <w:szCs w:val="21"/>
                <w:lang w:bidi="ar"/>
              </w:rPr>
              <w:t xml:space="preserve">日常半月维保完成A项目(半月维保周期不能超过15天)，日常季度维保完成A＋B项目，半年度维保完成A＋B＋C 项目， 年度维保完成A＋B＋C＋D 项目。                       </w:t>
            </w:r>
          </w:p>
          <w:p>
            <w:pPr>
              <w:widowControl/>
              <w:jc w:val="left"/>
              <w:textAlignment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2.记号说明：“√”：确认正常；“○”：需调整；“×”：需修理等；“/”：该设</w:t>
            </w:r>
            <w:r>
              <w:rPr>
                <w:rFonts w:ascii="仿宋" w:hAnsi="仿宋" w:eastAsia="仿宋" w:cs="宋体"/>
                <w:color w:val="auto"/>
                <w:kern w:val="0"/>
                <w:szCs w:val="21"/>
                <w:lang w:bidi="ar"/>
              </w:rPr>
              <w:t>备</w:t>
            </w:r>
            <w:r>
              <w:rPr>
                <w:rFonts w:hint="eastAsia" w:ascii="仿宋" w:hAnsi="仿宋" w:eastAsia="仿宋" w:cs="宋体"/>
                <w:color w:val="auto"/>
                <w:kern w:val="0"/>
                <w:szCs w:val="21"/>
                <w:lang w:bidi="ar"/>
              </w:rPr>
              <w:t xml:space="preserve">没有此项目。                                         </w:t>
            </w:r>
          </w:p>
          <w:p>
            <w:pPr>
              <w:widowControl/>
              <w:jc w:val="left"/>
              <w:textAlignment w:val="center"/>
              <w:rPr>
                <w:rFonts w:ascii="仿宋" w:hAnsi="仿宋" w:eastAsia="仿宋" w:cs="宋体"/>
                <w:color w:val="auto"/>
                <w:kern w:val="0"/>
                <w:szCs w:val="21"/>
                <w:lang w:bidi="ar"/>
              </w:rPr>
            </w:pPr>
            <w:r>
              <w:rPr>
                <w:rFonts w:ascii="仿宋" w:hAnsi="仿宋" w:eastAsia="仿宋" w:cs="宋体"/>
                <w:color w:val="auto"/>
                <w:kern w:val="0"/>
                <w:szCs w:val="21"/>
                <w:lang w:bidi="ar"/>
              </w:rPr>
              <w:t>3</w:t>
            </w:r>
            <w:r>
              <w:rPr>
                <w:rFonts w:hint="eastAsia" w:ascii="仿宋" w:hAnsi="仿宋" w:eastAsia="仿宋" w:cs="宋体"/>
                <w:color w:val="auto"/>
                <w:kern w:val="0"/>
                <w:szCs w:val="21"/>
                <w:lang w:bidi="ar"/>
              </w:rPr>
              <w:t xml:space="preserve">.维护保养项目（内容）和要求中对测试、试验有明确规定的，应当按照规定进行测试、试验，没有明确规定的，一般为检查、调整、清洁和润滑。                                                                                                                       </w:t>
            </w:r>
            <w:r>
              <w:rPr>
                <w:rFonts w:ascii="仿宋" w:hAnsi="仿宋" w:eastAsia="仿宋" w:cs="宋体"/>
                <w:color w:val="auto"/>
                <w:kern w:val="0"/>
                <w:szCs w:val="21"/>
                <w:lang w:bidi="ar"/>
              </w:rPr>
              <w:t>4.</w:t>
            </w:r>
            <w:r>
              <w:rPr>
                <w:rFonts w:hint="eastAsia" w:ascii="仿宋" w:hAnsi="仿宋" w:eastAsia="仿宋" w:cs="宋体"/>
                <w:color w:val="auto"/>
                <w:kern w:val="0"/>
                <w:szCs w:val="21"/>
                <w:lang w:bidi="ar"/>
              </w:rPr>
              <w:t xml:space="preserve">维护保养基本要求中，规定为“符合标准值”的，是指符合对应的国家标准、行业标准和制造单位要求，维护保养基本要求中，规定为“制造单位要求”的，按照制造单位的要求，其他没有明确“要求”的，应当为安全技术规范、标准或者制造单位等的要求。 </w:t>
            </w:r>
          </w:p>
          <w:p>
            <w:pPr>
              <w:rPr>
                <w:rFonts w:ascii="仿宋" w:hAnsi="仿宋" w:eastAsia="仿宋" w:cs="宋体"/>
                <w:color w:val="auto"/>
                <w:kern w:val="0"/>
                <w:szCs w:val="21"/>
                <w:lang w:bidi="ar"/>
              </w:rPr>
            </w:pPr>
            <w:r>
              <w:rPr>
                <w:rFonts w:ascii="仿宋" w:hAnsi="仿宋" w:eastAsia="仿宋" w:cs="宋体"/>
                <w:color w:val="auto"/>
                <w:kern w:val="0"/>
                <w:szCs w:val="21"/>
                <w:lang w:bidi="ar"/>
              </w:rPr>
              <w:t>5.维</w:t>
            </w:r>
            <w:r>
              <w:rPr>
                <w:rFonts w:hint="eastAsia" w:ascii="仿宋" w:hAnsi="仿宋" w:eastAsia="仿宋" w:cs="宋体"/>
                <w:color w:val="auto"/>
                <w:kern w:val="0"/>
                <w:szCs w:val="21"/>
                <w:lang w:bidi="ar"/>
              </w:rPr>
              <w:t>护</w:t>
            </w:r>
            <w:r>
              <w:rPr>
                <w:rFonts w:ascii="仿宋" w:hAnsi="仿宋" w:eastAsia="仿宋" w:cs="宋体"/>
                <w:color w:val="auto"/>
                <w:kern w:val="0"/>
                <w:szCs w:val="21"/>
                <w:lang w:bidi="ar"/>
              </w:rPr>
              <w:t>保养实际以以上内容为主，</w:t>
            </w:r>
            <w:r>
              <w:rPr>
                <w:rFonts w:hint="eastAsia" w:ascii="仿宋" w:hAnsi="仿宋" w:eastAsia="仿宋" w:cs="宋体"/>
                <w:color w:val="auto"/>
                <w:kern w:val="0"/>
                <w:szCs w:val="21"/>
                <w:lang w:bidi="ar"/>
              </w:rPr>
              <w:t>实际</w:t>
            </w:r>
            <w:r>
              <w:rPr>
                <w:rFonts w:ascii="仿宋" w:hAnsi="仿宋" w:eastAsia="仿宋" w:cs="宋体"/>
                <w:color w:val="auto"/>
                <w:kern w:val="0"/>
                <w:szCs w:val="21"/>
                <w:lang w:bidi="ar"/>
              </w:rPr>
              <w:t>使</w:t>
            </w:r>
            <w:r>
              <w:rPr>
                <w:rFonts w:hint="eastAsia" w:ascii="仿宋" w:hAnsi="仿宋" w:eastAsia="仿宋" w:cs="宋体"/>
                <w:color w:val="auto"/>
                <w:kern w:val="0"/>
                <w:szCs w:val="21"/>
                <w:lang w:bidi="ar"/>
              </w:rPr>
              <w:t>用</w:t>
            </w:r>
            <w:r>
              <w:rPr>
                <w:rFonts w:ascii="仿宋" w:hAnsi="仿宋" w:eastAsia="仿宋" w:cs="宋体"/>
                <w:color w:val="auto"/>
                <w:kern w:val="0"/>
                <w:szCs w:val="21"/>
                <w:lang w:bidi="ar"/>
              </w:rPr>
              <w:t>表格由维保单</w:t>
            </w:r>
            <w:r>
              <w:rPr>
                <w:rFonts w:hint="eastAsia" w:ascii="仿宋" w:hAnsi="仿宋" w:eastAsia="仿宋" w:cs="宋体"/>
                <w:color w:val="auto"/>
                <w:kern w:val="0"/>
                <w:szCs w:val="21"/>
                <w:lang w:bidi="ar"/>
              </w:rPr>
              <w:t>提</w:t>
            </w:r>
            <w:r>
              <w:rPr>
                <w:rFonts w:ascii="仿宋" w:hAnsi="仿宋" w:eastAsia="仿宋" w:cs="宋体"/>
                <w:color w:val="auto"/>
                <w:kern w:val="0"/>
                <w:szCs w:val="21"/>
                <w:lang w:bidi="ar"/>
              </w:rPr>
              <w:t>供。</w:t>
            </w:r>
            <w:r>
              <w:rPr>
                <w:rFonts w:hint="eastAsia" w:ascii="仿宋" w:hAnsi="仿宋" w:eastAsia="仿宋" w:cs="宋体"/>
                <w:color w:val="auto"/>
                <w:kern w:val="0"/>
                <w:szCs w:val="21"/>
                <w:lang w:bidi="ar"/>
              </w:rPr>
              <w:t xml:space="preserve">                                                                                                                                </w:t>
            </w:r>
          </w:p>
        </w:tc>
      </w:tr>
      <w:tr>
        <w:tblPrEx>
          <w:tblCellMar>
            <w:top w:w="0" w:type="dxa"/>
            <w:left w:w="108" w:type="dxa"/>
            <w:bottom w:w="0" w:type="dxa"/>
            <w:right w:w="108" w:type="dxa"/>
          </w:tblCellMar>
        </w:tblPrEx>
        <w:trPr>
          <w:trHeight w:val="600"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保养维修记述：</w:t>
            </w:r>
          </w:p>
        </w:tc>
      </w:tr>
      <w:tr>
        <w:tblPrEx>
          <w:tblCellMar>
            <w:top w:w="0" w:type="dxa"/>
            <w:left w:w="108" w:type="dxa"/>
            <w:bottom w:w="0" w:type="dxa"/>
            <w:right w:w="108" w:type="dxa"/>
          </w:tblCellMar>
        </w:tblPrEx>
        <w:trPr>
          <w:trHeight w:val="708"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需修理项目：</w:t>
            </w:r>
          </w:p>
        </w:tc>
      </w:tr>
      <w:tr>
        <w:tblPrEx>
          <w:tblCellMar>
            <w:top w:w="0" w:type="dxa"/>
            <w:left w:w="108" w:type="dxa"/>
            <w:bottom w:w="0" w:type="dxa"/>
            <w:right w:w="108" w:type="dxa"/>
          </w:tblCellMar>
        </w:tblPrEx>
        <w:trPr>
          <w:trHeight w:val="546"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维保单位质量检验（查）人员抽查记录：</w:t>
            </w:r>
          </w:p>
        </w:tc>
      </w:tr>
      <w:tr>
        <w:tblPrEx>
          <w:tblCellMar>
            <w:top w:w="0" w:type="dxa"/>
            <w:left w:w="108" w:type="dxa"/>
            <w:bottom w:w="0" w:type="dxa"/>
            <w:right w:w="108" w:type="dxa"/>
          </w:tblCellMar>
        </w:tblPrEx>
        <w:trPr>
          <w:trHeight w:val="700"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用户意见：</w:t>
            </w:r>
          </w:p>
        </w:tc>
      </w:tr>
      <w:tr>
        <w:tblPrEx>
          <w:tblCellMar>
            <w:top w:w="0" w:type="dxa"/>
            <w:left w:w="108" w:type="dxa"/>
            <w:bottom w:w="0" w:type="dxa"/>
            <w:right w:w="108" w:type="dxa"/>
          </w:tblCellMar>
        </w:tblPrEx>
        <w:trPr>
          <w:trHeight w:val="555"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用户确认：</w:t>
            </w:r>
          </w:p>
        </w:tc>
      </w:tr>
      <w:tr>
        <w:tblPrEx>
          <w:tblCellMar>
            <w:top w:w="0" w:type="dxa"/>
            <w:left w:w="108" w:type="dxa"/>
            <w:bottom w:w="0" w:type="dxa"/>
            <w:right w:w="108" w:type="dxa"/>
          </w:tblCellMar>
        </w:tblPrEx>
        <w:trPr>
          <w:trHeight w:val="705"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注： 本表一式</w:t>
            </w:r>
            <w:r>
              <w:rPr>
                <w:rFonts w:hint="eastAsia" w:ascii="仿宋" w:hAnsi="仿宋" w:eastAsia="仿宋" w:cs="宋体"/>
                <w:color w:val="auto"/>
                <w:kern w:val="0"/>
                <w:szCs w:val="21"/>
                <w:lang w:eastAsia="zh-CN" w:bidi="ar"/>
              </w:rPr>
              <w:t>二</w:t>
            </w:r>
            <w:r>
              <w:rPr>
                <w:rFonts w:hint="eastAsia" w:ascii="仿宋" w:hAnsi="仿宋" w:eastAsia="仿宋" w:cs="宋体"/>
                <w:color w:val="auto"/>
                <w:kern w:val="0"/>
                <w:szCs w:val="21"/>
                <w:lang w:bidi="ar"/>
              </w:rPr>
              <w:t xml:space="preserve">份，用户（第一联），保养单位（第二联）。保存年限：4年                                                                                                                                                                     </w:t>
            </w:r>
          </w:p>
        </w:tc>
      </w:tr>
    </w:tbl>
    <w:p>
      <w:pPr>
        <w:adjustRightInd w:val="0"/>
        <w:snapToGrid w:val="0"/>
        <w:ind w:firstLine="210" w:firstLineChars="100"/>
        <w:jc w:val="left"/>
        <w:rPr>
          <w:rFonts w:hint="eastAsia" w:ascii="黑体" w:hAnsi="黑体" w:eastAsia="黑体" w:cs="黑体"/>
          <w:color w:val="auto"/>
          <w:szCs w:val="21"/>
        </w:rPr>
      </w:pPr>
    </w:p>
    <w:p>
      <w:pPr>
        <w:adjustRightInd w:val="0"/>
        <w:snapToGrid w:val="0"/>
        <w:ind w:firstLine="210" w:firstLineChars="100"/>
        <w:jc w:val="left"/>
        <w:rPr>
          <w:rFonts w:hint="eastAsia" w:ascii="黑体" w:hAnsi="黑体" w:eastAsia="黑体" w:cs="黑体"/>
          <w:color w:val="auto"/>
          <w:szCs w:val="21"/>
        </w:rPr>
      </w:pPr>
    </w:p>
    <w:p>
      <w:pPr>
        <w:rPr>
          <w:rFonts w:hint="eastAsia" w:ascii="黑体" w:hAnsi="黑体" w:eastAsia="黑体" w:cs="黑体"/>
          <w:color w:val="auto"/>
          <w:szCs w:val="21"/>
        </w:rPr>
      </w:pPr>
      <w:r>
        <w:rPr>
          <w:rFonts w:hint="eastAsia" w:ascii="黑体" w:hAnsi="黑体" w:eastAsia="黑体" w:cs="黑体"/>
          <w:color w:val="auto"/>
          <w:szCs w:val="21"/>
        </w:rPr>
        <w:br w:type="page"/>
      </w:r>
    </w:p>
    <w:p>
      <w:pPr>
        <w:pageBreakBefore w:val="0"/>
        <w:widowControl w:val="0"/>
        <w:numPr>
          <w:ilvl w:val="0"/>
          <w:numId w:val="20"/>
        </w:numPr>
        <w:kinsoku/>
        <w:wordWrap/>
        <w:overflowPunct/>
        <w:topLinePunct w:val="0"/>
        <w:autoSpaceDE/>
        <w:autoSpaceDN/>
        <w:bidi w:val="0"/>
        <w:adjustRightInd w:val="0"/>
        <w:snapToGrid w:val="0"/>
        <w:spacing w:line="360" w:lineRule="exact"/>
        <w:textAlignment w:val="auto"/>
        <w:rPr>
          <w:rFonts w:hint="eastAsia" w:ascii="仿宋" w:hAnsi="仿宋" w:eastAsia="仿宋"/>
          <w:color w:val="auto"/>
          <w:sz w:val="28"/>
          <w:szCs w:val="28"/>
        </w:rPr>
      </w:pPr>
      <w:r>
        <w:rPr>
          <w:rFonts w:hint="eastAsia" w:ascii="仿宋" w:hAnsi="仿宋" w:eastAsia="仿宋"/>
          <w:color w:val="auto"/>
          <w:sz w:val="28"/>
          <w:szCs w:val="28"/>
        </w:rPr>
        <w:t>垂直升降平台维保记录表</w:t>
      </w:r>
    </w:p>
    <w:tbl>
      <w:tblPr>
        <w:tblStyle w:val="30"/>
        <w:tblW w:w="9073" w:type="dxa"/>
        <w:jc w:val="center"/>
        <w:tblLayout w:type="autofit"/>
        <w:tblCellMar>
          <w:top w:w="0" w:type="dxa"/>
          <w:left w:w="108" w:type="dxa"/>
          <w:bottom w:w="0" w:type="dxa"/>
          <w:right w:w="108" w:type="dxa"/>
        </w:tblCellMar>
      </w:tblPr>
      <w:tblGrid>
        <w:gridCol w:w="562"/>
        <w:gridCol w:w="2977"/>
        <w:gridCol w:w="2977"/>
        <w:gridCol w:w="992"/>
        <w:gridCol w:w="1565"/>
      </w:tblGrid>
      <w:tr>
        <w:trPr>
          <w:jc w:val="center"/>
        </w:trPr>
        <w:tc>
          <w:tcPr>
            <w:tcW w:w="562"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序号</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作业项目、内容</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标准、要求或记录</w:t>
            </w:r>
          </w:p>
        </w:tc>
        <w:tc>
          <w:tcPr>
            <w:tcW w:w="992"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是否符合要求</w:t>
            </w:r>
          </w:p>
        </w:tc>
        <w:tc>
          <w:tcPr>
            <w:tcW w:w="1565"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记录说明不合格项</w:t>
            </w: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ascii="仿宋" w:hAnsi="仿宋" w:eastAsia="仿宋" w:cs="宋体"/>
                <w:color w:val="auto"/>
                <w:kern w:val="0"/>
                <w:szCs w:val="21"/>
                <w:lang w:bidi="ar"/>
              </w:rPr>
              <w:t>A</w:t>
            </w:r>
            <w:r>
              <w:rPr>
                <w:rFonts w:hint="eastAsia" w:ascii="仿宋" w:hAnsi="仿宋" w:eastAsia="仿宋" w:cs="宋体"/>
                <w:color w:val="auto"/>
                <w:kern w:val="0"/>
                <w:szCs w:val="21"/>
                <w:lang w:bidi="ar"/>
              </w:rPr>
              <w:t>1</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ascii="仿宋" w:hAnsi="仿宋" w:eastAsia="仿宋" w:cs="Times New Roman"/>
                <w:color w:val="auto"/>
                <w:szCs w:val="21"/>
              </w:rPr>
              <w:t>卫生情况</w:t>
            </w:r>
            <w:r>
              <w:rPr>
                <w:rFonts w:hint="eastAsia" w:ascii="仿宋" w:hAnsi="仿宋" w:eastAsia="仿宋" w:cs="Times New Roman"/>
                <w:color w:val="auto"/>
                <w:szCs w:val="21"/>
              </w:rPr>
              <w:t>清洁</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清</w:t>
            </w:r>
            <w:r>
              <w:rPr>
                <w:rFonts w:ascii="仿宋" w:hAnsi="仿宋" w:eastAsia="仿宋" w:cs="宋体"/>
                <w:color w:val="auto"/>
                <w:kern w:val="0"/>
                <w:szCs w:val="21"/>
                <w:lang w:bidi="ar"/>
              </w:rPr>
              <w:t>洁</w:t>
            </w:r>
            <w:r>
              <w:rPr>
                <w:rFonts w:hint="eastAsia" w:ascii="仿宋" w:hAnsi="仿宋" w:eastAsia="仿宋" w:cs="宋体"/>
                <w:color w:val="auto"/>
                <w:kern w:val="0"/>
                <w:szCs w:val="21"/>
                <w:lang w:bidi="ar"/>
              </w:rPr>
              <w:t>轿箱</w:t>
            </w:r>
            <w:r>
              <w:rPr>
                <w:rFonts w:ascii="仿宋" w:hAnsi="仿宋" w:eastAsia="仿宋" w:cs="宋体"/>
                <w:color w:val="auto"/>
                <w:kern w:val="0"/>
                <w:szCs w:val="21"/>
                <w:lang w:bidi="ar"/>
              </w:rPr>
              <w:t>内</w:t>
            </w:r>
            <w:r>
              <w:rPr>
                <w:rFonts w:hint="eastAsia" w:ascii="仿宋" w:hAnsi="仿宋" w:eastAsia="仿宋" w:cs="宋体"/>
                <w:color w:val="auto"/>
                <w:kern w:val="0"/>
                <w:szCs w:val="21"/>
                <w:lang w:bidi="ar"/>
              </w:rPr>
              <w:t>平</w:t>
            </w:r>
            <w:r>
              <w:rPr>
                <w:rFonts w:ascii="仿宋" w:hAnsi="仿宋" w:eastAsia="仿宋" w:cs="宋体"/>
                <w:color w:val="auto"/>
                <w:kern w:val="0"/>
                <w:szCs w:val="21"/>
                <w:lang w:bidi="ar"/>
              </w:rPr>
              <w:t>台、扶手、</w:t>
            </w:r>
            <w:r>
              <w:rPr>
                <w:rFonts w:hint="eastAsia" w:ascii="仿宋" w:hAnsi="仿宋" w:eastAsia="仿宋" w:cs="宋体"/>
                <w:color w:val="auto"/>
                <w:kern w:val="0"/>
                <w:szCs w:val="21"/>
                <w:lang w:bidi="ar"/>
              </w:rPr>
              <w:t>轿箱</w:t>
            </w:r>
            <w:r>
              <w:rPr>
                <w:rFonts w:ascii="仿宋" w:hAnsi="仿宋" w:eastAsia="仿宋" w:cs="宋体"/>
                <w:color w:val="auto"/>
                <w:kern w:val="0"/>
                <w:szCs w:val="21"/>
                <w:lang w:bidi="ar"/>
              </w:rPr>
              <w:t>壁</w:t>
            </w:r>
            <w:r>
              <w:rPr>
                <w:rFonts w:hint="eastAsia" w:ascii="仿宋" w:hAnsi="仿宋" w:eastAsia="仿宋" w:cs="Times New Roman"/>
                <w:color w:val="auto"/>
                <w:szCs w:val="21"/>
              </w:rPr>
              <w:t>等</w:t>
            </w:r>
            <w:r>
              <w:rPr>
                <w:rFonts w:ascii="仿宋" w:hAnsi="仿宋" w:eastAsia="仿宋" w:cs="Times New Roman"/>
                <w:color w:val="auto"/>
                <w:szCs w:val="21"/>
              </w:rPr>
              <w:t>要求</w:t>
            </w:r>
            <w:r>
              <w:rPr>
                <w:rFonts w:hint="eastAsia" w:ascii="仿宋" w:hAnsi="仿宋" w:eastAsia="仿宋" w:cs="宋体"/>
                <w:color w:val="auto"/>
                <w:kern w:val="0"/>
                <w:szCs w:val="21"/>
                <w:lang w:bidi="ar"/>
              </w:rPr>
              <w:t>无</w:t>
            </w:r>
            <w:r>
              <w:rPr>
                <w:rFonts w:ascii="仿宋" w:hAnsi="仿宋" w:eastAsia="仿宋" w:cs="宋体"/>
                <w:color w:val="auto"/>
                <w:kern w:val="0"/>
                <w:szCs w:val="21"/>
                <w:lang w:bidi="ar"/>
              </w:rPr>
              <w:t>明显垃圾</w:t>
            </w:r>
            <w:r>
              <w:rPr>
                <w:rFonts w:hint="eastAsia" w:ascii="仿宋" w:hAnsi="仿宋" w:eastAsia="仿宋" w:cs="宋体"/>
                <w:color w:val="auto"/>
                <w:kern w:val="0"/>
                <w:szCs w:val="21"/>
                <w:lang w:bidi="ar"/>
              </w:rPr>
              <w:t>、油</w:t>
            </w:r>
            <w:r>
              <w:rPr>
                <w:rFonts w:ascii="仿宋" w:hAnsi="仿宋" w:eastAsia="仿宋" w:cs="宋体"/>
                <w:color w:val="auto"/>
                <w:kern w:val="0"/>
                <w:szCs w:val="21"/>
                <w:lang w:bidi="ar"/>
              </w:rPr>
              <w:t>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2</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hint="eastAsia" w:ascii="仿宋" w:hAnsi="仿宋" w:eastAsia="仿宋" w:cs="Times New Roman"/>
                <w:color w:val="auto"/>
                <w:szCs w:val="21"/>
              </w:rPr>
              <w:t>自</w:t>
            </w:r>
            <w:r>
              <w:rPr>
                <w:rFonts w:ascii="仿宋" w:hAnsi="仿宋" w:eastAsia="仿宋" w:cs="Times New Roman"/>
                <w:color w:val="auto"/>
                <w:szCs w:val="21"/>
              </w:rPr>
              <w:t>动</w:t>
            </w:r>
            <w:r>
              <w:rPr>
                <w:rFonts w:hint="eastAsia" w:ascii="仿宋" w:hAnsi="仿宋" w:eastAsia="仿宋" w:cs="Times New Roman"/>
                <w:color w:val="auto"/>
                <w:szCs w:val="21"/>
              </w:rPr>
              <w:t>开</w:t>
            </w:r>
            <w:r>
              <w:rPr>
                <w:rFonts w:ascii="仿宋" w:hAnsi="仿宋" w:eastAsia="仿宋" w:cs="Times New Roman"/>
                <w:color w:val="auto"/>
                <w:szCs w:val="21"/>
              </w:rPr>
              <w:t>关门装置</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功</w:t>
            </w:r>
            <w:r>
              <w:rPr>
                <w:rFonts w:ascii="仿宋" w:hAnsi="仿宋" w:eastAsia="仿宋" w:cs="宋体"/>
                <w:color w:val="auto"/>
                <w:kern w:val="0"/>
                <w:szCs w:val="21"/>
                <w:lang w:bidi="ar"/>
              </w:rPr>
              <w:t>能自常</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ascii="仿宋" w:hAnsi="仿宋" w:eastAsia="仿宋" w:cs="宋体"/>
                <w:color w:val="auto"/>
                <w:kern w:val="0"/>
                <w:szCs w:val="21"/>
                <w:lang w:bidi="ar"/>
              </w:rPr>
              <w:t>A3</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Times New Roman"/>
                <w:color w:val="auto"/>
                <w:szCs w:val="21"/>
              </w:rPr>
              <w:t>传动</w:t>
            </w:r>
            <w:r>
              <w:rPr>
                <w:rFonts w:ascii="仿宋" w:hAnsi="仿宋" w:eastAsia="仿宋" w:cs="Times New Roman"/>
                <w:color w:val="auto"/>
                <w:szCs w:val="21"/>
              </w:rPr>
              <w:t>螺杆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Times New Roman"/>
                <w:color w:val="auto"/>
                <w:szCs w:val="21"/>
              </w:rPr>
              <w:t>磨损情</w:t>
            </w:r>
            <w:r>
              <w:rPr>
                <w:rFonts w:ascii="仿宋" w:hAnsi="仿宋" w:eastAsia="仿宋" w:cs="Times New Roman"/>
                <w:color w:val="auto"/>
                <w:szCs w:val="21"/>
              </w:rPr>
              <w:t>况</w:t>
            </w:r>
            <w:r>
              <w:rPr>
                <w:rFonts w:hint="eastAsia" w:ascii="仿宋" w:hAnsi="仿宋" w:eastAsia="仿宋" w:cs="Times New Roman"/>
                <w:color w:val="auto"/>
                <w:szCs w:val="21"/>
              </w:rPr>
              <w:t>符合</w:t>
            </w:r>
            <w:r>
              <w:rPr>
                <w:rFonts w:ascii="仿宋" w:hAnsi="仿宋" w:eastAsia="仿宋" w:cs="Times New Roman"/>
                <w:color w:val="auto"/>
                <w:szCs w:val="21"/>
              </w:rPr>
              <w:t>制造商标准与要</w:t>
            </w:r>
            <w:r>
              <w:rPr>
                <w:rFonts w:hint="eastAsia" w:ascii="仿宋" w:hAnsi="仿宋" w:eastAsia="仿宋" w:cs="Times New Roman"/>
                <w:color w:val="auto"/>
                <w:szCs w:val="21"/>
              </w:rPr>
              <w:t>、</w:t>
            </w:r>
            <w:r>
              <w:rPr>
                <w:rFonts w:ascii="仿宋" w:hAnsi="仿宋" w:eastAsia="仿宋" w:cs="Times New Roman"/>
                <w:color w:val="auto"/>
                <w:szCs w:val="21"/>
              </w:rPr>
              <w:t>运行时是否有</w:t>
            </w:r>
            <w:r>
              <w:rPr>
                <w:rFonts w:hint="eastAsia" w:ascii="仿宋" w:hAnsi="仿宋" w:eastAsia="仿宋" w:cs="Times New Roman"/>
                <w:color w:val="auto"/>
                <w:szCs w:val="21"/>
              </w:rPr>
              <w:t>异响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ascii="仿宋" w:hAnsi="仿宋" w:eastAsia="仿宋" w:cs="宋体"/>
                <w:color w:val="auto"/>
                <w:kern w:val="0"/>
                <w:szCs w:val="21"/>
                <w:lang w:bidi="ar"/>
              </w:rPr>
              <w:t>A4</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Times New Roman"/>
                <w:color w:val="auto"/>
                <w:szCs w:val="21"/>
              </w:rPr>
              <w:t>检查垂直升降平台上下方向</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Times New Roman"/>
                <w:color w:val="auto"/>
                <w:szCs w:val="21"/>
              </w:rPr>
              <w:t>测</w:t>
            </w:r>
            <w:r>
              <w:rPr>
                <w:rFonts w:ascii="仿宋" w:hAnsi="仿宋" w:eastAsia="仿宋" w:cs="Times New Roman"/>
                <w:color w:val="auto"/>
                <w:szCs w:val="21"/>
              </w:rPr>
              <w:t>试上下</w:t>
            </w:r>
            <w:r>
              <w:rPr>
                <w:rFonts w:hint="eastAsia" w:ascii="仿宋" w:hAnsi="仿宋" w:eastAsia="仿宋" w:cs="Times New Roman"/>
                <w:color w:val="auto"/>
                <w:szCs w:val="21"/>
              </w:rPr>
              <w:t>运行功能正</w:t>
            </w:r>
            <w:r>
              <w:rPr>
                <w:rFonts w:ascii="仿宋" w:hAnsi="仿宋" w:eastAsia="仿宋" w:cs="Times New Roman"/>
                <w:color w:val="auto"/>
                <w:szCs w:val="21"/>
              </w:rPr>
              <w:t>常</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5</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皮带工作情况</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是否</w:t>
            </w:r>
            <w:r>
              <w:rPr>
                <w:rFonts w:ascii="仿宋" w:hAnsi="仿宋" w:eastAsia="仿宋" w:cs="Times New Roman"/>
                <w:color w:val="auto"/>
                <w:szCs w:val="21"/>
              </w:rPr>
              <w:t>有异</w:t>
            </w:r>
            <w:r>
              <w:rPr>
                <w:rFonts w:hint="eastAsia" w:ascii="仿宋" w:hAnsi="仿宋" w:eastAsia="仿宋" w:cs="Times New Roman"/>
                <w:color w:val="auto"/>
                <w:szCs w:val="21"/>
              </w:rPr>
              <w:t>响、跳动、振动，检查皮带</w:t>
            </w:r>
            <w:r>
              <w:rPr>
                <w:rFonts w:ascii="仿宋" w:hAnsi="仿宋" w:eastAsia="仿宋" w:cs="Times New Roman"/>
                <w:color w:val="auto"/>
                <w:szCs w:val="21"/>
              </w:rPr>
              <w:t>是</w:t>
            </w:r>
            <w:r>
              <w:rPr>
                <w:rFonts w:hint="eastAsia" w:ascii="仿宋" w:hAnsi="仿宋" w:eastAsia="仿宋" w:cs="Times New Roman"/>
                <w:color w:val="auto"/>
                <w:szCs w:val="21"/>
              </w:rPr>
              <w:t>否有明显损缺，必要时进行调整张紧力或更换</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6</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检查和清洁控制部件，检查故障显示器</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功</w:t>
            </w:r>
            <w:r>
              <w:rPr>
                <w:rFonts w:ascii="仿宋" w:hAnsi="仿宋" w:eastAsia="仿宋" w:cs="Times New Roman"/>
                <w:color w:val="auto"/>
                <w:szCs w:val="21"/>
              </w:rPr>
              <w:t>能正常</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7</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控制柜</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控制柜内各部件进行清洁，接线端子进行紧固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8</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检查各按钮及警铃</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测试功能正常，</w:t>
            </w:r>
            <w:r>
              <w:rPr>
                <w:rFonts w:ascii="仿宋" w:hAnsi="仿宋" w:eastAsia="仿宋" w:cs="Times New Roman"/>
                <w:color w:val="auto"/>
                <w:szCs w:val="21"/>
              </w:rPr>
              <w:t>外</w:t>
            </w:r>
            <w:r>
              <w:rPr>
                <w:rFonts w:hint="eastAsia" w:ascii="仿宋" w:hAnsi="仿宋" w:eastAsia="仿宋" w:cs="Times New Roman"/>
                <w:color w:val="auto"/>
                <w:szCs w:val="21"/>
              </w:rPr>
              <w:t>观</w:t>
            </w:r>
            <w:r>
              <w:rPr>
                <w:rFonts w:ascii="仿宋" w:hAnsi="仿宋" w:eastAsia="仿宋" w:cs="Times New Roman"/>
                <w:color w:val="auto"/>
                <w:szCs w:val="21"/>
              </w:rPr>
              <w:t>良好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9</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储尘盘、线盒、接线盘清</w:t>
            </w:r>
            <w:r>
              <w:rPr>
                <w:rFonts w:ascii="仿宋" w:hAnsi="仿宋" w:eastAsia="仿宋" w:cs="Times New Roman"/>
                <w:color w:val="auto"/>
                <w:szCs w:val="21"/>
              </w:rPr>
              <w:t>洁</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清</w:t>
            </w:r>
            <w:r>
              <w:rPr>
                <w:rFonts w:ascii="仿宋" w:hAnsi="仿宋" w:eastAsia="仿宋" w:cs="Times New Roman"/>
                <w:color w:val="auto"/>
                <w:szCs w:val="21"/>
              </w:rPr>
              <w:t>理、清</w:t>
            </w:r>
            <w:r>
              <w:rPr>
                <w:rFonts w:hint="eastAsia" w:ascii="仿宋" w:hAnsi="仿宋" w:eastAsia="仿宋" w:cs="Times New Roman"/>
                <w:color w:val="auto"/>
                <w:szCs w:val="21"/>
              </w:rPr>
              <w:t>洁</w:t>
            </w:r>
            <w:r>
              <w:rPr>
                <w:rFonts w:ascii="仿宋" w:hAnsi="仿宋" w:eastAsia="仿宋" w:cs="Times New Roman"/>
                <w:color w:val="auto"/>
                <w:szCs w:val="21"/>
              </w:rPr>
              <w:t>要求</w:t>
            </w:r>
            <w:r>
              <w:rPr>
                <w:rFonts w:hint="eastAsia" w:ascii="仿宋" w:hAnsi="仿宋" w:eastAsia="仿宋" w:cs="宋体"/>
                <w:color w:val="auto"/>
                <w:kern w:val="0"/>
                <w:szCs w:val="21"/>
                <w:lang w:bidi="ar"/>
              </w:rPr>
              <w:t>无</w:t>
            </w:r>
            <w:r>
              <w:rPr>
                <w:rFonts w:ascii="仿宋" w:hAnsi="仿宋" w:eastAsia="仿宋" w:cs="宋体"/>
                <w:color w:val="auto"/>
                <w:kern w:val="0"/>
                <w:szCs w:val="21"/>
                <w:lang w:bidi="ar"/>
              </w:rPr>
              <w:t>明显垃圾</w:t>
            </w:r>
            <w:r>
              <w:rPr>
                <w:rFonts w:hint="eastAsia" w:ascii="仿宋" w:hAnsi="仿宋" w:eastAsia="仿宋" w:cs="宋体"/>
                <w:color w:val="auto"/>
                <w:kern w:val="0"/>
                <w:szCs w:val="21"/>
                <w:lang w:bidi="ar"/>
              </w:rPr>
              <w:t>、油</w:t>
            </w:r>
            <w:r>
              <w:rPr>
                <w:rFonts w:ascii="仿宋" w:hAnsi="仿宋" w:eastAsia="仿宋" w:cs="宋体"/>
                <w:color w:val="auto"/>
                <w:kern w:val="0"/>
                <w:szCs w:val="21"/>
                <w:lang w:bidi="ar"/>
              </w:rPr>
              <w:t>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10</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滚</w:t>
            </w:r>
            <w:r>
              <w:rPr>
                <w:rFonts w:ascii="仿宋" w:hAnsi="仿宋" w:eastAsia="仿宋" w:cs="Times New Roman"/>
                <w:color w:val="auto"/>
                <w:szCs w:val="21"/>
              </w:rPr>
              <w:t>筒加</w:t>
            </w:r>
            <w:r>
              <w:rPr>
                <w:rFonts w:hint="eastAsia" w:ascii="仿宋" w:hAnsi="仿宋" w:eastAsia="仿宋" w:cs="Times New Roman"/>
                <w:color w:val="auto"/>
                <w:szCs w:val="21"/>
              </w:rPr>
              <w:t>油</w:t>
            </w:r>
            <w:r>
              <w:rPr>
                <w:rFonts w:ascii="仿宋" w:hAnsi="仿宋" w:eastAsia="仿宋" w:cs="Times New Roman"/>
                <w:color w:val="auto"/>
                <w:szCs w:val="21"/>
              </w:rPr>
              <w:t>系统油位</w:t>
            </w:r>
            <w:r>
              <w:rPr>
                <w:rFonts w:hint="eastAsia" w:ascii="仿宋" w:hAnsi="仿宋" w:eastAsia="仿宋" w:cs="Times New Roman"/>
                <w:color w:val="auto"/>
                <w:szCs w:val="21"/>
              </w:rPr>
              <w:t>要</w:t>
            </w:r>
            <w:r>
              <w:rPr>
                <w:rFonts w:ascii="仿宋" w:hAnsi="仿宋" w:eastAsia="仿宋" w:cs="Times New Roman"/>
                <w:color w:val="auto"/>
                <w:szCs w:val="21"/>
              </w:rPr>
              <w:t>检查</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容</w:t>
            </w:r>
            <w:r>
              <w:rPr>
                <w:rFonts w:ascii="仿宋" w:hAnsi="仿宋" w:eastAsia="仿宋" w:cs="Times New Roman"/>
                <w:color w:val="auto"/>
                <w:szCs w:val="21"/>
              </w:rPr>
              <w:t>器油位不低于</w:t>
            </w:r>
            <w:r>
              <w:rPr>
                <w:rFonts w:hint="eastAsia" w:ascii="仿宋" w:hAnsi="仿宋" w:eastAsia="仿宋" w:cs="Times New Roman"/>
                <w:color w:val="auto"/>
                <w:szCs w:val="21"/>
              </w:rPr>
              <w:t>10</w:t>
            </w:r>
            <w:r>
              <w:rPr>
                <w:rFonts w:ascii="仿宋" w:hAnsi="仿宋" w:eastAsia="仿宋" w:cs="Times New Roman"/>
                <w:color w:val="auto"/>
                <w:szCs w:val="21"/>
              </w:rPr>
              <w:t>mm</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B</w:t>
            </w:r>
            <w:r>
              <w:rPr>
                <w:rFonts w:ascii="仿宋" w:hAnsi="仿宋" w:eastAsia="仿宋" w:cs="宋体"/>
                <w:color w:val="auto"/>
                <w:kern w:val="0"/>
                <w:szCs w:val="21"/>
                <w:lang w:bidi="ar"/>
              </w:rPr>
              <w:t>1</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ascii="仿宋" w:hAnsi="仿宋" w:eastAsia="仿宋" w:cs="Times New Roman"/>
                <w:color w:val="auto"/>
                <w:szCs w:val="21"/>
              </w:rPr>
              <w:t>自动加油系统</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ascii="仿宋" w:hAnsi="仿宋" w:eastAsia="仿宋" w:cs="Times New Roman"/>
                <w:color w:val="auto"/>
                <w:szCs w:val="21"/>
              </w:rPr>
              <w:t>清洁容器是</w:t>
            </w:r>
            <w:r>
              <w:rPr>
                <w:rFonts w:hint="eastAsia" w:ascii="仿宋" w:hAnsi="仿宋" w:eastAsia="仿宋" w:cs="Times New Roman"/>
                <w:color w:val="auto"/>
                <w:szCs w:val="21"/>
              </w:rPr>
              <w:t>及</w:t>
            </w:r>
            <w:r>
              <w:rPr>
                <w:rFonts w:ascii="仿宋" w:hAnsi="仿宋" w:eastAsia="仿宋" w:cs="Times New Roman"/>
                <w:color w:val="auto"/>
                <w:szCs w:val="21"/>
              </w:rPr>
              <w:t>漏油孔</w:t>
            </w:r>
            <w:r>
              <w:rPr>
                <w:rFonts w:hint="eastAsia" w:ascii="仿宋" w:hAnsi="仿宋" w:eastAsia="仿宋" w:cs="Times New Roman"/>
                <w:color w:val="auto"/>
                <w:szCs w:val="21"/>
              </w:rPr>
              <w:t>，保持</w:t>
            </w:r>
            <w:r>
              <w:rPr>
                <w:rFonts w:ascii="仿宋" w:hAnsi="仿宋" w:eastAsia="仿宋" w:cs="Times New Roman"/>
                <w:color w:val="auto"/>
                <w:szCs w:val="21"/>
              </w:rPr>
              <w:t>漏油孔通畅</w:t>
            </w:r>
            <w:r>
              <w:rPr>
                <w:rFonts w:hint="eastAsia" w:ascii="仿宋" w:hAnsi="仿宋" w:eastAsia="仿宋" w:cs="Times New Roman"/>
                <w:color w:val="auto"/>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ascii="仿宋" w:hAnsi="仿宋" w:eastAsia="仿宋" w:cs="宋体"/>
                <w:color w:val="auto"/>
                <w:kern w:val="0"/>
                <w:szCs w:val="21"/>
                <w:lang w:bidi="ar"/>
              </w:rPr>
              <w:t>B2</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Times New Roman"/>
                <w:color w:val="auto"/>
                <w:szCs w:val="21"/>
              </w:rPr>
              <w:t>间隙测</w:t>
            </w:r>
            <w:r>
              <w:rPr>
                <w:rFonts w:ascii="仿宋" w:hAnsi="仿宋" w:eastAsia="仿宋" w:cs="Times New Roman"/>
                <w:color w:val="auto"/>
                <w:szCs w:val="21"/>
              </w:rPr>
              <w:t>量</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auto"/>
                <w:szCs w:val="21"/>
              </w:rPr>
            </w:pPr>
            <w:r>
              <w:rPr>
                <w:rFonts w:ascii="仿宋" w:hAnsi="仿宋" w:eastAsia="仿宋" w:cs="Times New Roman"/>
                <w:color w:val="auto"/>
                <w:szCs w:val="21"/>
              </w:rPr>
              <w:t>平台与井道壁间隙、限位开关</w:t>
            </w:r>
            <w:r>
              <w:rPr>
                <w:rFonts w:hint="eastAsia" w:ascii="仿宋" w:hAnsi="仿宋" w:eastAsia="仿宋" w:cs="Times New Roman"/>
                <w:color w:val="auto"/>
                <w:szCs w:val="21"/>
              </w:rPr>
              <w:t>间</w:t>
            </w:r>
            <w:r>
              <w:rPr>
                <w:rFonts w:ascii="仿宋" w:hAnsi="仿宋" w:eastAsia="仿宋" w:cs="Times New Roman"/>
                <w:color w:val="auto"/>
                <w:szCs w:val="21"/>
              </w:rPr>
              <w:t>隙、除尘装置与传动螺杆</w:t>
            </w:r>
            <w:r>
              <w:rPr>
                <w:rFonts w:hint="eastAsia" w:ascii="仿宋" w:hAnsi="仿宋" w:eastAsia="仿宋" w:cs="Times New Roman"/>
                <w:color w:val="auto"/>
                <w:szCs w:val="21"/>
              </w:rPr>
              <w:t>之</w:t>
            </w:r>
            <w:r>
              <w:rPr>
                <w:rFonts w:ascii="仿宋" w:hAnsi="仿宋" w:eastAsia="仿宋" w:cs="Times New Roman"/>
                <w:color w:val="auto"/>
                <w:szCs w:val="21"/>
              </w:rPr>
              <w:t>间间隙</w:t>
            </w:r>
            <w:r>
              <w:rPr>
                <w:rFonts w:hint="eastAsia" w:ascii="仿宋" w:hAnsi="仿宋" w:eastAsia="仿宋" w:cs="Times New Roman"/>
                <w:color w:val="auto"/>
                <w:szCs w:val="21"/>
              </w:rPr>
              <w:t>符合</w:t>
            </w:r>
            <w:r>
              <w:rPr>
                <w:rFonts w:ascii="仿宋" w:hAnsi="仿宋" w:eastAsia="仿宋" w:cs="Times New Roman"/>
                <w:color w:val="auto"/>
                <w:szCs w:val="21"/>
              </w:rPr>
              <w:t>制造商标准与要求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B</w:t>
            </w:r>
            <w:r>
              <w:rPr>
                <w:rFonts w:ascii="仿宋" w:hAnsi="仿宋" w:eastAsia="仿宋" w:cs="宋体"/>
                <w:color w:val="auto"/>
                <w:kern w:val="0"/>
                <w:szCs w:val="21"/>
                <w:lang w:bidi="ar"/>
              </w:rPr>
              <w:t>3</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ascii="仿宋" w:hAnsi="仿宋" w:eastAsia="仿宋" w:cs="Times New Roman"/>
                <w:color w:val="auto"/>
                <w:szCs w:val="21"/>
              </w:rPr>
              <w:t>安全开关</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功</w:t>
            </w:r>
            <w:r>
              <w:rPr>
                <w:rFonts w:ascii="仿宋" w:hAnsi="仿宋" w:eastAsia="仿宋" w:cs="Times New Roman"/>
                <w:color w:val="auto"/>
                <w:szCs w:val="21"/>
              </w:rPr>
              <w:t>能正常，性能符合</w:t>
            </w:r>
            <w:r>
              <w:rPr>
                <w:rFonts w:hint="eastAsia" w:ascii="仿宋" w:hAnsi="仿宋" w:eastAsia="仿宋" w:cs="Times New Roman"/>
                <w:color w:val="auto"/>
                <w:szCs w:val="21"/>
              </w:rPr>
              <w:t>制</w:t>
            </w:r>
            <w:r>
              <w:rPr>
                <w:rFonts w:ascii="仿宋" w:hAnsi="仿宋" w:eastAsia="仿宋" w:cs="Times New Roman"/>
                <w:color w:val="auto"/>
                <w:szCs w:val="21"/>
              </w:rPr>
              <w:t>造商标准与要求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B</w:t>
            </w:r>
            <w:r>
              <w:rPr>
                <w:rFonts w:ascii="仿宋" w:hAnsi="仿宋" w:eastAsia="仿宋" w:cs="宋体"/>
                <w:color w:val="auto"/>
                <w:kern w:val="0"/>
                <w:szCs w:val="21"/>
                <w:lang w:bidi="ar"/>
              </w:rPr>
              <w:t>4</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曳引机</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运</w:t>
            </w:r>
            <w:r>
              <w:rPr>
                <w:rFonts w:ascii="仿宋" w:hAnsi="仿宋" w:eastAsia="仿宋" w:cs="Times New Roman"/>
                <w:color w:val="auto"/>
                <w:szCs w:val="21"/>
              </w:rPr>
              <w:t>行正常，无异响及抖动，</w:t>
            </w:r>
            <w:r>
              <w:rPr>
                <w:rFonts w:hint="eastAsia" w:ascii="仿宋" w:hAnsi="仿宋" w:eastAsia="仿宋" w:cs="Times New Roman"/>
                <w:color w:val="auto"/>
                <w:szCs w:val="21"/>
              </w:rPr>
              <w:t>磨</w:t>
            </w:r>
            <w:r>
              <w:rPr>
                <w:rFonts w:ascii="仿宋" w:hAnsi="仿宋" w:eastAsia="仿宋" w:cs="Times New Roman"/>
                <w:color w:val="auto"/>
                <w:szCs w:val="21"/>
              </w:rPr>
              <w:t>损情况符件制造商</w:t>
            </w:r>
            <w:r>
              <w:rPr>
                <w:rFonts w:hint="eastAsia" w:ascii="仿宋" w:hAnsi="仿宋" w:eastAsia="仿宋" w:cs="Times New Roman"/>
                <w:color w:val="auto"/>
                <w:szCs w:val="21"/>
              </w:rPr>
              <w:t>标</w:t>
            </w:r>
            <w:r>
              <w:rPr>
                <w:rFonts w:ascii="仿宋" w:hAnsi="仿宋" w:eastAsia="仿宋" w:cs="Times New Roman"/>
                <w:color w:val="auto"/>
                <w:szCs w:val="21"/>
              </w:rPr>
              <w:t>准与要求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ascii="仿宋" w:hAnsi="仿宋" w:eastAsia="仿宋" w:cs="宋体"/>
                <w:color w:val="auto"/>
                <w:kern w:val="0"/>
                <w:szCs w:val="21"/>
                <w:lang w:bidi="ar"/>
              </w:rPr>
              <w:t>C1</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制动器调整、清扫，检查制动器闸衬的间隙</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清洁,闸</w:t>
            </w:r>
            <w:r>
              <w:rPr>
                <w:rFonts w:ascii="仿宋" w:hAnsi="仿宋" w:eastAsia="仿宋" w:cs="Times New Roman"/>
                <w:color w:val="auto"/>
                <w:szCs w:val="21"/>
              </w:rPr>
              <w:t>衬间隙地符</w:t>
            </w:r>
            <w:r>
              <w:rPr>
                <w:rFonts w:hint="eastAsia" w:ascii="仿宋" w:hAnsi="仿宋" w:eastAsia="仿宋" w:cs="Times New Roman"/>
                <w:color w:val="auto"/>
                <w:szCs w:val="21"/>
              </w:rPr>
              <w:t>合</w:t>
            </w:r>
            <w:r>
              <w:rPr>
                <w:rFonts w:ascii="仿宋" w:hAnsi="仿宋" w:eastAsia="仿宋" w:cs="Times New Roman"/>
                <w:color w:val="auto"/>
                <w:szCs w:val="21"/>
              </w:rPr>
              <w:t>制造单位标准与要求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C</w:t>
            </w:r>
            <w:r>
              <w:rPr>
                <w:rFonts w:ascii="仿宋" w:hAnsi="仿宋" w:eastAsia="仿宋" w:cs="宋体"/>
                <w:color w:val="auto"/>
                <w:kern w:val="0"/>
                <w:szCs w:val="21"/>
                <w:lang w:bidi="ar"/>
              </w:rPr>
              <w:t>2</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控制柜接线</w:t>
            </w:r>
            <w:r>
              <w:rPr>
                <w:rFonts w:ascii="仿宋" w:hAnsi="仿宋" w:eastAsia="仿宋" w:cs="Times New Roman"/>
                <w:color w:val="auto"/>
                <w:szCs w:val="21"/>
              </w:rPr>
              <w:t>及</w:t>
            </w:r>
            <w:r>
              <w:rPr>
                <w:rFonts w:hint="eastAsia" w:ascii="仿宋" w:hAnsi="仿宋" w:eastAsia="仿宋" w:cs="Times New Roman"/>
                <w:color w:val="auto"/>
                <w:szCs w:val="21"/>
              </w:rPr>
              <w:t>各电器触点螺丝</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控制柜接线及电器触点螺丝无</w:t>
            </w:r>
            <w:r>
              <w:rPr>
                <w:rFonts w:ascii="仿宋" w:hAnsi="仿宋" w:eastAsia="仿宋" w:cs="Times New Roman"/>
                <w:color w:val="auto"/>
                <w:szCs w:val="21"/>
              </w:rPr>
              <w:t>松动，</w:t>
            </w:r>
            <w:r>
              <w:rPr>
                <w:rFonts w:hint="eastAsia" w:ascii="仿宋" w:hAnsi="仿宋" w:eastAsia="仿宋" w:cs="Times New Roman"/>
                <w:color w:val="auto"/>
                <w:szCs w:val="21"/>
              </w:rPr>
              <w:t>收紧</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D</w:t>
            </w:r>
            <w:r>
              <w:rPr>
                <w:rFonts w:ascii="仿宋" w:hAnsi="仿宋" w:eastAsia="仿宋" w:cs="宋体"/>
                <w:color w:val="auto"/>
                <w:kern w:val="0"/>
                <w:szCs w:val="21"/>
                <w:lang w:bidi="ar"/>
              </w:rPr>
              <w:t>1</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仿宋" w:hAnsi="仿宋" w:eastAsia="仿宋" w:cs="Times New Roman"/>
                <w:color w:val="auto"/>
                <w:szCs w:val="21"/>
              </w:rPr>
            </w:pPr>
            <w:r>
              <w:rPr>
                <w:rFonts w:hint="eastAsia" w:ascii="仿宋" w:hAnsi="仿宋" w:eastAsia="仿宋" w:cs="Times New Roman"/>
                <w:color w:val="auto"/>
                <w:szCs w:val="21"/>
              </w:rPr>
              <w:t>曳引电机测量</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Times New Roman"/>
                <w:color w:val="auto"/>
                <w:szCs w:val="21"/>
              </w:rPr>
            </w:pPr>
            <w:r>
              <w:rPr>
                <w:rFonts w:hint="eastAsia" w:ascii="仿宋" w:hAnsi="仿宋" w:eastAsia="仿宋" w:cs="Times New Roman"/>
                <w:color w:val="auto"/>
                <w:szCs w:val="21"/>
              </w:rPr>
              <w:t>绝缘测试、电压、电流正</w:t>
            </w:r>
            <w:r>
              <w:rPr>
                <w:rFonts w:ascii="仿宋" w:hAnsi="仿宋" w:eastAsia="仿宋" w:cs="Times New Roman"/>
                <w:color w:val="auto"/>
                <w:szCs w:val="21"/>
              </w:rPr>
              <w:t>常</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p>
        </w:tc>
      </w:tr>
      <w:tr>
        <w:tblPrEx>
          <w:tblCellMar>
            <w:top w:w="0" w:type="dxa"/>
            <w:left w:w="108" w:type="dxa"/>
            <w:bottom w:w="0" w:type="dxa"/>
            <w:right w:w="108" w:type="dxa"/>
          </w:tblCellMar>
        </w:tblPrEx>
        <w:trPr>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注：</w:t>
            </w:r>
          </w:p>
          <w:p>
            <w:pPr>
              <w:widowControl/>
              <w:jc w:val="left"/>
              <w:textAlignment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1</w:t>
            </w:r>
            <w:r>
              <w:rPr>
                <w:rFonts w:ascii="仿宋" w:hAnsi="仿宋" w:eastAsia="仿宋" w:cs="宋体"/>
                <w:color w:val="auto"/>
                <w:kern w:val="0"/>
                <w:szCs w:val="21"/>
                <w:lang w:bidi="ar"/>
              </w:rPr>
              <w:t>.</w:t>
            </w:r>
            <w:r>
              <w:rPr>
                <w:rFonts w:hint="eastAsia" w:ascii="仿宋" w:hAnsi="仿宋" w:eastAsia="仿宋" w:cs="宋体"/>
                <w:color w:val="auto"/>
                <w:kern w:val="0"/>
                <w:szCs w:val="21"/>
                <w:lang w:bidi="ar"/>
              </w:rPr>
              <w:t xml:space="preserve">日常半月维保完成A项目(半月维保周期不能超过15天)，日常季度维保完成A＋B项目，半年度维保完成A＋B＋C 项目， 年度维保完成A＋B＋C＋D 项目。                       </w:t>
            </w:r>
          </w:p>
          <w:p>
            <w:pPr>
              <w:widowControl/>
              <w:jc w:val="left"/>
              <w:textAlignment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2.记号说明：“√”：确认正常；“○”：需调整；“×”：需修理等；“/”：该设</w:t>
            </w:r>
            <w:r>
              <w:rPr>
                <w:rFonts w:ascii="仿宋" w:hAnsi="仿宋" w:eastAsia="仿宋" w:cs="宋体"/>
                <w:color w:val="auto"/>
                <w:kern w:val="0"/>
                <w:szCs w:val="21"/>
                <w:lang w:bidi="ar"/>
              </w:rPr>
              <w:t>备</w:t>
            </w:r>
            <w:r>
              <w:rPr>
                <w:rFonts w:hint="eastAsia" w:ascii="仿宋" w:hAnsi="仿宋" w:eastAsia="仿宋" w:cs="宋体"/>
                <w:color w:val="auto"/>
                <w:kern w:val="0"/>
                <w:szCs w:val="21"/>
                <w:lang w:bidi="ar"/>
              </w:rPr>
              <w:t xml:space="preserve">没有此项目。                                         </w:t>
            </w:r>
          </w:p>
          <w:p>
            <w:pPr>
              <w:widowControl/>
              <w:jc w:val="left"/>
              <w:textAlignment w:val="center"/>
              <w:rPr>
                <w:rFonts w:ascii="仿宋" w:hAnsi="仿宋" w:eastAsia="仿宋" w:cs="宋体"/>
                <w:color w:val="auto"/>
                <w:kern w:val="0"/>
                <w:szCs w:val="21"/>
                <w:lang w:bidi="ar"/>
              </w:rPr>
            </w:pPr>
            <w:r>
              <w:rPr>
                <w:rFonts w:ascii="仿宋" w:hAnsi="仿宋" w:eastAsia="仿宋" w:cs="宋体"/>
                <w:color w:val="auto"/>
                <w:kern w:val="0"/>
                <w:szCs w:val="21"/>
                <w:lang w:bidi="ar"/>
              </w:rPr>
              <w:t>3</w:t>
            </w:r>
            <w:r>
              <w:rPr>
                <w:rFonts w:hint="eastAsia" w:ascii="仿宋" w:hAnsi="仿宋" w:eastAsia="仿宋" w:cs="宋体"/>
                <w:color w:val="auto"/>
                <w:kern w:val="0"/>
                <w:szCs w:val="21"/>
                <w:lang w:bidi="ar"/>
              </w:rPr>
              <w:t xml:space="preserve">.维护保养项目（内容）和要求中对测试、试验有明确规定的，应当按照规定进行测试、试验，没有明确规定的，一般为检查、调整、清洁和润滑。                                                                                                                       </w:t>
            </w:r>
            <w:r>
              <w:rPr>
                <w:rFonts w:ascii="仿宋" w:hAnsi="仿宋" w:eastAsia="仿宋" w:cs="宋体"/>
                <w:color w:val="auto"/>
                <w:kern w:val="0"/>
                <w:szCs w:val="21"/>
                <w:lang w:bidi="ar"/>
              </w:rPr>
              <w:t>4.</w:t>
            </w:r>
            <w:r>
              <w:rPr>
                <w:rFonts w:hint="eastAsia" w:ascii="仿宋" w:hAnsi="仿宋" w:eastAsia="仿宋" w:cs="宋体"/>
                <w:color w:val="auto"/>
                <w:kern w:val="0"/>
                <w:szCs w:val="21"/>
                <w:lang w:bidi="ar"/>
              </w:rPr>
              <w:t xml:space="preserve">维护保养基本要求中，规定为“符合标准值”的，是指符合对应的国家标准、行业标准和制造单位要求，维护保养基本要求中，规定为“制造单位要求”的，按照制造单位的要求，其他没有明确“要求”的，应当为安全技术规范、标准或者制造单位等的要求。 </w:t>
            </w:r>
          </w:p>
          <w:p>
            <w:pPr>
              <w:rPr>
                <w:rFonts w:ascii="仿宋" w:hAnsi="仿宋" w:eastAsia="仿宋" w:cs="宋体"/>
                <w:color w:val="auto"/>
                <w:kern w:val="0"/>
                <w:szCs w:val="21"/>
                <w:lang w:bidi="ar"/>
              </w:rPr>
            </w:pPr>
            <w:r>
              <w:rPr>
                <w:rFonts w:ascii="仿宋" w:hAnsi="仿宋" w:eastAsia="仿宋" w:cs="宋体"/>
                <w:color w:val="auto"/>
                <w:kern w:val="0"/>
                <w:szCs w:val="21"/>
                <w:lang w:bidi="ar"/>
              </w:rPr>
              <w:t>5.维</w:t>
            </w:r>
            <w:r>
              <w:rPr>
                <w:rFonts w:hint="eastAsia" w:ascii="仿宋" w:hAnsi="仿宋" w:eastAsia="仿宋" w:cs="宋体"/>
                <w:color w:val="auto"/>
                <w:kern w:val="0"/>
                <w:szCs w:val="21"/>
                <w:lang w:bidi="ar"/>
              </w:rPr>
              <w:t>护</w:t>
            </w:r>
            <w:r>
              <w:rPr>
                <w:rFonts w:ascii="仿宋" w:hAnsi="仿宋" w:eastAsia="仿宋" w:cs="宋体"/>
                <w:color w:val="auto"/>
                <w:kern w:val="0"/>
                <w:szCs w:val="21"/>
                <w:lang w:bidi="ar"/>
              </w:rPr>
              <w:t>保养实际以以上内容为主，</w:t>
            </w:r>
            <w:r>
              <w:rPr>
                <w:rFonts w:hint="eastAsia" w:ascii="仿宋" w:hAnsi="仿宋" w:eastAsia="仿宋" w:cs="宋体"/>
                <w:color w:val="auto"/>
                <w:kern w:val="0"/>
                <w:szCs w:val="21"/>
                <w:lang w:bidi="ar"/>
              </w:rPr>
              <w:t>实际</w:t>
            </w:r>
            <w:r>
              <w:rPr>
                <w:rFonts w:ascii="仿宋" w:hAnsi="仿宋" w:eastAsia="仿宋" w:cs="宋体"/>
                <w:color w:val="auto"/>
                <w:kern w:val="0"/>
                <w:szCs w:val="21"/>
                <w:lang w:bidi="ar"/>
              </w:rPr>
              <w:t>使</w:t>
            </w:r>
            <w:r>
              <w:rPr>
                <w:rFonts w:hint="eastAsia" w:ascii="仿宋" w:hAnsi="仿宋" w:eastAsia="仿宋" w:cs="宋体"/>
                <w:color w:val="auto"/>
                <w:kern w:val="0"/>
                <w:szCs w:val="21"/>
                <w:lang w:bidi="ar"/>
              </w:rPr>
              <w:t>用</w:t>
            </w:r>
            <w:r>
              <w:rPr>
                <w:rFonts w:ascii="仿宋" w:hAnsi="仿宋" w:eastAsia="仿宋" w:cs="宋体"/>
                <w:color w:val="auto"/>
                <w:kern w:val="0"/>
                <w:szCs w:val="21"/>
                <w:lang w:bidi="ar"/>
              </w:rPr>
              <w:t>表格由维保单</w:t>
            </w:r>
            <w:r>
              <w:rPr>
                <w:rFonts w:hint="eastAsia" w:ascii="仿宋" w:hAnsi="仿宋" w:eastAsia="仿宋" w:cs="宋体"/>
                <w:color w:val="auto"/>
                <w:kern w:val="0"/>
                <w:szCs w:val="21"/>
                <w:lang w:bidi="ar"/>
              </w:rPr>
              <w:t>提</w:t>
            </w:r>
            <w:r>
              <w:rPr>
                <w:rFonts w:ascii="仿宋" w:hAnsi="仿宋" w:eastAsia="仿宋" w:cs="宋体"/>
                <w:color w:val="auto"/>
                <w:kern w:val="0"/>
                <w:szCs w:val="21"/>
                <w:lang w:bidi="ar"/>
              </w:rPr>
              <w:t>供。</w:t>
            </w:r>
            <w:r>
              <w:rPr>
                <w:rFonts w:hint="eastAsia" w:ascii="仿宋" w:hAnsi="仿宋" w:eastAsia="仿宋" w:cs="宋体"/>
                <w:color w:val="auto"/>
                <w:kern w:val="0"/>
                <w:szCs w:val="21"/>
                <w:lang w:bidi="ar"/>
              </w:rPr>
              <w:t xml:space="preserve">                                                                                                                                </w:t>
            </w:r>
          </w:p>
        </w:tc>
      </w:tr>
      <w:tr>
        <w:tblPrEx>
          <w:tblCellMar>
            <w:top w:w="0" w:type="dxa"/>
            <w:left w:w="108" w:type="dxa"/>
            <w:bottom w:w="0" w:type="dxa"/>
            <w:right w:w="108" w:type="dxa"/>
          </w:tblCellMar>
        </w:tblPrEx>
        <w:trPr>
          <w:trHeight w:val="600"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保养维修记述：</w:t>
            </w:r>
          </w:p>
        </w:tc>
      </w:tr>
      <w:tr>
        <w:tblPrEx>
          <w:tblCellMar>
            <w:top w:w="0" w:type="dxa"/>
            <w:left w:w="108" w:type="dxa"/>
            <w:bottom w:w="0" w:type="dxa"/>
            <w:right w:w="108" w:type="dxa"/>
          </w:tblCellMar>
        </w:tblPrEx>
        <w:trPr>
          <w:trHeight w:val="708"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需修理项目：</w:t>
            </w:r>
          </w:p>
        </w:tc>
      </w:tr>
      <w:tr>
        <w:tblPrEx>
          <w:tblCellMar>
            <w:top w:w="0" w:type="dxa"/>
            <w:left w:w="108" w:type="dxa"/>
            <w:bottom w:w="0" w:type="dxa"/>
            <w:right w:w="108" w:type="dxa"/>
          </w:tblCellMar>
        </w:tblPrEx>
        <w:trPr>
          <w:trHeight w:val="546"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维保单位质量检验（查）人员抽查记录：</w:t>
            </w:r>
          </w:p>
        </w:tc>
      </w:tr>
      <w:tr>
        <w:tblPrEx>
          <w:tblCellMar>
            <w:top w:w="0" w:type="dxa"/>
            <w:left w:w="108" w:type="dxa"/>
            <w:bottom w:w="0" w:type="dxa"/>
            <w:right w:w="108" w:type="dxa"/>
          </w:tblCellMar>
        </w:tblPrEx>
        <w:trPr>
          <w:trHeight w:val="700"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用户意见：</w:t>
            </w:r>
          </w:p>
        </w:tc>
      </w:tr>
      <w:tr>
        <w:tblPrEx>
          <w:tblCellMar>
            <w:top w:w="0" w:type="dxa"/>
            <w:left w:w="108" w:type="dxa"/>
            <w:bottom w:w="0" w:type="dxa"/>
            <w:right w:w="108" w:type="dxa"/>
          </w:tblCellMar>
        </w:tblPrEx>
        <w:trPr>
          <w:trHeight w:val="555"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用户确认：</w:t>
            </w:r>
          </w:p>
        </w:tc>
      </w:tr>
      <w:tr>
        <w:tblPrEx>
          <w:tblCellMar>
            <w:top w:w="0" w:type="dxa"/>
            <w:left w:w="108" w:type="dxa"/>
            <w:bottom w:w="0" w:type="dxa"/>
            <w:right w:w="108" w:type="dxa"/>
          </w:tblCellMar>
        </w:tblPrEx>
        <w:trPr>
          <w:trHeight w:val="705"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auto"/>
                <w:kern w:val="0"/>
                <w:szCs w:val="21"/>
                <w:lang w:bidi="ar"/>
              </w:rPr>
            </w:pPr>
            <w:r>
              <w:rPr>
                <w:rFonts w:hint="eastAsia" w:ascii="仿宋" w:hAnsi="仿宋" w:eastAsia="仿宋" w:cs="宋体"/>
                <w:color w:val="auto"/>
                <w:kern w:val="0"/>
                <w:szCs w:val="21"/>
                <w:lang w:bidi="ar"/>
              </w:rPr>
              <w:t xml:space="preserve">注： 本表一式三份，用户（第一联），保养单位（第二、三联）。保存年限：4年                                                                                                                                                                     </w:t>
            </w:r>
          </w:p>
        </w:tc>
      </w:tr>
    </w:tbl>
    <w:p>
      <w:pPr>
        <w:adjustRightInd w:val="0"/>
        <w:snapToGrid w:val="0"/>
        <w:ind w:firstLine="210" w:firstLineChars="100"/>
        <w:jc w:val="left"/>
        <w:rPr>
          <w:rFonts w:ascii="黑体" w:hAnsi="黑体" w:eastAsia="黑体" w:cs="黑体"/>
          <w:color w:val="auto"/>
          <w:szCs w:val="21"/>
        </w:rPr>
      </w:pPr>
      <w:r>
        <w:rPr>
          <w:rFonts w:hint="eastAsia" w:ascii="黑体" w:hAnsi="黑体" w:eastAsia="黑体" w:cs="黑体"/>
          <w:color w:val="auto"/>
          <w:szCs w:val="21"/>
        </w:rPr>
        <w:br w:type="page"/>
      </w:r>
    </w:p>
    <w:p>
      <w:pPr>
        <w:pStyle w:val="4"/>
        <w:spacing w:before="120" w:after="120" w:line="240" w:lineRule="auto"/>
        <w:rPr>
          <w:rFonts w:cs="Times New Roman" w:asciiTheme="majorEastAsia" w:hAnsiTheme="majorEastAsia" w:eastAsiaTheme="majorEastAsia"/>
          <w:color w:val="auto"/>
          <w:kern w:val="2"/>
          <w:sz w:val="28"/>
          <w:szCs w:val="28"/>
        </w:rPr>
      </w:pPr>
      <w:bookmarkStart w:id="224" w:name="_Toc17583"/>
      <w:bookmarkStart w:id="225" w:name="_Toc24534"/>
      <w:bookmarkStart w:id="226" w:name="_Toc93068896"/>
      <w:r>
        <w:rPr>
          <w:rFonts w:hint="eastAsia" w:cs="Times New Roman" w:asciiTheme="majorEastAsia" w:hAnsiTheme="majorEastAsia" w:eastAsiaTheme="majorEastAsia"/>
          <w:color w:val="auto"/>
          <w:kern w:val="2"/>
          <w:sz w:val="28"/>
          <w:szCs w:val="28"/>
        </w:rPr>
        <w:t>附件五：故障处理流程</w:t>
      </w:r>
      <w:bookmarkEnd w:id="224"/>
      <w:bookmarkEnd w:id="225"/>
      <w:bookmarkEnd w:id="226"/>
    </w:p>
    <w:p>
      <w:pPr>
        <w:spacing w:line="360" w:lineRule="auto"/>
        <w:rPr>
          <w:rFonts w:ascii="仿宋" w:hAnsi="仿宋" w:eastAsia="仿宋"/>
          <w:color w:val="auto"/>
        </w:rPr>
      </w:pP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66432" behindDoc="0" locked="0" layoutInCell="1" allowOverlap="1">
                <wp:simplePos x="0" y="0"/>
                <wp:positionH relativeFrom="column">
                  <wp:posOffset>2830195</wp:posOffset>
                </wp:positionH>
                <wp:positionV relativeFrom="paragraph">
                  <wp:posOffset>202565</wp:posOffset>
                </wp:positionV>
                <wp:extent cx="1371600" cy="396240"/>
                <wp:effectExtent l="10795" t="12065" r="8255" b="10795"/>
                <wp:wrapNone/>
                <wp:docPr id="19" name="椭圆 19"/>
                <wp:cNvGraphicFramePr/>
                <a:graphic xmlns:a="http://schemas.openxmlformats.org/drawingml/2006/main">
                  <a:graphicData uri="http://schemas.microsoft.com/office/word/2010/wordprocessingShape">
                    <wps:wsp>
                      <wps:cNvSpPr>
                        <a:spLocks noChangeArrowheads="1"/>
                      </wps:cNvSpPr>
                      <wps:spPr bwMode="auto">
                        <a:xfrm>
                          <a:off x="0" y="0"/>
                          <a:ext cx="1371600" cy="396240"/>
                        </a:xfrm>
                        <a:prstGeom prst="ellipse">
                          <a:avLst/>
                        </a:prstGeom>
                        <a:solidFill>
                          <a:srgbClr val="FFFFFF"/>
                        </a:solidFill>
                        <a:ln w="9525">
                          <a:solidFill>
                            <a:srgbClr val="000000"/>
                          </a:solidFill>
                          <a:round/>
                        </a:ln>
                      </wps:spPr>
                      <wps:txbx>
                        <w:txbxContent>
                          <w:p>
                            <w:pPr>
                              <w:ind w:firstLine="210" w:firstLineChars="100"/>
                              <w:rPr>
                                <w:rFonts w:ascii="仿宋" w:hAnsi="仿宋" w:eastAsia="仿宋"/>
                              </w:rPr>
                            </w:pPr>
                            <w:r>
                              <w:rPr>
                                <w:rFonts w:hint="eastAsia" w:ascii="仿宋" w:hAnsi="仿宋" w:eastAsia="仿宋"/>
                              </w:rPr>
                              <w:t>处理故障</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22.85pt;margin-top:15.95pt;height:31.2pt;width:108pt;z-index:251666432;mso-width-relative:page;mso-height-relative:page;" fillcolor="#FFFFFF" filled="t" stroked="t" coordsize="21600,21600" o:gfxdata="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8GW7DYAAAACQEAAA8AAAAAAAAAAQAgAAAAIgAAAGRycy9kb3du&#10;cmV2LnhtbFBLAQIUABQAAAAIAIdO4kAYMh+COAIAAHIEAAAOAAAAAAAAAAEAIAAAACcBAABkcnMv&#10;ZTJvRG9jLnhtbFBLBQYAAAAABgAGAFkBAADRBQAAAAA=&#10;">
                <v:fill on="t" focussize="0,0"/>
                <v:stroke color="#000000" joinstyle="round"/>
                <v:imagedata o:title=""/>
                <o:lock v:ext="edit" aspectratio="f"/>
                <v:textbox>
                  <w:txbxContent>
                    <w:p>
                      <w:pPr>
                        <w:ind w:firstLine="210" w:firstLineChars="100"/>
                        <w:rPr>
                          <w:rFonts w:ascii="仿宋" w:hAnsi="仿宋" w:eastAsia="仿宋"/>
                        </w:rPr>
                      </w:pPr>
                      <w:r>
                        <w:rPr>
                          <w:rFonts w:hint="eastAsia" w:ascii="仿宋" w:hAnsi="仿宋" w:eastAsia="仿宋"/>
                        </w:rPr>
                        <w:t>处理故障</w:t>
                      </w:r>
                    </w:p>
                  </w:txbxContent>
                </v:textbox>
              </v:shape>
            </w:pict>
          </mc:Fallback>
        </mc:AlternateContent>
      </w:r>
      <w:r>
        <w:rPr>
          <w:rFonts w:ascii="仿宋" w:hAnsi="仿宋" w:eastAsia="仿宋"/>
          <w:color w:val="auto"/>
          <w:sz w:val="20"/>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99060</wp:posOffset>
                </wp:positionV>
                <wp:extent cx="1485900" cy="396240"/>
                <wp:effectExtent l="9525" t="13335" r="9525" b="9525"/>
                <wp:wrapNone/>
                <wp:docPr id="18" name="椭圆 18"/>
                <wp:cNvGraphicFramePr/>
                <a:graphic xmlns:a="http://schemas.openxmlformats.org/drawingml/2006/main">
                  <a:graphicData uri="http://schemas.microsoft.com/office/word/2010/wordprocessingShape">
                    <wps:wsp>
                      <wps:cNvSpPr>
                        <a:spLocks noChangeArrowheads="1"/>
                      </wps:cNvSpPr>
                      <wps:spPr bwMode="auto">
                        <a:xfrm>
                          <a:off x="0" y="0"/>
                          <a:ext cx="1485900" cy="396240"/>
                        </a:xfrm>
                        <a:prstGeom prst="ellipse">
                          <a:avLst/>
                        </a:prstGeom>
                        <a:solidFill>
                          <a:srgbClr val="FFFFFF"/>
                        </a:solidFill>
                        <a:ln w="9525">
                          <a:solidFill>
                            <a:srgbClr val="000000"/>
                          </a:solidFill>
                          <a:round/>
                        </a:ln>
                      </wps:spPr>
                      <wps:txbx>
                        <w:txbxContent>
                          <w:p>
                            <w:pPr>
                              <w:rPr>
                                <w:rFonts w:ascii="仿宋" w:hAnsi="仿宋" w:eastAsia="仿宋"/>
                              </w:rPr>
                            </w:pPr>
                            <w:r>
                              <w:rPr>
                                <w:rFonts w:hint="eastAsia" w:ascii="仿宋" w:hAnsi="仿宋" w:eastAsia="仿宋"/>
                              </w:rPr>
                              <w:t>接到故障通知</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45pt;margin-top:7.8pt;height:31.2pt;width:117pt;z-index:251661312;mso-width-relative:page;mso-height-relative:page;" fillcolor="#FFFFFF" filled="t" stroked="t" coordsize="21600,21600" o:gfxdata="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38KgtcAAAAIAQAADwAAAAAAAAABACAAAAAiAAAAZHJzL2Rvd25y&#10;ZXYueG1sUEsBAhQAFAAAAAgAh07iQGWqXQk4AgAAcgQAAA4AAAAAAAAAAQAgAAAAJgEAAGRycy9l&#10;Mm9Eb2MueG1sUEsFBgAAAAAGAAYAWQEAANAFAAAAAA==&#10;">
                <v:fill on="t" focussize="0,0"/>
                <v:stroke color="#000000" joinstyle="round"/>
                <v:imagedata o:title=""/>
                <o:lock v:ext="edit" aspectratio="f"/>
                <v:textbox>
                  <w:txbxContent>
                    <w:p>
                      <w:pPr>
                        <w:rPr>
                          <w:rFonts w:ascii="仿宋" w:hAnsi="仿宋" w:eastAsia="仿宋"/>
                        </w:rPr>
                      </w:pPr>
                      <w:r>
                        <w:rPr>
                          <w:rFonts w:hint="eastAsia" w:ascii="仿宋" w:hAnsi="仿宋" w:eastAsia="仿宋"/>
                        </w:rPr>
                        <w:t>接到故障通知</w:t>
                      </w:r>
                    </w:p>
                  </w:txbxContent>
                </v:textbox>
              </v:shape>
            </w:pict>
          </mc:Fallback>
        </mc:AlternateContent>
      </w: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73600" behindDoc="0" locked="0" layoutInCell="1" allowOverlap="1">
                <wp:simplePos x="0" y="0"/>
                <wp:positionH relativeFrom="column">
                  <wp:posOffset>2392045</wp:posOffset>
                </wp:positionH>
                <wp:positionV relativeFrom="paragraph">
                  <wp:posOffset>95885</wp:posOffset>
                </wp:positionV>
                <wp:extent cx="9525" cy="3977640"/>
                <wp:effectExtent l="0" t="0" r="28575" b="2349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flipV="1">
                          <a:off x="0" y="0"/>
                          <a:ext cx="9525" cy="3977537"/>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88.35pt;margin-top:7.55pt;height:313.2pt;width:0.75pt;z-index:251673600;mso-width-relative:page;mso-height-relative:page;" filled="f" stroked="t" coordsize="21600,21600" o:gfxdata="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LNgVtkAAAAKAQAADwAAAAAAAAABACAAAAAiAAAAZHJzL2Rvd25yZXYueG1sUEsBAhQAFAAAAAgA&#10;h07iQN40B5/rAQAAuQMAAA4AAAAAAAAAAQAgAAAAKAEAAGRycy9lMm9Eb2MueG1sUEsFBgAAAAAG&#10;AAYAWQEAAIUFAAAAAA==&#10;">
                <v:fill on="f" focussize="0,0"/>
                <v:stroke color="#000000" joinstyle="round"/>
                <v:imagedata o:title=""/>
                <o:lock v:ext="edit" aspectratio="f"/>
              </v:line>
            </w:pict>
          </mc:Fallback>
        </mc:AlternateContent>
      </w:r>
      <w:r>
        <w:rPr>
          <w:rFonts w:ascii="仿宋" w:hAnsi="仿宋" w:eastAsia="仿宋"/>
          <w:color w:val="auto"/>
          <w:sz w:val="20"/>
        </w:rPr>
        <mc:AlternateContent>
          <mc:Choice Requires="wps">
            <w:drawing>
              <wp:anchor distT="0" distB="0" distL="114300" distR="114300" simplePos="0" relativeHeight="251662336" behindDoc="0" locked="0" layoutInCell="1" allowOverlap="1">
                <wp:simplePos x="0" y="0"/>
                <wp:positionH relativeFrom="column">
                  <wp:posOffset>1290320</wp:posOffset>
                </wp:positionH>
                <wp:positionV relativeFrom="paragraph">
                  <wp:posOffset>260985</wp:posOffset>
                </wp:positionV>
                <wp:extent cx="0" cy="341630"/>
                <wp:effectExtent l="61595" t="13335" r="52705" b="1651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101.6pt;margin-top:20.55pt;height:26.9pt;width:0pt;z-index:251662336;mso-width-relative:page;mso-height-relative:page;" filled="f" stroked="t" coordsize="21600,21600" o:gfxdata="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oglJ2QAAAAkBAAAPAAAAAAAAAAEAIAAAACIAAABkcnMvZG93&#10;bnJldi54bWxQSwECFAAUAAAACACHTuJAG4wOOf8BAADZAwAADgAAAAAAAAABACAAAAAoAQAAZHJz&#10;L2Uyb0RvYy54bWxQSwUGAAAAAAYABgBZAQAAmQUAAAAA&#10;">
                <v:fill on="f" focussize="0,0"/>
                <v:stroke color="#000000" joinstyle="round" endarrow="block"/>
                <v:imagedata o:title=""/>
                <o:lock v:ext="edit" aspectratio="f"/>
              </v:line>
            </w:pict>
          </mc:Fallback>
        </mc:AlternateContent>
      </w:r>
      <w:r>
        <w:rPr>
          <w:rFonts w:ascii="仿宋" w:hAnsi="仿宋" w:eastAsia="仿宋"/>
          <w:color w:val="auto"/>
          <w:sz w:val="20"/>
        </w:rPr>
        <mc:AlternateContent>
          <mc:Choice Requires="wps">
            <w:drawing>
              <wp:anchor distT="0" distB="0" distL="114300" distR="114300" simplePos="0" relativeHeight="251674624" behindDoc="0" locked="0" layoutInCell="1" allowOverlap="1">
                <wp:simplePos x="0" y="0"/>
                <wp:positionH relativeFrom="column">
                  <wp:posOffset>2400300</wp:posOffset>
                </wp:positionH>
                <wp:positionV relativeFrom="paragraph">
                  <wp:posOffset>99060</wp:posOffset>
                </wp:positionV>
                <wp:extent cx="342900" cy="0"/>
                <wp:effectExtent l="9525" t="60960" r="19050" b="5334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189pt;margin-top:7.8pt;height:0pt;width:27pt;z-index:251674624;mso-width-relative:page;mso-height-relative:page;" filled="f" stroked="t" coordsize="21600,21600" o:gfxdata="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Ak25NgAAAAJAQAADwAAAAAAAAABACAAAAAiAAAAZHJzL2Rvd25y&#10;ZXYueG1sUEsBAhQAFAAAAAgAh07iQBP4P8X+AQAA2QMAAA4AAAAAAAAAAQAgAAAAJwEAAGRycy9l&#10;Mm9Eb2MueG1sUEsFBgAAAAAGAAYAWQEAAJcFAAAAAA==&#10;">
                <v:fill on="f" focussize="0,0"/>
                <v:stroke color="#000000" joinstyle="round" endarrow="block"/>
                <v:imagedata o:title=""/>
                <o:lock v:ext="edit" aspectratio="f"/>
              </v:line>
            </w:pict>
          </mc:Fallback>
        </mc:AlternateContent>
      </w: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68480" behindDoc="0" locked="0" layoutInCell="1" allowOverlap="1">
                <wp:simplePos x="0" y="0"/>
                <wp:positionH relativeFrom="column">
                  <wp:posOffset>3559810</wp:posOffset>
                </wp:positionH>
                <wp:positionV relativeFrom="paragraph">
                  <wp:posOffset>122555</wp:posOffset>
                </wp:positionV>
                <wp:extent cx="0" cy="669925"/>
                <wp:effectExtent l="54610" t="8255" r="59690" b="17145"/>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0" cy="66992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80.3pt;margin-top:9.65pt;height:52.75pt;width:0pt;z-index:251668480;mso-width-relative:page;mso-height-relative:page;" filled="f" stroked="t" coordsize="21600,21600" o:gfxdata="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wplbYAAAACgEAAA8AAAAAAAAAAQAgAAAAIgAAAGRycy9kb3ducmV2&#10;LnhtbFBLAQIUABQAAAAIAIdO4kAAev+N/AEAANkDAAAOAAAAAAAAAAEAIAAAACcBAABkcnMvZTJv&#10;RG9jLnhtbFBLBQYAAAAABgAGAFkBAACVBQAAAAA=&#10;">
                <v:fill on="f" focussize="0,0"/>
                <v:stroke color="#000000" joinstyle="round" endarrow="block"/>
                <v:imagedata o:title=""/>
                <o:lock v:ext="edit" aspectratio="f"/>
              </v:line>
            </w:pict>
          </mc:Fallback>
        </mc:AlternateContent>
      </w:r>
    </w:p>
    <w:p>
      <w:pPr>
        <w:tabs>
          <w:tab w:val="left" w:pos="5655"/>
        </w:tabs>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99060</wp:posOffset>
                </wp:positionV>
                <wp:extent cx="1943100" cy="396240"/>
                <wp:effectExtent l="9525" t="13335" r="9525" b="9525"/>
                <wp:wrapNone/>
                <wp:docPr id="13" name="椭圆 13"/>
                <wp:cNvGraphicFramePr/>
                <a:graphic xmlns:a="http://schemas.openxmlformats.org/drawingml/2006/main">
                  <a:graphicData uri="http://schemas.microsoft.com/office/word/2010/wordprocessingShape">
                    <wps:wsp>
                      <wps:cNvSpPr>
                        <a:spLocks noChangeArrowheads="1"/>
                      </wps:cNvSpPr>
                      <wps:spPr bwMode="auto">
                        <a:xfrm>
                          <a:off x="0" y="0"/>
                          <a:ext cx="1943100" cy="396240"/>
                        </a:xfrm>
                        <a:prstGeom prst="ellipse">
                          <a:avLst/>
                        </a:prstGeom>
                        <a:solidFill>
                          <a:srgbClr val="FFFFFF"/>
                        </a:solidFill>
                        <a:ln w="9525">
                          <a:solidFill>
                            <a:srgbClr val="000000"/>
                          </a:solidFill>
                          <a:round/>
                        </a:ln>
                      </wps:spPr>
                      <wps:txbx>
                        <w:txbxContent>
                          <w:p>
                            <w:r>
                              <w:rPr>
                                <w:rFonts w:hint="eastAsia" w:ascii="仿宋" w:hAnsi="仿宋" w:eastAsia="仿宋"/>
                              </w:rPr>
                              <w:t>规定时间内到达现场</w:t>
                            </w:r>
                            <w:r>
                              <w:rPr>
                                <w:rFonts w:hint="eastAsia"/>
                              </w:rPr>
                              <w:t>场</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7pt;margin-top:7.8pt;height:31.2pt;width:153pt;z-index:251663360;mso-width-relative:page;mso-height-relative:page;" fillcolor="#FFFFFF" filled="t" stroked="t" coordsize="21600,21600" o:gfxdata="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y+oFc1gAAAAgBAAAPAAAAAAAAAAEAIAAAACIAAABkcnMvZG93bnJl&#10;di54bWxQSwECFAAUAAAACACHTuJAluXnZTgCAAByBAAADgAAAAAAAAABACAAAAAlAQAAZHJzL2Uy&#10;b0RvYy54bWxQSwUGAAAAAAYABgBZAQAAzwUAAAAA&#10;">
                <v:fill on="t" focussize="0,0"/>
                <v:stroke color="#000000" joinstyle="round"/>
                <v:imagedata o:title=""/>
                <o:lock v:ext="edit" aspectratio="f"/>
                <v:textbox>
                  <w:txbxContent>
                    <w:p>
                      <w:r>
                        <w:rPr>
                          <w:rFonts w:hint="eastAsia" w:ascii="仿宋" w:hAnsi="仿宋" w:eastAsia="仿宋"/>
                        </w:rPr>
                        <w:t>规定时间内到达现场</w:t>
                      </w:r>
                      <w:r>
                        <w:rPr>
                          <w:rFonts w:hint="eastAsia"/>
                        </w:rPr>
                        <w:t>场</w:t>
                      </w:r>
                    </w:p>
                  </w:txbxContent>
                </v:textbox>
              </v:shape>
            </w:pict>
          </mc:Fallback>
        </mc:AlternateContent>
      </w:r>
      <w:r>
        <w:rPr>
          <w:rFonts w:ascii="仿宋" w:hAnsi="仿宋" w:eastAsia="仿宋"/>
          <w:color w:val="auto"/>
        </w:rPr>
        <w:tab/>
      </w:r>
      <w:r>
        <w:rPr>
          <w:rFonts w:hint="eastAsia" w:ascii="仿宋" w:hAnsi="仿宋" w:eastAsia="仿宋"/>
          <w:color w:val="auto"/>
        </w:rPr>
        <w:t>完毕</w:t>
      </w: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70528" behindDoc="0" locked="0" layoutInCell="1" allowOverlap="1">
                <wp:simplePos x="0" y="0"/>
                <wp:positionH relativeFrom="column">
                  <wp:posOffset>1241425</wp:posOffset>
                </wp:positionH>
                <wp:positionV relativeFrom="paragraph">
                  <wp:posOffset>237490</wp:posOffset>
                </wp:positionV>
                <wp:extent cx="0" cy="544830"/>
                <wp:effectExtent l="57150" t="10160" r="57150" b="1651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0" cy="54483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97.75pt;margin-top:18.7pt;height:42.9pt;width:0pt;z-index:251670528;mso-width-relative:page;mso-height-relative:page;" filled="f" stroked="t" coordsize="21600,21600" o:gfxdata="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frxl2gAAAAoBAAAPAAAAAAAAAAEAIAAAACIAAABkcnMvZG93&#10;bnJldi54bWxQSwECFAAUAAAACACHTuJAsReaWP4BAADZAwAADgAAAAAAAAABACAAAAApAQAAZHJz&#10;L2Uyb0RvYy54bWxQSwUGAAAAAAYABgBZAQAAmQUAAAAA&#10;">
                <v:fill on="f" focussize="0,0"/>
                <v:stroke color="#000000" joinstyle="round" endarrow="block"/>
                <v:imagedata o:title=""/>
                <o:lock v:ext="edit" aspectratio="f"/>
              </v:line>
            </w:pict>
          </mc:Fallback>
        </mc:AlternateContent>
      </w: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69504" behindDoc="0" locked="0" layoutInCell="1" allowOverlap="1">
                <wp:simplePos x="0" y="0"/>
                <wp:positionH relativeFrom="column">
                  <wp:posOffset>2853690</wp:posOffset>
                </wp:positionH>
                <wp:positionV relativeFrom="paragraph">
                  <wp:posOffset>10795</wp:posOffset>
                </wp:positionV>
                <wp:extent cx="1447800" cy="680085"/>
                <wp:effectExtent l="0" t="0" r="19050" b="24765"/>
                <wp:wrapNone/>
                <wp:docPr id="11" name="椭圆 11"/>
                <wp:cNvGraphicFramePr/>
                <a:graphic xmlns:a="http://schemas.openxmlformats.org/drawingml/2006/main">
                  <a:graphicData uri="http://schemas.microsoft.com/office/word/2010/wordprocessingShape">
                    <wps:wsp>
                      <wps:cNvSpPr>
                        <a:spLocks noChangeArrowheads="1"/>
                      </wps:cNvSpPr>
                      <wps:spPr bwMode="auto">
                        <a:xfrm>
                          <a:off x="0" y="0"/>
                          <a:ext cx="1447800" cy="680085"/>
                        </a:xfrm>
                        <a:prstGeom prst="ellipse">
                          <a:avLst/>
                        </a:prstGeom>
                        <a:solidFill>
                          <a:srgbClr val="FFFFFF"/>
                        </a:solidFill>
                        <a:ln w="9525">
                          <a:solidFill>
                            <a:srgbClr val="000000"/>
                          </a:solidFill>
                          <a:round/>
                        </a:ln>
                        <a:effectLst/>
                      </wps:spPr>
                      <wps:txbx>
                        <w:txbxContent>
                          <w:p>
                            <w:pPr>
                              <w:jc w:val="center"/>
                              <w:rPr>
                                <w:rFonts w:ascii="仿宋" w:hAnsi="仿宋" w:eastAsia="仿宋"/>
                              </w:rPr>
                            </w:pPr>
                            <w:r>
                              <w:rPr>
                                <w:rFonts w:hint="eastAsia" w:ascii="仿宋" w:hAnsi="仿宋" w:eastAsia="仿宋"/>
                              </w:rPr>
                              <w:t>撤除防护</w:t>
                            </w:r>
                          </w:p>
                          <w:p>
                            <w:pPr>
                              <w:jc w:val="center"/>
                              <w:rPr>
                                <w:rFonts w:ascii="仿宋" w:hAnsi="仿宋" w:eastAsia="仿宋"/>
                              </w:rPr>
                            </w:pPr>
                            <w:r>
                              <w:rPr>
                                <w:rFonts w:hint="eastAsia" w:ascii="仿宋" w:hAnsi="仿宋" w:eastAsia="仿宋"/>
                              </w:rPr>
                              <w:t>恢</w:t>
                            </w:r>
                            <w:r>
                              <w:rPr>
                                <w:rFonts w:ascii="仿宋" w:hAnsi="仿宋" w:eastAsia="仿宋"/>
                              </w:rPr>
                              <w:t>复</w:t>
                            </w:r>
                            <w:r>
                              <w:rPr>
                                <w:rFonts w:hint="eastAsia" w:ascii="仿宋" w:hAnsi="仿宋" w:eastAsia="仿宋"/>
                              </w:rPr>
                              <w:t>设备运行</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24.7pt;margin-top:0.85pt;height:53.55pt;width:114pt;z-index:251669504;mso-width-relative:page;mso-height-relative:page;" fillcolor="#FFFFFF" filled="t" stroked="t" coordsize="21600,21600" o:gfxdata="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R6TgnWAAAACQEAAA8AAAAAAAAAAQAgAAAAIgAAAGRycy9kb3du&#10;cmV2LnhtbFBLAQIUABQAAAAIAIdO4kCEJrtNOgIAAIAEAAAOAAAAAAAAAAEAIAAAACUBAABkcnMv&#10;ZTJvRG9jLnhtbFBLBQYAAAAABgAGAFkBAADRBQAAAAA=&#10;">
                <v:fill on="t" focussize="0,0"/>
                <v:stroke color="#000000" joinstyle="round"/>
                <v:imagedata o:title=""/>
                <o:lock v:ext="edit" aspectratio="f"/>
                <v:textbox>
                  <w:txbxContent>
                    <w:p>
                      <w:pPr>
                        <w:jc w:val="center"/>
                        <w:rPr>
                          <w:rFonts w:ascii="仿宋" w:hAnsi="仿宋" w:eastAsia="仿宋"/>
                        </w:rPr>
                      </w:pPr>
                      <w:r>
                        <w:rPr>
                          <w:rFonts w:hint="eastAsia" w:ascii="仿宋" w:hAnsi="仿宋" w:eastAsia="仿宋"/>
                        </w:rPr>
                        <w:t>撤除防护</w:t>
                      </w:r>
                    </w:p>
                    <w:p>
                      <w:pPr>
                        <w:jc w:val="center"/>
                        <w:rPr>
                          <w:rFonts w:ascii="仿宋" w:hAnsi="仿宋" w:eastAsia="仿宋"/>
                        </w:rPr>
                      </w:pPr>
                      <w:r>
                        <w:rPr>
                          <w:rFonts w:hint="eastAsia" w:ascii="仿宋" w:hAnsi="仿宋" w:eastAsia="仿宋"/>
                        </w:rPr>
                        <w:t>恢</w:t>
                      </w:r>
                      <w:r>
                        <w:rPr>
                          <w:rFonts w:ascii="仿宋" w:hAnsi="仿宋" w:eastAsia="仿宋"/>
                        </w:rPr>
                        <w:t>复</w:t>
                      </w:r>
                      <w:r>
                        <w:rPr>
                          <w:rFonts w:hint="eastAsia" w:ascii="仿宋" w:hAnsi="仿宋" w:eastAsia="仿宋"/>
                        </w:rPr>
                        <w:t>设备运行</w:t>
                      </w:r>
                    </w:p>
                  </w:txbxContent>
                </v:textbox>
              </v:shape>
            </w:pict>
          </mc:Fallback>
        </mc:AlternateContent>
      </w: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64384" behindDoc="0" locked="0" layoutInCell="1" allowOverlap="1">
                <wp:simplePos x="0" y="0"/>
                <wp:positionH relativeFrom="column">
                  <wp:posOffset>412115</wp:posOffset>
                </wp:positionH>
                <wp:positionV relativeFrom="paragraph">
                  <wp:posOffset>214630</wp:posOffset>
                </wp:positionV>
                <wp:extent cx="1664970" cy="673100"/>
                <wp:effectExtent l="0" t="0" r="12065" b="13335"/>
                <wp:wrapNone/>
                <wp:docPr id="10" name="椭圆 10"/>
                <wp:cNvGraphicFramePr/>
                <a:graphic xmlns:a="http://schemas.openxmlformats.org/drawingml/2006/main">
                  <a:graphicData uri="http://schemas.microsoft.com/office/word/2010/wordprocessingShape">
                    <wps:wsp>
                      <wps:cNvSpPr>
                        <a:spLocks noChangeArrowheads="1"/>
                      </wps:cNvSpPr>
                      <wps:spPr bwMode="auto">
                        <a:xfrm>
                          <a:off x="0" y="0"/>
                          <a:ext cx="1664898" cy="672860"/>
                        </a:xfrm>
                        <a:prstGeom prst="ellipse">
                          <a:avLst/>
                        </a:prstGeom>
                        <a:solidFill>
                          <a:srgbClr val="FFFFFF"/>
                        </a:solidFill>
                        <a:ln w="9525">
                          <a:solidFill>
                            <a:srgbClr val="000000"/>
                          </a:solidFill>
                          <a:round/>
                        </a:ln>
                      </wps:spPr>
                      <wps:txbx>
                        <w:txbxContent>
                          <w:p>
                            <w:pPr>
                              <w:jc w:val="center"/>
                              <w:rPr>
                                <w:rFonts w:ascii="仿宋" w:hAnsi="仿宋" w:eastAsia="仿宋"/>
                              </w:rPr>
                            </w:pPr>
                            <w:r>
                              <w:rPr>
                                <w:rFonts w:hint="eastAsia" w:ascii="仿宋" w:hAnsi="仿宋" w:eastAsia="仿宋"/>
                                <w:lang w:eastAsia="zh-CN"/>
                              </w:rPr>
                              <w:t>维保人员</w:t>
                            </w:r>
                            <w:r>
                              <w:rPr>
                                <w:rFonts w:hint="eastAsia" w:ascii="仿宋" w:hAnsi="仿宋" w:eastAsia="仿宋"/>
                              </w:rPr>
                              <w:t>登</w:t>
                            </w:r>
                            <w:r>
                              <w:rPr>
                                <w:rFonts w:ascii="仿宋" w:hAnsi="仿宋" w:eastAsia="仿宋"/>
                              </w:rPr>
                              <w:t>记</w:t>
                            </w:r>
                            <w:r>
                              <w:rPr>
                                <w:rFonts w:hint="eastAsia" w:ascii="仿宋" w:hAnsi="仿宋" w:eastAsia="仿宋"/>
                              </w:rPr>
                              <w:t>/填</w:t>
                            </w:r>
                            <w:r>
                              <w:rPr>
                                <w:rFonts w:ascii="仿宋" w:hAnsi="仿宋" w:eastAsia="仿宋"/>
                              </w:rPr>
                              <w:t>写故障维</w:t>
                            </w:r>
                            <w:r>
                              <w:rPr>
                                <w:rFonts w:hint="eastAsia" w:ascii="仿宋" w:hAnsi="仿宋" w:eastAsia="仿宋"/>
                              </w:rPr>
                              <w:t>修</w:t>
                            </w:r>
                            <w:r>
                              <w:rPr>
                                <w:rFonts w:ascii="仿宋" w:hAnsi="仿宋" w:eastAsia="仿宋"/>
                              </w:rPr>
                              <w:t>记录表</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32.45pt;margin-top:16.9pt;height:53pt;width:131.1pt;z-index:251664384;mso-width-relative:page;mso-height-relative:page;" fillcolor="#FFFFFF" filled="t" stroked="t" coordsize="21600,21600" o:gfxdata="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rb2WXYAAAACQEAAA8AAAAAAAAAAQAgAAAAIgAAAGRycy9kb3du&#10;cmV2LnhtbFBLAQIUABQAAAAIAIdO4kD/Z70lOAIAAHIEAAAOAAAAAAAAAAEAIAAAACcBAABkcnMv&#10;ZTJvRG9jLnhtbFBLBQYAAAAABgAGAFkBAADRBQAAAAA=&#10;">
                <v:fill on="t" focussize="0,0"/>
                <v:stroke color="#000000" joinstyle="round"/>
                <v:imagedata o:title=""/>
                <o:lock v:ext="edit" aspectratio="f"/>
                <v:textbox>
                  <w:txbxContent>
                    <w:p>
                      <w:pPr>
                        <w:jc w:val="center"/>
                        <w:rPr>
                          <w:rFonts w:ascii="仿宋" w:hAnsi="仿宋" w:eastAsia="仿宋"/>
                        </w:rPr>
                      </w:pPr>
                      <w:r>
                        <w:rPr>
                          <w:rFonts w:hint="eastAsia" w:ascii="仿宋" w:hAnsi="仿宋" w:eastAsia="仿宋"/>
                          <w:lang w:eastAsia="zh-CN"/>
                        </w:rPr>
                        <w:t>维保人员</w:t>
                      </w:r>
                      <w:r>
                        <w:rPr>
                          <w:rFonts w:hint="eastAsia" w:ascii="仿宋" w:hAnsi="仿宋" w:eastAsia="仿宋"/>
                        </w:rPr>
                        <w:t>登</w:t>
                      </w:r>
                      <w:r>
                        <w:rPr>
                          <w:rFonts w:ascii="仿宋" w:hAnsi="仿宋" w:eastAsia="仿宋"/>
                        </w:rPr>
                        <w:t>记</w:t>
                      </w:r>
                      <w:r>
                        <w:rPr>
                          <w:rFonts w:hint="eastAsia" w:ascii="仿宋" w:hAnsi="仿宋" w:eastAsia="仿宋"/>
                        </w:rPr>
                        <w:t>/填</w:t>
                      </w:r>
                      <w:r>
                        <w:rPr>
                          <w:rFonts w:ascii="仿宋" w:hAnsi="仿宋" w:eastAsia="仿宋"/>
                        </w:rPr>
                        <w:t>写故障维</w:t>
                      </w:r>
                      <w:r>
                        <w:rPr>
                          <w:rFonts w:hint="eastAsia" w:ascii="仿宋" w:hAnsi="仿宋" w:eastAsia="仿宋"/>
                        </w:rPr>
                        <w:t>修</w:t>
                      </w:r>
                      <w:r>
                        <w:rPr>
                          <w:rFonts w:ascii="仿宋" w:hAnsi="仿宋" w:eastAsia="仿宋"/>
                        </w:rPr>
                        <w:t>记录表</w:t>
                      </w:r>
                    </w:p>
                  </w:txbxContent>
                </v:textbox>
              </v:shape>
            </w:pict>
          </mc:Fallback>
        </mc:AlternateContent>
      </w: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75648" behindDoc="0" locked="0" layoutInCell="1" allowOverlap="1">
                <wp:simplePos x="0" y="0"/>
                <wp:positionH relativeFrom="column">
                  <wp:posOffset>3582670</wp:posOffset>
                </wp:positionH>
                <wp:positionV relativeFrom="paragraph">
                  <wp:posOffset>149860</wp:posOffset>
                </wp:positionV>
                <wp:extent cx="0" cy="349250"/>
                <wp:effectExtent l="58420" t="6985" r="55880" b="1524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82.1pt;margin-top:11.8pt;height:27.5pt;width:0pt;z-index:251675648;mso-width-relative:page;mso-height-relative:page;" filled="f" stroked="t" coordsize="21600,21600" o:gfxdata="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OA712QAAAAkBAAAPAAAAAAAAAAEAIAAAACIAAABkcnMvZG93bnJl&#10;di54bWxQSwECFAAUAAAACACHTuJAxYrbifwBAADXAwAADgAAAAAAAAABACAAAAAoAQAAZHJzL2Uy&#10;b0RvYy54bWxQSwUGAAAAAAYABgBZAQAAlgUAAAAA&#10;">
                <v:fill on="f" focussize="0,0"/>
                <v:stroke color="#000000" joinstyle="round" endarrow="block"/>
                <v:imagedata o:title=""/>
                <o:lock v:ext="edit" aspectratio="f"/>
              </v:line>
            </w:pict>
          </mc:Fallback>
        </mc:AlternateContent>
      </w: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67456" behindDoc="0" locked="0" layoutInCell="1" allowOverlap="1">
                <wp:simplePos x="0" y="0"/>
                <wp:positionH relativeFrom="column">
                  <wp:posOffset>2717165</wp:posOffset>
                </wp:positionH>
                <wp:positionV relativeFrom="paragraph">
                  <wp:posOffset>238760</wp:posOffset>
                </wp:positionV>
                <wp:extent cx="1704975" cy="771525"/>
                <wp:effectExtent l="0" t="0" r="28575" b="28575"/>
                <wp:wrapNone/>
                <wp:docPr id="8" name="椭圆 8"/>
                <wp:cNvGraphicFramePr/>
                <a:graphic xmlns:a="http://schemas.openxmlformats.org/drawingml/2006/main">
                  <a:graphicData uri="http://schemas.microsoft.com/office/word/2010/wordprocessingShape">
                    <wps:wsp>
                      <wps:cNvSpPr>
                        <a:spLocks noChangeArrowheads="1"/>
                      </wps:cNvSpPr>
                      <wps:spPr bwMode="auto">
                        <a:xfrm>
                          <a:off x="0" y="0"/>
                          <a:ext cx="1704975" cy="771525"/>
                        </a:xfrm>
                        <a:prstGeom prst="ellipse">
                          <a:avLst/>
                        </a:prstGeom>
                        <a:solidFill>
                          <a:srgbClr val="FFFFFF"/>
                        </a:solidFill>
                        <a:ln w="9525">
                          <a:solidFill>
                            <a:srgbClr val="000000"/>
                          </a:solidFill>
                          <a:round/>
                        </a:ln>
                        <a:effectLst/>
                      </wps:spPr>
                      <wps:txbx>
                        <w:txbxContent>
                          <w:p>
                            <w:pPr>
                              <w:rPr>
                                <w:rFonts w:ascii="仿宋" w:hAnsi="仿宋" w:eastAsia="仿宋"/>
                              </w:rPr>
                            </w:pPr>
                            <w:r>
                              <w:rPr>
                                <w:rFonts w:hint="eastAsia" w:ascii="仿宋" w:hAnsi="仿宋" w:eastAsia="仿宋"/>
                                <w:lang w:eastAsia="zh-CN"/>
                              </w:rPr>
                              <w:t>维保人员</w:t>
                            </w:r>
                            <w:r>
                              <w:rPr>
                                <w:rFonts w:ascii="仿宋" w:hAnsi="仿宋" w:eastAsia="仿宋"/>
                              </w:rPr>
                              <w:t>登记</w:t>
                            </w:r>
                            <w:r>
                              <w:rPr>
                                <w:rFonts w:hint="eastAsia" w:ascii="仿宋" w:hAnsi="仿宋" w:eastAsia="仿宋"/>
                              </w:rPr>
                              <w:t>/填</w:t>
                            </w:r>
                            <w:r>
                              <w:rPr>
                                <w:rFonts w:ascii="仿宋" w:hAnsi="仿宋" w:eastAsia="仿宋"/>
                              </w:rPr>
                              <w:t>写故障维修记录表</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13.95pt;margin-top:18.8pt;height:60.75pt;width:134.25pt;z-index:251667456;mso-width-relative:page;mso-height-relative:page;" fillcolor="#FFFFFF" filled="t" stroked="t" coordsize="21600,21600" o:gfxdata="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Xkd4NkAAAAKAQAADwAAAAAAAAABACAAAAAiAAAAZHJzL2Rvd25y&#10;ZXYueG1sUEsBAhQAFAAAAAgAh07iQLAtsTQ2AgAAfgQAAA4AAAAAAAAAAQAgAAAAKAEAAGRycy9l&#10;Mm9Eb2MueG1sUEsFBgAAAAAGAAYAWQEAANAFAAAAAA==&#10;">
                <v:fill on="t" focussize="0,0"/>
                <v:stroke color="#000000" joinstyle="round"/>
                <v:imagedata o:title=""/>
                <o:lock v:ext="edit" aspectratio="f"/>
                <v:textbox>
                  <w:txbxContent>
                    <w:p>
                      <w:pPr>
                        <w:rPr>
                          <w:rFonts w:ascii="仿宋" w:hAnsi="仿宋" w:eastAsia="仿宋"/>
                        </w:rPr>
                      </w:pPr>
                      <w:r>
                        <w:rPr>
                          <w:rFonts w:hint="eastAsia" w:ascii="仿宋" w:hAnsi="仿宋" w:eastAsia="仿宋"/>
                          <w:lang w:eastAsia="zh-CN"/>
                        </w:rPr>
                        <w:t>维保人员</w:t>
                      </w:r>
                      <w:r>
                        <w:rPr>
                          <w:rFonts w:ascii="仿宋" w:hAnsi="仿宋" w:eastAsia="仿宋"/>
                        </w:rPr>
                        <w:t>登记</w:t>
                      </w:r>
                      <w:r>
                        <w:rPr>
                          <w:rFonts w:hint="eastAsia" w:ascii="仿宋" w:hAnsi="仿宋" w:eastAsia="仿宋"/>
                        </w:rPr>
                        <w:t>/填</w:t>
                      </w:r>
                      <w:r>
                        <w:rPr>
                          <w:rFonts w:ascii="仿宋" w:hAnsi="仿宋" w:eastAsia="仿宋"/>
                        </w:rPr>
                        <w:t>写故障维修记录表</w:t>
                      </w:r>
                    </w:p>
                  </w:txbxContent>
                </v:textbox>
              </v:shape>
            </w:pict>
          </mc:Fallback>
        </mc:AlternateContent>
      </w: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71552" behindDoc="0" locked="0" layoutInCell="1" allowOverlap="1">
                <wp:simplePos x="0" y="0"/>
                <wp:positionH relativeFrom="column">
                  <wp:posOffset>1236345</wp:posOffset>
                </wp:positionH>
                <wp:positionV relativeFrom="paragraph">
                  <wp:posOffset>12700</wp:posOffset>
                </wp:positionV>
                <wp:extent cx="0" cy="547370"/>
                <wp:effectExtent l="57150" t="11430" r="57150" b="2222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0" cy="54737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97.35pt;margin-top:1pt;height:43.1pt;width:0pt;z-index:251671552;mso-width-relative:page;mso-height-relative:page;" filled="f" stroked="t" coordsize="21600,21600" o:gfxdata="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HeBp9YAAAAIAQAADwAAAAAAAAABACAAAAAiAAAAZHJzL2Rvd25yZXYu&#10;eG1sUEsBAhQAFAAAAAgAh07iQO0PVZD9AQAA1wMAAA4AAAAAAAAAAQAgAAAAJQEAAGRycy9lMm9E&#10;b2MueG1sUEsFBgAAAAAGAAYAWQEAAJQFAAAAAA==&#10;">
                <v:fill on="f" focussize="0,0"/>
                <v:stroke color="#000000" joinstyle="round" endarrow="block"/>
                <v:imagedata o:title=""/>
                <o:lock v:ext="edit" aspectratio="f"/>
              </v:line>
            </w:pict>
          </mc:Fallback>
        </mc:AlternateContent>
      </w: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65408" behindDoc="0" locked="0" layoutInCell="1" allowOverlap="1">
                <wp:simplePos x="0" y="0"/>
                <wp:positionH relativeFrom="column">
                  <wp:posOffset>499745</wp:posOffset>
                </wp:positionH>
                <wp:positionV relativeFrom="paragraph">
                  <wp:posOffset>281305</wp:posOffset>
                </wp:positionV>
                <wp:extent cx="1474470" cy="542925"/>
                <wp:effectExtent l="4445" t="4445" r="6985" b="5080"/>
                <wp:wrapNone/>
                <wp:docPr id="5" name="椭圆 5"/>
                <wp:cNvGraphicFramePr/>
                <a:graphic xmlns:a="http://schemas.openxmlformats.org/drawingml/2006/main">
                  <a:graphicData uri="http://schemas.microsoft.com/office/word/2010/wordprocessingShape">
                    <wps:wsp>
                      <wps:cNvSpPr>
                        <a:spLocks noChangeArrowheads="1"/>
                      </wps:cNvSpPr>
                      <wps:spPr bwMode="auto">
                        <a:xfrm>
                          <a:off x="0" y="0"/>
                          <a:ext cx="1474470" cy="542925"/>
                        </a:xfrm>
                        <a:prstGeom prst="ellipse">
                          <a:avLst/>
                        </a:prstGeom>
                        <a:solidFill>
                          <a:srgbClr val="FFFFFF"/>
                        </a:solidFill>
                        <a:ln w="9525">
                          <a:solidFill>
                            <a:srgbClr val="000000"/>
                          </a:solidFill>
                          <a:round/>
                        </a:ln>
                      </wps:spPr>
                      <wps:txbx>
                        <w:txbxContent>
                          <w:p>
                            <w:pPr>
                              <w:rPr>
                                <w:rFonts w:ascii="仿宋" w:hAnsi="仿宋" w:eastAsia="仿宋"/>
                              </w:rPr>
                            </w:pPr>
                            <w:r>
                              <w:rPr>
                                <w:rFonts w:hint="eastAsia" w:ascii="仿宋" w:hAnsi="仿宋" w:eastAsia="仿宋"/>
                              </w:rPr>
                              <w:t>做好安全防护</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39.35pt;margin-top:22.15pt;height:42.75pt;width:116.1pt;z-index:251665408;mso-width-relative:page;mso-height-relative:page;" fillcolor="#FFFFFF" filled="t" stroked="t" coordsize="21600,21600" o:gfxdata="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62MqF2QAAAAkBAAAPAAAAAAAAAAEAIAAAACIAAABkcnMvZG93bnJldi54&#10;bWxQSwECFAAUAAAACACHTuJA0Rs/MTICAABwBAAADgAAAAAAAAABACAAAAAoAQAAZHJzL2Uyb0Rv&#10;Yy54bWxQSwUGAAAAAAYABgBZAQAAzAUAAAAA&#10;">
                <v:fill on="t" focussize="0,0"/>
                <v:stroke color="#000000" joinstyle="round"/>
                <v:imagedata o:title=""/>
                <o:lock v:ext="edit" aspectratio="f"/>
                <v:textbox>
                  <w:txbxContent>
                    <w:p>
                      <w:pPr>
                        <w:rPr>
                          <w:rFonts w:ascii="仿宋" w:hAnsi="仿宋" w:eastAsia="仿宋"/>
                        </w:rPr>
                      </w:pPr>
                      <w:r>
                        <w:rPr>
                          <w:rFonts w:hint="eastAsia" w:ascii="仿宋" w:hAnsi="仿宋" w:eastAsia="仿宋"/>
                        </w:rPr>
                        <w:t>做好安全防护</w:t>
                      </w:r>
                    </w:p>
                  </w:txbxContent>
                </v:textbox>
              </v:shape>
            </w:pict>
          </mc:Fallback>
        </mc:AlternateContent>
      </w: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77696" behindDoc="0" locked="0" layoutInCell="1" allowOverlap="1">
                <wp:simplePos x="0" y="0"/>
                <wp:positionH relativeFrom="column">
                  <wp:posOffset>3582670</wp:posOffset>
                </wp:positionH>
                <wp:positionV relativeFrom="paragraph">
                  <wp:posOffset>55245</wp:posOffset>
                </wp:positionV>
                <wp:extent cx="0" cy="297180"/>
                <wp:effectExtent l="58420" t="7620" r="5588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82.1pt;margin-top:4.35pt;height:23.4pt;width:0pt;z-index:251677696;mso-width-relative:page;mso-height-relative:page;" filled="f" stroked="t" coordsize="21600,21600" o:gfxdata="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JdBv2AAAAAgBAAAPAAAAAAAAAAEAIAAAACIAAABkcnMvZG93bnJl&#10;di54bWxQSwECFAAUAAAACACHTuJAcL4HL/0BAADXAwAADgAAAAAAAAABACAAAAAnAQAAZHJzL2Uy&#10;b0RvYy54bWxQSwUGAAAAAAYABgBZAQAAlgUAAAAA&#10;">
                <v:fill on="f" focussize="0,0"/>
                <v:stroke color="#000000" joinstyle="round" endarrow="block"/>
                <v:imagedata o:title=""/>
                <o:lock v:ext="edit" aspectratio="f"/>
              </v:line>
            </w:pict>
          </mc:Fallback>
        </mc:AlternateContent>
      </w:r>
    </w:p>
    <w:p>
      <w:pPr>
        <w:spacing w:line="360" w:lineRule="auto"/>
        <w:ind w:left="420"/>
        <w:rPr>
          <w:rFonts w:ascii="仿宋" w:hAnsi="仿宋" w:eastAsia="仿宋"/>
          <w:color w:val="auto"/>
        </w:rPr>
      </w:pPr>
      <w:r>
        <w:rPr>
          <w:rFonts w:ascii="仿宋" w:hAnsi="仿宋" w:eastAsia="仿宋"/>
          <w:color w:val="auto"/>
          <w:sz w:val="20"/>
        </w:rPr>
        <mc:AlternateContent>
          <mc:Choice Requires="wps">
            <w:drawing>
              <wp:anchor distT="0" distB="0" distL="114300" distR="114300" simplePos="0" relativeHeight="251676672" behindDoc="0" locked="0" layoutInCell="1" allowOverlap="1">
                <wp:simplePos x="0" y="0"/>
                <wp:positionH relativeFrom="column">
                  <wp:posOffset>2990850</wp:posOffset>
                </wp:positionH>
                <wp:positionV relativeFrom="paragraph">
                  <wp:posOffset>99060</wp:posOffset>
                </wp:positionV>
                <wp:extent cx="1285875" cy="693420"/>
                <wp:effectExtent l="9525" t="13335" r="9525" b="7620"/>
                <wp:wrapNone/>
                <wp:docPr id="4" name="椭圆 4"/>
                <wp:cNvGraphicFramePr/>
                <a:graphic xmlns:a="http://schemas.openxmlformats.org/drawingml/2006/main">
                  <a:graphicData uri="http://schemas.microsoft.com/office/word/2010/wordprocessingShape">
                    <wps:wsp>
                      <wps:cNvSpPr>
                        <a:spLocks noChangeArrowheads="1"/>
                      </wps:cNvSpPr>
                      <wps:spPr bwMode="auto">
                        <a:xfrm>
                          <a:off x="0" y="0"/>
                          <a:ext cx="1285875" cy="693420"/>
                        </a:xfrm>
                        <a:prstGeom prst="ellipse">
                          <a:avLst/>
                        </a:prstGeom>
                        <a:solidFill>
                          <a:srgbClr val="FFFFFF"/>
                        </a:solidFill>
                        <a:ln w="9525">
                          <a:solidFill>
                            <a:srgbClr val="000000"/>
                          </a:solidFill>
                          <a:round/>
                        </a:ln>
                      </wps:spPr>
                      <wps:txbx>
                        <w:txbxContent>
                          <w:p>
                            <w:pPr>
                              <w:jc w:val="center"/>
                              <w:rPr>
                                <w:rFonts w:hint="eastAsia" w:ascii="仿宋" w:hAnsi="仿宋" w:eastAsia="仿宋"/>
                                <w:lang w:eastAsia="zh-CN"/>
                              </w:rPr>
                            </w:pPr>
                            <w:r>
                              <w:rPr>
                                <w:rFonts w:hint="eastAsia" w:ascii="仿宋" w:hAnsi="仿宋" w:eastAsia="仿宋"/>
                                <w:lang w:eastAsia="zh-CN"/>
                              </w:rPr>
                              <w:t>项目对故障记录审核</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35.5pt;margin-top:7.8pt;height:54.6pt;width:101.25pt;z-index:251676672;mso-width-relative:page;mso-height-relative:page;" fillcolor="#FFFFFF" filled="t" stroked="t" coordsize="21600,21600" o:gfxdata="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eaKkvYAAAACgEAAA8AAAAAAAAAAQAgAAAAIgAAAGRycy9kb3du&#10;cmV2LnhtbFBLAQIUABQAAAAIAIdO4kCgkNqDOAIAAHAEAAAOAAAAAAAAAAEAIAAAACcBAABkcnMv&#10;ZTJvRG9jLnhtbFBLBQYAAAAABgAGAFkBAADRBQAAAAA=&#10;">
                <v:fill on="t" focussize="0,0"/>
                <v:stroke color="#000000" joinstyle="round"/>
                <v:imagedata o:title=""/>
                <o:lock v:ext="edit" aspectratio="f"/>
                <v:textbox>
                  <w:txbxContent>
                    <w:p>
                      <w:pPr>
                        <w:jc w:val="center"/>
                        <w:rPr>
                          <w:rFonts w:hint="eastAsia" w:ascii="仿宋" w:hAnsi="仿宋" w:eastAsia="仿宋"/>
                          <w:lang w:eastAsia="zh-CN"/>
                        </w:rPr>
                      </w:pPr>
                      <w:r>
                        <w:rPr>
                          <w:rFonts w:hint="eastAsia" w:ascii="仿宋" w:hAnsi="仿宋" w:eastAsia="仿宋"/>
                          <w:lang w:eastAsia="zh-CN"/>
                        </w:rPr>
                        <w:t>项目对故障记录审核</w:t>
                      </w:r>
                    </w:p>
                  </w:txbxContent>
                </v:textbox>
              </v:shape>
            </w:pict>
          </mc:Fallback>
        </mc:AlternateContent>
      </w:r>
      <w:r>
        <w:rPr>
          <w:rFonts w:ascii="仿宋" w:hAnsi="仿宋" w:eastAsia="仿宋"/>
          <w:color w:val="auto"/>
          <w:sz w:val="20"/>
        </w:rPr>
        <mc:AlternateContent>
          <mc:Choice Requires="wps">
            <w:drawing>
              <wp:anchor distT="0" distB="0" distL="114300" distR="114300" simplePos="0" relativeHeight="251672576" behindDoc="0" locked="0" layoutInCell="1" allowOverlap="1">
                <wp:simplePos x="0" y="0"/>
                <wp:positionH relativeFrom="column">
                  <wp:posOffset>1257300</wp:posOffset>
                </wp:positionH>
                <wp:positionV relativeFrom="paragraph">
                  <wp:posOffset>226060</wp:posOffset>
                </wp:positionV>
                <wp:extent cx="0" cy="432435"/>
                <wp:effectExtent l="9525" t="6985" r="9525" b="825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0" cy="4324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9pt;margin-top:17.8pt;height:34.05pt;width:0pt;z-index:251672576;mso-width-relative:page;mso-height-relative:page;" filled="f" stroked="t" coordsize="21600,21600" o:gfxdata="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o2m19YAAAAKAQAA&#10;DwAAAAAAAAABACAAAAAiAAAAZHJzL2Rvd25yZXYueG1sUEsBAhQAFAAAAAgAh07iQNWlhOXiAQAA&#10;qQMAAA4AAAAAAAAAAQAgAAAAJQEAAGRycy9lMm9Eb2MueG1sUEsFBgAAAAAGAAYAWQEAAHkFAAAA&#10;AA==&#10;">
                <v:fill on="f" focussize="0,0"/>
                <v:stroke color="#000000" joinstyle="round"/>
                <v:imagedata o:title=""/>
                <o:lock v:ext="edit" aspectratio="f"/>
              </v:line>
            </w:pict>
          </mc:Fallback>
        </mc:AlternateContent>
      </w:r>
    </w:p>
    <w:p>
      <w:pPr>
        <w:spacing w:line="360" w:lineRule="auto"/>
        <w:ind w:left="420"/>
        <w:rPr>
          <w:rFonts w:ascii="仿宋" w:hAnsi="仿宋" w:eastAsia="仿宋"/>
          <w:color w:val="auto"/>
        </w:rPr>
      </w:pPr>
    </w:p>
    <w:p>
      <w:pPr>
        <w:adjustRightInd w:val="0"/>
        <w:snapToGrid w:val="0"/>
        <w:ind w:firstLine="200" w:firstLineChars="100"/>
        <w:jc w:val="left"/>
        <w:rPr>
          <w:rFonts w:ascii="黑体" w:hAnsi="黑体" w:eastAsia="黑体" w:cs="黑体"/>
          <w:color w:val="auto"/>
          <w:szCs w:val="21"/>
        </w:rPr>
      </w:pPr>
      <w:r>
        <w:rPr>
          <w:rFonts w:ascii="仿宋" w:hAnsi="仿宋" w:eastAsia="仿宋"/>
          <w:color w:val="auto"/>
          <w:sz w:val="20"/>
        </w:rPr>
        <mc:AlternateContent>
          <mc:Choice Requires="wps">
            <w:drawing>
              <wp:anchor distT="0" distB="0" distL="114300" distR="114300" simplePos="0" relativeHeight="251678720" behindDoc="0" locked="0" layoutInCell="1" allowOverlap="1">
                <wp:simplePos x="0" y="0"/>
                <wp:positionH relativeFrom="column">
                  <wp:posOffset>1250315</wp:posOffset>
                </wp:positionH>
                <wp:positionV relativeFrom="paragraph">
                  <wp:posOffset>34925</wp:posOffset>
                </wp:positionV>
                <wp:extent cx="1143000" cy="0"/>
                <wp:effectExtent l="9525" t="6985" r="9525" b="1206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8.45pt;margin-top:2.75pt;height:0pt;width:90pt;z-index:251678720;mso-width-relative:page;mso-height-relative:page;" filled="f" stroked="t" coordsize="21600,21600" o:gfxdata="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m8W80wAAAAcBAAAP&#10;AAAAAAAAAAEAIAAAACIAAABkcnMvZG93bnJldi54bWxQSwECFAAUAAAACACHTuJABek8i+QBAACq&#10;AwAADgAAAAAAAAABACAAAAAiAQAAZHJzL2Uyb0RvYy54bWxQSwUGAAAAAAYABgBZAQAAeAUAAAAA&#10;">
                <v:fill on="f" focussize="0,0"/>
                <v:stroke color="#000000" joinstyle="round"/>
                <v:imagedata o:title=""/>
                <o:lock v:ext="edit" aspectratio="f"/>
              </v:line>
            </w:pict>
          </mc:Fallback>
        </mc:AlternateContent>
      </w: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adjustRightInd w:val="0"/>
        <w:snapToGrid w:val="0"/>
        <w:ind w:firstLine="210" w:firstLineChars="100"/>
        <w:jc w:val="left"/>
        <w:rPr>
          <w:rFonts w:ascii="黑体" w:hAnsi="黑体" w:eastAsia="黑体" w:cs="黑体"/>
          <w:color w:val="auto"/>
          <w:szCs w:val="21"/>
        </w:rPr>
      </w:pPr>
    </w:p>
    <w:p>
      <w:pPr>
        <w:pStyle w:val="4"/>
        <w:spacing w:before="120" w:after="120" w:line="240" w:lineRule="auto"/>
        <w:rPr>
          <w:rFonts w:cs="Times New Roman" w:asciiTheme="majorEastAsia" w:hAnsiTheme="majorEastAsia" w:eastAsiaTheme="majorEastAsia"/>
          <w:color w:val="auto"/>
          <w:kern w:val="2"/>
          <w:sz w:val="28"/>
          <w:szCs w:val="28"/>
        </w:rPr>
      </w:pPr>
      <w:bookmarkStart w:id="227" w:name="_Toc11675"/>
      <w:bookmarkStart w:id="228" w:name="_Toc8534"/>
      <w:bookmarkStart w:id="229" w:name="_Toc93068897"/>
      <w:r>
        <w:rPr>
          <w:rFonts w:hint="eastAsia" w:cs="Times New Roman" w:asciiTheme="majorEastAsia" w:hAnsiTheme="majorEastAsia" w:eastAsiaTheme="majorEastAsia"/>
          <w:color w:val="auto"/>
          <w:kern w:val="2"/>
          <w:sz w:val="28"/>
          <w:szCs w:val="28"/>
        </w:rPr>
        <w:t>附件六：电梯</w:t>
      </w:r>
      <w:r>
        <w:rPr>
          <w:rFonts w:cs="Times New Roman" w:asciiTheme="majorEastAsia" w:hAnsiTheme="majorEastAsia" w:eastAsiaTheme="majorEastAsia"/>
          <w:color w:val="auto"/>
          <w:kern w:val="2"/>
          <w:sz w:val="28"/>
          <w:szCs w:val="28"/>
        </w:rPr>
        <w:t>故障处理记录表</w:t>
      </w:r>
      <w:bookmarkEnd w:id="227"/>
      <w:bookmarkEnd w:id="228"/>
      <w:bookmarkEnd w:id="229"/>
    </w:p>
    <w:p>
      <w:pPr>
        <w:spacing w:line="360" w:lineRule="auto"/>
        <w:jc w:val="center"/>
        <w:rPr>
          <w:rFonts w:ascii="黑体" w:hAnsi="黑体" w:eastAsia="黑体" w:cs="黑体"/>
          <w:color w:val="auto"/>
          <w:sz w:val="36"/>
        </w:rPr>
      </w:pPr>
      <w:r>
        <w:rPr>
          <w:rFonts w:hint="eastAsia" w:ascii="黑体" w:eastAsia="黑体" w:cs="黑体"/>
          <w:color w:val="auto"/>
          <w:sz w:val="32"/>
          <w:szCs w:val="28"/>
        </w:rPr>
        <w:t>电梯</w:t>
      </w:r>
      <w:r>
        <w:rPr>
          <w:rFonts w:ascii="黑体" w:eastAsia="黑体" w:cs="黑体"/>
          <w:color w:val="auto"/>
          <w:sz w:val="32"/>
          <w:szCs w:val="28"/>
        </w:rPr>
        <w:t>故障处理记录表</w:t>
      </w:r>
    </w:p>
    <w:p>
      <w:pPr>
        <w:spacing w:line="360" w:lineRule="auto"/>
        <w:ind w:left="629"/>
        <w:rPr>
          <w:rFonts w:ascii="宋体" w:hAnsi="宋体" w:eastAsia="宋体" w:cs="宋体"/>
          <w:color w:val="auto"/>
        </w:rPr>
      </w:pPr>
      <w:r>
        <w:rPr>
          <w:rFonts w:hint="eastAsia" w:ascii="黑体" w:hAnsi="黑体" w:eastAsia="黑体" w:cs="黑体"/>
          <w:color w:val="auto"/>
          <w:sz w:val="32"/>
        </w:rPr>
        <w:t xml:space="preserve"> </w:t>
      </w:r>
      <w:r>
        <w:rPr>
          <w:rFonts w:ascii="宋体" w:hAnsi="宋体" w:eastAsia="宋体" w:cs="宋体"/>
          <w:color w:val="auto"/>
        </w:rPr>
        <w:t>年</w:t>
      </w:r>
      <w:r>
        <w:rPr>
          <w:rFonts w:ascii="宋体" w:hAnsi="宋体" w:eastAsia="宋体" w:cs="宋体"/>
          <w:color w:val="auto"/>
        </w:rPr>
        <w:tab/>
      </w:r>
      <w:r>
        <w:rPr>
          <w:rFonts w:ascii="宋体" w:hAnsi="宋体" w:eastAsia="宋体" w:cs="宋体"/>
          <w:color w:val="auto"/>
        </w:rPr>
        <w:t xml:space="preserve">  月 </w:t>
      </w:r>
      <w:r>
        <w:rPr>
          <w:rFonts w:hint="eastAsia" w:ascii="宋体" w:hAnsi="宋体" w:eastAsia="宋体" w:cs="宋体"/>
          <w:color w:val="auto"/>
        </w:rPr>
        <w:t xml:space="preserve"> </w:t>
      </w:r>
      <w:r>
        <w:rPr>
          <w:rFonts w:ascii="宋体" w:hAnsi="宋体" w:eastAsia="宋体" w:cs="宋体"/>
          <w:color w:val="auto"/>
        </w:rPr>
        <w:t xml:space="preserve">  日</w:t>
      </w:r>
      <w:r>
        <w:rPr>
          <w:rFonts w:ascii="宋体" w:hAnsi="宋体" w:eastAsia="宋体" w:cs="宋体"/>
          <w:color w:val="auto"/>
        </w:rPr>
        <w:tab/>
      </w:r>
      <w:r>
        <w:rPr>
          <w:rFonts w:ascii="宋体" w:hAnsi="宋体" w:eastAsia="宋体" w:cs="宋体"/>
          <w:color w:val="auto"/>
        </w:rPr>
        <w:t xml:space="preserve">                                   故障地点：</w:t>
      </w:r>
      <w:r>
        <w:rPr>
          <w:color w:val="auto"/>
        </w:rPr>
        <mc:AlternateContent>
          <mc:Choice Requires="wpg">
            <w:drawing>
              <wp:inline distT="0" distB="0" distL="0" distR="0">
                <wp:extent cx="867410" cy="5715"/>
                <wp:effectExtent l="0" t="0" r="0" b="0"/>
                <wp:docPr id="56116" name="Group 56116"/>
                <wp:cNvGraphicFramePr/>
                <a:graphic xmlns:a="http://schemas.openxmlformats.org/drawingml/2006/main">
                  <a:graphicData uri="http://schemas.microsoft.com/office/word/2010/wordprocessingGroup">
                    <wpg:wgp>
                      <wpg:cNvGrpSpPr/>
                      <wpg:grpSpPr>
                        <a:xfrm>
                          <a:off x="0" y="0"/>
                          <a:ext cx="867410" cy="6096"/>
                          <a:chOff x="0" y="0"/>
                          <a:chExt cx="867410" cy="6096"/>
                        </a:xfrm>
                      </wpg:grpSpPr>
                      <wps:wsp>
                        <wps:cNvPr id="3155" name="Shape 3155"/>
                        <wps:cNvSpPr/>
                        <wps:spPr>
                          <a:xfrm>
                            <a:off x="0" y="0"/>
                            <a:ext cx="867410" cy="0"/>
                          </a:xfrm>
                          <a:custGeom>
                            <a:avLst/>
                            <a:gdLst/>
                            <a:ahLst/>
                            <a:cxnLst/>
                            <a:rect l="0" t="0" r="0" b="0"/>
                            <a:pathLst>
                              <a:path w="867410">
                                <a:moveTo>
                                  <a:pt x="0" y="0"/>
                                </a:moveTo>
                                <a:lnTo>
                                  <a:pt x="867410"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56116" o:spid="_x0000_s1026" o:spt="203" style="height:0.45pt;width:68.3pt;" coordsize="867410,6096" o:gfxdata="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O5EA0wAAAAIBAAAPAAAAAAAAAAEAIAAAACIAAABkcnMvZG93bnJldi54bWxQSwECFAAUAAAACACH&#10;TuJAzH0di2ICAADABQAADgAAAAAAAAABACAAAAAiAQAAZHJzL2Uyb0RvYy54bWxQSwUGAAAAAAYA&#10;BgBZAQAA9gUAAAAA&#10;">
                <o:lock v:ext="edit" aspectratio="f"/>
                <v:shape id="Shape 3155" o:spid="_x0000_s1026" o:spt="100" style="position:absolute;left:0;top:0;height:0;width:867410;" filled="f" stroked="t" coordsize="867410,1" o:gfxdata="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iNhVugAAAN0A&#10;AAAPAAAAAAAAAAEAIAAAACIAAABkcnMvZG93bnJldi54bWxQSwECFAAUAAAACACHTuJAMy8FnjsA&#10;AAA5AAAAEAAAAAAAAAABACAAAAAJAQAAZHJzL3NoYXBleG1sLnhtbFBLBQYAAAAABgAGAFsBAACz&#10;AwAAAAA=&#10;" path="m0,0l867410,0e">
                  <v:fill on="f" focussize="0,0"/>
                  <v:stroke weight="0.48pt" color="#000000" joinstyle="bevel"/>
                  <v:imagedata o:title=""/>
                  <o:lock v:ext="edit" aspectratio="f"/>
                </v:shape>
                <w10:wrap type="none"/>
                <w10:anchorlock/>
              </v:group>
            </w:pict>
          </mc:Fallback>
        </mc:AlternateContent>
      </w:r>
    </w:p>
    <w:tbl>
      <w:tblPr>
        <w:tblStyle w:val="107"/>
        <w:tblW w:w="8820" w:type="dxa"/>
        <w:jc w:val="center"/>
        <w:tblLayout w:type="fixed"/>
        <w:tblCellMar>
          <w:top w:w="37" w:type="dxa"/>
          <w:left w:w="108" w:type="dxa"/>
          <w:bottom w:w="37" w:type="dxa"/>
          <w:right w:w="110" w:type="dxa"/>
        </w:tblCellMar>
      </w:tblPr>
      <w:tblGrid>
        <w:gridCol w:w="720"/>
        <w:gridCol w:w="1260"/>
        <w:gridCol w:w="180"/>
        <w:gridCol w:w="1170"/>
        <w:gridCol w:w="1343"/>
        <w:gridCol w:w="425"/>
        <w:gridCol w:w="709"/>
        <w:gridCol w:w="709"/>
        <w:gridCol w:w="380"/>
        <w:gridCol w:w="1924"/>
      </w:tblGrid>
      <w:tr>
        <w:tblPrEx>
          <w:tblCellMar>
            <w:top w:w="37" w:type="dxa"/>
            <w:left w:w="108" w:type="dxa"/>
            <w:bottom w:w="37" w:type="dxa"/>
            <w:right w:w="110" w:type="dxa"/>
          </w:tblCellMar>
        </w:tblPrEx>
        <w:trPr>
          <w:trHeight w:val="617"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vAlign w:val="center"/>
          </w:tcPr>
          <w:p>
            <w:pPr>
              <w:ind w:left="252"/>
              <w:rPr>
                <w:rFonts w:cstheme="minorBidi"/>
                <w:color w:val="auto"/>
              </w:rPr>
            </w:pPr>
            <w:r>
              <w:rPr>
                <w:rFonts w:ascii="宋体" w:hAnsi="宋体" w:eastAsia="宋体" w:cs="宋体"/>
                <w:color w:val="auto"/>
                <w:sz w:val="21"/>
              </w:rPr>
              <w:t>故障发生时间</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tabs>
                <w:tab w:val="right" w:pos="2302"/>
              </w:tabs>
              <w:ind w:firstLine="315" w:firstLineChars="150"/>
              <w:rPr>
                <w:rFonts w:cstheme="minorBidi"/>
                <w:color w:val="auto"/>
              </w:rPr>
            </w:pPr>
            <w:r>
              <w:rPr>
                <w:rFonts w:ascii="宋体" w:hAnsi="宋体" w:eastAsia="宋体" w:cs="宋体"/>
                <w:color w:val="auto"/>
                <w:sz w:val="21"/>
              </w:rPr>
              <w:t>年  月   日   时</w:t>
            </w:r>
            <w:r>
              <w:rPr>
                <w:rFonts w:hint="eastAsia" w:ascii="宋体" w:hAnsi="宋体" w:eastAsia="宋体" w:cs="宋体"/>
                <w:color w:val="auto"/>
                <w:sz w:val="21"/>
              </w:rPr>
              <w:t xml:space="preserve"> </w:t>
            </w:r>
            <w:r>
              <w:rPr>
                <w:rFonts w:ascii="宋体" w:hAnsi="宋体" w:eastAsia="宋体" w:cs="宋体"/>
                <w:color w:val="auto"/>
                <w:sz w:val="21"/>
              </w:rPr>
              <w:t xml:space="preserve"> 分</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ind w:left="252"/>
              <w:rPr>
                <w:rFonts w:cstheme="minorBidi"/>
                <w:color w:val="auto"/>
              </w:rPr>
            </w:pPr>
            <w:r>
              <w:rPr>
                <w:rFonts w:ascii="宋体" w:hAnsi="宋体" w:eastAsia="宋体" w:cs="宋体"/>
                <w:color w:val="auto"/>
                <w:sz w:val="21"/>
              </w:rPr>
              <w:t>故障发生地点</w:t>
            </w:r>
          </w:p>
        </w:tc>
        <w:tc>
          <w:tcPr>
            <w:tcW w:w="380" w:type="dxa"/>
            <w:tcBorders>
              <w:top w:val="single" w:color="000000" w:sz="4" w:space="0"/>
              <w:left w:val="single" w:color="000000" w:sz="4" w:space="0"/>
              <w:bottom w:val="single" w:color="000000" w:sz="4" w:space="0"/>
              <w:right w:val="nil"/>
            </w:tcBorders>
          </w:tcPr>
          <w:p>
            <w:pPr>
              <w:rPr>
                <w:rFonts w:cstheme="minorBidi"/>
                <w:color w:val="auto"/>
              </w:rPr>
            </w:pPr>
          </w:p>
        </w:tc>
        <w:tc>
          <w:tcPr>
            <w:tcW w:w="1924" w:type="dxa"/>
            <w:tcBorders>
              <w:top w:val="single" w:color="000000" w:sz="4" w:space="0"/>
              <w:left w:val="nil"/>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625"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vAlign w:val="center"/>
          </w:tcPr>
          <w:p>
            <w:pPr>
              <w:ind w:left="41"/>
              <w:jc w:val="both"/>
              <w:rPr>
                <w:rFonts w:cstheme="minorBidi"/>
                <w:color w:val="auto"/>
              </w:rPr>
            </w:pPr>
            <w:r>
              <w:rPr>
                <w:rFonts w:ascii="宋体" w:hAnsi="宋体" w:eastAsia="宋体" w:cs="宋体"/>
                <w:color w:val="auto"/>
                <w:sz w:val="21"/>
              </w:rPr>
              <w:t>故障设备名称编号</w:t>
            </w:r>
          </w:p>
        </w:tc>
        <w:tc>
          <w:tcPr>
            <w:tcW w:w="2693" w:type="dxa"/>
            <w:gridSpan w:val="3"/>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1"/>
              </w:rPr>
            </w:pPr>
            <w:r>
              <w:rPr>
                <w:rFonts w:hint="eastAsia" w:ascii="宋体" w:hAnsi="宋体" w:eastAsia="宋体" w:cs="宋体"/>
                <w:color w:val="auto"/>
                <w:sz w:val="21"/>
              </w:rPr>
              <w:t>维保单位</w:t>
            </w:r>
          </w:p>
          <w:p>
            <w:pPr>
              <w:jc w:val="center"/>
              <w:rPr>
                <w:rFonts w:cstheme="minorBidi"/>
                <w:color w:val="auto"/>
              </w:rPr>
            </w:pPr>
            <w:r>
              <w:rPr>
                <w:rFonts w:ascii="宋体" w:hAnsi="宋体" w:eastAsia="宋体" w:cs="宋体"/>
                <w:color w:val="auto"/>
                <w:sz w:val="21"/>
              </w:rPr>
              <w:t>到达时间</w:t>
            </w:r>
          </w:p>
        </w:tc>
        <w:tc>
          <w:tcPr>
            <w:tcW w:w="380" w:type="dxa"/>
            <w:tcBorders>
              <w:top w:val="single" w:color="000000" w:sz="4" w:space="0"/>
              <w:left w:val="single" w:color="000000" w:sz="4" w:space="0"/>
              <w:bottom w:val="single" w:color="000000" w:sz="4" w:space="0"/>
              <w:right w:val="nil"/>
            </w:tcBorders>
          </w:tcPr>
          <w:p>
            <w:pPr>
              <w:rPr>
                <w:rFonts w:cstheme="minorBidi"/>
                <w:color w:val="auto"/>
              </w:rPr>
            </w:pPr>
          </w:p>
        </w:tc>
        <w:tc>
          <w:tcPr>
            <w:tcW w:w="1924" w:type="dxa"/>
            <w:tcBorders>
              <w:top w:val="single" w:color="000000" w:sz="4" w:space="0"/>
              <w:left w:val="nil"/>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632"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vAlign w:val="center"/>
          </w:tcPr>
          <w:p>
            <w:pPr>
              <w:ind w:left="41"/>
              <w:jc w:val="both"/>
              <w:rPr>
                <w:rFonts w:cstheme="minorBidi"/>
                <w:color w:val="auto"/>
              </w:rPr>
            </w:pPr>
            <w:r>
              <w:rPr>
                <w:rFonts w:ascii="宋体" w:hAnsi="宋体" w:eastAsia="宋体" w:cs="宋体"/>
                <w:color w:val="auto"/>
                <w:sz w:val="21"/>
              </w:rPr>
              <w:t>故障处理完成时间</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tabs>
                <w:tab w:val="right" w:pos="2302"/>
              </w:tabs>
              <w:ind w:firstLine="315" w:firstLineChars="150"/>
              <w:rPr>
                <w:rFonts w:cstheme="minorBidi"/>
                <w:color w:val="auto"/>
              </w:rPr>
            </w:pPr>
            <w:r>
              <w:rPr>
                <w:rFonts w:ascii="宋体" w:hAnsi="宋体" w:eastAsia="宋体" w:cs="宋体"/>
                <w:color w:val="auto"/>
                <w:sz w:val="21"/>
              </w:rPr>
              <w:t>年  月   日   时</w:t>
            </w:r>
            <w:r>
              <w:rPr>
                <w:rFonts w:hint="eastAsia" w:ascii="宋体" w:hAnsi="宋体" w:eastAsia="宋体" w:cs="宋体"/>
                <w:color w:val="auto"/>
                <w:sz w:val="21"/>
              </w:rPr>
              <w:t xml:space="preserve"> </w:t>
            </w:r>
            <w:r>
              <w:rPr>
                <w:rFonts w:ascii="宋体" w:hAnsi="宋体" w:eastAsia="宋体" w:cs="宋体"/>
                <w:color w:val="auto"/>
                <w:sz w:val="21"/>
              </w:rPr>
              <w:t xml:space="preserve"> 分</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cstheme="minorBidi"/>
                <w:color w:val="auto"/>
              </w:rPr>
            </w:pPr>
            <w:r>
              <w:rPr>
                <w:rFonts w:hint="eastAsia" w:ascii="宋体" w:hAnsi="宋体" w:eastAsia="宋体" w:cs="宋体"/>
                <w:color w:val="auto"/>
                <w:sz w:val="21"/>
              </w:rPr>
              <w:t>维保单位</w:t>
            </w:r>
          </w:p>
        </w:tc>
        <w:tc>
          <w:tcPr>
            <w:tcW w:w="380" w:type="dxa"/>
            <w:tcBorders>
              <w:top w:val="single" w:color="000000" w:sz="4" w:space="0"/>
              <w:left w:val="single" w:color="000000" w:sz="4" w:space="0"/>
              <w:bottom w:val="single" w:color="000000" w:sz="4" w:space="0"/>
              <w:right w:val="nil"/>
            </w:tcBorders>
          </w:tcPr>
          <w:p>
            <w:pPr>
              <w:rPr>
                <w:rFonts w:cstheme="minorBidi"/>
                <w:color w:val="auto"/>
              </w:rPr>
            </w:pPr>
          </w:p>
        </w:tc>
        <w:tc>
          <w:tcPr>
            <w:tcW w:w="1924" w:type="dxa"/>
            <w:tcBorders>
              <w:top w:val="single" w:color="000000" w:sz="4" w:space="0"/>
              <w:left w:val="nil"/>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896"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vAlign w:val="center"/>
          </w:tcPr>
          <w:p>
            <w:pPr>
              <w:ind w:left="146"/>
              <w:rPr>
                <w:rFonts w:cstheme="minorBidi"/>
                <w:color w:val="auto"/>
              </w:rPr>
            </w:pPr>
            <w:r>
              <w:rPr>
                <w:rFonts w:ascii="宋体" w:hAnsi="宋体" w:eastAsia="宋体" w:cs="宋体"/>
                <w:color w:val="auto"/>
                <w:sz w:val="21"/>
              </w:rPr>
              <w:t>故障现象及原因</w:t>
            </w:r>
          </w:p>
        </w:tc>
        <w:tc>
          <w:tcPr>
            <w:tcW w:w="3827" w:type="dxa"/>
            <w:gridSpan w:val="5"/>
            <w:tcBorders>
              <w:top w:val="single" w:color="000000" w:sz="4" w:space="0"/>
              <w:left w:val="single" w:color="000000" w:sz="4" w:space="0"/>
              <w:bottom w:val="single" w:color="000000" w:sz="4" w:space="0"/>
              <w:right w:val="nil"/>
            </w:tcBorders>
          </w:tcPr>
          <w:p>
            <w:pPr>
              <w:rPr>
                <w:rFonts w:cstheme="minorBidi"/>
                <w:color w:val="auto"/>
              </w:rPr>
            </w:pPr>
          </w:p>
        </w:tc>
        <w:tc>
          <w:tcPr>
            <w:tcW w:w="3013" w:type="dxa"/>
            <w:gridSpan w:val="3"/>
            <w:tcBorders>
              <w:top w:val="single" w:color="000000" w:sz="4" w:space="0"/>
              <w:left w:val="nil"/>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766"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vAlign w:val="center"/>
          </w:tcPr>
          <w:p>
            <w:pPr>
              <w:ind w:left="252"/>
              <w:rPr>
                <w:rFonts w:cstheme="minorBidi"/>
                <w:color w:val="auto"/>
              </w:rPr>
            </w:pPr>
            <w:r>
              <w:rPr>
                <w:rFonts w:ascii="宋体" w:hAnsi="宋体" w:eastAsia="宋体" w:cs="宋体"/>
                <w:color w:val="auto"/>
                <w:sz w:val="21"/>
              </w:rPr>
              <w:t>故障处理结果</w:t>
            </w:r>
          </w:p>
        </w:tc>
        <w:tc>
          <w:tcPr>
            <w:tcW w:w="3827" w:type="dxa"/>
            <w:gridSpan w:val="5"/>
            <w:tcBorders>
              <w:top w:val="single" w:color="000000" w:sz="4" w:space="0"/>
              <w:left w:val="single" w:color="000000" w:sz="4" w:space="0"/>
              <w:bottom w:val="single" w:color="000000" w:sz="4" w:space="0"/>
              <w:right w:val="nil"/>
            </w:tcBorders>
          </w:tcPr>
          <w:p>
            <w:pPr>
              <w:rPr>
                <w:rFonts w:cstheme="minorBidi"/>
                <w:color w:val="auto"/>
              </w:rPr>
            </w:pPr>
          </w:p>
        </w:tc>
        <w:tc>
          <w:tcPr>
            <w:tcW w:w="3013" w:type="dxa"/>
            <w:gridSpan w:val="3"/>
            <w:tcBorders>
              <w:top w:val="single" w:color="000000" w:sz="4" w:space="0"/>
              <w:left w:val="nil"/>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464" w:hRule="atLeast"/>
          <w:jc w:val="center"/>
        </w:trPr>
        <w:tc>
          <w:tcPr>
            <w:tcW w:w="5807" w:type="dxa"/>
            <w:gridSpan w:val="7"/>
            <w:tcBorders>
              <w:top w:val="single" w:color="000000" w:sz="4" w:space="0"/>
              <w:left w:val="single" w:color="000000" w:sz="4" w:space="0"/>
              <w:bottom w:val="single" w:color="000000" w:sz="4" w:space="0"/>
              <w:right w:val="nil"/>
            </w:tcBorders>
            <w:vAlign w:val="center"/>
          </w:tcPr>
          <w:p>
            <w:pPr>
              <w:ind w:left="1620"/>
              <w:jc w:val="center"/>
              <w:rPr>
                <w:rFonts w:cstheme="minorBidi"/>
                <w:color w:val="auto"/>
              </w:rPr>
            </w:pPr>
            <w:r>
              <w:rPr>
                <w:rFonts w:ascii="宋体" w:hAnsi="宋体" w:eastAsia="宋体" w:cs="宋体"/>
                <w:color w:val="auto"/>
                <w:sz w:val="21"/>
              </w:rPr>
              <w:t>零配件使用情况</w:t>
            </w:r>
          </w:p>
        </w:tc>
        <w:tc>
          <w:tcPr>
            <w:tcW w:w="3013" w:type="dxa"/>
            <w:gridSpan w:val="3"/>
            <w:tcBorders>
              <w:top w:val="single" w:color="000000" w:sz="4" w:space="0"/>
              <w:left w:val="nil"/>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626"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ind w:left="41"/>
              <w:jc w:val="both"/>
              <w:rPr>
                <w:rFonts w:cstheme="minorBidi"/>
                <w:color w:val="auto"/>
              </w:rPr>
            </w:pPr>
            <w:r>
              <w:rPr>
                <w:rFonts w:ascii="宋体" w:hAnsi="宋体" w:eastAsia="宋体" w:cs="宋体"/>
                <w:color w:val="auto"/>
                <w:sz w:val="21"/>
              </w:rPr>
              <w:t>序号</w:t>
            </w:r>
          </w:p>
        </w:tc>
        <w:tc>
          <w:tcPr>
            <w:tcW w:w="2610" w:type="dxa"/>
            <w:gridSpan w:val="3"/>
            <w:tcBorders>
              <w:top w:val="single" w:color="000000" w:sz="4" w:space="0"/>
              <w:left w:val="single" w:color="000000" w:sz="4" w:space="0"/>
              <w:bottom w:val="single" w:color="000000" w:sz="4" w:space="0"/>
              <w:right w:val="single" w:color="000000" w:sz="4" w:space="0"/>
            </w:tcBorders>
            <w:vAlign w:val="center"/>
          </w:tcPr>
          <w:p>
            <w:pPr>
              <w:ind w:left="1"/>
              <w:jc w:val="center"/>
              <w:rPr>
                <w:rFonts w:cstheme="minorBidi"/>
                <w:color w:val="auto"/>
              </w:rPr>
            </w:pPr>
            <w:r>
              <w:rPr>
                <w:rFonts w:ascii="宋体" w:hAnsi="宋体" w:eastAsia="宋体" w:cs="宋体"/>
                <w:color w:val="auto"/>
                <w:sz w:val="21"/>
              </w:rPr>
              <w:t>零配件名称</w:t>
            </w:r>
          </w:p>
        </w:tc>
        <w:tc>
          <w:tcPr>
            <w:tcW w:w="1768" w:type="dxa"/>
            <w:gridSpan w:val="2"/>
            <w:tcBorders>
              <w:top w:val="single" w:color="000000" w:sz="4" w:space="0"/>
              <w:left w:val="single" w:color="000000" w:sz="4" w:space="0"/>
              <w:bottom w:val="single" w:color="000000" w:sz="4" w:space="0"/>
              <w:right w:val="single" w:color="000000" w:sz="4" w:space="0"/>
            </w:tcBorders>
            <w:vAlign w:val="center"/>
          </w:tcPr>
          <w:p>
            <w:pPr>
              <w:ind w:right="1"/>
              <w:jc w:val="center"/>
              <w:rPr>
                <w:rFonts w:cstheme="minorBidi"/>
                <w:color w:val="auto"/>
              </w:rPr>
            </w:pPr>
            <w:r>
              <w:rPr>
                <w:rFonts w:ascii="宋体" w:hAnsi="宋体" w:eastAsia="宋体" w:cs="宋体"/>
                <w:color w:val="auto"/>
                <w:sz w:val="21"/>
              </w:rPr>
              <w:t>规格型号</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cstheme="minorBidi"/>
                <w:color w:val="auto"/>
              </w:rPr>
            </w:pPr>
            <w:r>
              <w:rPr>
                <w:rFonts w:ascii="宋体" w:hAnsi="宋体" w:eastAsia="宋体" w:cs="宋体"/>
                <w:color w:val="auto"/>
                <w:sz w:val="21"/>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cstheme="minorBidi"/>
                <w:color w:val="auto"/>
              </w:rPr>
            </w:pPr>
            <w:r>
              <w:rPr>
                <w:rFonts w:ascii="宋体" w:hAnsi="宋体" w:eastAsia="宋体" w:cs="宋体"/>
                <w:color w:val="auto"/>
                <w:sz w:val="21"/>
              </w:rPr>
              <w:t>数量</w:t>
            </w:r>
          </w:p>
        </w:tc>
        <w:tc>
          <w:tcPr>
            <w:tcW w:w="23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theme="minorBidi"/>
                <w:color w:val="auto"/>
                <w:highlight w:val="none"/>
              </w:rPr>
            </w:pPr>
            <w:r>
              <w:rPr>
                <w:rFonts w:hint="eastAsia" w:cstheme="minorBidi"/>
                <w:color w:val="auto"/>
                <w:highlight w:val="none"/>
              </w:rPr>
              <w:t>配件提供单位</w:t>
            </w:r>
          </w:p>
          <w:p>
            <w:pPr>
              <w:jc w:val="center"/>
              <w:rPr>
                <w:rFonts w:cstheme="minorBidi"/>
                <w:color w:val="auto"/>
              </w:rPr>
            </w:pPr>
            <w:r>
              <w:rPr>
                <w:rFonts w:hint="eastAsia" w:cstheme="minorBidi"/>
                <w:color w:val="auto"/>
                <w:highlight w:val="none"/>
              </w:rPr>
              <w:t>（委外单位/项目）</w:t>
            </w:r>
          </w:p>
        </w:tc>
      </w:tr>
      <w:tr>
        <w:tblPrEx>
          <w:tblCellMar>
            <w:top w:w="37" w:type="dxa"/>
            <w:left w:w="108" w:type="dxa"/>
            <w:bottom w:w="37" w:type="dxa"/>
            <w:right w:w="110" w:type="dxa"/>
          </w:tblCellMar>
        </w:tblPrEx>
        <w:trPr>
          <w:trHeight w:val="632"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ind w:left="1"/>
              <w:jc w:val="center"/>
              <w:rPr>
                <w:rFonts w:cstheme="minorBidi"/>
                <w:color w:val="auto"/>
              </w:rPr>
            </w:pPr>
            <w:r>
              <w:rPr>
                <w:rFonts w:ascii="宋体" w:hAnsi="宋体" w:eastAsia="宋体" w:cs="宋体"/>
                <w:color w:val="auto"/>
                <w:sz w:val="21"/>
              </w:rPr>
              <w:t>1</w:t>
            </w:r>
          </w:p>
        </w:tc>
        <w:tc>
          <w:tcPr>
            <w:tcW w:w="2610" w:type="dxa"/>
            <w:gridSpan w:val="3"/>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1768" w:type="dxa"/>
            <w:gridSpan w:val="2"/>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709" w:type="dxa"/>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709" w:type="dxa"/>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2304" w:type="dxa"/>
            <w:gridSpan w:val="2"/>
            <w:tcBorders>
              <w:top w:val="single" w:color="000000" w:sz="4" w:space="0"/>
              <w:left w:val="single" w:color="000000" w:sz="4" w:space="0"/>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61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ind w:left="1"/>
              <w:jc w:val="center"/>
              <w:rPr>
                <w:rFonts w:cstheme="minorBidi"/>
                <w:color w:val="auto"/>
              </w:rPr>
            </w:pPr>
            <w:r>
              <w:rPr>
                <w:rFonts w:ascii="宋体" w:hAnsi="宋体" w:eastAsia="宋体" w:cs="宋体"/>
                <w:color w:val="auto"/>
                <w:sz w:val="21"/>
              </w:rPr>
              <w:t>2</w:t>
            </w:r>
          </w:p>
        </w:tc>
        <w:tc>
          <w:tcPr>
            <w:tcW w:w="2610" w:type="dxa"/>
            <w:gridSpan w:val="3"/>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1768" w:type="dxa"/>
            <w:gridSpan w:val="2"/>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709" w:type="dxa"/>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709" w:type="dxa"/>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2304" w:type="dxa"/>
            <w:gridSpan w:val="2"/>
            <w:tcBorders>
              <w:top w:val="single" w:color="000000" w:sz="4" w:space="0"/>
              <w:left w:val="single" w:color="000000" w:sz="4" w:space="0"/>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63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ind w:left="1"/>
              <w:jc w:val="center"/>
              <w:rPr>
                <w:rFonts w:cstheme="minorBidi"/>
                <w:color w:val="auto"/>
              </w:rPr>
            </w:pPr>
            <w:r>
              <w:rPr>
                <w:rFonts w:ascii="宋体" w:hAnsi="宋体" w:eastAsia="宋体" w:cs="宋体"/>
                <w:color w:val="auto"/>
                <w:sz w:val="21"/>
              </w:rPr>
              <w:t>3</w:t>
            </w:r>
          </w:p>
        </w:tc>
        <w:tc>
          <w:tcPr>
            <w:tcW w:w="2610" w:type="dxa"/>
            <w:gridSpan w:val="3"/>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1768" w:type="dxa"/>
            <w:gridSpan w:val="2"/>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709" w:type="dxa"/>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709" w:type="dxa"/>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2304" w:type="dxa"/>
            <w:gridSpan w:val="2"/>
            <w:tcBorders>
              <w:top w:val="single" w:color="000000" w:sz="4" w:space="0"/>
              <w:left w:val="single" w:color="000000" w:sz="4" w:space="0"/>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63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ind w:left="1"/>
              <w:jc w:val="center"/>
              <w:rPr>
                <w:rFonts w:ascii="宋体" w:hAnsi="宋体" w:eastAsia="宋体" w:cs="宋体"/>
                <w:color w:val="auto"/>
                <w:sz w:val="21"/>
              </w:rPr>
            </w:pPr>
            <w:r>
              <w:rPr>
                <w:rFonts w:hint="eastAsia" w:ascii="宋体" w:hAnsi="宋体" w:eastAsia="宋体" w:cs="宋体"/>
                <w:color w:val="auto"/>
                <w:sz w:val="21"/>
              </w:rPr>
              <w:t>4</w:t>
            </w:r>
          </w:p>
        </w:tc>
        <w:tc>
          <w:tcPr>
            <w:tcW w:w="2610" w:type="dxa"/>
            <w:gridSpan w:val="3"/>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1768" w:type="dxa"/>
            <w:gridSpan w:val="2"/>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709" w:type="dxa"/>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709" w:type="dxa"/>
            <w:tcBorders>
              <w:top w:val="single" w:color="000000" w:sz="4" w:space="0"/>
              <w:left w:val="single" w:color="000000" w:sz="4" w:space="0"/>
              <w:bottom w:val="single" w:color="000000" w:sz="4" w:space="0"/>
              <w:right w:val="single" w:color="000000" w:sz="4" w:space="0"/>
            </w:tcBorders>
          </w:tcPr>
          <w:p>
            <w:pPr>
              <w:rPr>
                <w:rFonts w:cstheme="minorBidi"/>
                <w:color w:val="auto"/>
              </w:rPr>
            </w:pPr>
          </w:p>
        </w:tc>
        <w:tc>
          <w:tcPr>
            <w:tcW w:w="2304" w:type="dxa"/>
            <w:gridSpan w:val="2"/>
            <w:tcBorders>
              <w:top w:val="single" w:color="000000" w:sz="4" w:space="0"/>
              <w:left w:val="single" w:color="000000" w:sz="4" w:space="0"/>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1042" w:hRule="atLeast"/>
          <w:jc w:val="center"/>
        </w:trPr>
        <w:tc>
          <w:tcPr>
            <w:tcW w:w="5807" w:type="dxa"/>
            <w:gridSpan w:val="7"/>
            <w:tcBorders>
              <w:top w:val="single" w:color="000000" w:sz="4" w:space="0"/>
              <w:left w:val="single" w:color="000000" w:sz="4" w:space="0"/>
              <w:bottom w:val="single" w:color="000000" w:sz="4" w:space="0"/>
              <w:right w:val="nil"/>
            </w:tcBorders>
          </w:tcPr>
          <w:p>
            <w:pPr>
              <w:rPr>
                <w:rFonts w:ascii="宋体" w:hAnsi="宋体" w:eastAsia="宋体" w:cs="宋体"/>
                <w:color w:val="auto"/>
                <w:sz w:val="21"/>
              </w:rPr>
            </w:pPr>
            <w:r>
              <w:rPr>
                <w:rFonts w:ascii="宋体" w:hAnsi="宋体" w:eastAsia="宋体" w:cs="宋体"/>
                <w:color w:val="auto"/>
                <w:sz w:val="21"/>
              </w:rPr>
              <w:t xml:space="preserve">备注： </w:t>
            </w:r>
          </w:p>
          <w:p>
            <w:pPr>
              <w:rPr>
                <w:rFonts w:ascii="宋体" w:hAnsi="宋体" w:eastAsia="宋体" w:cs="宋体"/>
                <w:color w:val="auto"/>
                <w:sz w:val="21"/>
              </w:rPr>
            </w:pPr>
          </w:p>
          <w:p>
            <w:pPr>
              <w:rPr>
                <w:rFonts w:ascii="宋体" w:hAnsi="宋体" w:eastAsia="宋体" w:cs="宋体"/>
                <w:color w:val="auto"/>
                <w:sz w:val="21"/>
              </w:rPr>
            </w:pPr>
          </w:p>
          <w:p>
            <w:pPr>
              <w:rPr>
                <w:rFonts w:cstheme="minorBidi"/>
                <w:color w:val="auto"/>
              </w:rPr>
            </w:pPr>
          </w:p>
        </w:tc>
        <w:tc>
          <w:tcPr>
            <w:tcW w:w="3013" w:type="dxa"/>
            <w:gridSpan w:val="3"/>
            <w:tcBorders>
              <w:top w:val="single" w:color="000000" w:sz="4" w:space="0"/>
              <w:left w:val="nil"/>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558" w:hRule="atLeast"/>
          <w:jc w:val="center"/>
        </w:trPr>
        <w:tc>
          <w:tcPr>
            <w:tcW w:w="2160" w:type="dxa"/>
            <w:gridSpan w:val="3"/>
            <w:tcBorders>
              <w:top w:val="single" w:color="000000" w:sz="4" w:space="0"/>
              <w:left w:val="single" w:color="000000" w:sz="4" w:space="0"/>
              <w:bottom w:val="single" w:color="000000" w:sz="4" w:space="0"/>
              <w:right w:val="single" w:color="000000" w:sz="4" w:space="0"/>
            </w:tcBorders>
            <w:vAlign w:val="center"/>
          </w:tcPr>
          <w:p>
            <w:pPr>
              <w:ind w:left="132"/>
              <w:jc w:val="center"/>
              <w:rPr>
                <w:rFonts w:ascii="宋体" w:hAnsi="宋体" w:eastAsia="宋体" w:cs="宋体"/>
                <w:color w:val="auto"/>
                <w:sz w:val="21"/>
              </w:rPr>
            </w:pPr>
            <w:r>
              <w:rPr>
                <w:rFonts w:hint="eastAsia" w:ascii="宋体" w:hAnsi="宋体" w:eastAsia="宋体" w:cs="宋体"/>
                <w:color w:val="auto"/>
                <w:sz w:val="21"/>
              </w:rPr>
              <w:t>维保单位</w:t>
            </w:r>
            <w:r>
              <w:rPr>
                <w:rFonts w:ascii="宋体" w:hAnsi="宋体" w:eastAsia="宋体" w:cs="宋体"/>
                <w:color w:val="auto"/>
                <w:sz w:val="21"/>
              </w:rPr>
              <w:t>人员</w:t>
            </w:r>
          </w:p>
          <w:p>
            <w:pPr>
              <w:ind w:left="132"/>
              <w:jc w:val="center"/>
              <w:rPr>
                <w:rFonts w:cstheme="minorBidi"/>
                <w:color w:val="auto"/>
              </w:rPr>
            </w:pPr>
            <w:r>
              <w:rPr>
                <w:rFonts w:ascii="宋体" w:hAnsi="宋体" w:eastAsia="宋体" w:cs="宋体"/>
                <w:color w:val="auto"/>
                <w:sz w:val="21"/>
              </w:rPr>
              <w:t>签认</w:t>
            </w:r>
          </w:p>
        </w:tc>
        <w:tc>
          <w:tcPr>
            <w:tcW w:w="3647" w:type="dxa"/>
            <w:gridSpan w:val="4"/>
            <w:tcBorders>
              <w:top w:val="single" w:color="000000" w:sz="4" w:space="0"/>
              <w:left w:val="single" w:color="000000" w:sz="4" w:space="0"/>
              <w:bottom w:val="single" w:color="000000" w:sz="4" w:space="0"/>
              <w:right w:val="nil"/>
            </w:tcBorders>
            <w:vAlign w:val="bottom"/>
          </w:tcPr>
          <w:p>
            <w:pPr>
              <w:ind w:right="290"/>
              <w:jc w:val="right"/>
              <w:rPr>
                <w:rFonts w:cstheme="minorBidi"/>
                <w:color w:val="auto"/>
              </w:rPr>
            </w:pPr>
            <w:r>
              <w:rPr>
                <w:rFonts w:ascii="宋体" w:hAnsi="宋体" w:eastAsia="宋体" w:cs="宋体"/>
                <w:color w:val="auto"/>
                <w:sz w:val="21"/>
              </w:rPr>
              <w:t>签 名：</w:t>
            </w:r>
          </w:p>
        </w:tc>
        <w:tc>
          <w:tcPr>
            <w:tcW w:w="3013" w:type="dxa"/>
            <w:gridSpan w:val="3"/>
            <w:tcBorders>
              <w:top w:val="single" w:color="000000" w:sz="4" w:space="0"/>
              <w:left w:val="nil"/>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681" w:hRule="atLeast"/>
          <w:jc w:val="center"/>
        </w:trPr>
        <w:tc>
          <w:tcPr>
            <w:tcW w:w="2160" w:type="dxa"/>
            <w:gridSpan w:val="3"/>
            <w:tcBorders>
              <w:top w:val="single" w:color="000000" w:sz="4" w:space="0"/>
              <w:left w:val="single" w:color="000000" w:sz="4" w:space="0"/>
              <w:bottom w:val="single" w:color="000000" w:sz="4" w:space="0"/>
              <w:right w:val="single" w:color="000000" w:sz="4" w:space="0"/>
            </w:tcBorders>
            <w:vAlign w:val="center"/>
          </w:tcPr>
          <w:p>
            <w:pPr>
              <w:ind w:left="132"/>
              <w:jc w:val="center"/>
              <w:rPr>
                <w:rFonts w:ascii="宋体" w:hAnsi="宋体" w:eastAsia="宋体" w:cs="宋体"/>
                <w:color w:val="auto"/>
                <w:sz w:val="21"/>
              </w:rPr>
            </w:pPr>
            <w:r>
              <w:rPr>
                <w:rFonts w:hint="eastAsia" w:ascii="宋体" w:hAnsi="宋体" w:eastAsia="宋体" w:cs="宋体"/>
                <w:color w:val="auto"/>
                <w:sz w:val="21"/>
              </w:rPr>
              <w:t>现场</w:t>
            </w:r>
            <w:r>
              <w:rPr>
                <w:rFonts w:ascii="宋体" w:hAnsi="宋体" w:eastAsia="宋体" w:cs="宋体"/>
                <w:color w:val="auto"/>
                <w:sz w:val="21"/>
              </w:rPr>
              <w:t>维修负责人</w:t>
            </w:r>
          </w:p>
          <w:p>
            <w:pPr>
              <w:ind w:left="132"/>
              <w:jc w:val="center"/>
              <w:rPr>
                <w:rFonts w:ascii="宋体" w:hAnsi="宋体" w:eastAsia="宋体" w:cs="宋体"/>
                <w:color w:val="auto"/>
                <w:sz w:val="21"/>
              </w:rPr>
            </w:pPr>
            <w:r>
              <w:rPr>
                <w:rFonts w:hint="eastAsia" w:ascii="宋体" w:hAnsi="宋体" w:eastAsia="宋体" w:cs="宋体"/>
                <w:color w:val="auto"/>
                <w:sz w:val="21"/>
              </w:rPr>
              <w:t>签认</w:t>
            </w:r>
          </w:p>
        </w:tc>
        <w:tc>
          <w:tcPr>
            <w:tcW w:w="3647" w:type="dxa"/>
            <w:gridSpan w:val="4"/>
            <w:tcBorders>
              <w:top w:val="single" w:color="000000" w:sz="4" w:space="0"/>
              <w:left w:val="single" w:color="000000" w:sz="4" w:space="0"/>
              <w:bottom w:val="single" w:color="000000" w:sz="4" w:space="0"/>
              <w:right w:val="nil"/>
            </w:tcBorders>
            <w:vAlign w:val="bottom"/>
          </w:tcPr>
          <w:p>
            <w:pPr>
              <w:ind w:right="238"/>
              <w:jc w:val="right"/>
              <w:rPr>
                <w:rFonts w:cstheme="minorBidi"/>
                <w:color w:val="auto"/>
              </w:rPr>
            </w:pPr>
            <w:r>
              <w:rPr>
                <w:rFonts w:ascii="宋体" w:hAnsi="宋体" w:eastAsia="宋体" w:cs="宋体"/>
                <w:color w:val="auto"/>
                <w:sz w:val="21"/>
              </w:rPr>
              <w:t>签 名：</w:t>
            </w:r>
          </w:p>
        </w:tc>
        <w:tc>
          <w:tcPr>
            <w:tcW w:w="3013" w:type="dxa"/>
            <w:gridSpan w:val="3"/>
            <w:tcBorders>
              <w:top w:val="single" w:color="000000" w:sz="4" w:space="0"/>
              <w:left w:val="nil"/>
              <w:bottom w:val="single" w:color="000000" w:sz="4" w:space="0"/>
              <w:right w:val="single" w:color="000000" w:sz="4" w:space="0"/>
            </w:tcBorders>
          </w:tcPr>
          <w:p>
            <w:pPr>
              <w:rPr>
                <w:rFonts w:cstheme="minorBidi"/>
                <w:color w:val="auto"/>
              </w:rPr>
            </w:pPr>
          </w:p>
        </w:tc>
      </w:tr>
      <w:tr>
        <w:tblPrEx>
          <w:tblCellMar>
            <w:top w:w="37" w:type="dxa"/>
            <w:left w:w="108" w:type="dxa"/>
            <w:bottom w:w="37" w:type="dxa"/>
            <w:right w:w="110" w:type="dxa"/>
          </w:tblCellMar>
        </w:tblPrEx>
        <w:trPr>
          <w:trHeight w:val="763" w:hRule="atLeast"/>
          <w:jc w:val="center"/>
        </w:trPr>
        <w:tc>
          <w:tcPr>
            <w:tcW w:w="2160" w:type="dxa"/>
            <w:gridSpan w:val="3"/>
            <w:tcBorders>
              <w:top w:val="single" w:color="000000" w:sz="4" w:space="0"/>
              <w:left w:val="single" w:color="000000" w:sz="4" w:space="0"/>
              <w:bottom w:val="single" w:color="000000" w:sz="4" w:space="0"/>
              <w:right w:val="single" w:color="000000" w:sz="4" w:space="0"/>
            </w:tcBorders>
            <w:vAlign w:val="center"/>
          </w:tcPr>
          <w:p>
            <w:pPr>
              <w:ind w:left="132"/>
              <w:jc w:val="center"/>
              <w:rPr>
                <w:rFonts w:ascii="宋体" w:hAnsi="宋体" w:eastAsia="宋体" w:cs="宋体"/>
                <w:color w:val="auto"/>
                <w:sz w:val="21"/>
              </w:rPr>
            </w:pPr>
            <w:r>
              <w:rPr>
                <w:rFonts w:hint="eastAsia" w:ascii="宋体" w:hAnsi="宋体" w:eastAsia="宋体" w:cs="宋体"/>
                <w:color w:val="auto"/>
                <w:sz w:val="21"/>
                <w:lang w:eastAsia="zh-CN"/>
              </w:rPr>
              <w:t>招标人</w:t>
            </w:r>
            <w:r>
              <w:rPr>
                <w:rFonts w:hint="eastAsia" w:ascii="宋体" w:hAnsi="宋体" w:eastAsia="宋体" w:cs="宋体"/>
                <w:color w:val="auto"/>
                <w:sz w:val="21"/>
              </w:rPr>
              <w:t>负责人</w:t>
            </w:r>
          </w:p>
          <w:p>
            <w:pPr>
              <w:ind w:left="132"/>
              <w:jc w:val="center"/>
              <w:rPr>
                <w:rFonts w:ascii="宋体" w:hAnsi="宋体" w:eastAsia="宋体" w:cs="宋体"/>
                <w:color w:val="auto"/>
                <w:sz w:val="21"/>
              </w:rPr>
            </w:pPr>
            <w:r>
              <w:rPr>
                <w:rFonts w:hint="eastAsia" w:ascii="宋体" w:hAnsi="宋体" w:eastAsia="宋体" w:cs="宋体"/>
                <w:color w:val="auto"/>
                <w:sz w:val="21"/>
              </w:rPr>
              <w:t>签认</w:t>
            </w:r>
          </w:p>
        </w:tc>
        <w:tc>
          <w:tcPr>
            <w:tcW w:w="3647" w:type="dxa"/>
            <w:gridSpan w:val="4"/>
            <w:tcBorders>
              <w:top w:val="single" w:color="000000" w:sz="4" w:space="0"/>
              <w:left w:val="single" w:color="000000" w:sz="4" w:space="0"/>
              <w:bottom w:val="single" w:color="000000" w:sz="4" w:space="0"/>
              <w:right w:val="nil"/>
            </w:tcBorders>
            <w:vAlign w:val="bottom"/>
          </w:tcPr>
          <w:p>
            <w:pPr>
              <w:ind w:right="238"/>
              <w:jc w:val="right"/>
              <w:rPr>
                <w:rFonts w:cstheme="minorBidi"/>
                <w:color w:val="auto"/>
              </w:rPr>
            </w:pPr>
            <w:r>
              <w:rPr>
                <w:rFonts w:ascii="宋体" w:hAnsi="宋体" w:eastAsia="宋体" w:cs="宋体"/>
                <w:color w:val="auto"/>
                <w:sz w:val="21"/>
              </w:rPr>
              <w:t>签 名：</w:t>
            </w:r>
          </w:p>
        </w:tc>
        <w:tc>
          <w:tcPr>
            <w:tcW w:w="3013" w:type="dxa"/>
            <w:gridSpan w:val="3"/>
            <w:tcBorders>
              <w:top w:val="single" w:color="000000" w:sz="4" w:space="0"/>
              <w:left w:val="nil"/>
              <w:bottom w:val="single" w:color="000000" w:sz="4" w:space="0"/>
              <w:right w:val="single" w:color="000000" w:sz="4" w:space="0"/>
            </w:tcBorders>
          </w:tcPr>
          <w:p>
            <w:pPr>
              <w:rPr>
                <w:rFonts w:cstheme="minorBidi"/>
                <w:color w:val="auto"/>
              </w:rPr>
            </w:pPr>
          </w:p>
        </w:tc>
      </w:tr>
    </w:tbl>
    <w:p>
      <w:pPr>
        <w:rPr>
          <w:color w:val="auto"/>
        </w:rPr>
        <w:sectPr>
          <w:pgSz w:w="11906" w:h="16838"/>
          <w:pgMar w:top="1440" w:right="1361" w:bottom="1440" w:left="1361" w:header="851" w:footer="992" w:gutter="0"/>
          <w:pgBorders>
            <w:top w:val="none" w:sz="0" w:space="0"/>
            <w:left w:val="none" w:sz="0" w:space="0"/>
            <w:bottom w:val="none" w:sz="0" w:space="0"/>
            <w:right w:val="none" w:sz="0" w:space="0"/>
          </w:pgBorders>
          <w:pgNumType w:fmt="decimal"/>
          <w:cols w:space="425" w:num="1"/>
          <w:docGrid w:type="lines" w:linePitch="326" w:charSpace="0"/>
        </w:sectPr>
      </w:pPr>
    </w:p>
    <w:p>
      <w:pPr>
        <w:pStyle w:val="4"/>
        <w:spacing w:before="120" w:after="120" w:line="240" w:lineRule="auto"/>
        <w:rPr>
          <w:rFonts w:cs="Times New Roman" w:asciiTheme="majorEastAsia" w:hAnsiTheme="majorEastAsia" w:eastAsiaTheme="majorEastAsia"/>
          <w:color w:val="auto"/>
          <w:kern w:val="2"/>
          <w:sz w:val="28"/>
          <w:szCs w:val="28"/>
        </w:rPr>
      </w:pPr>
      <w:bookmarkStart w:id="230" w:name="_Toc11839"/>
      <w:bookmarkStart w:id="231" w:name="_Toc93068899"/>
      <w:bookmarkStart w:id="232" w:name="_Toc25835"/>
      <w:r>
        <w:rPr>
          <w:rFonts w:hint="eastAsia" w:cs="Times New Roman" w:asciiTheme="majorEastAsia" w:hAnsiTheme="majorEastAsia" w:eastAsiaTheme="majorEastAsia"/>
          <w:color w:val="auto"/>
          <w:kern w:val="2"/>
          <w:sz w:val="28"/>
          <w:szCs w:val="28"/>
        </w:rPr>
        <w:t>附件</w:t>
      </w:r>
      <w:r>
        <w:rPr>
          <w:rFonts w:hint="eastAsia" w:cs="Times New Roman" w:asciiTheme="majorEastAsia" w:hAnsiTheme="majorEastAsia" w:eastAsiaTheme="majorEastAsia"/>
          <w:color w:val="auto"/>
          <w:kern w:val="2"/>
          <w:sz w:val="28"/>
          <w:szCs w:val="28"/>
          <w:lang w:eastAsia="zh-CN"/>
        </w:rPr>
        <w:t>七</w:t>
      </w:r>
      <w:r>
        <w:rPr>
          <w:rFonts w:hint="eastAsia" w:cs="Times New Roman" w:asciiTheme="majorEastAsia" w:hAnsiTheme="majorEastAsia" w:eastAsiaTheme="majorEastAsia"/>
          <w:color w:val="auto"/>
          <w:kern w:val="2"/>
          <w:sz w:val="28"/>
          <w:szCs w:val="28"/>
        </w:rPr>
        <w:t>：电梯维修保养月度考核评分表</w:t>
      </w:r>
      <w:bookmarkEnd w:id="230"/>
      <w:bookmarkEnd w:id="231"/>
      <w:bookmarkEnd w:id="232"/>
    </w:p>
    <w:tbl>
      <w:tblPr>
        <w:tblStyle w:val="30"/>
        <w:tblW w:w="9541" w:type="dxa"/>
        <w:jc w:val="center"/>
        <w:tblLayout w:type="fixed"/>
        <w:tblCellMar>
          <w:top w:w="0" w:type="dxa"/>
          <w:left w:w="108" w:type="dxa"/>
          <w:bottom w:w="0" w:type="dxa"/>
          <w:right w:w="108" w:type="dxa"/>
        </w:tblCellMar>
      </w:tblPr>
      <w:tblGrid>
        <w:gridCol w:w="718"/>
        <w:gridCol w:w="764"/>
        <w:gridCol w:w="5615"/>
        <w:gridCol w:w="1550"/>
        <w:gridCol w:w="894"/>
      </w:tblGrid>
      <w:tr>
        <w:tblPrEx>
          <w:tblCellMar>
            <w:top w:w="0" w:type="dxa"/>
            <w:left w:w="108" w:type="dxa"/>
            <w:bottom w:w="0" w:type="dxa"/>
            <w:right w:w="108" w:type="dxa"/>
          </w:tblCellMar>
        </w:tblPrEx>
        <w:trPr>
          <w:trHeight w:val="602"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6379"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评价标准</w:t>
            </w:r>
          </w:p>
        </w:tc>
        <w:tc>
          <w:tcPr>
            <w:tcW w:w="1550"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扣分</w:t>
            </w:r>
            <w:r>
              <w:rPr>
                <w:rFonts w:ascii="宋体" w:hAnsi="宋体" w:eastAsia="宋体" w:cs="宋体"/>
                <w:color w:val="auto"/>
                <w:sz w:val="24"/>
                <w:szCs w:val="24"/>
              </w:rPr>
              <w:t>情况</w:t>
            </w:r>
          </w:p>
        </w:tc>
        <w:tc>
          <w:tcPr>
            <w:tcW w:w="89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备</w:t>
            </w:r>
            <w:r>
              <w:rPr>
                <w:rFonts w:ascii="宋体" w:hAnsi="宋体" w:eastAsia="宋体" w:cs="宋体"/>
                <w:color w:val="auto"/>
                <w:sz w:val="24"/>
                <w:szCs w:val="24"/>
              </w:rPr>
              <w:t>注</w:t>
            </w:r>
          </w:p>
        </w:tc>
      </w:tr>
      <w:tr>
        <w:tblPrEx>
          <w:tblCellMar>
            <w:top w:w="0" w:type="dxa"/>
            <w:left w:w="108" w:type="dxa"/>
            <w:bottom w:w="0" w:type="dxa"/>
            <w:right w:w="108" w:type="dxa"/>
          </w:tblCellMar>
        </w:tblPrEx>
        <w:trPr>
          <w:trHeight w:val="747"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6379" w:type="dxa"/>
            <w:gridSpan w:val="2"/>
            <w:tcBorders>
              <w:top w:val="nil"/>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维</w:t>
            </w:r>
            <w:r>
              <w:rPr>
                <w:rFonts w:ascii="宋体" w:hAnsi="宋体" w:eastAsia="宋体" w:cs="宋体"/>
                <w:color w:val="auto"/>
                <w:sz w:val="24"/>
                <w:szCs w:val="24"/>
              </w:rPr>
              <w:t>修保养</w:t>
            </w:r>
            <w:r>
              <w:rPr>
                <w:rFonts w:hint="eastAsia" w:ascii="宋体" w:hAnsi="宋体" w:eastAsia="宋体" w:cs="宋体"/>
                <w:color w:val="auto"/>
                <w:sz w:val="24"/>
                <w:szCs w:val="24"/>
              </w:rPr>
              <w:t>人员持证上岗，维保人员不具备资质</w:t>
            </w:r>
            <w:r>
              <w:rPr>
                <w:rFonts w:ascii="宋体" w:hAnsi="宋体" w:eastAsia="宋体" w:cs="宋体"/>
                <w:color w:val="auto"/>
                <w:sz w:val="24"/>
                <w:szCs w:val="24"/>
              </w:rPr>
              <w:t>要求</w:t>
            </w:r>
            <w:r>
              <w:rPr>
                <w:rFonts w:hint="eastAsia" w:ascii="宋体" w:hAnsi="宋体" w:eastAsia="宋体" w:cs="宋体"/>
                <w:color w:val="auto"/>
                <w:sz w:val="24"/>
                <w:szCs w:val="24"/>
              </w:rPr>
              <w:t>，发</w:t>
            </w:r>
            <w:r>
              <w:rPr>
                <w:rFonts w:ascii="宋体" w:hAnsi="宋体" w:eastAsia="宋体" w:cs="宋体"/>
                <w:color w:val="auto"/>
                <w:sz w:val="24"/>
                <w:szCs w:val="24"/>
              </w:rPr>
              <w:t>生一次扣15</w:t>
            </w:r>
            <w:r>
              <w:rPr>
                <w:rFonts w:hint="eastAsia" w:ascii="宋体" w:hAnsi="宋体" w:eastAsia="宋体" w:cs="宋体"/>
                <w:color w:val="auto"/>
                <w:sz w:val="24"/>
                <w:szCs w:val="24"/>
              </w:rPr>
              <w:t>分/人</w:t>
            </w:r>
            <w:r>
              <w:rPr>
                <w:rFonts w:ascii="宋体" w:hAnsi="宋体" w:eastAsia="宋体" w:cs="宋体"/>
                <w:color w:val="auto"/>
                <w:sz w:val="24"/>
                <w:szCs w:val="24"/>
              </w:rPr>
              <w:t>次</w:t>
            </w:r>
            <w:r>
              <w:rPr>
                <w:rFonts w:hint="eastAsia" w:ascii="宋体" w:hAnsi="宋体" w:eastAsia="宋体" w:cs="宋体"/>
                <w:color w:val="auto"/>
                <w:sz w:val="24"/>
                <w:szCs w:val="24"/>
              </w:rPr>
              <w:t>，并</w:t>
            </w:r>
            <w:r>
              <w:rPr>
                <w:rFonts w:ascii="宋体" w:hAnsi="宋体" w:eastAsia="宋体" w:cs="宋体"/>
                <w:color w:val="auto"/>
                <w:sz w:val="24"/>
                <w:szCs w:val="24"/>
              </w:rPr>
              <w:t>按</w:t>
            </w:r>
            <w:r>
              <w:rPr>
                <w:rFonts w:hint="eastAsia" w:ascii="宋体" w:hAnsi="宋体" w:eastAsia="宋体" w:cs="宋体"/>
                <w:color w:val="auto"/>
                <w:sz w:val="24"/>
                <w:szCs w:val="24"/>
              </w:rPr>
              <w:t>违</w:t>
            </w:r>
            <w:r>
              <w:rPr>
                <w:rFonts w:ascii="宋体" w:hAnsi="宋体" w:eastAsia="宋体" w:cs="宋体"/>
                <w:color w:val="auto"/>
                <w:sz w:val="24"/>
                <w:szCs w:val="24"/>
              </w:rPr>
              <w:t>约责任</w:t>
            </w:r>
            <w:r>
              <w:rPr>
                <w:rFonts w:hint="eastAsia" w:ascii="宋体" w:hAnsi="宋体" w:eastAsia="宋体" w:cs="宋体"/>
                <w:color w:val="auto"/>
                <w:sz w:val="24"/>
                <w:szCs w:val="24"/>
              </w:rPr>
              <w:t>处置</w:t>
            </w:r>
            <w:r>
              <w:rPr>
                <w:rFonts w:ascii="宋体" w:hAnsi="宋体" w:eastAsia="宋体" w:cs="宋体"/>
                <w:color w:val="auto"/>
                <w:sz w:val="24"/>
                <w:szCs w:val="24"/>
              </w:rPr>
              <w:t>。</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宋体"/>
                <w:color w:val="auto"/>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826"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6379" w:type="dxa"/>
            <w:gridSpan w:val="2"/>
            <w:tcBorders>
              <w:top w:val="nil"/>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未经</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同意不得随意变更作业人员，发生一次每人次扣</w:t>
            </w:r>
            <w:r>
              <w:rPr>
                <w:rFonts w:ascii="宋体" w:hAnsi="宋体" w:eastAsia="宋体" w:cs="宋体"/>
                <w:color w:val="auto"/>
                <w:sz w:val="24"/>
                <w:szCs w:val="24"/>
              </w:rPr>
              <w:t>3</w:t>
            </w:r>
            <w:r>
              <w:rPr>
                <w:rFonts w:hint="eastAsia" w:ascii="宋体" w:hAnsi="宋体" w:eastAsia="宋体" w:cs="宋体"/>
                <w:color w:val="auto"/>
                <w:sz w:val="24"/>
                <w:szCs w:val="24"/>
              </w:rPr>
              <w:t>分，并</w:t>
            </w:r>
            <w:r>
              <w:rPr>
                <w:rFonts w:ascii="宋体" w:hAnsi="宋体" w:eastAsia="宋体" w:cs="宋体"/>
                <w:color w:val="auto"/>
                <w:sz w:val="24"/>
                <w:szCs w:val="24"/>
              </w:rPr>
              <w:t>按违约责</w:t>
            </w:r>
            <w:r>
              <w:rPr>
                <w:rFonts w:hint="eastAsia" w:ascii="宋体" w:hAnsi="宋体" w:eastAsia="宋体" w:cs="宋体"/>
                <w:color w:val="auto"/>
                <w:sz w:val="24"/>
                <w:szCs w:val="24"/>
              </w:rPr>
              <w:t>任处置</w:t>
            </w:r>
            <w:r>
              <w:rPr>
                <w:rFonts w:ascii="宋体" w:hAnsi="宋体" w:eastAsia="宋体" w:cs="宋体"/>
                <w:color w:val="auto"/>
                <w:sz w:val="24"/>
                <w:szCs w:val="24"/>
              </w:rPr>
              <w:t>。</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宋体"/>
                <w:color w:val="auto"/>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1151"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6379" w:type="dxa"/>
            <w:gridSpan w:val="2"/>
            <w:tcBorders>
              <w:top w:val="nil"/>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故障接报无人受理，由于</w:t>
            </w:r>
            <w:r>
              <w:rPr>
                <w:rFonts w:hint="eastAsia" w:ascii="宋体" w:hAnsi="宋体" w:eastAsia="宋体" w:cs="宋体"/>
                <w:color w:val="auto"/>
                <w:sz w:val="24"/>
                <w:szCs w:val="24"/>
                <w:lang w:eastAsia="zh-CN"/>
              </w:rPr>
              <w:t>中标人</w:t>
            </w:r>
            <w:bookmarkStart w:id="233" w:name="_GoBack"/>
            <w:bookmarkEnd w:id="233"/>
            <w:r>
              <w:rPr>
                <w:rFonts w:hint="eastAsia" w:ascii="宋体" w:hAnsi="宋体" w:eastAsia="宋体" w:cs="宋体"/>
                <w:color w:val="auto"/>
                <w:sz w:val="24"/>
                <w:szCs w:val="24"/>
              </w:rPr>
              <w:t>通讯不畅，造成信息未能及时传达，导致故障处理延误，发</w:t>
            </w:r>
            <w:r>
              <w:rPr>
                <w:rFonts w:ascii="宋体" w:hAnsi="宋体" w:eastAsia="宋体" w:cs="宋体"/>
                <w:color w:val="auto"/>
                <w:sz w:val="24"/>
                <w:szCs w:val="24"/>
              </w:rPr>
              <w:t>生一次扣</w:t>
            </w:r>
            <w:r>
              <w:rPr>
                <w:rFonts w:hint="eastAsia" w:ascii="宋体" w:hAnsi="宋体" w:eastAsia="宋体" w:cs="宋体"/>
                <w:color w:val="auto"/>
                <w:sz w:val="24"/>
                <w:szCs w:val="24"/>
              </w:rPr>
              <w:t>5分，并</w:t>
            </w:r>
            <w:r>
              <w:rPr>
                <w:rFonts w:ascii="宋体" w:hAnsi="宋体" w:eastAsia="宋体" w:cs="宋体"/>
                <w:color w:val="auto"/>
                <w:sz w:val="24"/>
                <w:szCs w:val="24"/>
              </w:rPr>
              <w:t>按</w:t>
            </w:r>
            <w:r>
              <w:rPr>
                <w:rFonts w:hint="eastAsia" w:ascii="宋体" w:hAnsi="宋体" w:eastAsia="宋体" w:cs="宋体"/>
                <w:color w:val="auto"/>
                <w:sz w:val="24"/>
                <w:szCs w:val="24"/>
              </w:rPr>
              <w:t>违</w:t>
            </w:r>
            <w:r>
              <w:rPr>
                <w:rFonts w:ascii="宋体" w:hAnsi="宋体" w:eastAsia="宋体" w:cs="宋体"/>
                <w:color w:val="auto"/>
                <w:sz w:val="24"/>
                <w:szCs w:val="24"/>
              </w:rPr>
              <w:t>约责任</w:t>
            </w:r>
            <w:r>
              <w:rPr>
                <w:rFonts w:hint="eastAsia" w:ascii="宋体" w:hAnsi="宋体" w:eastAsia="宋体" w:cs="宋体"/>
                <w:color w:val="auto"/>
                <w:sz w:val="24"/>
                <w:szCs w:val="24"/>
              </w:rPr>
              <w:t>处置。</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宋体"/>
                <w:color w:val="auto"/>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1267"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6379" w:type="dxa"/>
            <w:gridSpan w:val="2"/>
            <w:tcBorders>
              <w:top w:val="nil"/>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按</w:t>
            </w:r>
            <w:r>
              <w:rPr>
                <w:rFonts w:ascii="宋体" w:hAnsi="宋体" w:eastAsia="宋体" w:cs="宋体"/>
                <w:color w:val="auto"/>
                <w:sz w:val="24"/>
                <w:szCs w:val="24"/>
              </w:rPr>
              <w:t>时提交月度维</w:t>
            </w:r>
            <w:r>
              <w:rPr>
                <w:rFonts w:hint="eastAsia" w:ascii="宋体" w:hAnsi="宋体" w:eastAsia="宋体" w:cs="宋体"/>
                <w:color w:val="auto"/>
                <w:sz w:val="24"/>
                <w:szCs w:val="24"/>
              </w:rPr>
              <w:t>保计</w:t>
            </w:r>
            <w:r>
              <w:rPr>
                <w:rFonts w:ascii="宋体" w:hAnsi="宋体" w:eastAsia="宋体" w:cs="宋体"/>
                <w:color w:val="auto"/>
                <w:sz w:val="24"/>
                <w:szCs w:val="24"/>
              </w:rPr>
              <w:t>划</w:t>
            </w:r>
            <w:r>
              <w:rPr>
                <w:rFonts w:hint="eastAsia" w:ascii="宋体" w:hAnsi="宋体" w:eastAsia="宋体" w:cs="宋体"/>
                <w:color w:val="auto"/>
                <w:sz w:val="24"/>
                <w:szCs w:val="24"/>
              </w:rPr>
              <w:t>，</w:t>
            </w:r>
            <w:r>
              <w:rPr>
                <w:rFonts w:ascii="宋体" w:hAnsi="宋体" w:eastAsia="宋体" w:cs="宋体"/>
                <w:color w:val="auto"/>
                <w:sz w:val="24"/>
                <w:szCs w:val="24"/>
              </w:rPr>
              <w:t>未按时间要求提交维保</w:t>
            </w:r>
            <w:r>
              <w:rPr>
                <w:rFonts w:hint="eastAsia" w:ascii="宋体" w:hAnsi="宋体" w:eastAsia="宋体" w:cs="宋体"/>
                <w:color w:val="auto"/>
                <w:sz w:val="24"/>
                <w:szCs w:val="24"/>
              </w:rPr>
              <w:t>计</w:t>
            </w:r>
            <w:r>
              <w:rPr>
                <w:rFonts w:ascii="宋体" w:hAnsi="宋体" w:eastAsia="宋体" w:cs="宋体"/>
                <w:color w:val="auto"/>
                <w:sz w:val="24"/>
                <w:szCs w:val="24"/>
              </w:rPr>
              <w:t>划并</w:t>
            </w:r>
            <w:r>
              <w:rPr>
                <w:rFonts w:hint="eastAsia" w:ascii="宋体" w:hAnsi="宋体" w:eastAsia="宋体" w:cs="宋体"/>
                <w:color w:val="auto"/>
                <w:sz w:val="24"/>
                <w:szCs w:val="24"/>
              </w:rPr>
              <w:t>经</w:t>
            </w:r>
            <w:r>
              <w:rPr>
                <w:rFonts w:hint="eastAsia" w:ascii="宋体" w:hAnsi="宋体" w:eastAsia="宋体" w:cs="宋体"/>
                <w:color w:val="auto"/>
                <w:sz w:val="24"/>
                <w:szCs w:val="24"/>
                <w:lang w:eastAsia="zh-CN"/>
              </w:rPr>
              <w:t>招标人</w:t>
            </w:r>
            <w:r>
              <w:rPr>
                <w:rFonts w:ascii="宋体" w:hAnsi="宋体" w:eastAsia="宋体" w:cs="宋体"/>
                <w:color w:val="auto"/>
                <w:sz w:val="24"/>
                <w:szCs w:val="24"/>
              </w:rPr>
              <w:t>审批的</w:t>
            </w:r>
            <w:r>
              <w:rPr>
                <w:rFonts w:hint="eastAsia" w:ascii="宋体" w:hAnsi="宋体" w:eastAsia="宋体" w:cs="宋体"/>
                <w:color w:val="auto"/>
                <w:sz w:val="24"/>
                <w:szCs w:val="24"/>
              </w:rPr>
              <w:t>，发</w:t>
            </w:r>
            <w:r>
              <w:rPr>
                <w:rFonts w:ascii="宋体" w:hAnsi="宋体" w:eastAsia="宋体" w:cs="宋体"/>
                <w:color w:val="auto"/>
                <w:sz w:val="24"/>
                <w:szCs w:val="24"/>
              </w:rPr>
              <w:t>生一次扣</w:t>
            </w:r>
            <w:r>
              <w:rPr>
                <w:rFonts w:hint="eastAsia" w:ascii="宋体" w:hAnsi="宋体" w:eastAsia="宋体" w:cs="宋体"/>
                <w:color w:val="auto"/>
                <w:sz w:val="24"/>
                <w:szCs w:val="24"/>
              </w:rPr>
              <w:t>2分/天，维</w:t>
            </w:r>
            <w:r>
              <w:rPr>
                <w:rFonts w:ascii="宋体" w:hAnsi="宋体" w:eastAsia="宋体" w:cs="宋体"/>
                <w:color w:val="auto"/>
                <w:sz w:val="24"/>
                <w:szCs w:val="24"/>
              </w:rPr>
              <w:t>保计划</w:t>
            </w:r>
            <w:r>
              <w:rPr>
                <w:rFonts w:hint="eastAsia" w:ascii="宋体" w:hAnsi="宋体" w:eastAsia="宋体" w:cs="宋体"/>
                <w:color w:val="auto"/>
                <w:sz w:val="24"/>
                <w:szCs w:val="24"/>
              </w:rPr>
              <w:t>时</w:t>
            </w:r>
            <w:r>
              <w:rPr>
                <w:rFonts w:ascii="宋体" w:hAnsi="宋体" w:eastAsia="宋体" w:cs="宋体"/>
                <w:color w:val="auto"/>
                <w:sz w:val="24"/>
                <w:szCs w:val="24"/>
              </w:rPr>
              <w:t>间不</w:t>
            </w:r>
            <w:r>
              <w:rPr>
                <w:rFonts w:hint="eastAsia" w:ascii="宋体" w:hAnsi="宋体" w:eastAsia="宋体" w:cs="宋体"/>
                <w:color w:val="auto"/>
                <w:sz w:val="24"/>
                <w:szCs w:val="24"/>
              </w:rPr>
              <w:t>符</w:t>
            </w:r>
            <w:r>
              <w:rPr>
                <w:rFonts w:ascii="宋体" w:hAnsi="宋体" w:eastAsia="宋体" w:cs="宋体"/>
                <w:color w:val="auto"/>
                <w:sz w:val="24"/>
                <w:szCs w:val="24"/>
              </w:rPr>
              <w:t>合</w:t>
            </w:r>
            <w:r>
              <w:rPr>
                <w:rFonts w:hint="eastAsia" w:ascii="宋体" w:hAnsi="宋体" w:eastAsia="宋体" w:cs="宋体"/>
                <w:color w:val="auto"/>
                <w:sz w:val="24"/>
                <w:szCs w:val="24"/>
              </w:rPr>
              <w:t>相</w:t>
            </w:r>
            <w:r>
              <w:rPr>
                <w:rFonts w:ascii="宋体" w:hAnsi="宋体" w:eastAsia="宋体" w:cs="宋体"/>
                <w:color w:val="auto"/>
                <w:sz w:val="24"/>
                <w:szCs w:val="24"/>
              </w:rPr>
              <w:t>关规范要求的一</w:t>
            </w:r>
            <w:r>
              <w:rPr>
                <w:rFonts w:hint="eastAsia" w:ascii="宋体" w:hAnsi="宋体" w:eastAsia="宋体" w:cs="宋体"/>
                <w:color w:val="auto"/>
                <w:sz w:val="24"/>
                <w:szCs w:val="24"/>
              </w:rPr>
              <w:t>次</w:t>
            </w:r>
            <w:r>
              <w:rPr>
                <w:rFonts w:ascii="宋体" w:hAnsi="宋体" w:eastAsia="宋体" w:cs="宋体"/>
                <w:color w:val="auto"/>
                <w:sz w:val="24"/>
                <w:szCs w:val="24"/>
              </w:rPr>
              <w:t>扣</w:t>
            </w:r>
            <w:r>
              <w:rPr>
                <w:rFonts w:hint="eastAsia" w:ascii="宋体" w:hAnsi="宋体" w:eastAsia="宋体" w:cs="宋体"/>
                <w:color w:val="auto"/>
                <w:sz w:val="24"/>
                <w:szCs w:val="24"/>
              </w:rPr>
              <w:t>5分</w:t>
            </w:r>
            <w:r>
              <w:rPr>
                <w:rFonts w:ascii="宋体" w:hAnsi="宋体" w:eastAsia="宋体" w:cs="宋体"/>
                <w:color w:val="auto"/>
                <w:sz w:val="24"/>
                <w:szCs w:val="24"/>
              </w:rPr>
              <w:t>。</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宋体"/>
                <w:color w:val="auto"/>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1128"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5</w:t>
            </w:r>
          </w:p>
        </w:tc>
        <w:tc>
          <w:tcPr>
            <w:tcW w:w="6379" w:type="dxa"/>
            <w:gridSpan w:val="2"/>
            <w:tcBorders>
              <w:top w:val="nil"/>
              <w:left w:val="nil"/>
              <w:bottom w:val="single" w:color="auto" w:sz="4" w:space="0"/>
              <w:right w:val="single" w:color="auto" w:sz="4" w:space="0"/>
            </w:tcBorders>
            <w:vAlign w:val="center"/>
          </w:tcPr>
          <w:p>
            <w:pPr>
              <w:rPr>
                <w:rFonts w:ascii="仿宋" w:hAnsi="仿宋" w:eastAsia="仿宋" w:cs="宋体"/>
                <w:color w:val="auto"/>
                <w:szCs w:val="21"/>
              </w:rPr>
            </w:pPr>
            <w:r>
              <w:rPr>
                <w:rFonts w:hint="eastAsia" w:ascii="宋体" w:hAnsi="宋体" w:eastAsia="宋体" w:cs="宋体"/>
                <w:color w:val="auto"/>
                <w:sz w:val="24"/>
                <w:szCs w:val="24"/>
              </w:rPr>
              <w:t>保</w:t>
            </w:r>
            <w:r>
              <w:rPr>
                <w:rFonts w:ascii="宋体" w:hAnsi="宋体" w:eastAsia="宋体" w:cs="宋体"/>
                <w:color w:val="auto"/>
                <w:sz w:val="24"/>
                <w:szCs w:val="24"/>
              </w:rPr>
              <w:t>养</w:t>
            </w:r>
            <w:r>
              <w:rPr>
                <w:rFonts w:hint="eastAsia" w:ascii="宋体" w:hAnsi="宋体" w:eastAsia="宋体" w:cs="宋体"/>
                <w:color w:val="auto"/>
                <w:sz w:val="24"/>
                <w:szCs w:val="24"/>
              </w:rPr>
              <w:t>计划、维</w:t>
            </w:r>
            <w:r>
              <w:rPr>
                <w:rFonts w:ascii="宋体" w:hAnsi="宋体" w:eastAsia="宋体" w:cs="宋体"/>
                <w:color w:val="auto"/>
                <w:sz w:val="24"/>
                <w:szCs w:val="24"/>
              </w:rPr>
              <w:t>保</w:t>
            </w:r>
            <w:r>
              <w:rPr>
                <w:rFonts w:hint="eastAsia" w:ascii="宋体" w:hAnsi="宋体" w:eastAsia="宋体" w:cs="宋体"/>
                <w:color w:val="auto"/>
                <w:sz w:val="24"/>
                <w:szCs w:val="24"/>
              </w:rPr>
              <w:t>记录、故障分析报告、各统计报表数据不真实或未按要求上报，发生一次扣</w:t>
            </w:r>
            <w:r>
              <w:rPr>
                <w:rFonts w:ascii="宋体" w:hAnsi="宋体" w:eastAsia="宋体" w:cs="宋体"/>
                <w:color w:val="auto"/>
                <w:sz w:val="24"/>
                <w:szCs w:val="24"/>
              </w:rPr>
              <w:t>5</w:t>
            </w:r>
            <w:r>
              <w:rPr>
                <w:rFonts w:hint="eastAsia" w:ascii="宋体" w:hAnsi="宋体" w:eastAsia="宋体" w:cs="宋体"/>
                <w:color w:val="auto"/>
                <w:sz w:val="24"/>
                <w:szCs w:val="24"/>
              </w:rPr>
              <w:t>分</w:t>
            </w:r>
            <w:r>
              <w:rPr>
                <w:rFonts w:ascii="宋体" w:hAnsi="宋体" w:eastAsia="宋体" w:cs="宋体"/>
                <w:color w:val="auto"/>
                <w:sz w:val="24"/>
                <w:szCs w:val="24"/>
              </w:rPr>
              <w:t>。</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宋体"/>
                <w:color w:val="auto"/>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846"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6</w:t>
            </w:r>
          </w:p>
        </w:tc>
        <w:tc>
          <w:tcPr>
            <w:tcW w:w="6379" w:type="dxa"/>
            <w:gridSpan w:val="2"/>
            <w:tcBorders>
              <w:top w:val="nil"/>
              <w:left w:val="nil"/>
              <w:bottom w:val="single" w:color="auto" w:sz="4" w:space="0"/>
              <w:right w:val="single" w:color="auto" w:sz="4" w:space="0"/>
            </w:tcBorders>
            <w:vAlign w:val="center"/>
          </w:tcPr>
          <w:p>
            <w:pPr>
              <w:rPr>
                <w:rFonts w:ascii="仿宋" w:hAnsi="仿宋" w:eastAsia="仿宋" w:cs="宋体"/>
                <w:color w:val="auto"/>
                <w:szCs w:val="21"/>
              </w:rPr>
            </w:pPr>
            <w:r>
              <w:rPr>
                <w:rFonts w:hint="eastAsia" w:ascii="宋体" w:hAnsi="宋体" w:eastAsia="宋体" w:cs="宋体"/>
                <w:color w:val="auto"/>
                <w:sz w:val="24"/>
                <w:szCs w:val="24"/>
              </w:rPr>
              <w:t>调整检修计划未上报</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审批，发生一次扣2分</w:t>
            </w:r>
            <w:r>
              <w:rPr>
                <w:rFonts w:ascii="宋体" w:hAnsi="宋体" w:eastAsia="宋体" w:cs="宋体"/>
                <w:color w:val="auto"/>
                <w:sz w:val="24"/>
                <w:szCs w:val="24"/>
              </w:rPr>
              <w:t>。</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830"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7</w:t>
            </w:r>
          </w:p>
        </w:tc>
        <w:tc>
          <w:tcPr>
            <w:tcW w:w="6379" w:type="dxa"/>
            <w:gridSpan w:val="2"/>
            <w:tcBorders>
              <w:top w:val="nil"/>
              <w:left w:val="nil"/>
              <w:bottom w:val="single" w:color="auto" w:sz="4" w:space="0"/>
              <w:right w:val="single" w:color="auto" w:sz="4" w:space="0"/>
            </w:tcBorders>
            <w:vAlign w:val="center"/>
          </w:tcPr>
          <w:p>
            <w:pPr>
              <w:rPr>
                <w:rFonts w:ascii="仿宋" w:hAnsi="仿宋" w:eastAsia="仿宋" w:cs="宋体"/>
                <w:color w:val="auto"/>
                <w:szCs w:val="21"/>
              </w:rPr>
            </w:pPr>
            <w:r>
              <w:rPr>
                <w:rFonts w:hint="eastAsia" w:ascii="宋体" w:hAnsi="宋体" w:eastAsia="宋体" w:cs="宋体"/>
                <w:color w:val="auto"/>
                <w:sz w:val="24"/>
                <w:szCs w:val="24"/>
              </w:rPr>
              <w:t>未按照设备维护规程进行作业，作业质量不合格，发</w:t>
            </w:r>
            <w:r>
              <w:rPr>
                <w:rFonts w:ascii="宋体" w:hAnsi="宋体" w:eastAsia="宋体" w:cs="宋体"/>
                <w:color w:val="auto"/>
                <w:sz w:val="24"/>
                <w:szCs w:val="24"/>
              </w:rPr>
              <w:t>生一次扣</w:t>
            </w:r>
            <w:r>
              <w:rPr>
                <w:rFonts w:hint="eastAsia" w:ascii="宋体" w:hAnsi="宋体" w:eastAsia="宋体" w:cs="宋体"/>
                <w:color w:val="auto"/>
                <w:sz w:val="24"/>
                <w:szCs w:val="24"/>
              </w:rPr>
              <w:t>5分。</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985"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8</w:t>
            </w:r>
          </w:p>
        </w:tc>
        <w:tc>
          <w:tcPr>
            <w:tcW w:w="6379" w:type="dxa"/>
            <w:gridSpan w:val="2"/>
            <w:tcBorders>
              <w:top w:val="nil"/>
              <w:left w:val="nil"/>
              <w:bottom w:val="single" w:color="auto" w:sz="4" w:space="0"/>
              <w:right w:val="single" w:color="auto" w:sz="4" w:space="0"/>
            </w:tcBorders>
            <w:vAlign w:val="center"/>
          </w:tcPr>
          <w:p>
            <w:pPr>
              <w:rPr>
                <w:rFonts w:ascii="仿宋" w:hAnsi="仿宋" w:eastAsia="仿宋" w:cs="宋体"/>
                <w:color w:val="auto"/>
                <w:szCs w:val="21"/>
              </w:rPr>
            </w:pPr>
            <w:r>
              <w:rPr>
                <w:rFonts w:hint="eastAsia" w:ascii="宋体" w:hAnsi="宋体" w:eastAsia="宋体" w:cs="宋体"/>
                <w:color w:val="auto"/>
                <w:sz w:val="24"/>
                <w:szCs w:val="24"/>
              </w:rPr>
              <w:t>在没有提前申明或无特殊原因下，计划的维护作业未按时完成，作业超期或漏检漏修，发</w:t>
            </w:r>
            <w:r>
              <w:rPr>
                <w:rFonts w:ascii="宋体" w:hAnsi="宋体" w:eastAsia="宋体" w:cs="宋体"/>
                <w:color w:val="auto"/>
                <w:sz w:val="24"/>
                <w:szCs w:val="24"/>
              </w:rPr>
              <w:t>生一次扣</w:t>
            </w:r>
            <w:r>
              <w:rPr>
                <w:rFonts w:hint="eastAsia" w:ascii="宋体" w:hAnsi="宋体" w:eastAsia="宋体" w:cs="宋体"/>
                <w:color w:val="auto"/>
                <w:sz w:val="24"/>
                <w:szCs w:val="24"/>
              </w:rPr>
              <w:t>5分。</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841"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9</w:t>
            </w:r>
          </w:p>
        </w:tc>
        <w:tc>
          <w:tcPr>
            <w:tcW w:w="6379" w:type="dxa"/>
            <w:gridSpan w:val="2"/>
            <w:tcBorders>
              <w:top w:val="nil"/>
              <w:left w:val="nil"/>
              <w:bottom w:val="single" w:color="auto" w:sz="4" w:space="0"/>
              <w:right w:val="single" w:color="auto" w:sz="4" w:space="0"/>
            </w:tcBorders>
            <w:vAlign w:val="center"/>
          </w:tcPr>
          <w:p>
            <w:pPr>
              <w:rPr>
                <w:rFonts w:ascii="仿宋" w:hAnsi="仿宋" w:eastAsia="仿宋" w:cs="宋体"/>
                <w:color w:val="auto"/>
                <w:szCs w:val="21"/>
              </w:rPr>
            </w:pPr>
            <w:r>
              <w:rPr>
                <w:rFonts w:hint="eastAsia" w:ascii="宋体" w:hAnsi="宋体" w:cs="宋体"/>
                <w:color w:val="auto"/>
                <w:sz w:val="24"/>
              </w:rPr>
              <w:t>提供的配件、辅料质量不合格或低于原设备档次的，发生一次扣</w:t>
            </w:r>
            <w:r>
              <w:rPr>
                <w:rFonts w:ascii="宋体" w:hAnsi="宋体" w:cs="宋体"/>
                <w:color w:val="auto"/>
                <w:sz w:val="24"/>
              </w:rPr>
              <w:t>10</w:t>
            </w:r>
            <w:r>
              <w:rPr>
                <w:rFonts w:hint="eastAsia" w:ascii="宋体" w:hAnsi="宋体" w:cs="宋体"/>
                <w:color w:val="auto"/>
                <w:sz w:val="24"/>
              </w:rPr>
              <w:t>分。</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722"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10</w:t>
            </w:r>
          </w:p>
        </w:tc>
        <w:tc>
          <w:tcPr>
            <w:tcW w:w="6379" w:type="dxa"/>
            <w:gridSpan w:val="2"/>
            <w:tcBorders>
              <w:top w:val="nil"/>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故障响应时间超过</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指标，发生一次扣5分。</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615"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11</w:t>
            </w:r>
          </w:p>
        </w:tc>
        <w:tc>
          <w:tcPr>
            <w:tcW w:w="6379" w:type="dxa"/>
            <w:gridSpan w:val="2"/>
            <w:tcBorders>
              <w:top w:val="nil"/>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故障修复时间超过</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指标，发生一次扣5分。</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748"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12</w:t>
            </w:r>
          </w:p>
        </w:tc>
        <w:tc>
          <w:tcPr>
            <w:tcW w:w="6379" w:type="dxa"/>
            <w:gridSpan w:val="2"/>
            <w:tcBorders>
              <w:top w:val="nil"/>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因维保工作不到位，造成设备严重故障，导致设备无法运行，发生一次扣</w:t>
            </w:r>
            <w:r>
              <w:rPr>
                <w:rFonts w:ascii="宋体" w:hAnsi="宋体" w:eastAsia="宋体" w:cs="宋体"/>
                <w:color w:val="auto"/>
                <w:sz w:val="24"/>
                <w:szCs w:val="24"/>
              </w:rPr>
              <w:t>15</w:t>
            </w:r>
            <w:r>
              <w:rPr>
                <w:rFonts w:hint="eastAsia" w:ascii="宋体" w:hAnsi="宋体" w:eastAsia="宋体" w:cs="宋体"/>
                <w:color w:val="auto"/>
                <w:sz w:val="24"/>
                <w:szCs w:val="24"/>
              </w:rPr>
              <w:t>分。</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829" w:hRule="atLeast"/>
          <w:jc w:val="center"/>
        </w:trPr>
        <w:tc>
          <w:tcPr>
            <w:tcW w:w="718"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13</w:t>
            </w:r>
          </w:p>
        </w:tc>
        <w:tc>
          <w:tcPr>
            <w:tcW w:w="6379" w:type="dxa"/>
            <w:gridSpan w:val="2"/>
            <w:tcBorders>
              <w:top w:val="nil"/>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发现故障或缺陷未及时上报、上报流程不正确、故障处理结果没有按时反馈、故障无记录，发生一次扣2分，</w:t>
            </w:r>
            <w:r>
              <w:rPr>
                <w:rFonts w:ascii="宋体" w:hAnsi="宋体" w:eastAsia="宋体" w:cs="宋体"/>
                <w:color w:val="auto"/>
                <w:sz w:val="24"/>
                <w:szCs w:val="24"/>
              </w:rPr>
              <w:t>。</w:t>
            </w:r>
          </w:p>
        </w:tc>
        <w:tc>
          <w:tcPr>
            <w:tcW w:w="1550"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nil"/>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1011"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14</w:t>
            </w:r>
          </w:p>
        </w:tc>
        <w:tc>
          <w:tcPr>
            <w:tcW w:w="637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通过故障分析等未对设备事故做出正确判断，采取有效措施，导致故障重复发生一月内累计3次</w:t>
            </w:r>
            <w:r>
              <w:rPr>
                <w:rFonts w:hint="eastAsia" w:ascii="宋体" w:hAnsi="宋体" w:eastAsia="宋体" w:cs="宋体"/>
                <w:color w:val="auto"/>
                <w:sz w:val="24"/>
                <w:szCs w:val="24"/>
                <w:lang w:eastAsia="zh-CN"/>
              </w:rPr>
              <w:t>（含）以上</w:t>
            </w:r>
            <w:r>
              <w:rPr>
                <w:rFonts w:hint="eastAsia" w:ascii="宋体" w:hAnsi="宋体" w:eastAsia="宋体" w:cs="宋体"/>
                <w:color w:val="auto"/>
                <w:sz w:val="24"/>
                <w:szCs w:val="24"/>
              </w:rPr>
              <w:t>的，发生一次扣5分。</w:t>
            </w:r>
          </w:p>
        </w:tc>
        <w:tc>
          <w:tcPr>
            <w:tcW w:w="155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841"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15</w:t>
            </w:r>
          </w:p>
        </w:tc>
        <w:tc>
          <w:tcPr>
            <w:tcW w:w="6379" w:type="dxa"/>
            <w:gridSpan w:val="2"/>
            <w:tcBorders>
              <w:top w:val="single" w:color="auto" w:sz="4" w:space="0"/>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维保人员未正确穿戴劳动保护用品，发</w:t>
            </w:r>
            <w:r>
              <w:rPr>
                <w:rFonts w:ascii="宋体" w:hAnsi="宋体" w:eastAsia="宋体" w:cs="宋体"/>
                <w:color w:val="auto"/>
                <w:sz w:val="24"/>
                <w:szCs w:val="24"/>
              </w:rPr>
              <w:t>生一次扣</w:t>
            </w:r>
            <w:r>
              <w:rPr>
                <w:rFonts w:hint="eastAsia" w:ascii="宋体" w:hAnsi="宋体" w:eastAsia="宋体" w:cs="宋体"/>
                <w:color w:val="auto"/>
                <w:sz w:val="24"/>
                <w:szCs w:val="24"/>
              </w:rPr>
              <w:t>2分。</w:t>
            </w:r>
          </w:p>
        </w:tc>
        <w:tc>
          <w:tcPr>
            <w:tcW w:w="1550"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69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16</w:t>
            </w:r>
          </w:p>
        </w:tc>
        <w:tc>
          <w:tcPr>
            <w:tcW w:w="6379" w:type="dxa"/>
            <w:gridSpan w:val="2"/>
            <w:tcBorders>
              <w:top w:val="single" w:color="auto" w:sz="4" w:space="0"/>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作</w:t>
            </w:r>
            <w:r>
              <w:rPr>
                <w:rFonts w:ascii="宋体" w:hAnsi="宋体" w:eastAsia="宋体" w:cs="宋体"/>
                <w:color w:val="auto"/>
                <w:sz w:val="24"/>
                <w:szCs w:val="24"/>
              </w:rPr>
              <w:t>业</w:t>
            </w:r>
            <w:r>
              <w:rPr>
                <w:rFonts w:hint="eastAsia" w:ascii="宋体" w:hAnsi="宋体" w:eastAsia="宋体" w:cs="宋体"/>
                <w:color w:val="auto"/>
                <w:sz w:val="24"/>
                <w:szCs w:val="24"/>
              </w:rPr>
              <w:t>过程中，不听从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的管理，野蛮施工，发</w:t>
            </w:r>
            <w:r>
              <w:rPr>
                <w:rFonts w:ascii="宋体" w:hAnsi="宋体" w:eastAsia="宋体" w:cs="宋体"/>
                <w:color w:val="auto"/>
                <w:sz w:val="24"/>
                <w:szCs w:val="24"/>
              </w:rPr>
              <w:t>生一次扣</w:t>
            </w:r>
            <w:r>
              <w:rPr>
                <w:rFonts w:hint="eastAsia" w:ascii="宋体" w:hAnsi="宋体" w:eastAsia="宋体" w:cs="宋体"/>
                <w:color w:val="auto"/>
                <w:sz w:val="24"/>
                <w:szCs w:val="24"/>
              </w:rPr>
              <w:t>5分</w:t>
            </w:r>
            <w:r>
              <w:rPr>
                <w:rFonts w:ascii="宋体" w:hAnsi="宋体" w:eastAsia="宋体" w:cs="宋体"/>
                <w:color w:val="auto"/>
                <w:sz w:val="24"/>
                <w:szCs w:val="24"/>
              </w:rPr>
              <w:t>。</w:t>
            </w:r>
          </w:p>
        </w:tc>
        <w:tc>
          <w:tcPr>
            <w:tcW w:w="1550"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722"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17</w:t>
            </w:r>
          </w:p>
        </w:tc>
        <w:tc>
          <w:tcPr>
            <w:tcW w:w="6379" w:type="dxa"/>
            <w:gridSpan w:val="2"/>
            <w:tcBorders>
              <w:top w:val="single" w:color="auto" w:sz="4" w:space="0"/>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委外单位须遵守</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各种规程及管理制度，发生一次扣5分</w:t>
            </w:r>
            <w:r>
              <w:rPr>
                <w:rFonts w:ascii="宋体" w:hAnsi="宋体" w:eastAsia="宋体" w:cs="宋体"/>
                <w:color w:val="auto"/>
                <w:sz w:val="24"/>
                <w:szCs w:val="24"/>
              </w:rPr>
              <w:t>，</w:t>
            </w:r>
            <w:r>
              <w:rPr>
                <w:rFonts w:hint="eastAsia" w:ascii="宋体" w:hAnsi="宋体" w:eastAsia="宋体" w:cs="宋体"/>
                <w:color w:val="auto"/>
                <w:sz w:val="24"/>
                <w:szCs w:val="24"/>
              </w:rPr>
              <w:t>情节严重扣1</w:t>
            </w:r>
            <w:r>
              <w:rPr>
                <w:rFonts w:ascii="宋体" w:hAnsi="宋体" w:eastAsia="宋体" w:cs="宋体"/>
                <w:color w:val="auto"/>
                <w:sz w:val="24"/>
                <w:szCs w:val="24"/>
              </w:rPr>
              <w:t>5</w:t>
            </w:r>
            <w:r>
              <w:rPr>
                <w:rFonts w:hint="eastAsia" w:ascii="宋体" w:hAnsi="宋体" w:eastAsia="宋体" w:cs="宋体"/>
                <w:color w:val="auto"/>
                <w:sz w:val="24"/>
                <w:szCs w:val="24"/>
              </w:rPr>
              <w:t>分。</w:t>
            </w:r>
          </w:p>
        </w:tc>
        <w:tc>
          <w:tcPr>
            <w:tcW w:w="1550"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c>
          <w:tcPr>
            <w:tcW w:w="894"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722"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18</w:t>
            </w:r>
          </w:p>
        </w:tc>
        <w:tc>
          <w:tcPr>
            <w:tcW w:w="6379" w:type="dxa"/>
            <w:gridSpan w:val="2"/>
            <w:tcBorders>
              <w:top w:val="single" w:color="auto" w:sz="4" w:space="0"/>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现场作业人员被乘客或其它部门投诉并查明为有责投诉，发生一次扣5分。</w:t>
            </w:r>
          </w:p>
        </w:tc>
        <w:tc>
          <w:tcPr>
            <w:tcW w:w="1550"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auto"/>
                <w:szCs w:val="21"/>
              </w:rPr>
            </w:pPr>
          </w:p>
        </w:tc>
        <w:tc>
          <w:tcPr>
            <w:tcW w:w="894"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912"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19</w:t>
            </w:r>
          </w:p>
        </w:tc>
        <w:tc>
          <w:tcPr>
            <w:tcW w:w="6379" w:type="dxa"/>
            <w:gridSpan w:val="2"/>
            <w:tcBorders>
              <w:top w:val="single" w:color="auto" w:sz="4" w:space="0"/>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通知与本合同项目内相关的工作，委外单位未按时间完成或内容不符合要求，发</w:t>
            </w:r>
            <w:r>
              <w:rPr>
                <w:rFonts w:ascii="宋体" w:hAnsi="宋体" w:eastAsia="宋体" w:cs="宋体"/>
                <w:color w:val="auto"/>
                <w:sz w:val="24"/>
                <w:szCs w:val="24"/>
              </w:rPr>
              <w:t>生一次扣</w:t>
            </w:r>
            <w:r>
              <w:rPr>
                <w:rFonts w:hint="eastAsia" w:ascii="宋体" w:hAnsi="宋体" w:eastAsia="宋体" w:cs="宋体"/>
                <w:color w:val="auto"/>
                <w:sz w:val="24"/>
                <w:szCs w:val="24"/>
              </w:rPr>
              <w:t>2分。</w:t>
            </w:r>
          </w:p>
        </w:tc>
        <w:tc>
          <w:tcPr>
            <w:tcW w:w="1550"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auto"/>
                <w:szCs w:val="21"/>
              </w:rPr>
            </w:pPr>
          </w:p>
        </w:tc>
        <w:tc>
          <w:tcPr>
            <w:tcW w:w="894"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2481"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20</w:t>
            </w:r>
          </w:p>
        </w:tc>
        <w:tc>
          <w:tcPr>
            <w:tcW w:w="6379"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color w:val="auto"/>
                <w:sz w:val="24"/>
              </w:rPr>
            </w:pPr>
            <w:r>
              <w:rPr>
                <w:rFonts w:hint="eastAsia" w:ascii="宋体" w:hAnsi="宋体" w:cs="宋体"/>
                <w:color w:val="auto"/>
                <w:sz w:val="24"/>
              </w:rPr>
              <w:t>其他严重违规，以下任一一条视为不合格：</w:t>
            </w:r>
          </w:p>
          <w:p>
            <w:pPr>
              <w:numPr>
                <w:ilvl w:val="0"/>
                <w:numId w:val="21"/>
              </w:numPr>
              <w:jc w:val="left"/>
              <w:rPr>
                <w:rFonts w:ascii="宋体" w:hAnsi="宋体" w:cs="宋体"/>
                <w:color w:val="auto"/>
                <w:sz w:val="24"/>
              </w:rPr>
            </w:pPr>
            <w:r>
              <w:rPr>
                <w:rFonts w:hint="eastAsia" w:ascii="宋体" w:hAnsi="宋体" w:cs="宋体"/>
                <w:color w:val="auto"/>
                <w:sz w:val="24"/>
              </w:rPr>
              <w:t>因违反了国家法律法规，造成重大不良影响的行为的；</w:t>
            </w:r>
          </w:p>
          <w:p>
            <w:pPr>
              <w:numPr>
                <w:ilvl w:val="0"/>
                <w:numId w:val="21"/>
              </w:numPr>
              <w:jc w:val="left"/>
              <w:rPr>
                <w:rFonts w:ascii="宋体" w:hAnsi="宋体" w:cs="宋体"/>
                <w:color w:val="auto"/>
                <w:sz w:val="24"/>
              </w:rPr>
            </w:pPr>
            <w:r>
              <w:rPr>
                <w:rFonts w:hint="eastAsia" w:ascii="宋体" w:hAnsi="宋体" w:cs="宋体"/>
                <w:color w:val="auto"/>
                <w:sz w:val="24"/>
              </w:rPr>
              <w:t>因违反设备安全操作规定，造成了重大安全事故的；</w:t>
            </w:r>
          </w:p>
          <w:p>
            <w:pPr>
              <w:numPr>
                <w:ilvl w:val="0"/>
                <w:numId w:val="21"/>
              </w:numPr>
              <w:jc w:val="left"/>
              <w:rPr>
                <w:rFonts w:ascii="宋体" w:hAnsi="宋体" w:cs="宋体"/>
                <w:color w:val="auto"/>
                <w:sz w:val="24"/>
              </w:rPr>
            </w:pPr>
            <w:r>
              <w:rPr>
                <w:rFonts w:hint="eastAsia" w:ascii="宋体" w:hAnsi="宋体" w:cs="宋体"/>
                <w:color w:val="auto"/>
                <w:sz w:val="24"/>
              </w:rPr>
              <w:t>因违反设备操作规程，导致设备严重故障或损毁的；</w:t>
            </w:r>
          </w:p>
          <w:p>
            <w:pPr>
              <w:numPr>
                <w:ilvl w:val="0"/>
                <w:numId w:val="21"/>
              </w:numPr>
              <w:jc w:val="left"/>
              <w:rPr>
                <w:rFonts w:ascii="宋体" w:hAnsi="宋体" w:cs="宋体"/>
                <w:color w:val="auto"/>
                <w:sz w:val="24"/>
              </w:rPr>
            </w:pPr>
            <w:r>
              <w:rPr>
                <w:rFonts w:hint="eastAsia" w:ascii="宋体" w:hAnsi="宋体" w:cs="宋体"/>
                <w:color w:val="auto"/>
                <w:sz w:val="24"/>
              </w:rPr>
              <w:t>因操作不当，给单位造成重大经济损失的；</w:t>
            </w:r>
          </w:p>
          <w:p>
            <w:pPr>
              <w:rPr>
                <w:rFonts w:ascii="仿宋" w:hAnsi="仿宋" w:eastAsia="仿宋" w:cs="仿宋_GB2312"/>
                <w:color w:val="auto"/>
                <w:szCs w:val="21"/>
              </w:rPr>
            </w:pPr>
            <w:r>
              <w:rPr>
                <w:rFonts w:hint="eastAsia" w:ascii="宋体" w:hAnsi="宋体" w:cs="宋体"/>
                <w:color w:val="auto"/>
                <w:sz w:val="24"/>
              </w:rPr>
              <w:t>发生其他违约行为，经</w:t>
            </w:r>
            <w:r>
              <w:rPr>
                <w:rFonts w:hint="eastAsia" w:ascii="宋体" w:hAnsi="宋体" w:cs="宋体"/>
                <w:color w:val="auto"/>
                <w:sz w:val="24"/>
                <w:lang w:eastAsia="zh-CN"/>
              </w:rPr>
              <w:t>招标人</w:t>
            </w:r>
            <w:r>
              <w:rPr>
                <w:rFonts w:hint="eastAsia" w:ascii="宋体" w:hAnsi="宋体" w:cs="宋体"/>
                <w:color w:val="auto"/>
                <w:sz w:val="24"/>
              </w:rPr>
              <w:t>及现场管理部门集体审议后一致认为不合格的情形。</w:t>
            </w:r>
          </w:p>
        </w:tc>
        <w:tc>
          <w:tcPr>
            <w:tcW w:w="1550"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auto"/>
                <w:szCs w:val="21"/>
              </w:rPr>
            </w:pPr>
          </w:p>
        </w:tc>
        <w:tc>
          <w:tcPr>
            <w:tcW w:w="894"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2413" w:hRule="atLeast"/>
          <w:jc w:val="center"/>
        </w:trPr>
        <w:tc>
          <w:tcPr>
            <w:tcW w:w="9541" w:type="dxa"/>
            <w:gridSpan w:val="5"/>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cs="宋体"/>
                <w:color w:val="auto"/>
                <w:sz w:val="24"/>
              </w:rPr>
            </w:pPr>
            <w:r>
              <w:rPr>
                <w:rFonts w:hint="eastAsia" w:ascii="宋体" w:hAnsi="宋体" w:cs="宋体"/>
                <w:color w:val="auto"/>
                <w:sz w:val="24"/>
              </w:rPr>
              <w:t>说明：考核采取百分制进行评分，满分100分。 90分≤考核结果≤100分的，支付当月100%的服务费；80分≤考核结果＜90分的，支付当月95%的服务费；70分≤考核结果＜80分的，支付当月85%服务费； 考核结果＜70分的，支付当月75%服务费。有违反合同其他约定，触发扣款条款的，按相应条款扣款。中标人一个年度内月度考核连续2次或累计3次考核结果低于70分的，</w:t>
            </w:r>
            <w:r>
              <w:rPr>
                <w:rFonts w:hint="eastAsia" w:ascii="宋体" w:hAnsi="宋体" w:cs="宋体"/>
                <w:color w:val="auto"/>
                <w:sz w:val="24"/>
                <w:lang w:eastAsia="zh-CN"/>
              </w:rPr>
              <w:t>招标人</w:t>
            </w:r>
            <w:r>
              <w:rPr>
                <w:rFonts w:hint="eastAsia" w:ascii="宋体" w:hAnsi="宋体" w:cs="宋体"/>
                <w:color w:val="auto"/>
                <w:sz w:val="24"/>
              </w:rPr>
              <w:t>有权单方面终止合同,所有责任及后果均由中标人承担。</w:t>
            </w:r>
          </w:p>
        </w:tc>
      </w:tr>
      <w:tr>
        <w:tblPrEx>
          <w:tblCellMar>
            <w:top w:w="0" w:type="dxa"/>
            <w:left w:w="108" w:type="dxa"/>
            <w:bottom w:w="0" w:type="dxa"/>
            <w:right w:w="108" w:type="dxa"/>
          </w:tblCellMar>
        </w:tblPrEx>
        <w:trPr>
          <w:trHeight w:val="722" w:hRule="atLeast"/>
          <w:jc w:val="center"/>
        </w:trPr>
        <w:tc>
          <w:tcPr>
            <w:tcW w:w="14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rPr>
            </w:pPr>
            <w:r>
              <w:rPr>
                <w:rFonts w:hint="eastAsia" w:ascii="宋体" w:hAnsi="宋体" w:cs="宋体"/>
                <w:bCs/>
                <w:color w:val="auto"/>
                <w:kern w:val="0"/>
                <w:sz w:val="24"/>
              </w:rPr>
              <w:t>总</w:t>
            </w:r>
            <w:r>
              <w:rPr>
                <w:rFonts w:ascii="宋体" w:hAnsi="宋体" w:cs="宋体"/>
                <w:bCs/>
                <w:color w:val="auto"/>
                <w:kern w:val="0"/>
                <w:sz w:val="24"/>
              </w:rPr>
              <w:t>得分</w:t>
            </w:r>
          </w:p>
        </w:tc>
        <w:tc>
          <w:tcPr>
            <w:tcW w:w="8059"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r>
        <w:tblPrEx>
          <w:tblCellMar>
            <w:top w:w="0" w:type="dxa"/>
            <w:left w:w="108" w:type="dxa"/>
            <w:bottom w:w="0" w:type="dxa"/>
            <w:right w:w="108" w:type="dxa"/>
          </w:tblCellMar>
        </w:tblPrEx>
        <w:trPr>
          <w:trHeight w:val="722" w:hRule="atLeast"/>
          <w:jc w:val="center"/>
        </w:trPr>
        <w:tc>
          <w:tcPr>
            <w:tcW w:w="148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rPr>
            </w:pPr>
            <w:r>
              <w:rPr>
                <w:rFonts w:hint="eastAsia" w:ascii="宋体" w:hAnsi="宋体" w:cs="宋体"/>
                <w:bCs/>
                <w:color w:val="auto"/>
                <w:kern w:val="0"/>
                <w:sz w:val="24"/>
              </w:rPr>
              <w:t>考</w:t>
            </w:r>
            <w:r>
              <w:rPr>
                <w:rFonts w:ascii="宋体" w:hAnsi="宋体" w:cs="宋体"/>
                <w:bCs/>
                <w:color w:val="auto"/>
                <w:kern w:val="0"/>
                <w:sz w:val="24"/>
              </w:rPr>
              <w:t>核人</w:t>
            </w:r>
          </w:p>
        </w:tc>
        <w:tc>
          <w:tcPr>
            <w:tcW w:w="8059"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_GB2312"/>
                <w:color w:val="auto"/>
                <w:kern w:val="0"/>
                <w:szCs w:val="21"/>
              </w:rPr>
            </w:pPr>
          </w:p>
        </w:tc>
      </w:tr>
    </w:tbl>
    <w:p>
      <w:pPr>
        <w:spacing w:line="360" w:lineRule="auto"/>
        <w:jc w:val="left"/>
        <w:rPr>
          <w:rFonts w:ascii="宋体" w:hAnsi="宋体" w:cs="宋体"/>
          <w:color w:val="auto"/>
          <w:sz w:val="28"/>
          <w:szCs w:val="28"/>
        </w:rPr>
      </w:pPr>
    </w:p>
    <w:p>
      <w:pPr>
        <w:spacing w:line="360" w:lineRule="auto"/>
        <w:jc w:val="left"/>
        <w:rPr>
          <w:rFonts w:ascii="宋体" w:hAnsi="宋体" w:cs="宋体"/>
          <w:color w:val="auto"/>
          <w:sz w:val="24"/>
        </w:rPr>
      </w:pPr>
      <w:r>
        <w:rPr>
          <w:rFonts w:hint="eastAsia" w:ascii="宋体" w:hAnsi="宋体" w:cs="宋体"/>
          <w:color w:val="auto"/>
          <w:sz w:val="24"/>
        </w:rPr>
        <w:t xml:space="preserve">评价单位签字（盖章）：            </w:t>
      </w:r>
      <w:r>
        <w:rPr>
          <w:rFonts w:ascii="宋体" w:hAnsi="宋体" w:cs="宋体"/>
          <w:color w:val="auto"/>
          <w:sz w:val="24"/>
        </w:rPr>
        <w:t xml:space="preserve">         </w:t>
      </w:r>
      <w:r>
        <w:rPr>
          <w:rFonts w:hint="eastAsia" w:ascii="宋体" w:hAnsi="宋体" w:cs="宋体"/>
          <w:color w:val="auto"/>
          <w:sz w:val="24"/>
        </w:rPr>
        <w:t>被评价单位签字（盖章）：</w:t>
      </w:r>
    </w:p>
    <w:p>
      <w:pPr>
        <w:spacing w:line="360" w:lineRule="auto"/>
        <w:jc w:val="left"/>
        <w:rPr>
          <w:rFonts w:ascii="宋体" w:hAnsi="宋体" w:cs="宋体"/>
          <w:color w:val="auto"/>
          <w:sz w:val="28"/>
          <w:szCs w:val="28"/>
        </w:rPr>
      </w:pPr>
      <w:r>
        <w:rPr>
          <w:rFonts w:hint="eastAsia" w:ascii="宋体" w:hAnsi="宋体" w:cs="宋体"/>
          <w:color w:val="auto"/>
          <w:sz w:val="24"/>
        </w:rPr>
        <w:t xml:space="preserve">日  期：    </w:t>
      </w:r>
      <w:r>
        <w:rPr>
          <w:rFonts w:hint="eastAsia" w:ascii="宋体" w:hAnsi="宋体" w:cs="宋体"/>
          <w:color w:val="auto"/>
          <w:sz w:val="28"/>
          <w:szCs w:val="28"/>
        </w:rPr>
        <w:t xml:space="preserve">                          </w:t>
      </w:r>
      <w:r>
        <w:rPr>
          <w:rFonts w:ascii="宋体" w:hAnsi="宋体" w:cs="宋体"/>
          <w:color w:val="auto"/>
          <w:sz w:val="24"/>
        </w:rPr>
        <w:t xml:space="preserve"> </w:t>
      </w:r>
      <w:r>
        <w:rPr>
          <w:rFonts w:hint="eastAsia" w:ascii="宋体" w:hAnsi="宋体" w:cs="宋体"/>
          <w:color w:val="auto"/>
          <w:sz w:val="24"/>
        </w:rPr>
        <w:t>日  期：</w:t>
      </w:r>
    </w:p>
    <w:p>
      <w:pPr>
        <w:widowControl/>
        <w:jc w:val="left"/>
        <w:rPr>
          <w:rFonts w:ascii="宋体" w:hAnsi="宋体"/>
          <w:color w:val="auto"/>
          <w:sz w:val="24"/>
        </w:rPr>
      </w:pPr>
    </w:p>
    <w:sectPr>
      <w:headerReference r:id="rId7" w:type="default"/>
      <w:footerReference r:id="rId8" w:type="default"/>
      <w:pgSz w:w="11906" w:h="16838"/>
      <w:pgMar w:top="1440" w:right="153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CE78A8-0E74-4286-A572-B26DC82AE2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569218C-0DF3-40AF-A10A-50961D200E35}"/>
  </w:font>
  <w:font w:name="仿宋_GB2312">
    <w:panose1 w:val="02010609030101010101"/>
    <w:charset w:val="86"/>
    <w:family w:val="auto"/>
    <w:pitch w:val="default"/>
    <w:sig w:usb0="00000001" w:usb1="080E0000" w:usb2="00000000" w:usb3="00000000" w:csb0="00040000" w:csb1="00000000"/>
    <w:embedRegular r:id="rId3" w:fontKey="{839B86EF-E0FF-441F-B48B-E13F0E882DB8}"/>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8F68CCC2-0CE7-4FDF-B039-B1652820E685}"/>
  </w:font>
  <w:font w:name="方正小标宋简体">
    <w:panose1 w:val="03000509000000000000"/>
    <w:charset w:val="86"/>
    <w:family w:val="auto"/>
    <w:pitch w:val="default"/>
    <w:sig w:usb0="00000001" w:usb1="080E0000" w:usb2="00000000" w:usb3="00000000" w:csb0="00040000" w:csb1="00000000"/>
    <w:embedRegular r:id="rId5" w:fontKey="{3EE18729-16DA-4277-AD13-6778B894C81D}"/>
  </w:font>
  <w:font w:name="仿宋">
    <w:panose1 w:val="02010609060101010101"/>
    <w:charset w:val="86"/>
    <w:family w:val="auto"/>
    <w:pitch w:val="default"/>
    <w:sig w:usb0="800002BF" w:usb1="38CF7CFA" w:usb2="00000016" w:usb3="00000000" w:csb0="00040001" w:csb1="00000000"/>
    <w:embedRegular r:id="rId6" w:fontKey="{99526DC7-8B62-4A85-A522-2E19F9CDAC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caps/>
        <w:color w:val="4F81BD" w:themeColor="accent1"/>
        <w14:textFill>
          <w14:solidFill>
            <w14:schemeClr w14:val="accent1"/>
          </w14:solidFill>
        </w14:textFill>
      </w:rPr>
    </w:pP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caps/>
        <w:color w:val="4F81BD" w:themeColor="accent1"/>
        <w14:textFill>
          <w14:solidFill>
            <w14:schemeClr w14:val="accent1"/>
          </w14:solidFill>
        </w14:textFill>
      </w:rPr>
    </w:pP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caps/>
        <w:color w:val="4F81BD" w:themeColor="accent1"/>
        <w14:textFill>
          <w14:solidFill>
            <w14:schemeClr w14:val="accent1"/>
          </w14:solidFill>
        </w14:textFill>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22"/>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w:t>
                    </w:r>
                  </w:p>
                </w:txbxContent>
              </v:textbox>
            </v:shape>
          </w:pict>
        </mc:Fallback>
      </mc:AlternateContent>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caps/>
        <w:color w:val="4F81BD" w:themeColor="accent1"/>
        <w14:textFill>
          <w14:solidFill>
            <w14:schemeClr w14:val="accent1"/>
          </w14:solidFill>
        </w14:textFill>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jc w:val="center"/>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2"/>
                      <w:jc w:val="center"/>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1"/>
        <w:left w:val="none" w:color="auto" w:sz="0" w:space="4"/>
        <w:bottom w:val="none" w:color="auto" w:sz="0" w:space="1"/>
        <w:right w:val="none" w:color="auto" w:sz="0" w:space="4"/>
      </w:pBdr>
      <w:tabs>
        <w:tab w:val="left" w:pos="9432"/>
        <w:tab w:val="clear" w:pos="4153"/>
      </w:tabs>
      <w:jc w:val="both"/>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98BEC"/>
    <w:multiLevelType w:val="singleLevel"/>
    <w:tmpl w:val="80398BEC"/>
    <w:lvl w:ilvl="0" w:tentative="0">
      <w:start w:val="1"/>
      <w:numFmt w:val="decimal"/>
      <w:suff w:val="space"/>
      <w:lvlText w:val="%1."/>
      <w:lvlJc w:val="left"/>
      <w:pPr>
        <w:ind w:left="0" w:leftChars="0" w:firstLine="0" w:firstLineChars="0"/>
      </w:pPr>
      <w:rPr>
        <w:rFonts w:hint="default"/>
      </w:rPr>
    </w:lvl>
  </w:abstractNum>
  <w:abstractNum w:abstractNumId="1">
    <w:nsid w:val="82B658B2"/>
    <w:multiLevelType w:val="singleLevel"/>
    <w:tmpl w:val="82B658B2"/>
    <w:lvl w:ilvl="0" w:tentative="0">
      <w:start w:val="1"/>
      <w:numFmt w:val="chineseCounting"/>
      <w:suff w:val="nothing"/>
      <w:lvlText w:val="（%1）"/>
      <w:lvlJc w:val="left"/>
      <w:pPr>
        <w:ind w:left="0" w:firstLine="420"/>
      </w:pPr>
      <w:rPr>
        <w:rFonts w:hint="eastAsia"/>
      </w:rPr>
    </w:lvl>
  </w:abstractNum>
  <w:abstractNum w:abstractNumId="2">
    <w:nsid w:val="85762DE9"/>
    <w:multiLevelType w:val="singleLevel"/>
    <w:tmpl w:val="85762DE9"/>
    <w:lvl w:ilvl="0" w:tentative="0">
      <w:start w:val="1"/>
      <w:numFmt w:val="decimal"/>
      <w:suff w:val="space"/>
      <w:lvlText w:val="%1."/>
      <w:lvlJc w:val="left"/>
      <w:pPr>
        <w:ind w:left="0" w:leftChars="0" w:firstLine="0" w:firstLineChars="0"/>
      </w:pPr>
      <w:rPr>
        <w:rFonts w:hint="default"/>
      </w:rPr>
    </w:lvl>
  </w:abstractNum>
  <w:abstractNum w:abstractNumId="3">
    <w:nsid w:val="85F168B1"/>
    <w:multiLevelType w:val="singleLevel"/>
    <w:tmpl w:val="85F168B1"/>
    <w:lvl w:ilvl="0" w:tentative="0">
      <w:start w:val="1"/>
      <w:numFmt w:val="decimal"/>
      <w:suff w:val="space"/>
      <w:lvlText w:val="%1."/>
      <w:lvlJc w:val="left"/>
      <w:pPr>
        <w:ind w:left="0" w:leftChars="0" w:firstLine="0" w:firstLineChars="0"/>
      </w:pPr>
      <w:rPr>
        <w:rFonts w:hint="default"/>
      </w:rPr>
    </w:lvl>
  </w:abstractNum>
  <w:abstractNum w:abstractNumId="4">
    <w:nsid w:val="8C9F184F"/>
    <w:multiLevelType w:val="singleLevel"/>
    <w:tmpl w:val="8C9F184F"/>
    <w:lvl w:ilvl="0" w:tentative="0">
      <w:start w:val="1"/>
      <w:numFmt w:val="decimal"/>
      <w:suff w:val="space"/>
      <w:lvlText w:val="%1."/>
      <w:lvlJc w:val="left"/>
      <w:pPr>
        <w:ind w:left="0" w:leftChars="0" w:firstLine="0" w:firstLineChars="0"/>
      </w:pPr>
      <w:rPr>
        <w:rFonts w:hint="default"/>
      </w:rPr>
    </w:lvl>
  </w:abstractNum>
  <w:abstractNum w:abstractNumId="5">
    <w:nsid w:val="99A26F7B"/>
    <w:multiLevelType w:val="singleLevel"/>
    <w:tmpl w:val="99A26F7B"/>
    <w:lvl w:ilvl="0" w:tentative="0">
      <w:start w:val="1"/>
      <w:numFmt w:val="chineseCounting"/>
      <w:suff w:val="nothing"/>
      <w:lvlText w:val="（%1）"/>
      <w:lvlJc w:val="left"/>
      <w:pPr>
        <w:ind w:left="0" w:firstLine="420"/>
      </w:pPr>
      <w:rPr>
        <w:rFonts w:hint="eastAsia"/>
      </w:rPr>
    </w:lvl>
  </w:abstractNum>
  <w:abstractNum w:abstractNumId="6">
    <w:nsid w:val="B4578BEB"/>
    <w:multiLevelType w:val="singleLevel"/>
    <w:tmpl w:val="B4578BEB"/>
    <w:lvl w:ilvl="0" w:tentative="0">
      <w:start w:val="1"/>
      <w:numFmt w:val="chineseCounting"/>
      <w:suff w:val="nothing"/>
      <w:lvlText w:val="%1、"/>
      <w:lvlJc w:val="left"/>
      <w:pPr>
        <w:ind w:left="0" w:firstLine="420"/>
      </w:pPr>
      <w:rPr>
        <w:rFonts w:hint="eastAsia"/>
      </w:rPr>
    </w:lvl>
  </w:abstractNum>
  <w:abstractNum w:abstractNumId="7">
    <w:nsid w:val="B8123A9F"/>
    <w:multiLevelType w:val="singleLevel"/>
    <w:tmpl w:val="B8123A9F"/>
    <w:lvl w:ilvl="0" w:tentative="0">
      <w:start w:val="1"/>
      <w:numFmt w:val="decimal"/>
      <w:lvlText w:val="%1."/>
      <w:lvlJc w:val="left"/>
      <w:pPr>
        <w:tabs>
          <w:tab w:val="left" w:pos="312"/>
        </w:tabs>
      </w:pPr>
    </w:lvl>
  </w:abstractNum>
  <w:abstractNum w:abstractNumId="8">
    <w:nsid w:val="CF17DE44"/>
    <w:multiLevelType w:val="singleLevel"/>
    <w:tmpl w:val="CF17DE44"/>
    <w:lvl w:ilvl="0" w:tentative="0">
      <w:start w:val="1"/>
      <w:numFmt w:val="decimal"/>
      <w:suff w:val="space"/>
      <w:lvlText w:val="%1."/>
      <w:lvlJc w:val="left"/>
      <w:pPr>
        <w:ind w:left="0" w:leftChars="0" w:firstLine="0" w:firstLineChars="0"/>
      </w:pPr>
      <w:rPr>
        <w:rFonts w:hint="default"/>
      </w:rPr>
    </w:lvl>
  </w:abstractNum>
  <w:abstractNum w:abstractNumId="9">
    <w:nsid w:val="D2E5D5B8"/>
    <w:multiLevelType w:val="singleLevel"/>
    <w:tmpl w:val="D2E5D5B8"/>
    <w:lvl w:ilvl="0" w:tentative="0">
      <w:start w:val="1"/>
      <w:numFmt w:val="chineseCounting"/>
      <w:pStyle w:val="67"/>
      <w:suff w:val="nothing"/>
      <w:lvlText w:val="%1、"/>
      <w:lvlJc w:val="left"/>
      <w:rPr>
        <w:rFonts w:hint="eastAsia"/>
      </w:rPr>
    </w:lvl>
  </w:abstractNum>
  <w:abstractNum w:abstractNumId="10">
    <w:nsid w:val="03C71130"/>
    <w:multiLevelType w:val="singleLevel"/>
    <w:tmpl w:val="03C71130"/>
    <w:lvl w:ilvl="0" w:tentative="0">
      <w:start w:val="1"/>
      <w:numFmt w:val="decimal"/>
      <w:suff w:val="space"/>
      <w:lvlText w:val="%1."/>
      <w:lvlJc w:val="left"/>
      <w:pPr>
        <w:ind w:left="0" w:leftChars="0" w:firstLine="0" w:firstLineChars="0"/>
      </w:pPr>
      <w:rPr>
        <w:rFonts w:hint="default"/>
      </w:rPr>
    </w:lvl>
  </w:abstractNum>
  <w:abstractNum w:abstractNumId="11">
    <w:nsid w:val="1A9E51C5"/>
    <w:multiLevelType w:val="singleLevel"/>
    <w:tmpl w:val="1A9E51C5"/>
    <w:lvl w:ilvl="0" w:tentative="0">
      <w:start w:val="1"/>
      <w:numFmt w:val="chineseCounting"/>
      <w:suff w:val="nothing"/>
      <w:lvlText w:val="（%1）"/>
      <w:lvlJc w:val="left"/>
      <w:pPr>
        <w:ind w:left="0" w:firstLine="420"/>
      </w:pPr>
      <w:rPr>
        <w:rFonts w:hint="eastAsia"/>
      </w:rPr>
    </w:lvl>
  </w:abstractNum>
  <w:abstractNum w:abstractNumId="12">
    <w:nsid w:val="41CB4604"/>
    <w:multiLevelType w:val="multilevel"/>
    <w:tmpl w:val="41CB46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8"/>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8E45799"/>
    <w:multiLevelType w:val="singleLevel"/>
    <w:tmpl w:val="48E45799"/>
    <w:lvl w:ilvl="0" w:tentative="0">
      <w:start w:val="1"/>
      <w:numFmt w:val="chineseCounting"/>
      <w:suff w:val="nothing"/>
      <w:lvlText w:val="（%1）"/>
      <w:lvlJc w:val="left"/>
      <w:pPr>
        <w:ind w:left="0" w:firstLine="420"/>
      </w:pPr>
      <w:rPr>
        <w:rFonts w:hint="eastAsia"/>
      </w:rPr>
    </w:lvl>
  </w:abstractNum>
  <w:abstractNum w:abstractNumId="14">
    <w:nsid w:val="51EB138D"/>
    <w:multiLevelType w:val="singleLevel"/>
    <w:tmpl w:val="51EB138D"/>
    <w:lvl w:ilvl="0" w:tentative="0">
      <w:start w:val="1"/>
      <w:numFmt w:val="chineseCounting"/>
      <w:suff w:val="nothing"/>
      <w:lvlText w:val="（%1）"/>
      <w:lvlJc w:val="left"/>
      <w:pPr>
        <w:ind w:left="0" w:firstLine="420"/>
      </w:pPr>
      <w:rPr>
        <w:rFonts w:hint="eastAsia"/>
      </w:rPr>
    </w:lvl>
  </w:abstractNum>
  <w:abstractNum w:abstractNumId="15">
    <w:nsid w:val="5DB52730"/>
    <w:multiLevelType w:val="singleLevel"/>
    <w:tmpl w:val="5DB52730"/>
    <w:lvl w:ilvl="0" w:tentative="0">
      <w:start w:val="1"/>
      <w:numFmt w:val="decimal"/>
      <w:lvlText w:val="%1."/>
      <w:lvlJc w:val="left"/>
      <w:pPr>
        <w:tabs>
          <w:tab w:val="left" w:pos="312"/>
        </w:tabs>
      </w:pPr>
    </w:lvl>
  </w:abstractNum>
  <w:abstractNum w:abstractNumId="16">
    <w:nsid w:val="5DFE5CB5"/>
    <w:multiLevelType w:val="singleLevel"/>
    <w:tmpl w:val="5DFE5CB5"/>
    <w:lvl w:ilvl="0" w:tentative="0">
      <w:start w:val="1"/>
      <w:numFmt w:val="decimal"/>
      <w:suff w:val="space"/>
      <w:lvlText w:val="%1."/>
      <w:lvlJc w:val="left"/>
      <w:pPr>
        <w:ind w:left="0" w:leftChars="0" w:firstLine="0" w:firstLineChars="0"/>
      </w:pPr>
      <w:rPr>
        <w:rFonts w:hint="default"/>
      </w:rPr>
    </w:lvl>
  </w:abstractNum>
  <w:abstractNum w:abstractNumId="17">
    <w:nsid w:val="68A8844E"/>
    <w:multiLevelType w:val="singleLevel"/>
    <w:tmpl w:val="68A8844E"/>
    <w:lvl w:ilvl="0" w:tentative="0">
      <w:start w:val="1"/>
      <w:numFmt w:val="decimal"/>
      <w:suff w:val="space"/>
      <w:lvlText w:val="%1."/>
      <w:lvlJc w:val="left"/>
      <w:pPr>
        <w:ind w:left="0" w:leftChars="0" w:firstLine="0" w:firstLineChars="0"/>
      </w:pPr>
      <w:rPr>
        <w:rFonts w:hint="default"/>
      </w:rPr>
    </w:lvl>
  </w:abstractNum>
  <w:abstractNum w:abstractNumId="18">
    <w:nsid w:val="6E90089E"/>
    <w:multiLevelType w:val="singleLevel"/>
    <w:tmpl w:val="6E90089E"/>
    <w:lvl w:ilvl="0" w:tentative="0">
      <w:start w:val="1"/>
      <w:numFmt w:val="decimal"/>
      <w:lvlText w:val="%1."/>
      <w:lvlJc w:val="left"/>
      <w:pPr>
        <w:tabs>
          <w:tab w:val="left" w:pos="312"/>
        </w:tabs>
      </w:pPr>
    </w:lvl>
  </w:abstractNum>
  <w:abstractNum w:abstractNumId="19">
    <w:nsid w:val="70CCEBB7"/>
    <w:multiLevelType w:val="singleLevel"/>
    <w:tmpl w:val="70CCEBB7"/>
    <w:lvl w:ilvl="0" w:tentative="0">
      <w:start w:val="1"/>
      <w:numFmt w:val="decimal"/>
      <w:suff w:val="space"/>
      <w:lvlText w:val="%1."/>
      <w:lvlJc w:val="left"/>
      <w:pPr>
        <w:ind w:left="0" w:leftChars="0" w:firstLine="0" w:firstLineChars="0"/>
      </w:pPr>
      <w:rPr>
        <w:rFonts w:hint="default"/>
      </w:rPr>
    </w:lvl>
  </w:abstractNum>
  <w:abstractNum w:abstractNumId="20">
    <w:nsid w:val="745390A1"/>
    <w:multiLevelType w:val="singleLevel"/>
    <w:tmpl w:val="745390A1"/>
    <w:lvl w:ilvl="0" w:tentative="0">
      <w:start w:val="1"/>
      <w:numFmt w:val="decimal"/>
      <w:suff w:val="space"/>
      <w:lvlText w:val="%1."/>
      <w:lvlJc w:val="left"/>
      <w:pPr>
        <w:ind w:left="0" w:leftChars="0" w:firstLine="0" w:firstLineChars="0"/>
      </w:pPr>
      <w:rPr>
        <w:rFonts w:hint="default"/>
      </w:rPr>
    </w:lvl>
  </w:abstractNum>
  <w:num w:numId="1">
    <w:abstractNumId w:val="12"/>
  </w:num>
  <w:num w:numId="2">
    <w:abstractNumId w:val="9"/>
  </w:num>
  <w:num w:numId="3">
    <w:abstractNumId w:val="6"/>
  </w:num>
  <w:num w:numId="4">
    <w:abstractNumId w:val="13"/>
  </w:num>
  <w:num w:numId="5">
    <w:abstractNumId w:val="16"/>
  </w:num>
  <w:num w:numId="6">
    <w:abstractNumId w:val="1"/>
  </w:num>
  <w:num w:numId="7">
    <w:abstractNumId w:val="3"/>
  </w:num>
  <w:num w:numId="8">
    <w:abstractNumId w:val="0"/>
  </w:num>
  <w:num w:numId="9">
    <w:abstractNumId w:val="11"/>
  </w:num>
  <w:num w:numId="10">
    <w:abstractNumId w:val="17"/>
  </w:num>
  <w:num w:numId="11">
    <w:abstractNumId w:val="10"/>
  </w:num>
  <w:num w:numId="12">
    <w:abstractNumId w:val="14"/>
  </w:num>
  <w:num w:numId="13">
    <w:abstractNumId w:val="20"/>
  </w:num>
  <w:num w:numId="14">
    <w:abstractNumId w:val="2"/>
  </w:num>
  <w:num w:numId="15">
    <w:abstractNumId w:val="19"/>
  </w:num>
  <w:num w:numId="16">
    <w:abstractNumId w:val="5"/>
  </w:num>
  <w:num w:numId="17">
    <w:abstractNumId w:val="8"/>
  </w:num>
  <w:num w:numId="18">
    <w:abstractNumId w:val="4"/>
  </w:num>
  <w:num w:numId="19">
    <w:abstractNumId w:val="18"/>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2NDk5NDFmMjUxNGMyOTAzY2YzYjQ0MjNhODEwODgifQ=="/>
    <w:docVar w:name="KSO_WPS_MARK_KEY" w:val="d2f14747-21d5-4a17-aef0-462b29073c8c"/>
  </w:docVars>
  <w:rsids>
    <w:rsidRoot w:val="00172A27"/>
    <w:rsid w:val="00001691"/>
    <w:rsid w:val="000068A8"/>
    <w:rsid w:val="00007BC4"/>
    <w:rsid w:val="000125FA"/>
    <w:rsid w:val="00015380"/>
    <w:rsid w:val="0001556B"/>
    <w:rsid w:val="00020887"/>
    <w:rsid w:val="0002239A"/>
    <w:rsid w:val="0002364A"/>
    <w:rsid w:val="000248EC"/>
    <w:rsid w:val="0003041B"/>
    <w:rsid w:val="00031211"/>
    <w:rsid w:val="00031425"/>
    <w:rsid w:val="00040377"/>
    <w:rsid w:val="00041F6E"/>
    <w:rsid w:val="00043E58"/>
    <w:rsid w:val="00044A7A"/>
    <w:rsid w:val="00044D62"/>
    <w:rsid w:val="00046FE7"/>
    <w:rsid w:val="00050D31"/>
    <w:rsid w:val="00052ED2"/>
    <w:rsid w:val="000554DA"/>
    <w:rsid w:val="00055E25"/>
    <w:rsid w:val="000570C0"/>
    <w:rsid w:val="00064316"/>
    <w:rsid w:val="00066DA2"/>
    <w:rsid w:val="000710CB"/>
    <w:rsid w:val="000755CE"/>
    <w:rsid w:val="00075EB8"/>
    <w:rsid w:val="00080C24"/>
    <w:rsid w:val="00081210"/>
    <w:rsid w:val="000832E4"/>
    <w:rsid w:val="00083C4B"/>
    <w:rsid w:val="00086213"/>
    <w:rsid w:val="000863F3"/>
    <w:rsid w:val="00092330"/>
    <w:rsid w:val="000940DB"/>
    <w:rsid w:val="00094DEC"/>
    <w:rsid w:val="00096A1F"/>
    <w:rsid w:val="000A074F"/>
    <w:rsid w:val="000B6614"/>
    <w:rsid w:val="000C18A2"/>
    <w:rsid w:val="000C3773"/>
    <w:rsid w:val="000C5A37"/>
    <w:rsid w:val="000C6AA3"/>
    <w:rsid w:val="000D03B3"/>
    <w:rsid w:val="000D1A00"/>
    <w:rsid w:val="000D2B0C"/>
    <w:rsid w:val="000D42CE"/>
    <w:rsid w:val="000E0D17"/>
    <w:rsid w:val="000E366C"/>
    <w:rsid w:val="000E61A8"/>
    <w:rsid w:val="000F26CB"/>
    <w:rsid w:val="000F4466"/>
    <w:rsid w:val="000F7E33"/>
    <w:rsid w:val="001005EE"/>
    <w:rsid w:val="00100EF0"/>
    <w:rsid w:val="00103182"/>
    <w:rsid w:val="001039FF"/>
    <w:rsid w:val="001143B5"/>
    <w:rsid w:val="00117019"/>
    <w:rsid w:val="00120F82"/>
    <w:rsid w:val="001258D7"/>
    <w:rsid w:val="00130F2C"/>
    <w:rsid w:val="001311FD"/>
    <w:rsid w:val="00131209"/>
    <w:rsid w:val="001321A9"/>
    <w:rsid w:val="001330DD"/>
    <w:rsid w:val="00134426"/>
    <w:rsid w:val="00135294"/>
    <w:rsid w:val="001375DA"/>
    <w:rsid w:val="00145909"/>
    <w:rsid w:val="0014599F"/>
    <w:rsid w:val="0014775F"/>
    <w:rsid w:val="00160209"/>
    <w:rsid w:val="00160D4A"/>
    <w:rsid w:val="00162BCC"/>
    <w:rsid w:val="00163A20"/>
    <w:rsid w:val="00166746"/>
    <w:rsid w:val="00172A27"/>
    <w:rsid w:val="001764E8"/>
    <w:rsid w:val="00177723"/>
    <w:rsid w:val="00180EE8"/>
    <w:rsid w:val="0018274C"/>
    <w:rsid w:val="001827BE"/>
    <w:rsid w:val="00186BC4"/>
    <w:rsid w:val="00191025"/>
    <w:rsid w:val="00192444"/>
    <w:rsid w:val="001A57C0"/>
    <w:rsid w:val="001B6F8E"/>
    <w:rsid w:val="001C5A80"/>
    <w:rsid w:val="001D555F"/>
    <w:rsid w:val="001D73AC"/>
    <w:rsid w:val="001E4D29"/>
    <w:rsid w:val="001F2FD9"/>
    <w:rsid w:val="00203AA5"/>
    <w:rsid w:val="002057E3"/>
    <w:rsid w:val="00211CA7"/>
    <w:rsid w:val="00217451"/>
    <w:rsid w:val="0021760F"/>
    <w:rsid w:val="00217CE1"/>
    <w:rsid w:val="00220A0E"/>
    <w:rsid w:val="0022118D"/>
    <w:rsid w:val="002231A4"/>
    <w:rsid w:val="0022570B"/>
    <w:rsid w:val="002274A2"/>
    <w:rsid w:val="00231FE9"/>
    <w:rsid w:val="002333BD"/>
    <w:rsid w:val="002410BD"/>
    <w:rsid w:val="0024462D"/>
    <w:rsid w:val="00245727"/>
    <w:rsid w:val="002560CF"/>
    <w:rsid w:val="00263238"/>
    <w:rsid w:val="00270C83"/>
    <w:rsid w:val="00272B64"/>
    <w:rsid w:val="00283746"/>
    <w:rsid w:val="00283A20"/>
    <w:rsid w:val="00285F7C"/>
    <w:rsid w:val="002A23EE"/>
    <w:rsid w:val="002B5A64"/>
    <w:rsid w:val="002C1E76"/>
    <w:rsid w:val="002C27F9"/>
    <w:rsid w:val="002C6314"/>
    <w:rsid w:val="002C6F65"/>
    <w:rsid w:val="002D6F36"/>
    <w:rsid w:val="002E2EEB"/>
    <w:rsid w:val="002E6A52"/>
    <w:rsid w:val="002E7F3E"/>
    <w:rsid w:val="002F08BD"/>
    <w:rsid w:val="002F0CAD"/>
    <w:rsid w:val="002F0D77"/>
    <w:rsid w:val="002F3049"/>
    <w:rsid w:val="002F416D"/>
    <w:rsid w:val="002F4A82"/>
    <w:rsid w:val="002F4DB5"/>
    <w:rsid w:val="002F56CF"/>
    <w:rsid w:val="002F7C2C"/>
    <w:rsid w:val="00302201"/>
    <w:rsid w:val="00302F7F"/>
    <w:rsid w:val="003061D1"/>
    <w:rsid w:val="00307BE4"/>
    <w:rsid w:val="003231ED"/>
    <w:rsid w:val="00326E81"/>
    <w:rsid w:val="00327EE7"/>
    <w:rsid w:val="00332A1C"/>
    <w:rsid w:val="00336598"/>
    <w:rsid w:val="00343AED"/>
    <w:rsid w:val="003474BE"/>
    <w:rsid w:val="00354104"/>
    <w:rsid w:val="00354201"/>
    <w:rsid w:val="0036322D"/>
    <w:rsid w:val="00376518"/>
    <w:rsid w:val="00387323"/>
    <w:rsid w:val="0039407F"/>
    <w:rsid w:val="0039643A"/>
    <w:rsid w:val="003A3681"/>
    <w:rsid w:val="003A3C0A"/>
    <w:rsid w:val="003A6003"/>
    <w:rsid w:val="003B56EC"/>
    <w:rsid w:val="003B6F1C"/>
    <w:rsid w:val="003B7E6B"/>
    <w:rsid w:val="003C1302"/>
    <w:rsid w:val="003C21B2"/>
    <w:rsid w:val="003C4876"/>
    <w:rsid w:val="003C60E8"/>
    <w:rsid w:val="003D1087"/>
    <w:rsid w:val="003D128A"/>
    <w:rsid w:val="003D1CE2"/>
    <w:rsid w:val="003D51DB"/>
    <w:rsid w:val="003E198F"/>
    <w:rsid w:val="003E4DED"/>
    <w:rsid w:val="003E6858"/>
    <w:rsid w:val="003E6FD3"/>
    <w:rsid w:val="003E79D1"/>
    <w:rsid w:val="003E7A9E"/>
    <w:rsid w:val="003F218C"/>
    <w:rsid w:val="003F407A"/>
    <w:rsid w:val="003F4C2B"/>
    <w:rsid w:val="004000F3"/>
    <w:rsid w:val="004000F4"/>
    <w:rsid w:val="00401BD0"/>
    <w:rsid w:val="0040253B"/>
    <w:rsid w:val="00402FA4"/>
    <w:rsid w:val="00405BA8"/>
    <w:rsid w:val="004060B9"/>
    <w:rsid w:val="00407DC8"/>
    <w:rsid w:val="00410142"/>
    <w:rsid w:val="00412087"/>
    <w:rsid w:val="00412546"/>
    <w:rsid w:val="00416F38"/>
    <w:rsid w:val="00431BC6"/>
    <w:rsid w:val="00434C26"/>
    <w:rsid w:val="00437B35"/>
    <w:rsid w:val="0044711A"/>
    <w:rsid w:val="00447775"/>
    <w:rsid w:val="00456E33"/>
    <w:rsid w:val="0046042B"/>
    <w:rsid w:val="00462B0F"/>
    <w:rsid w:val="004644FE"/>
    <w:rsid w:val="00466F21"/>
    <w:rsid w:val="00471452"/>
    <w:rsid w:val="004739A1"/>
    <w:rsid w:val="00480916"/>
    <w:rsid w:val="00482F34"/>
    <w:rsid w:val="00485EEB"/>
    <w:rsid w:val="00486D07"/>
    <w:rsid w:val="0049361A"/>
    <w:rsid w:val="004A48C1"/>
    <w:rsid w:val="004A5BBB"/>
    <w:rsid w:val="004B0EF5"/>
    <w:rsid w:val="004B13B8"/>
    <w:rsid w:val="004B2939"/>
    <w:rsid w:val="004B7756"/>
    <w:rsid w:val="004C224B"/>
    <w:rsid w:val="004C6F8F"/>
    <w:rsid w:val="004C769E"/>
    <w:rsid w:val="004D2343"/>
    <w:rsid w:val="004D7498"/>
    <w:rsid w:val="004E056F"/>
    <w:rsid w:val="004E0DF0"/>
    <w:rsid w:val="004E331D"/>
    <w:rsid w:val="004E5D19"/>
    <w:rsid w:val="004F4D08"/>
    <w:rsid w:val="004F4F2B"/>
    <w:rsid w:val="005023D1"/>
    <w:rsid w:val="00502F11"/>
    <w:rsid w:val="00502FC6"/>
    <w:rsid w:val="00506B84"/>
    <w:rsid w:val="0051018E"/>
    <w:rsid w:val="005134D8"/>
    <w:rsid w:val="00514956"/>
    <w:rsid w:val="00517880"/>
    <w:rsid w:val="005254DD"/>
    <w:rsid w:val="00533B7F"/>
    <w:rsid w:val="005379A6"/>
    <w:rsid w:val="00541FCD"/>
    <w:rsid w:val="0054348F"/>
    <w:rsid w:val="00545F33"/>
    <w:rsid w:val="0055661C"/>
    <w:rsid w:val="005577E8"/>
    <w:rsid w:val="00560204"/>
    <w:rsid w:val="00562715"/>
    <w:rsid w:val="00563E83"/>
    <w:rsid w:val="005660C6"/>
    <w:rsid w:val="00570841"/>
    <w:rsid w:val="00570B28"/>
    <w:rsid w:val="00571D2E"/>
    <w:rsid w:val="00574D80"/>
    <w:rsid w:val="005756D9"/>
    <w:rsid w:val="00575C6F"/>
    <w:rsid w:val="005766B2"/>
    <w:rsid w:val="00587905"/>
    <w:rsid w:val="00587C93"/>
    <w:rsid w:val="005932D5"/>
    <w:rsid w:val="00595A59"/>
    <w:rsid w:val="00596BAD"/>
    <w:rsid w:val="00597263"/>
    <w:rsid w:val="005B00C2"/>
    <w:rsid w:val="005B159A"/>
    <w:rsid w:val="005B3680"/>
    <w:rsid w:val="005B37B9"/>
    <w:rsid w:val="005C2F95"/>
    <w:rsid w:val="005C34E6"/>
    <w:rsid w:val="005C407E"/>
    <w:rsid w:val="005C4277"/>
    <w:rsid w:val="005C4E46"/>
    <w:rsid w:val="005C58A5"/>
    <w:rsid w:val="005D2345"/>
    <w:rsid w:val="005D6997"/>
    <w:rsid w:val="005D6BD6"/>
    <w:rsid w:val="005D7507"/>
    <w:rsid w:val="005E3508"/>
    <w:rsid w:val="005E49DA"/>
    <w:rsid w:val="005E6CA3"/>
    <w:rsid w:val="005E7C9E"/>
    <w:rsid w:val="005F2FCA"/>
    <w:rsid w:val="005F4520"/>
    <w:rsid w:val="005F4DD5"/>
    <w:rsid w:val="005F65CD"/>
    <w:rsid w:val="00603356"/>
    <w:rsid w:val="00605253"/>
    <w:rsid w:val="00621D37"/>
    <w:rsid w:val="00627069"/>
    <w:rsid w:val="00627A0C"/>
    <w:rsid w:val="00632D84"/>
    <w:rsid w:val="00635194"/>
    <w:rsid w:val="00636982"/>
    <w:rsid w:val="00640CEA"/>
    <w:rsid w:val="00643F73"/>
    <w:rsid w:val="00646687"/>
    <w:rsid w:val="00657828"/>
    <w:rsid w:val="006611BA"/>
    <w:rsid w:val="00663F5A"/>
    <w:rsid w:val="006649F7"/>
    <w:rsid w:val="00664CA3"/>
    <w:rsid w:val="00670FE0"/>
    <w:rsid w:val="0067487F"/>
    <w:rsid w:val="00681444"/>
    <w:rsid w:val="006842E5"/>
    <w:rsid w:val="006879C2"/>
    <w:rsid w:val="00696E39"/>
    <w:rsid w:val="006A4051"/>
    <w:rsid w:val="006B147C"/>
    <w:rsid w:val="006B181D"/>
    <w:rsid w:val="006B262F"/>
    <w:rsid w:val="006B4C19"/>
    <w:rsid w:val="006B6CAE"/>
    <w:rsid w:val="006C75C1"/>
    <w:rsid w:val="006D69D6"/>
    <w:rsid w:val="006E1ED9"/>
    <w:rsid w:val="006E3E0B"/>
    <w:rsid w:val="006E5365"/>
    <w:rsid w:val="006F0D96"/>
    <w:rsid w:val="006F2A78"/>
    <w:rsid w:val="006F5950"/>
    <w:rsid w:val="006F7653"/>
    <w:rsid w:val="00700F57"/>
    <w:rsid w:val="00706E51"/>
    <w:rsid w:val="00710721"/>
    <w:rsid w:val="00720BA0"/>
    <w:rsid w:val="00720BFB"/>
    <w:rsid w:val="00722287"/>
    <w:rsid w:val="00722715"/>
    <w:rsid w:val="00724A46"/>
    <w:rsid w:val="007264D6"/>
    <w:rsid w:val="007300F8"/>
    <w:rsid w:val="007310C7"/>
    <w:rsid w:val="00732CE1"/>
    <w:rsid w:val="007346D7"/>
    <w:rsid w:val="007346EE"/>
    <w:rsid w:val="00734A4A"/>
    <w:rsid w:val="007364FA"/>
    <w:rsid w:val="00737DFA"/>
    <w:rsid w:val="00740100"/>
    <w:rsid w:val="00741F85"/>
    <w:rsid w:val="00743BDF"/>
    <w:rsid w:val="00751987"/>
    <w:rsid w:val="007532F0"/>
    <w:rsid w:val="00757E7D"/>
    <w:rsid w:val="0076218A"/>
    <w:rsid w:val="00762BD1"/>
    <w:rsid w:val="00767E57"/>
    <w:rsid w:val="007712B4"/>
    <w:rsid w:val="00772760"/>
    <w:rsid w:val="00776BBD"/>
    <w:rsid w:val="007817C2"/>
    <w:rsid w:val="007829B0"/>
    <w:rsid w:val="00784401"/>
    <w:rsid w:val="0078500B"/>
    <w:rsid w:val="007858C9"/>
    <w:rsid w:val="00793EA4"/>
    <w:rsid w:val="00794639"/>
    <w:rsid w:val="007A3A99"/>
    <w:rsid w:val="007B07AD"/>
    <w:rsid w:val="007B1E0E"/>
    <w:rsid w:val="007B7671"/>
    <w:rsid w:val="007C3840"/>
    <w:rsid w:val="007C42BA"/>
    <w:rsid w:val="007C4F51"/>
    <w:rsid w:val="007C5066"/>
    <w:rsid w:val="007C67BE"/>
    <w:rsid w:val="007D5188"/>
    <w:rsid w:val="007E582C"/>
    <w:rsid w:val="007E6770"/>
    <w:rsid w:val="007F02C2"/>
    <w:rsid w:val="007F1E05"/>
    <w:rsid w:val="007F247C"/>
    <w:rsid w:val="008023FC"/>
    <w:rsid w:val="008026B2"/>
    <w:rsid w:val="00802F28"/>
    <w:rsid w:val="0080631D"/>
    <w:rsid w:val="00807AA6"/>
    <w:rsid w:val="008106B5"/>
    <w:rsid w:val="00810A20"/>
    <w:rsid w:val="0081479C"/>
    <w:rsid w:val="00817244"/>
    <w:rsid w:val="00822B69"/>
    <w:rsid w:val="00824611"/>
    <w:rsid w:val="0082717E"/>
    <w:rsid w:val="0082780D"/>
    <w:rsid w:val="00831AF6"/>
    <w:rsid w:val="00833DF8"/>
    <w:rsid w:val="00833EEE"/>
    <w:rsid w:val="008345B0"/>
    <w:rsid w:val="00844A80"/>
    <w:rsid w:val="00845AB8"/>
    <w:rsid w:val="008465A7"/>
    <w:rsid w:val="00852830"/>
    <w:rsid w:val="0085692E"/>
    <w:rsid w:val="00856ED1"/>
    <w:rsid w:val="0085763C"/>
    <w:rsid w:val="00862365"/>
    <w:rsid w:val="0086704A"/>
    <w:rsid w:val="008671C4"/>
    <w:rsid w:val="008703E3"/>
    <w:rsid w:val="0087356F"/>
    <w:rsid w:val="00873F9D"/>
    <w:rsid w:val="00883C9A"/>
    <w:rsid w:val="008869DC"/>
    <w:rsid w:val="00897402"/>
    <w:rsid w:val="008A0BB8"/>
    <w:rsid w:val="008A2305"/>
    <w:rsid w:val="008A6D2C"/>
    <w:rsid w:val="008B17EB"/>
    <w:rsid w:val="008B5B67"/>
    <w:rsid w:val="008C2EAB"/>
    <w:rsid w:val="008C3625"/>
    <w:rsid w:val="008C6D8E"/>
    <w:rsid w:val="008D3404"/>
    <w:rsid w:val="008D6071"/>
    <w:rsid w:val="008E28BF"/>
    <w:rsid w:val="008E6256"/>
    <w:rsid w:val="008E75F3"/>
    <w:rsid w:val="008F2EBC"/>
    <w:rsid w:val="008F3804"/>
    <w:rsid w:val="008F4CB1"/>
    <w:rsid w:val="008F616F"/>
    <w:rsid w:val="00900174"/>
    <w:rsid w:val="00910D8F"/>
    <w:rsid w:val="00914888"/>
    <w:rsid w:val="00915920"/>
    <w:rsid w:val="00916A8A"/>
    <w:rsid w:val="009172A3"/>
    <w:rsid w:val="0092456C"/>
    <w:rsid w:val="00924881"/>
    <w:rsid w:val="00927BFC"/>
    <w:rsid w:val="009306A6"/>
    <w:rsid w:val="0093597D"/>
    <w:rsid w:val="00944AE6"/>
    <w:rsid w:val="009466C1"/>
    <w:rsid w:val="00947BA3"/>
    <w:rsid w:val="0095524C"/>
    <w:rsid w:val="00955E93"/>
    <w:rsid w:val="00956BAF"/>
    <w:rsid w:val="00957988"/>
    <w:rsid w:val="00962DE9"/>
    <w:rsid w:val="00962F11"/>
    <w:rsid w:val="00971377"/>
    <w:rsid w:val="009756CD"/>
    <w:rsid w:val="00983C3C"/>
    <w:rsid w:val="00983FFE"/>
    <w:rsid w:val="0099279B"/>
    <w:rsid w:val="00993449"/>
    <w:rsid w:val="00995B5C"/>
    <w:rsid w:val="009A1A9E"/>
    <w:rsid w:val="009A220E"/>
    <w:rsid w:val="009A2A58"/>
    <w:rsid w:val="009B1036"/>
    <w:rsid w:val="009B5BD2"/>
    <w:rsid w:val="009B6DCC"/>
    <w:rsid w:val="009C0B1E"/>
    <w:rsid w:val="009C0D05"/>
    <w:rsid w:val="009C1F75"/>
    <w:rsid w:val="009C5C3B"/>
    <w:rsid w:val="009C6E69"/>
    <w:rsid w:val="009D6E97"/>
    <w:rsid w:val="009E131E"/>
    <w:rsid w:val="009E1921"/>
    <w:rsid w:val="009E4BAC"/>
    <w:rsid w:val="009E5543"/>
    <w:rsid w:val="009E7644"/>
    <w:rsid w:val="009F02F4"/>
    <w:rsid w:val="009F2D65"/>
    <w:rsid w:val="009F4154"/>
    <w:rsid w:val="009F4282"/>
    <w:rsid w:val="009F612B"/>
    <w:rsid w:val="009F69FA"/>
    <w:rsid w:val="00A0163C"/>
    <w:rsid w:val="00A05CEA"/>
    <w:rsid w:val="00A060E7"/>
    <w:rsid w:val="00A14A07"/>
    <w:rsid w:val="00A15C5B"/>
    <w:rsid w:val="00A161A6"/>
    <w:rsid w:val="00A165C8"/>
    <w:rsid w:val="00A1674A"/>
    <w:rsid w:val="00A20CBA"/>
    <w:rsid w:val="00A22AAE"/>
    <w:rsid w:val="00A242F9"/>
    <w:rsid w:val="00A24E31"/>
    <w:rsid w:val="00A25990"/>
    <w:rsid w:val="00A31300"/>
    <w:rsid w:val="00A40FFA"/>
    <w:rsid w:val="00A43A96"/>
    <w:rsid w:val="00A43E5E"/>
    <w:rsid w:val="00A4781D"/>
    <w:rsid w:val="00A52A90"/>
    <w:rsid w:val="00A53020"/>
    <w:rsid w:val="00A53A7F"/>
    <w:rsid w:val="00A53C40"/>
    <w:rsid w:val="00A563FE"/>
    <w:rsid w:val="00A56E09"/>
    <w:rsid w:val="00A641C5"/>
    <w:rsid w:val="00A6584A"/>
    <w:rsid w:val="00A67AD7"/>
    <w:rsid w:val="00A7176E"/>
    <w:rsid w:val="00A73BF4"/>
    <w:rsid w:val="00A74F61"/>
    <w:rsid w:val="00A817D7"/>
    <w:rsid w:val="00A822D1"/>
    <w:rsid w:val="00A864F9"/>
    <w:rsid w:val="00A873B3"/>
    <w:rsid w:val="00A91639"/>
    <w:rsid w:val="00A9189C"/>
    <w:rsid w:val="00AA3D3C"/>
    <w:rsid w:val="00AA6201"/>
    <w:rsid w:val="00AB0AF9"/>
    <w:rsid w:val="00AB17DC"/>
    <w:rsid w:val="00AB688D"/>
    <w:rsid w:val="00AC39C1"/>
    <w:rsid w:val="00AC4CEE"/>
    <w:rsid w:val="00AC5BBB"/>
    <w:rsid w:val="00AC693E"/>
    <w:rsid w:val="00AC7B17"/>
    <w:rsid w:val="00AD444F"/>
    <w:rsid w:val="00AD60E7"/>
    <w:rsid w:val="00AE1C2E"/>
    <w:rsid w:val="00AE37E8"/>
    <w:rsid w:val="00AE45EE"/>
    <w:rsid w:val="00AF0164"/>
    <w:rsid w:val="00AF35FB"/>
    <w:rsid w:val="00AF3A52"/>
    <w:rsid w:val="00AF7DA7"/>
    <w:rsid w:val="00B05490"/>
    <w:rsid w:val="00B122E0"/>
    <w:rsid w:val="00B14BC4"/>
    <w:rsid w:val="00B16009"/>
    <w:rsid w:val="00B16307"/>
    <w:rsid w:val="00B17BBB"/>
    <w:rsid w:val="00B20053"/>
    <w:rsid w:val="00B213E4"/>
    <w:rsid w:val="00B22633"/>
    <w:rsid w:val="00B235E2"/>
    <w:rsid w:val="00B23691"/>
    <w:rsid w:val="00B245C4"/>
    <w:rsid w:val="00B2719B"/>
    <w:rsid w:val="00B306F9"/>
    <w:rsid w:val="00B30988"/>
    <w:rsid w:val="00B312EA"/>
    <w:rsid w:val="00B431AB"/>
    <w:rsid w:val="00B43B69"/>
    <w:rsid w:val="00B47AEB"/>
    <w:rsid w:val="00B50385"/>
    <w:rsid w:val="00B52234"/>
    <w:rsid w:val="00B61684"/>
    <w:rsid w:val="00B72A59"/>
    <w:rsid w:val="00B72F78"/>
    <w:rsid w:val="00B76189"/>
    <w:rsid w:val="00B77EAC"/>
    <w:rsid w:val="00B800CA"/>
    <w:rsid w:val="00B87048"/>
    <w:rsid w:val="00B874C0"/>
    <w:rsid w:val="00B95618"/>
    <w:rsid w:val="00B96AC6"/>
    <w:rsid w:val="00B974E5"/>
    <w:rsid w:val="00BA108D"/>
    <w:rsid w:val="00BA2D1F"/>
    <w:rsid w:val="00BA67CA"/>
    <w:rsid w:val="00BB7107"/>
    <w:rsid w:val="00BC6945"/>
    <w:rsid w:val="00BD0799"/>
    <w:rsid w:val="00BD0F25"/>
    <w:rsid w:val="00BD39C3"/>
    <w:rsid w:val="00BD6A4F"/>
    <w:rsid w:val="00BD7547"/>
    <w:rsid w:val="00BF0B30"/>
    <w:rsid w:val="00BF4EDB"/>
    <w:rsid w:val="00C01311"/>
    <w:rsid w:val="00C037B7"/>
    <w:rsid w:val="00C04D51"/>
    <w:rsid w:val="00C04F78"/>
    <w:rsid w:val="00C064FB"/>
    <w:rsid w:val="00C06E1F"/>
    <w:rsid w:val="00C1545D"/>
    <w:rsid w:val="00C15608"/>
    <w:rsid w:val="00C24F0F"/>
    <w:rsid w:val="00C2658A"/>
    <w:rsid w:val="00C30611"/>
    <w:rsid w:val="00C3426F"/>
    <w:rsid w:val="00C35811"/>
    <w:rsid w:val="00C36A5C"/>
    <w:rsid w:val="00C401DE"/>
    <w:rsid w:val="00C40FE1"/>
    <w:rsid w:val="00C439CC"/>
    <w:rsid w:val="00C52EDD"/>
    <w:rsid w:val="00C577BD"/>
    <w:rsid w:val="00C57E46"/>
    <w:rsid w:val="00C61FAF"/>
    <w:rsid w:val="00C62DA2"/>
    <w:rsid w:val="00C66799"/>
    <w:rsid w:val="00C7471C"/>
    <w:rsid w:val="00C77C44"/>
    <w:rsid w:val="00C8068F"/>
    <w:rsid w:val="00C81B44"/>
    <w:rsid w:val="00C833F7"/>
    <w:rsid w:val="00C83861"/>
    <w:rsid w:val="00C9524E"/>
    <w:rsid w:val="00C968DD"/>
    <w:rsid w:val="00C977B5"/>
    <w:rsid w:val="00CA0054"/>
    <w:rsid w:val="00CA2C00"/>
    <w:rsid w:val="00CA331D"/>
    <w:rsid w:val="00CA5CAA"/>
    <w:rsid w:val="00CB3ADA"/>
    <w:rsid w:val="00CB4E0B"/>
    <w:rsid w:val="00CB5CE3"/>
    <w:rsid w:val="00CC1200"/>
    <w:rsid w:val="00CC36AC"/>
    <w:rsid w:val="00CC4CE7"/>
    <w:rsid w:val="00CC6062"/>
    <w:rsid w:val="00CC6B5D"/>
    <w:rsid w:val="00CE1629"/>
    <w:rsid w:val="00CE597A"/>
    <w:rsid w:val="00CE7EA9"/>
    <w:rsid w:val="00CF0D47"/>
    <w:rsid w:val="00CF1D00"/>
    <w:rsid w:val="00CF3317"/>
    <w:rsid w:val="00CF4751"/>
    <w:rsid w:val="00CF4EC3"/>
    <w:rsid w:val="00D10DFB"/>
    <w:rsid w:val="00D1402C"/>
    <w:rsid w:val="00D23E98"/>
    <w:rsid w:val="00D2443E"/>
    <w:rsid w:val="00D26C72"/>
    <w:rsid w:val="00D2739C"/>
    <w:rsid w:val="00D33A05"/>
    <w:rsid w:val="00D34DB6"/>
    <w:rsid w:val="00D40F99"/>
    <w:rsid w:val="00D4126B"/>
    <w:rsid w:val="00D425A5"/>
    <w:rsid w:val="00D46BC8"/>
    <w:rsid w:val="00D5423C"/>
    <w:rsid w:val="00D55C7B"/>
    <w:rsid w:val="00D6066C"/>
    <w:rsid w:val="00D6499E"/>
    <w:rsid w:val="00D72A08"/>
    <w:rsid w:val="00D74AE6"/>
    <w:rsid w:val="00D801CD"/>
    <w:rsid w:val="00D813F7"/>
    <w:rsid w:val="00D81E0C"/>
    <w:rsid w:val="00D83994"/>
    <w:rsid w:val="00D86A4E"/>
    <w:rsid w:val="00D91B46"/>
    <w:rsid w:val="00D92152"/>
    <w:rsid w:val="00D96C06"/>
    <w:rsid w:val="00DA04CB"/>
    <w:rsid w:val="00DA1C66"/>
    <w:rsid w:val="00DB3AAB"/>
    <w:rsid w:val="00DC079B"/>
    <w:rsid w:val="00DC3D2F"/>
    <w:rsid w:val="00DC7A75"/>
    <w:rsid w:val="00DC7DC9"/>
    <w:rsid w:val="00DD4B4B"/>
    <w:rsid w:val="00DD7885"/>
    <w:rsid w:val="00DD7E92"/>
    <w:rsid w:val="00DE75C2"/>
    <w:rsid w:val="00DF0D79"/>
    <w:rsid w:val="00DF44E3"/>
    <w:rsid w:val="00DF4C8F"/>
    <w:rsid w:val="00E00CCA"/>
    <w:rsid w:val="00E02AC1"/>
    <w:rsid w:val="00E03C88"/>
    <w:rsid w:val="00E04497"/>
    <w:rsid w:val="00E04E62"/>
    <w:rsid w:val="00E060F7"/>
    <w:rsid w:val="00E062A6"/>
    <w:rsid w:val="00E07131"/>
    <w:rsid w:val="00E07C1C"/>
    <w:rsid w:val="00E130CB"/>
    <w:rsid w:val="00E13633"/>
    <w:rsid w:val="00E23BFC"/>
    <w:rsid w:val="00E251A9"/>
    <w:rsid w:val="00E27AE3"/>
    <w:rsid w:val="00E32D9E"/>
    <w:rsid w:val="00E4275A"/>
    <w:rsid w:val="00E44865"/>
    <w:rsid w:val="00E56903"/>
    <w:rsid w:val="00E65228"/>
    <w:rsid w:val="00E65269"/>
    <w:rsid w:val="00E7313F"/>
    <w:rsid w:val="00E7531A"/>
    <w:rsid w:val="00E8028A"/>
    <w:rsid w:val="00E80EDA"/>
    <w:rsid w:val="00E842F7"/>
    <w:rsid w:val="00E84FC3"/>
    <w:rsid w:val="00E9262E"/>
    <w:rsid w:val="00E95B48"/>
    <w:rsid w:val="00EA233A"/>
    <w:rsid w:val="00EA3CA8"/>
    <w:rsid w:val="00EA4D8A"/>
    <w:rsid w:val="00EB0642"/>
    <w:rsid w:val="00EB0DD7"/>
    <w:rsid w:val="00EB30CC"/>
    <w:rsid w:val="00EB736C"/>
    <w:rsid w:val="00EC1A88"/>
    <w:rsid w:val="00EC209E"/>
    <w:rsid w:val="00EC5156"/>
    <w:rsid w:val="00EC6D26"/>
    <w:rsid w:val="00EC73D7"/>
    <w:rsid w:val="00EC7A2A"/>
    <w:rsid w:val="00EC7FF3"/>
    <w:rsid w:val="00ED3A6A"/>
    <w:rsid w:val="00ED3BCD"/>
    <w:rsid w:val="00ED57FE"/>
    <w:rsid w:val="00ED692F"/>
    <w:rsid w:val="00ED7019"/>
    <w:rsid w:val="00EE4D89"/>
    <w:rsid w:val="00EF180E"/>
    <w:rsid w:val="00F011B7"/>
    <w:rsid w:val="00F0199C"/>
    <w:rsid w:val="00F072CA"/>
    <w:rsid w:val="00F073F0"/>
    <w:rsid w:val="00F136B1"/>
    <w:rsid w:val="00F24C85"/>
    <w:rsid w:val="00F259BB"/>
    <w:rsid w:val="00F26768"/>
    <w:rsid w:val="00F26B50"/>
    <w:rsid w:val="00F30993"/>
    <w:rsid w:val="00F32087"/>
    <w:rsid w:val="00F4370A"/>
    <w:rsid w:val="00F4447B"/>
    <w:rsid w:val="00F46652"/>
    <w:rsid w:val="00F532E5"/>
    <w:rsid w:val="00F53A63"/>
    <w:rsid w:val="00F53BFA"/>
    <w:rsid w:val="00F60218"/>
    <w:rsid w:val="00F66357"/>
    <w:rsid w:val="00F73CA2"/>
    <w:rsid w:val="00F741A8"/>
    <w:rsid w:val="00F76E47"/>
    <w:rsid w:val="00F7716C"/>
    <w:rsid w:val="00F82E6E"/>
    <w:rsid w:val="00F82EB0"/>
    <w:rsid w:val="00F86B78"/>
    <w:rsid w:val="00F938BC"/>
    <w:rsid w:val="00F9528C"/>
    <w:rsid w:val="00F95B31"/>
    <w:rsid w:val="00F96345"/>
    <w:rsid w:val="00F96D49"/>
    <w:rsid w:val="00FA11C2"/>
    <w:rsid w:val="00FA214D"/>
    <w:rsid w:val="00FA5B09"/>
    <w:rsid w:val="00FA60A8"/>
    <w:rsid w:val="00FB1A49"/>
    <w:rsid w:val="00FC0508"/>
    <w:rsid w:val="00FC23AD"/>
    <w:rsid w:val="00FC714C"/>
    <w:rsid w:val="00FD2A31"/>
    <w:rsid w:val="00FD53AA"/>
    <w:rsid w:val="00FF1715"/>
    <w:rsid w:val="00FF1AC3"/>
    <w:rsid w:val="00FF290A"/>
    <w:rsid w:val="00FF3A27"/>
    <w:rsid w:val="00FF55C4"/>
    <w:rsid w:val="01620AC6"/>
    <w:rsid w:val="0169049A"/>
    <w:rsid w:val="017B11E4"/>
    <w:rsid w:val="017C6D0A"/>
    <w:rsid w:val="01896B19"/>
    <w:rsid w:val="019D6F8A"/>
    <w:rsid w:val="019F0EF6"/>
    <w:rsid w:val="01E3619B"/>
    <w:rsid w:val="02203B3A"/>
    <w:rsid w:val="022B0E5C"/>
    <w:rsid w:val="022F6745"/>
    <w:rsid w:val="024737BC"/>
    <w:rsid w:val="02A66A9B"/>
    <w:rsid w:val="02F0175E"/>
    <w:rsid w:val="030700ED"/>
    <w:rsid w:val="032C4E8C"/>
    <w:rsid w:val="0364342E"/>
    <w:rsid w:val="03A04F32"/>
    <w:rsid w:val="041A13EE"/>
    <w:rsid w:val="042C2A83"/>
    <w:rsid w:val="04844BC5"/>
    <w:rsid w:val="04B05649"/>
    <w:rsid w:val="05A607FA"/>
    <w:rsid w:val="05B57C30"/>
    <w:rsid w:val="05D95027"/>
    <w:rsid w:val="05F30E63"/>
    <w:rsid w:val="06024233"/>
    <w:rsid w:val="066914C7"/>
    <w:rsid w:val="06D15597"/>
    <w:rsid w:val="077A58F6"/>
    <w:rsid w:val="078A0196"/>
    <w:rsid w:val="078F7797"/>
    <w:rsid w:val="08055CAB"/>
    <w:rsid w:val="08160119"/>
    <w:rsid w:val="083A7C74"/>
    <w:rsid w:val="08874912"/>
    <w:rsid w:val="08A94889"/>
    <w:rsid w:val="08EE0A04"/>
    <w:rsid w:val="093D2917"/>
    <w:rsid w:val="096E4102"/>
    <w:rsid w:val="09815806"/>
    <w:rsid w:val="0A396A53"/>
    <w:rsid w:val="0A7510BA"/>
    <w:rsid w:val="0ABA2D7D"/>
    <w:rsid w:val="0ACA19B2"/>
    <w:rsid w:val="0AFA7AEF"/>
    <w:rsid w:val="0B725E42"/>
    <w:rsid w:val="0BD51718"/>
    <w:rsid w:val="0C2C7281"/>
    <w:rsid w:val="0C3F78A4"/>
    <w:rsid w:val="0CAE2E86"/>
    <w:rsid w:val="0CDB31C5"/>
    <w:rsid w:val="0D284533"/>
    <w:rsid w:val="0D933D59"/>
    <w:rsid w:val="0DE940BC"/>
    <w:rsid w:val="0DF6442A"/>
    <w:rsid w:val="0E1930A3"/>
    <w:rsid w:val="0E8E59FB"/>
    <w:rsid w:val="0EAF7E38"/>
    <w:rsid w:val="0EC5310D"/>
    <w:rsid w:val="0ED713A0"/>
    <w:rsid w:val="0EEC3721"/>
    <w:rsid w:val="0F013C54"/>
    <w:rsid w:val="0F5A1B1C"/>
    <w:rsid w:val="0F6F7F34"/>
    <w:rsid w:val="0FCD0BEF"/>
    <w:rsid w:val="0FD11AC8"/>
    <w:rsid w:val="0FD51EE3"/>
    <w:rsid w:val="0FF857A4"/>
    <w:rsid w:val="10246EEB"/>
    <w:rsid w:val="10280789"/>
    <w:rsid w:val="103D7805"/>
    <w:rsid w:val="10B85FB1"/>
    <w:rsid w:val="1136446A"/>
    <w:rsid w:val="11A245C9"/>
    <w:rsid w:val="11A97054"/>
    <w:rsid w:val="12300835"/>
    <w:rsid w:val="123D4E1C"/>
    <w:rsid w:val="128E22ED"/>
    <w:rsid w:val="129729AD"/>
    <w:rsid w:val="12A01D4D"/>
    <w:rsid w:val="13705615"/>
    <w:rsid w:val="13897791"/>
    <w:rsid w:val="13993F05"/>
    <w:rsid w:val="13A66595"/>
    <w:rsid w:val="140B464A"/>
    <w:rsid w:val="14357136"/>
    <w:rsid w:val="143E42EA"/>
    <w:rsid w:val="14470EA8"/>
    <w:rsid w:val="145554BF"/>
    <w:rsid w:val="14B17304"/>
    <w:rsid w:val="14C8253B"/>
    <w:rsid w:val="14E216B6"/>
    <w:rsid w:val="15010657"/>
    <w:rsid w:val="153C1C20"/>
    <w:rsid w:val="158879DE"/>
    <w:rsid w:val="15D2486C"/>
    <w:rsid w:val="160752E5"/>
    <w:rsid w:val="16E70AA7"/>
    <w:rsid w:val="16EA1853"/>
    <w:rsid w:val="171676C9"/>
    <w:rsid w:val="171C4DC0"/>
    <w:rsid w:val="17F20725"/>
    <w:rsid w:val="18E11E1D"/>
    <w:rsid w:val="18E23808"/>
    <w:rsid w:val="199E7649"/>
    <w:rsid w:val="19A10A1B"/>
    <w:rsid w:val="19D07C52"/>
    <w:rsid w:val="19F31E08"/>
    <w:rsid w:val="1A2E2E40"/>
    <w:rsid w:val="1A327BC9"/>
    <w:rsid w:val="1A512FD2"/>
    <w:rsid w:val="1A5C0094"/>
    <w:rsid w:val="1A6D6BAE"/>
    <w:rsid w:val="1A726BF5"/>
    <w:rsid w:val="1A8052DA"/>
    <w:rsid w:val="1AA2382E"/>
    <w:rsid w:val="1AF76098"/>
    <w:rsid w:val="1B195AED"/>
    <w:rsid w:val="1B743FAF"/>
    <w:rsid w:val="1B9A2198"/>
    <w:rsid w:val="1BAC72A9"/>
    <w:rsid w:val="1BE340A9"/>
    <w:rsid w:val="1BEF6353"/>
    <w:rsid w:val="1C224C26"/>
    <w:rsid w:val="1C640D9B"/>
    <w:rsid w:val="1D140AEA"/>
    <w:rsid w:val="1D345D0C"/>
    <w:rsid w:val="1D3C5874"/>
    <w:rsid w:val="1DBB256F"/>
    <w:rsid w:val="1DBD6EEA"/>
    <w:rsid w:val="1DCC309C"/>
    <w:rsid w:val="1DD939D5"/>
    <w:rsid w:val="1E1B36DB"/>
    <w:rsid w:val="1E1D3604"/>
    <w:rsid w:val="1E485DBD"/>
    <w:rsid w:val="1E4E14BF"/>
    <w:rsid w:val="1EF81C6E"/>
    <w:rsid w:val="1F0E4FEE"/>
    <w:rsid w:val="1F344C33"/>
    <w:rsid w:val="1F94576B"/>
    <w:rsid w:val="1FF73CD4"/>
    <w:rsid w:val="20015FB6"/>
    <w:rsid w:val="20340A84"/>
    <w:rsid w:val="20375257"/>
    <w:rsid w:val="20414D4B"/>
    <w:rsid w:val="213D6772"/>
    <w:rsid w:val="21852C8B"/>
    <w:rsid w:val="21F01467"/>
    <w:rsid w:val="2245341D"/>
    <w:rsid w:val="22790DAA"/>
    <w:rsid w:val="22E76282"/>
    <w:rsid w:val="22F866E1"/>
    <w:rsid w:val="233F60BE"/>
    <w:rsid w:val="23B90077"/>
    <w:rsid w:val="24347A5C"/>
    <w:rsid w:val="24374FE7"/>
    <w:rsid w:val="24C34ACD"/>
    <w:rsid w:val="253F05F7"/>
    <w:rsid w:val="25DF6DAE"/>
    <w:rsid w:val="265F4FFC"/>
    <w:rsid w:val="2705317A"/>
    <w:rsid w:val="274117A4"/>
    <w:rsid w:val="27646F0D"/>
    <w:rsid w:val="27983FEE"/>
    <w:rsid w:val="27B3472D"/>
    <w:rsid w:val="27E234BC"/>
    <w:rsid w:val="283B40D1"/>
    <w:rsid w:val="28483622"/>
    <w:rsid w:val="28AF15F0"/>
    <w:rsid w:val="28F60FCD"/>
    <w:rsid w:val="294C20B9"/>
    <w:rsid w:val="2959351C"/>
    <w:rsid w:val="2984158E"/>
    <w:rsid w:val="29C70BBB"/>
    <w:rsid w:val="29E37069"/>
    <w:rsid w:val="2A1E1E90"/>
    <w:rsid w:val="2A2C0A1E"/>
    <w:rsid w:val="2AC96F4D"/>
    <w:rsid w:val="2AEB6943"/>
    <w:rsid w:val="2B0A6FB1"/>
    <w:rsid w:val="2B12112D"/>
    <w:rsid w:val="2B2161B2"/>
    <w:rsid w:val="2B241EA3"/>
    <w:rsid w:val="2B4247A3"/>
    <w:rsid w:val="2B443561"/>
    <w:rsid w:val="2B507CFE"/>
    <w:rsid w:val="2B795566"/>
    <w:rsid w:val="2B8E7BE2"/>
    <w:rsid w:val="2B91029B"/>
    <w:rsid w:val="2B9C005A"/>
    <w:rsid w:val="2BD157FD"/>
    <w:rsid w:val="2C0E2796"/>
    <w:rsid w:val="2C472C8F"/>
    <w:rsid w:val="2D454D9C"/>
    <w:rsid w:val="2D4654A3"/>
    <w:rsid w:val="2D9A0E36"/>
    <w:rsid w:val="2DB15127"/>
    <w:rsid w:val="2DBA2E0B"/>
    <w:rsid w:val="2DC93154"/>
    <w:rsid w:val="2DF51922"/>
    <w:rsid w:val="2E0C6133"/>
    <w:rsid w:val="2E123D6E"/>
    <w:rsid w:val="2E1B7727"/>
    <w:rsid w:val="2E903DFD"/>
    <w:rsid w:val="2F0F103A"/>
    <w:rsid w:val="2F3A3BDD"/>
    <w:rsid w:val="2F6F7D2B"/>
    <w:rsid w:val="2F82755C"/>
    <w:rsid w:val="2F9652B7"/>
    <w:rsid w:val="2FB475A5"/>
    <w:rsid w:val="30013048"/>
    <w:rsid w:val="30155AC7"/>
    <w:rsid w:val="30222A1F"/>
    <w:rsid w:val="30302262"/>
    <w:rsid w:val="306727B0"/>
    <w:rsid w:val="3069046A"/>
    <w:rsid w:val="3078777A"/>
    <w:rsid w:val="30CE6CD3"/>
    <w:rsid w:val="31083851"/>
    <w:rsid w:val="316503ED"/>
    <w:rsid w:val="31692400"/>
    <w:rsid w:val="317869F9"/>
    <w:rsid w:val="31B640E3"/>
    <w:rsid w:val="32100EC2"/>
    <w:rsid w:val="32222E32"/>
    <w:rsid w:val="322F72FD"/>
    <w:rsid w:val="323B2146"/>
    <w:rsid w:val="323C0139"/>
    <w:rsid w:val="32427031"/>
    <w:rsid w:val="328C4750"/>
    <w:rsid w:val="329477FB"/>
    <w:rsid w:val="32CC7242"/>
    <w:rsid w:val="32D529AA"/>
    <w:rsid w:val="32DF36FA"/>
    <w:rsid w:val="33013214"/>
    <w:rsid w:val="335A65FC"/>
    <w:rsid w:val="3380167B"/>
    <w:rsid w:val="33A324F5"/>
    <w:rsid w:val="33A3799C"/>
    <w:rsid w:val="33C26AED"/>
    <w:rsid w:val="34126ED7"/>
    <w:rsid w:val="341F430A"/>
    <w:rsid w:val="34256C0A"/>
    <w:rsid w:val="34B27456"/>
    <w:rsid w:val="34C5046A"/>
    <w:rsid w:val="34F07218"/>
    <w:rsid w:val="34F565DC"/>
    <w:rsid w:val="35177B9F"/>
    <w:rsid w:val="353362F9"/>
    <w:rsid w:val="35353F14"/>
    <w:rsid w:val="358E0337"/>
    <w:rsid w:val="359A0BDE"/>
    <w:rsid w:val="35C366DA"/>
    <w:rsid w:val="35FB019D"/>
    <w:rsid w:val="36637B7B"/>
    <w:rsid w:val="3676199F"/>
    <w:rsid w:val="36780574"/>
    <w:rsid w:val="371511B8"/>
    <w:rsid w:val="373E1168"/>
    <w:rsid w:val="37490021"/>
    <w:rsid w:val="376823DC"/>
    <w:rsid w:val="37BF2ED1"/>
    <w:rsid w:val="37E93DA9"/>
    <w:rsid w:val="3803406C"/>
    <w:rsid w:val="380E11B5"/>
    <w:rsid w:val="387F5EED"/>
    <w:rsid w:val="38845BA5"/>
    <w:rsid w:val="38954F7D"/>
    <w:rsid w:val="38AF3D94"/>
    <w:rsid w:val="38CF183A"/>
    <w:rsid w:val="38D85072"/>
    <w:rsid w:val="38DE7785"/>
    <w:rsid w:val="39011854"/>
    <w:rsid w:val="39CB3DB0"/>
    <w:rsid w:val="39D819EF"/>
    <w:rsid w:val="39EE59F7"/>
    <w:rsid w:val="3A1B478A"/>
    <w:rsid w:val="3A937978"/>
    <w:rsid w:val="3AA36ADA"/>
    <w:rsid w:val="3ADA5CBB"/>
    <w:rsid w:val="3B4668A3"/>
    <w:rsid w:val="3B4F16A1"/>
    <w:rsid w:val="3B5E2077"/>
    <w:rsid w:val="3B8B3E2A"/>
    <w:rsid w:val="3B8C756F"/>
    <w:rsid w:val="3BFD41E3"/>
    <w:rsid w:val="3C127B13"/>
    <w:rsid w:val="3C1A101E"/>
    <w:rsid w:val="3C221C81"/>
    <w:rsid w:val="3C356139"/>
    <w:rsid w:val="3C406CD7"/>
    <w:rsid w:val="3C4446EB"/>
    <w:rsid w:val="3C687FDC"/>
    <w:rsid w:val="3CAB2158"/>
    <w:rsid w:val="3CAD3D22"/>
    <w:rsid w:val="3CED5EB5"/>
    <w:rsid w:val="3CF25AF7"/>
    <w:rsid w:val="3D1B7C5A"/>
    <w:rsid w:val="3D670293"/>
    <w:rsid w:val="3D6F3F49"/>
    <w:rsid w:val="3DA9112C"/>
    <w:rsid w:val="3DCD0D0C"/>
    <w:rsid w:val="3DFC3B66"/>
    <w:rsid w:val="3E0755D2"/>
    <w:rsid w:val="3E0C3667"/>
    <w:rsid w:val="3E540A83"/>
    <w:rsid w:val="3E706C67"/>
    <w:rsid w:val="3EC7189E"/>
    <w:rsid w:val="3FC733A8"/>
    <w:rsid w:val="40272BF8"/>
    <w:rsid w:val="40483BF8"/>
    <w:rsid w:val="40581513"/>
    <w:rsid w:val="40721094"/>
    <w:rsid w:val="40813AF9"/>
    <w:rsid w:val="40BE641C"/>
    <w:rsid w:val="40DD45C5"/>
    <w:rsid w:val="412169AB"/>
    <w:rsid w:val="41236323"/>
    <w:rsid w:val="413820FC"/>
    <w:rsid w:val="4151744A"/>
    <w:rsid w:val="415B3C6B"/>
    <w:rsid w:val="41A970CC"/>
    <w:rsid w:val="420E33D3"/>
    <w:rsid w:val="42306C88"/>
    <w:rsid w:val="425C7C82"/>
    <w:rsid w:val="430F2F5F"/>
    <w:rsid w:val="433D440D"/>
    <w:rsid w:val="436C46E1"/>
    <w:rsid w:val="436D5ED7"/>
    <w:rsid w:val="43A2133D"/>
    <w:rsid w:val="43A2266B"/>
    <w:rsid w:val="43DB126E"/>
    <w:rsid w:val="440E038A"/>
    <w:rsid w:val="4416031D"/>
    <w:rsid w:val="444C6312"/>
    <w:rsid w:val="444E3F5B"/>
    <w:rsid w:val="44892E49"/>
    <w:rsid w:val="449D369B"/>
    <w:rsid w:val="4532625E"/>
    <w:rsid w:val="453578EC"/>
    <w:rsid w:val="456B1EEC"/>
    <w:rsid w:val="457C4E17"/>
    <w:rsid w:val="45810670"/>
    <w:rsid w:val="4582210E"/>
    <w:rsid w:val="45E37EF3"/>
    <w:rsid w:val="466841AC"/>
    <w:rsid w:val="46873ACA"/>
    <w:rsid w:val="46BD2949"/>
    <w:rsid w:val="46E705A2"/>
    <w:rsid w:val="47373CCA"/>
    <w:rsid w:val="47765AEB"/>
    <w:rsid w:val="477868AC"/>
    <w:rsid w:val="47F81D88"/>
    <w:rsid w:val="47FC782A"/>
    <w:rsid w:val="47FD4865"/>
    <w:rsid w:val="484336AB"/>
    <w:rsid w:val="484A4A39"/>
    <w:rsid w:val="487207BB"/>
    <w:rsid w:val="48A4728D"/>
    <w:rsid w:val="48B545A9"/>
    <w:rsid w:val="48BF5427"/>
    <w:rsid w:val="494D47E1"/>
    <w:rsid w:val="499410ED"/>
    <w:rsid w:val="49AF3CFB"/>
    <w:rsid w:val="49B2167F"/>
    <w:rsid w:val="49C01C79"/>
    <w:rsid w:val="4A767978"/>
    <w:rsid w:val="4ABF7E72"/>
    <w:rsid w:val="4ADF76BB"/>
    <w:rsid w:val="4AFA62A3"/>
    <w:rsid w:val="4B0916C2"/>
    <w:rsid w:val="4B286549"/>
    <w:rsid w:val="4B864A5F"/>
    <w:rsid w:val="4B920BD1"/>
    <w:rsid w:val="4BCB1D03"/>
    <w:rsid w:val="4BDF193C"/>
    <w:rsid w:val="4C026053"/>
    <w:rsid w:val="4C7C288F"/>
    <w:rsid w:val="4C8147A2"/>
    <w:rsid w:val="4CD55219"/>
    <w:rsid w:val="4D5E11A2"/>
    <w:rsid w:val="4D616AAD"/>
    <w:rsid w:val="4D7A36CB"/>
    <w:rsid w:val="4DD0778F"/>
    <w:rsid w:val="4DFC1A95"/>
    <w:rsid w:val="4E10402F"/>
    <w:rsid w:val="4E320449"/>
    <w:rsid w:val="4E640AFC"/>
    <w:rsid w:val="4E8857F3"/>
    <w:rsid w:val="4EA76741"/>
    <w:rsid w:val="4F3A1B4C"/>
    <w:rsid w:val="4F453B86"/>
    <w:rsid w:val="4F804659"/>
    <w:rsid w:val="4F983C9C"/>
    <w:rsid w:val="4FE92CD6"/>
    <w:rsid w:val="4FF15882"/>
    <w:rsid w:val="50A87A77"/>
    <w:rsid w:val="50E83C9C"/>
    <w:rsid w:val="51217526"/>
    <w:rsid w:val="51346287"/>
    <w:rsid w:val="5137016C"/>
    <w:rsid w:val="51C55D72"/>
    <w:rsid w:val="521C11F4"/>
    <w:rsid w:val="522916A8"/>
    <w:rsid w:val="523A1735"/>
    <w:rsid w:val="52512B20"/>
    <w:rsid w:val="527A3D44"/>
    <w:rsid w:val="529C2335"/>
    <w:rsid w:val="529C40E3"/>
    <w:rsid w:val="52EC426B"/>
    <w:rsid w:val="533448D5"/>
    <w:rsid w:val="533D5D00"/>
    <w:rsid w:val="53ED0404"/>
    <w:rsid w:val="54077C82"/>
    <w:rsid w:val="54AC04F8"/>
    <w:rsid w:val="54B43966"/>
    <w:rsid w:val="54DE6C35"/>
    <w:rsid w:val="555E1B24"/>
    <w:rsid w:val="556E620B"/>
    <w:rsid w:val="55BB0D24"/>
    <w:rsid w:val="55CE68E1"/>
    <w:rsid w:val="56267068"/>
    <w:rsid w:val="56341A46"/>
    <w:rsid w:val="56404CD3"/>
    <w:rsid w:val="56690780"/>
    <w:rsid w:val="567F61F6"/>
    <w:rsid w:val="569C0B56"/>
    <w:rsid w:val="56AC7989"/>
    <w:rsid w:val="56E5786E"/>
    <w:rsid w:val="5793606E"/>
    <w:rsid w:val="57C1754D"/>
    <w:rsid w:val="57C85AFC"/>
    <w:rsid w:val="57CD7FB9"/>
    <w:rsid w:val="57E1668F"/>
    <w:rsid w:val="58397D2F"/>
    <w:rsid w:val="589E6156"/>
    <w:rsid w:val="58B73A25"/>
    <w:rsid w:val="58DA6810"/>
    <w:rsid w:val="59314365"/>
    <w:rsid w:val="59566237"/>
    <w:rsid w:val="59E92737"/>
    <w:rsid w:val="59F36B5D"/>
    <w:rsid w:val="5A562CD1"/>
    <w:rsid w:val="5A6E2809"/>
    <w:rsid w:val="5A755946"/>
    <w:rsid w:val="5AE605F2"/>
    <w:rsid w:val="5AF33D2F"/>
    <w:rsid w:val="5B4F43E9"/>
    <w:rsid w:val="5B8F0C89"/>
    <w:rsid w:val="5B90331D"/>
    <w:rsid w:val="5BA65FD3"/>
    <w:rsid w:val="5BD963A8"/>
    <w:rsid w:val="5C3E501A"/>
    <w:rsid w:val="5CA827E9"/>
    <w:rsid w:val="5CAF380A"/>
    <w:rsid w:val="5CB57FCC"/>
    <w:rsid w:val="5CD56B70"/>
    <w:rsid w:val="5D1B4E24"/>
    <w:rsid w:val="5D26202F"/>
    <w:rsid w:val="5D525A97"/>
    <w:rsid w:val="5DA23C27"/>
    <w:rsid w:val="5DB93FC4"/>
    <w:rsid w:val="5DCF1C81"/>
    <w:rsid w:val="5DDF5F1F"/>
    <w:rsid w:val="5DF46F5B"/>
    <w:rsid w:val="5E0A7F37"/>
    <w:rsid w:val="5E3449DA"/>
    <w:rsid w:val="5EB6652D"/>
    <w:rsid w:val="5EBC058C"/>
    <w:rsid w:val="5ED428AD"/>
    <w:rsid w:val="5F0266A5"/>
    <w:rsid w:val="5F48187B"/>
    <w:rsid w:val="5F5244A8"/>
    <w:rsid w:val="5F73441E"/>
    <w:rsid w:val="5FD40E8D"/>
    <w:rsid w:val="5FF84DBC"/>
    <w:rsid w:val="600357A2"/>
    <w:rsid w:val="60122EA8"/>
    <w:rsid w:val="606A3A73"/>
    <w:rsid w:val="60761332"/>
    <w:rsid w:val="60A31D0E"/>
    <w:rsid w:val="60A46FF9"/>
    <w:rsid w:val="60B967A6"/>
    <w:rsid w:val="60CE0B25"/>
    <w:rsid w:val="60CF1B28"/>
    <w:rsid w:val="60E93800"/>
    <w:rsid w:val="6125217D"/>
    <w:rsid w:val="613C7F47"/>
    <w:rsid w:val="614079B7"/>
    <w:rsid w:val="61722BDF"/>
    <w:rsid w:val="618F250C"/>
    <w:rsid w:val="61C146EE"/>
    <w:rsid w:val="621230F7"/>
    <w:rsid w:val="625D62A0"/>
    <w:rsid w:val="626764BC"/>
    <w:rsid w:val="62A750F4"/>
    <w:rsid w:val="62AE40EB"/>
    <w:rsid w:val="62F63838"/>
    <w:rsid w:val="630C6C6F"/>
    <w:rsid w:val="6312522C"/>
    <w:rsid w:val="635469F6"/>
    <w:rsid w:val="635D2FC7"/>
    <w:rsid w:val="636B5B38"/>
    <w:rsid w:val="638B7F88"/>
    <w:rsid w:val="63A454EE"/>
    <w:rsid w:val="63B020AD"/>
    <w:rsid w:val="63BB6C19"/>
    <w:rsid w:val="63BD15E9"/>
    <w:rsid w:val="63BE3524"/>
    <w:rsid w:val="63C03819"/>
    <w:rsid w:val="63D538F9"/>
    <w:rsid w:val="63E12267"/>
    <w:rsid w:val="643423CE"/>
    <w:rsid w:val="643A3DC4"/>
    <w:rsid w:val="64421C5A"/>
    <w:rsid w:val="64641F8D"/>
    <w:rsid w:val="647522FB"/>
    <w:rsid w:val="64882719"/>
    <w:rsid w:val="64A75ABD"/>
    <w:rsid w:val="64AC465A"/>
    <w:rsid w:val="64C51278"/>
    <w:rsid w:val="652421F5"/>
    <w:rsid w:val="65516FAF"/>
    <w:rsid w:val="655F660D"/>
    <w:rsid w:val="656055FA"/>
    <w:rsid w:val="65782B8B"/>
    <w:rsid w:val="658D78E4"/>
    <w:rsid w:val="65C43C25"/>
    <w:rsid w:val="65CF4F2E"/>
    <w:rsid w:val="65D478CC"/>
    <w:rsid w:val="660D17D5"/>
    <w:rsid w:val="66280ED6"/>
    <w:rsid w:val="66583FA2"/>
    <w:rsid w:val="66811B16"/>
    <w:rsid w:val="6693608B"/>
    <w:rsid w:val="67022873"/>
    <w:rsid w:val="670C5FB0"/>
    <w:rsid w:val="670F0ED0"/>
    <w:rsid w:val="671319B0"/>
    <w:rsid w:val="6716400D"/>
    <w:rsid w:val="672B68ED"/>
    <w:rsid w:val="673E1EC2"/>
    <w:rsid w:val="675E4A8A"/>
    <w:rsid w:val="677551D7"/>
    <w:rsid w:val="67CE53E9"/>
    <w:rsid w:val="67E243EB"/>
    <w:rsid w:val="67F37A5D"/>
    <w:rsid w:val="68003F7B"/>
    <w:rsid w:val="68153376"/>
    <w:rsid w:val="6850354E"/>
    <w:rsid w:val="68517E1A"/>
    <w:rsid w:val="68584166"/>
    <w:rsid w:val="68920471"/>
    <w:rsid w:val="68CA67E9"/>
    <w:rsid w:val="68E51EE8"/>
    <w:rsid w:val="692725EA"/>
    <w:rsid w:val="69453A75"/>
    <w:rsid w:val="699833FF"/>
    <w:rsid w:val="69C11DE5"/>
    <w:rsid w:val="6A0200F5"/>
    <w:rsid w:val="6A0445F0"/>
    <w:rsid w:val="6A2F7E94"/>
    <w:rsid w:val="6A866B37"/>
    <w:rsid w:val="6AAC1C83"/>
    <w:rsid w:val="6B113469"/>
    <w:rsid w:val="6B217CF2"/>
    <w:rsid w:val="6B3E3D2E"/>
    <w:rsid w:val="6B6970BF"/>
    <w:rsid w:val="6C066D46"/>
    <w:rsid w:val="6C1A7D43"/>
    <w:rsid w:val="6C5134B2"/>
    <w:rsid w:val="6C91424C"/>
    <w:rsid w:val="6CCD7863"/>
    <w:rsid w:val="6D023176"/>
    <w:rsid w:val="6D0A35DF"/>
    <w:rsid w:val="6D1F7776"/>
    <w:rsid w:val="6D2D3E5E"/>
    <w:rsid w:val="6D4E62F3"/>
    <w:rsid w:val="6E7361E8"/>
    <w:rsid w:val="6E920CDE"/>
    <w:rsid w:val="6E9817AB"/>
    <w:rsid w:val="6EB26D11"/>
    <w:rsid w:val="6EC407F2"/>
    <w:rsid w:val="6ED400FB"/>
    <w:rsid w:val="6F0D3962"/>
    <w:rsid w:val="6F1658B8"/>
    <w:rsid w:val="6F717635"/>
    <w:rsid w:val="6F996DE9"/>
    <w:rsid w:val="6F9D2C4D"/>
    <w:rsid w:val="6FB16FC8"/>
    <w:rsid w:val="6FC00FB9"/>
    <w:rsid w:val="6FD607DD"/>
    <w:rsid w:val="6FDF44CF"/>
    <w:rsid w:val="6FE54EC4"/>
    <w:rsid w:val="700729B8"/>
    <w:rsid w:val="700948CB"/>
    <w:rsid w:val="70131A31"/>
    <w:rsid w:val="70151479"/>
    <w:rsid w:val="708A15C7"/>
    <w:rsid w:val="70CF2A0F"/>
    <w:rsid w:val="70EA3271"/>
    <w:rsid w:val="712C5350"/>
    <w:rsid w:val="71594D33"/>
    <w:rsid w:val="71836474"/>
    <w:rsid w:val="71AA7714"/>
    <w:rsid w:val="72127391"/>
    <w:rsid w:val="722424EC"/>
    <w:rsid w:val="722515A8"/>
    <w:rsid w:val="72405BF5"/>
    <w:rsid w:val="72586E9C"/>
    <w:rsid w:val="728D3CD9"/>
    <w:rsid w:val="73066935"/>
    <w:rsid w:val="730A3564"/>
    <w:rsid w:val="730C516A"/>
    <w:rsid w:val="73171838"/>
    <w:rsid w:val="73261A7B"/>
    <w:rsid w:val="737E5413"/>
    <w:rsid w:val="738B013E"/>
    <w:rsid w:val="73905147"/>
    <w:rsid w:val="73D72D76"/>
    <w:rsid w:val="743E2E38"/>
    <w:rsid w:val="746E36DA"/>
    <w:rsid w:val="748219B7"/>
    <w:rsid w:val="74980BA6"/>
    <w:rsid w:val="74A22B69"/>
    <w:rsid w:val="74A76BEC"/>
    <w:rsid w:val="74AC7D5E"/>
    <w:rsid w:val="74C0380A"/>
    <w:rsid w:val="75064800"/>
    <w:rsid w:val="752449BF"/>
    <w:rsid w:val="7549654C"/>
    <w:rsid w:val="75521133"/>
    <w:rsid w:val="7561621A"/>
    <w:rsid w:val="75A4179E"/>
    <w:rsid w:val="75DF03B6"/>
    <w:rsid w:val="760F140A"/>
    <w:rsid w:val="765342DE"/>
    <w:rsid w:val="769B62DC"/>
    <w:rsid w:val="76DD4B47"/>
    <w:rsid w:val="77631C48"/>
    <w:rsid w:val="77C57139"/>
    <w:rsid w:val="77D61BF0"/>
    <w:rsid w:val="780E6699"/>
    <w:rsid w:val="781E7167"/>
    <w:rsid w:val="784A7FBA"/>
    <w:rsid w:val="7851759A"/>
    <w:rsid w:val="7856695F"/>
    <w:rsid w:val="789F729F"/>
    <w:rsid w:val="78FC3213"/>
    <w:rsid w:val="79646E59"/>
    <w:rsid w:val="799363E6"/>
    <w:rsid w:val="79D74666"/>
    <w:rsid w:val="79E7027D"/>
    <w:rsid w:val="7A717A9D"/>
    <w:rsid w:val="7AE04C06"/>
    <w:rsid w:val="7AF75AAB"/>
    <w:rsid w:val="7B060512"/>
    <w:rsid w:val="7B9800C8"/>
    <w:rsid w:val="7BDF310F"/>
    <w:rsid w:val="7BF00E78"/>
    <w:rsid w:val="7C134C6F"/>
    <w:rsid w:val="7C225D33"/>
    <w:rsid w:val="7C3F58E5"/>
    <w:rsid w:val="7C5154C7"/>
    <w:rsid w:val="7C636ECC"/>
    <w:rsid w:val="7C7B6789"/>
    <w:rsid w:val="7CA51C63"/>
    <w:rsid w:val="7D3B041C"/>
    <w:rsid w:val="7DA03206"/>
    <w:rsid w:val="7DC55265"/>
    <w:rsid w:val="7DC7089B"/>
    <w:rsid w:val="7DF551A9"/>
    <w:rsid w:val="7E221091"/>
    <w:rsid w:val="7E266DD3"/>
    <w:rsid w:val="7E971F26"/>
    <w:rsid w:val="7EA83C8C"/>
    <w:rsid w:val="7ED21BEA"/>
    <w:rsid w:val="7F192494"/>
    <w:rsid w:val="7F67759B"/>
    <w:rsid w:val="7F83107B"/>
    <w:rsid w:val="7F8A0E06"/>
    <w:rsid w:val="7F9D6C28"/>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0" w:name="List"/>
    <w:lsdException w:uiPriority="99" w:name="List Bullet"/>
    <w:lsdException w:uiPriority="99" w:name="List Number"/>
    <w:lsdException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39"/>
    <w:unhideWhenUsed/>
    <w:qFormat/>
    <w:uiPriority w:val="0"/>
    <w:pPr>
      <w:keepNext/>
      <w:keepLines/>
      <w:tabs>
        <w:tab w:val="left" w:pos="720"/>
        <w:tab w:val="left" w:pos="900"/>
      </w:tabs>
      <w:spacing w:before="240" w:after="60" w:line="360" w:lineRule="auto"/>
      <w:ind w:left="454" w:hanging="454"/>
      <w:outlineLvl w:val="1"/>
    </w:pPr>
    <w:rPr>
      <w:rFonts w:ascii="Arial" w:hAnsi="Arial" w:eastAsia="宋体" w:cs="Times New Roman"/>
      <w:b/>
      <w:color w:val="000000"/>
      <w:sz w:val="24"/>
      <w:szCs w:val="24"/>
    </w:rPr>
  </w:style>
  <w:style w:type="paragraph" w:styleId="7">
    <w:name w:val="heading 3"/>
    <w:basedOn w:val="1"/>
    <w:next w:val="1"/>
    <w:link w:val="40"/>
    <w:unhideWhenUsed/>
    <w:qFormat/>
    <w:uiPriority w:val="0"/>
    <w:pPr>
      <w:keepNext/>
      <w:keepLines/>
      <w:spacing w:before="260" w:after="260" w:line="416" w:lineRule="auto"/>
      <w:outlineLvl w:val="2"/>
    </w:pPr>
    <w:rPr>
      <w:b/>
      <w:bCs/>
      <w:sz w:val="32"/>
      <w:szCs w:val="32"/>
    </w:rPr>
  </w:style>
  <w:style w:type="paragraph" w:styleId="8">
    <w:name w:val="heading 4"/>
    <w:basedOn w:val="1"/>
    <w:next w:val="6"/>
    <w:link w:val="41"/>
    <w:qFormat/>
    <w:uiPriority w:val="0"/>
    <w:pPr>
      <w:keepNext/>
      <w:keepLines/>
      <w:numPr>
        <w:ilvl w:val="3"/>
        <w:numId w:val="1"/>
      </w:numPr>
      <w:tabs>
        <w:tab w:val="left" w:pos="1080"/>
      </w:tabs>
      <w:spacing w:before="280" w:after="290" w:line="376" w:lineRule="auto"/>
      <w:outlineLvl w:val="3"/>
    </w:pPr>
    <w:rPr>
      <w:rFonts w:ascii="Arial" w:hAnsi="Arial" w:eastAsia="黑体" w:cs="Times New Roman"/>
      <w:b/>
      <w:bCs/>
      <w:sz w:val="28"/>
      <w:szCs w:val="28"/>
    </w:rPr>
  </w:style>
  <w:style w:type="paragraph" w:styleId="9">
    <w:name w:val="heading 5"/>
    <w:basedOn w:val="1"/>
    <w:next w:val="6"/>
    <w:link w:val="42"/>
    <w:qFormat/>
    <w:uiPriority w:val="0"/>
    <w:pPr>
      <w:keepNext/>
      <w:keepLines/>
      <w:spacing w:line="480" w:lineRule="auto"/>
      <w:ind w:firstLine="200" w:firstLineChars="200"/>
      <w:outlineLvl w:val="4"/>
    </w:pPr>
    <w:rPr>
      <w:rFonts w:ascii="Times New Roman" w:hAnsi="Times New Roman" w:eastAsia="宋体" w:cs="Times New Roman"/>
      <w:bCs/>
      <w:sz w:val="24"/>
      <w:szCs w:val="28"/>
    </w:rPr>
  </w:style>
  <w:style w:type="paragraph" w:styleId="10">
    <w:name w:val="heading 6"/>
    <w:basedOn w:val="1"/>
    <w:next w:val="6"/>
    <w:link w:val="43"/>
    <w:qFormat/>
    <w:uiPriority w:val="0"/>
    <w:pPr>
      <w:keepNext/>
      <w:keepLines/>
      <w:tabs>
        <w:tab w:val="left" w:pos="360"/>
        <w:tab w:val="left" w:pos="528"/>
      </w:tabs>
      <w:spacing w:before="240" w:after="64" w:line="320" w:lineRule="auto"/>
      <w:ind w:left="360" w:hanging="360"/>
      <w:outlineLvl w:val="5"/>
    </w:pPr>
    <w:rPr>
      <w:rFonts w:ascii="Arial" w:hAnsi="Arial" w:eastAsia="黑体" w:cs="Times New Roman"/>
      <w:b/>
      <w:sz w:val="24"/>
      <w:szCs w:val="20"/>
    </w:rPr>
  </w:style>
  <w:style w:type="paragraph" w:styleId="11">
    <w:name w:val="heading 7"/>
    <w:basedOn w:val="1"/>
    <w:next w:val="6"/>
    <w:link w:val="44"/>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2">
    <w:name w:val="heading 8"/>
    <w:basedOn w:val="1"/>
    <w:next w:val="6"/>
    <w:link w:val="45"/>
    <w:qFormat/>
    <w:uiPriority w:val="0"/>
    <w:pPr>
      <w:keepNext/>
      <w:keepLines/>
      <w:spacing w:before="240" w:after="64" w:line="320" w:lineRule="auto"/>
      <w:outlineLvl w:val="7"/>
    </w:pPr>
    <w:rPr>
      <w:rFonts w:ascii="Arial" w:hAnsi="Arial" w:eastAsia="黑体" w:cs="Times New Roman"/>
      <w:sz w:val="24"/>
      <w:szCs w:val="20"/>
    </w:rPr>
  </w:style>
  <w:style w:type="paragraph" w:styleId="13">
    <w:name w:val="heading 9"/>
    <w:basedOn w:val="1"/>
    <w:next w:val="6"/>
    <w:link w:val="46"/>
    <w:qFormat/>
    <w:uiPriority w:val="0"/>
    <w:pPr>
      <w:keepNext/>
      <w:keepLines/>
      <w:spacing w:before="240" w:after="64" w:line="320" w:lineRule="auto"/>
      <w:outlineLvl w:val="8"/>
    </w:pPr>
    <w:rPr>
      <w:rFonts w:ascii="Arial" w:hAnsi="Arial" w:eastAsia="黑体" w:cs="Times New Roman"/>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jc w:val="left"/>
    </w:pPr>
    <w:rPr>
      <w:rFonts w:ascii="Calibri" w:hAnsi="Calibri" w:eastAsia="宋体" w:cs="Times New Roman"/>
      <w:kern w:val="0"/>
    </w:rPr>
  </w:style>
  <w:style w:type="paragraph" w:styleId="3">
    <w:name w:val="Body Text Indent"/>
    <w:basedOn w:val="1"/>
    <w:link w:val="52"/>
    <w:qFormat/>
    <w:uiPriority w:val="0"/>
    <w:pPr>
      <w:spacing w:after="120"/>
      <w:ind w:left="420" w:leftChars="200"/>
    </w:pPr>
    <w:rPr>
      <w:rFonts w:ascii="Times New Roman" w:hAnsi="Times New Roman" w:eastAsia="宋体" w:cs="Times New Roman"/>
      <w:szCs w:val="24"/>
    </w:rPr>
  </w:style>
  <w:style w:type="paragraph" w:styleId="6">
    <w:name w:val="Normal Indent"/>
    <w:basedOn w:val="1"/>
    <w:unhideWhenUsed/>
    <w:qFormat/>
    <w:uiPriority w:val="0"/>
    <w:pPr>
      <w:ind w:firstLine="420" w:firstLineChars="200"/>
    </w:pPr>
  </w:style>
  <w:style w:type="paragraph" w:styleId="14">
    <w:name w:val="annotation text"/>
    <w:basedOn w:val="1"/>
    <w:link w:val="60"/>
    <w:semiHidden/>
    <w:qFormat/>
    <w:uiPriority w:val="0"/>
    <w:pPr>
      <w:jc w:val="left"/>
    </w:pPr>
    <w:rPr>
      <w:rFonts w:ascii="Times New Roman" w:hAnsi="Times New Roman" w:eastAsia="宋体" w:cs="Times New Roman"/>
      <w:szCs w:val="24"/>
    </w:rPr>
  </w:style>
  <w:style w:type="paragraph" w:styleId="15">
    <w:name w:val="Body Text 3"/>
    <w:basedOn w:val="1"/>
    <w:link w:val="65"/>
    <w:qFormat/>
    <w:uiPriority w:val="0"/>
    <w:pPr>
      <w:spacing w:after="120"/>
    </w:pPr>
    <w:rPr>
      <w:rFonts w:ascii="Times New Roman" w:hAnsi="Times New Roman" w:eastAsia="宋体" w:cs="Times New Roman"/>
      <w:sz w:val="16"/>
      <w:szCs w:val="16"/>
    </w:rPr>
  </w:style>
  <w:style w:type="paragraph" w:styleId="16">
    <w:name w:val="Body Text"/>
    <w:basedOn w:val="1"/>
    <w:link w:val="61"/>
    <w:qFormat/>
    <w:uiPriority w:val="0"/>
    <w:rPr>
      <w:rFonts w:ascii="Times New Roman" w:hAnsi="Times New Roman" w:eastAsia="宋体" w:cs="Times New Roman"/>
      <w:sz w:val="18"/>
      <w:szCs w:val="18"/>
    </w:rPr>
  </w:style>
  <w:style w:type="paragraph" w:styleId="17">
    <w:name w:val="toc 3"/>
    <w:basedOn w:val="1"/>
    <w:next w:val="1"/>
    <w:unhideWhenUsed/>
    <w:qFormat/>
    <w:uiPriority w:val="39"/>
    <w:pPr>
      <w:widowControl/>
      <w:spacing w:after="100" w:line="259" w:lineRule="auto"/>
      <w:ind w:left="440"/>
      <w:jc w:val="left"/>
    </w:pPr>
    <w:rPr>
      <w:rFonts w:cs="Times New Roman"/>
      <w:kern w:val="0"/>
      <w:sz w:val="22"/>
    </w:rPr>
  </w:style>
  <w:style w:type="paragraph" w:styleId="18">
    <w:name w:val="Plain Text"/>
    <w:basedOn w:val="1"/>
    <w:link w:val="66"/>
    <w:qFormat/>
    <w:uiPriority w:val="0"/>
    <w:rPr>
      <w:rFonts w:ascii="宋体" w:hAnsi="Courier New" w:eastAsia="宋体" w:cs="Times New Roman"/>
      <w:szCs w:val="21"/>
    </w:rPr>
  </w:style>
  <w:style w:type="paragraph" w:styleId="19">
    <w:name w:val="Date"/>
    <w:basedOn w:val="1"/>
    <w:next w:val="1"/>
    <w:link w:val="50"/>
    <w:qFormat/>
    <w:uiPriority w:val="0"/>
    <w:rPr>
      <w:rFonts w:ascii="Times New Roman" w:hAnsi="Times New Roman" w:eastAsia="仿宋_GB2312" w:cs="Times New Roman"/>
      <w:sz w:val="24"/>
      <w:szCs w:val="20"/>
    </w:rPr>
  </w:style>
  <w:style w:type="paragraph" w:styleId="20">
    <w:name w:val="Body Text Indent 2"/>
    <w:basedOn w:val="1"/>
    <w:link w:val="64"/>
    <w:qFormat/>
    <w:uiPriority w:val="0"/>
    <w:pPr>
      <w:ind w:firstLine="420"/>
    </w:pPr>
    <w:rPr>
      <w:rFonts w:ascii="宋体" w:hAnsi="Times New Roman" w:eastAsia="宋体" w:cs="Times New Roman"/>
      <w:szCs w:val="21"/>
    </w:rPr>
  </w:style>
  <w:style w:type="paragraph" w:styleId="21">
    <w:name w:val="Balloon Text"/>
    <w:basedOn w:val="1"/>
    <w:link w:val="63"/>
    <w:qFormat/>
    <w:uiPriority w:val="0"/>
    <w:rPr>
      <w:rFonts w:ascii="宋体" w:hAnsi="宋体" w:eastAsia="宋体" w:cs="Times New Roman"/>
      <w:sz w:val="18"/>
      <w:szCs w:val="18"/>
    </w:rPr>
  </w:style>
  <w:style w:type="paragraph" w:styleId="22">
    <w:name w:val="footer"/>
    <w:basedOn w:val="1"/>
    <w:link w:val="49"/>
    <w:unhideWhenUsed/>
    <w:qFormat/>
    <w:uiPriority w:val="99"/>
    <w:pPr>
      <w:tabs>
        <w:tab w:val="center" w:pos="4153"/>
        <w:tab w:val="right" w:pos="8306"/>
      </w:tabs>
      <w:snapToGrid w:val="0"/>
      <w:jc w:val="left"/>
    </w:pPr>
    <w:rPr>
      <w:sz w:val="18"/>
      <w:szCs w:val="18"/>
    </w:rPr>
  </w:style>
  <w:style w:type="paragraph" w:styleId="23">
    <w:name w:val="header"/>
    <w:basedOn w:val="1"/>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left" w:pos="840"/>
        <w:tab w:val="right" w:leader="dot" w:pos="8270"/>
      </w:tabs>
      <w:adjustRightInd w:val="0"/>
      <w:snapToGrid w:val="0"/>
      <w:spacing w:line="360" w:lineRule="auto"/>
    </w:pPr>
    <w:rPr>
      <w:rFonts w:ascii="Times New Roman" w:hAnsi="Times New Roman" w:eastAsia="宋体" w:cs="Times New Roman"/>
      <w:b/>
      <w:bCs/>
      <w:i/>
      <w:iCs/>
      <w:sz w:val="24"/>
      <w:szCs w:val="24"/>
    </w:rPr>
  </w:style>
  <w:style w:type="paragraph" w:styleId="25">
    <w:name w:val="Body Text Indent 3"/>
    <w:basedOn w:val="1"/>
    <w:link w:val="59"/>
    <w:qFormat/>
    <w:uiPriority w:val="0"/>
    <w:pPr>
      <w:ind w:left="240"/>
    </w:pPr>
    <w:rPr>
      <w:rFonts w:ascii="宋体" w:hAnsi="宋体" w:eastAsia="宋体" w:cs="Times New Roman"/>
      <w:sz w:val="24"/>
      <w:szCs w:val="24"/>
    </w:rPr>
  </w:style>
  <w:style w:type="paragraph" w:styleId="26">
    <w:name w:val="toc 2"/>
    <w:basedOn w:val="1"/>
    <w:next w:val="1"/>
    <w:unhideWhenUsed/>
    <w:qFormat/>
    <w:uiPriority w:val="39"/>
    <w:pPr>
      <w:widowControl/>
      <w:spacing w:after="100" w:line="259" w:lineRule="auto"/>
      <w:ind w:left="220"/>
      <w:jc w:val="left"/>
    </w:pPr>
    <w:rPr>
      <w:rFonts w:cs="Times New Roman"/>
      <w:kern w:val="0"/>
      <w:sz w:val="22"/>
    </w:rPr>
  </w:style>
  <w:style w:type="paragraph" w:styleId="27">
    <w:name w:val="Title"/>
    <w:basedOn w:val="1"/>
    <w:next w:val="1"/>
    <w:link w:val="53"/>
    <w:qFormat/>
    <w:uiPriority w:val="0"/>
    <w:pPr>
      <w:spacing w:before="240" w:after="60"/>
      <w:jc w:val="center"/>
      <w:outlineLvl w:val="0"/>
    </w:pPr>
    <w:rPr>
      <w:rFonts w:ascii="Cambria" w:hAnsi="Cambria" w:eastAsia="楷体_GB2312" w:cs="Times New Roman"/>
      <w:b/>
      <w:bCs/>
      <w:sz w:val="32"/>
      <w:szCs w:val="32"/>
    </w:rPr>
  </w:style>
  <w:style w:type="paragraph" w:styleId="28">
    <w:name w:val="annotation subject"/>
    <w:basedOn w:val="14"/>
    <w:next w:val="14"/>
    <w:link w:val="69"/>
    <w:semiHidden/>
    <w:unhideWhenUsed/>
    <w:qFormat/>
    <w:uiPriority w:val="99"/>
    <w:rPr>
      <w:rFonts w:asciiTheme="minorHAnsi" w:hAnsiTheme="minorHAnsi" w:eastAsiaTheme="minorEastAsia" w:cstheme="minorBidi"/>
      <w:b/>
      <w:bCs/>
      <w:szCs w:val="22"/>
    </w:rPr>
  </w:style>
  <w:style w:type="paragraph" w:styleId="29">
    <w:name w:val="Body Text First Indent"/>
    <w:basedOn w:val="16"/>
    <w:link w:val="62"/>
    <w:qFormat/>
    <w:uiPriority w:val="0"/>
    <w:pPr>
      <w:spacing w:after="120"/>
      <w:ind w:firstLine="420"/>
    </w:pPr>
    <w:rPr>
      <w:sz w:val="21"/>
      <w:szCs w:val="21"/>
    </w:rPr>
  </w:style>
  <w:style w:type="table" w:styleId="31">
    <w:name w:val="Table Grid"/>
    <w:basedOn w:val="3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3">
    <w:name w:val="Strong"/>
    <w:basedOn w:val="32"/>
    <w:qFormat/>
    <w:uiPriority w:val="0"/>
    <w:rPr>
      <w:b/>
      <w:bCs/>
      <w:sz w:val="24"/>
      <w:szCs w:val="24"/>
    </w:rPr>
  </w:style>
  <w:style w:type="character" w:styleId="34">
    <w:name w:val="FollowedHyperlink"/>
    <w:basedOn w:val="32"/>
    <w:semiHidden/>
    <w:unhideWhenUsed/>
    <w:qFormat/>
    <w:uiPriority w:val="99"/>
    <w:rPr>
      <w:color w:val="800080"/>
      <w:u w:val="single"/>
    </w:rPr>
  </w:style>
  <w:style w:type="character" w:styleId="35">
    <w:name w:val="Emphasis"/>
    <w:basedOn w:val="32"/>
    <w:qFormat/>
    <w:uiPriority w:val="20"/>
    <w:rPr>
      <w:i/>
      <w:iCs/>
    </w:rPr>
  </w:style>
  <w:style w:type="character" w:styleId="36">
    <w:name w:val="Hyperlink"/>
    <w:basedOn w:val="32"/>
    <w:unhideWhenUsed/>
    <w:qFormat/>
    <w:uiPriority w:val="99"/>
    <w:rPr>
      <w:color w:val="0000FF" w:themeColor="hyperlink"/>
      <w:u w:val="single"/>
      <w14:textFill>
        <w14:solidFill>
          <w14:schemeClr w14:val="hlink"/>
        </w14:solidFill>
      </w14:textFill>
    </w:rPr>
  </w:style>
  <w:style w:type="character" w:styleId="37">
    <w:name w:val="annotation reference"/>
    <w:basedOn w:val="32"/>
    <w:unhideWhenUsed/>
    <w:qFormat/>
    <w:uiPriority w:val="0"/>
    <w:rPr>
      <w:sz w:val="21"/>
      <w:szCs w:val="21"/>
    </w:rPr>
  </w:style>
  <w:style w:type="character" w:customStyle="1" w:styleId="38">
    <w:name w:val="标题 1 字符"/>
    <w:basedOn w:val="32"/>
    <w:link w:val="4"/>
    <w:qFormat/>
    <w:uiPriority w:val="0"/>
    <w:rPr>
      <w:b/>
      <w:bCs/>
      <w:kern w:val="44"/>
      <w:sz w:val="44"/>
      <w:szCs w:val="44"/>
    </w:rPr>
  </w:style>
  <w:style w:type="character" w:customStyle="1" w:styleId="39">
    <w:name w:val="标题 2 字符"/>
    <w:basedOn w:val="32"/>
    <w:link w:val="5"/>
    <w:semiHidden/>
    <w:qFormat/>
    <w:uiPriority w:val="0"/>
    <w:rPr>
      <w:rFonts w:ascii="Arial" w:hAnsi="Arial" w:eastAsia="宋体" w:cs="Times New Roman"/>
      <w:b/>
      <w:color w:val="000000"/>
      <w:sz w:val="24"/>
      <w:szCs w:val="24"/>
    </w:rPr>
  </w:style>
  <w:style w:type="character" w:customStyle="1" w:styleId="40">
    <w:name w:val="标题 3 字符"/>
    <w:basedOn w:val="32"/>
    <w:link w:val="7"/>
    <w:semiHidden/>
    <w:qFormat/>
    <w:uiPriority w:val="9"/>
    <w:rPr>
      <w:b/>
      <w:bCs/>
      <w:sz w:val="32"/>
      <w:szCs w:val="32"/>
    </w:rPr>
  </w:style>
  <w:style w:type="character" w:customStyle="1" w:styleId="41">
    <w:name w:val="标题 4 字符"/>
    <w:basedOn w:val="32"/>
    <w:link w:val="8"/>
    <w:qFormat/>
    <w:uiPriority w:val="0"/>
    <w:rPr>
      <w:rFonts w:ascii="Arial" w:hAnsi="Arial" w:eastAsia="黑体" w:cs="Times New Roman"/>
      <w:b/>
      <w:bCs/>
      <w:sz w:val="28"/>
      <w:szCs w:val="28"/>
    </w:rPr>
  </w:style>
  <w:style w:type="character" w:customStyle="1" w:styleId="42">
    <w:name w:val="标题 5 字符"/>
    <w:basedOn w:val="32"/>
    <w:link w:val="9"/>
    <w:qFormat/>
    <w:uiPriority w:val="0"/>
    <w:rPr>
      <w:rFonts w:ascii="Times New Roman" w:hAnsi="Times New Roman" w:eastAsia="宋体" w:cs="Times New Roman"/>
      <w:bCs/>
      <w:sz w:val="24"/>
      <w:szCs w:val="28"/>
    </w:rPr>
  </w:style>
  <w:style w:type="character" w:customStyle="1" w:styleId="43">
    <w:name w:val="标题 6 字符"/>
    <w:basedOn w:val="32"/>
    <w:link w:val="10"/>
    <w:qFormat/>
    <w:uiPriority w:val="0"/>
    <w:rPr>
      <w:rFonts w:ascii="Arial" w:hAnsi="Arial" w:eastAsia="黑体" w:cs="Times New Roman"/>
      <w:b/>
      <w:sz w:val="24"/>
      <w:szCs w:val="20"/>
    </w:rPr>
  </w:style>
  <w:style w:type="character" w:customStyle="1" w:styleId="44">
    <w:name w:val="标题 7 字符"/>
    <w:basedOn w:val="32"/>
    <w:link w:val="11"/>
    <w:qFormat/>
    <w:uiPriority w:val="0"/>
    <w:rPr>
      <w:rFonts w:ascii="Times New Roman" w:hAnsi="Times New Roman" w:eastAsia="宋体" w:cs="Times New Roman"/>
      <w:b/>
      <w:sz w:val="24"/>
      <w:szCs w:val="20"/>
    </w:rPr>
  </w:style>
  <w:style w:type="character" w:customStyle="1" w:styleId="45">
    <w:name w:val="标题 8 字符"/>
    <w:basedOn w:val="32"/>
    <w:link w:val="12"/>
    <w:qFormat/>
    <w:uiPriority w:val="0"/>
    <w:rPr>
      <w:rFonts w:ascii="Arial" w:hAnsi="Arial" w:eastAsia="黑体" w:cs="Times New Roman"/>
      <w:sz w:val="24"/>
      <w:szCs w:val="20"/>
    </w:rPr>
  </w:style>
  <w:style w:type="character" w:customStyle="1" w:styleId="46">
    <w:name w:val="标题 9 字符"/>
    <w:basedOn w:val="32"/>
    <w:link w:val="13"/>
    <w:qFormat/>
    <w:uiPriority w:val="0"/>
    <w:rPr>
      <w:rFonts w:ascii="Arial" w:hAnsi="Arial" w:eastAsia="黑体" w:cs="Times New Roman"/>
      <w:szCs w:val="20"/>
    </w:rPr>
  </w:style>
  <w:style w:type="paragraph" w:styleId="47">
    <w:name w:val="List Paragraph"/>
    <w:basedOn w:val="1"/>
    <w:qFormat/>
    <w:uiPriority w:val="34"/>
    <w:pPr>
      <w:ind w:firstLine="420" w:firstLineChars="200"/>
    </w:pPr>
  </w:style>
  <w:style w:type="character" w:customStyle="1" w:styleId="48">
    <w:name w:val="页眉 字符"/>
    <w:basedOn w:val="32"/>
    <w:link w:val="23"/>
    <w:qFormat/>
    <w:uiPriority w:val="99"/>
    <w:rPr>
      <w:sz w:val="18"/>
      <w:szCs w:val="18"/>
    </w:rPr>
  </w:style>
  <w:style w:type="character" w:customStyle="1" w:styleId="49">
    <w:name w:val="页脚 字符"/>
    <w:basedOn w:val="32"/>
    <w:link w:val="22"/>
    <w:qFormat/>
    <w:uiPriority w:val="99"/>
    <w:rPr>
      <w:sz w:val="18"/>
      <w:szCs w:val="18"/>
    </w:rPr>
  </w:style>
  <w:style w:type="character" w:customStyle="1" w:styleId="50">
    <w:name w:val="日期 字符"/>
    <w:basedOn w:val="32"/>
    <w:link w:val="19"/>
    <w:qFormat/>
    <w:uiPriority w:val="0"/>
    <w:rPr>
      <w:rFonts w:ascii="Times New Roman" w:hAnsi="Times New Roman" w:eastAsia="仿宋_GB2312" w:cs="Times New Roman"/>
      <w:sz w:val="24"/>
      <w:szCs w:val="20"/>
    </w:rPr>
  </w:style>
  <w:style w:type="paragraph" w:customStyle="1" w:styleId="51">
    <w:name w:val="5正文"/>
    <w:qFormat/>
    <w:uiPriority w:val="0"/>
    <w:pPr>
      <w:widowControl w:val="0"/>
      <w:adjustRightInd w:val="0"/>
      <w:snapToGrid w:val="0"/>
      <w:spacing w:line="500" w:lineRule="exact"/>
      <w:ind w:firstLine="200" w:firstLineChars="200"/>
    </w:pPr>
    <w:rPr>
      <w:rFonts w:ascii="宋体" w:hAnsi="Times New Roman" w:eastAsia="宋体" w:cs="Times New Roman"/>
      <w:sz w:val="24"/>
      <w:szCs w:val="24"/>
      <w:lang w:val="en-US" w:eastAsia="zh-CN" w:bidi="ar-SA"/>
    </w:rPr>
  </w:style>
  <w:style w:type="character" w:customStyle="1" w:styleId="52">
    <w:name w:val="正文文本缩进 字符"/>
    <w:basedOn w:val="32"/>
    <w:link w:val="3"/>
    <w:qFormat/>
    <w:uiPriority w:val="0"/>
    <w:rPr>
      <w:rFonts w:ascii="Times New Roman" w:hAnsi="Times New Roman" w:eastAsia="宋体" w:cs="Times New Roman"/>
      <w:szCs w:val="24"/>
    </w:rPr>
  </w:style>
  <w:style w:type="character" w:customStyle="1" w:styleId="53">
    <w:name w:val="标题 字符"/>
    <w:link w:val="27"/>
    <w:qFormat/>
    <w:uiPriority w:val="0"/>
    <w:rPr>
      <w:rFonts w:ascii="Cambria" w:hAnsi="Cambria" w:eastAsia="楷体_GB2312" w:cs="Times New Roman"/>
      <w:b/>
      <w:bCs/>
      <w:sz w:val="32"/>
      <w:szCs w:val="32"/>
    </w:rPr>
  </w:style>
  <w:style w:type="character" w:customStyle="1" w:styleId="54">
    <w:name w:val="标题 Char1"/>
    <w:basedOn w:val="32"/>
    <w:qFormat/>
    <w:uiPriority w:val="10"/>
    <w:rPr>
      <w:rFonts w:eastAsia="宋体" w:asciiTheme="majorHAnsi" w:hAnsiTheme="majorHAnsi" w:cstheme="majorBidi"/>
      <w:b/>
      <w:bCs/>
      <w:sz w:val="32"/>
      <w:szCs w:val="32"/>
    </w:rPr>
  </w:style>
  <w:style w:type="character" w:customStyle="1" w:styleId="55">
    <w:name w:val="font11"/>
    <w:basedOn w:val="32"/>
    <w:qFormat/>
    <w:uiPriority w:val="0"/>
    <w:rPr>
      <w:rFonts w:hint="default" w:ascii="Times New Roman" w:hAnsi="Times New Roman" w:eastAsia="宋体" w:cs="Times New Roman"/>
      <w:color w:val="000000"/>
      <w:kern w:val="2"/>
      <w:sz w:val="21"/>
      <w:szCs w:val="21"/>
      <w:u w:val="none"/>
      <w:lang w:val="en-US" w:eastAsia="zh-CN" w:bidi="ar-SA"/>
    </w:rPr>
  </w:style>
  <w:style w:type="character" w:customStyle="1" w:styleId="56">
    <w:name w:val="font31"/>
    <w:basedOn w:val="32"/>
    <w:qFormat/>
    <w:uiPriority w:val="0"/>
    <w:rPr>
      <w:rFonts w:hint="eastAsia" w:ascii="宋体" w:hAnsi="宋体" w:eastAsia="宋体" w:cs="宋体"/>
      <w:color w:val="000000"/>
      <w:kern w:val="2"/>
      <w:sz w:val="21"/>
      <w:szCs w:val="21"/>
      <w:u w:val="none"/>
      <w:lang w:val="en-US" w:eastAsia="zh-CN" w:bidi="ar-SA"/>
    </w:rPr>
  </w:style>
  <w:style w:type="character" w:customStyle="1" w:styleId="57">
    <w:name w:val="font21"/>
    <w:basedOn w:val="32"/>
    <w:qFormat/>
    <w:uiPriority w:val="0"/>
    <w:rPr>
      <w:rFonts w:hint="eastAsia" w:ascii="宋体" w:hAnsi="宋体" w:eastAsia="宋体" w:cs="宋体"/>
      <w:color w:val="000000"/>
      <w:kern w:val="2"/>
      <w:sz w:val="22"/>
      <w:szCs w:val="22"/>
      <w:u w:val="single"/>
      <w:lang w:val="en-US" w:eastAsia="zh-CN" w:bidi="ar-SA"/>
    </w:rPr>
  </w:style>
  <w:style w:type="character" w:customStyle="1" w:styleId="58">
    <w:name w:val="font41"/>
    <w:basedOn w:val="32"/>
    <w:qFormat/>
    <w:uiPriority w:val="0"/>
    <w:rPr>
      <w:rFonts w:hint="eastAsia" w:ascii="宋体" w:hAnsi="宋体" w:eastAsia="宋体" w:cs="宋体"/>
      <w:color w:val="000000"/>
      <w:kern w:val="2"/>
      <w:sz w:val="22"/>
      <w:szCs w:val="22"/>
      <w:u w:val="none"/>
      <w:lang w:val="en-US" w:eastAsia="zh-CN" w:bidi="ar-SA"/>
    </w:rPr>
  </w:style>
  <w:style w:type="character" w:customStyle="1" w:styleId="59">
    <w:name w:val="正文文本缩进 3 字符"/>
    <w:basedOn w:val="32"/>
    <w:link w:val="25"/>
    <w:qFormat/>
    <w:uiPriority w:val="0"/>
    <w:rPr>
      <w:rFonts w:ascii="宋体" w:hAnsi="宋体" w:eastAsia="宋体" w:cs="Times New Roman"/>
      <w:sz w:val="24"/>
      <w:szCs w:val="24"/>
    </w:rPr>
  </w:style>
  <w:style w:type="character" w:customStyle="1" w:styleId="60">
    <w:name w:val="批注文字 字符"/>
    <w:basedOn w:val="32"/>
    <w:link w:val="14"/>
    <w:semiHidden/>
    <w:qFormat/>
    <w:uiPriority w:val="0"/>
    <w:rPr>
      <w:rFonts w:ascii="Times New Roman" w:hAnsi="Times New Roman" w:eastAsia="宋体" w:cs="Times New Roman"/>
      <w:szCs w:val="24"/>
    </w:rPr>
  </w:style>
  <w:style w:type="character" w:customStyle="1" w:styleId="61">
    <w:name w:val="正文文本 字符"/>
    <w:basedOn w:val="32"/>
    <w:link w:val="16"/>
    <w:qFormat/>
    <w:uiPriority w:val="0"/>
    <w:rPr>
      <w:rFonts w:ascii="Times New Roman" w:hAnsi="Times New Roman" w:eastAsia="宋体" w:cs="Times New Roman"/>
      <w:sz w:val="18"/>
      <w:szCs w:val="18"/>
    </w:rPr>
  </w:style>
  <w:style w:type="character" w:customStyle="1" w:styleId="62">
    <w:name w:val="正文首行缩进 字符"/>
    <w:basedOn w:val="61"/>
    <w:link w:val="29"/>
    <w:qFormat/>
    <w:uiPriority w:val="0"/>
    <w:rPr>
      <w:rFonts w:ascii="Times New Roman" w:hAnsi="Times New Roman" w:eastAsia="宋体" w:cs="Times New Roman"/>
      <w:sz w:val="18"/>
      <w:szCs w:val="21"/>
    </w:rPr>
  </w:style>
  <w:style w:type="character" w:customStyle="1" w:styleId="63">
    <w:name w:val="批注框文本 字符"/>
    <w:basedOn w:val="32"/>
    <w:link w:val="21"/>
    <w:qFormat/>
    <w:uiPriority w:val="0"/>
    <w:rPr>
      <w:rFonts w:ascii="宋体" w:hAnsi="宋体" w:eastAsia="宋体" w:cs="Times New Roman"/>
      <w:sz w:val="18"/>
      <w:szCs w:val="18"/>
    </w:rPr>
  </w:style>
  <w:style w:type="character" w:customStyle="1" w:styleId="64">
    <w:name w:val="正文文本缩进 2 字符"/>
    <w:basedOn w:val="32"/>
    <w:link w:val="20"/>
    <w:qFormat/>
    <w:uiPriority w:val="0"/>
    <w:rPr>
      <w:rFonts w:ascii="宋体" w:hAnsi="Times New Roman" w:eastAsia="宋体" w:cs="Times New Roman"/>
      <w:szCs w:val="21"/>
    </w:rPr>
  </w:style>
  <w:style w:type="character" w:customStyle="1" w:styleId="65">
    <w:name w:val="正文文本 3 字符"/>
    <w:basedOn w:val="32"/>
    <w:link w:val="15"/>
    <w:qFormat/>
    <w:uiPriority w:val="0"/>
    <w:rPr>
      <w:rFonts w:ascii="Times New Roman" w:hAnsi="Times New Roman" w:eastAsia="宋体" w:cs="Times New Roman"/>
      <w:sz w:val="16"/>
      <w:szCs w:val="16"/>
    </w:rPr>
  </w:style>
  <w:style w:type="character" w:customStyle="1" w:styleId="66">
    <w:name w:val="纯文本 字符"/>
    <w:basedOn w:val="32"/>
    <w:link w:val="18"/>
    <w:qFormat/>
    <w:uiPriority w:val="0"/>
    <w:rPr>
      <w:rFonts w:ascii="宋体" w:hAnsi="Courier New" w:eastAsia="宋体" w:cs="Times New Roman"/>
      <w:szCs w:val="21"/>
    </w:rPr>
  </w:style>
  <w:style w:type="paragraph" w:customStyle="1" w:styleId="67">
    <w:name w:val="TOC 标题1"/>
    <w:basedOn w:val="4"/>
    <w:next w:val="1"/>
    <w:qFormat/>
    <w:uiPriority w:val="39"/>
    <w:pPr>
      <w:widowControl/>
      <w:numPr>
        <w:ilvl w:val="0"/>
        <w:numId w:val="2"/>
      </w:numPr>
      <w:spacing w:before="480" w:after="0" w:line="276" w:lineRule="auto"/>
      <w:jc w:val="left"/>
      <w:outlineLvl w:val="9"/>
    </w:pPr>
    <w:rPr>
      <w:rFonts w:ascii="Cambria" w:hAnsi="Cambria" w:eastAsia="宋体" w:cs="Times New Roman"/>
      <w:color w:val="365F91"/>
      <w:kern w:val="0"/>
      <w:sz w:val="28"/>
      <w:szCs w:val="28"/>
    </w:rPr>
  </w:style>
  <w:style w:type="paragraph" w:customStyle="1" w:styleId="68">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69">
    <w:name w:val="批注主题 字符"/>
    <w:basedOn w:val="60"/>
    <w:link w:val="28"/>
    <w:semiHidden/>
    <w:qFormat/>
    <w:uiPriority w:val="99"/>
    <w:rPr>
      <w:rFonts w:asciiTheme="minorHAnsi" w:hAnsiTheme="minorHAnsi" w:eastAsiaTheme="minorEastAsia" w:cstheme="minorBidi"/>
      <w:b/>
      <w:bCs/>
      <w:kern w:val="2"/>
      <w:sz w:val="21"/>
      <w:szCs w:val="22"/>
    </w:rPr>
  </w:style>
  <w:style w:type="paragraph" w:customStyle="1" w:styleId="7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1">
    <w:name w:val="font6"/>
    <w:basedOn w:val="1"/>
    <w:qFormat/>
    <w:uiPriority w:val="0"/>
    <w:pPr>
      <w:widowControl/>
      <w:spacing w:before="100" w:beforeAutospacing="1" w:after="100" w:afterAutospacing="1"/>
      <w:jc w:val="left"/>
    </w:pPr>
    <w:rPr>
      <w:rFonts w:ascii="Arial" w:hAnsi="Arial" w:eastAsia="宋体" w:cs="Arial"/>
      <w:b/>
      <w:bCs/>
      <w:color w:val="000000"/>
      <w:kern w:val="0"/>
      <w:szCs w:val="21"/>
    </w:rPr>
  </w:style>
  <w:style w:type="paragraph" w:customStyle="1" w:styleId="72">
    <w:name w:val="font7"/>
    <w:basedOn w:val="1"/>
    <w:qFormat/>
    <w:uiPriority w:val="0"/>
    <w:pPr>
      <w:widowControl/>
      <w:spacing w:before="100" w:beforeAutospacing="1" w:after="100" w:afterAutospacing="1"/>
      <w:jc w:val="left"/>
    </w:pPr>
    <w:rPr>
      <w:rFonts w:ascii="宋体" w:hAnsi="宋体" w:eastAsia="宋体" w:cs="宋体"/>
      <w:b/>
      <w:bCs/>
      <w:color w:val="000000"/>
      <w:kern w:val="0"/>
      <w:szCs w:val="21"/>
    </w:rPr>
  </w:style>
  <w:style w:type="paragraph" w:customStyle="1" w:styleId="73">
    <w:name w:val="font8"/>
    <w:basedOn w:val="1"/>
    <w:qFormat/>
    <w:uiPriority w:val="0"/>
    <w:pPr>
      <w:widowControl/>
      <w:spacing w:before="100" w:beforeAutospacing="1" w:after="100" w:afterAutospacing="1"/>
      <w:jc w:val="left"/>
    </w:pPr>
    <w:rPr>
      <w:rFonts w:ascii="Arial" w:hAnsi="Arial" w:eastAsia="宋体" w:cs="Arial"/>
      <w:color w:val="000000"/>
      <w:kern w:val="0"/>
      <w:szCs w:val="21"/>
    </w:rPr>
  </w:style>
  <w:style w:type="paragraph" w:customStyle="1" w:styleId="74">
    <w:name w:val="font9"/>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7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76">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kern w:val="0"/>
      <w:szCs w:val="21"/>
    </w:rPr>
  </w:style>
  <w:style w:type="paragraph" w:customStyle="1" w:styleId="7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9">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eastAsia="宋体" w:cs="Arial"/>
      <w:kern w:val="0"/>
      <w:szCs w:val="21"/>
    </w:rPr>
  </w:style>
  <w:style w:type="paragraph" w:customStyle="1" w:styleId="8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Cs w:val="21"/>
    </w:rPr>
  </w:style>
  <w:style w:type="paragraph" w:customStyle="1" w:styleId="81">
    <w:name w:val="xl71"/>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8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Cs w:val="21"/>
    </w:rPr>
  </w:style>
  <w:style w:type="paragraph" w:customStyle="1" w:styleId="8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eastAsia="宋体" w:cs="Arial"/>
      <w:kern w:val="0"/>
      <w:sz w:val="18"/>
      <w:szCs w:val="18"/>
    </w:rPr>
  </w:style>
  <w:style w:type="paragraph" w:customStyle="1" w:styleId="8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eastAsia="宋体" w:cs="Arial"/>
      <w:kern w:val="0"/>
      <w:sz w:val="18"/>
      <w:szCs w:val="18"/>
    </w:rPr>
  </w:style>
  <w:style w:type="paragraph" w:customStyle="1" w:styleId="85">
    <w:name w:val="xl75"/>
    <w:basedOn w:val="1"/>
    <w:qFormat/>
    <w:uiPriority w:val="0"/>
    <w:pPr>
      <w:widowControl/>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8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Arial" w:hAnsi="Arial" w:eastAsia="宋体" w:cs="Arial"/>
      <w:kern w:val="0"/>
      <w:sz w:val="20"/>
      <w:szCs w:val="20"/>
    </w:rPr>
  </w:style>
  <w:style w:type="paragraph" w:customStyle="1" w:styleId="8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Arial" w:hAnsi="Arial" w:eastAsia="宋体" w:cs="Arial"/>
      <w:kern w:val="0"/>
      <w:sz w:val="20"/>
      <w:szCs w:val="20"/>
    </w:rPr>
  </w:style>
  <w:style w:type="paragraph" w:customStyle="1" w:styleId="8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eastAsia="宋体" w:cs="宋体"/>
      <w:kern w:val="0"/>
      <w:sz w:val="20"/>
      <w:szCs w:val="20"/>
    </w:rPr>
  </w:style>
  <w:style w:type="paragraph" w:customStyle="1" w:styleId="9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eastAsia="宋体" w:cs="宋体"/>
      <w:kern w:val="0"/>
      <w:sz w:val="20"/>
      <w:szCs w:val="20"/>
    </w:rPr>
  </w:style>
  <w:style w:type="paragraph" w:customStyle="1" w:styleId="9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eastAsia="宋体" w:cs="宋体"/>
      <w:kern w:val="0"/>
      <w:sz w:val="20"/>
      <w:szCs w:val="20"/>
    </w:rPr>
  </w:style>
  <w:style w:type="paragraph" w:customStyle="1" w:styleId="9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Cs w:val="21"/>
    </w:rPr>
  </w:style>
  <w:style w:type="paragraph" w:customStyle="1" w:styleId="9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eastAsia="宋体" w:cs="Arial"/>
      <w:kern w:val="0"/>
      <w:szCs w:val="21"/>
    </w:rPr>
  </w:style>
  <w:style w:type="paragraph" w:customStyle="1" w:styleId="9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Cs w:val="21"/>
    </w:rPr>
  </w:style>
  <w:style w:type="paragraph" w:customStyle="1" w:styleId="9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Cs w:val="21"/>
    </w:rPr>
  </w:style>
  <w:style w:type="paragraph" w:customStyle="1" w:styleId="9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9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00">
    <w:name w:val="xl90"/>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01">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eastAsia="宋体" w:cs="Arial"/>
      <w:kern w:val="0"/>
      <w:sz w:val="18"/>
      <w:szCs w:val="18"/>
    </w:rPr>
  </w:style>
  <w:style w:type="paragraph" w:customStyle="1" w:styleId="102">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Arial" w:hAnsi="Arial" w:eastAsia="宋体" w:cs="Arial"/>
      <w:kern w:val="0"/>
      <w:sz w:val="18"/>
      <w:szCs w:val="18"/>
    </w:rPr>
  </w:style>
  <w:style w:type="paragraph" w:customStyle="1" w:styleId="103">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8"/>
      <w:szCs w:val="18"/>
    </w:rPr>
  </w:style>
  <w:style w:type="table" w:customStyle="1" w:styleId="104">
    <w:name w:val="TableGrid"/>
    <w:qFormat/>
    <w:uiPriority w:val="0"/>
    <w:rPr>
      <w:rFonts w:asciiTheme="minorHAnsi" w:hAnsiTheme="minorHAnsi" w:eastAsiaTheme="minorEastAsia" w:cstheme="minorBidi"/>
      <w:kern w:val="2"/>
      <w:sz w:val="21"/>
    </w:rPr>
    <w:tblPr>
      <w:tblCellMar>
        <w:top w:w="0" w:type="dxa"/>
        <w:left w:w="0" w:type="dxa"/>
        <w:bottom w:w="0" w:type="dxa"/>
        <w:right w:w="0" w:type="dxa"/>
      </w:tblCellMar>
    </w:tblPr>
  </w:style>
  <w:style w:type="table" w:customStyle="1" w:styleId="105">
    <w:name w:val="网格型1"/>
    <w:basedOn w:val="30"/>
    <w:qFormat/>
    <w:uiPriority w:val="0"/>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6">
    <w:name w:val="font01"/>
    <w:basedOn w:val="32"/>
    <w:qFormat/>
    <w:uiPriority w:val="0"/>
    <w:rPr>
      <w:rFonts w:hint="eastAsia" w:ascii="宋体" w:hAnsi="宋体" w:eastAsia="宋体" w:cs="宋体"/>
      <w:color w:val="000000"/>
      <w:sz w:val="20"/>
      <w:szCs w:val="20"/>
      <w:u w:val="none"/>
    </w:rPr>
  </w:style>
  <w:style w:type="table" w:customStyle="1" w:styleId="107">
    <w:name w:val="TableGrid1"/>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108">
    <w:name w:val="WPSOffice手动目录 1"/>
    <w:qFormat/>
    <w:uiPriority w:val="0"/>
    <w:pPr>
      <w:ind w:leftChars="0"/>
    </w:pPr>
    <w:rPr>
      <w:rFonts w:ascii="Times New Roman" w:hAnsi="Times New Roman" w:eastAsia="宋体" w:cs="Times New Roman"/>
      <w:sz w:val="20"/>
      <w:szCs w:val="20"/>
    </w:rPr>
  </w:style>
  <w:style w:type="paragraph" w:customStyle="1" w:styleId="10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479652-D823-4C30-B96E-3844A1B7B1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16606</Words>
  <Characters>18897</Characters>
  <Lines>178</Lines>
  <Paragraphs>50</Paragraphs>
  <TotalTime>19</TotalTime>
  <ScaleCrop>false</ScaleCrop>
  <LinksUpToDate>false</LinksUpToDate>
  <CharactersWithSpaces>20638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2023-01-11T03:25:00Z</dcterms:created>
  <dc:creator>微软用户</dc:creator>
  <cp:lastModifiedBy>鲁思思</cp:lastModifiedBy>
  <cp:lastPrinted>2024-03-25T04:57:00Z</cp:lastPrinted>
  <dcterms:modified xsi:type="dcterms:W3CDTF">2024-03-27T07:21:35Z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A22BC86D5DA04F7DB82966995F2F42A4</vt:lpwstr>
  </property>
</Properties>
</file>