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rFonts w:ascii="宋体" w:hAnsi="宋体" w:cs="宋体"/>
          <w:b/>
          <w:bCs/>
          <w:sz w:val="32"/>
          <w:szCs w:val="32"/>
          <w:highlight w:val="none"/>
        </w:rPr>
      </w:pPr>
      <w:r>
        <w:rPr>
          <w:rFonts w:hint="eastAsia" w:ascii="宋体" w:hAnsi="宋体" w:cs="宋体"/>
          <w:b/>
          <w:bCs/>
          <w:sz w:val="36"/>
          <w:szCs w:val="36"/>
          <w:lang w:eastAsia="zh-CN"/>
        </w:rPr>
        <w:t>长沙市轨道交通运营期2024年-2026年互联网售检票系统短信平台服务项目</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adjustRightInd w:val="0"/>
        <w:snapToGrid w:val="0"/>
        <w:spacing w:line="360" w:lineRule="auto"/>
        <w:ind w:firstLine="1948" w:firstLineChars="696"/>
        <w:rPr>
          <w:rFonts w:ascii="黑体" w:hAnsi="黑体" w:eastAsia="黑体"/>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auto"/>
          <w:sz w:val="28"/>
          <w:szCs w:val="28"/>
          <w:highlight w:val="none"/>
          <w:u w:val="single"/>
        </w:rPr>
        <w:t>长沙市轨道交通</w:t>
      </w:r>
      <w:r>
        <w:rPr>
          <w:rFonts w:hint="eastAsia" w:eastAsia="黑体" w:cs="Times New Roman"/>
          <w:color w:val="auto"/>
          <w:sz w:val="28"/>
          <w:szCs w:val="28"/>
          <w:highlight w:val="none"/>
          <w:u w:val="single"/>
          <w:lang w:val="en-US" w:eastAsia="zh-CN"/>
        </w:rPr>
        <w:t>运营</w:t>
      </w:r>
      <w:r>
        <w:rPr>
          <w:rFonts w:hint="eastAsia" w:ascii="Times New Roman" w:hAnsi="Times New Roman" w:eastAsia="黑体" w:cs="Times New Roman"/>
          <w:color w:val="auto"/>
          <w:sz w:val="28"/>
          <w:szCs w:val="28"/>
          <w:highlight w:val="none"/>
          <w:u w:val="single"/>
        </w:rPr>
        <w:t>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 xml:space="preserve">期： </w:t>
      </w:r>
      <w:r>
        <w:rPr>
          <w:rFonts w:hint="eastAsia" w:eastAsia="黑体"/>
          <w:color w:val="000000" w:themeColor="text1"/>
          <w:sz w:val="28"/>
          <w:szCs w:val="28"/>
          <w:highlight w:val="none"/>
          <w:u w:val="single"/>
          <w14:textFill>
            <w14:solidFill>
              <w14:schemeClr w14:val="tx1"/>
            </w14:solidFill>
          </w14:textFill>
        </w:rPr>
        <w:t>202</w:t>
      </w:r>
      <w:r>
        <w:rPr>
          <w:rFonts w:eastAsia="黑体"/>
          <w:color w:val="000000" w:themeColor="text1"/>
          <w:sz w:val="28"/>
          <w:szCs w:val="28"/>
          <w:highlight w:val="none"/>
          <w:u w:val="single"/>
          <w14:textFill>
            <w14:solidFill>
              <w14:schemeClr w14:val="tx1"/>
            </w14:solidFill>
          </w14:textFill>
        </w:rPr>
        <w:t>4</w:t>
      </w:r>
      <w:r>
        <w:rPr>
          <w:rFonts w:hint="eastAsia" w:ascii="黑体" w:hAnsi="黑体" w:eastAsia="黑体"/>
          <w:color w:val="000000" w:themeColor="text1"/>
          <w:sz w:val="28"/>
          <w:szCs w:val="28"/>
          <w:highlight w:val="none"/>
          <w14:textFill>
            <w14:solidFill>
              <w14:schemeClr w14:val="tx1"/>
            </w14:solidFill>
          </w14:textFill>
        </w:rPr>
        <w:t>年</w:t>
      </w:r>
      <w:r>
        <w:rPr>
          <w:rFonts w:hint="eastAsia" w:ascii="黑体" w:hAnsi="黑体" w:eastAsia="黑体"/>
          <w:color w:val="000000" w:themeColor="text1"/>
          <w:sz w:val="28"/>
          <w:szCs w:val="28"/>
          <w:highlight w:val="none"/>
          <w:u w:val="single"/>
          <w:lang w:val="en-US" w:eastAsia="zh-CN"/>
          <w14:textFill>
            <w14:solidFill>
              <w14:schemeClr w14:val="tx1"/>
            </w14:solidFill>
          </w14:textFill>
        </w:rPr>
        <w:t>3</w:t>
      </w:r>
      <w:r>
        <w:rPr>
          <w:rFonts w:hint="eastAsia" w:ascii="黑体" w:hAnsi="黑体" w:eastAsia="黑体"/>
          <w:color w:val="000000" w:themeColor="text1"/>
          <w:sz w:val="28"/>
          <w:szCs w:val="28"/>
          <w:highlight w:val="none"/>
          <w14:textFill>
            <w14:solidFill>
              <w14:schemeClr w14:val="tx1"/>
            </w14:solidFill>
          </w14:textFill>
        </w:rPr>
        <w:t>月</w:t>
      </w:r>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6"/>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6"/>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_Toc18974 </w:instrText>
      </w:r>
      <w:r>
        <w:rPr>
          <w:highlight w:val="none"/>
        </w:rPr>
        <w:fldChar w:fldCharType="separate"/>
      </w:r>
      <w:r>
        <w:rPr>
          <w:rFonts w:hint="eastAsia" w:ascii="黑体" w:hAnsi="黑体" w:eastAsia="黑体" w:cs="黑体"/>
          <w:szCs w:val="32"/>
        </w:rPr>
        <w:t xml:space="preserve">第一章 </w:t>
      </w:r>
      <w:r>
        <w:rPr>
          <w:rFonts w:hint="eastAsia" w:ascii="黑体" w:hAnsi="黑体" w:eastAsia="黑体" w:cs="黑体"/>
          <w:szCs w:val="32"/>
          <w:highlight w:val="none"/>
        </w:rPr>
        <w:t>竞争性采购公告</w:t>
      </w:r>
      <w:r>
        <w:tab/>
      </w:r>
      <w:r>
        <w:fldChar w:fldCharType="begin"/>
      </w:r>
      <w:r>
        <w:instrText xml:space="preserve"> PAGEREF _Toc18974 \h </w:instrText>
      </w:r>
      <w:r>
        <w:fldChar w:fldCharType="separate"/>
      </w:r>
      <w:r>
        <w:t>1</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_Toc14205 </w:instrText>
      </w:r>
      <w:r>
        <w:rPr>
          <w:highlight w:val="none"/>
        </w:rPr>
        <w:fldChar w:fldCharType="separate"/>
      </w:r>
      <w:r>
        <w:rPr>
          <w:rFonts w:hint="eastAsia" w:ascii="黑体" w:hAnsi="黑体" w:eastAsia="黑体" w:cs="黑体"/>
          <w:szCs w:val="32"/>
          <w:highlight w:val="none"/>
        </w:rPr>
        <w:t>第二章 竞争性采购须知</w:t>
      </w:r>
      <w:r>
        <w:tab/>
      </w:r>
      <w:r>
        <w:fldChar w:fldCharType="begin"/>
      </w:r>
      <w:r>
        <w:instrText xml:space="preserve"> PAGEREF _Toc14205 \h </w:instrText>
      </w:r>
      <w:r>
        <w:fldChar w:fldCharType="separate"/>
      </w:r>
      <w:r>
        <w:t>6</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_Toc24493 </w:instrText>
      </w:r>
      <w:r>
        <w:rPr>
          <w:highlight w:val="none"/>
        </w:rPr>
        <w:fldChar w:fldCharType="separate"/>
      </w:r>
      <w:r>
        <w:rPr>
          <w:rFonts w:hint="eastAsia" w:ascii="黑体" w:hAnsi="黑体" w:eastAsia="黑体" w:cs="黑体"/>
          <w:bCs/>
          <w:szCs w:val="32"/>
          <w:highlight w:val="none"/>
        </w:rPr>
        <w:t>第三章 评审办法及标准</w:t>
      </w:r>
      <w:r>
        <w:tab/>
      </w:r>
      <w:r>
        <w:fldChar w:fldCharType="begin"/>
      </w:r>
      <w:r>
        <w:instrText xml:space="preserve"> PAGEREF _Toc24493 \h </w:instrText>
      </w:r>
      <w:r>
        <w:fldChar w:fldCharType="separate"/>
      </w:r>
      <w:r>
        <w:t>22</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_Toc24035 </w:instrText>
      </w:r>
      <w:r>
        <w:rPr>
          <w:highlight w:val="none"/>
        </w:rPr>
        <w:fldChar w:fldCharType="separate"/>
      </w:r>
      <w:r>
        <w:rPr>
          <w:rFonts w:hint="eastAsia" w:ascii="黑体" w:eastAsia="黑体"/>
          <w:szCs w:val="32"/>
          <w:highlight w:val="none"/>
        </w:rPr>
        <w:t>第四章 合同条款及格式</w:t>
      </w:r>
      <w:r>
        <w:rPr>
          <w:rFonts w:hint="eastAsia" w:ascii="黑体" w:eastAsia="黑体"/>
          <w:bCs/>
          <w:szCs w:val="32"/>
          <w:highlight w:val="none"/>
        </w:rPr>
        <w:t>（另册）</w:t>
      </w:r>
      <w:r>
        <w:tab/>
      </w:r>
      <w:r>
        <w:fldChar w:fldCharType="begin"/>
      </w:r>
      <w:r>
        <w:instrText xml:space="preserve"> PAGEREF _Toc24035 \h </w:instrText>
      </w:r>
      <w:r>
        <w:fldChar w:fldCharType="separate"/>
      </w:r>
      <w:r>
        <w:t>32</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_Toc26591 </w:instrText>
      </w:r>
      <w:r>
        <w:rPr>
          <w:highlight w:val="none"/>
        </w:rPr>
        <w:fldChar w:fldCharType="separate"/>
      </w:r>
      <w:r>
        <w:rPr>
          <w:rFonts w:hint="eastAsia" w:ascii="黑体" w:eastAsia="黑体"/>
          <w:bCs/>
          <w:szCs w:val="32"/>
          <w:highlight w:val="none"/>
        </w:rPr>
        <w:t>第五章 用户需求书（另册）</w:t>
      </w:r>
      <w:r>
        <w:tab/>
      </w:r>
      <w:r>
        <w:fldChar w:fldCharType="begin"/>
      </w:r>
      <w:r>
        <w:instrText xml:space="preserve"> PAGEREF _Toc26591 \h </w:instrText>
      </w:r>
      <w:r>
        <w:fldChar w:fldCharType="separate"/>
      </w:r>
      <w:r>
        <w:t>33</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_Toc16702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tab/>
      </w:r>
      <w:r>
        <w:fldChar w:fldCharType="begin"/>
      </w:r>
      <w:r>
        <w:instrText xml:space="preserve"> PAGEREF _Toc16702 \h </w:instrText>
      </w:r>
      <w:r>
        <w:fldChar w:fldCharType="separate"/>
      </w:r>
      <w:r>
        <w:t>34</w:t>
      </w:r>
      <w: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_Toc32670 </w:instrText>
      </w:r>
      <w:r>
        <w:rPr>
          <w:highlight w:val="none"/>
        </w:rPr>
        <w:fldChar w:fldCharType="separate"/>
      </w:r>
      <w:r>
        <w:rPr>
          <w:rFonts w:hint="eastAsia" w:ascii="黑体" w:eastAsia="黑体"/>
          <w:szCs w:val="32"/>
          <w:highlight w:val="none"/>
          <w:lang w:val="en-US" w:eastAsia="zh-CN"/>
        </w:rPr>
        <w:t xml:space="preserve">第七章 </w:t>
      </w:r>
      <w:r>
        <w:rPr>
          <w:rFonts w:hint="eastAsia" w:ascii="黑体" w:eastAsia="黑体"/>
          <w:szCs w:val="32"/>
          <w:highlight w:val="none"/>
        </w:rPr>
        <w:t>响应文件格式</w:t>
      </w:r>
      <w:r>
        <w:tab/>
      </w:r>
      <w:r>
        <w:fldChar w:fldCharType="begin"/>
      </w:r>
      <w:r>
        <w:instrText xml:space="preserve"> PAGEREF _Toc32670 \h </w:instrText>
      </w:r>
      <w:r>
        <w:fldChar w:fldCharType="separate"/>
      </w:r>
      <w:r>
        <w:t>35</w:t>
      </w:r>
      <w:r>
        <w:fldChar w:fldCharType="end"/>
      </w:r>
      <w:r>
        <w:rPr>
          <w:color w:val="000000" w:themeColor="text1"/>
          <w:highlight w:val="none"/>
          <w14:textFill>
            <w14:solidFill>
              <w14:schemeClr w14:val="tx1"/>
            </w14:solidFill>
          </w14:textFill>
        </w:rPr>
        <w:fldChar w:fldCharType="end"/>
      </w:r>
    </w:p>
    <w:p>
      <w:pPr>
        <w:widowControl/>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15335"/>
      <w:bookmarkStart w:id="1" w:name="_Toc18974"/>
      <w:bookmarkStart w:id="2" w:name="_Toc28078"/>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jc w:val="center"/>
        <w:rPr>
          <w:rFonts w:hint="eastAsia" w:ascii="宋体" w:hAnsi="宋体" w:cs="宋体"/>
          <w:b/>
          <w:bCs/>
          <w:color w:val="auto"/>
          <w:sz w:val="32"/>
          <w:szCs w:val="32"/>
          <w:highlight w:val="none"/>
          <w:lang w:eastAsia="zh-CN"/>
        </w:rPr>
      </w:pPr>
    </w:p>
    <w:p>
      <w:pPr>
        <w:pStyle w:val="2"/>
        <w:jc w:val="center"/>
      </w:pPr>
      <w:r>
        <w:rPr>
          <w:rFonts w:hint="eastAsia" w:ascii="宋体" w:hAnsi="宋体" w:cs="宋体"/>
          <w:b/>
          <w:bCs/>
          <w:color w:val="auto"/>
          <w:sz w:val="32"/>
          <w:szCs w:val="32"/>
          <w:highlight w:val="none"/>
          <w:u w:val="single"/>
          <w:lang w:eastAsia="zh-CN"/>
        </w:rPr>
        <w:t>长沙市轨道交通运营期2024年-2026年互联网售检票系统短信平台服务项目竞争性采购公告</w:t>
      </w:r>
    </w:p>
    <w:p>
      <w:pPr>
        <w:pStyle w:val="40"/>
        <w:spacing w:beforeAutospacing="0" w:afterAutospacing="0" w:line="360" w:lineRule="auto"/>
        <w:ind w:firstLine="422" w:firstLineChars="200"/>
        <w:rPr>
          <w:rFonts w:hint="eastAsia"/>
          <w:b/>
          <w:bCs/>
          <w:color w:val="000000"/>
          <w:sz w:val="21"/>
          <w:szCs w:val="21"/>
          <w:highlight w:val="none"/>
        </w:rPr>
      </w:pPr>
      <w:bookmarkStart w:id="3" w:name="_Toc16911"/>
      <w:bookmarkStart w:id="4" w:name="_Toc19246"/>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1.项目概况</w:t>
      </w:r>
    </w:p>
    <w:p>
      <w:pPr>
        <w:pStyle w:val="40"/>
        <w:snapToGrid w:val="0"/>
        <w:spacing w:beforeAutospacing="0" w:afterAutospacing="0" w:line="360" w:lineRule="auto"/>
        <w:ind w:firstLine="422" w:firstLineChars="200"/>
        <w:jc w:val="both"/>
        <w:rPr>
          <w:rFonts w:cs="微软雅黑"/>
          <w:color w:val="000000"/>
          <w:sz w:val="21"/>
          <w:szCs w:val="21"/>
          <w:highlight w:val="none"/>
        </w:rPr>
      </w:pPr>
      <w:r>
        <w:rPr>
          <w:rStyle w:val="48"/>
          <w:rFonts w:hint="eastAsia" w:cs="微软雅黑"/>
          <w:color w:val="000000"/>
          <w:sz w:val="21"/>
          <w:szCs w:val="21"/>
          <w:highlight w:val="none"/>
        </w:rPr>
        <w:t>1.1 采购条件</w:t>
      </w:r>
    </w:p>
    <w:p>
      <w:pPr>
        <w:pStyle w:val="40"/>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本采购项目</w:t>
      </w:r>
      <w:r>
        <w:rPr>
          <w:rFonts w:hint="eastAsia"/>
          <w:sz w:val="21"/>
          <w:szCs w:val="21"/>
          <w:highlight w:val="none"/>
          <w:u w:val="single"/>
          <w:lang w:eastAsia="zh-CN"/>
        </w:rPr>
        <w:t>长沙市轨道交通运营期2024年-2026年互联网售检票系统短信平台服务项目</w:t>
      </w:r>
      <w:r>
        <w:rPr>
          <w:rFonts w:hint="eastAsia"/>
          <w:color w:val="000000"/>
          <w:sz w:val="21"/>
          <w:szCs w:val="21"/>
          <w:highlight w:val="none"/>
          <w:shd w:val="clear" w:color="auto" w:fill="FFFFFF"/>
        </w:rPr>
        <w:t>，采购编号为</w:t>
      </w:r>
      <w:r>
        <w:rPr>
          <w:rFonts w:hint="eastAsia"/>
          <w:sz w:val="21"/>
          <w:szCs w:val="21"/>
          <w:u w:val="single"/>
        </w:rPr>
        <w:t>长轨运服采【2023】060号</w:t>
      </w:r>
      <w:r>
        <w:rPr>
          <w:rFonts w:hint="eastAsia"/>
          <w:color w:val="000000"/>
          <w:sz w:val="21"/>
          <w:szCs w:val="21"/>
          <w:highlight w:val="none"/>
          <w:shd w:val="clear" w:color="auto" w:fill="FFFFFF"/>
        </w:rPr>
        <w:t>，采购人为</w:t>
      </w:r>
      <w:r>
        <w:rPr>
          <w:rFonts w:hint="eastAsia" w:ascii="Times New Roman" w:hAnsi="Times New Roman"/>
          <w:bCs/>
          <w:sz w:val="21"/>
          <w:szCs w:val="21"/>
          <w:highlight w:val="none"/>
          <w:u w:val="single"/>
          <w:lang w:eastAsia="zh-CN"/>
        </w:rPr>
        <w:t>长沙市轨道交通运营有限公司</w:t>
      </w:r>
      <w:r>
        <w:rPr>
          <w:rFonts w:hint="eastAsia"/>
          <w:color w:val="000000"/>
          <w:sz w:val="21"/>
          <w:szCs w:val="21"/>
          <w:highlight w:val="none"/>
          <w:shd w:val="clear" w:color="auto" w:fill="FFFFFF"/>
        </w:rPr>
        <w:t>，采购项目资金来源已落实。该项目已具备采购条件，现进行竞争性采购。</w:t>
      </w:r>
    </w:p>
    <w:p>
      <w:pPr>
        <w:pStyle w:val="40"/>
        <w:snapToGrid w:val="0"/>
        <w:spacing w:beforeAutospacing="0" w:afterAutospacing="0" w:line="360" w:lineRule="auto"/>
        <w:ind w:firstLine="422" w:firstLineChars="200"/>
        <w:jc w:val="both"/>
        <w:rPr>
          <w:rFonts w:cs="微软雅黑"/>
          <w:color w:val="000000"/>
          <w:sz w:val="21"/>
          <w:szCs w:val="21"/>
          <w:highlight w:val="none"/>
        </w:rPr>
      </w:pPr>
      <w:r>
        <w:rPr>
          <w:rStyle w:val="48"/>
          <w:rFonts w:hint="eastAsia" w:cs="微软雅黑"/>
          <w:color w:val="000000"/>
          <w:sz w:val="21"/>
          <w:szCs w:val="21"/>
          <w:highlight w:val="none"/>
        </w:rPr>
        <w:t>1.2采购项目概况与采购范围</w:t>
      </w:r>
    </w:p>
    <w:p>
      <w:pPr>
        <w:pStyle w:val="40"/>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1.2.1项目名称:</w:t>
      </w:r>
      <w:r>
        <w:rPr>
          <w:rFonts w:hint="eastAsia"/>
          <w:sz w:val="21"/>
          <w:szCs w:val="21"/>
          <w:highlight w:val="none"/>
          <w:lang w:eastAsia="zh-CN"/>
        </w:rPr>
        <w:t>长沙市轨道交通运营期2024年-2026年互联网售检票系统短信平台服务项目</w:t>
      </w:r>
      <w:r>
        <w:rPr>
          <w:rFonts w:hint="eastAsia"/>
          <w:sz w:val="21"/>
          <w:szCs w:val="21"/>
          <w:highlight w:val="none"/>
        </w:rPr>
        <w:t>；</w:t>
      </w:r>
    </w:p>
    <w:p>
      <w:pPr>
        <w:pStyle w:val="40"/>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1.2.2标段划分：</w:t>
      </w:r>
      <w:r>
        <w:rPr>
          <w:rFonts w:hint="eastAsia"/>
          <w:color w:val="000000"/>
          <w:sz w:val="21"/>
          <w:szCs w:val="21"/>
          <w:highlight w:val="none"/>
          <w:shd w:val="clear" w:color="auto" w:fill="FFFFFF"/>
          <w:lang w:val="en-US" w:eastAsia="zh-CN"/>
        </w:rPr>
        <w:t>1</w:t>
      </w:r>
      <w:r>
        <w:rPr>
          <w:rFonts w:hint="eastAsia"/>
          <w:color w:val="000000"/>
          <w:sz w:val="21"/>
          <w:szCs w:val="21"/>
          <w:highlight w:val="none"/>
          <w:shd w:val="clear" w:color="auto" w:fill="FFFFFF"/>
        </w:rPr>
        <w:t>个标段；</w:t>
      </w:r>
    </w:p>
    <w:p>
      <w:pPr>
        <w:pStyle w:val="40"/>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1.2.3采购人：</w:t>
      </w:r>
      <w:r>
        <w:rPr>
          <w:rFonts w:hint="eastAsia" w:ascii="Times New Roman" w:hAnsi="Times New Roman"/>
          <w:bCs/>
          <w:sz w:val="21"/>
          <w:szCs w:val="21"/>
          <w:highlight w:val="none"/>
          <w:lang w:eastAsia="zh-CN"/>
        </w:rPr>
        <w:t>长沙市轨道交通运营有限公司</w:t>
      </w:r>
      <w:r>
        <w:rPr>
          <w:rStyle w:val="54"/>
          <w:rFonts w:hint="eastAsia" w:ascii="Times New Roman" w:hAnsi="Times New Roman" w:cs="Times New Roman"/>
          <w:color w:val="auto"/>
          <w:sz w:val="21"/>
          <w:highlight w:val="none"/>
          <w:u w:val="none"/>
          <w:shd w:val="clear" w:color="auto" w:fill="FFFFFF"/>
        </w:rPr>
        <w:t>；</w:t>
      </w:r>
    </w:p>
    <w:p>
      <w:pPr>
        <w:pStyle w:val="40"/>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1.2.4采购范围：</w:t>
      </w:r>
      <w:r>
        <w:rPr>
          <w:rFonts w:hint="eastAsia"/>
          <w:sz w:val="21"/>
          <w:szCs w:val="21"/>
          <w:u w:val="single"/>
          <w:lang w:eastAsia="zh-CN"/>
        </w:rPr>
        <w:t>本项目为长沙地铁APP所有用户（包括已注册用户和新注册用户）提供验证码短信服务。</w:t>
      </w:r>
      <w:r>
        <w:rPr>
          <w:rFonts w:hint="eastAsia" w:ascii="宋体" w:hAnsi="宋体" w:eastAsia="宋体" w:cs="宋体"/>
          <w:color w:val="auto"/>
          <w:sz w:val="21"/>
          <w:szCs w:val="21"/>
          <w:highlight w:val="none"/>
          <w:shd w:val="clear" w:color="auto" w:fill="FFFFFF"/>
        </w:rPr>
        <w:t>（具体详见用户需求书）</w:t>
      </w:r>
    </w:p>
    <w:p>
      <w:pPr>
        <w:pStyle w:val="40"/>
        <w:snapToGrid w:val="0"/>
        <w:spacing w:beforeAutospacing="0" w:afterAutospacing="0"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color w:val="000000"/>
          <w:sz w:val="21"/>
          <w:szCs w:val="21"/>
          <w:highlight w:val="none"/>
          <w:shd w:val="clear" w:color="auto" w:fill="FFFFFF"/>
        </w:rPr>
        <w:t>1.2.5</w:t>
      </w:r>
      <w:r>
        <w:rPr>
          <w:rFonts w:hint="eastAsia"/>
          <w:sz w:val="21"/>
          <w:szCs w:val="21"/>
          <w:shd w:val="clear" w:color="auto" w:fill="FFFFFF"/>
        </w:rPr>
        <w:t>服务期：</w:t>
      </w:r>
      <w:r>
        <w:rPr>
          <w:rFonts w:hint="eastAsia"/>
          <w:sz w:val="21"/>
          <w:szCs w:val="21"/>
          <w:u w:val="single"/>
          <w:lang w:eastAsia="zh-CN"/>
        </w:rPr>
        <w:t>本项目服务期限暂定为2024年4月25日至2026年4月24日，总计24个月（实际服务时间以采购人发出的进场通知起算，总计24个月）。</w:t>
      </w:r>
      <w:r>
        <w:rPr>
          <w:rFonts w:hint="eastAsia"/>
          <w:sz w:val="21"/>
          <w:szCs w:val="21"/>
          <w:shd w:val="clear" w:color="auto" w:fill="FFFFFF"/>
        </w:rPr>
        <w:t>（具体详见用户需求书）</w:t>
      </w:r>
    </w:p>
    <w:p>
      <w:pPr>
        <w:pStyle w:val="40"/>
        <w:snapToGrid w:val="0"/>
        <w:spacing w:beforeAutospacing="0" w:afterAutospacing="0"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项目</w:t>
      </w:r>
      <w:r>
        <w:rPr>
          <w:rFonts w:hint="eastAsia" w:ascii="宋体" w:hAnsi="宋体" w:eastAsia="宋体" w:cs="宋体"/>
          <w:color w:val="auto"/>
          <w:sz w:val="21"/>
          <w:szCs w:val="21"/>
          <w:highlight w:val="none"/>
          <w:shd w:val="clear" w:color="auto" w:fill="FFFFFF"/>
          <w:lang w:val="en-US" w:eastAsia="zh-CN"/>
        </w:rPr>
        <w:t>最高限价</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u w:val="single"/>
          <w:lang w:val="en-US" w:eastAsia="zh-CN"/>
        </w:rPr>
        <w:t>总价为241620.99元，单价为0.0383元/新注册用户</w:t>
      </w:r>
      <w:r>
        <w:rPr>
          <w:rFonts w:hint="eastAsia" w:ascii="宋体" w:hAnsi="宋体" w:eastAsia="宋体" w:cs="宋体"/>
          <w:sz w:val="21"/>
          <w:szCs w:val="21"/>
          <w:u w:val="single"/>
          <w:lang w:eastAsia="zh-CN"/>
        </w:rPr>
        <w:t>。</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2.资格要求</w:t>
      </w:r>
    </w:p>
    <w:p>
      <w:pPr>
        <w:widowControl/>
        <w:spacing w:line="360" w:lineRule="auto"/>
        <w:ind w:firstLine="420" w:firstLineChars="200"/>
        <w:jc w:val="left"/>
        <w:rPr>
          <w:rFonts w:ascii="宋体" w:hAnsi="宋体" w:cs="宋体"/>
          <w:bCs/>
          <w:szCs w:val="21"/>
        </w:rPr>
      </w:pPr>
      <w:r>
        <w:rPr>
          <w:rFonts w:hint="eastAsia" w:ascii="宋体" w:hAnsi="宋体" w:cs="宋体"/>
          <w:szCs w:val="21"/>
          <w:shd w:val="clear" w:color="auto" w:fill="FFFFFF"/>
        </w:rPr>
        <w:t>2.1</w:t>
      </w:r>
      <w:r>
        <w:rPr>
          <w:rStyle w:val="54"/>
          <w:rFonts w:hint="eastAsia"/>
          <w:snapToGrid w:val="0"/>
          <w:color w:val="auto"/>
          <w:kern w:val="0"/>
          <w:u w:val="none"/>
          <w:shd w:val="clear" w:color="auto" w:fill="FFFFFF"/>
        </w:rPr>
        <w:t>供应商须为具备独立法人资格的企业或事业单位，且营业执照（事业单位法人证书）处于有效期内。</w:t>
      </w:r>
    </w:p>
    <w:p>
      <w:pPr>
        <w:pStyle w:val="40"/>
        <w:snapToGrid w:val="0"/>
        <w:spacing w:before="0" w:beforeAutospacing="0" w:after="0" w:afterAutospacing="0" w:line="360" w:lineRule="auto"/>
        <w:ind w:firstLine="420" w:firstLineChars="200"/>
        <w:jc w:val="both"/>
        <w:rPr>
          <w:rStyle w:val="54"/>
          <w:rFonts w:hint="eastAsia" w:ascii="Times New Roman" w:hAnsi="Times New Roman" w:eastAsia="宋体" w:cs="Times New Roman"/>
          <w:snapToGrid w:val="0"/>
          <w:color w:val="auto"/>
          <w:kern w:val="0"/>
          <w:sz w:val="21"/>
          <w:szCs w:val="24"/>
          <w:u w:val="none"/>
          <w:shd w:val="clear" w:color="auto" w:fill="FFFFFF"/>
          <w:lang w:val="en-US" w:eastAsia="zh-CN" w:bidi="ar-SA"/>
        </w:rPr>
      </w:pPr>
      <w:r>
        <w:rPr>
          <w:rFonts w:hint="eastAsia"/>
          <w:sz w:val="21"/>
          <w:szCs w:val="21"/>
          <w:shd w:val="clear" w:color="auto" w:fill="FFFFFF"/>
          <w:lang w:val="en-US" w:eastAsia="zh-CN"/>
        </w:rPr>
        <w:t>2.2</w:t>
      </w:r>
      <w:r>
        <w:rPr>
          <w:rStyle w:val="54"/>
          <w:rFonts w:hint="eastAsia" w:ascii="Times New Roman" w:hAnsi="Times New Roman" w:eastAsia="宋体" w:cs="Times New Roman"/>
          <w:snapToGrid w:val="0"/>
          <w:color w:val="auto"/>
          <w:kern w:val="0"/>
          <w:sz w:val="21"/>
          <w:szCs w:val="24"/>
          <w:u w:val="none"/>
          <w:shd w:val="clear" w:color="auto" w:fill="FFFFFF"/>
          <w:lang w:val="en-US" w:eastAsia="zh-CN" w:bidi="ar-SA"/>
        </w:rPr>
        <w:t>供应商须具有国务院信息产业主管部门或省、自治区、直辖市电信管理机构颁发的中华人民共和国增值电信业务经营许可证。</w:t>
      </w:r>
    </w:p>
    <w:p>
      <w:pPr>
        <w:pStyle w:val="40"/>
        <w:snapToGrid w:val="0"/>
        <w:spacing w:before="0" w:beforeAutospacing="0" w:after="0" w:afterAutospacing="0" w:line="360" w:lineRule="auto"/>
        <w:ind w:firstLine="420" w:firstLineChars="200"/>
        <w:jc w:val="both"/>
        <w:rPr>
          <w:sz w:val="21"/>
          <w:szCs w:val="21"/>
          <w:shd w:val="clear" w:color="auto" w:fill="FFFFFF"/>
        </w:rPr>
      </w:pPr>
      <w:r>
        <w:rPr>
          <w:rFonts w:hint="eastAsia"/>
          <w:sz w:val="21"/>
          <w:szCs w:val="21"/>
          <w:shd w:val="clear" w:color="auto" w:fill="FFFFFF"/>
          <w:lang w:val="en-US" w:eastAsia="zh-CN"/>
        </w:rPr>
        <w:t>2.3</w:t>
      </w:r>
      <w:r>
        <w:rPr>
          <w:rFonts w:hint="eastAsia"/>
          <w:sz w:val="21"/>
          <w:szCs w:val="21"/>
        </w:rPr>
        <w:t>本次采购不接受联合体。</w:t>
      </w:r>
    </w:p>
    <w:p>
      <w:pPr>
        <w:pStyle w:val="40"/>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2.</w:t>
      </w:r>
      <w:r>
        <w:rPr>
          <w:sz w:val="21"/>
          <w:szCs w:val="21"/>
          <w:shd w:val="clear" w:color="auto" w:fill="FFFFFF"/>
        </w:rPr>
        <w:t>4</w:t>
      </w:r>
      <w:r>
        <w:rPr>
          <w:rFonts w:hint="eastAsia"/>
          <w:sz w:val="21"/>
          <w:szCs w:val="21"/>
          <w:shd w:val="clear" w:color="auto" w:fill="FFFFFF"/>
        </w:rPr>
        <w:t>被长沙市轨道交通集团有限公司或长沙市轨道交通运营有限公司函告禁止在一定期限内参与投标的单位按函告内容执行。</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3.资格审查</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本项目资格审查方式为资格后审。</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4.评审办法</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sz w:val="21"/>
          <w:szCs w:val="21"/>
          <w:shd w:val="clear" w:color="auto" w:fill="FFFFFF"/>
        </w:rPr>
        <w:t>本采购项目采</w:t>
      </w:r>
      <w:r>
        <w:rPr>
          <w:rFonts w:hint="eastAsia" w:ascii="宋体" w:hAnsi="宋体" w:eastAsia="宋体" w:cs="宋体"/>
          <w:sz w:val="21"/>
          <w:szCs w:val="21"/>
          <w:shd w:val="clear" w:color="auto" w:fill="FFFFFF"/>
        </w:rPr>
        <w:t>用</w:t>
      </w:r>
      <w:r>
        <w:rPr>
          <w:rFonts w:hint="default" w:ascii="宋体" w:hAnsi="宋体" w:eastAsia="宋体" w:cs="宋体"/>
          <w:sz w:val="21"/>
          <w:szCs w:val="21"/>
          <w:shd w:val="clear" w:color="auto" w:fill="FFFFFF"/>
        </w:rPr>
        <w:t>经符合性审查合格后的最低价法</w:t>
      </w:r>
      <w:r>
        <w:rPr>
          <w:rFonts w:hint="eastAsia" w:ascii="宋体" w:hAnsi="宋体" w:eastAsia="宋体" w:cs="宋体"/>
          <w:sz w:val="21"/>
          <w:szCs w:val="21"/>
          <w:shd w:val="clear" w:color="auto" w:fill="FFFFFF"/>
        </w:rPr>
        <w:t>。</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5.采购文件的获取及报名</w:t>
      </w:r>
    </w:p>
    <w:p>
      <w:pPr>
        <w:pStyle w:val="4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5.2供应商可自本公告发布之日起登陆采购平台下载采购文件。采购文件包括技术标准和要求、合同条款等。</w:t>
      </w:r>
    </w:p>
    <w:p>
      <w:pPr>
        <w:pStyle w:val="4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5.3有意愿参与本次采购活动的供应商，应于本公告1</w:t>
      </w:r>
      <w:r>
        <w:rPr>
          <w:color w:val="000000"/>
          <w:sz w:val="21"/>
          <w:szCs w:val="21"/>
          <w:highlight w:val="none"/>
          <w:shd w:val="clear" w:color="auto" w:fill="FFFFFF"/>
        </w:rPr>
        <w:t>2</w:t>
      </w:r>
      <w:r>
        <w:rPr>
          <w:rFonts w:hint="eastAsia"/>
          <w:color w:val="000000"/>
          <w:sz w:val="21"/>
          <w:szCs w:val="21"/>
          <w:highlight w:val="none"/>
          <w:shd w:val="clear" w:color="auto" w:fill="FFFFFF"/>
        </w:rPr>
        <w:t>.1款规定的公告时间内至采购平台进行报名，报名成功后方可参与本次采购活动。</w:t>
      </w:r>
    </w:p>
    <w:p>
      <w:pPr>
        <w:pStyle w:val="4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5.4供应商若对采购文件有任何疑问，应于本公告1</w:t>
      </w:r>
      <w:r>
        <w:rPr>
          <w:color w:val="000000"/>
          <w:sz w:val="21"/>
          <w:szCs w:val="21"/>
          <w:highlight w:val="none"/>
          <w:shd w:val="clear" w:color="auto" w:fill="FFFFFF"/>
        </w:rPr>
        <w:t>2</w:t>
      </w:r>
      <w:r>
        <w:rPr>
          <w:rFonts w:hint="eastAsia"/>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6.响应文件的递交</w:t>
      </w:r>
    </w:p>
    <w:p>
      <w:pPr>
        <w:pStyle w:val="40"/>
        <w:spacing w:before="0" w:beforeAutospacing="0" w:after="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40"/>
        <w:spacing w:before="0" w:beforeAutospacing="0" w:after="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6.2电子响应文件的解密截止时间为投标截止时间后</w:t>
      </w:r>
      <w:r>
        <w:rPr>
          <w:rFonts w:hint="eastAsia"/>
          <w:color w:val="000000"/>
          <w:sz w:val="21"/>
          <w:szCs w:val="21"/>
          <w:highlight w:val="none"/>
          <w:u w:val="single"/>
          <w:shd w:val="clear" w:color="auto" w:fill="FFFFFF"/>
        </w:rPr>
        <w:t xml:space="preserve"> 30 </w:t>
      </w:r>
      <w:r>
        <w:rPr>
          <w:rFonts w:hint="eastAsia"/>
          <w:color w:val="000000"/>
          <w:sz w:val="21"/>
          <w:szCs w:val="21"/>
          <w:highlight w:val="none"/>
          <w:shd w:val="clear" w:color="auto" w:fill="FFFFFF"/>
        </w:rPr>
        <w:t>分钟，请供应商确保电子响应文件如期解密。逾期解密的响应文件，在线采购平台予以拒收。</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7.项目竞争性采购保证金提交与退还</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7.1</w:t>
      </w:r>
      <w:r>
        <w:rPr>
          <w:rFonts w:hint="eastAsia" w:ascii="宋体" w:hAnsi="宋体" w:eastAsia="宋体" w:cs="宋体"/>
          <w:color w:val="auto"/>
          <w:kern w:val="0"/>
          <w:sz w:val="21"/>
          <w:szCs w:val="21"/>
          <w:highlight w:val="none"/>
          <w:shd w:val="clear" w:color="auto" w:fill="FFFFFF"/>
        </w:rPr>
        <w:t>竞争性采购保证金金额为（人民币）</w:t>
      </w:r>
      <w:r>
        <w:rPr>
          <w:rFonts w:hint="eastAsia" w:ascii="宋体" w:hAnsi="宋体" w:cs="宋体"/>
          <w:color w:val="auto"/>
          <w:kern w:val="0"/>
          <w:sz w:val="21"/>
          <w:szCs w:val="21"/>
          <w:highlight w:val="none"/>
          <w:u w:val="single"/>
          <w:shd w:val="clear" w:color="auto" w:fill="FFFFFF"/>
          <w:lang w:val="en-US" w:eastAsia="zh-CN"/>
        </w:rPr>
        <w:t>肆</w:t>
      </w:r>
      <w:r>
        <w:rPr>
          <w:rFonts w:hint="eastAsia" w:ascii="宋体" w:hAnsi="宋体" w:cs="宋体"/>
          <w:color w:val="auto"/>
          <w:kern w:val="0"/>
          <w:sz w:val="21"/>
          <w:szCs w:val="21"/>
          <w:highlight w:val="none"/>
          <w:u w:val="single"/>
          <w:lang w:val="en-US" w:eastAsia="zh-CN"/>
        </w:rPr>
        <w:t>仟捌佰元</w:t>
      </w:r>
      <w:r>
        <w:rPr>
          <w:rFonts w:hint="eastAsia" w:ascii="宋体" w:hAnsi="宋体" w:eastAsia="宋体" w:cs="宋体"/>
          <w:color w:val="auto"/>
          <w:kern w:val="0"/>
          <w:sz w:val="21"/>
          <w:szCs w:val="21"/>
          <w:highlight w:val="none"/>
          <w:u w:val="single"/>
        </w:rPr>
        <w:t>整（¥</w:t>
      </w:r>
      <w:r>
        <w:rPr>
          <w:rFonts w:hint="eastAsia" w:ascii="宋体" w:hAnsi="宋体" w:cs="宋体"/>
          <w:color w:val="auto"/>
          <w:kern w:val="0"/>
          <w:sz w:val="21"/>
          <w:szCs w:val="21"/>
          <w:highlight w:val="none"/>
          <w:u w:val="single"/>
          <w:lang w:val="en-US" w:eastAsia="zh-CN"/>
        </w:rPr>
        <w:t>4800</w:t>
      </w:r>
      <w:r>
        <w:rPr>
          <w:rFonts w:hint="eastAsia" w:ascii="宋体" w:hAnsi="宋体" w:eastAsia="宋体" w:cs="宋体"/>
          <w:color w:val="auto"/>
          <w:kern w:val="0"/>
          <w:sz w:val="21"/>
          <w:szCs w:val="21"/>
          <w:highlight w:val="none"/>
          <w:u w:val="single"/>
        </w:rPr>
        <w:t>.00元）</w:t>
      </w:r>
      <w:r>
        <w:rPr>
          <w:rFonts w:hint="eastAsia" w:ascii="宋体" w:hAnsi="宋体" w:cs="宋体"/>
          <w:color w:val="000000"/>
          <w:kern w:val="0"/>
          <w:szCs w:val="21"/>
          <w:highlight w:val="none"/>
          <w:shd w:val="clear" w:color="auto" w:fill="FFFFFF"/>
        </w:rPr>
        <w:t>。</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40"/>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7.5</w:t>
      </w:r>
      <w:r>
        <w:rPr>
          <w:rFonts w:hint="eastAsia" w:ascii="Times New Roman" w:hAnsi="Times New Roman" w:cs="Times New Roman"/>
          <w:sz w:val="21"/>
          <w:szCs w:val="21"/>
          <w:highlight w:val="none"/>
          <w:shd w:val="clear" w:color="auto" w:fill="FFFFFF"/>
          <w:lang w:bidi="ar"/>
        </w:rPr>
        <w:t>竞争性采购</w:t>
      </w:r>
      <w:r>
        <w:rPr>
          <w:rFonts w:hint="eastAsia"/>
          <w:sz w:val="21"/>
          <w:szCs w:val="21"/>
          <w:highlight w:val="none"/>
          <w:shd w:val="clear" w:color="auto" w:fill="FFFFFF"/>
          <w:lang w:bidi="ar"/>
        </w:rPr>
        <w:t>保证金到账截止时间与响应文件递交截止时间一致。</w:t>
      </w:r>
      <w:r>
        <w:rPr>
          <w:rFonts w:hint="eastAsia"/>
          <w:sz w:val="21"/>
          <w:szCs w:val="21"/>
          <w:highlight w:val="none"/>
        </w:rPr>
        <w:t>供应商不按采购公告要求提交</w:t>
      </w:r>
      <w:r>
        <w:rPr>
          <w:rFonts w:hint="eastAsia" w:ascii="Times New Roman" w:hAnsi="Times New Roman" w:cs="Times New Roman"/>
          <w:sz w:val="21"/>
          <w:szCs w:val="21"/>
          <w:highlight w:val="none"/>
          <w:shd w:val="clear" w:color="auto" w:fill="FFFFFF"/>
          <w:lang w:bidi="ar"/>
        </w:rPr>
        <w:t>竞争性采购</w:t>
      </w:r>
      <w:r>
        <w:rPr>
          <w:rFonts w:hint="eastAsia"/>
          <w:sz w:val="21"/>
          <w:szCs w:val="21"/>
          <w:highlight w:val="none"/>
        </w:rPr>
        <w:t>保证金的，</w:t>
      </w:r>
      <w:r>
        <w:rPr>
          <w:sz w:val="21"/>
          <w:szCs w:val="21"/>
          <w:highlight w:val="none"/>
        </w:rPr>
        <w:t>在评</w:t>
      </w:r>
      <w:r>
        <w:rPr>
          <w:rFonts w:hint="eastAsia"/>
          <w:sz w:val="21"/>
          <w:szCs w:val="21"/>
          <w:highlight w:val="none"/>
        </w:rPr>
        <w:t>审</w:t>
      </w:r>
      <w:r>
        <w:rPr>
          <w:sz w:val="21"/>
          <w:szCs w:val="21"/>
          <w:highlight w:val="none"/>
        </w:rPr>
        <w:t>时</w:t>
      </w:r>
      <w:r>
        <w:rPr>
          <w:rFonts w:hint="eastAsia"/>
          <w:sz w:val="21"/>
          <w:szCs w:val="21"/>
          <w:highlight w:val="none"/>
        </w:rPr>
        <w:t>按</w:t>
      </w:r>
      <w:r>
        <w:rPr>
          <w:rFonts w:hint="eastAsia"/>
          <w:b/>
          <w:bCs/>
          <w:sz w:val="21"/>
          <w:szCs w:val="21"/>
          <w:highlight w:val="none"/>
        </w:rPr>
        <w:t>否决</w:t>
      </w:r>
      <w:r>
        <w:rPr>
          <w:rFonts w:hint="eastAsia"/>
          <w:sz w:val="21"/>
          <w:szCs w:val="21"/>
          <w:highlight w:val="none"/>
        </w:rPr>
        <w:t>情形处理</w:t>
      </w:r>
      <w:r>
        <w:rPr>
          <w:sz w:val="21"/>
          <w:szCs w:val="21"/>
          <w:highlight w:val="none"/>
        </w:rPr>
        <w:t>。</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8.发布公告的媒介</w:t>
      </w:r>
    </w:p>
    <w:p>
      <w:pPr>
        <w:pStyle w:val="40"/>
        <w:autoSpaceDE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9.供应商注册及认证等要求</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10.异议与投诉</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40"/>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11.联系方式</w:t>
      </w:r>
    </w:p>
    <w:p>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color w:val="000000"/>
          <w:szCs w:val="21"/>
          <w:highlight w:val="none"/>
          <w:shd w:val="clear" w:color="auto" w:fill="FFFFFF"/>
        </w:rPr>
        <w:t>采购人：</w:t>
      </w:r>
      <w:r>
        <w:rPr>
          <w:rFonts w:hint="eastAsia" w:ascii="宋体" w:hAnsi="宋体" w:cs="宋体"/>
          <w:bCs/>
          <w:szCs w:val="21"/>
          <w:highlight w:val="none"/>
          <w:lang w:eastAsia="zh-CN"/>
        </w:rPr>
        <w:t>长沙市轨道交通运营有限公司</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地 址：湖南省长沙市杜花路166号</w:t>
      </w:r>
    </w:p>
    <w:p>
      <w:pPr>
        <w:pStyle w:val="40"/>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联系人：</w:t>
      </w:r>
      <w:r>
        <w:rPr>
          <w:rFonts w:hint="eastAsia"/>
          <w:color w:val="000000"/>
          <w:sz w:val="21"/>
          <w:szCs w:val="21"/>
          <w:highlight w:val="none"/>
          <w:shd w:val="clear" w:color="auto" w:fill="FFFFFF"/>
          <w:lang w:val="en-US" w:eastAsia="zh-CN"/>
        </w:rPr>
        <w:t>沈</w:t>
      </w:r>
      <w:r>
        <w:rPr>
          <w:rStyle w:val="54"/>
          <w:rFonts w:hint="eastAsia" w:ascii="Times New Roman" w:hAnsi="Times New Roman" w:cs="Times New Roman"/>
          <w:color w:val="auto"/>
          <w:sz w:val="21"/>
          <w:highlight w:val="none"/>
          <w:u w:val="none"/>
          <w:shd w:val="clear" w:color="auto" w:fill="FFFFFF"/>
        </w:rPr>
        <w:t>工</w:t>
      </w:r>
    </w:p>
    <w:p>
      <w:pPr>
        <w:pStyle w:val="40"/>
        <w:spacing w:beforeAutospacing="0" w:afterAutospacing="0" w:line="360" w:lineRule="auto"/>
        <w:ind w:firstLine="420" w:firstLineChars="200"/>
        <w:rPr>
          <w:rFonts w:hint="eastAsia"/>
          <w:color w:val="000000"/>
          <w:sz w:val="21"/>
          <w:szCs w:val="21"/>
          <w:highlight w:val="none"/>
          <w:shd w:val="clear" w:color="auto" w:fill="FFFFFF"/>
          <w:lang w:val="en-US" w:eastAsia="zh-CN"/>
        </w:rPr>
      </w:pPr>
      <w:r>
        <w:rPr>
          <w:rFonts w:hint="eastAsia"/>
          <w:color w:val="000000"/>
          <w:sz w:val="21"/>
          <w:szCs w:val="21"/>
          <w:highlight w:val="none"/>
          <w:shd w:val="clear" w:color="auto" w:fill="FFFFFF"/>
        </w:rPr>
        <w:t>电 话：</w:t>
      </w:r>
      <w:r>
        <w:rPr>
          <w:color w:val="000000"/>
          <w:sz w:val="21"/>
          <w:szCs w:val="21"/>
          <w:highlight w:val="none"/>
          <w:shd w:val="clear" w:color="auto" w:fill="FFFFFF"/>
        </w:rPr>
        <w:t>0731-86852</w:t>
      </w:r>
      <w:r>
        <w:rPr>
          <w:rFonts w:hint="eastAsia"/>
          <w:color w:val="000000"/>
          <w:sz w:val="21"/>
          <w:szCs w:val="21"/>
          <w:highlight w:val="none"/>
          <w:shd w:val="clear" w:color="auto" w:fill="FFFFFF"/>
          <w:lang w:val="en-US" w:eastAsia="zh-CN"/>
        </w:rPr>
        <w:t>293</w:t>
      </w:r>
    </w:p>
    <w:p>
      <w:pPr>
        <w:pStyle w:val="40"/>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12.公告、报名、提疑</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响应文件</w:t>
      </w:r>
      <w:r>
        <w:rPr>
          <w:rFonts w:hint="eastAsia" w:cs="宋体"/>
          <w:b/>
          <w:bCs/>
          <w:color w:val="auto"/>
          <w:sz w:val="21"/>
          <w:szCs w:val="21"/>
          <w:highlight w:val="none"/>
          <w:lang w:eastAsia="zh-CN"/>
        </w:rPr>
        <w:t>及保证金</w:t>
      </w:r>
      <w:r>
        <w:rPr>
          <w:rFonts w:hint="eastAsia" w:ascii="宋体" w:hAnsi="宋体" w:eastAsia="宋体" w:cs="宋体"/>
          <w:b/>
          <w:bCs/>
          <w:color w:val="auto"/>
          <w:sz w:val="21"/>
          <w:szCs w:val="21"/>
          <w:highlight w:val="none"/>
        </w:rPr>
        <w:t>递交时间</w:t>
      </w:r>
    </w:p>
    <w:p>
      <w:pPr>
        <w:pStyle w:val="40"/>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10时00分</w:t>
      </w:r>
      <w:r>
        <w:rPr>
          <w:rFonts w:hint="eastAsia" w:ascii="宋体" w:hAnsi="宋体" w:eastAsia="宋体" w:cs="宋体"/>
          <w:color w:val="auto"/>
          <w:sz w:val="21"/>
          <w:szCs w:val="21"/>
          <w:highlight w:val="none"/>
          <w:shd w:val="clear" w:color="auto" w:fill="FFFFFF"/>
        </w:rPr>
        <w:t>（北京时间，下同）。</w:t>
      </w:r>
    </w:p>
    <w:p>
      <w:pPr>
        <w:pStyle w:val="40"/>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w:t>
      </w:r>
      <w:r>
        <w:rPr>
          <w:rFonts w:hint="eastAsia"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时</w:t>
      </w:r>
      <w:r>
        <w:rPr>
          <w:rFonts w:hint="eastAsia"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分。</w:t>
      </w:r>
      <w:bookmarkEnd w:id="5"/>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40"/>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rPr>
          <w:rFonts w:hint="eastAsia"/>
          <w:b/>
          <w:bCs/>
          <w:color w:val="auto"/>
          <w:highlight w:val="none"/>
          <w:lang w:eastAsia="zh-CN"/>
        </w:rPr>
      </w:pPr>
      <w:r>
        <w:rPr>
          <w:rFonts w:hint="eastAsia"/>
          <w:b/>
          <w:bCs/>
          <w:color w:val="auto"/>
          <w:highlight w:val="none"/>
          <w:lang w:eastAsia="zh-CN"/>
        </w:rPr>
        <w:br w:type="page"/>
      </w:r>
    </w:p>
    <w:p>
      <w:pPr>
        <w:pStyle w:val="26"/>
        <w:jc w:val="center"/>
        <w:outlineLvl w:val="0"/>
        <w:rPr>
          <w:rFonts w:ascii="黑体" w:eastAsia="黑体"/>
          <w:b/>
          <w:color w:val="000000" w:themeColor="text1"/>
          <w:sz w:val="32"/>
          <w:szCs w:val="32"/>
          <w:highlight w:val="none"/>
          <w14:textFill>
            <w14:solidFill>
              <w14:schemeClr w14:val="tx1"/>
            </w14:solidFill>
          </w14:textFill>
        </w:rPr>
      </w:pPr>
      <w:bookmarkStart w:id="6" w:name="_Toc24340"/>
      <w:bookmarkStart w:id="7" w:name="_Toc22187"/>
      <w:bookmarkStart w:id="8" w:name="_Toc14205"/>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6"/>
      <w:bookmarkEnd w:id="7"/>
      <w:bookmarkEnd w:id="8"/>
    </w:p>
    <w:p>
      <w:pPr>
        <w:pStyle w:val="26"/>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5"/>
        <w:tblW w:w="48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613"/>
        <w:gridCol w:w="5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6"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2"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2982" w:type="pct"/>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FF0000"/>
                <w:szCs w:val="21"/>
                <w:highlight w:val="none"/>
              </w:rPr>
            </w:pPr>
            <w:r>
              <w:rPr>
                <w:rFonts w:hint="eastAsia" w:ascii="宋体" w:hAnsi="宋体" w:cs="宋体"/>
                <w:szCs w:val="21"/>
                <w:highlight w:val="none"/>
              </w:rPr>
              <w:t>1.3.3</w:t>
            </w:r>
          </w:p>
        </w:tc>
        <w:tc>
          <w:tcPr>
            <w:tcW w:w="1446"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w:t>
            </w:r>
            <w:r>
              <w:rPr>
                <w:rFonts w:hint="eastAsia" w:ascii="宋体" w:hAnsi="宋体" w:cs="宋体"/>
                <w:color w:val="000000" w:themeColor="text1"/>
                <w:szCs w:val="21"/>
                <w:highlight w:val="none"/>
                <w:lang w:eastAsia="zh-CN"/>
                <w14:textFill>
                  <w14:solidFill>
                    <w14:schemeClr w14:val="tx1"/>
                  </w14:solidFill>
                </w14:textFill>
              </w:rPr>
              <w:t>）</w:t>
            </w:r>
          </w:p>
        </w:tc>
        <w:tc>
          <w:tcPr>
            <w:tcW w:w="2982" w:type="pct"/>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6"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6"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8"/>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2" w:type="pct"/>
            <w:vAlign w:val="center"/>
          </w:tcPr>
          <w:p>
            <w:pPr>
              <w:spacing w:line="360" w:lineRule="exact"/>
              <w:rPr>
                <w:rFonts w:ascii="宋体" w:hAnsi="宋体" w:cs="宋体"/>
                <w:highlight w:val="none"/>
              </w:rPr>
            </w:pPr>
            <w:r>
              <w:rPr>
                <w:rFonts w:hint="eastAsia" w:ascii="宋体" w:hAnsi="宋体" w:cs="宋体"/>
                <w:highlight w:val="none"/>
              </w:rPr>
              <w:t>截止时间：</w:t>
            </w:r>
            <w:r>
              <w:rPr>
                <w:rFonts w:hint="eastAsia" w:ascii="宋体" w:hAnsi="宋体" w:cs="宋体"/>
                <w:szCs w:val="21"/>
                <w:highlight w:val="none"/>
                <w:u w:val="single"/>
                <w:shd w:val="clear" w:color="auto" w:fill="FFFFFF"/>
              </w:rPr>
              <w:t>202</w:t>
            </w:r>
            <w:r>
              <w:rPr>
                <w:rFonts w:ascii="宋体" w:hAnsi="宋体" w:cs="宋体"/>
                <w:szCs w:val="21"/>
                <w:highlight w:val="none"/>
                <w:u w:val="single"/>
                <w:shd w:val="clear" w:color="auto" w:fill="FFFFFF"/>
              </w:rPr>
              <w:t>4</w:t>
            </w:r>
            <w:r>
              <w:rPr>
                <w:rFonts w:hint="eastAsia" w:ascii="宋体" w:hAnsi="宋体" w:cs="宋体"/>
                <w:szCs w:val="21"/>
                <w:highlight w:val="none"/>
                <w:u w:val="single"/>
                <w:shd w:val="clear" w:color="auto" w:fill="FFFFFF"/>
              </w:rPr>
              <w:t>年</w:t>
            </w:r>
            <w:r>
              <w:rPr>
                <w:rFonts w:hint="eastAsia" w:ascii="宋体" w:hAnsi="宋体" w:cs="宋体"/>
                <w:szCs w:val="21"/>
                <w:highlight w:val="none"/>
                <w:u w:val="single"/>
                <w:shd w:val="clear" w:color="auto" w:fill="FFFFFF"/>
                <w:lang w:val="en-US" w:eastAsia="zh-CN"/>
              </w:rPr>
              <w:t>4</w:t>
            </w:r>
            <w:r>
              <w:rPr>
                <w:rFonts w:hint="eastAsia" w:ascii="宋体" w:hAnsi="宋体" w:cs="宋体"/>
                <w:szCs w:val="21"/>
                <w:highlight w:val="none"/>
                <w:u w:val="single"/>
                <w:shd w:val="clear" w:color="auto" w:fill="FFFFFF"/>
              </w:rPr>
              <w:t>月</w:t>
            </w:r>
            <w:r>
              <w:rPr>
                <w:rFonts w:hint="eastAsia" w:ascii="宋体" w:hAnsi="宋体" w:cs="宋体"/>
                <w:szCs w:val="21"/>
                <w:highlight w:val="none"/>
                <w:u w:val="single"/>
                <w:shd w:val="clear" w:color="auto" w:fill="FFFFFF"/>
                <w:lang w:val="en-US" w:eastAsia="zh-CN"/>
              </w:rPr>
              <w:t xml:space="preserve"> 8 </w:t>
            </w:r>
            <w:r>
              <w:rPr>
                <w:rFonts w:hint="eastAsia" w:ascii="宋体" w:hAnsi="宋体" w:cs="宋体"/>
                <w:szCs w:val="21"/>
                <w:highlight w:val="none"/>
                <w:u w:val="single"/>
                <w:shd w:val="clear" w:color="auto" w:fill="FFFFFF"/>
              </w:rPr>
              <w:t>日17时00分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446"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项目最高限价</w:t>
            </w:r>
          </w:p>
        </w:tc>
        <w:tc>
          <w:tcPr>
            <w:tcW w:w="2982" w:type="pct"/>
            <w:vAlign w:val="center"/>
          </w:tcPr>
          <w:p>
            <w:pPr>
              <w:spacing w:line="36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Cs w:val="21"/>
                <w:highlight w:val="none"/>
              </w:rPr>
              <w:t>本项目最高限价：</w:t>
            </w:r>
            <w:r>
              <w:rPr>
                <w:rFonts w:hint="eastAsia" w:ascii="宋体" w:hAnsi="宋体" w:eastAsia="宋体" w:cs="宋体"/>
                <w:color w:val="auto"/>
                <w:szCs w:val="21"/>
                <w:highlight w:val="none"/>
                <w:lang w:val="en-US" w:eastAsia="zh-CN"/>
              </w:rPr>
              <w:t>最高限价单价为0.0383元/新注册用户，最高限价总价为241620.99元</w:t>
            </w:r>
            <w:r>
              <w:rPr>
                <w:rFonts w:hint="eastAsia" w:ascii="宋体" w:hAnsi="宋体" w:eastAsia="宋体" w:cs="宋体"/>
                <w:color w:val="auto"/>
                <w:szCs w:val="21"/>
                <w:highlight w:val="none"/>
              </w:rPr>
              <w:t>。单价及</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报价不能高于采购人公布的最高限价，不超过最高限价的报价方为有效报价。具体详见</w:t>
            </w:r>
            <w:r>
              <w:rPr>
                <w:rFonts w:hint="eastAsia" w:ascii="宋体" w:hAnsi="宋体" w:eastAsia="宋体" w:cs="宋体"/>
                <w:color w:val="auto"/>
                <w:szCs w:val="21"/>
                <w:highlight w:val="none"/>
                <w:lang w:eastAsia="zh-CN"/>
              </w:rPr>
              <w:t>第六章《竞争性采购最高限价》</w:t>
            </w:r>
            <w:r>
              <w:rPr>
                <w:rFonts w:hint="eastAsia"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1446"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竞争性采购保证金</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ascii="宋体" w:hAnsi="宋体" w:cs="宋体"/>
                <w:color w:val="auto"/>
                <w:szCs w:val="21"/>
                <w:highlight w:val="none"/>
                <w:u w:val="single"/>
                <w:lang w:val="en-US" w:eastAsia="zh-CN"/>
              </w:rPr>
              <w:t>肆</w:t>
            </w:r>
            <w:r>
              <w:rPr>
                <w:rFonts w:hint="eastAsia"/>
                <w:color w:val="auto"/>
                <w:sz w:val="21"/>
                <w:szCs w:val="21"/>
                <w:highlight w:val="none"/>
                <w:u w:val="single"/>
                <w:shd w:val="clear" w:color="auto" w:fill="FFFFFF"/>
                <w:lang w:val="en-US" w:eastAsia="zh-CN" w:bidi="ar"/>
              </w:rPr>
              <w:t>仟捌佰元整（¥4800.00元）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kern w:val="0"/>
                <w:szCs w:val="21"/>
                <w:highlight w:val="none"/>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2" w:type="pct"/>
            <w:vAlign w:val="center"/>
          </w:tcPr>
          <w:p>
            <w:pPr>
              <w:pStyle w:val="276"/>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w:t>
            </w:r>
          </w:p>
        </w:tc>
        <w:tc>
          <w:tcPr>
            <w:tcW w:w="1446"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2"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第六章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w:t>
            </w:r>
          </w:p>
        </w:tc>
        <w:tc>
          <w:tcPr>
            <w:tcW w:w="1446"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2"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2"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highlight w:val="none"/>
              </w:rPr>
            </w:pPr>
            <w:r>
              <w:rPr>
                <w:rFonts w:hint="eastAsia" w:ascii="宋体" w:hAnsi="宋体" w:cs="宋体"/>
                <w:szCs w:val="21"/>
                <w:highlight w:val="none"/>
              </w:rPr>
              <w:t>4.1.1</w:t>
            </w:r>
          </w:p>
        </w:tc>
        <w:tc>
          <w:tcPr>
            <w:tcW w:w="1446" w:type="pct"/>
            <w:vAlign w:val="center"/>
          </w:tcPr>
          <w:p>
            <w:pPr>
              <w:pStyle w:val="276"/>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2" w:type="pct"/>
            <w:vAlign w:val="center"/>
          </w:tcPr>
          <w:p>
            <w:pPr>
              <w:pStyle w:val="276"/>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4.2.1</w:t>
            </w:r>
          </w:p>
        </w:tc>
        <w:tc>
          <w:tcPr>
            <w:tcW w:w="1446"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2" w:type="pct"/>
            <w:vAlign w:val="center"/>
          </w:tcPr>
          <w:p>
            <w:pPr>
              <w:spacing w:line="360" w:lineRule="exact"/>
              <w:rPr>
                <w:rFonts w:ascii="宋体" w:hAnsi="宋体" w:cs="宋体"/>
                <w:szCs w:val="21"/>
                <w:highlight w:val="none"/>
              </w:rPr>
            </w:pP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none"/>
              </w:rPr>
              <w:t>时</w:t>
            </w:r>
            <w:r>
              <w:rPr>
                <w:rFonts w:hint="eastAsia" w:ascii="宋体" w:hAnsi="宋体" w:cs="宋体"/>
                <w:color w:val="auto"/>
                <w:szCs w:val="21"/>
                <w:highlight w:val="none"/>
                <w:u w:val="single"/>
                <w:lang w:val="en-US" w:eastAsia="zh-CN"/>
              </w:rPr>
              <w:t xml:space="preserve"> 00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w:t>
            </w:r>
            <w:r>
              <w:rPr>
                <w:rFonts w:ascii="宋体" w:hAnsi="宋体" w:cs="宋体"/>
                <w:szCs w:val="21"/>
                <w:highlight w:val="none"/>
              </w:rPr>
              <w:t>2</w:t>
            </w:r>
          </w:p>
        </w:tc>
        <w:tc>
          <w:tcPr>
            <w:tcW w:w="1446" w:type="pct"/>
            <w:vAlign w:val="center"/>
          </w:tcPr>
          <w:p>
            <w:pPr>
              <w:pStyle w:val="276"/>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2"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4.2.3</w:t>
            </w:r>
          </w:p>
        </w:tc>
        <w:tc>
          <w:tcPr>
            <w:tcW w:w="1446"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2" w:type="pct"/>
            <w:vAlign w:val="center"/>
          </w:tcPr>
          <w:p>
            <w:pPr>
              <w:pStyle w:val="188"/>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7.2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推荐成交候选供应商和确定成交供应商方式</w:t>
            </w:r>
          </w:p>
        </w:tc>
        <w:tc>
          <w:tcPr>
            <w:tcW w:w="2982" w:type="pct"/>
            <w:vAlign w:val="center"/>
          </w:tcPr>
          <w:p>
            <w:pPr>
              <w:spacing w:line="360" w:lineRule="exact"/>
              <w:jc w:val="left"/>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1.竞争性采购评审小组应当在全部评审结束后，按照综合得分由高到低的顺序推荐不超过3名成交候选人，并填写评审报告。经对排名第一的成交候选人进行公示，且公示无异议后，确定排名第一的成交候选人为成交供应商。</w:t>
            </w:r>
          </w:p>
          <w:p>
            <w:pPr>
              <w:spacing w:line="360" w:lineRule="exact"/>
              <w:jc w:val="left"/>
              <w:rPr>
                <w:rFonts w:hint="default" w:ascii="宋体" w:hAnsi="宋体" w:cs="宋体"/>
                <w:color w:val="000000" w:themeColor="text1"/>
                <w:szCs w:val="21"/>
                <w:highlight w:val="none"/>
                <w:lang w:val="en-US" w:eastAsia="zh-CN"/>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2.全部评审结束后，若出现报价得分相同的情形，则采用现场抽签方式确定成交候选人。</w:t>
            </w:r>
          </w:p>
          <w:p>
            <w:pPr>
              <w:spacing w:line="360" w:lineRule="exact"/>
              <w:jc w:val="left"/>
              <w:rPr>
                <w:rFonts w:hint="eastAsia" w:ascii="宋体" w:hAnsi="宋体" w:cs="宋体"/>
                <w:color w:val="auto"/>
                <w:szCs w:val="21"/>
                <w:highlight w:val="none"/>
              </w:rPr>
            </w:pPr>
            <w:r>
              <w:rPr>
                <w:rFonts w:hint="default" w:ascii="宋体" w:hAnsi="宋体" w:cs="宋体"/>
                <w:color w:val="000000" w:themeColor="text1"/>
                <w:szCs w:val="21"/>
                <w:highlight w:val="none"/>
                <w:lang w:val="en-US" w:eastAsia="zh-CN"/>
                <w14:textFill>
                  <w14:solidFill>
                    <w14:schemeClr w14:val="tx1"/>
                  </w14:solidFill>
                </w14:textFill>
              </w:rPr>
              <w:t>3.排名第一的成交候选人成交后放弃成交、因不可抗力不能履行合同，或者被查实存在影响成交结果的违法行为等情形，不符合成交条件的，采购人可以按照竞争性采购评审小组提出的成交候选人名单排序依次确定其他成交候选人为成交供应商，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7.4</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9.2</w:t>
            </w:r>
          </w:p>
        </w:tc>
        <w:tc>
          <w:tcPr>
            <w:tcW w:w="4428" w:type="pct"/>
            <w:gridSpan w:val="2"/>
            <w:vAlign w:val="center"/>
          </w:tcPr>
          <w:p>
            <w:pPr>
              <w:pStyle w:val="26"/>
              <w:adjustRightInd w:val="0"/>
              <w:snapToGrid w:val="0"/>
              <w:spacing w:line="360" w:lineRule="exact"/>
              <w:rPr>
                <w:rFonts w:hAnsi="宋体" w:cs="宋体"/>
                <w:highlight w:val="none"/>
              </w:rPr>
            </w:pPr>
            <w:r>
              <w:rPr>
                <w:rFonts w:hint="eastAsia" w:hAnsi="宋体" w:cs="宋体"/>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(1)供应商提出撤回或撤销或放弃成交资格或对报价提出实质性修改；</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(2)成交供应商未能在规定期限内签订合同或不按报价结果签订合同或在签订合同时向采购人提出附加条件；</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(3)成交供应商在合同订立过程中未能完全响应采购文件、清单、附件、合同要求以致合同无法订立的；</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(4)成交供应商不按照采购文件要求提交履约保证金；</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(5)供应商在采购过程中以任何方式进行串通的；</w:t>
            </w:r>
          </w:p>
          <w:p>
            <w:pPr>
              <w:pStyle w:val="26"/>
              <w:adjustRightInd w:val="0"/>
              <w:snapToGrid w:val="0"/>
              <w:spacing w:line="360" w:lineRule="exact"/>
              <w:rPr>
                <w:rFonts w:hAnsi="宋体" w:cs="宋体"/>
                <w:kern w:val="0"/>
                <w:highlight w:val="none"/>
                <w:lang w:bidi="ar"/>
              </w:rPr>
            </w:pPr>
            <w:r>
              <w:rPr>
                <w:rFonts w:hint="eastAsia" w:hAnsi="宋体" w:cs="宋体"/>
                <w:kern w:val="0"/>
                <w:highlight w:val="none"/>
                <w:lang w:bidi="ar"/>
              </w:rPr>
              <w:t>(6)供应商以他人名义参与采购活动或者弄虚作假，骗取成交资格的；</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9.3</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hAnsi="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9.4</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9.5</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9.6</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成交通知发出以前，成交候选供应商及其相关情况发生变化，致使其达不到合格供应商资格条件的，取消其成交候选供应商资格，给采购人造成损失的，应承担相应损失。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9.7</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处理，采购人有权取消其成交资格并没收竞争性采购保证金，已签订合同的，终止合同，没收履约保证金，并追究该供应商的有关法律责任。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9.8</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9.9</w:t>
            </w:r>
          </w:p>
        </w:tc>
        <w:tc>
          <w:tcPr>
            <w:tcW w:w="4428" w:type="pct"/>
            <w:gridSpan w:val="2"/>
            <w:vAlign w:val="center"/>
          </w:tcPr>
          <w:p>
            <w:pPr>
              <w:pStyle w:val="2"/>
              <w:ind w:left="0" w:leftChars="0" w:firstLine="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9.10</w:t>
            </w:r>
          </w:p>
        </w:tc>
        <w:tc>
          <w:tcPr>
            <w:tcW w:w="4428" w:type="pct"/>
            <w:gridSpan w:val="2"/>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（1）未提供有效证明材料的；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（2)提供证明材料不齐全且对供应商有利的；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（3)提供证明材料与事实不符且对供应商有利的；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（4)所提供证明材料不能有效证明业绩的真实性或有效性；</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（5)被查实存在弄虚作假的；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8"/>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采购范围、服务期</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1.3.2服务期：见竞争性采购须知前附表。</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9" w:name="page20"/>
      <w:bookmarkEnd w:id="9"/>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和竞争性采购须知前附表的要求外，还应遵守以下规定：</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8"/>
        <w:jc w:val="both"/>
        <w:rPr>
          <w:rFonts w:hAnsi="宋体"/>
          <w:sz w:val="21"/>
          <w:szCs w:val="21"/>
          <w:highlight w:val="none"/>
        </w:rPr>
      </w:pPr>
      <w:r>
        <w:rPr>
          <w:rFonts w:hAnsi="宋体"/>
          <w:sz w:val="21"/>
          <w:szCs w:val="21"/>
          <w:highlight w:val="none"/>
        </w:rPr>
        <w:t>1.4.</w:t>
      </w:r>
      <w:r>
        <w:rPr>
          <w:rFonts w:hint="eastAsia" w:hAnsi="宋体"/>
          <w:sz w:val="21"/>
          <w:szCs w:val="21"/>
          <w:highlight w:val="none"/>
        </w:rPr>
        <w:t>3</w:t>
      </w:r>
      <w:r>
        <w:rPr>
          <w:rFonts w:hAnsi="宋体"/>
          <w:sz w:val="21"/>
          <w:szCs w:val="21"/>
          <w:highlight w:val="none"/>
        </w:rPr>
        <w:t xml:space="preserve"> </w:t>
      </w:r>
      <w:r>
        <w:rPr>
          <w:rFonts w:hint="eastAsia" w:hAnsi="宋体"/>
          <w:sz w:val="21"/>
          <w:szCs w:val="21"/>
          <w:highlight w:val="none"/>
        </w:rPr>
        <w:t>供应商不得</w:t>
      </w:r>
      <w:r>
        <w:rPr>
          <w:rFonts w:hAnsi="宋体"/>
          <w:sz w:val="21"/>
          <w:szCs w:val="21"/>
          <w:highlight w:val="none"/>
        </w:rPr>
        <w:t>存在下列情形之一：</w:t>
      </w:r>
    </w:p>
    <w:p>
      <w:pPr>
        <w:pStyle w:val="188"/>
        <w:jc w:val="both"/>
        <w:rPr>
          <w:rFonts w:hAnsi="宋体" w:cs="宋体"/>
          <w:sz w:val="21"/>
          <w:szCs w:val="21"/>
          <w:highlight w:val="none"/>
        </w:rPr>
      </w:pPr>
      <w:r>
        <w:rPr>
          <w:rFonts w:hAnsi="宋体" w:cs="宋体"/>
          <w:sz w:val="21"/>
          <w:szCs w:val="21"/>
          <w:highlight w:val="none"/>
        </w:rPr>
        <w:t>（l）为</w:t>
      </w:r>
      <w:r>
        <w:rPr>
          <w:rFonts w:hint="eastAsia" w:hAnsi="宋体" w:cs="宋体"/>
          <w:sz w:val="21"/>
          <w:szCs w:val="21"/>
          <w:highlight w:val="none"/>
        </w:rPr>
        <w:t>采购人</w:t>
      </w:r>
      <w:r>
        <w:rPr>
          <w:rFonts w:hAnsi="宋体" w:cs="宋体"/>
          <w:sz w:val="21"/>
          <w:szCs w:val="21"/>
          <w:highlight w:val="none"/>
        </w:rPr>
        <w:t>的不具有独立法人资格的附属机构</w:t>
      </w:r>
      <w:r>
        <w:rPr>
          <w:rFonts w:hint="eastAsia" w:hAnsi="宋体" w:cs="宋体"/>
          <w:sz w:val="21"/>
          <w:szCs w:val="21"/>
          <w:highlight w:val="none"/>
        </w:rPr>
        <w:t>（</w:t>
      </w:r>
      <w:r>
        <w:rPr>
          <w:rFonts w:hAnsi="宋体" w:cs="宋体"/>
          <w:sz w:val="21"/>
          <w:szCs w:val="21"/>
          <w:highlight w:val="none"/>
        </w:rPr>
        <w:t>单位</w:t>
      </w:r>
      <w:r>
        <w:rPr>
          <w:rFonts w:hint="eastAsia" w:hAnsi="宋体" w:cs="宋体"/>
          <w:sz w:val="21"/>
          <w:szCs w:val="21"/>
          <w:highlight w:val="none"/>
        </w:rPr>
        <w:t>）</w:t>
      </w:r>
      <w:r>
        <w:rPr>
          <w:rFonts w:hAnsi="宋体" w:cs="宋体"/>
          <w:sz w:val="21"/>
          <w:szCs w:val="21"/>
          <w:highlight w:val="none"/>
        </w:rPr>
        <w:t>；</w:t>
      </w:r>
    </w:p>
    <w:p>
      <w:pPr>
        <w:pStyle w:val="188"/>
        <w:jc w:val="both"/>
        <w:rPr>
          <w:rFonts w:hAnsi="宋体" w:cs="宋体"/>
          <w:sz w:val="21"/>
          <w:szCs w:val="21"/>
          <w:highlight w:val="none"/>
        </w:rPr>
      </w:pPr>
      <w:r>
        <w:rPr>
          <w:rFonts w:hAnsi="宋体" w:cs="宋体"/>
          <w:sz w:val="21"/>
          <w:szCs w:val="21"/>
          <w:highlight w:val="none"/>
        </w:rPr>
        <w:t>（2）为本</w:t>
      </w:r>
      <w:r>
        <w:rPr>
          <w:rFonts w:hint="eastAsia" w:hAnsi="宋体" w:cs="宋体"/>
          <w:sz w:val="21"/>
          <w:szCs w:val="21"/>
          <w:highlight w:val="none"/>
        </w:rPr>
        <w:t>采购</w:t>
      </w:r>
      <w:r>
        <w:rPr>
          <w:rFonts w:hAnsi="宋体" w:cs="宋体"/>
          <w:sz w:val="21"/>
          <w:szCs w:val="21"/>
          <w:highlight w:val="none"/>
        </w:rPr>
        <w:t>项目前期准备提供设计</w:t>
      </w:r>
      <w:r>
        <w:rPr>
          <w:rFonts w:hint="eastAsia" w:hAnsi="宋体" w:cs="宋体"/>
          <w:sz w:val="21"/>
          <w:szCs w:val="21"/>
          <w:highlight w:val="none"/>
        </w:rPr>
        <w:t>或</w:t>
      </w:r>
      <w:r>
        <w:rPr>
          <w:rFonts w:hAnsi="宋体" w:cs="宋体"/>
          <w:sz w:val="21"/>
          <w:szCs w:val="21"/>
          <w:highlight w:val="none"/>
        </w:rPr>
        <w:t>咨询服务的；</w:t>
      </w:r>
    </w:p>
    <w:p>
      <w:pPr>
        <w:pStyle w:val="188"/>
        <w:jc w:val="both"/>
        <w:rPr>
          <w:rFonts w:hAnsi="宋体" w:cs="宋体"/>
          <w:sz w:val="21"/>
          <w:szCs w:val="21"/>
          <w:highlight w:val="none"/>
        </w:rPr>
      </w:pPr>
      <w:r>
        <w:rPr>
          <w:rFonts w:hAnsi="宋体" w:cs="宋体"/>
          <w:sz w:val="21"/>
          <w:szCs w:val="21"/>
          <w:highlight w:val="none"/>
        </w:rPr>
        <w:t>（3）为本</w:t>
      </w:r>
      <w:r>
        <w:rPr>
          <w:rFonts w:hint="eastAsia" w:hAnsi="宋体" w:cs="宋体"/>
          <w:sz w:val="21"/>
          <w:szCs w:val="21"/>
          <w:highlight w:val="none"/>
        </w:rPr>
        <w:t>采购</w:t>
      </w:r>
      <w:r>
        <w:rPr>
          <w:rFonts w:hAnsi="宋体" w:cs="宋体"/>
          <w:sz w:val="21"/>
          <w:szCs w:val="21"/>
          <w:highlight w:val="none"/>
        </w:rPr>
        <w:t>项目的监理人；</w:t>
      </w:r>
    </w:p>
    <w:p>
      <w:pPr>
        <w:pStyle w:val="188"/>
        <w:jc w:val="both"/>
        <w:rPr>
          <w:rFonts w:hAnsi="宋体" w:cs="宋体"/>
          <w:sz w:val="21"/>
          <w:szCs w:val="21"/>
          <w:highlight w:val="none"/>
        </w:rPr>
      </w:pPr>
      <w:r>
        <w:rPr>
          <w:rFonts w:hAnsi="宋体" w:cs="宋体"/>
          <w:sz w:val="21"/>
          <w:szCs w:val="21"/>
          <w:highlight w:val="none"/>
        </w:rPr>
        <w:t>（4）为本</w:t>
      </w:r>
      <w:r>
        <w:rPr>
          <w:rFonts w:hint="eastAsia" w:hAnsi="宋体" w:cs="宋体"/>
          <w:sz w:val="21"/>
          <w:szCs w:val="21"/>
          <w:highlight w:val="none"/>
        </w:rPr>
        <w:t>采购</w:t>
      </w:r>
      <w:r>
        <w:rPr>
          <w:rFonts w:hAnsi="宋体" w:cs="宋体"/>
          <w:sz w:val="21"/>
          <w:szCs w:val="21"/>
          <w:highlight w:val="none"/>
        </w:rPr>
        <w:t>项目的代建人；</w:t>
      </w:r>
    </w:p>
    <w:p>
      <w:pPr>
        <w:pStyle w:val="188"/>
        <w:jc w:val="both"/>
        <w:rPr>
          <w:rFonts w:hAnsi="宋体" w:cs="宋体"/>
          <w:sz w:val="21"/>
          <w:szCs w:val="21"/>
          <w:highlight w:val="none"/>
        </w:rPr>
      </w:pPr>
      <w:r>
        <w:rPr>
          <w:rFonts w:hAnsi="宋体" w:cs="宋体"/>
          <w:sz w:val="21"/>
          <w:szCs w:val="21"/>
          <w:highlight w:val="none"/>
        </w:rPr>
        <w:t>（5）与本</w:t>
      </w:r>
      <w:r>
        <w:rPr>
          <w:rFonts w:hint="eastAsia" w:hAnsi="宋体" w:cs="宋体"/>
          <w:sz w:val="21"/>
          <w:szCs w:val="21"/>
          <w:highlight w:val="none"/>
        </w:rPr>
        <w:t>采购</w:t>
      </w:r>
      <w:r>
        <w:rPr>
          <w:rFonts w:hAnsi="宋体" w:cs="宋体"/>
          <w:sz w:val="21"/>
          <w:szCs w:val="21"/>
          <w:highlight w:val="none"/>
        </w:rPr>
        <w:t>项目的监理人或代建人同为一个法定代表人的；</w:t>
      </w:r>
    </w:p>
    <w:p>
      <w:pPr>
        <w:pStyle w:val="188"/>
        <w:jc w:val="both"/>
        <w:rPr>
          <w:rFonts w:hAnsi="宋体" w:cs="宋体"/>
          <w:sz w:val="21"/>
          <w:szCs w:val="21"/>
          <w:highlight w:val="none"/>
        </w:rPr>
      </w:pPr>
      <w:r>
        <w:rPr>
          <w:rFonts w:hAnsi="宋体" w:cs="宋体"/>
          <w:sz w:val="21"/>
          <w:szCs w:val="21"/>
          <w:highlight w:val="none"/>
        </w:rPr>
        <w:t>（6）与本</w:t>
      </w:r>
      <w:r>
        <w:rPr>
          <w:rFonts w:hint="eastAsia" w:hAnsi="宋体" w:cs="宋体"/>
          <w:sz w:val="21"/>
          <w:szCs w:val="21"/>
          <w:highlight w:val="none"/>
        </w:rPr>
        <w:t>采购</w:t>
      </w:r>
      <w:r>
        <w:rPr>
          <w:rFonts w:hAnsi="宋体" w:cs="宋体"/>
          <w:sz w:val="21"/>
          <w:szCs w:val="21"/>
          <w:highlight w:val="none"/>
        </w:rPr>
        <w:t>项目的监理人或代建人相互控股或参股的；</w:t>
      </w:r>
    </w:p>
    <w:p>
      <w:pPr>
        <w:pStyle w:val="188"/>
        <w:jc w:val="both"/>
        <w:rPr>
          <w:rFonts w:hAnsi="宋体" w:cs="宋体"/>
          <w:sz w:val="21"/>
          <w:szCs w:val="21"/>
          <w:highlight w:val="none"/>
        </w:rPr>
      </w:pPr>
      <w:r>
        <w:rPr>
          <w:rFonts w:hAnsi="宋体" w:cs="宋体"/>
          <w:sz w:val="21"/>
          <w:szCs w:val="21"/>
          <w:highlight w:val="none"/>
        </w:rPr>
        <w:t>（7）与本</w:t>
      </w:r>
      <w:r>
        <w:rPr>
          <w:rFonts w:hint="eastAsia" w:hAnsi="宋体" w:cs="宋体"/>
          <w:sz w:val="21"/>
          <w:szCs w:val="21"/>
          <w:highlight w:val="none"/>
        </w:rPr>
        <w:t>采购</w:t>
      </w:r>
      <w:r>
        <w:rPr>
          <w:rFonts w:hAnsi="宋体" w:cs="宋体"/>
          <w:sz w:val="21"/>
          <w:szCs w:val="21"/>
          <w:highlight w:val="none"/>
        </w:rPr>
        <w:t>项目的监理人或代建人相互任职或工作的；</w:t>
      </w:r>
    </w:p>
    <w:p>
      <w:pPr>
        <w:pStyle w:val="188"/>
        <w:jc w:val="both"/>
        <w:rPr>
          <w:rFonts w:hAnsi="宋体" w:cs="宋体"/>
          <w:sz w:val="21"/>
          <w:szCs w:val="21"/>
          <w:highlight w:val="none"/>
        </w:rPr>
      </w:pPr>
      <w:r>
        <w:rPr>
          <w:rFonts w:hAnsi="宋体" w:cs="宋体"/>
          <w:sz w:val="21"/>
          <w:szCs w:val="21"/>
          <w:highlight w:val="none"/>
        </w:rPr>
        <w:t>（8）被责令停业的；</w:t>
      </w:r>
    </w:p>
    <w:p>
      <w:pPr>
        <w:pStyle w:val="188"/>
        <w:jc w:val="both"/>
        <w:rPr>
          <w:rFonts w:hAnsi="宋体" w:cs="宋体"/>
          <w:sz w:val="21"/>
          <w:szCs w:val="21"/>
          <w:highlight w:val="none"/>
        </w:rPr>
      </w:pPr>
      <w:r>
        <w:rPr>
          <w:rFonts w:hAnsi="宋体" w:cs="宋体"/>
          <w:sz w:val="21"/>
          <w:szCs w:val="21"/>
          <w:highlight w:val="none"/>
        </w:rPr>
        <w:t>（9）</w:t>
      </w:r>
      <w:r>
        <w:rPr>
          <w:rFonts w:hint="eastAsia" w:hAnsi="宋体" w:cs="宋体"/>
          <w:sz w:val="21"/>
          <w:szCs w:val="21"/>
          <w:highlight w:val="none"/>
        </w:rPr>
        <w:t>与采购人存在利害关系可能影响采购公正性的法人、其他组织或者个人；</w:t>
      </w:r>
    </w:p>
    <w:p>
      <w:pPr>
        <w:pStyle w:val="188"/>
        <w:jc w:val="both"/>
        <w:rPr>
          <w:rFonts w:hAnsi="宋体" w:cs="宋体"/>
          <w:sz w:val="21"/>
          <w:szCs w:val="21"/>
          <w:highlight w:val="none"/>
        </w:rPr>
      </w:pPr>
      <w:r>
        <w:rPr>
          <w:rFonts w:hint="eastAsia" w:hAnsi="宋体" w:cs="宋体"/>
          <w:sz w:val="21"/>
          <w:szCs w:val="21"/>
          <w:highlight w:val="none"/>
        </w:rPr>
        <w:t>（</w:t>
      </w:r>
      <w:r>
        <w:rPr>
          <w:rFonts w:hAnsi="宋体" w:cs="宋体"/>
          <w:sz w:val="21"/>
          <w:szCs w:val="21"/>
          <w:highlight w:val="none"/>
        </w:rPr>
        <w:t>10</w:t>
      </w:r>
      <w:r>
        <w:rPr>
          <w:rFonts w:hint="eastAsia" w:hAnsi="宋体" w:cs="宋体"/>
          <w:sz w:val="21"/>
          <w:szCs w:val="21"/>
          <w:highlight w:val="none"/>
        </w:rPr>
        <w:t>）单位负责人为同一人或者存在控股、管理关系的不同单位参加同一标段或者未划分标段的同一采购项目投标的；</w:t>
      </w:r>
    </w:p>
    <w:p>
      <w:pPr>
        <w:pStyle w:val="188"/>
        <w:jc w:val="both"/>
        <w:rPr>
          <w:rFonts w:hAnsi="宋体" w:cs="宋体"/>
          <w:sz w:val="21"/>
          <w:szCs w:val="21"/>
          <w:highlight w:val="none"/>
        </w:rPr>
      </w:pPr>
      <w:r>
        <w:rPr>
          <w:rFonts w:hAnsi="宋体" w:cs="宋体"/>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竞争性采购最高限价</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（另册）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0" w:name="_Toc22778"/>
      <w:bookmarkStart w:id="11" w:name="_Toc30984"/>
      <w:bookmarkStart w:id="12" w:name="_Toc6078"/>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0"/>
      <w:bookmarkEnd w:id="11"/>
      <w:bookmarkEnd w:id="12"/>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（1）竞争性采购响应函</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）分项报价表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7</w:t>
      </w:r>
      <w:r>
        <w:rPr>
          <w:rFonts w:hint="eastAsia" w:ascii="宋体" w:hAnsi="宋体" w:eastAsia="宋体" w:cs="Times New Roman"/>
          <w:color w:val="auto"/>
          <w:kern w:val="2"/>
          <w:sz w:val="21"/>
          <w:szCs w:val="21"/>
          <w:highlight w:val="none"/>
          <w:lang w:val="en-US" w:eastAsia="zh-CN" w:bidi="ar-SA"/>
        </w:rPr>
        <w:t>）其他资料（如有）</w:t>
      </w:r>
    </w:p>
    <w:p>
      <w:pPr>
        <w:pStyle w:val="188"/>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3.2 报价</w:t>
      </w:r>
    </w:p>
    <w:p>
      <w:pPr>
        <w:pStyle w:val="188"/>
        <w:jc w:val="both"/>
        <w:rPr>
          <w:color w:val="auto"/>
          <w:sz w:val="21"/>
          <w:szCs w:val="21"/>
          <w:highlight w:val="none"/>
          <w:shd w:val="clear" w:color="auto" w:fill="FFFFFF"/>
        </w:rPr>
      </w:pPr>
      <w:r>
        <w:rPr>
          <w:rFonts w:hint="eastAsia" w:hAnsi="宋体"/>
          <w:color w:val="auto"/>
          <w:sz w:val="21"/>
          <w:szCs w:val="21"/>
          <w:highlight w:val="none"/>
        </w:rPr>
        <w:t>3.2.1</w:t>
      </w:r>
      <w:r>
        <w:rPr>
          <w:rFonts w:hint="eastAsia"/>
          <w:color w:val="auto"/>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0"/>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3.2.2供应商须按照</w:t>
      </w:r>
      <w:r>
        <w:rPr>
          <w:rFonts w:hint="eastAsia"/>
          <w:color w:val="auto"/>
          <w:sz w:val="21"/>
          <w:szCs w:val="21"/>
          <w:highlight w:val="none"/>
          <w:shd w:val="clear" w:color="auto" w:fill="FFFFFF"/>
        </w:rPr>
        <w:t>本项目采购文件及“</w:t>
      </w:r>
      <w:r>
        <w:rPr>
          <w:rFonts w:hint="eastAsia"/>
          <w:b/>
          <w:bCs/>
          <w:color w:val="auto"/>
          <w:sz w:val="21"/>
          <w:szCs w:val="21"/>
          <w:highlight w:val="none"/>
          <w:lang w:eastAsia="zh-CN"/>
        </w:rPr>
        <w:t>用户需求书</w:t>
      </w:r>
      <w:r>
        <w:rPr>
          <w:rFonts w:hint="eastAsia"/>
          <w:color w:val="auto"/>
          <w:sz w:val="21"/>
          <w:szCs w:val="21"/>
          <w:highlight w:val="none"/>
        </w:rPr>
        <w:t>”内容</w:t>
      </w:r>
      <w:r>
        <w:rPr>
          <w:rFonts w:hint="eastAsia"/>
          <w:color w:val="auto"/>
          <w:sz w:val="21"/>
          <w:szCs w:val="21"/>
          <w:highlight w:val="none"/>
          <w:shd w:val="clear" w:color="auto" w:fill="FFFFFF"/>
          <w:lang w:bidi="ar"/>
        </w:rPr>
        <w:t>进行报价。其中，所报单价及总价均不得超过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，不超过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的报价方为有效报价。</w:t>
      </w:r>
      <w:r>
        <w:rPr>
          <w:rFonts w:hint="eastAsia"/>
          <w:color w:val="auto"/>
          <w:sz w:val="21"/>
          <w:szCs w:val="21"/>
          <w:highlight w:val="none"/>
          <w:lang w:eastAsia="zh-CN"/>
        </w:rPr>
        <w:t>最高限价</w:t>
      </w:r>
      <w:r>
        <w:rPr>
          <w:color w:val="auto"/>
          <w:sz w:val="21"/>
          <w:szCs w:val="21"/>
          <w:highlight w:val="none"/>
        </w:rPr>
        <w:t>在</w:t>
      </w:r>
      <w:r>
        <w:rPr>
          <w:rFonts w:hint="eastAsia"/>
          <w:color w:val="auto"/>
          <w:sz w:val="21"/>
          <w:szCs w:val="21"/>
          <w:highlight w:val="none"/>
        </w:rPr>
        <w:t>竞争性采购</w:t>
      </w:r>
      <w:r>
        <w:rPr>
          <w:color w:val="auto"/>
          <w:sz w:val="21"/>
          <w:szCs w:val="21"/>
          <w:highlight w:val="none"/>
        </w:rPr>
        <w:t>须知前附表中载明。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3.2.3本项目以不含增值税总报价进行评审。供应商报价需满足“不含增值税总报价+税费=含增值税总报价”“税费=不含增值税总报价*税率”“不含增值税合价=不含增值税单价x数量”，否则视为无效报价。</w:t>
      </w:r>
    </w:p>
    <w:p>
      <w:pPr>
        <w:pStyle w:val="40"/>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3.2.4</w:t>
      </w:r>
      <w:r>
        <w:rPr>
          <w:rFonts w:hint="eastAsia"/>
          <w:color w:val="auto"/>
          <w:sz w:val="21"/>
          <w:szCs w:val="21"/>
          <w:highlight w:val="none"/>
        </w:rPr>
        <w:t>总</w:t>
      </w:r>
      <w:r>
        <w:rPr>
          <w:color w:val="auto"/>
          <w:sz w:val="21"/>
          <w:szCs w:val="21"/>
          <w:highlight w:val="none"/>
        </w:rPr>
        <w:t>报价为各分项报价金额之和，</w:t>
      </w:r>
      <w:r>
        <w:rPr>
          <w:rFonts w:hint="eastAsia"/>
          <w:color w:val="auto"/>
          <w:sz w:val="21"/>
          <w:szCs w:val="21"/>
          <w:highlight w:val="none"/>
        </w:rPr>
        <w:t>总</w:t>
      </w:r>
      <w:r>
        <w:rPr>
          <w:color w:val="auto"/>
          <w:sz w:val="21"/>
          <w:szCs w:val="21"/>
          <w:highlight w:val="none"/>
        </w:rPr>
        <w:t>报价与分项报价的合价不一致的，应以各分项合价累计数为准，修正</w:t>
      </w:r>
      <w:r>
        <w:rPr>
          <w:rFonts w:hint="eastAsia"/>
          <w:color w:val="auto"/>
          <w:sz w:val="21"/>
          <w:szCs w:val="21"/>
          <w:highlight w:val="none"/>
        </w:rPr>
        <w:t>总</w:t>
      </w:r>
      <w:r>
        <w:rPr>
          <w:color w:val="auto"/>
          <w:sz w:val="21"/>
          <w:szCs w:val="21"/>
          <w:highlight w:val="none"/>
        </w:rPr>
        <w:t>报价；如分项报价中存在缺漏项，则视为缺漏项价格已包含在其他分项报价之中；如分项报价中存在直接填写为零的情况，则视为其价格已包含在其他分项报价之中。</w:t>
      </w:r>
    </w:p>
    <w:p>
      <w:pPr>
        <w:pStyle w:val="40"/>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3.2.5“单价”“合价”“总价”均是包含了所有隐含的管理费、税金和利润等其他费用的报价。</w:t>
      </w:r>
    </w:p>
    <w:p>
      <w:pPr>
        <w:pStyle w:val="40"/>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3.2.6所有报价保留小数点后两位，小数点后第三位“四舍五入”，单位为元。</w:t>
      </w:r>
    </w:p>
    <w:p>
      <w:pPr>
        <w:pStyle w:val="40"/>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color w:val="auto"/>
          <w:sz w:val="21"/>
          <w:szCs w:val="21"/>
          <w:highlight w:val="none"/>
          <w:shd w:val="clear" w:color="auto" w:fill="FFFFFF"/>
          <w:lang w:eastAsia="zh-CN" w:bidi="ar"/>
        </w:rPr>
        <w:t>运营</w:t>
      </w:r>
      <w:r>
        <w:rPr>
          <w:rFonts w:hint="eastAsia"/>
          <w:color w:val="auto"/>
          <w:sz w:val="21"/>
          <w:szCs w:val="21"/>
          <w:highlight w:val="none"/>
          <w:shd w:val="clear" w:color="auto" w:fill="FFFFFF"/>
          <w:lang w:bidi="ar"/>
        </w:rPr>
        <w:t>有限公司审核为准。</w:t>
      </w:r>
    </w:p>
    <w:p>
      <w:pPr>
        <w:pStyle w:val="188"/>
        <w:ind w:firstLine="420" w:firstLineChars="200"/>
        <w:jc w:val="both"/>
        <w:rPr>
          <w:rFonts w:hint="eastAsia" w:hAnsi="宋体"/>
          <w:b/>
          <w:bCs/>
          <w:color w:val="000000" w:themeColor="text1"/>
          <w:sz w:val="21"/>
          <w:szCs w:val="21"/>
          <w:highlight w:val="none"/>
          <w14:textFill>
            <w14:solidFill>
              <w14:schemeClr w14:val="tx1"/>
            </w14:solidFill>
          </w14:textFill>
        </w:rPr>
      </w:pPr>
      <w:r>
        <w:rPr>
          <w:rFonts w:hint="eastAsia"/>
          <w:color w:val="auto"/>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lang w:val="en-US" w:eastAsia="zh-CN"/>
          <w14:textFill>
            <w14:solidFill>
              <w14:schemeClr w14:val="tx1"/>
            </w14:solidFill>
          </w14:textFill>
        </w:rPr>
        <w:t xml:space="preserve">3.3 </w:t>
      </w:r>
      <w:r>
        <w:rPr>
          <w:rFonts w:hint="eastAsia" w:hAnsi="宋体"/>
          <w:b/>
          <w:bCs/>
          <w:color w:val="000000" w:themeColor="text1"/>
          <w:sz w:val="21"/>
          <w:szCs w:val="21"/>
          <w:highlight w:val="none"/>
          <w14:textFill>
            <w14:solidFill>
              <w14:schemeClr w14:val="tx1"/>
            </w14:solidFill>
          </w14:textFill>
        </w:rPr>
        <w:t>响应文件有效期</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3</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int="eastAsia" w:hAnsi="宋体"/>
          <w:sz w:val="21"/>
          <w:szCs w:val="21"/>
          <w:highlight w:val="none"/>
        </w:rPr>
        <w:t>，其采购</w:t>
      </w:r>
      <w:r>
        <w:rPr>
          <w:rFonts w:hAnsi="宋体"/>
          <w:sz w:val="21"/>
          <w:szCs w:val="21"/>
          <w:highlight w:val="none"/>
        </w:rPr>
        <w:t>活动失效</w:t>
      </w:r>
      <w:r>
        <w:rPr>
          <w:rFonts w:hint="eastAsia" w:hAnsi="宋体"/>
          <w:sz w:val="21"/>
          <w:szCs w:val="21"/>
          <w:highlight w:val="none"/>
        </w:rPr>
        <w:t>，供应</w:t>
      </w:r>
      <w:r>
        <w:rPr>
          <w:rFonts w:hAnsi="宋体"/>
          <w:sz w:val="21"/>
          <w:szCs w:val="21"/>
          <w:highlight w:val="none"/>
        </w:rPr>
        <w:t>商</w:t>
      </w:r>
      <w:r>
        <w:rPr>
          <w:rFonts w:hint="eastAsia" w:hAnsi="宋体"/>
          <w:color w:val="000000" w:themeColor="text1"/>
          <w:sz w:val="21"/>
          <w:szCs w:val="21"/>
          <w:highlight w:val="none"/>
          <w14:textFill>
            <w14:solidFill>
              <w14:schemeClr w14:val="tx1"/>
            </w14:solidFill>
          </w14:textFill>
        </w:rPr>
        <w:t>有权收回其竞争性采购保证金。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 xml:space="preserve"> 竞争性采购保证金</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.2供应商不按本章</w:t>
      </w:r>
      <w:r>
        <w:rPr>
          <w:rFonts w:hint="eastAsia" w:hAnsi="宋体"/>
          <w:b/>
          <w:bCs/>
          <w:color w:val="000000" w:themeColor="text1"/>
          <w:sz w:val="21"/>
          <w:szCs w:val="21"/>
          <w:highlight w:val="none"/>
          <w14:textFill>
            <w14:solidFill>
              <w14:schemeClr w14:val="tx1"/>
            </w14:solidFill>
          </w14:textFill>
        </w:rPr>
        <w:t>第3.</w:t>
      </w:r>
      <w:r>
        <w:rPr>
          <w:rFonts w:hint="eastAsia" w:hAnsi="宋体"/>
          <w:b/>
          <w:bCs/>
          <w:color w:val="000000" w:themeColor="text1"/>
          <w:sz w:val="21"/>
          <w:szCs w:val="21"/>
          <w:highlight w:val="none"/>
          <w:lang w:val="en-US" w:eastAsia="zh-CN"/>
          <w14:textFill>
            <w14:solidFill>
              <w14:schemeClr w14:val="tx1"/>
            </w14:solidFill>
          </w14:textFill>
        </w:rPr>
        <w:t>4</w:t>
      </w:r>
      <w:r>
        <w:rPr>
          <w:rFonts w:hint="eastAsia" w:hAnsi="宋体"/>
          <w:b/>
          <w:bCs/>
          <w:color w:val="000000" w:themeColor="text1"/>
          <w:sz w:val="21"/>
          <w:szCs w:val="21"/>
          <w:highlight w:val="none"/>
          <w14:textFill>
            <w14:solidFill>
              <w14:schemeClr w14:val="tx1"/>
            </w14:solidFill>
          </w14:textFill>
        </w:rPr>
        <w:t>.1项</w:t>
      </w:r>
      <w:r>
        <w:rPr>
          <w:rFonts w:hint="eastAsia" w:hAnsi="宋体"/>
          <w:color w:val="000000" w:themeColor="text1"/>
          <w:sz w:val="21"/>
          <w:szCs w:val="21"/>
          <w:highlight w:val="none"/>
          <w14:textFill>
            <w14:solidFill>
              <w14:schemeClr w14:val="tx1"/>
            </w14:solidFill>
          </w14:textFill>
        </w:rPr>
        <w:t>要求提交竞争性采购保证金的，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8"/>
        <w:jc w:val="both"/>
        <w:rPr>
          <w:highlight w:val="none"/>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备选响应方案</w:t>
      </w:r>
    </w:p>
    <w:p>
      <w:pPr>
        <w:pStyle w:val="92"/>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3.4.1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.1响应文件应按</w:t>
      </w:r>
      <w:r>
        <w:rPr>
          <w:rFonts w:hint="eastAsia" w:ascii="宋体" w:hAnsi="宋体" w:cs="宋体"/>
          <w:b/>
          <w:bCs/>
          <w:color w:val="000000" w:themeColor="text1"/>
          <w:szCs w:val="21"/>
          <w:highlight w:val="none"/>
          <w14:textFill>
            <w14:solidFill>
              <w14:schemeClr w14:val="tx1"/>
            </w14:solidFill>
          </w14:textFill>
        </w:rPr>
        <w:t>第六章“响应文件格式”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8"/>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8"/>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 xml:space="preserve">7.2.2 </w:t>
      </w:r>
      <w:r>
        <w:rPr>
          <w:rFonts w:hint="default" w:ascii="Times New Roman" w:hAnsi="Times New Roman" w:eastAsia="宋体" w:cs="Times New Roman"/>
          <w:color w:val="auto"/>
          <w:kern w:val="2"/>
          <w:sz w:val="21"/>
          <w:szCs w:val="21"/>
          <w:lang w:val="en-US" w:eastAsia="zh-CN" w:bidi="ar-SA"/>
        </w:rPr>
        <w:t>全部评审结束后，若出现报价得分相同的情形，则采用现场抽签方式确定成交候选人。</w:t>
      </w:r>
    </w:p>
    <w:p>
      <w:pPr>
        <w:pStyle w:val="188"/>
        <w:ind w:left="0" w:leftChars="0" w:firstLine="420" w:firstLineChars="200"/>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w:t>
      </w:r>
      <w:r>
        <w:rPr>
          <w:rFonts w:hint="eastAsia" w:hAnsi="宋体"/>
          <w:color w:val="000000" w:themeColor="text1"/>
          <w:sz w:val="21"/>
          <w:szCs w:val="21"/>
          <w:highlight w:val="none"/>
          <w:lang w:val="en-US" w:eastAsia="zh-CN"/>
          <w14:textFill>
            <w14:solidFill>
              <w14:schemeClr w14:val="tx1"/>
            </w14:solidFill>
          </w14:textFill>
        </w:rPr>
        <w:t>3</w:t>
      </w:r>
      <w:r>
        <w:rPr>
          <w:rFonts w:hint="eastAsia" w:hAnsi="宋体"/>
          <w:sz w:val="21"/>
          <w:szCs w:val="21"/>
          <w:highlight w:val="none"/>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pPr>
        <w:pStyle w:val="188"/>
        <w:ind w:firstLine="0"/>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4" w:name="page31"/>
      <w:bookmarkEnd w:id="14"/>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14:textFill>
            <w14:solidFill>
              <w14:schemeClr w14:val="tx1"/>
            </w14:solidFill>
          </w14:textFill>
        </w:rPr>
        <w:t>竞争性采购保证金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14:textFill>
            <w14:solidFill>
              <w14:schemeClr w14:val="tx1"/>
            </w14:solidFill>
          </w14:textFill>
        </w:rPr>
        <w:t>竞争性采购保证金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hAnsi="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hAnsi="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0"/>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8"/>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8"/>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8"/>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8"/>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8"/>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8"/>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8"/>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8"/>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headerReference r:id="rId6" w:type="default"/>
          <w:footerReference r:id="rId7" w:type="default"/>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highlight w:val="none"/>
        </w:rPr>
      </w:pPr>
      <w:r>
        <w:rPr>
          <w:rFonts w:hAnsi="宋体" w:cs="宋体"/>
          <w:sz w:val="21"/>
          <w:szCs w:val="21"/>
          <w:highlight w:val="none"/>
        </w:rPr>
        <w:t>8</w:t>
      </w:r>
      <w:r>
        <w:rPr>
          <w:rFonts w:hint="eastAsia" w:hAnsi="宋体" w:cs="宋体"/>
          <w:sz w:val="21"/>
          <w:szCs w:val="21"/>
          <w:highlight w:val="none"/>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rPr>
        <w:t>9.法律法规中规定的其他情形。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5" w:name="_Toc3540"/>
      <w:bookmarkStart w:id="16" w:name="_Toc4847"/>
      <w:bookmarkStart w:id="17" w:name="_Toc24493"/>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5"/>
      <w:bookmarkEnd w:id="16"/>
      <w:bookmarkEnd w:id="17"/>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5"/>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ascii="宋体" w:hAnsi="宋体" w:cs="宋体"/>
                <w:szCs w:val="21"/>
                <w:highlight w:val="none"/>
              </w:rPr>
            </w:pPr>
            <w:r>
              <w:rPr>
                <w:rFonts w:hint="eastAsia" w:ascii="宋体" w:hAnsi="宋体" w:cs="宋体"/>
                <w:szCs w:val="21"/>
                <w:highlight w:val="none"/>
              </w:rPr>
              <w:t>同一供应商未提交两份以上不同内容的响应文件，但采购文件要求提交备选响应文件的除外。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ascii="宋体" w:hAnsi="宋体" w:cs="宋体"/>
                <w:szCs w:val="21"/>
                <w:highlight w:val="none"/>
              </w:rPr>
            </w:pPr>
            <w:r>
              <w:rPr>
                <w:rFonts w:hint="eastAsia" w:ascii="宋体" w:hAnsi="宋体" w:cs="宋体"/>
                <w:szCs w:val="21"/>
                <w:highlight w:val="none"/>
              </w:rPr>
              <w:t>同一供应商未提交两份以上不同内容的</w:t>
            </w:r>
            <w:r>
              <w:rPr>
                <w:rFonts w:hint="eastAsia" w:ascii="宋体" w:hAnsi="宋体" w:cs="宋体"/>
                <w:szCs w:val="21"/>
                <w:highlight w:val="none"/>
                <w:lang w:val="en-US" w:eastAsia="zh-CN"/>
              </w:rPr>
              <w:t>报价</w:t>
            </w:r>
            <w:r>
              <w:rPr>
                <w:rFonts w:hint="eastAsia" w:ascii="宋体" w:hAnsi="宋体" w:cs="宋体"/>
                <w:szCs w:val="21"/>
                <w:highlight w:val="none"/>
              </w:rPr>
              <w:t>，但采购文件要求提交备选</w:t>
            </w:r>
            <w:r>
              <w:rPr>
                <w:rFonts w:hint="eastAsia" w:ascii="宋体" w:hAnsi="宋体" w:cs="宋体"/>
                <w:szCs w:val="21"/>
                <w:highlight w:val="none"/>
                <w:lang w:val="en-US" w:eastAsia="zh-CN"/>
              </w:rPr>
              <w:t>报价</w:t>
            </w:r>
            <w:r>
              <w:rPr>
                <w:rFonts w:hint="eastAsia" w:ascii="宋体" w:hAnsi="宋体" w:cs="宋体"/>
                <w:szCs w:val="21"/>
                <w:highlight w:val="none"/>
              </w:rPr>
              <w:t>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资格要求</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w:t>
            </w:r>
            <w:r>
              <w:rPr>
                <w:rFonts w:hint="eastAsia" w:ascii="宋体" w:hAnsi="宋体" w:cs="宋体"/>
                <w:color w:val="000000" w:themeColor="text1"/>
                <w:szCs w:val="21"/>
                <w:highlight w:val="none"/>
                <w:lang w:val="en-US" w:eastAsia="zh-CN"/>
                <w14:textFill>
                  <w14:solidFill>
                    <w14:schemeClr w14:val="tx1"/>
                  </w14:solidFill>
                </w14:textFill>
              </w:rPr>
              <w:t>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p>
        </w:tc>
        <w:tc>
          <w:tcPr>
            <w:tcW w:w="8866" w:type="dxa"/>
            <w:gridSpan w:val="3"/>
            <w:vAlign w:val="center"/>
          </w:tcPr>
          <w:p>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详细</w:t>
            </w:r>
            <w:r>
              <w:rPr>
                <w:rFonts w:hint="eastAsia" w:ascii="宋体" w:hAnsi="宋体" w:cs="宋体"/>
                <w:color w:val="auto"/>
                <w:szCs w:val="21"/>
                <w:highlight w:val="none"/>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auto"/>
                <w:szCs w:val="21"/>
                <w:highlight w:val="none"/>
                <w:lang w:val="en-US" w:eastAsia="zh-CN"/>
              </w:rPr>
            </w:pPr>
          </w:p>
        </w:tc>
        <w:tc>
          <w:tcPr>
            <w:tcW w:w="2343" w:type="dxa"/>
            <w:gridSpan w:val="2"/>
            <w:vAlign w:val="center"/>
          </w:tcPr>
          <w:p>
            <w:pPr>
              <w:spacing w:line="3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报价</w:t>
            </w:r>
            <w:r>
              <w:rPr>
                <w:rFonts w:hint="eastAsia" w:ascii="宋体" w:hAnsi="宋体"/>
                <w:color w:val="auto"/>
                <w:szCs w:val="21"/>
                <w:highlight w:val="none"/>
                <w:lang w:val="en-US" w:eastAsia="zh-CN"/>
              </w:rPr>
              <w:t>部分</w:t>
            </w:r>
          </w:p>
        </w:tc>
        <w:tc>
          <w:tcPr>
            <w:tcW w:w="6523" w:type="dxa"/>
            <w:vAlign w:val="center"/>
          </w:tcPr>
          <w:p>
            <w:pPr>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评审小组应按以下要求对</w:t>
            </w:r>
            <w:r>
              <w:rPr>
                <w:rFonts w:hint="eastAsia" w:ascii="宋体" w:hAnsi="宋体" w:cs="宋体"/>
                <w:color w:val="auto"/>
                <w:szCs w:val="21"/>
                <w:highlight w:val="none"/>
                <w:lang w:eastAsia="zh-CN"/>
              </w:rPr>
              <w:t>经符合性审查合格</w:t>
            </w:r>
            <w:r>
              <w:rPr>
                <w:rFonts w:hint="eastAsia" w:ascii="宋体" w:hAnsi="宋体" w:cs="宋体"/>
                <w:color w:val="auto"/>
                <w:szCs w:val="21"/>
                <w:highlight w:val="none"/>
                <w:lang w:val="en-US" w:eastAsia="zh-CN"/>
              </w:rPr>
              <w:t>（第三章第2.1.1项、第2.1.2项、第2.1.3项规定）</w:t>
            </w:r>
            <w:r>
              <w:rPr>
                <w:rFonts w:hint="eastAsia" w:ascii="宋体" w:hAnsi="宋体" w:cs="宋体"/>
                <w:color w:val="auto"/>
                <w:szCs w:val="21"/>
                <w:highlight w:val="none"/>
                <w:lang w:eastAsia="zh-CN"/>
              </w:rPr>
              <w:t>的供应商进行详细评审：</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（1）以经</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评审小组一致认定满足《竞争性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文件》要求且</w:t>
            </w:r>
            <w:bookmarkStart w:id="18" w:name="_Hlk70673845"/>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w:t>
            </w:r>
            <w:bookmarkEnd w:id="18"/>
            <w:r>
              <w:rPr>
                <w:rFonts w:hint="eastAsia" w:ascii="宋体" w:hAnsi="宋体" w:cs="宋体"/>
                <w:color w:val="auto"/>
                <w:szCs w:val="21"/>
                <w:highlight w:val="none"/>
              </w:rPr>
              <w:t>最低的报价为基准价，其得分为满分。</w:t>
            </w:r>
          </w:p>
          <w:p>
            <w:pPr>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（2）其他有效单位的得分统一按下列公式计算（保留2位小数，第3位四舍五入）：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得分=(基准价／</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不含增值税总报价)×100</w:t>
            </w:r>
            <w:r>
              <w:rPr>
                <w:rFonts w:hint="eastAsia" w:ascii="宋体" w:hAnsi="宋体" w:cs="宋体"/>
                <w:color w:val="auto"/>
                <w:szCs w:val="21"/>
                <w:highlight w:val="none"/>
                <w:lang w:eastAsia="zh-CN"/>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rPr>
          <w:rFonts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auto"/>
          <w:szCs w:val="21"/>
          <w:highlight w:val="none"/>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2.2 详细评审标准</w:t>
      </w:r>
    </w:p>
    <w:p>
      <w:pPr>
        <w:pStyle w:val="188"/>
        <w:rPr>
          <w:color w:val="auto"/>
          <w:highlight w:val="none"/>
        </w:rPr>
      </w:pPr>
      <w:r>
        <w:rPr>
          <w:rFonts w:hAnsi="宋体"/>
          <w:color w:val="auto"/>
          <w:sz w:val="21"/>
          <w:szCs w:val="21"/>
          <w:highlight w:val="none"/>
        </w:rPr>
        <w:t>2.</w:t>
      </w:r>
      <w:r>
        <w:rPr>
          <w:rFonts w:hint="eastAsia" w:hAnsi="宋体"/>
          <w:color w:val="auto"/>
          <w:sz w:val="21"/>
          <w:szCs w:val="21"/>
          <w:highlight w:val="none"/>
          <w:lang w:val="en-US" w:eastAsia="zh-CN"/>
        </w:rPr>
        <w:t>2.1详细</w:t>
      </w:r>
      <w:r>
        <w:rPr>
          <w:rFonts w:hAnsi="宋体"/>
          <w:color w:val="auto"/>
          <w:sz w:val="21"/>
          <w:szCs w:val="21"/>
          <w:highlight w:val="none"/>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14:textFill>
            <w14:solidFill>
              <w14:schemeClr w14:val="tx1"/>
            </w14:solidFill>
          </w14:textFill>
        </w:rPr>
        <w:t>用户需求书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w:t>
      </w: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 xml:space="preserve">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规定规定的评审因素和标准进行评审计分，并计算出评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8"/>
        <w:rPr>
          <w:rFonts w:hAnsi="宋体"/>
          <w:color w:val="000000" w:themeColor="text1"/>
          <w:sz w:val="21"/>
          <w:szCs w:val="21"/>
          <w:highlight w:val="none"/>
          <w14:textFill>
            <w14:solidFill>
              <w14:schemeClr w14:val="tx1"/>
            </w14:solidFill>
          </w14:textFill>
        </w:rPr>
      </w:pPr>
      <w:r>
        <w:rPr>
          <w:rFonts w:hAnsi="宋体"/>
          <w:color w:val="auto"/>
          <w:sz w:val="21"/>
          <w:szCs w:val="21"/>
          <w:highlight w:val="none"/>
        </w:rPr>
        <w:t>按本章第2.2.</w:t>
      </w:r>
      <w:r>
        <w:rPr>
          <w:rFonts w:hint="eastAsia" w:hAnsi="宋体"/>
          <w:color w:val="auto"/>
          <w:sz w:val="21"/>
          <w:szCs w:val="21"/>
          <w:highlight w:val="none"/>
          <w:lang w:val="en-US" w:eastAsia="zh-CN"/>
        </w:rPr>
        <w:t>1</w:t>
      </w:r>
      <w:r>
        <w:rPr>
          <w:rFonts w:hAnsi="宋体"/>
          <w:color w:val="auto"/>
          <w:sz w:val="21"/>
          <w:szCs w:val="21"/>
          <w:highlight w:val="none"/>
        </w:rPr>
        <w:t>规定的评审因素和</w:t>
      </w:r>
      <w:r>
        <w:rPr>
          <w:rFonts w:hint="eastAsia" w:hAnsi="宋体"/>
          <w:color w:val="auto"/>
          <w:sz w:val="21"/>
          <w:szCs w:val="21"/>
          <w:highlight w:val="none"/>
          <w:lang w:val="en-US" w:eastAsia="zh-CN"/>
        </w:rPr>
        <w:t>评审</w:t>
      </w:r>
      <w:r>
        <w:rPr>
          <w:rFonts w:hint="eastAsia" w:hAnsi="宋体"/>
          <w:color w:val="auto"/>
          <w:sz w:val="21"/>
          <w:szCs w:val="21"/>
          <w:highlight w:val="none"/>
        </w:rPr>
        <w:t>标准</w:t>
      </w:r>
      <w:r>
        <w:rPr>
          <w:rFonts w:hAnsi="宋体"/>
          <w:color w:val="auto"/>
          <w:sz w:val="21"/>
          <w:szCs w:val="21"/>
          <w:highlight w:val="none"/>
        </w:rPr>
        <w:t>对</w:t>
      </w:r>
      <w:r>
        <w:rPr>
          <w:rFonts w:hint="eastAsia" w:hAnsi="宋体"/>
          <w:color w:val="auto"/>
          <w:sz w:val="21"/>
          <w:szCs w:val="21"/>
          <w:highlight w:val="none"/>
          <w:lang w:val="en-US" w:eastAsia="zh-CN"/>
        </w:rPr>
        <w:t>报价</w:t>
      </w:r>
      <w:r>
        <w:rPr>
          <w:rFonts w:hAnsi="宋体"/>
          <w:color w:val="auto"/>
          <w:sz w:val="21"/>
          <w:szCs w:val="21"/>
          <w:highlight w:val="none"/>
        </w:rPr>
        <w:t>部分计算出得分</w:t>
      </w:r>
      <w:r>
        <w:rPr>
          <w:rFonts w:hint="eastAsia" w:hAnsi="宋体"/>
          <w:color w:val="auto"/>
          <w:sz w:val="21"/>
          <w:szCs w:val="21"/>
          <w:highlight w:val="none"/>
          <w:lang w:eastAsia="zh-CN"/>
        </w:rPr>
        <w:t>；</w:t>
      </w:r>
      <w:r>
        <w:rPr>
          <w:rFonts w:hint="eastAsia" w:hAnsi="宋体"/>
          <w:color w:val="auto"/>
          <w:sz w:val="21"/>
          <w:szCs w:val="21"/>
          <w:highlight w:val="none"/>
        </w:rPr>
        <w:t>由评审小组集体评审计分。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w:t>
      </w:r>
      <w:r>
        <w:rPr>
          <w:rFonts w:hAnsi="宋体"/>
          <w:color w:val="auto"/>
          <w:sz w:val="21"/>
          <w:szCs w:val="21"/>
          <w:highlight w:val="none"/>
        </w:rPr>
        <w:t>评分分值计算保留</w:t>
      </w:r>
      <w:r>
        <w:rPr>
          <w:rFonts w:hint="eastAsia" w:hAnsi="宋体"/>
          <w:color w:val="auto"/>
          <w:sz w:val="21"/>
          <w:szCs w:val="21"/>
          <w:highlight w:val="none"/>
        </w:rPr>
        <w:t>到</w:t>
      </w:r>
      <w:r>
        <w:rPr>
          <w:rFonts w:hAnsi="宋体"/>
          <w:color w:val="auto"/>
          <w:sz w:val="21"/>
          <w:szCs w:val="21"/>
          <w:highlight w:val="none"/>
        </w:rPr>
        <w:t>小数点后两位，小数点后第三位</w:t>
      </w:r>
      <w:r>
        <w:rPr>
          <w:rFonts w:hint="eastAsia" w:hAnsi="宋体"/>
          <w:color w:val="auto"/>
          <w:sz w:val="21"/>
          <w:szCs w:val="21"/>
          <w:highlight w:val="none"/>
        </w:rPr>
        <w:t>“</w:t>
      </w:r>
      <w:r>
        <w:rPr>
          <w:rFonts w:hAnsi="宋体"/>
          <w:color w:val="auto"/>
          <w:sz w:val="21"/>
          <w:szCs w:val="21"/>
          <w:highlight w:val="none"/>
        </w:rPr>
        <w:t>四舍五入</w:t>
      </w:r>
      <w:r>
        <w:rPr>
          <w:rFonts w:hint="eastAsia" w:hAnsi="宋体"/>
          <w:color w:val="auto"/>
          <w:sz w:val="21"/>
          <w:szCs w:val="21"/>
          <w:highlight w:val="none"/>
        </w:rPr>
        <w:t>”</w:t>
      </w:r>
      <w:r>
        <w:rPr>
          <w:rFonts w:hAnsi="宋体"/>
          <w:color w:val="auto"/>
          <w:sz w:val="21"/>
          <w:szCs w:val="21"/>
          <w:highlight w:val="none"/>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推荐成交候选供应商及提交评审报告</w:t>
      </w:r>
    </w:p>
    <w:p>
      <w:pPr>
        <w:pStyle w:val="188"/>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竞争性采购须知前附表规定的排序方法推荐成交候选供应商，并向采购人提交评审报告。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8"/>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color w:val="000000" w:themeColor="text1"/>
          <w:sz w:val="32"/>
          <w:szCs w:val="32"/>
          <w:highlight w:val="none"/>
          <w14:textFill>
            <w14:solidFill>
              <w14:schemeClr w14:val="tx1"/>
            </w14:solidFill>
          </w14:textFill>
        </w:rPr>
      </w:pPr>
      <w:bookmarkStart w:id="19" w:name="_Toc2682"/>
      <w:bookmarkStart w:id="20" w:name="_Toc13416"/>
      <w:bookmarkStart w:id="21" w:name="_Toc24035"/>
      <w:bookmarkStart w:id="22" w:name="_Toc15306"/>
      <w:bookmarkStart w:id="23" w:name="_Toc1964"/>
      <w:bookmarkStart w:id="24" w:name="_Toc8265"/>
      <w:r>
        <w:rPr>
          <w:rFonts w:hint="eastAsia" w:ascii="黑体" w:eastAsia="黑体"/>
          <w:b/>
          <w:color w:val="000000" w:themeColor="text1"/>
          <w:sz w:val="32"/>
          <w:szCs w:val="32"/>
          <w:highlight w:val="none"/>
          <w14:textFill>
            <w14:solidFill>
              <w14:schemeClr w14:val="tx1"/>
            </w14:solidFill>
          </w14:textFill>
        </w:rPr>
        <w:t>第四章 合同条款及格式</w:t>
      </w:r>
      <w:bookmarkEnd w:id="19"/>
      <w:bookmarkEnd w:id="20"/>
      <w:r>
        <w:rPr>
          <w:rFonts w:hint="eastAsia" w:ascii="黑体" w:eastAsia="黑体"/>
          <w:b/>
          <w:bCs/>
          <w:color w:val="000000" w:themeColor="text1"/>
          <w:sz w:val="32"/>
          <w:szCs w:val="32"/>
          <w:highlight w:val="none"/>
          <w14:textFill>
            <w14:solidFill>
              <w14:schemeClr w14:val="tx1"/>
            </w14:solidFill>
          </w14:textFill>
        </w:rPr>
        <w:t>（另册）</w:t>
      </w:r>
      <w:bookmarkEnd w:id="21"/>
    </w:p>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cols w:space="720" w:num="1"/>
          <w:docGrid w:type="lines" w:linePitch="312" w:charSpace="0"/>
        </w:sectPr>
      </w:pPr>
      <w:bookmarkStart w:id="25" w:name="_Toc7734"/>
      <w:bookmarkStart w:id="26" w:name="_Toc14718"/>
      <w:bookmarkStart w:id="27" w:name="_Toc26591"/>
      <w:r>
        <w:rPr>
          <w:rFonts w:hint="eastAsia" w:ascii="黑体" w:eastAsia="黑体"/>
          <w:b/>
          <w:bCs/>
          <w:color w:val="000000" w:themeColor="text1"/>
          <w:sz w:val="32"/>
          <w:szCs w:val="32"/>
          <w:highlight w:val="none"/>
          <w14:textFill>
            <w14:solidFill>
              <w14:schemeClr w14:val="tx1"/>
            </w14:solidFill>
          </w14:textFill>
        </w:rPr>
        <w:t>第五章 用户需求书（另册）</w:t>
      </w:r>
      <w:bookmarkEnd w:id="25"/>
      <w:bookmarkEnd w:id="26"/>
      <w:bookmarkEnd w:id="27"/>
    </w:p>
    <w:p>
      <w:pPr>
        <w:pStyle w:val="15"/>
        <w:ind w:left="0" w:leftChars="0"/>
        <w:rPr>
          <w:highlight w:val="none"/>
        </w:rPr>
      </w:pPr>
    </w:p>
    <w:p>
      <w:pPr>
        <w:adjustRightInd w:val="0"/>
        <w:snapToGrid w:val="0"/>
        <w:spacing w:line="360" w:lineRule="auto"/>
        <w:jc w:val="center"/>
        <w:outlineLvl w:val="0"/>
        <w:rPr>
          <w:rFonts w:hint="eastAsia" w:ascii="黑体" w:eastAsia="黑体"/>
          <w:b/>
          <w:color w:val="000000" w:themeColor="text1"/>
          <w:sz w:val="32"/>
          <w:szCs w:val="32"/>
          <w:highlight w:val="none"/>
          <w14:textFill>
            <w14:solidFill>
              <w14:schemeClr w14:val="tx1"/>
            </w14:solidFill>
          </w14:textFill>
        </w:rPr>
      </w:pPr>
      <w:bookmarkStart w:id="28" w:name="_Toc16702"/>
      <w:bookmarkStart w:id="29" w:name="_Toc10575"/>
      <w:bookmarkStart w:id="30" w:name="_Toc8284"/>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auto"/>
          <w:sz w:val="32"/>
          <w:szCs w:val="32"/>
          <w:highlight w:val="none"/>
        </w:rPr>
        <w:t>竞争性采购最高限价</w:t>
      </w:r>
      <w:r>
        <w:rPr>
          <w:rFonts w:hint="eastAsia" w:ascii="黑体" w:hAnsi="Times New Roman" w:eastAsia="黑体" w:cs="Times New Roman"/>
          <w:b/>
          <w:bCs/>
          <w:color w:val="auto"/>
          <w:kern w:val="2"/>
          <w:sz w:val="32"/>
          <w:szCs w:val="32"/>
          <w:highlight w:val="none"/>
          <w:lang w:val="en-US" w:eastAsia="zh-CN" w:bidi="ar-SA"/>
        </w:rPr>
        <w:t>（另册）</w:t>
      </w:r>
      <w:bookmarkEnd w:id="28"/>
    </w:p>
    <w:p>
      <w:pPr>
        <w:ind w:firstLine="420" w:firstLineChars="200"/>
        <w:rPr>
          <w:rFonts w:hint="eastAsia" w:ascii="宋体" w:hAnsi="宋体" w:cs="宋体"/>
          <w:color w:val="auto"/>
          <w:highlight w:val="none"/>
        </w:rPr>
      </w:pPr>
    </w:p>
    <w:p>
      <w:pPr>
        <w:ind w:firstLine="420" w:firstLineChars="200"/>
        <w:rPr>
          <w:rFonts w:hint="eastAsia" w:ascii="宋体" w:hAnsi="宋体" w:cs="宋体"/>
          <w:color w:val="auto"/>
          <w:highlight w:val="none"/>
        </w:rPr>
      </w:pPr>
    </w:p>
    <w:p>
      <w:pPr>
        <w:ind w:firstLine="420" w:firstLineChars="200"/>
        <w:rPr>
          <w:rFonts w:hint="eastAsia" w:ascii="黑体" w:eastAsia="黑体"/>
          <w:b/>
          <w:color w:val="000000" w:themeColor="text1"/>
          <w:sz w:val="32"/>
          <w:szCs w:val="32"/>
          <w:highlight w:val="none"/>
          <w14:textFill>
            <w14:solidFill>
              <w14:schemeClr w14:val="tx1"/>
            </w14:solidFill>
          </w14:textFill>
        </w:rPr>
      </w:pPr>
      <w:r>
        <w:rPr>
          <w:rFonts w:hint="eastAsia" w:ascii="宋体" w:hAnsi="宋体" w:cs="宋体"/>
          <w:color w:val="auto"/>
          <w:highlight w:val="none"/>
          <w:lang w:val="en-US" w:eastAsia="zh-CN"/>
        </w:rPr>
        <w:t>竞争性采购</w:t>
      </w:r>
      <w:r>
        <w:rPr>
          <w:rFonts w:hint="eastAsia" w:ascii="宋体" w:hAnsi="宋体" w:cs="宋体"/>
          <w:color w:val="auto"/>
          <w:highlight w:val="none"/>
        </w:rPr>
        <w:t>最高限价详见本项目</w:t>
      </w:r>
      <w:r>
        <w:rPr>
          <w:rFonts w:hint="eastAsia" w:ascii="宋体" w:hAnsi="宋体" w:cs="宋体"/>
          <w:color w:val="auto"/>
          <w:highlight w:val="none"/>
          <w:lang w:val="en-US" w:eastAsia="zh-CN"/>
        </w:rPr>
        <w:t>竞争性采购</w:t>
      </w:r>
      <w:r>
        <w:rPr>
          <w:rFonts w:hint="eastAsia" w:ascii="宋体" w:hAnsi="宋体" w:cs="宋体"/>
          <w:color w:val="auto"/>
          <w:highlight w:val="none"/>
        </w:rPr>
        <w:t>公告附件：</w:t>
      </w:r>
      <w:r>
        <w:rPr>
          <w:rFonts w:hint="eastAsia" w:ascii="宋体" w:hAnsi="宋体" w:cs="宋体"/>
          <w:b/>
          <w:bCs/>
          <w:color w:val="auto"/>
          <w:kern w:val="0"/>
          <w:sz w:val="21"/>
          <w:szCs w:val="21"/>
          <w:highlight w:val="none"/>
          <w:u w:val="single"/>
          <w:lang w:val="en-US" w:eastAsia="zh-CN" w:bidi="ar"/>
        </w:rPr>
        <w:t>长沙市轨道交通运营期2024年-2026年互联网售检票系统短信平台服务项目</w:t>
      </w:r>
      <w:r>
        <w:rPr>
          <w:rFonts w:hint="eastAsia" w:ascii="宋体" w:hAnsi="宋体" w:cs="宋体"/>
          <w:b/>
          <w:bCs/>
          <w:color w:val="auto"/>
          <w:highlight w:val="none"/>
          <w:u w:val="single"/>
        </w:rPr>
        <w:t>最高限价</w:t>
      </w:r>
      <w:bookmarkStart w:id="77" w:name="_GoBack"/>
      <w:bookmarkEnd w:id="77"/>
      <w:r>
        <w:rPr>
          <w:rFonts w:hint="eastAsia" w:ascii="宋体" w:hAnsi="宋体" w:cs="宋体"/>
          <w:b/>
          <w:bCs/>
          <w:color w:val="auto"/>
          <w:highlight w:val="none"/>
          <w:u w:val="single"/>
          <w:lang w:val="en-US" w:eastAsia="zh-CN"/>
        </w:rPr>
        <w:t>公示说明</w:t>
      </w:r>
      <w:r>
        <w:rPr>
          <w:rFonts w:hint="eastAsia" w:ascii="宋体" w:hAnsi="宋体" w:cs="宋体"/>
          <w:color w:val="auto"/>
          <w:highlight w:val="none"/>
        </w:rPr>
        <w:t>。</w:t>
      </w:r>
      <w:r>
        <w:rPr>
          <w:rFonts w:hint="eastAsia" w:ascii="黑体" w:eastAsia="黑体"/>
          <w:b/>
          <w:color w:val="000000" w:themeColor="text1"/>
          <w:sz w:val="32"/>
          <w:szCs w:val="32"/>
          <w:highlight w:val="none"/>
          <w14:textFill>
            <w14:solidFill>
              <w14:schemeClr w14:val="tx1"/>
            </w14:solidFill>
          </w14:textFill>
        </w:rPr>
        <w:br w:type="page"/>
      </w: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1" w:name="_Toc32670"/>
      <w:r>
        <w:rPr>
          <w:rFonts w:hint="eastAsia" w:ascii="黑体" w:eastAsia="黑体"/>
          <w:b/>
          <w:color w:val="000000" w:themeColor="text1"/>
          <w:sz w:val="32"/>
          <w:szCs w:val="32"/>
          <w:highlight w:val="none"/>
          <w:lang w:val="en-US" w:eastAsia="zh-CN"/>
          <w14:textFill>
            <w14:solidFill>
              <w14:schemeClr w14:val="tx1"/>
            </w14:solidFill>
          </w14:textFill>
        </w:rPr>
        <w:t xml:space="preserve">第七章 </w:t>
      </w:r>
      <w:r>
        <w:rPr>
          <w:rFonts w:hint="eastAsia" w:ascii="黑体" w:eastAsia="黑体"/>
          <w:b/>
          <w:color w:val="000000" w:themeColor="text1"/>
          <w:sz w:val="32"/>
          <w:szCs w:val="32"/>
          <w:highlight w:val="none"/>
          <w14:textFill>
            <w14:solidFill>
              <w14:schemeClr w14:val="tx1"/>
            </w14:solidFill>
          </w14:textFill>
        </w:rPr>
        <w:t>响应文件格式</w:t>
      </w:r>
      <w:bookmarkEnd w:id="29"/>
      <w:bookmarkEnd w:id="30"/>
      <w:bookmarkEnd w:id="31"/>
    </w:p>
    <w:p>
      <w:pPr>
        <w:pStyle w:val="15"/>
        <w:rPr>
          <w:rFonts w:ascii="宋体"/>
          <w:color w:val="000000" w:themeColor="text1"/>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color w:val="000000" w:themeColor="text1"/>
          <w:sz w:val="52"/>
          <w:szCs w:val="52"/>
          <w:highlight w:val="none"/>
          <w14:textFill>
            <w14:solidFill>
              <w14:schemeClr w14:val="tx1"/>
            </w14:solidFill>
          </w14:textFill>
        </w:rPr>
      </w:pPr>
      <w:bookmarkStart w:id="32" w:name="_Toc28138"/>
      <w:bookmarkStart w:id="33" w:name="_Toc13293"/>
      <w:bookmarkStart w:id="34" w:name="_Toc24076"/>
      <w:bookmarkStart w:id="35" w:name="_Toc2964"/>
      <w:bookmarkStart w:id="36" w:name="_Toc19793"/>
      <w:r>
        <w:rPr>
          <w:rFonts w:hint="eastAsia" w:ascii="宋体" w:hAnsi="宋体"/>
          <w:b/>
          <w:bCs/>
          <w:color w:val="000000" w:themeColor="text1"/>
          <w:sz w:val="72"/>
          <w:szCs w:val="72"/>
          <w:highlight w:val="none"/>
          <w14:textFill>
            <w14:solidFill>
              <w14:schemeClr w14:val="tx1"/>
            </w14:solidFill>
          </w14:textFill>
        </w:rPr>
        <w:t>响应文件</w:t>
      </w:r>
      <w:bookmarkEnd w:id="32"/>
      <w:bookmarkEnd w:id="33"/>
      <w:bookmarkEnd w:id="34"/>
      <w:bookmarkEnd w:id="35"/>
      <w:bookmarkEnd w:id="36"/>
    </w:p>
    <w:p>
      <w:pPr>
        <w:spacing w:line="360" w:lineRule="auto"/>
        <w:rPr>
          <w:rFonts w:ascii="宋体" w:hAnsi="宋体" w:cs="宋体"/>
          <w:b/>
          <w:bCs/>
          <w:color w:val="000000" w:themeColor="text1"/>
          <w:szCs w:val="21"/>
          <w:highlight w:val="none"/>
          <w14:textFill>
            <w14:solidFill>
              <w14:schemeClr w14:val="tx1"/>
            </w14:solidFill>
          </w14:textFill>
        </w:rPr>
      </w:pPr>
    </w:p>
    <w:p>
      <w:pPr>
        <w:pStyle w:val="44"/>
        <w:ind w:firstLine="422"/>
        <w:rPr>
          <w:rFonts w:ascii="宋体" w:hAnsi="宋体" w:cs="宋体"/>
          <w:b/>
          <w:bCs/>
          <w:color w:val="000000" w:themeColor="text1"/>
          <w:szCs w:val="21"/>
          <w:highlight w:val="none"/>
          <w14:textFill>
            <w14:solidFill>
              <w14:schemeClr w14:val="tx1"/>
            </w14:solidFill>
          </w14:textFill>
        </w:rPr>
      </w:pPr>
    </w:p>
    <w:p>
      <w:pPr>
        <w:pStyle w:val="26"/>
        <w:spacing w:line="360" w:lineRule="auto"/>
        <w:rPr>
          <w:rFonts w:hAnsi="宋体"/>
          <w:b/>
          <w:bCs/>
          <w:color w:val="000000" w:themeColor="text1"/>
          <w:sz w:val="32"/>
          <w:szCs w:val="32"/>
          <w:highlight w:val="none"/>
          <w14:textFill>
            <w14:solidFill>
              <w14:schemeClr w14:val="tx1"/>
            </w14:solidFill>
          </w14:textFill>
        </w:rPr>
      </w:pPr>
    </w:p>
    <w:p>
      <w:pPr>
        <w:spacing w:line="360" w:lineRule="auto"/>
        <w:ind w:firstLine="643" w:firstLineChars="200"/>
        <w:jc w:val="left"/>
        <w:rPr>
          <w:rFonts w:hint="eastAsia" w:ascii="宋体" w:hAnsi="宋体" w:eastAsia="宋体" w:cs="Courier New"/>
          <w:bCs/>
          <w:color w:val="000000" w:themeColor="text1"/>
          <w:sz w:val="32"/>
          <w:szCs w:val="21"/>
          <w:highlight w:val="none"/>
          <w:u w:val="single"/>
          <w:lang w:eastAsia="zh-CN"/>
          <w14:textFill>
            <w14:solidFill>
              <w14:schemeClr w14:val="tx1"/>
            </w14:solidFill>
          </w14:textFill>
        </w:rPr>
      </w:pPr>
      <w:bookmarkStart w:id="37" w:name="_Toc1956"/>
      <w:bookmarkStart w:id="38" w:name="_Toc11829"/>
      <w:bookmarkStart w:id="39" w:name="_Toc2676"/>
      <w:bookmarkStart w:id="40" w:name="_Toc5446"/>
      <w:bookmarkStart w:id="41" w:name="_Toc12573"/>
      <w:r>
        <w:rPr>
          <w:rFonts w:hint="eastAsia" w:ascii="宋体" w:hAnsi="宋体" w:cs="Courier New"/>
          <w:b/>
          <w:color w:val="000000" w:themeColor="text1"/>
          <w:sz w:val="32"/>
          <w:szCs w:val="21"/>
          <w:highlight w:val="none"/>
          <w14:textFill>
            <w14:solidFill>
              <w14:schemeClr w14:val="tx1"/>
            </w14:solidFill>
          </w14:textFill>
        </w:rPr>
        <w:t>项目名称：</w:t>
      </w:r>
      <w:bookmarkEnd w:id="37"/>
      <w:bookmarkEnd w:id="38"/>
      <w:bookmarkEnd w:id="39"/>
      <w:bookmarkEnd w:id="40"/>
      <w:bookmarkEnd w:id="41"/>
      <w:r>
        <w:rPr>
          <w:rFonts w:hint="eastAsia" w:ascii="宋体" w:hAnsi="宋体" w:cs="Courier New"/>
          <w:bCs/>
          <w:color w:val="000000" w:themeColor="text1"/>
          <w:sz w:val="32"/>
          <w:szCs w:val="21"/>
          <w:highlight w:val="none"/>
          <w:u w:val="single"/>
          <w:lang w:eastAsia="zh-CN"/>
          <w14:textFill>
            <w14:solidFill>
              <w14:schemeClr w14:val="tx1"/>
            </w14:solidFill>
          </w14:textFill>
        </w:rPr>
        <w:t>长沙市轨道交通运营期2024年-2026年互联网售检票系统短信平台服务项目</w:t>
      </w:r>
    </w:p>
    <w:p>
      <w:pPr>
        <w:pStyle w:val="44"/>
        <w:rPr>
          <w:highlight w:val="none"/>
        </w:rPr>
      </w:pPr>
    </w:p>
    <w:p>
      <w:pPr>
        <w:spacing w:line="360" w:lineRule="auto"/>
        <w:ind w:firstLine="643" w:firstLineChars="200"/>
        <w:jc w:val="left"/>
        <w:rPr>
          <w:rFonts w:ascii="宋体" w:hAnsi="宋体" w:cs="Courier New"/>
          <w:b/>
          <w:color w:val="000000" w:themeColor="text1"/>
          <w:sz w:val="32"/>
          <w:szCs w:val="21"/>
          <w:highlight w:val="none"/>
          <w:u w:val="single"/>
          <w14:textFill>
            <w14:solidFill>
              <w14:schemeClr w14:val="tx1"/>
            </w14:solidFill>
          </w14:textFill>
        </w:rPr>
      </w:pPr>
      <w:bookmarkStart w:id="42" w:name="_Toc16"/>
      <w:bookmarkStart w:id="43" w:name="_Toc20489"/>
      <w:r>
        <w:rPr>
          <w:rFonts w:hint="eastAsia" w:ascii="宋体" w:hAnsi="宋体" w:cs="Courier New"/>
          <w:b/>
          <w:color w:val="000000" w:themeColor="text1"/>
          <w:sz w:val="32"/>
          <w:szCs w:val="21"/>
          <w:highlight w:val="none"/>
          <w14:textFill>
            <w14:solidFill>
              <w14:schemeClr w14:val="tx1"/>
            </w14:solidFill>
          </w14:textFill>
        </w:rPr>
        <w:t>供应商名称：</w:t>
      </w:r>
      <w:bookmarkEnd w:id="42"/>
      <w:bookmarkEnd w:id="43"/>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rPr>
          <w:rFonts w:ascii="宋体" w:hAnsi="宋体" w:cs="Courier New"/>
          <w:b/>
          <w:sz w:val="32"/>
          <w:szCs w:val="21"/>
          <w:highlight w:val="none"/>
        </w:rPr>
      </w:pPr>
    </w:p>
    <w:p>
      <w:pPr>
        <w:spacing w:line="360" w:lineRule="auto"/>
        <w:ind w:firstLine="643" w:firstLineChars="200"/>
        <w:jc w:val="left"/>
        <w:rPr>
          <w:rFonts w:ascii="宋体" w:hAnsi="宋体" w:cs="Courier New"/>
          <w:b/>
          <w:color w:val="000000" w:themeColor="text1"/>
          <w:sz w:val="32"/>
          <w:szCs w:val="21"/>
          <w:highlight w:val="none"/>
          <w:u w:val="single"/>
          <w14:textFill>
            <w14:solidFill>
              <w14:schemeClr w14:val="tx1"/>
            </w14:solidFill>
          </w14:textFill>
        </w:rPr>
      </w:pPr>
      <w:bookmarkStart w:id="44" w:name="_Toc28350"/>
      <w:bookmarkStart w:id="45" w:name="_Toc3500"/>
      <w:bookmarkStart w:id="46" w:name="_Toc24096"/>
      <w:bookmarkStart w:id="47" w:name="_Toc23784"/>
      <w:bookmarkStart w:id="48" w:name="_Toc27634"/>
      <w:r>
        <w:rPr>
          <w:rFonts w:hint="eastAsia" w:ascii="宋体" w:hAnsi="宋体" w:cs="Courier New"/>
          <w:b/>
          <w:sz w:val="32"/>
          <w:szCs w:val="21"/>
          <w:highlight w:val="none"/>
        </w:rPr>
        <w:t>项目编号：</w:t>
      </w:r>
      <w:bookmarkEnd w:id="44"/>
      <w:bookmarkEnd w:id="45"/>
      <w:bookmarkEnd w:id="46"/>
      <w:bookmarkEnd w:id="47"/>
      <w:bookmarkEnd w:id="48"/>
      <w:r>
        <w:rPr>
          <w:rFonts w:hint="eastAsia" w:ascii="宋体" w:hAnsi="宋体" w:cs="Courier New"/>
          <w:bCs/>
          <w:sz w:val="32"/>
          <w:szCs w:val="21"/>
          <w:highlight w:val="none"/>
          <w:u w:val="single"/>
          <w:lang w:eastAsia="zh-CN"/>
        </w:rPr>
        <w:t>长轨运服采【2023】060号</w:t>
      </w:r>
      <w:r>
        <w:rPr>
          <w:rFonts w:hint="eastAsia" w:ascii="宋体" w:hAnsi="宋体" w:cs="Courier New"/>
          <w:bCs/>
          <w:sz w:val="32"/>
          <w:szCs w:val="21"/>
          <w:highlight w:val="none"/>
          <w:u w:val="single"/>
        </w:rPr>
        <w:t xml:space="preserve">   </w:t>
      </w:r>
      <w:r>
        <w:rPr>
          <w:rFonts w:hint="eastAsia" w:ascii="宋体" w:hAnsi="宋体" w:cs="Courier New"/>
          <w:b/>
          <w:color w:val="000000" w:themeColor="text1"/>
          <w:sz w:val="32"/>
          <w:szCs w:val="21"/>
          <w:highlight w:val="none"/>
          <w14:textFill>
            <w14:solidFill>
              <w14:schemeClr w14:val="tx1"/>
            </w14:solidFill>
          </w14:textFill>
        </w:rPr>
        <w:t xml:space="preserve">                        </w:t>
      </w:r>
    </w:p>
    <w:p>
      <w:pPr>
        <w:pStyle w:val="26"/>
        <w:spacing w:line="360" w:lineRule="auto"/>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6"/>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jc w:val="center"/>
        <w:rPr>
          <w:rFonts w:hAnsi="宋体"/>
          <w:color w:val="000000" w:themeColor="text1"/>
          <w:highlight w:val="none"/>
          <w14:textFill>
            <w14:solidFill>
              <w14:schemeClr w14:val="tx1"/>
            </w14:solidFill>
          </w14:textFill>
        </w:rPr>
      </w:pPr>
      <w:bookmarkStart w:id="49" w:name="_Toc4095"/>
      <w:bookmarkStart w:id="50" w:name="_Toc12352"/>
      <w:bookmarkStart w:id="51" w:name="_Toc16781"/>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49"/>
      <w:bookmarkEnd w:id="50"/>
      <w:bookmarkEnd w:id="51"/>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（一）竞争性采购响应函</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五</w:t>
      </w:r>
      <w:r>
        <w:rPr>
          <w:rFonts w:hint="eastAsia" w:ascii="宋体" w:hAnsi="宋体" w:eastAsia="宋体" w:cs="Times New Roman"/>
          <w:color w:val="auto"/>
          <w:kern w:val="2"/>
          <w:sz w:val="21"/>
          <w:szCs w:val="21"/>
          <w:highlight w:val="none"/>
          <w:lang w:val="en-US" w:eastAsia="zh-CN" w:bidi="ar-SA"/>
        </w:rPr>
        <w:t>）报价一览表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六</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分项报价</w:t>
      </w:r>
      <w:r>
        <w:rPr>
          <w:rFonts w:hint="eastAsia" w:ascii="宋体" w:hAnsi="宋体" w:eastAsia="宋体" w:cs="Times New Roman"/>
          <w:color w:val="auto"/>
          <w:kern w:val="2"/>
          <w:sz w:val="21"/>
          <w:szCs w:val="21"/>
          <w:highlight w:val="none"/>
          <w:lang w:val="en-US" w:eastAsia="zh-CN" w:bidi="ar-SA"/>
        </w:rPr>
        <w:t>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七</w:t>
      </w:r>
      <w:r>
        <w:rPr>
          <w:rFonts w:hint="eastAsia" w:ascii="宋体" w:hAnsi="宋体" w:eastAsia="宋体" w:cs="Times New Roman"/>
          <w:color w:val="auto"/>
          <w:kern w:val="2"/>
          <w:sz w:val="21"/>
          <w:szCs w:val="21"/>
          <w:highlight w:val="none"/>
          <w:lang w:val="en-US" w:eastAsia="zh-CN" w:bidi="ar-SA"/>
        </w:rPr>
        <w:t>）其他资料（如有）</w:t>
      </w:r>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bCs/>
          <w:szCs w:val="21"/>
          <w:highlight w:val="none"/>
          <w:u w:val="single"/>
          <w:lang w:eastAsia="zh-CN"/>
        </w:rPr>
        <w:t>长沙市轨道交通运营有限公司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bCs/>
          <w:szCs w:val="21"/>
          <w:highlight w:val="none"/>
          <w:u w:val="single"/>
          <w:lang w:eastAsia="zh-CN"/>
        </w:rPr>
        <w:t>长沙市轨道交通运营期2024年-2026年互联网售检票系统短信平台服务项目</w:t>
      </w:r>
      <w:r>
        <w:rPr>
          <w:rFonts w:hint="eastAsia" w:ascii="宋体" w:hAnsi="宋体"/>
          <w:color w:val="000000" w:themeColor="text1"/>
          <w:szCs w:val="21"/>
          <w:highlight w:val="none"/>
          <w14:textFill>
            <w14:solidFill>
              <w14:schemeClr w14:val="tx1"/>
            </w14:solidFill>
          </w14:textFill>
        </w:rPr>
        <w:t>的采购文件（项目编号</w:t>
      </w:r>
      <w:r>
        <w:rPr>
          <w:rFonts w:hint="eastAsia" w:ascii="宋体" w:hAnsi="宋体"/>
          <w:szCs w:val="21"/>
          <w:highlight w:val="none"/>
        </w:rPr>
        <w:t>：</w:t>
      </w:r>
      <w:r>
        <w:rPr>
          <w:rStyle w:val="54"/>
          <w:rFonts w:hint="eastAsia"/>
          <w:color w:val="auto"/>
          <w:kern w:val="0"/>
          <w:highlight w:val="none"/>
          <w:shd w:val="clear" w:color="auto" w:fill="FFFFFF"/>
          <w:lang w:eastAsia="zh-CN"/>
        </w:rPr>
        <w:t>长轨运服采【2023】060号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我方承诺对本项目采购文件第四章“合同条款及格式”和第五章“用户需求书”的全</w:t>
      </w:r>
      <w:r>
        <w:rPr>
          <w:rFonts w:hint="eastAsia" w:hAnsi="宋体" w:cs="宋体"/>
          <w:color w:val="000000" w:themeColor="text1"/>
          <w:highlight w:val="none"/>
          <w14:textFill>
            <w14:solidFill>
              <w14:schemeClr w14:val="tx1"/>
            </w14:solidFill>
          </w14:textFill>
        </w:rPr>
        <w:t>部条款完全响应，无偏离。</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九、我方自愿遵守《长沙市轨道交通运营有限公司采购管理办法（试行）》和恶意异议处罚的相关规定和要求，如有违反，我方自愿承担因我方违反相关规定所引起的一切后果。</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6"/>
        <w:adjustRightInd w:val="0"/>
        <w:snapToGrid w:val="0"/>
        <w:spacing w:line="360" w:lineRule="auto"/>
        <w:ind w:left="420"/>
        <w:rPr>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ascii="宋体" w:hAnsi="宋体" w:cs="宋体"/>
          <w:szCs w:val="21"/>
          <w:highlight w:val="none"/>
        </w:rPr>
        <w:sectPr>
          <w:pgSz w:w="11906" w:h="16838"/>
          <w:pgMar w:top="1440" w:right="1361" w:bottom="1440" w:left="1474" w:header="851" w:footer="992" w:gutter="0"/>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right="23"/>
        <w:jc w:val="center"/>
        <w:textAlignment w:val="auto"/>
        <w:outlineLvl w:val="1"/>
        <w:rPr>
          <w:rFonts w:ascii="黑体" w:hAnsi="宋体" w:eastAsia="黑体"/>
          <w:b/>
          <w:color w:val="000000" w:themeColor="text1"/>
          <w:sz w:val="32"/>
          <w:szCs w:val="32"/>
          <w:highlight w:val="none"/>
          <w14:textFill>
            <w14:solidFill>
              <w14:schemeClr w14:val="tx1"/>
            </w14:solidFill>
          </w14:textFill>
        </w:rPr>
      </w:pPr>
      <w:bookmarkStart w:id="52" w:name="_Toc9473"/>
      <w:bookmarkStart w:id="53" w:name="_Toc22681"/>
      <w:bookmarkStart w:id="54" w:name="_Toc5828"/>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52"/>
      <w:bookmarkEnd w:id="53"/>
      <w:bookmarkEnd w:id="54"/>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ascii="黑体" w:hAnsi="宋体" w:eastAsia="黑体"/>
          <w:b/>
          <w:color w:val="000000" w:themeColor="text1"/>
          <w:sz w:val="32"/>
          <w:szCs w:val="32"/>
          <w:highlight w:val="none"/>
          <w14:textFill>
            <w14:solidFill>
              <w14:schemeClr w14:val="tx1"/>
            </w14:solidFill>
          </w14:textFill>
        </w:rPr>
      </w:pPr>
      <w:bookmarkStart w:id="55" w:name="_Toc3091"/>
      <w:bookmarkStart w:id="56" w:name="_Toc4403"/>
      <w:bookmarkStart w:id="57" w:name="_Toc5064"/>
      <w:r>
        <w:rPr>
          <w:rFonts w:hint="eastAsia" w:ascii="黑体" w:hAnsi="宋体" w:eastAsia="黑体"/>
          <w:b/>
          <w:color w:val="000000" w:themeColor="text1"/>
          <w:sz w:val="32"/>
          <w:szCs w:val="32"/>
          <w:highlight w:val="none"/>
          <w14:textFill>
            <w14:solidFill>
              <w14:schemeClr w14:val="tx1"/>
            </w14:solidFill>
          </w14:textFill>
        </w:rPr>
        <w:t>三、授权委托书</w:t>
      </w:r>
      <w:bookmarkEnd w:id="55"/>
      <w:bookmarkEnd w:id="56"/>
      <w:bookmarkEnd w:id="57"/>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5"/>
        <w:spacing w:line="360" w:lineRule="auto"/>
        <w:ind w:left="0" w:leftChars="0" w:firstLine="420" w:firstLineChars="200"/>
        <w:rPr>
          <w:rFonts w:ascii="宋体" w:hAnsi="宋体"/>
          <w:szCs w:val="21"/>
          <w:highlight w:val="none"/>
        </w:rPr>
      </w:pPr>
    </w:p>
    <w:p>
      <w:pPr>
        <w:pStyle w:val="15"/>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58" w:name="_Toc6384"/>
      <w:bookmarkStart w:id="59" w:name="_Toc17472"/>
      <w:bookmarkStart w:id="60" w:name="_Toc8471"/>
      <w:bookmarkStart w:id="61" w:name="_Toc10492"/>
      <w:bookmarkStart w:id="62" w:name="_Toc18590"/>
      <w:bookmarkStart w:id="63" w:name="_Toc22346"/>
      <w:bookmarkStart w:id="64" w:name="_Toc30307"/>
      <w:bookmarkStart w:id="65" w:name="_Toc1755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四、供应商资格证明文件</w:t>
      </w:r>
      <w:bookmarkEnd w:id="58"/>
      <w:bookmarkEnd w:id="59"/>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供应商须为具备独立法人资格的企业或事业单位，且营业执照（事业单位法人证书）处于有效期内。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供应商须具有国务院信息产业主管部门或省、自治区、直辖市电信管理机构颁发的中华人民共和国增值电信业务经营许可证。</w:t>
      </w:r>
    </w:p>
    <w:p>
      <w:pPr>
        <w:numPr>
          <w:ilvl w:val="0"/>
          <w:numId w:val="3"/>
        </w:numPr>
        <w:spacing w:line="360" w:lineRule="auto"/>
        <w:ind w:left="0" w:leftChars="0" w:firstLine="420" w:firstLineChars="200"/>
        <w:rPr>
          <w:rFonts w:ascii="宋体" w:hAnsi="宋体" w:cs="宋体"/>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认为与本项目资格条件有关的其它证明文件（如有，格式自拟）</w:t>
      </w:r>
      <w:r>
        <w:rPr>
          <w:rFonts w:hint="eastAsia" w:ascii="宋体" w:hAnsi="宋体" w:cs="宋体"/>
          <w:highlight w:val="none"/>
        </w:rPr>
        <w:t>。</w:t>
      </w:r>
    </w:p>
    <w:p>
      <w:pPr>
        <w:pStyle w:val="15"/>
        <w:spacing w:line="360" w:lineRule="auto"/>
        <w:ind w:left="0" w:leftChars="0"/>
        <w:rPr>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w:t>
      </w:r>
      <w:r>
        <w:rPr>
          <w:rStyle w:val="54"/>
          <w:rFonts w:hint="eastAsia"/>
          <w:b/>
          <w:bCs/>
          <w:color w:val="auto"/>
          <w:highlight w:val="none"/>
          <w:u w:val="none"/>
          <w:shd w:val="clear" w:color="auto" w:fill="FFFFFF"/>
        </w:rPr>
        <w:t>复印件</w:t>
      </w:r>
      <w:r>
        <w:rPr>
          <w:rFonts w:hint="eastAsia" w:ascii="宋体" w:hAnsi="宋体"/>
          <w:b/>
          <w:bCs/>
          <w:szCs w:val="21"/>
          <w:highlight w:val="none"/>
        </w:rPr>
        <w:t>均须加盖供应商公章。</w:t>
      </w:r>
    </w:p>
    <w:p>
      <w:pPr>
        <w:pStyle w:val="279"/>
        <w:rPr>
          <w:rFonts w:hint="default"/>
          <w:highlight w:val="none"/>
        </w:rPr>
        <w:sectPr>
          <w:pgSz w:w="11906" w:h="16838"/>
          <w:pgMar w:top="1440" w:right="1361" w:bottom="1440" w:left="1474" w:header="851" w:footer="992" w:gutter="0"/>
          <w:cols w:space="720" w:num="1"/>
          <w:docGrid w:type="lines" w:linePitch="312" w:charSpace="0"/>
        </w:sectPr>
      </w:pPr>
    </w:p>
    <w:bookmarkEnd w:id="22"/>
    <w:bookmarkEnd w:id="23"/>
    <w:bookmarkEnd w:id="24"/>
    <w:bookmarkEnd w:id="60"/>
    <w:bookmarkEnd w:id="61"/>
    <w:bookmarkEnd w:id="62"/>
    <w:bookmarkEnd w:id="63"/>
    <w:bookmarkEnd w:id="64"/>
    <w:bookmarkEnd w:id="65"/>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Ansi="宋体" w:eastAsia="黑体" w:cs="宋体"/>
          <w:color w:val="auto"/>
          <w:sz w:val="24"/>
          <w:highlight w:val="none"/>
          <w:u w:val="single"/>
        </w:rPr>
      </w:pPr>
      <w:r>
        <w:rPr>
          <w:rFonts w:hint="eastAsia" w:ascii="黑体" w:hAnsi="宋体" w:eastAsia="黑体" w:cs="Times New Roman"/>
          <w:b/>
          <w:bCs/>
          <w:color w:val="auto"/>
          <w:sz w:val="32"/>
          <w:szCs w:val="32"/>
          <w:highlight w:val="none"/>
          <w:lang w:val="en-US" w:eastAsia="zh-CN"/>
        </w:rPr>
        <w:t>五、报价一览表</w:t>
      </w:r>
    </w:p>
    <w:tbl>
      <w:tblPr>
        <w:tblStyle w:val="45"/>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71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7174" w:type="dxa"/>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长沙市轨道交通运营期2024年-2026年互联网售检票系统短信平台服务项目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长轨运服采【2023】060号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服务期限</w:t>
            </w: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竞争性采购不含增值税</w:t>
            </w:r>
            <w:r>
              <w:rPr>
                <w:rFonts w:ascii="宋体" w:hAnsi="宋体"/>
                <w:b/>
                <w:bCs/>
                <w:color w:val="auto"/>
                <w:szCs w:val="21"/>
                <w:highlight w:val="none"/>
              </w:rPr>
              <w:t>总报价</w:t>
            </w: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7174"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w:t>
            </w:r>
            <w:r>
              <w:rPr>
                <w:rFonts w:ascii="宋体" w:hAnsi="宋体"/>
                <w:b/>
                <w:bCs/>
                <w:color w:val="auto"/>
                <w:szCs w:val="21"/>
                <w:highlight w:val="none"/>
              </w:rPr>
              <w:t>总报价</w:t>
            </w: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717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7174" w:type="dxa"/>
            <w:tcBorders>
              <w:top w:val="single" w:color="auto" w:sz="6" w:space="0"/>
              <w:left w:val="single" w:color="auto" w:sz="6" w:space="0"/>
              <w:bottom w:val="single" w:color="auto" w:sz="12" w:space="0"/>
              <w:right w:val="single" w:color="auto" w:sz="12" w:space="0"/>
            </w:tcBorders>
            <w:vAlign w:val="center"/>
          </w:tcPr>
          <w:p>
            <w:pPr>
              <w:keepNext w:val="0"/>
              <w:keepLines w:val="0"/>
              <w:widowControl/>
              <w:suppressLineNumbers w:val="0"/>
              <w:jc w:val="left"/>
              <w:rPr>
                <w:rFonts w:hint="eastAsia" w:ascii="宋体" w:hAnsi="宋体" w:eastAsia="宋体"/>
                <w:b/>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3.本项目设置最高限价，竞争性采购</w:t>
      </w:r>
      <w:r>
        <w:rPr>
          <w:rFonts w:hint="eastAsia" w:ascii="宋体" w:hAnsi="宋体"/>
          <w:b/>
          <w:color w:val="auto"/>
          <w:szCs w:val="21"/>
          <w:highlight w:val="none"/>
          <w:lang w:val="en-US" w:eastAsia="zh-CN"/>
        </w:rPr>
        <w:t>综合单价及</w:t>
      </w:r>
      <w:r>
        <w:rPr>
          <w:rFonts w:hint="eastAsia" w:ascii="宋体" w:hAnsi="宋体"/>
          <w:b/>
          <w:color w:val="auto"/>
          <w:szCs w:val="21"/>
          <w:highlight w:val="none"/>
        </w:rPr>
        <w:t>总报价不能高于采购单位公布的最高限价，不超过最高限价的报价方为有效报价。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8"/>
        <w:adjustRightInd w:val="0"/>
        <w:snapToGrid w:val="0"/>
        <w:spacing w:line="360" w:lineRule="auto"/>
        <w:rPr>
          <w:rFonts w:hint="eastAsia" w:ascii="宋体" w:hAnsi="宋体"/>
          <w:color w:val="auto"/>
          <w:sz w:val="21"/>
          <w:szCs w:val="21"/>
          <w:highlight w:val="none"/>
        </w:rPr>
      </w:pPr>
    </w:p>
    <w:p>
      <w:pPr>
        <w:pStyle w:val="28"/>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黑体" w:eastAsia="黑体"/>
          <w:b/>
          <w:bCs/>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66" w:name="_Toc6913"/>
      <w:bookmarkStart w:id="67" w:name="_Toc28059"/>
      <w:bookmarkStart w:id="68" w:name="_Toc26804"/>
      <w:bookmarkStart w:id="69" w:name="_Toc11292"/>
      <w:bookmarkStart w:id="70" w:name="_Toc21834"/>
      <w:bookmarkStart w:id="71" w:name="_Toc12974"/>
      <w:bookmarkStart w:id="72" w:name="_Toc15249"/>
      <w:r>
        <w:rPr>
          <w:rFonts w:hint="eastAsia" w:ascii="黑体" w:hAnsi="宋体" w:eastAsia="黑体" w:cs="Times New Roman"/>
          <w:b/>
          <w:bCs/>
          <w:color w:val="auto"/>
          <w:sz w:val="32"/>
          <w:szCs w:val="32"/>
          <w:highlight w:val="none"/>
          <w:lang w:val="en-US" w:eastAsia="zh-CN"/>
        </w:rPr>
        <w:t>六、</w:t>
      </w:r>
      <w:bookmarkEnd w:id="66"/>
      <w:bookmarkEnd w:id="67"/>
      <w:bookmarkEnd w:id="68"/>
      <w:bookmarkEnd w:id="69"/>
      <w:r>
        <w:rPr>
          <w:rFonts w:hint="eastAsia" w:ascii="黑体" w:hAnsi="宋体" w:eastAsia="黑体" w:cs="Times New Roman"/>
          <w:b/>
          <w:bCs/>
          <w:color w:val="auto"/>
          <w:sz w:val="32"/>
          <w:szCs w:val="32"/>
          <w:highlight w:val="none"/>
          <w:lang w:val="en-US" w:eastAsia="zh-CN"/>
        </w:rPr>
        <w:t>分项报</w:t>
      </w:r>
      <w:r>
        <w:rPr>
          <w:rFonts w:hint="eastAsia" w:ascii="黑体" w:hAnsi="宋体" w:eastAsia="黑体"/>
          <w:b/>
          <w:color w:val="auto"/>
          <w:sz w:val="32"/>
          <w:szCs w:val="32"/>
          <w:highlight w:val="none"/>
        </w:rPr>
        <w:t>价表</w:t>
      </w:r>
    </w:p>
    <w:p>
      <w:pPr>
        <w:rPr>
          <w:rFonts w:hint="default"/>
          <w:color w:val="auto"/>
          <w:highlight w:val="none"/>
          <w:lang w:val="en-US" w:eastAsia="zh-CN"/>
        </w:rPr>
      </w:pP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135"/>
        <w:gridCol w:w="1480"/>
        <w:gridCol w:w="1483"/>
        <w:gridCol w:w="1959"/>
        <w:gridCol w:w="1962"/>
        <w:gridCol w:w="1916"/>
        <w:gridCol w:w="1905"/>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00"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服务名称</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含增值税单价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（元/新注册用户）</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含增值税总价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其中：增值税税金</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400"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9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67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55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短信平台服务</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新注册用户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6308642</w:t>
            </w:r>
          </w:p>
        </w:tc>
        <w:tc>
          <w:tcPr>
            <w:tcW w:w="691"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000" w:type="pct"/>
            <w:gridSpan w:val="9"/>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1.含增值税总价包含项目实施过程按相关法律政策征收的一切税费、管理费、保险费、利润以及其他一切与该项目实施有关的所有费用。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2.报价时需明确税率与所含税费，税率必须符合国家政策法规规定，合同支付时供应商需开具经采购单位认可的合法完税发票。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3.本项目具体工作内容以用户需求书为准，合同价格不随政府政策及市场物价上涨或回落等因素调整，请供应商依据用户需求书并充分考虑各项上涨因素后自行报价。</w:t>
            </w:r>
          </w:p>
        </w:tc>
      </w:tr>
    </w:tbl>
    <w:p>
      <w:pPr>
        <w:pStyle w:val="28"/>
        <w:adjustRightInd w:val="0"/>
        <w:snapToGrid w:val="0"/>
        <w:spacing w:line="360" w:lineRule="auto"/>
        <w:rPr>
          <w:rFonts w:hint="eastAsia" w:ascii="宋体" w:hAnsi="宋体"/>
          <w:color w:val="auto"/>
          <w:sz w:val="21"/>
          <w:szCs w:val="21"/>
          <w:highlight w:val="none"/>
        </w:rPr>
      </w:pPr>
    </w:p>
    <w:p>
      <w:pPr>
        <w:pStyle w:val="28"/>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pStyle w:val="2"/>
        <w:ind w:left="0" w:leftChars="0" w:firstLine="0" w:firstLineChars="0"/>
        <w:rPr>
          <w:rFonts w:ascii="黑体" w:hAnsi="宋体" w:eastAsia="黑体"/>
          <w:b/>
          <w:color w:val="auto"/>
          <w:sz w:val="32"/>
          <w:szCs w:val="32"/>
          <w:highlight w:val="none"/>
        </w:rPr>
        <w:sectPr>
          <w:pgSz w:w="16838" w:h="11906" w:orient="landscape"/>
          <w:pgMar w:top="1474" w:right="1440" w:bottom="1361" w:left="1440" w:header="851" w:footer="992" w:gutter="0"/>
          <w:pgNumType w:fmt="decimal"/>
          <w:cols w:space="720" w:num="1"/>
          <w:docGrid w:type="lines"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lang w:val="en-US" w:eastAsia="zh-CN"/>
        </w:rPr>
        <w:t>七、</w:t>
      </w:r>
      <w:r>
        <w:rPr>
          <w:rFonts w:hint="eastAsia" w:ascii="黑体" w:hAnsi="宋体" w:eastAsia="黑体"/>
          <w:b/>
          <w:color w:val="auto"/>
          <w:sz w:val="32"/>
          <w:szCs w:val="32"/>
          <w:highlight w:val="none"/>
        </w:rPr>
        <w:t>其他资料</w:t>
      </w:r>
      <w:bookmarkEnd w:id="70"/>
      <w:bookmarkEnd w:id="71"/>
      <w:bookmarkEnd w:id="72"/>
      <w:r>
        <w:rPr>
          <w:rFonts w:hint="eastAsia" w:ascii="黑体" w:hAnsi="宋体" w:eastAsia="黑体"/>
          <w:b/>
          <w:color w:val="auto"/>
          <w:sz w:val="32"/>
          <w:szCs w:val="32"/>
          <w:highlight w:val="none"/>
          <w:lang w:eastAsia="zh-CN"/>
        </w:rPr>
        <w:t>（</w:t>
      </w:r>
      <w:r>
        <w:rPr>
          <w:rFonts w:hint="eastAsia" w:ascii="黑体" w:hAnsi="宋体" w:eastAsia="黑体"/>
          <w:b/>
          <w:color w:val="auto"/>
          <w:sz w:val="32"/>
          <w:szCs w:val="32"/>
          <w:highlight w:val="none"/>
          <w:lang w:val="en-US" w:eastAsia="zh-CN"/>
        </w:rPr>
        <w:t>如有</w:t>
      </w:r>
      <w:r>
        <w:rPr>
          <w:rFonts w:hint="eastAsia" w:ascii="黑体" w:hAnsi="宋体" w:eastAsia="黑体"/>
          <w:b/>
          <w:color w:val="auto"/>
          <w:sz w:val="32"/>
          <w:szCs w:val="32"/>
          <w:highlight w:val="none"/>
          <w:lang w:eastAsia="zh-CN"/>
        </w:rPr>
        <w:t>）</w:t>
      </w:r>
    </w:p>
    <w:p>
      <w:pPr>
        <w:adjustRightInd w:val="0"/>
        <w:snapToGrid w:val="0"/>
        <w:spacing w:before="156" w:beforeLines="50" w:line="360" w:lineRule="auto"/>
        <w:ind w:firstLine="560" w:firstLineChars="200"/>
        <w:jc w:val="center"/>
        <w:rPr>
          <w:rFonts w:ascii="宋体" w:hAnsi="宋体"/>
          <w:color w:val="auto"/>
          <w:sz w:val="28"/>
          <w:szCs w:val="28"/>
          <w:highlight w:val="none"/>
        </w:rPr>
      </w:pPr>
    </w:p>
    <w:p>
      <w:pPr>
        <w:rPr>
          <w:color w:val="000000" w:themeColor="text1"/>
          <w:highlight w:val="none"/>
          <w14:textFill>
            <w14:solidFill>
              <w14:schemeClr w14:val="tx1"/>
            </w14:solidFill>
          </w14:textFill>
        </w:rPr>
      </w:pPr>
      <w:bookmarkStart w:id="73" w:name="_Toc18188"/>
      <w:bookmarkStart w:id="74" w:name="_Toc22084"/>
      <w:bookmarkStart w:id="75" w:name="_Toc10648"/>
      <w:bookmarkStart w:id="76" w:name="_Toc5412"/>
      <w:r>
        <w:rPr>
          <w:rFonts w:hint="eastAsia" w:ascii="宋体" w:hAnsi="宋体"/>
          <w:color w:val="auto"/>
          <w:szCs w:val="21"/>
          <w:highlight w:val="none"/>
        </w:rPr>
        <w:t>供应商认为需要提供的其他竞争性采购资料，格式自拟。</w:t>
      </w:r>
      <w:bookmarkEnd w:id="73"/>
      <w:bookmarkEnd w:id="74"/>
      <w:bookmarkEnd w:id="75"/>
      <w:bookmarkEnd w:id="76"/>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DcxMjM3ZTYzZGY5NjMyOWVjMmI2ODA0ODBlMTAifQ=="/>
  </w:docVars>
  <w:rsids>
    <w:rsidRoot w:val="008F5875"/>
    <w:rsid w:val="000226FA"/>
    <w:rsid w:val="00023327"/>
    <w:rsid w:val="0004276E"/>
    <w:rsid w:val="0006071D"/>
    <w:rsid w:val="000666C3"/>
    <w:rsid w:val="000749E3"/>
    <w:rsid w:val="00083437"/>
    <w:rsid w:val="00084FF5"/>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848DB"/>
    <w:rsid w:val="001966D3"/>
    <w:rsid w:val="001971B7"/>
    <w:rsid w:val="001A2F52"/>
    <w:rsid w:val="001A6778"/>
    <w:rsid w:val="001C1E30"/>
    <w:rsid w:val="001F0CD6"/>
    <w:rsid w:val="002101E9"/>
    <w:rsid w:val="00212758"/>
    <w:rsid w:val="002202F1"/>
    <w:rsid w:val="00245594"/>
    <w:rsid w:val="00255A1D"/>
    <w:rsid w:val="00270F3B"/>
    <w:rsid w:val="00272E24"/>
    <w:rsid w:val="00274824"/>
    <w:rsid w:val="0029184E"/>
    <w:rsid w:val="002A1DCC"/>
    <w:rsid w:val="002A3A05"/>
    <w:rsid w:val="002E3DB4"/>
    <w:rsid w:val="002E7894"/>
    <w:rsid w:val="00303A2E"/>
    <w:rsid w:val="00305E08"/>
    <w:rsid w:val="003068FC"/>
    <w:rsid w:val="0032074F"/>
    <w:rsid w:val="003301B4"/>
    <w:rsid w:val="0033058B"/>
    <w:rsid w:val="00333D70"/>
    <w:rsid w:val="003373D6"/>
    <w:rsid w:val="003404E0"/>
    <w:rsid w:val="00374B4E"/>
    <w:rsid w:val="00380343"/>
    <w:rsid w:val="0040212C"/>
    <w:rsid w:val="004028AB"/>
    <w:rsid w:val="00415DE5"/>
    <w:rsid w:val="00416F99"/>
    <w:rsid w:val="00426779"/>
    <w:rsid w:val="004306F6"/>
    <w:rsid w:val="00440D48"/>
    <w:rsid w:val="00447259"/>
    <w:rsid w:val="00455602"/>
    <w:rsid w:val="00457111"/>
    <w:rsid w:val="004C786C"/>
    <w:rsid w:val="004D089A"/>
    <w:rsid w:val="004D08B9"/>
    <w:rsid w:val="004D7F59"/>
    <w:rsid w:val="004E0069"/>
    <w:rsid w:val="004E3C68"/>
    <w:rsid w:val="00537911"/>
    <w:rsid w:val="00543471"/>
    <w:rsid w:val="00545351"/>
    <w:rsid w:val="00554D3B"/>
    <w:rsid w:val="0055533A"/>
    <w:rsid w:val="00565B32"/>
    <w:rsid w:val="00586250"/>
    <w:rsid w:val="005868A5"/>
    <w:rsid w:val="00594690"/>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102F7"/>
    <w:rsid w:val="0072214E"/>
    <w:rsid w:val="00723073"/>
    <w:rsid w:val="00760EF7"/>
    <w:rsid w:val="007864B2"/>
    <w:rsid w:val="007904D9"/>
    <w:rsid w:val="00790677"/>
    <w:rsid w:val="007945D5"/>
    <w:rsid w:val="007B3AC8"/>
    <w:rsid w:val="007B64FA"/>
    <w:rsid w:val="007C6F17"/>
    <w:rsid w:val="007C7E9A"/>
    <w:rsid w:val="007D6CB6"/>
    <w:rsid w:val="007F73A8"/>
    <w:rsid w:val="007F7CC9"/>
    <w:rsid w:val="008034F2"/>
    <w:rsid w:val="00803AC5"/>
    <w:rsid w:val="00816FD6"/>
    <w:rsid w:val="00825994"/>
    <w:rsid w:val="00843144"/>
    <w:rsid w:val="00845377"/>
    <w:rsid w:val="008513AC"/>
    <w:rsid w:val="0085465F"/>
    <w:rsid w:val="00856FD2"/>
    <w:rsid w:val="008801D1"/>
    <w:rsid w:val="0088554A"/>
    <w:rsid w:val="0088763F"/>
    <w:rsid w:val="008A5DEB"/>
    <w:rsid w:val="008B5ACC"/>
    <w:rsid w:val="008E3CB1"/>
    <w:rsid w:val="008E412D"/>
    <w:rsid w:val="008F5875"/>
    <w:rsid w:val="00904736"/>
    <w:rsid w:val="00943879"/>
    <w:rsid w:val="00950EC0"/>
    <w:rsid w:val="009531CC"/>
    <w:rsid w:val="0096530A"/>
    <w:rsid w:val="00966212"/>
    <w:rsid w:val="009743A3"/>
    <w:rsid w:val="009812E6"/>
    <w:rsid w:val="009A43A9"/>
    <w:rsid w:val="009C2D10"/>
    <w:rsid w:val="009E3D0E"/>
    <w:rsid w:val="009F2B6B"/>
    <w:rsid w:val="009F7D40"/>
    <w:rsid w:val="00A23639"/>
    <w:rsid w:val="00A323A6"/>
    <w:rsid w:val="00A46319"/>
    <w:rsid w:val="00A47979"/>
    <w:rsid w:val="00A646F2"/>
    <w:rsid w:val="00A64B18"/>
    <w:rsid w:val="00A740CF"/>
    <w:rsid w:val="00A77C3D"/>
    <w:rsid w:val="00A8102C"/>
    <w:rsid w:val="00A81DB7"/>
    <w:rsid w:val="00AA6091"/>
    <w:rsid w:val="00AB1C8A"/>
    <w:rsid w:val="00AB3A46"/>
    <w:rsid w:val="00AB3C37"/>
    <w:rsid w:val="00AD640C"/>
    <w:rsid w:val="00AF3039"/>
    <w:rsid w:val="00B0225F"/>
    <w:rsid w:val="00B24707"/>
    <w:rsid w:val="00B53321"/>
    <w:rsid w:val="00B550A1"/>
    <w:rsid w:val="00B62108"/>
    <w:rsid w:val="00B64D28"/>
    <w:rsid w:val="00B65313"/>
    <w:rsid w:val="00B76A79"/>
    <w:rsid w:val="00B81E85"/>
    <w:rsid w:val="00BD6A3C"/>
    <w:rsid w:val="00BF5700"/>
    <w:rsid w:val="00BF6958"/>
    <w:rsid w:val="00C0224F"/>
    <w:rsid w:val="00C0248A"/>
    <w:rsid w:val="00C2527C"/>
    <w:rsid w:val="00C325CE"/>
    <w:rsid w:val="00C52E22"/>
    <w:rsid w:val="00C6418B"/>
    <w:rsid w:val="00C81D69"/>
    <w:rsid w:val="00C85828"/>
    <w:rsid w:val="00C95DCB"/>
    <w:rsid w:val="00CB2D94"/>
    <w:rsid w:val="00CB57C4"/>
    <w:rsid w:val="00CB5DC2"/>
    <w:rsid w:val="00CC65DD"/>
    <w:rsid w:val="00CD3539"/>
    <w:rsid w:val="00CE00CC"/>
    <w:rsid w:val="00CF0A03"/>
    <w:rsid w:val="00D07255"/>
    <w:rsid w:val="00D11AD1"/>
    <w:rsid w:val="00D216F2"/>
    <w:rsid w:val="00D33931"/>
    <w:rsid w:val="00D40365"/>
    <w:rsid w:val="00D40DC9"/>
    <w:rsid w:val="00D63869"/>
    <w:rsid w:val="00D63F6F"/>
    <w:rsid w:val="00D71852"/>
    <w:rsid w:val="00D84073"/>
    <w:rsid w:val="00DA6CC1"/>
    <w:rsid w:val="00DB4EDC"/>
    <w:rsid w:val="00DC5FEE"/>
    <w:rsid w:val="00DE04EC"/>
    <w:rsid w:val="00E13972"/>
    <w:rsid w:val="00E218D8"/>
    <w:rsid w:val="00E244E1"/>
    <w:rsid w:val="00E6012A"/>
    <w:rsid w:val="00E95F05"/>
    <w:rsid w:val="00EA446C"/>
    <w:rsid w:val="00ED503D"/>
    <w:rsid w:val="00EE2361"/>
    <w:rsid w:val="00EE684D"/>
    <w:rsid w:val="00EF4C96"/>
    <w:rsid w:val="00EF69BD"/>
    <w:rsid w:val="00F208F7"/>
    <w:rsid w:val="00F3202B"/>
    <w:rsid w:val="00F51BCF"/>
    <w:rsid w:val="00F65F09"/>
    <w:rsid w:val="00FA3C17"/>
    <w:rsid w:val="00FB5E6E"/>
    <w:rsid w:val="00FC4871"/>
    <w:rsid w:val="00FE7076"/>
    <w:rsid w:val="00FF3128"/>
    <w:rsid w:val="00FF3BE7"/>
    <w:rsid w:val="00FF6A25"/>
    <w:rsid w:val="01761E20"/>
    <w:rsid w:val="017F5DEB"/>
    <w:rsid w:val="01BB46AD"/>
    <w:rsid w:val="01EC48C4"/>
    <w:rsid w:val="01F25D3F"/>
    <w:rsid w:val="02887AD3"/>
    <w:rsid w:val="030B27B4"/>
    <w:rsid w:val="0331363F"/>
    <w:rsid w:val="033C7949"/>
    <w:rsid w:val="037D6499"/>
    <w:rsid w:val="03936CB9"/>
    <w:rsid w:val="03D10E79"/>
    <w:rsid w:val="03D26FD0"/>
    <w:rsid w:val="03E30F7F"/>
    <w:rsid w:val="04114082"/>
    <w:rsid w:val="04567CE7"/>
    <w:rsid w:val="0490144A"/>
    <w:rsid w:val="0491089C"/>
    <w:rsid w:val="04B75B22"/>
    <w:rsid w:val="04D91551"/>
    <w:rsid w:val="04DF2BB8"/>
    <w:rsid w:val="04E76F09"/>
    <w:rsid w:val="052A0790"/>
    <w:rsid w:val="05431091"/>
    <w:rsid w:val="05B64EE1"/>
    <w:rsid w:val="05CE2E56"/>
    <w:rsid w:val="05E61A1E"/>
    <w:rsid w:val="05ED1D5C"/>
    <w:rsid w:val="05FB0548"/>
    <w:rsid w:val="05FD5DDE"/>
    <w:rsid w:val="0660677A"/>
    <w:rsid w:val="06A31671"/>
    <w:rsid w:val="06FC7C8A"/>
    <w:rsid w:val="071E2160"/>
    <w:rsid w:val="076B2344"/>
    <w:rsid w:val="07765EF3"/>
    <w:rsid w:val="07B05786"/>
    <w:rsid w:val="07EC0192"/>
    <w:rsid w:val="07FF43FD"/>
    <w:rsid w:val="081D2278"/>
    <w:rsid w:val="082846E4"/>
    <w:rsid w:val="08602454"/>
    <w:rsid w:val="08C14098"/>
    <w:rsid w:val="09073CCF"/>
    <w:rsid w:val="092108C3"/>
    <w:rsid w:val="097053A7"/>
    <w:rsid w:val="098D089A"/>
    <w:rsid w:val="098F7F23"/>
    <w:rsid w:val="09BB6192"/>
    <w:rsid w:val="09C5548B"/>
    <w:rsid w:val="09C92F93"/>
    <w:rsid w:val="09D04097"/>
    <w:rsid w:val="09E30536"/>
    <w:rsid w:val="09F20409"/>
    <w:rsid w:val="09F558AC"/>
    <w:rsid w:val="0A2E357E"/>
    <w:rsid w:val="0A5B3FCC"/>
    <w:rsid w:val="0A6D18E6"/>
    <w:rsid w:val="0A8F762F"/>
    <w:rsid w:val="0AAE3C53"/>
    <w:rsid w:val="0ABD3615"/>
    <w:rsid w:val="0B1227AF"/>
    <w:rsid w:val="0B8A532E"/>
    <w:rsid w:val="0C18633A"/>
    <w:rsid w:val="0C1C7A68"/>
    <w:rsid w:val="0C310979"/>
    <w:rsid w:val="0C3A3FB3"/>
    <w:rsid w:val="0C427E66"/>
    <w:rsid w:val="0C505A27"/>
    <w:rsid w:val="0C516EDE"/>
    <w:rsid w:val="0C6A6969"/>
    <w:rsid w:val="0C6E0C68"/>
    <w:rsid w:val="0C992E66"/>
    <w:rsid w:val="0CE71E24"/>
    <w:rsid w:val="0CEC15E1"/>
    <w:rsid w:val="0CF939CA"/>
    <w:rsid w:val="0D0B4B0C"/>
    <w:rsid w:val="0D1349C7"/>
    <w:rsid w:val="0D874C36"/>
    <w:rsid w:val="0D972117"/>
    <w:rsid w:val="0DC67D96"/>
    <w:rsid w:val="0DF87BB1"/>
    <w:rsid w:val="0DFD4B52"/>
    <w:rsid w:val="0E267459"/>
    <w:rsid w:val="0E5B4877"/>
    <w:rsid w:val="0E681A7D"/>
    <w:rsid w:val="0EA868A2"/>
    <w:rsid w:val="0EC00B7E"/>
    <w:rsid w:val="0ECC58C0"/>
    <w:rsid w:val="0ECF0DC1"/>
    <w:rsid w:val="0F060549"/>
    <w:rsid w:val="0F07037D"/>
    <w:rsid w:val="0F0A004B"/>
    <w:rsid w:val="0F3F7BE9"/>
    <w:rsid w:val="0F4F723E"/>
    <w:rsid w:val="0F662E78"/>
    <w:rsid w:val="0F786710"/>
    <w:rsid w:val="0F7C234B"/>
    <w:rsid w:val="0F901F0C"/>
    <w:rsid w:val="0FED4B82"/>
    <w:rsid w:val="10182CDD"/>
    <w:rsid w:val="103460AC"/>
    <w:rsid w:val="10366AD9"/>
    <w:rsid w:val="10572E1C"/>
    <w:rsid w:val="1058744B"/>
    <w:rsid w:val="109E6BE9"/>
    <w:rsid w:val="10A43B1F"/>
    <w:rsid w:val="10C55145"/>
    <w:rsid w:val="10D26947"/>
    <w:rsid w:val="111927C8"/>
    <w:rsid w:val="11487B02"/>
    <w:rsid w:val="11627CCB"/>
    <w:rsid w:val="11BD5413"/>
    <w:rsid w:val="1212349F"/>
    <w:rsid w:val="12463C8B"/>
    <w:rsid w:val="12543AB7"/>
    <w:rsid w:val="127A7296"/>
    <w:rsid w:val="127B3B25"/>
    <w:rsid w:val="127C6B6A"/>
    <w:rsid w:val="12AF2877"/>
    <w:rsid w:val="12BE3627"/>
    <w:rsid w:val="13045F1B"/>
    <w:rsid w:val="13673D62"/>
    <w:rsid w:val="136D16FB"/>
    <w:rsid w:val="13923D70"/>
    <w:rsid w:val="13CE1647"/>
    <w:rsid w:val="13FB7F63"/>
    <w:rsid w:val="14241007"/>
    <w:rsid w:val="14485C8E"/>
    <w:rsid w:val="14B305A3"/>
    <w:rsid w:val="14CD5DA3"/>
    <w:rsid w:val="14DD20DB"/>
    <w:rsid w:val="14F5516F"/>
    <w:rsid w:val="155E6DA8"/>
    <w:rsid w:val="158339DD"/>
    <w:rsid w:val="158E0134"/>
    <w:rsid w:val="159422B6"/>
    <w:rsid w:val="15A054D7"/>
    <w:rsid w:val="15A13EAF"/>
    <w:rsid w:val="15AA1C40"/>
    <w:rsid w:val="15D35728"/>
    <w:rsid w:val="162B2AC3"/>
    <w:rsid w:val="165B41C2"/>
    <w:rsid w:val="167B2CE0"/>
    <w:rsid w:val="167C4F45"/>
    <w:rsid w:val="16CB00C0"/>
    <w:rsid w:val="16EF5A51"/>
    <w:rsid w:val="17066772"/>
    <w:rsid w:val="1732013F"/>
    <w:rsid w:val="17326590"/>
    <w:rsid w:val="17677C2F"/>
    <w:rsid w:val="176D5E03"/>
    <w:rsid w:val="17B86896"/>
    <w:rsid w:val="17E53404"/>
    <w:rsid w:val="186073E5"/>
    <w:rsid w:val="186A2DD3"/>
    <w:rsid w:val="18820C52"/>
    <w:rsid w:val="188E0351"/>
    <w:rsid w:val="197D38C3"/>
    <w:rsid w:val="19906060"/>
    <w:rsid w:val="19921369"/>
    <w:rsid w:val="1A06434C"/>
    <w:rsid w:val="1A147FD0"/>
    <w:rsid w:val="1A396AE4"/>
    <w:rsid w:val="1A413B91"/>
    <w:rsid w:val="1AC366BD"/>
    <w:rsid w:val="1AC64A4D"/>
    <w:rsid w:val="1AE322D1"/>
    <w:rsid w:val="1B016E94"/>
    <w:rsid w:val="1B2A56D2"/>
    <w:rsid w:val="1B381927"/>
    <w:rsid w:val="1B441E62"/>
    <w:rsid w:val="1B6207EC"/>
    <w:rsid w:val="1B7E3953"/>
    <w:rsid w:val="1BAF4334"/>
    <w:rsid w:val="1BC3716B"/>
    <w:rsid w:val="1BD215E2"/>
    <w:rsid w:val="1BF754B3"/>
    <w:rsid w:val="1C0F1574"/>
    <w:rsid w:val="1C3E6079"/>
    <w:rsid w:val="1C450915"/>
    <w:rsid w:val="1C625023"/>
    <w:rsid w:val="1CA532CE"/>
    <w:rsid w:val="1CB02280"/>
    <w:rsid w:val="1D0F39CD"/>
    <w:rsid w:val="1D197A13"/>
    <w:rsid w:val="1D1C40BA"/>
    <w:rsid w:val="1D284742"/>
    <w:rsid w:val="1D3249F5"/>
    <w:rsid w:val="1D47584C"/>
    <w:rsid w:val="1D5319AE"/>
    <w:rsid w:val="1D54181B"/>
    <w:rsid w:val="1D6E1B21"/>
    <w:rsid w:val="1D772D50"/>
    <w:rsid w:val="1D7A2848"/>
    <w:rsid w:val="1D9828ED"/>
    <w:rsid w:val="1D9D08B9"/>
    <w:rsid w:val="1DB21FDA"/>
    <w:rsid w:val="1DB32CE0"/>
    <w:rsid w:val="1DC046F7"/>
    <w:rsid w:val="1DFC3255"/>
    <w:rsid w:val="1E041AD4"/>
    <w:rsid w:val="1E2C3B3A"/>
    <w:rsid w:val="1EAD14C2"/>
    <w:rsid w:val="1ECC2190"/>
    <w:rsid w:val="1F073C5F"/>
    <w:rsid w:val="1F10520A"/>
    <w:rsid w:val="1F1545CE"/>
    <w:rsid w:val="1F3F16A4"/>
    <w:rsid w:val="1FAD0CAB"/>
    <w:rsid w:val="1FBE0451"/>
    <w:rsid w:val="1FCB7383"/>
    <w:rsid w:val="1FD0596B"/>
    <w:rsid w:val="1FFE648A"/>
    <w:rsid w:val="1FFE7559"/>
    <w:rsid w:val="20223C23"/>
    <w:rsid w:val="20227854"/>
    <w:rsid w:val="208A3636"/>
    <w:rsid w:val="20903C07"/>
    <w:rsid w:val="209B6D55"/>
    <w:rsid w:val="20BD316F"/>
    <w:rsid w:val="20BF39F0"/>
    <w:rsid w:val="20E24ED6"/>
    <w:rsid w:val="20E27723"/>
    <w:rsid w:val="21657670"/>
    <w:rsid w:val="216A6484"/>
    <w:rsid w:val="21C522FE"/>
    <w:rsid w:val="21F60830"/>
    <w:rsid w:val="2254540E"/>
    <w:rsid w:val="229067C3"/>
    <w:rsid w:val="229909F6"/>
    <w:rsid w:val="22A31F71"/>
    <w:rsid w:val="22B8730D"/>
    <w:rsid w:val="22C55E3C"/>
    <w:rsid w:val="22C977AC"/>
    <w:rsid w:val="23322043"/>
    <w:rsid w:val="237B711D"/>
    <w:rsid w:val="23C400B2"/>
    <w:rsid w:val="23E87E50"/>
    <w:rsid w:val="23F17818"/>
    <w:rsid w:val="24423AC7"/>
    <w:rsid w:val="246A5004"/>
    <w:rsid w:val="251B2B2D"/>
    <w:rsid w:val="255A7EB4"/>
    <w:rsid w:val="25AB7A3A"/>
    <w:rsid w:val="25CE5FB4"/>
    <w:rsid w:val="25E57747"/>
    <w:rsid w:val="26072CE7"/>
    <w:rsid w:val="261C669C"/>
    <w:rsid w:val="26382098"/>
    <w:rsid w:val="268A7862"/>
    <w:rsid w:val="26B3073B"/>
    <w:rsid w:val="26D22DA5"/>
    <w:rsid w:val="270F6E14"/>
    <w:rsid w:val="277246F6"/>
    <w:rsid w:val="27826579"/>
    <w:rsid w:val="27AC163D"/>
    <w:rsid w:val="27BB7CDD"/>
    <w:rsid w:val="27C748D4"/>
    <w:rsid w:val="27E4011C"/>
    <w:rsid w:val="283D6BE2"/>
    <w:rsid w:val="28F92927"/>
    <w:rsid w:val="28FC453F"/>
    <w:rsid w:val="29583C63"/>
    <w:rsid w:val="29AD0282"/>
    <w:rsid w:val="29C260B1"/>
    <w:rsid w:val="2A3049B2"/>
    <w:rsid w:val="2A447A2D"/>
    <w:rsid w:val="2A790107"/>
    <w:rsid w:val="2AD6263E"/>
    <w:rsid w:val="2B3C2072"/>
    <w:rsid w:val="2B563FA5"/>
    <w:rsid w:val="2B590518"/>
    <w:rsid w:val="2B7060E0"/>
    <w:rsid w:val="2BF45A3E"/>
    <w:rsid w:val="2BFC16F4"/>
    <w:rsid w:val="2C175B64"/>
    <w:rsid w:val="2C1B0D4A"/>
    <w:rsid w:val="2C574478"/>
    <w:rsid w:val="2C591244"/>
    <w:rsid w:val="2C76033D"/>
    <w:rsid w:val="2CA451E4"/>
    <w:rsid w:val="2CF83555"/>
    <w:rsid w:val="2D3D1686"/>
    <w:rsid w:val="2D3E73E6"/>
    <w:rsid w:val="2D4A7B39"/>
    <w:rsid w:val="2D7F749B"/>
    <w:rsid w:val="2D8730D6"/>
    <w:rsid w:val="2D9D1B14"/>
    <w:rsid w:val="2DF3510D"/>
    <w:rsid w:val="2EF74361"/>
    <w:rsid w:val="2F126434"/>
    <w:rsid w:val="2F7E3ACA"/>
    <w:rsid w:val="2F9E3139"/>
    <w:rsid w:val="2FB83480"/>
    <w:rsid w:val="2FE158BE"/>
    <w:rsid w:val="3031382E"/>
    <w:rsid w:val="30385AFD"/>
    <w:rsid w:val="305F0FC2"/>
    <w:rsid w:val="30A91ED7"/>
    <w:rsid w:val="30A94492"/>
    <w:rsid w:val="30C710C0"/>
    <w:rsid w:val="30F54260"/>
    <w:rsid w:val="310C7A3F"/>
    <w:rsid w:val="312468F3"/>
    <w:rsid w:val="31C35B2C"/>
    <w:rsid w:val="31EF1D56"/>
    <w:rsid w:val="32E9317E"/>
    <w:rsid w:val="32F967E0"/>
    <w:rsid w:val="33042538"/>
    <w:rsid w:val="33072028"/>
    <w:rsid w:val="333A1A71"/>
    <w:rsid w:val="33556A97"/>
    <w:rsid w:val="33E92C8F"/>
    <w:rsid w:val="33ED5256"/>
    <w:rsid w:val="342C4FCD"/>
    <w:rsid w:val="34963664"/>
    <w:rsid w:val="34A55F9D"/>
    <w:rsid w:val="34C957E7"/>
    <w:rsid w:val="3529097C"/>
    <w:rsid w:val="35BA2E11"/>
    <w:rsid w:val="360D03D3"/>
    <w:rsid w:val="361F4987"/>
    <w:rsid w:val="368220F2"/>
    <w:rsid w:val="369C2FBB"/>
    <w:rsid w:val="36AB3842"/>
    <w:rsid w:val="36CD1045"/>
    <w:rsid w:val="371A713B"/>
    <w:rsid w:val="37264D8C"/>
    <w:rsid w:val="372F60EF"/>
    <w:rsid w:val="37B861EF"/>
    <w:rsid w:val="37EB761E"/>
    <w:rsid w:val="38726948"/>
    <w:rsid w:val="38744111"/>
    <w:rsid w:val="38A10829"/>
    <w:rsid w:val="38EF64BB"/>
    <w:rsid w:val="390D52BD"/>
    <w:rsid w:val="391457D8"/>
    <w:rsid w:val="39202C52"/>
    <w:rsid w:val="392E0867"/>
    <w:rsid w:val="3956044B"/>
    <w:rsid w:val="39775FC0"/>
    <w:rsid w:val="39B3514F"/>
    <w:rsid w:val="39F86FD6"/>
    <w:rsid w:val="3A2C34BF"/>
    <w:rsid w:val="3A3C0765"/>
    <w:rsid w:val="3A3C1712"/>
    <w:rsid w:val="3A5D6A1D"/>
    <w:rsid w:val="3A625371"/>
    <w:rsid w:val="3A881CA1"/>
    <w:rsid w:val="3AA21B51"/>
    <w:rsid w:val="3AA5246D"/>
    <w:rsid w:val="3AC727C9"/>
    <w:rsid w:val="3AE0388B"/>
    <w:rsid w:val="3AF807CF"/>
    <w:rsid w:val="3B163750"/>
    <w:rsid w:val="3B234380"/>
    <w:rsid w:val="3B530501"/>
    <w:rsid w:val="3B53405D"/>
    <w:rsid w:val="3B555854"/>
    <w:rsid w:val="3B8159AD"/>
    <w:rsid w:val="3BDB1E27"/>
    <w:rsid w:val="3C035F2D"/>
    <w:rsid w:val="3C727629"/>
    <w:rsid w:val="3C876996"/>
    <w:rsid w:val="3C986999"/>
    <w:rsid w:val="3CA336DA"/>
    <w:rsid w:val="3CC176EC"/>
    <w:rsid w:val="3CD10CF6"/>
    <w:rsid w:val="3CEA3F3E"/>
    <w:rsid w:val="3CFC4FCB"/>
    <w:rsid w:val="3D461FE9"/>
    <w:rsid w:val="3D5D55F1"/>
    <w:rsid w:val="3DA46DF1"/>
    <w:rsid w:val="3DAF2A38"/>
    <w:rsid w:val="3DE12A36"/>
    <w:rsid w:val="3DE37306"/>
    <w:rsid w:val="3DFE0BF8"/>
    <w:rsid w:val="3E1E7FD8"/>
    <w:rsid w:val="3E4B1963"/>
    <w:rsid w:val="3E5E2BF7"/>
    <w:rsid w:val="3ED01E68"/>
    <w:rsid w:val="3ED15377"/>
    <w:rsid w:val="3EF91090"/>
    <w:rsid w:val="3F2E5BE4"/>
    <w:rsid w:val="3F300ECA"/>
    <w:rsid w:val="3F506C1B"/>
    <w:rsid w:val="3F5347AD"/>
    <w:rsid w:val="3F690088"/>
    <w:rsid w:val="3F6F6BFE"/>
    <w:rsid w:val="3F953D31"/>
    <w:rsid w:val="3FA90294"/>
    <w:rsid w:val="403B1D17"/>
    <w:rsid w:val="40771850"/>
    <w:rsid w:val="413B52B3"/>
    <w:rsid w:val="41614FF9"/>
    <w:rsid w:val="4170505D"/>
    <w:rsid w:val="41CC4B69"/>
    <w:rsid w:val="4226071D"/>
    <w:rsid w:val="427D2184"/>
    <w:rsid w:val="42935686"/>
    <w:rsid w:val="42963E29"/>
    <w:rsid w:val="42C44479"/>
    <w:rsid w:val="42DA1507"/>
    <w:rsid w:val="432D1637"/>
    <w:rsid w:val="43402B23"/>
    <w:rsid w:val="4348021F"/>
    <w:rsid w:val="435412BA"/>
    <w:rsid w:val="436E75F6"/>
    <w:rsid w:val="439324B3"/>
    <w:rsid w:val="43947908"/>
    <w:rsid w:val="43D917BF"/>
    <w:rsid w:val="43E03479"/>
    <w:rsid w:val="43E445C7"/>
    <w:rsid w:val="43E6398E"/>
    <w:rsid w:val="4416031D"/>
    <w:rsid w:val="44253D83"/>
    <w:rsid w:val="4436254A"/>
    <w:rsid w:val="44784B34"/>
    <w:rsid w:val="44AD1D09"/>
    <w:rsid w:val="44C304A5"/>
    <w:rsid w:val="44CE0BF8"/>
    <w:rsid w:val="44DC3678"/>
    <w:rsid w:val="45246A6A"/>
    <w:rsid w:val="456F064C"/>
    <w:rsid w:val="457C0654"/>
    <w:rsid w:val="45A3734C"/>
    <w:rsid w:val="45C00171"/>
    <w:rsid w:val="45C30031"/>
    <w:rsid w:val="45D77706"/>
    <w:rsid w:val="45D97854"/>
    <w:rsid w:val="465A557C"/>
    <w:rsid w:val="465C62D1"/>
    <w:rsid w:val="468277A6"/>
    <w:rsid w:val="46AF05B5"/>
    <w:rsid w:val="46CC1183"/>
    <w:rsid w:val="46E100CE"/>
    <w:rsid w:val="46EC7FE4"/>
    <w:rsid w:val="470041B9"/>
    <w:rsid w:val="470A37CB"/>
    <w:rsid w:val="471065C1"/>
    <w:rsid w:val="474B668E"/>
    <w:rsid w:val="47513D55"/>
    <w:rsid w:val="47613CD4"/>
    <w:rsid w:val="476D389D"/>
    <w:rsid w:val="47727F60"/>
    <w:rsid w:val="478D6B48"/>
    <w:rsid w:val="47A80F21"/>
    <w:rsid w:val="47BB36B5"/>
    <w:rsid w:val="47D70C84"/>
    <w:rsid w:val="48127A27"/>
    <w:rsid w:val="489A5724"/>
    <w:rsid w:val="48BD66B3"/>
    <w:rsid w:val="48F51F2E"/>
    <w:rsid w:val="492F7B56"/>
    <w:rsid w:val="496B2686"/>
    <w:rsid w:val="49A40179"/>
    <w:rsid w:val="49D0711D"/>
    <w:rsid w:val="49D404BD"/>
    <w:rsid w:val="49D56017"/>
    <w:rsid w:val="4A344080"/>
    <w:rsid w:val="4A4A2ACF"/>
    <w:rsid w:val="4A620CAF"/>
    <w:rsid w:val="4A8561FD"/>
    <w:rsid w:val="4AD4683C"/>
    <w:rsid w:val="4AD82D68"/>
    <w:rsid w:val="4ADC7B71"/>
    <w:rsid w:val="4AF56EDE"/>
    <w:rsid w:val="4AF72B5A"/>
    <w:rsid w:val="4AFB1112"/>
    <w:rsid w:val="4B3C2D5F"/>
    <w:rsid w:val="4B616322"/>
    <w:rsid w:val="4B702A09"/>
    <w:rsid w:val="4B8C5D00"/>
    <w:rsid w:val="4B8D43FD"/>
    <w:rsid w:val="4BE43C24"/>
    <w:rsid w:val="4BEC17FB"/>
    <w:rsid w:val="4BFF496C"/>
    <w:rsid w:val="4C220D30"/>
    <w:rsid w:val="4C40062D"/>
    <w:rsid w:val="4CAE158F"/>
    <w:rsid w:val="4CB021E0"/>
    <w:rsid w:val="4D124C43"/>
    <w:rsid w:val="4D2910C1"/>
    <w:rsid w:val="4D310DD6"/>
    <w:rsid w:val="4D44381F"/>
    <w:rsid w:val="4D61265D"/>
    <w:rsid w:val="4D7D6FB8"/>
    <w:rsid w:val="4D911D5D"/>
    <w:rsid w:val="4DBC4774"/>
    <w:rsid w:val="4DF842F9"/>
    <w:rsid w:val="4E56050F"/>
    <w:rsid w:val="4E696E34"/>
    <w:rsid w:val="4E6A7E03"/>
    <w:rsid w:val="4EBF72A0"/>
    <w:rsid w:val="4EC05A55"/>
    <w:rsid w:val="4ECC5230"/>
    <w:rsid w:val="4ECF324C"/>
    <w:rsid w:val="4ED129DC"/>
    <w:rsid w:val="4EFA5461"/>
    <w:rsid w:val="4F0A6EB0"/>
    <w:rsid w:val="4F0C54EA"/>
    <w:rsid w:val="4F757F77"/>
    <w:rsid w:val="4F7E2D86"/>
    <w:rsid w:val="4F812774"/>
    <w:rsid w:val="4F9A3C1C"/>
    <w:rsid w:val="4FAF2FEB"/>
    <w:rsid w:val="50270332"/>
    <w:rsid w:val="502C43D7"/>
    <w:rsid w:val="506C6001"/>
    <w:rsid w:val="50EB62AD"/>
    <w:rsid w:val="50FF0BE7"/>
    <w:rsid w:val="511E2E66"/>
    <w:rsid w:val="52340C90"/>
    <w:rsid w:val="524719CE"/>
    <w:rsid w:val="5251711B"/>
    <w:rsid w:val="52800678"/>
    <w:rsid w:val="529E1C09"/>
    <w:rsid w:val="52BE51C9"/>
    <w:rsid w:val="52DC0984"/>
    <w:rsid w:val="52E652B7"/>
    <w:rsid w:val="53431C23"/>
    <w:rsid w:val="53627F46"/>
    <w:rsid w:val="536B75FD"/>
    <w:rsid w:val="53803A05"/>
    <w:rsid w:val="539D2F78"/>
    <w:rsid w:val="53C30D79"/>
    <w:rsid w:val="53C54A02"/>
    <w:rsid w:val="53E72E6F"/>
    <w:rsid w:val="5422686A"/>
    <w:rsid w:val="542D7105"/>
    <w:rsid w:val="543A1E06"/>
    <w:rsid w:val="546D7960"/>
    <w:rsid w:val="5472193F"/>
    <w:rsid w:val="547C41CC"/>
    <w:rsid w:val="54B2462F"/>
    <w:rsid w:val="54FC5FD4"/>
    <w:rsid w:val="55045144"/>
    <w:rsid w:val="550C4C66"/>
    <w:rsid w:val="554A4CFB"/>
    <w:rsid w:val="55515659"/>
    <w:rsid w:val="55594EB2"/>
    <w:rsid w:val="55B87A7F"/>
    <w:rsid w:val="56326E52"/>
    <w:rsid w:val="5643634F"/>
    <w:rsid w:val="56AC5924"/>
    <w:rsid w:val="56CE0279"/>
    <w:rsid w:val="56F03878"/>
    <w:rsid w:val="56F36AE0"/>
    <w:rsid w:val="571166BB"/>
    <w:rsid w:val="57153957"/>
    <w:rsid w:val="57402C2A"/>
    <w:rsid w:val="57AF2B0B"/>
    <w:rsid w:val="580446CF"/>
    <w:rsid w:val="581971D9"/>
    <w:rsid w:val="582B07DD"/>
    <w:rsid w:val="58421C40"/>
    <w:rsid w:val="588A2BAD"/>
    <w:rsid w:val="589A33ED"/>
    <w:rsid w:val="58DC78DE"/>
    <w:rsid w:val="590669A7"/>
    <w:rsid w:val="59211E00"/>
    <w:rsid w:val="59452011"/>
    <w:rsid w:val="5954688A"/>
    <w:rsid w:val="595B1BDE"/>
    <w:rsid w:val="596B518E"/>
    <w:rsid w:val="59830E7B"/>
    <w:rsid w:val="59B12584"/>
    <w:rsid w:val="59BC5A1F"/>
    <w:rsid w:val="59D47661"/>
    <w:rsid w:val="59D86987"/>
    <w:rsid w:val="59E27762"/>
    <w:rsid w:val="59E3084A"/>
    <w:rsid w:val="59F45525"/>
    <w:rsid w:val="5A083D04"/>
    <w:rsid w:val="5A0C7DA1"/>
    <w:rsid w:val="5A160C1F"/>
    <w:rsid w:val="5A1A4674"/>
    <w:rsid w:val="5A2A24DF"/>
    <w:rsid w:val="5A6545DD"/>
    <w:rsid w:val="5A8E216B"/>
    <w:rsid w:val="5AD2186D"/>
    <w:rsid w:val="5AEE394A"/>
    <w:rsid w:val="5B4F06A8"/>
    <w:rsid w:val="5B5A608F"/>
    <w:rsid w:val="5B747772"/>
    <w:rsid w:val="5B850A4E"/>
    <w:rsid w:val="5B955B74"/>
    <w:rsid w:val="5BCB0E44"/>
    <w:rsid w:val="5C567C46"/>
    <w:rsid w:val="5C7775F7"/>
    <w:rsid w:val="5C7900C1"/>
    <w:rsid w:val="5C9347A9"/>
    <w:rsid w:val="5CE9261B"/>
    <w:rsid w:val="5CFC0D17"/>
    <w:rsid w:val="5D1464F0"/>
    <w:rsid w:val="5D155870"/>
    <w:rsid w:val="5D181187"/>
    <w:rsid w:val="5D487E9E"/>
    <w:rsid w:val="5D902A97"/>
    <w:rsid w:val="5DA82EFC"/>
    <w:rsid w:val="5DB42C29"/>
    <w:rsid w:val="5DE51034"/>
    <w:rsid w:val="5E0A56D8"/>
    <w:rsid w:val="5E127BB5"/>
    <w:rsid w:val="5E231B53"/>
    <w:rsid w:val="5E323B4E"/>
    <w:rsid w:val="5E7662CF"/>
    <w:rsid w:val="5E816D45"/>
    <w:rsid w:val="5E9D79D9"/>
    <w:rsid w:val="5E9E38C2"/>
    <w:rsid w:val="5ED35331"/>
    <w:rsid w:val="5EFC5236"/>
    <w:rsid w:val="5F2E2567"/>
    <w:rsid w:val="5F5A12EF"/>
    <w:rsid w:val="5F5A79D9"/>
    <w:rsid w:val="5FAD914B"/>
    <w:rsid w:val="603273B0"/>
    <w:rsid w:val="6037544B"/>
    <w:rsid w:val="60597AB8"/>
    <w:rsid w:val="607B7A2E"/>
    <w:rsid w:val="60B60A66"/>
    <w:rsid w:val="610A28DB"/>
    <w:rsid w:val="610B0C87"/>
    <w:rsid w:val="6110461A"/>
    <w:rsid w:val="61213F4D"/>
    <w:rsid w:val="612E62A0"/>
    <w:rsid w:val="61D23BFA"/>
    <w:rsid w:val="61DB339D"/>
    <w:rsid w:val="61EF472C"/>
    <w:rsid w:val="620D0AAD"/>
    <w:rsid w:val="627B5EAC"/>
    <w:rsid w:val="62863EA7"/>
    <w:rsid w:val="62C109B8"/>
    <w:rsid w:val="62C93AD1"/>
    <w:rsid w:val="62EC5F9A"/>
    <w:rsid w:val="62F27F47"/>
    <w:rsid w:val="6336095D"/>
    <w:rsid w:val="63846BFA"/>
    <w:rsid w:val="63C164DF"/>
    <w:rsid w:val="63D95C29"/>
    <w:rsid w:val="63DE6C47"/>
    <w:rsid w:val="64122457"/>
    <w:rsid w:val="641E3D3F"/>
    <w:rsid w:val="64236413"/>
    <w:rsid w:val="644C622B"/>
    <w:rsid w:val="646A047C"/>
    <w:rsid w:val="647BD5A5"/>
    <w:rsid w:val="647C524D"/>
    <w:rsid w:val="647D3394"/>
    <w:rsid w:val="648B471A"/>
    <w:rsid w:val="651D2E62"/>
    <w:rsid w:val="65566EDF"/>
    <w:rsid w:val="65963DE7"/>
    <w:rsid w:val="65A05841"/>
    <w:rsid w:val="65A527FF"/>
    <w:rsid w:val="65DF15F8"/>
    <w:rsid w:val="65ED7E14"/>
    <w:rsid w:val="660051BA"/>
    <w:rsid w:val="66094F0E"/>
    <w:rsid w:val="662A6CE6"/>
    <w:rsid w:val="663A6376"/>
    <w:rsid w:val="66A0151D"/>
    <w:rsid w:val="66CF1987"/>
    <w:rsid w:val="66E81784"/>
    <w:rsid w:val="66F15393"/>
    <w:rsid w:val="670A1B0C"/>
    <w:rsid w:val="67292271"/>
    <w:rsid w:val="67373CC7"/>
    <w:rsid w:val="67F45BE3"/>
    <w:rsid w:val="6897562C"/>
    <w:rsid w:val="68C40AB4"/>
    <w:rsid w:val="692A3D9F"/>
    <w:rsid w:val="695F523B"/>
    <w:rsid w:val="69944611"/>
    <w:rsid w:val="699E17AC"/>
    <w:rsid w:val="69A70D43"/>
    <w:rsid w:val="69BE15AE"/>
    <w:rsid w:val="69F66F81"/>
    <w:rsid w:val="6A154999"/>
    <w:rsid w:val="6A5C599D"/>
    <w:rsid w:val="6A674B7F"/>
    <w:rsid w:val="6A723C50"/>
    <w:rsid w:val="6A854623"/>
    <w:rsid w:val="6AFF7643"/>
    <w:rsid w:val="6B0A2C53"/>
    <w:rsid w:val="6B4D303F"/>
    <w:rsid w:val="6B6873C7"/>
    <w:rsid w:val="6B824366"/>
    <w:rsid w:val="6BA77929"/>
    <w:rsid w:val="6BB612E3"/>
    <w:rsid w:val="6BDF5315"/>
    <w:rsid w:val="6C2067E8"/>
    <w:rsid w:val="6C273007"/>
    <w:rsid w:val="6C374FDE"/>
    <w:rsid w:val="6C3F36C6"/>
    <w:rsid w:val="6CA0067F"/>
    <w:rsid w:val="6CE801F9"/>
    <w:rsid w:val="6D430996"/>
    <w:rsid w:val="6D462990"/>
    <w:rsid w:val="6D952DD1"/>
    <w:rsid w:val="6DCF3167"/>
    <w:rsid w:val="6DDF784E"/>
    <w:rsid w:val="6E3C5818"/>
    <w:rsid w:val="6E8D2AF8"/>
    <w:rsid w:val="6ED80BC8"/>
    <w:rsid w:val="6EE82061"/>
    <w:rsid w:val="6F062BB9"/>
    <w:rsid w:val="6F326EF2"/>
    <w:rsid w:val="6F6224EC"/>
    <w:rsid w:val="6F827E21"/>
    <w:rsid w:val="6F937074"/>
    <w:rsid w:val="6FC211D5"/>
    <w:rsid w:val="6FF944CB"/>
    <w:rsid w:val="701E7D87"/>
    <w:rsid w:val="70840239"/>
    <w:rsid w:val="709C1C0D"/>
    <w:rsid w:val="70B54896"/>
    <w:rsid w:val="70C920F0"/>
    <w:rsid w:val="71257C6E"/>
    <w:rsid w:val="714869F9"/>
    <w:rsid w:val="718C54CF"/>
    <w:rsid w:val="71A93FA1"/>
    <w:rsid w:val="725D1CAC"/>
    <w:rsid w:val="726A11B6"/>
    <w:rsid w:val="727D7636"/>
    <w:rsid w:val="728A0C52"/>
    <w:rsid w:val="72B73991"/>
    <w:rsid w:val="72B837DC"/>
    <w:rsid w:val="72BE45FC"/>
    <w:rsid w:val="72CD1814"/>
    <w:rsid w:val="72D52EF9"/>
    <w:rsid w:val="73042D7F"/>
    <w:rsid w:val="73153377"/>
    <w:rsid w:val="7329373D"/>
    <w:rsid w:val="73671DCC"/>
    <w:rsid w:val="73781BAB"/>
    <w:rsid w:val="742B3070"/>
    <w:rsid w:val="74427E33"/>
    <w:rsid w:val="746A1F1D"/>
    <w:rsid w:val="747B3109"/>
    <w:rsid w:val="74980BA6"/>
    <w:rsid w:val="74C04833"/>
    <w:rsid w:val="74E03F88"/>
    <w:rsid w:val="75243D99"/>
    <w:rsid w:val="75271228"/>
    <w:rsid w:val="752970A1"/>
    <w:rsid w:val="753239AA"/>
    <w:rsid w:val="753D30AC"/>
    <w:rsid w:val="75660855"/>
    <w:rsid w:val="75C46D51"/>
    <w:rsid w:val="761B33ED"/>
    <w:rsid w:val="76416844"/>
    <w:rsid w:val="765D2BB8"/>
    <w:rsid w:val="76A07D97"/>
    <w:rsid w:val="76A84CD5"/>
    <w:rsid w:val="76BB279C"/>
    <w:rsid w:val="770136DA"/>
    <w:rsid w:val="7709593C"/>
    <w:rsid w:val="770F36A5"/>
    <w:rsid w:val="77377DC7"/>
    <w:rsid w:val="77404A94"/>
    <w:rsid w:val="777D1E86"/>
    <w:rsid w:val="7785374F"/>
    <w:rsid w:val="77AC55E5"/>
    <w:rsid w:val="78186DD1"/>
    <w:rsid w:val="781E639C"/>
    <w:rsid w:val="783C764B"/>
    <w:rsid w:val="7879264D"/>
    <w:rsid w:val="78947992"/>
    <w:rsid w:val="7896766E"/>
    <w:rsid w:val="78B13375"/>
    <w:rsid w:val="78D14237"/>
    <w:rsid w:val="795D5ACB"/>
    <w:rsid w:val="79632204"/>
    <w:rsid w:val="799D05BD"/>
    <w:rsid w:val="79A33E26"/>
    <w:rsid w:val="7A4C797B"/>
    <w:rsid w:val="7A623937"/>
    <w:rsid w:val="7B597D67"/>
    <w:rsid w:val="7B5D3170"/>
    <w:rsid w:val="7B717746"/>
    <w:rsid w:val="7BC938EC"/>
    <w:rsid w:val="7BFD53FA"/>
    <w:rsid w:val="7C572CA5"/>
    <w:rsid w:val="7C817D22"/>
    <w:rsid w:val="7C8E6467"/>
    <w:rsid w:val="7C983453"/>
    <w:rsid w:val="7CD662C0"/>
    <w:rsid w:val="7CE04A49"/>
    <w:rsid w:val="7CF07B71"/>
    <w:rsid w:val="7D7131C1"/>
    <w:rsid w:val="7D7B6E68"/>
    <w:rsid w:val="7D917B30"/>
    <w:rsid w:val="7D9D1C4C"/>
    <w:rsid w:val="7DA57A41"/>
    <w:rsid w:val="7E0D5208"/>
    <w:rsid w:val="7E226D6A"/>
    <w:rsid w:val="7E3E0029"/>
    <w:rsid w:val="7E6E560C"/>
    <w:rsid w:val="7E987C76"/>
    <w:rsid w:val="7EA47CF8"/>
    <w:rsid w:val="7EC00E1F"/>
    <w:rsid w:val="7EE344B2"/>
    <w:rsid w:val="7EE67BF7"/>
    <w:rsid w:val="7EFF642D"/>
    <w:rsid w:val="7F151AD5"/>
    <w:rsid w:val="7F211349"/>
    <w:rsid w:val="7F2C31B7"/>
    <w:rsid w:val="7F39127B"/>
    <w:rsid w:val="7F683F50"/>
    <w:rsid w:val="7F724BB2"/>
    <w:rsid w:val="7FE62BF0"/>
    <w:rsid w:val="8EFF79AE"/>
    <w:rsid w:val="BFE5B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jc w:val="center"/>
      <w:outlineLvl w:val="0"/>
    </w:pPr>
    <w:rPr>
      <w:b/>
      <w:bCs/>
      <w:sz w:val="24"/>
      <w:szCs w:val="20"/>
    </w:rPr>
  </w:style>
  <w:style w:type="paragraph" w:styleId="6">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7">
    <w:name w:val="heading 3"/>
    <w:basedOn w:val="1"/>
    <w:next w:val="1"/>
    <w:link w:val="63"/>
    <w:qFormat/>
    <w:uiPriority w:val="0"/>
    <w:pPr>
      <w:keepNext/>
      <w:keepLines/>
      <w:spacing w:before="260" w:after="260" w:line="416" w:lineRule="auto"/>
      <w:outlineLvl w:val="2"/>
    </w:pPr>
    <w:rPr>
      <w:b/>
      <w:bCs/>
      <w:sz w:val="32"/>
      <w:szCs w:val="32"/>
    </w:rPr>
  </w:style>
  <w:style w:type="paragraph" w:styleId="8">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2">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6"/>
    <w:qFormat/>
    <w:uiPriority w:val="6"/>
    <w:pPr>
      <w:ind w:firstLine="420"/>
      <w:jc w:val="left"/>
    </w:pPr>
    <w:rPr>
      <w:rFonts w:ascii="Calibri" w:hAnsi="Calibri" w:cs="Calibri"/>
      <w:kern w:val="0"/>
    </w:rPr>
  </w:style>
  <w:style w:type="paragraph" w:styleId="3">
    <w:name w:val="Body Text Indent"/>
    <w:basedOn w:val="1"/>
    <w:next w:val="4"/>
    <w:link w:val="70"/>
    <w:unhideWhenUsed/>
    <w:qFormat/>
    <w:uiPriority w:val="0"/>
    <w:pPr>
      <w:spacing w:after="120"/>
      <w:ind w:left="420" w:leftChars="200"/>
    </w:pPr>
  </w:style>
  <w:style w:type="paragraph" w:styleId="4">
    <w:name w:val="Body Text Indent 2"/>
    <w:basedOn w:val="1"/>
    <w:link w:val="79"/>
    <w:qFormat/>
    <w:uiPriority w:val="0"/>
    <w:pPr>
      <w:spacing w:after="120" w:line="480" w:lineRule="auto"/>
      <w:ind w:left="420" w:leftChars="200"/>
    </w:pPr>
  </w:style>
  <w:style w:type="paragraph" w:styleId="14">
    <w:name w:val="toc 7"/>
    <w:basedOn w:val="1"/>
    <w:next w:val="1"/>
    <w:qFormat/>
    <w:uiPriority w:val="0"/>
    <w:pPr>
      <w:ind w:left="2520" w:leftChars="1200"/>
    </w:pPr>
    <w:rPr>
      <w:rFonts w:ascii="Calibri" w:hAnsi="Calibri"/>
      <w:szCs w:val="22"/>
    </w:rPr>
  </w:style>
  <w:style w:type="paragraph" w:styleId="15">
    <w:name w:val="table of authorities"/>
    <w:basedOn w:val="1"/>
    <w:next w:val="1"/>
    <w:unhideWhenUsed/>
    <w:qFormat/>
    <w:uiPriority w:val="99"/>
    <w:pPr>
      <w:ind w:left="420" w:leftChars="200"/>
    </w:pPr>
    <w:rPr>
      <w:rFonts w:ascii="Calibri" w:hAnsi="Calibri"/>
    </w:rPr>
  </w:style>
  <w:style w:type="paragraph" w:styleId="16">
    <w:name w:val="Normal Indent"/>
    <w:basedOn w:val="1"/>
    <w:link w:val="287"/>
    <w:qFormat/>
    <w:uiPriority w:val="99"/>
    <w:pPr>
      <w:widowControl/>
      <w:ind w:firstLine="420"/>
      <w:jc w:val="left"/>
    </w:pPr>
    <w:rPr>
      <w:kern w:val="0"/>
      <w:sz w:val="20"/>
      <w:szCs w:val="20"/>
    </w:rPr>
  </w:style>
  <w:style w:type="paragraph" w:styleId="17">
    <w:name w:val="Document Map"/>
    <w:basedOn w:val="1"/>
    <w:link w:val="72"/>
    <w:semiHidden/>
    <w:qFormat/>
    <w:uiPriority w:val="0"/>
    <w:pPr>
      <w:shd w:val="clear" w:color="auto" w:fill="000080"/>
    </w:pPr>
  </w:style>
  <w:style w:type="paragraph" w:styleId="18">
    <w:name w:val="annotation text"/>
    <w:basedOn w:val="1"/>
    <w:link w:val="73"/>
    <w:semiHidden/>
    <w:qFormat/>
    <w:uiPriority w:val="0"/>
    <w:pPr>
      <w:jc w:val="left"/>
    </w:pPr>
  </w:style>
  <w:style w:type="paragraph" w:styleId="19">
    <w:name w:val="Salutation"/>
    <w:basedOn w:val="1"/>
    <w:next w:val="1"/>
    <w:link w:val="74"/>
    <w:qFormat/>
    <w:uiPriority w:val="0"/>
    <w:rPr>
      <w:rFonts w:ascii="仿宋_GB2312" w:eastAsia="仿宋_GB2312"/>
      <w:sz w:val="24"/>
    </w:rPr>
  </w:style>
  <w:style w:type="paragraph" w:styleId="20">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76"/>
    <w:qFormat/>
    <w:uiPriority w:val="0"/>
    <w:pPr>
      <w:spacing w:after="120"/>
    </w:pPr>
  </w:style>
  <w:style w:type="paragraph" w:customStyle="1" w:styleId="22">
    <w:name w:val="正文首行缩进1"/>
    <w:basedOn w:val="1"/>
    <w:qFormat/>
    <w:uiPriority w:val="99"/>
    <w:pPr>
      <w:spacing w:after="120"/>
      <w:ind w:firstLine="420" w:firstLineChars="1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7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78"/>
    <w:qFormat/>
    <w:uiPriority w:val="0"/>
    <w:rPr>
      <w:sz w:val="24"/>
      <w:szCs w:val="20"/>
    </w:r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83"/>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link w:val="84"/>
    <w:qFormat/>
    <w:uiPriority w:val="0"/>
    <w:pPr>
      <w:spacing w:after="120" w:line="480" w:lineRule="auto"/>
    </w:pPr>
  </w:style>
  <w:style w:type="paragraph" w:styleId="39">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link w:val="86"/>
    <w:qFormat/>
    <w:uiPriority w:val="0"/>
    <w:pPr>
      <w:spacing w:before="240" w:after="60"/>
      <w:jc w:val="center"/>
      <w:outlineLvl w:val="0"/>
    </w:pPr>
    <w:rPr>
      <w:rFonts w:ascii="Cambria" w:hAnsi="Cambria"/>
      <w:b/>
      <w:sz w:val="32"/>
    </w:rPr>
  </w:style>
  <w:style w:type="paragraph" w:styleId="43">
    <w:name w:val="annotation subject"/>
    <w:basedOn w:val="18"/>
    <w:next w:val="1"/>
    <w:link w:val="87"/>
    <w:qFormat/>
    <w:uiPriority w:val="0"/>
    <w:rPr>
      <w:b/>
      <w:bCs/>
    </w:rPr>
  </w:style>
  <w:style w:type="paragraph" w:styleId="44">
    <w:name w:val="Body Text First Indent"/>
    <w:basedOn w:val="21"/>
    <w:link w:val="88"/>
    <w:qFormat/>
    <w:uiPriority w:val="99"/>
    <w:pPr>
      <w:ind w:firstLine="42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qFormat/>
    <w:uiPriority w:val="0"/>
  </w:style>
  <w:style w:type="character" w:styleId="50">
    <w:name w:val="FollowedHyperlink"/>
    <w:qFormat/>
    <w:uiPriority w:val="0"/>
    <w:rPr>
      <w:color w:val="333333"/>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basedOn w:val="47"/>
    <w:qFormat/>
    <w:uiPriority w:val="0"/>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7"/>
    <w:link w:val="5"/>
    <w:qFormat/>
    <w:uiPriority w:val="0"/>
    <w:rPr>
      <w:rFonts w:ascii="Times New Roman" w:hAnsi="Times New Roman" w:eastAsia="宋体" w:cs="Times New Roman"/>
      <w:b/>
      <w:bCs/>
      <w:sz w:val="24"/>
      <w:szCs w:val="20"/>
    </w:rPr>
  </w:style>
  <w:style w:type="character" w:customStyle="1" w:styleId="62">
    <w:name w:val="标题 2 字符"/>
    <w:basedOn w:val="47"/>
    <w:link w:val="6"/>
    <w:qFormat/>
    <w:uiPriority w:val="0"/>
    <w:rPr>
      <w:rFonts w:ascii="Arial" w:hAnsi="Arial" w:eastAsia="宋体" w:cs="Times New Roman"/>
      <w:b/>
      <w:bCs/>
      <w:sz w:val="24"/>
      <w:szCs w:val="32"/>
    </w:rPr>
  </w:style>
  <w:style w:type="character" w:customStyle="1" w:styleId="63">
    <w:name w:val="标题 3 字符"/>
    <w:basedOn w:val="47"/>
    <w:link w:val="7"/>
    <w:qFormat/>
    <w:uiPriority w:val="0"/>
    <w:rPr>
      <w:rFonts w:ascii="Times New Roman" w:hAnsi="Times New Roman" w:eastAsia="宋体" w:cs="Times New Roman"/>
      <w:b/>
      <w:bCs/>
      <w:sz w:val="32"/>
      <w:szCs w:val="32"/>
    </w:rPr>
  </w:style>
  <w:style w:type="character" w:customStyle="1" w:styleId="64">
    <w:name w:val="标题 4 字符"/>
    <w:basedOn w:val="47"/>
    <w:link w:val="8"/>
    <w:qFormat/>
    <w:uiPriority w:val="0"/>
    <w:rPr>
      <w:rFonts w:ascii="Arial" w:hAnsi="Arial" w:eastAsia="黑体" w:cs="Times New Roman"/>
      <w:b/>
      <w:bCs/>
      <w:sz w:val="28"/>
      <w:szCs w:val="28"/>
    </w:rPr>
  </w:style>
  <w:style w:type="character" w:customStyle="1" w:styleId="65">
    <w:name w:val="标题 5 字符"/>
    <w:basedOn w:val="47"/>
    <w:link w:val="9"/>
    <w:qFormat/>
    <w:uiPriority w:val="0"/>
    <w:rPr>
      <w:rFonts w:ascii="Times New Roman" w:hAnsi="Times New Roman" w:eastAsia="宋体" w:cs="Times New Roman"/>
      <w:b/>
      <w:bCs/>
      <w:kern w:val="0"/>
      <w:sz w:val="28"/>
      <w:szCs w:val="28"/>
    </w:rPr>
  </w:style>
  <w:style w:type="character" w:customStyle="1" w:styleId="66">
    <w:name w:val="标题 6 字符"/>
    <w:basedOn w:val="47"/>
    <w:link w:val="10"/>
    <w:qFormat/>
    <w:uiPriority w:val="0"/>
    <w:rPr>
      <w:rFonts w:ascii="Arial" w:hAnsi="Arial" w:eastAsia="黑体" w:cs="Times New Roman"/>
      <w:b/>
      <w:bCs/>
      <w:kern w:val="0"/>
      <w:sz w:val="24"/>
      <w:szCs w:val="24"/>
    </w:rPr>
  </w:style>
  <w:style w:type="character" w:customStyle="1" w:styleId="67">
    <w:name w:val="标题 7 字符"/>
    <w:basedOn w:val="47"/>
    <w:link w:val="11"/>
    <w:qFormat/>
    <w:uiPriority w:val="0"/>
    <w:rPr>
      <w:rFonts w:ascii="Times New Roman" w:hAnsi="Times New Roman" w:eastAsia="宋体" w:cs="Times New Roman"/>
      <w:b/>
      <w:bCs/>
      <w:kern w:val="0"/>
      <w:sz w:val="24"/>
      <w:szCs w:val="24"/>
    </w:rPr>
  </w:style>
  <w:style w:type="character" w:customStyle="1" w:styleId="68">
    <w:name w:val="标题 8 字符"/>
    <w:basedOn w:val="47"/>
    <w:link w:val="12"/>
    <w:qFormat/>
    <w:uiPriority w:val="0"/>
    <w:rPr>
      <w:rFonts w:ascii="Arial" w:hAnsi="Arial" w:eastAsia="黑体" w:cs="Times New Roman"/>
      <w:kern w:val="0"/>
      <w:sz w:val="24"/>
      <w:szCs w:val="24"/>
    </w:rPr>
  </w:style>
  <w:style w:type="character" w:customStyle="1" w:styleId="69">
    <w:name w:val="标题 9 字符"/>
    <w:basedOn w:val="47"/>
    <w:link w:val="13"/>
    <w:qFormat/>
    <w:uiPriority w:val="0"/>
    <w:rPr>
      <w:rFonts w:ascii="Arial" w:hAnsi="Arial" w:eastAsia="黑体" w:cs="Times New Roman"/>
      <w:kern w:val="0"/>
      <w:szCs w:val="21"/>
    </w:rPr>
  </w:style>
  <w:style w:type="character" w:customStyle="1" w:styleId="70">
    <w:name w:val="正文文本缩进 字符"/>
    <w:basedOn w:val="47"/>
    <w:link w:val="3"/>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7"/>
    <w:link w:val="17"/>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7"/>
    <w:link w:val="18"/>
    <w:semiHidden/>
    <w:qFormat/>
    <w:uiPriority w:val="0"/>
    <w:rPr>
      <w:rFonts w:ascii="Times New Roman" w:hAnsi="Times New Roman" w:eastAsia="宋体" w:cs="Times New Roman"/>
      <w:szCs w:val="24"/>
    </w:rPr>
  </w:style>
  <w:style w:type="character" w:customStyle="1" w:styleId="74">
    <w:name w:val="称呼 字符"/>
    <w:basedOn w:val="47"/>
    <w:link w:val="19"/>
    <w:qFormat/>
    <w:uiPriority w:val="0"/>
    <w:rPr>
      <w:rFonts w:ascii="仿宋_GB2312" w:hAnsi="Times New Roman" w:eastAsia="仿宋_GB2312" w:cs="Times New Roman"/>
      <w:sz w:val="24"/>
      <w:szCs w:val="24"/>
    </w:rPr>
  </w:style>
  <w:style w:type="character" w:customStyle="1" w:styleId="75">
    <w:name w:val="正文文本 3 字符"/>
    <w:basedOn w:val="47"/>
    <w:link w:val="20"/>
    <w:qFormat/>
    <w:uiPriority w:val="0"/>
    <w:rPr>
      <w:rFonts w:ascii="宋体" w:hAnsi="Times New Roman" w:eastAsia="宋体" w:cs="Times New Roman"/>
      <w:color w:val="000000"/>
      <w:kern w:val="0"/>
      <w:sz w:val="24"/>
      <w:szCs w:val="20"/>
    </w:rPr>
  </w:style>
  <w:style w:type="character" w:customStyle="1" w:styleId="76">
    <w:name w:val="正文文本 字符"/>
    <w:basedOn w:val="47"/>
    <w:link w:val="21"/>
    <w:qFormat/>
    <w:uiPriority w:val="0"/>
    <w:rPr>
      <w:rFonts w:ascii="Times New Roman" w:hAnsi="Times New Roman" w:eastAsia="宋体" w:cs="Times New Roman"/>
      <w:szCs w:val="24"/>
    </w:rPr>
  </w:style>
  <w:style w:type="character" w:customStyle="1" w:styleId="77">
    <w:name w:val="纯文本 字符"/>
    <w:basedOn w:val="47"/>
    <w:link w:val="26"/>
    <w:qFormat/>
    <w:uiPriority w:val="99"/>
    <w:rPr>
      <w:rFonts w:ascii="宋体" w:hAnsi="Courier New" w:eastAsia="宋体" w:cs="Courier New"/>
      <w:szCs w:val="21"/>
    </w:rPr>
  </w:style>
  <w:style w:type="character" w:customStyle="1" w:styleId="78">
    <w:name w:val="日期 字符"/>
    <w:basedOn w:val="47"/>
    <w:link w:val="28"/>
    <w:qFormat/>
    <w:uiPriority w:val="0"/>
    <w:rPr>
      <w:rFonts w:ascii="Times New Roman" w:hAnsi="Times New Roman" w:eastAsia="宋体" w:cs="Times New Roman"/>
      <w:sz w:val="24"/>
      <w:szCs w:val="20"/>
    </w:rPr>
  </w:style>
  <w:style w:type="character" w:customStyle="1" w:styleId="79">
    <w:name w:val="正文文本缩进 2 字符"/>
    <w:basedOn w:val="47"/>
    <w:link w:val="4"/>
    <w:qFormat/>
    <w:uiPriority w:val="0"/>
    <w:rPr>
      <w:rFonts w:ascii="Times New Roman" w:hAnsi="Times New Roman" w:eastAsia="宋体" w:cs="Times New Roman"/>
      <w:szCs w:val="24"/>
    </w:rPr>
  </w:style>
  <w:style w:type="character" w:customStyle="1" w:styleId="80">
    <w:name w:val="批注框文本 字符"/>
    <w:basedOn w:val="47"/>
    <w:link w:val="29"/>
    <w:qFormat/>
    <w:uiPriority w:val="0"/>
    <w:rPr>
      <w:rFonts w:ascii="Calibri" w:hAnsi="Calibri" w:eastAsia="宋体" w:cs="Times New Roman"/>
      <w:sz w:val="18"/>
      <w:szCs w:val="18"/>
    </w:rPr>
  </w:style>
  <w:style w:type="character" w:customStyle="1" w:styleId="81">
    <w:name w:val="页脚 字符"/>
    <w:basedOn w:val="47"/>
    <w:link w:val="30"/>
    <w:qFormat/>
    <w:uiPriority w:val="0"/>
    <w:rPr>
      <w:rFonts w:ascii="Times New Roman" w:hAnsi="Times New Roman" w:eastAsia="宋体" w:cs="Times New Roman"/>
      <w:sz w:val="18"/>
      <w:szCs w:val="18"/>
    </w:rPr>
  </w:style>
  <w:style w:type="character" w:customStyle="1" w:styleId="82">
    <w:name w:val="页眉 字符"/>
    <w:basedOn w:val="47"/>
    <w:link w:val="31"/>
    <w:qFormat/>
    <w:uiPriority w:val="99"/>
    <w:rPr>
      <w:rFonts w:ascii="Times New Roman" w:hAnsi="Times New Roman" w:eastAsia="宋体" w:cs="Times New Roman"/>
      <w:sz w:val="18"/>
      <w:szCs w:val="18"/>
    </w:rPr>
  </w:style>
  <w:style w:type="character" w:customStyle="1" w:styleId="83">
    <w:name w:val="正文文本缩进 3 字符"/>
    <w:basedOn w:val="47"/>
    <w:link w:val="35"/>
    <w:qFormat/>
    <w:uiPriority w:val="0"/>
    <w:rPr>
      <w:rFonts w:ascii="Times New Roman" w:hAnsi="Times New Roman" w:eastAsia="宋体" w:cs="Times New Roman"/>
      <w:sz w:val="16"/>
      <w:szCs w:val="16"/>
    </w:rPr>
  </w:style>
  <w:style w:type="character" w:customStyle="1" w:styleId="84">
    <w:name w:val="正文文本 2 字符"/>
    <w:basedOn w:val="47"/>
    <w:link w:val="38"/>
    <w:qFormat/>
    <w:uiPriority w:val="0"/>
    <w:rPr>
      <w:rFonts w:ascii="Times New Roman" w:hAnsi="Times New Roman" w:eastAsia="宋体" w:cs="Times New Roman"/>
      <w:szCs w:val="24"/>
    </w:rPr>
  </w:style>
  <w:style w:type="character" w:customStyle="1" w:styleId="85">
    <w:name w:val="HTML 预设格式 字符"/>
    <w:basedOn w:val="47"/>
    <w:link w:val="39"/>
    <w:qFormat/>
    <w:uiPriority w:val="0"/>
    <w:rPr>
      <w:rFonts w:ascii="Arial" w:hAnsi="Arial" w:eastAsia="宋体" w:cs="Arial"/>
      <w:kern w:val="0"/>
      <w:sz w:val="24"/>
      <w:szCs w:val="24"/>
    </w:rPr>
  </w:style>
  <w:style w:type="character" w:customStyle="1" w:styleId="86">
    <w:name w:val="标题 字符"/>
    <w:basedOn w:val="47"/>
    <w:link w:val="42"/>
    <w:qFormat/>
    <w:uiPriority w:val="0"/>
    <w:rPr>
      <w:rFonts w:ascii="Cambria" w:hAnsi="Cambria" w:eastAsia="宋体" w:cs="Times New Roman"/>
      <w:b/>
      <w:sz w:val="32"/>
      <w:szCs w:val="24"/>
    </w:rPr>
  </w:style>
  <w:style w:type="character" w:customStyle="1" w:styleId="87">
    <w:name w:val="批注主题 字符"/>
    <w:basedOn w:val="73"/>
    <w:link w:val="43"/>
    <w:qFormat/>
    <w:uiPriority w:val="0"/>
    <w:rPr>
      <w:rFonts w:ascii="Times New Roman" w:hAnsi="Times New Roman" w:eastAsia="宋体" w:cs="Times New Roman"/>
      <w:b/>
      <w:bCs/>
      <w:szCs w:val="24"/>
    </w:rPr>
  </w:style>
  <w:style w:type="character" w:customStyle="1" w:styleId="88">
    <w:name w:val="正文文本首行缩进 字符"/>
    <w:basedOn w:val="76"/>
    <w:link w:val="44"/>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5"/>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5"/>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6"/>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5"/>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7"/>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2"/>
    <w:qFormat/>
    <w:uiPriority w:val="0"/>
    <w:pPr>
      <w:spacing w:after="240"/>
      <w:jc w:val="left"/>
    </w:pPr>
    <w:rPr>
      <w:sz w:val="30"/>
    </w:rPr>
  </w:style>
  <w:style w:type="paragraph" w:customStyle="1" w:styleId="220">
    <w:name w:val="TOC 标题11"/>
    <w:basedOn w:val="5"/>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21"/>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6"/>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7"/>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7"/>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8"/>
    <w:next w:val="18"/>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2"/>
    <w:qFormat/>
    <w:uiPriority w:val="0"/>
    <w:rPr>
      <w:kern w:val="2"/>
      <w:sz w:val="21"/>
    </w:rPr>
  </w:style>
  <w:style w:type="character" w:customStyle="1" w:styleId="287">
    <w:name w:val="正文缩进 字符"/>
    <w:link w:val="16"/>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paragraph" w:customStyle="1" w:styleId="289">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90">
    <w:name w:val="Table Text"/>
    <w:basedOn w:val="1"/>
    <w:semiHidden/>
    <w:qFormat/>
    <w:uiPriority w:val="0"/>
    <w:rPr>
      <w:rFonts w:ascii="宋体" w:hAnsi="宋体" w:eastAsia="宋体" w:cs="宋体"/>
      <w:sz w:val="18"/>
      <w:szCs w:val="18"/>
      <w:lang w:val="en-US" w:eastAsia="en-US" w:bidi="ar-SA"/>
    </w:rPr>
  </w:style>
  <w:style w:type="paragraph" w:customStyle="1" w:styleId="291">
    <w:name w:val="正文 A"/>
    <w:next w:val="2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CD023-62B2-4317-B94B-B49B90C818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20056</Words>
  <Characters>21284</Characters>
  <Lines>176</Lines>
  <Paragraphs>49</Paragraphs>
  <TotalTime>18</TotalTime>
  <ScaleCrop>false</ScaleCrop>
  <LinksUpToDate>false</LinksUpToDate>
  <CharactersWithSpaces>22169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沈奔前</cp:lastModifiedBy>
  <cp:lastPrinted>2024-01-31T08:41:00Z</cp:lastPrinted>
  <dcterms:modified xsi:type="dcterms:W3CDTF">2024-03-29T02:28:02Z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337C1F2CF42A47648C4C850F9C5ECD74</vt:lpwstr>
  </property>
</Properties>
</file>