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Pr>
          <w:rFonts w:ascii="黑体" w:hAnsi="宋体" w:eastAsia="黑体"/>
          <w:b/>
          <w:sz w:val="32"/>
          <w:szCs w:val="32"/>
        </w:rPr>
      </w:pPr>
      <w:r>
        <w:rPr>
          <w:rFonts w:hint="eastAsia" w:ascii="黑体" w:hAnsi="黑体" w:eastAsia="黑体" w:cs="黑体"/>
          <w:bCs/>
          <w:sz w:val="32"/>
          <w:szCs w:val="32"/>
        </w:rPr>
        <w:t>附件1</w:t>
      </w:r>
    </w:p>
    <w:p>
      <w:pPr>
        <w:pStyle w:val="6"/>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2"/>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jc w:val="center"/>
        <w:rPr>
          <w:rFonts w:hint="eastAsia" w:ascii="黑体" w:hAnsi="宋体" w:eastAsia="黑体"/>
          <w:sz w:val="44"/>
          <w:szCs w:val="44"/>
          <w:lang w:eastAsia="zh-CN"/>
        </w:rPr>
      </w:pPr>
      <w:r>
        <w:rPr>
          <w:rFonts w:hint="eastAsia" w:ascii="黑体" w:hAnsi="宋体" w:eastAsia="黑体"/>
          <w:sz w:val="44"/>
          <w:szCs w:val="44"/>
          <w:u w:val="none"/>
        </w:rPr>
        <w:t>长沙市轨道交通1、2、3、4、5号线、西环线运营期202</w:t>
      </w:r>
      <w:r>
        <w:rPr>
          <w:rFonts w:hint="eastAsia" w:ascii="黑体" w:hAnsi="宋体" w:eastAsia="黑体"/>
          <w:sz w:val="44"/>
          <w:szCs w:val="44"/>
          <w:u w:val="none"/>
          <w:lang w:val="en-US" w:eastAsia="zh-CN"/>
        </w:rPr>
        <w:t>4</w:t>
      </w:r>
      <w:r>
        <w:rPr>
          <w:rFonts w:hint="eastAsia" w:ascii="黑体" w:hAnsi="宋体" w:eastAsia="黑体"/>
          <w:sz w:val="44"/>
          <w:szCs w:val="44"/>
          <w:u w:val="none"/>
        </w:rPr>
        <w:t>年</w:t>
      </w:r>
      <w:r>
        <w:rPr>
          <w:rFonts w:hint="eastAsia" w:ascii="黑体" w:hAnsi="宋体" w:eastAsia="黑体"/>
          <w:sz w:val="44"/>
          <w:szCs w:val="44"/>
          <w:u w:val="none"/>
          <w:lang w:val="en-US" w:eastAsia="zh-CN"/>
        </w:rPr>
        <w:t>耗材类物资</w:t>
      </w:r>
      <w:r>
        <w:rPr>
          <w:rFonts w:hint="eastAsia" w:ascii="黑体" w:hAnsi="宋体" w:eastAsia="黑体"/>
          <w:sz w:val="44"/>
          <w:szCs w:val="44"/>
          <w:u w:val="none"/>
        </w:rPr>
        <w:t>采购项目</w:t>
      </w: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6"/>
        <w:ind w:left="0" w:leftChars="0"/>
        <w:jc w:val="center"/>
        <w:rPr>
          <w:rFonts w:ascii="黑体" w:hAnsi="宋体" w:eastAsia="黑体"/>
          <w:b/>
          <w:sz w:val="32"/>
          <w:szCs w:val="32"/>
        </w:rPr>
      </w:pPr>
    </w:p>
    <w:p>
      <w:pPr>
        <w:pStyle w:val="6"/>
        <w:ind w:left="0" w:leftChars="0"/>
        <w:jc w:val="center"/>
        <w:rPr>
          <w:rFonts w:ascii="黑体" w:hAnsi="宋体" w:eastAsia="黑体"/>
          <w:b/>
          <w:sz w:val="32"/>
          <w:szCs w:val="32"/>
        </w:rPr>
      </w:pPr>
    </w:p>
    <w:p>
      <w:pPr>
        <w:pStyle w:val="2"/>
        <w:ind w:left="0" w:leftChars="0" w:firstLine="0" w:firstLineChars="0"/>
        <w:rPr>
          <w:rFonts w:ascii="宋体" w:hAnsi="宋体" w:cs="宋体"/>
          <w:b/>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2"/>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2"/>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6"/>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6"/>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长轨运物采【2023】0</w:t>
      </w:r>
      <w:r>
        <w:rPr>
          <w:rStyle w:val="15"/>
          <w:rFonts w:hint="eastAsia" w:ascii="Times New Roman" w:hAnsi="Times New Roman" w:cs="Times New Roman"/>
          <w:color w:val="auto"/>
          <w:sz w:val="21"/>
          <w:u w:val="none"/>
          <w:shd w:val="clear" w:color="auto" w:fill="FFFFFF"/>
          <w:lang w:val="en-US" w:eastAsia="zh-CN"/>
        </w:rPr>
        <w:t>38</w:t>
      </w:r>
      <w:r>
        <w:rPr>
          <w:rStyle w:val="15"/>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长沙市轨道交通1、2、3、4、5号线、西环线运营期2024年度耗材类物资采购项目</w:t>
      </w:r>
      <w:bookmarkStart w:id="1" w:name="_GoBack"/>
      <w:bookmarkEnd w:id="1"/>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8"/>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8"/>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8"/>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8"/>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8"/>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8"/>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8"/>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8"/>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8"/>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6"/>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6"/>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2"/>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98B3B0A"/>
    <w:rsid w:val="2DEB3B27"/>
    <w:rsid w:val="2E283D2E"/>
    <w:rsid w:val="33690F44"/>
    <w:rsid w:val="46815F6B"/>
    <w:rsid w:val="481A1E79"/>
    <w:rsid w:val="4AF63D96"/>
    <w:rsid w:val="4D1E2F5E"/>
    <w:rsid w:val="547644AB"/>
    <w:rsid w:val="55250D6A"/>
    <w:rsid w:val="579706B0"/>
    <w:rsid w:val="5BA63366"/>
    <w:rsid w:val="5D9535FE"/>
    <w:rsid w:val="69F34539"/>
    <w:rsid w:val="6BF52D29"/>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Date"/>
    <w:basedOn w:val="1"/>
    <w:next w:val="1"/>
    <w:qFormat/>
    <w:uiPriority w:val="0"/>
    <w:rPr>
      <w:rFonts w:cs="黑体"/>
      <w:sz w:val="24"/>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7"/>
    <w:qFormat/>
    <w:uiPriority w:val="0"/>
    <w:pPr>
      <w:ind w:firstLine="420"/>
    </w:pPr>
    <w:rPr>
      <w:szCs w:val="2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11</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2024-02-02T08:24:58Z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