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b/>
          <w:bCs/>
          <w:color w:val="auto"/>
          <w:sz w:val="52"/>
          <w:szCs w:val="52"/>
        </w:rPr>
      </w:pPr>
      <w:r>
        <w:rPr>
          <w:rFonts w:hint="eastAsia" w:hAnsi="宋体"/>
          <w:b/>
          <w:color w:val="auto"/>
          <w:sz w:val="52"/>
          <w:szCs w:val="52"/>
        </w:rPr>
        <w:t>长沙市轨道交通运营有限公司</w:t>
      </w:r>
    </w:p>
    <w:p>
      <w:pPr>
        <w:pStyle w:val="25"/>
        <w:adjustRightInd w:val="0"/>
        <w:snapToGrid w:val="0"/>
        <w:spacing w:line="360" w:lineRule="auto"/>
        <w:jc w:val="center"/>
        <w:rPr>
          <w:rFonts w:hAnsi="宋体"/>
          <w:b/>
          <w:color w:val="auto"/>
          <w:sz w:val="52"/>
          <w:szCs w:val="52"/>
        </w:rPr>
      </w:pPr>
      <w:r>
        <w:rPr>
          <w:rFonts w:hint="eastAsia" w:hAnsi="宋体"/>
          <w:b/>
          <w:color w:val="auto"/>
          <w:sz w:val="52"/>
          <w:szCs w:val="52"/>
        </w:rPr>
        <w:t>竞争性采购文件</w:t>
      </w:r>
    </w:p>
    <w:p>
      <w:pPr>
        <w:pStyle w:val="25"/>
        <w:adjustRightInd w:val="0"/>
        <w:snapToGrid w:val="0"/>
        <w:spacing w:before="159" w:beforeLines="50" w:line="360" w:lineRule="auto"/>
        <w:rPr>
          <w:b/>
          <w:color w:val="auto"/>
          <w:sz w:val="32"/>
          <w:szCs w:val="32"/>
        </w:rPr>
      </w:pPr>
    </w:p>
    <w:p>
      <w:pPr>
        <w:spacing w:line="360" w:lineRule="auto"/>
        <w:jc w:val="left"/>
        <w:rPr>
          <w:rFonts w:ascii="华文中宋" w:hAnsi="华文中宋" w:eastAsia="华文中宋" w:cs="Courier New"/>
          <w:color w:val="auto"/>
          <w:sz w:val="32"/>
          <w:szCs w:val="32"/>
        </w:rPr>
      </w:pPr>
    </w:p>
    <w:p>
      <w:pPr>
        <w:spacing w:line="360" w:lineRule="auto"/>
        <w:jc w:val="left"/>
        <w:rPr>
          <w:rFonts w:ascii="华文中宋" w:hAnsi="华文中宋" w:eastAsia="华文中宋" w:cs="Courier New"/>
          <w:color w:val="auto"/>
          <w:sz w:val="32"/>
          <w:szCs w:val="32"/>
        </w:rPr>
      </w:pPr>
    </w:p>
    <w:p>
      <w:pPr>
        <w:spacing w:line="360" w:lineRule="auto"/>
        <w:ind w:left="2566" w:leftChars="304" w:hanging="1928" w:hangingChars="600"/>
        <w:jc w:val="left"/>
        <w:rPr>
          <w:rFonts w:ascii="宋体" w:hAnsi="宋体" w:cs="Courier New"/>
          <w:b/>
          <w:sz w:val="32"/>
          <w:szCs w:val="21"/>
          <w:u w:val="single"/>
        </w:rPr>
      </w:pPr>
      <w:r>
        <w:rPr>
          <w:rFonts w:hint="eastAsia" w:ascii="宋体" w:hAnsi="宋体" w:eastAsia="宋体" w:cs="Courier New"/>
          <w:b/>
          <w:color w:val="auto"/>
          <w:kern w:val="2"/>
          <w:sz w:val="32"/>
          <w:szCs w:val="21"/>
          <w:lang w:val="en-US" w:eastAsia="zh-CN" w:bidi="ar-SA"/>
        </w:rPr>
        <w:t>竞争性采购项目名称：</w:t>
      </w:r>
      <w:r>
        <w:rPr>
          <w:rFonts w:hint="eastAsia" w:ascii="宋体" w:hAnsi="宋体" w:cs="Courier New"/>
          <w:b/>
          <w:color w:val="auto"/>
          <w:sz w:val="32"/>
          <w:szCs w:val="21"/>
          <w:u w:val="single"/>
        </w:rPr>
        <w:t>长沙市轨道交通运营有限公司法律顾问采购服务项目</w:t>
      </w:r>
      <w:r>
        <w:rPr>
          <w:rFonts w:hint="eastAsia" w:ascii="宋体" w:hAnsi="宋体" w:cs="Courier New"/>
          <w:b/>
          <w:sz w:val="32"/>
          <w:szCs w:val="21"/>
          <w:u w:val="single"/>
          <w:lang w:eastAsia="zh-CN"/>
        </w:rPr>
        <w:t>（</w:t>
      </w:r>
      <w:r>
        <w:rPr>
          <w:rFonts w:hint="eastAsia" w:ascii="宋体" w:hAnsi="宋体" w:cs="Courier New"/>
          <w:b/>
          <w:sz w:val="32"/>
          <w:szCs w:val="21"/>
          <w:u w:val="single"/>
          <w:lang w:val="en-US" w:eastAsia="zh-CN"/>
        </w:rPr>
        <w:t>第二次</w:t>
      </w:r>
      <w:r>
        <w:rPr>
          <w:rFonts w:hint="eastAsia" w:ascii="宋体" w:hAnsi="宋体" w:cs="Courier New"/>
          <w:b/>
          <w:sz w:val="32"/>
          <w:szCs w:val="21"/>
          <w:u w:val="single"/>
          <w:lang w:eastAsia="zh-CN"/>
        </w:rPr>
        <w:t>）</w:t>
      </w:r>
    </w:p>
    <w:p>
      <w:pPr>
        <w:spacing w:line="360" w:lineRule="auto"/>
        <w:ind w:left="2566" w:leftChars="304" w:hanging="1928" w:hangingChars="600"/>
        <w:jc w:val="left"/>
        <w:rPr>
          <w:rFonts w:ascii="宋体" w:hAnsi="宋体" w:cs="Courier New"/>
          <w:b/>
          <w:color w:val="auto"/>
          <w:sz w:val="32"/>
          <w:szCs w:val="21"/>
          <w:u w:val="single"/>
        </w:rPr>
      </w:pPr>
    </w:p>
    <w:p>
      <w:pPr>
        <w:spacing w:line="360" w:lineRule="auto"/>
        <w:ind w:firstLine="321" w:firstLineChars="100"/>
        <w:jc w:val="left"/>
        <w:rPr>
          <w:rFonts w:ascii="宋体" w:hAnsi="宋体" w:cs="Courier New"/>
          <w:b/>
          <w:color w:val="auto"/>
          <w:sz w:val="32"/>
          <w:szCs w:val="21"/>
        </w:rPr>
      </w:pPr>
    </w:p>
    <w:p>
      <w:pPr>
        <w:pStyle w:val="25"/>
        <w:adjustRightInd w:val="0"/>
        <w:snapToGrid w:val="0"/>
        <w:spacing w:line="360" w:lineRule="auto"/>
        <w:ind w:left="2566" w:leftChars="304" w:hanging="1928" w:hangingChars="600"/>
        <w:rPr>
          <w:rFonts w:hAnsi="宋体"/>
          <w:b/>
          <w:color w:val="auto"/>
          <w:sz w:val="32"/>
          <w:u w:val="single"/>
        </w:rPr>
      </w:pPr>
      <w:r>
        <w:rPr>
          <w:rFonts w:hint="eastAsia" w:hAnsi="宋体"/>
          <w:b/>
          <w:color w:val="auto"/>
          <w:sz w:val="32"/>
        </w:rPr>
        <w:t>采购</w:t>
      </w:r>
      <w:r>
        <w:rPr>
          <w:rFonts w:hint="eastAsia" w:hAnsi="宋体"/>
          <w:b/>
          <w:color w:val="auto"/>
          <w:sz w:val="32"/>
          <w:lang w:val="en-US" w:eastAsia="zh-CN"/>
        </w:rPr>
        <w:t>人</w:t>
      </w:r>
      <w:r>
        <w:rPr>
          <w:rFonts w:hint="eastAsia" w:hAnsi="宋体"/>
          <w:b/>
          <w:color w:val="auto"/>
          <w:sz w:val="32"/>
        </w:rPr>
        <w:t>名称：</w:t>
      </w:r>
      <w:r>
        <w:rPr>
          <w:rFonts w:hint="eastAsia" w:hAnsi="宋体"/>
          <w:b/>
          <w:color w:val="auto"/>
          <w:sz w:val="32"/>
          <w:u w:val="single"/>
        </w:rPr>
        <w:t>长沙市轨道交通运营有限公司</w:t>
      </w:r>
      <w:r>
        <w:rPr>
          <w:rFonts w:hint="eastAsia" w:hAnsi="宋体"/>
          <w:b/>
          <w:color w:val="auto"/>
          <w:sz w:val="32"/>
          <w:u w:val="single"/>
        </w:rPr>
        <w:br w:type="textWrapping"/>
      </w:r>
    </w:p>
    <w:p>
      <w:pPr>
        <w:pStyle w:val="25"/>
        <w:adjustRightInd w:val="0"/>
        <w:snapToGrid w:val="0"/>
        <w:spacing w:line="360" w:lineRule="auto"/>
        <w:ind w:firstLine="643" w:firstLineChars="200"/>
        <w:jc w:val="left"/>
        <w:rPr>
          <w:rFonts w:hint="eastAsia" w:hAnsi="宋体" w:eastAsia="宋体"/>
          <w:b/>
          <w:color w:val="auto"/>
          <w:sz w:val="32"/>
          <w:u w:val="single"/>
          <w:lang w:eastAsia="zh-CN"/>
        </w:rPr>
      </w:pPr>
      <w:r>
        <w:rPr>
          <w:rFonts w:hint="eastAsia" w:hAnsi="宋体"/>
          <w:b/>
          <w:color w:val="auto"/>
          <w:sz w:val="32"/>
        </w:rPr>
        <w:t>竞争性采购项目编号：</w:t>
      </w:r>
      <w:r>
        <w:rPr>
          <w:rFonts w:hint="eastAsia" w:hAnsi="宋体"/>
          <w:b/>
          <w:color w:val="auto"/>
          <w:sz w:val="32"/>
          <w:u w:val="single"/>
          <w:lang w:eastAsia="zh-CN"/>
        </w:rPr>
        <w:t>长轨运服采【2023】059号</w:t>
      </w:r>
    </w:p>
    <w:p>
      <w:pPr>
        <w:pStyle w:val="25"/>
        <w:adjustRightInd w:val="0"/>
        <w:snapToGrid w:val="0"/>
        <w:spacing w:line="360" w:lineRule="auto"/>
        <w:ind w:firstLine="643" w:firstLineChars="200"/>
        <w:jc w:val="left"/>
        <w:rPr>
          <w:rFonts w:hint="eastAsia" w:hAnsi="宋体"/>
          <w:b/>
          <w:color w:val="auto"/>
          <w:sz w:val="32"/>
          <w:u w:val="single"/>
        </w:rPr>
      </w:pPr>
    </w:p>
    <w:p>
      <w:pPr>
        <w:pStyle w:val="25"/>
        <w:adjustRightInd w:val="0"/>
        <w:snapToGrid w:val="0"/>
        <w:spacing w:line="360" w:lineRule="auto"/>
        <w:ind w:firstLine="643" w:firstLineChars="200"/>
        <w:jc w:val="left"/>
        <w:rPr>
          <w:rFonts w:hint="eastAsia" w:hAnsi="宋体"/>
          <w:b/>
          <w:color w:val="auto"/>
          <w:sz w:val="32"/>
          <w:u w:val="single"/>
        </w:rPr>
      </w:pPr>
    </w:p>
    <w:p>
      <w:pPr>
        <w:pStyle w:val="25"/>
        <w:adjustRightInd w:val="0"/>
        <w:snapToGrid w:val="0"/>
        <w:spacing w:line="360" w:lineRule="auto"/>
        <w:ind w:firstLine="643" w:firstLineChars="200"/>
        <w:jc w:val="left"/>
        <w:rPr>
          <w:rFonts w:hint="eastAsia" w:hAnsi="宋体"/>
          <w:b/>
          <w:color w:val="auto"/>
          <w:sz w:val="32"/>
          <w:u w:val="single"/>
        </w:rPr>
      </w:pPr>
    </w:p>
    <w:p>
      <w:pPr>
        <w:pStyle w:val="25"/>
        <w:adjustRightInd w:val="0"/>
        <w:snapToGrid w:val="0"/>
        <w:spacing w:line="360" w:lineRule="auto"/>
        <w:rPr>
          <w:rFonts w:ascii="仿宋_GB2312" w:hAnsi="宋体" w:eastAsia="仿宋_GB2312"/>
          <w:b/>
          <w:color w:val="auto"/>
          <w:sz w:val="32"/>
        </w:rPr>
      </w:pPr>
    </w:p>
    <w:p>
      <w:pPr>
        <w:pStyle w:val="25"/>
        <w:adjustRightInd w:val="0"/>
        <w:snapToGrid w:val="0"/>
        <w:spacing w:line="360" w:lineRule="auto"/>
        <w:rPr>
          <w:rFonts w:ascii="仿宋_GB2312" w:hAnsi="宋体" w:eastAsia="仿宋_GB2312"/>
          <w:bCs/>
          <w:color w:val="auto"/>
          <w:sz w:val="32"/>
        </w:rPr>
      </w:pPr>
    </w:p>
    <w:p>
      <w:pPr>
        <w:pStyle w:val="25"/>
        <w:adjustRightInd w:val="0"/>
        <w:snapToGrid w:val="0"/>
        <w:spacing w:line="360" w:lineRule="auto"/>
        <w:jc w:val="center"/>
        <w:rPr>
          <w:rFonts w:hAnsi="宋体"/>
          <w:b/>
          <w:color w:val="auto"/>
          <w:sz w:val="32"/>
        </w:rPr>
      </w:pPr>
      <w:r>
        <w:rPr>
          <w:rFonts w:hint="eastAsia" w:hAnsi="宋体"/>
          <w:b/>
          <w:color w:val="auto"/>
          <w:sz w:val="32"/>
        </w:rPr>
        <w:t>二〇二三年</w:t>
      </w:r>
      <w:r>
        <w:rPr>
          <w:rFonts w:hint="eastAsia" w:hAnsi="宋体"/>
          <w:b/>
          <w:color w:val="auto"/>
          <w:sz w:val="32"/>
          <w:lang w:val="en-US" w:eastAsia="zh-CN"/>
        </w:rPr>
        <w:t>十二</w:t>
      </w:r>
      <w:r>
        <w:rPr>
          <w:rFonts w:hint="eastAsia" w:hAnsi="宋体"/>
          <w:b/>
          <w:color w:val="auto"/>
          <w:sz w:val="32"/>
        </w:rPr>
        <w:t>月</w:t>
      </w:r>
    </w:p>
    <w:p>
      <w:pPr>
        <w:pStyle w:val="25"/>
        <w:adjustRightInd w:val="0"/>
        <w:snapToGrid w:val="0"/>
        <w:spacing w:line="360" w:lineRule="auto"/>
        <w:jc w:val="center"/>
        <w:rPr>
          <w:rFonts w:hAnsi="宋体"/>
          <w:b/>
          <w:color w:val="auto"/>
          <w:sz w:val="32"/>
        </w:rPr>
        <w:sectPr>
          <w:footerReference r:id="rId3" w:type="default"/>
          <w:pgSz w:w="11906" w:h="16838"/>
          <w:pgMar w:top="2098" w:right="1474" w:bottom="1985" w:left="1588" w:header="851" w:footer="992" w:gutter="0"/>
          <w:pgNumType w:start="1"/>
          <w:cols w:space="0" w:num="1"/>
          <w:docGrid w:type="lines" w:linePitch="319" w:charSpace="0"/>
        </w:sectPr>
      </w:pPr>
    </w:p>
    <w:p>
      <w:pPr>
        <w:jc w:val="center"/>
        <w:rPr>
          <w:rFonts w:ascii="宋体" w:hAnsi="宋体" w:cs="宋体"/>
          <w:b/>
          <w:bCs/>
          <w:color w:val="auto"/>
          <w:sz w:val="32"/>
          <w:szCs w:val="32"/>
        </w:rPr>
      </w:pPr>
      <w:bookmarkStart w:id="0" w:name="_Toc14891064"/>
      <w:r>
        <w:rPr>
          <w:rFonts w:hint="eastAsia" w:ascii="宋体" w:hAnsi="宋体" w:cs="宋体"/>
          <w:b/>
          <w:bCs/>
          <w:color w:val="auto"/>
          <w:sz w:val="32"/>
          <w:szCs w:val="32"/>
        </w:rPr>
        <w:t>目   录</w:t>
      </w:r>
    </w:p>
    <w:p>
      <w:pPr>
        <w:pStyle w:val="32"/>
        <w:tabs>
          <w:tab w:val="right" w:leader="dot" w:pos="8845"/>
        </w:tabs>
      </w:pPr>
      <w:r>
        <w:rPr>
          <w:rFonts w:hint="eastAsia" w:ascii="宋体" w:hAnsi="宋体" w:cs="宋体"/>
          <w:color w:val="auto"/>
        </w:rPr>
        <w:fldChar w:fldCharType="begin"/>
      </w:r>
      <w:r>
        <w:rPr>
          <w:rFonts w:hint="eastAsia" w:ascii="宋体" w:hAnsi="宋体" w:cs="宋体"/>
          <w:color w:val="auto"/>
        </w:rPr>
        <w:instrText xml:space="preserve">TOC \o "1-2" \h \u </w:instrText>
      </w:r>
      <w:r>
        <w:rPr>
          <w:rFonts w:hint="eastAsia" w:ascii="宋体" w:hAnsi="宋体" w:cs="宋体"/>
          <w:color w:val="auto"/>
        </w:rPr>
        <w:fldChar w:fldCharType="separate"/>
      </w:r>
      <w:r>
        <w:rPr>
          <w:rFonts w:hint="eastAsia" w:ascii="宋体" w:hAnsi="宋体" w:cs="宋体"/>
          <w:color w:val="auto"/>
        </w:rPr>
        <w:fldChar w:fldCharType="begin"/>
      </w:r>
      <w:r>
        <w:rPr>
          <w:rFonts w:hint="eastAsia" w:ascii="宋体" w:hAnsi="宋体" w:cs="宋体"/>
        </w:rPr>
        <w:instrText xml:space="preserve"> HYPERLINK \l _Toc21731 </w:instrText>
      </w:r>
      <w:r>
        <w:rPr>
          <w:rFonts w:hint="eastAsia" w:ascii="宋体" w:hAnsi="宋体" w:cs="宋体"/>
        </w:rPr>
        <w:fldChar w:fldCharType="separate"/>
      </w:r>
      <w:r>
        <w:rPr>
          <w:rFonts w:hint="eastAsia" w:ascii="宋体" w:hAnsi="宋体" w:eastAsia="宋体" w:cs="宋体"/>
          <w:szCs w:val="32"/>
        </w:rPr>
        <w:t>第一章  竞争性采购公告</w:t>
      </w:r>
      <w:r>
        <w:tab/>
      </w:r>
      <w:r>
        <w:fldChar w:fldCharType="begin"/>
      </w:r>
      <w:r>
        <w:instrText xml:space="preserve"> PAGEREF _Toc21731 \h </w:instrText>
      </w:r>
      <w:r>
        <w:fldChar w:fldCharType="separate"/>
      </w:r>
      <w:r>
        <w:t>1</w:t>
      </w:r>
      <w:r>
        <w:fldChar w:fldCharType="end"/>
      </w:r>
      <w:r>
        <w:rPr>
          <w:rFonts w:hint="eastAsia" w:ascii="宋体" w:hAnsi="宋体" w:cs="宋体"/>
          <w:color w:val="auto"/>
        </w:rPr>
        <w:fldChar w:fldCharType="end"/>
      </w:r>
    </w:p>
    <w:p>
      <w:pPr>
        <w:pStyle w:val="32"/>
        <w:tabs>
          <w:tab w:val="right" w:leader="dot" w:pos="8845"/>
        </w:tabs>
      </w:pPr>
      <w:r>
        <w:rPr>
          <w:rFonts w:hint="eastAsia" w:ascii="宋体" w:hAnsi="宋体" w:cs="宋体"/>
          <w:color w:val="auto"/>
        </w:rPr>
        <w:fldChar w:fldCharType="begin"/>
      </w:r>
      <w:r>
        <w:rPr>
          <w:rFonts w:hint="eastAsia" w:ascii="宋体" w:hAnsi="宋体" w:cs="宋体"/>
        </w:rPr>
        <w:instrText xml:space="preserve"> HYPERLINK \l _Toc307 </w:instrText>
      </w:r>
      <w:r>
        <w:rPr>
          <w:rFonts w:hint="eastAsia" w:ascii="宋体" w:hAnsi="宋体" w:cs="宋体"/>
        </w:rPr>
        <w:fldChar w:fldCharType="separate"/>
      </w:r>
      <w:r>
        <w:rPr>
          <w:rFonts w:hint="eastAsia" w:ascii="宋体" w:hAnsi="宋体" w:cs="宋体"/>
          <w:bCs w:val="0"/>
          <w:szCs w:val="32"/>
        </w:rPr>
        <w:t>第二章  竞争性采购须知</w:t>
      </w:r>
      <w:r>
        <w:tab/>
      </w:r>
      <w:r>
        <w:fldChar w:fldCharType="begin"/>
      </w:r>
      <w:r>
        <w:instrText xml:space="preserve"> PAGEREF _Toc307 \h </w:instrText>
      </w:r>
      <w:r>
        <w:fldChar w:fldCharType="separate"/>
      </w:r>
      <w:r>
        <w:t>4</w:t>
      </w:r>
      <w:r>
        <w:fldChar w:fldCharType="end"/>
      </w:r>
      <w:r>
        <w:rPr>
          <w:rFonts w:hint="eastAsia" w:ascii="宋体" w:hAnsi="宋体" w:cs="宋体"/>
          <w:color w:val="auto"/>
        </w:rPr>
        <w:fldChar w:fldCharType="end"/>
      </w:r>
    </w:p>
    <w:p>
      <w:pPr>
        <w:pStyle w:val="37"/>
        <w:tabs>
          <w:tab w:val="right" w:leader="dot" w:pos="8845"/>
        </w:tabs>
      </w:pPr>
      <w:r>
        <w:rPr>
          <w:rFonts w:hint="eastAsia" w:ascii="宋体" w:hAnsi="宋体" w:cs="宋体"/>
          <w:color w:val="auto"/>
        </w:rPr>
        <w:fldChar w:fldCharType="begin"/>
      </w:r>
      <w:r>
        <w:rPr>
          <w:rFonts w:hint="eastAsia" w:ascii="宋体" w:hAnsi="宋体" w:cs="宋体"/>
        </w:rPr>
        <w:instrText xml:space="preserve"> HYPERLINK \l _Toc29717 </w:instrText>
      </w:r>
      <w:r>
        <w:rPr>
          <w:rFonts w:hint="eastAsia" w:ascii="宋体" w:hAnsi="宋体" w:cs="宋体"/>
        </w:rPr>
        <w:fldChar w:fldCharType="separate"/>
      </w:r>
      <w:r>
        <w:rPr>
          <w:rFonts w:hint="eastAsia" w:ascii="宋体" w:hAnsi="宋体" w:cs="宋体"/>
        </w:rPr>
        <w:t>竞争性采购须知前附表</w:t>
      </w:r>
      <w:r>
        <w:tab/>
      </w:r>
      <w:r>
        <w:fldChar w:fldCharType="begin"/>
      </w:r>
      <w:r>
        <w:instrText xml:space="preserve"> PAGEREF _Toc29717 \h </w:instrText>
      </w:r>
      <w:r>
        <w:fldChar w:fldCharType="separate"/>
      </w:r>
      <w:r>
        <w:t>4</w:t>
      </w:r>
      <w:r>
        <w:fldChar w:fldCharType="end"/>
      </w:r>
      <w:r>
        <w:rPr>
          <w:rFonts w:hint="eastAsia" w:ascii="宋体" w:hAnsi="宋体" w:cs="宋体"/>
          <w:color w:val="auto"/>
        </w:rPr>
        <w:fldChar w:fldCharType="end"/>
      </w:r>
    </w:p>
    <w:p>
      <w:pPr>
        <w:pStyle w:val="37"/>
        <w:tabs>
          <w:tab w:val="right" w:leader="dot" w:pos="8845"/>
        </w:tabs>
      </w:pPr>
      <w:r>
        <w:rPr>
          <w:rFonts w:hint="eastAsia" w:ascii="宋体" w:hAnsi="宋体" w:cs="宋体"/>
          <w:color w:val="auto"/>
        </w:rPr>
        <w:fldChar w:fldCharType="begin"/>
      </w:r>
      <w:r>
        <w:rPr>
          <w:rFonts w:hint="eastAsia" w:ascii="宋体" w:hAnsi="宋体" w:cs="宋体"/>
        </w:rPr>
        <w:instrText xml:space="preserve"> HYPERLINK \l _Toc15663 </w:instrText>
      </w:r>
      <w:r>
        <w:rPr>
          <w:rFonts w:hint="eastAsia" w:ascii="宋体" w:hAnsi="宋体" w:cs="宋体"/>
        </w:rPr>
        <w:fldChar w:fldCharType="separate"/>
      </w:r>
      <w:r>
        <w:rPr>
          <w:rFonts w:hint="eastAsia" w:ascii="宋体" w:hAnsi="宋体" w:cs="宋体"/>
        </w:rPr>
        <w:t>竞争性采购须知正文</w:t>
      </w:r>
      <w:r>
        <w:tab/>
      </w:r>
      <w:r>
        <w:fldChar w:fldCharType="begin"/>
      </w:r>
      <w:r>
        <w:instrText xml:space="preserve"> PAGEREF _Toc15663 \h </w:instrText>
      </w:r>
      <w:r>
        <w:fldChar w:fldCharType="separate"/>
      </w:r>
      <w:r>
        <w:t>6</w:t>
      </w:r>
      <w:r>
        <w:fldChar w:fldCharType="end"/>
      </w:r>
      <w:r>
        <w:rPr>
          <w:rFonts w:hint="eastAsia" w:ascii="宋体" w:hAnsi="宋体" w:cs="宋体"/>
          <w:color w:val="auto"/>
        </w:rPr>
        <w:fldChar w:fldCharType="end"/>
      </w:r>
    </w:p>
    <w:p>
      <w:pPr>
        <w:pStyle w:val="37"/>
        <w:tabs>
          <w:tab w:val="right" w:leader="dot" w:pos="8845"/>
        </w:tabs>
      </w:pPr>
      <w:r>
        <w:rPr>
          <w:rFonts w:hint="eastAsia" w:ascii="宋体" w:hAnsi="宋体" w:cs="宋体"/>
          <w:color w:val="auto"/>
        </w:rPr>
        <w:fldChar w:fldCharType="begin"/>
      </w:r>
      <w:r>
        <w:rPr>
          <w:rFonts w:hint="eastAsia" w:ascii="宋体" w:hAnsi="宋体" w:cs="宋体"/>
        </w:rPr>
        <w:instrText xml:space="preserve"> HYPERLINK \l _Toc8468 </w:instrText>
      </w:r>
      <w:r>
        <w:rPr>
          <w:rFonts w:hint="eastAsia" w:ascii="宋体" w:hAnsi="宋体" w:cs="宋体"/>
        </w:rPr>
        <w:fldChar w:fldCharType="separate"/>
      </w:r>
      <w:r>
        <w:rPr>
          <w:rFonts w:hint="eastAsia" w:ascii="宋体" w:hAnsi="宋体" w:cs="宋体"/>
          <w:szCs w:val="21"/>
        </w:rPr>
        <w:t>一、说明</w:t>
      </w:r>
      <w:r>
        <w:tab/>
      </w:r>
      <w:r>
        <w:fldChar w:fldCharType="begin"/>
      </w:r>
      <w:r>
        <w:instrText xml:space="preserve"> PAGEREF _Toc8468 \h </w:instrText>
      </w:r>
      <w:r>
        <w:fldChar w:fldCharType="separate"/>
      </w:r>
      <w:r>
        <w:t>6</w:t>
      </w:r>
      <w:r>
        <w:fldChar w:fldCharType="end"/>
      </w:r>
      <w:r>
        <w:rPr>
          <w:rFonts w:hint="eastAsia" w:ascii="宋体" w:hAnsi="宋体" w:cs="宋体"/>
          <w:color w:val="auto"/>
        </w:rPr>
        <w:fldChar w:fldCharType="end"/>
      </w:r>
    </w:p>
    <w:p>
      <w:pPr>
        <w:pStyle w:val="37"/>
        <w:tabs>
          <w:tab w:val="right" w:leader="dot" w:pos="8845"/>
        </w:tabs>
      </w:pPr>
      <w:r>
        <w:rPr>
          <w:rFonts w:hint="eastAsia" w:ascii="宋体" w:hAnsi="宋体" w:cs="宋体"/>
          <w:color w:val="auto"/>
        </w:rPr>
        <w:fldChar w:fldCharType="begin"/>
      </w:r>
      <w:r>
        <w:rPr>
          <w:rFonts w:hint="eastAsia" w:ascii="宋体" w:hAnsi="宋体" w:cs="宋体"/>
        </w:rPr>
        <w:instrText xml:space="preserve"> HYPERLINK \l _Toc2678 </w:instrText>
      </w:r>
      <w:r>
        <w:rPr>
          <w:rFonts w:hint="eastAsia" w:ascii="宋体" w:hAnsi="宋体" w:cs="宋体"/>
        </w:rPr>
        <w:fldChar w:fldCharType="separate"/>
      </w:r>
      <w:r>
        <w:rPr>
          <w:rFonts w:hint="eastAsia" w:ascii="宋体" w:hAnsi="宋体" w:cs="宋体"/>
          <w:szCs w:val="21"/>
        </w:rPr>
        <w:t>二、竞争性采购文件</w:t>
      </w:r>
      <w:r>
        <w:tab/>
      </w:r>
      <w:r>
        <w:fldChar w:fldCharType="begin"/>
      </w:r>
      <w:r>
        <w:instrText xml:space="preserve"> PAGEREF _Toc2678 \h </w:instrText>
      </w:r>
      <w:r>
        <w:fldChar w:fldCharType="separate"/>
      </w:r>
      <w:r>
        <w:t>7</w:t>
      </w:r>
      <w:r>
        <w:fldChar w:fldCharType="end"/>
      </w:r>
      <w:r>
        <w:rPr>
          <w:rFonts w:hint="eastAsia" w:ascii="宋体" w:hAnsi="宋体" w:cs="宋体"/>
          <w:color w:val="auto"/>
        </w:rPr>
        <w:fldChar w:fldCharType="end"/>
      </w:r>
    </w:p>
    <w:p>
      <w:pPr>
        <w:pStyle w:val="37"/>
        <w:tabs>
          <w:tab w:val="right" w:leader="dot" w:pos="8845"/>
        </w:tabs>
      </w:pPr>
      <w:r>
        <w:rPr>
          <w:rFonts w:hint="eastAsia" w:ascii="宋体" w:hAnsi="宋体" w:cs="宋体"/>
          <w:color w:val="auto"/>
        </w:rPr>
        <w:fldChar w:fldCharType="begin"/>
      </w:r>
      <w:r>
        <w:rPr>
          <w:rFonts w:hint="eastAsia" w:ascii="宋体" w:hAnsi="宋体" w:cs="宋体"/>
        </w:rPr>
        <w:instrText xml:space="preserve"> HYPERLINK \l _Toc22286 </w:instrText>
      </w:r>
      <w:r>
        <w:rPr>
          <w:rFonts w:hint="eastAsia" w:ascii="宋体" w:hAnsi="宋体" w:cs="宋体"/>
        </w:rPr>
        <w:fldChar w:fldCharType="separate"/>
      </w:r>
      <w:r>
        <w:rPr>
          <w:rFonts w:hint="eastAsia" w:ascii="宋体" w:hAnsi="宋体" w:cs="宋体"/>
          <w:szCs w:val="21"/>
        </w:rPr>
        <w:t>三、响应文件</w:t>
      </w:r>
      <w:r>
        <w:tab/>
      </w:r>
      <w:r>
        <w:fldChar w:fldCharType="begin"/>
      </w:r>
      <w:r>
        <w:instrText xml:space="preserve"> PAGEREF _Toc22286 \h </w:instrText>
      </w:r>
      <w:r>
        <w:fldChar w:fldCharType="separate"/>
      </w:r>
      <w:r>
        <w:t>8</w:t>
      </w:r>
      <w:r>
        <w:fldChar w:fldCharType="end"/>
      </w:r>
      <w:r>
        <w:rPr>
          <w:rFonts w:hint="eastAsia" w:ascii="宋体" w:hAnsi="宋体" w:cs="宋体"/>
          <w:color w:val="auto"/>
        </w:rPr>
        <w:fldChar w:fldCharType="end"/>
      </w:r>
    </w:p>
    <w:p>
      <w:pPr>
        <w:pStyle w:val="37"/>
        <w:tabs>
          <w:tab w:val="right" w:leader="dot" w:pos="8845"/>
        </w:tabs>
      </w:pPr>
      <w:r>
        <w:rPr>
          <w:rFonts w:hint="eastAsia" w:ascii="宋体" w:hAnsi="宋体" w:cs="宋体"/>
          <w:color w:val="auto"/>
        </w:rPr>
        <w:fldChar w:fldCharType="begin"/>
      </w:r>
      <w:r>
        <w:rPr>
          <w:rFonts w:hint="eastAsia" w:ascii="宋体" w:hAnsi="宋体" w:cs="宋体"/>
        </w:rPr>
        <w:instrText xml:space="preserve"> HYPERLINK \l _Toc16194 </w:instrText>
      </w:r>
      <w:r>
        <w:rPr>
          <w:rFonts w:hint="eastAsia" w:ascii="宋体" w:hAnsi="宋体" w:cs="宋体"/>
        </w:rPr>
        <w:fldChar w:fldCharType="separate"/>
      </w:r>
      <w:r>
        <w:rPr>
          <w:rFonts w:hint="eastAsia" w:ascii="宋体" w:hAnsi="宋体" w:cs="宋体"/>
          <w:szCs w:val="21"/>
        </w:rPr>
        <w:t>四、响应文件的递交</w:t>
      </w:r>
      <w:r>
        <w:tab/>
      </w:r>
      <w:r>
        <w:fldChar w:fldCharType="begin"/>
      </w:r>
      <w:r>
        <w:instrText xml:space="preserve"> PAGEREF _Toc16194 \h </w:instrText>
      </w:r>
      <w:r>
        <w:fldChar w:fldCharType="separate"/>
      </w:r>
      <w:r>
        <w:t>10</w:t>
      </w:r>
      <w:r>
        <w:fldChar w:fldCharType="end"/>
      </w:r>
      <w:r>
        <w:rPr>
          <w:rFonts w:hint="eastAsia" w:ascii="宋体" w:hAnsi="宋体" w:cs="宋体"/>
          <w:color w:val="auto"/>
        </w:rPr>
        <w:fldChar w:fldCharType="end"/>
      </w:r>
    </w:p>
    <w:p>
      <w:pPr>
        <w:pStyle w:val="37"/>
        <w:tabs>
          <w:tab w:val="right" w:leader="dot" w:pos="8845"/>
        </w:tabs>
      </w:pPr>
      <w:r>
        <w:rPr>
          <w:rFonts w:hint="eastAsia" w:ascii="宋体" w:hAnsi="宋体" w:cs="宋体"/>
          <w:color w:val="auto"/>
        </w:rPr>
        <w:fldChar w:fldCharType="begin"/>
      </w:r>
      <w:r>
        <w:rPr>
          <w:rFonts w:hint="eastAsia" w:ascii="宋体" w:hAnsi="宋体" w:cs="宋体"/>
        </w:rPr>
        <w:instrText xml:space="preserve"> HYPERLINK \l _Toc9252 </w:instrText>
      </w:r>
      <w:r>
        <w:rPr>
          <w:rFonts w:hint="eastAsia" w:ascii="宋体" w:hAnsi="宋体" w:cs="宋体"/>
        </w:rPr>
        <w:fldChar w:fldCharType="separate"/>
      </w:r>
      <w:r>
        <w:rPr>
          <w:rFonts w:hint="eastAsia" w:ascii="宋体" w:hAnsi="宋体" w:cs="宋体"/>
          <w:szCs w:val="21"/>
        </w:rPr>
        <w:t>五、响应文件的评审</w:t>
      </w:r>
      <w:r>
        <w:tab/>
      </w:r>
      <w:r>
        <w:fldChar w:fldCharType="begin"/>
      </w:r>
      <w:r>
        <w:instrText xml:space="preserve"> PAGEREF _Toc9252 \h </w:instrText>
      </w:r>
      <w:r>
        <w:fldChar w:fldCharType="separate"/>
      </w:r>
      <w:r>
        <w:t>10</w:t>
      </w:r>
      <w:r>
        <w:fldChar w:fldCharType="end"/>
      </w:r>
      <w:r>
        <w:rPr>
          <w:rFonts w:hint="eastAsia" w:ascii="宋体" w:hAnsi="宋体" w:cs="宋体"/>
          <w:color w:val="auto"/>
        </w:rPr>
        <w:fldChar w:fldCharType="end"/>
      </w:r>
    </w:p>
    <w:p>
      <w:pPr>
        <w:pStyle w:val="37"/>
        <w:tabs>
          <w:tab w:val="right" w:leader="dot" w:pos="8845"/>
        </w:tabs>
      </w:pPr>
      <w:r>
        <w:rPr>
          <w:rFonts w:hint="eastAsia" w:ascii="宋体" w:hAnsi="宋体" w:cs="宋体"/>
          <w:color w:val="auto"/>
        </w:rPr>
        <w:fldChar w:fldCharType="begin"/>
      </w:r>
      <w:r>
        <w:rPr>
          <w:rFonts w:hint="eastAsia" w:ascii="宋体" w:hAnsi="宋体" w:cs="宋体"/>
        </w:rPr>
        <w:instrText xml:space="preserve"> HYPERLINK \l _Toc18097 </w:instrText>
      </w:r>
      <w:r>
        <w:rPr>
          <w:rFonts w:hint="eastAsia" w:ascii="宋体" w:hAnsi="宋体" w:cs="宋体"/>
        </w:rPr>
        <w:fldChar w:fldCharType="separate"/>
      </w:r>
      <w:r>
        <w:rPr>
          <w:rFonts w:hint="eastAsia" w:ascii="宋体" w:hAnsi="宋体" w:cs="宋体"/>
          <w:szCs w:val="21"/>
        </w:rPr>
        <w:t>六、响应文件的澄清、说明及补正</w:t>
      </w:r>
      <w:r>
        <w:tab/>
      </w:r>
      <w:r>
        <w:fldChar w:fldCharType="begin"/>
      </w:r>
      <w:r>
        <w:instrText xml:space="preserve"> PAGEREF _Toc18097 \h </w:instrText>
      </w:r>
      <w:r>
        <w:fldChar w:fldCharType="separate"/>
      </w:r>
      <w:r>
        <w:t>10</w:t>
      </w:r>
      <w:r>
        <w:fldChar w:fldCharType="end"/>
      </w:r>
      <w:r>
        <w:rPr>
          <w:rFonts w:hint="eastAsia" w:ascii="宋体" w:hAnsi="宋体" w:cs="宋体"/>
          <w:color w:val="auto"/>
        </w:rPr>
        <w:fldChar w:fldCharType="end"/>
      </w:r>
    </w:p>
    <w:p>
      <w:pPr>
        <w:pStyle w:val="37"/>
        <w:tabs>
          <w:tab w:val="right" w:leader="dot" w:pos="8845"/>
        </w:tabs>
      </w:pPr>
      <w:r>
        <w:rPr>
          <w:rFonts w:hint="eastAsia" w:ascii="宋体" w:hAnsi="宋体" w:cs="宋体"/>
          <w:color w:val="auto"/>
        </w:rPr>
        <w:fldChar w:fldCharType="begin"/>
      </w:r>
      <w:r>
        <w:rPr>
          <w:rFonts w:hint="eastAsia" w:ascii="宋体" w:hAnsi="宋体" w:cs="宋体"/>
        </w:rPr>
        <w:instrText xml:space="preserve"> HYPERLINK \l _Toc11870 </w:instrText>
      </w:r>
      <w:r>
        <w:rPr>
          <w:rFonts w:hint="eastAsia" w:ascii="宋体" w:hAnsi="宋体" w:cs="宋体"/>
        </w:rPr>
        <w:fldChar w:fldCharType="separate"/>
      </w:r>
      <w:r>
        <w:rPr>
          <w:rFonts w:hint="eastAsia" w:ascii="宋体" w:hAnsi="宋体" w:cs="宋体"/>
          <w:szCs w:val="21"/>
        </w:rPr>
        <w:t>七、成交结果与授予合同</w:t>
      </w:r>
      <w:r>
        <w:tab/>
      </w:r>
      <w:r>
        <w:fldChar w:fldCharType="begin"/>
      </w:r>
      <w:r>
        <w:instrText xml:space="preserve"> PAGEREF _Toc11870 \h </w:instrText>
      </w:r>
      <w:r>
        <w:fldChar w:fldCharType="separate"/>
      </w:r>
      <w:r>
        <w:t>11</w:t>
      </w:r>
      <w:r>
        <w:fldChar w:fldCharType="end"/>
      </w:r>
      <w:r>
        <w:rPr>
          <w:rFonts w:hint="eastAsia" w:ascii="宋体" w:hAnsi="宋体" w:cs="宋体"/>
          <w:color w:val="auto"/>
        </w:rPr>
        <w:fldChar w:fldCharType="end"/>
      </w:r>
    </w:p>
    <w:p>
      <w:pPr>
        <w:pStyle w:val="37"/>
        <w:tabs>
          <w:tab w:val="right" w:leader="dot" w:pos="8845"/>
        </w:tabs>
      </w:pPr>
      <w:r>
        <w:rPr>
          <w:rFonts w:hint="eastAsia" w:ascii="宋体" w:hAnsi="宋体" w:cs="宋体"/>
          <w:color w:val="auto"/>
        </w:rPr>
        <w:fldChar w:fldCharType="begin"/>
      </w:r>
      <w:r>
        <w:rPr>
          <w:rFonts w:hint="eastAsia" w:ascii="宋体" w:hAnsi="宋体" w:cs="宋体"/>
        </w:rPr>
        <w:instrText xml:space="preserve"> HYPERLINK \l _Toc137 </w:instrText>
      </w:r>
      <w:r>
        <w:rPr>
          <w:rFonts w:hint="eastAsia" w:ascii="宋体" w:hAnsi="宋体" w:cs="宋体"/>
        </w:rPr>
        <w:fldChar w:fldCharType="separate"/>
      </w:r>
      <w:r>
        <w:rPr>
          <w:rFonts w:hint="eastAsia" w:ascii="宋体" w:hAnsi="宋体" w:cs="宋体"/>
          <w:szCs w:val="21"/>
        </w:rPr>
        <w:t>八、其他</w:t>
      </w:r>
      <w:r>
        <w:tab/>
      </w:r>
      <w:r>
        <w:fldChar w:fldCharType="begin"/>
      </w:r>
      <w:r>
        <w:instrText xml:space="preserve"> PAGEREF _Toc137 \h </w:instrText>
      </w:r>
      <w:r>
        <w:fldChar w:fldCharType="separate"/>
      </w:r>
      <w:r>
        <w:t>12</w:t>
      </w:r>
      <w:r>
        <w:fldChar w:fldCharType="end"/>
      </w:r>
      <w:r>
        <w:rPr>
          <w:rFonts w:hint="eastAsia" w:ascii="宋体" w:hAnsi="宋体" w:cs="宋体"/>
          <w:color w:val="auto"/>
        </w:rPr>
        <w:fldChar w:fldCharType="end"/>
      </w:r>
    </w:p>
    <w:p>
      <w:pPr>
        <w:pStyle w:val="32"/>
        <w:tabs>
          <w:tab w:val="right" w:leader="dot" w:pos="8845"/>
        </w:tabs>
      </w:pPr>
      <w:r>
        <w:rPr>
          <w:rFonts w:hint="eastAsia" w:ascii="宋体" w:hAnsi="宋体" w:cs="宋体"/>
          <w:color w:val="auto"/>
        </w:rPr>
        <w:fldChar w:fldCharType="begin"/>
      </w:r>
      <w:r>
        <w:rPr>
          <w:rFonts w:hint="eastAsia" w:ascii="宋体" w:hAnsi="宋体" w:cs="宋体"/>
        </w:rPr>
        <w:instrText xml:space="preserve"> HYPERLINK \l _Toc18653 </w:instrText>
      </w:r>
      <w:r>
        <w:rPr>
          <w:rFonts w:hint="eastAsia" w:ascii="宋体" w:hAnsi="宋体" w:cs="宋体"/>
        </w:rPr>
        <w:fldChar w:fldCharType="separate"/>
      </w:r>
      <w:r>
        <w:rPr>
          <w:rFonts w:hint="eastAsia" w:ascii="宋体" w:hAnsi="宋体" w:cs="宋体"/>
          <w:bCs w:val="0"/>
          <w:szCs w:val="32"/>
        </w:rPr>
        <w:t>第三章  评审办法及标准</w:t>
      </w:r>
      <w:r>
        <w:tab/>
      </w:r>
      <w:r>
        <w:fldChar w:fldCharType="begin"/>
      </w:r>
      <w:r>
        <w:instrText xml:space="preserve"> PAGEREF _Toc18653 \h </w:instrText>
      </w:r>
      <w:r>
        <w:fldChar w:fldCharType="separate"/>
      </w:r>
      <w:r>
        <w:t>13</w:t>
      </w:r>
      <w:r>
        <w:fldChar w:fldCharType="end"/>
      </w:r>
      <w:r>
        <w:rPr>
          <w:rFonts w:hint="eastAsia" w:ascii="宋体" w:hAnsi="宋体" w:cs="宋体"/>
          <w:color w:val="auto"/>
        </w:rPr>
        <w:fldChar w:fldCharType="end"/>
      </w:r>
    </w:p>
    <w:p>
      <w:pPr>
        <w:pStyle w:val="32"/>
        <w:tabs>
          <w:tab w:val="right" w:leader="dot" w:pos="8845"/>
        </w:tabs>
      </w:pPr>
      <w:r>
        <w:rPr>
          <w:rFonts w:hint="eastAsia" w:ascii="宋体" w:hAnsi="宋体" w:cs="宋体"/>
          <w:color w:val="auto"/>
        </w:rPr>
        <w:fldChar w:fldCharType="begin"/>
      </w:r>
      <w:r>
        <w:rPr>
          <w:rFonts w:hint="eastAsia" w:ascii="宋体" w:hAnsi="宋体" w:cs="宋体"/>
        </w:rPr>
        <w:instrText xml:space="preserve"> HYPERLINK \l _Toc25621 </w:instrText>
      </w:r>
      <w:r>
        <w:rPr>
          <w:rFonts w:hint="eastAsia" w:ascii="宋体" w:hAnsi="宋体" w:cs="宋体"/>
        </w:rPr>
        <w:fldChar w:fldCharType="separate"/>
      </w:r>
      <w:r>
        <w:rPr>
          <w:rFonts w:hint="eastAsia" w:ascii="宋体" w:hAnsi="宋体" w:cs="宋体"/>
          <w:bCs w:val="0"/>
          <w:szCs w:val="32"/>
        </w:rPr>
        <w:t>第四章  用户需求书（另册）</w:t>
      </w:r>
      <w:r>
        <w:tab/>
      </w:r>
      <w:r>
        <w:fldChar w:fldCharType="begin"/>
      </w:r>
      <w:r>
        <w:instrText xml:space="preserve"> PAGEREF _Toc25621 \h </w:instrText>
      </w:r>
      <w:r>
        <w:fldChar w:fldCharType="separate"/>
      </w:r>
      <w:r>
        <w:t>20</w:t>
      </w:r>
      <w:r>
        <w:fldChar w:fldCharType="end"/>
      </w:r>
      <w:r>
        <w:rPr>
          <w:rFonts w:hint="eastAsia" w:ascii="宋体" w:hAnsi="宋体" w:cs="宋体"/>
          <w:color w:val="auto"/>
        </w:rPr>
        <w:fldChar w:fldCharType="end"/>
      </w:r>
    </w:p>
    <w:p>
      <w:pPr>
        <w:pStyle w:val="32"/>
        <w:tabs>
          <w:tab w:val="right" w:leader="dot" w:pos="8845"/>
        </w:tabs>
      </w:pPr>
      <w:r>
        <w:rPr>
          <w:rFonts w:hint="eastAsia" w:ascii="宋体" w:hAnsi="宋体" w:cs="宋体"/>
          <w:color w:val="auto"/>
        </w:rPr>
        <w:fldChar w:fldCharType="begin"/>
      </w:r>
      <w:r>
        <w:rPr>
          <w:rFonts w:hint="eastAsia" w:ascii="宋体" w:hAnsi="宋体" w:cs="宋体"/>
        </w:rPr>
        <w:instrText xml:space="preserve"> HYPERLINK \l _Toc25541 </w:instrText>
      </w:r>
      <w:r>
        <w:rPr>
          <w:rFonts w:hint="eastAsia" w:ascii="宋体" w:hAnsi="宋体" w:cs="宋体"/>
        </w:rPr>
        <w:fldChar w:fldCharType="separate"/>
      </w:r>
      <w:r>
        <w:rPr>
          <w:rFonts w:hint="eastAsia" w:ascii="宋体" w:hAnsi="宋体" w:cs="宋体"/>
          <w:bCs w:val="0"/>
          <w:szCs w:val="32"/>
        </w:rPr>
        <w:t xml:space="preserve">第五章 </w:t>
      </w:r>
      <w:r>
        <w:rPr>
          <w:rFonts w:hint="eastAsia" w:ascii="宋体" w:hAnsi="宋体" w:cs="宋体"/>
          <w:bCs w:val="0"/>
          <w:szCs w:val="32"/>
          <w:lang w:val="en-US" w:eastAsia="zh-CN"/>
        </w:rPr>
        <w:t xml:space="preserve"> </w:t>
      </w:r>
      <w:r>
        <w:rPr>
          <w:rFonts w:hint="eastAsia" w:ascii="宋体" w:hAnsi="宋体" w:cs="宋体"/>
          <w:bCs w:val="0"/>
          <w:szCs w:val="32"/>
        </w:rPr>
        <w:t>竞争性采购</w:t>
      </w:r>
      <w:r>
        <w:rPr>
          <w:rFonts w:hint="eastAsia" w:ascii="宋体" w:hAnsi="宋体" w:cs="宋体"/>
          <w:bCs w:val="0"/>
          <w:szCs w:val="32"/>
          <w:lang w:eastAsia="zh-CN"/>
        </w:rPr>
        <w:t>控制价</w:t>
      </w:r>
      <w:r>
        <w:rPr>
          <w:rFonts w:hint="eastAsia" w:ascii="宋体" w:hAnsi="宋体" w:cs="宋体"/>
          <w:bCs w:val="0"/>
          <w:szCs w:val="32"/>
        </w:rPr>
        <w:t>（另册）</w:t>
      </w:r>
      <w:r>
        <w:tab/>
      </w:r>
      <w:r>
        <w:fldChar w:fldCharType="begin"/>
      </w:r>
      <w:r>
        <w:instrText xml:space="preserve"> PAGEREF _Toc25541 \h </w:instrText>
      </w:r>
      <w:r>
        <w:fldChar w:fldCharType="separate"/>
      </w:r>
      <w:r>
        <w:t>21</w:t>
      </w:r>
      <w:r>
        <w:fldChar w:fldCharType="end"/>
      </w:r>
      <w:r>
        <w:rPr>
          <w:rFonts w:hint="eastAsia" w:ascii="宋体" w:hAnsi="宋体" w:cs="宋体"/>
          <w:color w:val="auto"/>
        </w:rPr>
        <w:fldChar w:fldCharType="end"/>
      </w:r>
    </w:p>
    <w:p>
      <w:pPr>
        <w:pStyle w:val="32"/>
        <w:tabs>
          <w:tab w:val="right" w:leader="dot" w:pos="8845"/>
        </w:tabs>
      </w:pPr>
      <w:r>
        <w:rPr>
          <w:rFonts w:hint="eastAsia" w:ascii="宋体" w:hAnsi="宋体" w:cs="宋体"/>
          <w:color w:val="auto"/>
        </w:rPr>
        <w:fldChar w:fldCharType="begin"/>
      </w:r>
      <w:r>
        <w:rPr>
          <w:rFonts w:hint="eastAsia" w:ascii="宋体" w:hAnsi="宋体" w:cs="宋体"/>
        </w:rPr>
        <w:instrText xml:space="preserve"> HYPERLINK \l _Toc9950 </w:instrText>
      </w:r>
      <w:r>
        <w:rPr>
          <w:rFonts w:hint="eastAsia" w:ascii="宋体" w:hAnsi="宋体" w:cs="宋体"/>
        </w:rPr>
        <w:fldChar w:fldCharType="separate"/>
      </w:r>
      <w:r>
        <w:rPr>
          <w:rFonts w:hint="eastAsia" w:ascii="宋体" w:hAnsi="宋体" w:cs="宋体"/>
          <w:bCs w:val="0"/>
          <w:szCs w:val="32"/>
        </w:rPr>
        <w:t xml:space="preserve">第六章 </w:t>
      </w:r>
      <w:r>
        <w:rPr>
          <w:rFonts w:hint="eastAsia" w:ascii="宋体" w:hAnsi="宋体" w:cs="宋体"/>
          <w:bCs w:val="0"/>
          <w:szCs w:val="32"/>
          <w:lang w:val="en-US" w:eastAsia="zh-CN"/>
        </w:rPr>
        <w:t xml:space="preserve"> </w:t>
      </w:r>
      <w:r>
        <w:rPr>
          <w:rFonts w:hint="eastAsia" w:ascii="宋体" w:hAnsi="宋体" w:cs="宋体"/>
          <w:bCs w:val="0"/>
          <w:szCs w:val="32"/>
        </w:rPr>
        <w:t>合同格式条款（另册）</w:t>
      </w:r>
      <w:r>
        <w:tab/>
      </w:r>
      <w:r>
        <w:fldChar w:fldCharType="begin"/>
      </w:r>
      <w:r>
        <w:instrText xml:space="preserve"> PAGEREF _Toc9950 \h </w:instrText>
      </w:r>
      <w:r>
        <w:fldChar w:fldCharType="separate"/>
      </w:r>
      <w:r>
        <w:t>22</w:t>
      </w:r>
      <w:r>
        <w:fldChar w:fldCharType="end"/>
      </w:r>
      <w:r>
        <w:rPr>
          <w:rFonts w:hint="eastAsia" w:ascii="宋体" w:hAnsi="宋体" w:cs="宋体"/>
          <w:color w:val="auto"/>
        </w:rPr>
        <w:fldChar w:fldCharType="end"/>
      </w:r>
    </w:p>
    <w:p>
      <w:pPr>
        <w:pStyle w:val="32"/>
        <w:tabs>
          <w:tab w:val="right" w:leader="dot" w:pos="8845"/>
        </w:tabs>
      </w:pPr>
      <w:r>
        <w:rPr>
          <w:rFonts w:hint="eastAsia" w:ascii="宋体" w:hAnsi="宋体" w:cs="宋体"/>
          <w:color w:val="auto"/>
        </w:rPr>
        <w:fldChar w:fldCharType="begin"/>
      </w:r>
      <w:r>
        <w:rPr>
          <w:rFonts w:hint="eastAsia" w:ascii="宋体" w:hAnsi="宋体" w:cs="宋体"/>
        </w:rPr>
        <w:instrText xml:space="preserve"> HYPERLINK \l _Toc13449 </w:instrText>
      </w:r>
      <w:r>
        <w:rPr>
          <w:rFonts w:hint="eastAsia" w:ascii="宋体" w:hAnsi="宋体" w:cs="宋体"/>
        </w:rPr>
        <w:fldChar w:fldCharType="separate"/>
      </w:r>
      <w:r>
        <w:rPr>
          <w:rFonts w:hint="eastAsia" w:ascii="宋体" w:hAnsi="宋体" w:cs="宋体"/>
          <w:szCs w:val="32"/>
        </w:rPr>
        <w:t xml:space="preserve">第七章  </w:t>
      </w:r>
      <w:r>
        <w:rPr>
          <w:rFonts w:hint="eastAsia" w:ascii="宋体" w:hAnsi="宋体" w:cs="宋体"/>
          <w:bCs/>
          <w:szCs w:val="32"/>
        </w:rPr>
        <w:t>响应文件组成</w:t>
      </w:r>
      <w:r>
        <w:tab/>
      </w:r>
      <w:r>
        <w:fldChar w:fldCharType="begin"/>
      </w:r>
      <w:r>
        <w:instrText xml:space="preserve"> PAGEREF _Toc13449 \h </w:instrText>
      </w:r>
      <w:r>
        <w:fldChar w:fldCharType="separate"/>
      </w:r>
      <w:r>
        <w:t>23</w:t>
      </w:r>
      <w:r>
        <w:fldChar w:fldCharType="end"/>
      </w:r>
      <w:r>
        <w:rPr>
          <w:rFonts w:hint="eastAsia" w:ascii="宋体" w:hAnsi="宋体" w:cs="宋体"/>
          <w:color w:val="auto"/>
        </w:rPr>
        <w:fldChar w:fldCharType="end"/>
      </w:r>
    </w:p>
    <w:p>
      <w:pPr>
        <w:spacing w:line="360" w:lineRule="auto"/>
        <w:rPr>
          <w:rFonts w:ascii="宋体" w:hAnsi="宋体" w:cs="宋体"/>
          <w:b/>
          <w:bCs/>
          <w:color w:val="auto"/>
          <w:szCs w:val="21"/>
          <w:highlight w:val="cyan"/>
        </w:rPr>
        <w:sectPr>
          <w:footerReference r:id="rId4" w:type="default"/>
          <w:pgSz w:w="11906" w:h="16838"/>
          <w:pgMar w:top="2098" w:right="1474" w:bottom="1984" w:left="1587" w:header="851" w:footer="992" w:gutter="0"/>
          <w:cols w:space="0" w:num="1"/>
          <w:docGrid w:type="lines" w:linePitch="319" w:charSpace="0"/>
        </w:sectPr>
      </w:pPr>
      <w:r>
        <w:rPr>
          <w:rFonts w:hint="eastAsia" w:ascii="宋体" w:hAnsi="宋体" w:cs="宋体"/>
          <w:color w:val="auto"/>
        </w:rPr>
        <w:fldChar w:fldCharType="end"/>
      </w:r>
      <w:bookmarkStart w:id="1" w:name="_Toc29614"/>
      <w:bookmarkStart w:id="2" w:name="_Toc5016"/>
    </w:p>
    <w:p>
      <w:pPr>
        <w:pStyle w:val="3"/>
        <w:keepNext w:val="0"/>
        <w:spacing w:line="360" w:lineRule="auto"/>
        <w:rPr>
          <w:rFonts w:hint="eastAsia" w:ascii="宋体" w:hAnsi="宋体" w:eastAsia="宋体" w:cs="宋体"/>
          <w:color w:val="auto"/>
          <w:sz w:val="32"/>
          <w:szCs w:val="32"/>
        </w:rPr>
      </w:pPr>
      <w:bookmarkStart w:id="3" w:name="_Toc13376"/>
      <w:bookmarkStart w:id="4" w:name="_Toc3621"/>
      <w:bookmarkStart w:id="5" w:name="_Toc21731"/>
      <w:r>
        <w:rPr>
          <w:rFonts w:hint="eastAsia" w:ascii="宋体" w:hAnsi="宋体" w:eastAsia="宋体" w:cs="宋体"/>
          <w:color w:val="auto"/>
          <w:sz w:val="32"/>
          <w:szCs w:val="32"/>
        </w:rPr>
        <w:t>第一章  竞争性采购公告</w:t>
      </w:r>
      <w:bookmarkEnd w:id="0"/>
      <w:bookmarkEnd w:id="1"/>
      <w:bookmarkEnd w:id="2"/>
      <w:bookmarkEnd w:id="3"/>
      <w:bookmarkEnd w:id="4"/>
      <w:bookmarkEnd w:id="5"/>
    </w:p>
    <w:p>
      <w:pPr>
        <w:spacing w:line="360" w:lineRule="auto"/>
        <w:rPr>
          <w:color w:val="auto"/>
        </w:rPr>
      </w:pPr>
    </w:p>
    <w:p>
      <w:pPr>
        <w:pStyle w:val="25"/>
        <w:adjustRightInd w:val="0"/>
        <w:snapToGrid w:val="0"/>
        <w:spacing w:line="360" w:lineRule="auto"/>
        <w:ind w:firstLine="420" w:firstLineChars="200"/>
        <w:jc w:val="left"/>
        <w:rPr>
          <w:rFonts w:hAnsi="宋体" w:cs="宋体"/>
          <w:iCs/>
          <w:color w:val="auto"/>
        </w:rPr>
      </w:pPr>
      <w:r>
        <w:rPr>
          <w:rStyle w:val="56"/>
          <w:rFonts w:hint="eastAsia"/>
          <w:color w:val="auto"/>
          <w:kern w:val="0"/>
          <w:shd w:val="clear" w:color="auto" w:fill="FFFFFF"/>
        </w:rPr>
        <w:t>长沙市轨道交通运营有限公司</w:t>
      </w:r>
      <w:r>
        <w:rPr>
          <w:rStyle w:val="56"/>
          <w:rFonts w:hint="eastAsia"/>
          <w:color w:val="auto"/>
          <w:kern w:val="0"/>
          <w:u w:val="none"/>
          <w:shd w:val="clear" w:color="auto" w:fill="FFFFFF"/>
        </w:rPr>
        <w:t>对</w:t>
      </w:r>
      <w:r>
        <w:rPr>
          <w:rStyle w:val="56"/>
          <w:rFonts w:hint="eastAsia" w:ascii="Times New Roman" w:hAnsi="Times New Roman" w:eastAsia="宋体" w:cs="Times New Roman"/>
          <w:color w:val="auto"/>
          <w:kern w:val="0"/>
          <w:shd w:val="clear" w:color="auto" w:fill="FFFFFF"/>
          <w:lang w:val="en-US" w:eastAsia="zh-CN"/>
        </w:rPr>
        <w:t>长沙市轨道交通运营有限公司法律顾问采购服务项目</w:t>
      </w:r>
      <w:r>
        <w:rPr>
          <w:rFonts w:hint="eastAsia" w:hAnsi="宋体" w:cs="宋体"/>
          <w:u w:val="single"/>
          <w:lang w:eastAsia="zh-CN"/>
        </w:rPr>
        <w:t>（</w:t>
      </w:r>
      <w:r>
        <w:rPr>
          <w:rFonts w:hint="eastAsia" w:hAnsi="宋体" w:cs="宋体"/>
          <w:u w:val="single"/>
          <w:lang w:val="en-US" w:eastAsia="zh-CN"/>
        </w:rPr>
        <w:t>第二次</w:t>
      </w:r>
      <w:r>
        <w:rPr>
          <w:rFonts w:hint="eastAsia" w:hAnsi="宋体" w:cs="宋体"/>
          <w:u w:val="single"/>
          <w:lang w:eastAsia="zh-CN"/>
        </w:rPr>
        <w:t>）</w:t>
      </w:r>
      <w:r>
        <w:rPr>
          <w:rStyle w:val="56"/>
          <w:rFonts w:hint="eastAsia"/>
          <w:color w:val="auto"/>
          <w:kern w:val="0"/>
          <w:u w:val="none"/>
          <w:shd w:val="clear" w:color="auto" w:fill="FFFFFF"/>
        </w:rPr>
        <w:t>进行竞争性采购，现发布公告，邀请符合条件的单位参与竞争性采购活动，本项目为不含税报价。</w:t>
      </w:r>
    </w:p>
    <w:p>
      <w:pPr>
        <w:pStyle w:val="41"/>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项目概况</w:t>
      </w:r>
    </w:p>
    <w:p>
      <w:pPr>
        <w:numPr>
          <w:ilvl w:val="0"/>
          <w:numId w:val="7"/>
        </w:numPr>
        <w:spacing w:line="360" w:lineRule="auto"/>
        <w:ind w:firstLine="420" w:firstLineChars="200"/>
        <w:rPr>
          <w:rStyle w:val="56"/>
          <w:rFonts w:hint="eastAsia" w:ascii="Times New Roman" w:hAnsi="Times New Roman" w:eastAsia="宋体" w:cs="Times New Roman"/>
          <w:color w:val="auto"/>
          <w:kern w:val="0"/>
          <w:u w:val="none"/>
          <w:shd w:val="clear" w:color="auto" w:fill="FFFFFF"/>
        </w:rPr>
      </w:pPr>
      <w:r>
        <w:rPr>
          <w:rStyle w:val="56"/>
          <w:rFonts w:hint="eastAsia"/>
          <w:color w:val="auto"/>
          <w:kern w:val="0"/>
          <w:u w:val="none"/>
          <w:shd w:val="clear" w:color="auto" w:fill="FFFFFF"/>
        </w:rPr>
        <w:t>项目名称：</w:t>
      </w:r>
      <w:r>
        <w:rPr>
          <w:rStyle w:val="56"/>
          <w:rFonts w:hint="eastAsia" w:ascii="Times New Roman" w:hAnsi="Times New Roman" w:eastAsia="宋体" w:cs="Times New Roman"/>
          <w:color w:val="auto"/>
          <w:kern w:val="0"/>
          <w:u w:val="none"/>
          <w:shd w:val="clear" w:color="auto" w:fill="FFFFFF"/>
          <w:lang w:val="en-US" w:eastAsia="zh-CN"/>
        </w:rPr>
        <w:t>长沙市轨道交通运营有限公司法律顾问采购服务项目</w:t>
      </w:r>
      <w:r>
        <w:rPr>
          <w:rFonts w:hint="eastAsia" w:ascii="宋体" w:hAnsi="宋体" w:cs="宋体"/>
          <w:bCs/>
          <w:color w:val="auto"/>
          <w:sz w:val="21"/>
          <w:szCs w:val="21"/>
          <w:highlight w:val="none"/>
          <w:lang w:val="en-US" w:eastAsia="zh-CN"/>
        </w:rPr>
        <w:t>（第二次）</w:t>
      </w:r>
    </w:p>
    <w:p>
      <w:pPr>
        <w:numPr>
          <w:ilvl w:val="0"/>
          <w:numId w:val="7"/>
        </w:numPr>
        <w:spacing w:line="360" w:lineRule="auto"/>
        <w:ind w:firstLine="420" w:firstLineChars="200"/>
        <w:rPr>
          <w:rStyle w:val="56"/>
          <w:color w:val="auto"/>
          <w:kern w:val="0"/>
          <w:u w:val="none"/>
          <w:shd w:val="clear" w:color="auto" w:fill="FFFFFF"/>
        </w:rPr>
      </w:pPr>
      <w:r>
        <w:rPr>
          <w:rStyle w:val="56"/>
          <w:rFonts w:hint="eastAsia"/>
          <w:color w:val="auto"/>
          <w:kern w:val="0"/>
          <w:u w:val="none"/>
          <w:shd w:val="clear" w:color="auto" w:fill="FFFFFF"/>
        </w:rPr>
        <w:t>项目编号：</w:t>
      </w:r>
      <w:r>
        <w:rPr>
          <w:rStyle w:val="56"/>
          <w:rFonts w:hint="eastAsia"/>
          <w:color w:val="auto"/>
          <w:kern w:val="0"/>
          <w:u w:val="none"/>
          <w:shd w:val="clear" w:color="auto" w:fill="FFFFFF"/>
          <w:lang w:eastAsia="zh-CN"/>
        </w:rPr>
        <w:t>长轨运服采【2023】059号</w:t>
      </w:r>
    </w:p>
    <w:p>
      <w:pPr>
        <w:numPr>
          <w:ilvl w:val="0"/>
          <w:numId w:val="7"/>
        </w:numPr>
        <w:spacing w:line="360" w:lineRule="auto"/>
        <w:ind w:firstLine="420" w:firstLineChars="200"/>
        <w:rPr>
          <w:rStyle w:val="56"/>
          <w:rFonts w:hint="eastAsia" w:ascii="Times New Roman" w:hAnsi="Times New Roman" w:eastAsia="宋体" w:cs="Times New Roman"/>
          <w:color w:val="auto"/>
          <w:kern w:val="0"/>
          <w:u w:val="none"/>
          <w:shd w:val="clear" w:color="auto" w:fill="FFFFFF"/>
          <w:lang w:val="en-US" w:eastAsia="zh-CN"/>
        </w:rPr>
      </w:pPr>
      <w:r>
        <w:rPr>
          <w:rStyle w:val="56"/>
          <w:rFonts w:hint="eastAsia" w:ascii="Times New Roman" w:hAnsi="Times New Roman" w:eastAsia="宋体" w:cs="Times New Roman"/>
          <w:color w:val="auto"/>
          <w:kern w:val="0"/>
          <w:u w:val="none"/>
          <w:shd w:val="clear" w:color="auto" w:fill="FFFFFF"/>
          <w:lang w:val="en-US" w:eastAsia="zh-CN"/>
        </w:rPr>
        <w:t>控制价：597422.40元</w:t>
      </w:r>
    </w:p>
    <w:p>
      <w:pPr>
        <w:numPr>
          <w:ilvl w:val="0"/>
          <w:numId w:val="7"/>
        </w:numPr>
        <w:spacing w:line="360" w:lineRule="auto"/>
        <w:ind w:firstLine="420" w:firstLineChars="200"/>
        <w:rPr>
          <w:rStyle w:val="56"/>
          <w:color w:val="auto"/>
          <w:kern w:val="0"/>
          <w:u w:val="none"/>
          <w:shd w:val="clear" w:color="auto" w:fill="FFFFFF"/>
        </w:rPr>
      </w:pPr>
      <w:r>
        <w:rPr>
          <w:rStyle w:val="56"/>
          <w:rFonts w:hint="eastAsia"/>
          <w:color w:val="auto"/>
          <w:kern w:val="0"/>
          <w:u w:val="none"/>
          <w:shd w:val="clear" w:color="auto" w:fill="FFFFFF"/>
        </w:rPr>
        <w:t>标段划分：共划分 1 个标段</w:t>
      </w:r>
    </w:p>
    <w:p>
      <w:pPr>
        <w:numPr>
          <w:ilvl w:val="0"/>
          <w:numId w:val="7"/>
        </w:numPr>
        <w:spacing w:line="360" w:lineRule="auto"/>
        <w:ind w:firstLine="420" w:firstLineChars="200"/>
        <w:rPr>
          <w:rStyle w:val="56"/>
          <w:rFonts w:hint="default" w:ascii="Times New Roman" w:hAnsi="Times New Roman" w:eastAsia="宋体" w:cs="Times New Roman"/>
          <w:color w:val="auto"/>
          <w:kern w:val="0"/>
          <w:u w:val="none"/>
          <w:shd w:val="clear" w:color="auto" w:fill="FFFFFF"/>
          <w:lang w:val="en-US" w:eastAsia="zh-CN"/>
        </w:rPr>
      </w:pPr>
      <w:r>
        <w:rPr>
          <w:rStyle w:val="56"/>
          <w:rFonts w:hint="eastAsia" w:ascii="Times New Roman" w:hAnsi="Times New Roman" w:eastAsia="宋体" w:cs="Times New Roman"/>
          <w:color w:val="auto"/>
          <w:kern w:val="0"/>
          <w:u w:val="none"/>
          <w:shd w:val="clear" w:color="auto" w:fill="FFFFFF"/>
        </w:rPr>
        <w:t>服务期限：</w:t>
      </w:r>
      <w:r>
        <w:rPr>
          <w:rStyle w:val="56"/>
          <w:rFonts w:hint="eastAsia" w:cs="Times New Roman"/>
          <w:color w:val="auto"/>
          <w:kern w:val="0"/>
          <w:u w:val="none"/>
          <w:shd w:val="clear" w:color="auto" w:fill="FFFFFF"/>
          <w:lang w:val="en-US" w:eastAsia="zh-CN"/>
        </w:rPr>
        <w:t>2023</w:t>
      </w:r>
      <w:r>
        <w:rPr>
          <w:rStyle w:val="56"/>
          <w:rFonts w:hint="eastAsia" w:ascii="Times New Roman" w:hAnsi="Times New Roman" w:eastAsia="宋体" w:cs="Times New Roman"/>
          <w:color w:val="auto"/>
          <w:kern w:val="0"/>
          <w:u w:val="none"/>
          <w:shd w:val="clear" w:color="auto" w:fill="FFFFFF"/>
          <w:lang w:val="en-US" w:eastAsia="zh-CN"/>
        </w:rPr>
        <w:t>年</w:t>
      </w:r>
      <w:r>
        <w:rPr>
          <w:rStyle w:val="56"/>
          <w:rFonts w:hint="eastAsia" w:cs="Times New Roman"/>
          <w:color w:val="auto"/>
          <w:kern w:val="0"/>
          <w:u w:val="none"/>
          <w:shd w:val="clear" w:color="auto" w:fill="FFFFFF"/>
          <w:lang w:val="en-US" w:eastAsia="zh-CN"/>
        </w:rPr>
        <w:t>12月</w:t>
      </w:r>
      <w:r>
        <w:rPr>
          <w:rStyle w:val="56"/>
          <w:rFonts w:hint="eastAsia" w:ascii="Times New Roman" w:hAnsi="Times New Roman" w:eastAsia="宋体" w:cs="Times New Roman"/>
          <w:color w:val="auto"/>
          <w:kern w:val="0"/>
          <w:u w:val="none"/>
          <w:shd w:val="clear" w:color="auto" w:fill="FFFFFF"/>
          <w:lang w:val="en-US" w:eastAsia="zh-CN"/>
        </w:rPr>
        <w:t>至2025年</w:t>
      </w:r>
      <w:r>
        <w:rPr>
          <w:rStyle w:val="56"/>
          <w:rFonts w:hint="eastAsia" w:cs="Times New Roman"/>
          <w:color w:val="auto"/>
          <w:kern w:val="0"/>
          <w:u w:val="none"/>
          <w:shd w:val="clear" w:color="auto" w:fill="FFFFFF"/>
          <w:lang w:val="en-US" w:eastAsia="zh-CN"/>
        </w:rPr>
        <w:t>12月</w:t>
      </w:r>
      <w:r>
        <w:rPr>
          <w:rStyle w:val="56"/>
          <w:rFonts w:hint="eastAsia" w:ascii="Times New Roman" w:hAnsi="Times New Roman" w:eastAsia="宋体" w:cs="Times New Roman"/>
          <w:color w:val="auto"/>
          <w:kern w:val="0"/>
          <w:u w:val="none"/>
          <w:shd w:val="clear" w:color="auto" w:fill="FFFFFF"/>
          <w:lang w:val="en-US" w:eastAsia="zh-CN"/>
        </w:rPr>
        <w:t>（实际服务时间以供应商接到采购单位发出的进场通知起算，总计24个月）。（具体详见用户需求书）</w:t>
      </w:r>
    </w:p>
    <w:p>
      <w:pPr>
        <w:numPr>
          <w:ilvl w:val="0"/>
          <w:numId w:val="7"/>
        </w:numPr>
        <w:spacing w:line="360" w:lineRule="auto"/>
        <w:ind w:firstLine="420" w:firstLineChars="200"/>
        <w:rPr>
          <w:rStyle w:val="56"/>
          <w:rFonts w:hint="eastAsia" w:ascii="Times New Roman" w:hAnsi="Times New Roman" w:eastAsia="宋体" w:cs="Times New Roman"/>
          <w:color w:val="auto"/>
          <w:kern w:val="0"/>
          <w:u w:val="none"/>
          <w:shd w:val="clear" w:color="auto" w:fill="FFFFFF"/>
        </w:rPr>
      </w:pPr>
      <w:r>
        <w:rPr>
          <w:rStyle w:val="56"/>
          <w:rFonts w:hint="eastAsia" w:ascii="Times New Roman" w:hAnsi="Times New Roman" w:eastAsia="宋体" w:cs="Times New Roman"/>
          <w:color w:val="auto"/>
          <w:kern w:val="0"/>
          <w:u w:val="none"/>
          <w:shd w:val="clear" w:color="auto" w:fill="FFFFFF"/>
        </w:rPr>
        <w:t>采购范围：</w:t>
      </w:r>
      <w:r>
        <w:rPr>
          <w:rStyle w:val="56"/>
          <w:rFonts w:hint="eastAsia" w:ascii="Times New Roman" w:hAnsi="Times New Roman" w:eastAsia="宋体" w:cs="Times New Roman"/>
          <w:color w:val="auto"/>
          <w:kern w:val="0"/>
          <w:u w:val="none"/>
          <w:shd w:val="clear" w:color="auto" w:fill="FFFFFF"/>
          <w:lang w:val="en-US" w:eastAsia="zh-CN"/>
        </w:rPr>
        <w:t>本项目主要为</w:t>
      </w:r>
      <w:r>
        <w:rPr>
          <w:rStyle w:val="56"/>
          <w:rFonts w:hint="default" w:ascii="Times New Roman" w:hAnsi="Times New Roman" w:eastAsia="宋体" w:cs="Times New Roman"/>
          <w:color w:val="auto"/>
          <w:kern w:val="0"/>
          <w:u w:val="none"/>
          <w:shd w:val="clear" w:color="auto" w:fill="FFFFFF"/>
          <w:lang w:val="en-US" w:eastAsia="zh-CN"/>
        </w:rPr>
        <w:t>涵盖运营公司内各部门、运营公司管辖范围内所有场所及运营公司下属所有子、分公司，以及作为股东在控股、参股公司所持股份的对应权益和相关公司全方位的与法律有关事务的服务，同时，在必要时须积极配合集团公司开展各项法律事务工作。</w:t>
      </w:r>
      <w:r>
        <w:rPr>
          <w:rStyle w:val="56"/>
          <w:rFonts w:hint="eastAsia" w:ascii="Times New Roman" w:hAnsi="Times New Roman" w:eastAsia="宋体" w:cs="Times New Roman"/>
          <w:color w:val="auto"/>
          <w:kern w:val="0"/>
          <w:u w:val="none"/>
          <w:shd w:val="clear" w:color="auto" w:fill="FFFFFF"/>
        </w:rPr>
        <w:t>（具体详见用户需求书）</w:t>
      </w:r>
    </w:p>
    <w:p>
      <w:pPr>
        <w:pStyle w:val="41"/>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资格要求</w:t>
      </w:r>
      <w:r>
        <w:rPr>
          <w:rStyle w:val="56"/>
          <w:rFonts w:hint="eastAsia" w:ascii="Times New Roman" w:hAnsi="Times New Roman" w:cs="Times New Roman"/>
          <w:b/>
          <w:bCs/>
          <w:color w:val="auto"/>
          <w:sz w:val="21"/>
          <w:u w:val="none"/>
          <w:shd w:val="clear" w:color="auto" w:fill="FFFFFF"/>
          <w:lang w:val="en-US" w:eastAsia="zh-CN"/>
        </w:rPr>
        <w:t xml:space="preserve"> </w:t>
      </w:r>
    </w:p>
    <w:p>
      <w:pPr>
        <w:numPr>
          <w:ilvl w:val="0"/>
          <w:numId w:val="8"/>
        </w:numPr>
        <w:spacing w:line="360" w:lineRule="auto"/>
        <w:ind w:firstLine="420" w:firstLineChars="200"/>
        <w:rPr>
          <w:rStyle w:val="56"/>
          <w:rFonts w:hint="eastAsia" w:ascii="Times New Roman" w:hAnsi="Times New Roman" w:eastAsia="宋体" w:cs="Times New Roman"/>
          <w:color w:val="auto"/>
          <w:kern w:val="0"/>
          <w:u w:val="none"/>
          <w:shd w:val="clear" w:color="auto" w:fill="FFFFFF"/>
          <w:lang w:val="en-US" w:eastAsia="zh-CN"/>
        </w:rPr>
      </w:pPr>
      <w:r>
        <w:rPr>
          <w:rStyle w:val="56"/>
          <w:rFonts w:hint="eastAsia" w:ascii="Times New Roman" w:hAnsi="Times New Roman" w:eastAsia="宋体" w:cs="Times New Roman"/>
          <w:color w:val="auto"/>
          <w:kern w:val="0"/>
          <w:u w:val="none"/>
          <w:shd w:val="clear" w:color="auto" w:fill="FFFFFF"/>
          <w:lang w:val="en-US" w:eastAsia="zh-CN"/>
        </w:rPr>
        <w:t>供应商须具有有效期内的律师事务所执业许可证。</w:t>
      </w:r>
    </w:p>
    <w:p>
      <w:pPr>
        <w:numPr>
          <w:ilvl w:val="0"/>
          <w:numId w:val="8"/>
        </w:numPr>
        <w:spacing w:line="360" w:lineRule="auto"/>
        <w:ind w:firstLine="420" w:firstLineChars="200"/>
        <w:rPr>
          <w:rStyle w:val="56"/>
          <w:rFonts w:hint="eastAsia" w:ascii="Times New Roman" w:hAnsi="Times New Roman" w:eastAsia="宋体" w:cs="Times New Roman"/>
          <w:color w:val="auto"/>
          <w:kern w:val="0"/>
          <w:u w:val="none"/>
          <w:shd w:val="clear" w:color="auto" w:fill="FFFFFF"/>
          <w:lang w:val="en-US" w:eastAsia="zh-CN"/>
        </w:rPr>
      </w:pPr>
      <w:r>
        <w:rPr>
          <w:rStyle w:val="56"/>
          <w:rFonts w:hint="eastAsia" w:ascii="Times New Roman" w:hAnsi="Times New Roman" w:eastAsia="宋体" w:cs="Times New Roman"/>
          <w:color w:val="auto"/>
          <w:kern w:val="0"/>
          <w:u w:val="none"/>
          <w:shd w:val="clear" w:color="auto" w:fill="FFFFFF"/>
          <w:lang w:val="en-US" w:eastAsia="zh-CN"/>
        </w:rPr>
        <w:t>本次采购不接受联合体。</w:t>
      </w:r>
    </w:p>
    <w:p>
      <w:pPr>
        <w:numPr>
          <w:ilvl w:val="0"/>
          <w:numId w:val="8"/>
        </w:numPr>
        <w:spacing w:line="360" w:lineRule="auto"/>
        <w:ind w:firstLine="420" w:firstLineChars="200"/>
        <w:rPr>
          <w:rStyle w:val="56"/>
          <w:rFonts w:hint="eastAsia" w:ascii="Times New Roman" w:hAnsi="Times New Roman" w:eastAsia="宋体" w:cs="Times New Roman"/>
          <w:color w:val="auto"/>
          <w:kern w:val="0"/>
          <w:u w:val="none"/>
          <w:shd w:val="clear" w:color="auto" w:fill="FFFFFF"/>
          <w:lang w:val="en-US" w:eastAsia="zh-CN"/>
        </w:rPr>
      </w:pPr>
      <w:r>
        <w:rPr>
          <w:rStyle w:val="56"/>
          <w:rFonts w:hint="eastAsia" w:ascii="Times New Roman" w:hAnsi="Times New Roman" w:eastAsia="宋体" w:cs="Times New Roman"/>
          <w:color w:val="auto"/>
          <w:kern w:val="0"/>
          <w:u w:val="none"/>
          <w:shd w:val="clear" w:color="auto" w:fill="FFFFFF"/>
          <w:lang w:val="en-US" w:eastAsia="zh-CN"/>
        </w:rPr>
        <w:t>被长沙市轨道交通集团有限公司或长沙市轨道交通运营有限公司函告禁止在一定期限内参与投标的单位按函告内容执行。</w:t>
      </w:r>
    </w:p>
    <w:p>
      <w:pPr>
        <w:pStyle w:val="41"/>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评审办法</w:t>
      </w:r>
    </w:p>
    <w:p>
      <w:pPr>
        <w:adjustRightInd w:val="0"/>
        <w:snapToGrid w:val="0"/>
        <w:spacing w:line="360" w:lineRule="auto"/>
        <w:ind w:firstLine="420" w:firstLineChars="200"/>
        <w:rPr>
          <w:rStyle w:val="56"/>
          <w:b/>
          <w:bCs/>
          <w:color w:val="auto"/>
          <w:u w:val="none"/>
          <w:shd w:val="clear" w:color="auto" w:fill="FFFFFF"/>
        </w:rPr>
      </w:pPr>
      <w:r>
        <w:rPr>
          <w:rStyle w:val="56"/>
          <w:rFonts w:hint="eastAsia"/>
          <w:color w:val="auto"/>
          <w:kern w:val="0"/>
          <w:u w:val="none"/>
          <w:shd w:val="clear" w:color="auto" w:fill="FFFFFF"/>
        </w:rPr>
        <w:t>本项目评审办法采用综合评审法</w:t>
      </w:r>
    </w:p>
    <w:p>
      <w:pPr>
        <w:pStyle w:val="41"/>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竞争性采购文件的获取</w:t>
      </w:r>
    </w:p>
    <w:p>
      <w:pPr>
        <w:spacing w:line="360" w:lineRule="auto"/>
        <w:ind w:firstLine="420" w:firstLineChars="200"/>
        <w:rPr>
          <w:rStyle w:val="56"/>
          <w:color w:val="auto"/>
          <w:kern w:val="0"/>
          <w:u w:val="none"/>
          <w:shd w:val="clear" w:color="auto" w:fill="FFFFFF"/>
        </w:rPr>
      </w:pPr>
      <w:r>
        <w:rPr>
          <w:rStyle w:val="56"/>
          <w:rFonts w:hint="eastAsia"/>
          <w:color w:val="auto"/>
          <w:kern w:val="0"/>
          <w:u w:val="none"/>
          <w:shd w:val="clear" w:color="auto" w:fill="FFFFFF"/>
        </w:rPr>
        <w:t>凡有意参加竞争性采购的单位，自本公告发布之日起登录长沙市轨道交通集团有限公司官方网站（http://www.hncsmtr.com/）获取竞争性采购文件。</w:t>
      </w:r>
    </w:p>
    <w:p>
      <w:pPr>
        <w:pStyle w:val="41"/>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lang w:eastAsia="zh-CN"/>
        </w:rPr>
        <w:t>竞</w:t>
      </w:r>
      <w:r>
        <w:rPr>
          <w:rStyle w:val="56"/>
          <w:rFonts w:hint="eastAsia" w:ascii="Times New Roman" w:hAnsi="Times New Roman" w:cs="Times New Roman"/>
          <w:b/>
          <w:bCs/>
          <w:color w:val="auto"/>
          <w:sz w:val="21"/>
          <w:u w:val="none"/>
          <w:shd w:val="clear" w:color="auto" w:fill="FFFFFF"/>
        </w:rPr>
        <w:t>采文件的澄清与答疑</w:t>
      </w:r>
    </w:p>
    <w:p>
      <w:pPr>
        <w:pStyle w:val="41"/>
        <w:numPr>
          <w:ilvl w:val="0"/>
          <w:numId w:val="9"/>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本项目不组织答疑会和现场踏勘。</w:t>
      </w:r>
    </w:p>
    <w:p>
      <w:pPr>
        <w:pStyle w:val="41"/>
        <w:numPr>
          <w:ilvl w:val="0"/>
          <w:numId w:val="9"/>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供应商若对竞争性采购文件有任何疑问，应于</w:t>
      </w:r>
      <w:r>
        <w:rPr>
          <w:rStyle w:val="56"/>
          <w:rFonts w:hint="eastAsia" w:ascii="Times New Roman" w:hAnsi="Times New Roman" w:cs="Times New Roman"/>
          <w:color w:val="auto"/>
          <w:sz w:val="21"/>
          <w:u w:val="none"/>
          <w:shd w:val="clear" w:color="auto" w:fill="FFFFFF"/>
          <w:lang w:eastAsia="zh-CN"/>
        </w:rPr>
        <w:t>2024</w:t>
      </w:r>
      <w:r>
        <w:rPr>
          <w:rStyle w:val="56"/>
          <w:rFonts w:hint="eastAsia" w:ascii="Times New Roman" w:hAnsi="Times New Roman" w:cs="Times New Roman"/>
          <w:color w:val="auto"/>
          <w:sz w:val="21"/>
          <w:u w:val="none"/>
          <w:shd w:val="clear" w:color="auto" w:fill="FFFFFF"/>
        </w:rPr>
        <w:t>年</w:t>
      </w:r>
      <w:r>
        <w:rPr>
          <w:rStyle w:val="56"/>
          <w:rFonts w:hint="eastAsia" w:ascii="Times New Roman" w:hAnsi="Times New Roman" w:cs="Times New Roman"/>
          <w:color w:val="auto"/>
          <w:sz w:val="21"/>
          <w:u w:val="none"/>
          <w:shd w:val="clear" w:color="auto" w:fill="FFFFFF"/>
          <w:lang w:val="en-US" w:eastAsia="zh-CN"/>
        </w:rPr>
        <w:t>1月29日</w:t>
      </w:r>
      <w:r>
        <w:rPr>
          <w:rStyle w:val="56"/>
          <w:rFonts w:hint="eastAsia" w:ascii="Times New Roman" w:hAnsi="Times New Roman" w:cs="Times New Roman"/>
          <w:color w:val="auto"/>
          <w:sz w:val="21"/>
          <w:u w:val="none"/>
          <w:shd w:val="clear" w:color="auto" w:fill="FFFFFF"/>
        </w:rPr>
        <w:t>17：00时（含）前（节假日除外）以书面形式（经</w:t>
      </w:r>
      <w:r>
        <w:rPr>
          <w:rFonts w:hint="eastAsia" w:ascii="宋体" w:hAnsi="宋体" w:cs="Courier New"/>
          <w:b w:val="0"/>
          <w:bCs w:val="0"/>
          <w:iCs/>
          <w:color w:val="auto"/>
          <w:kern w:val="2"/>
          <w:sz w:val="21"/>
          <w:szCs w:val="21"/>
          <w:u w:val="none"/>
          <w:lang w:val="en-US" w:eastAsia="zh-CN" w:bidi="ar-SA"/>
        </w:rPr>
        <w:t>律师事务所负责人</w:t>
      </w:r>
      <w:r>
        <w:rPr>
          <w:rStyle w:val="56"/>
          <w:rFonts w:hint="eastAsia" w:ascii="Times New Roman" w:hAnsi="Times New Roman" w:cs="Times New Roman"/>
          <w:color w:val="auto"/>
          <w:sz w:val="21"/>
          <w:u w:val="none"/>
          <w:shd w:val="clear" w:color="auto" w:fill="FFFFFF"/>
        </w:rPr>
        <w:t>签字或盖章，并加盖单位公章）递交至采购</w:t>
      </w:r>
      <w:r>
        <w:rPr>
          <w:rStyle w:val="56"/>
          <w:rFonts w:hint="eastAsia" w:ascii="Times New Roman" w:hAnsi="Times New Roman" w:cs="Times New Roman"/>
          <w:color w:val="auto"/>
          <w:sz w:val="21"/>
          <w:u w:val="none"/>
          <w:shd w:val="clear" w:color="auto" w:fill="FFFFFF"/>
          <w:lang w:val="en-US" w:eastAsia="zh-CN"/>
        </w:rPr>
        <w:t>人</w:t>
      </w:r>
      <w:r>
        <w:rPr>
          <w:rStyle w:val="56"/>
          <w:rFonts w:hint="eastAsia" w:ascii="Times New Roman" w:hAnsi="Times New Roman" w:cs="Times New Roman"/>
          <w:color w:val="auto"/>
          <w:sz w:val="21"/>
          <w:u w:val="none"/>
          <w:shd w:val="clear" w:color="auto" w:fill="FFFFFF"/>
        </w:rPr>
        <w:t>。</w:t>
      </w:r>
    </w:p>
    <w:p>
      <w:pPr>
        <w:pStyle w:val="41"/>
        <w:numPr>
          <w:ilvl w:val="0"/>
          <w:numId w:val="9"/>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在竞争性采购截止时间前，采购</w:t>
      </w:r>
      <w:r>
        <w:rPr>
          <w:rStyle w:val="56"/>
          <w:rFonts w:hint="eastAsia" w:ascii="Times New Roman" w:hAnsi="Times New Roman" w:cs="Times New Roman"/>
          <w:color w:val="auto"/>
          <w:sz w:val="21"/>
          <w:u w:val="none"/>
          <w:shd w:val="clear" w:color="auto" w:fill="FFFFFF"/>
          <w:lang w:val="en-US" w:eastAsia="zh-CN"/>
        </w:rPr>
        <w:t>人</w:t>
      </w:r>
      <w:r>
        <w:rPr>
          <w:rStyle w:val="56"/>
          <w:rFonts w:hint="eastAsia" w:ascii="Times New Roman" w:hAnsi="Times New Roman" w:cs="Times New Roman"/>
          <w:color w:val="auto"/>
          <w:sz w:val="21"/>
          <w:u w:val="none"/>
          <w:shd w:val="clear" w:color="auto" w:fill="FFFFFF"/>
        </w:rPr>
        <w:t>可</w:t>
      </w:r>
      <w:r>
        <w:rPr>
          <w:rStyle w:val="56"/>
          <w:rFonts w:hint="eastAsia" w:ascii="Times New Roman" w:hAnsi="Times New Roman" w:cs="Times New Roman"/>
          <w:color w:val="auto"/>
          <w:sz w:val="21"/>
          <w:u w:val="none"/>
          <w:shd w:val="clear" w:color="auto" w:fill="FFFFFF"/>
          <w:lang w:eastAsia="zh-CN"/>
        </w:rPr>
        <w:t>主动的或在</w:t>
      </w:r>
      <w:r>
        <w:rPr>
          <w:rStyle w:val="56"/>
          <w:rFonts w:hint="eastAsia" w:ascii="Times New Roman" w:hAnsi="Times New Roman" w:cs="Times New Roman"/>
          <w:color w:val="auto"/>
          <w:sz w:val="21"/>
          <w:u w:val="none"/>
          <w:shd w:val="clear" w:color="auto" w:fill="FFFFFF"/>
        </w:rPr>
        <w:t>解答供应商提出的问题时对竞争性采购文件进行澄清或修改。</w:t>
      </w:r>
    </w:p>
    <w:p>
      <w:pPr>
        <w:pStyle w:val="41"/>
        <w:numPr>
          <w:ilvl w:val="0"/>
          <w:numId w:val="9"/>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澄清或者修改的内容可能影响响应文件编制的，采购</w:t>
      </w:r>
      <w:r>
        <w:rPr>
          <w:rStyle w:val="56"/>
          <w:rFonts w:hint="eastAsia" w:ascii="Times New Roman" w:hAnsi="Times New Roman" w:cs="Times New Roman"/>
          <w:color w:val="auto"/>
          <w:sz w:val="21"/>
          <w:u w:val="none"/>
          <w:shd w:val="clear" w:color="auto" w:fill="FFFFFF"/>
          <w:lang w:val="en-US" w:eastAsia="zh-CN"/>
        </w:rPr>
        <w:t>人</w:t>
      </w:r>
      <w:r>
        <w:rPr>
          <w:rStyle w:val="56"/>
          <w:rFonts w:hint="eastAsia" w:ascii="Times New Roman" w:hAnsi="Times New Roman" w:cs="Times New Roman"/>
          <w:color w:val="auto"/>
          <w:sz w:val="21"/>
          <w:u w:val="none"/>
          <w:shd w:val="clear" w:color="auto" w:fill="FFFFFF"/>
        </w:rPr>
        <w:t>应当在提交响应文件截止之日3个工作日前，在长沙市轨道交通集团有限公司官方网站（http://www.hncsmtr.com/）发布澄清或答疑文件及顺延竞争性采购时间，敬请获得竞争性采购文件的所有供应商关注，恕不另行通知，如有遗漏，采购</w:t>
      </w:r>
      <w:r>
        <w:rPr>
          <w:rStyle w:val="56"/>
          <w:rFonts w:hint="eastAsia" w:ascii="Times New Roman" w:hAnsi="Times New Roman" w:cs="Times New Roman"/>
          <w:color w:val="auto"/>
          <w:sz w:val="21"/>
          <w:u w:val="none"/>
          <w:shd w:val="clear" w:color="auto" w:fill="FFFFFF"/>
          <w:lang w:val="en-US" w:eastAsia="zh-CN"/>
        </w:rPr>
        <w:t>人</w:t>
      </w:r>
      <w:r>
        <w:rPr>
          <w:rStyle w:val="56"/>
          <w:rFonts w:hint="eastAsia" w:ascii="Times New Roman" w:hAnsi="Times New Roman" w:cs="Times New Roman"/>
          <w:color w:val="auto"/>
          <w:sz w:val="21"/>
          <w:u w:val="none"/>
          <w:shd w:val="clear" w:color="auto" w:fill="FFFFFF"/>
        </w:rPr>
        <w:t>不负任何责任。</w:t>
      </w:r>
    </w:p>
    <w:p>
      <w:pPr>
        <w:pStyle w:val="41"/>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竞争性采购保证金提交与退还</w:t>
      </w:r>
    </w:p>
    <w:p>
      <w:pPr>
        <w:pStyle w:val="41"/>
        <w:shd w:val="clear" w:color="auto" w:fill="FFFFFF"/>
        <w:spacing w:before="0" w:beforeAutospacing="0" w:after="0" w:afterAutospacing="0" w:line="360" w:lineRule="auto"/>
        <w:ind w:firstLine="420" w:firstLineChars="200"/>
        <w:jc w:val="both"/>
        <w:rPr>
          <w:rStyle w:val="56"/>
          <w:rFonts w:hint="eastAsia"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lang w:val="en-US" w:eastAsia="zh-CN"/>
        </w:rPr>
        <w:t>本项目</w:t>
      </w:r>
      <w:r>
        <w:rPr>
          <w:rStyle w:val="56"/>
          <w:rFonts w:hint="eastAsia" w:ascii="Times New Roman" w:hAnsi="Times New Roman" w:cs="Times New Roman"/>
          <w:color w:val="auto"/>
          <w:sz w:val="21"/>
          <w:u w:val="none"/>
          <w:shd w:val="clear" w:color="auto" w:fill="FFFFFF"/>
        </w:rPr>
        <w:t>不要求提交竞争性采购保证金。</w:t>
      </w:r>
    </w:p>
    <w:p>
      <w:pPr>
        <w:pStyle w:val="41"/>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响应文件的递交</w:t>
      </w:r>
    </w:p>
    <w:p>
      <w:pPr>
        <w:pStyle w:val="41"/>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响应文件递交的截止时间及竞争性采购时间为</w:t>
      </w:r>
      <w:r>
        <w:rPr>
          <w:rStyle w:val="56"/>
          <w:rFonts w:hint="eastAsia" w:ascii="Times New Roman" w:hAnsi="Times New Roman" w:cs="Times New Roman"/>
          <w:color w:val="auto"/>
          <w:sz w:val="21"/>
          <w:u w:val="none"/>
          <w:shd w:val="clear" w:color="auto" w:fill="FFFFFF"/>
          <w:lang w:eastAsia="zh-CN"/>
        </w:rPr>
        <w:t>2024</w:t>
      </w:r>
      <w:r>
        <w:rPr>
          <w:rStyle w:val="56"/>
          <w:rFonts w:hint="eastAsia" w:ascii="Times New Roman" w:hAnsi="Times New Roman" w:cs="Times New Roman"/>
          <w:color w:val="auto"/>
          <w:sz w:val="21"/>
          <w:u w:val="none"/>
          <w:shd w:val="clear" w:color="auto" w:fill="FFFFFF"/>
        </w:rPr>
        <w:t>年</w:t>
      </w:r>
      <w:r>
        <w:rPr>
          <w:rStyle w:val="56"/>
          <w:rFonts w:hint="eastAsia" w:ascii="Times New Roman" w:hAnsi="Times New Roman" w:cs="Times New Roman"/>
          <w:color w:val="auto"/>
          <w:sz w:val="21"/>
          <w:u w:val="none"/>
          <w:shd w:val="clear" w:color="auto" w:fill="FFFFFF"/>
          <w:lang w:val="en-US" w:eastAsia="zh-CN"/>
        </w:rPr>
        <w:t>2月2日9</w:t>
      </w:r>
      <w:r>
        <w:rPr>
          <w:rStyle w:val="56"/>
          <w:rFonts w:hint="eastAsia" w:ascii="Times New Roman" w:hAnsi="Times New Roman" w:cs="Times New Roman"/>
          <w:color w:val="auto"/>
          <w:sz w:val="21"/>
          <w:u w:val="none"/>
          <w:shd w:val="clear" w:color="auto" w:fill="FFFFFF"/>
        </w:rPr>
        <w:t>时</w:t>
      </w:r>
      <w:r>
        <w:rPr>
          <w:rStyle w:val="56"/>
          <w:rFonts w:hint="eastAsia" w:ascii="Times New Roman" w:hAnsi="Times New Roman" w:cs="Times New Roman"/>
          <w:color w:val="auto"/>
          <w:sz w:val="21"/>
          <w:u w:val="none"/>
          <w:shd w:val="clear" w:color="auto" w:fill="FFFFFF"/>
          <w:lang w:val="en-US" w:eastAsia="zh-CN"/>
        </w:rPr>
        <w:t>3</w:t>
      </w:r>
      <w:r>
        <w:rPr>
          <w:rStyle w:val="56"/>
          <w:rFonts w:hint="eastAsia" w:ascii="Times New Roman" w:hAnsi="Times New Roman" w:cs="Times New Roman"/>
          <w:color w:val="auto"/>
          <w:sz w:val="21"/>
          <w:u w:val="none"/>
          <w:shd w:val="clear" w:color="auto" w:fill="FFFFFF"/>
        </w:rPr>
        <w:t>0分，地点为长沙市劳动东路二段48号黄兴车辆段综合楼9楼910</w:t>
      </w:r>
      <w:r>
        <w:rPr>
          <w:rFonts w:hint="eastAsia"/>
          <w:color w:val="auto"/>
          <w:kern w:val="2"/>
          <w:sz w:val="21"/>
          <w:szCs w:val="21"/>
        </w:rPr>
        <w:t>电子评标室</w:t>
      </w:r>
      <w:r>
        <w:rPr>
          <w:rStyle w:val="56"/>
          <w:rFonts w:hint="eastAsia" w:ascii="Times New Roman" w:hAnsi="Times New Roman" w:cs="Times New Roman"/>
          <w:color w:val="auto"/>
          <w:sz w:val="21"/>
          <w:u w:val="none"/>
          <w:shd w:val="clear" w:color="auto" w:fill="FFFFFF"/>
        </w:rPr>
        <w:t>。</w:t>
      </w:r>
    </w:p>
    <w:p>
      <w:pPr>
        <w:pStyle w:val="41"/>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逾期送达的或者未送达指定地点的或者未密封的响应文件（含电子文件），采购</w:t>
      </w:r>
      <w:r>
        <w:rPr>
          <w:rStyle w:val="56"/>
          <w:rFonts w:hint="eastAsia" w:ascii="Times New Roman" w:hAnsi="Times New Roman" w:cs="Times New Roman"/>
          <w:color w:val="auto"/>
          <w:sz w:val="21"/>
          <w:u w:val="none"/>
          <w:shd w:val="clear" w:color="auto" w:fill="FFFFFF"/>
          <w:lang w:val="en-US" w:eastAsia="zh-CN"/>
        </w:rPr>
        <w:t>人</w:t>
      </w:r>
      <w:r>
        <w:rPr>
          <w:rStyle w:val="56"/>
          <w:rFonts w:hint="eastAsia" w:ascii="Times New Roman" w:hAnsi="Times New Roman" w:cs="Times New Roman"/>
          <w:color w:val="auto"/>
          <w:sz w:val="21"/>
          <w:u w:val="none"/>
          <w:shd w:val="clear" w:color="auto" w:fill="FFFFFF"/>
        </w:rPr>
        <w:t>将予以拒收。</w:t>
      </w:r>
    </w:p>
    <w:p>
      <w:pPr>
        <w:pStyle w:val="41"/>
        <w:widowControl w:val="0"/>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成交原则</w:t>
      </w:r>
    </w:p>
    <w:p>
      <w:pPr>
        <w:pStyle w:val="41"/>
        <w:numPr>
          <w:ilvl w:val="0"/>
          <w:numId w:val="11"/>
        </w:numPr>
        <w:shd w:val="clear" w:color="auto" w:fill="FFFFFF"/>
        <w:spacing w:before="0" w:beforeAutospacing="0" w:after="0" w:afterAutospacing="0" w:line="360" w:lineRule="auto"/>
        <w:ind w:firstLine="420" w:firstLineChars="200"/>
        <w:jc w:val="both"/>
        <w:rPr>
          <w:rStyle w:val="56"/>
          <w:rFonts w:hint="eastAsia" w:ascii="Times New Roman" w:hAnsi="Times New Roman" w:eastAsia="宋体" w:cs="Times New Roman"/>
          <w:color w:val="auto"/>
          <w:sz w:val="21"/>
          <w:u w:val="none"/>
          <w:shd w:val="clear" w:color="auto" w:fill="FFFFFF"/>
          <w:lang w:val="en-US" w:eastAsia="zh-CN"/>
        </w:rPr>
      </w:pPr>
      <w:r>
        <w:rPr>
          <w:rStyle w:val="56"/>
          <w:rFonts w:hint="eastAsia" w:ascii="Times New Roman" w:hAnsi="Times New Roman" w:eastAsia="宋体" w:cs="Times New Roman"/>
          <w:color w:val="auto"/>
          <w:sz w:val="21"/>
          <w:u w:val="none"/>
          <w:shd w:val="clear" w:color="auto" w:fill="FFFFFF"/>
          <w:lang w:val="en-US" w:eastAsia="zh-CN"/>
        </w:rPr>
        <w:t>评审小组按照供应商综合得分由高到低的顺序推荐不超过3名成交候选人，经公示无异议后，确定排名第一的成交候选人为成交供应商。</w:t>
      </w:r>
    </w:p>
    <w:p>
      <w:pPr>
        <w:pStyle w:val="41"/>
        <w:numPr>
          <w:ilvl w:val="0"/>
          <w:numId w:val="11"/>
        </w:numPr>
        <w:shd w:val="clear" w:color="auto" w:fill="FFFFFF"/>
        <w:spacing w:before="0" w:beforeAutospacing="0" w:after="0" w:afterAutospacing="0" w:line="360" w:lineRule="auto"/>
        <w:ind w:firstLine="420" w:firstLineChars="200"/>
        <w:jc w:val="both"/>
        <w:rPr>
          <w:rStyle w:val="56"/>
          <w:rFonts w:hint="eastAsia" w:ascii="Times New Roman" w:hAnsi="Times New Roman" w:eastAsia="宋体" w:cs="Times New Roman"/>
          <w:color w:val="auto"/>
          <w:sz w:val="21"/>
          <w:u w:val="none"/>
          <w:shd w:val="clear" w:color="auto" w:fill="FFFFFF"/>
          <w:lang w:val="en-US" w:eastAsia="zh-CN"/>
        </w:rPr>
      </w:pPr>
      <w:r>
        <w:rPr>
          <w:rStyle w:val="56"/>
          <w:rFonts w:hint="eastAsia" w:ascii="Times New Roman" w:hAnsi="Times New Roman" w:eastAsia="宋体" w:cs="Times New Roman"/>
          <w:color w:val="auto"/>
          <w:sz w:val="21"/>
          <w:u w:val="none"/>
          <w:shd w:val="clear" w:color="auto" w:fill="FFFFFF"/>
          <w:lang w:val="en-US" w:eastAsia="zh-CN"/>
        </w:rPr>
        <w:t>若出现综合得分相同的情形时，则依次按照其不含增值税总价由低至高排序、技术部分得分由高至低排序、评委票决的顺序确定成交候选人排序。</w:t>
      </w:r>
    </w:p>
    <w:p>
      <w:pPr>
        <w:pStyle w:val="41"/>
        <w:numPr>
          <w:ilvl w:val="0"/>
          <w:numId w:val="11"/>
        </w:numPr>
        <w:shd w:val="clear" w:color="auto" w:fill="FFFFFF"/>
        <w:spacing w:before="0" w:beforeAutospacing="0" w:after="0" w:afterAutospacing="0" w:line="360" w:lineRule="auto"/>
        <w:ind w:firstLine="420" w:firstLineChars="200"/>
        <w:jc w:val="both"/>
        <w:rPr>
          <w:rStyle w:val="56"/>
          <w:rFonts w:hint="eastAsia" w:ascii="Times New Roman" w:hAnsi="Times New Roman" w:eastAsia="宋体" w:cs="Times New Roman"/>
          <w:color w:val="auto"/>
          <w:kern w:val="2"/>
          <w:sz w:val="21"/>
          <w:szCs w:val="24"/>
          <w:shd w:val="clear" w:color="auto" w:fill="FFFFFF"/>
          <w:lang w:val="en-US" w:eastAsia="zh-CN" w:bidi="ar-SA"/>
        </w:rPr>
      </w:pPr>
      <w:r>
        <w:rPr>
          <w:rStyle w:val="56"/>
          <w:rFonts w:hint="eastAsia" w:ascii="Times New Roman" w:hAnsi="Times New Roman" w:eastAsia="宋体" w:cs="Times New Roman"/>
          <w:color w:val="auto"/>
          <w:sz w:val="21"/>
          <w:u w:val="none"/>
          <w:shd w:val="clear" w:color="auto" w:fill="FFFFFF"/>
          <w:lang w:val="en-US" w:eastAsia="zh-CN"/>
        </w:rPr>
        <w:t>排名第一的成交候选人或拟替补中选的成交候选人放弃成交、因不可抗力不能履行合同、不按照采购文件要求递交履约保证金（如有），或者被查实存在影响成交结果的违法行为等情形，不符合成交条件的，采购人可以按照评审小组提出的成交候选人名单排序依次确定其他成交候选</w:t>
      </w:r>
      <w:r>
        <w:rPr>
          <w:rStyle w:val="56"/>
          <w:rFonts w:hint="eastAsia" w:ascii="Times New Roman" w:hAnsi="Times New Roman" w:eastAsia="宋体" w:cs="Times New Roman"/>
          <w:color w:val="auto"/>
          <w:kern w:val="2"/>
          <w:sz w:val="21"/>
          <w:szCs w:val="24"/>
          <w:u w:val="none"/>
          <w:shd w:val="clear" w:color="auto" w:fill="FFFFFF"/>
          <w:lang w:val="en-US" w:eastAsia="zh-CN" w:bidi="ar-SA"/>
        </w:rPr>
        <w:t>人为成交供应商，也可以重新采购。</w:t>
      </w:r>
    </w:p>
    <w:p>
      <w:pPr>
        <w:pStyle w:val="41"/>
        <w:numPr>
          <w:ilvl w:val="0"/>
          <w:numId w:val="11"/>
        </w:numPr>
        <w:shd w:val="clear" w:color="auto" w:fill="FFFFFF"/>
        <w:spacing w:before="0" w:beforeAutospacing="0" w:after="0" w:afterAutospacing="0" w:line="360" w:lineRule="auto"/>
        <w:ind w:firstLine="420" w:firstLineChars="200"/>
        <w:jc w:val="both"/>
        <w:rPr>
          <w:rStyle w:val="56"/>
          <w:rFonts w:hint="eastAsia" w:ascii="Times New Roman" w:hAnsi="Times New Roman" w:eastAsia="宋体" w:cs="Times New Roman"/>
          <w:color w:val="auto"/>
          <w:sz w:val="21"/>
          <w:u w:val="none"/>
          <w:shd w:val="clear" w:color="auto" w:fill="FFFFFF"/>
          <w:lang w:val="en-US" w:eastAsia="zh-CN"/>
        </w:rPr>
      </w:pPr>
      <w:r>
        <w:rPr>
          <w:rStyle w:val="56"/>
          <w:rFonts w:hint="eastAsia" w:ascii="Times New Roman" w:hAnsi="Times New Roman" w:eastAsia="宋体" w:cs="Times New Roman"/>
          <w:color w:val="auto"/>
          <w:sz w:val="21"/>
          <w:u w:val="none"/>
          <w:shd w:val="clear" w:color="auto" w:fill="FFFFFF"/>
          <w:lang w:val="en-US" w:eastAsia="zh-CN"/>
        </w:rPr>
        <w:t>本项目的成交供应商不得成为长沙市轨道交通集团有限公司法律顾问采购服务项目、长沙市轨道交通建设有限责任公司法律顾问采购服务项目的成交供应商。</w:t>
      </w:r>
    </w:p>
    <w:p>
      <w:pPr>
        <w:pStyle w:val="41"/>
        <w:numPr>
          <w:ilvl w:val="0"/>
          <w:numId w:val="6"/>
        </w:numPr>
        <w:shd w:val="clear" w:color="auto" w:fill="FFFFFF"/>
        <w:spacing w:before="0" w:beforeAutospacing="0" w:after="0" w:afterAutospacing="0" w:line="360" w:lineRule="auto"/>
        <w:ind w:firstLine="422"/>
        <w:jc w:val="both"/>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异议与投诉</w:t>
      </w:r>
    </w:p>
    <w:p>
      <w:pPr>
        <w:pStyle w:val="41"/>
        <w:numPr>
          <w:ilvl w:val="0"/>
          <w:numId w:val="12"/>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szCs w:val="21"/>
          <w:u w:val="none"/>
          <w:shd w:val="clear" w:color="auto" w:fill="FFFFFF"/>
        </w:rPr>
      </w:pPr>
      <w:r>
        <w:rPr>
          <w:rStyle w:val="56"/>
          <w:rFonts w:hint="eastAsia" w:ascii="Times New Roman" w:hAnsi="Times New Roman" w:cs="Times New Roman"/>
          <w:color w:val="auto"/>
          <w:sz w:val="21"/>
          <w:szCs w:val="21"/>
          <w:u w:val="none"/>
          <w:shd w:val="clear" w:color="auto" w:fill="FFFFFF"/>
        </w:rPr>
        <w:t>供应商或者其他利害关系人对评审结果有异议的，应当在结果公示规定的期限内向采购人提出。异议的提出与处理按《长沙市轨道交通运营有限公司采购管理办法（试行）》执行。</w:t>
      </w:r>
    </w:p>
    <w:p>
      <w:pPr>
        <w:pStyle w:val="41"/>
        <w:numPr>
          <w:ilvl w:val="0"/>
          <w:numId w:val="12"/>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szCs w:val="21"/>
          <w:u w:val="none"/>
          <w:shd w:val="clear" w:color="auto" w:fill="FFFFFF"/>
        </w:rPr>
      </w:pPr>
      <w:r>
        <w:rPr>
          <w:rStyle w:val="56"/>
          <w:rFonts w:hint="eastAsia" w:ascii="Times New Roman" w:hAnsi="Times New Roman" w:cs="Times New Roman"/>
          <w:color w:val="auto"/>
          <w:sz w:val="21"/>
          <w:szCs w:val="21"/>
          <w:u w:val="none"/>
          <w:shd w:val="clear" w:color="auto" w:fill="FFFFFF"/>
        </w:rPr>
        <w:t>供应商或者其他利害关系人认为本次采购活动违反相关法律法规或规范性文件规定的，可以在知道或者应当知道之日起10日内向长沙市轨道交通运营有限公司监察审计部门投诉。</w:t>
      </w:r>
    </w:p>
    <w:p>
      <w:pPr>
        <w:pStyle w:val="41"/>
        <w:numPr>
          <w:ilvl w:val="0"/>
          <w:numId w:val="6"/>
        </w:numPr>
        <w:shd w:val="clear" w:color="auto" w:fill="FFFFFF"/>
        <w:spacing w:before="0" w:beforeAutospacing="0" w:after="0" w:afterAutospacing="0" w:line="360" w:lineRule="auto"/>
        <w:ind w:firstLine="422"/>
        <w:jc w:val="both"/>
        <w:rPr>
          <w:rStyle w:val="56"/>
          <w:rFonts w:ascii="Times New Roman" w:hAnsi="Times New Roman" w:cs="Times New Roman"/>
          <w:b/>
          <w:bCs/>
          <w:color w:val="auto"/>
          <w:sz w:val="21"/>
          <w:u w:val="none"/>
          <w:shd w:val="clear" w:color="auto" w:fill="FFFFFF"/>
        </w:rPr>
      </w:pPr>
      <w:r>
        <w:rPr>
          <w:rStyle w:val="56"/>
          <w:rFonts w:ascii="Times New Roman" w:hAnsi="Times New Roman" w:cs="Times New Roman"/>
          <w:b/>
          <w:bCs/>
          <w:color w:val="auto"/>
          <w:sz w:val="21"/>
          <w:u w:val="none"/>
          <w:shd w:val="clear" w:color="auto" w:fill="FFFFFF"/>
        </w:rPr>
        <w:t>联系方式</w:t>
      </w:r>
    </w:p>
    <w:p>
      <w:pPr>
        <w:pStyle w:val="41"/>
        <w:shd w:val="clear" w:color="auto" w:fill="FFFFFF"/>
        <w:spacing w:before="0" w:beforeAutospacing="0" w:after="0" w:afterAutospacing="0" w:line="360" w:lineRule="auto"/>
        <w:ind w:firstLine="420" w:firstLineChars="200"/>
        <w:jc w:val="both"/>
        <w:rPr>
          <w:rStyle w:val="56"/>
          <w:rFonts w:hint="eastAsia" w:ascii="Times New Roman" w:hAnsi="Times New Roman" w:cs="Times New Roman"/>
          <w:color w:val="auto"/>
          <w:sz w:val="21"/>
          <w:u w:val="none"/>
          <w:shd w:val="clear" w:color="auto" w:fill="FFFFFF"/>
        </w:rPr>
      </w:pPr>
      <w:r>
        <w:rPr>
          <w:rStyle w:val="56"/>
          <w:rFonts w:ascii="Times New Roman" w:hAnsi="Times New Roman" w:cs="Times New Roman"/>
          <w:color w:val="auto"/>
          <w:sz w:val="21"/>
          <w:u w:val="none"/>
          <w:shd w:val="clear" w:color="auto" w:fill="FFFFFF"/>
        </w:rPr>
        <w:t>采购人：</w:t>
      </w:r>
      <w:r>
        <w:rPr>
          <w:rStyle w:val="56"/>
          <w:rFonts w:hint="eastAsia" w:ascii="Times New Roman" w:hAnsi="Times New Roman" w:cs="Times New Roman"/>
          <w:color w:val="auto"/>
          <w:sz w:val="21"/>
          <w:u w:val="none"/>
          <w:shd w:val="clear" w:color="auto" w:fill="FFFFFF"/>
        </w:rPr>
        <w:t>长沙市轨道交通运营有限公司</w:t>
      </w:r>
    </w:p>
    <w:p>
      <w:pPr>
        <w:pStyle w:val="41"/>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yellow"/>
          <w:u w:val="none"/>
          <w:shd w:val="clear" w:color="auto" w:fill="FFFFFF"/>
        </w:rPr>
      </w:pPr>
      <w:r>
        <w:rPr>
          <w:rStyle w:val="56"/>
          <w:rFonts w:ascii="Times New Roman" w:hAnsi="Times New Roman" w:cs="Times New Roman"/>
          <w:color w:val="auto"/>
          <w:sz w:val="21"/>
          <w:u w:val="none"/>
          <w:shd w:val="clear" w:color="auto" w:fill="FFFFFF"/>
        </w:rPr>
        <w:t>地</w:t>
      </w:r>
      <w:r>
        <w:rPr>
          <w:rStyle w:val="56"/>
          <w:rFonts w:hint="eastAsia" w:ascii="Times New Roman" w:hAnsi="Times New Roman" w:cs="Times New Roman"/>
          <w:color w:val="auto"/>
          <w:sz w:val="21"/>
          <w:u w:val="none"/>
          <w:shd w:val="clear" w:color="auto" w:fill="FFFFFF"/>
        </w:rPr>
        <w:t xml:space="preserve">  </w:t>
      </w:r>
      <w:r>
        <w:rPr>
          <w:rStyle w:val="56"/>
          <w:rFonts w:ascii="Times New Roman" w:hAnsi="Times New Roman" w:cs="Times New Roman"/>
          <w:color w:val="auto"/>
          <w:sz w:val="21"/>
          <w:u w:val="none"/>
          <w:shd w:val="clear" w:color="auto" w:fill="FFFFFF"/>
        </w:rPr>
        <w:t>址：</w:t>
      </w:r>
      <w:r>
        <w:rPr>
          <w:rStyle w:val="56"/>
          <w:rFonts w:hint="eastAsia" w:ascii="Times New Roman" w:hAnsi="Times New Roman" w:cs="Times New Roman"/>
          <w:color w:val="auto"/>
          <w:sz w:val="21"/>
          <w:u w:val="none"/>
          <w:shd w:val="clear" w:color="auto" w:fill="FFFFFF"/>
        </w:rPr>
        <w:t>长沙市雨花区杜花路166号</w:t>
      </w:r>
      <w:r>
        <w:rPr>
          <w:rStyle w:val="56"/>
          <w:rFonts w:hint="eastAsia" w:ascii="Times New Roman" w:hAnsi="Times New Roman" w:cs="Times New Roman"/>
          <w:color w:val="auto"/>
          <w:sz w:val="21"/>
          <w:u w:val="none"/>
          <w:shd w:val="clear" w:color="auto" w:fill="FFFFFF"/>
          <w:lang w:val="en-US" w:eastAsia="zh-CN"/>
        </w:rPr>
        <w:t>第二控制中心大楼205办公室</w:t>
      </w:r>
    </w:p>
    <w:p>
      <w:pPr>
        <w:pStyle w:val="41"/>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ascii="Times New Roman" w:hAnsi="Times New Roman" w:cs="Times New Roman"/>
          <w:color w:val="auto"/>
          <w:sz w:val="21"/>
          <w:u w:val="none"/>
          <w:shd w:val="clear" w:color="auto" w:fill="FFFFFF"/>
        </w:rPr>
        <w:t>联系人：</w:t>
      </w:r>
      <w:r>
        <w:rPr>
          <w:rStyle w:val="56"/>
          <w:rFonts w:hint="eastAsia" w:ascii="Times New Roman" w:hAnsi="Times New Roman" w:cs="Times New Roman"/>
          <w:color w:val="auto"/>
          <w:sz w:val="21"/>
          <w:u w:val="none"/>
          <w:shd w:val="clear" w:color="auto" w:fill="FFFFFF"/>
          <w:lang w:val="en-US" w:eastAsia="zh-CN"/>
        </w:rPr>
        <w:t>奉</w:t>
      </w:r>
      <w:r>
        <w:rPr>
          <w:rStyle w:val="56"/>
          <w:rFonts w:hint="eastAsia" w:ascii="Times New Roman" w:hAnsi="Times New Roman" w:cs="Times New Roman"/>
          <w:color w:val="auto"/>
          <w:sz w:val="21"/>
          <w:u w:val="none"/>
          <w:shd w:val="clear" w:color="auto" w:fill="FFFFFF"/>
        </w:rPr>
        <w:t>工</w:t>
      </w:r>
    </w:p>
    <w:p>
      <w:pPr>
        <w:pStyle w:val="41"/>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u w:val="none"/>
          <w:shd w:val="clear" w:color="auto" w:fill="FFFFFF"/>
        </w:rPr>
      </w:pPr>
      <w:r>
        <w:rPr>
          <w:rStyle w:val="56"/>
          <w:rFonts w:ascii="Times New Roman" w:hAnsi="Times New Roman" w:cs="Times New Roman"/>
          <w:color w:val="auto"/>
          <w:sz w:val="21"/>
          <w:u w:val="none"/>
          <w:shd w:val="clear" w:color="auto" w:fill="FFFFFF"/>
        </w:rPr>
        <w:t>电</w:t>
      </w:r>
      <w:r>
        <w:rPr>
          <w:rStyle w:val="56"/>
          <w:rFonts w:hint="eastAsia" w:ascii="Times New Roman" w:hAnsi="Times New Roman" w:cs="Times New Roman"/>
          <w:color w:val="auto"/>
          <w:sz w:val="21"/>
          <w:u w:val="none"/>
          <w:shd w:val="clear" w:color="auto" w:fill="FFFFFF"/>
        </w:rPr>
        <w:t xml:space="preserve">  </w:t>
      </w:r>
      <w:r>
        <w:rPr>
          <w:rStyle w:val="56"/>
          <w:rFonts w:ascii="Times New Roman" w:hAnsi="Times New Roman" w:cs="Times New Roman"/>
          <w:color w:val="auto"/>
          <w:sz w:val="21"/>
          <w:u w:val="none"/>
          <w:shd w:val="clear" w:color="auto" w:fill="FFFFFF"/>
        </w:rPr>
        <w:t>话：0731-</w:t>
      </w:r>
      <w:r>
        <w:rPr>
          <w:rStyle w:val="56"/>
          <w:rFonts w:hint="eastAsia" w:ascii="Times New Roman" w:hAnsi="Times New Roman" w:cs="Times New Roman"/>
          <w:color w:val="auto"/>
          <w:sz w:val="21"/>
          <w:u w:val="none"/>
          <w:shd w:val="clear" w:color="auto" w:fill="FFFFFF"/>
        </w:rPr>
        <w:t>868523</w:t>
      </w:r>
      <w:r>
        <w:rPr>
          <w:rStyle w:val="56"/>
          <w:rFonts w:ascii="Times New Roman" w:hAnsi="Times New Roman" w:cs="Times New Roman"/>
          <w:color w:val="auto"/>
          <w:sz w:val="21"/>
          <w:u w:val="none"/>
          <w:shd w:val="clear" w:color="auto" w:fill="FFFFFF"/>
        </w:rPr>
        <w:t>73</w:t>
      </w:r>
    </w:p>
    <w:p>
      <w:pPr>
        <w:pStyle w:val="41"/>
        <w:shd w:val="clear" w:color="auto" w:fill="FFFFFF"/>
        <w:spacing w:before="0" w:beforeAutospacing="0" w:after="0" w:afterAutospacing="0" w:line="360" w:lineRule="auto"/>
        <w:jc w:val="right"/>
        <w:rPr>
          <w:rFonts w:hint="eastAsia"/>
          <w:color w:val="auto"/>
          <w:sz w:val="21"/>
          <w:szCs w:val="21"/>
        </w:rPr>
      </w:pPr>
      <w:r>
        <w:rPr>
          <w:rFonts w:hint="eastAsia"/>
          <w:color w:val="auto"/>
          <w:sz w:val="21"/>
          <w:szCs w:val="21"/>
          <w:lang w:eastAsia="zh-CN"/>
        </w:rPr>
        <w:t>202</w:t>
      </w:r>
      <w:r>
        <w:rPr>
          <w:rFonts w:hint="eastAsia"/>
          <w:color w:val="auto"/>
          <w:sz w:val="21"/>
          <w:szCs w:val="21"/>
          <w:lang w:val="en-US" w:eastAsia="zh-CN"/>
        </w:rPr>
        <w:t>4</w:t>
      </w:r>
      <w:r>
        <w:rPr>
          <w:rFonts w:hint="eastAsia"/>
          <w:color w:val="auto"/>
          <w:sz w:val="21"/>
          <w:szCs w:val="21"/>
        </w:rPr>
        <w:t>年</w:t>
      </w:r>
      <w:r>
        <w:rPr>
          <w:rFonts w:hint="eastAsia"/>
          <w:color w:val="auto"/>
          <w:sz w:val="21"/>
          <w:szCs w:val="21"/>
          <w:lang w:val="en-US" w:eastAsia="zh-CN"/>
        </w:rPr>
        <w:t>1月22</w:t>
      </w:r>
      <w:r>
        <w:rPr>
          <w:rFonts w:hint="eastAsia"/>
          <w:color w:val="auto"/>
          <w:sz w:val="21"/>
          <w:szCs w:val="21"/>
        </w:rPr>
        <w:t>日</w:t>
      </w:r>
    </w:p>
    <w:p>
      <w:pPr>
        <w:pStyle w:val="41"/>
        <w:shd w:val="clear" w:color="auto" w:fill="FFFFFF"/>
        <w:spacing w:before="0" w:beforeAutospacing="0" w:after="0" w:afterAutospacing="0" w:line="360" w:lineRule="auto"/>
        <w:jc w:val="right"/>
        <w:rPr>
          <w:rFonts w:hint="eastAsia"/>
          <w:color w:val="auto"/>
          <w:sz w:val="21"/>
          <w:szCs w:val="21"/>
        </w:rPr>
      </w:pPr>
    </w:p>
    <w:p>
      <w:pPr>
        <w:pStyle w:val="242"/>
        <w:numPr>
          <w:ilvl w:val="0"/>
          <w:numId w:val="0"/>
        </w:numPr>
        <w:spacing w:line="400" w:lineRule="exac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附表：</w:t>
      </w:r>
      <w:r>
        <w:rPr>
          <w:rFonts w:hint="eastAsia" w:ascii="宋体" w:hAnsi="宋体" w:eastAsia="宋体" w:cs="宋体"/>
          <w:bCs/>
          <w:color w:val="auto"/>
          <w:kern w:val="2"/>
          <w:sz w:val="21"/>
          <w:szCs w:val="21"/>
          <w:highlight w:val="none"/>
        </w:rPr>
        <w:t>本项目《人员配备</w:t>
      </w:r>
      <w:r>
        <w:rPr>
          <w:rFonts w:hint="eastAsia" w:ascii="宋体" w:hAnsi="宋体" w:eastAsia="宋体" w:cs="宋体"/>
          <w:bCs/>
          <w:color w:val="auto"/>
          <w:kern w:val="2"/>
          <w:sz w:val="21"/>
          <w:szCs w:val="21"/>
          <w:highlight w:val="none"/>
          <w:lang w:val="en-US" w:eastAsia="zh-CN"/>
        </w:rPr>
        <w:t>基本</w:t>
      </w:r>
      <w:r>
        <w:rPr>
          <w:rFonts w:hint="eastAsia" w:ascii="宋体" w:hAnsi="宋体" w:eastAsia="宋体" w:cs="宋体"/>
          <w:bCs/>
          <w:color w:val="auto"/>
          <w:kern w:val="2"/>
          <w:sz w:val="21"/>
          <w:szCs w:val="21"/>
          <w:highlight w:val="none"/>
        </w:rPr>
        <w:t>要求表》如下：</w:t>
      </w:r>
    </w:p>
    <w:tbl>
      <w:tblPr>
        <w:tblStyle w:val="47"/>
        <w:tblW w:w="49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650"/>
        <w:gridCol w:w="1508"/>
        <w:gridCol w:w="4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Times New Roman" w:hAnsi="宋体" w:eastAsia="宋体" w:cs="Times New Roman"/>
                <w:color w:val="auto"/>
                <w:szCs w:val="21"/>
                <w:highlight w:val="none"/>
              </w:rPr>
              <w:t>序号</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岗位名称</w:t>
            </w:r>
          </w:p>
        </w:tc>
        <w:tc>
          <w:tcPr>
            <w:tcW w:w="15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配备人数</w:t>
            </w:r>
          </w:p>
        </w:tc>
        <w:tc>
          <w:tcPr>
            <w:tcW w:w="4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配备要求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首席律师</w:t>
            </w:r>
          </w:p>
        </w:tc>
        <w:tc>
          <w:tcPr>
            <w:tcW w:w="1527"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rPr>
              <w:t>1</w:t>
            </w:r>
          </w:p>
        </w:tc>
        <w:tc>
          <w:tcPr>
            <w:tcW w:w="4193"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律师执业证书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坐班律师</w:t>
            </w:r>
          </w:p>
        </w:tc>
        <w:tc>
          <w:tcPr>
            <w:tcW w:w="1527"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rPr>
              <w:t>1</w:t>
            </w:r>
          </w:p>
        </w:tc>
        <w:tc>
          <w:tcPr>
            <w:tcW w:w="4193"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律师执业证书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242"/>
              <w:spacing w:line="400" w:lineRule="exact"/>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主办律师</w:t>
            </w:r>
          </w:p>
        </w:tc>
        <w:tc>
          <w:tcPr>
            <w:tcW w:w="1527"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4193"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律师执业证书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242"/>
              <w:spacing w:line="400" w:lineRule="exact"/>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协办律师</w:t>
            </w:r>
          </w:p>
        </w:tc>
        <w:tc>
          <w:tcPr>
            <w:tcW w:w="1527"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4193"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律师执业证书</w:t>
            </w:r>
          </w:p>
        </w:tc>
      </w:tr>
    </w:tbl>
    <w:p>
      <w:pPr>
        <w:pStyle w:val="41"/>
        <w:shd w:val="clear" w:color="auto" w:fill="FFFFFF"/>
        <w:spacing w:before="0" w:beforeAutospacing="0" w:after="0" w:afterAutospacing="0" w:line="360" w:lineRule="auto"/>
        <w:jc w:val="right"/>
        <w:rPr>
          <w:rFonts w:hint="eastAsia"/>
          <w:color w:val="auto"/>
          <w:sz w:val="21"/>
          <w:szCs w:val="21"/>
        </w:rPr>
        <w:sectPr>
          <w:footerReference r:id="rId5" w:type="default"/>
          <w:pgSz w:w="11906" w:h="16838"/>
          <w:pgMar w:top="2098" w:right="1474" w:bottom="1985" w:left="1588" w:header="851" w:footer="992" w:gutter="0"/>
          <w:pgNumType w:start="1"/>
          <w:cols w:space="0" w:num="1"/>
          <w:docGrid w:type="lines" w:linePitch="319" w:charSpace="0"/>
        </w:sectPr>
      </w:pPr>
    </w:p>
    <w:p>
      <w:pPr>
        <w:pStyle w:val="3"/>
        <w:keepNext w:val="0"/>
        <w:spacing w:after="240"/>
        <w:rPr>
          <w:rFonts w:ascii="黑体" w:hAnsi="黑体" w:eastAsia="黑体"/>
          <w:bCs w:val="0"/>
          <w:color w:val="auto"/>
          <w:sz w:val="32"/>
          <w:szCs w:val="32"/>
        </w:rPr>
      </w:pPr>
      <w:bookmarkStart w:id="6" w:name="_Toc6753"/>
      <w:bookmarkStart w:id="7" w:name="_Toc8914"/>
      <w:bookmarkStart w:id="8" w:name="_Toc10483"/>
      <w:bookmarkStart w:id="9" w:name="_Toc5145"/>
      <w:bookmarkStart w:id="10" w:name="_Toc14891065"/>
      <w:bookmarkStart w:id="11" w:name="_Toc307"/>
      <w:r>
        <w:rPr>
          <w:rFonts w:hint="eastAsia" w:ascii="宋体" w:hAnsi="宋体" w:cs="宋体"/>
          <w:bCs w:val="0"/>
          <w:color w:val="auto"/>
          <w:sz w:val="32"/>
          <w:szCs w:val="32"/>
        </w:rPr>
        <w:t>第二章  竞争性采购须知</w:t>
      </w:r>
      <w:bookmarkEnd w:id="6"/>
      <w:bookmarkEnd w:id="7"/>
      <w:bookmarkEnd w:id="8"/>
      <w:bookmarkEnd w:id="9"/>
      <w:bookmarkEnd w:id="10"/>
      <w:bookmarkEnd w:id="11"/>
    </w:p>
    <w:p>
      <w:pPr>
        <w:pStyle w:val="4"/>
        <w:keepNext w:val="0"/>
        <w:keepLines w:val="0"/>
        <w:jc w:val="center"/>
        <w:rPr>
          <w:rFonts w:ascii="宋体" w:hAnsi="宋体" w:cs="宋体"/>
          <w:color w:val="auto"/>
          <w:sz w:val="32"/>
        </w:rPr>
      </w:pPr>
      <w:bookmarkStart w:id="12" w:name="_Toc6617"/>
      <w:bookmarkStart w:id="13" w:name="_Toc9591"/>
      <w:bookmarkStart w:id="14" w:name="_Toc28089"/>
      <w:bookmarkStart w:id="15" w:name="_Toc5430"/>
      <w:bookmarkStart w:id="16" w:name="_Toc29717"/>
      <w:bookmarkStart w:id="17" w:name="_Toc14891066"/>
      <w:r>
        <w:rPr>
          <w:rFonts w:hint="eastAsia" w:ascii="宋体" w:hAnsi="宋体" w:cs="宋体"/>
          <w:color w:val="auto"/>
          <w:sz w:val="32"/>
        </w:rPr>
        <w:t>竞争性采购须知前附表</w:t>
      </w:r>
      <w:bookmarkEnd w:id="12"/>
      <w:bookmarkEnd w:id="13"/>
      <w:bookmarkEnd w:id="14"/>
      <w:bookmarkEnd w:id="15"/>
      <w:bookmarkEnd w:id="16"/>
      <w:bookmarkEnd w:id="17"/>
    </w:p>
    <w:tbl>
      <w:tblPr>
        <w:tblStyle w:val="47"/>
        <w:tblW w:w="95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58"/>
        <w:gridCol w:w="72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2358"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名  称</w:t>
            </w:r>
          </w:p>
        </w:tc>
        <w:tc>
          <w:tcPr>
            <w:tcW w:w="7214"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jc w:val="center"/>
        </w:trPr>
        <w:tc>
          <w:tcPr>
            <w:tcW w:w="2358"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采购项目</w:t>
            </w:r>
          </w:p>
        </w:tc>
        <w:tc>
          <w:tcPr>
            <w:tcW w:w="7214" w:type="dxa"/>
            <w:vAlign w:val="center"/>
          </w:tcPr>
          <w:p>
            <w:pPr>
              <w:spacing w:line="360" w:lineRule="auto"/>
              <w:jc w:val="left"/>
              <w:rPr>
                <w:rFonts w:hint="eastAsia" w:ascii="宋体" w:hAnsi="宋体" w:eastAsia="宋体" w:cs="宋体"/>
                <w:color w:val="auto"/>
              </w:rPr>
            </w:pPr>
            <w:r>
              <w:rPr>
                <w:rStyle w:val="56"/>
                <w:rFonts w:hint="eastAsia" w:ascii="Times New Roman" w:hAnsi="Times New Roman" w:eastAsia="宋体" w:cs="Times New Roman"/>
                <w:color w:val="auto"/>
                <w:kern w:val="0"/>
                <w:u w:val="none"/>
                <w:shd w:val="clear" w:color="auto" w:fill="FFFFFF"/>
                <w:lang w:val="en-US" w:eastAsia="zh-CN"/>
              </w:rPr>
              <w:t>长沙市轨道交通运营有限公司法律顾问采购服务项目</w:t>
            </w:r>
            <w:r>
              <w:rPr>
                <w:rStyle w:val="56"/>
                <w:rFonts w:hint="eastAsia" w:cs="Times New Roman"/>
                <w:color w:val="auto"/>
                <w:kern w:val="0"/>
                <w:u w:val="none"/>
                <w:shd w:val="clear" w:color="auto" w:fill="FFFFFF"/>
                <w:lang w:val="en-US" w:eastAsia="zh-CN"/>
              </w:rPr>
              <w:t>（第二次）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358" w:type="dxa"/>
            <w:vAlign w:val="center"/>
          </w:tcPr>
          <w:p>
            <w:pPr>
              <w:adjustRightInd w:val="0"/>
              <w:snapToGrid w:val="0"/>
              <w:jc w:val="center"/>
              <w:rPr>
                <w:rFonts w:hint="eastAsia" w:ascii="宋体" w:hAnsi="宋体" w:eastAsia="宋体" w:cs="宋体"/>
                <w:b/>
                <w:color w:val="auto"/>
                <w:szCs w:val="21"/>
                <w:lang w:eastAsia="zh-CN"/>
              </w:rPr>
            </w:pPr>
            <w:r>
              <w:rPr>
                <w:rFonts w:hint="eastAsia" w:ascii="宋体" w:hAnsi="宋体" w:cs="宋体"/>
                <w:b/>
                <w:color w:val="auto"/>
                <w:szCs w:val="21"/>
              </w:rPr>
              <w:t>采购</w:t>
            </w:r>
            <w:r>
              <w:rPr>
                <w:rFonts w:hint="eastAsia" w:ascii="宋体" w:hAnsi="宋体" w:cs="宋体"/>
                <w:b/>
                <w:color w:val="auto"/>
                <w:szCs w:val="21"/>
                <w:lang w:val="en-US" w:eastAsia="zh-CN"/>
              </w:rPr>
              <w:t>人</w:t>
            </w:r>
          </w:p>
        </w:tc>
        <w:tc>
          <w:tcPr>
            <w:tcW w:w="7214" w:type="dxa"/>
            <w:vAlign w:val="center"/>
          </w:tcPr>
          <w:p>
            <w:pPr>
              <w:spacing w:line="360" w:lineRule="auto"/>
              <w:jc w:val="left"/>
              <w:rPr>
                <w:rFonts w:hint="eastAsia" w:ascii="宋体" w:hAnsi="宋体" w:eastAsia="宋体" w:cs="宋体"/>
                <w:color w:val="auto"/>
              </w:rPr>
            </w:pPr>
            <w:r>
              <w:rPr>
                <w:rFonts w:hint="eastAsia" w:ascii="宋体" w:hAnsi="宋体" w:eastAsia="宋体" w:cs="宋体"/>
                <w:color w:val="auto"/>
              </w:rPr>
              <w:t>长沙市轨道交通运营有限公司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2358" w:type="dxa"/>
            <w:vAlign w:val="center"/>
          </w:tcPr>
          <w:p>
            <w:pPr>
              <w:adjustRightInd w:val="0"/>
              <w:snapToGrid w:val="0"/>
              <w:jc w:val="center"/>
              <w:rPr>
                <w:rFonts w:hint="eastAsia" w:ascii="宋体" w:hAnsi="宋体" w:eastAsia="宋体" w:cs="宋体"/>
                <w:b/>
                <w:color w:val="auto"/>
                <w:szCs w:val="21"/>
                <w:lang w:eastAsia="zh-CN"/>
              </w:rPr>
            </w:pPr>
            <w:r>
              <w:rPr>
                <w:rFonts w:hint="eastAsia" w:ascii="宋体" w:hAnsi="宋体" w:cs="宋体"/>
                <w:b/>
                <w:color w:val="auto"/>
                <w:szCs w:val="21"/>
                <w:lang w:val="en-US" w:eastAsia="zh-CN"/>
              </w:rPr>
              <w:t>控制价</w:t>
            </w:r>
          </w:p>
        </w:tc>
        <w:tc>
          <w:tcPr>
            <w:tcW w:w="7214" w:type="dxa"/>
            <w:vAlign w:val="center"/>
          </w:tcPr>
          <w:p>
            <w:pPr>
              <w:adjustRightInd w:val="0"/>
              <w:snapToGrid w:val="0"/>
              <w:jc w:val="left"/>
              <w:rPr>
                <w:rFonts w:ascii="宋体" w:hAnsi="宋体" w:cs="宋体"/>
                <w:iCs/>
                <w:color w:val="auto"/>
                <w:szCs w:val="21"/>
              </w:rPr>
            </w:pPr>
            <w:r>
              <w:rPr>
                <w:rStyle w:val="56"/>
                <w:rFonts w:hint="eastAsia" w:ascii="Times New Roman" w:hAnsi="Times New Roman" w:eastAsia="宋体" w:cs="Times New Roman"/>
                <w:color w:val="auto"/>
                <w:kern w:val="0"/>
                <w:u w:val="none"/>
                <w:shd w:val="clear" w:color="auto" w:fill="FFFFFF"/>
                <w:lang w:val="en-US" w:eastAsia="zh-CN"/>
              </w:rPr>
              <w:t>597422.40</w:t>
            </w:r>
            <w:r>
              <w:rPr>
                <w:rFonts w:hint="eastAsia" w:ascii="宋体" w:hAnsi="宋体" w:eastAsia="宋体" w:cs="宋体"/>
                <w:color w:val="auto"/>
                <w:szCs w:val="21"/>
              </w:rPr>
              <w:t>元，</w:t>
            </w:r>
            <w:r>
              <w:rPr>
                <w:rFonts w:hint="eastAsia" w:ascii="宋体" w:hAnsi="宋体" w:cs="宋体"/>
                <w:color w:val="auto"/>
                <w:szCs w:val="21"/>
              </w:rPr>
              <w:t>不超过</w:t>
            </w:r>
            <w:r>
              <w:rPr>
                <w:rFonts w:hint="eastAsia" w:ascii="宋体" w:hAnsi="宋体" w:cs="宋体"/>
                <w:color w:val="auto"/>
                <w:szCs w:val="21"/>
                <w:lang w:eastAsia="zh-CN"/>
              </w:rPr>
              <w:t>控制价</w:t>
            </w:r>
            <w:r>
              <w:rPr>
                <w:rFonts w:hint="eastAsia" w:ascii="宋体" w:hAnsi="宋体" w:cs="宋体"/>
                <w:color w:val="auto"/>
                <w:szCs w:val="21"/>
              </w:rPr>
              <w:t>的竞争性采购总报价为有效报价。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358"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评审办法</w:t>
            </w:r>
          </w:p>
        </w:tc>
        <w:tc>
          <w:tcPr>
            <w:tcW w:w="7214" w:type="dxa"/>
            <w:vAlign w:val="center"/>
          </w:tcPr>
          <w:p>
            <w:pPr>
              <w:adjustRightInd w:val="0"/>
              <w:snapToGrid w:val="0"/>
              <w:jc w:val="left"/>
              <w:rPr>
                <w:rFonts w:hint="eastAsia" w:ascii="宋体" w:hAnsi="宋体" w:eastAsia="宋体" w:cs="宋体"/>
                <w:iCs/>
                <w:color w:val="auto"/>
                <w:szCs w:val="21"/>
                <w:lang w:eastAsia="zh-CN"/>
              </w:rPr>
            </w:pPr>
            <w:r>
              <w:rPr>
                <w:rStyle w:val="56"/>
                <w:rFonts w:hint="eastAsia"/>
                <w:color w:val="auto"/>
                <w:kern w:val="0"/>
                <w:u w:val="none"/>
                <w:shd w:val="clear" w:color="auto" w:fill="FFFFFF"/>
                <w:lang w:eastAsia="zh-CN"/>
              </w:rPr>
              <w:t>综合评审法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36" w:hRule="atLeast"/>
          <w:jc w:val="center"/>
        </w:trPr>
        <w:tc>
          <w:tcPr>
            <w:tcW w:w="2358"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资格要求</w:t>
            </w:r>
          </w:p>
        </w:tc>
        <w:tc>
          <w:tcPr>
            <w:tcW w:w="721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1.供应商须具有有效期内的律师事务所执业许可证。</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2.本次采购不接受联合体。</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hAnsi="宋体" w:cs="宋体"/>
                <w:color w:val="auto"/>
                <w:szCs w:val="21"/>
              </w:rPr>
            </w:pPr>
            <w:r>
              <w:rPr>
                <w:rFonts w:hint="eastAsia" w:ascii="宋体" w:hAnsi="宋体" w:eastAsia="宋体" w:cs="宋体"/>
                <w:color w:val="auto"/>
                <w:szCs w:val="21"/>
                <w:lang w:val="en-US" w:eastAsia="zh-CN"/>
              </w:rPr>
              <w:t>3.被长沙市轨道交通集团有限公司或长沙市轨道交通运营有限公司函告禁止在一定期限内参与投标的单位按函告内容执行。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358"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竞争性采购答疑文件</w:t>
            </w:r>
          </w:p>
          <w:p>
            <w:pPr>
              <w:adjustRightInd w:val="0"/>
              <w:snapToGrid w:val="0"/>
              <w:jc w:val="center"/>
              <w:rPr>
                <w:rFonts w:ascii="宋体" w:hAnsi="宋体" w:cs="宋体"/>
                <w:b/>
                <w:color w:val="auto"/>
                <w:szCs w:val="21"/>
              </w:rPr>
            </w:pPr>
            <w:r>
              <w:rPr>
                <w:rFonts w:hint="eastAsia" w:ascii="宋体" w:hAnsi="宋体" w:cs="宋体"/>
                <w:b/>
                <w:color w:val="auto"/>
                <w:szCs w:val="21"/>
              </w:rPr>
              <w:t>递交截止时间</w:t>
            </w:r>
          </w:p>
        </w:tc>
        <w:tc>
          <w:tcPr>
            <w:tcW w:w="7214" w:type="dxa"/>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cs="宋体"/>
                <w:color w:val="auto"/>
              </w:rPr>
            </w:pPr>
            <w:r>
              <w:rPr>
                <w:rStyle w:val="56"/>
                <w:rFonts w:hint="eastAsia" w:ascii="Times New Roman" w:hAnsi="Times New Roman" w:cs="Times New Roman"/>
                <w:color w:val="auto"/>
                <w:u w:val="none"/>
                <w:shd w:val="clear" w:color="auto" w:fill="FFFFFF"/>
                <w:lang w:eastAsia="zh-CN"/>
              </w:rPr>
              <w:t>2024</w:t>
            </w:r>
            <w:r>
              <w:rPr>
                <w:rStyle w:val="56"/>
                <w:rFonts w:hint="eastAsia" w:ascii="Times New Roman" w:hAnsi="Times New Roman" w:cs="Times New Roman"/>
                <w:color w:val="auto"/>
                <w:u w:val="none"/>
                <w:shd w:val="clear" w:color="auto" w:fill="FFFFFF"/>
              </w:rPr>
              <w:t>年</w:t>
            </w:r>
            <w:r>
              <w:rPr>
                <w:rStyle w:val="56"/>
                <w:rFonts w:hint="eastAsia" w:ascii="Times New Roman" w:hAnsi="Times New Roman" w:cs="Times New Roman"/>
                <w:color w:val="auto"/>
                <w:u w:val="none"/>
                <w:shd w:val="clear" w:color="auto" w:fill="FFFFFF"/>
                <w:lang w:val="en-US" w:eastAsia="zh-CN"/>
              </w:rPr>
              <w:t>1月29日</w:t>
            </w:r>
            <w:r>
              <w:rPr>
                <w:rFonts w:hint="eastAsia" w:hAnsi="宋体" w:cs="宋体"/>
                <w:color w:val="auto"/>
              </w:rPr>
              <w:t>17时00分</w:t>
            </w:r>
            <w:r>
              <w:rPr>
                <w:rFonts w:hint="eastAsia" w:hAnsi="宋体" w:cs="宋体"/>
                <w:color w:val="auto"/>
                <w:lang w:eastAsia="zh-CN"/>
              </w:rPr>
              <w:t>（</w:t>
            </w:r>
            <w:r>
              <w:rPr>
                <w:rFonts w:hint="eastAsia" w:hAnsi="宋体" w:cs="宋体"/>
                <w:color w:val="auto"/>
              </w:rPr>
              <w:t>北京时间</w:t>
            </w:r>
            <w:r>
              <w:rPr>
                <w:rFonts w:hint="eastAsia" w:hAnsi="宋体" w:cs="宋体"/>
                <w:color w:val="auto"/>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2358"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竞争性采购答疑文件</w:t>
            </w:r>
          </w:p>
          <w:p>
            <w:pPr>
              <w:adjustRightInd w:val="0"/>
              <w:snapToGrid w:val="0"/>
              <w:jc w:val="center"/>
              <w:rPr>
                <w:rFonts w:ascii="宋体" w:hAnsi="宋体" w:cs="宋体"/>
                <w:b/>
                <w:color w:val="auto"/>
                <w:szCs w:val="21"/>
              </w:rPr>
            </w:pPr>
            <w:r>
              <w:rPr>
                <w:rFonts w:hint="eastAsia" w:ascii="宋体" w:hAnsi="宋体" w:cs="宋体"/>
                <w:b/>
                <w:color w:val="auto"/>
                <w:szCs w:val="21"/>
              </w:rPr>
              <w:t>递交方式及地点</w:t>
            </w:r>
          </w:p>
        </w:tc>
        <w:tc>
          <w:tcPr>
            <w:tcW w:w="7214" w:type="dxa"/>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cs="宋体"/>
                <w:iCs/>
                <w:color w:val="auto"/>
              </w:rPr>
            </w:pPr>
            <w:r>
              <w:rPr>
                <w:rStyle w:val="56"/>
                <w:rFonts w:hint="eastAsia" w:ascii="Times New Roman" w:hAnsi="Times New Roman" w:eastAsia="宋体" w:cs="Times New Roman"/>
                <w:color w:val="auto"/>
                <w:kern w:val="0"/>
                <w:sz w:val="21"/>
                <w:szCs w:val="24"/>
                <w:u w:val="none"/>
                <w:shd w:val="clear" w:color="auto" w:fill="FFFFFF"/>
                <w:lang w:val="en-US" w:eastAsia="zh-CN" w:bidi="ar-SA"/>
              </w:rPr>
              <w:t>竞争性采购答疑文件应以书面形式递交至</w:t>
            </w:r>
            <w:r>
              <w:rPr>
                <w:rFonts w:hint="eastAsia" w:ascii="宋体" w:hAnsi="宋体"/>
                <w:color w:val="auto"/>
                <w:szCs w:val="21"/>
                <w:u w:val="single"/>
              </w:rPr>
              <w:t>长沙市雨花区杜花路166号</w:t>
            </w:r>
            <w:r>
              <w:rPr>
                <w:rStyle w:val="56"/>
                <w:rFonts w:hint="eastAsia" w:ascii="Times New Roman" w:hAnsi="Times New Roman" w:cs="Times New Roman"/>
                <w:color w:val="auto"/>
                <w:kern w:val="0"/>
                <w:sz w:val="21"/>
                <w:szCs w:val="24"/>
                <w:u w:val="single"/>
                <w:shd w:val="clear" w:color="auto" w:fill="FFFFFF"/>
                <w:lang w:val="en-US" w:eastAsia="zh-CN" w:bidi="ar-SA"/>
              </w:rPr>
              <w:t>第二控制中心大楼205办公</w:t>
            </w:r>
            <w:r>
              <w:rPr>
                <w:rStyle w:val="56"/>
                <w:rFonts w:hint="eastAsia" w:ascii="Times New Roman" w:hAnsi="Times New Roman" w:eastAsia="宋体" w:cs="Times New Roman"/>
                <w:color w:val="auto"/>
                <w:kern w:val="0"/>
                <w:sz w:val="21"/>
                <w:szCs w:val="24"/>
                <w:u w:val="single"/>
                <w:shd w:val="clear" w:color="auto" w:fill="FFFFFF"/>
                <w:lang w:val="en-US" w:eastAsia="zh-CN" w:bidi="ar-SA"/>
              </w:rPr>
              <w:t>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358"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响应文件的递交</w:t>
            </w:r>
          </w:p>
          <w:p>
            <w:pPr>
              <w:adjustRightInd w:val="0"/>
              <w:snapToGrid w:val="0"/>
              <w:jc w:val="center"/>
              <w:rPr>
                <w:rFonts w:ascii="宋体" w:hAnsi="宋体" w:cs="宋体"/>
                <w:b/>
                <w:color w:val="auto"/>
                <w:szCs w:val="21"/>
              </w:rPr>
            </w:pPr>
            <w:r>
              <w:rPr>
                <w:rFonts w:hint="eastAsia" w:ascii="宋体" w:hAnsi="宋体" w:cs="宋体"/>
                <w:b/>
                <w:color w:val="auto"/>
                <w:szCs w:val="21"/>
              </w:rPr>
              <w:t>截止及竞争性采购时间</w:t>
            </w:r>
          </w:p>
        </w:tc>
        <w:tc>
          <w:tcPr>
            <w:tcW w:w="7214" w:type="dxa"/>
            <w:vAlign w:val="center"/>
          </w:tcPr>
          <w:p>
            <w:pPr>
              <w:adjustRightInd w:val="0"/>
              <w:snapToGrid w:val="0"/>
              <w:jc w:val="left"/>
              <w:rPr>
                <w:rFonts w:ascii="宋体" w:hAnsi="宋体" w:cs="宋体"/>
                <w:color w:val="auto"/>
                <w:szCs w:val="21"/>
              </w:rPr>
            </w:pPr>
            <w:r>
              <w:rPr>
                <w:rStyle w:val="56"/>
                <w:rFonts w:hint="eastAsia"/>
                <w:color w:val="auto"/>
                <w:u w:val="none"/>
                <w:shd w:val="clear" w:color="auto" w:fill="FFFFFF"/>
                <w:lang w:eastAsia="zh-CN"/>
              </w:rPr>
              <w:t>2024</w:t>
            </w:r>
            <w:r>
              <w:rPr>
                <w:rStyle w:val="56"/>
                <w:rFonts w:hint="eastAsia"/>
                <w:color w:val="auto"/>
                <w:u w:val="none"/>
                <w:shd w:val="clear" w:color="auto" w:fill="FFFFFF"/>
              </w:rPr>
              <w:t>年</w:t>
            </w:r>
            <w:r>
              <w:rPr>
                <w:rStyle w:val="56"/>
                <w:rFonts w:hint="eastAsia"/>
                <w:color w:val="auto"/>
                <w:u w:val="none"/>
                <w:shd w:val="clear" w:color="auto" w:fill="FFFFFF"/>
                <w:lang w:val="en-US" w:eastAsia="zh-CN"/>
              </w:rPr>
              <w:t>2月2日9</w:t>
            </w:r>
            <w:r>
              <w:rPr>
                <w:rStyle w:val="56"/>
                <w:rFonts w:hint="eastAsia"/>
                <w:color w:val="auto"/>
                <w:u w:val="none"/>
                <w:shd w:val="clear" w:color="auto" w:fill="FFFFFF"/>
              </w:rPr>
              <w:t>时30分</w:t>
            </w:r>
            <w:r>
              <w:rPr>
                <w:rStyle w:val="56"/>
                <w:rFonts w:hint="eastAsia"/>
                <w:color w:val="auto"/>
                <w:u w:val="none"/>
                <w:shd w:val="clear" w:color="auto" w:fill="FFFFFF"/>
                <w:lang w:eastAsia="zh-CN"/>
              </w:rPr>
              <w:t>（</w:t>
            </w:r>
            <w:r>
              <w:rPr>
                <w:rFonts w:hint="eastAsia" w:ascii="宋体" w:hAnsi="宋体" w:cs="宋体"/>
                <w:color w:val="auto"/>
                <w:szCs w:val="21"/>
              </w:rPr>
              <w:t>北京时间</w:t>
            </w:r>
            <w:r>
              <w:rPr>
                <w:rFonts w:hint="eastAsia" w:ascii="宋体" w:hAnsi="宋体" w:cs="宋体"/>
                <w:color w:val="auto"/>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jc w:val="center"/>
        </w:trPr>
        <w:tc>
          <w:tcPr>
            <w:tcW w:w="2358"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响应文件的递交</w:t>
            </w:r>
          </w:p>
          <w:p>
            <w:pPr>
              <w:adjustRightInd w:val="0"/>
              <w:snapToGrid w:val="0"/>
              <w:jc w:val="center"/>
              <w:rPr>
                <w:rFonts w:ascii="宋体" w:hAnsi="宋体" w:cs="宋体"/>
                <w:b/>
                <w:color w:val="auto"/>
                <w:szCs w:val="21"/>
              </w:rPr>
            </w:pPr>
            <w:r>
              <w:rPr>
                <w:rFonts w:hint="eastAsia" w:ascii="宋体" w:hAnsi="宋体" w:cs="宋体"/>
                <w:b/>
                <w:color w:val="auto"/>
                <w:szCs w:val="21"/>
              </w:rPr>
              <w:t>及竞争性采购地点</w:t>
            </w:r>
          </w:p>
        </w:tc>
        <w:tc>
          <w:tcPr>
            <w:tcW w:w="7214" w:type="dxa"/>
            <w:vAlign w:val="center"/>
          </w:tcPr>
          <w:p>
            <w:pPr>
              <w:adjustRightInd w:val="0"/>
              <w:snapToGrid w:val="0"/>
              <w:jc w:val="left"/>
              <w:rPr>
                <w:rFonts w:ascii="宋体" w:hAnsi="宋体" w:cs="宋体"/>
                <w:color w:val="auto"/>
                <w:szCs w:val="21"/>
              </w:rPr>
            </w:pPr>
            <w:r>
              <w:rPr>
                <w:rFonts w:hint="eastAsia" w:ascii="宋体" w:hAnsi="宋体" w:cs="宋体"/>
                <w:bCs/>
                <w:color w:val="auto"/>
                <w:szCs w:val="21"/>
              </w:rPr>
              <w:t>长沙市劳动东路二段48号黄兴车辆段综合楼9楼910</w:t>
            </w:r>
            <w:r>
              <w:rPr>
                <w:rStyle w:val="56"/>
                <w:rFonts w:hint="eastAsia"/>
                <w:color w:val="auto"/>
                <w:u w:val="none"/>
                <w:shd w:val="clear" w:color="auto" w:fill="FFFFFF"/>
              </w:rPr>
              <w:t>电子评标室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57" w:hRule="atLeast"/>
          <w:jc w:val="center"/>
        </w:trPr>
        <w:tc>
          <w:tcPr>
            <w:tcW w:w="2358"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竞争性采购现场验证</w:t>
            </w:r>
          </w:p>
          <w:p>
            <w:pPr>
              <w:adjustRightInd w:val="0"/>
              <w:snapToGrid w:val="0"/>
              <w:jc w:val="center"/>
              <w:rPr>
                <w:rFonts w:ascii="宋体" w:hAnsi="宋体" w:cs="宋体"/>
                <w:b/>
                <w:color w:val="auto"/>
                <w:szCs w:val="21"/>
              </w:rPr>
            </w:pPr>
            <w:r>
              <w:rPr>
                <w:rFonts w:hint="eastAsia" w:ascii="宋体" w:hAnsi="宋体" w:cs="宋体"/>
                <w:b/>
                <w:color w:val="auto"/>
                <w:szCs w:val="21"/>
              </w:rPr>
              <w:t>须提交的资料</w:t>
            </w:r>
          </w:p>
        </w:tc>
        <w:tc>
          <w:tcPr>
            <w:tcW w:w="7214" w:type="dxa"/>
            <w:vAlign w:val="center"/>
          </w:tcPr>
          <w:p>
            <w:pPr>
              <w:numPr>
                <w:ilvl w:val="0"/>
                <w:numId w:val="13"/>
              </w:numPr>
              <w:adjustRightInd w:val="0"/>
              <w:snapToGrid w:val="0"/>
              <w:spacing w:line="360" w:lineRule="auto"/>
              <w:jc w:val="left"/>
              <w:rPr>
                <w:rFonts w:hint="eastAsia"/>
                <w:b w:val="0"/>
                <w:bCs w:val="0"/>
                <w:color w:val="auto"/>
                <w:lang w:eastAsia="zh-CN"/>
              </w:rPr>
            </w:pPr>
            <w:r>
              <w:rPr>
                <w:rFonts w:hint="eastAsia" w:ascii="宋体" w:hAnsi="宋体" w:cs="Courier New"/>
                <w:b w:val="0"/>
                <w:bCs w:val="0"/>
                <w:iCs/>
                <w:color w:val="auto"/>
                <w:kern w:val="2"/>
                <w:sz w:val="21"/>
                <w:szCs w:val="21"/>
                <w:u w:val="none"/>
                <w:lang w:val="en-US" w:eastAsia="zh-CN" w:bidi="ar-SA"/>
              </w:rPr>
              <w:t>律师事务所执业许可证书复印件</w:t>
            </w:r>
            <w:r>
              <w:rPr>
                <w:rFonts w:hint="eastAsia"/>
                <w:b w:val="0"/>
                <w:bCs w:val="0"/>
                <w:color w:val="auto"/>
                <w:lang w:eastAsia="zh-CN"/>
              </w:rPr>
              <w:t>。</w:t>
            </w:r>
          </w:p>
          <w:p>
            <w:pPr>
              <w:numPr>
                <w:ilvl w:val="0"/>
                <w:numId w:val="13"/>
              </w:numPr>
              <w:adjustRightInd w:val="0"/>
              <w:snapToGrid w:val="0"/>
              <w:spacing w:line="360" w:lineRule="auto"/>
              <w:jc w:val="left"/>
              <w:rPr>
                <w:rFonts w:hint="eastAsia" w:ascii="宋体" w:hAnsi="宋体" w:cs="宋体"/>
                <w:color w:val="auto"/>
                <w:szCs w:val="21"/>
              </w:rPr>
            </w:pPr>
            <w:r>
              <w:rPr>
                <w:rFonts w:hint="eastAsia" w:ascii="宋体" w:hAnsi="宋体" w:cs="宋体"/>
                <w:iCs/>
                <w:color w:val="auto"/>
                <w:szCs w:val="21"/>
              </w:rPr>
              <w:t>供应商代表</w:t>
            </w:r>
            <w:r>
              <w:rPr>
                <w:rFonts w:hint="eastAsia" w:ascii="宋体" w:hAnsi="宋体" w:cs="Courier New"/>
                <w:b w:val="0"/>
                <w:bCs w:val="0"/>
                <w:iCs/>
                <w:color w:val="auto"/>
                <w:kern w:val="2"/>
                <w:sz w:val="21"/>
                <w:szCs w:val="21"/>
                <w:u w:val="none"/>
                <w:lang w:val="en-US" w:eastAsia="zh-CN" w:bidi="ar-SA"/>
              </w:rPr>
              <w:t>为律师事务所负责人</w:t>
            </w:r>
            <w:r>
              <w:rPr>
                <w:rFonts w:hint="eastAsia" w:ascii="宋体" w:hAnsi="宋体" w:cs="宋体"/>
                <w:b w:val="0"/>
                <w:bCs w:val="0"/>
                <w:iCs/>
                <w:color w:val="auto"/>
                <w:szCs w:val="21"/>
              </w:rPr>
              <w:t>参加的，须提供</w:t>
            </w:r>
            <w:r>
              <w:rPr>
                <w:rFonts w:hint="eastAsia" w:ascii="宋体" w:hAnsi="宋体" w:cs="Courier New"/>
                <w:b w:val="0"/>
                <w:bCs w:val="0"/>
                <w:iCs/>
                <w:color w:val="auto"/>
                <w:kern w:val="2"/>
                <w:sz w:val="21"/>
                <w:szCs w:val="21"/>
                <w:u w:val="none"/>
                <w:lang w:val="en-US" w:eastAsia="zh-CN" w:bidi="ar-SA"/>
              </w:rPr>
              <w:t>律师事务所负责人身份证明书</w:t>
            </w:r>
            <w:r>
              <w:rPr>
                <w:rFonts w:hint="eastAsia" w:ascii="宋体" w:hAnsi="宋体" w:cs="宋体"/>
                <w:b/>
                <w:bCs/>
                <w:iCs/>
                <w:color w:val="auto"/>
                <w:szCs w:val="21"/>
              </w:rPr>
              <w:t>（格式详见本文件第七章）</w:t>
            </w:r>
            <w:r>
              <w:rPr>
                <w:rFonts w:hint="eastAsia" w:ascii="宋体" w:hAnsi="宋体" w:cs="宋体"/>
                <w:color w:val="auto"/>
                <w:szCs w:val="21"/>
              </w:rPr>
              <w:t>及本人身份证原件。供应商代表</w:t>
            </w:r>
            <w:r>
              <w:rPr>
                <w:rFonts w:hint="eastAsia" w:ascii="宋体" w:hAnsi="宋体" w:cs="宋体"/>
                <w:b w:val="0"/>
                <w:bCs w:val="0"/>
                <w:color w:val="auto"/>
                <w:szCs w:val="21"/>
                <w:lang w:val="en-US" w:eastAsia="zh-CN"/>
              </w:rPr>
              <w:t>为</w:t>
            </w:r>
            <w:r>
              <w:rPr>
                <w:rFonts w:hint="eastAsia" w:ascii="宋体" w:hAnsi="宋体" w:cs="Courier New"/>
                <w:b w:val="0"/>
                <w:bCs w:val="0"/>
                <w:iCs/>
                <w:color w:val="auto"/>
                <w:kern w:val="2"/>
                <w:sz w:val="21"/>
                <w:szCs w:val="21"/>
                <w:u w:val="none"/>
                <w:lang w:val="en-US" w:eastAsia="zh-CN" w:bidi="ar-SA"/>
              </w:rPr>
              <w:t>律师事务所负责人</w:t>
            </w:r>
            <w:r>
              <w:rPr>
                <w:rFonts w:hint="eastAsia" w:ascii="宋体" w:hAnsi="宋体" w:cs="宋体"/>
                <w:b w:val="0"/>
                <w:bCs w:val="0"/>
                <w:color w:val="auto"/>
                <w:szCs w:val="21"/>
              </w:rPr>
              <w:t>授</w:t>
            </w:r>
            <w:r>
              <w:rPr>
                <w:rFonts w:hint="eastAsia" w:ascii="宋体" w:hAnsi="宋体" w:cs="宋体"/>
                <w:color w:val="auto"/>
                <w:szCs w:val="21"/>
              </w:rPr>
              <w:t>权的委托代理人参加的，其授权委托代理人须提供</w:t>
            </w:r>
            <w:r>
              <w:rPr>
                <w:rFonts w:hint="eastAsia" w:ascii="宋体" w:hAnsi="宋体" w:cs="Courier New"/>
                <w:b w:val="0"/>
                <w:bCs w:val="0"/>
                <w:iCs/>
                <w:color w:val="auto"/>
                <w:kern w:val="2"/>
                <w:sz w:val="21"/>
                <w:szCs w:val="21"/>
                <w:u w:val="none"/>
                <w:lang w:val="en-US" w:eastAsia="zh-CN" w:bidi="ar-SA"/>
              </w:rPr>
              <w:t>律师事务所负责人身份证明书</w:t>
            </w:r>
            <w:r>
              <w:rPr>
                <w:rFonts w:hint="eastAsia" w:ascii="宋体" w:hAnsi="宋体" w:cs="宋体"/>
                <w:b w:val="0"/>
                <w:bCs w:val="0"/>
                <w:iCs/>
                <w:color w:val="auto"/>
                <w:szCs w:val="21"/>
                <w:lang w:eastAsia="zh-CN"/>
              </w:rPr>
              <w:t>、</w:t>
            </w:r>
            <w:r>
              <w:rPr>
                <w:rFonts w:hint="eastAsia" w:ascii="宋体" w:hAnsi="宋体" w:cs="宋体"/>
                <w:color w:val="auto"/>
                <w:szCs w:val="21"/>
              </w:rPr>
              <w:t>授权委托书原件</w:t>
            </w:r>
            <w:r>
              <w:rPr>
                <w:rFonts w:hint="eastAsia" w:ascii="宋体" w:hAnsi="宋体" w:cs="宋体"/>
                <w:b/>
                <w:color w:val="auto"/>
                <w:szCs w:val="21"/>
              </w:rPr>
              <w:t>（格式详见本文件</w:t>
            </w:r>
            <w:r>
              <w:rPr>
                <w:rFonts w:hint="eastAsia" w:ascii="宋体" w:hAnsi="宋体" w:cs="宋体"/>
                <w:b/>
                <w:bCs/>
                <w:iCs/>
                <w:color w:val="auto"/>
                <w:szCs w:val="21"/>
              </w:rPr>
              <w:t>第七章</w:t>
            </w:r>
            <w:r>
              <w:rPr>
                <w:rFonts w:hint="eastAsia" w:ascii="宋体" w:hAnsi="宋体" w:cs="宋体"/>
                <w:b/>
                <w:color w:val="auto"/>
                <w:szCs w:val="21"/>
              </w:rPr>
              <w:t>）</w:t>
            </w:r>
            <w:r>
              <w:rPr>
                <w:rFonts w:hint="eastAsia" w:ascii="宋体" w:hAnsi="宋体" w:cs="宋体"/>
                <w:color w:val="auto"/>
                <w:szCs w:val="21"/>
              </w:rPr>
              <w:t>及本人身份证原件。</w:t>
            </w:r>
          </w:p>
          <w:p>
            <w:pPr>
              <w:numPr>
                <w:ilvl w:val="0"/>
                <w:numId w:val="13"/>
              </w:numPr>
              <w:adjustRightInd w:val="0"/>
              <w:snapToGrid w:val="0"/>
              <w:spacing w:line="360" w:lineRule="auto"/>
              <w:jc w:val="left"/>
              <w:rPr>
                <w:rFonts w:hint="eastAsia" w:ascii="宋体" w:hAnsi="宋体" w:cs="宋体"/>
                <w:color w:val="auto"/>
                <w:szCs w:val="21"/>
              </w:rPr>
            </w:pPr>
            <w:r>
              <w:rPr>
                <w:rFonts w:hint="eastAsia" w:ascii="宋体" w:hAnsi="宋体" w:eastAsia="宋体" w:cs="宋体"/>
                <w:b w:val="0"/>
                <w:bCs w:val="0"/>
                <w:color w:val="auto"/>
                <w:szCs w:val="21"/>
                <w:lang w:val="en-US" w:eastAsia="zh-CN"/>
              </w:rPr>
              <w:t>现</w:t>
            </w:r>
            <w:r>
              <w:rPr>
                <w:rFonts w:hint="eastAsia" w:ascii="宋体" w:hAnsi="宋体" w:eastAsia="宋体" w:cs="Courier New"/>
                <w:b w:val="0"/>
                <w:bCs w:val="0"/>
                <w:iCs/>
                <w:color w:val="auto"/>
                <w:kern w:val="2"/>
                <w:sz w:val="21"/>
                <w:szCs w:val="21"/>
                <w:u w:val="none"/>
                <w:lang w:val="en-US" w:eastAsia="zh-CN" w:bidi="ar-SA"/>
              </w:rPr>
              <w:t>场答辩时需提供拟委派本项目坐班律师的律师执业证书原件、身份证原件、委派函原件。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358"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响应文件有效期</w:t>
            </w:r>
          </w:p>
        </w:tc>
        <w:tc>
          <w:tcPr>
            <w:tcW w:w="7214" w:type="dxa"/>
            <w:vAlign w:val="center"/>
          </w:tcPr>
          <w:p>
            <w:pPr>
              <w:adjustRightInd w:val="0"/>
              <w:snapToGrid w:val="0"/>
              <w:jc w:val="left"/>
              <w:rPr>
                <w:rFonts w:ascii="宋体" w:hAnsi="宋体" w:cs="宋体"/>
                <w:color w:val="auto"/>
                <w:szCs w:val="21"/>
              </w:rPr>
            </w:pPr>
            <w:r>
              <w:rPr>
                <w:rFonts w:hint="eastAsia" w:ascii="宋体" w:hAnsi="宋体" w:cs="宋体"/>
                <w:color w:val="auto"/>
                <w:szCs w:val="21"/>
              </w:rPr>
              <w:t>180日历天，从响应文件递交截止之日起算。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3" w:hRule="atLeast"/>
          <w:jc w:val="center"/>
        </w:trPr>
        <w:tc>
          <w:tcPr>
            <w:tcW w:w="2358"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响应文件份数及要求</w:t>
            </w:r>
          </w:p>
        </w:tc>
        <w:tc>
          <w:tcPr>
            <w:tcW w:w="7214" w:type="dxa"/>
            <w:vAlign w:val="center"/>
          </w:tcPr>
          <w:p>
            <w:pPr>
              <w:adjustRightInd w:val="0"/>
              <w:snapToGrid w:val="0"/>
              <w:spacing w:line="360" w:lineRule="auto"/>
              <w:rPr>
                <w:rFonts w:ascii="宋体" w:hAnsi="宋体" w:cs="宋体"/>
                <w:color w:val="auto"/>
                <w:szCs w:val="21"/>
              </w:rPr>
            </w:pPr>
            <w:r>
              <w:rPr>
                <w:rFonts w:hint="eastAsia" w:ascii="宋体" w:hAnsi="宋体" w:cs="宋体"/>
                <w:color w:val="auto"/>
                <w:szCs w:val="21"/>
              </w:rPr>
              <w:t>响应文件纸质文件一式三份（其中正本一份，副本二份），电子文件（U盘或光盘）一份。响应文件一正两副与电子文件一起密封包装。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jc w:val="center"/>
        </w:trPr>
        <w:tc>
          <w:tcPr>
            <w:tcW w:w="2358"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价格承包内容</w:t>
            </w:r>
          </w:p>
        </w:tc>
        <w:tc>
          <w:tcPr>
            <w:tcW w:w="7214"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auto"/>
                <w:szCs w:val="21"/>
                <w:highlight w:val="lightGray"/>
              </w:rPr>
            </w:pPr>
            <w:r>
              <w:rPr>
                <w:rFonts w:hint="eastAsia" w:ascii="宋体" w:hAnsi="宋体" w:eastAsia="宋体" w:cs="宋体"/>
                <w:bCs/>
                <w:color w:val="auto"/>
                <w:sz w:val="21"/>
                <w:szCs w:val="21"/>
                <w:highlight w:val="none"/>
              </w:rPr>
              <w:t>总价合同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40" w:hRule="atLeast"/>
          <w:jc w:val="center"/>
        </w:trPr>
        <w:tc>
          <w:tcPr>
            <w:tcW w:w="2358"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项目支付方式</w:t>
            </w:r>
          </w:p>
        </w:tc>
        <w:tc>
          <w:tcPr>
            <w:tcW w:w="721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分期（四次）支付上述法律顾问服务费的80%至乙方账户，每次支付数额为法律顾问服务费×80%÷4。自合同生效之日起，乙方每完成六个月的法律顾问服务，向甲方提供相应数额增值税专用发票，甲方收到发票并确认无误后28个工作日内向乙方支付该期法律顾问服务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法律顾问服务费的20%作为服务质量满意度考核款（该款项与上述第（1）项中第四次支付款项时一起支付），服务质量满意度考核由甲方法务管理部门（轨道集团法务部门参与对乙方法律顾问合同的考核，考核分占比30%）按年度进行。考核评分详见《法律顾问服务满意度考核评分表》，考核得分（取两次考核的平均分）与实际支付考核费用对应关系如下：考核得分≥90分，支付全额考核款；80分≤考核得分＜90分，则支付90%的考核款；70分≤考核得分＜80分，则支付80%的考核款；考核得分＜70分，不支付考核款。在甲方收到相应数额发票并确认无误后28个工作日内向乙方支付该款项。</w:t>
            </w:r>
          </w:p>
          <w:p>
            <w:pPr>
              <w:adjustRightInd w:val="0"/>
              <w:snapToGrid w:val="0"/>
              <w:spacing w:line="360" w:lineRule="auto"/>
              <w:jc w:val="left"/>
              <w:rPr>
                <w:rFonts w:ascii="宋体" w:hAnsi="宋体" w:cs="宋体"/>
                <w:color w:val="auto"/>
                <w:szCs w:val="21"/>
                <w:highlight w:val="lightGray"/>
              </w:rPr>
            </w:pPr>
            <w:r>
              <w:rPr>
                <w:rFonts w:hint="eastAsia" w:ascii="宋体" w:hAnsi="宋体" w:eastAsia="宋体" w:cs="宋体"/>
                <w:bCs/>
                <w:color w:val="auto"/>
                <w:sz w:val="21"/>
                <w:szCs w:val="21"/>
                <w:highlight w:val="none"/>
              </w:rPr>
              <w:t>（3）乙方按合同规定完成履约，且按甲方要求办理了履约验收手续，按上述支付约定的方式，乙方凭当次支付款额度100%的增值税专用发票原件及甲方出具的考核结果，办理第四次支付款项的请款手续；甲方在收到乙方的请款材料及相关资料并确认无误后的28个工作日内向乙方进行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2358"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信息发布</w:t>
            </w:r>
          </w:p>
          <w:p>
            <w:pPr>
              <w:adjustRightInd w:val="0"/>
              <w:snapToGrid w:val="0"/>
              <w:jc w:val="center"/>
              <w:rPr>
                <w:rFonts w:ascii="宋体" w:hAnsi="宋体" w:cs="宋体"/>
                <w:b/>
                <w:color w:val="auto"/>
                <w:szCs w:val="21"/>
              </w:rPr>
            </w:pPr>
            <w:r>
              <w:rPr>
                <w:rFonts w:hint="eastAsia" w:ascii="宋体" w:hAnsi="宋体" w:cs="宋体"/>
                <w:b/>
                <w:color w:val="auto"/>
                <w:szCs w:val="21"/>
              </w:rPr>
              <w:t>指定媒体</w:t>
            </w:r>
          </w:p>
        </w:tc>
        <w:tc>
          <w:tcPr>
            <w:tcW w:w="7214" w:type="dxa"/>
            <w:vAlign w:val="center"/>
          </w:tcPr>
          <w:p>
            <w:pPr>
              <w:adjustRightInd w:val="0"/>
              <w:snapToGrid w:val="0"/>
              <w:rPr>
                <w:rFonts w:ascii="宋体" w:hAnsi="宋体" w:cs="宋体"/>
                <w:color w:val="auto"/>
                <w:szCs w:val="21"/>
              </w:rPr>
            </w:pPr>
            <w:r>
              <w:rPr>
                <w:rFonts w:hint="eastAsia" w:ascii="宋体" w:hAnsi="宋体" w:cs="宋体"/>
                <w:color w:val="auto"/>
                <w:szCs w:val="21"/>
              </w:rPr>
              <w:t>长沙市轨道交通集团有限公司</w:t>
            </w:r>
            <w:r>
              <w:rPr>
                <w:color w:val="auto"/>
              </w:rPr>
              <w:fldChar w:fldCharType="begin"/>
            </w:r>
            <w:r>
              <w:rPr>
                <w:color w:val="auto"/>
              </w:rPr>
              <w:instrText xml:space="preserve"> HYPERLINK "http://www.hncsmtr.com/" </w:instrText>
            </w:r>
            <w:r>
              <w:rPr>
                <w:color w:val="auto"/>
              </w:rPr>
              <w:fldChar w:fldCharType="separate"/>
            </w:r>
            <w:r>
              <w:rPr>
                <w:rStyle w:val="56"/>
                <w:rFonts w:hint="eastAsia" w:ascii="宋体" w:hAnsi="宋体" w:cs="宋体"/>
                <w:color w:val="auto"/>
                <w:szCs w:val="21"/>
                <w:u w:val="none"/>
              </w:rPr>
              <w:t>http://www.hncsmtr.com/</w:t>
            </w:r>
            <w:r>
              <w:rPr>
                <w:rStyle w:val="56"/>
                <w:rFonts w:hint="eastAsia" w:ascii="宋体" w:hAnsi="宋体" w:cs="宋体"/>
                <w:color w:val="auto"/>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jc w:val="center"/>
        </w:trPr>
        <w:tc>
          <w:tcPr>
            <w:tcW w:w="2358"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竞争性采购保证金</w:t>
            </w:r>
          </w:p>
          <w:p>
            <w:pPr>
              <w:adjustRightInd w:val="0"/>
              <w:snapToGrid w:val="0"/>
              <w:jc w:val="center"/>
              <w:rPr>
                <w:rFonts w:ascii="宋体" w:hAnsi="宋体" w:cs="宋体"/>
                <w:b/>
                <w:color w:val="auto"/>
                <w:szCs w:val="21"/>
              </w:rPr>
            </w:pPr>
            <w:r>
              <w:rPr>
                <w:rFonts w:hint="eastAsia" w:ascii="宋体" w:hAnsi="宋体" w:cs="宋体"/>
                <w:b/>
                <w:color w:val="auto"/>
                <w:szCs w:val="21"/>
              </w:rPr>
              <w:t>提交渠道</w:t>
            </w:r>
          </w:p>
        </w:tc>
        <w:tc>
          <w:tcPr>
            <w:tcW w:w="7214" w:type="dxa"/>
            <w:vAlign w:val="center"/>
          </w:tcPr>
          <w:p>
            <w:pPr>
              <w:adjustRightInd w:val="0"/>
              <w:snapToGrid w:val="0"/>
              <w:rPr>
                <w:rFonts w:hint="eastAsia" w:ascii="宋体" w:hAnsi="宋体" w:eastAsia="宋体" w:cs="宋体"/>
                <w:color w:val="auto"/>
                <w:szCs w:val="21"/>
                <w:lang w:eastAsia="zh-CN"/>
              </w:rPr>
            </w:pPr>
            <w:r>
              <w:rPr>
                <w:rFonts w:hint="eastAsia" w:ascii="宋体" w:hAnsi="宋体" w:cs="宋体"/>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2358" w:type="dxa"/>
            <w:vAlign w:val="center"/>
          </w:tcPr>
          <w:p>
            <w:pPr>
              <w:adjustRightInd w:val="0"/>
              <w:snapToGrid w:val="0"/>
              <w:jc w:val="center"/>
              <w:rPr>
                <w:rFonts w:ascii="宋体" w:hAnsi="宋体" w:cs="宋体"/>
                <w:b/>
                <w:bCs/>
                <w:color w:val="auto"/>
                <w:szCs w:val="21"/>
              </w:rPr>
            </w:pPr>
            <w:r>
              <w:rPr>
                <w:rFonts w:hint="eastAsia" w:ascii="宋体" w:hAnsi="宋体" w:cs="宋体"/>
                <w:b/>
                <w:bCs/>
                <w:color w:val="auto"/>
                <w:szCs w:val="21"/>
              </w:rPr>
              <w:t>竞争性采购</w:t>
            </w:r>
          </w:p>
          <w:p>
            <w:pPr>
              <w:adjustRightInd w:val="0"/>
              <w:snapToGrid w:val="0"/>
              <w:jc w:val="center"/>
              <w:rPr>
                <w:rFonts w:ascii="宋体" w:hAnsi="宋体" w:cs="宋体"/>
                <w:b/>
                <w:color w:val="auto"/>
                <w:szCs w:val="21"/>
              </w:rPr>
            </w:pPr>
            <w:r>
              <w:rPr>
                <w:rFonts w:hint="eastAsia" w:ascii="宋体" w:hAnsi="宋体" w:cs="宋体"/>
                <w:b/>
                <w:bCs/>
                <w:color w:val="auto"/>
                <w:szCs w:val="21"/>
              </w:rPr>
              <w:t>文件的获取</w:t>
            </w:r>
          </w:p>
        </w:tc>
        <w:tc>
          <w:tcPr>
            <w:tcW w:w="7214" w:type="dxa"/>
            <w:vAlign w:val="center"/>
          </w:tcPr>
          <w:p>
            <w:pPr>
              <w:adjustRightInd w:val="0"/>
              <w:snapToGrid w:val="0"/>
              <w:rPr>
                <w:rFonts w:ascii="宋体" w:hAnsi="宋体" w:cs="宋体"/>
                <w:color w:val="auto"/>
                <w:szCs w:val="21"/>
              </w:rPr>
            </w:pPr>
            <w:r>
              <w:rPr>
                <w:rFonts w:hint="eastAsia" w:ascii="宋体" w:hAnsi="宋体" w:cs="宋体"/>
                <w:color w:val="auto"/>
                <w:szCs w:val="21"/>
              </w:rPr>
              <w:t>“信息发布指定媒体”中对应采购项目竞争性采购公告附件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358" w:type="dxa"/>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其他规定</w:t>
            </w:r>
          </w:p>
        </w:tc>
        <w:tc>
          <w:tcPr>
            <w:tcW w:w="7214" w:type="dxa"/>
            <w:vAlign w:val="center"/>
          </w:tcPr>
          <w:p>
            <w:pPr>
              <w:adjustRightInd w:val="0"/>
              <w:snapToGrid w:val="0"/>
              <w:rPr>
                <w:rFonts w:ascii="宋体" w:hAnsi="宋体" w:cs="宋体"/>
                <w:color w:val="auto"/>
                <w:szCs w:val="21"/>
              </w:rPr>
            </w:pPr>
            <w:r>
              <w:rPr>
                <w:rFonts w:hint="eastAsia" w:ascii="宋体" w:hAnsi="宋体" w:cs="宋体"/>
                <w:color w:val="auto"/>
                <w:szCs w:val="21"/>
              </w:rPr>
              <w:t>/</w:t>
            </w:r>
          </w:p>
        </w:tc>
      </w:tr>
    </w:tbl>
    <w:p>
      <w:pPr>
        <w:widowControl/>
        <w:jc w:val="left"/>
        <w:rPr>
          <w:color w:val="auto"/>
        </w:rPr>
      </w:pPr>
      <w:bookmarkStart w:id="18" w:name="_Toc14891067"/>
      <w:r>
        <w:rPr>
          <w:color w:val="auto"/>
        </w:rPr>
        <w:br w:type="page"/>
      </w:r>
    </w:p>
    <w:p>
      <w:pPr>
        <w:pStyle w:val="4"/>
        <w:keepNext w:val="0"/>
        <w:keepLines w:val="0"/>
        <w:jc w:val="center"/>
        <w:rPr>
          <w:rFonts w:ascii="宋体" w:hAnsi="宋体" w:cs="宋体"/>
          <w:color w:val="auto"/>
          <w:sz w:val="32"/>
        </w:rPr>
      </w:pPr>
      <w:bookmarkStart w:id="19" w:name="_Toc16939"/>
      <w:bookmarkStart w:id="20" w:name="_Toc30640"/>
      <w:bookmarkStart w:id="21" w:name="_Toc26157"/>
      <w:bookmarkStart w:id="22" w:name="_Toc31558"/>
      <w:bookmarkStart w:id="23" w:name="_Toc15663"/>
      <w:bookmarkStart w:id="24" w:name="_Hlk71364110"/>
      <w:r>
        <w:rPr>
          <w:rFonts w:hint="eastAsia" w:ascii="宋体" w:hAnsi="宋体" w:cs="宋体"/>
          <w:color w:val="auto"/>
          <w:sz w:val="32"/>
        </w:rPr>
        <w:t>竞争性采购须知正文</w:t>
      </w:r>
      <w:bookmarkEnd w:id="18"/>
      <w:bookmarkEnd w:id="19"/>
      <w:bookmarkEnd w:id="20"/>
      <w:bookmarkEnd w:id="21"/>
      <w:bookmarkEnd w:id="22"/>
      <w:bookmarkEnd w:id="23"/>
    </w:p>
    <w:bookmarkEnd w:id="24"/>
    <w:p>
      <w:pPr>
        <w:pStyle w:val="4"/>
        <w:keepNext w:val="0"/>
        <w:keepLines w:val="0"/>
        <w:rPr>
          <w:rFonts w:ascii="宋体" w:hAnsi="宋体" w:cs="宋体"/>
          <w:color w:val="auto"/>
          <w:sz w:val="21"/>
          <w:szCs w:val="21"/>
        </w:rPr>
      </w:pPr>
      <w:bookmarkStart w:id="25" w:name="_Toc8468"/>
      <w:bookmarkStart w:id="26" w:name="_Toc11440"/>
      <w:bookmarkStart w:id="27" w:name="_Toc14891068"/>
      <w:r>
        <w:rPr>
          <w:rFonts w:hint="eastAsia" w:ascii="宋体" w:hAnsi="宋体" w:cs="宋体"/>
          <w:color w:val="auto"/>
          <w:sz w:val="21"/>
          <w:szCs w:val="21"/>
        </w:rPr>
        <w:t>一、说明</w:t>
      </w:r>
      <w:bookmarkEnd w:id="25"/>
      <w:bookmarkEnd w:id="26"/>
      <w:bookmarkEnd w:id="27"/>
    </w:p>
    <w:p>
      <w:pPr>
        <w:adjustRightInd w:val="0"/>
        <w:snapToGrid w:val="0"/>
        <w:spacing w:line="360" w:lineRule="auto"/>
        <w:ind w:firstLine="422" w:firstLineChars="200"/>
        <w:rPr>
          <w:rFonts w:ascii="宋体" w:hAnsi="宋体" w:cs="宋体"/>
          <w:b/>
          <w:color w:val="auto"/>
          <w:szCs w:val="21"/>
        </w:rPr>
      </w:pPr>
      <w:r>
        <w:rPr>
          <w:rFonts w:hint="eastAsia" w:ascii="宋体" w:hAnsi="宋体" w:cs="宋体"/>
          <w:b/>
          <w:bCs/>
          <w:color w:val="auto"/>
          <w:szCs w:val="21"/>
        </w:rPr>
        <w:t>1.</w:t>
      </w:r>
      <w:r>
        <w:rPr>
          <w:rFonts w:hint="eastAsia" w:ascii="宋体" w:hAnsi="宋体" w:cs="宋体"/>
          <w:b/>
          <w:color w:val="auto"/>
          <w:szCs w:val="21"/>
        </w:rPr>
        <w:t>本《竞争性采购文件》（以下简称“竞争性采购文件”）仅适用于竞争性采购须知前附表</w:t>
      </w:r>
      <w:r>
        <w:rPr>
          <w:rFonts w:hint="eastAsia" w:ascii="宋体" w:hAnsi="宋体" w:cs="宋体"/>
          <w:b/>
          <w:color w:val="auto"/>
          <w:szCs w:val="21"/>
          <w:lang w:eastAsia="zh-CN"/>
        </w:rPr>
        <w:t>（</w:t>
      </w:r>
      <w:r>
        <w:rPr>
          <w:rFonts w:hint="eastAsia" w:ascii="宋体" w:hAnsi="宋体" w:cs="宋体"/>
          <w:b/>
          <w:color w:val="auto"/>
          <w:szCs w:val="21"/>
        </w:rPr>
        <w:t>以下简称前附表</w:t>
      </w:r>
      <w:r>
        <w:rPr>
          <w:rFonts w:hint="eastAsia" w:ascii="宋体" w:hAnsi="宋体" w:cs="宋体"/>
          <w:b/>
          <w:color w:val="auto"/>
          <w:szCs w:val="21"/>
          <w:lang w:eastAsia="zh-CN"/>
        </w:rPr>
        <w:t>）</w:t>
      </w:r>
      <w:r>
        <w:rPr>
          <w:rFonts w:hint="eastAsia" w:ascii="宋体" w:hAnsi="宋体" w:cs="宋体"/>
          <w:b/>
          <w:color w:val="auto"/>
          <w:szCs w:val="21"/>
        </w:rPr>
        <w:t>中所叙述的采购项目。</w:t>
      </w:r>
    </w:p>
    <w:p>
      <w:pPr>
        <w:adjustRightInd w:val="0"/>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2.本竞争性采购文件的解释权属于长沙市轨道交通运营有限公司。</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3.定义</w:t>
      </w:r>
    </w:p>
    <w:p>
      <w:pPr>
        <w:adjustRightInd w:val="0"/>
        <w:snapToGrid w:val="0"/>
        <w:spacing w:line="360" w:lineRule="auto"/>
        <w:ind w:firstLine="420" w:firstLineChars="200"/>
        <w:rPr>
          <w:rFonts w:ascii="宋体" w:hAnsi="宋体" w:cs="宋体"/>
          <w:b/>
          <w:color w:val="auto"/>
          <w:szCs w:val="21"/>
        </w:rPr>
      </w:pPr>
      <w:r>
        <w:rPr>
          <w:rFonts w:hint="eastAsia" w:ascii="宋体" w:hAnsi="宋体" w:cs="宋体"/>
          <w:color w:val="auto"/>
          <w:szCs w:val="21"/>
        </w:rPr>
        <w:t>3.1“采购</w:t>
      </w:r>
      <w:r>
        <w:rPr>
          <w:rFonts w:hint="eastAsia" w:ascii="宋体" w:hAnsi="宋体" w:cs="宋体"/>
          <w:color w:val="auto"/>
          <w:szCs w:val="21"/>
          <w:lang w:val="en-US" w:eastAsia="zh-CN"/>
        </w:rPr>
        <w:t>人</w:t>
      </w:r>
      <w:r>
        <w:rPr>
          <w:rFonts w:hint="eastAsia" w:ascii="宋体" w:hAnsi="宋体" w:cs="宋体"/>
          <w:color w:val="auto"/>
          <w:szCs w:val="21"/>
        </w:rPr>
        <w:t>”是指依法进行采购的法人组织。本项目的采购</w:t>
      </w:r>
      <w:r>
        <w:rPr>
          <w:rFonts w:hint="eastAsia" w:ascii="宋体" w:hAnsi="宋体" w:cs="宋体"/>
          <w:color w:val="auto"/>
          <w:szCs w:val="21"/>
          <w:lang w:val="en-US" w:eastAsia="zh-CN"/>
        </w:rPr>
        <w:t>人</w:t>
      </w:r>
      <w:r>
        <w:rPr>
          <w:rFonts w:hint="eastAsia" w:ascii="宋体" w:hAnsi="宋体" w:cs="宋体"/>
          <w:color w:val="auto"/>
          <w:szCs w:val="21"/>
        </w:rPr>
        <w:t>名称见</w:t>
      </w:r>
      <w:r>
        <w:rPr>
          <w:rFonts w:hint="eastAsia" w:ascii="宋体" w:hAnsi="宋体" w:cs="宋体"/>
          <w:b/>
          <w:color w:val="auto"/>
          <w:szCs w:val="21"/>
        </w:rPr>
        <w:t>前附表</w:t>
      </w:r>
      <w:r>
        <w:rPr>
          <w:rFonts w:hint="eastAsia" w:ascii="宋体" w:hAnsi="宋体" w:cs="宋体"/>
          <w:color w:val="auto"/>
          <w:szCs w:val="21"/>
        </w:rPr>
        <w:t>。</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3.2“供应商”是指响应本竞争性采购文件要求、参加竞争性采购的法人组织。</w:t>
      </w:r>
      <w:r>
        <w:rPr>
          <w:rFonts w:hint="eastAsia" w:ascii="宋体" w:hAnsi="宋体"/>
          <w:color w:val="auto"/>
          <w:szCs w:val="21"/>
        </w:rPr>
        <w:t>参与本项目的供应商</w:t>
      </w:r>
      <w:r>
        <w:rPr>
          <w:rFonts w:hint="eastAsia" w:hAnsi="宋体"/>
          <w:color w:val="auto"/>
        </w:rPr>
        <w:t>应按</w:t>
      </w:r>
      <w:r>
        <w:rPr>
          <w:rFonts w:hint="eastAsia" w:hAnsi="宋体"/>
          <w:b/>
          <w:color w:val="auto"/>
        </w:rPr>
        <w:t>前附表</w:t>
      </w:r>
      <w:r>
        <w:rPr>
          <w:rFonts w:hint="eastAsia" w:hAnsi="宋体"/>
          <w:color w:val="auto"/>
        </w:rPr>
        <w:t>规定的要求获取竞争性采购文件。</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3.3“竞争性采购</w:t>
      </w:r>
      <w:r>
        <w:rPr>
          <w:rFonts w:hint="eastAsia" w:ascii="宋体" w:hAnsi="宋体" w:cs="宋体"/>
          <w:bCs/>
          <w:color w:val="auto"/>
          <w:szCs w:val="21"/>
        </w:rPr>
        <w:t>评审</w:t>
      </w:r>
      <w:r>
        <w:rPr>
          <w:rFonts w:hint="eastAsia" w:ascii="宋体" w:hAnsi="宋体" w:cs="宋体"/>
          <w:color w:val="auto"/>
          <w:szCs w:val="21"/>
        </w:rPr>
        <w:t>小组”是指采购</w:t>
      </w:r>
      <w:r>
        <w:rPr>
          <w:rFonts w:hint="eastAsia" w:ascii="宋体" w:hAnsi="宋体" w:cs="宋体"/>
          <w:color w:val="auto"/>
          <w:szCs w:val="21"/>
          <w:lang w:val="en-US" w:eastAsia="zh-CN"/>
        </w:rPr>
        <w:t>人</w:t>
      </w:r>
      <w:r>
        <w:rPr>
          <w:rFonts w:hint="eastAsia" w:ascii="宋体" w:hAnsi="宋体" w:cs="宋体"/>
          <w:color w:val="auto"/>
          <w:szCs w:val="21"/>
        </w:rPr>
        <w:t>按其规定组建，依法依规履行其职责和义务的机构。</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4.供应商资格要求</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4.1参与竞争性采购的单位应当符合</w:t>
      </w:r>
      <w:r>
        <w:rPr>
          <w:rFonts w:hint="eastAsia" w:ascii="宋体" w:hAnsi="宋体" w:cs="宋体"/>
          <w:b/>
          <w:color w:val="auto"/>
          <w:szCs w:val="21"/>
        </w:rPr>
        <w:t>前附表</w:t>
      </w:r>
      <w:r>
        <w:rPr>
          <w:rFonts w:hint="eastAsia" w:ascii="宋体" w:hAnsi="宋体" w:cs="宋体"/>
          <w:color w:val="auto"/>
          <w:szCs w:val="21"/>
        </w:rPr>
        <w:t>中规定的资格要求；</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4.2参与竞争性采购的单位存在下列情形之一的，其</w:t>
      </w:r>
      <w:r>
        <w:rPr>
          <w:rFonts w:hint="eastAsia" w:ascii="宋体" w:hAnsi="宋体" w:cs="宋体"/>
          <w:bCs/>
          <w:color w:val="auto"/>
          <w:szCs w:val="21"/>
        </w:rPr>
        <w:t>竞争性采购</w:t>
      </w:r>
      <w:r>
        <w:rPr>
          <w:rFonts w:hint="eastAsia" w:ascii="宋体" w:hAnsi="宋体" w:cs="宋体"/>
          <w:color w:val="auto"/>
          <w:szCs w:val="21"/>
        </w:rPr>
        <w:t>将被</w:t>
      </w:r>
      <w:r>
        <w:rPr>
          <w:rFonts w:hint="eastAsia" w:ascii="宋体" w:hAnsi="宋体" w:cs="宋体"/>
          <w:b/>
          <w:bCs/>
          <w:color w:val="auto"/>
          <w:szCs w:val="21"/>
        </w:rPr>
        <w:t>否决</w:t>
      </w:r>
      <w:r>
        <w:rPr>
          <w:rFonts w:hint="eastAsia" w:ascii="宋体" w:hAnsi="宋体" w:cs="宋体"/>
          <w:color w:val="auto"/>
          <w:szCs w:val="21"/>
        </w:rPr>
        <w:t>：</w:t>
      </w:r>
    </w:p>
    <w:p>
      <w:pPr>
        <w:pStyle w:val="358"/>
        <w:ind w:firstLine="420" w:firstLineChars="200"/>
        <w:jc w:val="both"/>
        <w:rPr>
          <w:rFonts w:hAnsi="宋体" w:cs="宋体"/>
          <w:color w:val="auto"/>
          <w:sz w:val="21"/>
          <w:szCs w:val="21"/>
        </w:rPr>
      </w:pPr>
      <w:r>
        <w:rPr>
          <w:rFonts w:hint="eastAsia" w:hAnsi="宋体" w:cs="宋体"/>
          <w:color w:val="auto"/>
          <w:sz w:val="21"/>
          <w:szCs w:val="21"/>
        </w:rPr>
        <w:t>（1）与采购</w:t>
      </w:r>
      <w:r>
        <w:rPr>
          <w:rFonts w:hint="eastAsia" w:hAnsi="宋体" w:cs="宋体"/>
          <w:color w:val="auto"/>
          <w:sz w:val="21"/>
          <w:szCs w:val="21"/>
          <w:lang w:val="en-US" w:eastAsia="zh-CN"/>
        </w:rPr>
        <w:t>人</w:t>
      </w:r>
      <w:r>
        <w:rPr>
          <w:rFonts w:hint="eastAsia" w:hAnsi="宋体" w:cs="宋体"/>
          <w:color w:val="auto"/>
          <w:sz w:val="21"/>
          <w:szCs w:val="21"/>
        </w:rPr>
        <w:t>存在利害关系且可能影响采购公正性；</w:t>
      </w:r>
    </w:p>
    <w:p>
      <w:pPr>
        <w:pStyle w:val="358"/>
        <w:ind w:firstLine="420" w:firstLineChars="200"/>
        <w:jc w:val="both"/>
        <w:rPr>
          <w:rFonts w:hAnsi="宋体" w:cs="宋体"/>
          <w:color w:val="auto"/>
          <w:sz w:val="21"/>
          <w:szCs w:val="21"/>
        </w:rPr>
      </w:pPr>
      <w:r>
        <w:rPr>
          <w:rFonts w:hint="eastAsia" w:hAnsi="宋体" w:cs="宋体"/>
          <w:color w:val="auto"/>
          <w:sz w:val="21"/>
          <w:szCs w:val="21"/>
        </w:rPr>
        <w:t>（2）供应商</w:t>
      </w:r>
      <w:r>
        <w:rPr>
          <w:rFonts w:hint="eastAsia" w:hAnsi="宋体" w:cs="宋体"/>
          <w:color w:val="auto"/>
          <w:sz w:val="21"/>
          <w:szCs w:val="21"/>
          <w:lang w:eastAsia="zh-CN"/>
        </w:rPr>
        <w:t>律师事务所负责人</w:t>
      </w:r>
      <w:r>
        <w:rPr>
          <w:rFonts w:hint="eastAsia" w:hAnsi="宋体" w:cs="宋体"/>
          <w:color w:val="auto"/>
          <w:sz w:val="21"/>
          <w:szCs w:val="21"/>
        </w:rPr>
        <w:t>或负责人与其他供应商</w:t>
      </w:r>
      <w:r>
        <w:rPr>
          <w:rFonts w:hint="eastAsia" w:hAnsi="宋体" w:cs="宋体"/>
          <w:color w:val="auto"/>
          <w:sz w:val="21"/>
          <w:szCs w:val="21"/>
          <w:lang w:eastAsia="zh-CN"/>
        </w:rPr>
        <w:t>律师事务所负责人</w:t>
      </w:r>
      <w:r>
        <w:rPr>
          <w:rFonts w:hint="eastAsia" w:hAnsi="宋体" w:cs="宋体"/>
          <w:color w:val="auto"/>
          <w:sz w:val="21"/>
          <w:szCs w:val="21"/>
        </w:rPr>
        <w:t>或负责人为同一人；</w:t>
      </w:r>
    </w:p>
    <w:p>
      <w:pPr>
        <w:pStyle w:val="358"/>
        <w:ind w:firstLine="420" w:firstLineChars="200"/>
        <w:jc w:val="both"/>
        <w:rPr>
          <w:rFonts w:hAnsi="宋体" w:cs="宋体"/>
          <w:color w:val="auto"/>
          <w:sz w:val="21"/>
          <w:szCs w:val="21"/>
        </w:rPr>
      </w:pPr>
      <w:r>
        <w:rPr>
          <w:rFonts w:hint="eastAsia" w:hAnsi="宋体" w:cs="宋体"/>
          <w:color w:val="auto"/>
          <w:sz w:val="21"/>
          <w:szCs w:val="21"/>
        </w:rPr>
        <w:t>（3）与本采购项目的其他供应商存在控股、管理关系；</w:t>
      </w:r>
    </w:p>
    <w:p>
      <w:pPr>
        <w:pStyle w:val="358"/>
        <w:ind w:firstLine="420" w:firstLineChars="200"/>
        <w:jc w:val="both"/>
        <w:rPr>
          <w:rFonts w:hAnsi="宋体" w:cs="宋体"/>
          <w:color w:val="auto"/>
          <w:sz w:val="21"/>
          <w:szCs w:val="21"/>
        </w:rPr>
      </w:pPr>
      <w:r>
        <w:rPr>
          <w:rFonts w:hint="eastAsia" w:hAnsi="宋体" w:cs="宋体"/>
          <w:color w:val="auto"/>
          <w:sz w:val="21"/>
          <w:szCs w:val="21"/>
        </w:rPr>
        <w:t>（4）被责令停产停业、暂扣或者吊销许可证、暂扣或者吊销执照；</w:t>
      </w:r>
    </w:p>
    <w:p>
      <w:pPr>
        <w:pStyle w:val="358"/>
        <w:ind w:firstLine="420" w:firstLineChars="200"/>
        <w:jc w:val="both"/>
        <w:rPr>
          <w:rFonts w:hAnsi="宋体" w:cs="宋体"/>
          <w:color w:val="auto"/>
          <w:sz w:val="21"/>
          <w:szCs w:val="21"/>
        </w:rPr>
      </w:pPr>
      <w:r>
        <w:rPr>
          <w:rFonts w:hint="eastAsia" w:hAnsi="宋体" w:cs="宋体"/>
          <w:color w:val="auto"/>
          <w:sz w:val="21"/>
          <w:szCs w:val="21"/>
        </w:rPr>
        <w:t>（5）进入破产、清算、注销程序，或存在其他可能丧失履约能力的情形；</w:t>
      </w:r>
    </w:p>
    <w:p>
      <w:pPr>
        <w:pStyle w:val="358"/>
        <w:ind w:firstLine="420" w:firstLineChars="200"/>
        <w:jc w:val="both"/>
        <w:rPr>
          <w:rFonts w:hAnsi="宋体" w:cs="宋体"/>
          <w:color w:val="auto"/>
          <w:sz w:val="21"/>
          <w:szCs w:val="21"/>
        </w:rPr>
      </w:pPr>
      <w:r>
        <w:rPr>
          <w:rFonts w:hint="eastAsia" w:hAnsi="宋体" w:cs="宋体"/>
          <w:color w:val="auto"/>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（7）在“信用中国”网站（www.creditchina.gov.cn）或“信用湖南”网站（www.credithunan.gov.cn）中显示已被列入失信被执行人名单。</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（8）不同供应商的竞争性采购保证金从同一账户转出的情形。</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5.参与竞争性采购的费用</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5.1无论竞争性采购的结果如何，供应商应自行承担所有与本次竞争性采购活动有关的全部费用。</w:t>
      </w:r>
    </w:p>
    <w:p>
      <w:pPr>
        <w:pStyle w:val="25"/>
        <w:adjustRightInd w:val="0"/>
        <w:snapToGrid w:val="0"/>
        <w:spacing w:line="360" w:lineRule="auto"/>
        <w:ind w:firstLine="422" w:firstLineChars="200"/>
        <w:rPr>
          <w:rFonts w:hAnsi="宋体" w:cs="宋体"/>
          <w:b/>
          <w:bCs/>
          <w:color w:val="auto"/>
        </w:rPr>
      </w:pPr>
      <w:r>
        <w:rPr>
          <w:rFonts w:hint="eastAsia" w:hAnsi="宋体" w:cs="宋体"/>
          <w:b/>
          <w:color w:val="auto"/>
        </w:rPr>
        <w:t>6．</w:t>
      </w:r>
      <w:r>
        <w:rPr>
          <w:rFonts w:hint="eastAsia" w:hAnsi="宋体"/>
          <w:b/>
          <w:bCs/>
          <w:color w:val="auto"/>
        </w:rPr>
        <w:t>竞争性采购现场验证资料</w:t>
      </w:r>
    </w:p>
    <w:p>
      <w:pPr>
        <w:adjustRightInd w:val="0"/>
        <w:snapToGrid w:val="0"/>
        <w:spacing w:line="360" w:lineRule="auto"/>
        <w:ind w:firstLine="420" w:firstLineChars="200"/>
        <w:rPr>
          <w:rFonts w:hint="eastAsia" w:ascii="宋体" w:hAnsi="宋体" w:eastAsia="宋体" w:cs="宋体"/>
          <w:color w:val="auto"/>
          <w:szCs w:val="21"/>
          <w:lang w:eastAsia="zh-CN"/>
        </w:rPr>
      </w:pPr>
      <w:bookmarkStart w:id="28" w:name="_Toc14891069"/>
      <w:bookmarkStart w:id="29" w:name="_Toc303"/>
      <w:r>
        <w:rPr>
          <w:rFonts w:hint="eastAsia" w:ascii="宋体" w:hAnsi="宋体" w:eastAsia="宋体" w:cs="宋体"/>
          <w:color w:val="auto"/>
          <w:szCs w:val="21"/>
          <w:lang w:val="en-US" w:eastAsia="zh-CN"/>
        </w:rPr>
        <w:t>6.1律师事务所执业许可证书复印件</w:t>
      </w:r>
      <w:r>
        <w:rPr>
          <w:rFonts w:hint="eastAsia" w:ascii="宋体" w:hAnsi="宋体" w:eastAsia="宋体" w:cs="宋体"/>
          <w:color w:val="auto"/>
          <w:szCs w:val="21"/>
        </w:rPr>
        <w:t>。</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6.2</w:t>
      </w:r>
      <w:r>
        <w:rPr>
          <w:rFonts w:hint="eastAsia" w:ascii="宋体" w:hAnsi="宋体" w:eastAsia="宋体" w:cs="宋体"/>
          <w:color w:val="auto"/>
          <w:szCs w:val="21"/>
        </w:rPr>
        <w:t>供应商代表</w:t>
      </w:r>
      <w:r>
        <w:rPr>
          <w:rFonts w:hint="eastAsia" w:ascii="宋体" w:hAnsi="宋体" w:eastAsia="宋体" w:cs="宋体"/>
          <w:color w:val="auto"/>
          <w:szCs w:val="21"/>
          <w:lang w:val="en-US" w:eastAsia="zh-CN"/>
        </w:rPr>
        <w:t>为律师事务所负责人</w:t>
      </w:r>
      <w:r>
        <w:rPr>
          <w:rFonts w:hint="eastAsia" w:ascii="宋体" w:hAnsi="宋体" w:eastAsia="宋体" w:cs="宋体"/>
          <w:color w:val="auto"/>
          <w:szCs w:val="21"/>
        </w:rPr>
        <w:t>参加的，须提供</w:t>
      </w:r>
      <w:r>
        <w:rPr>
          <w:rFonts w:hint="eastAsia" w:ascii="宋体" w:hAnsi="宋体" w:eastAsia="宋体" w:cs="宋体"/>
          <w:color w:val="auto"/>
          <w:szCs w:val="21"/>
          <w:lang w:val="en-US" w:eastAsia="zh-CN"/>
        </w:rPr>
        <w:t>律师事务所负责人身份证明</w:t>
      </w:r>
      <w:r>
        <w:rPr>
          <w:rFonts w:hint="eastAsia" w:ascii="宋体" w:hAnsi="宋体" w:cs="宋体"/>
          <w:color w:val="auto"/>
          <w:szCs w:val="21"/>
          <w:lang w:val="en-US" w:eastAsia="zh-CN"/>
        </w:rPr>
        <w:t>书</w:t>
      </w:r>
      <w:r>
        <w:rPr>
          <w:rFonts w:hint="eastAsia" w:ascii="宋体" w:hAnsi="宋体" w:eastAsia="宋体" w:cs="宋体"/>
          <w:color w:val="auto"/>
          <w:szCs w:val="21"/>
        </w:rPr>
        <w:t>（格式详见本文件第七章）及本人身份证原件。供应商代表</w:t>
      </w:r>
      <w:r>
        <w:rPr>
          <w:rFonts w:hint="eastAsia" w:ascii="宋体" w:hAnsi="宋体" w:eastAsia="宋体" w:cs="宋体"/>
          <w:color w:val="auto"/>
          <w:szCs w:val="21"/>
          <w:lang w:val="en-US" w:eastAsia="zh-CN"/>
        </w:rPr>
        <w:t>为律师事务所负责人</w:t>
      </w:r>
      <w:r>
        <w:rPr>
          <w:rFonts w:hint="eastAsia" w:ascii="宋体" w:hAnsi="宋体" w:eastAsia="宋体" w:cs="宋体"/>
          <w:color w:val="auto"/>
          <w:szCs w:val="21"/>
        </w:rPr>
        <w:t>授权的委托代理人参加的，其授权委托代理人须提供</w:t>
      </w:r>
      <w:r>
        <w:rPr>
          <w:rFonts w:hint="eastAsia" w:ascii="宋体" w:hAnsi="宋体" w:eastAsia="宋体" w:cs="宋体"/>
          <w:color w:val="auto"/>
          <w:szCs w:val="21"/>
          <w:lang w:val="en-US" w:eastAsia="zh-CN"/>
        </w:rPr>
        <w:t>律师事务所负责人身份证明</w:t>
      </w:r>
      <w:r>
        <w:rPr>
          <w:rFonts w:hint="eastAsia" w:ascii="宋体" w:hAnsi="宋体" w:cs="宋体"/>
          <w:color w:val="auto"/>
          <w:szCs w:val="21"/>
          <w:lang w:val="en-US" w:eastAsia="zh-CN"/>
        </w:rPr>
        <w:t>书</w:t>
      </w:r>
      <w:r>
        <w:rPr>
          <w:rFonts w:hint="eastAsia" w:ascii="宋体" w:hAnsi="宋体" w:eastAsia="宋体" w:cs="宋体"/>
          <w:color w:val="auto"/>
          <w:szCs w:val="21"/>
          <w:lang w:eastAsia="zh-CN"/>
        </w:rPr>
        <w:t>、</w:t>
      </w:r>
      <w:r>
        <w:rPr>
          <w:rFonts w:hint="eastAsia" w:ascii="宋体" w:hAnsi="宋体" w:eastAsia="宋体" w:cs="宋体"/>
          <w:color w:val="auto"/>
          <w:szCs w:val="21"/>
        </w:rPr>
        <w:t>授权委托书原件（格式详见本文件第七章）及本人身份证原件。</w:t>
      </w:r>
    </w:p>
    <w:p>
      <w:pPr>
        <w:adjustRightInd w:val="0"/>
        <w:snapToGrid w:val="0"/>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6.3</w:t>
      </w:r>
      <w:r>
        <w:rPr>
          <w:rFonts w:hint="eastAsia" w:ascii="宋体" w:hAnsi="宋体" w:eastAsia="宋体" w:cs="宋体"/>
          <w:b w:val="0"/>
          <w:bCs w:val="0"/>
          <w:color w:val="auto"/>
          <w:szCs w:val="21"/>
          <w:lang w:val="en-US" w:eastAsia="zh-CN"/>
        </w:rPr>
        <w:t>现</w:t>
      </w:r>
      <w:r>
        <w:rPr>
          <w:rFonts w:hint="eastAsia" w:ascii="宋体" w:hAnsi="宋体" w:eastAsia="宋体" w:cs="Courier New"/>
          <w:b w:val="0"/>
          <w:bCs w:val="0"/>
          <w:iCs/>
          <w:color w:val="auto"/>
          <w:kern w:val="2"/>
          <w:sz w:val="21"/>
          <w:szCs w:val="21"/>
          <w:u w:val="none"/>
          <w:lang w:val="en-US" w:eastAsia="zh-CN" w:bidi="ar-SA"/>
        </w:rPr>
        <w:t>场答辩时需提供拟委派本项目坐班律师的律师执业证书原件、身份证原件、委派函原件。</w:t>
      </w:r>
    </w:p>
    <w:p>
      <w:pPr>
        <w:pStyle w:val="4"/>
        <w:keepNext w:val="0"/>
        <w:keepLines w:val="0"/>
        <w:rPr>
          <w:rFonts w:ascii="宋体" w:hAnsi="宋体" w:cs="宋体"/>
          <w:color w:val="auto"/>
          <w:sz w:val="21"/>
          <w:szCs w:val="21"/>
        </w:rPr>
      </w:pPr>
      <w:bookmarkStart w:id="30" w:name="_Toc2678"/>
      <w:r>
        <w:rPr>
          <w:rFonts w:hint="eastAsia" w:ascii="宋体" w:hAnsi="宋体" w:cs="宋体"/>
          <w:color w:val="auto"/>
          <w:sz w:val="21"/>
          <w:szCs w:val="21"/>
        </w:rPr>
        <w:t>二、竞争性采购文件</w:t>
      </w:r>
      <w:bookmarkEnd w:id="28"/>
      <w:bookmarkEnd w:id="29"/>
      <w:bookmarkEnd w:id="30"/>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7．竞争性采购文件的组成</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7.1竞争性采购文件由下列文件组成：</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第一章 竞争性采购公告</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第二章 竞争性采购须知</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第三章 评审办法及标准</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第四章 用户需求书（另册）</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 xml:space="preserve">第五章 </w:t>
      </w:r>
      <w:r>
        <w:rPr>
          <w:rFonts w:hint="eastAsia" w:hAnsi="宋体" w:cs="宋体"/>
          <w:color w:val="auto"/>
          <w:lang w:eastAsia="zh-CN"/>
        </w:rPr>
        <w:t>控制价</w:t>
      </w:r>
      <w:r>
        <w:rPr>
          <w:rFonts w:hint="eastAsia" w:hAnsi="宋体" w:cs="宋体"/>
          <w:color w:val="auto"/>
        </w:rPr>
        <w:t>（另册）</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第六章 合同格式条款（另册）</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第七章 响应文件组成</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7.2</w:t>
      </w:r>
      <w:r>
        <w:rPr>
          <w:rFonts w:hint="eastAsia" w:hAnsi="宋体" w:cs="宋体"/>
          <w:color w:val="auto"/>
          <w:kern w:val="0"/>
        </w:rPr>
        <w:t>响应文件递交截止时间前对竞争性采购文件澄清或者修改内容，均为竞争性采购文件的组成部分。</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7.3供应商应仔细阅读</w:t>
      </w:r>
      <w:r>
        <w:rPr>
          <w:rFonts w:hint="eastAsia" w:ascii="宋体" w:hAnsi="宋体" w:cs="宋体"/>
          <w:bCs/>
          <w:color w:val="auto"/>
          <w:szCs w:val="21"/>
        </w:rPr>
        <w:t>竞争性采购</w:t>
      </w:r>
      <w:r>
        <w:rPr>
          <w:rFonts w:hint="eastAsia" w:ascii="宋体" w:hAnsi="宋体" w:cs="宋体"/>
          <w:color w:val="auto"/>
          <w:szCs w:val="21"/>
        </w:rPr>
        <w:t>文件的全部内容，按照</w:t>
      </w:r>
      <w:r>
        <w:rPr>
          <w:rFonts w:hint="eastAsia" w:ascii="宋体" w:hAnsi="宋体" w:cs="宋体"/>
          <w:bCs/>
          <w:color w:val="auto"/>
          <w:szCs w:val="21"/>
        </w:rPr>
        <w:t>竞争性采购</w:t>
      </w:r>
      <w:r>
        <w:rPr>
          <w:rFonts w:hint="eastAsia" w:ascii="宋体" w:hAnsi="宋体" w:cs="宋体"/>
          <w:color w:val="auto"/>
          <w:szCs w:val="21"/>
        </w:rPr>
        <w:t>文件要求编制响应文件。任何对</w:t>
      </w:r>
      <w:r>
        <w:rPr>
          <w:rFonts w:hint="eastAsia" w:ascii="宋体" w:hAnsi="宋体" w:cs="宋体"/>
          <w:bCs/>
          <w:color w:val="auto"/>
          <w:szCs w:val="21"/>
        </w:rPr>
        <w:t>竞争性采购</w:t>
      </w:r>
      <w:r>
        <w:rPr>
          <w:rFonts w:hint="eastAsia" w:ascii="宋体" w:hAnsi="宋体" w:cs="宋体"/>
          <w:color w:val="auto"/>
          <w:szCs w:val="21"/>
        </w:rPr>
        <w:t>文件的忽略或误解不能作为响应文件存在缺陷或瑕疵的理由，其风险由供应商承担。</w:t>
      </w:r>
    </w:p>
    <w:p>
      <w:pPr>
        <w:adjustRightInd w:val="0"/>
        <w:snapToGrid w:val="0"/>
        <w:spacing w:line="360" w:lineRule="auto"/>
        <w:ind w:firstLine="422" w:firstLineChars="200"/>
        <w:rPr>
          <w:rFonts w:ascii="宋体" w:hAnsi="宋体" w:cs="宋体"/>
          <w:b/>
          <w:color w:val="auto"/>
          <w:kern w:val="0"/>
          <w:szCs w:val="21"/>
        </w:rPr>
      </w:pPr>
      <w:r>
        <w:rPr>
          <w:rFonts w:hint="eastAsia" w:ascii="宋体" w:hAnsi="宋体" w:cs="宋体"/>
          <w:b/>
          <w:bCs/>
          <w:color w:val="auto"/>
          <w:szCs w:val="21"/>
        </w:rPr>
        <w:t>8.</w:t>
      </w:r>
      <w:r>
        <w:rPr>
          <w:rFonts w:hint="eastAsia" w:ascii="宋体" w:hAnsi="宋体" w:cs="宋体"/>
          <w:b/>
          <w:color w:val="auto"/>
          <w:kern w:val="0"/>
          <w:szCs w:val="21"/>
        </w:rPr>
        <w:t>竞争性采购文件的澄清及答疑</w:t>
      </w:r>
    </w:p>
    <w:p>
      <w:pPr>
        <w:spacing w:line="360" w:lineRule="auto"/>
        <w:ind w:firstLine="420" w:firstLineChars="200"/>
        <w:rPr>
          <w:rFonts w:ascii="宋体" w:hAnsi="宋体" w:cs="宋体"/>
          <w:iCs/>
          <w:color w:val="auto"/>
          <w:szCs w:val="21"/>
        </w:rPr>
      </w:pPr>
      <w:r>
        <w:rPr>
          <w:rFonts w:hint="eastAsia" w:ascii="宋体" w:hAnsi="宋体" w:cs="宋体"/>
          <w:iCs/>
          <w:color w:val="auto"/>
          <w:szCs w:val="21"/>
        </w:rPr>
        <w:t>8.1.供应商应仔细阅读和检查竞争性采购文件的全部内容，如有疑问，</w:t>
      </w:r>
      <w:r>
        <w:rPr>
          <w:rFonts w:hint="eastAsia" w:ascii="宋体" w:hAnsi="宋体" w:cs="宋体"/>
          <w:color w:val="auto"/>
          <w:szCs w:val="21"/>
        </w:rPr>
        <w:t>应按</w:t>
      </w:r>
      <w:r>
        <w:rPr>
          <w:rFonts w:hint="eastAsia" w:ascii="宋体" w:hAnsi="宋体" w:cs="宋体"/>
          <w:b/>
          <w:bCs/>
          <w:color w:val="auto"/>
          <w:szCs w:val="21"/>
        </w:rPr>
        <w:t>前附表</w:t>
      </w:r>
      <w:r>
        <w:rPr>
          <w:rFonts w:hint="eastAsia" w:ascii="宋体" w:hAnsi="宋体" w:cs="宋体"/>
          <w:color w:val="auto"/>
          <w:szCs w:val="21"/>
        </w:rPr>
        <w:t>规定的时间、方式及地点</w:t>
      </w:r>
      <w:r>
        <w:rPr>
          <w:rFonts w:hint="eastAsia" w:ascii="宋体" w:hAnsi="宋体" w:cs="宋体"/>
          <w:iCs/>
          <w:color w:val="auto"/>
          <w:szCs w:val="21"/>
        </w:rPr>
        <w:t>向采购</w:t>
      </w:r>
      <w:r>
        <w:rPr>
          <w:rFonts w:hint="eastAsia" w:ascii="宋体" w:hAnsi="宋体" w:cs="宋体"/>
          <w:iCs/>
          <w:color w:val="auto"/>
          <w:szCs w:val="21"/>
          <w:lang w:val="en-US" w:eastAsia="zh-CN"/>
        </w:rPr>
        <w:t>人</w:t>
      </w:r>
      <w:r>
        <w:rPr>
          <w:rFonts w:hint="eastAsia" w:ascii="宋体" w:hAnsi="宋体" w:cs="宋体"/>
          <w:iCs/>
          <w:color w:val="auto"/>
          <w:szCs w:val="21"/>
        </w:rPr>
        <w:t>提出，</w:t>
      </w:r>
      <w:r>
        <w:rPr>
          <w:rFonts w:hint="eastAsia" w:ascii="宋体" w:hAnsi="宋体" w:cs="宋体"/>
          <w:color w:val="auto"/>
          <w:szCs w:val="21"/>
        </w:rPr>
        <w:t>否则，由此引起的损失由供应商自己承担。</w:t>
      </w:r>
    </w:p>
    <w:p>
      <w:pPr>
        <w:spacing w:line="360" w:lineRule="auto"/>
        <w:ind w:firstLine="420" w:firstLineChars="200"/>
        <w:rPr>
          <w:rFonts w:ascii="宋体" w:hAnsi="宋体" w:cs="宋体"/>
          <w:iCs/>
          <w:color w:val="auto"/>
          <w:szCs w:val="21"/>
        </w:rPr>
      </w:pPr>
      <w:r>
        <w:rPr>
          <w:rFonts w:hint="eastAsia" w:ascii="宋体" w:hAnsi="宋体" w:cs="宋体"/>
          <w:iCs/>
          <w:color w:val="auto"/>
          <w:szCs w:val="21"/>
        </w:rPr>
        <w:t>8.2.在竞争性采购截止时间前，采购</w:t>
      </w:r>
      <w:r>
        <w:rPr>
          <w:rFonts w:hint="eastAsia" w:ascii="宋体" w:hAnsi="宋体" w:cs="宋体"/>
          <w:iCs/>
          <w:color w:val="auto"/>
          <w:szCs w:val="21"/>
          <w:lang w:val="en-US" w:eastAsia="zh-CN"/>
        </w:rPr>
        <w:t>人</w:t>
      </w:r>
      <w:r>
        <w:rPr>
          <w:rFonts w:hint="eastAsia" w:ascii="宋体" w:hAnsi="宋体" w:cs="宋体"/>
          <w:iCs/>
          <w:color w:val="auto"/>
          <w:szCs w:val="21"/>
        </w:rPr>
        <w:t>可</w:t>
      </w:r>
      <w:r>
        <w:rPr>
          <w:rFonts w:hint="eastAsia" w:ascii="宋体" w:hAnsi="宋体" w:cs="宋体"/>
          <w:iCs/>
          <w:color w:val="auto"/>
          <w:szCs w:val="21"/>
          <w:lang w:eastAsia="zh-CN"/>
        </w:rPr>
        <w:t>主动的或在</w:t>
      </w:r>
      <w:r>
        <w:rPr>
          <w:rFonts w:hint="eastAsia" w:ascii="宋体" w:hAnsi="宋体" w:cs="宋体"/>
          <w:iCs/>
          <w:color w:val="auto"/>
          <w:szCs w:val="21"/>
        </w:rPr>
        <w:t>解答供应商提出的问题时对竞争性采购文件进行澄清或修改。</w:t>
      </w:r>
    </w:p>
    <w:p>
      <w:pPr>
        <w:adjustRightInd w:val="0"/>
        <w:snapToGrid w:val="0"/>
        <w:spacing w:line="360" w:lineRule="auto"/>
        <w:ind w:firstLine="420" w:firstLineChars="200"/>
        <w:rPr>
          <w:rFonts w:ascii="宋体" w:hAnsi="宋体" w:cs="宋体"/>
          <w:color w:val="auto"/>
          <w:kern w:val="0"/>
          <w:szCs w:val="21"/>
        </w:rPr>
      </w:pPr>
      <w:r>
        <w:rPr>
          <w:rFonts w:hint="eastAsia" w:ascii="宋体" w:hAnsi="宋体" w:cs="宋体"/>
          <w:color w:val="auto"/>
          <w:szCs w:val="21"/>
        </w:rPr>
        <w:t>8.3</w:t>
      </w:r>
      <w:r>
        <w:rPr>
          <w:rFonts w:hint="eastAsia" w:ascii="宋体" w:hAnsi="宋体" w:cs="宋体"/>
          <w:color w:val="auto"/>
          <w:kern w:val="0"/>
          <w:szCs w:val="21"/>
        </w:rPr>
        <w:t>澄清或者修改的内容可能影响响应文件编制的，采购</w:t>
      </w:r>
      <w:r>
        <w:rPr>
          <w:rFonts w:hint="eastAsia" w:ascii="宋体" w:hAnsi="宋体" w:cs="宋体"/>
          <w:color w:val="auto"/>
          <w:kern w:val="0"/>
          <w:szCs w:val="21"/>
          <w:lang w:val="en-US" w:eastAsia="zh-CN"/>
        </w:rPr>
        <w:t>人</w:t>
      </w:r>
      <w:r>
        <w:rPr>
          <w:rFonts w:hint="eastAsia" w:ascii="宋体" w:hAnsi="宋体" w:cs="宋体"/>
          <w:color w:val="auto"/>
          <w:kern w:val="0"/>
          <w:szCs w:val="21"/>
        </w:rPr>
        <w:t>应当在提交响应文件截止之日3个工作日前，在长沙市轨道交通集团有限公司官网（http://www.hncsmtr.com/）发布澄清或答疑文件及顺延竞争性采购时间，敬请获得竞争性采购文件的所有供应商关注，恕不另行通知，如有遗漏采购</w:t>
      </w:r>
      <w:r>
        <w:rPr>
          <w:rFonts w:hint="eastAsia" w:ascii="宋体" w:hAnsi="宋体" w:cs="宋体"/>
          <w:color w:val="auto"/>
          <w:kern w:val="0"/>
          <w:szCs w:val="21"/>
          <w:lang w:val="en-US" w:eastAsia="zh-CN"/>
        </w:rPr>
        <w:t>人</w:t>
      </w:r>
      <w:r>
        <w:rPr>
          <w:rFonts w:hint="eastAsia" w:ascii="宋体" w:hAnsi="宋体" w:cs="宋体"/>
          <w:color w:val="auto"/>
          <w:kern w:val="0"/>
          <w:szCs w:val="21"/>
        </w:rPr>
        <w:t>不负任何责任。</w:t>
      </w:r>
    </w:p>
    <w:p>
      <w:pPr>
        <w:adjustRightInd w:val="0"/>
        <w:snapToGrid w:val="0"/>
        <w:spacing w:line="360" w:lineRule="auto"/>
        <w:ind w:firstLine="422" w:firstLineChars="200"/>
        <w:rPr>
          <w:rFonts w:ascii="宋体" w:hAnsi="宋体" w:cs="宋体"/>
          <w:b/>
          <w:color w:val="auto"/>
          <w:szCs w:val="21"/>
        </w:rPr>
      </w:pPr>
      <w:r>
        <w:rPr>
          <w:rFonts w:hint="eastAsia" w:ascii="宋体" w:hAnsi="宋体" w:cs="宋体"/>
          <w:b/>
          <w:bCs/>
          <w:color w:val="auto"/>
          <w:szCs w:val="21"/>
        </w:rPr>
        <w:t>9.</w:t>
      </w:r>
      <w:r>
        <w:rPr>
          <w:rFonts w:hint="eastAsia" w:ascii="宋体" w:hAnsi="宋体" w:cs="宋体"/>
          <w:b/>
          <w:color w:val="auto"/>
          <w:kern w:val="0"/>
          <w:szCs w:val="21"/>
        </w:rPr>
        <w:t>响应文件递交截止时间、竞争性采购会议时间及地点</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9.1供应商递交响应文件截止时间、竞争性采购会议时间及地点见</w:t>
      </w:r>
      <w:r>
        <w:rPr>
          <w:rFonts w:hint="eastAsia" w:hAnsi="宋体" w:cs="宋体"/>
          <w:b/>
          <w:bCs/>
          <w:color w:val="auto"/>
        </w:rPr>
        <w:t>前附表</w:t>
      </w:r>
      <w:r>
        <w:rPr>
          <w:rFonts w:hint="eastAsia" w:hAnsi="宋体" w:cs="宋体"/>
          <w:color w:val="auto"/>
        </w:rPr>
        <w:t>。</w:t>
      </w:r>
    </w:p>
    <w:p>
      <w:pPr>
        <w:pStyle w:val="4"/>
        <w:keepNext w:val="0"/>
        <w:keepLines w:val="0"/>
        <w:rPr>
          <w:rFonts w:ascii="宋体" w:hAnsi="宋体" w:cs="宋体"/>
          <w:color w:val="auto"/>
          <w:sz w:val="21"/>
          <w:szCs w:val="21"/>
        </w:rPr>
      </w:pPr>
      <w:bookmarkStart w:id="31" w:name="_Toc14891070"/>
      <w:bookmarkStart w:id="32" w:name="_Toc9387"/>
      <w:bookmarkStart w:id="33" w:name="_Toc22286"/>
      <w:r>
        <w:rPr>
          <w:rFonts w:hint="eastAsia" w:ascii="宋体" w:hAnsi="宋体" w:cs="宋体"/>
          <w:color w:val="auto"/>
          <w:sz w:val="21"/>
          <w:szCs w:val="21"/>
        </w:rPr>
        <w:t>三、响应文件</w:t>
      </w:r>
      <w:bookmarkEnd w:id="31"/>
      <w:bookmarkEnd w:id="32"/>
      <w:bookmarkEnd w:id="33"/>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10.一般要求</w:t>
      </w:r>
    </w:p>
    <w:p>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10.1</w:t>
      </w:r>
      <w:bookmarkStart w:id="34" w:name="_Hlk68706641"/>
      <w:r>
        <w:rPr>
          <w:rFonts w:hint="eastAsia" w:ascii="宋体" w:hAnsi="宋体" w:cs="宋体"/>
          <w:bCs/>
          <w:color w:val="auto"/>
          <w:szCs w:val="21"/>
        </w:rPr>
        <w:t>供应商应仔细阅读竞争性采购文件的所有内容，按竞争性采购文件的要求编制响应文件，</w:t>
      </w:r>
      <w:r>
        <w:rPr>
          <w:rFonts w:hint="eastAsia" w:ascii="宋体" w:hAnsi="宋体" w:cs="宋体"/>
          <w:b/>
          <w:color w:val="auto"/>
          <w:szCs w:val="21"/>
        </w:rPr>
        <w:t>严禁复制、粘贴，</w:t>
      </w:r>
      <w:r>
        <w:rPr>
          <w:rFonts w:hint="eastAsia" w:ascii="宋体" w:hAnsi="宋体" w:cs="宋体"/>
          <w:bCs/>
          <w:color w:val="auto"/>
          <w:szCs w:val="21"/>
        </w:rPr>
        <w:t>并保证所提供的全部资料的真实性。</w:t>
      </w:r>
      <w:bookmarkEnd w:id="34"/>
    </w:p>
    <w:p>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10.2</w:t>
      </w:r>
      <w:r>
        <w:rPr>
          <w:rFonts w:hint="eastAsia" w:ascii="宋体" w:hAnsi="宋体" w:cs="宋体"/>
          <w:color w:val="auto"/>
          <w:szCs w:val="21"/>
        </w:rPr>
        <w:t>供应商提交的响应文件、供应商与采购</w:t>
      </w:r>
      <w:r>
        <w:rPr>
          <w:rFonts w:hint="eastAsia" w:ascii="宋体" w:hAnsi="宋体" w:cs="宋体"/>
          <w:color w:val="auto"/>
          <w:szCs w:val="21"/>
          <w:lang w:val="en-US" w:eastAsia="zh-CN"/>
        </w:rPr>
        <w:t>人</w:t>
      </w:r>
      <w:r>
        <w:rPr>
          <w:rFonts w:hint="eastAsia" w:ascii="宋体" w:hAnsi="宋体" w:cs="宋体"/>
          <w:color w:val="auto"/>
          <w:szCs w:val="21"/>
        </w:rPr>
        <w:t>的所有来往函电均使用中文。</w:t>
      </w:r>
    </w:p>
    <w:p>
      <w:pPr>
        <w:pStyle w:val="25"/>
        <w:adjustRightInd w:val="0"/>
        <w:snapToGrid w:val="0"/>
        <w:spacing w:line="360" w:lineRule="auto"/>
        <w:ind w:firstLine="420" w:firstLineChars="200"/>
        <w:rPr>
          <w:rFonts w:hAnsi="宋体" w:cs="宋体"/>
          <w:color w:val="auto"/>
        </w:rPr>
      </w:pPr>
      <w:r>
        <w:rPr>
          <w:rFonts w:hint="eastAsia" w:hAnsi="宋体" w:cs="宋体"/>
          <w:bCs/>
          <w:color w:val="auto"/>
        </w:rPr>
        <w:t>10.3</w:t>
      </w:r>
      <w:r>
        <w:rPr>
          <w:rFonts w:hint="eastAsia" w:hAnsi="宋体" w:cs="宋体"/>
          <w:color w:val="auto"/>
        </w:rPr>
        <w:t>计量单位应使用我国法定计量单位，未列明时应默认为我国法定计量单位。</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10.4响应文件应采用书面形式，电报、传真、电子邮件形式的响应文件概不接受。</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10.5供应商提交的响应文件应按竞争性采购文件中提供的响应文件格式编制。</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11.</w:t>
      </w:r>
      <w:r>
        <w:rPr>
          <w:rFonts w:hint="eastAsia" w:ascii="宋体" w:hAnsi="宋体" w:cs="宋体"/>
          <w:b/>
          <w:color w:val="auto"/>
          <w:szCs w:val="21"/>
        </w:rPr>
        <w:t>响应文件</w:t>
      </w:r>
      <w:r>
        <w:rPr>
          <w:rFonts w:hint="eastAsia" w:ascii="宋体" w:hAnsi="宋体" w:cs="宋体"/>
          <w:b/>
          <w:bCs/>
          <w:color w:val="auto"/>
          <w:szCs w:val="21"/>
        </w:rPr>
        <w:t>的组成</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11.1响应文件应包括下列内容：</w:t>
      </w:r>
    </w:p>
    <w:p>
      <w:pPr>
        <w:pStyle w:val="25"/>
        <w:adjustRightInd w:val="0"/>
        <w:snapToGrid w:val="0"/>
        <w:spacing w:line="360" w:lineRule="auto"/>
        <w:ind w:firstLine="420" w:firstLineChars="200"/>
        <w:rPr>
          <w:rFonts w:hint="eastAsia" w:ascii="宋体" w:hAnsi="宋体" w:eastAsia="宋体" w:cs="宋体"/>
          <w:color w:val="auto"/>
        </w:rPr>
      </w:pPr>
      <w:bookmarkStart w:id="35" w:name="_Toc23184"/>
      <w:r>
        <w:rPr>
          <w:rFonts w:hint="eastAsia" w:ascii="宋体" w:hAnsi="宋体" w:eastAsia="宋体" w:cs="宋体"/>
          <w:color w:val="auto"/>
        </w:rPr>
        <w:t>（1）</w:t>
      </w:r>
      <w:bookmarkEnd w:id="35"/>
      <w:r>
        <w:rPr>
          <w:rFonts w:hint="eastAsia" w:ascii="宋体" w:hAnsi="宋体" w:eastAsia="宋体" w:cs="宋体"/>
          <w:color w:val="auto"/>
        </w:rPr>
        <w:t>竞争性采购承诺书</w:t>
      </w:r>
    </w:p>
    <w:p>
      <w:pPr>
        <w:pStyle w:val="25"/>
        <w:adjustRightInd w:val="0"/>
        <w:snapToGrid w:val="0"/>
        <w:spacing w:line="360" w:lineRule="auto"/>
        <w:ind w:firstLine="420" w:firstLineChars="200"/>
        <w:rPr>
          <w:rFonts w:hint="eastAsia" w:ascii="宋体" w:hAnsi="宋体" w:eastAsia="宋体" w:cs="宋体"/>
          <w:color w:val="auto"/>
        </w:rPr>
      </w:pPr>
      <w:bookmarkStart w:id="36" w:name="_Toc20097"/>
      <w:r>
        <w:rPr>
          <w:rFonts w:hint="eastAsia" w:ascii="宋体" w:hAnsi="宋体" w:eastAsia="宋体" w:cs="宋体"/>
          <w:color w:val="auto"/>
        </w:rPr>
        <w:t>（2）</w:t>
      </w:r>
      <w:bookmarkEnd w:id="36"/>
      <w:bookmarkStart w:id="37" w:name="_Toc624"/>
      <w:r>
        <w:rPr>
          <w:rFonts w:hint="eastAsia" w:ascii="宋体" w:hAnsi="宋体" w:eastAsia="宋体" w:cs="宋体"/>
          <w:color w:val="auto"/>
        </w:rPr>
        <w:t>律师事务所负责人身份证明书</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（3）授权委托书（如有）</w:t>
      </w:r>
      <w:bookmarkEnd w:id="37"/>
    </w:p>
    <w:p>
      <w:pPr>
        <w:pStyle w:val="25"/>
        <w:adjustRightInd w:val="0"/>
        <w:snapToGrid w:val="0"/>
        <w:spacing w:line="360" w:lineRule="auto"/>
        <w:ind w:firstLine="420" w:firstLineChars="200"/>
        <w:rPr>
          <w:rFonts w:hint="eastAsia" w:ascii="宋体" w:hAnsi="宋体" w:eastAsia="宋体" w:cs="宋体"/>
          <w:color w:val="auto"/>
        </w:rPr>
      </w:pPr>
      <w:bookmarkStart w:id="38" w:name="_Toc31627"/>
      <w:r>
        <w:rPr>
          <w:rFonts w:hint="eastAsia" w:ascii="宋体" w:hAnsi="宋体" w:eastAsia="宋体" w:cs="宋体"/>
          <w:color w:val="auto"/>
        </w:rPr>
        <w:t>（4）供应商资格证明文件</w:t>
      </w:r>
      <w:bookmarkEnd w:id="38"/>
    </w:p>
    <w:p>
      <w:pPr>
        <w:pStyle w:val="25"/>
        <w:adjustRightInd w:val="0"/>
        <w:snapToGrid w:val="0"/>
        <w:spacing w:line="360" w:lineRule="auto"/>
        <w:ind w:firstLine="420" w:firstLineChars="200"/>
        <w:rPr>
          <w:rFonts w:hint="eastAsia" w:ascii="宋体" w:hAnsi="宋体" w:eastAsia="宋体" w:cs="宋体"/>
          <w:color w:val="auto"/>
        </w:rPr>
      </w:pPr>
      <w:bookmarkStart w:id="39" w:name="_Toc17656"/>
      <w:r>
        <w:rPr>
          <w:rFonts w:hint="eastAsia" w:ascii="宋体" w:hAnsi="宋体" w:eastAsia="宋体" w:cs="宋体"/>
          <w:color w:val="auto"/>
        </w:rPr>
        <w:t>（</w:t>
      </w:r>
      <w:r>
        <w:rPr>
          <w:rFonts w:hint="eastAsia" w:ascii="宋体" w:hAnsi="宋体" w:eastAsia="宋体" w:cs="宋体"/>
          <w:color w:val="auto"/>
          <w:lang w:val="en-US" w:eastAsia="zh-CN"/>
        </w:rPr>
        <w:t>5</w:t>
      </w:r>
      <w:r>
        <w:rPr>
          <w:rFonts w:hint="eastAsia" w:ascii="宋体" w:hAnsi="宋体" w:eastAsia="宋体" w:cs="宋体"/>
          <w:color w:val="auto"/>
        </w:rPr>
        <w:t>）与评审办法相关的证明资料</w:t>
      </w:r>
      <w:bookmarkEnd w:id="39"/>
    </w:p>
    <w:p>
      <w:pPr>
        <w:pStyle w:val="25"/>
        <w:adjustRightInd w:val="0"/>
        <w:snapToGrid w:val="0"/>
        <w:spacing w:line="360" w:lineRule="auto"/>
        <w:ind w:firstLine="420" w:firstLineChars="200"/>
        <w:rPr>
          <w:rFonts w:hint="eastAsia" w:ascii="宋体" w:hAnsi="宋体" w:eastAsia="宋体" w:cs="宋体"/>
          <w:color w:val="auto"/>
        </w:rPr>
      </w:pPr>
      <w:bookmarkStart w:id="40" w:name="_Toc12328"/>
      <w:r>
        <w:rPr>
          <w:rFonts w:hint="eastAsia" w:ascii="宋体" w:hAnsi="宋体" w:eastAsia="宋体" w:cs="宋体"/>
          <w:color w:val="auto"/>
        </w:rPr>
        <w:t>（</w:t>
      </w:r>
      <w:r>
        <w:rPr>
          <w:rFonts w:hint="eastAsia" w:ascii="宋体" w:hAnsi="宋体" w:eastAsia="宋体" w:cs="宋体"/>
          <w:color w:val="auto"/>
          <w:lang w:val="en-US" w:eastAsia="zh-CN"/>
        </w:rPr>
        <w:t>6</w:t>
      </w:r>
      <w:r>
        <w:rPr>
          <w:rFonts w:hint="eastAsia" w:ascii="宋体" w:hAnsi="宋体" w:eastAsia="宋体" w:cs="宋体"/>
          <w:color w:val="auto"/>
        </w:rPr>
        <w:t>）</w:t>
      </w:r>
      <w:r>
        <w:rPr>
          <w:rFonts w:hint="eastAsia" w:ascii="宋体" w:hAnsi="宋体" w:eastAsia="宋体" w:cs="宋体"/>
          <w:color w:val="auto"/>
          <w:lang w:val="en-US" w:eastAsia="zh-CN"/>
        </w:rPr>
        <w:t>服务</w:t>
      </w:r>
      <w:r>
        <w:rPr>
          <w:rFonts w:hint="eastAsia" w:ascii="宋体" w:hAnsi="宋体" w:eastAsia="宋体" w:cs="宋体"/>
          <w:color w:val="auto"/>
        </w:rPr>
        <w:t>方案</w:t>
      </w:r>
      <w:bookmarkEnd w:id="40"/>
    </w:p>
    <w:p>
      <w:pPr>
        <w:pStyle w:val="25"/>
        <w:adjustRightInd w:val="0"/>
        <w:snapToGrid w:val="0"/>
        <w:spacing w:line="360" w:lineRule="auto"/>
        <w:ind w:firstLine="420" w:firstLineChars="200"/>
        <w:rPr>
          <w:rFonts w:hint="default" w:ascii="宋体" w:hAnsi="宋体" w:eastAsia="宋体" w:cs="宋体"/>
          <w:color w:val="auto"/>
          <w:lang w:val="en-US" w:eastAsia="zh-CN"/>
        </w:rPr>
      </w:pPr>
      <w:bookmarkStart w:id="41" w:name="_Toc10020"/>
      <w:r>
        <w:rPr>
          <w:rFonts w:hint="eastAsia" w:ascii="宋体" w:hAnsi="宋体" w:eastAsia="宋体" w:cs="宋体"/>
          <w:color w:val="auto"/>
        </w:rPr>
        <w:t>（</w:t>
      </w:r>
      <w:r>
        <w:rPr>
          <w:rFonts w:hint="eastAsia" w:ascii="宋体" w:hAnsi="宋体" w:eastAsia="宋体" w:cs="宋体"/>
          <w:color w:val="auto"/>
          <w:lang w:val="en-US" w:eastAsia="zh-CN"/>
        </w:rPr>
        <w:t>7</w:t>
      </w:r>
      <w:r>
        <w:rPr>
          <w:rFonts w:hint="eastAsia" w:ascii="宋体" w:hAnsi="宋体" w:eastAsia="宋体" w:cs="宋体"/>
          <w:color w:val="auto"/>
        </w:rPr>
        <w:t>）</w:t>
      </w:r>
      <w:r>
        <w:rPr>
          <w:rFonts w:hint="eastAsia" w:ascii="宋体" w:hAnsi="宋体" w:eastAsia="宋体" w:cs="宋体"/>
          <w:color w:val="auto"/>
          <w:lang w:val="en-US" w:eastAsia="zh-CN"/>
        </w:rPr>
        <w:t>委派函</w:t>
      </w:r>
    </w:p>
    <w:bookmarkEnd w:id="41"/>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8</w:t>
      </w:r>
      <w:r>
        <w:rPr>
          <w:rFonts w:hint="eastAsia" w:ascii="宋体" w:hAnsi="宋体" w:eastAsia="宋体" w:cs="宋体"/>
          <w:color w:val="auto"/>
        </w:rPr>
        <w:t>）报价一览表</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9</w:t>
      </w:r>
      <w:r>
        <w:rPr>
          <w:rFonts w:hint="eastAsia" w:ascii="宋体" w:hAnsi="宋体" w:eastAsia="宋体" w:cs="宋体"/>
          <w:color w:val="auto"/>
        </w:rPr>
        <w:t>）分项价格表</w:t>
      </w:r>
    </w:p>
    <w:p>
      <w:pPr>
        <w:pStyle w:val="25"/>
        <w:adjustRightInd w:val="0"/>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10</w:t>
      </w:r>
      <w:r>
        <w:rPr>
          <w:rFonts w:hint="eastAsia" w:ascii="宋体" w:hAnsi="宋体" w:eastAsia="宋体" w:cs="宋体"/>
          <w:color w:val="auto"/>
        </w:rPr>
        <w:t>）其他资料（如有）</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11.2在竞争性采购过程中，供应商根据</w:t>
      </w:r>
      <w:r>
        <w:rPr>
          <w:rFonts w:hint="eastAsia" w:hAnsi="宋体" w:cs="宋体"/>
          <w:color w:val="auto"/>
          <w:kern w:val="0"/>
        </w:rPr>
        <w:t>竞争性采购评审小组</w:t>
      </w:r>
      <w:r>
        <w:rPr>
          <w:rFonts w:hint="eastAsia" w:hAnsi="宋体" w:cs="宋体"/>
          <w:bCs/>
          <w:color w:val="auto"/>
        </w:rPr>
        <w:t>要求</w:t>
      </w:r>
      <w:r>
        <w:rPr>
          <w:rFonts w:hint="eastAsia" w:hAnsi="宋体" w:cs="宋体"/>
          <w:color w:val="auto"/>
          <w:kern w:val="0"/>
        </w:rPr>
        <w:t>提交的</w:t>
      </w:r>
      <w:r>
        <w:rPr>
          <w:rFonts w:hint="eastAsia" w:hAnsi="宋体" w:cs="宋体"/>
          <w:color w:val="auto"/>
        </w:rPr>
        <w:t>书面承诺或其他文件是响应文件的有效组成部分。</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11.3供应商无论成交与否，其递交的响应文件均不予退还。</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12.报价要求</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12.1</w:t>
      </w:r>
      <w:r>
        <w:rPr>
          <w:rFonts w:hint="eastAsia" w:ascii="宋体" w:hAnsi="宋体" w:cs="宋体"/>
          <w:b/>
          <w:bCs/>
          <w:color w:val="auto"/>
          <w:szCs w:val="21"/>
        </w:rPr>
        <w:t>本项目为一轮报价。</w:t>
      </w:r>
      <w:r>
        <w:rPr>
          <w:rFonts w:hint="eastAsia" w:ascii="宋体" w:hAnsi="宋体" w:cs="宋体"/>
          <w:color w:val="auto"/>
          <w:szCs w:val="21"/>
        </w:rPr>
        <w:t>供应商应按第七章“响应文件格式”的要求在报价文件中进行报价。供应商所报的总价不得超过</w:t>
      </w:r>
      <w:r>
        <w:rPr>
          <w:rFonts w:hint="eastAsia" w:ascii="宋体" w:hAnsi="宋体" w:cs="宋体"/>
          <w:color w:val="auto"/>
          <w:szCs w:val="21"/>
          <w:lang w:eastAsia="zh-CN"/>
        </w:rPr>
        <w:t>控制价</w:t>
      </w:r>
      <w:r>
        <w:rPr>
          <w:rFonts w:hint="eastAsia" w:ascii="宋体" w:hAnsi="宋体" w:cs="宋体"/>
          <w:color w:val="auto"/>
          <w:szCs w:val="21"/>
        </w:rPr>
        <w:t>，不超过</w:t>
      </w:r>
      <w:r>
        <w:rPr>
          <w:rFonts w:hint="eastAsia" w:ascii="宋体" w:hAnsi="宋体" w:cs="宋体"/>
          <w:color w:val="auto"/>
          <w:szCs w:val="21"/>
          <w:lang w:eastAsia="zh-CN"/>
        </w:rPr>
        <w:t>控制价</w:t>
      </w:r>
      <w:r>
        <w:rPr>
          <w:rFonts w:hint="eastAsia" w:ascii="宋体" w:hAnsi="宋体" w:cs="宋体"/>
          <w:color w:val="auto"/>
          <w:szCs w:val="21"/>
        </w:rPr>
        <w:t>的总报价为有效报价，竞争性采购时需明确税费，税率必须符合国家政策法规规定，合同支付时服务单位需开具经</w:t>
      </w:r>
      <w:r>
        <w:rPr>
          <w:rFonts w:hint="eastAsia" w:ascii="宋体" w:hAnsi="宋体" w:cs="宋体"/>
          <w:b/>
          <w:color w:val="auto"/>
          <w:szCs w:val="21"/>
        </w:rPr>
        <w:t>采购</w:t>
      </w:r>
      <w:r>
        <w:rPr>
          <w:rFonts w:hint="eastAsia" w:ascii="宋体" w:hAnsi="宋体" w:cs="宋体"/>
          <w:b/>
          <w:color w:val="auto"/>
          <w:szCs w:val="21"/>
          <w:lang w:val="en-US" w:eastAsia="zh-CN"/>
        </w:rPr>
        <w:t>人</w:t>
      </w:r>
      <w:r>
        <w:rPr>
          <w:rFonts w:hint="eastAsia" w:ascii="宋体" w:hAnsi="宋体" w:cs="宋体"/>
          <w:color w:val="auto"/>
          <w:szCs w:val="21"/>
        </w:rPr>
        <w:t>认可的合法完税单据。</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12.2本项目以不含增值税总</w:t>
      </w:r>
      <w:r>
        <w:rPr>
          <w:rFonts w:hint="eastAsia" w:ascii="宋体" w:hAnsi="宋体" w:cs="宋体"/>
          <w:color w:val="auto"/>
          <w:szCs w:val="21"/>
          <w:lang w:val="en-US" w:eastAsia="zh-CN"/>
        </w:rPr>
        <w:t>报</w:t>
      </w:r>
      <w:r>
        <w:rPr>
          <w:rFonts w:hint="eastAsia" w:ascii="宋体" w:hAnsi="宋体" w:cs="宋体"/>
          <w:color w:val="auto"/>
          <w:szCs w:val="21"/>
        </w:rPr>
        <w:t>价进行评审</w:t>
      </w:r>
      <w:r>
        <w:rPr>
          <w:rFonts w:hint="eastAsia" w:ascii="宋体" w:hAnsi="宋体" w:cs="宋体"/>
          <w:color w:val="auto"/>
          <w:szCs w:val="21"/>
          <w:lang w:eastAsia="zh-CN"/>
        </w:rPr>
        <w:t>。</w:t>
      </w:r>
      <w:r>
        <w:rPr>
          <w:rFonts w:hint="eastAsia" w:ascii="宋体" w:hAnsi="宋体" w:cs="宋体"/>
          <w:color w:val="auto"/>
          <w:szCs w:val="21"/>
          <w:lang w:val="en-US" w:eastAsia="zh-CN"/>
        </w:rPr>
        <w:t>供应商报价需满足</w:t>
      </w:r>
      <w:r>
        <w:rPr>
          <w:rFonts w:hint="eastAsia" w:ascii="Times New Roman" w:hAnsi="Times New Roman" w:cs="Times New Roman"/>
          <w:b/>
          <w:bCs/>
          <w:color w:val="auto"/>
          <w:szCs w:val="21"/>
          <w:highlight w:val="none"/>
          <w:lang w:val="en-US" w:eastAsia="zh-CN"/>
        </w:rPr>
        <w:t>“</w:t>
      </w:r>
      <w:r>
        <w:rPr>
          <w:rFonts w:hint="default" w:ascii="Times New Roman" w:hAnsi="宋体" w:eastAsia="宋体" w:cs="宋体"/>
          <w:b/>
          <w:bCs/>
          <w:color w:val="auto"/>
          <w:szCs w:val="21"/>
          <w:highlight w:val="none"/>
          <w:lang w:val="en-US" w:eastAsia="zh-CN"/>
        </w:rPr>
        <w:t>不含增值税</w:t>
      </w:r>
      <w:r>
        <w:rPr>
          <w:rFonts w:ascii="宋体" w:hAnsi="宋体"/>
          <w:b/>
          <w:bCs/>
          <w:color w:val="auto"/>
          <w:szCs w:val="21"/>
        </w:rPr>
        <w:t>总报价</w:t>
      </w:r>
      <w:r>
        <w:rPr>
          <w:rFonts w:hint="eastAsia" w:ascii="Times New Roman" w:hAnsi="宋体" w:eastAsia="宋体" w:cs="宋体"/>
          <w:b/>
          <w:bCs/>
          <w:color w:val="auto"/>
          <w:szCs w:val="21"/>
          <w:highlight w:val="none"/>
          <w:lang w:val="en-US" w:eastAsia="zh-CN"/>
        </w:rPr>
        <w:t>+税费=</w:t>
      </w:r>
      <w:r>
        <w:rPr>
          <w:rFonts w:hint="default" w:ascii="Times New Roman" w:hAnsi="宋体" w:eastAsia="宋体" w:cs="宋体"/>
          <w:b/>
          <w:bCs/>
          <w:color w:val="auto"/>
          <w:szCs w:val="21"/>
          <w:highlight w:val="none"/>
          <w:lang w:val="en-US" w:eastAsia="zh-CN"/>
        </w:rPr>
        <w:t>含增值税</w:t>
      </w:r>
      <w:r>
        <w:rPr>
          <w:rFonts w:ascii="宋体" w:hAnsi="宋体"/>
          <w:b/>
          <w:bCs/>
          <w:color w:val="auto"/>
          <w:szCs w:val="21"/>
        </w:rPr>
        <w:t>总报价</w:t>
      </w:r>
      <w:r>
        <w:rPr>
          <w:rFonts w:hint="eastAsia" w:ascii="宋体" w:hAnsi="宋体"/>
          <w:b/>
          <w:bCs/>
          <w:color w:val="auto"/>
          <w:szCs w:val="21"/>
          <w:lang w:eastAsia="zh-CN"/>
        </w:rPr>
        <w:t>”</w:t>
      </w:r>
      <w:r>
        <w:rPr>
          <w:rFonts w:hint="eastAsia" w:ascii="宋体" w:hAnsi="宋体" w:cs="宋体"/>
          <w:color w:val="auto"/>
          <w:szCs w:val="21"/>
          <w:lang w:val="en-US" w:eastAsia="zh-CN"/>
        </w:rPr>
        <w:t>“</w:t>
      </w:r>
      <w:r>
        <w:rPr>
          <w:rFonts w:hint="eastAsia" w:ascii="Times New Roman" w:hAnsi="宋体" w:eastAsia="宋体" w:cs="宋体"/>
          <w:b/>
          <w:bCs/>
          <w:color w:val="auto"/>
          <w:szCs w:val="21"/>
          <w:highlight w:val="none"/>
          <w:lang w:val="en-US" w:eastAsia="zh-CN"/>
        </w:rPr>
        <w:t>税费</w:t>
      </w:r>
      <w:r>
        <w:rPr>
          <w:rFonts w:hint="eastAsia" w:ascii="Times New Roman" w:hAnsi="Times New Roman" w:cs="Times New Roman"/>
          <w:b/>
          <w:bCs/>
          <w:color w:val="auto"/>
          <w:szCs w:val="21"/>
          <w:highlight w:val="none"/>
          <w:lang w:val="en-US" w:eastAsia="zh-CN"/>
        </w:rPr>
        <w:t>=</w:t>
      </w:r>
      <w:r>
        <w:rPr>
          <w:rFonts w:hint="default" w:ascii="Times New Roman" w:hAnsi="宋体" w:eastAsia="宋体" w:cs="宋体"/>
          <w:b/>
          <w:bCs/>
          <w:color w:val="auto"/>
          <w:szCs w:val="21"/>
          <w:highlight w:val="none"/>
          <w:lang w:val="en-US" w:eastAsia="zh-CN"/>
        </w:rPr>
        <w:t>不含增值税总</w:t>
      </w:r>
      <w:r>
        <w:rPr>
          <w:rFonts w:hint="eastAsia" w:ascii="Times New Roman" w:hAnsi="宋体" w:eastAsia="宋体" w:cs="宋体"/>
          <w:b/>
          <w:bCs/>
          <w:color w:val="auto"/>
          <w:szCs w:val="21"/>
          <w:highlight w:val="none"/>
          <w:lang w:val="en-US" w:eastAsia="zh-CN"/>
        </w:rPr>
        <w:t>报价</w:t>
      </w:r>
      <w:r>
        <w:rPr>
          <w:rFonts w:hint="eastAsia" w:ascii="Times New Roman" w:hAnsi="Times New Roman" w:cs="Times New Roman"/>
          <w:b/>
          <w:bCs/>
          <w:color w:val="auto"/>
          <w:szCs w:val="21"/>
          <w:highlight w:val="none"/>
          <w:lang w:val="en-US" w:eastAsia="zh-CN"/>
        </w:rPr>
        <w:t>*</w:t>
      </w:r>
      <w:r>
        <w:rPr>
          <w:rFonts w:hint="eastAsia" w:ascii="Times New Roman" w:hAnsi="宋体" w:eastAsia="宋体" w:cs="宋体"/>
          <w:b/>
          <w:bCs/>
          <w:color w:val="auto"/>
          <w:szCs w:val="21"/>
          <w:highlight w:val="none"/>
          <w:lang w:val="en-US" w:eastAsia="zh-CN"/>
        </w:rPr>
        <w:t>税率”</w:t>
      </w:r>
      <w:r>
        <w:rPr>
          <w:rFonts w:hint="eastAsia" w:ascii="宋体" w:hAnsi="宋体" w:cs="宋体"/>
          <w:color w:val="auto"/>
          <w:szCs w:val="21"/>
          <w:lang w:val="en-US" w:eastAsia="zh-CN"/>
        </w:rPr>
        <w:t>“</w:t>
      </w:r>
      <w:r>
        <w:rPr>
          <w:rFonts w:hint="eastAsia" w:ascii="Times New Roman" w:hAnsi="Times New Roman" w:cs="Times New Roman"/>
          <w:b/>
          <w:bCs/>
          <w:color w:val="auto"/>
          <w:szCs w:val="21"/>
          <w:highlight w:val="none"/>
          <w:lang w:val="en-US" w:eastAsia="zh-CN"/>
        </w:rPr>
        <w:t>不含增值税</w:t>
      </w:r>
      <w:r>
        <w:rPr>
          <w:rFonts w:hint="eastAsia" w:ascii="宋体" w:hAnsi="宋体"/>
          <w:b/>
          <w:bCs/>
          <w:color w:val="auto"/>
          <w:szCs w:val="21"/>
          <w:lang w:val="en-US" w:eastAsia="zh-CN"/>
        </w:rPr>
        <w:t>合</w:t>
      </w:r>
      <w:r>
        <w:rPr>
          <w:rFonts w:ascii="宋体" w:hAnsi="宋体"/>
          <w:b/>
          <w:bCs/>
          <w:color w:val="auto"/>
          <w:szCs w:val="21"/>
        </w:rPr>
        <w:t>价</w:t>
      </w:r>
      <w:r>
        <w:rPr>
          <w:rFonts w:hint="eastAsia" w:ascii="Times New Roman" w:hAnsi="Times New Roman" w:cs="Times New Roman"/>
          <w:b/>
          <w:bCs/>
          <w:color w:val="auto"/>
          <w:szCs w:val="21"/>
          <w:highlight w:val="none"/>
          <w:lang w:val="en-US" w:eastAsia="zh-CN"/>
        </w:rPr>
        <w:t>=不含增值税单价x数量”</w:t>
      </w:r>
      <w:r>
        <w:rPr>
          <w:rFonts w:hint="eastAsia" w:ascii="Times New Roman" w:hAnsi="宋体" w:eastAsia="宋体" w:cs="宋体"/>
          <w:b/>
          <w:bCs/>
          <w:color w:val="auto"/>
          <w:szCs w:val="21"/>
          <w:highlight w:val="none"/>
          <w:lang w:val="en-US" w:eastAsia="zh-CN"/>
        </w:rPr>
        <w:t>，</w:t>
      </w:r>
      <w:r>
        <w:rPr>
          <w:rFonts w:hint="eastAsia" w:ascii="宋体" w:hAnsi="宋体" w:cs="宋体"/>
          <w:color w:val="auto"/>
          <w:szCs w:val="21"/>
        </w:rPr>
        <w:t>否则视为无效报价。</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12.3供应商应充分了解该项目的总体情况以及影响竞争性采购报价的其他要素。</w:t>
      </w:r>
      <w:r>
        <w:rPr>
          <w:rFonts w:hint="eastAsia" w:ascii="宋体" w:hAnsi="宋体" w:cs="宋体"/>
          <w:b/>
          <w:color w:val="auto"/>
          <w:szCs w:val="21"/>
        </w:rPr>
        <w:t>最终结算以长沙市轨道交通运营有限公司审核为准。</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12.4总报价为各分项报价金额之和，总报价与分项报价的合价不一致的，应以各分项合价累计数为准，修正总报价；如分项报价中存在缺漏项，则视为缺漏项价格已包含在其他分项报价之中。</w:t>
      </w:r>
      <w:r>
        <w:rPr>
          <w:rFonts w:hAnsi="宋体"/>
          <w:color w:val="auto"/>
          <w:szCs w:val="21"/>
        </w:rPr>
        <w:t>如分项报价中存在直接填写为零的情况，则视为其价格已包含在其他分项报价之中。</w:t>
      </w:r>
      <w:r>
        <w:rPr>
          <w:rFonts w:hint="eastAsia" w:ascii="宋体" w:hAnsi="宋体" w:cs="宋体"/>
          <w:color w:val="auto"/>
          <w:szCs w:val="21"/>
        </w:rPr>
        <w:t>供应商在竞争性采购截止时间前修改响应文件中的竞争性采购总报价，应同时修改报价文件《报价一览表》和《分项价格表》中的相应报价。</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12.5本项目设置</w:t>
      </w:r>
      <w:r>
        <w:rPr>
          <w:rFonts w:hint="eastAsia" w:ascii="宋体" w:hAnsi="宋体" w:cs="宋体"/>
          <w:color w:val="auto"/>
          <w:szCs w:val="21"/>
          <w:lang w:eastAsia="zh-CN"/>
        </w:rPr>
        <w:t>控制价</w:t>
      </w:r>
      <w:r>
        <w:rPr>
          <w:rFonts w:hint="eastAsia" w:ascii="宋体" w:hAnsi="宋体" w:cs="宋体"/>
          <w:color w:val="auto"/>
          <w:szCs w:val="21"/>
        </w:rPr>
        <w:t>，</w:t>
      </w:r>
      <w:r>
        <w:rPr>
          <w:rFonts w:hint="eastAsia" w:ascii="宋体" w:hAnsi="宋体" w:cs="宋体"/>
          <w:b/>
          <w:bCs/>
          <w:color w:val="auto"/>
          <w:szCs w:val="21"/>
        </w:rPr>
        <w:t>供应商总报价不能超过</w:t>
      </w:r>
      <w:r>
        <w:rPr>
          <w:rFonts w:hint="eastAsia" w:ascii="宋体" w:hAnsi="宋体" w:cs="宋体"/>
          <w:b/>
          <w:bCs/>
          <w:color w:val="auto"/>
          <w:szCs w:val="21"/>
          <w:lang w:eastAsia="zh-CN"/>
        </w:rPr>
        <w:t>控制价</w:t>
      </w:r>
      <w:r>
        <w:rPr>
          <w:rFonts w:hint="eastAsia" w:ascii="宋体" w:hAnsi="宋体" w:cs="宋体"/>
          <w:b/>
          <w:bCs/>
          <w:color w:val="auto"/>
          <w:szCs w:val="21"/>
        </w:rPr>
        <w:t>，不超过</w:t>
      </w:r>
      <w:r>
        <w:rPr>
          <w:rFonts w:hint="eastAsia" w:ascii="宋体" w:hAnsi="宋体" w:cs="宋体"/>
          <w:b/>
          <w:bCs/>
          <w:color w:val="auto"/>
          <w:szCs w:val="21"/>
          <w:lang w:eastAsia="zh-CN"/>
        </w:rPr>
        <w:t>控制价</w:t>
      </w:r>
      <w:r>
        <w:rPr>
          <w:rFonts w:hint="eastAsia" w:ascii="宋体" w:hAnsi="宋体" w:cs="宋体"/>
          <w:b/>
          <w:bCs/>
          <w:color w:val="auto"/>
          <w:szCs w:val="21"/>
        </w:rPr>
        <w:t>的</w:t>
      </w:r>
      <w:r>
        <w:rPr>
          <w:rFonts w:hint="eastAsia" w:ascii="宋体" w:hAnsi="宋体" w:cs="宋体"/>
          <w:b/>
          <w:bCs/>
          <w:color w:val="auto"/>
          <w:szCs w:val="21"/>
          <w:lang w:val="en-US" w:eastAsia="zh-CN"/>
        </w:rPr>
        <w:t>总</w:t>
      </w:r>
      <w:r>
        <w:rPr>
          <w:rFonts w:hint="eastAsia" w:ascii="宋体" w:hAnsi="宋体" w:cs="宋体"/>
          <w:b/>
          <w:bCs/>
          <w:color w:val="auto"/>
          <w:szCs w:val="21"/>
        </w:rPr>
        <w:t>报价为有效报价</w:t>
      </w:r>
      <w:r>
        <w:rPr>
          <w:rFonts w:hint="eastAsia" w:ascii="宋体" w:hAnsi="宋体" w:cs="宋体"/>
          <w:color w:val="auto"/>
          <w:szCs w:val="21"/>
        </w:rPr>
        <w:t>。本项目</w:t>
      </w:r>
      <w:r>
        <w:rPr>
          <w:rFonts w:hint="eastAsia" w:ascii="宋体" w:hAnsi="宋体" w:cs="宋体"/>
          <w:color w:val="auto"/>
          <w:szCs w:val="21"/>
          <w:lang w:eastAsia="zh-CN"/>
        </w:rPr>
        <w:t>控制价</w:t>
      </w:r>
      <w:r>
        <w:rPr>
          <w:rFonts w:hint="eastAsia" w:ascii="宋体" w:hAnsi="宋体" w:cs="宋体"/>
          <w:color w:val="auto"/>
          <w:szCs w:val="21"/>
        </w:rPr>
        <w:t>见</w:t>
      </w:r>
      <w:r>
        <w:rPr>
          <w:rFonts w:hint="eastAsia" w:ascii="宋体" w:hAnsi="宋体" w:cs="宋体"/>
          <w:b/>
          <w:color w:val="auto"/>
          <w:szCs w:val="21"/>
        </w:rPr>
        <w:t>前附表</w:t>
      </w:r>
      <w:r>
        <w:rPr>
          <w:rFonts w:hint="eastAsia" w:ascii="宋体" w:hAnsi="宋体" w:cs="宋体"/>
          <w:color w:val="auto"/>
          <w:szCs w:val="21"/>
        </w:rPr>
        <w:t>。</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12.6供应商应按竞争性采购文件规定的要求、责任范围和合同条件，</w:t>
      </w:r>
      <w:r>
        <w:rPr>
          <w:rFonts w:hint="eastAsia" w:ascii="宋体" w:hAnsi="宋体" w:cs="宋体"/>
          <w:b/>
          <w:bCs/>
          <w:color w:val="auto"/>
          <w:szCs w:val="21"/>
        </w:rPr>
        <w:t>以人民币报价，以元为单位，保留小数点后两位</w:t>
      </w:r>
      <w:r>
        <w:rPr>
          <w:rFonts w:hint="eastAsia" w:ascii="宋体" w:hAnsi="宋体" w:cs="宋体"/>
          <w:color w:val="auto"/>
          <w:szCs w:val="21"/>
        </w:rPr>
        <w:t>。</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12.7除合同另有约定外，竞争性采购报价作为成交价及合同价在合同履行期间是固定不变的，不受政策、法规变化以及汇率浮动、物价指数浮动等因素的影响。成交供应商不得以任何理由予以变更。以可变动价格提交的报价将被认为是非实质响应被拒绝。</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12.8供应商递交两份或多份内容不同的报价文件，或在一份报价文件中对同一项目报有两个或多个报价，且未声明哪一个有效的，将被认为是非实质响应被拒绝。</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bCs/>
          <w:color w:val="auto"/>
          <w:szCs w:val="21"/>
        </w:rPr>
        <w:t>12.9最低报价不能作为成交的保证。</w:t>
      </w:r>
    </w:p>
    <w:p>
      <w:pPr>
        <w:adjustRightInd w:val="0"/>
        <w:snapToGrid w:val="0"/>
        <w:spacing w:line="360" w:lineRule="auto"/>
        <w:ind w:firstLine="420" w:firstLineChars="200"/>
        <w:rPr>
          <w:rFonts w:hint="eastAsia" w:ascii="宋体" w:hAnsi="宋体" w:eastAsia="宋体" w:cs="宋体"/>
          <w:bCs/>
          <w:color w:val="auto"/>
          <w:szCs w:val="21"/>
          <w:lang w:eastAsia="zh-CN"/>
        </w:rPr>
      </w:pPr>
      <w:r>
        <w:rPr>
          <w:rFonts w:hint="eastAsia" w:ascii="宋体" w:hAnsi="宋体" w:eastAsia="宋体" w:cs="宋体"/>
          <w:bCs/>
          <w:color w:val="auto"/>
          <w:szCs w:val="21"/>
        </w:rPr>
        <w:t>12.10本项目为</w:t>
      </w:r>
      <w:r>
        <w:rPr>
          <w:rFonts w:hint="eastAsia" w:ascii="宋体" w:hAnsi="宋体" w:cs="宋体"/>
          <w:bCs/>
          <w:color w:val="auto"/>
          <w:szCs w:val="21"/>
          <w:lang w:val="en-US" w:eastAsia="zh-CN"/>
        </w:rPr>
        <w:t>总</w:t>
      </w:r>
      <w:r>
        <w:rPr>
          <w:rFonts w:hint="eastAsia" w:ascii="宋体" w:hAnsi="宋体" w:eastAsia="宋体" w:cs="宋体"/>
          <w:bCs/>
          <w:color w:val="auto"/>
          <w:szCs w:val="21"/>
        </w:rPr>
        <w:t>价合同</w:t>
      </w:r>
      <w:r>
        <w:rPr>
          <w:rFonts w:hint="eastAsia" w:ascii="宋体" w:hAnsi="宋体" w:cs="宋体"/>
          <w:bCs/>
          <w:color w:val="auto"/>
          <w:szCs w:val="21"/>
          <w:lang w:eastAsia="zh-CN"/>
        </w:rPr>
        <w:t>。</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13.响应文件有效期</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13.1响应文件有效期见</w:t>
      </w:r>
      <w:r>
        <w:rPr>
          <w:rFonts w:hint="eastAsia" w:ascii="宋体" w:hAnsi="宋体" w:cs="宋体"/>
          <w:b/>
          <w:color w:val="auto"/>
          <w:szCs w:val="21"/>
        </w:rPr>
        <w:t>前附表</w:t>
      </w:r>
      <w:r>
        <w:rPr>
          <w:rFonts w:hint="eastAsia" w:ascii="宋体" w:hAnsi="宋体" w:cs="宋体"/>
          <w:color w:val="auto"/>
          <w:szCs w:val="21"/>
        </w:rPr>
        <w:t>，在此期间响应文件对供应商具有法律约束力，从</w:t>
      </w:r>
      <w:r>
        <w:rPr>
          <w:rFonts w:hint="eastAsia" w:ascii="宋体" w:hAnsi="宋体" w:cs="宋体"/>
          <w:b/>
          <w:color w:val="auto"/>
          <w:szCs w:val="21"/>
        </w:rPr>
        <w:t>前附表</w:t>
      </w:r>
      <w:r>
        <w:rPr>
          <w:rFonts w:hint="eastAsia" w:ascii="宋体" w:hAnsi="宋体" w:cs="宋体"/>
          <w:color w:val="auto"/>
          <w:szCs w:val="21"/>
        </w:rPr>
        <w:t>规定的</w:t>
      </w:r>
      <w:r>
        <w:rPr>
          <w:rFonts w:hint="eastAsia" w:ascii="宋体" w:hAnsi="宋体" w:cs="宋体"/>
          <w:color w:val="auto"/>
          <w:kern w:val="0"/>
          <w:szCs w:val="21"/>
        </w:rPr>
        <w:t>响应文件递交截止时间</w:t>
      </w:r>
      <w:r>
        <w:rPr>
          <w:rFonts w:hint="eastAsia" w:ascii="宋体" w:hAnsi="宋体" w:cs="宋体"/>
          <w:color w:val="auto"/>
          <w:szCs w:val="21"/>
        </w:rPr>
        <w:t>之日起计算。响应文件有效期不足的将被视为无效响应。</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14.响应文件的编制</w:t>
      </w:r>
    </w:p>
    <w:p>
      <w:pPr>
        <w:pStyle w:val="358"/>
        <w:ind w:firstLine="420" w:firstLineChars="200"/>
        <w:jc w:val="both"/>
        <w:rPr>
          <w:rFonts w:hAnsi="宋体" w:cs="宋体"/>
          <w:color w:val="auto"/>
          <w:sz w:val="21"/>
          <w:szCs w:val="21"/>
        </w:rPr>
      </w:pPr>
      <w:r>
        <w:rPr>
          <w:rFonts w:hint="eastAsia" w:hAnsi="宋体" w:cs="宋体"/>
          <w:color w:val="auto"/>
          <w:sz w:val="21"/>
          <w:szCs w:val="21"/>
        </w:rPr>
        <w:t>14.1响应文件应按</w:t>
      </w:r>
      <w:r>
        <w:rPr>
          <w:rFonts w:hint="eastAsia" w:hAnsi="宋体" w:cs="宋体"/>
          <w:b/>
          <w:bCs/>
          <w:color w:val="auto"/>
          <w:sz w:val="21"/>
          <w:szCs w:val="21"/>
        </w:rPr>
        <w:t>第七章</w:t>
      </w:r>
      <w:r>
        <w:rPr>
          <w:rFonts w:hint="eastAsia" w:hAnsi="宋体" w:cs="宋体"/>
          <w:color w:val="auto"/>
          <w:sz w:val="21"/>
          <w:szCs w:val="21"/>
        </w:rPr>
        <w:t>“响应文件格式”进行编写，如有必要，可以增加附页，作为响应文件的组成部分。</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14.2响应文件应用不褪色的材料书写或打印（建议双面打印），并按</w:t>
      </w:r>
      <w:r>
        <w:rPr>
          <w:rFonts w:hint="eastAsia" w:hAnsi="宋体" w:cs="宋体"/>
          <w:b/>
          <w:bCs/>
          <w:color w:val="auto"/>
        </w:rPr>
        <w:t>第七章“响应文件格式”</w:t>
      </w:r>
      <w:r>
        <w:rPr>
          <w:rFonts w:hint="eastAsia" w:hAnsi="宋体" w:cs="宋体"/>
          <w:color w:val="auto"/>
        </w:rPr>
        <w:t>的要求进行签字和（或）盖章。对响应文件的澄清、说明和补正应</w:t>
      </w:r>
      <w:r>
        <w:rPr>
          <w:rFonts w:hint="eastAsia" w:hAnsi="宋体" w:cs="宋体"/>
          <w:b w:val="0"/>
          <w:bCs w:val="0"/>
          <w:color w:val="auto"/>
        </w:rPr>
        <w:t>由</w:t>
      </w:r>
      <w:r>
        <w:rPr>
          <w:rFonts w:hint="eastAsia" w:ascii="宋体" w:hAnsi="宋体" w:cs="Courier New"/>
          <w:b w:val="0"/>
          <w:bCs w:val="0"/>
          <w:iCs/>
          <w:color w:val="auto"/>
          <w:kern w:val="2"/>
          <w:sz w:val="21"/>
          <w:szCs w:val="21"/>
          <w:u w:val="none"/>
          <w:lang w:val="en-US" w:eastAsia="zh-CN" w:bidi="ar-SA"/>
        </w:rPr>
        <w:t>律师事务所负责人</w:t>
      </w:r>
      <w:r>
        <w:rPr>
          <w:rFonts w:hint="eastAsia" w:hAnsi="宋体" w:cs="宋体"/>
          <w:b w:val="0"/>
          <w:bCs w:val="0"/>
          <w:color w:val="auto"/>
        </w:rPr>
        <w:t>或其授权的代理人签字或盖单位公章。由</w:t>
      </w:r>
      <w:r>
        <w:rPr>
          <w:rFonts w:hint="eastAsia" w:ascii="宋体" w:hAnsi="宋体" w:cs="Courier New"/>
          <w:b w:val="0"/>
          <w:bCs w:val="0"/>
          <w:iCs/>
          <w:color w:val="auto"/>
          <w:kern w:val="2"/>
          <w:sz w:val="21"/>
          <w:szCs w:val="21"/>
          <w:u w:val="none"/>
          <w:lang w:val="en-US" w:eastAsia="zh-CN" w:bidi="ar-SA"/>
        </w:rPr>
        <w:t>律师事务所负责人</w:t>
      </w:r>
      <w:r>
        <w:rPr>
          <w:rFonts w:hint="eastAsia" w:hAnsi="宋体" w:cs="宋体"/>
          <w:b w:val="0"/>
          <w:bCs w:val="0"/>
          <w:color w:val="auto"/>
        </w:rPr>
        <w:t>签字（或盖章）的，应附</w:t>
      </w:r>
      <w:r>
        <w:rPr>
          <w:rFonts w:hint="eastAsia" w:hAnsi="宋体" w:cs="宋体"/>
          <w:b w:val="0"/>
          <w:bCs w:val="0"/>
          <w:color w:val="auto"/>
          <w:lang w:eastAsia="zh-CN"/>
        </w:rPr>
        <w:t>律师事务所负责人</w:t>
      </w:r>
      <w:r>
        <w:rPr>
          <w:rFonts w:hint="eastAsia" w:hAnsi="宋体" w:cs="宋体"/>
          <w:b w:val="0"/>
          <w:bCs w:val="0"/>
          <w:color w:val="auto"/>
        </w:rPr>
        <w:t>身份证明书，由代理人签字的，应附授权委托书。</w:t>
      </w:r>
      <w:r>
        <w:rPr>
          <w:rFonts w:hint="eastAsia" w:ascii="宋体" w:hAnsi="宋体" w:cs="Courier New"/>
          <w:b w:val="0"/>
          <w:bCs w:val="0"/>
          <w:iCs/>
          <w:color w:val="auto"/>
          <w:kern w:val="2"/>
          <w:sz w:val="21"/>
          <w:szCs w:val="21"/>
          <w:u w:val="none"/>
          <w:lang w:val="en-US" w:eastAsia="zh-CN" w:bidi="ar-SA"/>
        </w:rPr>
        <w:t>律师事务所负责人</w:t>
      </w:r>
      <w:r>
        <w:rPr>
          <w:rFonts w:hint="eastAsia" w:hAnsi="宋体" w:cs="宋体"/>
          <w:b w:val="0"/>
          <w:bCs w:val="0"/>
          <w:color w:val="auto"/>
        </w:rPr>
        <w:t>身份证明书或</w:t>
      </w:r>
      <w:r>
        <w:rPr>
          <w:rFonts w:hint="eastAsia" w:hAnsi="宋体" w:cs="宋体"/>
          <w:color w:val="auto"/>
        </w:rPr>
        <w:t>授权委托书应符合</w:t>
      </w:r>
      <w:r>
        <w:rPr>
          <w:rFonts w:hint="eastAsia" w:hAnsi="宋体" w:cs="宋体"/>
          <w:b/>
          <w:bCs/>
          <w:color w:val="auto"/>
        </w:rPr>
        <w:t>第七章</w:t>
      </w:r>
      <w:r>
        <w:rPr>
          <w:rFonts w:hint="eastAsia" w:hAnsi="宋体" w:cs="宋体"/>
          <w:color w:val="auto"/>
        </w:rPr>
        <w:t>“响应文件格式”的要求。</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14.3响应文件应尽量避免涂改、行间插字或删除。如果出现上述情况，改动之处应由</w:t>
      </w:r>
      <w:r>
        <w:rPr>
          <w:rFonts w:hint="eastAsia" w:hAnsi="宋体" w:cs="宋体"/>
          <w:color w:val="auto"/>
          <w:lang w:eastAsia="zh-CN"/>
        </w:rPr>
        <w:t>律师事务所负责人</w:t>
      </w:r>
      <w:r>
        <w:rPr>
          <w:rFonts w:hint="eastAsia" w:hAnsi="宋体" w:cs="宋体"/>
          <w:color w:val="auto"/>
        </w:rPr>
        <w:t>或其授权的代理人签字或盖单位公章。</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14.4响应文件为一式三份，其中正本一份，副本两份，均须胶装成册；电子文件一份（U盘或光盘，应包含响应文件的所有内容，并标注供应商名称）。响应文件正本和副本的封面上应清楚地标记</w:t>
      </w:r>
      <w:r>
        <w:rPr>
          <w:rFonts w:hint="eastAsia" w:hAnsi="宋体" w:cs="宋体"/>
          <w:b/>
          <w:bCs/>
          <w:color w:val="auto"/>
        </w:rPr>
        <w:t>“正本”</w:t>
      </w:r>
      <w:r>
        <w:rPr>
          <w:rFonts w:hint="eastAsia" w:hAnsi="宋体" w:cs="宋体"/>
          <w:color w:val="auto"/>
        </w:rPr>
        <w:t>或</w:t>
      </w:r>
      <w:r>
        <w:rPr>
          <w:rFonts w:hint="eastAsia" w:hAnsi="宋体" w:cs="宋体"/>
          <w:b/>
          <w:bCs/>
          <w:color w:val="auto"/>
        </w:rPr>
        <w:t>“副本”</w:t>
      </w:r>
      <w:r>
        <w:rPr>
          <w:rFonts w:hint="eastAsia" w:hAnsi="宋体" w:cs="宋体"/>
          <w:color w:val="auto"/>
        </w:rPr>
        <w:t>的字样，若响应文件副本为正本的复印件，还需在竞争性采购文件要求盖章处加盖单位公章。当正本和副本有差异时，以正本为准。</w:t>
      </w:r>
    </w:p>
    <w:p>
      <w:pPr>
        <w:pStyle w:val="4"/>
        <w:keepNext w:val="0"/>
        <w:keepLines w:val="0"/>
        <w:rPr>
          <w:rFonts w:ascii="宋体" w:hAnsi="宋体" w:cs="宋体"/>
          <w:color w:val="auto"/>
          <w:sz w:val="21"/>
          <w:szCs w:val="21"/>
        </w:rPr>
      </w:pPr>
      <w:bookmarkStart w:id="42" w:name="_Toc16194"/>
      <w:bookmarkStart w:id="43" w:name="_Toc14891071"/>
      <w:bookmarkStart w:id="44" w:name="_Toc1468"/>
      <w:r>
        <w:rPr>
          <w:rFonts w:hint="eastAsia" w:ascii="宋体" w:hAnsi="宋体" w:cs="宋体"/>
          <w:color w:val="auto"/>
          <w:sz w:val="21"/>
          <w:szCs w:val="21"/>
        </w:rPr>
        <w:t>四、响应文件的递交</w:t>
      </w:r>
      <w:bookmarkEnd w:id="42"/>
      <w:bookmarkEnd w:id="43"/>
      <w:bookmarkEnd w:id="44"/>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15.</w:t>
      </w:r>
      <w:r>
        <w:rPr>
          <w:rFonts w:hint="eastAsia" w:ascii="宋体" w:hAnsi="宋体" w:cs="宋体"/>
          <w:b/>
          <w:color w:val="auto"/>
          <w:szCs w:val="21"/>
        </w:rPr>
        <w:t>响应文件</w:t>
      </w:r>
      <w:r>
        <w:rPr>
          <w:rFonts w:hint="eastAsia" w:ascii="宋体" w:hAnsi="宋体" w:cs="宋体"/>
          <w:b/>
          <w:bCs/>
          <w:color w:val="auto"/>
          <w:szCs w:val="21"/>
        </w:rPr>
        <w:t>的密封</w:t>
      </w:r>
    </w:p>
    <w:p>
      <w:pPr>
        <w:adjustRightInd w:val="0"/>
        <w:snapToGrid w:val="0"/>
        <w:spacing w:line="360" w:lineRule="auto"/>
        <w:ind w:firstLine="420" w:firstLineChars="200"/>
        <w:rPr>
          <w:rFonts w:ascii="宋体" w:hAnsi="宋体" w:cs="宋体"/>
          <w:b/>
          <w:bCs/>
          <w:color w:val="auto"/>
          <w:szCs w:val="21"/>
        </w:rPr>
      </w:pPr>
      <w:r>
        <w:rPr>
          <w:rFonts w:hint="eastAsia" w:ascii="宋体" w:hAnsi="宋体" w:cs="宋体"/>
          <w:color w:val="auto"/>
          <w:szCs w:val="21"/>
        </w:rPr>
        <w:t>15.1供应商须将响应文件一正两副与电子文件一起密封包装。</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16.响应文件的标记</w:t>
      </w:r>
    </w:p>
    <w:p>
      <w:pPr>
        <w:adjustRightInd w:val="0"/>
        <w:snapToGrid w:val="0"/>
        <w:spacing w:line="360" w:lineRule="auto"/>
        <w:ind w:firstLine="420" w:firstLineChars="200"/>
        <w:rPr>
          <w:rFonts w:ascii="宋体" w:hAnsi="宋体" w:cs="宋体"/>
          <w:b/>
          <w:bCs/>
          <w:color w:val="auto"/>
          <w:szCs w:val="21"/>
        </w:rPr>
      </w:pPr>
      <w:r>
        <w:rPr>
          <w:rFonts w:hint="eastAsia" w:ascii="宋体" w:hAnsi="宋体" w:cs="宋体"/>
          <w:color w:val="auto"/>
          <w:szCs w:val="21"/>
        </w:rPr>
        <w:t>16.1</w:t>
      </w:r>
      <w:r>
        <w:rPr>
          <w:rFonts w:hint="eastAsia" w:ascii="宋体" w:hAnsi="宋体" w:cs="宋体"/>
          <w:bCs/>
          <w:color w:val="auto"/>
          <w:szCs w:val="21"/>
        </w:rPr>
        <w:t>响应文件的密封封套上须写明如下内容</w:t>
      </w:r>
      <w:r>
        <w:rPr>
          <w:rFonts w:hint="eastAsia" w:ascii="宋体" w:hAnsi="宋体" w:cs="宋体"/>
          <w:color w:val="auto"/>
          <w:szCs w:val="21"/>
        </w:rPr>
        <w:t>。</w:t>
      </w:r>
    </w:p>
    <w:tbl>
      <w:tblPr>
        <w:tblStyle w:val="47"/>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color w:val="auto"/>
                <w:szCs w:val="21"/>
                <w:u w:val="single"/>
              </w:rPr>
            </w:pPr>
            <w:r>
              <w:rPr>
                <w:rFonts w:hint="eastAsia" w:ascii="宋体" w:hAnsi="宋体" w:cs="宋体"/>
                <w:color w:val="auto"/>
                <w:szCs w:val="21"/>
              </w:rPr>
              <w:t>采购</w:t>
            </w:r>
            <w:r>
              <w:rPr>
                <w:rFonts w:hint="eastAsia" w:ascii="宋体" w:hAnsi="宋体" w:cs="宋体"/>
                <w:color w:val="auto"/>
                <w:szCs w:val="21"/>
                <w:lang w:val="en-US" w:eastAsia="zh-CN"/>
              </w:rPr>
              <w:t>人</w:t>
            </w:r>
            <w:r>
              <w:rPr>
                <w:rFonts w:hint="eastAsia" w:ascii="宋体" w:hAnsi="宋体" w:cs="宋体"/>
                <w:color w:val="auto"/>
                <w:szCs w:val="21"/>
              </w:rPr>
              <w:t>：</w:t>
            </w:r>
            <w:r>
              <w:rPr>
                <w:rFonts w:hint="eastAsia" w:ascii="Times New Roman" w:hAnsi="Times New Roman" w:eastAsia="宋体" w:cs="Times New Roman"/>
                <w:b w:val="0"/>
                <w:bCs w:val="0"/>
                <w:i w:val="0"/>
                <w:iCs w:val="0"/>
                <w:color w:val="auto"/>
                <w:kern w:val="0"/>
                <w:sz w:val="21"/>
                <w:szCs w:val="21"/>
                <w:highlight w:val="none"/>
                <w:u w:val="single"/>
                <w:lang w:val="en-US" w:eastAsia="zh-CN" w:bidi="ar"/>
              </w:rPr>
              <w:t>长沙市轨道交通运营有限公司</w:t>
            </w:r>
          </w:p>
          <w:p>
            <w:pPr>
              <w:spacing w:line="360" w:lineRule="auto"/>
              <w:rPr>
                <w:rFonts w:ascii="宋体" w:hAnsi="宋体" w:cs="宋体"/>
                <w:color w:val="auto"/>
                <w:szCs w:val="21"/>
              </w:rPr>
            </w:pPr>
            <w:r>
              <w:rPr>
                <w:rFonts w:hint="eastAsia" w:ascii="宋体" w:hAnsi="宋体" w:cs="宋体"/>
                <w:color w:val="auto"/>
                <w:szCs w:val="21"/>
              </w:rPr>
              <w:t>项目名称：</w:t>
            </w:r>
            <w:r>
              <w:rPr>
                <w:rFonts w:hint="eastAsia" w:ascii="Times New Roman" w:hAnsi="Times New Roman" w:eastAsia="宋体" w:cs="Times New Roman"/>
                <w:b w:val="0"/>
                <w:bCs w:val="0"/>
                <w:i w:val="0"/>
                <w:iCs w:val="0"/>
                <w:color w:val="auto"/>
                <w:kern w:val="0"/>
                <w:sz w:val="21"/>
                <w:szCs w:val="21"/>
                <w:highlight w:val="none"/>
                <w:u w:val="single"/>
                <w:lang w:val="en-US" w:eastAsia="zh-CN" w:bidi="ar"/>
              </w:rPr>
              <w:t>长沙市轨道交通运营有限公司法律顾问采购服务项目</w:t>
            </w:r>
            <w:r>
              <w:rPr>
                <w:rFonts w:hint="eastAsia" w:cs="Times New Roman"/>
                <w:b w:val="0"/>
                <w:bCs w:val="0"/>
                <w:i w:val="0"/>
                <w:iCs w:val="0"/>
                <w:color w:val="auto"/>
                <w:kern w:val="0"/>
                <w:sz w:val="21"/>
                <w:szCs w:val="21"/>
                <w:highlight w:val="none"/>
                <w:u w:val="single"/>
                <w:lang w:val="en-US" w:eastAsia="zh-CN" w:bidi="ar"/>
              </w:rPr>
              <w:t>（第二次）</w:t>
            </w:r>
          </w:p>
          <w:p>
            <w:pPr>
              <w:spacing w:line="360" w:lineRule="auto"/>
              <w:rPr>
                <w:rFonts w:ascii="宋体" w:hAnsi="宋体" w:cs="宋体"/>
                <w:color w:val="auto"/>
                <w:szCs w:val="21"/>
                <w:u w:val="single"/>
              </w:rPr>
            </w:pPr>
            <w:r>
              <w:rPr>
                <w:rFonts w:hint="eastAsia" w:ascii="宋体" w:hAnsi="宋体" w:cs="宋体"/>
                <w:color w:val="auto"/>
                <w:szCs w:val="21"/>
              </w:rPr>
              <w:t>供应商：</w:t>
            </w:r>
            <w:r>
              <w:rPr>
                <w:rFonts w:hint="eastAsia" w:ascii="宋体" w:hAnsi="宋体" w:cs="宋体"/>
                <w:color w:val="auto"/>
                <w:szCs w:val="21"/>
                <w:u w:val="single"/>
              </w:rPr>
              <w:t xml:space="preserve">（填写单位名称并加盖单位公章）         </w:t>
            </w:r>
          </w:p>
          <w:p>
            <w:pPr>
              <w:spacing w:line="360" w:lineRule="auto"/>
              <w:ind w:firstLine="840" w:firstLineChars="400"/>
              <w:rPr>
                <w:rFonts w:ascii="宋体" w:hAnsi="宋体" w:cs="宋体"/>
                <w:color w:val="auto"/>
                <w:szCs w:val="21"/>
              </w:rPr>
            </w:pPr>
            <w:r>
              <w:rPr>
                <w:rFonts w:hint="eastAsia" w:ascii="宋体" w:hAnsi="宋体"/>
                <w:bCs/>
                <w:color w:val="auto"/>
                <w:szCs w:val="21"/>
                <w:u w:val="single"/>
              </w:rPr>
              <w:t xml:space="preserve">     </w:t>
            </w:r>
            <w:r>
              <w:rPr>
                <w:rFonts w:hint="eastAsia" w:ascii="宋体" w:hAnsi="宋体"/>
                <w:bCs/>
                <w:color w:val="auto"/>
                <w:szCs w:val="21"/>
              </w:rPr>
              <w:t>年</w:t>
            </w:r>
            <w:r>
              <w:rPr>
                <w:rFonts w:hint="eastAsia" w:ascii="宋体" w:hAnsi="宋体"/>
                <w:bCs/>
                <w:color w:val="auto"/>
                <w:szCs w:val="21"/>
                <w:u w:val="single"/>
              </w:rPr>
              <w:t xml:space="preserve">    </w:t>
            </w:r>
            <w:r>
              <w:rPr>
                <w:rFonts w:hint="eastAsia" w:ascii="宋体" w:hAnsi="宋体"/>
                <w:bCs/>
                <w:color w:val="auto"/>
                <w:szCs w:val="21"/>
              </w:rPr>
              <w:t>月</w:t>
            </w:r>
            <w:r>
              <w:rPr>
                <w:rFonts w:hint="eastAsia" w:ascii="宋体" w:hAnsi="宋体"/>
                <w:bCs/>
                <w:i/>
                <w:iCs/>
                <w:color w:val="auto"/>
                <w:szCs w:val="21"/>
                <w:u w:val="single"/>
              </w:rPr>
              <w:t xml:space="preserve">    </w:t>
            </w:r>
            <w:r>
              <w:rPr>
                <w:rFonts w:hint="eastAsia" w:ascii="宋体" w:hAnsi="宋体"/>
                <w:bCs/>
                <w:color w:val="auto"/>
                <w:szCs w:val="21"/>
              </w:rPr>
              <w:t>日</w:t>
            </w:r>
          </w:p>
        </w:tc>
      </w:tr>
    </w:tbl>
    <w:p>
      <w:pPr>
        <w:adjustRightInd w:val="0"/>
        <w:snapToGrid w:val="0"/>
        <w:spacing w:line="360" w:lineRule="auto"/>
        <w:ind w:firstLine="413" w:firstLineChars="196"/>
        <w:rPr>
          <w:rFonts w:ascii="宋体" w:hAnsi="宋体" w:cs="宋体"/>
          <w:b/>
          <w:bCs/>
          <w:color w:val="auto"/>
          <w:szCs w:val="21"/>
        </w:rPr>
      </w:pP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17.响应文件的递交与接收</w:t>
      </w:r>
    </w:p>
    <w:p>
      <w:pPr>
        <w:adjustRightInd w:val="0"/>
        <w:snapToGrid w:val="0"/>
        <w:spacing w:line="360" w:lineRule="auto"/>
        <w:ind w:firstLine="420" w:firstLineChars="200"/>
        <w:rPr>
          <w:rFonts w:ascii="宋体" w:hAnsi="宋体" w:cs="宋体"/>
          <w:color w:val="auto"/>
          <w:kern w:val="0"/>
          <w:szCs w:val="21"/>
        </w:rPr>
      </w:pPr>
      <w:r>
        <w:rPr>
          <w:rFonts w:hint="eastAsia" w:ascii="宋体" w:hAnsi="宋体" w:cs="宋体"/>
          <w:color w:val="auto"/>
          <w:szCs w:val="21"/>
        </w:rPr>
        <w:t>17.1供应商应按要求在</w:t>
      </w:r>
      <w:r>
        <w:rPr>
          <w:rFonts w:hint="eastAsia" w:ascii="宋体" w:hAnsi="宋体" w:cs="宋体"/>
          <w:color w:val="auto"/>
          <w:kern w:val="0"/>
          <w:szCs w:val="21"/>
        </w:rPr>
        <w:t>响应文件递交截止时间</w:t>
      </w:r>
      <w:r>
        <w:rPr>
          <w:rFonts w:hint="eastAsia" w:ascii="宋体" w:hAnsi="宋体" w:cs="宋体"/>
          <w:color w:val="auto"/>
          <w:szCs w:val="21"/>
        </w:rPr>
        <w:t>前，将响应文件送达指定地点，响应文件递交截止时间、地点及要求见</w:t>
      </w:r>
      <w:r>
        <w:rPr>
          <w:rFonts w:hint="eastAsia" w:ascii="宋体" w:hAnsi="宋体" w:cs="宋体"/>
          <w:b/>
          <w:color w:val="auto"/>
          <w:szCs w:val="21"/>
        </w:rPr>
        <w:t>前附表</w:t>
      </w:r>
      <w:r>
        <w:rPr>
          <w:rFonts w:hint="eastAsia" w:ascii="宋体" w:hAnsi="宋体" w:cs="宋体"/>
          <w:color w:val="auto"/>
          <w:szCs w:val="21"/>
        </w:rPr>
        <w:t>。</w:t>
      </w:r>
      <w:r>
        <w:rPr>
          <w:rFonts w:hint="eastAsia" w:ascii="宋体" w:hAnsi="宋体" w:cs="宋体"/>
          <w:color w:val="auto"/>
          <w:kern w:val="0"/>
          <w:szCs w:val="21"/>
        </w:rPr>
        <w:t>在截止时间后送达的响应文件，</w:t>
      </w:r>
      <w:r>
        <w:rPr>
          <w:rFonts w:hint="eastAsia" w:hAnsi="宋体" w:cs="宋体"/>
          <w:color w:val="auto"/>
          <w:kern w:val="0"/>
        </w:rPr>
        <w:t>采购</w:t>
      </w:r>
      <w:r>
        <w:rPr>
          <w:rFonts w:hint="eastAsia" w:hAnsi="宋体" w:cs="宋体"/>
          <w:color w:val="auto"/>
          <w:kern w:val="0"/>
          <w:lang w:val="en-US" w:eastAsia="zh-CN"/>
        </w:rPr>
        <w:t>人</w:t>
      </w:r>
      <w:r>
        <w:rPr>
          <w:rFonts w:hint="eastAsia" w:hAnsi="宋体" w:cs="宋体"/>
          <w:color w:val="auto"/>
          <w:kern w:val="0"/>
        </w:rPr>
        <w:t>应当拒收。</w:t>
      </w:r>
    </w:p>
    <w:p>
      <w:pPr>
        <w:adjustRightInd w:val="0"/>
        <w:snapToGrid w:val="0"/>
        <w:spacing w:line="360" w:lineRule="auto"/>
        <w:ind w:firstLine="420" w:firstLineChars="200"/>
        <w:rPr>
          <w:rFonts w:ascii="宋体" w:hAnsi="宋体" w:cs="宋体"/>
          <w:b/>
          <w:color w:val="auto"/>
          <w:szCs w:val="21"/>
        </w:rPr>
      </w:pPr>
      <w:r>
        <w:rPr>
          <w:rFonts w:hint="eastAsia" w:ascii="宋体" w:hAnsi="宋体" w:cs="宋体"/>
          <w:bCs/>
          <w:color w:val="auto"/>
          <w:szCs w:val="21"/>
        </w:rPr>
        <w:t>17.2采购</w:t>
      </w:r>
      <w:r>
        <w:rPr>
          <w:rFonts w:hint="eastAsia" w:ascii="宋体" w:hAnsi="宋体" w:cs="宋体"/>
          <w:bCs/>
          <w:color w:val="auto"/>
          <w:szCs w:val="21"/>
          <w:lang w:val="en-US" w:eastAsia="zh-CN"/>
        </w:rPr>
        <w:t>人</w:t>
      </w:r>
      <w:r>
        <w:rPr>
          <w:rFonts w:hint="eastAsia" w:ascii="宋体" w:hAnsi="宋体" w:cs="宋体"/>
          <w:bCs/>
          <w:color w:val="auto"/>
          <w:szCs w:val="21"/>
        </w:rPr>
        <w:t>在</w:t>
      </w:r>
      <w:r>
        <w:rPr>
          <w:rFonts w:hint="eastAsia" w:ascii="宋体" w:hAnsi="宋体" w:cs="宋体"/>
          <w:b/>
          <w:bCs/>
          <w:color w:val="auto"/>
          <w:szCs w:val="21"/>
        </w:rPr>
        <w:t>前附表</w:t>
      </w:r>
      <w:r>
        <w:rPr>
          <w:rFonts w:hint="eastAsia" w:ascii="宋体" w:hAnsi="宋体" w:cs="宋体"/>
          <w:bCs/>
          <w:color w:val="auto"/>
          <w:szCs w:val="21"/>
        </w:rPr>
        <w:t>规定的竞争性采购时间和地点，组织供应商签到并接收响应文件。</w:t>
      </w:r>
    </w:p>
    <w:p>
      <w:pPr>
        <w:pStyle w:val="4"/>
        <w:keepNext w:val="0"/>
        <w:keepLines w:val="0"/>
        <w:rPr>
          <w:rFonts w:ascii="宋体" w:hAnsi="宋体" w:cs="宋体"/>
          <w:color w:val="auto"/>
          <w:sz w:val="21"/>
          <w:szCs w:val="21"/>
        </w:rPr>
      </w:pPr>
      <w:bookmarkStart w:id="45" w:name="_Toc13483"/>
      <w:bookmarkStart w:id="46" w:name="_Toc14891072"/>
      <w:bookmarkStart w:id="47" w:name="_Toc9252"/>
      <w:r>
        <w:rPr>
          <w:rFonts w:hint="eastAsia" w:ascii="宋体" w:hAnsi="宋体" w:cs="宋体"/>
          <w:color w:val="auto"/>
          <w:sz w:val="21"/>
          <w:szCs w:val="21"/>
        </w:rPr>
        <w:t>五、响应文件的评审</w:t>
      </w:r>
      <w:bookmarkEnd w:id="45"/>
      <w:bookmarkEnd w:id="46"/>
      <w:bookmarkEnd w:id="47"/>
    </w:p>
    <w:p>
      <w:pPr>
        <w:adjustRightInd w:val="0"/>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18.</w:t>
      </w:r>
      <w:r>
        <w:rPr>
          <w:rFonts w:hint="eastAsia" w:ascii="宋体" w:hAnsi="宋体" w:cs="宋体"/>
          <w:bCs/>
          <w:color w:val="auto"/>
          <w:szCs w:val="21"/>
        </w:rPr>
        <w:t>评审由竞争性采购评审小组负责，竞争性采购评审小组应按照本竞争性采购文件</w:t>
      </w:r>
      <w:r>
        <w:rPr>
          <w:rFonts w:hint="eastAsia" w:ascii="宋体" w:hAnsi="宋体" w:cs="宋体"/>
          <w:b/>
          <w:color w:val="auto"/>
          <w:szCs w:val="21"/>
        </w:rPr>
        <w:t>第三章</w:t>
      </w:r>
      <w:r>
        <w:rPr>
          <w:rFonts w:hint="eastAsia" w:ascii="宋体" w:hAnsi="宋体" w:cs="宋体"/>
          <w:bCs/>
          <w:color w:val="auto"/>
          <w:szCs w:val="21"/>
        </w:rPr>
        <w:t>“评审办法及标准”的内容和程序对响应文件进行评审。</w:t>
      </w:r>
    </w:p>
    <w:p>
      <w:pPr>
        <w:pStyle w:val="4"/>
        <w:keepNext w:val="0"/>
        <w:keepLines w:val="0"/>
        <w:rPr>
          <w:rFonts w:ascii="宋体" w:hAnsi="宋体" w:cs="宋体"/>
          <w:color w:val="auto"/>
          <w:sz w:val="21"/>
          <w:szCs w:val="21"/>
        </w:rPr>
      </w:pPr>
      <w:bookmarkStart w:id="48" w:name="_Toc14891073"/>
      <w:bookmarkStart w:id="49" w:name="_Toc21358"/>
      <w:bookmarkStart w:id="50" w:name="_Toc18097"/>
      <w:r>
        <w:rPr>
          <w:rFonts w:hint="eastAsia" w:ascii="宋体" w:hAnsi="宋体" w:cs="宋体"/>
          <w:color w:val="auto"/>
          <w:sz w:val="21"/>
          <w:szCs w:val="21"/>
        </w:rPr>
        <w:t>六、响应文件的澄清、说明及补正</w:t>
      </w:r>
      <w:bookmarkEnd w:id="48"/>
      <w:bookmarkEnd w:id="49"/>
      <w:bookmarkEnd w:id="50"/>
    </w:p>
    <w:p>
      <w:pPr>
        <w:widowControl/>
        <w:adjustRightInd w:val="0"/>
        <w:snapToGrid w:val="0"/>
        <w:spacing w:line="360" w:lineRule="auto"/>
        <w:ind w:firstLine="422" w:firstLineChars="200"/>
        <w:rPr>
          <w:rFonts w:ascii="宋体" w:hAnsi="宋体" w:cs="宋体"/>
          <w:b/>
          <w:color w:val="auto"/>
          <w:kern w:val="0"/>
          <w:szCs w:val="21"/>
        </w:rPr>
      </w:pPr>
      <w:r>
        <w:rPr>
          <w:rFonts w:hint="eastAsia" w:ascii="宋体" w:hAnsi="宋体" w:cs="宋体"/>
          <w:b/>
          <w:color w:val="auto"/>
          <w:kern w:val="0"/>
          <w:szCs w:val="21"/>
        </w:rPr>
        <w:t>19.澄清</w:t>
      </w:r>
    </w:p>
    <w:p>
      <w:pPr>
        <w:widowControl/>
        <w:adjustRightInd w:val="0"/>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19.1竞争性采购评审小组可就响应文件中含糊之处要求供应商进行解释或澄清要求，供应商必须按照要求派</w:t>
      </w:r>
      <w:r>
        <w:rPr>
          <w:rFonts w:hint="eastAsia" w:ascii="宋体" w:hAnsi="宋体" w:cs="宋体"/>
          <w:color w:val="auto"/>
          <w:kern w:val="0"/>
          <w:szCs w:val="21"/>
          <w:lang w:eastAsia="zh-CN"/>
        </w:rPr>
        <w:t>律师事务所负责人</w:t>
      </w:r>
      <w:r>
        <w:rPr>
          <w:rFonts w:hint="eastAsia" w:ascii="宋体" w:hAnsi="宋体" w:cs="宋体"/>
          <w:color w:val="auto"/>
          <w:kern w:val="0"/>
          <w:szCs w:val="21"/>
        </w:rPr>
        <w:t>或授权委托人进行答疑和澄清。</w:t>
      </w:r>
    </w:p>
    <w:p>
      <w:pPr>
        <w:widowControl/>
        <w:adjustRightInd w:val="0"/>
        <w:snapToGrid w:val="0"/>
        <w:spacing w:line="360" w:lineRule="auto"/>
        <w:ind w:firstLine="422" w:firstLineChars="200"/>
        <w:rPr>
          <w:rFonts w:ascii="宋体" w:hAnsi="宋体" w:cs="宋体"/>
          <w:b/>
          <w:color w:val="auto"/>
          <w:kern w:val="0"/>
          <w:szCs w:val="21"/>
        </w:rPr>
      </w:pPr>
      <w:r>
        <w:rPr>
          <w:rFonts w:hint="eastAsia" w:ascii="宋体" w:hAnsi="宋体" w:cs="宋体"/>
          <w:b/>
          <w:color w:val="auto"/>
          <w:kern w:val="0"/>
          <w:szCs w:val="21"/>
        </w:rPr>
        <w:t>20.说明及补正</w:t>
      </w:r>
    </w:p>
    <w:p>
      <w:pPr>
        <w:widowControl/>
        <w:adjustRightInd w:val="0"/>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20.1必要时竞争性采购评审小组可要求供应商就澄清的问题作书面回答或承诺，该书面回答或承诺应有供应商</w:t>
      </w:r>
      <w:r>
        <w:rPr>
          <w:rFonts w:hint="eastAsia" w:ascii="宋体" w:hAnsi="宋体" w:cs="宋体"/>
          <w:color w:val="auto"/>
          <w:kern w:val="0"/>
          <w:szCs w:val="21"/>
          <w:lang w:eastAsia="zh-CN"/>
        </w:rPr>
        <w:t>律师事务所负责人</w:t>
      </w:r>
      <w:r>
        <w:rPr>
          <w:rFonts w:hint="eastAsia" w:ascii="宋体" w:hAnsi="宋体" w:cs="宋体"/>
          <w:color w:val="auto"/>
          <w:kern w:val="0"/>
          <w:szCs w:val="21"/>
        </w:rPr>
        <w:t>或委托代理人的签字或盖章，并将作为响应文件的一部分。</w:t>
      </w:r>
    </w:p>
    <w:p>
      <w:pPr>
        <w:widowControl/>
        <w:adjustRightInd w:val="0"/>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20.2供应商对响应文件的澄清不得改变竞争性采购报价及实质内容。</w:t>
      </w:r>
    </w:p>
    <w:p>
      <w:pPr>
        <w:widowControl/>
        <w:adjustRightInd w:val="0"/>
        <w:snapToGrid w:val="0"/>
        <w:spacing w:line="360" w:lineRule="auto"/>
        <w:ind w:firstLine="420" w:firstLineChars="200"/>
        <w:rPr>
          <w:rFonts w:ascii="宋体" w:hAnsi="宋体" w:cs="宋体"/>
          <w:b/>
          <w:color w:val="auto"/>
          <w:szCs w:val="21"/>
        </w:rPr>
      </w:pPr>
      <w:r>
        <w:rPr>
          <w:rFonts w:hint="eastAsia" w:ascii="宋体" w:hAnsi="宋体" w:cs="宋体"/>
          <w:color w:val="auto"/>
          <w:kern w:val="0"/>
          <w:szCs w:val="21"/>
        </w:rPr>
        <w:t>20.3与竞争性采购文件有重大偏离的响应文件将被拒绝。重大偏离指竞争性采购总报价、竞争性采购不含增值税总报价、竞争性采购有效期、服务期明显不能满足竞争性采购文件的要求。这些偏离不允许在响应文件递交截止时间之后修正。</w:t>
      </w:r>
    </w:p>
    <w:p>
      <w:pPr>
        <w:pStyle w:val="4"/>
        <w:keepNext w:val="0"/>
        <w:keepLines w:val="0"/>
        <w:rPr>
          <w:rFonts w:ascii="宋体" w:hAnsi="宋体" w:cs="宋体"/>
          <w:color w:val="auto"/>
          <w:sz w:val="21"/>
          <w:szCs w:val="21"/>
        </w:rPr>
      </w:pPr>
      <w:bookmarkStart w:id="51" w:name="_Toc20130"/>
      <w:bookmarkStart w:id="52" w:name="_Toc11870"/>
      <w:bookmarkStart w:id="53" w:name="_Toc14891074"/>
      <w:r>
        <w:rPr>
          <w:rFonts w:hint="eastAsia" w:ascii="宋体" w:hAnsi="宋体" w:cs="宋体"/>
          <w:color w:val="auto"/>
          <w:sz w:val="21"/>
          <w:szCs w:val="21"/>
        </w:rPr>
        <w:t>七、成交结果与授予合同</w:t>
      </w:r>
      <w:bookmarkEnd w:id="51"/>
      <w:bookmarkEnd w:id="52"/>
      <w:bookmarkEnd w:id="53"/>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21.成交信息的公布</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21.1成交供应商确定后，采购</w:t>
      </w:r>
      <w:r>
        <w:rPr>
          <w:rFonts w:hint="eastAsia" w:hAnsi="宋体" w:cs="宋体"/>
          <w:color w:val="auto"/>
          <w:lang w:val="en-US" w:eastAsia="zh-CN"/>
        </w:rPr>
        <w:t>人</w:t>
      </w:r>
      <w:r>
        <w:rPr>
          <w:rFonts w:hint="eastAsia" w:hAnsi="宋体" w:cs="宋体"/>
          <w:color w:val="auto"/>
        </w:rPr>
        <w:t>应将结果信息在</w:t>
      </w:r>
      <w:r>
        <w:rPr>
          <w:rFonts w:hint="eastAsia" w:hAnsi="宋体" w:cs="宋体"/>
          <w:b/>
          <w:color w:val="auto"/>
        </w:rPr>
        <w:t>前附表</w:t>
      </w:r>
      <w:r>
        <w:rPr>
          <w:rFonts w:hint="eastAsia" w:hAnsi="宋体" w:cs="宋体"/>
          <w:color w:val="auto"/>
        </w:rPr>
        <w:t>指定的媒体上公布，</w:t>
      </w:r>
      <w:r>
        <w:rPr>
          <w:rFonts w:hint="eastAsia" w:hAnsi="宋体" w:cs="宋体"/>
          <w:b/>
          <w:bCs/>
          <w:color w:val="auto"/>
        </w:rPr>
        <w:t>公示期限为3个工作日</w:t>
      </w:r>
      <w:r>
        <w:rPr>
          <w:rFonts w:hint="eastAsia" w:hAnsi="宋体" w:cs="宋体"/>
          <w:color w:val="auto"/>
        </w:rPr>
        <w:t>。</w:t>
      </w:r>
    </w:p>
    <w:p>
      <w:pPr>
        <w:pStyle w:val="25"/>
        <w:adjustRightInd w:val="0"/>
        <w:snapToGrid w:val="0"/>
        <w:spacing w:line="360" w:lineRule="auto"/>
        <w:ind w:firstLine="422" w:firstLineChars="200"/>
        <w:rPr>
          <w:rFonts w:hAnsi="宋体" w:cs="宋体"/>
          <w:b/>
          <w:bCs/>
          <w:color w:val="auto"/>
        </w:rPr>
      </w:pPr>
      <w:r>
        <w:rPr>
          <w:rFonts w:hint="eastAsia" w:hAnsi="宋体" w:cs="宋体"/>
          <w:b/>
          <w:bCs/>
          <w:color w:val="auto"/>
        </w:rPr>
        <w:t>22.评审结果异议</w:t>
      </w:r>
    </w:p>
    <w:p>
      <w:pPr>
        <w:pStyle w:val="25"/>
        <w:adjustRightInd w:val="0"/>
        <w:snapToGrid w:val="0"/>
        <w:spacing w:line="360" w:lineRule="auto"/>
        <w:ind w:firstLine="420" w:firstLineChars="200"/>
        <w:rPr>
          <w:rFonts w:hAnsi="宋体" w:cs="宋体"/>
          <w:b/>
          <w:color w:val="auto"/>
        </w:rPr>
      </w:pPr>
      <w:r>
        <w:rPr>
          <w:rFonts w:hint="eastAsia" w:hAnsi="宋体" w:cs="宋体"/>
          <w:color w:val="auto"/>
          <w:kern w:val="0"/>
        </w:rPr>
        <w:t>22.1供应商对评审结果有异议的，应当在结果公示期间提出。</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23.成交通知</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23.1成交供应商确定后，采购</w:t>
      </w:r>
      <w:r>
        <w:rPr>
          <w:rFonts w:hint="eastAsia" w:hAnsi="宋体" w:cs="宋体"/>
          <w:color w:val="auto"/>
          <w:lang w:val="en-US" w:eastAsia="zh-CN"/>
        </w:rPr>
        <w:t>人</w:t>
      </w:r>
      <w:r>
        <w:rPr>
          <w:rFonts w:hint="eastAsia" w:hAnsi="宋体" w:cs="宋体"/>
          <w:color w:val="auto"/>
        </w:rPr>
        <w:t>将以书面形式向成交供应商发出成交通知书。成交通知书对采购</w:t>
      </w:r>
      <w:r>
        <w:rPr>
          <w:rFonts w:hint="eastAsia" w:hAnsi="宋体" w:cs="宋体"/>
          <w:color w:val="auto"/>
          <w:lang w:val="en-US" w:eastAsia="zh-CN"/>
        </w:rPr>
        <w:t>人</w:t>
      </w:r>
      <w:r>
        <w:rPr>
          <w:rFonts w:hint="eastAsia" w:hAnsi="宋体" w:cs="宋体"/>
          <w:color w:val="auto"/>
        </w:rPr>
        <w:t>和成交供应商具有同等法律效力。</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24.签订合同</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24.1竞争性采购文件、成交供应商的响应文件及其补充的文件等均为签订合同的依据。</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24.2成交供应商应当在成交通知书发出后及时与</w:t>
      </w:r>
      <w:r>
        <w:rPr>
          <w:rFonts w:hint="eastAsia" w:hAnsi="宋体" w:cs="宋体"/>
          <w:color w:val="auto"/>
          <w:lang w:eastAsia="zh-CN"/>
        </w:rPr>
        <w:t>采购人</w:t>
      </w:r>
      <w:r>
        <w:rPr>
          <w:rFonts w:hint="eastAsia" w:hAnsi="宋体" w:cs="宋体"/>
          <w:color w:val="auto"/>
        </w:rPr>
        <w:t>签订合同。</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24.3成交供应商应当按照合同约定履行义务。</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25.纪律和监督</w:t>
      </w:r>
    </w:p>
    <w:p>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25.1对</w:t>
      </w:r>
      <w:r>
        <w:rPr>
          <w:rFonts w:hint="eastAsia" w:ascii="宋体" w:hAnsi="宋体" w:cs="宋体"/>
          <w:b/>
          <w:bCs/>
          <w:color w:val="auto"/>
          <w:szCs w:val="21"/>
          <w:lang w:eastAsia="zh-CN"/>
        </w:rPr>
        <w:t>采购人</w:t>
      </w:r>
      <w:r>
        <w:rPr>
          <w:rFonts w:hint="eastAsia" w:ascii="宋体" w:hAnsi="宋体" w:cs="宋体"/>
          <w:b/>
          <w:bCs/>
          <w:color w:val="auto"/>
          <w:szCs w:val="21"/>
        </w:rPr>
        <w:t>的纪律要求</w:t>
      </w:r>
    </w:p>
    <w:p>
      <w:pPr>
        <w:pStyle w:val="358"/>
        <w:ind w:firstLine="420" w:firstLineChars="200"/>
        <w:jc w:val="both"/>
        <w:rPr>
          <w:rFonts w:hAnsi="宋体" w:cs="宋体"/>
          <w:color w:val="auto"/>
          <w:sz w:val="21"/>
          <w:szCs w:val="21"/>
        </w:rPr>
      </w:pPr>
      <w:r>
        <w:rPr>
          <w:rFonts w:hint="eastAsia" w:hAnsi="宋体" w:cs="宋体"/>
          <w:color w:val="auto"/>
          <w:sz w:val="21"/>
          <w:szCs w:val="21"/>
          <w:lang w:eastAsia="zh-CN"/>
        </w:rPr>
        <w:t>采购人</w:t>
      </w:r>
      <w:r>
        <w:rPr>
          <w:rFonts w:hint="eastAsia" w:hAnsi="宋体" w:cs="宋体"/>
          <w:color w:val="auto"/>
          <w:sz w:val="21"/>
          <w:szCs w:val="21"/>
        </w:rPr>
        <w:t>不得泄露竞争性采购活动中应当保密的情况和资料，不得与供应商串通损害国家利益、社会公共利益或者他人合法权益。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rPr>
      </w:pPr>
      <w:r>
        <w:rPr>
          <w:rFonts w:hint="eastAsia" w:ascii="宋体" w:hAnsi="宋体" w:cs="宋体"/>
          <w:b/>
          <w:bCs/>
          <w:color w:val="auto"/>
          <w:szCs w:val="21"/>
        </w:rPr>
        <w:t>25.2对供应商的纪律要求</w:t>
      </w:r>
    </w:p>
    <w:p>
      <w:pPr>
        <w:pStyle w:val="358"/>
        <w:ind w:firstLine="420" w:firstLineChars="200"/>
        <w:jc w:val="both"/>
        <w:rPr>
          <w:rFonts w:hAnsi="宋体" w:cs="宋体"/>
          <w:color w:val="auto"/>
          <w:sz w:val="21"/>
          <w:szCs w:val="21"/>
        </w:rPr>
      </w:pPr>
      <w:r>
        <w:rPr>
          <w:rFonts w:hint="eastAsia" w:hAnsi="宋体" w:cs="宋体"/>
          <w:color w:val="auto"/>
          <w:sz w:val="21"/>
          <w:szCs w:val="21"/>
        </w:rPr>
        <w:t>供应商不得相互串通或者与</w:t>
      </w:r>
      <w:r>
        <w:rPr>
          <w:rFonts w:hint="eastAsia" w:hAnsi="宋体" w:cs="宋体"/>
          <w:color w:val="auto"/>
          <w:sz w:val="21"/>
          <w:szCs w:val="21"/>
          <w:lang w:eastAsia="zh-CN"/>
        </w:rPr>
        <w:t>采购人</w:t>
      </w:r>
      <w:r>
        <w:rPr>
          <w:rFonts w:hint="eastAsia" w:hAnsi="宋体" w:cs="宋体"/>
          <w:color w:val="auto"/>
          <w:sz w:val="21"/>
          <w:szCs w:val="21"/>
        </w:rPr>
        <w:t>串通，不得向</w:t>
      </w:r>
      <w:r>
        <w:rPr>
          <w:rFonts w:hint="eastAsia" w:hAnsi="宋体" w:cs="宋体"/>
          <w:color w:val="auto"/>
          <w:sz w:val="21"/>
          <w:szCs w:val="21"/>
          <w:lang w:eastAsia="zh-CN"/>
        </w:rPr>
        <w:t>采购人</w:t>
      </w:r>
      <w:r>
        <w:rPr>
          <w:rFonts w:hint="eastAsia" w:hAnsi="宋体" w:cs="宋体"/>
          <w:color w:val="auto"/>
          <w:sz w:val="21"/>
          <w:szCs w:val="21"/>
        </w:rPr>
        <w:t>或者竞争性采购评审小组成员行贿谋取成交，不得以他人名义参与竞争性采购或者以其他方式弄虚作假骗取成交；供应商不得以任何方式干扰、影响评审工作。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rPr>
      </w:pPr>
      <w:r>
        <w:rPr>
          <w:rFonts w:hint="eastAsia" w:ascii="宋体" w:hAnsi="宋体" w:cs="宋体"/>
          <w:b/>
          <w:bCs/>
          <w:color w:val="auto"/>
          <w:szCs w:val="21"/>
        </w:rPr>
        <w:t>25.3对</w:t>
      </w:r>
      <w:r>
        <w:rPr>
          <w:rFonts w:hint="eastAsia" w:ascii="宋体" w:hAnsi="宋体" w:cs="宋体"/>
          <w:b/>
          <w:color w:val="auto"/>
          <w:szCs w:val="21"/>
        </w:rPr>
        <w:t>竞争性采购评审小组</w:t>
      </w:r>
      <w:r>
        <w:rPr>
          <w:rFonts w:hint="eastAsia" w:ascii="宋体" w:hAnsi="宋体" w:cs="宋体"/>
          <w:b/>
          <w:bCs/>
          <w:color w:val="auto"/>
          <w:szCs w:val="21"/>
        </w:rPr>
        <w:t>成员的纪律要求</w:t>
      </w:r>
    </w:p>
    <w:p>
      <w:pPr>
        <w:pStyle w:val="358"/>
        <w:ind w:firstLine="420" w:firstLineChars="200"/>
        <w:jc w:val="both"/>
        <w:rPr>
          <w:rFonts w:hAnsi="宋体" w:cs="宋体"/>
          <w:color w:val="auto"/>
          <w:sz w:val="21"/>
          <w:szCs w:val="21"/>
        </w:rPr>
      </w:pPr>
      <w:r>
        <w:rPr>
          <w:rFonts w:hint="eastAsia" w:hAnsi="宋体" w:cs="宋体"/>
          <w:color w:val="auto"/>
          <w:sz w:val="21"/>
          <w:szCs w:val="21"/>
        </w:rPr>
        <w:t>竞争性采购评审小组成员不得收受他人的财物或者其他好处，不得向他人透露对竞争性采购文件的评审和比较以及评审有关的其他情况。在评审活动中，竞争性采购评审小组成员应当客观、公正地履行职责，遵守职业道德，不得擅离职守，影响评审程序正常进行，不得使用</w:t>
      </w:r>
      <w:r>
        <w:rPr>
          <w:rFonts w:hint="eastAsia" w:hAnsi="宋体" w:cs="宋体"/>
          <w:b/>
          <w:bCs/>
          <w:color w:val="auto"/>
          <w:sz w:val="21"/>
          <w:szCs w:val="21"/>
        </w:rPr>
        <w:t>第</w:t>
      </w:r>
      <w:bookmarkStart w:id="54" w:name="page32"/>
      <w:bookmarkEnd w:id="54"/>
      <w:r>
        <w:rPr>
          <w:rFonts w:hint="eastAsia" w:hAnsi="宋体" w:cs="宋体"/>
          <w:b/>
          <w:bCs/>
          <w:color w:val="auto"/>
          <w:sz w:val="21"/>
          <w:szCs w:val="21"/>
        </w:rPr>
        <w:t>三章</w:t>
      </w:r>
      <w:r>
        <w:rPr>
          <w:rFonts w:hint="eastAsia" w:hAnsi="宋体" w:cs="宋体"/>
          <w:color w:val="auto"/>
          <w:sz w:val="21"/>
          <w:szCs w:val="21"/>
        </w:rPr>
        <w:t>“评审办法及标准”没有规定的评审因素和标准进行评审。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rPr>
      </w:pPr>
      <w:r>
        <w:rPr>
          <w:rFonts w:hint="eastAsia" w:ascii="宋体" w:hAnsi="宋体" w:cs="宋体"/>
          <w:b/>
          <w:bCs/>
          <w:color w:val="auto"/>
          <w:szCs w:val="21"/>
        </w:rPr>
        <w:t>25.4对与评审活动有关的工作人员的纪律要求</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4"/>
        <w:keepNext w:val="0"/>
        <w:keepLines w:val="0"/>
        <w:rPr>
          <w:rFonts w:ascii="宋体" w:hAnsi="宋体" w:cs="宋体"/>
          <w:color w:val="auto"/>
          <w:sz w:val="21"/>
          <w:szCs w:val="21"/>
        </w:rPr>
      </w:pPr>
      <w:bookmarkStart w:id="55" w:name="_Toc14891075"/>
      <w:bookmarkStart w:id="56" w:name="_Toc137"/>
      <w:bookmarkStart w:id="57" w:name="_Toc2045"/>
      <w:r>
        <w:rPr>
          <w:rFonts w:hint="eastAsia" w:ascii="宋体" w:hAnsi="宋体" w:cs="宋体"/>
          <w:color w:val="auto"/>
          <w:sz w:val="21"/>
          <w:szCs w:val="21"/>
        </w:rPr>
        <w:t>八、其他</w:t>
      </w:r>
      <w:bookmarkEnd w:id="55"/>
      <w:bookmarkEnd w:id="56"/>
      <w:bookmarkEnd w:id="57"/>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26.处罚规定</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26.1</w:t>
      </w:r>
      <w:r>
        <w:rPr>
          <w:rFonts w:hint="eastAsia" w:hAnsi="宋体" w:cs="宋体"/>
          <w:color w:val="auto"/>
          <w:lang w:eastAsia="zh-CN"/>
        </w:rPr>
        <w:t>采购人</w:t>
      </w:r>
      <w:r>
        <w:rPr>
          <w:rFonts w:hint="eastAsia" w:hAnsi="宋体" w:cs="宋体"/>
          <w:color w:val="auto"/>
        </w:rPr>
        <w:t>有权在竞争性采购有效期内的任何时候，对供应商提交的文件、资料等情况进行审查复核，若发现供应商在竞争性采购过程中有弄虚作假、围标串标的行为，或有不按竞争性采购文件的要求如实提供有关情况、文件、证明等资料的行为，或有所提供的有关情况、文件、证明等资料与事实不符的行为，或在采购过程中存在其他违法违规行为的，按照不合格处理；被列为成交候选人的，取消成交候选人资格；已成交的，取消成交资格。同时视其情节轻重，给予没收部分或全部竞争性采购保证金，或（和）禁止其一定期限内（最多三年）参与采购人项目招标采购活动，并出具书面处理决定。除此之外，如供应商给采购人造成的损失超过竞争性采购保证金数额的，供应商应当对超过部分给予赔偿。包括但不限于下列情形：</w:t>
      </w:r>
    </w:p>
    <w:p>
      <w:pPr>
        <w:pStyle w:val="25"/>
        <w:numPr>
          <w:ilvl w:val="0"/>
          <w:numId w:val="14"/>
        </w:numPr>
        <w:adjustRightInd w:val="0"/>
        <w:snapToGrid w:val="0"/>
        <w:spacing w:line="360" w:lineRule="auto"/>
        <w:ind w:left="0" w:firstLine="420" w:firstLineChars="200"/>
        <w:rPr>
          <w:rFonts w:hAnsi="宋体" w:cs="宋体"/>
          <w:color w:val="auto"/>
        </w:rPr>
      </w:pPr>
      <w:r>
        <w:rPr>
          <w:rFonts w:hint="eastAsia" w:hAnsi="宋体" w:cs="宋体"/>
          <w:color w:val="auto"/>
        </w:rPr>
        <w:t>供应商提出撤回或撤销或放弃成交资格或对报价提出实质性修改；</w:t>
      </w:r>
    </w:p>
    <w:p>
      <w:pPr>
        <w:pStyle w:val="25"/>
        <w:numPr>
          <w:ilvl w:val="0"/>
          <w:numId w:val="14"/>
        </w:numPr>
        <w:adjustRightInd w:val="0"/>
        <w:snapToGrid w:val="0"/>
        <w:spacing w:line="360" w:lineRule="auto"/>
        <w:ind w:left="0" w:firstLine="420" w:firstLineChars="200"/>
        <w:rPr>
          <w:rFonts w:hAnsi="宋体" w:cs="宋体"/>
          <w:color w:val="auto"/>
        </w:rPr>
      </w:pPr>
      <w:r>
        <w:rPr>
          <w:rFonts w:hint="eastAsia" w:hAnsi="宋体" w:cs="宋体"/>
          <w:color w:val="auto"/>
        </w:rPr>
        <w:t>成交供应商未能在规定期限内签订合同或不按报价结果签订合同；</w:t>
      </w:r>
    </w:p>
    <w:p>
      <w:pPr>
        <w:pStyle w:val="25"/>
        <w:numPr>
          <w:ilvl w:val="0"/>
          <w:numId w:val="14"/>
        </w:numPr>
        <w:adjustRightInd w:val="0"/>
        <w:snapToGrid w:val="0"/>
        <w:spacing w:line="360" w:lineRule="auto"/>
        <w:ind w:left="0" w:firstLine="420" w:firstLineChars="200"/>
        <w:rPr>
          <w:rFonts w:hAnsi="宋体" w:cs="宋体"/>
          <w:color w:val="auto"/>
        </w:rPr>
      </w:pPr>
      <w:r>
        <w:rPr>
          <w:rFonts w:hint="eastAsia" w:hAnsi="宋体" w:cs="宋体"/>
          <w:color w:val="auto"/>
        </w:rPr>
        <w:t>成交供应商未能在规定期限内提交履约保证金；</w:t>
      </w:r>
    </w:p>
    <w:p>
      <w:pPr>
        <w:pStyle w:val="25"/>
        <w:numPr>
          <w:ilvl w:val="0"/>
          <w:numId w:val="14"/>
        </w:numPr>
        <w:adjustRightInd w:val="0"/>
        <w:snapToGrid w:val="0"/>
        <w:spacing w:line="360" w:lineRule="auto"/>
        <w:ind w:left="0" w:firstLine="420" w:firstLineChars="200"/>
        <w:rPr>
          <w:rFonts w:hAnsi="宋体" w:cs="宋体"/>
          <w:color w:val="auto"/>
        </w:rPr>
      </w:pPr>
      <w:r>
        <w:rPr>
          <w:rFonts w:hint="eastAsia" w:hAnsi="宋体" w:cs="宋体"/>
          <w:color w:val="auto"/>
        </w:rPr>
        <w:t>成交供应商在合同订立过程中未能完全响应采购文件、清单、附件、合同要求以致合同无法订立的；</w:t>
      </w:r>
    </w:p>
    <w:p>
      <w:pPr>
        <w:pStyle w:val="25"/>
        <w:numPr>
          <w:ilvl w:val="0"/>
          <w:numId w:val="14"/>
        </w:numPr>
        <w:adjustRightInd w:val="0"/>
        <w:snapToGrid w:val="0"/>
        <w:spacing w:line="360" w:lineRule="auto"/>
        <w:ind w:left="0" w:firstLine="420" w:firstLineChars="200"/>
        <w:rPr>
          <w:rFonts w:hAnsi="宋体" w:cs="宋体"/>
          <w:color w:val="auto"/>
        </w:rPr>
      </w:pPr>
      <w:r>
        <w:rPr>
          <w:rFonts w:hint="eastAsia" w:hAnsi="宋体" w:cs="宋体"/>
          <w:color w:val="auto"/>
        </w:rPr>
        <w:t>经查实供应商报价资料弄虚作假的；</w:t>
      </w:r>
    </w:p>
    <w:p>
      <w:pPr>
        <w:pStyle w:val="25"/>
        <w:numPr>
          <w:ilvl w:val="0"/>
          <w:numId w:val="14"/>
        </w:numPr>
        <w:adjustRightInd w:val="0"/>
        <w:snapToGrid w:val="0"/>
        <w:spacing w:line="360" w:lineRule="auto"/>
        <w:ind w:left="0" w:firstLine="420" w:firstLineChars="200"/>
        <w:rPr>
          <w:rFonts w:hAnsi="宋体" w:cs="宋体"/>
          <w:color w:val="auto"/>
        </w:rPr>
      </w:pPr>
      <w:r>
        <w:rPr>
          <w:rFonts w:hint="eastAsia" w:hAnsi="宋体" w:cs="宋体"/>
          <w:color w:val="auto"/>
        </w:rPr>
        <w:t>串通参与竞争性采购相关行为的。如不同供应商的竞争性采购保证金从同一账户转出。</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26.2供应商不允许有挂靠或转包的行为，</w:t>
      </w:r>
      <w:r>
        <w:rPr>
          <w:rFonts w:hint="eastAsia" w:hAnsi="宋体" w:cs="宋体"/>
          <w:color w:val="auto"/>
          <w:lang w:eastAsia="zh-CN"/>
        </w:rPr>
        <w:t>采购人</w:t>
      </w:r>
      <w:r>
        <w:rPr>
          <w:rFonts w:hint="eastAsia" w:hAnsi="宋体" w:cs="宋体"/>
          <w:color w:val="auto"/>
        </w:rPr>
        <w:t>或评审小组在任何时候发现供应商是挂靠或转包的，该供应商按照不合格供应商处理，</w:t>
      </w:r>
      <w:r>
        <w:rPr>
          <w:rFonts w:hint="eastAsia" w:hAnsi="宋体" w:cs="宋体"/>
          <w:color w:val="auto"/>
          <w:lang w:eastAsia="zh-CN"/>
        </w:rPr>
        <w:t>采购人</w:t>
      </w:r>
      <w:r>
        <w:rPr>
          <w:rFonts w:hint="eastAsia" w:hAnsi="宋体" w:cs="宋体"/>
          <w:color w:val="auto"/>
        </w:rPr>
        <w:t>有权取消其成交资格或（和）没收竞争性采购保证金，已签订合同的，终止合同，没收履约保证金，并追究该供应商的有关法律责任。</w:t>
      </w:r>
    </w:p>
    <w:p>
      <w:pPr>
        <w:pStyle w:val="25"/>
        <w:adjustRightInd w:val="0"/>
        <w:snapToGrid w:val="0"/>
        <w:spacing w:line="360" w:lineRule="auto"/>
        <w:ind w:firstLine="420" w:firstLineChars="200"/>
        <w:rPr>
          <w:rFonts w:hAnsi="宋体" w:cs="宋体"/>
          <w:color w:val="auto"/>
        </w:rPr>
      </w:pPr>
      <w:r>
        <w:rPr>
          <w:rFonts w:hint="eastAsia" w:hAnsi="宋体" w:cs="宋体"/>
          <w:color w:val="auto"/>
        </w:rPr>
        <w:t>26.3.法律法规中规定的其他情形。</w:t>
      </w:r>
    </w:p>
    <w:p>
      <w:pPr>
        <w:pStyle w:val="2"/>
        <w:rPr>
          <w:rFonts w:ascii="宋体" w:hAnsi="宋体" w:cs="宋体"/>
          <w:color w:val="auto"/>
          <w:szCs w:val="21"/>
        </w:rPr>
      </w:pPr>
    </w:p>
    <w:p>
      <w:pPr>
        <w:rPr>
          <w:color w:val="auto"/>
        </w:rPr>
        <w:sectPr>
          <w:footerReference r:id="rId6" w:type="default"/>
          <w:pgSz w:w="11906" w:h="16838"/>
          <w:pgMar w:top="2098" w:right="1474" w:bottom="1984" w:left="1587" w:header="851" w:footer="992" w:gutter="0"/>
          <w:cols w:space="0" w:num="1"/>
          <w:docGrid w:type="lines" w:linePitch="319" w:charSpace="0"/>
        </w:sectPr>
      </w:pPr>
    </w:p>
    <w:p>
      <w:pPr>
        <w:pStyle w:val="3"/>
        <w:keepNext w:val="0"/>
        <w:spacing w:line="360" w:lineRule="auto"/>
        <w:rPr>
          <w:rFonts w:ascii="宋体" w:hAnsi="宋体" w:cs="宋体"/>
          <w:bCs w:val="0"/>
          <w:color w:val="auto"/>
          <w:sz w:val="32"/>
          <w:szCs w:val="32"/>
        </w:rPr>
      </w:pPr>
      <w:bookmarkStart w:id="58" w:name="_Toc1719"/>
      <w:bookmarkStart w:id="59" w:name="_Toc28427"/>
      <w:bookmarkStart w:id="60" w:name="_Toc4275"/>
      <w:bookmarkStart w:id="61" w:name="_Toc18653"/>
      <w:bookmarkStart w:id="62" w:name="_Toc5567"/>
      <w:r>
        <w:rPr>
          <w:rFonts w:hint="eastAsia" w:ascii="宋体" w:hAnsi="宋体" w:cs="宋体"/>
          <w:bCs w:val="0"/>
          <w:color w:val="auto"/>
          <w:sz w:val="32"/>
          <w:szCs w:val="32"/>
        </w:rPr>
        <w:t>第三章  评审办法及标准</w:t>
      </w:r>
      <w:bookmarkEnd w:id="58"/>
      <w:bookmarkEnd w:id="59"/>
      <w:bookmarkEnd w:id="60"/>
      <w:bookmarkEnd w:id="61"/>
      <w:bookmarkEnd w:id="62"/>
    </w:p>
    <w:p>
      <w:pPr>
        <w:adjustRightInd w:val="0"/>
        <w:snapToGrid w:val="0"/>
        <w:spacing w:line="360" w:lineRule="auto"/>
        <w:ind w:left="632" w:hanging="632" w:hangingChars="300"/>
        <w:rPr>
          <w:rFonts w:ascii="宋体" w:hAnsi="宋体" w:cs="宋体"/>
          <w:b/>
          <w:color w:val="auto"/>
          <w:szCs w:val="21"/>
        </w:rPr>
      </w:pPr>
    </w:p>
    <w:p>
      <w:pPr>
        <w:adjustRightInd w:val="0"/>
        <w:snapToGrid w:val="0"/>
        <w:spacing w:line="360" w:lineRule="auto"/>
        <w:ind w:left="632" w:hanging="632" w:hangingChars="300"/>
        <w:rPr>
          <w:rFonts w:ascii="宋体" w:hAnsi="宋体" w:cs="宋体"/>
          <w:b/>
          <w:color w:val="auto"/>
          <w:szCs w:val="21"/>
        </w:rPr>
      </w:pPr>
      <w:r>
        <w:rPr>
          <w:rFonts w:hint="eastAsia" w:ascii="宋体" w:hAnsi="宋体" w:cs="宋体"/>
          <w:b/>
          <w:color w:val="auto"/>
          <w:szCs w:val="21"/>
        </w:rPr>
        <w:t>一、评审办法</w:t>
      </w:r>
    </w:p>
    <w:p>
      <w:pPr>
        <w:widowControl/>
        <w:adjustRightInd w:val="0"/>
        <w:snapToGrid w:val="0"/>
        <w:spacing w:line="360" w:lineRule="auto"/>
        <w:ind w:firstLine="420" w:firstLineChars="200"/>
        <w:rPr>
          <w:rFonts w:ascii="宋体" w:hAnsi="宋体" w:cs="宋体"/>
          <w:color w:val="auto"/>
          <w:szCs w:val="21"/>
        </w:rPr>
      </w:pPr>
      <w:r>
        <w:rPr>
          <w:rFonts w:hint="eastAsia" w:ascii="宋体" w:hAnsi="宋体" w:cs="宋体"/>
          <w:bCs/>
          <w:color w:val="auto"/>
          <w:szCs w:val="21"/>
        </w:rPr>
        <w:t>1.1本项目采用</w:t>
      </w:r>
      <w:r>
        <w:rPr>
          <w:rFonts w:hint="eastAsia" w:ascii="宋体" w:hAnsi="宋体" w:cs="Courier New"/>
          <w:b/>
          <w:bCs/>
          <w:iCs/>
          <w:color w:val="auto"/>
          <w:kern w:val="2"/>
          <w:sz w:val="21"/>
          <w:szCs w:val="21"/>
          <w:u w:val="none"/>
          <w:lang w:val="en-US" w:eastAsia="zh-CN" w:bidi="ar-SA"/>
        </w:rPr>
        <w:t>综合评审法</w:t>
      </w:r>
      <w:r>
        <w:rPr>
          <w:rFonts w:hint="eastAsia" w:ascii="宋体" w:hAnsi="宋体" w:cs="宋体"/>
          <w:color w:val="auto"/>
          <w:szCs w:val="21"/>
        </w:rPr>
        <w:t>。</w:t>
      </w:r>
    </w:p>
    <w:p>
      <w:pPr>
        <w:adjustRightInd w:val="0"/>
        <w:snapToGrid w:val="0"/>
        <w:spacing w:line="360" w:lineRule="auto"/>
        <w:ind w:left="632" w:hanging="632" w:hangingChars="300"/>
        <w:rPr>
          <w:rFonts w:ascii="宋体" w:hAnsi="宋体" w:cs="宋体"/>
          <w:b/>
          <w:color w:val="auto"/>
          <w:szCs w:val="21"/>
        </w:rPr>
      </w:pPr>
      <w:r>
        <w:rPr>
          <w:rFonts w:hint="eastAsia" w:ascii="宋体" w:hAnsi="宋体" w:cs="宋体"/>
          <w:b/>
          <w:color w:val="auto"/>
          <w:szCs w:val="21"/>
        </w:rPr>
        <w:t>二、竞争性采购程序</w:t>
      </w:r>
    </w:p>
    <w:p>
      <w:pPr>
        <w:widowControl/>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2.1</w:t>
      </w:r>
      <w:r>
        <w:rPr>
          <w:rFonts w:hint="eastAsia" w:ascii="宋体" w:hAnsi="宋体" w:cs="宋体"/>
          <w:bCs/>
          <w:color w:val="auto"/>
          <w:szCs w:val="21"/>
          <w:lang w:eastAsia="zh-CN"/>
        </w:rPr>
        <w:t>采购人</w:t>
      </w:r>
      <w:r>
        <w:rPr>
          <w:rFonts w:hint="eastAsia" w:ascii="宋体" w:hAnsi="宋体" w:cs="宋体"/>
          <w:bCs/>
          <w:color w:val="auto"/>
          <w:szCs w:val="21"/>
        </w:rPr>
        <w:t>在</w:t>
      </w:r>
      <w:r>
        <w:rPr>
          <w:rFonts w:hint="eastAsia" w:ascii="宋体" w:hAnsi="宋体" w:cs="宋体"/>
          <w:b/>
          <w:color w:val="auto"/>
          <w:szCs w:val="21"/>
        </w:rPr>
        <w:t>前附表</w:t>
      </w:r>
      <w:r>
        <w:rPr>
          <w:rFonts w:hint="eastAsia" w:ascii="宋体" w:hAnsi="宋体" w:cs="宋体"/>
          <w:bCs/>
          <w:color w:val="auto"/>
          <w:szCs w:val="21"/>
        </w:rPr>
        <w:t>内规定的竞争性采购时间及地点组织竞争性采购活动。竞争性采购活动由</w:t>
      </w:r>
      <w:r>
        <w:rPr>
          <w:rFonts w:hint="eastAsia" w:ascii="宋体" w:hAnsi="宋体" w:cs="宋体"/>
          <w:bCs/>
          <w:color w:val="auto"/>
          <w:szCs w:val="21"/>
          <w:lang w:eastAsia="zh-CN"/>
        </w:rPr>
        <w:t>采购人</w:t>
      </w:r>
      <w:r>
        <w:rPr>
          <w:rFonts w:hint="eastAsia" w:ascii="宋体" w:hAnsi="宋体" w:cs="宋体"/>
          <w:bCs/>
          <w:color w:val="auto"/>
          <w:szCs w:val="21"/>
        </w:rPr>
        <w:t>、现场监督员</w:t>
      </w:r>
      <w:r>
        <w:rPr>
          <w:rFonts w:hint="eastAsia" w:ascii="宋体" w:hAnsi="宋体" w:cs="宋体"/>
          <w:bCs/>
          <w:color w:val="auto"/>
          <w:szCs w:val="21"/>
          <w:lang w:eastAsia="zh-CN"/>
        </w:rPr>
        <w:t>、</w:t>
      </w:r>
      <w:r>
        <w:rPr>
          <w:rFonts w:hint="eastAsia" w:ascii="宋体" w:hAnsi="宋体" w:cs="宋体"/>
          <w:bCs/>
          <w:color w:val="auto"/>
          <w:szCs w:val="21"/>
        </w:rPr>
        <w:t>供应商代表参与。</w:t>
      </w:r>
    </w:p>
    <w:p>
      <w:pPr>
        <w:widowControl/>
        <w:adjustRightInd w:val="0"/>
        <w:snapToGrid w:val="0"/>
        <w:spacing w:line="360" w:lineRule="auto"/>
        <w:ind w:firstLine="420" w:firstLineChars="200"/>
        <w:rPr>
          <w:rFonts w:ascii="宋体" w:hAnsi="宋体" w:cs="宋体"/>
          <w:b/>
          <w:color w:val="auto"/>
          <w:szCs w:val="21"/>
        </w:rPr>
      </w:pPr>
      <w:r>
        <w:rPr>
          <w:rFonts w:hint="eastAsia" w:ascii="宋体" w:hAnsi="宋体" w:cs="宋体"/>
          <w:bCs/>
          <w:color w:val="auto"/>
          <w:szCs w:val="21"/>
        </w:rPr>
        <w:t>2.2竞争性采购程序分为：</w:t>
      </w:r>
      <w:r>
        <w:rPr>
          <w:rFonts w:hint="eastAsia" w:ascii="宋体" w:hAnsi="宋体" w:cs="宋体"/>
          <w:b/>
          <w:color w:val="auto"/>
          <w:szCs w:val="21"/>
        </w:rPr>
        <w:t>竞争性采购验证阶段</w:t>
      </w:r>
      <w:r>
        <w:rPr>
          <w:rFonts w:hint="eastAsia" w:ascii="宋体" w:hAnsi="宋体" w:cs="宋体"/>
          <w:b/>
          <w:color w:val="auto"/>
          <w:szCs w:val="21"/>
          <w:lang w:eastAsia="zh-CN"/>
        </w:rPr>
        <w:t>、</w:t>
      </w:r>
      <w:r>
        <w:rPr>
          <w:rFonts w:hint="eastAsia" w:ascii="宋体" w:hAnsi="宋体" w:cs="宋体"/>
          <w:b/>
          <w:color w:val="auto"/>
          <w:szCs w:val="21"/>
        </w:rPr>
        <w:t>竞争性采购评审阶段</w:t>
      </w:r>
      <w:r>
        <w:rPr>
          <w:rFonts w:hint="eastAsia" w:ascii="宋体" w:hAnsi="宋体"/>
          <w:bCs/>
          <w:color w:val="auto"/>
          <w:szCs w:val="21"/>
        </w:rPr>
        <w:t>、</w:t>
      </w:r>
      <w:r>
        <w:rPr>
          <w:rFonts w:hint="eastAsia" w:ascii="宋体" w:hAnsi="宋体"/>
          <w:b/>
          <w:bCs w:val="0"/>
          <w:color w:val="auto"/>
          <w:szCs w:val="21"/>
        </w:rPr>
        <w:t>推荐</w:t>
      </w:r>
      <w:r>
        <w:rPr>
          <w:rFonts w:hint="eastAsia" w:ascii="宋体" w:hAnsi="宋体"/>
          <w:b/>
          <w:bCs w:val="0"/>
          <w:color w:val="auto"/>
          <w:szCs w:val="21"/>
          <w:lang w:val="en-US" w:eastAsia="zh-CN"/>
        </w:rPr>
        <w:t>成交供应商</w:t>
      </w:r>
      <w:r>
        <w:rPr>
          <w:rFonts w:hint="eastAsia" w:ascii="宋体" w:hAnsi="宋体" w:cs="宋体"/>
          <w:b/>
          <w:color w:val="auto"/>
          <w:szCs w:val="21"/>
        </w:rPr>
        <w:t>。</w:t>
      </w:r>
    </w:p>
    <w:p>
      <w:pPr>
        <w:adjustRightInd w:val="0"/>
        <w:snapToGrid w:val="0"/>
        <w:spacing w:line="360" w:lineRule="auto"/>
        <w:ind w:left="632" w:hanging="632" w:hangingChars="300"/>
        <w:rPr>
          <w:rFonts w:ascii="宋体" w:hAnsi="宋体" w:cs="宋体"/>
          <w:b/>
          <w:color w:val="auto"/>
          <w:szCs w:val="21"/>
        </w:rPr>
      </w:pPr>
      <w:r>
        <w:rPr>
          <w:rFonts w:hint="eastAsia" w:ascii="宋体" w:hAnsi="宋体" w:cs="宋体"/>
          <w:b/>
          <w:color w:val="auto"/>
          <w:szCs w:val="21"/>
        </w:rPr>
        <w:t>三、竞争性采购验证阶段</w:t>
      </w:r>
    </w:p>
    <w:p>
      <w:pPr>
        <w:widowControl/>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竞争性采购验证阶段分为身份验证和唱价。</w:t>
      </w:r>
    </w:p>
    <w:p>
      <w:pPr>
        <w:widowControl/>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3.1身份验证阶段</w:t>
      </w:r>
    </w:p>
    <w:p>
      <w:pPr>
        <w:widowControl/>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3.1.1</w:t>
      </w:r>
      <w:r>
        <w:rPr>
          <w:rFonts w:hint="eastAsia" w:ascii="宋体" w:hAnsi="宋体" w:cs="宋体"/>
          <w:bCs/>
          <w:color w:val="auto"/>
          <w:szCs w:val="21"/>
          <w:lang w:eastAsia="zh-CN"/>
        </w:rPr>
        <w:t>采购人</w:t>
      </w:r>
      <w:r>
        <w:rPr>
          <w:rFonts w:hint="eastAsia" w:ascii="宋体" w:hAnsi="宋体" w:cs="宋体"/>
          <w:bCs/>
          <w:color w:val="auto"/>
          <w:szCs w:val="21"/>
        </w:rPr>
        <w:t>按本文件</w:t>
      </w:r>
      <w:r>
        <w:rPr>
          <w:rFonts w:hint="eastAsia" w:ascii="宋体" w:hAnsi="宋体" w:cs="宋体"/>
          <w:b/>
          <w:color w:val="auto"/>
          <w:szCs w:val="21"/>
        </w:rPr>
        <w:t>前附表</w:t>
      </w:r>
      <w:r>
        <w:rPr>
          <w:rFonts w:hint="eastAsia" w:ascii="宋体" w:hAnsi="宋体" w:cs="宋体"/>
          <w:bCs/>
          <w:color w:val="auto"/>
          <w:szCs w:val="21"/>
        </w:rPr>
        <w:t>内规定的响应文件的竞争性采购现场验证要求，对参与竞争性采购的单位代表身份进行验证。</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bCs/>
          <w:color w:val="auto"/>
          <w:szCs w:val="21"/>
        </w:rPr>
        <w:t>3.1.2参与竞争性采购的代表身份经验证不合格的，视为无效响应，</w:t>
      </w:r>
      <w:r>
        <w:rPr>
          <w:rFonts w:hint="eastAsia" w:ascii="宋体" w:hAnsi="宋体" w:cs="宋体"/>
          <w:color w:val="auto"/>
          <w:szCs w:val="21"/>
        </w:rPr>
        <w:t>不得进入下一阶段。</w:t>
      </w:r>
    </w:p>
    <w:p>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3.2.唱价阶段</w:t>
      </w:r>
    </w:p>
    <w:p>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3.2.1身份验证结束后，由</w:t>
      </w:r>
      <w:r>
        <w:rPr>
          <w:rFonts w:hint="eastAsia" w:ascii="宋体" w:hAnsi="宋体" w:cs="宋体"/>
          <w:bCs/>
          <w:color w:val="auto"/>
          <w:szCs w:val="21"/>
          <w:lang w:eastAsia="zh-CN"/>
        </w:rPr>
        <w:t>采购人</w:t>
      </w:r>
      <w:r>
        <w:rPr>
          <w:rFonts w:hint="eastAsia" w:ascii="宋体" w:hAnsi="宋体" w:cs="宋体"/>
          <w:bCs/>
          <w:color w:val="auto"/>
          <w:szCs w:val="21"/>
        </w:rPr>
        <w:t>当众拆封经身份验证合格的供应商的竞争性采购响应文件，宣读响应文件中《报价一览表》内容，并记录在案。</w:t>
      </w:r>
    </w:p>
    <w:p>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3.2.2</w:t>
      </w:r>
      <w:r>
        <w:rPr>
          <w:rFonts w:hint="eastAsia" w:ascii="宋体" w:hAnsi="宋体" w:cs="宋体"/>
          <w:bCs/>
          <w:color w:val="auto"/>
          <w:szCs w:val="21"/>
          <w:lang w:eastAsia="zh-CN"/>
        </w:rPr>
        <w:t>律师事务所负责人</w:t>
      </w:r>
      <w:r>
        <w:rPr>
          <w:rFonts w:hint="eastAsia" w:ascii="宋体" w:hAnsi="宋体" w:cs="宋体"/>
          <w:bCs/>
          <w:color w:val="auto"/>
          <w:szCs w:val="21"/>
        </w:rPr>
        <w:t>或授权委托人、现场监督员、记录人等有关人员在唱价记录表上签字确认，供应商对本阶段有异议的应当场提出，</w:t>
      </w:r>
      <w:r>
        <w:rPr>
          <w:rFonts w:hint="eastAsia" w:ascii="宋体" w:hAnsi="宋体" w:cs="宋体"/>
          <w:bCs/>
          <w:color w:val="auto"/>
          <w:szCs w:val="21"/>
          <w:lang w:eastAsia="zh-CN"/>
        </w:rPr>
        <w:t>采购人</w:t>
      </w:r>
      <w:r>
        <w:rPr>
          <w:rFonts w:hint="eastAsia" w:ascii="宋体" w:hAnsi="宋体" w:cs="宋体"/>
          <w:bCs/>
          <w:color w:val="auto"/>
          <w:szCs w:val="21"/>
        </w:rPr>
        <w:t>员当场作出答复，并记录在案，未提出的，视为无异议。</w:t>
      </w:r>
    </w:p>
    <w:p>
      <w:pPr>
        <w:adjustRightInd w:val="0"/>
        <w:snapToGrid w:val="0"/>
        <w:spacing w:line="360" w:lineRule="auto"/>
        <w:ind w:left="632" w:hanging="632" w:hangingChars="300"/>
        <w:rPr>
          <w:rFonts w:ascii="宋体" w:hAnsi="宋体" w:cs="宋体"/>
          <w:b/>
          <w:color w:val="auto"/>
          <w:szCs w:val="21"/>
        </w:rPr>
      </w:pPr>
      <w:r>
        <w:rPr>
          <w:rFonts w:hint="eastAsia" w:ascii="宋体" w:hAnsi="宋体" w:cs="宋体"/>
          <w:b/>
          <w:color w:val="auto"/>
          <w:szCs w:val="21"/>
        </w:rPr>
        <w:t>四、竞争性采购评审阶段</w:t>
      </w:r>
    </w:p>
    <w:p>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竞争性采购评审阶段分为符合性审查、详细评审。</w:t>
      </w:r>
    </w:p>
    <w:p>
      <w:pPr>
        <w:adjustRightInd w:val="0"/>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4.1符合性审查阶段</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符合性审查分为对供应商资格的符合性审查及报价的符合性审查。</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4.1.1资格的符合性审查</w:t>
      </w:r>
    </w:p>
    <w:p>
      <w:pPr>
        <w:adjustRightInd w:val="0"/>
        <w:snapToGrid w:val="0"/>
        <w:spacing w:line="360" w:lineRule="auto"/>
        <w:ind w:firstLine="411" w:firstLineChars="196"/>
        <w:rPr>
          <w:rFonts w:ascii="宋体" w:hAnsi="宋体"/>
          <w:color w:val="auto"/>
          <w:szCs w:val="21"/>
        </w:rPr>
      </w:pPr>
      <w:r>
        <w:rPr>
          <w:rFonts w:hint="eastAsia" w:ascii="宋体" w:hAnsi="宋体" w:cs="宋体"/>
          <w:color w:val="auto"/>
          <w:szCs w:val="21"/>
        </w:rPr>
        <w:t>竞争性采购</w:t>
      </w:r>
      <w:r>
        <w:rPr>
          <w:rFonts w:hint="eastAsia" w:ascii="宋体" w:hAnsi="宋体"/>
          <w:color w:val="auto"/>
          <w:szCs w:val="21"/>
        </w:rPr>
        <w:t>评审</w:t>
      </w:r>
      <w:r>
        <w:rPr>
          <w:rFonts w:hint="eastAsia" w:ascii="宋体" w:hAnsi="宋体"/>
          <w:bCs/>
          <w:color w:val="auto"/>
          <w:szCs w:val="21"/>
        </w:rPr>
        <w:t>小组</w:t>
      </w:r>
      <w:r>
        <w:rPr>
          <w:rFonts w:hint="eastAsia" w:ascii="宋体" w:hAnsi="宋体"/>
          <w:color w:val="auto"/>
          <w:szCs w:val="21"/>
        </w:rPr>
        <w:t>根据本</w:t>
      </w:r>
      <w:r>
        <w:rPr>
          <w:rFonts w:hint="eastAsia" w:ascii="宋体" w:hAnsi="宋体" w:cs="宋体"/>
          <w:color w:val="auto"/>
          <w:szCs w:val="21"/>
        </w:rPr>
        <w:t>竞争性采购</w:t>
      </w:r>
      <w:r>
        <w:rPr>
          <w:rFonts w:hint="eastAsia" w:ascii="宋体" w:hAnsi="宋体"/>
          <w:color w:val="auto"/>
          <w:szCs w:val="21"/>
        </w:rPr>
        <w:t>文件</w:t>
      </w:r>
      <w:r>
        <w:rPr>
          <w:rFonts w:hint="eastAsia" w:hAnsi="宋体"/>
          <w:b/>
          <w:color w:val="auto"/>
        </w:rPr>
        <w:t>前附表</w:t>
      </w:r>
      <w:r>
        <w:rPr>
          <w:rFonts w:hint="eastAsia" w:hAnsi="宋体"/>
          <w:color w:val="auto"/>
        </w:rPr>
        <w:t>内</w:t>
      </w:r>
      <w:r>
        <w:rPr>
          <w:rFonts w:hint="eastAsia" w:ascii="宋体" w:hAnsi="宋体"/>
          <w:color w:val="auto"/>
          <w:szCs w:val="21"/>
        </w:rPr>
        <w:t>规定的</w:t>
      </w:r>
      <w:r>
        <w:rPr>
          <w:rFonts w:hint="eastAsia" w:ascii="宋体" w:hAnsi="宋体" w:cs="宋体"/>
          <w:color w:val="auto"/>
          <w:szCs w:val="21"/>
        </w:rPr>
        <w:t>供应商</w:t>
      </w:r>
      <w:r>
        <w:rPr>
          <w:rFonts w:hint="eastAsia" w:ascii="宋体" w:hAnsi="宋体"/>
          <w:color w:val="auto"/>
          <w:szCs w:val="21"/>
        </w:rPr>
        <w:t>资格要求，对</w:t>
      </w:r>
      <w:r>
        <w:rPr>
          <w:rFonts w:hint="eastAsia" w:ascii="宋体" w:hAnsi="宋体" w:cs="宋体"/>
          <w:color w:val="auto"/>
          <w:szCs w:val="21"/>
        </w:rPr>
        <w:t>供应商</w:t>
      </w:r>
      <w:r>
        <w:rPr>
          <w:rFonts w:hint="eastAsia" w:ascii="宋体" w:hAnsi="宋体"/>
          <w:color w:val="auto"/>
          <w:szCs w:val="21"/>
        </w:rPr>
        <w:t>进行符合性审查，资格审查以</w:t>
      </w:r>
      <w:r>
        <w:rPr>
          <w:rFonts w:hint="eastAsia" w:ascii="宋体" w:hAnsi="宋体" w:cs="宋体"/>
          <w:color w:val="auto"/>
          <w:szCs w:val="21"/>
        </w:rPr>
        <w:t>供应商</w:t>
      </w:r>
      <w:r>
        <w:rPr>
          <w:rFonts w:hint="eastAsia" w:ascii="宋体" w:hAnsi="宋体"/>
          <w:color w:val="auto"/>
          <w:szCs w:val="21"/>
        </w:rPr>
        <w:t>递交的</w:t>
      </w:r>
      <w:r>
        <w:rPr>
          <w:rFonts w:hint="eastAsia" w:ascii="宋体" w:hAnsi="宋体"/>
          <w:b/>
          <w:bCs/>
          <w:color w:val="auto"/>
          <w:szCs w:val="21"/>
        </w:rPr>
        <w:t>原件扫描件</w:t>
      </w:r>
      <w:r>
        <w:rPr>
          <w:rFonts w:hint="eastAsia" w:ascii="宋体" w:hAnsi="宋体"/>
          <w:b/>
          <w:color w:val="auto"/>
          <w:szCs w:val="21"/>
        </w:rPr>
        <w:t>打印版</w:t>
      </w:r>
      <w:r>
        <w:rPr>
          <w:rFonts w:hint="eastAsia" w:ascii="宋体" w:hAnsi="宋体"/>
          <w:color w:val="auto"/>
          <w:szCs w:val="21"/>
        </w:rPr>
        <w:t>资料为准。</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4.1.2报价的符合性审查</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竞争性采购评审小组根据竞争性采购文件的规定，对供应商提交的响应文件（报价部分）的有效性、完整性等进行符合性审查。</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4.1.3有下列情形之一的，为符合性审查不合格，视为无效响应，不进入下一阶段：</w:t>
      </w:r>
    </w:p>
    <w:p>
      <w:pPr>
        <w:adjustRightInd w:val="0"/>
        <w:snapToGrid w:val="0"/>
        <w:spacing w:line="360" w:lineRule="auto"/>
        <w:ind w:firstLine="420" w:firstLineChars="200"/>
        <w:rPr>
          <w:rFonts w:ascii="宋体" w:hAnsi="宋体"/>
          <w:b/>
          <w:bCs/>
          <w:color w:val="auto"/>
          <w:szCs w:val="21"/>
        </w:rPr>
      </w:pPr>
      <w:r>
        <w:rPr>
          <w:rFonts w:hint="eastAsia" w:ascii="宋体" w:hAnsi="宋体"/>
          <w:color w:val="auto"/>
          <w:szCs w:val="21"/>
        </w:rPr>
        <w:t>（1）未按照竞争性采购文件规定要求签署盖章的。</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（2）响应</w:t>
      </w:r>
      <w:r>
        <w:rPr>
          <w:rFonts w:hint="eastAsia" w:ascii="宋体" w:hAnsi="宋体" w:cs="宋体"/>
          <w:color w:val="auto"/>
          <w:kern w:val="0"/>
          <w:szCs w:val="21"/>
        </w:rPr>
        <w:t>文件有效期不满足竞争性采购文件规定的。</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（3）不满足资格条件要求的。</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（4）不满足用户</w:t>
      </w:r>
      <w:r>
        <w:rPr>
          <w:rFonts w:hint="eastAsia" w:ascii="宋体" w:hAnsi="宋体"/>
          <w:color w:val="auto"/>
          <w:szCs w:val="21"/>
          <w:lang w:eastAsia="zh-CN"/>
        </w:rPr>
        <w:t>需求</w:t>
      </w:r>
      <w:r>
        <w:rPr>
          <w:rFonts w:hint="eastAsia" w:ascii="宋体" w:hAnsi="宋体"/>
          <w:color w:val="auto"/>
          <w:szCs w:val="21"/>
        </w:rPr>
        <w:t>要求的。</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（5）供应商所</w:t>
      </w:r>
      <w:r>
        <w:rPr>
          <w:rFonts w:hint="eastAsia" w:ascii="宋体" w:hAnsi="宋体" w:cs="宋体"/>
          <w:color w:val="auto"/>
          <w:szCs w:val="21"/>
        </w:rPr>
        <w:t>报的</w:t>
      </w:r>
      <w:r>
        <w:rPr>
          <w:rFonts w:hint="eastAsia" w:ascii="宋体" w:hAnsi="宋体" w:cs="宋体"/>
          <w:color w:val="auto"/>
        </w:rPr>
        <w:t>单价、含税总报价</w:t>
      </w:r>
      <w:r>
        <w:rPr>
          <w:rFonts w:hint="eastAsia" w:ascii="宋体" w:hAnsi="宋体" w:cs="宋体"/>
          <w:color w:val="auto"/>
          <w:szCs w:val="21"/>
        </w:rPr>
        <w:t>超过竞争性采购</w:t>
      </w:r>
      <w:r>
        <w:rPr>
          <w:rFonts w:hint="eastAsia" w:ascii="宋体" w:hAnsi="宋体" w:cs="宋体"/>
          <w:color w:val="auto"/>
          <w:szCs w:val="21"/>
          <w:lang w:eastAsia="zh-CN"/>
        </w:rPr>
        <w:t>控制价</w:t>
      </w:r>
      <w:r>
        <w:rPr>
          <w:rFonts w:hint="eastAsia" w:ascii="宋体" w:hAnsi="宋体" w:cs="宋体"/>
          <w:color w:val="auto"/>
          <w:szCs w:val="21"/>
        </w:rPr>
        <w:t>的。</w:t>
      </w:r>
    </w:p>
    <w:p>
      <w:pPr>
        <w:adjustRightInd w:val="0"/>
        <w:snapToGrid w:val="0"/>
        <w:spacing w:line="360" w:lineRule="auto"/>
        <w:ind w:firstLine="420" w:firstLineChars="200"/>
        <w:rPr>
          <w:rFonts w:hint="eastAsia" w:ascii="宋体" w:hAnsi="宋体"/>
          <w:color w:val="auto"/>
          <w:szCs w:val="21"/>
        </w:rPr>
      </w:pPr>
      <w:r>
        <w:rPr>
          <w:rFonts w:hint="eastAsia" w:ascii="宋体" w:hAnsi="宋体" w:cs="宋体"/>
          <w:color w:val="auto"/>
          <w:kern w:val="0"/>
          <w:szCs w:val="21"/>
        </w:rPr>
        <w:t>（6）</w:t>
      </w:r>
      <w:r>
        <w:rPr>
          <w:rFonts w:hint="eastAsia" w:ascii="宋体" w:hAnsi="宋体"/>
          <w:color w:val="auto"/>
          <w:szCs w:val="21"/>
        </w:rPr>
        <w:t>递交两份或多份内容不同的报价文件，或在一份报价文件中对同一项目报有两个或多个报价，且未声明哪一个有效的，竞争性采购文件另有要求的除外。</w:t>
      </w:r>
    </w:p>
    <w:p>
      <w:pPr>
        <w:widowControl/>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4.1.4算术错误修正</w:t>
      </w:r>
    </w:p>
    <w:p>
      <w:pPr>
        <w:widowControl/>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竞争性采购评审小组检查供应商的报价是否有算术错误，算术性错误分析和修正按以下原则进行，修正的价格经供应商进行确认后具有约束力。供应商不接受修正价格的，应当予以否决。</w:t>
      </w:r>
    </w:p>
    <w:p>
      <w:pPr>
        <w:widowControl/>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（1）响应文件中的大写金额与小写金额不一致的，以大写金额为准。</w:t>
      </w:r>
    </w:p>
    <w:p>
      <w:pPr>
        <w:widowControl/>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（2）总价金额与依据单价计算出的结果不一致的，以单价金额为准修正总价，但单价金额小数点有明显错误的除外。</w:t>
      </w:r>
    </w:p>
    <w:p>
      <w:pPr>
        <w:widowControl/>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（3）总报价为各分项报价金额之和，总报价与分项报价的合价不一致的，应以各分项合价累计数为准，修正总报价。</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（4）如果分项报价中存在缺漏项，则视为缺漏项价格已包含在其他分项报价之中。</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color w:val="auto"/>
          <w:szCs w:val="21"/>
        </w:rPr>
        <w:t>4.2</w:t>
      </w:r>
      <w:r>
        <w:rPr>
          <w:rFonts w:hint="eastAsia" w:ascii="宋体" w:hAnsi="宋体" w:cs="宋体"/>
          <w:b/>
          <w:bCs/>
          <w:color w:val="auto"/>
          <w:szCs w:val="21"/>
        </w:rPr>
        <w:t>详细评审阶段</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kern w:val="0"/>
          <w:szCs w:val="21"/>
          <w:highlight w:val="none"/>
          <w:lang w:val="en-US" w:eastAsia="zh-CN"/>
        </w:rPr>
        <w:t>4.2.1</w:t>
      </w:r>
      <w:r>
        <w:rPr>
          <w:rFonts w:hint="eastAsia" w:ascii="宋体" w:hAnsi="宋体" w:cs="宋体"/>
          <w:color w:val="auto"/>
          <w:kern w:val="0"/>
          <w:szCs w:val="21"/>
          <w:highlight w:val="none"/>
        </w:rPr>
        <w:t>评审小组应按以下</w:t>
      </w:r>
      <w:r>
        <w:rPr>
          <w:rFonts w:hint="eastAsia" w:ascii="宋体" w:hAnsi="宋体" w:cs="宋体"/>
          <w:color w:val="auto"/>
          <w:szCs w:val="21"/>
          <w:highlight w:val="none"/>
          <w:shd w:val="clear" w:color="auto" w:fill="FFFFFF"/>
        </w:rPr>
        <w:t>规定的评审因素和标准</w:t>
      </w:r>
      <w:r>
        <w:rPr>
          <w:rFonts w:hint="eastAsia" w:ascii="宋体" w:hAnsi="宋体" w:cs="宋体"/>
          <w:color w:val="auto"/>
          <w:kern w:val="0"/>
          <w:szCs w:val="21"/>
          <w:highlight w:val="none"/>
        </w:rPr>
        <w:t>对经符合性审查合格的</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进行详细评审及</w:t>
      </w:r>
      <w:r>
        <w:rPr>
          <w:rFonts w:hint="eastAsia" w:ascii="宋体" w:hAnsi="宋体" w:cs="宋体"/>
          <w:color w:val="auto"/>
          <w:szCs w:val="21"/>
          <w:highlight w:val="none"/>
          <w:shd w:val="clear" w:color="auto" w:fill="FFFFFF"/>
        </w:rPr>
        <w:t>计分，并计算出评审总得分。</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详细评审的程序</w:t>
      </w:r>
    </w:p>
    <w:p>
      <w:pPr>
        <w:keepNext w:val="0"/>
        <w:keepLines w:val="0"/>
        <w:pageBreakBefore w:val="0"/>
        <w:numPr>
          <w:ilvl w:val="0"/>
          <w:numId w:val="15"/>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宋体"/>
          <w:color w:val="auto"/>
          <w:szCs w:val="21"/>
          <w:highlight w:val="none"/>
          <w:shd w:val="clear" w:color="auto" w:fill="FFFFFF"/>
        </w:rPr>
      </w:pPr>
      <w:r>
        <w:rPr>
          <w:rFonts w:hint="eastAsia" w:ascii="宋体" w:hAnsi="宋体" w:cs="宋体"/>
          <w:bCs/>
          <w:color w:val="auto"/>
          <w:szCs w:val="21"/>
          <w:highlight w:val="none"/>
          <w:shd w:val="clear" w:color="auto" w:fill="FFFFFF"/>
        </w:rPr>
        <w:t>商务</w:t>
      </w:r>
      <w:r>
        <w:rPr>
          <w:rFonts w:hint="eastAsia" w:ascii="宋体" w:hAnsi="宋体" w:cs="宋体"/>
          <w:bCs/>
          <w:color w:val="auto"/>
          <w:szCs w:val="21"/>
          <w:highlight w:val="none"/>
          <w:shd w:val="clear" w:color="auto" w:fill="FFFFFF"/>
          <w:lang w:eastAsia="zh-CN"/>
        </w:rPr>
        <w:t>、技术、</w:t>
      </w:r>
      <w:r>
        <w:rPr>
          <w:rFonts w:hint="eastAsia" w:ascii="宋体" w:hAnsi="宋体" w:cs="宋体"/>
          <w:bCs/>
          <w:color w:val="auto"/>
          <w:szCs w:val="21"/>
          <w:highlight w:val="none"/>
          <w:shd w:val="clear" w:color="auto" w:fill="FFFFFF"/>
          <w:lang w:val="en-US" w:eastAsia="zh-CN"/>
        </w:rPr>
        <w:t>报价</w:t>
      </w:r>
      <w:r>
        <w:rPr>
          <w:rFonts w:hint="eastAsia" w:ascii="宋体" w:hAnsi="宋体" w:cs="宋体"/>
          <w:color w:val="auto"/>
          <w:szCs w:val="21"/>
          <w:highlight w:val="none"/>
          <w:shd w:val="clear" w:color="auto" w:fill="FFFFFF"/>
        </w:rPr>
        <w:t>评审；</w:t>
      </w:r>
    </w:p>
    <w:tbl>
      <w:tblPr>
        <w:tblStyle w:val="47"/>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9"/>
        <w:gridCol w:w="7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559" w:type="dxa"/>
            <w:vMerge w:val="restart"/>
            <w:vAlign w:val="center"/>
          </w:tcPr>
          <w:p>
            <w:pPr>
              <w:spacing w:line="360" w:lineRule="auto"/>
              <w:jc w:val="center"/>
              <w:rPr>
                <w:rFonts w:hint="eastAsia" w:ascii="宋体" w:hAnsi="宋体"/>
                <w:b/>
                <w:color w:val="auto"/>
                <w:szCs w:val="21"/>
                <w:lang w:val="en-US" w:eastAsia="zh-CN"/>
              </w:rPr>
            </w:pPr>
            <w:r>
              <w:rPr>
                <w:rFonts w:hint="eastAsia" w:ascii="宋体" w:hAnsi="宋体"/>
                <w:b/>
                <w:color w:val="auto"/>
                <w:szCs w:val="21"/>
                <w:lang w:eastAsia="zh-CN"/>
              </w:rPr>
              <w:t>总分</w:t>
            </w:r>
            <w:r>
              <w:rPr>
                <w:rFonts w:hint="eastAsia" w:ascii="宋体" w:hAnsi="宋体"/>
                <w:b/>
                <w:color w:val="auto"/>
                <w:szCs w:val="21"/>
                <w:lang w:val="en-US" w:eastAsia="zh-CN"/>
              </w:rPr>
              <w:t>100分，</w:t>
            </w:r>
          </w:p>
          <w:p>
            <w:pPr>
              <w:spacing w:line="360" w:lineRule="auto"/>
              <w:jc w:val="center"/>
              <w:rPr>
                <w:rFonts w:hint="eastAsia" w:ascii="宋体" w:hAnsi="宋体" w:cs="宋体"/>
                <w:color w:val="auto"/>
                <w:szCs w:val="21"/>
                <w:lang w:eastAsia="zh-CN"/>
              </w:rPr>
            </w:pPr>
            <w:r>
              <w:rPr>
                <w:rFonts w:hint="eastAsia" w:ascii="宋体" w:hAnsi="宋体" w:cs="宋体"/>
                <w:color w:val="auto"/>
                <w:szCs w:val="21"/>
              </w:rPr>
              <w:t>权重构成</w:t>
            </w:r>
            <w:r>
              <w:rPr>
                <w:rFonts w:hint="eastAsia" w:ascii="宋体" w:hAnsi="宋体" w:cs="宋体"/>
                <w:color w:val="auto"/>
                <w:szCs w:val="21"/>
                <w:lang w:eastAsia="zh-CN"/>
              </w:rPr>
              <w:t>：</w:t>
            </w:r>
          </w:p>
          <w:p>
            <w:pPr>
              <w:spacing w:line="360" w:lineRule="auto"/>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商务：0.2</w:t>
            </w:r>
          </w:p>
          <w:p>
            <w:pPr>
              <w:spacing w:line="360" w:lineRule="auto"/>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技术：0.5</w:t>
            </w:r>
          </w:p>
          <w:p>
            <w:pPr>
              <w:spacing w:line="360" w:lineRule="exact"/>
              <w:jc w:val="center"/>
              <w:rPr>
                <w:rFonts w:hint="default" w:hAnsi="宋体"/>
                <w:color w:val="auto"/>
                <w:szCs w:val="21"/>
                <w:lang w:val="en-US"/>
              </w:rPr>
            </w:pPr>
            <w:r>
              <w:rPr>
                <w:rFonts w:hint="eastAsia" w:ascii="宋体" w:hAnsi="宋体" w:cs="宋体"/>
                <w:color w:val="auto"/>
                <w:sz w:val="21"/>
                <w:szCs w:val="21"/>
                <w:lang w:val="en-US" w:eastAsia="zh-CN"/>
              </w:rPr>
              <w:t>报价：0.3</w:t>
            </w:r>
          </w:p>
        </w:tc>
        <w:tc>
          <w:tcPr>
            <w:tcW w:w="7243" w:type="dxa"/>
            <w:vAlign w:val="center"/>
          </w:tcPr>
          <w:p>
            <w:pPr>
              <w:spacing w:line="360" w:lineRule="auto"/>
              <w:jc w:val="center"/>
              <w:rPr>
                <w:rFonts w:ascii="宋体" w:hAnsi="宋体"/>
                <w:color w:val="auto"/>
                <w:szCs w:val="21"/>
              </w:rPr>
            </w:pPr>
            <w:r>
              <w:rPr>
                <w:rFonts w:hint="eastAsia" w:ascii="宋体" w:hAnsi="宋体"/>
                <w:color w:val="auto"/>
                <w:szCs w:val="21"/>
                <w:highlight w:val="none"/>
              </w:rPr>
              <w:t>商务评审计分表</w:t>
            </w:r>
            <w:r>
              <w:rPr>
                <w:rFonts w:hint="eastAsia" w:ascii="宋体" w:hAnsi="宋体"/>
                <w:color w:val="auto"/>
                <w:szCs w:val="21"/>
                <w:highlight w:val="none"/>
                <w:lang w:eastAsia="zh-CN"/>
              </w:rPr>
              <w:t>，</w:t>
            </w:r>
            <w:r>
              <w:rPr>
                <w:rFonts w:hint="eastAsia"/>
                <w:color w:val="auto"/>
                <w:highlight w:val="none"/>
              </w:rPr>
              <w:t>详见附</w:t>
            </w:r>
            <w:r>
              <w:rPr>
                <w:rFonts w:hint="eastAsia"/>
                <w:color w:val="auto"/>
                <w:highlight w:val="none"/>
                <w:lang w:val="en-US" w:eastAsia="zh-CN"/>
              </w:rPr>
              <w:t>表</w:t>
            </w:r>
            <w:r>
              <w:rPr>
                <w:rFonts w:hint="eastAsia"/>
                <w:color w:val="auto"/>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559" w:type="dxa"/>
            <w:vMerge w:val="continue"/>
            <w:vAlign w:val="center"/>
          </w:tcPr>
          <w:p>
            <w:pPr>
              <w:spacing w:line="360" w:lineRule="exact"/>
              <w:jc w:val="center"/>
              <w:rPr>
                <w:rFonts w:hAnsi="宋体"/>
                <w:color w:val="auto"/>
                <w:szCs w:val="21"/>
              </w:rPr>
            </w:pPr>
          </w:p>
        </w:tc>
        <w:tc>
          <w:tcPr>
            <w:tcW w:w="7243" w:type="dxa"/>
            <w:vAlign w:val="center"/>
          </w:tcPr>
          <w:p>
            <w:pPr>
              <w:spacing w:line="360" w:lineRule="auto"/>
              <w:jc w:val="center"/>
              <w:rPr>
                <w:rFonts w:hint="eastAsia"/>
                <w:color w:val="auto"/>
                <w:highlight w:val="none"/>
              </w:rPr>
            </w:pPr>
            <w:r>
              <w:rPr>
                <w:rFonts w:hint="eastAsia" w:ascii="宋体" w:hAnsi="宋体"/>
                <w:color w:val="auto"/>
                <w:szCs w:val="21"/>
                <w:highlight w:val="none"/>
              </w:rPr>
              <w:t>技术评审计分表</w:t>
            </w:r>
            <w:r>
              <w:rPr>
                <w:rFonts w:hint="eastAsia" w:ascii="宋体" w:hAnsi="宋体"/>
                <w:color w:val="auto"/>
                <w:szCs w:val="21"/>
                <w:highlight w:val="none"/>
                <w:lang w:eastAsia="zh-CN"/>
              </w:rPr>
              <w:t>，</w:t>
            </w:r>
            <w:r>
              <w:rPr>
                <w:rFonts w:hint="eastAsia"/>
                <w:color w:val="auto"/>
                <w:highlight w:val="none"/>
              </w:rPr>
              <w:t>详见附</w:t>
            </w:r>
            <w:r>
              <w:rPr>
                <w:rFonts w:hint="eastAsia"/>
                <w:color w:val="auto"/>
                <w:highlight w:val="none"/>
                <w:lang w:val="en-US" w:eastAsia="zh-CN"/>
              </w:rPr>
              <w:t>表</w:t>
            </w:r>
            <w:r>
              <w:rPr>
                <w:rFonts w:hint="eastAsia"/>
                <w:color w:val="auto"/>
                <w:highlight w:val="none"/>
              </w:rPr>
              <w:t>2</w:t>
            </w:r>
          </w:p>
          <w:p>
            <w:pPr>
              <w:spacing w:line="360" w:lineRule="auto"/>
              <w:jc w:val="center"/>
              <w:rPr>
                <w:rFonts w:hint="eastAsia" w:ascii="宋体" w:hAnsi="宋体" w:eastAsia="宋体" w:cs="宋体"/>
                <w:color w:val="auto"/>
                <w:szCs w:val="21"/>
                <w:lang w:eastAsia="zh-CN"/>
              </w:rPr>
            </w:pPr>
            <w:r>
              <w:rPr>
                <w:rFonts w:hint="eastAsia"/>
                <w:color w:val="auto"/>
                <w:highlight w:val="none"/>
                <w:lang w:eastAsia="zh-CN"/>
              </w:rPr>
              <w:t>（</w:t>
            </w:r>
            <w:r>
              <w:rPr>
                <w:rFonts w:hint="eastAsia" w:ascii="宋体" w:hAnsi="宋体" w:cs="宋体"/>
                <w:b/>
                <w:color w:val="auto"/>
                <w:szCs w:val="21"/>
                <w:lang w:val="en-US" w:eastAsia="zh-CN"/>
              </w:rPr>
              <w:t>现场答辩环节详见第6点</w:t>
            </w:r>
            <w:r>
              <w:rPr>
                <w:rFonts w:hint="eastAsia" w:ascii="宋体" w:hAnsi="宋体" w:eastAsia="宋体" w:cs="宋体"/>
                <w:b/>
                <w:bCs/>
                <w:color w:val="auto"/>
                <w:szCs w:val="21"/>
                <w:lang w:val="en-US" w:eastAsia="zh-CN"/>
              </w:rPr>
              <w:t>其他补充条款</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559" w:type="dxa"/>
            <w:vMerge w:val="continue"/>
            <w:vAlign w:val="center"/>
          </w:tcPr>
          <w:p>
            <w:pPr>
              <w:spacing w:line="360" w:lineRule="exact"/>
              <w:jc w:val="center"/>
              <w:rPr>
                <w:rFonts w:hAnsi="宋体"/>
                <w:color w:val="auto"/>
                <w:szCs w:val="21"/>
              </w:rPr>
            </w:pPr>
          </w:p>
        </w:tc>
        <w:tc>
          <w:tcPr>
            <w:tcW w:w="7243" w:type="dxa"/>
            <w:vAlign w:val="center"/>
          </w:tcPr>
          <w:p>
            <w:pPr>
              <w:spacing w:line="360" w:lineRule="auto"/>
              <w:jc w:val="center"/>
              <w:rPr>
                <w:rFonts w:ascii="宋体" w:hAnsi="宋体" w:cs="宋体"/>
                <w:color w:val="auto"/>
                <w:szCs w:val="21"/>
              </w:rPr>
            </w:pPr>
            <w:r>
              <w:rPr>
                <w:rFonts w:hint="eastAsia" w:ascii="宋体" w:hAnsi="宋体"/>
                <w:color w:val="auto"/>
                <w:szCs w:val="21"/>
                <w:highlight w:val="none"/>
              </w:rPr>
              <w:t>报价评审计分表</w:t>
            </w:r>
            <w:r>
              <w:rPr>
                <w:rFonts w:hint="eastAsia" w:ascii="宋体" w:hAnsi="宋体"/>
                <w:color w:val="auto"/>
                <w:szCs w:val="21"/>
                <w:highlight w:val="none"/>
                <w:lang w:eastAsia="zh-CN"/>
              </w:rPr>
              <w:t>，</w:t>
            </w:r>
            <w:r>
              <w:rPr>
                <w:rFonts w:hint="eastAsia"/>
                <w:color w:val="auto"/>
                <w:highlight w:val="none"/>
              </w:rPr>
              <w:t>详见附</w:t>
            </w:r>
            <w:r>
              <w:rPr>
                <w:rFonts w:hint="eastAsia"/>
                <w:color w:val="auto"/>
                <w:highlight w:val="none"/>
                <w:lang w:val="en-US" w:eastAsia="zh-CN"/>
              </w:rPr>
              <w:t>表</w:t>
            </w:r>
            <w:r>
              <w:rPr>
                <w:rFonts w:hint="eastAsia"/>
                <w:color w:val="auto"/>
                <w:highlight w:val="none"/>
              </w:rPr>
              <w:t>3</w:t>
            </w:r>
          </w:p>
        </w:tc>
      </w:tr>
    </w:tbl>
    <w:p>
      <w:pPr>
        <w:keepNext w:val="0"/>
        <w:keepLines w:val="0"/>
        <w:pageBreakBefore w:val="0"/>
        <w:numPr>
          <w:ilvl w:val="0"/>
          <w:numId w:val="15"/>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宋体"/>
          <w:color w:val="auto"/>
          <w:szCs w:val="21"/>
          <w:highlight w:val="none"/>
          <w:shd w:val="clear" w:color="auto" w:fill="FFFFFF"/>
        </w:rPr>
      </w:pPr>
      <w:r>
        <w:rPr>
          <w:rFonts w:hint="eastAsia" w:ascii="宋体" w:hAnsi="宋体" w:eastAsia="宋体" w:cs="宋体"/>
          <w:bCs/>
          <w:color w:val="auto"/>
          <w:szCs w:val="21"/>
          <w:highlight w:val="none"/>
          <w:shd w:val="clear" w:color="auto" w:fill="FFFFFF"/>
        </w:rPr>
        <w:t>计算各</w:t>
      </w:r>
      <w:r>
        <w:rPr>
          <w:rFonts w:hint="eastAsia" w:ascii="宋体" w:hAnsi="宋体" w:eastAsia="宋体" w:cs="宋体"/>
          <w:bCs/>
          <w:color w:val="auto"/>
          <w:szCs w:val="21"/>
          <w:highlight w:val="none"/>
          <w:shd w:val="clear" w:color="auto" w:fill="FFFFFF"/>
          <w:lang w:val="en-US" w:eastAsia="zh-CN"/>
        </w:rPr>
        <w:t>供应商</w:t>
      </w:r>
      <w:r>
        <w:rPr>
          <w:rFonts w:hint="eastAsia" w:ascii="宋体" w:hAnsi="宋体" w:eastAsia="宋体" w:cs="宋体"/>
          <w:bCs/>
          <w:color w:val="auto"/>
          <w:szCs w:val="21"/>
          <w:highlight w:val="none"/>
          <w:shd w:val="clear" w:color="auto" w:fill="FFFFFF"/>
        </w:rPr>
        <w:t>的综合得分</w:t>
      </w:r>
      <w:r>
        <w:rPr>
          <w:rFonts w:hint="eastAsia" w:ascii="宋体" w:hAnsi="宋体" w:eastAsia="宋体" w:cs="宋体"/>
          <w:bCs/>
          <w:color w:val="auto"/>
          <w:szCs w:val="21"/>
          <w:highlight w:val="none"/>
          <w:shd w:val="clear" w:color="auto" w:fill="FFFFFF"/>
          <w:lang w:eastAsia="zh-CN"/>
        </w:rPr>
        <w:t>，</w:t>
      </w:r>
      <w:r>
        <w:rPr>
          <w:rFonts w:hint="eastAsia" w:ascii="宋体" w:hAnsi="宋体" w:eastAsia="宋体" w:cs="宋体"/>
          <w:bCs/>
          <w:color w:val="auto"/>
          <w:szCs w:val="21"/>
          <w:highlight w:val="none"/>
          <w:shd w:val="clear" w:color="auto" w:fill="FFFFFF"/>
          <w:lang w:val="en-US" w:eastAsia="zh-CN"/>
        </w:rPr>
        <w:t>供应商</w:t>
      </w:r>
      <w:r>
        <w:rPr>
          <w:rFonts w:hint="eastAsia" w:ascii="宋体" w:hAnsi="宋体" w:eastAsia="宋体" w:cs="宋体"/>
          <w:bCs/>
          <w:color w:val="auto"/>
          <w:szCs w:val="21"/>
          <w:highlight w:val="none"/>
          <w:shd w:val="clear" w:color="auto" w:fill="FFFFFF"/>
        </w:rPr>
        <w:t>各单项得分之和即为评审</w:t>
      </w:r>
      <w:r>
        <w:rPr>
          <w:rFonts w:hint="eastAsia" w:ascii="宋体" w:hAnsi="宋体" w:eastAsia="宋体" w:cs="宋体"/>
          <w:bCs/>
          <w:color w:val="auto"/>
          <w:szCs w:val="21"/>
          <w:highlight w:val="none"/>
          <w:shd w:val="clear" w:color="auto" w:fill="FFFFFF"/>
          <w:lang w:eastAsia="zh-CN"/>
        </w:rPr>
        <w:t>综合</w:t>
      </w:r>
      <w:r>
        <w:rPr>
          <w:rFonts w:hint="eastAsia" w:ascii="宋体" w:hAnsi="宋体" w:eastAsia="宋体" w:cs="宋体"/>
          <w:bCs/>
          <w:color w:val="auto"/>
          <w:szCs w:val="21"/>
          <w:highlight w:val="none"/>
          <w:shd w:val="clear" w:color="auto" w:fill="FFFFFF"/>
        </w:rPr>
        <w:t>得分。</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评审项目的分值没有区间的由</w:t>
      </w:r>
      <w:r>
        <w:rPr>
          <w:rFonts w:hint="eastAsia" w:ascii="宋体" w:hAnsi="宋体" w:cs="宋体"/>
          <w:color w:val="auto"/>
          <w:kern w:val="0"/>
          <w:szCs w:val="21"/>
          <w:highlight w:val="none"/>
        </w:rPr>
        <w:t>评审小组</w:t>
      </w:r>
      <w:r>
        <w:rPr>
          <w:rFonts w:hint="eastAsia" w:ascii="宋体" w:hAnsi="宋体" w:cs="宋体"/>
          <w:color w:val="auto"/>
          <w:szCs w:val="21"/>
          <w:highlight w:val="none"/>
          <w:shd w:val="clear" w:color="auto" w:fill="FFFFFF"/>
        </w:rPr>
        <w:t>集体评</w:t>
      </w:r>
      <w:r>
        <w:rPr>
          <w:rFonts w:hint="eastAsia" w:ascii="宋体" w:hAnsi="宋体" w:cs="宋体"/>
          <w:color w:val="auto"/>
          <w:szCs w:val="21"/>
          <w:highlight w:val="none"/>
          <w:shd w:val="clear" w:color="auto" w:fill="FFFFFF"/>
          <w:lang w:val="en-US" w:eastAsia="zh-CN"/>
        </w:rPr>
        <w:t>审计</w:t>
      </w:r>
      <w:r>
        <w:rPr>
          <w:rFonts w:hint="eastAsia" w:ascii="宋体" w:hAnsi="宋体" w:cs="宋体"/>
          <w:color w:val="auto"/>
          <w:szCs w:val="21"/>
          <w:highlight w:val="none"/>
          <w:shd w:val="clear" w:color="auto" w:fill="FFFFFF"/>
        </w:rPr>
        <w:t>分；评审项目的分值有区间的由</w:t>
      </w:r>
      <w:r>
        <w:rPr>
          <w:rFonts w:hint="eastAsia" w:ascii="宋体" w:hAnsi="宋体" w:cs="宋体"/>
          <w:color w:val="auto"/>
          <w:kern w:val="0"/>
          <w:szCs w:val="21"/>
          <w:highlight w:val="none"/>
        </w:rPr>
        <w:t>评审小组</w:t>
      </w:r>
      <w:r>
        <w:rPr>
          <w:rFonts w:hint="eastAsia" w:ascii="宋体" w:hAnsi="宋体" w:cs="宋体"/>
          <w:color w:val="auto"/>
          <w:szCs w:val="21"/>
          <w:highlight w:val="none"/>
          <w:shd w:val="clear" w:color="auto" w:fill="FFFFFF"/>
        </w:rPr>
        <w:t>集体评议后，</w:t>
      </w:r>
      <w:r>
        <w:rPr>
          <w:rFonts w:hint="eastAsia" w:ascii="宋体" w:hAnsi="宋体" w:cs="宋体"/>
          <w:color w:val="auto"/>
          <w:kern w:val="0"/>
          <w:szCs w:val="21"/>
          <w:highlight w:val="none"/>
        </w:rPr>
        <w:t>评审小组</w:t>
      </w:r>
      <w:r>
        <w:rPr>
          <w:rFonts w:hint="eastAsia" w:ascii="宋体" w:hAnsi="宋体" w:cs="宋体"/>
          <w:color w:val="auto"/>
          <w:szCs w:val="21"/>
          <w:highlight w:val="none"/>
          <w:shd w:val="clear" w:color="auto" w:fill="FFFFFF"/>
        </w:rPr>
        <w:t>成员独</w:t>
      </w:r>
      <w:r>
        <w:rPr>
          <w:rFonts w:hint="eastAsia" w:ascii="宋体" w:hAnsi="宋体" w:cs="宋体"/>
          <w:color w:val="auto"/>
          <w:szCs w:val="21"/>
          <w:highlight w:val="none"/>
          <w:shd w:val="clear" w:color="auto" w:fill="FFFFFF"/>
          <w:lang w:val="en-US" w:eastAsia="zh-CN"/>
        </w:rPr>
        <w:t>立</w:t>
      </w:r>
      <w:r>
        <w:rPr>
          <w:rFonts w:hint="eastAsia" w:ascii="宋体" w:hAnsi="宋体" w:cs="宋体"/>
          <w:color w:val="auto"/>
          <w:szCs w:val="21"/>
          <w:highlight w:val="none"/>
          <w:shd w:val="clear" w:color="auto" w:fill="FFFFFF"/>
        </w:rPr>
        <w:t>评</w:t>
      </w:r>
      <w:r>
        <w:rPr>
          <w:rFonts w:hint="eastAsia" w:ascii="宋体" w:hAnsi="宋体" w:cs="宋体"/>
          <w:color w:val="auto"/>
          <w:szCs w:val="21"/>
          <w:highlight w:val="none"/>
          <w:shd w:val="clear" w:color="auto" w:fill="FFFFFF"/>
          <w:lang w:val="en-US" w:eastAsia="zh-CN"/>
        </w:rPr>
        <w:t>审</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最终取平均值作为</w:t>
      </w:r>
      <w:r>
        <w:rPr>
          <w:rFonts w:hint="eastAsia" w:ascii="宋体" w:hAnsi="宋体" w:cs="宋体"/>
          <w:color w:val="auto"/>
          <w:szCs w:val="21"/>
          <w:highlight w:val="none"/>
          <w:shd w:val="clear" w:color="auto" w:fill="FFFFFF"/>
        </w:rPr>
        <w:t>单项得分。</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有下列情况之一者，该评标因素的评审计分为无效分：</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微软雅黑" w:hAnsi="微软雅黑" w:eastAsia="微软雅黑" w:cs="微软雅黑"/>
          <w:color w:val="auto"/>
          <w:szCs w:val="21"/>
          <w:highlight w:val="none"/>
          <w:shd w:val="clear" w:color="auto" w:fill="FFFFFF"/>
        </w:rPr>
        <w:t>①</w:t>
      </w:r>
      <w:r>
        <w:rPr>
          <w:rFonts w:hint="eastAsia" w:ascii="宋体" w:hAnsi="宋体" w:cs="宋体"/>
          <w:color w:val="auto"/>
          <w:szCs w:val="21"/>
          <w:highlight w:val="none"/>
          <w:shd w:val="clear" w:color="auto" w:fill="FFFFFF"/>
        </w:rPr>
        <w:t>单项评审计分高出规定最高分或低于规定最低分的；</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微软雅黑" w:hAnsi="微软雅黑" w:eastAsia="微软雅黑" w:cs="微软雅黑"/>
          <w:color w:val="auto"/>
          <w:szCs w:val="21"/>
          <w:highlight w:val="none"/>
          <w:shd w:val="clear" w:color="auto" w:fill="FFFFFF"/>
        </w:rPr>
        <w:t>②</w:t>
      </w:r>
      <w:r>
        <w:rPr>
          <w:rFonts w:hint="eastAsia" w:ascii="宋体" w:hAnsi="宋体" w:cs="宋体"/>
          <w:color w:val="auto"/>
          <w:szCs w:val="21"/>
          <w:highlight w:val="none"/>
          <w:shd w:val="clear" w:color="auto" w:fill="FFFFFF"/>
        </w:rPr>
        <w:t>同一项目有两个或两个以上评审计分的；</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color w:val="auto"/>
          <w:szCs w:val="21"/>
          <w:highlight w:val="none"/>
          <w:shd w:val="clear" w:color="auto" w:fill="FFFFFF"/>
        </w:rPr>
      </w:pPr>
      <w:r>
        <w:rPr>
          <w:rFonts w:hint="eastAsia" w:ascii="微软雅黑" w:hAnsi="微软雅黑" w:eastAsia="微软雅黑" w:cs="微软雅黑"/>
          <w:color w:val="auto"/>
          <w:szCs w:val="21"/>
          <w:highlight w:val="none"/>
          <w:shd w:val="clear" w:color="auto" w:fill="FFFFFF"/>
        </w:rPr>
        <w:t>③</w:t>
      </w:r>
      <w:r>
        <w:rPr>
          <w:rFonts w:hint="eastAsia" w:ascii="宋体" w:hAnsi="宋体" w:cs="宋体"/>
          <w:color w:val="auto"/>
          <w:szCs w:val="21"/>
          <w:highlight w:val="none"/>
          <w:shd w:val="clear" w:color="auto" w:fill="FFFFFF"/>
        </w:rPr>
        <w:t>评审过程中</w:t>
      </w:r>
      <w:r>
        <w:rPr>
          <w:rFonts w:hint="eastAsia" w:ascii="宋体" w:hAnsi="宋体" w:cs="宋体"/>
          <w:color w:val="auto"/>
          <w:kern w:val="0"/>
          <w:szCs w:val="21"/>
          <w:highlight w:val="none"/>
        </w:rPr>
        <w:t>评审小组</w:t>
      </w:r>
      <w:r>
        <w:rPr>
          <w:rFonts w:hint="eastAsia" w:ascii="宋体" w:hAnsi="宋体" w:cs="宋体"/>
          <w:color w:val="auto"/>
          <w:szCs w:val="21"/>
          <w:highlight w:val="none"/>
          <w:shd w:val="clear" w:color="auto" w:fill="FFFFFF"/>
        </w:rPr>
        <w:t>成员存在讨论、修改、参照调整已评审分数的情形的；</w:t>
      </w:r>
    </w:p>
    <w:p>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宋体"/>
          <w:color w:val="auto"/>
          <w:szCs w:val="21"/>
          <w:highlight w:val="none"/>
          <w:shd w:val="clear" w:color="auto" w:fill="FFFFFF"/>
        </w:rPr>
      </w:pPr>
      <w:r>
        <w:rPr>
          <w:rFonts w:hint="eastAsia" w:ascii="微软雅黑" w:hAnsi="微软雅黑" w:eastAsia="微软雅黑" w:cs="微软雅黑"/>
          <w:color w:val="auto"/>
          <w:szCs w:val="21"/>
          <w:highlight w:val="none"/>
          <w:shd w:val="clear" w:color="auto" w:fill="FFFFFF"/>
        </w:rPr>
        <w:t>④</w:t>
      </w:r>
      <w:r>
        <w:rPr>
          <w:rFonts w:hint="eastAsia" w:ascii="宋体" w:hAnsi="宋体" w:cs="宋体"/>
          <w:color w:val="auto"/>
          <w:szCs w:val="21"/>
          <w:highlight w:val="none"/>
          <w:shd w:val="clear" w:color="auto" w:fill="FFFFFF"/>
        </w:rPr>
        <w:t>评委在评审过程中发表倾向性意见，或存在干扰其他</w:t>
      </w:r>
      <w:r>
        <w:rPr>
          <w:rFonts w:hint="eastAsia" w:ascii="宋体" w:hAnsi="宋体" w:cs="宋体"/>
          <w:color w:val="auto"/>
          <w:szCs w:val="21"/>
          <w:highlight w:val="none"/>
          <w:shd w:val="clear" w:color="auto" w:fill="FFFFFF"/>
          <w:lang w:val="en-US" w:eastAsia="zh-CN"/>
        </w:rPr>
        <w:t>评审</w:t>
      </w:r>
      <w:r>
        <w:rPr>
          <w:rFonts w:hint="eastAsia" w:ascii="宋体" w:hAnsi="宋体" w:cs="宋体"/>
          <w:color w:val="auto"/>
          <w:szCs w:val="21"/>
          <w:highlight w:val="none"/>
          <w:shd w:val="clear" w:color="auto" w:fill="FFFFFF"/>
        </w:rPr>
        <w:t>小组成员独立评审权的行为。</w:t>
      </w:r>
    </w:p>
    <w:p>
      <w:pPr>
        <w:adjustRightInd w:val="0"/>
        <w:snapToGrid w:val="0"/>
        <w:spacing w:line="360" w:lineRule="auto"/>
        <w:ind w:firstLine="411" w:firstLineChars="196"/>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3</w:t>
      </w: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汇总评分结果</w:t>
      </w:r>
    </w:p>
    <w:p>
      <w:pPr>
        <w:pStyle w:val="358"/>
        <w:keepNext w:val="0"/>
        <w:keepLines w:val="0"/>
        <w:pageBreakBefore w:val="0"/>
        <w:widowControl w:val="0"/>
        <w:kinsoku/>
        <w:wordWrap/>
        <w:overflowPunct/>
        <w:topLinePunct w:val="0"/>
        <w:bidi w:val="0"/>
        <w:snapToGrid/>
        <w:ind w:left="0" w:leftChars="0" w:right="0"/>
        <w:textAlignment w:val="auto"/>
        <w:rPr>
          <w:rFonts w:hAnsi="宋体"/>
          <w:color w:val="auto"/>
          <w:sz w:val="21"/>
          <w:szCs w:val="21"/>
        </w:rPr>
      </w:pPr>
      <w:r>
        <w:rPr>
          <w:rFonts w:ascii="宋体" w:hAnsi="宋体" w:eastAsia="宋体"/>
          <w:color w:val="auto"/>
          <w:sz w:val="21"/>
          <w:szCs w:val="21"/>
        </w:rPr>
        <w:t>详细评</w:t>
      </w:r>
      <w:r>
        <w:rPr>
          <w:rFonts w:hAnsi="宋体"/>
          <w:color w:val="auto"/>
          <w:sz w:val="21"/>
          <w:szCs w:val="21"/>
        </w:rPr>
        <w:t>审工作全部结束后，汇总评审计分结果，</w:t>
      </w:r>
      <w:r>
        <w:rPr>
          <w:rFonts w:hint="eastAsia" w:hAnsi="宋体"/>
          <w:color w:val="auto"/>
          <w:sz w:val="21"/>
          <w:szCs w:val="21"/>
        </w:rPr>
        <w:t>并按</w:t>
      </w:r>
      <w:r>
        <w:rPr>
          <w:rFonts w:hint="eastAsia" w:hAnsi="宋体" w:cs="宋体"/>
          <w:color w:val="auto"/>
          <w:sz w:val="21"/>
          <w:szCs w:val="21"/>
        </w:rPr>
        <w:t>竞争性采购须知前附表</w:t>
      </w:r>
      <w:r>
        <w:rPr>
          <w:rFonts w:hint="eastAsia" w:hAnsi="宋体"/>
          <w:color w:val="auto"/>
          <w:sz w:val="21"/>
          <w:szCs w:val="21"/>
        </w:rPr>
        <w:t>规定的排序方法</w:t>
      </w:r>
      <w:r>
        <w:rPr>
          <w:rFonts w:hAnsi="宋体"/>
          <w:color w:val="auto"/>
          <w:sz w:val="21"/>
          <w:szCs w:val="21"/>
        </w:rPr>
        <w:t>对</w:t>
      </w:r>
      <w:r>
        <w:rPr>
          <w:rFonts w:hint="eastAsia" w:hAnsi="宋体"/>
          <w:color w:val="auto"/>
          <w:sz w:val="21"/>
          <w:szCs w:val="21"/>
        </w:rPr>
        <w:t>供应商</w:t>
      </w:r>
      <w:r>
        <w:rPr>
          <w:rFonts w:hAnsi="宋体"/>
          <w:color w:val="auto"/>
          <w:sz w:val="21"/>
          <w:szCs w:val="21"/>
        </w:rPr>
        <w:t>进行排序。</w:t>
      </w:r>
    </w:p>
    <w:p>
      <w:pPr>
        <w:pStyle w:val="358"/>
        <w:keepNext w:val="0"/>
        <w:keepLines w:val="0"/>
        <w:pageBreakBefore w:val="0"/>
        <w:widowControl w:val="0"/>
        <w:kinsoku/>
        <w:wordWrap/>
        <w:overflowPunct/>
        <w:topLinePunct w:val="0"/>
        <w:bidi w:val="0"/>
        <w:snapToGrid/>
        <w:ind w:left="0" w:leftChars="0" w:right="0"/>
        <w:textAlignment w:val="auto"/>
        <w:rPr>
          <w:rFonts w:ascii="宋体" w:hAnsi="宋体" w:eastAsia="宋体"/>
          <w:color w:val="auto"/>
          <w:sz w:val="21"/>
          <w:szCs w:val="21"/>
        </w:rPr>
      </w:pPr>
      <w:r>
        <w:rPr>
          <w:rFonts w:hint="eastAsia"/>
          <w:color w:val="auto"/>
          <w:sz w:val="21"/>
          <w:szCs w:val="21"/>
        </w:rPr>
        <w:t>（</w:t>
      </w:r>
      <w:r>
        <w:rPr>
          <w:color w:val="auto"/>
          <w:sz w:val="21"/>
          <w:szCs w:val="21"/>
        </w:rPr>
        <w:t>1</w:t>
      </w:r>
      <w:r>
        <w:rPr>
          <w:rFonts w:hint="eastAsia" w:ascii="宋体" w:hAnsi="宋体" w:eastAsia="宋体"/>
          <w:color w:val="auto"/>
          <w:sz w:val="21"/>
          <w:szCs w:val="21"/>
        </w:rPr>
        <w:t>）</w:t>
      </w:r>
      <w:r>
        <w:rPr>
          <w:rFonts w:ascii="宋体" w:hAnsi="宋体" w:eastAsia="宋体"/>
          <w:color w:val="auto"/>
          <w:sz w:val="21"/>
          <w:szCs w:val="21"/>
        </w:rPr>
        <w:t>供应商得分=</w:t>
      </w:r>
      <w:r>
        <w:rPr>
          <w:rFonts w:hint="eastAsia" w:hAnsi="宋体"/>
          <w:color w:val="auto"/>
          <w:sz w:val="21"/>
          <w:szCs w:val="21"/>
          <w:lang w:val="en-US" w:eastAsia="zh-CN"/>
        </w:rPr>
        <w:t>商务评审得分</w:t>
      </w:r>
      <w:r>
        <w:rPr>
          <w:rFonts w:ascii="宋体" w:hAnsi="宋体" w:eastAsia="宋体"/>
          <w:color w:val="auto"/>
          <w:sz w:val="21"/>
          <w:szCs w:val="21"/>
        </w:rPr>
        <w:t>×</w:t>
      </w:r>
      <w:r>
        <w:rPr>
          <w:rFonts w:hint="eastAsia" w:ascii="宋体" w:hAnsi="宋体" w:eastAsia="宋体"/>
          <w:color w:val="auto"/>
          <w:sz w:val="21"/>
          <w:szCs w:val="21"/>
        </w:rPr>
        <w:t>商务部分权重</w:t>
      </w:r>
      <w:r>
        <w:rPr>
          <w:rFonts w:ascii="宋体" w:hAnsi="宋体" w:eastAsia="宋体"/>
          <w:color w:val="auto"/>
          <w:sz w:val="21"/>
          <w:szCs w:val="21"/>
        </w:rPr>
        <w:t xml:space="preserve"> + </w:t>
      </w:r>
      <w:r>
        <w:rPr>
          <w:rFonts w:hint="eastAsia" w:hAnsi="宋体"/>
          <w:color w:val="auto"/>
          <w:sz w:val="21"/>
          <w:szCs w:val="21"/>
          <w:lang w:val="en-US" w:eastAsia="zh-CN"/>
        </w:rPr>
        <w:t>技术评审得分</w:t>
      </w:r>
      <w:r>
        <w:rPr>
          <w:rFonts w:ascii="宋体" w:hAnsi="宋体" w:eastAsia="宋体"/>
          <w:color w:val="auto"/>
          <w:sz w:val="21"/>
          <w:szCs w:val="21"/>
        </w:rPr>
        <w:t>×</w:t>
      </w:r>
      <w:r>
        <w:rPr>
          <w:rFonts w:hint="eastAsia" w:ascii="宋体" w:hAnsi="宋体" w:eastAsia="宋体"/>
          <w:color w:val="auto"/>
          <w:sz w:val="21"/>
          <w:szCs w:val="21"/>
        </w:rPr>
        <w:t xml:space="preserve">技术部分权重 </w:t>
      </w:r>
      <w:r>
        <w:rPr>
          <w:rFonts w:ascii="宋体" w:hAnsi="宋体" w:eastAsia="宋体"/>
          <w:color w:val="auto"/>
          <w:sz w:val="21"/>
          <w:szCs w:val="21"/>
        </w:rPr>
        <w:t xml:space="preserve">+ </w:t>
      </w:r>
      <w:r>
        <w:rPr>
          <w:rFonts w:hint="eastAsia" w:hAnsi="宋体"/>
          <w:color w:val="auto"/>
          <w:sz w:val="21"/>
          <w:szCs w:val="21"/>
          <w:lang w:val="en-US" w:eastAsia="zh-CN"/>
        </w:rPr>
        <w:t>报价评审得分</w:t>
      </w:r>
      <w:r>
        <w:rPr>
          <w:rFonts w:ascii="宋体" w:hAnsi="宋体" w:eastAsia="宋体"/>
          <w:color w:val="auto"/>
          <w:sz w:val="21"/>
          <w:szCs w:val="21"/>
        </w:rPr>
        <w:t>×</w:t>
      </w:r>
      <w:r>
        <w:rPr>
          <w:rFonts w:hint="eastAsia" w:ascii="宋体" w:hAnsi="宋体" w:eastAsia="宋体"/>
          <w:color w:val="auto"/>
          <w:sz w:val="21"/>
          <w:szCs w:val="21"/>
        </w:rPr>
        <w:t>报价部分权重</w:t>
      </w:r>
      <w:r>
        <w:rPr>
          <w:rFonts w:ascii="宋体" w:hAnsi="宋体" w:eastAsia="宋体"/>
          <w:color w:val="auto"/>
          <w:sz w:val="21"/>
          <w:szCs w:val="21"/>
        </w:rPr>
        <w:t>。</w:t>
      </w:r>
    </w:p>
    <w:p>
      <w:pPr>
        <w:pStyle w:val="358"/>
        <w:keepNext w:val="0"/>
        <w:keepLines w:val="0"/>
        <w:pageBreakBefore w:val="0"/>
        <w:widowControl w:val="0"/>
        <w:kinsoku/>
        <w:wordWrap/>
        <w:overflowPunct/>
        <w:topLinePunct w:val="0"/>
        <w:bidi w:val="0"/>
        <w:snapToGrid/>
        <w:ind w:left="0" w:leftChars="0" w:right="0"/>
        <w:textAlignment w:val="auto"/>
        <w:rPr>
          <w:rFonts w:hint="eastAsia" w:ascii="宋体" w:hAnsi="Times New Roman" w:eastAsia="宋体" w:cs="Times New Roman"/>
          <w:color w:val="auto"/>
          <w:sz w:val="21"/>
          <w:szCs w:val="21"/>
        </w:rPr>
      </w:pPr>
      <w:r>
        <w:rPr>
          <w:rFonts w:hint="eastAsia" w:ascii="宋体" w:hAnsi="宋体" w:eastAsia="宋体"/>
          <w:color w:val="auto"/>
          <w:sz w:val="21"/>
          <w:szCs w:val="21"/>
        </w:rPr>
        <w:t>（</w:t>
      </w:r>
      <w:r>
        <w:rPr>
          <w:rFonts w:hint="eastAsia" w:ascii="宋体" w:hAnsi="Times New Roman" w:eastAsia="宋体" w:cs="Times New Roman"/>
          <w:color w:val="auto"/>
          <w:sz w:val="21"/>
          <w:szCs w:val="21"/>
        </w:rPr>
        <w:t>2）评分分值计算保留到小数点后两位，小数点后第三位“四舍五入”。</w:t>
      </w:r>
    </w:p>
    <w:p>
      <w:pPr>
        <w:adjustRightInd w:val="0"/>
        <w:snapToGrid w:val="0"/>
        <w:spacing w:line="360" w:lineRule="auto"/>
        <w:ind w:firstLine="413" w:firstLineChars="196"/>
        <w:rPr>
          <w:rFonts w:ascii="宋体" w:hAnsi="宋体" w:cs="宋体"/>
          <w:b/>
          <w:bCs/>
          <w:color w:val="auto"/>
          <w:szCs w:val="21"/>
        </w:rPr>
      </w:pPr>
      <w:r>
        <w:rPr>
          <w:rFonts w:hint="eastAsia" w:ascii="宋体" w:hAnsi="宋体" w:cs="宋体"/>
          <w:b/>
          <w:bCs/>
          <w:color w:val="auto"/>
          <w:szCs w:val="21"/>
        </w:rPr>
        <w:t>5.推荐成交供应商</w:t>
      </w:r>
    </w:p>
    <w:p>
      <w:pPr>
        <w:widowControl/>
        <w:adjustRightInd w:val="0"/>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5.1竞争性采购评审小组应当在全部评审结束后，按照综合得分由高到低的顺序推荐</w:t>
      </w:r>
      <w:r>
        <w:rPr>
          <w:rFonts w:hint="eastAsia" w:ascii="宋体" w:hAnsi="宋体" w:cs="宋体"/>
          <w:color w:val="auto"/>
          <w:szCs w:val="21"/>
          <w:shd w:val="clear" w:color="auto" w:fill="FFFFFF"/>
        </w:rPr>
        <w:t>不超过</w:t>
      </w:r>
      <w:r>
        <w:rPr>
          <w:rFonts w:hint="eastAsia" w:ascii="宋体" w:hAnsi="宋体" w:cs="宋体"/>
          <w:color w:val="auto"/>
          <w:kern w:val="0"/>
          <w:szCs w:val="21"/>
        </w:rPr>
        <w:t>3名成交候选人，并填写评审报告。经</w:t>
      </w:r>
      <w:r>
        <w:rPr>
          <w:rFonts w:hint="eastAsia" w:ascii="宋体" w:hAnsi="宋体" w:cs="宋体"/>
          <w:color w:val="auto"/>
        </w:rPr>
        <w:t>对排名第一的成交候选人进行公示，且</w:t>
      </w:r>
      <w:r>
        <w:rPr>
          <w:rFonts w:hint="eastAsia" w:ascii="宋体" w:hAnsi="宋体" w:cs="宋体"/>
          <w:color w:val="auto"/>
          <w:kern w:val="0"/>
          <w:szCs w:val="21"/>
        </w:rPr>
        <w:t>公示无异议后，确定排名第一的成交候选人为成交供应商。</w:t>
      </w:r>
    </w:p>
    <w:p>
      <w:pPr>
        <w:widowControl/>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5.2全部评审结束后，若出现</w:t>
      </w:r>
      <w:r>
        <w:rPr>
          <w:rFonts w:hint="eastAsia" w:ascii="宋体" w:hAnsi="宋体" w:cs="宋体"/>
          <w:color w:val="auto"/>
          <w:kern w:val="0"/>
          <w:szCs w:val="21"/>
          <w:lang w:val="en-US" w:eastAsia="zh-CN"/>
        </w:rPr>
        <w:t>综合</w:t>
      </w:r>
      <w:r>
        <w:rPr>
          <w:rFonts w:hint="eastAsia" w:ascii="宋体" w:hAnsi="宋体" w:cs="宋体"/>
          <w:color w:val="auto"/>
          <w:kern w:val="0"/>
          <w:szCs w:val="21"/>
        </w:rPr>
        <w:t>得分相同的情形，则</w:t>
      </w:r>
      <w:r>
        <w:rPr>
          <w:rFonts w:hint="eastAsia" w:ascii="宋体" w:hAnsi="宋体" w:cs="宋体"/>
          <w:color w:val="auto"/>
          <w:kern w:val="0"/>
          <w:szCs w:val="21"/>
          <w:lang w:val="en-US" w:eastAsia="zh-CN"/>
        </w:rPr>
        <w:t>按成交原则</w:t>
      </w:r>
      <w:r>
        <w:rPr>
          <w:rFonts w:hint="eastAsia" w:ascii="宋体" w:hAnsi="宋体" w:cs="宋体"/>
          <w:color w:val="auto"/>
          <w:kern w:val="0"/>
          <w:szCs w:val="21"/>
        </w:rPr>
        <w:t>确定成交候选人。</w:t>
      </w:r>
    </w:p>
    <w:p>
      <w:pPr>
        <w:widowControl/>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5.3排名第一的成交候选人成交后放弃成交、因不可抗力不能履行合同，或者被查实存在影响成交结果的违法行为等情形，不符合成交条件的，</w:t>
      </w:r>
      <w:r>
        <w:rPr>
          <w:rFonts w:hint="eastAsia" w:ascii="宋体" w:hAnsi="宋体" w:cs="宋体"/>
          <w:color w:val="auto"/>
          <w:kern w:val="0"/>
          <w:szCs w:val="21"/>
          <w:lang w:eastAsia="zh-CN"/>
        </w:rPr>
        <w:t>采购人</w:t>
      </w:r>
      <w:r>
        <w:rPr>
          <w:rFonts w:hint="eastAsia" w:ascii="宋体" w:hAnsi="宋体" w:cs="宋体"/>
          <w:color w:val="auto"/>
          <w:kern w:val="0"/>
          <w:szCs w:val="21"/>
        </w:rPr>
        <w:t>可以按照竞争性采购评审小组提出的成交候选人名单排序依次确定其他成交候选人为成交供应商，也可以重新采购。</w:t>
      </w:r>
    </w:p>
    <w:p>
      <w:pPr>
        <w:adjustRightInd w:val="0"/>
        <w:snapToGrid w:val="0"/>
        <w:spacing w:line="360" w:lineRule="auto"/>
        <w:ind w:firstLine="422" w:firstLineChars="200"/>
        <w:rPr>
          <w:rFonts w:hint="default" w:ascii="宋体" w:hAnsi="宋体" w:cs="宋体"/>
          <w:b/>
          <w:color w:val="auto"/>
          <w:szCs w:val="21"/>
          <w:lang w:val="en-US" w:eastAsia="zh-CN"/>
        </w:rPr>
      </w:pPr>
      <w:r>
        <w:rPr>
          <w:rFonts w:hint="eastAsia" w:ascii="宋体" w:hAnsi="宋体" w:eastAsia="宋体" w:cs="宋体"/>
          <w:b/>
          <w:bCs/>
          <w:color w:val="auto"/>
          <w:szCs w:val="21"/>
          <w:lang w:val="en-US" w:eastAsia="zh-CN"/>
        </w:rPr>
        <w:t>6.其他补充条款（</w:t>
      </w:r>
      <w:r>
        <w:rPr>
          <w:rFonts w:hint="eastAsia" w:ascii="宋体" w:hAnsi="宋体" w:cs="宋体"/>
          <w:b/>
          <w:color w:val="auto"/>
          <w:szCs w:val="21"/>
          <w:lang w:val="en-US" w:eastAsia="zh-CN"/>
        </w:rPr>
        <w:t>现场答辩环节）</w:t>
      </w:r>
    </w:p>
    <w:p>
      <w:pPr>
        <w:snapToGrid w:val="0"/>
        <w:spacing w:line="360" w:lineRule="auto"/>
        <w:ind w:firstLine="420" w:firstLineChars="200"/>
        <w:rPr>
          <w:rFonts w:hint="eastAsia" w:ascii="宋体" w:hAnsi="宋体" w:eastAsia="宋体" w:cs="Courier New"/>
          <w:b w:val="0"/>
          <w:bCs w:val="0"/>
          <w:iCs/>
          <w:color w:val="auto"/>
          <w:kern w:val="2"/>
          <w:sz w:val="21"/>
          <w:szCs w:val="21"/>
          <w:u w:val="none"/>
          <w:lang w:val="en-US" w:eastAsia="zh-CN" w:bidi="ar-SA"/>
        </w:rPr>
      </w:pPr>
      <w:r>
        <w:rPr>
          <w:rFonts w:hint="eastAsia" w:ascii="宋体" w:hAnsi="宋体" w:cs="Courier New"/>
          <w:b w:val="0"/>
          <w:bCs w:val="0"/>
          <w:iCs/>
          <w:color w:val="auto"/>
          <w:kern w:val="2"/>
          <w:sz w:val="21"/>
          <w:szCs w:val="21"/>
          <w:u w:val="none"/>
          <w:lang w:val="en-US" w:eastAsia="zh-CN" w:bidi="ar-SA"/>
        </w:rPr>
        <w:t>（1）</w:t>
      </w:r>
      <w:r>
        <w:rPr>
          <w:rFonts w:hint="eastAsia" w:ascii="宋体" w:hAnsi="宋体" w:eastAsia="宋体" w:cs="Courier New"/>
          <w:b w:val="0"/>
          <w:bCs w:val="0"/>
          <w:iCs/>
          <w:color w:val="auto"/>
          <w:kern w:val="2"/>
          <w:sz w:val="21"/>
          <w:szCs w:val="21"/>
          <w:u w:val="none"/>
          <w:lang w:val="en-US" w:eastAsia="zh-CN" w:bidi="ar-SA"/>
        </w:rPr>
        <w:t>本项目设置对供应商拟投满足本项目要求的坐班律师的现场答辩环节。</w:t>
      </w:r>
    </w:p>
    <w:p>
      <w:pPr>
        <w:snapToGrid w:val="0"/>
        <w:spacing w:line="360" w:lineRule="auto"/>
        <w:ind w:firstLine="420" w:firstLineChars="200"/>
        <w:rPr>
          <w:rFonts w:hint="eastAsia" w:ascii="宋体" w:hAnsi="宋体" w:eastAsia="宋体" w:cs="Courier New"/>
          <w:b w:val="0"/>
          <w:bCs w:val="0"/>
          <w:iCs/>
          <w:color w:val="auto"/>
          <w:kern w:val="2"/>
          <w:sz w:val="21"/>
          <w:szCs w:val="21"/>
          <w:u w:val="none"/>
          <w:lang w:val="en-US" w:eastAsia="zh-CN" w:bidi="ar-SA"/>
        </w:rPr>
      </w:pPr>
      <w:r>
        <w:rPr>
          <w:rFonts w:hint="eastAsia" w:ascii="宋体" w:hAnsi="宋体" w:cs="Courier New"/>
          <w:b w:val="0"/>
          <w:bCs w:val="0"/>
          <w:iCs/>
          <w:color w:val="auto"/>
          <w:kern w:val="2"/>
          <w:sz w:val="21"/>
          <w:szCs w:val="21"/>
          <w:u w:val="none"/>
          <w:lang w:val="en-US" w:eastAsia="zh-CN" w:bidi="ar-SA"/>
        </w:rPr>
        <w:t>（2）</w:t>
      </w:r>
      <w:r>
        <w:rPr>
          <w:rFonts w:hint="eastAsia" w:ascii="宋体" w:hAnsi="宋体" w:eastAsia="宋体" w:cs="Courier New"/>
          <w:b w:val="0"/>
          <w:bCs w:val="0"/>
          <w:iCs/>
          <w:color w:val="auto"/>
          <w:kern w:val="2"/>
          <w:sz w:val="21"/>
          <w:szCs w:val="21"/>
          <w:u w:val="none"/>
          <w:lang w:val="en-US" w:eastAsia="zh-CN" w:bidi="ar-SA"/>
        </w:rPr>
        <w:t>拟委派本项目坐班律师须持律师执业证书原件、身份证原件、委派函原件（格式见第七章响应文件组成）参加现场答辩。</w:t>
      </w:r>
    </w:p>
    <w:p>
      <w:pPr>
        <w:snapToGrid w:val="0"/>
        <w:spacing w:line="360" w:lineRule="auto"/>
        <w:ind w:firstLine="420" w:firstLineChars="200"/>
        <w:rPr>
          <w:rFonts w:hint="eastAsia" w:ascii="宋体" w:hAnsi="宋体" w:eastAsia="宋体" w:cs="Courier New"/>
          <w:b w:val="0"/>
          <w:bCs w:val="0"/>
          <w:iCs/>
          <w:color w:val="auto"/>
          <w:kern w:val="2"/>
          <w:sz w:val="21"/>
          <w:szCs w:val="21"/>
          <w:u w:val="none"/>
          <w:lang w:val="en-US" w:eastAsia="zh-CN" w:bidi="ar-SA"/>
        </w:rPr>
      </w:pPr>
      <w:r>
        <w:rPr>
          <w:rFonts w:hint="eastAsia" w:ascii="宋体" w:hAnsi="宋体" w:cs="Courier New"/>
          <w:b w:val="0"/>
          <w:bCs w:val="0"/>
          <w:iCs/>
          <w:color w:val="auto"/>
          <w:kern w:val="2"/>
          <w:sz w:val="21"/>
          <w:szCs w:val="21"/>
          <w:u w:val="none"/>
          <w:lang w:val="en-US" w:eastAsia="zh-CN" w:bidi="ar-SA"/>
        </w:rPr>
        <w:t>（3）</w:t>
      </w:r>
      <w:r>
        <w:rPr>
          <w:rFonts w:hint="eastAsia" w:ascii="宋体" w:hAnsi="宋体" w:eastAsia="宋体" w:cs="Courier New"/>
          <w:b w:val="0"/>
          <w:bCs w:val="0"/>
          <w:iCs/>
          <w:color w:val="auto"/>
          <w:kern w:val="2"/>
          <w:sz w:val="21"/>
          <w:szCs w:val="21"/>
          <w:u w:val="none"/>
          <w:lang w:val="en-US" w:eastAsia="zh-CN" w:bidi="ar-SA"/>
        </w:rPr>
        <w:t>现场答辩为对本项目工作思路及评委提问进行现场陈述和答复，每家单位不超过1</w:t>
      </w:r>
      <w:r>
        <w:rPr>
          <w:rFonts w:hint="eastAsia" w:ascii="宋体" w:hAnsi="宋体" w:cs="Courier New"/>
          <w:b w:val="0"/>
          <w:bCs w:val="0"/>
          <w:iCs/>
          <w:color w:val="auto"/>
          <w:kern w:val="2"/>
          <w:sz w:val="21"/>
          <w:szCs w:val="21"/>
          <w:u w:val="none"/>
          <w:lang w:val="en-US" w:eastAsia="zh-CN" w:bidi="ar-SA"/>
        </w:rPr>
        <w:t>5</w:t>
      </w:r>
      <w:r>
        <w:rPr>
          <w:rFonts w:hint="eastAsia" w:ascii="宋体" w:hAnsi="宋体" w:eastAsia="宋体" w:cs="Courier New"/>
          <w:b w:val="0"/>
          <w:bCs w:val="0"/>
          <w:iCs/>
          <w:color w:val="auto"/>
          <w:kern w:val="2"/>
          <w:sz w:val="21"/>
          <w:szCs w:val="21"/>
          <w:u w:val="none"/>
          <w:lang w:val="en-US" w:eastAsia="zh-CN" w:bidi="ar-SA"/>
        </w:rPr>
        <w:t>分钟，供应商在本阶段可自行准备介绍材料。</w:t>
      </w:r>
    </w:p>
    <w:p>
      <w:pPr>
        <w:snapToGrid w:val="0"/>
        <w:spacing w:line="360" w:lineRule="auto"/>
        <w:ind w:firstLine="420" w:firstLineChars="200"/>
        <w:rPr>
          <w:rFonts w:hint="eastAsia" w:ascii="宋体" w:hAnsi="宋体" w:eastAsia="宋体" w:cs="Courier New"/>
          <w:b w:val="0"/>
          <w:bCs w:val="0"/>
          <w:iCs/>
          <w:color w:val="auto"/>
          <w:kern w:val="2"/>
          <w:sz w:val="21"/>
          <w:szCs w:val="21"/>
          <w:u w:val="none"/>
          <w:lang w:val="en-US" w:eastAsia="zh-CN" w:bidi="ar-SA"/>
        </w:rPr>
      </w:pPr>
      <w:r>
        <w:rPr>
          <w:rFonts w:hint="eastAsia" w:ascii="宋体" w:hAnsi="宋体" w:cs="Courier New"/>
          <w:b w:val="0"/>
          <w:bCs w:val="0"/>
          <w:iCs/>
          <w:color w:val="auto"/>
          <w:kern w:val="2"/>
          <w:sz w:val="21"/>
          <w:szCs w:val="21"/>
          <w:u w:val="none"/>
          <w:lang w:val="en-US" w:eastAsia="zh-CN" w:bidi="ar-SA"/>
        </w:rPr>
        <w:t>（4）</w:t>
      </w:r>
      <w:r>
        <w:rPr>
          <w:rFonts w:hint="eastAsia" w:ascii="宋体" w:hAnsi="宋体" w:eastAsia="宋体" w:cs="Courier New"/>
          <w:b w:val="0"/>
          <w:bCs w:val="0"/>
          <w:iCs/>
          <w:color w:val="auto"/>
          <w:kern w:val="2"/>
          <w:sz w:val="21"/>
          <w:szCs w:val="21"/>
          <w:u w:val="none"/>
          <w:lang w:val="en-US" w:eastAsia="zh-CN" w:bidi="ar-SA"/>
        </w:rPr>
        <w:t>如供应商中选，本次进行现场答辩的坐班律师将被确定为本项目的坐班律师。</w:t>
      </w:r>
    </w:p>
    <w:p>
      <w:pPr>
        <w:snapToGrid w:val="0"/>
        <w:spacing w:line="360" w:lineRule="auto"/>
        <w:ind w:firstLine="420" w:firstLineChars="200"/>
        <w:rPr>
          <w:rFonts w:hint="eastAsia" w:ascii="宋体" w:hAnsi="宋体" w:eastAsia="宋体" w:cs="Courier New"/>
          <w:b w:val="0"/>
          <w:bCs w:val="0"/>
          <w:iCs/>
          <w:color w:val="auto"/>
          <w:kern w:val="2"/>
          <w:sz w:val="21"/>
          <w:szCs w:val="21"/>
          <w:u w:val="none"/>
          <w:lang w:val="en-US" w:eastAsia="zh-CN" w:bidi="ar-SA"/>
        </w:rPr>
      </w:pPr>
      <w:r>
        <w:rPr>
          <w:rFonts w:hint="eastAsia" w:ascii="宋体" w:hAnsi="宋体" w:cs="Courier New"/>
          <w:b w:val="0"/>
          <w:bCs w:val="0"/>
          <w:iCs/>
          <w:color w:val="auto"/>
          <w:kern w:val="2"/>
          <w:sz w:val="21"/>
          <w:szCs w:val="21"/>
          <w:u w:val="none"/>
          <w:lang w:val="en-US" w:eastAsia="zh-CN" w:bidi="ar-SA"/>
        </w:rPr>
        <w:t>（5）</w:t>
      </w:r>
      <w:r>
        <w:rPr>
          <w:rFonts w:hint="eastAsia" w:ascii="宋体" w:hAnsi="宋体" w:eastAsia="宋体" w:cs="Courier New"/>
          <w:b w:val="0"/>
          <w:bCs w:val="0"/>
          <w:iCs/>
          <w:color w:val="auto"/>
          <w:kern w:val="2"/>
          <w:sz w:val="21"/>
          <w:szCs w:val="21"/>
          <w:u w:val="none"/>
          <w:lang w:val="en-US" w:eastAsia="zh-CN" w:bidi="ar-SA"/>
        </w:rPr>
        <w:t>现场答辩组织：</w:t>
      </w:r>
    </w:p>
    <w:p>
      <w:pPr>
        <w:numPr>
          <w:ilvl w:val="0"/>
          <w:numId w:val="0"/>
        </w:numPr>
        <w:snapToGrid w:val="0"/>
        <w:spacing w:line="360" w:lineRule="auto"/>
        <w:ind w:firstLine="420" w:firstLineChars="200"/>
        <w:rPr>
          <w:rFonts w:hint="eastAsia" w:ascii="宋体" w:hAnsi="宋体" w:eastAsia="宋体" w:cs="Courier New"/>
          <w:b w:val="0"/>
          <w:bCs w:val="0"/>
          <w:iCs/>
          <w:color w:val="auto"/>
          <w:kern w:val="2"/>
          <w:sz w:val="21"/>
          <w:szCs w:val="21"/>
          <w:u w:val="none"/>
          <w:lang w:val="en-US" w:eastAsia="zh-CN" w:bidi="ar-SA"/>
        </w:rPr>
      </w:pPr>
      <w:r>
        <w:rPr>
          <w:rFonts w:hint="eastAsia" w:ascii="微软雅黑" w:hAnsi="微软雅黑" w:eastAsia="微软雅黑" w:cs="微软雅黑"/>
          <w:b w:val="0"/>
          <w:bCs w:val="0"/>
          <w:iCs/>
          <w:color w:val="auto"/>
          <w:kern w:val="2"/>
          <w:sz w:val="21"/>
          <w:szCs w:val="21"/>
          <w:u w:val="none"/>
          <w:lang w:val="en-US" w:eastAsia="zh-CN" w:bidi="ar-SA"/>
        </w:rPr>
        <w:t>①</w:t>
      </w:r>
      <w:r>
        <w:rPr>
          <w:rFonts w:hint="eastAsia" w:ascii="宋体" w:hAnsi="宋体" w:eastAsia="宋体" w:cs="Courier New"/>
          <w:b w:val="0"/>
          <w:bCs w:val="0"/>
          <w:iCs/>
          <w:color w:val="auto"/>
          <w:kern w:val="2"/>
          <w:sz w:val="21"/>
          <w:szCs w:val="21"/>
          <w:u w:val="none"/>
          <w:lang w:val="en-US" w:eastAsia="zh-CN" w:bidi="ar-SA"/>
        </w:rPr>
        <w:t>现场答辩在本项目符合性审查结束后进行，由采购人主持；</w:t>
      </w:r>
    </w:p>
    <w:p>
      <w:pPr>
        <w:numPr>
          <w:ilvl w:val="0"/>
          <w:numId w:val="0"/>
        </w:numPr>
        <w:snapToGrid w:val="0"/>
        <w:spacing w:line="360" w:lineRule="auto"/>
        <w:ind w:left="400" w:leftChars="0"/>
        <w:rPr>
          <w:rFonts w:hint="eastAsia" w:ascii="宋体" w:hAnsi="宋体" w:eastAsia="宋体" w:cs="Courier New"/>
          <w:b w:val="0"/>
          <w:bCs w:val="0"/>
          <w:iCs/>
          <w:color w:val="auto"/>
          <w:kern w:val="2"/>
          <w:sz w:val="21"/>
          <w:szCs w:val="21"/>
          <w:u w:val="none"/>
          <w:lang w:val="en-US" w:eastAsia="zh-CN" w:bidi="ar-SA"/>
        </w:rPr>
      </w:pPr>
      <w:r>
        <w:rPr>
          <w:rFonts w:hint="eastAsia" w:ascii="微软雅黑" w:hAnsi="微软雅黑" w:eastAsia="微软雅黑" w:cs="微软雅黑"/>
          <w:b w:val="0"/>
          <w:bCs w:val="0"/>
          <w:iCs/>
          <w:color w:val="auto"/>
          <w:kern w:val="2"/>
          <w:sz w:val="21"/>
          <w:szCs w:val="21"/>
          <w:u w:val="none"/>
          <w:lang w:val="en-US" w:eastAsia="zh-CN" w:bidi="ar-SA"/>
        </w:rPr>
        <w:t>②</w:t>
      </w:r>
      <w:r>
        <w:rPr>
          <w:rFonts w:hint="eastAsia" w:ascii="宋体" w:hAnsi="宋体" w:eastAsia="宋体" w:cs="Courier New"/>
          <w:b w:val="0"/>
          <w:bCs w:val="0"/>
          <w:iCs/>
          <w:color w:val="auto"/>
          <w:kern w:val="2"/>
          <w:sz w:val="21"/>
          <w:szCs w:val="21"/>
          <w:u w:val="none"/>
          <w:lang w:val="en-US" w:eastAsia="zh-CN" w:bidi="ar-SA"/>
        </w:rPr>
        <w:t>通过符合性审查的供应商至910电子评标室，由采购人根据供应商响应文件递交签到表的</w:t>
      </w:r>
    </w:p>
    <w:p>
      <w:pPr>
        <w:numPr>
          <w:ilvl w:val="0"/>
          <w:numId w:val="0"/>
        </w:numPr>
        <w:snapToGrid w:val="0"/>
        <w:spacing w:line="360" w:lineRule="auto"/>
        <w:rPr>
          <w:rFonts w:hint="eastAsia" w:ascii="宋体" w:hAnsi="宋体" w:eastAsia="宋体" w:cs="Courier New"/>
          <w:b w:val="0"/>
          <w:bCs w:val="0"/>
          <w:iCs/>
          <w:color w:val="auto"/>
          <w:kern w:val="2"/>
          <w:sz w:val="21"/>
          <w:szCs w:val="21"/>
          <w:u w:val="none"/>
          <w:lang w:val="en-US" w:eastAsia="zh-CN" w:bidi="ar-SA"/>
        </w:rPr>
      </w:pPr>
      <w:r>
        <w:rPr>
          <w:rFonts w:hint="eastAsia" w:ascii="宋体" w:hAnsi="宋体" w:eastAsia="宋体" w:cs="Courier New"/>
          <w:b w:val="0"/>
          <w:bCs w:val="0"/>
          <w:iCs/>
          <w:color w:val="auto"/>
          <w:kern w:val="2"/>
          <w:sz w:val="21"/>
          <w:szCs w:val="21"/>
          <w:u w:val="none"/>
          <w:lang w:val="en-US" w:eastAsia="zh-CN" w:bidi="ar-SA"/>
        </w:rPr>
        <w:t>时间宣布各供应商的答辩时间和顺序；</w:t>
      </w:r>
    </w:p>
    <w:p>
      <w:pPr>
        <w:numPr>
          <w:ilvl w:val="0"/>
          <w:numId w:val="0"/>
        </w:numPr>
        <w:snapToGrid w:val="0"/>
        <w:spacing w:line="360" w:lineRule="auto"/>
        <w:ind w:firstLine="420" w:firstLineChars="200"/>
        <w:rPr>
          <w:rFonts w:hint="eastAsia" w:ascii="宋体" w:hAnsi="宋体" w:eastAsia="宋体" w:cs="Courier New"/>
          <w:b w:val="0"/>
          <w:bCs w:val="0"/>
          <w:iCs/>
          <w:color w:val="auto"/>
          <w:kern w:val="2"/>
          <w:sz w:val="21"/>
          <w:szCs w:val="21"/>
          <w:u w:val="none"/>
          <w:lang w:val="en-US" w:eastAsia="zh-CN" w:bidi="ar-SA"/>
        </w:rPr>
      </w:pPr>
      <w:r>
        <w:rPr>
          <w:rFonts w:hint="eastAsia" w:ascii="微软雅黑" w:hAnsi="微软雅黑" w:eastAsia="微软雅黑" w:cs="微软雅黑"/>
          <w:b w:val="0"/>
          <w:bCs w:val="0"/>
          <w:iCs/>
          <w:color w:val="auto"/>
          <w:kern w:val="2"/>
          <w:sz w:val="21"/>
          <w:szCs w:val="21"/>
          <w:u w:val="none"/>
          <w:lang w:val="en-US" w:eastAsia="zh-CN" w:bidi="ar-SA"/>
        </w:rPr>
        <w:t>③</w:t>
      </w:r>
      <w:r>
        <w:rPr>
          <w:rFonts w:hint="eastAsia" w:ascii="宋体" w:hAnsi="宋体" w:eastAsia="宋体" w:cs="Courier New"/>
          <w:b w:val="0"/>
          <w:bCs w:val="0"/>
          <w:iCs/>
          <w:color w:val="auto"/>
          <w:kern w:val="2"/>
          <w:sz w:val="21"/>
          <w:szCs w:val="21"/>
          <w:u w:val="none"/>
          <w:lang w:val="en-US" w:eastAsia="zh-CN" w:bidi="ar-SA"/>
        </w:rPr>
        <w:t>由采购人现场监督员、记录人检验各供应商答辩人员资料；</w:t>
      </w:r>
    </w:p>
    <w:p>
      <w:pPr>
        <w:numPr>
          <w:ilvl w:val="0"/>
          <w:numId w:val="0"/>
        </w:numPr>
        <w:snapToGrid w:val="0"/>
        <w:spacing w:line="360" w:lineRule="auto"/>
        <w:ind w:firstLine="420" w:firstLineChars="200"/>
        <w:rPr>
          <w:rFonts w:hint="eastAsia" w:ascii="宋体" w:hAnsi="宋体" w:eastAsia="宋体" w:cs="Courier New"/>
          <w:b w:val="0"/>
          <w:bCs w:val="0"/>
          <w:iCs/>
          <w:color w:val="auto"/>
          <w:kern w:val="2"/>
          <w:sz w:val="21"/>
          <w:szCs w:val="21"/>
          <w:u w:val="none"/>
          <w:lang w:val="en-US" w:eastAsia="zh-CN" w:bidi="ar-SA"/>
        </w:rPr>
      </w:pPr>
      <w:r>
        <w:rPr>
          <w:rFonts w:hint="eastAsia" w:ascii="微软雅黑" w:hAnsi="微软雅黑" w:eastAsia="微软雅黑" w:cs="微软雅黑"/>
          <w:b w:val="0"/>
          <w:bCs w:val="0"/>
          <w:iCs/>
          <w:color w:val="auto"/>
          <w:kern w:val="2"/>
          <w:sz w:val="21"/>
          <w:szCs w:val="21"/>
          <w:u w:val="none"/>
          <w:lang w:val="en-US" w:eastAsia="zh-CN" w:bidi="ar-SA"/>
        </w:rPr>
        <w:t>④</w:t>
      </w:r>
      <w:r>
        <w:rPr>
          <w:rFonts w:hint="eastAsia" w:ascii="宋体" w:hAnsi="宋体" w:eastAsia="宋体" w:cs="Courier New"/>
          <w:b w:val="0"/>
          <w:bCs w:val="0"/>
          <w:iCs/>
          <w:color w:val="auto"/>
          <w:kern w:val="2"/>
          <w:sz w:val="21"/>
          <w:szCs w:val="21"/>
          <w:u w:val="none"/>
          <w:lang w:val="en-US" w:eastAsia="zh-CN" w:bidi="ar-SA"/>
        </w:rPr>
        <w:t>供应商拟派坐班律师进行陈述和答辩；</w:t>
      </w:r>
    </w:p>
    <w:p>
      <w:pPr>
        <w:numPr>
          <w:ilvl w:val="0"/>
          <w:numId w:val="0"/>
        </w:numPr>
        <w:snapToGrid w:val="0"/>
        <w:spacing w:line="360" w:lineRule="auto"/>
        <w:ind w:left="400" w:leftChars="0"/>
        <w:rPr>
          <w:rFonts w:hint="eastAsia" w:ascii="宋体" w:hAnsi="宋体" w:eastAsia="宋体" w:cs="Courier New"/>
          <w:b w:val="0"/>
          <w:bCs w:val="0"/>
          <w:iCs/>
          <w:color w:val="auto"/>
          <w:kern w:val="2"/>
          <w:sz w:val="21"/>
          <w:szCs w:val="21"/>
          <w:u w:val="none"/>
          <w:lang w:val="en-US" w:eastAsia="zh-CN" w:bidi="ar-SA"/>
        </w:rPr>
      </w:pPr>
      <w:r>
        <w:rPr>
          <w:rFonts w:hint="eastAsia" w:ascii="微软雅黑" w:hAnsi="微软雅黑" w:eastAsia="微软雅黑" w:cs="微软雅黑"/>
          <w:b w:val="0"/>
          <w:bCs w:val="0"/>
          <w:iCs/>
          <w:color w:val="auto"/>
          <w:kern w:val="2"/>
          <w:sz w:val="21"/>
          <w:szCs w:val="21"/>
          <w:u w:val="none"/>
          <w:lang w:val="en-US" w:eastAsia="zh-CN" w:bidi="ar-SA"/>
        </w:rPr>
        <w:t>⑤</w:t>
      </w:r>
      <w:r>
        <w:rPr>
          <w:rFonts w:hint="eastAsia" w:ascii="宋体" w:hAnsi="宋体" w:eastAsia="宋体" w:cs="Courier New"/>
          <w:b w:val="0"/>
          <w:bCs w:val="0"/>
          <w:iCs/>
          <w:color w:val="auto"/>
          <w:kern w:val="2"/>
          <w:sz w:val="21"/>
          <w:szCs w:val="21"/>
          <w:u w:val="none"/>
          <w:lang w:val="en-US" w:eastAsia="zh-CN" w:bidi="ar-SA"/>
        </w:rPr>
        <w:t>评审小组对供应商拟派坐班律师的陈述和答辩进行集体评议，单独计分。</w:t>
      </w:r>
    </w:p>
    <w:p>
      <w:pPr>
        <w:rPr>
          <w:color w:val="auto"/>
        </w:rPr>
      </w:pPr>
      <w:bookmarkStart w:id="63" w:name="_Toc17997"/>
      <w:bookmarkStart w:id="64" w:name="_Toc18202"/>
      <w:bookmarkStart w:id="65" w:name="_Toc14891077"/>
      <w:bookmarkStart w:id="66" w:name="_Toc23442"/>
      <w:bookmarkStart w:id="67" w:name="_Toc17562"/>
      <w:r>
        <w:rPr>
          <w:rFonts w:ascii="宋体" w:hAnsi="宋体" w:cs="宋体"/>
          <w:bCs w:val="0"/>
          <w:color w:val="auto"/>
          <w:sz w:val="32"/>
          <w:szCs w:val="32"/>
        </w:rPr>
        <w:br w:type="page"/>
      </w:r>
    </w:p>
    <w:p>
      <w:pPr>
        <w:widowControl/>
        <w:adjustRightInd w:val="0"/>
        <w:snapToGrid w:val="0"/>
        <w:spacing w:line="360" w:lineRule="auto"/>
        <w:jc w:val="left"/>
        <w:rPr>
          <w:rFonts w:hint="eastAsia" w:ascii="宋体" w:hAnsi="宋体" w:eastAsia="宋体" w:cs="Times New Roman"/>
          <w:b/>
          <w:color w:val="auto"/>
          <w:szCs w:val="21"/>
          <w:lang w:eastAsia="zh-CN"/>
        </w:rPr>
      </w:pPr>
      <w:r>
        <w:rPr>
          <w:rFonts w:hint="eastAsia" w:ascii="宋体" w:hAnsi="宋体" w:eastAsia="宋体" w:cs="Times New Roman"/>
          <w:b/>
          <w:color w:val="auto"/>
          <w:szCs w:val="21"/>
          <w:lang w:val="en-US" w:eastAsia="zh-CN"/>
        </w:rPr>
        <w:t>附</w:t>
      </w:r>
      <w:r>
        <w:rPr>
          <w:rFonts w:hint="eastAsia" w:ascii="宋体" w:hAnsi="宋体" w:eastAsia="宋体" w:cs="Times New Roman"/>
          <w:b/>
          <w:color w:val="auto"/>
          <w:szCs w:val="21"/>
          <w:lang w:eastAsia="zh-CN"/>
        </w:rPr>
        <w:t>表</w:t>
      </w:r>
      <w:r>
        <w:rPr>
          <w:rFonts w:hint="eastAsia" w:ascii="宋体" w:hAnsi="宋体" w:eastAsia="宋体" w:cs="Times New Roman"/>
          <w:b/>
          <w:color w:val="auto"/>
          <w:szCs w:val="21"/>
          <w:lang w:val="en-US" w:eastAsia="zh-CN"/>
        </w:rPr>
        <w:t>一</w:t>
      </w:r>
      <w:r>
        <w:rPr>
          <w:rFonts w:hint="eastAsia" w:ascii="宋体" w:hAnsi="宋体" w:eastAsia="宋体" w:cs="Times New Roman"/>
          <w:b/>
          <w:color w:val="auto"/>
          <w:szCs w:val="21"/>
          <w:lang w:eastAsia="zh-CN"/>
        </w:rPr>
        <w:t>：商务</w:t>
      </w:r>
      <w:r>
        <w:rPr>
          <w:rFonts w:hint="eastAsia" w:ascii="宋体" w:hAnsi="宋体" w:eastAsia="宋体" w:cs="Times New Roman"/>
          <w:b/>
          <w:color w:val="auto"/>
          <w:szCs w:val="21"/>
          <w:lang w:val="en-US" w:eastAsia="zh-CN"/>
        </w:rPr>
        <w:t>评审表</w:t>
      </w:r>
      <w:r>
        <w:rPr>
          <w:rFonts w:hint="eastAsia" w:ascii="宋体" w:hAnsi="宋体" w:eastAsia="宋体" w:cs="Times New Roman"/>
          <w:b/>
          <w:color w:val="auto"/>
          <w:szCs w:val="21"/>
          <w:lang w:eastAsia="zh-CN"/>
        </w:rPr>
        <w:t>（总分</w:t>
      </w:r>
      <w:r>
        <w:rPr>
          <w:rFonts w:hint="eastAsia" w:ascii="宋体" w:hAnsi="宋体" w:eastAsia="宋体" w:cs="Times New Roman"/>
          <w:b/>
          <w:color w:val="auto"/>
          <w:szCs w:val="21"/>
          <w:lang w:val="en-US" w:eastAsia="zh-CN"/>
        </w:rPr>
        <w:t>100分，权重0.2</w:t>
      </w:r>
      <w:r>
        <w:rPr>
          <w:rFonts w:hint="eastAsia" w:ascii="宋体" w:hAnsi="宋体" w:eastAsia="宋体" w:cs="Times New Roman"/>
          <w:b/>
          <w:color w:val="auto"/>
          <w:szCs w:val="21"/>
          <w:lang w:eastAsia="zh-CN"/>
        </w:rPr>
        <w:t>）</w:t>
      </w:r>
    </w:p>
    <w:tbl>
      <w:tblPr>
        <w:tblStyle w:val="47"/>
        <w:tblpPr w:leftFromText="180" w:rightFromText="180" w:vertAnchor="text" w:horzAnchor="page" w:tblpX="1273" w:tblpY="293"/>
        <w:tblOverlap w:val="never"/>
        <w:tblW w:w="10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253"/>
        <w:gridCol w:w="1058"/>
        <w:gridCol w:w="4928"/>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26" w:type="dxa"/>
            <w:noWrap w:val="0"/>
            <w:vAlign w:val="center"/>
          </w:tcPr>
          <w:p>
            <w:pPr>
              <w:spacing w:line="360" w:lineRule="exact"/>
              <w:jc w:val="center"/>
              <w:rPr>
                <w:rFonts w:hint="eastAsia" w:ascii="宋体" w:hAnsi="宋体" w:eastAsia="宋体" w:cs="宋体"/>
                <w:b/>
                <w:color w:val="auto"/>
                <w:kern w:val="0"/>
                <w:sz w:val="24"/>
                <w:szCs w:val="24"/>
                <w:highlight w:val="none"/>
              </w:rPr>
            </w:pPr>
            <w:r>
              <w:rPr>
                <w:rFonts w:hint="eastAsia" w:ascii="宋体" w:hAnsi="宋体" w:cs="宋体"/>
                <w:b/>
                <w:bCs/>
                <w:color w:val="auto"/>
                <w:sz w:val="24"/>
                <w:szCs w:val="24"/>
              </w:rPr>
              <w:t>序号</w:t>
            </w:r>
          </w:p>
        </w:tc>
        <w:tc>
          <w:tcPr>
            <w:tcW w:w="1253" w:type="dxa"/>
            <w:noWrap w:val="0"/>
            <w:vAlign w:val="center"/>
          </w:tcPr>
          <w:p>
            <w:pPr>
              <w:spacing w:line="360" w:lineRule="exact"/>
              <w:ind w:left="718" w:leftChars="1" w:hanging="716" w:hangingChars="297"/>
              <w:jc w:val="center"/>
              <w:rPr>
                <w:rFonts w:hint="eastAsia" w:ascii="宋体" w:hAnsi="宋体" w:eastAsia="宋体" w:cs="宋体"/>
                <w:b/>
                <w:color w:val="auto"/>
                <w:kern w:val="0"/>
                <w:sz w:val="24"/>
                <w:szCs w:val="24"/>
                <w:highlight w:val="none"/>
                <w:lang w:eastAsia="zh-CN"/>
              </w:rPr>
            </w:pPr>
            <w:r>
              <w:rPr>
                <w:rFonts w:hint="eastAsia" w:ascii="宋体" w:hAnsi="宋体" w:cs="宋体"/>
                <w:b/>
                <w:bCs/>
                <w:color w:val="auto"/>
                <w:sz w:val="24"/>
                <w:szCs w:val="24"/>
              </w:rPr>
              <w:t>评审</w:t>
            </w:r>
            <w:r>
              <w:rPr>
                <w:rFonts w:ascii="宋体" w:hAnsi="宋体" w:cs="宋体"/>
                <w:b/>
                <w:bCs/>
                <w:color w:val="auto"/>
                <w:sz w:val="24"/>
                <w:szCs w:val="24"/>
              </w:rPr>
              <w:t>项目</w:t>
            </w:r>
          </w:p>
        </w:tc>
        <w:tc>
          <w:tcPr>
            <w:tcW w:w="1058" w:type="dxa"/>
            <w:noWrap w:val="0"/>
            <w:vAlign w:val="center"/>
          </w:tcPr>
          <w:p>
            <w:pPr>
              <w:spacing w:line="360" w:lineRule="exact"/>
              <w:jc w:val="center"/>
              <w:rPr>
                <w:rFonts w:hint="eastAsia" w:ascii="宋体" w:hAnsi="宋体" w:eastAsia="宋体" w:cs="宋体"/>
                <w:b/>
                <w:color w:val="auto"/>
                <w:kern w:val="0"/>
                <w:sz w:val="24"/>
                <w:szCs w:val="24"/>
                <w:highlight w:val="none"/>
              </w:rPr>
            </w:pPr>
            <w:r>
              <w:rPr>
                <w:rFonts w:hint="eastAsia" w:ascii="宋体" w:hAnsi="宋体" w:cs="宋体"/>
                <w:b/>
                <w:bCs/>
                <w:color w:val="auto"/>
                <w:sz w:val="24"/>
                <w:szCs w:val="24"/>
              </w:rPr>
              <w:t>满分</w:t>
            </w:r>
            <w:r>
              <w:rPr>
                <w:rFonts w:ascii="宋体" w:hAnsi="宋体" w:cs="宋体"/>
                <w:b/>
                <w:bCs/>
                <w:color w:val="auto"/>
                <w:sz w:val="24"/>
                <w:szCs w:val="24"/>
              </w:rPr>
              <w:t>值</w:t>
            </w:r>
          </w:p>
        </w:tc>
        <w:tc>
          <w:tcPr>
            <w:tcW w:w="4928" w:type="dxa"/>
            <w:noWrap w:val="0"/>
            <w:vAlign w:val="center"/>
          </w:tcPr>
          <w:p>
            <w:pPr>
              <w:spacing w:line="360" w:lineRule="exact"/>
              <w:ind w:left="718" w:leftChars="1" w:hanging="716" w:hangingChars="297"/>
              <w:jc w:val="center"/>
              <w:rPr>
                <w:rFonts w:hint="eastAsia" w:ascii="宋体" w:hAnsi="宋体" w:eastAsia="宋体" w:cs="宋体"/>
                <w:b/>
                <w:color w:val="auto"/>
                <w:kern w:val="0"/>
                <w:sz w:val="24"/>
                <w:szCs w:val="24"/>
                <w:highlight w:val="none"/>
              </w:rPr>
            </w:pPr>
            <w:r>
              <w:rPr>
                <w:rFonts w:hint="eastAsia" w:ascii="宋体" w:hAnsi="宋体" w:cs="宋体"/>
                <w:b/>
                <w:bCs/>
                <w:color w:val="auto"/>
                <w:sz w:val="24"/>
                <w:szCs w:val="24"/>
              </w:rPr>
              <w:t>评审</w:t>
            </w:r>
            <w:r>
              <w:rPr>
                <w:rFonts w:ascii="宋体" w:hAnsi="宋体" w:cs="宋体"/>
                <w:b/>
                <w:bCs/>
                <w:color w:val="auto"/>
                <w:sz w:val="24"/>
                <w:szCs w:val="24"/>
              </w:rPr>
              <w:t>标准与计分规则</w:t>
            </w:r>
          </w:p>
        </w:tc>
        <w:tc>
          <w:tcPr>
            <w:tcW w:w="2074" w:type="dxa"/>
            <w:noWrap w:val="0"/>
            <w:vAlign w:val="center"/>
          </w:tcPr>
          <w:p>
            <w:pPr>
              <w:spacing w:line="360" w:lineRule="exact"/>
              <w:ind w:left="718" w:leftChars="1" w:hanging="716" w:hangingChars="297"/>
              <w:jc w:val="center"/>
              <w:rPr>
                <w:rFonts w:hint="eastAsia" w:ascii="宋体" w:hAnsi="宋体" w:cs="宋体"/>
                <w:b/>
                <w:bCs/>
                <w:color w:val="auto"/>
                <w:sz w:val="24"/>
                <w:szCs w:val="24"/>
              </w:rPr>
            </w:pPr>
            <w:r>
              <w:rPr>
                <w:rFonts w:hint="eastAsia" w:ascii="宋体" w:hAnsi="宋体" w:eastAsia="宋体" w:cs="宋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26" w:type="dxa"/>
            <w:noWrap w:val="0"/>
            <w:vAlign w:val="center"/>
          </w:tcPr>
          <w:p>
            <w:pPr>
              <w:keepNext w:val="0"/>
              <w:keepLines w:val="0"/>
              <w:pageBreakBefore w:val="0"/>
              <w:widowControl/>
              <w:kinsoku/>
              <w:wordWrap/>
              <w:overflowPunct/>
              <w:topLinePunct w:val="0"/>
              <w:bidi w:val="0"/>
              <w:spacing w:line="240" w:lineRule="auto"/>
              <w:ind w:left="0" w:left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253" w:type="dxa"/>
            <w:noWrap w:val="0"/>
            <w:vAlign w:val="center"/>
          </w:tcPr>
          <w:p>
            <w:pPr>
              <w:keepNext w:val="0"/>
              <w:keepLines w:val="0"/>
              <w:pageBreakBefore w:val="0"/>
              <w:widowControl/>
              <w:kinsoku/>
              <w:wordWrap/>
              <w:overflowPunct/>
              <w:topLinePunct w:val="0"/>
              <w:bidi w:val="0"/>
              <w:spacing w:line="240" w:lineRule="auto"/>
              <w:ind w:left="0" w:leftChars="0"/>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响应文件的编制</w:t>
            </w:r>
          </w:p>
        </w:tc>
        <w:tc>
          <w:tcPr>
            <w:tcW w:w="1058" w:type="dxa"/>
            <w:noWrap w:val="0"/>
            <w:vAlign w:val="center"/>
          </w:tcPr>
          <w:p>
            <w:pPr>
              <w:keepNext w:val="0"/>
              <w:keepLines w:val="0"/>
              <w:pageBreakBefore w:val="0"/>
              <w:widowControl/>
              <w:kinsoku/>
              <w:wordWrap/>
              <w:overflowPunct/>
              <w:topLinePunct w:val="0"/>
              <w:bidi w:val="0"/>
              <w:spacing w:line="240" w:lineRule="auto"/>
              <w:ind w:left="0" w:lef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5分</w:t>
            </w:r>
          </w:p>
        </w:tc>
        <w:tc>
          <w:tcPr>
            <w:tcW w:w="4928" w:type="dxa"/>
            <w:noWrap w:val="0"/>
            <w:vAlign w:val="center"/>
          </w:tcPr>
          <w:p>
            <w:pPr>
              <w:keepNext w:val="0"/>
              <w:keepLines w:val="0"/>
              <w:pageBreakBefore w:val="0"/>
              <w:kinsoku/>
              <w:wordWrap/>
              <w:overflowPunct/>
              <w:topLinePunct w:val="0"/>
              <w:bidi w:val="0"/>
              <w:spacing w:line="240" w:lineRule="auto"/>
              <w:ind w:left="0" w:leftChars="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rPr>
              <w:t>版面是否整齐，表述是否清晰，内容是否全面、准确，是否图文并茂，是否出现格式等错误。经评审小组集体讨论认定一致后，每出现一处扣1分,扣完为止。</w:t>
            </w:r>
          </w:p>
        </w:tc>
        <w:tc>
          <w:tcPr>
            <w:tcW w:w="2074" w:type="dxa"/>
            <w:noWrap w:val="0"/>
            <w:vAlign w:val="center"/>
          </w:tcPr>
          <w:p>
            <w:pPr>
              <w:widowControl/>
              <w:spacing w:line="400" w:lineRule="exact"/>
              <w:jc w:val="left"/>
              <w:textAlignment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26" w:type="dxa"/>
            <w:noWrap w:val="0"/>
            <w:vAlign w:val="center"/>
          </w:tcPr>
          <w:p>
            <w:pPr>
              <w:keepNext w:val="0"/>
              <w:keepLines w:val="0"/>
              <w:pageBreakBefore w:val="0"/>
              <w:widowControl/>
              <w:kinsoku/>
              <w:wordWrap/>
              <w:overflowPunct/>
              <w:topLinePunct w:val="0"/>
              <w:bidi w:val="0"/>
              <w:spacing w:line="240" w:lineRule="auto"/>
              <w:ind w:left="0" w:left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253" w:type="dxa"/>
            <w:noWrap w:val="0"/>
            <w:vAlign w:val="center"/>
          </w:tcPr>
          <w:p>
            <w:pPr>
              <w:keepNext w:val="0"/>
              <w:keepLines w:val="0"/>
              <w:pageBreakBefore w:val="0"/>
              <w:widowControl/>
              <w:kinsoku/>
              <w:wordWrap/>
              <w:overflowPunct/>
              <w:topLinePunct w:val="0"/>
              <w:bidi w:val="0"/>
              <w:spacing w:line="240" w:lineRule="auto"/>
              <w:ind w:left="0" w:leftChars="0"/>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计分业绩</w:t>
            </w:r>
          </w:p>
        </w:tc>
        <w:tc>
          <w:tcPr>
            <w:tcW w:w="1058" w:type="dxa"/>
            <w:noWrap w:val="0"/>
            <w:vAlign w:val="center"/>
          </w:tcPr>
          <w:p>
            <w:pPr>
              <w:keepNext w:val="0"/>
              <w:keepLines w:val="0"/>
              <w:pageBreakBefore w:val="0"/>
              <w:widowControl/>
              <w:kinsoku/>
              <w:wordWrap/>
              <w:overflowPunct/>
              <w:topLinePunct w:val="0"/>
              <w:bidi w:val="0"/>
              <w:spacing w:line="240" w:lineRule="auto"/>
              <w:ind w:left="0" w:left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rPr>
              <w:t>6</w:t>
            </w:r>
            <w:r>
              <w:rPr>
                <w:rFonts w:hint="eastAsia" w:ascii="宋体" w:hAnsi="宋体" w:eastAsia="宋体" w:cs="宋体"/>
                <w:color w:val="auto"/>
                <w:sz w:val="21"/>
                <w:szCs w:val="21"/>
                <w:lang w:val="zh-CN"/>
              </w:rPr>
              <w:t>0分</w:t>
            </w:r>
          </w:p>
        </w:tc>
        <w:tc>
          <w:tcPr>
            <w:tcW w:w="4928" w:type="dxa"/>
            <w:noWrap w:val="0"/>
            <w:vAlign w:val="center"/>
          </w:tcPr>
          <w:p>
            <w:pPr>
              <w:keepNext w:val="0"/>
              <w:keepLines w:val="0"/>
              <w:pageBreakBefore w:val="0"/>
              <w:widowControl/>
              <w:kinsoku/>
              <w:wordWrap/>
              <w:overflowPunct/>
              <w:topLinePunct w:val="0"/>
              <w:bidi w:val="0"/>
              <w:spacing w:line="240" w:lineRule="auto"/>
              <w:ind w:left="0" w:leftChars="0"/>
              <w:jc w:val="left"/>
              <w:textAlignment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供应商具有1个计分业绩得基本分30分。每增加1个计分业绩加15分，最多加30分。</w:t>
            </w:r>
          </w:p>
          <w:p>
            <w:pPr>
              <w:pStyle w:val="242"/>
              <w:keepNext w:val="0"/>
              <w:keepLines w:val="0"/>
              <w:pageBreakBefore w:val="0"/>
              <w:numPr>
                <w:ilvl w:val="0"/>
                <w:numId w:val="0"/>
              </w:numPr>
              <w:kinsoku/>
              <w:wordWrap/>
              <w:overflowPunct/>
              <w:topLinePunct w:val="0"/>
              <w:bidi w:val="0"/>
              <w:spacing w:line="240" w:lineRule="auto"/>
              <w:ind w:left="0" w:leftChars="0" w:firstLine="0" w:firstLineChars="0"/>
              <w:rPr>
                <w:rFonts w:hint="eastAsia" w:ascii="宋体" w:hAnsi="宋体" w:eastAsia="宋体" w:cs="宋体"/>
                <w:color w:val="auto"/>
                <w:sz w:val="21"/>
                <w:szCs w:val="21"/>
                <w:lang w:val="zh-CN"/>
              </w:rPr>
            </w:pPr>
            <w:r>
              <w:rPr>
                <w:rFonts w:hint="eastAsia" w:ascii="宋体" w:hAnsi="宋体" w:eastAsia="宋体" w:cs="宋体"/>
                <w:color w:val="auto"/>
                <w:kern w:val="2"/>
                <w:sz w:val="21"/>
                <w:szCs w:val="21"/>
                <w:lang w:val="zh-CN" w:eastAsia="zh-CN" w:bidi="ar-SA"/>
              </w:rPr>
              <w:t>计分业绩是指供应商在递交响应文件截止之日前36个月内在中国境内自行承担的</w:t>
            </w:r>
            <w:r>
              <w:rPr>
                <w:rFonts w:hint="eastAsia" w:ascii="宋体" w:hAnsi="宋体" w:eastAsia="宋体" w:cs="宋体"/>
                <w:color w:val="auto"/>
                <w:kern w:val="2"/>
                <w:sz w:val="21"/>
                <w:szCs w:val="21"/>
                <w:lang w:val="en-US" w:eastAsia="zh-CN" w:bidi="ar-SA"/>
              </w:rPr>
              <w:t>单项</w:t>
            </w:r>
            <w:r>
              <w:rPr>
                <w:rFonts w:hint="eastAsia" w:ascii="宋体" w:hAnsi="宋体" w:eastAsia="宋体" w:cs="宋体"/>
                <w:color w:val="auto"/>
                <w:kern w:val="2"/>
                <w:sz w:val="21"/>
                <w:szCs w:val="21"/>
                <w:lang w:val="zh-CN" w:eastAsia="zh-CN" w:bidi="ar-SA"/>
              </w:rPr>
              <w:t>合同金额</w:t>
            </w:r>
            <w:r>
              <w:rPr>
                <w:rFonts w:hint="eastAsia" w:ascii="宋体" w:hAnsi="宋体" w:eastAsia="宋体" w:cs="宋体"/>
                <w:color w:val="auto"/>
                <w:kern w:val="2"/>
                <w:sz w:val="21"/>
                <w:szCs w:val="21"/>
                <w:u w:val="none"/>
                <w:lang w:val="en-US" w:eastAsia="zh-CN" w:bidi="ar-SA"/>
              </w:rPr>
              <w:t>20</w:t>
            </w:r>
            <w:r>
              <w:rPr>
                <w:rFonts w:hint="eastAsia" w:ascii="宋体" w:hAnsi="宋体" w:eastAsia="宋体" w:cs="宋体"/>
                <w:color w:val="auto"/>
                <w:kern w:val="2"/>
                <w:sz w:val="21"/>
                <w:szCs w:val="21"/>
                <w:lang w:val="zh-CN" w:eastAsia="zh-CN" w:bidi="ar-SA"/>
              </w:rPr>
              <w:t>万元</w:t>
            </w:r>
            <w:r>
              <w:rPr>
                <w:rFonts w:hint="eastAsia" w:ascii="宋体" w:hAnsi="宋体" w:eastAsia="宋体" w:cs="宋体"/>
                <w:color w:val="auto"/>
                <w:kern w:val="2"/>
                <w:sz w:val="21"/>
                <w:szCs w:val="21"/>
                <w:lang w:val="en-US" w:eastAsia="zh-CN" w:bidi="ar-SA"/>
              </w:rPr>
              <w:t>/年</w:t>
            </w:r>
            <w:r>
              <w:rPr>
                <w:rFonts w:hint="eastAsia" w:ascii="宋体" w:hAnsi="宋体" w:eastAsia="宋体" w:cs="宋体"/>
                <w:color w:val="auto"/>
                <w:kern w:val="2"/>
                <w:sz w:val="21"/>
                <w:szCs w:val="21"/>
                <w:lang w:val="zh-CN" w:eastAsia="zh-CN" w:bidi="ar-SA"/>
              </w:rPr>
              <w:t>（含）以上的企业法律顾问服务业绩。</w:t>
            </w:r>
          </w:p>
        </w:tc>
        <w:tc>
          <w:tcPr>
            <w:tcW w:w="2074" w:type="dxa"/>
            <w:noWrap w:val="0"/>
            <w:vAlign w:val="center"/>
          </w:tcPr>
          <w:p>
            <w:pPr>
              <w:widowControl/>
              <w:spacing w:line="400" w:lineRule="exact"/>
              <w:jc w:val="left"/>
              <w:textAlignment w:val="center"/>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rPr>
              <w:t>业绩证明材料以提供的合同复印件为准，时间以合同中甲方签订的时间为准。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26" w:type="dxa"/>
            <w:vMerge w:val="restart"/>
            <w:noWrap w:val="0"/>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1253" w:type="dxa"/>
            <w:vMerge w:val="restart"/>
            <w:noWrap w:val="0"/>
            <w:vAlign w:val="center"/>
          </w:tcPr>
          <w:p>
            <w:pPr>
              <w:widowControl/>
              <w:spacing w:line="4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人员配备</w:t>
            </w:r>
          </w:p>
        </w:tc>
        <w:tc>
          <w:tcPr>
            <w:tcW w:w="1058" w:type="dxa"/>
            <w:noWrap w:val="0"/>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val="zh-CN" w:eastAsia="zh-CN"/>
              </w:rPr>
              <w:t>分</w:t>
            </w:r>
          </w:p>
        </w:tc>
        <w:tc>
          <w:tcPr>
            <w:tcW w:w="4928" w:type="dxa"/>
            <w:noWrap w:val="0"/>
            <w:vAlign w:val="top"/>
          </w:tcPr>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拟任顾问团队坐班律师：</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年（含）以上的，计</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年（含）-</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年（不含）的，计</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年（含）-1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年（不含）的，计</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spacing w:line="3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执业</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年（不含）以下的，不计分。</w:t>
            </w:r>
          </w:p>
        </w:tc>
        <w:tc>
          <w:tcPr>
            <w:tcW w:w="2074" w:type="dxa"/>
            <w:noWrap w:val="0"/>
            <w:vAlign w:val="center"/>
          </w:tcPr>
          <w:p>
            <w:p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以</w:t>
            </w:r>
            <w:r>
              <w:rPr>
                <w:rFonts w:hint="eastAsia" w:ascii="宋体" w:hAnsi="宋体" w:eastAsia="宋体" w:cs="宋体"/>
                <w:color w:val="auto"/>
                <w:sz w:val="21"/>
                <w:szCs w:val="21"/>
                <w:highlight w:val="none"/>
              </w:rPr>
              <w:t>供应商提供的</w:t>
            </w:r>
            <w:r>
              <w:rPr>
                <w:rFonts w:hint="eastAsia" w:ascii="宋体" w:hAnsi="宋体" w:eastAsia="宋体" w:cs="宋体"/>
                <w:color w:val="auto"/>
                <w:sz w:val="21"/>
                <w:szCs w:val="21"/>
                <w:highlight w:val="none"/>
                <w:lang w:val="en-US" w:eastAsia="zh-CN"/>
              </w:rPr>
              <w:t>律师执业证书复印件为准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726" w:type="dxa"/>
            <w:vMerge w:val="continue"/>
            <w:noWrap w:val="0"/>
            <w:vAlign w:val="center"/>
          </w:tcPr>
          <w:p>
            <w:pPr>
              <w:widowControl/>
              <w:spacing w:line="400" w:lineRule="exact"/>
              <w:jc w:val="left"/>
              <w:textAlignment w:val="center"/>
              <w:rPr>
                <w:rFonts w:hint="eastAsia" w:ascii="宋体" w:hAnsi="宋体" w:eastAsia="宋体" w:cs="宋体"/>
                <w:color w:val="auto"/>
                <w:sz w:val="21"/>
                <w:szCs w:val="21"/>
              </w:rPr>
            </w:pPr>
          </w:p>
        </w:tc>
        <w:tc>
          <w:tcPr>
            <w:tcW w:w="1253" w:type="dxa"/>
            <w:vMerge w:val="continue"/>
            <w:noWrap w:val="0"/>
            <w:vAlign w:val="center"/>
          </w:tcPr>
          <w:p>
            <w:pPr>
              <w:widowControl/>
              <w:spacing w:line="400" w:lineRule="exact"/>
              <w:jc w:val="left"/>
              <w:textAlignment w:val="center"/>
              <w:rPr>
                <w:rFonts w:hint="eastAsia" w:ascii="宋体" w:hAnsi="宋体" w:eastAsia="宋体" w:cs="宋体"/>
                <w:color w:val="auto"/>
                <w:sz w:val="21"/>
                <w:szCs w:val="21"/>
              </w:rPr>
            </w:pPr>
          </w:p>
        </w:tc>
        <w:tc>
          <w:tcPr>
            <w:tcW w:w="1058" w:type="dxa"/>
            <w:noWrap w:val="0"/>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val="zh-CN" w:eastAsia="zh-CN"/>
              </w:rPr>
              <w:t>分</w:t>
            </w:r>
          </w:p>
        </w:tc>
        <w:tc>
          <w:tcPr>
            <w:tcW w:w="4928" w:type="dxa"/>
            <w:noWrap w:val="0"/>
            <w:vAlign w:val="top"/>
          </w:tcPr>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拟投本项目配备的顾问团队首席律师：</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年以上的，计</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年（含）-</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年（不含）的，计</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年（含）-</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年（不含）的，计</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spacing w:line="360" w:lineRule="exac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rPr>
              <w:t>执业</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年（不含）以下的，不计分。</w:t>
            </w:r>
          </w:p>
        </w:tc>
        <w:tc>
          <w:tcPr>
            <w:tcW w:w="2074" w:type="dxa"/>
            <w:noWrap w:val="0"/>
            <w:vAlign w:val="center"/>
          </w:tcPr>
          <w:p>
            <w:p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以</w:t>
            </w:r>
            <w:r>
              <w:rPr>
                <w:rFonts w:hint="eastAsia" w:ascii="宋体" w:hAnsi="宋体" w:eastAsia="宋体" w:cs="宋体"/>
                <w:color w:val="auto"/>
                <w:sz w:val="21"/>
                <w:szCs w:val="21"/>
                <w:highlight w:val="none"/>
              </w:rPr>
              <w:t>供应商提供的证书</w:t>
            </w:r>
            <w:r>
              <w:rPr>
                <w:rFonts w:hint="eastAsia" w:ascii="宋体" w:hAnsi="宋体" w:eastAsia="宋体" w:cs="宋体"/>
                <w:color w:val="auto"/>
                <w:sz w:val="21"/>
                <w:szCs w:val="21"/>
                <w:highlight w:val="none"/>
                <w:lang w:val="en-US" w:eastAsia="zh-CN"/>
              </w:rPr>
              <w:t>律师执业证书复印件为准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26" w:type="dxa"/>
            <w:vMerge w:val="continue"/>
            <w:noWrap w:val="0"/>
            <w:vAlign w:val="center"/>
          </w:tcPr>
          <w:p>
            <w:pPr>
              <w:widowControl/>
              <w:spacing w:line="400" w:lineRule="exact"/>
              <w:jc w:val="left"/>
              <w:textAlignment w:val="center"/>
              <w:rPr>
                <w:rFonts w:hint="eastAsia" w:ascii="宋体" w:hAnsi="宋体" w:eastAsia="宋体" w:cs="宋体"/>
                <w:color w:val="auto"/>
                <w:sz w:val="21"/>
                <w:szCs w:val="21"/>
              </w:rPr>
            </w:pPr>
          </w:p>
        </w:tc>
        <w:tc>
          <w:tcPr>
            <w:tcW w:w="1253" w:type="dxa"/>
            <w:vMerge w:val="continue"/>
            <w:noWrap w:val="0"/>
            <w:vAlign w:val="center"/>
          </w:tcPr>
          <w:p>
            <w:pPr>
              <w:widowControl/>
              <w:spacing w:line="400" w:lineRule="exact"/>
              <w:jc w:val="left"/>
              <w:textAlignment w:val="center"/>
              <w:rPr>
                <w:rFonts w:hint="eastAsia" w:ascii="宋体" w:hAnsi="宋体" w:eastAsia="宋体" w:cs="宋体"/>
                <w:color w:val="auto"/>
                <w:sz w:val="21"/>
                <w:szCs w:val="21"/>
              </w:rPr>
            </w:pPr>
          </w:p>
        </w:tc>
        <w:tc>
          <w:tcPr>
            <w:tcW w:w="1058" w:type="dxa"/>
            <w:noWrap w:val="0"/>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lang w:val="zh-CN" w:eastAsia="zh-CN"/>
              </w:rPr>
              <w:t>分</w:t>
            </w:r>
          </w:p>
        </w:tc>
        <w:tc>
          <w:tcPr>
            <w:tcW w:w="4928" w:type="dxa"/>
            <w:noWrap w:val="0"/>
            <w:vAlign w:val="center"/>
          </w:tcPr>
          <w:p>
            <w:pPr>
              <w:spacing w:line="36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为本项目拟配备的团队人员满足《人员配备基本要求表》（附后）的计</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执业证书或配备人数不满足的不计分。</w:t>
            </w:r>
          </w:p>
        </w:tc>
        <w:tc>
          <w:tcPr>
            <w:tcW w:w="2074" w:type="dxa"/>
            <w:noWrap w:val="0"/>
            <w:vAlign w:val="center"/>
          </w:tcPr>
          <w:p>
            <w:p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以</w:t>
            </w:r>
            <w:r>
              <w:rPr>
                <w:rFonts w:hint="eastAsia" w:ascii="宋体" w:hAnsi="宋体" w:eastAsia="宋体" w:cs="宋体"/>
                <w:color w:val="auto"/>
                <w:sz w:val="21"/>
                <w:szCs w:val="21"/>
                <w:highlight w:val="none"/>
              </w:rPr>
              <w:t>供应商提供的证书</w:t>
            </w:r>
            <w:r>
              <w:rPr>
                <w:rFonts w:hint="eastAsia" w:ascii="宋体" w:hAnsi="宋体" w:eastAsia="宋体" w:cs="宋体"/>
                <w:color w:val="auto"/>
                <w:sz w:val="21"/>
                <w:szCs w:val="21"/>
                <w:highlight w:val="none"/>
                <w:lang w:val="en-US" w:eastAsia="zh-CN"/>
              </w:rPr>
              <w:t>律师执业证书复印件为准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979" w:type="dxa"/>
            <w:gridSpan w:val="2"/>
            <w:noWrap w:val="0"/>
            <w:vAlign w:val="center"/>
          </w:tcPr>
          <w:p>
            <w:pPr>
              <w:widowControl/>
              <w:jc w:val="center"/>
              <w:rPr>
                <w:rFonts w:ascii="宋体" w:hAnsi="宋体" w:eastAsia="宋体" w:cs="宋体"/>
                <w:b/>
                <w:color w:val="auto"/>
                <w:kern w:val="0"/>
                <w:sz w:val="21"/>
                <w:szCs w:val="21"/>
                <w:highlight w:val="none"/>
              </w:rPr>
            </w:pPr>
            <w:r>
              <w:rPr>
                <w:rFonts w:hint="eastAsia" w:ascii="宋体" w:hAnsi="宋体" w:eastAsia="宋体" w:cs="宋体"/>
                <w:b w:val="0"/>
                <w:bCs/>
                <w:color w:val="auto"/>
                <w:kern w:val="0"/>
                <w:sz w:val="21"/>
                <w:szCs w:val="21"/>
                <w:highlight w:val="none"/>
              </w:rPr>
              <w:t xml:space="preserve"> 合计</w:t>
            </w:r>
          </w:p>
        </w:tc>
        <w:tc>
          <w:tcPr>
            <w:tcW w:w="1058" w:type="dxa"/>
            <w:noWrap w:val="0"/>
            <w:vAlign w:val="center"/>
          </w:tcPr>
          <w:p>
            <w:pPr>
              <w:widowControl/>
              <w:spacing w:line="400" w:lineRule="exact"/>
              <w:jc w:val="center"/>
              <w:textAlignment w:val="center"/>
              <w:rPr>
                <w:rFonts w:ascii="宋体" w:hAnsi="宋体" w:eastAsia="宋体" w:cs="宋体"/>
                <w:b/>
                <w:color w:val="auto"/>
                <w:kern w:val="0"/>
                <w:sz w:val="21"/>
                <w:szCs w:val="21"/>
                <w:highlight w:val="none"/>
              </w:rPr>
            </w:pPr>
            <w:r>
              <w:rPr>
                <w:rFonts w:hint="eastAsia" w:ascii="宋体" w:hAnsi="宋体" w:eastAsia="宋体" w:cs="宋体"/>
                <w:color w:val="auto"/>
                <w:sz w:val="21"/>
                <w:szCs w:val="21"/>
                <w:highlight w:val="none"/>
                <w:lang w:val="zh-CN"/>
              </w:rPr>
              <w:t>100分</w:t>
            </w:r>
          </w:p>
        </w:tc>
        <w:tc>
          <w:tcPr>
            <w:tcW w:w="4928" w:type="dxa"/>
            <w:noWrap/>
            <w:vAlign w:val="center"/>
          </w:tcPr>
          <w:p>
            <w:pPr>
              <w:widowControl/>
              <w:jc w:val="left"/>
              <w:rPr>
                <w:rFonts w:ascii="宋体" w:hAnsi="宋体" w:eastAsia="宋体" w:cs="宋体"/>
                <w:color w:val="auto"/>
                <w:kern w:val="0"/>
                <w:sz w:val="21"/>
                <w:szCs w:val="21"/>
                <w:highlight w:val="none"/>
              </w:rPr>
            </w:pPr>
          </w:p>
        </w:tc>
        <w:tc>
          <w:tcPr>
            <w:tcW w:w="2074" w:type="dxa"/>
            <w:noWrap/>
            <w:vAlign w:val="center"/>
          </w:tcPr>
          <w:p>
            <w:pPr>
              <w:widowControl/>
              <w:jc w:val="left"/>
              <w:rPr>
                <w:rFonts w:ascii="宋体" w:hAnsi="宋体" w:eastAsia="宋体" w:cs="宋体"/>
                <w:color w:val="auto"/>
                <w:kern w:val="0"/>
                <w:sz w:val="21"/>
                <w:szCs w:val="21"/>
                <w:highlight w:val="none"/>
              </w:rPr>
            </w:pPr>
          </w:p>
        </w:tc>
      </w:tr>
    </w:tbl>
    <w:p>
      <w:pPr>
        <w:pStyle w:val="242"/>
        <w:numPr>
          <w:ilvl w:val="0"/>
          <w:numId w:val="0"/>
        </w:numPr>
        <w:spacing w:line="400" w:lineRule="exact"/>
        <w:rPr>
          <w:rFonts w:hint="eastAsia" w:ascii="宋体" w:hAnsi="宋体" w:eastAsia="宋体" w:cs="宋体"/>
          <w:b/>
          <w:bCs w:val="0"/>
          <w:color w:val="auto"/>
          <w:kern w:val="2"/>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rPr>
        <w:t>评审说明：</w:t>
      </w:r>
    </w:p>
    <w:p>
      <w:pPr>
        <w:pStyle w:val="242"/>
        <w:numPr>
          <w:ilvl w:val="0"/>
          <w:numId w:val="0"/>
        </w:numPr>
        <w:spacing w:line="400" w:lineRule="exac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本项目《人员配备</w:t>
      </w:r>
      <w:r>
        <w:rPr>
          <w:rFonts w:hint="eastAsia" w:ascii="宋体" w:hAnsi="宋体" w:eastAsia="宋体" w:cs="宋体"/>
          <w:bCs/>
          <w:color w:val="auto"/>
          <w:kern w:val="2"/>
          <w:sz w:val="21"/>
          <w:szCs w:val="21"/>
          <w:highlight w:val="none"/>
          <w:lang w:val="en-US" w:eastAsia="zh-CN"/>
        </w:rPr>
        <w:t>基本</w:t>
      </w:r>
      <w:r>
        <w:rPr>
          <w:rFonts w:hint="eastAsia" w:ascii="宋体" w:hAnsi="宋体" w:eastAsia="宋体" w:cs="宋体"/>
          <w:bCs/>
          <w:color w:val="auto"/>
          <w:kern w:val="2"/>
          <w:sz w:val="21"/>
          <w:szCs w:val="21"/>
          <w:highlight w:val="none"/>
        </w:rPr>
        <w:t>要求表》如下：</w:t>
      </w:r>
    </w:p>
    <w:tbl>
      <w:tblPr>
        <w:tblStyle w:val="47"/>
        <w:tblW w:w="49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651"/>
        <w:gridCol w:w="1508"/>
        <w:gridCol w:w="4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Times New Roman" w:hAnsi="宋体" w:eastAsia="宋体" w:cs="Times New Roman"/>
                <w:color w:val="auto"/>
                <w:szCs w:val="21"/>
                <w:highlight w:val="none"/>
              </w:rPr>
              <w:t>序号</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岗位名称</w:t>
            </w:r>
          </w:p>
        </w:tc>
        <w:tc>
          <w:tcPr>
            <w:tcW w:w="15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配备人数</w:t>
            </w:r>
          </w:p>
        </w:tc>
        <w:tc>
          <w:tcPr>
            <w:tcW w:w="4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配备要求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首席律师</w:t>
            </w:r>
          </w:p>
        </w:tc>
        <w:tc>
          <w:tcPr>
            <w:tcW w:w="1527"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rPr>
              <w:t>1</w:t>
            </w:r>
          </w:p>
        </w:tc>
        <w:tc>
          <w:tcPr>
            <w:tcW w:w="4193"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律师执业证书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坐班律师</w:t>
            </w:r>
          </w:p>
        </w:tc>
        <w:tc>
          <w:tcPr>
            <w:tcW w:w="1527"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rPr>
              <w:t>1</w:t>
            </w:r>
          </w:p>
        </w:tc>
        <w:tc>
          <w:tcPr>
            <w:tcW w:w="4193"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律师执业证书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242"/>
              <w:spacing w:line="400" w:lineRule="exact"/>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主办律师</w:t>
            </w:r>
          </w:p>
        </w:tc>
        <w:tc>
          <w:tcPr>
            <w:tcW w:w="1527"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4193"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律师执业证书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242"/>
              <w:spacing w:line="400" w:lineRule="exact"/>
              <w:jc w:val="center"/>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协办律师</w:t>
            </w:r>
          </w:p>
        </w:tc>
        <w:tc>
          <w:tcPr>
            <w:tcW w:w="1527"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p>
        </w:tc>
        <w:tc>
          <w:tcPr>
            <w:tcW w:w="4193" w:type="dxa"/>
            <w:tcBorders>
              <w:top w:val="single" w:color="auto" w:sz="4" w:space="0"/>
              <w:left w:val="single" w:color="auto" w:sz="4" w:space="0"/>
              <w:bottom w:val="single" w:color="auto" w:sz="4" w:space="0"/>
              <w:right w:val="single" w:color="auto" w:sz="4" w:space="0"/>
            </w:tcBorders>
            <w:noWrap w:val="0"/>
            <w:vAlign w:val="center"/>
          </w:tcPr>
          <w:p>
            <w:pPr>
              <w:pStyle w:val="242"/>
              <w:spacing w:line="400" w:lineRule="exact"/>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律师执业证书</w:t>
            </w:r>
          </w:p>
        </w:tc>
      </w:tr>
    </w:tbl>
    <w:p>
      <w:pPr>
        <w:widowControl/>
        <w:adjustRightInd w:val="0"/>
        <w:snapToGrid w:val="0"/>
        <w:spacing w:line="360" w:lineRule="auto"/>
        <w:jc w:val="left"/>
        <w:rPr>
          <w:rFonts w:hint="eastAsia" w:ascii="宋体" w:hAnsi="宋体" w:eastAsia="宋体" w:cs="Times New Roman"/>
          <w:b/>
          <w:color w:val="auto"/>
          <w:szCs w:val="21"/>
          <w:lang w:val="en-US" w:eastAsia="zh-CN"/>
        </w:rPr>
      </w:pPr>
    </w:p>
    <w:p>
      <w:pPr>
        <w:widowControl/>
        <w:adjustRightInd w:val="0"/>
        <w:snapToGrid w:val="0"/>
        <w:spacing w:line="360" w:lineRule="auto"/>
        <w:jc w:val="left"/>
        <w:rPr>
          <w:rFonts w:hint="eastAsia" w:ascii="宋体" w:hAnsi="宋体" w:eastAsia="宋体" w:cs="Times New Roman"/>
          <w:b/>
          <w:color w:val="auto"/>
          <w:szCs w:val="21"/>
          <w:lang w:eastAsia="zh-CN"/>
        </w:rPr>
      </w:pPr>
      <w:r>
        <w:rPr>
          <w:rFonts w:hint="eastAsia" w:ascii="宋体" w:hAnsi="宋体" w:eastAsia="宋体" w:cs="Times New Roman"/>
          <w:b/>
          <w:color w:val="auto"/>
          <w:szCs w:val="21"/>
          <w:lang w:val="en-US" w:eastAsia="zh-CN"/>
        </w:rPr>
        <w:t>附</w:t>
      </w:r>
      <w:r>
        <w:rPr>
          <w:rFonts w:hint="eastAsia" w:ascii="宋体" w:hAnsi="宋体" w:eastAsia="宋体" w:cs="Times New Roman"/>
          <w:b/>
          <w:color w:val="auto"/>
          <w:szCs w:val="21"/>
          <w:lang w:eastAsia="zh-CN"/>
        </w:rPr>
        <w:t>表</w:t>
      </w:r>
      <w:r>
        <w:rPr>
          <w:rFonts w:hint="eastAsia" w:ascii="宋体" w:hAnsi="宋体" w:eastAsia="宋体" w:cs="Times New Roman"/>
          <w:b/>
          <w:color w:val="auto"/>
          <w:szCs w:val="21"/>
          <w:lang w:val="en-US" w:eastAsia="zh-CN"/>
        </w:rPr>
        <w:t>二</w:t>
      </w:r>
      <w:r>
        <w:rPr>
          <w:rFonts w:hint="eastAsia" w:ascii="宋体" w:hAnsi="宋体" w:eastAsia="宋体" w:cs="Times New Roman"/>
          <w:b/>
          <w:color w:val="auto"/>
          <w:szCs w:val="21"/>
          <w:lang w:eastAsia="zh-CN"/>
        </w:rPr>
        <w:t>：技术</w:t>
      </w:r>
      <w:r>
        <w:rPr>
          <w:rFonts w:hint="eastAsia" w:ascii="宋体" w:hAnsi="宋体" w:eastAsia="宋体" w:cs="Times New Roman"/>
          <w:b/>
          <w:color w:val="auto"/>
          <w:szCs w:val="21"/>
          <w:lang w:val="en-US" w:eastAsia="zh-CN"/>
        </w:rPr>
        <w:t>评审表</w:t>
      </w:r>
      <w:r>
        <w:rPr>
          <w:rFonts w:hint="eastAsia" w:ascii="宋体" w:hAnsi="宋体" w:eastAsia="宋体" w:cs="Times New Roman"/>
          <w:b/>
          <w:color w:val="auto"/>
          <w:szCs w:val="21"/>
          <w:lang w:eastAsia="zh-CN"/>
        </w:rPr>
        <w:t>（总分</w:t>
      </w:r>
      <w:r>
        <w:rPr>
          <w:rFonts w:hint="eastAsia" w:ascii="宋体" w:hAnsi="宋体" w:eastAsia="宋体" w:cs="Times New Roman"/>
          <w:b/>
          <w:color w:val="auto"/>
          <w:szCs w:val="21"/>
          <w:lang w:val="en-US" w:eastAsia="zh-CN"/>
        </w:rPr>
        <w:t>100分，权重0.5分</w:t>
      </w:r>
      <w:r>
        <w:rPr>
          <w:rFonts w:hint="eastAsia" w:ascii="宋体" w:hAnsi="宋体" w:eastAsia="宋体" w:cs="Times New Roman"/>
          <w:b/>
          <w:color w:val="auto"/>
          <w:szCs w:val="21"/>
          <w:lang w:eastAsia="zh-CN"/>
        </w:rPr>
        <w:t>）</w:t>
      </w:r>
    </w:p>
    <w:tbl>
      <w:tblPr>
        <w:tblStyle w:val="47"/>
        <w:tblW w:w="10040"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187"/>
        <w:gridCol w:w="943"/>
        <w:gridCol w:w="7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83" w:type="dxa"/>
            <w:noWrap w:val="0"/>
            <w:vAlign w:val="center"/>
          </w:tcPr>
          <w:p>
            <w:pPr>
              <w:keepNext w:val="0"/>
              <w:keepLines w:val="0"/>
              <w:pageBreakBefore w:val="0"/>
              <w:kinsoku/>
              <w:wordWrap/>
              <w:overflowPunct/>
              <w:topLinePunct w:val="0"/>
              <w:bidi w:val="0"/>
              <w:spacing w:line="240" w:lineRule="auto"/>
              <w:ind w:left="0" w:left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序号</w:t>
            </w:r>
          </w:p>
        </w:tc>
        <w:tc>
          <w:tcPr>
            <w:tcW w:w="1187" w:type="dxa"/>
            <w:noWrap w:val="0"/>
            <w:vAlign w:val="center"/>
          </w:tcPr>
          <w:p>
            <w:pPr>
              <w:keepNext w:val="0"/>
              <w:keepLines w:val="0"/>
              <w:pageBreakBefore w:val="0"/>
              <w:kinsoku/>
              <w:wordWrap/>
              <w:overflowPunct/>
              <w:topLinePunct w:val="0"/>
              <w:bidi w:val="0"/>
              <w:spacing w:line="240" w:lineRule="auto"/>
              <w:ind w:left="716" w:leftChars="0" w:hanging="716" w:hangingChars="297"/>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sz w:val="24"/>
                <w:szCs w:val="24"/>
                <w:highlight w:val="none"/>
              </w:rPr>
              <w:t>评审</w:t>
            </w:r>
            <w:r>
              <w:rPr>
                <w:rFonts w:hint="eastAsia" w:ascii="宋体" w:hAnsi="宋体" w:eastAsia="宋体" w:cs="宋体"/>
                <w:b/>
                <w:bCs/>
                <w:color w:val="auto"/>
                <w:sz w:val="24"/>
                <w:szCs w:val="24"/>
                <w:highlight w:val="none"/>
                <w:lang w:val="en-US" w:eastAsia="zh-CN"/>
              </w:rPr>
              <w:t>因素</w:t>
            </w:r>
          </w:p>
        </w:tc>
        <w:tc>
          <w:tcPr>
            <w:tcW w:w="943" w:type="dxa"/>
            <w:noWrap w:val="0"/>
            <w:vAlign w:val="center"/>
          </w:tcPr>
          <w:p>
            <w:pPr>
              <w:keepNext w:val="0"/>
              <w:keepLines w:val="0"/>
              <w:pageBreakBefore w:val="0"/>
              <w:kinsoku/>
              <w:wordWrap/>
              <w:overflowPunct/>
              <w:topLinePunct w:val="0"/>
              <w:bidi w:val="0"/>
              <w:spacing w:line="240" w:lineRule="auto"/>
              <w:ind w:left="0" w:left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满分值</w:t>
            </w:r>
          </w:p>
        </w:tc>
        <w:tc>
          <w:tcPr>
            <w:tcW w:w="7027" w:type="dxa"/>
            <w:noWrap w:val="0"/>
            <w:vAlign w:val="center"/>
          </w:tcPr>
          <w:p>
            <w:pPr>
              <w:keepNext w:val="0"/>
              <w:keepLines w:val="0"/>
              <w:pageBreakBefore w:val="0"/>
              <w:kinsoku/>
              <w:wordWrap/>
              <w:overflowPunct/>
              <w:topLinePunct w:val="0"/>
              <w:bidi w:val="0"/>
              <w:spacing w:line="240" w:lineRule="auto"/>
              <w:ind w:left="716" w:leftChars="0" w:hanging="716" w:hangingChars="297"/>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评审标准与计分规则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trPr>
        <w:tc>
          <w:tcPr>
            <w:tcW w:w="88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color w:val="auto"/>
                <w:kern w:val="0"/>
                <w:sz w:val="21"/>
                <w:szCs w:val="21"/>
                <w:highlight w:val="none"/>
              </w:rPr>
              <w:t>1</w:t>
            </w:r>
          </w:p>
        </w:tc>
        <w:tc>
          <w:tcPr>
            <w:tcW w:w="1187" w:type="dxa"/>
            <w:noWrap w:val="0"/>
            <w:vAlign w:val="center"/>
          </w:tcPr>
          <w:p>
            <w:pPr>
              <w:keepNext w:val="0"/>
              <w:keepLines w:val="0"/>
              <w:pageBreakBefore w:val="0"/>
              <w:widowControl/>
              <w:kinsoku/>
              <w:wordWrap/>
              <w:overflowPunct/>
              <w:topLinePunct w:val="0"/>
              <w:bidi w:val="0"/>
              <w:spacing w:line="240" w:lineRule="auto"/>
              <w:ind w:left="0" w:lef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项目总体实施方案</w:t>
            </w:r>
          </w:p>
        </w:tc>
        <w:tc>
          <w:tcPr>
            <w:tcW w:w="943" w:type="dxa"/>
            <w:noWrap w:val="0"/>
            <w:vAlign w:val="center"/>
          </w:tcPr>
          <w:p>
            <w:pPr>
              <w:keepNext w:val="0"/>
              <w:keepLines w:val="0"/>
              <w:pageBreakBefore w:val="0"/>
              <w:widowControl/>
              <w:kinsoku/>
              <w:wordWrap/>
              <w:overflowPunct/>
              <w:topLinePunct w:val="0"/>
              <w:bidi w:val="0"/>
              <w:spacing w:line="240" w:lineRule="auto"/>
              <w:ind w:left="0" w:lef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60分</w:t>
            </w:r>
          </w:p>
        </w:tc>
        <w:tc>
          <w:tcPr>
            <w:tcW w:w="7027" w:type="dxa"/>
            <w:noWrap w:val="0"/>
            <w:vAlign w:val="center"/>
          </w:tcPr>
          <w:p>
            <w:pPr>
              <w:keepNext w:val="0"/>
              <w:keepLines w:val="0"/>
              <w:pageBreakBefore w:val="0"/>
              <w:widowControl/>
              <w:kinsoku/>
              <w:wordWrap/>
              <w:overflowPunct/>
              <w:topLinePunct w:val="0"/>
              <w:bidi w:val="0"/>
              <w:spacing w:line="240" w:lineRule="auto"/>
              <w:ind w:left="0" w:leftChars="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项目总体实施方案</w:t>
            </w:r>
            <w:r>
              <w:rPr>
                <w:rFonts w:hint="eastAsia" w:ascii="宋体" w:hAnsi="宋体" w:eastAsia="宋体" w:cs="宋体"/>
                <w:color w:val="auto"/>
                <w:kern w:val="0"/>
                <w:sz w:val="21"/>
                <w:szCs w:val="21"/>
                <w:highlight w:val="none"/>
                <w:lang w:val="zh-CN"/>
              </w:rPr>
              <w:t>方案应</w:t>
            </w:r>
            <w:r>
              <w:rPr>
                <w:rFonts w:hint="eastAsia" w:ascii="宋体" w:hAnsi="宋体" w:eastAsia="宋体" w:cs="宋体"/>
                <w:color w:val="auto"/>
                <w:kern w:val="0"/>
                <w:sz w:val="21"/>
                <w:szCs w:val="21"/>
                <w:highlight w:val="none"/>
                <w:lang w:val="en-US" w:eastAsia="zh-CN"/>
              </w:rPr>
              <w:t>结合</w:t>
            </w:r>
            <w:r>
              <w:rPr>
                <w:rFonts w:hint="eastAsia" w:ascii="宋体" w:hAnsi="宋体" w:eastAsia="宋体" w:cs="宋体"/>
                <w:color w:val="auto"/>
                <w:kern w:val="0"/>
                <w:sz w:val="21"/>
                <w:szCs w:val="21"/>
                <w:highlight w:val="none"/>
                <w:lang w:val="zh-CN"/>
              </w:rPr>
              <w:t>采购人的实际情况和</w:t>
            </w:r>
            <w:r>
              <w:rPr>
                <w:rFonts w:hint="eastAsia" w:ascii="宋体" w:hAnsi="宋体" w:eastAsia="宋体" w:cs="宋体"/>
                <w:color w:val="auto"/>
                <w:kern w:val="0"/>
                <w:sz w:val="21"/>
                <w:szCs w:val="21"/>
                <w:highlight w:val="none"/>
                <w:lang w:val="en-US" w:eastAsia="zh-CN"/>
              </w:rPr>
              <w:t>行业性质</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en-US" w:eastAsia="zh-CN"/>
              </w:rPr>
              <w:t>并</w:t>
            </w:r>
            <w:r>
              <w:rPr>
                <w:rFonts w:hint="eastAsia" w:ascii="宋体" w:hAnsi="宋体" w:eastAsia="宋体" w:cs="宋体"/>
                <w:color w:val="auto"/>
                <w:kern w:val="0"/>
                <w:sz w:val="21"/>
                <w:szCs w:val="21"/>
                <w:highlight w:val="none"/>
                <w:lang w:val="zh-CN"/>
              </w:rPr>
              <w:t>根据项目特点制定。方案内容应重点体现</w:t>
            </w:r>
            <w:r>
              <w:rPr>
                <w:rFonts w:hint="eastAsia" w:ascii="宋体" w:hAnsi="宋体" w:eastAsia="宋体" w:cs="宋体"/>
                <w:color w:val="auto"/>
                <w:kern w:val="0"/>
                <w:sz w:val="21"/>
                <w:szCs w:val="21"/>
                <w:highlight w:val="none"/>
                <w:lang w:val="en-US" w:eastAsia="zh-CN"/>
              </w:rPr>
              <w:t>服务内容及特点、服务团队人员配备与专长、服务模式</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工作计划、具体措施等</w:t>
            </w:r>
            <w:r>
              <w:rPr>
                <w:rFonts w:hint="eastAsia" w:ascii="宋体" w:hAnsi="宋体" w:eastAsia="宋体" w:cs="宋体"/>
                <w:color w:val="auto"/>
                <w:kern w:val="0"/>
                <w:sz w:val="21"/>
                <w:szCs w:val="21"/>
                <w:highlight w:val="none"/>
                <w:lang w:val="zh-CN"/>
              </w:rPr>
              <w:t>。</w:t>
            </w:r>
          </w:p>
          <w:p>
            <w:pPr>
              <w:keepNext w:val="0"/>
              <w:keepLines w:val="0"/>
              <w:pageBreakBefore w:val="0"/>
              <w:widowControl/>
              <w:kinsoku/>
              <w:wordWrap/>
              <w:overflowPunct/>
              <w:topLinePunct w:val="0"/>
              <w:bidi w:val="0"/>
              <w:spacing w:line="240" w:lineRule="auto"/>
              <w:ind w:left="0"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服务方案完整</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针对性强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可行性强的，计</w:t>
            </w:r>
            <w:r>
              <w:rPr>
                <w:rFonts w:hint="eastAsia" w:ascii="宋体" w:hAnsi="宋体" w:eastAsia="宋体" w:cs="宋体"/>
                <w:color w:val="auto"/>
                <w:kern w:val="0"/>
                <w:sz w:val="21"/>
                <w:szCs w:val="21"/>
                <w:highlight w:val="none"/>
                <w:lang w:val="en-US" w:eastAsia="zh-CN"/>
              </w:rPr>
              <w:t>54-60</w:t>
            </w:r>
            <w:r>
              <w:rPr>
                <w:rFonts w:hint="eastAsia" w:ascii="宋体" w:hAnsi="宋体" w:eastAsia="宋体" w:cs="宋体"/>
                <w:color w:val="auto"/>
                <w:kern w:val="0"/>
                <w:sz w:val="21"/>
                <w:szCs w:val="21"/>
                <w:highlight w:val="none"/>
              </w:rPr>
              <w:t>分；</w:t>
            </w:r>
          </w:p>
          <w:p>
            <w:pPr>
              <w:keepNext w:val="0"/>
              <w:keepLines w:val="0"/>
              <w:pageBreakBefore w:val="0"/>
              <w:widowControl/>
              <w:kinsoku/>
              <w:wordWrap/>
              <w:overflowPunct/>
              <w:topLinePunct w:val="0"/>
              <w:bidi w:val="0"/>
              <w:spacing w:line="240" w:lineRule="auto"/>
              <w:ind w:left="0"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服务方案较完整</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较有针对性</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可行性一般的，计</w:t>
            </w:r>
            <w:r>
              <w:rPr>
                <w:rFonts w:hint="eastAsia" w:ascii="宋体" w:hAnsi="宋体" w:eastAsia="宋体" w:cs="宋体"/>
                <w:color w:val="auto"/>
                <w:kern w:val="0"/>
                <w:sz w:val="21"/>
                <w:szCs w:val="21"/>
                <w:highlight w:val="none"/>
                <w:lang w:val="en-US" w:eastAsia="zh-CN"/>
              </w:rPr>
              <w:t>48-53</w:t>
            </w:r>
            <w:r>
              <w:rPr>
                <w:rFonts w:hint="eastAsia" w:ascii="宋体" w:hAnsi="宋体" w:eastAsia="宋体" w:cs="宋体"/>
                <w:color w:val="auto"/>
                <w:kern w:val="0"/>
                <w:sz w:val="21"/>
                <w:szCs w:val="21"/>
                <w:highlight w:val="none"/>
              </w:rPr>
              <w:t>分；</w:t>
            </w:r>
          </w:p>
          <w:p>
            <w:pPr>
              <w:keepNext w:val="0"/>
              <w:keepLines w:val="0"/>
              <w:pageBreakBefore w:val="0"/>
              <w:widowControl/>
              <w:kinsoku/>
              <w:wordWrap/>
              <w:overflowPunct/>
              <w:topLinePunct w:val="0"/>
              <w:bidi w:val="0"/>
              <w:spacing w:line="240" w:lineRule="auto"/>
              <w:ind w:left="0"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服务方案欠完整</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欠针对性</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欠可行性的，计</w:t>
            </w:r>
            <w:r>
              <w:rPr>
                <w:rFonts w:hint="eastAsia" w:ascii="宋体" w:hAnsi="宋体" w:eastAsia="宋体" w:cs="宋体"/>
                <w:color w:val="auto"/>
                <w:kern w:val="0"/>
                <w:sz w:val="21"/>
                <w:szCs w:val="21"/>
                <w:highlight w:val="none"/>
                <w:lang w:val="en-US" w:eastAsia="zh-CN"/>
              </w:rPr>
              <w:t>42-47</w:t>
            </w:r>
            <w:r>
              <w:rPr>
                <w:rFonts w:hint="eastAsia" w:ascii="宋体" w:hAnsi="宋体" w:eastAsia="宋体" w:cs="宋体"/>
                <w:color w:val="auto"/>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83" w:type="dxa"/>
            <w:noWrap w:val="0"/>
            <w:vAlign w:val="center"/>
          </w:tcPr>
          <w:p>
            <w:pPr>
              <w:keepNext w:val="0"/>
              <w:keepLines w:val="0"/>
              <w:pageBreakBefore w:val="0"/>
              <w:widowControl/>
              <w:kinsoku/>
              <w:wordWrap/>
              <w:overflowPunct/>
              <w:topLinePunct w:val="0"/>
              <w:bidi w:val="0"/>
              <w:spacing w:line="240" w:lineRule="auto"/>
              <w:ind w:left="0" w:leftChars="0"/>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color w:val="auto"/>
                <w:sz w:val="21"/>
                <w:szCs w:val="21"/>
                <w:highlight w:val="none"/>
                <w:lang w:val="en-US" w:eastAsia="zh-CN"/>
              </w:rPr>
              <w:t>2</w:t>
            </w:r>
          </w:p>
        </w:tc>
        <w:tc>
          <w:tcPr>
            <w:tcW w:w="1187" w:type="dxa"/>
            <w:noWrap w:val="0"/>
            <w:vAlign w:val="center"/>
          </w:tcPr>
          <w:p>
            <w:pPr>
              <w:keepNext w:val="0"/>
              <w:keepLines w:val="0"/>
              <w:pageBreakBefore w:val="0"/>
              <w:widowControl/>
              <w:kinsoku/>
              <w:wordWrap/>
              <w:overflowPunct/>
              <w:topLinePunct w:val="0"/>
              <w:bidi w:val="0"/>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应急保障措施</w:t>
            </w:r>
          </w:p>
        </w:tc>
        <w:tc>
          <w:tcPr>
            <w:tcW w:w="943" w:type="dxa"/>
            <w:noWrap w:val="0"/>
            <w:vAlign w:val="center"/>
          </w:tcPr>
          <w:p>
            <w:pPr>
              <w:keepNext w:val="0"/>
              <w:keepLines w:val="0"/>
              <w:pageBreakBefore w:val="0"/>
              <w:widowControl/>
              <w:kinsoku/>
              <w:wordWrap/>
              <w:overflowPunct/>
              <w:topLinePunct w:val="0"/>
              <w:bidi w:val="0"/>
              <w:spacing w:line="240" w:lineRule="auto"/>
              <w:ind w:left="0" w:lef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20分</w:t>
            </w:r>
          </w:p>
        </w:tc>
        <w:tc>
          <w:tcPr>
            <w:tcW w:w="7027" w:type="dxa"/>
            <w:noWrap w:val="0"/>
            <w:vAlign w:val="center"/>
          </w:tcPr>
          <w:p>
            <w:pPr>
              <w:pStyle w:val="368"/>
              <w:keepNext w:val="0"/>
              <w:keepLines w:val="0"/>
              <w:pageBreakBefore w:val="0"/>
              <w:widowControl/>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对保障措施（包含服务保障、</w:t>
            </w:r>
            <w:r>
              <w:rPr>
                <w:rFonts w:hint="eastAsia" w:ascii="宋体" w:hAnsi="宋体" w:eastAsia="宋体" w:cs="宋体"/>
                <w:color w:val="auto"/>
                <w:kern w:val="0"/>
                <w:sz w:val="21"/>
                <w:szCs w:val="21"/>
                <w:highlight w:val="none"/>
              </w:rPr>
              <w:t>应急措施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响应机制</w:t>
            </w:r>
            <w:r>
              <w:rPr>
                <w:rFonts w:hint="eastAsia" w:ascii="宋体" w:hAnsi="宋体" w:eastAsia="宋体" w:cs="宋体"/>
                <w:color w:val="auto"/>
                <w:kern w:val="0"/>
                <w:sz w:val="21"/>
                <w:szCs w:val="21"/>
                <w:highlight w:val="none"/>
                <w:lang w:val="en-US" w:eastAsia="zh-CN" w:bidi="ar-SA"/>
              </w:rPr>
              <w:t>等）进行综合评审。</w:t>
            </w:r>
          </w:p>
          <w:p>
            <w:pPr>
              <w:keepNext w:val="0"/>
              <w:keepLines w:val="0"/>
              <w:pageBreakBefore w:val="0"/>
              <w:widowControl/>
              <w:kinsoku/>
              <w:wordWrap/>
              <w:overflowPunct/>
              <w:topLinePunct w:val="0"/>
              <w:bidi w:val="0"/>
              <w:spacing w:line="240" w:lineRule="auto"/>
              <w:ind w:left="0"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保障措施完整、针对性强、可行性强</w:t>
            </w:r>
            <w:r>
              <w:rPr>
                <w:rFonts w:hint="eastAsia" w:ascii="宋体" w:hAnsi="宋体" w:eastAsia="宋体" w:cs="宋体"/>
                <w:color w:val="auto"/>
                <w:kern w:val="0"/>
                <w:sz w:val="21"/>
                <w:szCs w:val="21"/>
                <w:highlight w:val="none"/>
              </w:rPr>
              <w:t>的，计</w:t>
            </w:r>
            <w:r>
              <w:rPr>
                <w:rFonts w:hint="eastAsia" w:ascii="宋体" w:hAnsi="宋体" w:eastAsia="宋体" w:cs="宋体"/>
                <w:color w:val="auto"/>
                <w:kern w:val="0"/>
                <w:sz w:val="21"/>
                <w:szCs w:val="21"/>
                <w:highlight w:val="none"/>
                <w:lang w:val="en-US" w:eastAsia="zh-CN"/>
              </w:rPr>
              <w:t>18-20</w:t>
            </w:r>
            <w:r>
              <w:rPr>
                <w:rFonts w:hint="eastAsia" w:ascii="宋体" w:hAnsi="宋体" w:eastAsia="宋体" w:cs="宋体"/>
                <w:color w:val="auto"/>
                <w:kern w:val="0"/>
                <w:sz w:val="21"/>
                <w:szCs w:val="21"/>
                <w:highlight w:val="none"/>
              </w:rPr>
              <w:t>分；</w:t>
            </w:r>
          </w:p>
          <w:p>
            <w:pPr>
              <w:keepNext w:val="0"/>
              <w:keepLines w:val="0"/>
              <w:pageBreakBefore w:val="0"/>
              <w:widowControl/>
              <w:kinsoku/>
              <w:wordWrap/>
              <w:overflowPunct/>
              <w:topLinePunct w:val="0"/>
              <w:bidi w:val="0"/>
              <w:spacing w:line="240" w:lineRule="auto"/>
              <w:ind w:left="0"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保障措施</w:t>
            </w:r>
            <w:r>
              <w:rPr>
                <w:rFonts w:hint="eastAsia" w:ascii="宋体" w:hAnsi="宋体" w:eastAsia="宋体" w:cs="宋体"/>
                <w:color w:val="auto"/>
                <w:kern w:val="0"/>
                <w:sz w:val="21"/>
                <w:szCs w:val="21"/>
                <w:highlight w:val="none"/>
              </w:rPr>
              <w:t>较完整</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较有针对性</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可行性一般的，计</w:t>
            </w:r>
            <w:r>
              <w:rPr>
                <w:rFonts w:hint="eastAsia" w:ascii="宋体" w:hAnsi="宋体" w:eastAsia="宋体" w:cs="宋体"/>
                <w:color w:val="auto"/>
                <w:kern w:val="0"/>
                <w:sz w:val="21"/>
                <w:szCs w:val="21"/>
                <w:highlight w:val="none"/>
                <w:lang w:val="en-US" w:eastAsia="zh-CN"/>
              </w:rPr>
              <w:t>16-17</w:t>
            </w:r>
            <w:r>
              <w:rPr>
                <w:rFonts w:hint="eastAsia" w:ascii="宋体" w:hAnsi="宋体" w:eastAsia="宋体" w:cs="宋体"/>
                <w:color w:val="auto"/>
                <w:kern w:val="0"/>
                <w:sz w:val="21"/>
                <w:szCs w:val="21"/>
                <w:highlight w:val="none"/>
              </w:rPr>
              <w:t>分；</w:t>
            </w:r>
          </w:p>
          <w:p>
            <w:pPr>
              <w:keepNext w:val="0"/>
              <w:keepLines w:val="0"/>
              <w:pageBreakBefore w:val="0"/>
              <w:widowControl/>
              <w:kinsoku/>
              <w:wordWrap/>
              <w:overflowPunct/>
              <w:topLinePunct w:val="0"/>
              <w:bidi w:val="0"/>
              <w:spacing w:line="240" w:lineRule="auto"/>
              <w:ind w:left="0" w:leftChars="0"/>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lang w:val="en-US" w:eastAsia="zh-CN"/>
              </w:rPr>
              <w:t>保障措施</w:t>
            </w:r>
            <w:r>
              <w:rPr>
                <w:rFonts w:hint="eastAsia" w:ascii="宋体" w:hAnsi="宋体" w:eastAsia="宋体" w:cs="宋体"/>
                <w:color w:val="auto"/>
                <w:kern w:val="0"/>
                <w:sz w:val="21"/>
                <w:szCs w:val="21"/>
                <w:highlight w:val="none"/>
              </w:rPr>
              <w:t>欠完整</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欠针对性</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欠可行性的，计</w:t>
            </w:r>
            <w:r>
              <w:rPr>
                <w:rFonts w:hint="eastAsia" w:ascii="宋体" w:hAnsi="宋体" w:eastAsia="宋体" w:cs="宋体"/>
                <w:color w:val="auto"/>
                <w:kern w:val="0"/>
                <w:sz w:val="21"/>
                <w:szCs w:val="21"/>
                <w:highlight w:val="none"/>
                <w:lang w:val="en-US" w:eastAsia="zh-CN"/>
              </w:rPr>
              <w:t>14-15</w:t>
            </w:r>
            <w:r>
              <w:rPr>
                <w:rFonts w:hint="eastAsia" w:ascii="宋体" w:hAnsi="宋体" w:eastAsia="宋体" w:cs="宋体"/>
                <w:color w:val="auto"/>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883" w:type="dxa"/>
            <w:noWrap w:val="0"/>
            <w:vAlign w:val="center"/>
          </w:tcPr>
          <w:p>
            <w:pPr>
              <w:keepNext w:val="0"/>
              <w:keepLines w:val="0"/>
              <w:pageBreakBefore w:val="0"/>
              <w:widowControl/>
              <w:kinsoku/>
              <w:wordWrap/>
              <w:overflowPunct/>
              <w:topLinePunct w:val="0"/>
              <w:bidi w:val="0"/>
              <w:spacing w:line="240" w:lineRule="auto"/>
              <w:ind w:left="0" w:leftChars="0"/>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color w:val="auto"/>
                <w:sz w:val="21"/>
                <w:szCs w:val="21"/>
                <w:highlight w:val="none"/>
                <w:lang w:val="en-US" w:eastAsia="zh-CN"/>
              </w:rPr>
              <w:t>3</w:t>
            </w:r>
          </w:p>
        </w:tc>
        <w:tc>
          <w:tcPr>
            <w:tcW w:w="1187" w:type="dxa"/>
            <w:noWrap w:val="0"/>
            <w:vAlign w:val="center"/>
          </w:tcPr>
          <w:p>
            <w:pPr>
              <w:keepNext w:val="0"/>
              <w:keepLines w:val="0"/>
              <w:pageBreakBefore w:val="0"/>
              <w:widowControl/>
              <w:kinsoku/>
              <w:wordWrap/>
              <w:overflowPunct/>
              <w:topLinePunct w:val="0"/>
              <w:bidi w:val="0"/>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拟委派坐班律师现场答辩</w:t>
            </w:r>
          </w:p>
        </w:tc>
        <w:tc>
          <w:tcPr>
            <w:tcW w:w="943" w:type="dxa"/>
            <w:noWrap w:val="0"/>
            <w:vAlign w:val="center"/>
          </w:tcPr>
          <w:p>
            <w:pPr>
              <w:keepNext w:val="0"/>
              <w:keepLines w:val="0"/>
              <w:pageBreakBefore w:val="0"/>
              <w:widowControl/>
              <w:kinsoku/>
              <w:wordWrap/>
              <w:overflowPunct/>
              <w:topLinePunct w:val="0"/>
              <w:bidi w:val="0"/>
              <w:spacing w:line="240" w:lineRule="auto"/>
              <w:ind w:left="0" w:lef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20分</w:t>
            </w:r>
          </w:p>
        </w:tc>
        <w:tc>
          <w:tcPr>
            <w:tcW w:w="7027" w:type="dxa"/>
            <w:noWrap w:val="0"/>
            <w:vAlign w:val="center"/>
          </w:tcPr>
          <w:p>
            <w:pPr>
              <w:keepNext w:val="0"/>
              <w:keepLines w:val="0"/>
              <w:pageBreakBefore w:val="0"/>
              <w:widowControl/>
              <w:kinsoku/>
              <w:wordWrap/>
              <w:overflowPunct/>
              <w:topLinePunct w:val="0"/>
              <w:bidi w:val="0"/>
              <w:spacing w:line="240" w:lineRule="auto"/>
              <w:ind w:left="0" w:left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对</w:t>
            </w:r>
            <w:r>
              <w:rPr>
                <w:rFonts w:hint="eastAsia" w:ascii="宋体" w:hAnsi="宋体" w:eastAsia="宋体" w:cs="宋体"/>
                <w:color w:val="auto"/>
                <w:kern w:val="0"/>
                <w:sz w:val="21"/>
                <w:szCs w:val="21"/>
                <w:highlight w:val="none"/>
              </w:rPr>
              <w:t>陈述工作思路清晰以及回答现场提问表现</w:t>
            </w:r>
            <w:r>
              <w:rPr>
                <w:rFonts w:hint="eastAsia" w:ascii="宋体" w:hAnsi="宋体" w:eastAsia="宋体" w:cs="宋体"/>
                <w:color w:val="auto"/>
                <w:kern w:val="0"/>
                <w:sz w:val="21"/>
                <w:szCs w:val="21"/>
                <w:highlight w:val="none"/>
                <w:lang w:val="en-US" w:eastAsia="zh-CN"/>
              </w:rPr>
              <w:t>进行</w:t>
            </w:r>
            <w:r>
              <w:rPr>
                <w:rFonts w:hint="eastAsia" w:ascii="宋体" w:hAnsi="宋体" w:eastAsia="宋体" w:cs="宋体"/>
                <w:color w:val="auto"/>
                <w:kern w:val="0"/>
                <w:sz w:val="21"/>
                <w:szCs w:val="21"/>
                <w:highlight w:val="none"/>
                <w:lang w:val="en-US" w:eastAsia="zh-CN" w:bidi="ar-SA"/>
              </w:rPr>
              <w:t>综合</w:t>
            </w:r>
            <w:r>
              <w:rPr>
                <w:rFonts w:hint="eastAsia" w:ascii="宋体" w:hAnsi="宋体" w:eastAsia="宋体" w:cs="宋体"/>
                <w:color w:val="auto"/>
                <w:kern w:val="0"/>
                <w:sz w:val="21"/>
                <w:szCs w:val="21"/>
                <w:highlight w:val="none"/>
                <w:lang w:val="en-US" w:eastAsia="zh-CN"/>
              </w:rPr>
              <w:t>评审</w:t>
            </w:r>
            <w:r>
              <w:rPr>
                <w:rFonts w:hint="eastAsia" w:ascii="宋体" w:hAnsi="宋体" w:eastAsia="宋体" w:cs="宋体"/>
                <w:color w:val="auto"/>
                <w:kern w:val="0"/>
                <w:sz w:val="21"/>
                <w:szCs w:val="21"/>
                <w:highlight w:val="none"/>
                <w:lang w:eastAsia="zh-CN"/>
              </w:rPr>
              <w:t>。</w:t>
            </w:r>
          </w:p>
          <w:p>
            <w:pPr>
              <w:keepNext w:val="0"/>
              <w:keepLines w:val="0"/>
              <w:pageBreakBefore w:val="0"/>
              <w:widowControl/>
              <w:kinsoku/>
              <w:wordWrap/>
              <w:overflowPunct/>
              <w:topLinePunct w:val="0"/>
              <w:bidi w:val="0"/>
              <w:spacing w:line="240" w:lineRule="auto"/>
              <w:ind w:left="0"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陈述工作思路清晰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回答现场提问优的，计</w:t>
            </w:r>
            <w:r>
              <w:rPr>
                <w:rFonts w:hint="eastAsia" w:ascii="宋体" w:hAnsi="宋体" w:eastAsia="宋体" w:cs="宋体"/>
                <w:color w:val="auto"/>
                <w:kern w:val="0"/>
                <w:sz w:val="21"/>
                <w:szCs w:val="21"/>
                <w:highlight w:val="none"/>
                <w:lang w:val="en-US" w:eastAsia="zh-CN"/>
              </w:rPr>
              <w:t>18-20</w:t>
            </w:r>
            <w:r>
              <w:rPr>
                <w:rFonts w:hint="eastAsia" w:ascii="宋体" w:hAnsi="宋体" w:eastAsia="宋体" w:cs="宋体"/>
                <w:color w:val="auto"/>
                <w:kern w:val="0"/>
                <w:sz w:val="21"/>
                <w:szCs w:val="21"/>
                <w:highlight w:val="none"/>
              </w:rPr>
              <w:t>分；</w:t>
            </w:r>
          </w:p>
          <w:p>
            <w:pPr>
              <w:keepNext w:val="0"/>
              <w:keepLines w:val="0"/>
              <w:pageBreakBefore w:val="0"/>
              <w:widowControl/>
              <w:kinsoku/>
              <w:wordWrap/>
              <w:overflowPunct/>
              <w:topLinePunct w:val="0"/>
              <w:bidi w:val="0"/>
              <w:spacing w:line="240" w:lineRule="auto"/>
              <w:ind w:left="0"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陈述工作思路</w:t>
            </w:r>
            <w:r>
              <w:rPr>
                <w:rFonts w:hint="eastAsia" w:ascii="宋体" w:hAnsi="宋体" w:eastAsia="宋体" w:cs="宋体"/>
                <w:color w:val="auto"/>
                <w:kern w:val="0"/>
                <w:sz w:val="21"/>
                <w:szCs w:val="21"/>
                <w:highlight w:val="none"/>
                <w:lang w:val="en-US" w:eastAsia="zh-CN"/>
              </w:rPr>
              <w:t>较</w:t>
            </w:r>
            <w:r>
              <w:rPr>
                <w:rFonts w:hint="eastAsia" w:ascii="宋体" w:hAnsi="宋体" w:eastAsia="宋体" w:cs="宋体"/>
                <w:color w:val="auto"/>
                <w:kern w:val="0"/>
                <w:sz w:val="21"/>
                <w:szCs w:val="21"/>
                <w:highlight w:val="none"/>
              </w:rPr>
              <w:t>清晰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回答现场提问较优的，计</w:t>
            </w:r>
            <w:r>
              <w:rPr>
                <w:rFonts w:hint="eastAsia" w:ascii="宋体" w:hAnsi="宋体" w:eastAsia="宋体" w:cs="宋体"/>
                <w:color w:val="auto"/>
                <w:kern w:val="0"/>
                <w:sz w:val="21"/>
                <w:szCs w:val="21"/>
                <w:highlight w:val="none"/>
                <w:lang w:val="en-US" w:eastAsia="zh-CN"/>
              </w:rPr>
              <w:t>16-17</w:t>
            </w:r>
            <w:r>
              <w:rPr>
                <w:rFonts w:hint="eastAsia" w:ascii="宋体" w:hAnsi="宋体" w:eastAsia="宋体" w:cs="宋体"/>
                <w:color w:val="auto"/>
                <w:kern w:val="0"/>
                <w:sz w:val="21"/>
                <w:szCs w:val="21"/>
                <w:highlight w:val="none"/>
              </w:rPr>
              <w:t>分；</w:t>
            </w:r>
          </w:p>
          <w:p>
            <w:pPr>
              <w:keepNext w:val="0"/>
              <w:keepLines w:val="0"/>
              <w:pageBreakBefore w:val="0"/>
              <w:widowControl/>
              <w:kinsoku/>
              <w:wordWrap/>
              <w:overflowPunct/>
              <w:topLinePunct w:val="0"/>
              <w:bidi w:val="0"/>
              <w:spacing w:line="240" w:lineRule="auto"/>
              <w:ind w:left="0" w:leftChars="0"/>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陈述工作思路</w:t>
            </w:r>
            <w:r>
              <w:rPr>
                <w:rFonts w:hint="eastAsia" w:ascii="宋体" w:hAnsi="宋体" w:eastAsia="宋体" w:cs="宋体"/>
                <w:color w:val="auto"/>
                <w:kern w:val="0"/>
                <w:sz w:val="21"/>
                <w:szCs w:val="21"/>
                <w:highlight w:val="none"/>
                <w:lang w:val="en-US" w:eastAsia="zh-CN"/>
              </w:rPr>
              <w:t>欠</w:t>
            </w:r>
            <w:r>
              <w:rPr>
                <w:rFonts w:hint="eastAsia" w:ascii="宋体" w:hAnsi="宋体" w:eastAsia="宋体" w:cs="宋体"/>
                <w:color w:val="auto"/>
                <w:kern w:val="0"/>
                <w:sz w:val="21"/>
                <w:szCs w:val="21"/>
                <w:highlight w:val="none"/>
              </w:rPr>
              <w:t>清晰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回答现场提问一般的，计</w:t>
            </w:r>
            <w:r>
              <w:rPr>
                <w:rFonts w:hint="eastAsia" w:ascii="宋体" w:hAnsi="宋体" w:eastAsia="宋体" w:cs="宋体"/>
                <w:color w:val="auto"/>
                <w:kern w:val="0"/>
                <w:sz w:val="21"/>
                <w:szCs w:val="21"/>
                <w:highlight w:val="none"/>
                <w:lang w:val="en-US" w:eastAsia="zh-CN"/>
              </w:rPr>
              <w:t>14-15</w:t>
            </w:r>
            <w:r>
              <w:rPr>
                <w:rFonts w:hint="eastAsia" w:ascii="宋体" w:hAnsi="宋体" w:eastAsia="宋体" w:cs="宋体"/>
                <w:color w:val="auto"/>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2070" w:type="dxa"/>
            <w:gridSpan w:val="2"/>
            <w:noWrap w:val="0"/>
            <w:vAlign w:val="center"/>
          </w:tcPr>
          <w:p>
            <w:pPr>
              <w:keepNext w:val="0"/>
              <w:keepLines w:val="0"/>
              <w:pageBreakBefore w:val="0"/>
              <w:widowControl/>
              <w:kinsoku/>
              <w:wordWrap/>
              <w:overflowPunct/>
              <w:topLinePunct w:val="0"/>
              <w:bidi w:val="0"/>
              <w:spacing w:line="240" w:lineRule="auto"/>
              <w:ind w:left="0" w:left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合计</w:t>
            </w:r>
          </w:p>
        </w:tc>
        <w:tc>
          <w:tcPr>
            <w:tcW w:w="943" w:type="dxa"/>
            <w:noWrap w:val="0"/>
            <w:vAlign w:val="center"/>
          </w:tcPr>
          <w:p>
            <w:pPr>
              <w:keepNext w:val="0"/>
              <w:keepLines w:val="0"/>
              <w:pageBreakBefore w:val="0"/>
              <w:widowControl/>
              <w:kinsoku/>
              <w:wordWrap/>
              <w:overflowPunct/>
              <w:topLinePunct w:val="0"/>
              <w:bidi w:val="0"/>
              <w:spacing w:line="240" w:lineRule="auto"/>
              <w:ind w:left="0" w:lef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100分</w:t>
            </w:r>
          </w:p>
        </w:tc>
        <w:tc>
          <w:tcPr>
            <w:tcW w:w="7027" w:type="dxa"/>
            <w:noWrap w:val="0"/>
            <w:vAlign w:val="center"/>
          </w:tcPr>
          <w:p>
            <w:pPr>
              <w:keepNext w:val="0"/>
              <w:keepLines w:val="0"/>
              <w:pageBreakBefore w:val="0"/>
              <w:widowControl/>
              <w:kinsoku/>
              <w:wordWrap/>
              <w:overflowPunct/>
              <w:topLinePunct w:val="0"/>
              <w:bidi w:val="0"/>
              <w:spacing w:line="240" w:lineRule="auto"/>
              <w:ind w:left="0" w:leftChars="0"/>
              <w:jc w:val="center"/>
              <w:rPr>
                <w:rFonts w:hint="eastAsia" w:ascii="宋体" w:hAnsi="宋体" w:eastAsia="宋体" w:cs="宋体"/>
                <w:b/>
                <w:bCs/>
                <w:color w:val="auto"/>
                <w:kern w:val="0"/>
                <w:sz w:val="21"/>
                <w:szCs w:val="21"/>
                <w:highlight w:val="none"/>
              </w:rPr>
            </w:pPr>
          </w:p>
        </w:tc>
      </w:tr>
    </w:tbl>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left="0" w:leftChars="0"/>
        <w:textAlignment w:val="auto"/>
        <w:rPr>
          <w:rFonts w:ascii="宋体" w:hAnsi="宋体" w:eastAsia="宋体" w:cs="宋体"/>
          <w:b/>
          <w:color w:val="auto"/>
          <w:szCs w:val="21"/>
        </w:rPr>
      </w:pPr>
      <w:r>
        <w:rPr>
          <w:rFonts w:hint="eastAsia" w:ascii="宋体" w:hAnsi="宋体" w:eastAsia="宋体" w:cs="宋体"/>
          <w:b/>
          <w:color w:val="auto"/>
          <w:szCs w:val="21"/>
        </w:rPr>
        <w:t>评审说明：</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1.技术部分单项得分为评审小组成员个人评审计分的算术平均值。</w:t>
      </w:r>
    </w:p>
    <w:p>
      <w:pPr>
        <w:keepNext w:val="0"/>
        <w:keepLines w:val="0"/>
        <w:pageBreakBefore w:val="0"/>
        <w:kinsoku/>
        <w:wordWrap/>
        <w:overflowPunct/>
        <w:topLinePunct w:val="0"/>
        <w:autoSpaceDE/>
        <w:autoSpaceDN/>
        <w:bidi w:val="0"/>
        <w:adjustRightInd/>
        <w:spacing w:line="240" w:lineRule="auto"/>
        <w:ind w:left="0" w:leftChars="0"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2.响应文件缺失某项评审</w:t>
      </w:r>
      <w:r>
        <w:rPr>
          <w:rFonts w:hint="eastAsia" w:ascii="宋体" w:hAnsi="宋体" w:eastAsia="宋体" w:cs="宋体"/>
          <w:color w:val="auto"/>
          <w:kern w:val="0"/>
          <w:szCs w:val="21"/>
          <w:lang w:val="en-US" w:eastAsia="zh-CN"/>
        </w:rPr>
        <w:t>因素</w:t>
      </w:r>
      <w:r>
        <w:rPr>
          <w:rFonts w:hint="eastAsia" w:ascii="宋体" w:hAnsi="宋体" w:eastAsia="宋体" w:cs="宋体"/>
          <w:color w:val="auto"/>
          <w:kern w:val="0"/>
          <w:szCs w:val="21"/>
        </w:rPr>
        <w:t>的，该项计零分。</w:t>
      </w:r>
    </w:p>
    <w:p>
      <w:pPr>
        <w:rPr>
          <w:rFonts w:hint="eastAsia" w:ascii="宋体" w:hAnsi="宋体" w:eastAsia="宋体" w:cs="宋体"/>
          <w:color w:val="auto"/>
          <w:kern w:val="0"/>
          <w:szCs w:val="21"/>
        </w:rPr>
      </w:pPr>
      <w:r>
        <w:rPr>
          <w:rFonts w:hint="eastAsia" w:ascii="宋体" w:hAnsi="宋体" w:eastAsia="宋体" w:cs="宋体"/>
          <w:color w:val="auto"/>
          <w:kern w:val="0"/>
          <w:szCs w:val="21"/>
        </w:rPr>
        <w:br w:type="page"/>
      </w:r>
    </w:p>
    <w:p>
      <w:pPr>
        <w:widowControl/>
        <w:adjustRightInd w:val="0"/>
        <w:snapToGrid w:val="0"/>
        <w:spacing w:line="360" w:lineRule="auto"/>
        <w:jc w:val="left"/>
        <w:rPr>
          <w:rFonts w:hint="eastAsia" w:ascii="宋体" w:hAnsi="宋体"/>
          <w:b/>
          <w:color w:val="auto"/>
          <w:szCs w:val="21"/>
        </w:rPr>
      </w:pPr>
      <w:r>
        <w:rPr>
          <w:rFonts w:hint="eastAsia" w:ascii="宋体" w:hAnsi="宋体"/>
          <w:b/>
          <w:color w:val="auto"/>
          <w:szCs w:val="21"/>
          <w:lang w:val="en-US" w:eastAsia="zh-CN"/>
        </w:rPr>
        <w:t>附</w:t>
      </w:r>
      <w:r>
        <w:rPr>
          <w:rFonts w:hint="eastAsia" w:ascii="宋体" w:hAnsi="宋体"/>
          <w:b/>
          <w:color w:val="auto"/>
          <w:szCs w:val="21"/>
        </w:rPr>
        <w:t>表</w:t>
      </w:r>
      <w:r>
        <w:rPr>
          <w:rFonts w:hint="eastAsia" w:ascii="宋体" w:hAnsi="宋体"/>
          <w:b/>
          <w:color w:val="auto"/>
          <w:szCs w:val="21"/>
          <w:lang w:val="en-US" w:eastAsia="zh-CN"/>
        </w:rPr>
        <w:t>三</w:t>
      </w:r>
      <w:r>
        <w:rPr>
          <w:rFonts w:hint="eastAsia" w:ascii="宋体" w:hAnsi="宋体"/>
          <w:b/>
          <w:color w:val="auto"/>
          <w:szCs w:val="21"/>
        </w:rPr>
        <w:t>：报价评审计分表（</w:t>
      </w:r>
      <w:r>
        <w:rPr>
          <w:rFonts w:hint="eastAsia" w:ascii="宋体" w:hAnsi="宋体"/>
          <w:b/>
          <w:color w:val="auto"/>
          <w:szCs w:val="21"/>
          <w:lang w:eastAsia="zh-CN"/>
        </w:rPr>
        <w:t>总分</w:t>
      </w:r>
      <w:r>
        <w:rPr>
          <w:rFonts w:hint="eastAsia" w:ascii="宋体" w:hAnsi="宋体"/>
          <w:b/>
          <w:color w:val="auto"/>
          <w:szCs w:val="21"/>
          <w:lang w:val="en-US" w:eastAsia="zh-CN"/>
        </w:rPr>
        <w:t>100分，权重0.3分</w:t>
      </w:r>
      <w:r>
        <w:rPr>
          <w:rFonts w:hint="eastAsia" w:ascii="宋体" w:hAnsi="宋体"/>
          <w:b/>
          <w:color w:val="auto"/>
          <w:szCs w:val="21"/>
        </w:rPr>
        <w:t>）</w:t>
      </w:r>
    </w:p>
    <w:tbl>
      <w:tblPr>
        <w:tblStyle w:val="47"/>
        <w:tblW w:w="10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4273"/>
        <w:gridCol w:w="1981"/>
        <w:gridCol w:w="3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3" w:type="dxa"/>
            <w:noWrap w:val="0"/>
            <w:vAlign w:val="center"/>
          </w:tcPr>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序号</w:t>
            </w:r>
          </w:p>
        </w:tc>
        <w:tc>
          <w:tcPr>
            <w:tcW w:w="4273" w:type="dxa"/>
            <w:noWrap w:val="0"/>
            <w:vAlign w:val="center"/>
          </w:tcPr>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评审标准</w:t>
            </w:r>
          </w:p>
        </w:tc>
        <w:tc>
          <w:tcPr>
            <w:tcW w:w="1981" w:type="dxa"/>
            <w:noWrap w:val="0"/>
            <w:vAlign w:val="center"/>
          </w:tcPr>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计分方式</w:t>
            </w:r>
          </w:p>
        </w:tc>
        <w:tc>
          <w:tcPr>
            <w:tcW w:w="3152" w:type="dxa"/>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713" w:type="dxa"/>
            <w:noWrap w:val="0"/>
            <w:vAlign w:val="center"/>
          </w:tcPr>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w:t>
            </w:r>
          </w:p>
        </w:tc>
        <w:tc>
          <w:tcPr>
            <w:tcW w:w="4273" w:type="dxa"/>
            <w:noWrap w:val="0"/>
            <w:vAlign w:val="center"/>
          </w:tcPr>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m:oMathPara>
              <m:oMath>
                <m:r>
                  <m:rPr>
                    <m:sty m:val="p"/>
                  </m:rPr>
                  <w:rPr>
                    <w:rFonts w:hint="eastAsia" w:ascii="Cambria Math" w:hAnsi="Cambria Math" w:eastAsia="宋体" w:cs="宋体"/>
                    <w:color w:val="auto"/>
                    <w:kern w:val="2"/>
                    <w:sz w:val="24"/>
                    <w:szCs w:val="24"/>
                    <w:lang w:val="en-US" w:eastAsia="zh-CN" w:bidi="ar-SA"/>
                  </w:rPr>
                  <m:t>0&lt;</m:t>
                </m:r>
                <m:f>
                  <m:fPr>
                    <m:ctrlPr>
                      <w:rPr>
                        <w:rFonts w:hint="eastAsia" w:ascii="Cambria Math" w:hAnsi="Cambria Math" w:eastAsia="宋体" w:cs="宋体"/>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评审价−基准价</m:t>
                    </m:r>
                    <m:ctrlPr>
                      <w:rPr>
                        <w:rFonts w:hint="eastAsia" w:ascii="Cambria Math" w:hAnsi="Cambria Math" w:eastAsia="宋体" w:cs="宋体"/>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基准价</m:t>
                    </m:r>
                    <m:ctrlPr>
                      <w:rPr>
                        <w:rFonts w:hint="eastAsia" w:ascii="Cambria Math" w:hAnsi="Cambria Math" w:eastAsia="宋体" w:cs="宋体"/>
                        <w:color w:val="auto"/>
                        <w:kern w:val="2"/>
                        <w:sz w:val="24"/>
                        <w:szCs w:val="24"/>
                        <w:lang w:val="en-US" w:eastAsia="zh-CN" w:bidi="ar-SA"/>
                      </w:rPr>
                    </m:ctrlPr>
                  </m:den>
                </m:f>
                <m:r>
                  <m:rPr>
                    <m:sty m:val="p"/>
                  </m:rPr>
                  <w:rPr>
                    <w:rFonts w:hint="eastAsia" w:ascii="Cambria Math" w:hAnsi="Cambria Math" w:eastAsia="宋体" w:cs="宋体"/>
                    <w:color w:val="auto"/>
                    <w:kern w:val="2"/>
                    <w:sz w:val="24"/>
                    <w:szCs w:val="24"/>
                    <w:lang w:val="en-US" w:eastAsia="zh-CN" w:bidi="ar-SA"/>
                  </w:rPr>
                  <m:t>×100%</m:t>
                </m:r>
              </m:oMath>
            </m:oMathPara>
          </w:p>
        </w:tc>
        <w:tc>
          <w:tcPr>
            <w:tcW w:w="1981" w:type="dxa"/>
            <w:noWrap w:val="0"/>
            <w:vAlign w:val="center"/>
          </w:tcPr>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从0开始每升1%减2分，即</w:t>
            </w:r>
          </w:p>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100-2*100L</w:t>
            </w:r>
          </w:p>
        </w:tc>
        <w:tc>
          <w:tcPr>
            <w:tcW w:w="3152" w:type="dxa"/>
            <w:vMerge w:val="restart"/>
            <w:noWrap w:val="0"/>
            <w:vAlign w:val="center"/>
          </w:tcPr>
          <w:p>
            <w:pPr>
              <w:keepNext w:val="0"/>
              <w:keepLines w:val="0"/>
              <w:pageBreakBefore w:val="0"/>
              <w:kinsoku/>
              <w:wordWrap/>
              <w:overflowPunct/>
              <w:topLinePunct w:val="0"/>
              <w:autoSpaceDE/>
              <w:autoSpaceDN/>
              <w:bidi w:val="0"/>
              <w:adjustRightInd/>
              <w:spacing w:line="240" w:lineRule="auto"/>
              <w:ind w:left="0" w:leftChars="0"/>
              <w:rPr>
                <w:rFonts w:hint="eastAsia" w:ascii="宋体" w:hAnsi="宋体" w:cs="宋体"/>
                <w:b/>
                <w:color w:val="auto"/>
                <w:szCs w:val="21"/>
                <w:lang w:val="en-US"/>
              </w:rPr>
            </w:pPr>
          </w:p>
          <w:p>
            <w:pPr>
              <w:keepNext w:val="0"/>
              <w:keepLines w:val="0"/>
              <w:pageBreakBefore w:val="0"/>
              <w:widowControl/>
              <w:suppressLineNumbers w:val="0"/>
              <w:kinsoku/>
              <w:wordWrap/>
              <w:overflowPunct/>
              <w:topLinePunct w:val="0"/>
              <w:bidi w:val="0"/>
              <w:spacing w:line="240" w:lineRule="auto"/>
              <w:ind w:left="0" w:leftChars="0"/>
              <w:jc w:val="left"/>
              <w:rPr>
                <w:color w:val="auto"/>
              </w:rPr>
            </w:pPr>
            <w:r>
              <w:rPr>
                <w:rFonts w:ascii="宋体" w:hAnsi="宋体" w:eastAsia="宋体" w:cs="宋体"/>
                <w:color w:val="auto"/>
                <w:kern w:val="0"/>
                <w:sz w:val="24"/>
                <w:szCs w:val="24"/>
                <w:lang w:val="en-US" w:eastAsia="zh-CN" w:bidi="ar"/>
              </w:rPr>
              <w:drawing>
                <wp:inline distT="0" distB="0" distL="114300" distR="114300">
                  <wp:extent cx="1859915" cy="539115"/>
                  <wp:effectExtent l="0" t="0" r="14605" b="9525"/>
                  <wp:docPr id="8"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IMG_256"/>
                          <pic:cNvPicPr>
                            <a:picLocks noChangeAspect="1"/>
                          </pic:cNvPicPr>
                        </pic:nvPicPr>
                        <pic:blipFill>
                          <a:blip r:embed="rId12"/>
                          <a:stretch>
                            <a:fillRect/>
                          </a:stretch>
                        </pic:blipFill>
                        <pic:spPr>
                          <a:xfrm>
                            <a:off x="0" y="0"/>
                            <a:ext cx="1859915" cy="53911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pacing w:line="240" w:lineRule="auto"/>
              <w:ind w:left="0" w:leftChars="0"/>
              <w:rPr>
                <w:rFonts w:hint="default" w:ascii="宋体" w:hAnsi="宋体" w:cs="宋体"/>
                <w:b/>
                <w:color w:val="auto"/>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noWrap w:val="0"/>
            <w:vAlign w:val="center"/>
          </w:tcPr>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w:t>
            </w:r>
          </w:p>
        </w:tc>
        <w:tc>
          <w:tcPr>
            <w:tcW w:w="4273" w:type="dxa"/>
            <w:noWrap w:val="0"/>
            <w:vAlign w:val="center"/>
          </w:tcPr>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评审价＝基准价</w:t>
            </w:r>
          </w:p>
        </w:tc>
        <w:tc>
          <w:tcPr>
            <w:tcW w:w="1981" w:type="dxa"/>
            <w:noWrap w:val="0"/>
            <w:vAlign w:val="center"/>
          </w:tcPr>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100分</w:t>
            </w:r>
          </w:p>
        </w:tc>
        <w:tc>
          <w:tcPr>
            <w:tcW w:w="3152" w:type="dxa"/>
            <w:vMerge w:val="continue"/>
            <w:noWrap w:val="0"/>
            <w:vAlign w:val="center"/>
          </w:tcPr>
          <w:p>
            <w:pPr>
              <w:keepNext w:val="0"/>
              <w:keepLines w:val="0"/>
              <w:pageBreakBefore w:val="0"/>
              <w:kinsoku/>
              <w:wordWrap/>
              <w:overflowPunct/>
              <w:topLinePunct w:val="0"/>
              <w:autoSpaceDE/>
              <w:autoSpaceDN/>
              <w:bidi w:val="0"/>
              <w:adjustRightInd/>
              <w:spacing w:line="240" w:lineRule="auto"/>
              <w:ind w:left="0" w:leftChars="0" w:firstLine="422" w:firstLineChars="200"/>
              <w:rPr>
                <w:rFonts w:hint="eastAsia"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713" w:type="dxa"/>
            <w:noWrap w:val="0"/>
            <w:vAlign w:val="center"/>
          </w:tcPr>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w:t>
            </w:r>
          </w:p>
        </w:tc>
        <w:tc>
          <w:tcPr>
            <w:tcW w:w="4273" w:type="dxa"/>
            <w:noWrap w:val="0"/>
            <w:vAlign w:val="center"/>
          </w:tcPr>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m:oMathPara>
              <m:oMath>
                <m:r>
                  <m:rPr>
                    <m:sty m:val="p"/>
                  </m:rPr>
                  <w:rPr>
                    <w:rFonts w:hint="eastAsia" w:ascii="Cambria Math" w:hAnsi="Cambria Math" w:eastAsia="宋体" w:cs="宋体"/>
                    <w:color w:val="auto"/>
                    <w:kern w:val="2"/>
                    <w:sz w:val="24"/>
                    <w:szCs w:val="24"/>
                    <w:lang w:val="en-US" w:eastAsia="zh-CN" w:bidi="ar-SA"/>
                  </w:rPr>
                  <m:t>−3%≤</m:t>
                </m:r>
                <m:f>
                  <m:fPr>
                    <m:ctrlPr>
                      <w:rPr>
                        <w:rFonts w:hint="eastAsia" w:ascii="Cambria Math" w:hAnsi="Cambria Math" w:eastAsia="宋体" w:cs="宋体"/>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评审价−基准价</m:t>
                    </m:r>
                    <m:ctrlPr>
                      <w:rPr>
                        <w:rFonts w:hint="eastAsia" w:ascii="Cambria Math" w:hAnsi="Cambria Math" w:eastAsia="宋体" w:cs="宋体"/>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基准价</m:t>
                    </m:r>
                    <m:ctrlPr>
                      <w:rPr>
                        <w:rFonts w:hint="eastAsia" w:ascii="Cambria Math" w:hAnsi="Cambria Math" w:eastAsia="宋体" w:cs="宋体"/>
                        <w:color w:val="auto"/>
                        <w:kern w:val="2"/>
                        <w:sz w:val="24"/>
                        <w:szCs w:val="24"/>
                        <w:lang w:val="en-US" w:eastAsia="zh-CN" w:bidi="ar-SA"/>
                      </w:rPr>
                    </m:ctrlPr>
                  </m:den>
                </m:f>
                <m:r>
                  <m:rPr>
                    <m:sty m:val="p"/>
                  </m:rPr>
                  <w:rPr>
                    <w:rFonts w:hint="eastAsia" w:ascii="Cambria Math" w:hAnsi="Cambria Math" w:eastAsia="宋体" w:cs="宋体"/>
                    <w:color w:val="auto"/>
                    <w:kern w:val="2"/>
                    <w:sz w:val="24"/>
                    <w:szCs w:val="24"/>
                    <w:lang w:val="en-US" w:eastAsia="zh-CN" w:bidi="ar-SA"/>
                  </w:rPr>
                  <m:t>×100%&lt;0</m:t>
                </m:r>
              </m:oMath>
            </m:oMathPara>
          </w:p>
        </w:tc>
        <w:tc>
          <w:tcPr>
            <w:tcW w:w="1981" w:type="dxa"/>
            <w:noWrap w:val="0"/>
            <w:vAlign w:val="center"/>
          </w:tcPr>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从0开始每降1%加1分，即</w:t>
            </w:r>
          </w:p>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100+100L</w:t>
            </w:r>
          </w:p>
        </w:tc>
        <w:tc>
          <w:tcPr>
            <w:tcW w:w="3152" w:type="dxa"/>
            <w:vMerge w:val="continue"/>
            <w:noWrap w:val="0"/>
            <w:vAlign w:val="center"/>
          </w:tcPr>
          <w:p>
            <w:pPr>
              <w:keepNext w:val="0"/>
              <w:keepLines w:val="0"/>
              <w:pageBreakBefore w:val="0"/>
              <w:kinsoku/>
              <w:wordWrap/>
              <w:overflowPunct/>
              <w:topLinePunct w:val="0"/>
              <w:autoSpaceDE/>
              <w:autoSpaceDN/>
              <w:bidi w:val="0"/>
              <w:adjustRightInd/>
              <w:spacing w:line="240" w:lineRule="auto"/>
              <w:ind w:left="0" w:leftChars="0" w:firstLine="422" w:firstLineChars="200"/>
              <w:rPr>
                <w:rFonts w:hint="eastAsia"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13" w:type="dxa"/>
            <w:noWrap w:val="0"/>
            <w:vAlign w:val="center"/>
          </w:tcPr>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w:t>
            </w:r>
          </w:p>
        </w:tc>
        <w:tc>
          <w:tcPr>
            <w:tcW w:w="4273" w:type="dxa"/>
            <w:noWrap w:val="0"/>
            <w:vAlign w:val="center"/>
          </w:tcPr>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m:oMathPara>
              <m:oMath>
                <m:f>
                  <m:fPr>
                    <m:ctrlPr>
                      <w:rPr>
                        <w:rFonts w:hint="eastAsia" w:ascii="Cambria Math" w:hAnsi="Cambria Math" w:eastAsia="宋体" w:cs="宋体"/>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评审价−基准价</m:t>
                    </m:r>
                    <m:ctrlPr>
                      <w:rPr>
                        <w:rFonts w:hint="eastAsia" w:ascii="Cambria Math" w:hAnsi="Cambria Math" w:eastAsia="宋体" w:cs="宋体"/>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基准价</m:t>
                    </m:r>
                    <m:ctrlPr>
                      <w:rPr>
                        <w:rFonts w:hint="eastAsia" w:ascii="Cambria Math" w:hAnsi="Cambria Math" w:eastAsia="宋体" w:cs="宋体"/>
                        <w:color w:val="auto"/>
                        <w:kern w:val="2"/>
                        <w:sz w:val="24"/>
                        <w:szCs w:val="24"/>
                        <w:lang w:val="en-US" w:eastAsia="zh-CN" w:bidi="ar-SA"/>
                      </w:rPr>
                    </m:ctrlPr>
                  </m:den>
                </m:f>
                <m:r>
                  <m:rPr>
                    <m:sty m:val="p"/>
                  </m:rPr>
                  <w:rPr>
                    <w:rFonts w:hint="eastAsia" w:ascii="Cambria Math" w:hAnsi="Cambria Math" w:eastAsia="宋体" w:cs="宋体"/>
                    <w:color w:val="auto"/>
                    <w:kern w:val="2"/>
                    <w:sz w:val="24"/>
                    <w:szCs w:val="24"/>
                    <w:lang w:val="en-US" w:eastAsia="zh-CN" w:bidi="ar-SA"/>
                  </w:rPr>
                  <m:t>×100%&lt;−3%</m:t>
                </m:r>
              </m:oMath>
            </m:oMathPara>
          </w:p>
        </w:tc>
        <w:tc>
          <w:tcPr>
            <w:tcW w:w="1981" w:type="dxa"/>
            <w:noWrap w:val="0"/>
            <w:vAlign w:val="center"/>
          </w:tcPr>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从-3%开始每降1%减1分，即</w:t>
            </w:r>
          </w:p>
          <w:p>
            <w:pPr>
              <w:pStyle w:val="24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103-（100L-3）</w:t>
            </w:r>
          </w:p>
        </w:tc>
        <w:tc>
          <w:tcPr>
            <w:tcW w:w="3152" w:type="dxa"/>
            <w:vMerge w:val="continue"/>
            <w:noWrap w:val="0"/>
            <w:vAlign w:val="center"/>
          </w:tcPr>
          <w:p>
            <w:pPr>
              <w:keepNext w:val="0"/>
              <w:keepLines w:val="0"/>
              <w:pageBreakBefore w:val="0"/>
              <w:kinsoku/>
              <w:wordWrap/>
              <w:overflowPunct/>
              <w:topLinePunct w:val="0"/>
              <w:autoSpaceDE/>
              <w:autoSpaceDN/>
              <w:bidi w:val="0"/>
              <w:adjustRightInd/>
              <w:spacing w:line="240" w:lineRule="auto"/>
              <w:ind w:left="0" w:leftChars="0" w:firstLine="422" w:firstLineChars="200"/>
              <w:rPr>
                <w:rFonts w:hint="eastAsia" w:ascii="宋体" w:hAnsi="宋体" w:cs="宋体"/>
                <w:b/>
                <w:color w:val="auto"/>
                <w:szCs w:val="21"/>
              </w:rPr>
            </w:pPr>
          </w:p>
        </w:tc>
      </w:tr>
    </w:tbl>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left="0" w:leftChars="0"/>
        <w:textAlignment w:val="auto"/>
        <w:rPr>
          <w:rFonts w:hint="eastAsia" w:ascii="宋体" w:hAnsi="宋体" w:eastAsia="宋体" w:cs="宋体"/>
          <w:b/>
          <w:color w:val="auto"/>
          <w:szCs w:val="21"/>
        </w:rPr>
      </w:pPr>
      <w:r>
        <w:rPr>
          <w:rFonts w:hint="eastAsia" w:ascii="宋体" w:hAnsi="宋体" w:eastAsia="宋体" w:cs="宋体"/>
          <w:b/>
          <w:color w:val="auto"/>
          <w:szCs w:val="21"/>
        </w:rPr>
        <w:t>评审说明：</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1.本项目评审价是指不含增值税总价。</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cs="宋体"/>
          <w:color w:val="auto"/>
          <w:kern w:val="0"/>
          <w:szCs w:val="21"/>
          <w:highlight w:val="none"/>
        </w:rPr>
      </w:pPr>
      <w:r>
        <w:rPr>
          <w:rFonts w:hint="eastAsia" w:ascii="宋体" w:hAnsi="宋体" w:eastAsia="宋体" w:cs="宋体"/>
          <w:color w:val="auto"/>
          <w:kern w:val="0"/>
          <w:szCs w:val="21"/>
        </w:rPr>
        <w:t>2.</w:t>
      </w:r>
      <w:r>
        <w:rPr>
          <w:rFonts w:hint="eastAsia" w:ascii="宋体" w:hAnsi="宋体" w:cs="宋体"/>
          <w:color w:val="auto"/>
          <w:kern w:val="0"/>
          <w:szCs w:val="21"/>
          <w:highlight w:val="none"/>
        </w:rPr>
        <w:t>当供</w:t>
      </w:r>
      <w:r>
        <w:rPr>
          <w:rFonts w:ascii="宋体" w:hAnsi="宋体" w:cs="宋体"/>
          <w:color w:val="auto"/>
          <w:kern w:val="0"/>
          <w:szCs w:val="21"/>
          <w:highlight w:val="none"/>
        </w:rPr>
        <w:t>应商</w:t>
      </w:r>
      <w:r>
        <w:rPr>
          <w:rFonts w:hint="eastAsia" w:ascii="宋体" w:hAnsi="宋体" w:cs="宋体"/>
          <w:color w:val="auto"/>
          <w:kern w:val="0"/>
          <w:szCs w:val="21"/>
          <w:highlight w:val="none"/>
        </w:rPr>
        <w:t>的评审价低于（不含）进入报价详细评审的所有评审价的算术平均值90%时，由评审委员会启动成本评审工作，以判别该供</w:t>
      </w:r>
      <w:r>
        <w:rPr>
          <w:rFonts w:ascii="宋体" w:hAnsi="宋体" w:cs="宋体"/>
          <w:color w:val="auto"/>
          <w:kern w:val="0"/>
          <w:szCs w:val="21"/>
          <w:highlight w:val="none"/>
        </w:rPr>
        <w:t>应商</w:t>
      </w:r>
      <w:r>
        <w:rPr>
          <w:rFonts w:hint="eastAsia" w:ascii="宋体" w:hAnsi="宋体" w:cs="宋体"/>
          <w:color w:val="auto"/>
          <w:kern w:val="0"/>
          <w:szCs w:val="21"/>
          <w:highlight w:val="none"/>
        </w:rPr>
        <w:t>的评审价是否低于其成本。评审委员会应当要求该供</w:t>
      </w:r>
      <w:r>
        <w:rPr>
          <w:rFonts w:ascii="宋体" w:hAnsi="宋体" w:cs="宋体"/>
          <w:color w:val="auto"/>
          <w:kern w:val="0"/>
          <w:szCs w:val="21"/>
          <w:highlight w:val="none"/>
        </w:rPr>
        <w:t>应商</w:t>
      </w:r>
      <w:r>
        <w:rPr>
          <w:rFonts w:hint="eastAsia" w:ascii="宋体" w:hAnsi="宋体" w:cs="宋体"/>
          <w:color w:val="auto"/>
          <w:kern w:val="0"/>
          <w:szCs w:val="21"/>
          <w:highlight w:val="none"/>
        </w:rPr>
        <w:t>作出书面说明并提供相应证明材料。供</w:t>
      </w:r>
      <w:r>
        <w:rPr>
          <w:rFonts w:ascii="宋体" w:hAnsi="宋体" w:cs="宋体"/>
          <w:color w:val="auto"/>
          <w:kern w:val="0"/>
          <w:szCs w:val="21"/>
          <w:highlight w:val="none"/>
        </w:rPr>
        <w:t>应商</w:t>
      </w:r>
      <w:r>
        <w:rPr>
          <w:rFonts w:hint="eastAsia" w:ascii="宋体" w:hAnsi="宋体" w:cs="宋体"/>
          <w:color w:val="auto"/>
          <w:kern w:val="0"/>
          <w:szCs w:val="21"/>
          <w:highlight w:val="none"/>
        </w:rPr>
        <w:t>不能合理说明或者不能提供相应证明材料的，由评审委员会认定该供</w:t>
      </w:r>
      <w:r>
        <w:rPr>
          <w:rFonts w:ascii="宋体" w:hAnsi="宋体" w:cs="宋体"/>
          <w:color w:val="auto"/>
          <w:kern w:val="0"/>
          <w:szCs w:val="21"/>
          <w:highlight w:val="none"/>
        </w:rPr>
        <w:t>应商</w:t>
      </w:r>
      <w:r>
        <w:rPr>
          <w:rFonts w:hint="eastAsia" w:ascii="宋体" w:hAnsi="宋体" w:cs="宋体"/>
          <w:color w:val="auto"/>
          <w:kern w:val="0"/>
          <w:szCs w:val="21"/>
          <w:highlight w:val="none"/>
        </w:rPr>
        <w:t>以低于成本报价竞标，并</w:t>
      </w:r>
      <w:r>
        <w:rPr>
          <w:rFonts w:hint="eastAsia" w:ascii="宋体" w:hAnsi="宋体" w:cs="宋体"/>
          <w:b w:val="0"/>
          <w:bCs/>
          <w:color w:val="auto"/>
          <w:kern w:val="0"/>
          <w:szCs w:val="21"/>
          <w:highlight w:val="none"/>
        </w:rPr>
        <w:t>否决</w:t>
      </w:r>
      <w:r>
        <w:rPr>
          <w:rFonts w:hint="eastAsia" w:ascii="宋体" w:hAnsi="宋体" w:cs="宋体"/>
          <w:color w:val="auto"/>
          <w:kern w:val="0"/>
          <w:szCs w:val="21"/>
          <w:highlight w:val="none"/>
        </w:rPr>
        <w:t>其投标。</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对未低于成本报价的有效评审价，按照本表规定计算报价得分，其中：</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（1）平均价X值的计算</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X=（X1+X2+……Xn-1+Xn）／n</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X——进入报价详细评审的有效评审价的算术平均值</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X1、X2、Xn-1、Xn——进入报价详细评审的有效评审价</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n——进入报价详细评审的有效评审价个数</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（2）基准价Y的计算方式：</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b w:val="0"/>
          <w:bCs w:val="0"/>
          <w:color w:val="auto"/>
          <w:kern w:val="0"/>
          <w:szCs w:val="21"/>
        </w:rPr>
      </w:pPr>
      <w:r>
        <w:rPr>
          <w:rFonts w:hint="eastAsia" w:ascii="宋体" w:hAnsi="宋体" w:eastAsia="宋体" w:cs="宋体"/>
          <w:color w:val="auto"/>
          <w:kern w:val="0"/>
          <w:szCs w:val="21"/>
        </w:rPr>
        <w:t>①Y为进</w:t>
      </w:r>
      <w:r>
        <w:rPr>
          <w:rFonts w:hint="eastAsia" w:ascii="宋体" w:hAnsi="宋体" w:eastAsia="宋体" w:cs="宋体"/>
          <w:b w:val="0"/>
          <w:bCs w:val="0"/>
          <w:color w:val="auto"/>
          <w:kern w:val="0"/>
          <w:szCs w:val="21"/>
        </w:rPr>
        <w:t>入报价详细评审的有效评审价中，在X值的90%（含）～110%（含）范围的所有有效评审价的算术平均值；</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②当按上述第①项规定确定进入Y值计算的有效评审价个数≤3时，则Y为进入报价详细评审的所有有效评审价的算术平均值。</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rPr>
        <w:t>.按百分制计算：报价加分最多加3分，最高得分为103分。</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5.供应商最终报价得分=按百分制计算报价得分*30%，最高得分为30.9分。</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6</w:t>
      </w:r>
      <w:r>
        <w:rPr>
          <w:rFonts w:hint="eastAsia" w:ascii="宋体" w:hAnsi="宋体" w:eastAsia="宋体" w:cs="宋体"/>
          <w:color w:val="auto"/>
          <w:kern w:val="0"/>
          <w:szCs w:val="21"/>
        </w:rPr>
        <w:t>.报价评审时报价（或基准价）以人民币元为单位，保留小数点后两位，小数点后第三位“四舍五入”。</w:t>
      </w:r>
    </w:p>
    <w:p>
      <w:pPr>
        <w:rPr>
          <w:color w:val="auto"/>
        </w:rPr>
        <w:sectPr>
          <w:headerReference r:id="rId7" w:type="default"/>
          <w:footerReference r:id="rId8" w:type="default"/>
          <w:pgSz w:w="11906" w:h="16838"/>
          <w:pgMar w:top="2098" w:right="1474" w:bottom="1984" w:left="1587" w:header="851" w:footer="992" w:gutter="0"/>
          <w:cols w:space="0" w:num="1"/>
          <w:docGrid w:type="lines" w:linePitch="319" w:charSpace="0"/>
        </w:sectPr>
      </w:pPr>
    </w:p>
    <w:p>
      <w:pPr>
        <w:pStyle w:val="3"/>
        <w:keepNext w:val="0"/>
        <w:spacing w:line="360" w:lineRule="auto"/>
        <w:rPr>
          <w:rFonts w:ascii="宋体" w:hAnsi="宋体" w:cs="宋体"/>
          <w:bCs w:val="0"/>
          <w:color w:val="auto"/>
          <w:sz w:val="32"/>
          <w:szCs w:val="32"/>
        </w:rPr>
      </w:pPr>
      <w:bookmarkStart w:id="68" w:name="_Toc25621"/>
      <w:r>
        <w:rPr>
          <w:rFonts w:hint="eastAsia" w:ascii="宋体" w:hAnsi="宋体" w:cs="宋体"/>
          <w:bCs w:val="0"/>
          <w:color w:val="auto"/>
          <w:sz w:val="32"/>
          <w:szCs w:val="32"/>
        </w:rPr>
        <w:t>第四章  用户需求书</w:t>
      </w:r>
      <w:bookmarkEnd w:id="63"/>
      <w:bookmarkEnd w:id="64"/>
      <w:bookmarkEnd w:id="65"/>
      <w:bookmarkEnd w:id="66"/>
      <w:bookmarkEnd w:id="67"/>
      <w:r>
        <w:rPr>
          <w:rFonts w:hint="eastAsia" w:ascii="宋体" w:hAnsi="宋体" w:cs="宋体"/>
          <w:bCs w:val="0"/>
          <w:color w:val="auto"/>
          <w:sz w:val="32"/>
          <w:szCs w:val="32"/>
        </w:rPr>
        <w:t>（另册）</w:t>
      </w:r>
      <w:bookmarkEnd w:id="68"/>
    </w:p>
    <w:p>
      <w:pPr>
        <w:spacing w:line="360" w:lineRule="auto"/>
        <w:rPr>
          <w:color w:val="auto"/>
        </w:rPr>
      </w:pPr>
    </w:p>
    <w:p>
      <w:pPr>
        <w:pStyle w:val="2"/>
        <w:spacing w:line="360" w:lineRule="auto"/>
        <w:ind w:left="0" w:leftChars="0" w:firstLine="420" w:firstLineChars="200"/>
        <w:rPr>
          <w:rFonts w:hint="default" w:ascii="宋体" w:hAnsi="宋体" w:cs="宋体"/>
          <w:color w:val="auto"/>
          <w:lang w:val="en-US"/>
        </w:rPr>
      </w:pPr>
      <w:r>
        <w:rPr>
          <w:rFonts w:hint="eastAsia" w:ascii="宋体" w:hAnsi="宋体" w:cs="宋体"/>
          <w:color w:val="auto"/>
        </w:rPr>
        <w:t>用户需求书详见本项目竞争性采购公告附件：</w:t>
      </w:r>
      <w:r>
        <w:rPr>
          <w:rFonts w:hint="eastAsia" w:ascii="宋体" w:hAnsi="宋体" w:cs="宋体"/>
          <w:color w:val="auto"/>
          <w:u w:val="single"/>
          <w:lang w:val="en-US" w:eastAsia="zh-CN"/>
        </w:rPr>
        <w:t>长沙市轨道交通运营有限公司法律顾问采购服务项目用户需求书</w:t>
      </w:r>
    </w:p>
    <w:p>
      <w:pPr>
        <w:spacing w:line="360" w:lineRule="auto"/>
        <w:rPr>
          <w:color w:val="auto"/>
        </w:rPr>
      </w:pPr>
    </w:p>
    <w:p>
      <w:pPr>
        <w:spacing w:line="360" w:lineRule="auto"/>
        <w:rPr>
          <w:color w:val="auto"/>
        </w:rPr>
        <w:sectPr>
          <w:pgSz w:w="11906" w:h="16838"/>
          <w:pgMar w:top="2098" w:right="1474" w:bottom="1984" w:left="1587" w:header="851" w:footer="992" w:gutter="0"/>
          <w:cols w:space="0" w:num="1"/>
          <w:docGrid w:type="lines" w:linePitch="319" w:charSpace="0"/>
        </w:sectPr>
      </w:pPr>
    </w:p>
    <w:p>
      <w:pPr>
        <w:pStyle w:val="3"/>
        <w:keepNext w:val="0"/>
        <w:numPr>
          <w:ilvl w:val="0"/>
          <w:numId w:val="16"/>
        </w:numPr>
        <w:spacing w:line="360" w:lineRule="auto"/>
        <w:rPr>
          <w:rFonts w:hint="eastAsia" w:ascii="宋体" w:hAnsi="宋体" w:cs="宋体"/>
          <w:bCs w:val="0"/>
          <w:color w:val="auto"/>
          <w:sz w:val="32"/>
          <w:szCs w:val="32"/>
        </w:rPr>
      </w:pPr>
      <w:bookmarkStart w:id="69" w:name="_Toc31851"/>
      <w:bookmarkStart w:id="70" w:name="_Toc13521"/>
      <w:bookmarkStart w:id="71" w:name="_Toc19554"/>
      <w:bookmarkStart w:id="72" w:name="_Toc14891078"/>
      <w:bookmarkStart w:id="73" w:name="_Toc17441"/>
      <w:bookmarkStart w:id="74" w:name="_Toc22262"/>
      <w:r>
        <w:rPr>
          <w:rFonts w:hint="eastAsia" w:ascii="宋体" w:hAnsi="宋体" w:cs="宋体"/>
          <w:bCs w:val="0"/>
          <w:color w:val="auto"/>
          <w:sz w:val="32"/>
          <w:szCs w:val="32"/>
        </w:rPr>
        <w:t xml:space="preserve"> </w:t>
      </w:r>
      <w:bookmarkStart w:id="75" w:name="_Toc25541"/>
      <w:r>
        <w:rPr>
          <w:rFonts w:hint="eastAsia" w:ascii="宋体" w:hAnsi="宋体" w:cs="宋体"/>
          <w:bCs w:val="0"/>
          <w:color w:val="auto"/>
          <w:sz w:val="32"/>
          <w:szCs w:val="32"/>
        </w:rPr>
        <w:t>竞争性采购</w:t>
      </w:r>
      <w:bookmarkEnd w:id="69"/>
      <w:r>
        <w:rPr>
          <w:rFonts w:hint="eastAsia" w:ascii="宋体" w:hAnsi="宋体" w:cs="宋体"/>
          <w:bCs w:val="0"/>
          <w:color w:val="auto"/>
          <w:sz w:val="32"/>
          <w:szCs w:val="32"/>
          <w:lang w:eastAsia="zh-CN"/>
        </w:rPr>
        <w:t>控制价</w:t>
      </w:r>
      <w:r>
        <w:rPr>
          <w:rFonts w:hint="eastAsia" w:ascii="宋体" w:hAnsi="宋体" w:cs="宋体"/>
          <w:bCs w:val="0"/>
          <w:color w:val="auto"/>
          <w:sz w:val="32"/>
          <w:szCs w:val="32"/>
        </w:rPr>
        <w:t>（另册）</w:t>
      </w:r>
      <w:bookmarkEnd w:id="75"/>
    </w:p>
    <w:p>
      <w:pPr>
        <w:spacing w:line="360" w:lineRule="auto"/>
        <w:rPr>
          <w:rFonts w:ascii="Times New Roman" w:hAnsi="Times New Roman" w:eastAsia="宋体" w:cs="Times New Roman"/>
          <w:color w:val="auto"/>
        </w:rPr>
      </w:pPr>
    </w:p>
    <w:p>
      <w:pPr>
        <w:spacing w:line="360" w:lineRule="auto"/>
        <w:rPr>
          <w:rFonts w:hint="eastAsia" w:ascii="Times New Roman" w:hAnsi="Times New Roman" w:eastAsia="宋体" w:cs="Times New Roman"/>
          <w:color w:val="auto"/>
          <w:u w:val="single"/>
        </w:rPr>
      </w:pPr>
      <w:r>
        <w:rPr>
          <w:rFonts w:hint="eastAsia" w:cs="Times New Roman"/>
          <w:color w:val="auto"/>
          <w:lang w:val="en-US" w:eastAsia="zh-CN"/>
        </w:rPr>
        <w:t>控制价</w:t>
      </w:r>
      <w:r>
        <w:rPr>
          <w:rFonts w:hint="eastAsia" w:ascii="Times New Roman" w:hAnsi="Times New Roman" w:eastAsia="宋体" w:cs="Times New Roman"/>
          <w:color w:val="auto"/>
        </w:rPr>
        <w:t>详见本项目竞争性采购公告附件：</w:t>
      </w:r>
      <w:r>
        <w:rPr>
          <w:rFonts w:hint="eastAsia" w:ascii="Times New Roman" w:hAnsi="Times New Roman" w:eastAsia="宋体" w:cs="Times New Roman"/>
          <w:color w:val="auto"/>
          <w:u w:val="single"/>
        </w:rPr>
        <w:t>关于</w:t>
      </w:r>
      <w:r>
        <w:rPr>
          <w:rFonts w:hint="eastAsia" w:ascii="Times New Roman" w:hAnsi="Times New Roman" w:eastAsia="宋体" w:cs="Times New Roman"/>
          <w:color w:val="auto"/>
          <w:u w:val="single"/>
          <w:lang w:val="en-US" w:eastAsia="zh-CN"/>
        </w:rPr>
        <w:t>长沙市轨道交通运营有限公司法律顾问采购服务项目</w:t>
      </w:r>
      <w:r>
        <w:rPr>
          <w:rFonts w:hint="eastAsia" w:cs="Times New Roman"/>
          <w:color w:val="auto"/>
          <w:u w:val="single"/>
          <w:lang w:eastAsia="zh-CN"/>
        </w:rPr>
        <w:t>控制价</w:t>
      </w:r>
      <w:r>
        <w:rPr>
          <w:rFonts w:hint="eastAsia" w:ascii="Times New Roman" w:hAnsi="Times New Roman" w:eastAsia="宋体" w:cs="Times New Roman"/>
          <w:color w:val="auto"/>
          <w:u w:val="single"/>
        </w:rPr>
        <w:t>的公示说明</w:t>
      </w:r>
    </w:p>
    <w:p>
      <w:pPr>
        <w:pStyle w:val="2"/>
        <w:spacing w:line="360" w:lineRule="auto"/>
        <w:ind w:left="0" w:leftChars="0" w:firstLine="420" w:firstLineChars="200"/>
        <w:rPr>
          <w:rFonts w:hint="default" w:ascii="宋体" w:hAnsi="宋体" w:cs="宋体"/>
          <w:color w:val="auto"/>
          <w:lang w:val="en-US"/>
        </w:rPr>
      </w:pPr>
    </w:p>
    <w:p>
      <w:pPr>
        <w:pStyle w:val="46"/>
        <w:spacing w:after="0" w:line="360" w:lineRule="auto"/>
        <w:ind w:left="0" w:leftChars="0"/>
        <w:rPr>
          <w:color w:val="auto"/>
          <w:highlight w:val="yellow"/>
        </w:rPr>
      </w:pPr>
    </w:p>
    <w:p>
      <w:pPr>
        <w:pStyle w:val="46"/>
        <w:spacing w:after="0" w:line="360" w:lineRule="auto"/>
        <w:ind w:left="0" w:leftChars="0"/>
        <w:rPr>
          <w:color w:val="auto"/>
        </w:rPr>
      </w:pPr>
    </w:p>
    <w:p>
      <w:pPr>
        <w:pStyle w:val="46"/>
        <w:spacing w:after="0" w:line="360" w:lineRule="auto"/>
        <w:ind w:left="0" w:leftChars="0"/>
        <w:rPr>
          <w:color w:val="auto"/>
        </w:rPr>
        <w:sectPr>
          <w:pgSz w:w="11906" w:h="16838"/>
          <w:pgMar w:top="2098" w:right="1474" w:bottom="1984" w:left="1587" w:header="851" w:footer="992" w:gutter="0"/>
          <w:cols w:space="0" w:num="1"/>
          <w:docGrid w:type="lines" w:linePitch="319" w:charSpace="0"/>
        </w:sectPr>
      </w:pPr>
    </w:p>
    <w:p>
      <w:pPr>
        <w:pStyle w:val="3"/>
        <w:keepNext w:val="0"/>
        <w:numPr>
          <w:ilvl w:val="0"/>
          <w:numId w:val="17"/>
        </w:numPr>
        <w:rPr>
          <w:rFonts w:hint="eastAsia" w:ascii="宋体" w:hAnsi="宋体" w:cs="宋体"/>
          <w:bCs w:val="0"/>
          <w:color w:val="auto"/>
          <w:sz w:val="32"/>
          <w:szCs w:val="32"/>
        </w:rPr>
      </w:pPr>
      <w:r>
        <w:rPr>
          <w:rFonts w:hint="eastAsia" w:ascii="宋体" w:hAnsi="宋体" w:cs="宋体"/>
          <w:bCs w:val="0"/>
          <w:color w:val="auto"/>
          <w:sz w:val="32"/>
          <w:szCs w:val="32"/>
        </w:rPr>
        <w:t xml:space="preserve"> </w:t>
      </w:r>
      <w:bookmarkStart w:id="76" w:name="_Toc9950"/>
      <w:r>
        <w:rPr>
          <w:rFonts w:hint="eastAsia" w:ascii="宋体" w:hAnsi="宋体" w:cs="宋体"/>
          <w:bCs w:val="0"/>
          <w:color w:val="auto"/>
          <w:sz w:val="32"/>
          <w:szCs w:val="32"/>
        </w:rPr>
        <w:t>合同格式条款</w:t>
      </w:r>
      <w:bookmarkEnd w:id="70"/>
      <w:bookmarkEnd w:id="71"/>
      <w:bookmarkEnd w:id="72"/>
      <w:bookmarkEnd w:id="73"/>
      <w:bookmarkEnd w:id="74"/>
      <w:r>
        <w:rPr>
          <w:rFonts w:hint="eastAsia" w:ascii="宋体" w:hAnsi="宋体" w:cs="宋体"/>
          <w:bCs w:val="0"/>
          <w:color w:val="auto"/>
          <w:sz w:val="32"/>
          <w:szCs w:val="32"/>
        </w:rPr>
        <w:t>（另册）</w:t>
      </w:r>
      <w:bookmarkEnd w:id="76"/>
    </w:p>
    <w:p>
      <w:pPr>
        <w:widowControl w:val="0"/>
        <w:numPr>
          <w:ilvl w:val="0"/>
          <w:numId w:val="0"/>
        </w:numPr>
        <w:jc w:val="both"/>
        <w:rPr>
          <w:rFonts w:hint="eastAsia"/>
          <w:color w:val="auto"/>
        </w:rPr>
      </w:pPr>
    </w:p>
    <w:p>
      <w:pPr>
        <w:pStyle w:val="2"/>
        <w:spacing w:line="360" w:lineRule="auto"/>
        <w:ind w:left="0" w:leftChars="0" w:firstLine="420" w:firstLineChars="200"/>
        <w:rPr>
          <w:rFonts w:hint="default" w:ascii="宋体" w:hAnsi="宋体" w:cs="宋体"/>
          <w:color w:val="auto"/>
          <w:lang w:val="en-US"/>
        </w:rPr>
      </w:pPr>
      <w:r>
        <w:rPr>
          <w:rFonts w:hint="eastAsia" w:ascii="宋体" w:hAnsi="宋体" w:cs="宋体"/>
          <w:color w:val="auto"/>
          <w:lang w:val="en-US" w:eastAsia="zh-CN"/>
        </w:rPr>
        <w:t>合同格式条款</w:t>
      </w:r>
      <w:r>
        <w:rPr>
          <w:rFonts w:hint="eastAsia" w:ascii="宋体" w:hAnsi="宋体" w:cs="宋体"/>
          <w:color w:val="auto"/>
        </w:rPr>
        <w:t>详见本项目竞争性采购公告附件：</w:t>
      </w:r>
      <w:r>
        <w:rPr>
          <w:rFonts w:hint="eastAsia" w:ascii="宋体" w:hAnsi="宋体" w:cs="宋体"/>
          <w:color w:val="auto"/>
          <w:u w:val="single"/>
          <w:lang w:val="en-US" w:eastAsia="zh-CN"/>
        </w:rPr>
        <w:t>长沙市轨道交通运营有限公司法律顾问采购服务项目</w:t>
      </w:r>
      <w:r>
        <w:rPr>
          <w:rFonts w:hint="eastAsia" w:ascii="宋体" w:hAnsi="宋体" w:eastAsia="宋体" w:cs="宋体"/>
          <w:color w:val="auto"/>
          <w:u w:val="single"/>
          <w:lang w:val="en-US" w:eastAsia="zh-CN"/>
        </w:rPr>
        <w:t>合同</w:t>
      </w:r>
    </w:p>
    <w:p>
      <w:pPr>
        <w:pStyle w:val="45"/>
        <w:rPr>
          <w:rFonts w:hint="eastAsia"/>
          <w:color w:val="auto"/>
        </w:rPr>
        <w:sectPr>
          <w:headerReference r:id="rId9" w:type="default"/>
          <w:footerReference r:id="rId10" w:type="default"/>
          <w:pgSz w:w="11906" w:h="16838"/>
          <w:pgMar w:top="2098" w:right="1474" w:bottom="1984" w:left="1587" w:header="851" w:footer="992" w:gutter="0"/>
          <w:cols w:space="0" w:num="1"/>
          <w:docGrid w:type="lines" w:linePitch="319" w:charSpace="0"/>
        </w:sectPr>
      </w:pPr>
    </w:p>
    <w:p>
      <w:pPr>
        <w:rPr>
          <w:color w:val="auto"/>
        </w:rPr>
      </w:pPr>
    </w:p>
    <w:p>
      <w:pPr>
        <w:snapToGrid w:val="0"/>
        <w:spacing w:line="360" w:lineRule="auto"/>
        <w:jc w:val="center"/>
        <w:outlineLvl w:val="0"/>
        <w:rPr>
          <w:rFonts w:ascii="宋体" w:hAnsi="宋体" w:cs="宋体"/>
          <w:bCs/>
          <w:color w:val="auto"/>
          <w:sz w:val="32"/>
          <w:szCs w:val="32"/>
        </w:rPr>
      </w:pPr>
      <w:bookmarkStart w:id="77" w:name="_Toc132361369"/>
      <w:bookmarkStart w:id="78" w:name="_Toc29654"/>
      <w:bookmarkStart w:id="79" w:name="_Toc5097"/>
      <w:bookmarkStart w:id="80" w:name="_Toc18525"/>
      <w:bookmarkStart w:id="81" w:name="_Toc20891"/>
      <w:bookmarkStart w:id="82" w:name="_Toc13449"/>
      <w:r>
        <w:rPr>
          <w:rFonts w:hint="eastAsia" w:ascii="宋体" w:hAnsi="宋体" w:cs="宋体"/>
          <w:color w:val="auto"/>
        </w:rPr>
        <mc:AlternateContent>
          <mc:Choice Requires="wps">
            <w:drawing>
              <wp:anchor distT="0" distB="0" distL="114300" distR="114300" simplePos="0" relativeHeight="251659264"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59264;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color w:val="auto"/>
          <w:sz w:val="32"/>
          <w:szCs w:val="32"/>
        </w:rPr>
        <w:t>第七章</w:t>
      </w:r>
      <w:bookmarkStart w:id="83" w:name="_Toc14891079"/>
      <w:r>
        <w:rPr>
          <w:rFonts w:hint="eastAsia" w:ascii="宋体" w:hAnsi="宋体" w:cs="宋体"/>
          <w:b/>
          <w:color w:val="auto"/>
          <w:sz w:val="32"/>
          <w:szCs w:val="32"/>
        </w:rPr>
        <w:t xml:space="preserve">  </w:t>
      </w:r>
      <w:r>
        <w:rPr>
          <w:rFonts w:hint="eastAsia" w:ascii="宋体" w:hAnsi="宋体" w:cs="宋体"/>
          <w:b/>
          <w:bCs/>
          <w:color w:val="auto"/>
          <w:sz w:val="32"/>
          <w:szCs w:val="32"/>
        </w:rPr>
        <w:t>响应文件组成</w:t>
      </w:r>
      <w:bookmarkEnd w:id="77"/>
      <w:bookmarkEnd w:id="78"/>
      <w:bookmarkEnd w:id="79"/>
      <w:bookmarkEnd w:id="80"/>
      <w:bookmarkEnd w:id="81"/>
      <w:bookmarkEnd w:id="82"/>
      <w:bookmarkEnd w:id="83"/>
    </w:p>
    <w:p>
      <w:pPr>
        <w:spacing w:line="360" w:lineRule="auto"/>
        <w:rPr>
          <w:rFonts w:ascii="宋体" w:hAnsi="宋体"/>
          <w:b/>
          <w:bCs/>
          <w:color w:val="auto"/>
          <w:sz w:val="52"/>
          <w:szCs w:val="52"/>
        </w:rPr>
      </w:pPr>
    </w:p>
    <w:p>
      <w:pPr>
        <w:spacing w:line="360" w:lineRule="auto"/>
        <w:jc w:val="center"/>
        <w:rPr>
          <w:rFonts w:ascii="宋体" w:hAnsi="宋体"/>
          <w:b/>
          <w:bCs/>
          <w:color w:val="auto"/>
          <w:sz w:val="52"/>
          <w:szCs w:val="52"/>
        </w:rPr>
      </w:pPr>
      <w:r>
        <w:rPr>
          <w:rFonts w:hint="eastAsia" w:ascii="宋体" w:hAnsi="宋体"/>
          <w:b/>
          <w:bCs/>
          <w:color w:val="auto"/>
          <w:sz w:val="52"/>
          <w:szCs w:val="52"/>
        </w:rPr>
        <w:t>竞争性采购</w:t>
      </w:r>
    </w:p>
    <w:p>
      <w:pPr>
        <w:adjustRightInd w:val="0"/>
        <w:snapToGrid w:val="0"/>
        <w:spacing w:line="360" w:lineRule="auto"/>
        <w:jc w:val="center"/>
        <w:rPr>
          <w:rFonts w:ascii="宋体" w:hAnsi="宋体"/>
          <w:b/>
          <w:bCs/>
          <w:color w:val="auto"/>
          <w:sz w:val="52"/>
          <w:szCs w:val="52"/>
        </w:rPr>
      </w:pPr>
      <w:r>
        <w:rPr>
          <w:rFonts w:hint="eastAsia" w:ascii="宋体" w:hAnsi="宋体"/>
          <w:b/>
          <w:bCs/>
          <w:color w:val="auto"/>
          <w:sz w:val="52"/>
          <w:szCs w:val="52"/>
        </w:rPr>
        <w:t>响应文件</w:t>
      </w:r>
    </w:p>
    <w:p>
      <w:pPr>
        <w:spacing w:line="360" w:lineRule="auto"/>
        <w:rPr>
          <w:rFonts w:ascii="宋体" w:hAnsi="宋体"/>
          <w:b/>
          <w:bCs/>
          <w:color w:val="auto"/>
          <w:sz w:val="28"/>
          <w:szCs w:val="28"/>
        </w:rPr>
      </w:pPr>
    </w:p>
    <w:p>
      <w:pPr>
        <w:pStyle w:val="25"/>
        <w:spacing w:line="360" w:lineRule="auto"/>
        <w:rPr>
          <w:rFonts w:hAnsi="宋体"/>
          <w:b/>
          <w:bCs/>
          <w:color w:val="auto"/>
          <w:sz w:val="32"/>
          <w:szCs w:val="32"/>
        </w:rPr>
      </w:pPr>
    </w:p>
    <w:p>
      <w:pPr>
        <w:pStyle w:val="25"/>
        <w:adjustRightInd w:val="0"/>
        <w:snapToGrid w:val="0"/>
        <w:spacing w:line="360" w:lineRule="auto"/>
        <w:rPr>
          <w:rFonts w:hAnsi="宋体"/>
          <w:b/>
          <w:bCs/>
          <w:color w:val="auto"/>
          <w:sz w:val="32"/>
          <w:szCs w:val="32"/>
          <w:u w:val="single"/>
        </w:rPr>
      </w:pPr>
      <w:r>
        <w:rPr>
          <w:rFonts w:hint="eastAsia" w:hAnsi="宋体"/>
          <w:b/>
          <w:bCs/>
          <w:color w:val="auto"/>
          <w:sz w:val="32"/>
          <w:szCs w:val="32"/>
        </w:rPr>
        <w:t>竞争性采购项目名称：</w:t>
      </w:r>
      <w:r>
        <w:rPr>
          <w:rFonts w:hint="eastAsia" w:ascii="宋体" w:hAnsi="宋体" w:eastAsia="宋体"/>
          <w:b/>
          <w:bCs/>
          <w:color w:val="auto"/>
          <w:sz w:val="32"/>
          <w:szCs w:val="32"/>
          <w:u w:val="single"/>
          <w:lang w:val="en-US" w:eastAsia="zh-CN"/>
        </w:rPr>
        <w:t>长沙市轨道交通运营有限公司法律顾问采购服务项目</w:t>
      </w:r>
      <w:r>
        <w:rPr>
          <w:rFonts w:hint="eastAsia" w:hAnsi="宋体"/>
          <w:b/>
          <w:bCs/>
          <w:color w:val="auto"/>
          <w:sz w:val="32"/>
          <w:szCs w:val="32"/>
          <w:u w:val="single"/>
          <w:lang w:val="en-US" w:eastAsia="zh-CN"/>
        </w:rPr>
        <w:t>（第二次）</w:t>
      </w:r>
    </w:p>
    <w:p>
      <w:pPr>
        <w:pStyle w:val="25"/>
        <w:adjustRightInd w:val="0"/>
        <w:snapToGrid w:val="0"/>
        <w:spacing w:line="360" w:lineRule="auto"/>
        <w:rPr>
          <w:rFonts w:hAnsi="宋体"/>
          <w:b/>
          <w:bCs/>
          <w:color w:val="auto"/>
          <w:sz w:val="32"/>
          <w:szCs w:val="32"/>
          <w:u w:val="single"/>
        </w:rPr>
      </w:pPr>
    </w:p>
    <w:p>
      <w:pPr>
        <w:pStyle w:val="25"/>
        <w:adjustRightInd w:val="0"/>
        <w:snapToGrid w:val="0"/>
        <w:spacing w:line="360" w:lineRule="auto"/>
        <w:rPr>
          <w:rFonts w:hAnsi="宋体"/>
          <w:b/>
          <w:bCs/>
          <w:color w:val="auto"/>
          <w:sz w:val="32"/>
          <w:szCs w:val="32"/>
          <w:u w:val="single"/>
        </w:rPr>
      </w:pPr>
      <w:r>
        <w:rPr>
          <w:rFonts w:hint="eastAsia" w:hAnsi="宋体"/>
          <w:b/>
          <w:bCs/>
          <w:color w:val="auto"/>
          <w:sz w:val="32"/>
          <w:szCs w:val="32"/>
        </w:rPr>
        <w:t>供应商名称：</w:t>
      </w:r>
      <w:r>
        <w:rPr>
          <w:rFonts w:hint="eastAsia" w:hAnsi="宋体"/>
          <w:b/>
          <w:bCs/>
          <w:color w:val="auto"/>
          <w:sz w:val="32"/>
          <w:szCs w:val="32"/>
          <w:u w:val="single"/>
        </w:rPr>
        <w:t xml:space="preserve">      （加盖单位公章）</w:t>
      </w:r>
    </w:p>
    <w:p>
      <w:pPr>
        <w:pStyle w:val="25"/>
        <w:adjustRightInd w:val="0"/>
        <w:snapToGrid w:val="0"/>
        <w:spacing w:line="360" w:lineRule="auto"/>
        <w:rPr>
          <w:rFonts w:hAnsi="宋体"/>
          <w:b/>
          <w:bCs/>
          <w:color w:val="auto"/>
          <w:sz w:val="32"/>
          <w:szCs w:val="32"/>
          <w:u w:val="single"/>
        </w:rPr>
      </w:pPr>
    </w:p>
    <w:p>
      <w:pPr>
        <w:pStyle w:val="25"/>
        <w:adjustRightInd w:val="0"/>
        <w:snapToGrid w:val="0"/>
        <w:spacing w:line="360" w:lineRule="auto"/>
        <w:rPr>
          <w:rFonts w:hAnsi="宋体"/>
          <w:b/>
          <w:bCs/>
          <w:color w:val="auto"/>
          <w:sz w:val="32"/>
          <w:szCs w:val="32"/>
          <w:u w:val="single"/>
        </w:rPr>
      </w:pPr>
      <w:r>
        <w:rPr>
          <w:rFonts w:hint="eastAsia" w:hAnsi="宋体"/>
          <w:b/>
          <w:bCs/>
          <w:color w:val="auto"/>
          <w:sz w:val="32"/>
          <w:szCs w:val="32"/>
        </w:rPr>
        <w:t>竞争性采购项目编号：</w:t>
      </w:r>
      <w:r>
        <w:rPr>
          <w:rFonts w:hint="eastAsia" w:hAnsi="宋体"/>
          <w:b/>
          <w:bCs/>
          <w:color w:val="auto"/>
          <w:sz w:val="32"/>
          <w:szCs w:val="32"/>
          <w:u w:val="single"/>
          <w:lang w:val="en-US" w:eastAsia="zh-CN"/>
        </w:rPr>
        <w:t>长轨运服采【2023】059号</w:t>
      </w:r>
    </w:p>
    <w:p>
      <w:pPr>
        <w:pStyle w:val="25"/>
        <w:adjustRightInd w:val="0"/>
        <w:snapToGrid w:val="0"/>
        <w:spacing w:line="360" w:lineRule="auto"/>
        <w:rPr>
          <w:rFonts w:hAnsi="宋体"/>
          <w:b/>
          <w:bCs/>
          <w:color w:val="auto"/>
          <w:sz w:val="32"/>
          <w:szCs w:val="32"/>
          <w:u w:val="single"/>
        </w:rPr>
      </w:pPr>
    </w:p>
    <w:p>
      <w:pPr>
        <w:pStyle w:val="25"/>
        <w:adjustRightInd w:val="0"/>
        <w:snapToGrid w:val="0"/>
        <w:spacing w:line="360" w:lineRule="auto"/>
        <w:rPr>
          <w:rFonts w:hAnsi="宋体"/>
          <w:b/>
          <w:bCs/>
          <w:color w:val="auto"/>
          <w:sz w:val="32"/>
          <w:szCs w:val="32"/>
          <w:u w:val="single"/>
        </w:rPr>
      </w:pPr>
    </w:p>
    <w:p>
      <w:pPr>
        <w:pStyle w:val="25"/>
        <w:adjustRightInd w:val="0"/>
        <w:snapToGrid w:val="0"/>
        <w:spacing w:line="360" w:lineRule="auto"/>
        <w:rPr>
          <w:rFonts w:hAnsi="宋体"/>
          <w:b/>
          <w:bCs/>
          <w:color w:val="auto"/>
          <w:sz w:val="32"/>
          <w:szCs w:val="32"/>
          <w:u w:val="single"/>
        </w:rPr>
      </w:pPr>
    </w:p>
    <w:p>
      <w:pPr>
        <w:pStyle w:val="25"/>
        <w:adjustRightInd w:val="0"/>
        <w:snapToGrid w:val="0"/>
        <w:spacing w:line="360" w:lineRule="auto"/>
        <w:rPr>
          <w:rFonts w:hAnsi="宋体"/>
          <w:b/>
          <w:bCs/>
          <w:color w:val="auto"/>
          <w:sz w:val="32"/>
          <w:szCs w:val="32"/>
          <w:u w:val="single"/>
        </w:rPr>
      </w:pPr>
    </w:p>
    <w:p>
      <w:pPr>
        <w:pStyle w:val="25"/>
        <w:adjustRightInd w:val="0"/>
        <w:snapToGrid w:val="0"/>
        <w:spacing w:line="360" w:lineRule="auto"/>
        <w:jc w:val="center"/>
        <w:rPr>
          <w:rFonts w:hAnsi="宋体"/>
          <w:b/>
          <w:bCs/>
          <w:color w:val="auto"/>
          <w:sz w:val="32"/>
          <w:szCs w:val="32"/>
        </w:rPr>
      </w:pPr>
      <w:r>
        <w:rPr>
          <w:rFonts w:hint="eastAsia" w:hAnsi="宋体"/>
          <w:b/>
          <w:bCs/>
          <w:color w:val="auto"/>
          <w:sz w:val="32"/>
          <w:szCs w:val="32"/>
        </w:rPr>
        <w:t>日  期：</w:t>
      </w:r>
      <w:r>
        <w:rPr>
          <w:rFonts w:hint="eastAsia" w:hAnsi="宋体"/>
          <w:b/>
          <w:bCs/>
          <w:color w:val="auto"/>
          <w:sz w:val="32"/>
          <w:szCs w:val="32"/>
          <w:u w:val="single"/>
        </w:rPr>
        <w:t xml:space="preserve">   </w:t>
      </w:r>
      <w:r>
        <w:rPr>
          <w:rFonts w:hint="eastAsia" w:hAnsi="宋体"/>
          <w:b/>
          <w:bCs/>
          <w:color w:val="auto"/>
          <w:sz w:val="32"/>
          <w:szCs w:val="32"/>
        </w:rPr>
        <w:t>年</w:t>
      </w:r>
      <w:r>
        <w:rPr>
          <w:rFonts w:hint="eastAsia" w:hAnsi="宋体"/>
          <w:b/>
          <w:bCs/>
          <w:color w:val="auto"/>
          <w:sz w:val="32"/>
          <w:szCs w:val="32"/>
          <w:u w:val="single"/>
        </w:rPr>
        <w:t xml:space="preserve">   </w:t>
      </w:r>
      <w:r>
        <w:rPr>
          <w:rFonts w:hint="eastAsia" w:hAnsi="宋体"/>
          <w:b/>
          <w:bCs/>
          <w:color w:val="auto"/>
          <w:sz w:val="32"/>
          <w:szCs w:val="32"/>
        </w:rPr>
        <w:t>月</w:t>
      </w:r>
      <w:r>
        <w:rPr>
          <w:rFonts w:hint="eastAsia" w:hAnsi="宋体"/>
          <w:b/>
          <w:bCs/>
          <w:color w:val="auto"/>
          <w:sz w:val="32"/>
          <w:szCs w:val="32"/>
          <w:u w:val="single"/>
        </w:rPr>
        <w:t xml:space="preserve">   </w:t>
      </w:r>
      <w:r>
        <w:rPr>
          <w:rFonts w:hint="eastAsia" w:hAnsi="宋体"/>
          <w:b/>
          <w:bCs/>
          <w:color w:val="auto"/>
          <w:sz w:val="32"/>
          <w:szCs w:val="32"/>
        </w:rPr>
        <w:t>日</w:t>
      </w:r>
    </w:p>
    <w:p>
      <w:pPr>
        <w:spacing w:line="360" w:lineRule="exact"/>
        <w:rPr>
          <w:rFonts w:ascii="宋体" w:hAnsi="宋体"/>
          <w:b/>
          <w:color w:val="auto"/>
        </w:rPr>
      </w:pPr>
    </w:p>
    <w:p>
      <w:pPr>
        <w:widowControl/>
        <w:spacing w:line="360" w:lineRule="auto"/>
        <w:jc w:val="center"/>
        <w:rPr>
          <w:rFonts w:hAnsi="宋体" w:cs="宋体"/>
          <w:b/>
          <w:bCs/>
          <w:color w:val="auto"/>
          <w:sz w:val="32"/>
          <w:szCs w:val="32"/>
        </w:rPr>
      </w:pPr>
      <w:r>
        <w:rPr>
          <w:rFonts w:hint="eastAsia" w:ascii="宋体" w:hAnsi="宋体"/>
          <w:b/>
          <w:color w:val="auto"/>
          <w:sz w:val="32"/>
          <w:szCs w:val="32"/>
        </w:rPr>
        <w:t>目   录</w:t>
      </w:r>
    </w:p>
    <w:p>
      <w:pPr>
        <w:adjustRightInd w:val="0"/>
        <w:snapToGrid w:val="0"/>
        <w:spacing w:line="360" w:lineRule="auto"/>
        <w:ind w:firstLine="480" w:firstLineChars="200"/>
        <w:rPr>
          <w:rFonts w:ascii="宋体" w:hAnsi="宋体"/>
          <w:color w:val="auto"/>
          <w:sz w:val="24"/>
        </w:rPr>
      </w:pPr>
    </w:p>
    <w:p>
      <w:pPr>
        <w:adjustRightInd w:val="0"/>
        <w:snapToGrid w:val="0"/>
        <w:spacing w:line="360" w:lineRule="auto"/>
        <w:rPr>
          <w:rFonts w:ascii="宋体" w:hAnsi="宋体"/>
          <w:color w:val="auto"/>
          <w:szCs w:val="21"/>
        </w:rPr>
      </w:pPr>
      <w:r>
        <w:rPr>
          <w:rFonts w:hint="eastAsia" w:ascii="宋体" w:hAnsi="宋体"/>
          <w:color w:val="auto"/>
          <w:szCs w:val="21"/>
        </w:rPr>
        <w:t>一、竞争性采购承诺书</w:t>
      </w:r>
    </w:p>
    <w:p>
      <w:pPr>
        <w:adjustRightInd w:val="0"/>
        <w:snapToGrid w:val="0"/>
        <w:spacing w:line="360" w:lineRule="auto"/>
        <w:jc w:val="left"/>
        <w:rPr>
          <w:rFonts w:ascii="宋体" w:hAnsi="宋体"/>
          <w:color w:val="auto"/>
          <w:szCs w:val="21"/>
        </w:rPr>
      </w:pPr>
      <w:r>
        <w:rPr>
          <w:rFonts w:hint="eastAsia" w:ascii="宋体" w:hAnsi="宋体"/>
          <w:color w:val="auto"/>
          <w:szCs w:val="21"/>
        </w:rPr>
        <w:t>二、</w:t>
      </w:r>
      <w:r>
        <w:rPr>
          <w:rFonts w:hint="eastAsia" w:ascii="宋体" w:hAnsi="宋体"/>
          <w:color w:val="auto"/>
          <w:szCs w:val="21"/>
          <w:lang w:eastAsia="zh-CN"/>
        </w:rPr>
        <w:t>律师事务所负责人</w:t>
      </w:r>
      <w:r>
        <w:rPr>
          <w:rFonts w:hint="eastAsia" w:ascii="宋体" w:hAnsi="宋体"/>
          <w:color w:val="auto"/>
          <w:szCs w:val="21"/>
        </w:rPr>
        <w:t>身份证明书</w:t>
      </w:r>
    </w:p>
    <w:p>
      <w:pPr>
        <w:adjustRightInd w:val="0"/>
        <w:snapToGrid w:val="0"/>
        <w:spacing w:line="360" w:lineRule="auto"/>
        <w:jc w:val="left"/>
        <w:rPr>
          <w:rFonts w:ascii="宋体" w:hAnsi="宋体"/>
          <w:color w:val="auto"/>
          <w:szCs w:val="21"/>
        </w:rPr>
      </w:pPr>
      <w:r>
        <w:rPr>
          <w:rFonts w:hint="eastAsia" w:ascii="宋体" w:hAnsi="宋体"/>
          <w:color w:val="auto"/>
          <w:szCs w:val="21"/>
        </w:rPr>
        <w:t>三、授权委托书</w:t>
      </w:r>
      <w:r>
        <w:rPr>
          <w:rFonts w:hint="eastAsia" w:ascii="宋体" w:hAnsi="宋体" w:eastAsia="宋体" w:cs="宋体"/>
          <w:color w:val="auto"/>
        </w:rPr>
        <w:t>（如有）</w:t>
      </w:r>
    </w:p>
    <w:p>
      <w:pPr>
        <w:adjustRightInd w:val="0"/>
        <w:snapToGrid w:val="0"/>
        <w:spacing w:line="360" w:lineRule="auto"/>
        <w:jc w:val="left"/>
        <w:rPr>
          <w:rFonts w:hAnsi="宋体"/>
          <w:color w:val="auto"/>
          <w:szCs w:val="21"/>
        </w:rPr>
      </w:pPr>
      <w:r>
        <w:rPr>
          <w:rFonts w:hint="eastAsia" w:ascii="宋体" w:hAnsi="宋体"/>
          <w:color w:val="auto"/>
          <w:szCs w:val="21"/>
        </w:rPr>
        <w:t>四、</w:t>
      </w:r>
      <w:r>
        <w:rPr>
          <w:rFonts w:hint="eastAsia" w:hAnsi="宋体"/>
          <w:color w:val="auto"/>
          <w:szCs w:val="21"/>
        </w:rPr>
        <w:t>供应商资格证明文件</w:t>
      </w:r>
    </w:p>
    <w:p>
      <w:pPr>
        <w:adjustRightInd w:val="0"/>
        <w:snapToGrid w:val="0"/>
        <w:spacing w:line="360" w:lineRule="auto"/>
        <w:rPr>
          <w:rFonts w:hint="eastAsia" w:ascii="宋体" w:hAnsi="宋体"/>
          <w:color w:val="auto"/>
          <w:szCs w:val="21"/>
        </w:rPr>
      </w:pPr>
      <w:r>
        <w:rPr>
          <w:rFonts w:hint="eastAsia" w:ascii="宋体" w:hAnsi="宋体"/>
          <w:color w:val="auto"/>
          <w:szCs w:val="21"/>
        </w:rPr>
        <w:t>五、</w:t>
      </w:r>
      <w:r>
        <w:rPr>
          <w:rFonts w:hint="eastAsia" w:ascii="宋体" w:hAnsi="宋体" w:eastAsia="宋体" w:cs="宋体"/>
          <w:color w:val="auto"/>
        </w:rPr>
        <w:t>与评审办法相关的证明资料</w:t>
      </w:r>
    </w:p>
    <w:p>
      <w:pPr>
        <w:pStyle w:val="25"/>
        <w:tabs>
          <w:tab w:val="left" w:pos="399"/>
        </w:tabs>
        <w:adjustRightInd w:val="0"/>
        <w:snapToGrid w:val="0"/>
        <w:spacing w:line="360" w:lineRule="auto"/>
        <w:rPr>
          <w:rFonts w:ascii="宋体" w:hAnsi="宋体"/>
          <w:color w:val="auto"/>
          <w:szCs w:val="21"/>
        </w:rPr>
      </w:pPr>
      <w:r>
        <w:rPr>
          <w:rFonts w:hint="eastAsia" w:ascii="宋体" w:hAnsi="宋体"/>
          <w:color w:val="auto"/>
          <w:szCs w:val="21"/>
        </w:rPr>
        <w:t>六、</w:t>
      </w:r>
      <w:r>
        <w:rPr>
          <w:rFonts w:hint="eastAsia" w:ascii="宋体" w:hAnsi="宋体" w:eastAsia="宋体" w:cs="宋体"/>
          <w:color w:val="auto"/>
          <w:lang w:val="en-US" w:eastAsia="zh-CN"/>
        </w:rPr>
        <w:t>服务</w:t>
      </w:r>
      <w:r>
        <w:rPr>
          <w:rFonts w:hint="eastAsia" w:ascii="宋体" w:hAnsi="宋体" w:eastAsia="宋体" w:cs="宋体"/>
          <w:color w:val="auto"/>
        </w:rPr>
        <w:t>方案</w:t>
      </w:r>
    </w:p>
    <w:p>
      <w:pPr>
        <w:adjustRightInd w:val="0"/>
        <w:snapToGrid w:val="0"/>
        <w:spacing w:line="360" w:lineRule="auto"/>
        <w:jc w:val="left"/>
        <w:rPr>
          <w:rFonts w:hint="eastAsia" w:ascii="宋体" w:hAnsi="宋体" w:eastAsia="宋体" w:cs="宋体"/>
          <w:color w:val="auto"/>
          <w:lang w:val="en-US" w:eastAsia="zh-CN"/>
        </w:rPr>
      </w:pPr>
      <w:r>
        <w:rPr>
          <w:rFonts w:hint="eastAsia" w:ascii="宋体" w:hAnsi="宋体"/>
          <w:color w:val="auto"/>
          <w:szCs w:val="21"/>
        </w:rPr>
        <w:t>七、</w:t>
      </w:r>
      <w:r>
        <w:rPr>
          <w:rFonts w:hint="eastAsia" w:ascii="宋体" w:hAnsi="宋体" w:eastAsia="宋体" w:cs="宋体"/>
          <w:color w:val="auto"/>
          <w:lang w:val="en-US" w:eastAsia="zh-CN"/>
        </w:rPr>
        <w:t>委派函</w:t>
      </w:r>
    </w:p>
    <w:p>
      <w:pPr>
        <w:pStyle w:val="25"/>
        <w:adjustRightInd w:val="0"/>
        <w:snapToGrid w:val="0"/>
        <w:spacing w:line="360" w:lineRule="auto"/>
        <w:rPr>
          <w:rFonts w:hint="eastAsia" w:ascii="宋体" w:hAnsi="宋体" w:eastAsia="宋体" w:cs="宋体"/>
          <w:color w:val="auto"/>
        </w:rPr>
      </w:pPr>
      <w:r>
        <w:rPr>
          <w:rFonts w:hint="eastAsia" w:hAnsi="宋体" w:cs="宋体"/>
          <w:color w:val="auto"/>
          <w:lang w:val="en-US" w:eastAsia="zh-CN"/>
        </w:rPr>
        <w:t>八</w:t>
      </w:r>
      <w:r>
        <w:rPr>
          <w:rFonts w:hint="eastAsia" w:ascii="宋体" w:hAnsi="宋体"/>
          <w:color w:val="auto"/>
          <w:szCs w:val="21"/>
        </w:rPr>
        <w:t>、</w:t>
      </w:r>
      <w:r>
        <w:rPr>
          <w:rFonts w:hint="eastAsia" w:ascii="宋体" w:hAnsi="宋体" w:eastAsia="宋体" w:cs="宋体"/>
          <w:color w:val="auto"/>
        </w:rPr>
        <w:t>报价一览表</w:t>
      </w:r>
    </w:p>
    <w:p>
      <w:pPr>
        <w:pStyle w:val="25"/>
        <w:adjustRightInd w:val="0"/>
        <w:snapToGrid w:val="0"/>
        <w:spacing w:line="360" w:lineRule="auto"/>
        <w:rPr>
          <w:rFonts w:hint="eastAsia" w:ascii="宋体" w:hAnsi="宋体" w:eastAsia="宋体" w:cs="宋体"/>
          <w:color w:val="auto"/>
        </w:rPr>
      </w:pPr>
      <w:r>
        <w:rPr>
          <w:rFonts w:hint="eastAsia" w:hAnsi="宋体" w:cs="宋体"/>
          <w:color w:val="auto"/>
          <w:lang w:val="en-US" w:eastAsia="zh-CN"/>
        </w:rPr>
        <w:t>九</w:t>
      </w:r>
      <w:r>
        <w:rPr>
          <w:rFonts w:hint="eastAsia" w:ascii="宋体" w:hAnsi="宋体"/>
          <w:color w:val="auto"/>
          <w:szCs w:val="21"/>
        </w:rPr>
        <w:t>、</w:t>
      </w:r>
      <w:r>
        <w:rPr>
          <w:rFonts w:hint="eastAsia" w:ascii="宋体" w:hAnsi="宋体" w:eastAsia="宋体" w:cs="宋体"/>
          <w:color w:val="auto"/>
        </w:rPr>
        <w:t>分项价格表</w:t>
      </w:r>
    </w:p>
    <w:p>
      <w:pPr>
        <w:pStyle w:val="25"/>
        <w:adjustRightInd w:val="0"/>
        <w:snapToGrid w:val="0"/>
        <w:spacing w:line="360" w:lineRule="auto"/>
        <w:rPr>
          <w:rFonts w:hint="eastAsia" w:ascii="宋体" w:hAnsi="宋体" w:eastAsia="宋体" w:cs="宋体"/>
          <w:color w:val="auto"/>
        </w:rPr>
      </w:pPr>
      <w:r>
        <w:rPr>
          <w:rFonts w:hint="eastAsia" w:hAnsi="宋体" w:cs="宋体"/>
          <w:color w:val="auto"/>
          <w:lang w:val="en-US" w:eastAsia="zh-CN"/>
        </w:rPr>
        <w:t>十</w:t>
      </w:r>
      <w:r>
        <w:rPr>
          <w:rFonts w:hint="eastAsia" w:ascii="宋体" w:hAnsi="宋体"/>
          <w:color w:val="auto"/>
          <w:szCs w:val="21"/>
        </w:rPr>
        <w:t>、</w:t>
      </w:r>
      <w:r>
        <w:rPr>
          <w:rFonts w:hint="eastAsia" w:ascii="宋体" w:hAnsi="宋体" w:eastAsia="宋体" w:cs="宋体"/>
          <w:color w:val="auto"/>
        </w:rPr>
        <w:t>其他资料（如有）</w:t>
      </w:r>
    </w:p>
    <w:p>
      <w:pPr>
        <w:pStyle w:val="2"/>
      </w:pPr>
    </w:p>
    <w:p>
      <w:pPr>
        <w:ind w:firstLine="480" w:firstLineChars="200"/>
        <w:jc w:val="center"/>
        <w:outlineLvl w:val="1"/>
        <w:rPr>
          <w:rFonts w:hint="eastAsia" w:ascii="宋体" w:hAnsi="宋体"/>
          <w:color w:val="auto"/>
          <w:sz w:val="24"/>
        </w:rPr>
      </w:pPr>
    </w:p>
    <w:p>
      <w:pPr>
        <w:ind w:firstLine="480" w:firstLineChars="200"/>
        <w:jc w:val="center"/>
        <w:outlineLvl w:val="1"/>
        <w:rPr>
          <w:rFonts w:hint="eastAsia" w:ascii="宋体" w:hAnsi="宋体"/>
          <w:color w:val="auto"/>
          <w:sz w:val="24"/>
        </w:rPr>
      </w:pPr>
    </w:p>
    <w:p>
      <w:pPr>
        <w:ind w:firstLine="480" w:firstLineChars="200"/>
        <w:jc w:val="center"/>
        <w:outlineLvl w:val="1"/>
        <w:rPr>
          <w:rFonts w:ascii="黑体" w:hAnsi="黑体" w:eastAsia="黑体"/>
          <w:b/>
          <w:color w:val="auto"/>
          <w:sz w:val="32"/>
          <w:szCs w:val="32"/>
        </w:rPr>
      </w:pPr>
      <w:r>
        <w:rPr>
          <w:rFonts w:hint="eastAsia" w:ascii="宋体" w:hAnsi="宋体"/>
          <w:color w:val="auto"/>
          <w:sz w:val="24"/>
        </w:rPr>
        <w:br w:type="page"/>
      </w:r>
      <w:bookmarkStart w:id="84" w:name="_Toc132361370"/>
      <w:bookmarkStart w:id="85" w:name="_Toc14530"/>
      <w:bookmarkStart w:id="86" w:name="_Toc32600"/>
      <w:bookmarkStart w:id="87" w:name="_Toc7245"/>
      <w:bookmarkStart w:id="88" w:name="_Toc551"/>
      <w:bookmarkStart w:id="89" w:name="_Toc32569"/>
      <w:bookmarkStart w:id="90" w:name="_Toc7657"/>
      <w:bookmarkStart w:id="91" w:name="_Toc28245"/>
      <w:r>
        <w:rPr>
          <w:rFonts w:hint="eastAsia" w:ascii="宋体" w:hAnsi="宋体" w:cs="宋体"/>
          <w:b/>
          <w:color w:val="auto"/>
          <w:sz w:val="32"/>
          <w:szCs w:val="32"/>
        </w:rPr>
        <w:t>一、竞争性采购承诺书</w:t>
      </w:r>
      <w:bookmarkEnd w:id="84"/>
      <w:bookmarkEnd w:id="85"/>
      <w:bookmarkEnd w:id="86"/>
      <w:bookmarkEnd w:id="87"/>
      <w:bookmarkEnd w:id="88"/>
      <w:bookmarkEnd w:id="89"/>
      <w:bookmarkEnd w:id="90"/>
      <w:bookmarkEnd w:id="91"/>
    </w:p>
    <w:p>
      <w:pPr>
        <w:adjustRightInd w:val="0"/>
        <w:snapToGrid w:val="0"/>
        <w:spacing w:line="360" w:lineRule="auto"/>
        <w:rPr>
          <w:rFonts w:ascii="宋体" w:hAnsi="宋体"/>
          <w:color w:val="auto"/>
          <w:szCs w:val="21"/>
        </w:rPr>
      </w:pPr>
    </w:p>
    <w:p>
      <w:pPr>
        <w:adjustRightInd w:val="0"/>
        <w:snapToGrid w:val="0"/>
        <w:spacing w:line="360" w:lineRule="auto"/>
        <w:rPr>
          <w:rFonts w:ascii="宋体" w:hAnsi="宋体"/>
          <w:color w:val="auto"/>
          <w:szCs w:val="21"/>
        </w:rPr>
      </w:pPr>
      <w:r>
        <w:rPr>
          <w:rFonts w:hint="eastAsia" w:ascii="宋体" w:hAnsi="宋体"/>
          <w:color w:val="auto"/>
          <w:szCs w:val="21"/>
        </w:rPr>
        <w:t>致</w:t>
      </w:r>
      <w:r>
        <w:rPr>
          <w:rStyle w:val="56"/>
          <w:rFonts w:hint="eastAsia"/>
          <w:color w:val="auto"/>
          <w:kern w:val="0"/>
          <w:shd w:val="clear" w:color="auto" w:fill="FFFFFF"/>
        </w:rPr>
        <w:t>长沙市轨道交通运营有限公司</w:t>
      </w:r>
      <w:r>
        <w:rPr>
          <w:rFonts w:hint="eastAsia" w:ascii="宋体" w:hAnsi="宋体" w:cs="宋体"/>
          <w:color w:val="auto"/>
          <w:szCs w:val="21"/>
        </w:rPr>
        <w:t>：</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我方已仔细研究了</w:t>
      </w:r>
      <w:r>
        <w:rPr>
          <w:rStyle w:val="56"/>
          <w:rFonts w:hint="eastAsia" w:cs="Times New Roman"/>
          <w:color w:val="auto"/>
          <w:kern w:val="0"/>
          <w:shd w:val="clear" w:color="auto" w:fill="FFFFFF"/>
          <w:lang w:val="en-US" w:eastAsia="zh-CN"/>
        </w:rPr>
        <w:t>长沙市轨道交通运营有限公司法律顾问采购服务项目（第二次）</w:t>
      </w:r>
      <w:r>
        <w:rPr>
          <w:rFonts w:hint="eastAsia" w:ascii="宋体" w:hAnsi="宋体"/>
          <w:color w:val="auto"/>
          <w:szCs w:val="21"/>
        </w:rPr>
        <w:t>的竞争性采购文件（竞争性采购项目编号：</w:t>
      </w:r>
      <w:r>
        <w:rPr>
          <w:rStyle w:val="56"/>
          <w:rFonts w:hint="eastAsia"/>
          <w:color w:val="auto"/>
          <w:kern w:val="0"/>
          <w:shd w:val="clear" w:color="auto" w:fill="FFFFFF"/>
          <w:lang w:eastAsia="zh-CN"/>
        </w:rPr>
        <w:t>长轨运服采【2023】059号</w:t>
      </w:r>
      <w:r>
        <w:rPr>
          <w:rFonts w:hint="eastAsia" w:ascii="宋体" w:hAnsi="宋体"/>
          <w:color w:val="auto"/>
          <w:szCs w:val="21"/>
        </w:rPr>
        <w:t>）的全部内容，</w:t>
      </w:r>
      <w:r>
        <w:rPr>
          <w:rFonts w:hint="eastAsia" w:hAnsi="宋体"/>
          <w:color w:val="auto"/>
          <w:szCs w:val="21"/>
        </w:rPr>
        <w:t>知悉参加竞争性采购的风险，我方承诺接受竞争性采购文件的全部条款且无任何异议。</w:t>
      </w:r>
    </w:p>
    <w:p>
      <w:pPr>
        <w:pStyle w:val="25"/>
        <w:numPr>
          <w:ilvl w:val="0"/>
          <w:numId w:val="18"/>
        </w:numPr>
        <w:adjustRightInd w:val="0"/>
        <w:snapToGrid w:val="0"/>
        <w:spacing w:line="360" w:lineRule="auto"/>
        <w:rPr>
          <w:rFonts w:hAnsi="宋体"/>
          <w:color w:val="auto"/>
        </w:rPr>
      </w:pPr>
      <w:r>
        <w:rPr>
          <w:rFonts w:hint="eastAsia"/>
          <w:color w:val="auto"/>
        </w:rPr>
        <w:t>参与本项目竞争性采购活动系本公司自愿行为。</w:t>
      </w:r>
    </w:p>
    <w:p>
      <w:pPr>
        <w:pStyle w:val="25"/>
        <w:numPr>
          <w:ilvl w:val="0"/>
          <w:numId w:val="18"/>
        </w:numPr>
        <w:adjustRightInd w:val="0"/>
        <w:snapToGrid w:val="0"/>
        <w:spacing w:line="360" w:lineRule="auto"/>
        <w:rPr>
          <w:color w:val="auto"/>
        </w:rPr>
      </w:pPr>
      <w:r>
        <w:rPr>
          <w:rFonts w:hint="eastAsia"/>
          <w:color w:val="auto"/>
        </w:rPr>
        <w:t>我方同意在竞争性采购文件中规定的提交响应文件截止时间起</w:t>
      </w:r>
      <w:r>
        <w:rPr>
          <w:rFonts w:hint="eastAsia"/>
          <w:color w:val="auto"/>
          <w:u w:val="single"/>
        </w:rPr>
        <w:t>180</w:t>
      </w:r>
      <w:r>
        <w:rPr>
          <w:rFonts w:hint="eastAsia"/>
          <w:color w:val="auto"/>
        </w:rPr>
        <w:t>日历天内</w:t>
      </w:r>
      <w:r>
        <w:rPr>
          <w:rFonts w:hint="eastAsia"/>
          <w:color w:val="auto"/>
          <w:lang w:eastAsia="zh-CN"/>
        </w:rPr>
        <w:t>（</w:t>
      </w:r>
      <w:r>
        <w:rPr>
          <w:rFonts w:hint="eastAsia"/>
          <w:color w:val="auto"/>
        </w:rPr>
        <w:t>响应文件有效期</w:t>
      </w:r>
      <w:r>
        <w:rPr>
          <w:rFonts w:hint="eastAsia"/>
          <w:color w:val="auto"/>
          <w:lang w:eastAsia="zh-CN"/>
        </w:rPr>
        <w:t>）</w:t>
      </w:r>
      <w:r>
        <w:rPr>
          <w:rFonts w:hint="eastAsia"/>
          <w:color w:val="auto"/>
        </w:rPr>
        <w:t>遵守本响应文件中的承诺且在此期限期满之前均具有法律约束力。</w:t>
      </w:r>
    </w:p>
    <w:p>
      <w:pPr>
        <w:pStyle w:val="25"/>
        <w:numPr>
          <w:ilvl w:val="0"/>
          <w:numId w:val="18"/>
        </w:numPr>
        <w:adjustRightInd w:val="0"/>
        <w:snapToGrid w:val="0"/>
        <w:spacing w:line="360" w:lineRule="auto"/>
        <w:rPr>
          <w:color w:val="auto"/>
        </w:rPr>
      </w:pPr>
      <w:r>
        <w:rPr>
          <w:rFonts w:hint="eastAsia"/>
          <w:color w:val="auto"/>
        </w:rPr>
        <w:t>我方提交的响应文件均为</w:t>
      </w:r>
      <w:r>
        <w:rPr>
          <w:rFonts w:hint="eastAsia"/>
          <w:b/>
          <w:bCs/>
          <w:color w:val="auto"/>
        </w:rPr>
        <w:t>正本一份和副本两份</w:t>
      </w:r>
      <w:r>
        <w:rPr>
          <w:rFonts w:hint="eastAsia"/>
          <w:color w:val="auto"/>
        </w:rPr>
        <w:t>，电子文件（包括响应文件全部内容）一份，并保证响应文件提供的数据和材料是真实、准确的，</w:t>
      </w:r>
      <w:r>
        <w:rPr>
          <w:rFonts w:hint="eastAsia"/>
          <w:b/>
          <w:bCs/>
          <w:color w:val="auto"/>
        </w:rPr>
        <w:t>均无复制、粘贴之情形，且无低于成本的恶意报价行为</w:t>
      </w:r>
      <w:r>
        <w:rPr>
          <w:rFonts w:hint="eastAsia"/>
          <w:color w:val="auto"/>
        </w:rPr>
        <w:t>。否则，愿承担由此引起的一切法律责任。</w:t>
      </w:r>
    </w:p>
    <w:p>
      <w:pPr>
        <w:pStyle w:val="25"/>
        <w:numPr>
          <w:ilvl w:val="0"/>
          <w:numId w:val="18"/>
        </w:numPr>
        <w:adjustRightInd w:val="0"/>
        <w:snapToGrid w:val="0"/>
        <w:spacing w:line="360" w:lineRule="auto"/>
        <w:rPr>
          <w:color w:val="auto"/>
        </w:rPr>
      </w:pPr>
      <w:r>
        <w:rPr>
          <w:rFonts w:hint="eastAsia"/>
          <w:color w:val="auto"/>
        </w:rPr>
        <w:t>遵守贵司各项管理制度和竞争性采购现场纪律，服从现场工作人员管理，自觉维护贵司竞争性采购活动秩序。</w:t>
      </w:r>
    </w:p>
    <w:p>
      <w:pPr>
        <w:pStyle w:val="25"/>
        <w:numPr>
          <w:ilvl w:val="0"/>
          <w:numId w:val="18"/>
        </w:numPr>
        <w:adjustRightInd w:val="0"/>
        <w:snapToGrid w:val="0"/>
        <w:spacing w:line="360" w:lineRule="auto"/>
        <w:rPr>
          <w:color w:val="auto"/>
        </w:rPr>
      </w:pPr>
      <w:r>
        <w:rPr>
          <w:rFonts w:hint="eastAsia"/>
          <w:color w:val="auto"/>
        </w:rPr>
        <w:t>保证没有组织、参与围标、串标行为。</w:t>
      </w:r>
    </w:p>
    <w:p>
      <w:pPr>
        <w:pStyle w:val="25"/>
        <w:numPr>
          <w:ilvl w:val="0"/>
          <w:numId w:val="18"/>
        </w:numPr>
        <w:adjustRightInd w:val="0"/>
        <w:snapToGrid w:val="0"/>
        <w:spacing w:line="360" w:lineRule="auto"/>
        <w:rPr>
          <w:color w:val="auto"/>
        </w:rPr>
      </w:pPr>
      <w:r>
        <w:rPr>
          <w:rFonts w:hint="eastAsia"/>
          <w:color w:val="auto"/>
        </w:rPr>
        <w:t>不与采购</w:t>
      </w:r>
      <w:r>
        <w:rPr>
          <w:rFonts w:hint="eastAsia"/>
          <w:color w:val="auto"/>
          <w:lang w:val="en-US" w:eastAsia="zh-CN"/>
        </w:rPr>
        <w:t>人</w:t>
      </w:r>
      <w:r>
        <w:rPr>
          <w:rFonts w:hint="eastAsia"/>
          <w:color w:val="auto"/>
        </w:rPr>
        <w:t>或竞争性采购评审小组成员私下联络和串通以牟取成交；不以他人名义参与竞争性采购或者以其他方式弄虚作假骗取成交；不在竞争性采购结束后进行虚假、恶意质疑和投诉。</w:t>
      </w:r>
    </w:p>
    <w:p>
      <w:pPr>
        <w:pStyle w:val="25"/>
        <w:numPr>
          <w:ilvl w:val="0"/>
          <w:numId w:val="18"/>
        </w:numPr>
        <w:adjustRightInd w:val="0"/>
        <w:snapToGrid w:val="0"/>
        <w:spacing w:line="360" w:lineRule="auto"/>
        <w:rPr>
          <w:color w:val="auto"/>
        </w:rPr>
      </w:pPr>
      <w:r>
        <w:rPr>
          <w:rFonts w:hint="eastAsia"/>
          <w:color w:val="auto"/>
        </w:rPr>
        <w:t>我方承诺为本项目拟配备人员均满足技术标准及要求且均为我方正式在职人员。若拟配备人员不满足技术标准及要求或证件造假或非我方正式在职人员，视为虚假响应，贵方有权取消我方竞争性采购资格；如已成交，贵方有权取消我方成交供应商资格。</w:t>
      </w:r>
    </w:p>
    <w:p>
      <w:pPr>
        <w:pStyle w:val="25"/>
        <w:numPr>
          <w:ilvl w:val="0"/>
          <w:numId w:val="18"/>
        </w:numPr>
        <w:adjustRightInd w:val="0"/>
        <w:snapToGrid w:val="0"/>
        <w:spacing w:line="360" w:lineRule="auto"/>
        <w:rPr>
          <w:color w:val="auto"/>
        </w:rPr>
      </w:pPr>
      <w:r>
        <w:rPr>
          <w:rFonts w:hint="eastAsia"/>
          <w:color w:val="auto"/>
        </w:rPr>
        <w:t>我方承诺，若贵方需要，我方愿意提供任何与本次竞争性采购有关的数据、情况和技术资料。</w:t>
      </w:r>
    </w:p>
    <w:p>
      <w:pPr>
        <w:pStyle w:val="25"/>
        <w:numPr>
          <w:ilvl w:val="0"/>
          <w:numId w:val="18"/>
        </w:numPr>
        <w:adjustRightInd w:val="0"/>
        <w:snapToGrid w:val="0"/>
        <w:spacing w:line="360" w:lineRule="auto"/>
        <w:rPr>
          <w:color w:val="auto"/>
        </w:rPr>
      </w:pPr>
      <w:r>
        <w:rPr>
          <w:rFonts w:hint="eastAsia"/>
          <w:color w:val="auto"/>
        </w:rPr>
        <w:t>我方承诺遵守相关法律法规及贵司的有关规定，保证在获得成交资格后，按照竞争性采购文件确定的事项签订合同，履行双方所签订的合同，并承担合同规定的责任和义务。</w:t>
      </w:r>
    </w:p>
    <w:p>
      <w:pPr>
        <w:pStyle w:val="25"/>
        <w:numPr>
          <w:ilvl w:val="0"/>
          <w:numId w:val="18"/>
        </w:numPr>
        <w:adjustRightInd w:val="0"/>
        <w:snapToGrid w:val="0"/>
        <w:spacing w:line="360" w:lineRule="auto"/>
        <w:rPr>
          <w:color w:val="auto"/>
        </w:rPr>
      </w:pPr>
      <w:r>
        <w:rPr>
          <w:rFonts w:hint="eastAsia"/>
          <w:color w:val="auto"/>
        </w:rPr>
        <w:t>我方承诺在参与本次竞争性采购过程中，若出现本文件</w:t>
      </w:r>
      <w:r>
        <w:rPr>
          <w:rFonts w:hint="eastAsia"/>
          <w:b/>
          <w:bCs/>
          <w:color w:val="auto"/>
        </w:rPr>
        <w:t>竞争性采购须知正文</w:t>
      </w:r>
      <w:r>
        <w:rPr>
          <w:rFonts w:hint="eastAsia"/>
          <w:color w:val="auto"/>
        </w:rPr>
        <w:t>第26条规定之情形，我方无条件接受条款规定作出的处罚。</w:t>
      </w:r>
    </w:p>
    <w:p>
      <w:pPr>
        <w:pStyle w:val="25"/>
        <w:numPr>
          <w:ilvl w:val="0"/>
          <w:numId w:val="18"/>
        </w:numPr>
        <w:adjustRightInd w:val="0"/>
        <w:snapToGrid w:val="0"/>
        <w:spacing w:line="360" w:lineRule="auto"/>
        <w:rPr>
          <w:color w:val="auto"/>
        </w:rPr>
      </w:pPr>
      <w:r>
        <w:rPr>
          <w:rFonts w:hint="eastAsia"/>
          <w:color w:val="auto"/>
        </w:rPr>
        <w:t>我方承诺完全响应本文件第四章“用户需求书”及第六章“合同格式条款”内的全部内容。</w:t>
      </w:r>
    </w:p>
    <w:p>
      <w:pPr>
        <w:pStyle w:val="25"/>
        <w:numPr>
          <w:ilvl w:val="0"/>
          <w:numId w:val="18"/>
        </w:numPr>
        <w:adjustRightInd w:val="0"/>
        <w:snapToGrid w:val="0"/>
        <w:spacing w:line="360" w:lineRule="auto"/>
        <w:rPr>
          <w:color w:val="auto"/>
        </w:rPr>
      </w:pPr>
      <w:r>
        <w:rPr>
          <w:rFonts w:hint="eastAsia"/>
          <w:color w:val="auto"/>
        </w:rPr>
        <w:t>如有违反本承诺书内容的行为，愿意承担由此产生的法律责任及后果。</w:t>
      </w:r>
    </w:p>
    <w:p>
      <w:pPr>
        <w:pStyle w:val="27"/>
        <w:adjustRightInd w:val="0"/>
        <w:snapToGrid w:val="0"/>
        <w:spacing w:line="480" w:lineRule="auto"/>
        <w:outlineLvl w:val="9"/>
        <w:rPr>
          <w:rFonts w:hint="eastAsia" w:ascii="宋体" w:hAnsi="宋体"/>
          <w:bCs/>
          <w:color w:val="auto"/>
          <w:sz w:val="21"/>
          <w:szCs w:val="21"/>
        </w:rPr>
      </w:pPr>
      <w:r>
        <w:rPr>
          <w:rFonts w:hint="eastAsia" w:ascii="宋体" w:hAnsi="宋体"/>
          <w:color w:val="auto"/>
          <w:sz w:val="21"/>
          <w:szCs w:val="21"/>
        </w:rPr>
        <w:t>供应商名称：</w:t>
      </w:r>
      <w:r>
        <w:rPr>
          <w:rFonts w:hint="eastAsia" w:ascii="宋体" w:hAnsi="宋体"/>
          <w:color w:val="auto"/>
          <w:sz w:val="21"/>
          <w:szCs w:val="21"/>
          <w:u w:val="single"/>
        </w:rPr>
        <w:t xml:space="preserve">    （盖单位章）    </w:t>
      </w:r>
    </w:p>
    <w:p>
      <w:pPr>
        <w:adjustRightInd w:val="0"/>
        <w:snapToGrid w:val="0"/>
        <w:spacing w:line="480" w:lineRule="auto"/>
        <w:outlineLvl w:val="9"/>
        <w:rPr>
          <w:rFonts w:ascii="宋体" w:hAnsi="宋体"/>
          <w:color w:val="auto"/>
          <w:szCs w:val="21"/>
          <w:u w:val="single"/>
        </w:rPr>
      </w:pPr>
      <w:r>
        <w:rPr>
          <w:rFonts w:hint="eastAsia" w:ascii="宋体" w:hAnsi="宋体"/>
          <w:color w:val="auto"/>
          <w:szCs w:val="21"/>
          <w:lang w:eastAsia="zh-CN"/>
        </w:rPr>
        <w:t>律师事务所负责人</w:t>
      </w:r>
      <w:r>
        <w:rPr>
          <w:rFonts w:hint="eastAsia" w:ascii="宋体" w:hAnsi="宋体"/>
          <w:color w:val="auto"/>
          <w:szCs w:val="21"/>
          <w:lang w:val="en-US" w:eastAsia="zh-CN"/>
        </w:rPr>
        <w:t>或委托代理人（</w:t>
      </w:r>
      <w:r>
        <w:rPr>
          <w:rFonts w:hint="eastAsia" w:ascii="宋体" w:hAnsi="宋体"/>
          <w:color w:val="auto"/>
          <w:szCs w:val="21"/>
        </w:rPr>
        <w:t>签字或盖章</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u w:val="single"/>
        </w:rPr>
        <w:t xml:space="preserve">              </w:t>
      </w:r>
    </w:p>
    <w:p>
      <w:pPr>
        <w:adjustRightInd w:val="0"/>
        <w:snapToGrid w:val="0"/>
        <w:spacing w:line="480" w:lineRule="auto"/>
        <w:outlineLvl w:val="9"/>
        <w:rPr>
          <w:rFonts w:ascii="宋体" w:hAnsi="宋体"/>
          <w:color w:val="auto"/>
          <w:szCs w:val="21"/>
        </w:rPr>
      </w:pPr>
      <w:r>
        <w:rPr>
          <w:rFonts w:hint="eastAsia" w:ascii="宋体" w:hAnsi="宋体"/>
          <w:color w:val="auto"/>
          <w:szCs w:val="21"/>
        </w:rPr>
        <w:t xml:space="preserve">日期： </w:t>
      </w:r>
      <w:r>
        <w:rPr>
          <w:rFonts w:hint="eastAsia" w:ascii="宋体" w:hAnsi="宋体"/>
          <w:color w:val="auto"/>
          <w:szCs w:val="21"/>
          <w:u w:val="single"/>
        </w:rPr>
        <w:t xml:space="preserve">     </w:t>
      </w:r>
      <w:r>
        <w:rPr>
          <w:rFonts w:hint="eastAsia" w:ascii="宋体" w:hAnsi="宋体"/>
          <w:color w:val="auto"/>
          <w:szCs w:val="21"/>
        </w:rPr>
        <w:t xml:space="preserve"> 年 </w:t>
      </w:r>
      <w:r>
        <w:rPr>
          <w:rFonts w:hint="eastAsia" w:ascii="宋体" w:hAnsi="宋体"/>
          <w:color w:val="auto"/>
          <w:szCs w:val="21"/>
          <w:u w:val="single"/>
        </w:rPr>
        <w:t xml:space="preserve">    </w:t>
      </w:r>
      <w:r>
        <w:rPr>
          <w:rFonts w:hint="eastAsia" w:ascii="宋体" w:hAnsi="宋体"/>
          <w:color w:val="auto"/>
          <w:szCs w:val="21"/>
        </w:rPr>
        <w:t xml:space="preserve"> 月 </w:t>
      </w:r>
      <w:r>
        <w:rPr>
          <w:rFonts w:hint="eastAsia" w:ascii="宋体" w:hAnsi="宋体"/>
          <w:color w:val="auto"/>
          <w:szCs w:val="21"/>
          <w:u w:val="single"/>
        </w:rPr>
        <w:t xml:space="preserve">   </w:t>
      </w:r>
      <w:r>
        <w:rPr>
          <w:rFonts w:hint="eastAsia" w:ascii="宋体" w:hAnsi="宋体"/>
          <w:color w:val="auto"/>
          <w:szCs w:val="21"/>
        </w:rPr>
        <w:t xml:space="preserve"> 日</w:t>
      </w:r>
    </w:p>
    <w:p>
      <w:pPr>
        <w:spacing w:line="360" w:lineRule="auto"/>
        <w:rPr>
          <w:rFonts w:ascii="宋体" w:hAnsi="宋体"/>
          <w:color w:val="auto"/>
          <w:szCs w:val="21"/>
        </w:rPr>
      </w:pPr>
      <w:r>
        <w:rPr>
          <w:rFonts w:hint="eastAsia" w:ascii="宋体" w:hAnsi="宋体"/>
          <w:color w:val="auto"/>
          <w:szCs w:val="21"/>
        </w:rPr>
        <w:br w:type="page"/>
      </w:r>
    </w:p>
    <w:p>
      <w:pPr>
        <w:adjustRightInd w:val="0"/>
        <w:snapToGrid w:val="0"/>
        <w:spacing w:line="360" w:lineRule="auto"/>
        <w:ind w:right="24"/>
        <w:jc w:val="center"/>
        <w:outlineLvl w:val="1"/>
        <w:rPr>
          <w:rFonts w:ascii="宋体" w:hAnsi="宋体" w:cs="宋体"/>
          <w:b/>
          <w:color w:val="auto"/>
          <w:sz w:val="32"/>
          <w:szCs w:val="32"/>
        </w:rPr>
      </w:pPr>
      <w:bookmarkStart w:id="92" w:name="_Toc31277"/>
      <w:bookmarkStart w:id="93" w:name="_Toc3026"/>
      <w:bookmarkStart w:id="94" w:name="_Toc132361371"/>
      <w:bookmarkStart w:id="95" w:name="_Toc8567"/>
      <w:bookmarkStart w:id="96" w:name="_Toc8832"/>
      <w:bookmarkStart w:id="97" w:name="_Toc10496"/>
      <w:bookmarkStart w:id="98" w:name="_Toc14488"/>
      <w:bookmarkStart w:id="99" w:name="_Toc1313"/>
      <w:r>
        <w:rPr>
          <w:rFonts w:hint="eastAsia" w:ascii="宋体" w:hAnsi="宋体" w:cs="宋体"/>
          <w:b/>
          <w:color w:val="auto"/>
          <w:sz w:val="32"/>
          <w:szCs w:val="32"/>
        </w:rPr>
        <w:t>二、</w:t>
      </w:r>
      <w:r>
        <w:rPr>
          <w:rFonts w:hint="eastAsia" w:ascii="宋体" w:hAnsi="宋体" w:cs="宋体"/>
          <w:b/>
          <w:color w:val="auto"/>
          <w:sz w:val="32"/>
          <w:szCs w:val="32"/>
          <w:lang w:eastAsia="zh-CN"/>
        </w:rPr>
        <w:t>律师事务所负责人</w:t>
      </w:r>
      <w:r>
        <w:rPr>
          <w:rFonts w:hint="eastAsia" w:ascii="宋体" w:hAnsi="宋体" w:cs="宋体"/>
          <w:b/>
          <w:color w:val="auto"/>
          <w:sz w:val="32"/>
          <w:szCs w:val="32"/>
        </w:rPr>
        <w:t>身份证明书</w:t>
      </w:r>
      <w:bookmarkEnd w:id="92"/>
      <w:bookmarkEnd w:id="93"/>
      <w:bookmarkEnd w:id="94"/>
      <w:bookmarkEnd w:id="95"/>
      <w:bookmarkEnd w:id="96"/>
      <w:bookmarkEnd w:id="97"/>
      <w:bookmarkEnd w:id="98"/>
      <w:bookmarkEnd w:id="99"/>
    </w:p>
    <w:p>
      <w:pPr>
        <w:snapToGrid w:val="0"/>
        <w:spacing w:line="480" w:lineRule="auto"/>
        <w:rPr>
          <w:rFonts w:ascii="宋体" w:hAnsi="宋体"/>
          <w:color w:val="auto"/>
          <w:szCs w:val="21"/>
        </w:rPr>
      </w:pPr>
    </w:p>
    <w:p>
      <w:pPr>
        <w:autoSpaceDE w:val="0"/>
        <w:autoSpaceDN w:val="0"/>
        <w:adjustRightInd w:val="0"/>
        <w:snapToGrid w:val="0"/>
        <w:spacing w:before="159" w:beforeLines="50" w:line="360" w:lineRule="auto"/>
        <w:jc w:val="left"/>
        <w:rPr>
          <w:rFonts w:ascii="宋体" w:hAnsi="宋体" w:cs="宋体"/>
          <w:color w:val="auto"/>
          <w:kern w:val="0"/>
          <w:szCs w:val="21"/>
        </w:rPr>
      </w:pPr>
      <w:r>
        <w:rPr>
          <w:rFonts w:hint="eastAsia" w:ascii="宋体" w:hAnsi="宋体"/>
          <w:color w:val="auto"/>
          <w:szCs w:val="21"/>
        </w:rPr>
        <w:t>供应商</w:t>
      </w:r>
      <w:r>
        <w:rPr>
          <w:rFonts w:hint="eastAsia" w:ascii="宋体" w:hAnsi="宋体" w:cs="宋体"/>
          <w:color w:val="auto"/>
          <w:kern w:val="0"/>
          <w:szCs w:val="21"/>
        </w:rPr>
        <w:t>名称：</w:t>
      </w:r>
      <w:r>
        <w:rPr>
          <w:rFonts w:hint="eastAsia" w:ascii="宋体" w:hAnsi="宋体" w:cs="宋体"/>
          <w:color w:val="auto"/>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b/>
          <w:bCs/>
          <w:color w:val="auto"/>
          <w:kern w:val="0"/>
          <w:szCs w:val="21"/>
          <w:u w:val="single"/>
        </w:rPr>
      </w:pPr>
      <w:r>
        <w:rPr>
          <w:rFonts w:hint="eastAsia" w:ascii="宋体" w:hAnsi="宋体" w:cs="宋体"/>
          <w:color w:val="auto"/>
          <w:kern w:val="0"/>
          <w:szCs w:val="21"/>
        </w:rPr>
        <w:t>注册号：</w:t>
      </w:r>
      <w:r>
        <w:rPr>
          <w:rFonts w:hint="eastAsia" w:ascii="宋体" w:hAnsi="宋体" w:cs="宋体"/>
          <w:color w:val="auto"/>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color w:val="auto"/>
          <w:kern w:val="0"/>
          <w:szCs w:val="21"/>
        </w:rPr>
      </w:pPr>
      <w:r>
        <w:rPr>
          <w:rFonts w:hint="eastAsia" w:ascii="宋体" w:hAnsi="宋体" w:cs="宋体"/>
          <w:color w:val="auto"/>
          <w:kern w:val="0"/>
          <w:szCs w:val="21"/>
        </w:rPr>
        <w:t>注册地址：</w:t>
      </w:r>
      <w:r>
        <w:rPr>
          <w:rFonts w:hint="eastAsia" w:ascii="宋体" w:hAnsi="宋体" w:cs="宋体"/>
          <w:color w:val="auto"/>
          <w:kern w:val="0"/>
          <w:szCs w:val="21"/>
          <w:u w:val="single"/>
        </w:rPr>
        <w:t xml:space="preserve">                      </w:t>
      </w:r>
    </w:p>
    <w:p>
      <w:pPr>
        <w:spacing w:line="360" w:lineRule="auto"/>
        <w:rPr>
          <w:rFonts w:ascii="宋体" w:hAnsi="宋体" w:cs="宋体"/>
          <w:color w:val="auto"/>
          <w:kern w:val="0"/>
          <w:szCs w:val="21"/>
        </w:rPr>
      </w:pPr>
      <w:r>
        <w:rPr>
          <w:rFonts w:hint="eastAsia" w:ascii="宋体" w:hAnsi="宋体" w:cs="宋体"/>
          <w:color w:val="auto"/>
          <w:kern w:val="0"/>
          <w:szCs w:val="21"/>
        </w:rPr>
        <w:t>成立日期：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utoSpaceDE w:val="0"/>
        <w:autoSpaceDN w:val="0"/>
        <w:adjustRightInd w:val="0"/>
        <w:snapToGrid w:val="0"/>
        <w:spacing w:before="159" w:beforeLines="50" w:line="360" w:lineRule="auto"/>
        <w:jc w:val="left"/>
        <w:rPr>
          <w:rFonts w:ascii="宋体" w:hAnsi="宋体" w:cs="宋体"/>
          <w:color w:val="auto"/>
          <w:kern w:val="0"/>
          <w:szCs w:val="21"/>
          <w:u w:val="single"/>
        </w:rPr>
      </w:pPr>
      <w:r>
        <w:rPr>
          <w:rFonts w:hint="eastAsia" w:ascii="宋体" w:hAnsi="宋体" w:cs="宋体"/>
          <w:color w:val="auto"/>
          <w:kern w:val="0"/>
          <w:szCs w:val="21"/>
        </w:rPr>
        <w:t>经营期限：</w:t>
      </w:r>
      <w:r>
        <w:rPr>
          <w:rFonts w:hint="eastAsia" w:ascii="宋体" w:hAnsi="宋体" w:cs="宋体"/>
          <w:color w:val="auto"/>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color w:val="auto"/>
          <w:kern w:val="0"/>
          <w:szCs w:val="21"/>
          <w:u w:val="single"/>
        </w:rPr>
      </w:pPr>
      <w:r>
        <w:rPr>
          <w:rFonts w:hint="eastAsia" w:ascii="宋体" w:hAnsi="宋体" w:cs="宋体"/>
          <w:color w:val="auto"/>
          <w:kern w:val="0"/>
          <w:szCs w:val="21"/>
        </w:rPr>
        <w:t>经营范围：</w:t>
      </w:r>
      <w:r>
        <w:rPr>
          <w:rFonts w:hint="eastAsia" w:ascii="宋体" w:hAnsi="宋体" w:cs="宋体"/>
          <w:color w:val="auto"/>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color w:val="auto"/>
          <w:kern w:val="0"/>
          <w:szCs w:val="21"/>
        </w:rPr>
      </w:pPr>
      <w:r>
        <w:rPr>
          <w:rFonts w:hint="eastAsia" w:ascii="宋体" w:hAnsi="宋体" w:cs="宋体"/>
          <w:color w:val="auto"/>
          <w:kern w:val="0"/>
          <w:szCs w:val="21"/>
        </w:rPr>
        <w:t>姓名：</w:t>
      </w:r>
      <w:r>
        <w:rPr>
          <w:rFonts w:hint="eastAsia" w:ascii="宋体" w:hAnsi="宋体" w:cs="宋体"/>
          <w:color w:val="auto"/>
          <w:kern w:val="0"/>
          <w:szCs w:val="21"/>
          <w:u w:val="single"/>
        </w:rPr>
        <w:t xml:space="preserve">       </w:t>
      </w:r>
      <w:r>
        <w:rPr>
          <w:rFonts w:hint="eastAsia" w:ascii="宋体" w:hAnsi="宋体" w:cs="宋体"/>
          <w:color w:val="auto"/>
          <w:kern w:val="0"/>
          <w:szCs w:val="21"/>
        </w:rPr>
        <w:t>性别：</w:t>
      </w:r>
      <w:r>
        <w:rPr>
          <w:rFonts w:hint="eastAsia" w:ascii="宋体" w:hAnsi="宋体" w:cs="宋体"/>
          <w:color w:val="auto"/>
          <w:kern w:val="0"/>
          <w:szCs w:val="21"/>
          <w:u w:val="single"/>
        </w:rPr>
        <w:t xml:space="preserve">   </w:t>
      </w:r>
      <w:r>
        <w:rPr>
          <w:rFonts w:hint="eastAsia" w:ascii="宋体" w:hAnsi="宋体" w:cs="宋体"/>
          <w:color w:val="auto"/>
          <w:kern w:val="0"/>
          <w:szCs w:val="21"/>
        </w:rPr>
        <w:t>年龄：</w:t>
      </w:r>
      <w:r>
        <w:rPr>
          <w:rFonts w:hint="eastAsia" w:ascii="宋体" w:hAnsi="宋体" w:cs="宋体"/>
          <w:color w:val="auto"/>
          <w:kern w:val="0"/>
          <w:szCs w:val="21"/>
          <w:u w:val="single"/>
        </w:rPr>
        <w:t xml:space="preserve">   </w:t>
      </w:r>
      <w:r>
        <w:rPr>
          <w:rFonts w:hint="eastAsia" w:ascii="宋体" w:hAnsi="宋体" w:cs="宋体"/>
          <w:color w:val="auto"/>
          <w:kern w:val="0"/>
          <w:szCs w:val="21"/>
        </w:rPr>
        <w:t>系</w:t>
      </w:r>
      <w:r>
        <w:rPr>
          <w:rFonts w:hint="eastAsia" w:ascii="宋体" w:hAnsi="宋体" w:cs="宋体"/>
          <w:color w:val="auto"/>
          <w:kern w:val="0"/>
          <w:szCs w:val="21"/>
          <w:u w:val="single"/>
        </w:rPr>
        <w:t xml:space="preserve">    （</w:t>
      </w:r>
      <w:r>
        <w:rPr>
          <w:rFonts w:hint="eastAsia" w:ascii="宋体" w:hAnsi="宋体" w:cs="宋体"/>
          <w:color w:val="auto"/>
          <w:szCs w:val="21"/>
          <w:u w:val="single"/>
        </w:rPr>
        <w:t>供应商</w:t>
      </w:r>
      <w:r>
        <w:rPr>
          <w:rFonts w:hint="eastAsia" w:ascii="宋体" w:hAnsi="宋体" w:cs="宋体"/>
          <w:color w:val="auto"/>
          <w:kern w:val="0"/>
          <w:szCs w:val="21"/>
          <w:u w:val="single"/>
        </w:rPr>
        <w:t xml:space="preserve">名称）    </w:t>
      </w:r>
      <w:r>
        <w:rPr>
          <w:rFonts w:hint="eastAsia" w:ascii="宋体" w:hAnsi="宋体" w:cs="宋体"/>
          <w:color w:val="auto"/>
          <w:kern w:val="0"/>
          <w:szCs w:val="21"/>
        </w:rPr>
        <w:t>的</w:t>
      </w:r>
      <w:r>
        <w:rPr>
          <w:rFonts w:hint="eastAsia" w:ascii="宋体" w:hAnsi="宋体" w:cs="宋体"/>
          <w:color w:val="auto"/>
          <w:kern w:val="0"/>
          <w:szCs w:val="21"/>
          <w:lang w:eastAsia="zh-CN"/>
        </w:rPr>
        <w:t>律师事务所负责人</w:t>
      </w:r>
      <w:r>
        <w:rPr>
          <w:rFonts w:hint="eastAsia" w:ascii="宋体" w:hAnsi="宋体" w:cs="宋体"/>
          <w:color w:val="auto"/>
          <w:kern w:val="0"/>
          <w:szCs w:val="21"/>
        </w:rPr>
        <w:t>。</w:t>
      </w:r>
    </w:p>
    <w:p>
      <w:pPr>
        <w:autoSpaceDE w:val="0"/>
        <w:autoSpaceDN w:val="0"/>
        <w:adjustRightInd w:val="0"/>
        <w:snapToGrid w:val="0"/>
        <w:spacing w:before="159" w:beforeLines="50" w:line="360" w:lineRule="auto"/>
        <w:jc w:val="left"/>
        <w:rPr>
          <w:rFonts w:ascii="宋体" w:hAnsi="宋体" w:cs="宋体"/>
          <w:color w:val="auto"/>
          <w:kern w:val="0"/>
          <w:szCs w:val="21"/>
        </w:rPr>
      </w:pPr>
      <w:r>
        <w:rPr>
          <w:rFonts w:hint="eastAsia" w:ascii="宋体" w:hAnsi="宋体" w:cs="宋体"/>
          <w:color w:val="auto"/>
          <w:kern w:val="0"/>
          <w:szCs w:val="21"/>
        </w:rPr>
        <w:t>特此证明。</w:t>
      </w:r>
    </w:p>
    <w:p>
      <w:pPr>
        <w:autoSpaceDE w:val="0"/>
        <w:autoSpaceDN w:val="0"/>
        <w:adjustRightInd w:val="0"/>
        <w:snapToGrid w:val="0"/>
        <w:spacing w:line="360" w:lineRule="auto"/>
        <w:jc w:val="left"/>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62336"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lang w:eastAsia="zh-CN"/>
                              </w:rPr>
                              <w:t>律师事务所负责人</w:t>
                            </w:r>
                            <w:r>
                              <w:rPr>
                                <w:rFonts w:hint="eastAsia"/>
                                <w:b/>
                              </w:rPr>
                              <w:t>身份证（反面）复印件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34pt;margin-top:10.65pt;height:96.15pt;width:185.5pt;z-index:-251654144;mso-width-relative:page;mso-height-relative:page;" fillcolor="#FFFFFF" filled="t" stroked="t" coordsize="21600,21600" o:gfxdata="UEsDBAoAAAAAAIdO4kAAAAAAAAAAAAAAAAAEAAAAZHJzL1BLAwQUAAAACACHTuJAMw68pdcAAAAK&#10;AQAADwAAAGRycy9kb3ducmV2LnhtbE2PzU7DMBCE70i8g7VI3Kjzg6I0xOkBVCSObXrh5sRLEojX&#10;Uey0gadn4QLHnR3NfFPuVjuKM85+cKQg3kQgkFpnBuoUnOr9XQ7CB01Gj45QwSd62FXXV6UujLvQ&#10;Ac/H0AkOIV9oBX0IUyGlb3u02m/chMS/NzdbHficO2lmfeFwO8okijJp9UDc0OsJH3tsP46LVdAM&#10;yUl/HernyG73aXhZ6/fl9Ump25s4egARcA1/ZvjBZ3SomKlxCxkvRgX3Wc5bgoIkTkGwIU+3LDS/&#10;QgayKuX/CdU3UEsDBBQAAAAIAIdO4kBu9wfU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l5wZkTlhr+&#10;69vtzx/f2XLUZvChopBrf4VjdcFfgvwcmIOzXrhOnSLC0CvREKN8jM8eXBiNQFfZengHDUGLTYQk&#10;065FOwKSAGyXunFz3w21i0zSx+JlWR6W1ChJvrwo8nxRphyiurvuMcQ3CiwbDzVHaneCF9vLEEc6&#10;oroLSfTB6OZCG5MM7NZnBtlW0GhcpGdGD/thxrGh5kdlURIR60mo4LqU5EFY2EdbpOdfaFZHWh6j&#10;bc0P94OMGympNLAz9TvxpibE3Xo392MNzQ1pijANM60yHXrAr5wNNMhE8MtGoOLMvHXUl6N8uRwn&#10;PxnL8nVBBu571vse4SRB1TxyNh3P4rQtG4+66ylTnop3cEq9bHVSeaQ6sZongIY1iT8v1rgN+3aK&#10;+vMzW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w68pdcAAAAKAQAADwAAAAAAAAABACAAAAAi&#10;AAAAZHJzL2Rvd25yZXYueG1sUEsBAhQAFAAAAAgAh07iQG73B9R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lang w:eastAsia="zh-CN"/>
                        </w:rPr>
                        <w:t>律师事务所负责人</w:t>
                      </w:r>
                      <w:r>
                        <w:rPr>
                          <w:rFonts w:hint="eastAsia"/>
                          <w:b/>
                        </w:rPr>
                        <w:t>身份证（反面）复印件</w:t>
                      </w:r>
                    </w:p>
                    <w:p/>
                  </w:txbxContent>
                </v:textbox>
              </v:rect>
            </w:pict>
          </mc:Fallback>
        </mc:AlternateContent>
      </w:r>
      <w:r>
        <w:rPr>
          <w:rFonts w:ascii="宋体" w:hAnsi="宋体"/>
          <w:color w:val="auto"/>
          <w:szCs w:val="21"/>
        </w:rPr>
        <mc:AlternateContent>
          <mc:Choice Requires="wps">
            <w:drawing>
              <wp:anchor distT="0" distB="0" distL="114300" distR="114300" simplePos="0" relativeHeight="251660288"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lang w:eastAsia="zh-CN"/>
                              </w:rPr>
                              <w:t>律师事务所负责人</w:t>
                            </w:r>
                            <w:r>
                              <w:rPr>
                                <w:rFonts w:hint="eastAsia"/>
                                <w:b/>
                              </w:rPr>
                              <w:t>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6192;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lang w:eastAsia="zh-CN"/>
                        </w:rPr>
                        <w:t>律师事务所负责人</w:t>
                      </w:r>
                      <w:r>
                        <w:rPr>
                          <w:rFonts w:hint="eastAsia"/>
                          <w:b/>
                        </w:rPr>
                        <w:t>身份证（正面）复印件</w:t>
                      </w:r>
                    </w:p>
                    <w:p/>
                  </w:txbxContent>
                </v:textbox>
              </v:rect>
            </w:pict>
          </mc:Fallback>
        </mc:AlternateContent>
      </w:r>
    </w:p>
    <w:p>
      <w:pPr>
        <w:snapToGrid w:val="0"/>
        <w:rPr>
          <w:rFonts w:ascii="宋体" w:hAnsi="宋体"/>
          <w:color w:val="auto"/>
          <w:szCs w:val="21"/>
        </w:rPr>
      </w:pPr>
    </w:p>
    <w:p>
      <w:pPr>
        <w:autoSpaceDE w:val="0"/>
        <w:autoSpaceDN w:val="0"/>
        <w:adjustRightInd w:val="0"/>
        <w:snapToGrid w:val="0"/>
        <w:spacing w:line="360" w:lineRule="auto"/>
        <w:jc w:val="left"/>
        <w:rPr>
          <w:rFonts w:ascii="宋体" w:hAnsi="宋体"/>
          <w:color w:val="auto"/>
          <w:szCs w:val="21"/>
        </w:rPr>
      </w:pPr>
    </w:p>
    <w:p>
      <w:pPr>
        <w:autoSpaceDE w:val="0"/>
        <w:autoSpaceDN w:val="0"/>
        <w:adjustRightInd w:val="0"/>
        <w:snapToGrid w:val="0"/>
        <w:spacing w:line="360" w:lineRule="auto"/>
        <w:jc w:val="left"/>
        <w:rPr>
          <w:rFonts w:ascii="宋体" w:hAnsi="宋体"/>
          <w:color w:val="auto"/>
          <w:szCs w:val="21"/>
        </w:rPr>
      </w:pPr>
    </w:p>
    <w:p>
      <w:pPr>
        <w:autoSpaceDE w:val="0"/>
        <w:autoSpaceDN w:val="0"/>
        <w:adjustRightInd w:val="0"/>
        <w:snapToGrid w:val="0"/>
        <w:spacing w:line="360" w:lineRule="auto"/>
        <w:jc w:val="left"/>
        <w:rPr>
          <w:rFonts w:ascii="宋体" w:hAnsi="宋体"/>
          <w:color w:val="auto"/>
          <w:szCs w:val="21"/>
        </w:rPr>
      </w:pPr>
    </w:p>
    <w:p>
      <w:pPr>
        <w:autoSpaceDE w:val="0"/>
        <w:autoSpaceDN w:val="0"/>
        <w:adjustRightInd w:val="0"/>
        <w:snapToGrid w:val="0"/>
        <w:spacing w:line="360" w:lineRule="auto"/>
        <w:jc w:val="left"/>
        <w:rPr>
          <w:rFonts w:ascii="宋体" w:hAnsi="宋体"/>
          <w:color w:val="auto"/>
          <w:szCs w:val="21"/>
        </w:rPr>
      </w:pPr>
    </w:p>
    <w:p>
      <w:pPr>
        <w:autoSpaceDE w:val="0"/>
        <w:autoSpaceDN w:val="0"/>
        <w:adjustRightInd w:val="0"/>
        <w:snapToGrid w:val="0"/>
        <w:spacing w:line="360" w:lineRule="auto"/>
        <w:jc w:val="left"/>
        <w:rPr>
          <w:rFonts w:ascii="宋体" w:hAnsi="宋体"/>
          <w:b/>
          <w:color w:val="auto"/>
          <w:szCs w:val="21"/>
        </w:rPr>
      </w:pPr>
      <w:r>
        <w:rPr>
          <w:rFonts w:ascii="宋体" w:hAnsi="宋体"/>
          <w:color w:val="auto"/>
          <w:szCs w:val="21"/>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ascii="Times New Roman" w:hAnsi="Times New Roman" w:eastAsia="宋体" w:cs="Times New Roman"/>
                                <w:b/>
                                <w:lang w:val="en-US" w:eastAsia="zh-CN"/>
                              </w:rPr>
                              <w:t>律师事务所执业许可证</w:t>
                            </w:r>
                            <w:r>
                              <w:rPr>
                                <w:rFonts w:hint="eastAsia"/>
                                <w:b/>
                              </w:rPr>
                              <w:t>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6.7pt;height:96.15pt;width:185.5pt;z-index:251661312;mso-width-relative:page;mso-height-relative:page;" fillcolor="#FFFFFF" filled="t" stroked="t" coordsize="21600,21600" o:gfxdata="UEsDBAoAAAAAAIdO4kAAAAAAAAAAAAAAAAAEAAAAZHJzL1BLAwQUAAAACACHTuJA5SFFaNgAAAAK&#10;AQAADwAAAGRycy9kb3ducmV2LnhtbE2PQU+DQBCF7yb+h82YeGt3AauVsvSgqYnHll68DTAFlN0l&#10;7NKiv97xZI/z3sub72Xb2fTiTKPvnNUQLRUIspWrO9toOBa7xRqED2hr7J0lDd/kYZvf3mSY1u5i&#10;93Q+hEZwifUpamhDGFIpfdWSQb90A1n2Tm40GPgcG1mPeOFy08tYqUdpsLP8ocWBXlqqvg6T0VB2&#10;8RF/9sWbMs+7JLzPxef08ar1/V2kNiACzeE/DH/4jA45M5VusrUXvYZFtOYtgY3kAQQHklXCQqkh&#10;VqsnkHkmryfkv1BLAwQUAAAACACHTuJAc5UPjEQCAACU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p+ZIzJyw1&#10;/Ne3258/vrPlqM3gQ0Uh1/4Kx+qCvwT5OTAHZ71wnTpFhKFXoiFG+RifPbgwGoGusvXwDhqCFpsI&#10;SaZdi3YEJAHYLnXj5r4baheZpI/Fy7I8LKlRknx5UeT5okw5RHV33WOIbxRYNh5qjtTuBC+2lyGO&#10;dER1F5Log9HNhTYmGditzwyyraDRuEjPjB72w4xjQ82PyqIkItaTUMF1KcmDsLCPtkjPv9CsjrQ8&#10;RtuaH+4HGTdSUmlgZ+p34k1NiLv1bu7HGpob0hRhGmZaZTr0gF85G2iQieCXjUDFmXnrqC9H+XI5&#10;Tn4yluXrggzc96z3PcJJgqp55Gw6nsVpWzYedddTpjwV7+CUetnqpPJIdWI1TwANaxJ/XqxxG/bt&#10;FPXnZ7L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UhRWjYAAAACgEAAA8AAAAAAAAAAQAgAAAA&#10;IgAAAGRycy9kb3ducmV2LnhtbFBLAQIUABQAAAAIAIdO4kBzlQ+M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ascii="Times New Roman" w:hAnsi="Times New Roman" w:eastAsia="宋体" w:cs="Times New Roman"/>
                          <w:b/>
                          <w:lang w:val="en-US" w:eastAsia="zh-CN"/>
                        </w:rPr>
                        <w:t>律师事务所执业许可证</w:t>
                      </w:r>
                      <w:r>
                        <w:rPr>
                          <w:rFonts w:hint="eastAsia"/>
                          <w:b/>
                        </w:rPr>
                        <w:t>复印件</w:t>
                      </w:r>
                    </w:p>
                    <w:p/>
                  </w:txbxContent>
                </v:textbox>
              </v:rect>
            </w:pict>
          </mc:Fallback>
        </mc:AlternateContent>
      </w:r>
    </w:p>
    <w:p>
      <w:pPr>
        <w:autoSpaceDE w:val="0"/>
        <w:autoSpaceDN w:val="0"/>
        <w:adjustRightInd w:val="0"/>
        <w:snapToGrid w:val="0"/>
        <w:spacing w:line="360" w:lineRule="auto"/>
        <w:jc w:val="left"/>
        <w:rPr>
          <w:rFonts w:ascii="宋体" w:hAnsi="宋体"/>
          <w:b/>
          <w:color w:val="auto"/>
          <w:szCs w:val="21"/>
        </w:rPr>
      </w:pPr>
    </w:p>
    <w:p>
      <w:pPr>
        <w:autoSpaceDE w:val="0"/>
        <w:autoSpaceDN w:val="0"/>
        <w:adjustRightInd w:val="0"/>
        <w:snapToGrid w:val="0"/>
        <w:spacing w:line="360" w:lineRule="auto"/>
        <w:jc w:val="left"/>
        <w:rPr>
          <w:rFonts w:ascii="宋体" w:hAnsi="宋体"/>
          <w:b/>
          <w:color w:val="auto"/>
          <w:szCs w:val="21"/>
        </w:rPr>
      </w:pPr>
    </w:p>
    <w:p>
      <w:pPr>
        <w:autoSpaceDE w:val="0"/>
        <w:autoSpaceDN w:val="0"/>
        <w:adjustRightInd w:val="0"/>
        <w:snapToGrid w:val="0"/>
        <w:spacing w:line="360" w:lineRule="auto"/>
        <w:jc w:val="left"/>
        <w:rPr>
          <w:rFonts w:ascii="宋体" w:hAnsi="宋体"/>
          <w:b/>
          <w:color w:val="auto"/>
          <w:szCs w:val="21"/>
        </w:rPr>
      </w:pPr>
    </w:p>
    <w:p>
      <w:pPr>
        <w:autoSpaceDE w:val="0"/>
        <w:autoSpaceDN w:val="0"/>
        <w:adjustRightInd w:val="0"/>
        <w:snapToGrid w:val="0"/>
        <w:spacing w:line="360" w:lineRule="auto"/>
        <w:jc w:val="left"/>
        <w:rPr>
          <w:rFonts w:ascii="宋体" w:hAnsi="宋体"/>
          <w:b/>
          <w:color w:val="auto"/>
          <w:szCs w:val="21"/>
        </w:rPr>
      </w:pPr>
    </w:p>
    <w:p>
      <w:pPr>
        <w:autoSpaceDE w:val="0"/>
        <w:autoSpaceDN w:val="0"/>
        <w:adjustRightInd w:val="0"/>
        <w:snapToGrid w:val="0"/>
        <w:spacing w:line="360" w:lineRule="auto"/>
        <w:jc w:val="left"/>
        <w:rPr>
          <w:rFonts w:ascii="宋体" w:hAnsi="宋体"/>
          <w:b/>
          <w:color w:val="auto"/>
          <w:szCs w:val="21"/>
        </w:rPr>
      </w:pPr>
    </w:p>
    <w:p>
      <w:pPr>
        <w:autoSpaceDE w:val="0"/>
        <w:autoSpaceDN w:val="0"/>
        <w:adjustRightInd w:val="0"/>
        <w:snapToGrid w:val="0"/>
        <w:spacing w:line="360" w:lineRule="auto"/>
        <w:jc w:val="left"/>
        <w:rPr>
          <w:rFonts w:ascii="宋体" w:hAnsi="宋体"/>
          <w:color w:val="auto"/>
          <w:szCs w:val="21"/>
        </w:rPr>
      </w:pPr>
      <w:r>
        <w:rPr>
          <w:rFonts w:hint="eastAsia" w:ascii="宋体" w:hAnsi="宋体"/>
          <w:b/>
          <w:color w:val="auto"/>
          <w:szCs w:val="21"/>
        </w:rPr>
        <w:t>备注：上述证件复印件可另附页，另附页时，证件复印件均须加盖单位公章。</w:t>
      </w:r>
    </w:p>
    <w:p>
      <w:pPr>
        <w:snapToGrid w:val="0"/>
        <w:rPr>
          <w:rFonts w:ascii="宋体" w:hAnsi="宋体"/>
          <w:color w:val="auto"/>
          <w:szCs w:val="21"/>
        </w:rPr>
      </w:pPr>
    </w:p>
    <w:p>
      <w:pPr>
        <w:snapToGrid w:val="0"/>
        <w:rPr>
          <w:rFonts w:ascii="宋体" w:hAnsi="宋体"/>
          <w:color w:val="auto"/>
          <w:szCs w:val="21"/>
        </w:rPr>
      </w:pPr>
    </w:p>
    <w:p>
      <w:pPr>
        <w:snapToGrid w:val="0"/>
        <w:rPr>
          <w:rFonts w:ascii="宋体" w:hAnsi="宋体"/>
          <w:color w:val="auto"/>
          <w:szCs w:val="21"/>
        </w:rPr>
      </w:pPr>
    </w:p>
    <w:p>
      <w:pPr>
        <w:adjustRightInd w:val="0"/>
        <w:snapToGrid w:val="0"/>
        <w:spacing w:line="360" w:lineRule="auto"/>
        <w:ind w:right="420"/>
        <w:rPr>
          <w:rFonts w:ascii="宋体" w:hAnsi="宋体"/>
          <w:color w:val="auto"/>
          <w:szCs w:val="21"/>
        </w:rPr>
      </w:pPr>
      <w:r>
        <w:rPr>
          <w:rFonts w:hint="eastAsia" w:ascii="宋体" w:hAnsi="宋体"/>
          <w:color w:val="auto"/>
          <w:szCs w:val="21"/>
        </w:rPr>
        <w:t>供应商名称（盖单位章）：</w:t>
      </w:r>
      <w:r>
        <w:rPr>
          <w:rFonts w:hint="eastAsia"/>
          <w:color w:val="auto"/>
          <w:u w:val="single"/>
        </w:rPr>
        <w:t xml:space="preserve">    （盖单位章）    </w:t>
      </w:r>
    </w:p>
    <w:p>
      <w:pPr>
        <w:spacing w:line="360" w:lineRule="auto"/>
        <w:rPr>
          <w:rFonts w:ascii="宋体"/>
          <w:color w:val="auto"/>
        </w:rPr>
      </w:pPr>
      <w:r>
        <w:rPr>
          <w:rFonts w:hint="eastAsia"/>
          <w:color w:val="auto"/>
        </w:rPr>
        <w:t>日期</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line="360" w:lineRule="auto"/>
        <w:ind w:right="24"/>
        <w:jc w:val="center"/>
        <w:outlineLvl w:val="1"/>
        <w:rPr>
          <w:rFonts w:hint="eastAsia" w:ascii="黑体" w:hAnsi="宋体" w:eastAsia="宋体"/>
          <w:b/>
          <w:color w:val="auto"/>
          <w:sz w:val="32"/>
          <w:szCs w:val="32"/>
          <w:lang w:eastAsia="zh-CN"/>
        </w:rPr>
      </w:pPr>
      <w:r>
        <w:rPr>
          <w:rFonts w:ascii="黑体" w:hAnsi="华文中宋" w:eastAsia="黑体"/>
          <w:bCs/>
          <w:color w:val="auto"/>
          <w:sz w:val="24"/>
        </w:rPr>
        <w:br w:type="page"/>
      </w:r>
      <w:bookmarkStart w:id="100" w:name="_Toc3833"/>
      <w:bookmarkStart w:id="101" w:name="_Toc27642"/>
      <w:bookmarkStart w:id="102" w:name="_Toc761"/>
      <w:bookmarkStart w:id="103" w:name="_Toc21066"/>
      <w:bookmarkStart w:id="104" w:name="_Toc14170"/>
      <w:bookmarkStart w:id="105" w:name="_Toc132361372"/>
      <w:bookmarkStart w:id="106" w:name="_Toc2987"/>
      <w:bookmarkStart w:id="107" w:name="_Toc20221"/>
      <w:r>
        <w:rPr>
          <w:rFonts w:hint="eastAsia" w:ascii="宋体" w:hAnsi="宋体" w:cs="宋体"/>
          <w:b/>
          <w:color w:val="auto"/>
          <w:sz w:val="32"/>
          <w:szCs w:val="32"/>
        </w:rPr>
        <w:t>三、授权委托书</w:t>
      </w:r>
      <w:bookmarkEnd w:id="100"/>
      <w:bookmarkEnd w:id="101"/>
      <w:bookmarkEnd w:id="102"/>
      <w:bookmarkEnd w:id="103"/>
      <w:bookmarkEnd w:id="104"/>
      <w:bookmarkEnd w:id="105"/>
      <w:r>
        <w:rPr>
          <w:rFonts w:hint="eastAsia" w:ascii="宋体" w:hAnsi="宋体" w:cs="宋体"/>
          <w:b/>
          <w:color w:val="auto"/>
          <w:sz w:val="32"/>
          <w:szCs w:val="32"/>
          <w:lang w:eastAsia="zh-CN"/>
        </w:rPr>
        <w:t>（</w:t>
      </w:r>
      <w:r>
        <w:rPr>
          <w:rFonts w:hint="eastAsia" w:ascii="宋体" w:hAnsi="宋体" w:cs="宋体"/>
          <w:b/>
          <w:color w:val="auto"/>
          <w:sz w:val="32"/>
          <w:szCs w:val="32"/>
          <w:lang w:val="en-US" w:eastAsia="zh-CN"/>
        </w:rPr>
        <w:t>如有</w:t>
      </w:r>
      <w:r>
        <w:rPr>
          <w:rFonts w:hint="eastAsia" w:ascii="宋体" w:hAnsi="宋体" w:cs="宋体"/>
          <w:b/>
          <w:color w:val="auto"/>
          <w:sz w:val="32"/>
          <w:szCs w:val="32"/>
          <w:lang w:eastAsia="zh-CN"/>
        </w:rPr>
        <w:t>）</w:t>
      </w:r>
      <w:bookmarkEnd w:id="106"/>
      <w:bookmarkEnd w:id="107"/>
    </w:p>
    <w:p>
      <w:pPr>
        <w:adjustRightInd w:val="0"/>
        <w:snapToGrid w:val="0"/>
        <w:spacing w:line="360" w:lineRule="auto"/>
        <w:jc w:val="center"/>
        <w:rPr>
          <w:rFonts w:ascii="黑体" w:hAnsi="华文中宋" w:eastAsia="黑体"/>
          <w:b/>
          <w:color w:val="auto"/>
          <w:sz w:val="28"/>
          <w:szCs w:val="28"/>
        </w:rPr>
      </w:pPr>
      <w:bookmarkStart w:id="108" w:name="_Toc2295"/>
      <w:bookmarkStart w:id="109" w:name="_Toc8191"/>
      <w:bookmarkStart w:id="110" w:name="_Toc18944"/>
      <w:bookmarkStart w:id="111" w:name="_Toc11357"/>
      <w:bookmarkStart w:id="112" w:name="_Toc11627"/>
      <w:bookmarkStart w:id="113" w:name="_Toc132361373"/>
    </w:p>
    <w:p>
      <w:pPr>
        <w:autoSpaceDE w:val="0"/>
        <w:autoSpaceDN w:val="0"/>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kern w:val="0"/>
          <w:szCs w:val="21"/>
        </w:rPr>
        <w:t>（姓名、职务）系</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kern w:val="0"/>
          <w:szCs w:val="21"/>
        </w:rPr>
        <w:t>（</w:t>
      </w:r>
      <w:r>
        <w:rPr>
          <w:rFonts w:hint="eastAsia" w:ascii="宋体" w:hAnsi="宋体"/>
          <w:color w:val="auto"/>
          <w:szCs w:val="21"/>
        </w:rPr>
        <w:t>供应商</w:t>
      </w:r>
      <w:r>
        <w:rPr>
          <w:rFonts w:hint="eastAsia" w:ascii="宋体" w:hAnsi="宋体" w:cs="宋体"/>
          <w:color w:val="auto"/>
          <w:kern w:val="0"/>
          <w:szCs w:val="21"/>
        </w:rPr>
        <w:t>名称）的</w:t>
      </w:r>
      <w:r>
        <w:rPr>
          <w:rFonts w:hint="eastAsia" w:ascii="宋体" w:hAnsi="宋体" w:cs="宋体"/>
          <w:color w:val="auto"/>
          <w:kern w:val="0"/>
          <w:szCs w:val="21"/>
          <w:lang w:val="en-US" w:eastAsia="zh-CN"/>
        </w:rPr>
        <w:t>律师事务所负责人</w:t>
      </w:r>
      <w:r>
        <w:rPr>
          <w:rFonts w:hint="eastAsia" w:ascii="宋体" w:hAnsi="宋体" w:cs="宋体"/>
          <w:color w:val="auto"/>
          <w:kern w:val="0"/>
          <w:szCs w:val="21"/>
        </w:rPr>
        <w:t>，现授权</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kern w:val="0"/>
          <w:szCs w:val="21"/>
        </w:rPr>
        <w:t>（姓名、职务）为我方委托代理人。代理人根据授权，以我方名义签署、澄清、补正、修改、撤回、提交</w:t>
      </w:r>
      <w:r>
        <w:rPr>
          <w:rStyle w:val="56"/>
          <w:rFonts w:hint="eastAsia" w:cs="Times New Roman"/>
          <w:color w:val="auto"/>
          <w:kern w:val="0"/>
          <w:shd w:val="clear" w:color="auto" w:fill="FFFFFF"/>
          <w:lang w:val="en-US" w:eastAsia="zh-CN"/>
        </w:rPr>
        <w:t>长沙市轨道交通运营有限公司法律顾问采购服务项目（第二次）</w:t>
      </w:r>
      <w:r>
        <w:rPr>
          <w:rStyle w:val="56"/>
          <w:rFonts w:hint="eastAsia"/>
          <w:color w:val="auto"/>
          <w:kern w:val="0"/>
          <w:u w:val="single"/>
          <w:shd w:val="clear" w:color="auto" w:fill="FFFFFF"/>
          <w:lang w:eastAsia="zh-CN"/>
        </w:rPr>
        <w:t>长轨运服采【2023】059号</w:t>
      </w:r>
      <w:r>
        <w:rPr>
          <w:rFonts w:hint="eastAsia" w:ascii="宋体" w:hAnsi="宋体" w:cs="宋体"/>
          <w:color w:val="auto"/>
          <w:kern w:val="0"/>
          <w:szCs w:val="21"/>
        </w:rPr>
        <w:t>响应文件及与本</w:t>
      </w:r>
      <w:r>
        <w:rPr>
          <w:rFonts w:hint="eastAsia" w:ascii="宋体" w:hAnsi="宋体"/>
          <w:color w:val="auto"/>
          <w:szCs w:val="21"/>
        </w:rPr>
        <w:t>竞争性</w:t>
      </w:r>
      <w:r>
        <w:rPr>
          <w:rFonts w:hint="eastAsia" w:ascii="宋体" w:hAnsi="宋体" w:cs="宋体"/>
          <w:color w:val="auto"/>
          <w:kern w:val="0"/>
          <w:szCs w:val="21"/>
        </w:rPr>
        <w:t>采购项目的有关事宜，其法律后果由我方承担。</w:t>
      </w:r>
    </w:p>
    <w:p>
      <w:pPr>
        <w:autoSpaceDE w:val="0"/>
        <w:autoSpaceDN w:val="0"/>
        <w:adjustRightInd w:val="0"/>
        <w:snapToGrid w:val="0"/>
        <w:spacing w:line="360" w:lineRule="auto"/>
        <w:ind w:firstLine="420" w:firstLineChars="200"/>
        <w:jc w:val="left"/>
        <w:rPr>
          <w:rFonts w:hint="eastAsia" w:ascii="宋体" w:hAnsi="宋体" w:cs="宋体"/>
          <w:color w:val="auto"/>
          <w:kern w:val="0"/>
          <w:szCs w:val="21"/>
        </w:rPr>
      </w:pPr>
    </w:p>
    <w:p>
      <w:pPr>
        <w:autoSpaceDE w:val="0"/>
        <w:autoSpaceDN w:val="0"/>
        <w:adjustRightInd w:val="0"/>
        <w:snapToGrid w:val="0"/>
        <w:spacing w:line="360" w:lineRule="auto"/>
        <w:ind w:firstLine="420" w:firstLineChars="200"/>
        <w:jc w:val="left"/>
        <w:rPr>
          <w:rFonts w:hint="eastAsia" w:ascii="宋体" w:hAnsi="宋体" w:cs="宋体"/>
          <w:color w:val="auto"/>
          <w:kern w:val="0"/>
          <w:szCs w:val="21"/>
        </w:rPr>
      </w:pPr>
    </w:p>
    <w:p>
      <w:pPr>
        <w:spacing w:line="360" w:lineRule="auto"/>
        <w:ind w:firstLine="435"/>
        <w:rPr>
          <w:rFonts w:hint="eastAsia" w:ascii="宋体" w:hAnsi="宋体" w:cs="宋体"/>
          <w:color w:val="auto"/>
          <w:kern w:val="0"/>
          <w:szCs w:val="21"/>
        </w:rPr>
      </w:pPr>
      <w:r>
        <w:rPr>
          <w:rFonts w:hint="eastAsia" w:ascii="宋体" w:hAnsi="宋体" w:cs="宋体"/>
          <w:color w:val="auto"/>
          <w:kern w:val="0"/>
          <w:szCs w:val="21"/>
        </w:rPr>
        <w:t>委托代理人无转委托权。</w:t>
      </w:r>
    </w:p>
    <w:p>
      <w:pPr>
        <w:spacing w:line="360" w:lineRule="auto"/>
        <w:ind w:firstLine="435"/>
        <w:rPr>
          <w:rFonts w:ascii="宋体" w:hAnsi="宋体"/>
          <w:color w:val="auto"/>
          <w:kern w:val="0"/>
        </w:rPr>
      </w:pPr>
      <w:r>
        <w:rPr>
          <w:rFonts w:hint="eastAsia" w:ascii="宋体" w:hAnsi="宋体"/>
          <w:color w:val="auto"/>
          <w:szCs w:val="21"/>
        </w:rPr>
        <w:t>本授权书于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日签字生效，特此声明。</w:t>
      </w:r>
    </w:p>
    <w:p>
      <w:pPr>
        <w:autoSpaceDE w:val="0"/>
        <w:autoSpaceDN w:val="0"/>
        <w:adjustRightInd w:val="0"/>
        <w:snapToGrid w:val="0"/>
        <w:spacing w:line="360" w:lineRule="auto"/>
        <w:jc w:val="left"/>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67456" behindDoc="1" locked="0" layoutInCell="1" allowOverlap="1">
                <wp:simplePos x="0" y="0"/>
                <wp:positionH relativeFrom="column">
                  <wp:posOffset>2971800</wp:posOffset>
                </wp:positionH>
                <wp:positionV relativeFrom="paragraph">
                  <wp:posOffset>135255</wp:posOffset>
                </wp:positionV>
                <wp:extent cx="2355850" cy="1221105"/>
                <wp:effectExtent l="4445" t="4445" r="17145" b="8890"/>
                <wp:wrapNone/>
                <wp:docPr id="1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ascii="Times New Roman" w:hAnsi="Times New Roman" w:eastAsia="宋体" w:cs="Times New Roman"/>
                                <w:b/>
                              </w:rPr>
                              <w:t>委托代理人身份证（反面</w:t>
                            </w:r>
                            <w:r>
                              <w:rPr>
                                <w:rFonts w:hint="eastAsia"/>
                                <w:b/>
                              </w:rPr>
                              <w:t>）复印件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34pt;margin-top:10.65pt;height:96.15pt;width:185.5pt;z-index:-251649024;mso-width-relative:page;mso-height-relative:page;" fillcolor="#FFFFFF" filled="t" stroked="t" coordsize="21600,21600" o:gfxdata="UEsDBAoAAAAAAIdO4kAAAAAAAAAAAAAAAAAEAAAAZHJzL1BLAwQUAAAACACHTuJAMw68pdcAAAAK&#10;AQAADwAAAGRycy9kb3ducmV2LnhtbE2PzU7DMBCE70i8g7VI3Kjzg6I0xOkBVCSObXrh5sRLEojX&#10;Uey0gadn4QLHnR3NfFPuVjuKM85+cKQg3kQgkFpnBuoUnOr9XQ7CB01Gj45QwSd62FXXV6UujLvQ&#10;Ac/H0AkOIV9oBX0IUyGlb3u02m/chMS/NzdbHficO2lmfeFwO8okijJp9UDc0OsJH3tsP46LVdAM&#10;yUl/HernyG73aXhZ6/fl9Ump25s4egARcA1/ZvjBZ3SomKlxCxkvRgX3Wc5bgoIkTkGwIU+3LDS/&#10;QgayKuX/CdU3UEsDBBQAAAAIAIdO4kCXSa1fRQIAAJU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FJWHLmhKWO&#10;//p2+/PHd7YcxRl8qCjm2l/hWF7wlyA/B+bgrBeuU6eIMPRKNEQpH+OzBxdGI9BVth7eQUPQYhMh&#10;6bRr0Y6ApADbpXbc3LdD7SKT9LF4WZaHJXVKki8vijxflCmHqO6uewzxjQLLxkPNkfqd4MX2MsSR&#10;jqjuQhJ9MLq50MYkA7v1mUG2FTQbF+mZ0cN+mHFsqPlRWZRExHpSKrguJXkQFvbRFun5F5rVkbbH&#10;aFvzw/0g40ZKKk3sTP1OvKkJcbfezf1YQ3NDmiJM00y7TIce8CtnA00yEfyyEag4M28d9eUoXy7H&#10;0U/GsnxdkIH7nvW+RzhJUDWPnE3Hszity8aj7nrKlKfiHZxSL1udVB6pTqzmCaBpTeLPmzWuw76d&#10;ov78TV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MOvKXXAAAACgEAAA8AAAAAAAAAAQAgAAAA&#10;IgAAAGRycy9kb3ducmV2LnhtbFBLAQIUABQAAAAIAIdO4kCXSa1fRQIAAJUEAAAOAAAAAAAAAAEA&#10;IAAAACY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ascii="Times New Roman" w:hAnsi="Times New Roman" w:eastAsia="宋体" w:cs="Times New Roman"/>
                          <w:b/>
                        </w:rPr>
                        <w:t>委托代理人身份证（反面</w:t>
                      </w:r>
                      <w:r>
                        <w:rPr>
                          <w:rFonts w:hint="eastAsia"/>
                          <w:b/>
                        </w:rPr>
                        <w:t>）复印件</w:t>
                      </w:r>
                    </w:p>
                    <w:p/>
                  </w:txbxContent>
                </v:textbox>
              </v:rect>
            </w:pict>
          </mc:Fallback>
        </mc:AlternateContent>
      </w:r>
      <w:r>
        <w:rPr>
          <w:rFonts w:ascii="宋体" w:hAnsi="宋体"/>
          <w:color w:val="auto"/>
          <w:szCs w:val="21"/>
        </w:rPr>
        <mc:AlternateContent>
          <mc:Choice Requires="wps">
            <w:drawing>
              <wp:anchor distT="0" distB="0" distL="114300" distR="114300" simplePos="0" relativeHeight="251666432" behindDoc="1" locked="0" layoutInCell="1" allowOverlap="1">
                <wp:simplePos x="0" y="0"/>
                <wp:positionH relativeFrom="column">
                  <wp:posOffset>-111760</wp:posOffset>
                </wp:positionH>
                <wp:positionV relativeFrom="paragraph">
                  <wp:posOffset>146050</wp:posOffset>
                </wp:positionV>
                <wp:extent cx="2355850" cy="1221105"/>
                <wp:effectExtent l="4445" t="4445" r="17145" b="8890"/>
                <wp:wrapNone/>
                <wp:docPr id="15" name="矩形 15"/>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rFonts w:hint="eastAsia" w:ascii="Times New Roman" w:hAnsi="Times New Roman" w:eastAsia="宋体" w:cs="Times New Roman"/>
                                <w:b/>
                              </w:rPr>
                            </w:pPr>
                            <w:r>
                              <w:rPr>
                                <w:rFonts w:hint="eastAsia" w:ascii="Times New Roman" w:hAnsi="Times New Roman" w:eastAsia="宋体" w:cs="Times New Roman"/>
                                <w:b/>
                              </w:rPr>
                              <w:t>委托代理人身份证（正面）复印件</w:t>
                            </w:r>
                          </w:p>
                          <w:p>
                            <w:pPr>
                              <w:rPr>
                                <w:rFonts w:hint="eastAsia" w:ascii="Times New Roman" w:hAnsi="Times New Roman" w:eastAsia="宋体" w:cs="Times New Roman"/>
                                <w:b/>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0048;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Cx90URHAgAAlgQAAA4AAABkcnMvZTJvRG9jLnhtbK1U&#10;wW7UMBC9I/EPlu9sNmEXtlGzVdXVIqQClQof4HWcxML2mLF3s+VnkLj1I/gcxG8wcbZlWzj0QA6W&#10;xzN+fvNmJqdne2vYTmHQ4CqeT6acKSeh1q6t+KeP6xcLzkIUrhYGnKr4jQr8bPn82WnvS1VAB6ZW&#10;yAjEhbL3Fe9i9GWWBdkpK8IEvHLkbACtiGRim9UoekK3Jium01dZD1h7BKlCoNPV6OQHRHwKIDSN&#10;lmoFcmuViyMqKiMipRQ67QNfJrZNo2T80DRBRWYqTpnGtNIjtN8Ma7Y8FWWLwndaHiiIp1B4lJMV&#10;2tGj91ArEQXbov4LymqJEKCJEwk2GxNJilAW+fSRNted8CrlQlIHfy96+H+w8v3uCpmuqRPmnDlh&#10;qeK/vt3+/PGd0QGp0/tQUtC1v8Ihv+AvQX4OzMFFJ1yrzhGh75SoiVM+xGcPLgxGoKts07+DmrDF&#10;NkISat+gHQBJArZP9bi5r4faRybpsHg5ny/mVCpJvrwo8nyaOGWivLvuMcQ3CiwbNhVHKniCF7vL&#10;EAc6orwLSfTB6HqtjUkGtpsLg2wnqDnW6UsZUJbHYcaxvuIn84IEktaTVMG16ZEHYeEYbZq+f6FZ&#10;HWl8jLYVXxwHGTdQUqllD9TvxBuLEPeb/aEeG6hvSFOEsZ1pmGnTAX7lrKdWJoJftgIVZ+ato7qc&#10;5LPZ0PvJmM1fF2TgsWdz7BFOElTFI2fj9iKO87L1qNuOXspT8g7OqZaNTioPVEdWhw6gdk3iH0Zr&#10;mIdjO0X9+Z0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h+N022QAAAAoBAAAPAAAAAAAAAAEA&#10;IAAAACIAAABkcnMvZG93bnJldi54bWxQSwECFAAUAAAACACHTuJALH3RREcCAACWBAAADgAAAAAA&#10;AAABACAAAAAoAQAAZHJzL2Uyb0RvYy54bWxQSwUGAAAAAAYABgBZAQAA4Q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rFonts w:hint="eastAsia" w:ascii="Times New Roman" w:hAnsi="Times New Roman" w:eastAsia="宋体" w:cs="Times New Roman"/>
                          <w:b/>
                        </w:rPr>
                      </w:pPr>
                      <w:r>
                        <w:rPr>
                          <w:rFonts w:hint="eastAsia" w:ascii="Times New Roman" w:hAnsi="Times New Roman" w:eastAsia="宋体" w:cs="Times New Roman"/>
                          <w:b/>
                        </w:rPr>
                        <w:t>委托代理人身份证（正面）复印件</w:t>
                      </w:r>
                    </w:p>
                    <w:p>
                      <w:pPr>
                        <w:rPr>
                          <w:rFonts w:hint="eastAsia" w:ascii="Times New Roman" w:hAnsi="Times New Roman" w:eastAsia="宋体" w:cs="Times New Roman"/>
                          <w:b/>
                        </w:rPr>
                      </w:pPr>
                    </w:p>
                  </w:txbxContent>
                </v:textbox>
              </v:rect>
            </w:pict>
          </mc:Fallback>
        </mc:AlternateContent>
      </w:r>
    </w:p>
    <w:p>
      <w:pPr>
        <w:snapToGrid w:val="0"/>
        <w:rPr>
          <w:rFonts w:ascii="宋体" w:hAnsi="宋体"/>
          <w:color w:val="auto"/>
          <w:szCs w:val="21"/>
        </w:rPr>
      </w:pPr>
    </w:p>
    <w:p>
      <w:pPr>
        <w:autoSpaceDE w:val="0"/>
        <w:autoSpaceDN w:val="0"/>
        <w:adjustRightInd w:val="0"/>
        <w:snapToGrid w:val="0"/>
        <w:spacing w:line="360" w:lineRule="auto"/>
        <w:jc w:val="left"/>
        <w:rPr>
          <w:rFonts w:ascii="宋体" w:hAnsi="宋体"/>
          <w:color w:val="auto"/>
          <w:szCs w:val="21"/>
        </w:rPr>
      </w:pPr>
    </w:p>
    <w:p>
      <w:pPr>
        <w:autoSpaceDE w:val="0"/>
        <w:autoSpaceDN w:val="0"/>
        <w:adjustRightInd w:val="0"/>
        <w:snapToGrid w:val="0"/>
        <w:spacing w:line="360" w:lineRule="auto"/>
        <w:jc w:val="left"/>
        <w:rPr>
          <w:rFonts w:ascii="宋体" w:hAnsi="宋体"/>
          <w:color w:val="auto"/>
          <w:szCs w:val="21"/>
        </w:rPr>
      </w:pPr>
    </w:p>
    <w:p>
      <w:pPr>
        <w:autoSpaceDE w:val="0"/>
        <w:autoSpaceDN w:val="0"/>
        <w:adjustRightInd w:val="0"/>
        <w:snapToGrid w:val="0"/>
        <w:spacing w:line="360" w:lineRule="auto"/>
        <w:jc w:val="left"/>
        <w:rPr>
          <w:rFonts w:ascii="宋体" w:hAnsi="宋体"/>
          <w:color w:val="auto"/>
          <w:szCs w:val="21"/>
        </w:rPr>
      </w:pPr>
    </w:p>
    <w:p>
      <w:pPr>
        <w:adjustRightInd w:val="0"/>
        <w:snapToGrid w:val="0"/>
        <w:spacing w:line="360" w:lineRule="auto"/>
        <w:ind w:right="420"/>
        <w:rPr>
          <w:rFonts w:hint="eastAsia" w:ascii="宋体" w:hAnsi="宋体"/>
          <w:color w:val="auto"/>
          <w:szCs w:val="21"/>
        </w:rPr>
      </w:pPr>
    </w:p>
    <w:p>
      <w:pPr>
        <w:autoSpaceDE w:val="0"/>
        <w:autoSpaceDN w:val="0"/>
        <w:adjustRightInd w:val="0"/>
        <w:snapToGrid w:val="0"/>
        <w:spacing w:line="360" w:lineRule="auto"/>
        <w:jc w:val="left"/>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65408" behindDoc="1" locked="0" layoutInCell="1" allowOverlap="1">
                <wp:simplePos x="0" y="0"/>
                <wp:positionH relativeFrom="column">
                  <wp:posOffset>2971800</wp:posOffset>
                </wp:positionH>
                <wp:positionV relativeFrom="paragraph">
                  <wp:posOffset>135255</wp:posOffset>
                </wp:positionV>
                <wp:extent cx="2355850" cy="1221105"/>
                <wp:effectExtent l="4445" t="4445" r="17145" b="8890"/>
                <wp:wrapNone/>
                <wp:docPr id="11"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lang w:eastAsia="zh-CN"/>
                              </w:rPr>
                              <w:t>律师事务所负责人</w:t>
                            </w:r>
                            <w:r>
                              <w:rPr>
                                <w:rFonts w:hint="eastAsia"/>
                                <w:b/>
                              </w:rPr>
                              <w:t>身份证（反面）复印件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34pt;margin-top:10.65pt;height:96.15pt;width:185.5pt;z-index:-251651072;mso-width-relative:page;mso-height-relative:page;" fillcolor="#FFFFFF" filled="t" stroked="t" coordsize="21600,21600" o:gfxdata="UEsDBAoAAAAAAIdO4kAAAAAAAAAAAAAAAAAEAAAAZHJzL1BLAwQUAAAACACHTuJAMw68pdcAAAAK&#10;AQAADwAAAGRycy9kb3ducmV2LnhtbE2PzU7DMBCE70i8g7VI3Kjzg6I0xOkBVCSObXrh5sRLEojX&#10;Uey0gadn4QLHnR3NfFPuVjuKM85+cKQg3kQgkFpnBuoUnOr9XQ7CB01Gj45QwSd62FXXV6UujLvQ&#10;Ac/H0AkOIV9oBX0IUyGlb3u02m/chMS/NzdbHficO2lmfeFwO8okijJp9UDc0OsJH3tsP46LVdAM&#10;yUl/HernyG73aXhZ6/fl9Ump25s4egARcA1/ZvjBZ3SomKlxCxkvRgX3Wc5bgoIkTkGwIU+3LDS/&#10;QgayKuX/CdU3UEsDBBQAAAAIAIdO4kCkmRnGRAIAAJU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FJyDlzwlLH&#10;f327/fnjO1uO4gw+VBRz7a9wLC/4S5CfA3Nw1gvXqVNEGHolGqKUj/HZgwujEegqWw/voCFosYmQ&#10;dNq1aEdAUoDtUjtu7tuhdpFJ+li8LMvDkjolyZcXRZ4vypRDVHfXPYb4RoFl46HmSP1O8GJ7GeJI&#10;R1R3IYk+GN1caGOSgd36zCDbCpqNi/TM6GE/zDg21PyoLEoiYj0pFVyXkjwIC/toi/T8C83qSNtj&#10;tK354X6QcSMllSZ2pn4n3tSEuFvv5n6sobkhTRGmaaZdpkMP+JWzgSaZCH7ZCFScmbeO+nKUL5fj&#10;6CdjWb4uyMB9z3rfI5wkqJpHzqbjWZzWZeNRdz1lylPxDk6pl61OKo9UJ1bzBNC0JvHnzRrXYd9O&#10;UX/+Jq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w68pdcAAAAKAQAADwAAAAAAAAABACAAAAAi&#10;AAAAZHJzL2Rvd25yZXYueG1sUEsBAhQAFAAAAAgAh07iQKSZGcZEAgAAlQ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lang w:eastAsia="zh-CN"/>
                        </w:rPr>
                        <w:t>律师事务所负责人</w:t>
                      </w:r>
                      <w:r>
                        <w:rPr>
                          <w:rFonts w:hint="eastAsia"/>
                          <w:b/>
                        </w:rPr>
                        <w:t>身份证（反面）复印件</w:t>
                      </w:r>
                    </w:p>
                    <w:p/>
                  </w:txbxContent>
                </v:textbox>
              </v:rect>
            </w:pict>
          </mc:Fallback>
        </mc:AlternateContent>
      </w:r>
      <w:r>
        <w:rPr>
          <w:rFonts w:ascii="宋体" w:hAnsi="宋体"/>
          <w:color w:val="auto"/>
          <w:szCs w:val="21"/>
        </w:rPr>
        <mc:AlternateContent>
          <mc:Choice Requires="wps">
            <w:drawing>
              <wp:anchor distT="0" distB="0" distL="114300" distR="114300" simplePos="0" relativeHeight="251663360" behindDoc="1" locked="0" layoutInCell="1" allowOverlap="1">
                <wp:simplePos x="0" y="0"/>
                <wp:positionH relativeFrom="column">
                  <wp:posOffset>-111760</wp:posOffset>
                </wp:positionH>
                <wp:positionV relativeFrom="paragraph">
                  <wp:posOffset>146050</wp:posOffset>
                </wp:positionV>
                <wp:extent cx="2355850" cy="1221105"/>
                <wp:effectExtent l="4445" t="4445" r="17145" b="8890"/>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lang w:eastAsia="zh-CN"/>
                              </w:rPr>
                              <w:t>律师事务所负责人</w:t>
                            </w:r>
                            <w:r>
                              <w:rPr>
                                <w:rFonts w:hint="eastAsia"/>
                                <w:b/>
                              </w:rPr>
                              <w:t>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3120;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CEUL3FFAgAAlgQAAA4AAABkcnMvZTJvRG9jLnhtbK1U&#10;wW7UMBC9I/EPlu80m9DANmq2qloVIRWoVPgAr+MkFrbHjL2bLT+DxK0fwecgfoOJk5Zt4dADOVge&#10;e/zmzZuZHJ/srGFbhUGDq3l+sOBMOQmNdl3NP328eLHkLEThGmHAqZrfqMBPVs+fHQ++UgX0YBqF&#10;jEBcqAZf8z5GX2VZkL2yIhyAV44uW0ArIpnYZQ2KgdCtyYrF4lU2ADYeQaoQ6PR8uuQzIj4FENpW&#10;S3UOcmOVixMqKiMipRR67QNfJbZtq2T80LZBRWZqTpnGtFIQ2q/HNVsdi6pD4XstZwriKRQe5WSF&#10;dhT0HupcRME2qP+CsloiBGjjgQSbTYkkRSiLfPFIm+teeJVyIamDvxc9/D9Y+X57hUw31AkFZ05Y&#10;qvivb7c/f3xndEDqDD5U5HTtr3DML/hLkJ8Dc3DWC9epU0QYeiUa4pSP/tmDB6MR6ClbD++gIWyx&#10;iZCE2rVoR0CSgO1SPW7u66F2kUk6LF6W5bKkUkm6y4sizxdliiGqu+ceQ3yjwLJxU3Okgid4sb0M&#10;caQjqjuXRB+Mbi60McnAbn1mkG0FNcdF+mb0sO9mHBtqflQWJRGxnqQKrktBHriFfbRF+v6FZnWk&#10;8THa1ny572TcSEmllp2p34k3FSHu1ru5HmtobkhThKmdaZhp0wN+5WygViaCXzYCFWfmraO6HOWH&#10;h2PvJ+OwfF2Qgfs36/0b4SRB1TxyNm3P4jQvG4+66ylSnpJ3cEq1bHVSeaQ6sZo7gNo1iT+P1jgP&#10;+3by+vM7Wf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IfjdNtkAAAAKAQAADwAAAAAAAAABACAA&#10;AAAiAAAAZHJzL2Rvd25yZXYueG1sUEsBAhQAFAAAAAgAh07iQCEUL3FFAgAAlgQAAA4AAAAAAAAA&#10;AQAgAAAAKAEAAGRycy9lMm9Eb2MueG1sUEsFBgAAAAAGAAYAWQEAAN8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lang w:eastAsia="zh-CN"/>
                        </w:rPr>
                        <w:t>律师事务所负责人</w:t>
                      </w:r>
                      <w:r>
                        <w:rPr>
                          <w:rFonts w:hint="eastAsia"/>
                          <w:b/>
                        </w:rPr>
                        <w:t>身份证（正面）复印件</w:t>
                      </w:r>
                    </w:p>
                    <w:p/>
                  </w:txbxContent>
                </v:textbox>
              </v:rect>
            </w:pict>
          </mc:Fallback>
        </mc:AlternateContent>
      </w:r>
    </w:p>
    <w:p>
      <w:pPr>
        <w:snapToGrid w:val="0"/>
        <w:rPr>
          <w:rFonts w:ascii="宋体" w:hAnsi="宋体"/>
          <w:color w:val="auto"/>
          <w:szCs w:val="21"/>
        </w:rPr>
      </w:pPr>
    </w:p>
    <w:p>
      <w:pPr>
        <w:autoSpaceDE w:val="0"/>
        <w:autoSpaceDN w:val="0"/>
        <w:adjustRightInd w:val="0"/>
        <w:snapToGrid w:val="0"/>
        <w:spacing w:line="360" w:lineRule="auto"/>
        <w:jc w:val="left"/>
        <w:rPr>
          <w:rFonts w:ascii="宋体" w:hAnsi="宋体"/>
          <w:color w:val="auto"/>
          <w:szCs w:val="21"/>
        </w:rPr>
      </w:pPr>
    </w:p>
    <w:p>
      <w:pPr>
        <w:autoSpaceDE w:val="0"/>
        <w:autoSpaceDN w:val="0"/>
        <w:adjustRightInd w:val="0"/>
        <w:snapToGrid w:val="0"/>
        <w:spacing w:line="360" w:lineRule="auto"/>
        <w:jc w:val="left"/>
        <w:rPr>
          <w:rFonts w:ascii="宋体" w:hAnsi="宋体"/>
          <w:color w:val="auto"/>
          <w:szCs w:val="21"/>
        </w:rPr>
      </w:pPr>
    </w:p>
    <w:p>
      <w:pPr>
        <w:autoSpaceDE w:val="0"/>
        <w:autoSpaceDN w:val="0"/>
        <w:adjustRightInd w:val="0"/>
        <w:snapToGrid w:val="0"/>
        <w:spacing w:line="360" w:lineRule="auto"/>
        <w:jc w:val="left"/>
        <w:rPr>
          <w:rFonts w:ascii="宋体" w:hAnsi="宋体"/>
          <w:color w:val="auto"/>
          <w:szCs w:val="21"/>
        </w:rPr>
      </w:pPr>
    </w:p>
    <w:p>
      <w:pPr>
        <w:autoSpaceDE w:val="0"/>
        <w:autoSpaceDN w:val="0"/>
        <w:adjustRightInd w:val="0"/>
        <w:snapToGrid w:val="0"/>
        <w:spacing w:line="360" w:lineRule="auto"/>
        <w:jc w:val="left"/>
        <w:rPr>
          <w:rFonts w:ascii="宋体" w:hAnsi="宋体"/>
          <w:color w:val="auto"/>
          <w:szCs w:val="21"/>
        </w:rPr>
      </w:pPr>
    </w:p>
    <w:p>
      <w:pPr>
        <w:autoSpaceDE w:val="0"/>
        <w:autoSpaceDN w:val="0"/>
        <w:adjustRightInd w:val="0"/>
        <w:snapToGrid w:val="0"/>
        <w:spacing w:line="360" w:lineRule="auto"/>
        <w:jc w:val="left"/>
        <w:rPr>
          <w:rFonts w:ascii="宋体" w:hAnsi="宋体"/>
          <w:b/>
          <w:color w:val="auto"/>
          <w:szCs w:val="21"/>
        </w:rPr>
      </w:pPr>
      <w:r>
        <w:rPr>
          <w:rFonts w:ascii="宋体" w:hAnsi="宋体"/>
          <w:color w:val="auto"/>
          <w:szCs w:val="21"/>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85090</wp:posOffset>
                </wp:positionV>
                <wp:extent cx="2355850" cy="1221105"/>
                <wp:effectExtent l="4445" t="4445" r="17145" b="889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ascii="Times New Roman" w:hAnsi="Times New Roman" w:eastAsia="宋体" w:cs="Times New Roman"/>
                                <w:b/>
                                <w:lang w:val="en-US" w:eastAsia="zh-CN"/>
                              </w:rPr>
                              <w:t>律师事务所执业许可证</w:t>
                            </w:r>
                            <w:r>
                              <w:rPr>
                                <w:rFonts w:hint="eastAsia"/>
                                <w:b/>
                              </w:rPr>
                              <w:t>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6.7pt;height:96.15pt;width:185.5pt;z-index:251664384;mso-width-relative:page;mso-height-relative:page;" fillcolor="#FFFFFF" filled="t" stroked="t" coordsize="21600,21600" o:gfxdata="UEsDBAoAAAAAAIdO4kAAAAAAAAAAAAAAAAAEAAAAZHJzL1BLAwQUAAAACACHTuJA5SFFaNgAAAAK&#10;AQAADwAAAGRycy9kb3ducmV2LnhtbE2PQU+DQBCF7yb+h82YeGt3AauVsvSgqYnHll68DTAFlN0l&#10;7NKiv97xZI/z3sub72Xb2fTiTKPvnNUQLRUIspWrO9toOBa7xRqED2hr7J0lDd/kYZvf3mSY1u5i&#10;93Q+hEZwifUpamhDGFIpfdWSQb90A1n2Tm40GPgcG1mPeOFy08tYqUdpsLP8ocWBXlqqvg6T0VB2&#10;8RF/9sWbMs+7JLzPxef08ar1/V2kNiACzeE/DH/4jA45M5VusrUXvYZFtOYtgY3kAQQHklXCQqkh&#10;VqsnkHkmryfkv1BLAwQUAAAACACHTuJAeNid8UUCAACWBAAADgAAAGRycy9lMm9Eb2MueG1srVTB&#10;btQwEL0j8Q+W7zSbtIFt1GxVtSpCKlCp8AFex0ksbI8ZezdbfgaJGx/B5yB+g4mTlm3h0AM5WB57&#10;/ObNm5mcnO6sYVuFQYOreX6w4Ew5CY12Xc0/frh8seQsROEaYcCpmt+qwE9Xz5+dDL5SBfRgGoWM&#10;QFyoBl/zPkZfZVmQvbIiHIBXji5bQCsimdhlDYqB0K3JisXiZTYANh5BqhDo9GK65DMiPgUQ2lZL&#10;dQFyY5WLEyoqIyKlFHrtA18ltm2rZHzftkFFZmpOmca0UhDar8c1W52IqkPhey1nCuIpFB7lZIV2&#10;FPQe6kJEwTao/4KyWiIEaOOBBJtNiSRFKIt88Uibm154lXIhqYO/Fz38P1j5bnuNTDfUCYecOWGp&#10;4r++fv/54xujA1Jn8KEipxt/jWN+wV+B/BSYg/NeuE6dIcLQK9EQp3z0zx48GI1AT9l6eAsNYYtN&#10;hCTUrkU7ApIEbJfqcXtfD7WLTNJhcViWy5JKJekuL4o8X5QphqjunnsM8bUCy8ZNzZEKnuDF9irE&#10;kY6o7lwSfTC6udTGJAO79blBthXUHJfpm9HDvptxbKj5cVmURMR6kiq4LgV54Bb20Rbp+xea1ZHG&#10;x2hb8+W+k3EjJZVadqZ+J95UhLhb7+Z6rKG5JU0RpnamYaZND/iFs4FamQh+3ghUnJk3jupynB8d&#10;jb2fjKPyVUEG7t+s92+EkwRV88jZtD2P07xsPOqup0h5St7BGdWy1UnlkerEau4Aatck/jxa4zzs&#10;28nrz+9k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lIUVo2AAAAAoBAAAPAAAAAAAAAAEAIAAA&#10;ACIAAABkcnMvZG93bnJldi54bWxQSwECFAAUAAAACACHTuJAeNid8UUCAACWBAAADgAAAAAAAAAB&#10;ACAAAAAn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ascii="Times New Roman" w:hAnsi="Times New Roman" w:eastAsia="宋体" w:cs="Times New Roman"/>
                          <w:b/>
                          <w:lang w:val="en-US" w:eastAsia="zh-CN"/>
                        </w:rPr>
                        <w:t>律师事务所执业许可证</w:t>
                      </w:r>
                      <w:r>
                        <w:rPr>
                          <w:rFonts w:hint="eastAsia"/>
                          <w:b/>
                        </w:rPr>
                        <w:t>复印件</w:t>
                      </w:r>
                    </w:p>
                    <w:p/>
                  </w:txbxContent>
                </v:textbox>
              </v:rect>
            </w:pict>
          </mc:Fallback>
        </mc:AlternateContent>
      </w:r>
    </w:p>
    <w:p>
      <w:pPr>
        <w:autoSpaceDE w:val="0"/>
        <w:autoSpaceDN w:val="0"/>
        <w:adjustRightInd w:val="0"/>
        <w:snapToGrid w:val="0"/>
        <w:spacing w:line="360" w:lineRule="auto"/>
        <w:jc w:val="left"/>
        <w:rPr>
          <w:rFonts w:ascii="宋体" w:hAnsi="宋体"/>
          <w:b/>
          <w:color w:val="auto"/>
          <w:szCs w:val="21"/>
        </w:rPr>
      </w:pPr>
    </w:p>
    <w:p>
      <w:pPr>
        <w:autoSpaceDE w:val="0"/>
        <w:autoSpaceDN w:val="0"/>
        <w:adjustRightInd w:val="0"/>
        <w:snapToGrid w:val="0"/>
        <w:spacing w:line="360" w:lineRule="auto"/>
        <w:jc w:val="left"/>
        <w:rPr>
          <w:rFonts w:ascii="宋体" w:hAnsi="宋体"/>
          <w:b/>
          <w:color w:val="auto"/>
          <w:szCs w:val="21"/>
        </w:rPr>
      </w:pPr>
    </w:p>
    <w:p>
      <w:pPr>
        <w:autoSpaceDE w:val="0"/>
        <w:autoSpaceDN w:val="0"/>
        <w:adjustRightInd w:val="0"/>
        <w:snapToGrid w:val="0"/>
        <w:spacing w:line="360" w:lineRule="auto"/>
        <w:jc w:val="left"/>
        <w:rPr>
          <w:rFonts w:ascii="宋体" w:hAnsi="宋体"/>
          <w:b/>
          <w:color w:val="auto"/>
          <w:szCs w:val="21"/>
        </w:rPr>
      </w:pPr>
    </w:p>
    <w:p>
      <w:pPr>
        <w:autoSpaceDE w:val="0"/>
        <w:autoSpaceDN w:val="0"/>
        <w:adjustRightInd w:val="0"/>
        <w:snapToGrid w:val="0"/>
        <w:spacing w:line="360" w:lineRule="auto"/>
        <w:jc w:val="left"/>
        <w:rPr>
          <w:rFonts w:ascii="宋体" w:hAnsi="宋体"/>
          <w:b/>
          <w:color w:val="auto"/>
          <w:szCs w:val="21"/>
        </w:rPr>
      </w:pPr>
    </w:p>
    <w:p>
      <w:pPr>
        <w:autoSpaceDE w:val="0"/>
        <w:autoSpaceDN w:val="0"/>
        <w:adjustRightInd w:val="0"/>
        <w:snapToGrid w:val="0"/>
        <w:spacing w:line="360" w:lineRule="auto"/>
        <w:jc w:val="left"/>
        <w:rPr>
          <w:rFonts w:hint="eastAsia" w:ascii="宋体" w:hAnsi="宋体"/>
          <w:b/>
          <w:color w:val="auto"/>
          <w:szCs w:val="21"/>
        </w:rPr>
      </w:pPr>
    </w:p>
    <w:p>
      <w:pPr>
        <w:autoSpaceDE w:val="0"/>
        <w:autoSpaceDN w:val="0"/>
        <w:adjustRightInd w:val="0"/>
        <w:snapToGrid w:val="0"/>
        <w:spacing w:line="360" w:lineRule="auto"/>
        <w:jc w:val="left"/>
        <w:rPr>
          <w:rFonts w:hint="eastAsia" w:ascii="宋体" w:hAnsi="宋体"/>
          <w:b/>
          <w:color w:val="auto"/>
          <w:szCs w:val="21"/>
        </w:rPr>
      </w:pPr>
      <w:r>
        <w:rPr>
          <w:rFonts w:hint="eastAsia" w:ascii="宋体" w:hAnsi="宋体"/>
          <w:b/>
          <w:color w:val="auto"/>
          <w:szCs w:val="21"/>
        </w:rPr>
        <w:t xml:space="preserve">备注：上述证件复印件可另附页，另附页时，证件复印件均须加盖单位公章。 </w:t>
      </w:r>
    </w:p>
    <w:p>
      <w:pPr>
        <w:autoSpaceDE w:val="0"/>
        <w:autoSpaceDN w:val="0"/>
        <w:adjustRightInd w:val="0"/>
        <w:snapToGrid w:val="0"/>
        <w:spacing w:line="360" w:lineRule="auto"/>
        <w:jc w:val="left"/>
        <w:rPr>
          <w:rFonts w:hint="eastAsia" w:ascii="宋体" w:hAnsi="宋体"/>
          <w:b/>
          <w:color w:val="auto"/>
          <w:szCs w:val="21"/>
        </w:rPr>
      </w:pPr>
    </w:p>
    <w:p>
      <w:pPr>
        <w:autoSpaceDE w:val="0"/>
        <w:autoSpaceDN w:val="0"/>
        <w:adjustRightInd w:val="0"/>
        <w:snapToGrid w:val="0"/>
        <w:spacing w:line="360" w:lineRule="auto"/>
        <w:jc w:val="left"/>
        <w:rPr>
          <w:rFonts w:hint="eastAsia" w:ascii="宋体" w:hAnsi="宋体"/>
          <w:b/>
          <w:color w:val="auto"/>
          <w:szCs w:val="21"/>
        </w:rPr>
      </w:pPr>
    </w:p>
    <w:p>
      <w:pPr>
        <w:adjustRightInd w:val="0"/>
        <w:snapToGrid w:val="0"/>
        <w:spacing w:line="360" w:lineRule="auto"/>
        <w:ind w:right="420"/>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名称（盖单位章）：</w:t>
      </w:r>
      <w:r>
        <w:rPr>
          <w:rFonts w:hint="eastAsia" w:ascii="宋体" w:hAnsi="宋体"/>
          <w:color w:val="auto"/>
          <w:szCs w:val="21"/>
          <w:u w:val="single"/>
        </w:rPr>
        <w:t xml:space="preserve">                     </w:t>
      </w:r>
    </w:p>
    <w:p>
      <w:pPr>
        <w:adjustRightInd w:val="0"/>
        <w:snapToGrid w:val="0"/>
        <w:spacing w:line="360" w:lineRule="auto"/>
        <w:ind w:right="420"/>
        <w:rPr>
          <w:rFonts w:hint="eastAsia" w:ascii="宋体" w:hAnsi="宋体"/>
          <w:color w:val="auto"/>
          <w:szCs w:val="21"/>
        </w:rPr>
      </w:pPr>
      <w:r>
        <w:rPr>
          <w:rFonts w:hint="eastAsia"/>
          <w:color w:val="auto"/>
        </w:rPr>
        <w:t>律师事务所负责人</w:t>
      </w:r>
      <w:r>
        <w:rPr>
          <w:rFonts w:hint="eastAsia" w:ascii="宋体" w:hAnsi="宋体"/>
          <w:color w:val="auto"/>
          <w:szCs w:val="21"/>
        </w:rPr>
        <w:t>（签字或盖章）：</w:t>
      </w:r>
      <w:r>
        <w:rPr>
          <w:rFonts w:hint="eastAsia" w:ascii="宋体" w:hAnsi="宋体"/>
          <w:color w:val="auto"/>
          <w:szCs w:val="21"/>
          <w:u w:val="single"/>
        </w:rPr>
        <w:t xml:space="preserve">                     </w:t>
      </w:r>
    </w:p>
    <w:p>
      <w:pPr>
        <w:adjustRightInd w:val="0"/>
        <w:snapToGrid w:val="0"/>
        <w:spacing w:line="360" w:lineRule="auto"/>
        <w:ind w:right="420"/>
        <w:rPr>
          <w:rFonts w:hint="eastAsia" w:ascii="宋体" w:hAnsi="宋体"/>
          <w:color w:val="auto"/>
          <w:szCs w:val="21"/>
        </w:rPr>
      </w:pPr>
      <w:r>
        <w:rPr>
          <w:rFonts w:hint="eastAsia" w:ascii="宋体" w:hAnsi="宋体"/>
          <w:color w:val="auto"/>
          <w:szCs w:val="21"/>
        </w:rPr>
        <w:t>委托代理人（签字或盖章）：</w:t>
      </w:r>
      <w:r>
        <w:rPr>
          <w:rFonts w:hint="eastAsia" w:ascii="宋体" w:hAnsi="宋体"/>
          <w:color w:val="auto"/>
          <w:szCs w:val="21"/>
          <w:u w:val="single"/>
        </w:rPr>
        <w:t xml:space="preserve">                     </w:t>
      </w:r>
    </w:p>
    <w:p>
      <w:pPr>
        <w:adjustRightInd w:val="0"/>
        <w:snapToGrid w:val="0"/>
        <w:spacing w:line="360" w:lineRule="auto"/>
        <w:ind w:right="24"/>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utoSpaceDE w:val="0"/>
        <w:autoSpaceDN w:val="0"/>
        <w:adjustRightInd w:val="0"/>
        <w:snapToGrid w:val="0"/>
        <w:spacing w:before="159" w:beforeLines="50" w:line="360" w:lineRule="auto"/>
        <w:jc w:val="left"/>
        <w:rPr>
          <w:rFonts w:ascii="宋体" w:hAnsi="宋体" w:cs="宋体"/>
          <w:color w:val="auto"/>
          <w:kern w:val="0"/>
          <w:szCs w:val="21"/>
        </w:rPr>
      </w:pPr>
      <w:r>
        <w:rPr>
          <w:rFonts w:hint="eastAsia" w:ascii="宋体" w:hAnsi="宋体" w:cs="宋体"/>
          <w:b/>
          <w:color w:val="auto"/>
          <w:sz w:val="32"/>
          <w:szCs w:val="32"/>
        </w:rPr>
        <w:br w:type="page"/>
      </w:r>
    </w:p>
    <w:p>
      <w:pPr>
        <w:adjustRightInd w:val="0"/>
        <w:snapToGrid w:val="0"/>
        <w:spacing w:line="360" w:lineRule="auto"/>
        <w:ind w:right="24"/>
        <w:jc w:val="center"/>
        <w:outlineLvl w:val="1"/>
        <w:rPr>
          <w:rFonts w:ascii="宋体" w:hAnsi="宋体" w:cs="宋体"/>
          <w:b/>
          <w:color w:val="auto"/>
          <w:sz w:val="32"/>
          <w:szCs w:val="32"/>
        </w:rPr>
      </w:pPr>
      <w:bookmarkStart w:id="114" w:name="_Toc16309"/>
      <w:bookmarkStart w:id="115" w:name="_Toc4789"/>
      <w:r>
        <w:rPr>
          <w:rFonts w:hint="eastAsia" w:ascii="宋体" w:hAnsi="宋体" w:cs="宋体"/>
          <w:b/>
          <w:color w:val="auto"/>
          <w:sz w:val="32"/>
          <w:szCs w:val="32"/>
        </w:rPr>
        <w:t>四、供应商资格证明文件</w:t>
      </w:r>
      <w:bookmarkEnd w:id="108"/>
      <w:bookmarkEnd w:id="109"/>
      <w:bookmarkEnd w:id="110"/>
      <w:bookmarkEnd w:id="111"/>
      <w:bookmarkEnd w:id="112"/>
      <w:bookmarkEnd w:id="113"/>
      <w:bookmarkEnd w:id="114"/>
      <w:bookmarkEnd w:id="115"/>
    </w:p>
    <w:p>
      <w:pPr>
        <w:adjustRightInd w:val="0"/>
        <w:snapToGrid w:val="0"/>
        <w:spacing w:line="360" w:lineRule="auto"/>
        <w:rPr>
          <w:rFonts w:ascii="仿宋" w:hAnsi="仿宋" w:eastAsia="仿宋"/>
          <w:bCs/>
          <w:color w:val="auto"/>
          <w:szCs w:val="21"/>
        </w:rPr>
      </w:pPr>
    </w:p>
    <w:p>
      <w:pPr>
        <w:adjustRightInd w:val="0"/>
        <w:snapToGrid w:val="0"/>
        <w:spacing w:line="360" w:lineRule="auto"/>
        <w:ind w:firstLine="420" w:firstLineChars="200"/>
        <w:rPr>
          <w:rFonts w:ascii="宋体" w:hAnsi="宋体"/>
          <w:bCs/>
          <w:color w:val="auto"/>
          <w:szCs w:val="21"/>
          <w:highlight w:val="cyan"/>
        </w:rPr>
      </w:pPr>
      <w:r>
        <w:rPr>
          <w:rFonts w:hint="eastAsia" w:ascii="宋体" w:hAnsi="宋体"/>
          <w:bCs/>
          <w:color w:val="auto"/>
          <w:szCs w:val="21"/>
        </w:rPr>
        <w:t>根据本竞争性采购文件</w:t>
      </w:r>
      <w:r>
        <w:rPr>
          <w:rFonts w:hint="eastAsia" w:ascii="宋体" w:hAnsi="宋体"/>
          <w:b/>
          <w:bCs/>
          <w:color w:val="auto"/>
          <w:szCs w:val="21"/>
        </w:rPr>
        <w:t>前附表</w:t>
      </w:r>
      <w:r>
        <w:rPr>
          <w:rFonts w:hint="eastAsia" w:ascii="宋体" w:hAnsi="宋体"/>
          <w:bCs/>
          <w:color w:val="auto"/>
          <w:szCs w:val="21"/>
        </w:rPr>
        <w:t>内的资格要求，本章节须附下列证明文件</w:t>
      </w:r>
      <w:r>
        <w:rPr>
          <w:rStyle w:val="56"/>
          <w:rFonts w:hint="eastAsia"/>
          <w:b/>
          <w:bCs/>
          <w:color w:val="auto"/>
          <w:u w:val="none"/>
          <w:shd w:val="clear" w:color="auto" w:fill="FFFFFF"/>
        </w:rPr>
        <w:t>原件扫描件打印版</w:t>
      </w:r>
      <w:r>
        <w:rPr>
          <w:rFonts w:hint="eastAsia" w:ascii="宋体" w:hAnsi="宋体"/>
          <w:bCs/>
          <w:color w:val="auto"/>
          <w:szCs w:val="21"/>
        </w:rPr>
        <w:t>：</w:t>
      </w:r>
    </w:p>
    <w:p>
      <w:pPr>
        <w:numPr>
          <w:ilvl w:val="0"/>
          <w:numId w:val="0"/>
        </w:numPr>
        <w:spacing w:line="360" w:lineRule="auto"/>
        <w:ind w:firstLine="420" w:firstLineChars="200"/>
        <w:rPr>
          <w:rFonts w:hint="eastAsia" w:ascii="宋体" w:hAnsi="宋体" w:eastAsia="宋体" w:cs="宋体"/>
          <w:color w:val="auto"/>
        </w:rPr>
      </w:pPr>
      <w:r>
        <w:rPr>
          <w:rFonts w:hint="eastAsia" w:ascii="宋体" w:hAnsi="宋体" w:cs="宋体"/>
          <w:color w:val="auto"/>
          <w:lang w:val="en-US" w:eastAsia="zh-CN"/>
        </w:rPr>
        <w:t>1.</w:t>
      </w:r>
      <w:r>
        <w:rPr>
          <w:rFonts w:hint="eastAsia" w:ascii="宋体" w:hAnsi="宋体" w:eastAsia="宋体" w:cs="宋体"/>
          <w:color w:val="auto"/>
        </w:rPr>
        <w:t>须提供</w:t>
      </w:r>
      <w:r>
        <w:rPr>
          <w:rFonts w:hint="eastAsia" w:ascii="宋体" w:hAnsi="宋体" w:eastAsia="宋体" w:cs="宋体"/>
          <w:color w:val="auto"/>
          <w:sz w:val="21"/>
          <w:szCs w:val="21"/>
          <w:lang w:val="en-US" w:eastAsia="zh-CN"/>
        </w:rPr>
        <w:t>有效期内的律师事务所执</w:t>
      </w:r>
      <w:r>
        <w:rPr>
          <w:rFonts w:hint="eastAsia" w:ascii="宋体" w:hAnsi="宋体" w:cs="宋体"/>
          <w:color w:val="auto"/>
          <w:sz w:val="21"/>
          <w:szCs w:val="21"/>
          <w:lang w:val="en-US" w:eastAsia="zh-CN"/>
        </w:rPr>
        <w:t>业许可证</w:t>
      </w:r>
      <w:r>
        <w:rPr>
          <w:rFonts w:hint="eastAsia" w:ascii="宋体" w:hAnsi="宋体" w:eastAsia="宋体" w:cs="宋体"/>
          <w:color w:val="auto"/>
          <w:lang w:val="en-US" w:eastAsia="zh-CN"/>
        </w:rPr>
        <w:t>。</w:t>
      </w:r>
    </w:p>
    <w:p>
      <w:pPr>
        <w:numPr>
          <w:ilvl w:val="0"/>
          <w:numId w:val="0"/>
        </w:numPr>
        <w:spacing w:line="360" w:lineRule="auto"/>
        <w:ind w:leftChars="200"/>
        <w:rPr>
          <w:rFonts w:hint="eastAsia" w:ascii="宋体" w:hAnsi="宋体" w:eastAsia="宋体" w:cs="宋体"/>
          <w:color w:val="auto"/>
        </w:rPr>
      </w:pPr>
      <w:r>
        <w:rPr>
          <w:rFonts w:hint="eastAsia" w:ascii="宋体" w:hAnsi="宋体" w:cs="宋体"/>
          <w:color w:val="auto"/>
          <w:lang w:val="en-US" w:eastAsia="zh-CN"/>
        </w:rPr>
        <w:t>2.</w:t>
      </w:r>
      <w:r>
        <w:rPr>
          <w:rFonts w:hint="eastAsia" w:ascii="宋体" w:hAnsi="宋体" w:eastAsia="宋体" w:cs="宋体"/>
          <w:color w:val="auto"/>
        </w:rPr>
        <w:t>供应商认为与本项目资格条件有关</w:t>
      </w:r>
      <w:r>
        <w:rPr>
          <w:rFonts w:hint="eastAsia" w:ascii="宋体" w:hAnsi="宋体" w:eastAsia="宋体" w:cs="宋体"/>
          <w:color w:val="auto"/>
          <w:lang w:eastAsia="zh-CN"/>
        </w:rPr>
        <w:t>的其他</w:t>
      </w:r>
      <w:r>
        <w:rPr>
          <w:rFonts w:hint="eastAsia" w:ascii="宋体" w:hAnsi="宋体" w:eastAsia="宋体" w:cs="宋体"/>
          <w:color w:val="auto"/>
        </w:rPr>
        <w:t>证明文件（如有，格式自拟）。</w:t>
      </w:r>
    </w:p>
    <w:p>
      <w:pPr>
        <w:pStyle w:val="2"/>
        <w:spacing w:line="360" w:lineRule="auto"/>
        <w:ind w:left="0" w:leftChars="0"/>
        <w:rPr>
          <w:color w:val="auto"/>
        </w:rPr>
      </w:pPr>
    </w:p>
    <w:p>
      <w:pPr>
        <w:adjustRightInd w:val="0"/>
        <w:snapToGrid w:val="0"/>
        <w:spacing w:line="360" w:lineRule="auto"/>
        <w:ind w:firstLine="422" w:firstLineChars="200"/>
        <w:rPr>
          <w:rFonts w:ascii="宋体" w:hAnsi="宋体"/>
          <w:b/>
          <w:bCs/>
          <w:color w:val="auto"/>
          <w:szCs w:val="21"/>
        </w:rPr>
      </w:pPr>
      <w:r>
        <w:rPr>
          <w:rFonts w:hint="eastAsia" w:ascii="宋体" w:hAnsi="宋体"/>
          <w:b/>
          <w:bCs/>
          <w:color w:val="auto"/>
          <w:szCs w:val="21"/>
        </w:rPr>
        <w:t>备注：上述证明文件扫描件打印版均须加盖供应商公章。</w:t>
      </w:r>
    </w:p>
    <w:p>
      <w:pPr>
        <w:pStyle w:val="2"/>
        <w:spacing w:line="360" w:lineRule="auto"/>
        <w:ind w:left="0" w:leftChars="0"/>
        <w:rPr>
          <w:color w:val="auto"/>
        </w:rPr>
      </w:pPr>
    </w:p>
    <w:p>
      <w:pPr>
        <w:rPr>
          <w:color w:val="auto"/>
        </w:rPr>
      </w:pPr>
    </w:p>
    <w:p>
      <w:pPr>
        <w:rPr>
          <w:color w:val="auto"/>
        </w:rPr>
      </w:pPr>
      <w:r>
        <w:rPr>
          <w:color w:val="auto"/>
        </w:rPr>
        <w:br w:type="page"/>
      </w:r>
    </w:p>
    <w:p>
      <w:pPr>
        <w:adjustRightInd w:val="0"/>
        <w:snapToGrid w:val="0"/>
        <w:jc w:val="center"/>
        <w:outlineLvl w:val="0"/>
        <w:rPr>
          <w:rFonts w:ascii="宋体" w:hAnsi="宋体"/>
          <w:b/>
          <w:color w:val="auto"/>
          <w:sz w:val="28"/>
          <w:szCs w:val="28"/>
        </w:rPr>
      </w:pPr>
      <w:bookmarkStart w:id="116" w:name="_Toc12467"/>
      <w:bookmarkStart w:id="117" w:name="_Toc31579"/>
      <w:r>
        <w:rPr>
          <w:rFonts w:hint="eastAsia" w:ascii="黑体" w:hAnsi="宋体" w:eastAsia="黑体"/>
          <w:b/>
          <w:color w:val="auto"/>
          <w:sz w:val="32"/>
          <w:szCs w:val="32"/>
          <w:lang w:val="en-US" w:eastAsia="zh-CN"/>
        </w:rPr>
        <w:t>五</w:t>
      </w:r>
      <w:r>
        <w:rPr>
          <w:rFonts w:hint="eastAsia" w:ascii="黑体" w:hAnsi="宋体" w:eastAsia="黑体"/>
          <w:b/>
          <w:color w:val="auto"/>
          <w:sz w:val="32"/>
          <w:szCs w:val="32"/>
        </w:rPr>
        <w:t>、与评审办法相关的证明资料</w:t>
      </w:r>
      <w:bookmarkEnd w:id="116"/>
      <w:bookmarkEnd w:id="117"/>
    </w:p>
    <w:p>
      <w:pPr>
        <w:adjustRightInd w:val="0"/>
        <w:snapToGrid w:val="0"/>
        <w:spacing w:line="400" w:lineRule="exact"/>
        <w:rPr>
          <w:rFonts w:ascii="宋体" w:hAnsi="宋体"/>
          <w:color w:val="auto"/>
          <w:szCs w:val="21"/>
        </w:rPr>
      </w:pPr>
      <w:r>
        <w:rPr>
          <w:rFonts w:hint="eastAsia" w:ascii="宋体" w:hAnsi="宋体"/>
          <w:color w:val="auto"/>
          <w:szCs w:val="21"/>
        </w:rPr>
        <w:t xml:space="preserve"> </w:t>
      </w:r>
    </w:p>
    <w:p>
      <w:pPr>
        <w:adjustRightInd w:val="0"/>
        <w:snapToGrid w:val="0"/>
        <w:spacing w:line="400" w:lineRule="exact"/>
        <w:ind w:firstLine="420" w:firstLineChars="200"/>
        <w:rPr>
          <w:rFonts w:ascii="宋体" w:hAnsi="宋体"/>
          <w:bCs/>
          <w:color w:val="auto"/>
          <w:szCs w:val="21"/>
        </w:rPr>
      </w:pPr>
      <w:r>
        <w:rPr>
          <w:rFonts w:hint="eastAsia" w:ascii="宋体" w:hAnsi="宋体"/>
          <w:bCs/>
          <w:color w:val="auto"/>
          <w:szCs w:val="21"/>
        </w:rPr>
        <w:t>根据本项目采购文件第三章评审办法中“表一：商务评审表”要求，本章节须附下列证明文件：</w:t>
      </w:r>
    </w:p>
    <w:p>
      <w:pPr>
        <w:numPr>
          <w:ilvl w:val="0"/>
          <w:numId w:val="19"/>
        </w:numPr>
        <w:spacing w:before="37" w:after="120" w:line="360" w:lineRule="auto"/>
        <w:jc w:val="center"/>
        <w:rPr>
          <w:rFonts w:ascii="宋体" w:hAnsi="宋体"/>
          <w:b/>
          <w:color w:val="auto"/>
          <w:szCs w:val="21"/>
        </w:rPr>
      </w:pPr>
      <w:r>
        <w:rPr>
          <w:rFonts w:hint="eastAsia" w:ascii="宋体" w:hAnsi="宋体"/>
          <w:b/>
          <w:color w:val="auto"/>
          <w:szCs w:val="21"/>
        </w:rPr>
        <w:t>计分业绩情况汇总表</w:t>
      </w:r>
    </w:p>
    <w:p>
      <w:pPr>
        <w:spacing w:before="9" w:line="110" w:lineRule="exact"/>
        <w:rPr>
          <w:color w:val="auto"/>
          <w:sz w:val="11"/>
          <w:szCs w:val="11"/>
        </w:rPr>
      </w:pPr>
    </w:p>
    <w:tbl>
      <w:tblPr>
        <w:tblStyle w:val="47"/>
        <w:tblW w:w="4998" w:type="pct"/>
        <w:tblInd w:w="15" w:type="dxa"/>
        <w:tblLayout w:type="autofit"/>
        <w:tblCellMar>
          <w:top w:w="0" w:type="dxa"/>
          <w:left w:w="0" w:type="dxa"/>
          <w:bottom w:w="0" w:type="dxa"/>
          <w:right w:w="0" w:type="dxa"/>
        </w:tblCellMar>
      </w:tblPr>
      <w:tblGrid>
        <w:gridCol w:w="682"/>
        <w:gridCol w:w="1369"/>
        <w:gridCol w:w="1324"/>
        <w:gridCol w:w="1324"/>
        <w:gridCol w:w="1349"/>
        <w:gridCol w:w="1960"/>
        <w:gridCol w:w="863"/>
      </w:tblGrid>
      <w:tr>
        <w:tblPrEx>
          <w:tblCellMar>
            <w:top w:w="0" w:type="dxa"/>
            <w:left w:w="0" w:type="dxa"/>
            <w:bottom w:w="0" w:type="dxa"/>
            <w:right w:w="0" w:type="dxa"/>
          </w:tblCellMar>
        </w:tblPrEx>
        <w:trPr>
          <w:trHeight w:val="1025" w:hRule="exact"/>
        </w:trPr>
        <w:tc>
          <w:tcPr>
            <w:tcW w:w="385" w:type="pct"/>
            <w:tcBorders>
              <w:top w:val="single" w:color="000000" w:sz="12" w:space="0"/>
              <w:left w:val="single" w:color="000000" w:sz="12" w:space="0"/>
              <w:bottom w:val="single" w:color="000000" w:sz="6" w:space="0"/>
              <w:right w:val="single" w:color="000000" w:sz="6" w:space="0"/>
            </w:tcBorders>
            <w:vAlign w:val="center"/>
          </w:tcPr>
          <w:p>
            <w:pPr>
              <w:spacing w:before="89"/>
              <w:ind w:right="-20"/>
              <w:jc w:val="center"/>
              <w:rPr>
                <w:rFonts w:ascii="宋体" w:hAnsi="宋体" w:cs="宋体"/>
                <w:b/>
                <w:bCs/>
                <w:color w:val="auto"/>
                <w:szCs w:val="21"/>
                <w:lang w:eastAsia="en-US"/>
              </w:rPr>
            </w:pPr>
            <w:r>
              <w:rPr>
                <w:rFonts w:hint="eastAsia" w:ascii="宋体" w:hAnsi="宋体" w:cs="宋体"/>
                <w:b/>
                <w:bCs/>
                <w:color w:val="auto"/>
                <w:szCs w:val="21"/>
              </w:rPr>
              <w:t>序号</w:t>
            </w:r>
          </w:p>
        </w:tc>
        <w:tc>
          <w:tcPr>
            <w:tcW w:w="771" w:type="pct"/>
            <w:tcBorders>
              <w:top w:val="single" w:color="000000" w:sz="12" w:space="0"/>
              <w:left w:val="single" w:color="000000" w:sz="6" w:space="0"/>
              <w:bottom w:val="single" w:color="000000" w:sz="6" w:space="0"/>
              <w:right w:val="single" w:color="000000" w:sz="6" w:space="0"/>
            </w:tcBorders>
            <w:vAlign w:val="center"/>
          </w:tcPr>
          <w:p>
            <w:pPr>
              <w:spacing w:before="89"/>
              <w:ind w:right="-20"/>
              <w:jc w:val="center"/>
              <w:rPr>
                <w:rFonts w:ascii="宋体" w:hAnsi="宋体" w:cs="宋体"/>
                <w:b/>
                <w:bCs/>
                <w:color w:val="auto"/>
                <w:szCs w:val="21"/>
                <w:lang w:eastAsia="en-US"/>
              </w:rPr>
            </w:pPr>
            <w:r>
              <w:rPr>
                <w:rFonts w:hint="eastAsia" w:ascii="宋体" w:hAnsi="宋体" w:cs="宋体"/>
                <w:b/>
                <w:bCs/>
                <w:color w:val="auto"/>
                <w:szCs w:val="21"/>
              </w:rPr>
              <w:t>项目名称</w:t>
            </w:r>
          </w:p>
        </w:tc>
        <w:tc>
          <w:tcPr>
            <w:tcW w:w="746" w:type="pct"/>
            <w:tcBorders>
              <w:top w:val="single" w:color="000000" w:sz="12" w:space="0"/>
              <w:left w:val="single" w:color="000000" w:sz="6" w:space="0"/>
              <w:bottom w:val="single" w:color="000000" w:sz="6" w:space="0"/>
              <w:right w:val="single" w:color="000000" w:sz="6" w:space="0"/>
            </w:tcBorders>
            <w:vAlign w:val="center"/>
          </w:tcPr>
          <w:p>
            <w:pPr>
              <w:spacing w:before="89"/>
              <w:ind w:right="-20"/>
              <w:jc w:val="center"/>
              <w:rPr>
                <w:rFonts w:ascii="宋体" w:hAnsi="宋体" w:cs="宋体"/>
                <w:b/>
                <w:bCs/>
                <w:color w:val="auto"/>
                <w:szCs w:val="21"/>
              </w:rPr>
            </w:pPr>
            <w:r>
              <w:rPr>
                <w:rFonts w:hint="eastAsia" w:ascii="宋体" w:hAnsi="宋体" w:cs="宋体"/>
                <w:b/>
                <w:bCs/>
                <w:color w:val="auto"/>
                <w:szCs w:val="21"/>
              </w:rPr>
              <w:t>项目主要概况及履约情况</w:t>
            </w:r>
          </w:p>
        </w:tc>
        <w:tc>
          <w:tcPr>
            <w:tcW w:w="746" w:type="pct"/>
            <w:tcBorders>
              <w:top w:val="single" w:color="000000" w:sz="12" w:space="0"/>
              <w:left w:val="single" w:color="000000" w:sz="6" w:space="0"/>
              <w:bottom w:val="single" w:color="000000" w:sz="6" w:space="0"/>
              <w:right w:val="single" w:color="000000" w:sz="6" w:space="0"/>
            </w:tcBorders>
            <w:vAlign w:val="center"/>
          </w:tcPr>
          <w:p>
            <w:pPr>
              <w:spacing w:before="89"/>
              <w:ind w:right="-20"/>
              <w:jc w:val="center"/>
              <w:rPr>
                <w:rFonts w:ascii="宋体" w:hAnsi="宋体" w:cs="宋体"/>
                <w:b/>
                <w:bCs/>
                <w:color w:val="auto"/>
                <w:szCs w:val="21"/>
                <w:lang w:eastAsia="en-US"/>
              </w:rPr>
            </w:pPr>
            <w:r>
              <w:rPr>
                <w:rFonts w:hint="eastAsia" w:ascii="宋体" w:hAnsi="宋体" w:cs="宋体"/>
                <w:b/>
                <w:bCs/>
                <w:color w:val="auto"/>
                <w:szCs w:val="21"/>
              </w:rPr>
              <w:t>甲方全称</w:t>
            </w:r>
          </w:p>
        </w:tc>
        <w:tc>
          <w:tcPr>
            <w:tcW w:w="760" w:type="pct"/>
            <w:tcBorders>
              <w:top w:val="single" w:color="000000" w:sz="12" w:space="0"/>
              <w:left w:val="single" w:color="000000" w:sz="6" w:space="0"/>
              <w:bottom w:val="single" w:color="000000" w:sz="6" w:space="0"/>
              <w:right w:val="single" w:color="000000" w:sz="6" w:space="0"/>
            </w:tcBorders>
            <w:vAlign w:val="center"/>
          </w:tcPr>
          <w:p>
            <w:pPr>
              <w:spacing w:before="89"/>
              <w:ind w:right="-20"/>
              <w:jc w:val="center"/>
              <w:rPr>
                <w:rFonts w:ascii="宋体" w:hAnsi="宋体" w:cs="宋体"/>
                <w:b/>
                <w:bCs/>
                <w:color w:val="auto"/>
                <w:szCs w:val="21"/>
                <w:lang w:eastAsia="en-US"/>
              </w:rPr>
            </w:pPr>
            <w:bookmarkStart w:id="118" w:name="_Toc1720"/>
            <w:bookmarkStart w:id="119" w:name="_Toc30203"/>
            <w:r>
              <w:rPr>
                <w:rFonts w:hint="eastAsia" w:ascii="宋体" w:hAnsi="宋体" w:cs="宋体"/>
                <w:b/>
                <w:bCs/>
                <w:color w:val="auto"/>
                <w:szCs w:val="21"/>
              </w:rPr>
              <w:t>合同签订时间</w:t>
            </w:r>
            <w:bookmarkEnd w:id="118"/>
            <w:bookmarkEnd w:id="119"/>
          </w:p>
        </w:tc>
        <w:tc>
          <w:tcPr>
            <w:tcW w:w="1104" w:type="pct"/>
            <w:tcBorders>
              <w:top w:val="single" w:color="000000" w:sz="12" w:space="0"/>
              <w:left w:val="single" w:color="000000" w:sz="6" w:space="0"/>
              <w:bottom w:val="single" w:color="000000" w:sz="6" w:space="0"/>
              <w:right w:val="single" w:color="000000" w:sz="6" w:space="0"/>
            </w:tcBorders>
            <w:vAlign w:val="center"/>
          </w:tcPr>
          <w:p>
            <w:pPr>
              <w:spacing w:before="89"/>
              <w:ind w:right="-20"/>
              <w:jc w:val="center"/>
              <w:rPr>
                <w:rFonts w:hint="default" w:ascii="宋体" w:hAnsi="宋体" w:eastAsia="宋体" w:cs="宋体"/>
                <w:b/>
                <w:bCs/>
                <w:color w:val="auto"/>
                <w:szCs w:val="21"/>
                <w:lang w:val="en-US" w:eastAsia="zh-CN"/>
              </w:rPr>
            </w:pPr>
            <w:r>
              <w:rPr>
                <w:rFonts w:hint="eastAsia" w:ascii="宋体" w:hAnsi="宋体" w:cs="宋体"/>
                <w:b/>
                <w:bCs/>
                <w:color w:val="auto"/>
                <w:szCs w:val="21"/>
              </w:rPr>
              <w:t>合同</w:t>
            </w:r>
            <w:r>
              <w:rPr>
                <w:rFonts w:hint="eastAsia" w:ascii="宋体" w:hAnsi="宋体" w:cs="宋体"/>
                <w:b/>
                <w:bCs/>
                <w:color w:val="auto"/>
                <w:szCs w:val="21"/>
                <w:lang w:val="en-US" w:eastAsia="zh-CN"/>
              </w:rPr>
              <w:t>金额(万元）</w:t>
            </w:r>
          </w:p>
        </w:tc>
        <w:tc>
          <w:tcPr>
            <w:tcW w:w="486" w:type="pct"/>
            <w:tcBorders>
              <w:top w:val="single" w:color="000000" w:sz="12" w:space="0"/>
              <w:left w:val="single" w:color="000000" w:sz="6" w:space="0"/>
              <w:bottom w:val="single" w:color="000000" w:sz="6" w:space="0"/>
              <w:right w:val="single" w:color="000000" w:sz="12" w:space="0"/>
            </w:tcBorders>
            <w:vAlign w:val="center"/>
          </w:tcPr>
          <w:p>
            <w:pPr>
              <w:spacing w:before="89"/>
              <w:ind w:right="-20"/>
              <w:jc w:val="center"/>
              <w:rPr>
                <w:rFonts w:ascii="宋体" w:hAnsi="宋体" w:cs="宋体"/>
                <w:b/>
                <w:bCs/>
                <w:color w:val="auto"/>
                <w:szCs w:val="21"/>
                <w:lang w:eastAsia="en-US"/>
              </w:rPr>
            </w:pPr>
            <w:r>
              <w:rPr>
                <w:rFonts w:hint="eastAsia" w:ascii="宋体" w:hAnsi="宋体" w:cs="宋体"/>
                <w:b/>
                <w:bCs/>
                <w:color w:val="auto"/>
                <w:szCs w:val="21"/>
              </w:rPr>
              <w:t>备注</w:t>
            </w:r>
          </w:p>
        </w:tc>
      </w:tr>
      <w:tr>
        <w:tblPrEx>
          <w:tblCellMar>
            <w:top w:w="0" w:type="dxa"/>
            <w:left w:w="0" w:type="dxa"/>
            <w:bottom w:w="0" w:type="dxa"/>
            <w:right w:w="0" w:type="dxa"/>
          </w:tblCellMar>
        </w:tblPrEx>
        <w:trPr>
          <w:trHeight w:val="527" w:hRule="exact"/>
        </w:trPr>
        <w:tc>
          <w:tcPr>
            <w:tcW w:w="385" w:type="pct"/>
            <w:tcBorders>
              <w:top w:val="single" w:color="000000" w:sz="6" w:space="0"/>
              <w:left w:val="single" w:color="000000" w:sz="12" w:space="0"/>
              <w:bottom w:val="single" w:color="000000" w:sz="6" w:space="0"/>
              <w:right w:val="single" w:color="000000" w:sz="6" w:space="0"/>
            </w:tcBorders>
          </w:tcPr>
          <w:p>
            <w:pPr>
              <w:spacing w:after="200" w:line="276" w:lineRule="auto"/>
              <w:jc w:val="center"/>
              <w:rPr>
                <w:rFonts w:ascii="宋体" w:hAnsi="宋体" w:cs="宋体"/>
                <w:color w:val="auto"/>
                <w:szCs w:val="21"/>
                <w:lang w:eastAsia="en-US"/>
              </w:rPr>
            </w:pPr>
            <w:r>
              <w:rPr>
                <w:rFonts w:hint="eastAsia" w:ascii="宋体" w:hAnsi="宋体"/>
                <w:color w:val="auto"/>
                <w:szCs w:val="21"/>
              </w:rPr>
              <w:t>1</w:t>
            </w:r>
          </w:p>
        </w:tc>
        <w:tc>
          <w:tcPr>
            <w:tcW w:w="771"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color w:val="auto"/>
                <w:szCs w:val="21"/>
                <w:lang w:eastAsia="en-US"/>
              </w:rPr>
            </w:pPr>
          </w:p>
        </w:tc>
        <w:tc>
          <w:tcPr>
            <w:tcW w:w="746"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color w:val="auto"/>
                <w:szCs w:val="21"/>
                <w:lang w:eastAsia="en-US"/>
              </w:rPr>
            </w:pPr>
          </w:p>
        </w:tc>
        <w:tc>
          <w:tcPr>
            <w:tcW w:w="746"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color w:val="auto"/>
                <w:szCs w:val="21"/>
                <w:lang w:eastAsia="en-US"/>
              </w:rPr>
            </w:pPr>
          </w:p>
        </w:tc>
        <w:tc>
          <w:tcPr>
            <w:tcW w:w="760"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color w:val="auto"/>
                <w:szCs w:val="21"/>
                <w:lang w:eastAsia="en-US"/>
              </w:rPr>
            </w:pPr>
          </w:p>
        </w:tc>
        <w:tc>
          <w:tcPr>
            <w:tcW w:w="1104"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color w:val="auto"/>
                <w:szCs w:val="21"/>
                <w:lang w:eastAsia="en-US"/>
              </w:rPr>
            </w:pPr>
          </w:p>
        </w:tc>
        <w:tc>
          <w:tcPr>
            <w:tcW w:w="486" w:type="pct"/>
            <w:tcBorders>
              <w:top w:val="single" w:color="000000" w:sz="6" w:space="0"/>
              <w:left w:val="single" w:color="000000" w:sz="6" w:space="0"/>
              <w:bottom w:val="single" w:color="000000" w:sz="6" w:space="0"/>
              <w:right w:val="single" w:color="000000" w:sz="12" w:space="0"/>
            </w:tcBorders>
          </w:tcPr>
          <w:p>
            <w:pPr>
              <w:spacing w:after="200" w:line="276" w:lineRule="auto"/>
              <w:rPr>
                <w:rFonts w:ascii="宋体" w:hAnsi="宋体" w:cs="宋体"/>
                <w:color w:val="auto"/>
                <w:szCs w:val="21"/>
                <w:lang w:eastAsia="en-US"/>
              </w:rPr>
            </w:pPr>
          </w:p>
        </w:tc>
      </w:tr>
      <w:tr>
        <w:tblPrEx>
          <w:tblCellMar>
            <w:top w:w="0" w:type="dxa"/>
            <w:left w:w="0" w:type="dxa"/>
            <w:bottom w:w="0" w:type="dxa"/>
            <w:right w:w="0" w:type="dxa"/>
          </w:tblCellMar>
        </w:tblPrEx>
        <w:trPr>
          <w:trHeight w:val="567" w:hRule="exact"/>
        </w:trPr>
        <w:tc>
          <w:tcPr>
            <w:tcW w:w="385" w:type="pct"/>
            <w:tcBorders>
              <w:top w:val="single" w:color="000000" w:sz="6" w:space="0"/>
              <w:left w:val="single" w:color="000000" w:sz="12" w:space="0"/>
              <w:bottom w:val="single" w:color="000000" w:sz="6" w:space="0"/>
              <w:right w:val="single" w:color="000000" w:sz="6" w:space="0"/>
            </w:tcBorders>
          </w:tcPr>
          <w:p>
            <w:pPr>
              <w:spacing w:after="200" w:line="276" w:lineRule="auto"/>
              <w:jc w:val="center"/>
              <w:rPr>
                <w:rFonts w:ascii="宋体" w:hAnsi="宋体" w:cs="宋体"/>
                <w:color w:val="auto"/>
                <w:szCs w:val="21"/>
                <w:lang w:eastAsia="en-US"/>
              </w:rPr>
            </w:pPr>
            <w:r>
              <w:rPr>
                <w:rFonts w:hint="eastAsia" w:ascii="宋体" w:hAnsi="宋体"/>
                <w:color w:val="auto"/>
                <w:szCs w:val="21"/>
              </w:rPr>
              <w:t>2</w:t>
            </w:r>
          </w:p>
        </w:tc>
        <w:tc>
          <w:tcPr>
            <w:tcW w:w="771"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color w:val="auto"/>
                <w:szCs w:val="21"/>
                <w:lang w:eastAsia="en-US"/>
              </w:rPr>
            </w:pPr>
          </w:p>
        </w:tc>
        <w:tc>
          <w:tcPr>
            <w:tcW w:w="746"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color w:val="auto"/>
                <w:szCs w:val="21"/>
                <w:lang w:eastAsia="en-US"/>
              </w:rPr>
            </w:pPr>
          </w:p>
        </w:tc>
        <w:tc>
          <w:tcPr>
            <w:tcW w:w="746"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color w:val="auto"/>
                <w:szCs w:val="21"/>
                <w:lang w:eastAsia="en-US"/>
              </w:rPr>
            </w:pPr>
          </w:p>
        </w:tc>
        <w:tc>
          <w:tcPr>
            <w:tcW w:w="760"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color w:val="auto"/>
                <w:szCs w:val="21"/>
                <w:lang w:eastAsia="en-US"/>
              </w:rPr>
            </w:pPr>
          </w:p>
        </w:tc>
        <w:tc>
          <w:tcPr>
            <w:tcW w:w="1104"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color w:val="auto"/>
                <w:szCs w:val="21"/>
                <w:lang w:eastAsia="en-US"/>
              </w:rPr>
            </w:pPr>
          </w:p>
        </w:tc>
        <w:tc>
          <w:tcPr>
            <w:tcW w:w="486" w:type="pct"/>
            <w:tcBorders>
              <w:top w:val="single" w:color="000000" w:sz="6" w:space="0"/>
              <w:left w:val="single" w:color="000000" w:sz="6" w:space="0"/>
              <w:bottom w:val="single" w:color="000000" w:sz="6" w:space="0"/>
              <w:right w:val="single" w:color="000000" w:sz="12" w:space="0"/>
            </w:tcBorders>
          </w:tcPr>
          <w:p>
            <w:pPr>
              <w:spacing w:after="200" w:line="276" w:lineRule="auto"/>
              <w:rPr>
                <w:rFonts w:ascii="宋体" w:hAnsi="宋体" w:cs="宋体"/>
                <w:color w:val="auto"/>
                <w:szCs w:val="21"/>
                <w:lang w:eastAsia="en-US"/>
              </w:rPr>
            </w:pPr>
          </w:p>
        </w:tc>
      </w:tr>
      <w:tr>
        <w:tblPrEx>
          <w:tblCellMar>
            <w:top w:w="0" w:type="dxa"/>
            <w:left w:w="0" w:type="dxa"/>
            <w:bottom w:w="0" w:type="dxa"/>
            <w:right w:w="0" w:type="dxa"/>
          </w:tblCellMar>
        </w:tblPrEx>
        <w:trPr>
          <w:trHeight w:val="527" w:hRule="exact"/>
        </w:trPr>
        <w:tc>
          <w:tcPr>
            <w:tcW w:w="385" w:type="pct"/>
            <w:tcBorders>
              <w:top w:val="single" w:color="000000" w:sz="6" w:space="0"/>
              <w:left w:val="single" w:color="000000" w:sz="12" w:space="0"/>
              <w:bottom w:val="single" w:color="000000" w:sz="6" w:space="0"/>
              <w:right w:val="single" w:color="000000" w:sz="6" w:space="0"/>
            </w:tcBorders>
          </w:tcPr>
          <w:p>
            <w:pPr>
              <w:spacing w:after="200" w:line="276" w:lineRule="auto"/>
              <w:jc w:val="center"/>
              <w:rPr>
                <w:rFonts w:ascii="宋体" w:hAnsi="宋体" w:cs="宋体"/>
                <w:color w:val="auto"/>
                <w:szCs w:val="21"/>
                <w:lang w:eastAsia="en-US"/>
              </w:rPr>
            </w:pPr>
            <w:r>
              <w:rPr>
                <w:rFonts w:hint="eastAsia" w:ascii="宋体" w:hAnsi="宋体"/>
                <w:color w:val="auto"/>
                <w:szCs w:val="21"/>
              </w:rPr>
              <w:t>3</w:t>
            </w:r>
          </w:p>
        </w:tc>
        <w:tc>
          <w:tcPr>
            <w:tcW w:w="771"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color w:val="auto"/>
                <w:szCs w:val="21"/>
                <w:lang w:eastAsia="en-US"/>
              </w:rPr>
            </w:pPr>
          </w:p>
        </w:tc>
        <w:tc>
          <w:tcPr>
            <w:tcW w:w="746"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color w:val="auto"/>
                <w:szCs w:val="21"/>
                <w:lang w:eastAsia="en-US"/>
              </w:rPr>
            </w:pPr>
          </w:p>
        </w:tc>
        <w:tc>
          <w:tcPr>
            <w:tcW w:w="746"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color w:val="auto"/>
                <w:szCs w:val="21"/>
                <w:lang w:eastAsia="en-US"/>
              </w:rPr>
            </w:pPr>
          </w:p>
        </w:tc>
        <w:tc>
          <w:tcPr>
            <w:tcW w:w="760"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color w:val="auto"/>
                <w:szCs w:val="21"/>
                <w:lang w:eastAsia="en-US"/>
              </w:rPr>
            </w:pPr>
          </w:p>
        </w:tc>
        <w:tc>
          <w:tcPr>
            <w:tcW w:w="1104"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color w:val="auto"/>
                <w:szCs w:val="21"/>
                <w:lang w:eastAsia="en-US"/>
              </w:rPr>
            </w:pPr>
          </w:p>
        </w:tc>
        <w:tc>
          <w:tcPr>
            <w:tcW w:w="486" w:type="pct"/>
            <w:tcBorders>
              <w:top w:val="single" w:color="000000" w:sz="6" w:space="0"/>
              <w:left w:val="single" w:color="000000" w:sz="6" w:space="0"/>
              <w:bottom w:val="single" w:color="000000" w:sz="6" w:space="0"/>
              <w:right w:val="single" w:color="000000" w:sz="12" w:space="0"/>
            </w:tcBorders>
          </w:tcPr>
          <w:p>
            <w:pPr>
              <w:spacing w:after="200" w:line="276" w:lineRule="auto"/>
              <w:rPr>
                <w:rFonts w:ascii="宋体" w:hAnsi="宋体" w:cs="宋体"/>
                <w:color w:val="auto"/>
                <w:szCs w:val="21"/>
                <w:lang w:eastAsia="en-US"/>
              </w:rPr>
            </w:pPr>
          </w:p>
        </w:tc>
      </w:tr>
      <w:tr>
        <w:tblPrEx>
          <w:tblCellMar>
            <w:top w:w="0" w:type="dxa"/>
            <w:left w:w="0" w:type="dxa"/>
            <w:bottom w:w="0" w:type="dxa"/>
            <w:right w:w="0" w:type="dxa"/>
          </w:tblCellMar>
        </w:tblPrEx>
        <w:trPr>
          <w:trHeight w:val="622" w:hRule="exact"/>
        </w:trPr>
        <w:tc>
          <w:tcPr>
            <w:tcW w:w="385" w:type="pct"/>
            <w:tcBorders>
              <w:top w:val="single" w:color="000000" w:sz="6" w:space="0"/>
              <w:left w:val="single" w:color="000000" w:sz="12" w:space="0"/>
              <w:bottom w:val="single" w:color="000000" w:sz="12" w:space="0"/>
              <w:right w:val="single" w:color="000000" w:sz="6" w:space="0"/>
            </w:tcBorders>
          </w:tcPr>
          <w:p>
            <w:pPr>
              <w:spacing w:before="3" w:line="140" w:lineRule="exact"/>
              <w:rPr>
                <w:rFonts w:ascii="宋体" w:hAnsi="宋体" w:cs="宋体"/>
                <w:color w:val="auto"/>
                <w:szCs w:val="21"/>
              </w:rPr>
            </w:pPr>
          </w:p>
          <w:p>
            <w:pPr>
              <w:ind w:right="-20"/>
              <w:jc w:val="center"/>
              <w:rPr>
                <w:rFonts w:ascii="宋体" w:hAnsi="宋体" w:cs="宋体"/>
                <w:color w:val="auto"/>
                <w:szCs w:val="21"/>
                <w:lang w:eastAsia="en-US"/>
              </w:rPr>
            </w:pPr>
            <w:r>
              <w:rPr>
                <w:rFonts w:hint="eastAsia" w:ascii="宋体" w:hAnsi="宋体" w:cs="宋体"/>
                <w:color w:val="auto"/>
                <w:w w:val="123"/>
                <w:szCs w:val="21"/>
              </w:rPr>
              <w:t>……</w:t>
            </w:r>
          </w:p>
        </w:tc>
        <w:tc>
          <w:tcPr>
            <w:tcW w:w="771" w:type="pct"/>
            <w:tcBorders>
              <w:top w:val="single" w:color="000000" w:sz="6" w:space="0"/>
              <w:left w:val="single" w:color="000000" w:sz="6" w:space="0"/>
              <w:bottom w:val="single" w:color="000000" w:sz="12" w:space="0"/>
              <w:right w:val="single" w:color="000000" w:sz="6" w:space="0"/>
            </w:tcBorders>
          </w:tcPr>
          <w:p>
            <w:pPr>
              <w:spacing w:after="200" w:line="276" w:lineRule="auto"/>
              <w:rPr>
                <w:rFonts w:ascii="宋体" w:hAnsi="宋体" w:cs="宋体"/>
                <w:color w:val="auto"/>
                <w:szCs w:val="21"/>
                <w:lang w:eastAsia="en-US"/>
              </w:rPr>
            </w:pPr>
          </w:p>
        </w:tc>
        <w:tc>
          <w:tcPr>
            <w:tcW w:w="746" w:type="pct"/>
            <w:tcBorders>
              <w:top w:val="single" w:color="000000" w:sz="6" w:space="0"/>
              <w:left w:val="single" w:color="000000" w:sz="6" w:space="0"/>
              <w:bottom w:val="single" w:color="000000" w:sz="12" w:space="0"/>
              <w:right w:val="single" w:color="000000" w:sz="6" w:space="0"/>
            </w:tcBorders>
          </w:tcPr>
          <w:p>
            <w:pPr>
              <w:spacing w:after="200" w:line="276" w:lineRule="auto"/>
              <w:rPr>
                <w:rFonts w:ascii="宋体" w:hAnsi="宋体" w:cs="宋体"/>
                <w:color w:val="auto"/>
                <w:szCs w:val="21"/>
                <w:lang w:eastAsia="en-US"/>
              </w:rPr>
            </w:pPr>
          </w:p>
        </w:tc>
        <w:tc>
          <w:tcPr>
            <w:tcW w:w="746" w:type="pct"/>
            <w:tcBorders>
              <w:top w:val="single" w:color="000000" w:sz="6" w:space="0"/>
              <w:left w:val="single" w:color="000000" w:sz="6" w:space="0"/>
              <w:bottom w:val="single" w:color="000000" w:sz="12" w:space="0"/>
              <w:right w:val="single" w:color="000000" w:sz="6" w:space="0"/>
            </w:tcBorders>
          </w:tcPr>
          <w:p>
            <w:pPr>
              <w:spacing w:after="200" w:line="276" w:lineRule="auto"/>
              <w:rPr>
                <w:rFonts w:ascii="宋体" w:hAnsi="宋体" w:cs="宋体"/>
                <w:color w:val="auto"/>
                <w:szCs w:val="21"/>
                <w:lang w:eastAsia="en-US"/>
              </w:rPr>
            </w:pPr>
          </w:p>
        </w:tc>
        <w:tc>
          <w:tcPr>
            <w:tcW w:w="760" w:type="pct"/>
            <w:tcBorders>
              <w:top w:val="single" w:color="000000" w:sz="6" w:space="0"/>
              <w:left w:val="single" w:color="000000" w:sz="6" w:space="0"/>
              <w:bottom w:val="single" w:color="000000" w:sz="12" w:space="0"/>
              <w:right w:val="single" w:color="000000" w:sz="6" w:space="0"/>
            </w:tcBorders>
          </w:tcPr>
          <w:p>
            <w:pPr>
              <w:spacing w:after="200" w:line="276" w:lineRule="auto"/>
              <w:rPr>
                <w:rFonts w:ascii="宋体" w:hAnsi="宋体" w:cs="宋体"/>
                <w:color w:val="auto"/>
                <w:szCs w:val="21"/>
                <w:lang w:eastAsia="en-US"/>
              </w:rPr>
            </w:pPr>
          </w:p>
        </w:tc>
        <w:tc>
          <w:tcPr>
            <w:tcW w:w="1104" w:type="pct"/>
            <w:tcBorders>
              <w:top w:val="single" w:color="000000" w:sz="6" w:space="0"/>
              <w:left w:val="single" w:color="000000" w:sz="6" w:space="0"/>
              <w:bottom w:val="single" w:color="000000" w:sz="12" w:space="0"/>
              <w:right w:val="single" w:color="000000" w:sz="6" w:space="0"/>
            </w:tcBorders>
          </w:tcPr>
          <w:p>
            <w:pPr>
              <w:spacing w:after="200" w:line="276" w:lineRule="auto"/>
              <w:rPr>
                <w:rFonts w:ascii="宋体" w:hAnsi="宋体" w:cs="宋体"/>
                <w:color w:val="auto"/>
                <w:szCs w:val="21"/>
                <w:lang w:eastAsia="en-US"/>
              </w:rPr>
            </w:pPr>
          </w:p>
        </w:tc>
        <w:tc>
          <w:tcPr>
            <w:tcW w:w="486" w:type="pct"/>
            <w:tcBorders>
              <w:top w:val="single" w:color="000000" w:sz="6" w:space="0"/>
              <w:left w:val="single" w:color="000000" w:sz="6" w:space="0"/>
              <w:bottom w:val="single" w:color="000000" w:sz="12" w:space="0"/>
              <w:right w:val="single" w:color="000000" w:sz="12" w:space="0"/>
            </w:tcBorders>
          </w:tcPr>
          <w:p>
            <w:pPr>
              <w:spacing w:after="200" w:line="276" w:lineRule="auto"/>
              <w:rPr>
                <w:rFonts w:ascii="宋体" w:hAnsi="宋体" w:cs="宋体"/>
                <w:color w:val="auto"/>
                <w:szCs w:val="21"/>
                <w:lang w:eastAsia="en-US"/>
              </w:rPr>
            </w:pPr>
          </w:p>
        </w:tc>
      </w:tr>
    </w:tbl>
    <w:p>
      <w:pPr>
        <w:adjustRightInd w:val="0"/>
        <w:snapToGrid w:val="0"/>
        <w:spacing w:line="360" w:lineRule="auto"/>
        <w:rPr>
          <w:rFonts w:hint="eastAsia" w:ascii="宋体" w:hAnsi="宋体"/>
          <w:b/>
          <w:color w:val="auto"/>
          <w:szCs w:val="21"/>
        </w:rPr>
      </w:pPr>
      <w:r>
        <w:rPr>
          <w:rFonts w:hint="eastAsia" w:ascii="宋体" w:hAnsi="宋体"/>
          <w:bCs/>
          <w:color w:val="auto"/>
          <w:szCs w:val="21"/>
        </w:rPr>
        <w:t>备注：</w:t>
      </w:r>
      <w:r>
        <w:rPr>
          <w:rFonts w:hint="eastAsia" w:ascii="宋体" w:hAnsi="宋体" w:cs="宋体"/>
          <w:bCs/>
          <w:color w:val="auto"/>
          <w:szCs w:val="21"/>
        </w:rPr>
        <w:t>本表后附</w:t>
      </w:r>
      <w:r>
        <w:rPr>
          <w:rFonts w:hint="eastAsia" w:ascii="宋体" w:hAnsi="宋体"/>
          <w:bCs/>
          <w:color w:val="auto"/>
          <w:szCs w:val="21"/>
        </w:rPr>
        <w:t>计分业绩证明材料。</w:t>
      </w:r>
    </w:p>
    <w:p>
      <w:pPr>
        <w:adjustRightInd w:val="0"/>
        <w:snapToGrid w:val="0"/>
        <w:spacing w:line="360" w:lineRule="auto"/>
        <w:jc w:val="both"/>
        <w:rPr>
          <w:rFonts w:hint="eastAsia" w:ascii="宋体" w:hAnsi="宋体"/>
          <w:b/>
          <w:color w:val="auto"/>
          <w:szCs w:val="21"/>
        </w:rPr>
      </w:pPr>
    </w:p>
    <w:p>
      <w:pPr>
        <w:adjustRightInd w:val="0"/>
        <w:snapToGrid w:val="0"/>
        <w:spacing w:line="360" w:lineRule="auto"/>
        <w:ind w:firstLine="422" w:firstLineChars="200"/>
        <w:jc w:val="center"/>
        <w:rPr>
          <w:rFonts w:hint="default" w:ascii="宋体" w:hAnsi="宋体" w:cs="宋体"/>
          <w:color w:val="auto"/>
          <w:szCs w:val="21"/>
          <w:lang w:val="en-US"/>
        </w:rPr>
      </w:pPr>
      <w:r>
        <w:rPr>
          <w:rFonts w:hint="eastAsia" w:ascii="宋体" w:hAnsi="宋体"/>
          <w:b/>
          <w:color w:val="auto"/>
          <w:szCs w:val="21"/>
        </w:rPr>
        <w:t>（二）</w:t>
      </w:r>
      <w:r>
        <w:rPr>
          <w:rFonts w:hint="eastAsia" w:ascii="宋体" w:hAnsi="宋体"/>
          <w:b/>
          <w:color w:val="auto"/>
          <w:szCs w:val="21"/>
          <w:lang w:val="en-US" w:eastAsia="zh-CN"/>
        </w:rPr>
        <w:t>人员配备情况表</w:t>
      </w:r>
    </w:p>
    <w:tbl>
      <w:tblPr>
        <w:tblStyle w:val="47"/>
        <w:tblW w:w="92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9"/>
        <w:gridCol w:w="1080"/>
        <w:gridCol w:w="1065"/>
        <w:gridCol w:w="1485"/>
        <w:gridCol w:w="3500"/>
        <w:gridCol w:w="13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59" w:type="dxa"/>
            <w:noWrap w:val="0"/>
            <w:vAlign w:val="center"/>
          </w:tcPr>
          <w:p>
            <w:pPr>
              <w:jc w:val="center"/>
              <w:rPr>
                <w:rFonts w:hint="eastAsia" w:ascii="宋体" w:hAnsi="宋体" w:eastAsia="宋体" w:cs="宋体"/>
                <w:b/>
                <w:bCs/>
                <w:color w:val="auto"/>
              </w:rPr>
            </w:pPr>
            <w:r>
              <w:rPr>
                <w:rFonts w:hint="eastAsia" w:ascii="宋体" w:hAnsi="宋体" w:eastAsia="宋体" w:cs="宋体"/>
                <w:b/>
                <w:bCs/>
                <w:color w:val="auto"/>
              </w:rPr>
              <w:t>序号</w:t>
            </w:r>
          </w:p>
        </w:tc>
        <w:tc>
          <w:tcPr>
            <w:tcW w:w="1080" w:type="dxa"/>
            <w:noWrap w:val="0"/>
            <w:vAlign w:val="center"/>
          </w:tcPr>
          <w:p>
            <w:pPr>
              <w:jc w:val="center"/>
              <w:rPr>
                <w:rFonts w:hint="default" w:ascii="宋体" w:hAnsi="宋体" w:eastAsia="宋体" w:cs="宋体"/>
                <w:b/>
                <w:bCs/>
                <w:color w:val="auto"/>
                <w:lang w:val="en-US" w:eastAsia="zh-CN"/>
              </w:rPr>
            </w:pPr>
            <w:r>
              <w:rPr>
                <w:rFonts w:hint="eastAsia" w:ascii="宋体" w:hAnsi="宋体" w:eastAsia="宋体" w:cs="宋体"/>
                <w:b/>
                <w:bCs/>
                <w:color w:val="auto"/>
                <w:lang w:val="en-US" w:eastAsia="zh-CN"/>
              </w:rPr>
              <w:t>岗位名称</w:t>
            </w:r>
          </w:p>
        </w:tc>
        <w:tc>
          <w:tcPr>
            <w:tcW w:w="1065" w:type="dxa"/>
            <w:noWrap w:val="0"/>
            <w:vAlign w:val="center"/>
          </w:tcPr>
          <w:p>
            <w:pPr>
              <w:jc w:val="center"/>
              <w:rPr>
                <w:rFonts w:hint="eastAsia" w:ascii="宋体" w:hAnsi="宋体" w:cs="宋体"/>
                <w:b/>
                <w:bCs/>
                <w:color w:val="auto"/>
              </w:rPr>
            </w:pPr>
            <w:r>
              <w:rPr>
                <w:rFonts w:hint="eastAsia" w:ascii="宋体" w:hAnsi="宋体" w:cs="宋体"/>
                <w:b/>
                <w:bCs/>
                <w:color w:val="auto"/>
              </w:rPr>
              <w:t>姓名</w:t>
            </w:r>
          </w:p>
        </w:tc>
        <w:tc>
          <w:tcPr>
            <w:tcW w:w="1485" w:type="dxa"/>
            <w:noWrap w:val="0"/>
            <w:vAlign w:val="center"/>
          </w:tcPr>
          <w:p>
            <w:pPr>
              <w:jc w:val="center"/>
              <w:rPr>
                <w:rFonts w:hint="eastAsia" w:ascii="宋体" w:hAnsi="宋体" w:cs="宋体"/>
                <w:b/>
                <w:bCs/>
                <w:color w:val="auto"/>
              </w:rPr>
            </w:pPr>
            <w:r>
              <w:rPr>
                <w:rFonts w:hint="eastAsia" w:ascii="宋体" w:hAnsi="宋体" w:cs="宋体"/>
                <w:b/>
                <w:bCs/>
                <w:color w:val="auto"/>
              </w:rPr>
              <w:t>身份证号码</w:t>
            </w:r>
          </w:p>
        </w:tc>
        <w:tc>
          <w:tcPr>
            <w:tcW w:w="3500" w:type="dxa"/>
            <w:noWrap w:val="0"/>
            <w:vAlign w:val="center"/>
          </w:tcPr>
          <w:p>
            <w:pPr>
              <w:jc w:val="center"/>
              <w:rPr>
                <w:rFonts w:hint="eastAsia" w:ascii="宋体" w:hAnsi="宋体" w:cs="宋体"/>
                <w:b/>
                <w:bCs/>
                <w:color w:val="auto"/>
              </w:rPr>
            </w:pPr>
            <w:r>
              <w:rPr>
                <w:rFonts w:hint="eastAsia" w:ascii="宋体" w:hAnsi="宋体" w:cs="宋体"/>
                <w:b/>
                <w:bCs/>
                <w:color w:val="auto"/>
              </w:rPr>
              <w:t>律师执业证证号/执业年限</w:t>
            </w:r>
          </w:p>
        </w:tc>
        <w:tc>
          <w:tcPr>
            <w:tcW w:w="1391" w:type="dxa"/>
            <w:noWrap w:val="0"/>
            <w:vAlign w:val="center"/>
          </w:tcPr>
          <w:p>
            <w:pPr>
              <w:jc w:val="center"/>
              <w:rPr>
                <w:rFonts w:hint="eastAsia" w:ascii="宋体" w:hAnsi="宋体" w:cs="宋体"/>
                <w:b/>
                <w:bCs/>
                <w:color w:val="auto"/>
              </w:rPr>
            </w:pPr>
            <w:r>
              <w:rPr>
                <w:rFonts w:hint="eastAsia" w:ascii="宋体" w:hAnsi="宋体" w:cs="宋体"/>
                <w:b/>
                <w:bCs/>
                <w:color w:val="auto"/>
              </w:rPr>
              <w:t>备注</w:t>
            </w:r>
          </w:p>
          <w:p>
            <w:pPr>
              <w:jc w:val="center"/>
              <w:rPr>
                <w:rFonts w:hint="eastAsia" w:ascii="宋体" w:hAnsi="宋体" w:eastAsia="宋体" w:cs="宋体"/>
                <w:b/>
                <w:bCs/>
                <w:color w:val="auto"/>
                <w:lang w:eastAsia="zh-CN"/>
              </w:rPr>
            </w:pPr>
            <w:r>
              <w:rPr>
                <w:rFonts w:hint="eastAsia" w:ascii="宋体" w:hAnsi="宋体" w:cs="宋体"/>
                <w:b/>
                <w:bCs/>
                <w:color w:val="auto"/>
                <w:lang w:eastAsia="zh-CN"/>
              </w:rPr>
              <w:t>（</w:t>
            </w:r>
            <w:r>
              <w:rPr>
                <w:rFonts w:hint="eastAsia" w:ascii="宋体" w:hAnsi="宋体" w:cs="宋体"/>
                <w:b/>
                <w:bCs/>
                <w:color w:val="auto"/>
                <w:lang w:val="en-US" w:eastAsia="zh-CN"/>
              </w:rPr>
              <w:t>联系方式</w:t>
            </w:r>
            <w:r>
              <w:rPr>
                <w:rFonts w:hint="eastAsia" w:ascii="宋体" w:hAnsi="宋体" w:cs="宋体"/>
                <w:b/>
                <w:bCs/>
                <w:color w:val="auto"/>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59" w:type="dxa"/>
            <w:noWrap w:val="0"/>
            <w:vAlign w:val="center"/>
          </w:tcPr>
          <w:p>
            <w:pPr>
              <w:pStyle w:val="242"/>
              <w:spacing w:line="400" w:lineRule="exact"/>
              <w:jc w:val="center"/>
              <w:rPr>
                <w:rFonts w:hint="eastAsia" w:ascii="宋体" w:hAnsi="宋体" w:cs="宋体"/>
                <w:color w:val="auto"/>
              </w:rPr>
            </w:pPr>
            <w:r>
              <w:rPr>
                <w:rFonts w:hint="eastAsia" w:ascii="宋体" w:hAnsi="宋体" w:eastAsia="宋体" w:cs="宋体"/>
                <w:bCs/>
                <w:color w:val="auto"/>
                <w:kern w:val="2"/>
                <w:sz w:val="21"/>
                <w:szCs w:val="21"/>
                <w:highlight w:val="none"/>
                <w:lang w:val="en-US" w:eastAsia="zh-CN"/>
              </w:rPr>
              <w:t>1</w:t>
            </w:r>
          </w:p>
        </w:tc>
        <w:tc>
          <w:tcPr>
            <w:tcW w:w="1080" w:type="dxa"/>
            <w:noWrap w:val="0"/>
            <w:vAlign w:val="center"/>
          </w:tcPr>
          <w:p>
            <w:pPr>
              <w:pStyle w:val="242"/>
              <w:spacing w:line="400" w:lineRule="exact"/>
              <w:jc w:val="center"/>
              <w:rPr>
                <w:rFonts w:hint="eastAsia" w:ascii="宋体" w:hAnsi="宋体" w:cs="宋体"/>
                <w:color w:val="auto"/>
              </w:rPr>
            </w:pPr>
            <w:r>
              <w:rPr>
                <w:rFonts w:hint="eastAsia" w:ascii="宋体" w:hAnsi="宋体" w:eastAsia="宋体" w:cs="宋体"/>
                <w:bCs/>
                <w:color w:val="auto"/>
                <w:kern w:val="2"/>
                <w:sz w:val="21"/>
                <w:szCs w:val="21"/>
                <w:highlight w:val="none"/>
                <w:lang w:val="en-US" w:eastAsia="zh-CN"/>
              </w:rPr>
              <w:t>首席律师</w:t>
            </w:r>
          </w:p>
        </w:tc>
        <w:tc>
          <w:tcPr>
            <w:tcW w:w="1065" w:type="dxa"/>
            <w:noWrap w:val="0"/>
            <w:vAlign w:val="center"/>
          </w:tcPr>
          <w:p>
            <w:pPr>
              <w:rPr>
                <w:rFonts w:hint="eastAsia" w:ascii="宋体" w:hAnsi="宋体" w:cs="宋体"/>
                <w:color w:val="auto"/>
              </w:rPr>
            </w:pPr>
          </w:p>
        </w:tc>
        <w:tc>
          <w:tcPr>
            <w:tcW w:w="1485" w:type="dxa"/>
            <w:noWrap w:val="0"/>
            <w:vAlign w:val="center"/>
          </w:tcPr>
          <w:p>
            <w:pPr>
              <w:rPr>
                <w:rFonts w:hint="eastAsia" w:ascii="宋体" w:hAnsi="宋体" w:cs="宋体"/>
                <w:color w:val="auto"/>
              </w:rPr>
            </w:pPr>
          </w:p>
        </w:tc>
        <w:tc>
          <w:tcPr>
            <w:tcW w:w="3500" w:type="dxa"/>
            <w:noWrap w:val="0"/>
            <w:vAlign w:val="center"/>
          </w:tcPr>
          <w:p>
            <w:pPr>
              <w:rPr>
                <w:rFonts w:hint="eastAsia" w:ascii="宋体" w:hAnsi="宋体" w:cs="宋体"/>
                <w:color w:val="auto"/>
              </w:rPr>
            </w:pPr>
          </w:p>
        </w:tc>
        <w:tc>
          <w:tcPr>
            <w:tcW w:w="1391" w:type="dxa"/>
            <w:noWrap w:val="0"/>
            <w:vAlign w:val="center"/>
          </w:tcPr>
          <w:p>
            <w:pPr>
              <w:rPr>
                <w:rFonts w:hint="eastAsia"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59" w:type="dxa"/>
            <w:noWrap w:val="0"/>
            <w:vAlign w:val="center"/>
          </w:tcPr>
          <w:p>
            <w:pPr>
              <w:pStyle w:val="242"/>
              <w:spacing w:line="400" w:lineRule="exact"/>
              <w:jc w:val="center"/>
              <w:rPr>
                <w:rFonts w:hint="eastAsia" w:ascii="宋体" w:hAnsi="宋体" w:cs="宋体"/>
                <w:color w:val="auto"/>
              </w:rPr>
            </w:pPr>
            <w:r>
              <w:rPr>
                <w:rFonts w:hint="eastAsia" w:ascii="宋体" w:hAnsi="宋体" w:eastAsia="宋体" w:cs="宋体"/>
                <w:bCs/>
                <w:color w:val="auto"/>
                <w:kern w:val="2"/>
                <w:sz w:val="21"/>
                <w:szCs w:val="21"/>
                <w:highlight w:val="none"/>
                <w:lang w:val="en-US" w:eastAsia="zh-CN"/>
              </w:rPr>
              <w:t>2</w:t>
            </w:r>
          </w:p>
        </w:tc>
        <w:tc>
          <w:tcPr>
            <w:tcW w:w="1080" w:type="dxa"/>
            <w:noWrap w:val="0"/>
            <w:vAlign w:val="center"/>
          </w:tcPr>
          <w:p>
            <w:pPr>
              <w:pStyle w:val="242"/>
              <w:spacing w:line="400" w:lineRule="exact"/>
              <w:jc w:val="center"/>
              <w:rPr>
                <w:rFonts w:hint="eastAsia" w:ascii="宋体" w:hAnsi="宋体" w:cs="宋体"/>
                <w:color w:val="auto"/>
              </w:rPr>
            </w:pPr>
            <w:r>
              <w:rPr>
                <w:rFonts w:hint="eastAsia" w:ascii="宋体" w:hAnsi="宋体" w:eastAsia="宋体" w:cs="宋体"/>
                <w:bCs/>
                <w:color w:val="auto"/>
                <w:kern w:val="2"/>
                <w:sz w:val="21"/>
                <w:szCs w:val="21"/>
                <w:highlight w:val="none"/>
                <w:lang w:val="en-US" w:eastAsia="zh-CN"/>
              </w:rPr>
              <w:t>坐班律师</w:t>
            </w:r>
          </w:p>
        </w:tc>
        <w:tc>
          <w:tcPr>
            <w:tcW w:w="1065" w:type="dxa"/>
            <w:noWrap w:val="0"/>
            <w:vAlign w:val="center"/>
          </w:tcPr>
          <w:p>
            <w:pPr>
              <w:rPr>
                <w:rFonts w:hint="eastAsia" w:ascii="宋体" w:hAnsi="宋体" w:cs="宋体"/>
                <w:color w:val="auto"/>
              </w:rPr>
            </w:pPr>
          </w:p>
        </w:tc>
        <w:tc>
          <w:tcPr>
            <w:tcW w:w="1485" w:type="dxa"/>
            <w:noWrap w:val="0"/>
            <w:vAlign w:val="center"/>
          </w:tcPr>
          <w:p>
            <w:pPr>
              <w:rPr>
                <w:rFonts w:hint="eastAsia" w:ascii="宋体" w:hAnsi="宋体" w:cs="宋体"/>
                <w:color w:val="auto"/>
              </w:rPr>
            </w:pPr>
          </w:p>
        </w:tc>
        <w:tc>
          <w:tcPr>
            <w:tcW w:w="3500" w:type="dxa"/>
            <w:noWrap w:val="0"/>
            <w:vAlign w:val="center"/>
          </w:tcPr>
          <w:p>
            <w:pPr>
              <w:rPr>
                <w:rFonts w:hint="eastAsia" w:ascii="宋体" w:hAnsi="宋体" w:cs="宋体"/>
                <w:color w:val="auto"/>
              </w:rPr>
            </w:pPr>
          </w:p>
        </w:tc>
        <w:tc>
          <w:tcPr>
            <w:tcW w:w="1391" w:type="dxa"/>
            <w:noWrap w:val="0"/>
            <w:vAlign w:val="center"/>
          </w:tcPr>
          <w:p>
            <w:pPr>
              <w:rPr>
                <w:rFonts w:hint="eastAsia"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59" w:type="dxa"/>
            <w:noWrap w:val="0"/>
            <w:vAlign w:val="top"/>
          </w:tcPr>
          <w:p>
            <w:pPr>
              <w:pStyle w:val="242"/>
              <w:spacing w:line="400" w:lineRule="exact"/>
              <w:jc w:val="center"/>
              <w:rPr>
                <w:rFonts w:hint="eastAsia" w:ascii="宋体" w:hAnsi="宋体" w:cs="宋体"/>
                <w:color w:val="auto"/>
              </w:rPr>
            </w:pPr>
            <w:r>
              <w:rPr>
                <w:rFonts w:hint="eastAsia" w:ascii="宋体" w:hAnsi="宋体" w:eastAsia="宋体" w:cs="宋体"/>
                <w:bCs/>
                <w:color w:val="auto"/>
                <w:kern w:val="2"/>
                <w:sz w:val="21"/>
                <w:szCs w:val="21"/>
                <w:highlight w:val="none"/>
                <w:lang w:val="en-US" w:eastAsia="zh-CN"/>
              </w:rPr>
              <w:t>3</w:t>
            </w:r>
          </w:p>
        </w:tc>
        <w:tc>
          <w:tcPr>
            <w:tcW w:w="1080" w:type="dxa"/>
            <w:noWrap w:val="0"/>
            <w:vAlign w:val="center"/>
          </w:tcPr>
          <w:p>
            <w:pPr>
              <w:pStyle w:val="242"/>
              <w:spacing w:line="400" w:lineRule="exact"/>
              <w:jc w:val="center"/>
              <w:rPr>
                <w:rFonts w:hint="eastAsia" w:ascii="宋体" w:hAnsi="宋体" w:cs="宋体"/>
                <w:color w:val="auto"/>
              </w:rPr>
            </w:pPr>
            <w:r>
              <w:rPr>
                <w:rFonts w:hint="eastAsia" w:ascii="宋体" w:hAnsi="宋体" w:eastAsia="宋体" w:cs="宋体"/>
                <w:bCs/>
                <w:color w:val="auto"/>
                <w:kern w:val="2"/>
                <w:sz w:val="21"/>
                <w:szCs w:val="21"/>
                <w:highlight w:val="none"/>
                <w:lang w:val="en-US" w:eastAsia="zh-CN"/>
              </w:rPr>
              <w:t>主办律师</w:t>
            </w:r>
          </w:p>
        </w:tc>
        <w:tc>
          <w:tcPr>
            <w:tcW w:w="1065" w:type="dxa"/>
            <w:noWrap w:val="0"/>
            <w:vAlign w:val="center"/>
          </w:tcPr>
          <w:p>
            <w:pPr>
              <w:rPr>
                <w:rFonts w:hint="eastAsia" w:ascii="宋体" w:hAnsi="宋体" w:cs="宋体"/>
                <w:color w:val="auto"/>
              </w:rPr>
            </w:pPr>
          </w:p>
        </w:tc>
        <w:tc>
          <w:tcPr>
            <w:tcW w:w="1485" w:type="dxa"/>
            <w:noWrap w:val="0"/>
            <w:vAlign w:val="center"/>
          </w:tcPr>
          <w:p>
            <w:pPr>
              <w:rPr>
                <w:rFonts w:hint="eastAsia" w:ascii="宋体" w:hAnsi="宋体" w:cs="宋体"/>
                <w:color w:val="auto"/>
              </w:rPr>
            </w:pPr>
          </w:p>
        </w:tc>
        <w:tc>
          <w:tcPr>
            <w:tcW w:w="3500" w:type="dxa"/>
            <w:noWrap w:val="0"/>
            <w:vAlign w:val="center"/>
          </w:tcPr>
          <w:p>
            <w:pPr>
              <w:rPr>
                <w:rFonts w:hint="eastAsia" w:ascii="宋体" w:hAnsi="宋体" w:cs="宋体"/>
                <w:color w:val="auto"/>
              </w:rPr>
            </w:pPr>
          </w:p>
        </w:tc>
        <w:tc>
          <w:tcPr>
            <w:tcW w:w="1391" w:type="dxa"/>
            <w:noWrap w:val="0"/>
            <w:vAlign w:val="center"/>
          </w:tcPr>
          <w:p>
            <w:pPr>
              <w:rPr>
                <w:rFonts w:hint="eastAsia"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59" w:type="dxa"/>
            <w:noWrap w:val="0"/>
            <w:vAlign w:val="top"/>
          </w:tcPr>
          <w:p>
            <w:pPr>
              <w:pStyle w:val="242"/>
              <w:spacing w:line="400" w:lineRule="exact"/>
              <w:jc w:val="center"/>
              <w:rPr>
                <w:rFonts w:hint="eastAsia" w:ascii="宋体" w:hAnsi="宋体" w:cs="宋体"/>
                <w:color w:val="auto"/>
              </w:rPr>
            </w:pPr>
            <w:r>
              <w:rPr>
                <w:rFonts w:hint="eastAsia" w:ascii="宋体" w:hAnsi="宋体" w:eastAsia="宋体" w:cs="宋体"/>
                <w:bCs/>
                <w:color w:val="auto"/>
                <w:kern w:val="2"/>
                <w:sz w:val="21"/>
                <w:szCs w:val="21"/>
                <w:highlight w:val="none"/>
                <w:lang w:val="en-US" w:eastAsia="zh-CN"/>
              </w:rPr>
              <w:t>4</w:t>
            </w:r>
          </w:p>
        </w:tc>
        <w:tc>
          <w:tcPr>
            <w:tcW w:w="1080" w:type="dxa"/>
            <w:noWrap w:val="0"/>
            <w:vAlign w:val="center"/>
          </w:tcPr>
          <w:p>
            <w:pPr>
              <w:pStyle w:val="242"/>
              <w:spacing w:line="400" w:lineRule="exact"/>
              <w:jc w:val="center"/>
              <w:rPr>
                <w:rFonts w:hint="eastAsia" w:ascii="宋体" w:hAnsi="宋体" w:cs="宋体"/>
                <w:color w:val="auto"/>
              </w:rPr>
            </w:pPr>
            <w:r>
              <w:rPr>
                <w:rFonts w:hint="eastAsia" w:ascii="宋体" w:hAnsi="宋体" w:eastAsia="宋体" w:cs="宋体"/>
                <w:bCs/>
                <w:color w:val="auto"/>
                <w:kern w:val="2"/>
                <w:sz w:val="21"/>
                <w:szCs w:val="21"/>
                <w:highlight w:val="none"/>
                <w:lang w:val="en-US" w:eastAsia="zh-CN"/>
              </w:rPr>
              <w:t>协办律师</w:t>
            </w:r>
          </w:p>
        </w:tc>
        <w:tc>
          <w:tcPr>
            <w:tcW w:w="1065" w:type="dxa"/>
            <w:noWrap w:val="0"/>
            <w:vAlign w:val="center"/>
          </w:tcPr>
          <w:p>
            <w:pPr>
              <w:rPr>
                <w:rFonts w:hint="eastAsia" w:ascii="宋体" w:hAnsi="宋体" w:cs="宋体"/>
                <w:color w:val="auto"/>
              </w:rPr>
            </w:pPr>
          </w:p>
        </w:tc>
        <w:tc>
          <w:tcPr>
            <w:tcW w:w="1485" w:type="dxa"/>
            <w:noWrap w:val="0"/>
            <w:vAlign w:val="center"/>
          </w:tcPr>
          <w:p>
            <w:pPr>
              <w:rPr>
                <w:rFonts w:hint="eastAsia" w:ascii="宋体" w:hAnsi="宋体" w:cs="宋体"/>
                <w:color w:val="auto"/>
              </w:rPr>
            </w:pPr>
          </w:p>
        </w:tc>
        <w:tc>
          <w:tcPr>
            <w:tcW w:w="3500" w:type="dxa"/>
            <w:noWrap w:val="0"/>
            <w:vAlign w:val="center"/>
          </w:tcPr>
          <w:p>
            <w:pPr>
              <w:rPr>
                <w:rFonts w:hint="eastAsia" w:ascii="宋体" w:hAnsi="宋体" w:cs="宋体"/>
                <w:color w:val="auto"/>
              </w:rPr>
            </w:pPr>
          </w:p>
        </w:tc>
        <w:tc>
          <w:tcPr>
            <w:tcW w:w="1391" w:type="dxa"/>
            <w:noWrap w:val="0"/>
            <w:vAlign w:val="center"/>
          </w:tcPr>
          <w:p>
            <w:pPr>
              <w:rPr>
                <w:rFonts w:hint="eastAsia" w:ascii="宋体" w:hAnsi="宋体" w:cs="宋体"/>
                <w:color w:val="auto"/>
              </w:rPr>
            </w:pPr>
          </w:p>
        </w:tc>
      </w:tr>
    </w:tbl>
    <w:p>
      <w:pPr>
        <w:adjustRightInd w:val="0"/>
        <w:snapToGrid w:val="0"/>
        <w:spacing w:line="360" w:lineRule="auto"/>
        <w:rPr>
          <w:rFonts w:hint="eastAsia" w:ascii="仿宋" w:hAnsi="仿宋" w:eastAsia="仿宋" w:cs="仿宋"/>
          <w:b/>
          <w:bCs/>
          <w:color w:val="auto"/>
          <w:szCs w:val="21"/>
        </w:rPr>
      </w:pPr>
      <w:r>
        <w:rPr>
          <w:rFonts w:hint="eastAsia" w:ascii="宋体" w:hAnsi="宋体"/>
          <w:b/>
          <w:bCs/>
          <w:color w:val="auto"/>
        </w:rPr>
        <w:t>注：人员证书均须提供证书复印件。</w:t>
      </w:r>
    </w:p>
    <w:p>
      <w:pPr>
        <w:pStyle w:val="46"/>
        <w:spacing w:after="0" w:line="360" w:lineRule="auto"/>
        <w:ind w:left="0" w:leftChars="0" w:firstLine="0" w:firstLineChars="0"/>
        <w:jc w:val="both"/>
        <w:rPr>
          <w:rFonts w:hint="eastAsia" w:ascii="宋体" w:hAnsi="宋体"/>
          <w:b/>
          <w:color w:val="auto"/>
          <w:szCs w:val="21"/>
          <w:highlight w:val="none"/>
        </w:rPr>
      </w:pPr>
    </w:p>
    <w:p>
      <w:pPr>
        <w:pStyle w:val="46"/>
        <w:spacing w:after="0" w:line="360" w:lineRule="auto"/>
        <w:ind w:left="0" w:leftChars="0" w:firstLine="0" w:firstLineChars="0"/>
        <w:jc w:val="center"/>
        <w:rPr>
          <w:rFonts w:ascii="宋体" w:hAnsi="宋体"/>
          <w:b/>
          <w:color w:val="auto"/>
          <w:szCs w:val="21"/>
        </w:rPr>
      </w:pPr>
      <w:r>
        <w:rPr>
          <w:rFonts w:hint="eastAsia" w:ascii="宋体" w:hAnsi="宋体"/>
          <w:b/>
          <w:color w:val="auto"/>
          <w:szCs w:val="21"/>
          <w:highlight w:val="none"/>
        </w:rPr>
        <w:t>（三）</w:t>
      </w:r>
      <w:r>
        <w:rPr>
          <w:rFonts w:hint="eastAsia" w:ascii="宋体" w:hAnsi="宋体"/>
          <w:b/>
          <w:color w:val="auto"/>
          <w:szCs w:val="21"/>
        </w:rPr>
        <w:t>供应商认为需提供的其它商务评审资料</w:t>
      </w:r>
    </w:p>
    <w:p>
      <w:pPr>
        <w:pStyle w:val="20"/>
        <w:ind w:left="0" w:leftChars="0" w:firstLine="1260" w:firstLineChars="600"/>
        <w:rPr>
          <w:rFonts w:ascii="黑体" w:hAnsi="宋体" w:eastAsia="黑体"/>
          <w:b/>
          <w:bCs/>
          <w:color w:val="auto"/>
          <w:sz w:val="32"/>
          <w:szCs w:val="32"/>
        </w:rPr>
      </w:pPr>
      <w:r>
        <w:rPr>
          <w:rFonts w:hint="eastAsia"/>
          <w:color w:val="auto"/>
        </w:rPr>
        <w:t>供应商认为与本项目商务评审有关的其它证明文件（如有，格式自拟）</w:t>
      </w:r>
    </w:p>
    <w:p>
      <w:pPr>
        <w:pStyle w:val="46"/>
        <w:rPr>
          <w:color w:val="auto"/>
        </w:rPr>
      </w:pPr>
    </w:p>
    <w:p>
      <w:pPr>
        <w:adjustRightInd w:val="0"/>
        <w:snapToGrid w:val="0"/>
        <w:jc w:val="center"/>
        <w:outlineLvl w:val="0"/>
        <w:rPr>
          <w:rFonts w:ascii="黑体" w:hAnsi="宋体" w:eastAsia="黑体"/>
          <w:b/>
          <w:bCs/>
          <w:color w:val="auto"/>
          <w:sz w:val="32"/>
          <w:szCs w:val="32"/>
        </w:rPr>
      </w:pPr>
      <w:bookmarkStart w:id="120" w:name="_Toc7178"/>
      <w:bookmarkStart w:id="121" w:name="_Toc29815"/>
      <w:bookmarkStart w:id="122" w:name="_Toc25396"/>
      <w:r>
        <w:rPr>
          <w:rFonts w:hint="eastAsia" w:ascii="黑体" w:hAnsi="宋体" w:eastAsia="黑体"/>
          <w:b/>
          <w:bCs/>
          <w:color w:val="auto"/>
          <w:sz w:val="32"/>
          <w:szCs w:val="32"/>
          <w:lang w:val="en-US" w:eastAsia="zh-CN"/>
        </w:rPr>
        <w:t>六</w:t>
      </w:r>
      <w:r>
        <w:rPr>
          <w:rFonts w:hint="eastAsia" w:ascii="黑体" w:hAnsi="宋体" w:eastAsia="黑体"/>
          <w:b/>
          <w:bCs/>
          <w:color w:val="auto"/>
          <w:sz w:val="32"/>
          <w:szCs w:val="32"/>
        </w:rPr>
        <w:t>、服务方案</w:t>
      </w:r>
      <w:bookmarkEnd w:id="120"/>
      <w:bookmarkEnd w:id="121"/>
      <w:bookmarkEnd w:id="122"/>
    </w:p>
    <w:p>
      <w:pPr>
        <w:adjustRightInd w:val="0"/>
        <w:snapToGrid w:val="0"/>
        <w:spacing w:line="480" w:lineRule="exact"/>
        <w:ind w:firstLine="420" w:firstLineChars="200"/>
        <w:jc w:val="center"/>
        <w:rPr>
          <w:rFonts w:ascii="宋体" w:hAnsi="宋体"/>
          <w:color w:val="auto"/>
          <w:szCs w:val="21"/>
        </w:rPr>
      </w:pPr>
      <w:r>
        <w:rPr>
          <w:rFonts w:hint="eastAsia" w:ascii="宋体" w:hAnsi="宋体"/>
          <w:color w:val="auto"/>
          <w:szCs w:val="21"/>
        </w:rPr>
        <w:t>（格式由供应商自行编制）</w:t>
      </w:r>
    </w:p>
    <w:p>
      <w:pPr>
        <w:adjustRightInd w:val="0"/>
        <w:snapToGrid w:val="0"/>
        <w:ind w:left="-88" w:leftChars="-42" w:firstLine="281" w:firstLineChars="100"/>
        <w:jc w:val="center"/>
        <w:rPr>
          <w:rFonts w:hint="eastAsia" w:ascii="宋体" w:hAnsi="宋体"/>
          <w:b/>
          <w:bCs/>
          <w:color w:val="auto"/>
          <w:sz w:val="28"/>
          <w:szCs w:val="28"/>
        </w:rPr>
      </w:pPr>
    </w:p>
    <w:p>
      <w:pPr>
        <w:adjustRightInd w:val="0"/>
        <w:snapToGrid w:val="0"/>
        <w:spacing w:line="480" w:lineRule="exact"/>
        <w:ind w:firstLine="420" w:firstLineChars="200"/>
        <w:rPr>
          <w:rFonts w:hint="eastAsia" w:ascii="宋体" w:hAnsi="宋体" w:eastAsia="宋体"/>
          <w:bCs/>
          <w:color w:val="auto"/>
          <w:szCs w:val="21"/>
          <w:lang w:val="en-US" w:eastAsia="zh-CN"/>
        </w:rPr>
      </w:pPr>
      <w:r>
        <w:rPr>
          <w:rFonts w:hint="eastAsia" w:ascii="宋体" w:hAnsi="宋体" w:eastAsia="宋体"/>
          <w:bCs/>
          <w:color w:val="auto"/>
          <w:szCs w:val="21"/>
          <w:lang w:val="en-US" w:eastAsia="zh-CN"/>
        </w:rPr>
        <w:t>供应商应根据“</w:t>
      </w:r>
      <w:r>
        <w:rPr>
          <w:rFonts w:hint="eastAsia" w:ascii="宋体" w:hAnsi="宋体"/>
          <w:bCs/>
          <w:color w:val="auto"/>
          <w:szCs w:val="21"/>
          <w:lang w:val="en-US" w:eastAsia="zh-CN"/>
        </w:rPr>
        <w:t>技术标准与要求</w:t>
      </w:r>
      <w:r>
        <w:rPr>
          <w:rFonts w:hint="eastAsia" w:ascii="宋体" w:hAnsi="宋体" w:eastAsia="宋体"/>
          <w:bCs/>
          <w:color w:val="auto"/>
          <w:szCs w:val="21"/>
          <w:lang w:val="en-US" w:eastAsia="zh-CN"/>
        </w:rPr>
        <w:t>”规定编写本项目服务方案。</w:t>
      </w:r>
    </w:p>
    <w:p>
      <w:pPr>
        <w:adjustRightInd w:val="0"/>
        <w:snapToGrid w:val="0"/>
        <w:spacing w:line="480" w:lineRule="exact"/>
        <w:ind w:firstLine="420" w:firstLineChars="200"/>
        <w:rPr>
          <w:rFonts w:hint="eastAsia" w:ascii="宋体" w:hAnsi="宋体" w:eastAsia="宋体"/>
          <w:bCs/>
          <w:color w:val="auto"/>
          <w:szCs w:val="21"/>
          <w:lang w:val="en-US" w:eastAsia="zh-CN"/>
        </w:rPr>
      </w:pPr>
      <w:r>
        <w:rPr>
          <w:rFonts w:hint="eastAsia" w:ascii="宋体" w:hAnsi="宋体" w:eastAsia="宋体"/>
          <w:bCs/>
          <w:color w:val="auto"/>
          <w:szCs w:val="21"/>
          <w:lang w:val="en-US" w:eastAsia="zh-CN"/>
        </w:rPr>
        <w:t>服务方案应包括但不限于：</w:t>
      </w:r>
    </w:p>
    <w:p>
      <w:pPr>
        <w:adjustRightInd w:val="0"/>
        <w:snapToGrid w:val="0"/>
        <w:spacing w:line="480" w:lineRule="exact"/>
        <w:ind w:firstLine="420" w:firstLineChars="200"/>
        <w:rPr>
          <w:rFonts w:hint="eastAsia" w:ascii="宋体" w:hAnsi="宋体" w:eastAsia="宋体"/>
          <w:bCs/>
          <w:color w:val="auto"/>
          <w:szCs w:val="21"/>
          <w:lang w:val="en-US" w:eastAsia="zh-CN"/>
        </w:rPr>
      </w:pPr>
      <w:r>
        <w:rPr>
          <w:rFonts w:hint="eastAsia" w:ascii="宋体" w:hAnsi="宋体" w:eastAsia="宋体"/>
          <w:bCs/>
          <w:color w:val="auto"/>
          <w:szCs w:val="21"/>
          <w:lang w:val="en-US" w:eastAsia="zh-CN"/>
        </w:rPr>
        <w:t>（一）项目总体实施方案</w:t>
      </w:r>
    </w:p>
    <w:p>
      <w:pPr>
        <w:adjustRightInd w:val="0"/>
        <w:snapToGrid w:val="0"/>
        <w:spacing w:line="480" w:lineRule="exact"/>
        <w:ind w:firstLine="420" w:firstLineChars="200"/>
        <w:rPr>
          <w:rFonts w:hint="eastAsia" w:ascii="宋体" w:hAnsi="宋体" w:eastAsia="宋体"/>
          <w:bCs/>
          <w:color w:val="auto"/>
          <w:szCs w:val="21"/>
          <w:lang w:val="en-US" w:eastAsia="zh-CN"/>
        </w:rPr>
      </w:pPr>
      <w:r>
        <w:rPr>
          <w:rFonts w:hint="eastAsia" w:ascii="宋体" w:hAnsi="宋体" w:eastAsia="宋体"/>
          <w:bCs/>
          <w:color w:val="auto"/>
          <w:szCs w:val="21"/>
          <w:lang w:val="en-US" w:eastAsia="zh-CN"/>
        </w:rPr>
        <w:t>（二）应急保障措施</w:t>
      </w:r>
    </w:p>
    <w:p>
      <w:pPr>
        <w:adjustRightInd w:val="0"/>
        <w:snapToGrid w:val="0"/>
        <w:spacing w:line="480" w:lineRule="exact"/>
        <w:ind w:firstLine="420" w:firstLineChars="200"/>
        <w:rPr>
          <w:rFonts w:hint="default" w:ascii="宋体" w:hAnsi="宋体" w:eastAsia="宋体"/>
          <w:bCs/>
          <w:color w:val="auto"/>
          <w:szCs w:val="21"/>
          <w:lang w:val="en-US" w:eastAsia="zh-CN"/>
        </w:rPr>
      </w:pPr>
      <w:r>
        <w:rPr>
          <w:rFonts w:hint="eastAsia" w:ascii="宋体" w:hAnsi="宋体" w:eastAsia="宋体"/>
          <w:bCs/>
          <w:color w:val="auto"/>
          <w:szCs w:val="21"/>
          <w:lang w:val="en-US" w:eastAsia="zh-CN"/>
        </w:rPr>
        <w:t>（三）拟委派坐班律师现场答辩</w:t>
      </w:r>
    </w:p>
    <w:p>
      <w:pPr>
        <w:rPr>
          <w:rFonts w:hint="eastAsia" w:ascii="黑体" w:hAnsi="宋体" w:eastAsia="黑体"/>
          <w:b/>
          <w:color w:val="auto"/>
          <w:sz w:val="32"/>
          <w:szCs w:val="32"/>
          <w:lang w:val="en-US" w:eastAsia="zh-CN"/>
        </w:rPr>
      </w:pPr>
      <w:r>
        <w:rPr>
          <w:rFonts w:hint="eastAsia" w:ascii="黑体" w:hAnsi="宋体" w:eastAsia="黑体"/>
          <w:b/>
          <w:color w:val="auto"/>
          <w:sz w:val="32"/>
          <w:szCs w:val="32"/>
          <w:lang w:val="en-US" w:eastAsia="zh-CN"/>
        </w:rPr>
        <w:br w:type="page"/>
      </w:r>
    </w:p>
    <w:p>
      <w:pPr>
        <w:adjustRightInd w:val="0"/>
        <w:snapToGrid w:val="0"/>
        <w:spacing w:line="360" w:lineRule="auto"/>
        <w:ind w:right="24"/>
        <w:jc w:val="center"/>
        <w:rPr>
          <w:rFonts w:hint="eastAsia" w:ascii="黑体" w:hAnsi="宋体" w:eastAsia="黑体"/>
          <w:b/>
          <w:color w:val="auto"/>
          <w:sz w:val="32"/>
          <w:szCs w:val="32"/>
        </w:rPr>
      </w:pPr>
      <w:r>
        <w:rPr>
          <w:rFonts w:hint="eastAsia" w:ascii="黑体" w:hAnsi="宋体" w:eastAsia="黑体"/>
          <w:b/>
          <w:color w:val="auto"/>
          <w:sz w:val="32"/>
          <w:szCs w:val="32"/>
          <w:lang w:val="en-US" w:eastAsia="zh-CN"/>
        </w:rPr>
        <w:t>七</w:t>
      </w:r>
      <w:r>
        <w:rPr>
          <w:rFonts w:hint="eastAsia" w:ascii="黑体" w:hAnsi="宋体" w:eastAsia="黑体"/>
          <w:b/>
          <w:color w:val="auto"/>
          <w:sz w:val="32"/>
          <w:szCs w:val="32"/>
        </w:rPr>
        <w:t>、委派函</w:t>
      </w:r>
    </w:p>
    <w:p>
      <w:pPr>
        <w:adjustRightInd w:val="0"/>
        <w:snapToGrid w:val="0"/>
        <w:spacing w:line="360" w:lineRule="auto"/>
        <w:jc w:val="center"/>
        <w:rPr>
          <w:rFonts w:hint="eastAsia" w:ascii="黑体" w:hAnsi="华文中宋" w:eastAsia="黑体"/>
          <w:b/>
          <w:color w:val="auto"/>
          <w:sz w:val="28"/>
          <w:szCs w:val="28"/>
        </w:rPr>
      </w:pPr>
    </w:p>
    <w:p>
      <w:pPr>
        <w:autoSpaceDE w:val="0"/>
        <w:autoSpaceDN w:val="0"/>
        <w:adjustRightInd w:val="0"/>
        <w:snapToGrid w:val="0"/>
        <w:spacing w:before="156" w:beforeLines="50" w:line="360" w:lineRule="auto"/>
        <w:ind w:firstLine="420" w:firstLineChars="200"/>
        <w:jc w:val="left"/>
        <w:rPr>
          <w:rFonts w:hint="default" w:ascii="宋体" w:hAnsi="宋体" w:eastAsia="宋体" w:cs="宋体"/>
          <w:b/>
          <w:bCs/>
          <w:color w:val="auto"/>
          <w:kern w:val="0"/>
          <w:szCs w:val="21"/>
          <w:u w:val="none"/>
          <w:lang w:val="en-US" w:eastAsia="zh-CN"/>
        </w:rPr>
      </w:pPr>
      <w:r>
        <w:rPr>
          <w:rFonts w:hint="eastAsia" w:ascii="宋体" w:hAnsi="宋体" w:cs="宋体"/>
          <w:color w:val="auto"/>
          <w:kern w:val="0"/>
          <w:szCs w:val="21"/>
        </w:rPr>
        <w:t>本人</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（姓名、职务）系</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olor w:val="auto"/>
          <w:szCs w:val="21"/>
          <w:lang w:val="en-US" w:eastAsia="zh-CN"/>
        </w:rPr>
        <w:t>供应商</w:t>
      </w:r>
      <w:r>
        <w:rPr>
          <w:rFonts w:hint="eastAsia" w:ascii="宋体" w:hAnsi="宋体" w:cs="宋体"/>
          <w:color w:val="auto"/>
          <w:kern w:val="0"/>
          <w:szCs w:val="21"/>
        </w:rPr>
        <w:t>名称）的负责人，现委派</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（姓名、职务）为我方拟</w:t>
      </w:r>
      <w:r>
        <w:rPr>
          <w:rFonts w:hint="eastAsia" w:ascii="宋体" w:hAnsi="宋体" w:cs="宋体"/>
          <w:color w:val="auto"/>
          <w:kern w:val="0"/>
          <w:szCs w:val="21"/>
          <w:lang w:val="en-US" w:eastAsia="zh-CN"/>
        </w:rPr>
        <w:t>任</w:t>
      </w:r>
      <w:r>
        <w:rPr>
          <w:rStyle w:val="56"/>
          <w:rFonts w:hint="eastAsia" w:cs="Times New Roman"/>
          <w:color w:val="auto"/>
          <w:kern w:val="0"/>
          <w:u w:val="single"/>
          <w:shd w:val="clear" w:color="auto" w:fill="FFFFFF"/>
          <w:lang w:val="en-US" w:eastAsia="zh-CN"/>
        </w:rPr>
        <w:t>长沙市轨道交通运营有限公司法律顾问采购服务项目（第二次）</w:t>
      </w:r>
      <w:r>
        <w:rPr>
          <w:rFonts w:hint="eastAsia" w:ascii="宋体" w:hAnsi="宋体" w:cs="宋体"/>
          <w:color w:val="auto"/>
          <w:kern w:val="0"/>
          <w:szCs w:val="21"/>
        </w:rPr>
        <w:t>的坐班律师，参与本项目</w:t>
      </w:r>
      <w:r>
        <w:rPr>
          <w:rFonts w:hint="eastAsia" w:ascii="宋体" w:hAnsi="宋体" w:cs="宋体"/>
          <w:color w:val="auto"/>
          <w:kern w:val="0"/>
          <w:szCs w:val="21"/>
          <w:lang w:val="en-US" w:eastAsia="zh-CN"/>
        </w:rPr>
        <w:t>采购</w:t>
      </w:r>
      <w:r>
        <w:rPr>
          <w:rFonts w:hint="eastAsia" w:ascii="宋体" w:hAnsi="宋体" w:cs="宋体"/>
          <w:color w:val="auto"/>
          <w:kern w:val="0"/>
          <w:szCs w:val="21"/>
        </w:rPr>
        <w:t>现场答辩等有关事宜，并按采购人要求负责本项目合同服务工作。</w:t>
      </w:r>
      <w:r>
        <w:rPr>
          <w:rFonts w:hint="eastAsia" w:ascii="宋体" w:hAnsi="宋体" w:cs="宋体"/>
          <w:b/>
          <w:bCs/>
          <w:color w:val="auto"/>
          <w:kern w:val="0"/>
          <w:szCs w:val="21"/>
          <w:lang w:val="en-US" w:eastAsia="zh-CN"/>
        </w:rPr>
        <w:t>拟委派坐班律师联系方式为：</w:t>
      </w:r>
      <w:r>
        <w:rPr>
          <w:rFonts w:hint="eastAsia" w:ascii="宋体" w:hAnsi="宋体" w:cs="宋体"/>
          <w:b/>
          <w:bCs/>
          <w:color w:val="auto"/>
          <w:kern w:val="0"/>
          <w:szCs w:val="21"/>
          <w:u w:val="single"/>
          <w:lang w:val="en-US" w:eastAsia="zh-CN"/>
        </w:rPr>
        <w:t xml:space="preserve">             </w:t>
      </w:r>
      <w:r>
        <w:rPr>
          <w:rFonts w:hint="eastAsia" w:ascii="宋体" w:hAnsi="宋体" w:cs="宋体"/>
          <w:b/>
          <w:bCs/>
          <w:color w:val="auto"/>
          <w:kern w:val="0"/>
          <w:szCs w:val="21"/>
          <w:u w:val="none"/>
          <w:lang w:val="en-US" w:eastAsia="zh-CN"/>
        </w:rPr>
        <w:t>。</w:t>
      </w:r>
    </w:p>
    <w:p>
      <w:pPr>
        <w:spacing w:line="360" w:lineRule="auto"/>
        <w:ind w:firstLine="435"/>
        <w:rPr>
          <w:rFonts w:hint="eastAsia" w:ascii="宋体" w:hAnsi="宋体" w:cs="宋体"/>
          <w:color w:val="auto"/>
          <w:kern w:val="0"/>
          <w:szCs w:val="21"/>
        </w:rPr>
      </w:pPr>
    </w:p>
    <w:p>
      <w:pPr>
        <w:adjustRightInd w:val="0"/>
        <w:snapToGrid w:val="0"/>
        <w:spacing w:before="156" w:beforeLines="50" w:line="360" w:lineRule="auto"/>
        <w:ind w:firstLine="420" w:firstLineChars="200"/>
        <w:rPr>
          <w:rFonts w:hint="eastAsia" w:ascii="宋体" w:hAnsi="宋体"/>
          <w:color w:val="auto"/>
          <w:szCs w:val="21"/>
        </w:rPr>
      </w:pPr>
      <w:r>
        <w:rPr>
          <w:rFonts w:hint="eastAsia" w:ascii="宋体" w:hAnsi="宋体"/>
          <w:color w:val="auto"/>
          <w:szCs w:val="21"/>
          <w:lang w:val="zh-CN"/>
        </w:rPr>
        <mc:AlternateContent>
          <mc:Choice Requires="wps">
            <w:drawing>
              <wp:anchor distT="0" distB="0" distL="114300" distR="114300" simplePos="0" relativeHeight="251669504" behindDoc="1" locked="0" layoutInCell="1" allowOverlap="1">
                <wp:simplePos x="0" y="0"/>
                <wp:positionH relativeFrom="column">
                  <wp:posOffset>2650490</wp:posOffset>
                </wp:positionH>
                <wp:positionV relativeFrom="paragraph">
                  <wp:posOffset>59690</wp:posOffset>
                </wp:positionV>
                <wp:extent cx="2355850" cy="1221105"/>
                <wp:effectExtent l="4445" t="4445" r="17145" b="8890"/>
                <wp:wrapNone/>
                <wp:docPr id="16" name="矩形 16"/>
                <wp:cNvGraphicFramePr/>
                <a:graphic xmlns:a="http://schemas.openxmlformats.org/drawingml/2006/main">
                  <a:graphicData uri="http://schemas.microsoft.com/office/word/2010/wordprocessingShape">
                    <wps:wsp>
                      <wps:cNvSpPr/>
                      <wps:spPr>
                        <a:xfrm>
                          <a:off x="0" y="0"/>
                          <a:ext cx="2355850" cy="12211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ind w:firstLine="211" w:firstLineChars="100"/>
                              <w:rPr>
                                <w:rFonts w:hint="eastAsia"/>
                                <w:b/>
                              </w:rPr>
                            </w:pPr>
                            <w:r>
                              <w:rPr>
                                <w:rFonts w:hint="eastAsia"/>
                                <w:b/>
                              </w:rPr>
                              <w:t>附：</w:t>
                            </w:r>
                          </w:p>
                          <w:p>
                            <w:pPr>
                              <w:ind w:firstLine="211" w:firstLineChars="100"/>
                              <w:rPr>
                                <w:rFonts w:hint="eastAsia"/>
                                <w:b/>
                              </w:rPr>
                            </w:pPr>
                            <w:r>
                              <w:rPr>
                                <w:rFonts w:hint="eastAsia"/>
                                <w:b/>
                              </w:rPr>
                              <w:t>委派坐班律师律师执业证书复印件</w:t>
                            </w:r>
                          </w:p>
                          <w:p/>
                        </w:txbxContent>
                      </wps:txbx>
                      <wps:bodyPr upright="1"/>
                    </wps:wsp>
                  </a:graphicData>
                </a:graphic>
              </wp:anchor>
            </w:drawing>
          </mc:Choice>
          <mc:Fallback>
            <w:pict>
              <v:rect id="_x0000_s1026" o:spid="_x0000_s1026" o:spt="1" style="position:absolute;left:0pt;margin-left:208.7pt;margin-top:4.7pt;height:96.15pt;width:185.5pt;z-index:-251646976;mso-width-relative:page;mso-height-relative:page;" fillcolor="#FFFFFF" filled="t" stroked="t" coordsize="21600,21600" o:gfxdata="UEsDBAoAAAAAAIdO4kAAAAAAAAAAAAAAAAAEAAAAZHJzL1BLAwQUAAAACACHTuJAYQfSN9gAAAAJ&#10;AQAADwAAAGRycy9kb3ducmV2LnhtbE2PQU+DQBCF7yb+h82YeLO7YCMUWXrQtInHll68DTACyu4S&#10;dmmpv97xpKeZyXt58718u5hBnGnyvbMaopUCQbZ2TW9bDady95CC8AFtg4OzpOFKHrbF7U2OWeMu&#10;9kDnY2gFh1ifoYYuhDGT0tcdGfQrN5Jl7cNNBgOfUyubCS8cbgYZK/UkDfaWP3Q40ktH9ddxNhqq&#10;Pj7h96HcK7PZPYa3pfyc31+1vr+L1DOIQEv4M8MvPqNDwUyVm23jxaBhHSVrtmrY8GA9SVNeKg2x&#10;ihKQRS7/Nyh+AFBLAwQUAAAACACHTuJAiJFooQECAAAsBAAADgAAAGRycy9lMm9Eb2MueG1srVNL&#10;jtQwEN0jcQfLezoflNEQTXoWNM0GwUgDB3DbTmLJP7ncnfRpkNhxCI6DuAZlp+n5wKIXZOFU2eVX&#10;9V6Vb25no8lBBlDOdrRalZRIy51Qdujol8/bV9eUQGRWMO2s7OhRAr1dv3xxM/lW1m50WshAEMRC&#10;O/mOjjH6tiiAj9IwWDkvLR72LhgW0Q1DIQKbEN3ooi7Lq2JyQfjguATA3c1ySE+I4RJA1/eKy43j&#10;eyNtXFCD1CwiJRiVB7rO1fa95PFT34OMRHcUmca8YhK0d2kt1jesHQLzo+KnEtglJTzjZJiymPQM&#10;tWGRkX1Qf0EZxYMD18cVd6ZYiGRFkEVVPtPmfmReZi4oNfiz6PD/YPnHw10gSuAkXFFimcGO//r6&#10;/eePbwQ3UJ3JQ4tB9/4unDxAM1Gd+2DSH0mQOSt6PCsq50g4btavm+a6QbE5nlV1XVVlk1CLh+s+&#10;QHwvnSHJ6GjAlmUl2eEDxCX0T0jKBk4rsVVaZycMu7c6kAPD9m7zd0J/EqYtmTr6pqkbLIThzPY4&#10;K2gaj7zBDjnfkxvwGLjM37+AU2EbBuNSQEZIYaw1KsqQrVEy8c4KEo8epbX4pGgqxkhBiZb4ApOV&#10;IyNT+pJI1E5blDB1ZulFsuK8mxEmmTsnjtjUvQ9qGFHSKpeeTnCIsvangU9T+tjPoA+PfP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QfSN9gAAAAJAQAADwAAAAAAAAABACAAAAAiAAAAZHJzL2Rv&#10;d25yZXYueG1sUEsBAhQAFAAAAAgAh07iQIiRaKEBAgAALAQAAA4AAAAAAAAAAQAgAAAAJwEAAGRy&#10;cy9lMm9Eb2MueG1sUEsFBgAAAAAGAAYAWQEAAJoFAAAAAA==&#10;">
                <v:fill on="t" focussize="0,0"/>
                <v:stroke color="#000000" joinstyle="miter"/>
                <v:imagedata o:title=""/>
                <o:lock v:ext="edit" aspectratio="f"/>
                <v:textbox>
                  <w:txbxContent>
                    <w:p>
                      <w:pPr>
                        <w:rPr>
                          <w:rFonts w:hint="eastAsia"/>
                        </w:rPr>
                      </w:pPr>
                    </w:p>
                    <w:p>
                      <w:pPr>
                        <w:ind w:firstLine="211" w:firstLineChars="100"/>
                        <w:rPr>
                          <w:rFonts w:hint="eastAsia"/>
                          <w:b/>
                        </w:rPr>
                      </w:pPr>
                      <w:r>
                        <w:rPr>
                          <w:rFonts w:hint="eastAsia"/>
                          <w:b/>
                        </w:rPr>
                        <w:t>附：</w:t>
                      </w:r>
                    </w:p>
                    <w:p>
                      <w:pPr>
                        <w:ind w:firstLine="211" w:firstLineChars="100"/>
                        <w:rPr>
                          <w:rFonts w:hint="eastAsia"/>
                          <w:b/>
                        </w:rPr>
                      </w:pPr>
                      <w:r>
                        <w:rPr>
                          <w:rFonts w:hint="eastAsia"/>
                          <w:b/>
                        </w:rPr>
                        <w:t>委派坐班律师律师执业证书复印件</w:t>
                      </w:r>
                    </w:p>
                    <w:p/>
                  </w:txbxContent>
                </v:textbox>
              </v:rect>
            </w:pict>
          </mc:Fallback>
        </mc:AlternateContent>
      </w:r>
      <w:r>
        <w:rPr>
          <w:rFonts w:hint="eastAsia" w:ascii="宋体" w:hAnsi="宋体"/>
          <w:color w:val="auto"/>
          <w:szCs w:val="21"/>
          <w:lang w:val="zh-CN"/>
        </w:rPr>
        <mc:AlternateContent>
          <mc:Choice Requires="wps">
            <w:drawing>
              <wp:anchor distT="0" distB="0" distL="114300" distR="114300" simplePos="0" relativeHeight="251668480" behindDoc="1" locked="0" layoutInCell="1" allowOverlap="1">
                <wp:simplePos x="0" y="0"/>
                <wp:positionH relativeFrom="column">
                  <wp:posOffset>88265</wp:posOffset>
                </wp:positionH>
                <wp:positionV relativeFrom="paragraph">
                  <wp:posOffset>59690</wp:posOffset>
                </wp:positionV>
                <wp:extent cx="2355850" cy="1221105"/>
                <wp:effectExtent l="4445" t="4445" r="17145" b="8890"/>
                <wp:wrapNone/>
                <wp:docPr id="9" name="矩形 9"/>
                <wp:cNvGraphicFramePr/>
                <a:graphic xmlns:a="http://schemas.openxmlformats.org/drawingml/2006/main">
                  <a:graphicData uri="http://schemas.microsoft.com/office/word/2010/wordprocessingShape">
                    <wps:wsp>
                      <wps:cNvSpPr/>
                      <wps:spPr>
                        <a:xfrm>
                          <a:off x="0" y="0"/>
                          <a:ext cx="2355850" cy="12211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ind w:firstLine="211" w:firstLineChars="100"/>
                              <w:rPr>
                                <w:rFonts w:hint="eastAsia"/>
                                <w:b/>
                              </w:rPr>
                            </w:pPr>
                            <w:r>
                              <w:rPr>
                                <w:rFonts w:hint="eastAsia"/>
                                <w:b/>
                              </w:rPr>
                              <w:t>附：</w:t>
                            </w:r>
                          </w:p>
                          <w:p>
                            <w:pPr>
                              <w:ind w:firstLine="211" w:firstLineChars="100"/>
                              <w:rPr>
                                <w:rFonts w:hint="eastAsia"/>
                                <w:b/>
                              </w:rPr>
                            </w:pPr>
                            <w:r>
                              <w:rPr>
                                <w:rFonts w:hint="eastAsia"/>
                                <w:b/>
                              </w:rPr>
                              <w:t>律师事务所负责人、委派坐班律师身份证（双面）复印件</w:t>
                            </w:r>
                          </w:p>
                          <w:p/>
                        </w:txbxContent>
                      </wps:txbx>
                      <wps:bodyPr upright="1"/>
                    </wps:wsp>
                  </a:graphicData>
                </a:graphic>
              </wp:anchor>
            </w:drawing>
          </mc:Choice>
          <mc:Fallback>
            <w:pict>
              <v:rect id="_x0000_s1026" o:spid="_x0000_s1026" o:spt="1" style="position:absolute;left:0pt;margin-left:6.95pt;margin-top:4.7pt;height:96.15pt;width:185.5pt;z-index:-251648000;mso-width-relative:page;mso-height-relative:page;" fillcolor="#FFFFFF" filled="t" stroked="t" coordsize="21600,21600" o:gfxdata="UEsDBAoAAAAAAIdO4kAAAAAAAAAAAAAAAAAEAAAAZHJzL1BLAwQUAAAACACHTuJAvQu8PdUAAAAI&#10;AQAADwAAAGRycy9kb3ducmV2LnhtbE2PQU+DQBCF7yb+h82YeLO7QKOFsvSgqYnHll68LTAClZ0l&#10;7NKiv97xpMcv7+XNN/lusYO44OR7RxqilQKBVLump1bDqdw/bED4YKgxgyPU8IUedsXtTW6yxl3p&#10;gJdjaAWPkM+Mhi6EMZPS1x1a41duROLsw03WBMaplc1krjxuBxkr9Sit6YkvdGbE5w7rz+NsNVR9&#10;fDLfh/JV2XSfhLelPM/vL1rf30VqCyLgEv7K8KvP6lCwU+VmarwYmJOUmxrSNQiOk82audIQq+gJ&#10;ZJHL/w8UP1BLAwQUAAAACACHTuJAtLv/0P8BAAAqBAAADgAAAGRycy9lMm9Eb2MueG1srVNLjtQw&#10;EN0jcQfLezofFDQTTXoWNM0GwUgDB3DbTmLJP7ncnfRpkNhxCI6DuAZlp+n5wKIXZOFU2eVX9V6V&#10;b25no8lBBlDOdrRalZRIy51Qdujol8/bV1eUQGRWMO2s7OhRAr1dv3xxM/lW1m50WshAEMRCO/mO&#10;jjH6tiiAj9IwWDkvLR72LhgW0Q1DIQKbEN3ooi7LN8XkgvDBcQmAu5vlkJ4QwyWAru8VlxvH90ba&#10;uKAGqVlESjAqD3Sdq+17yeOnvgcZie4oMo15xSRo79JarG9YOwTmR8VPJbBLSnjGyTBlMekZasMi&#10;I/ug/oIyigcHro8r7kyxEMmKIIuqfKbN/ci8zFxQavBn0eH/wfKPh7tAlOjoNSWWGWz4r6/ff/74&#10;Rq6TNpOHFkPu/V04eYBmIjr3waQ/UiBz1vN41lPOkXDcrF83zVWDUnM8q+q6qsomoRYP132A+F46&#10;Q5LR0YANyzqywweIS+ifkJQNnFZiq7TOThh2b3UgB4bN3ebvhP4kTFsyIb2mbrAQhhPb46SgaTyy&#10;BjvkfE9uwGPgMn//Ak6FbRiMSwEZIYWx1qgoQ7ZGycQ7K0g8elTW4oOiqRgjBSVa4vtLVo6MTOlL&#10;IlE7bVHC1JmlF8mK825GmGTunDhiS/c+qGFESatcejrBEcran8Y9zehjP4M+PPH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0LvD3VAAAACAEAAA8AAAAAAAAAAQAgAAAAIgAAAGRycy9kb3ducmV2&#10;LnhtbFBLAQIUABQAAAAIAIdO4kC0u//Q/wEAACoEAAAOAAAAAAAAAAEAIAAAACQBAABkcnMvZTJv&#10;RG9jLnhtbFBLBQYAAAAABgAGAFkBAACVBQAAAAA=&#10;">
                <v:fill on="t" focussize="0,0"/>
                <v:stroke color="#000000" joinstyle="miter"/>
                <v:imagedata o:title=""/>
                <o:lock v:ext="edit" aspectratio="f"/>
                <v:textbox>
                  <w:txbxContent>
                    <w:p>
                      <w:pPr>
                        <w:rPr>
                          <w:rFonts w:hint="eastAsia"/>
                        </w:rPr>
                      </w:pPr>
                    </w:p>
                    <w:p>
                      <w:pPr>
                        <w:ind w:firstLine="211" w:firstLineChars="100"/>
                        <w:rPr>
                          <w:rFonts w:hint="eastAsia"/>
                          <w:b/>
                        </w:rPr>
                      </w:pPr>
                      <w:r>
                        <w:rPr>
                          <w:rFonts w:hint="eastAsia"/>
                          <w:b/>
                        </w:rPr>
                        <w:t>附：</w:t>
                      </w:r>
                    </w:p>
                    <w:p>
                      <w:pPr>
                        <w:ind w:firstLine="211" w:firstLineChars="100"/>
                        <w:rPr>
                          <w:rFonts w:hint="eastAsia"/>
                          <w:b/>
                        </w:rPr>
                      </w:pPr>
                      <w:r>
                        <w:rPr>
                          <w:rFonts w:hint="eastAsia"/>
                          <w:b/>
                        </w:rPr>
                        <w:t>律师事务所负责人、委派坐班律师身份证（双面）复印件</w:t>
                      </w:r>
                    </w:p>
                    <w:p/>
                  </w:txbxContent>
                </v:textbox>
              </v:rect>
            </w:pict>
          </mc:Fallback>
        </mc:AlternateContent>
      </w:r>
    </w:p>
    <w:p>
      <w:pPr>
        <w:adjustRightInd w:val="0"/>
        <w:snapToGrid w:val="0"/>
        <w:spacing w:line="360" w:lineRule="auto"/>
        <w:ind w:right="420"/>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p>
    <w:p>
      <w:pPr>
        <w:autoSpaceDE w:val="0"/>
        <w:autoSpaceDN w:val="0"/>
        <w:adjustRightInd w:val="0"/>
        <w:snapToGrid w:val="0"/>
        <w:spacing w:line="360" w:lineRule="auto"/>
        <w:jc w:val="left"/>
        <w:rPr>
          <w:rFonts w:hint="eastAsia" w:ascii="宋体" w:hAnsi="宋体"/>
          <w:color w:val="auto"/>
          <w:szCs w:val="21"/>
        </w:rPr>
      </w:pPr>
      <w:r>
        <w:rPr>
          <w:rFonts w:hint="eastAsia" w:ascii="宋体" w:hAnsi="宋体"/>
          <w:b/>
          <w:color w:val="auto"/>
          <w:szCs w:val="21"/>
        </w:rPr>
        <w:t>备注：</w:t>
      </w:r>
      <w:r>
        <w:rPr>
          <w:rFonts w:hint="eastAsia" w:ascii="宋体" w:hAnsi="宋体"/>
          <w:b/>
          <w:color w:val="auto"/>
          <w:szCs w:val="21"/>
          <w:lang w:val="en-US" w:eastAsia="zh-CN"/>
        </w:rPr>
        <w:t>1.</w:t>
      </w:r>
      <w:r>
        <w:rPr>
          <w:rFonts w:hint="eastAsia" w:ascii="宋体" w:hAnsi="宋体"/>
          <w:b/>
          <w:color w:val="auto"/>
          <w:szCs w:val="21"/>
        </w:rPr>
        <w:t xml:space="preserve">上述证件复印件可另附页，另附页时，证件复印件均须加盖单位公章。 </w:t>
      </w:r>
    </w:p>
    <w:p>
      <w:pPr>
        <w:autoSpaceDE w:val="0"/>
        <w:autoSpaceDN w:val="0"/>
        <w:adjustRightInd w:val="0"/>
        <w:snapToGrid w:val="0"/>
        <w:spacing w:line="360" w:lineRule="auto"/>
        <w:ind w:firstLine="632" w:firstLineChars="300"/>
        <w:jc w:val="left"/>
        <w:rPr>
          <w:rFonts w:hint="eastAsia" w:ascii="宋体" w:hAnsi="宋体"/>
          <w:b/>
          <w:color w:val="auto"/>
          <w:szCs w:val="21"/>
        </w:rPr>
      </w:pPr>
      <w:r>
        <w:rPr>
          <w:rFonts w:hint="eastAsia" w:ascii="宋体" w:hAnsi="宋体"/>
          <w:b/>
          <w:color w:val="auto"/>
          <w:szCs w:val="21"/>
        </w:rPr>
        <w:t>2.</w:t>
      </w:r>
      <w:r>
        <w:rPr>
          <w:rFonts w:hint="eastAsia" w:ascii="宋体" w:hAnsi="宋体"/>
          <w:b/>
          <w:color w:val="auto"/>
          <w:szCs w:val="21"/>
          <w:lang w:val="en-US" w:eastAsia="zh-CN"/>
        </w:rPr>
        <w:t>委派函</w:t>
      </w:r>
      <w:r>
        <w:rPr>
          <w:rFonts w:hint="eastAsia" w:ascii="宋体" w:hAnsi="宋体"/>
          <w:b/>
          <w:color w:val="auto"/>
          <w:szCs w:val="21"/>
        </w:rPr>
        <w:t>另需单独准备一份原件，在</w:t>
      </w:r>
      <w:r>
        <w:rPr>
          <w:rFonts w:hint="eastAsia" w:ascii="宋体" w:hAnsi="宋体"/>
          <w:b/>
          <w:color w:val="auto"/>
          <w:szCs w:val="21"/>
          <w:lang w:val="en-US" w:eastAsia="zh-CN"/>
        </w:rPr>
        <w:t>拟坐班律师现场答辩</w:t>
      </w:r>
      <w:r>
        <w:rPr>
          <w:rFonts w:hint="eastAsia" w:ascii="宋体" w:hAnsi="宋体"/>
          <w:b/>
          <w:color w:val="auto"/>
          <w:szCs w:val="21"/>
        </w:rPr>
        <w:t>提供。</w:t>
      </w:r>
    </w:p>
    <w:p>
      <w:pPr>
        <w:adjustRightInd w:val="0"/>
        <w:snapToGrid w:val="0"/>
        <w:spacing w:line="360" w:lineRule="auto"/>
        <w:ind w:right="420"/>
        <w:rPr>
          <w:rFonts w:hint="eastAsia" w:ascii="宋体" w:hAnsi="宋体"/>
          <w:color w:val="auto"/>
          <w:szCs w:val="21"/>
        </w:rPr>
      </w:pPr>
    </w:p>
    <w:p>
      <w:pPr>
        <w:adjustRightInd w:val="0"/>
        <w:snapToGrid w:val="0"/>
        <w:spacing w:line="360" w:lineRule="auto"/>
        <w:ind w:right="420"/>
        <w:rPr>
          <w:rFonts w:hint="default" w:ascii="宋体" w:hAnsi="宋体" w:eastAsia="宋体"/>
          <w:color w:val="auto"/>
          <w:szCs w:val="21"/>
          <w:lang w:val="en-US" w:eastAsia="zh-CN"/>
        </w:rPr>
      </w:pPr>
    </w:p>
    <w:p>
      <w:pPr>
        <w:adjustRightInd w:val="0"/>
        <w:snapToGrid w:val="0"/>
        <w:spacing w:line="360" w:lineRule="auto"/>
        <w:ind w:right="420"/>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名称（盖单位章）：</w:t>
      </w:r>
      <w:r>
        <w:rPr>
          <w:rFonts w:hint="eastAsia" w:ascii="宋体" w:hAnsi="宋体"/>
          <w:color w:val="auto"/>
          <w:szCs w:val="21"/>
          <w:u w:val="single"/>
        </w:rPr>
        <w:t xml:space="preserve">                     </w:t>
      </w:r>
    </w:p>
    <w:p>
      <w:pPr>
        <w:adjustRightInd w:val="0"/>
        <w:snapToGrid w:val="0"/>
        <w:spacing w:line="360" w:lineRule="auto"/>
        <w:ind w:right="420"/>
        <w:rPr>
          <w:rFonts w:hint="eastAsia" w:ascii="宋体" w:hAnsi="宋体"/>
          <w:color w:val="auto"/>
          <w:szCs w:val="21"/>
        </w:rPr>
      </w:pPr>
      <w:r>
        <w:rPr>
          <w:rFonts w:hint="eastAsia"/>
          <w:color w:val="auto"/>
        </w:rPr>
        <w:t>律师事务所负责人</w:t>
      </w:r>
      <w:r>
        <w:rPr>
          <w:rFonts w:hint="eastAsia" w:ascii="宋体" w:hAnsi="宋体"/>
          <w:color w:val="auto"/>
          <w:szCs w:val="21"/>
        </w:rPr>
        <w:t>（亲笔签字）：</w:t>
      </w:r>
      <w:r>
        <w:rPr>
          <w:rFonts w:hint="eastAsia" w:ascii="宋体" w:hAnsi="宋体"/>
          <w:color w:val="auto"/>
          <w:szCs w:val="21"/>
          <w:u w:val="single"/>
        </w:rPr>
        <w:t xml:space="preserve">                                          </w:t>
      </w:r>
    </w:p>
    <w:p>
      <w:pPr>
        <w:adjustRightInd w:val="0"/>
        <w:snapToGrid w:val="0"/>
        <w:spacing w:line="360" w:lineRule="auto"/>
        <w:ind w:right="24"/>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line="360" w:lineRule="exact"/>
        <w:rPr>
          <w:rFonts w:hint="eastAsia" w:ascii="宋体"/>
          <w:b/>
          <w:color w:val="auto"/>
        </w:rPr>
      </w:pPr>
    </w:p>
    <w:p>
      <w:pPr>
        <w:rPr>
          <w:rFonts w:hint="eastAsia" w:ascii="黑体" w:hAnsi="宋体" w:eastAsia="黑体"/>
          <w:b/>
          <w:bCs/>
          <w:color w:val="auto"/>
          <w:sz w:val="32"/>
          <w:szCs w:val="32"/>
          <w:lang w:val="en-US" w:eastAsia="zh-CN"/>
        </w:rPr>
      </w:pPr>
      <w:r>
        <w:rPr>
          <w:rFonts w:hint="eastAsia" w:ascii="黑体" w:hAnsi="宋体" w:eastAsia="黑体"/>
          <w:b/>
          <w:bCs/>
          <w:color w:val="auto"/>
          <w:sz w:val="32"/>
          <w:szCs w:val="32"/>
          <w:lang w:val="en-US" w:eastAsia="zh-CN"/>
        </w:rPr>
        <w:br w:type="page"/>
      </w:r>
    </w:p>
    <w:p>
      <w:pPr>
        <w:pStyle w:val="46"/>
        <w:rPr>
          <w:color w:val="auto"/>
        </w:rPr>
        <w:sectPr>
          <w:pgSz w:w="11906" w:h="16838"/>
          <w:pgMar w:top="2098" w:right="1474" w:bottom="1984" w:left="1587" w:header="851" w:footer="992" w:gutter="0"/>
          <w:cols w:space="720" w:num="1"/>
          <w:docGrid w:type="lines" w:linePitch="319" w:charSpace="0"/>
        </w:sectPr>
      </w:pPr>
    </w:p>
    <w:p>
      <w:pPr>
        <w:adjustRightInd w:val="0"/>
        <w:snapToGrid w:val="0"/>
        <w:spacing w:line="360" w:lineRule="auto"/>
        <w:ind w:right="24"/>
        <w:jc w:val="center"/>
        <w:outlineLvl w:val="1"/>
        <w:rPr>
          <w:rFonts w:ascii="宋体" w:hAnsi="宋体" w:cs="宋体"/>
          <w:b/>
          <w:color w:val="auto"/>
          <w:sz w:val="32"/>
          <w:szCs w:val="32"/>
        </w:rPr>
      </w:pPr>
      <w:bookmarkStart w:id="123" w:name="_Toc132361375"/>
      <w:bookmarkStart w:id="124" w:name="_Toc25553"/>
      <w:bookmarkStart w:id="125" w:name="_Toc326"/>
      <w:bookmarkStart w:id="126" w:name="_Toc3697"/>
      <w:bookmarkStart w:id="127" w:name="_Toc15835"/>
      <w:bookmarkStart w:id="128" w:name="_Toc28228"/>
      <w:bookmarkStart w:id="129" w:name="_Toc5387"/>
      <w:bookmarkStart w:id="130" w:name="_Toc21225"/>
      <w:r>
        <w:rPr>
          <w:rFonts w:hint="eastAsia" w:ascii="宋体" w:hAnsi="宋体" w:cs="宋体"/>
          <w:b/>
          <w:color w:val="auto"/>
          <w:sz w:val="32"/>
          <w:szCs w:val="32"/>
          <w:lang w:val="en-US" w:eastAsia="zh-CN"/>
        </w:rPr>
        <w:t>八</w:t>
      </w:r>
      <w:r>
        <w:rPr>
          <w:rFonts w:hint="eastAsia" w:ascii="宋体" w:hAnsi="宋体" w:cs="宋体"/>
          <w:b/>
          <w:color w:val="auto"/>
          <w:sz w:val="32"/>
          <w:szCs w:val="32"/>
        </w:rPr>
        <w:t>、报价一览表</w:t>
      </w:r>
      <w:bookmarkEnd w:id="123"/>
      <w:bookmarkEnd w:id="124"/>
      <w:bookmarkEnd w:id="125"/>
      <w:bookmarkEnd w:id="126"/>
      <w:bookmarkEnd w:id="127"/>
      <w:bookmarkEnd w:id="128"/>
      <w:bookmarkEnd w:id="129"/>
      <w:bookmarkEnd w:id="130"/>
    </w:p>
    <w:tbl>
      <w:tblPr>
        <w:tblStyle w:val="47"/>
        <w:tblW w:w="88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23"/>
        <w:gridCol w:w="62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2523" w:type="dxa"/>
            <w:vAlign w:val="center"/>
          </w:tcPr>
          <w:p>
            <w:pPr>
              <w:spacing w:line="420" w:lineRule="exact"/>
              <w:jc w:val="center"/>
              <w:rPr>
                <w:b/>
                <w:bCs/>
                <w:color w:val="auto"/>
              </w:rPr>
            </w:pPr>
            <w:r>
              <w:rPr>
                <w:rFonts w:hint="eastAsia" w:ascii="宋体" w:hAnsi="宋体" w:cs="宋体"/>
                <w:b/>
                <w:bCs/>
                <w:color w:val="auto"/>
                <w:szCs w:val="21"/>
              </w:rPr>
              <w:t>项目名称</w:t>
            </w:r>
          </w:p>
        </w:tc>
        <w:tc>
          <w:tcPr>
            <w:tcW w:w="6297" w:type="dxa"/>
            <w:vAlign w:val="center"/>
          </w:tcPr>
          <w:p>
            <w:pPr>
              <w:jc w:val="center"/>
              <w:rPr>
                <w:rFonts w:ascii="宋体" w:hAnsi="宋体"/>
                <w:color w:val="auto"/>
                <w:szCs w:val="21"/>
              </w:rPr>
            </w:pPr>
            <w:r>
              <w:rPr>
                <w:rStyle w:val="56"/>
                <w:rFonts w:hint="eastAsia" w:cs="Times New Roman"/>
                <w:color w:val="auto"/>
                <w:kern w:val="0"/>
                <w:u w:val="none"/>
                <w:shd w:val="clear" w:color="auto" w:fill="FFFFFF"/>
                <w:lang w:val="en-US" w:eastAsia="zh-CN"/>
              </w:rPr>
              <w:t>长沙市轨道交通运营有限公司法律顾问采购服务项目</w:t>
            </w:r>
            <w:r>
              <w:rPr>
                <w:rFonts w:hint="eastAsia" w:ascii="宋体" w:hAnsi="宋体" w:cs="宋体"/>
                <w:bCs/>
                <w:color w:val="auto"/>
                <w:sz w:val="21"/>
                <w:szCs w:val="21"/>
                <w:highlight w:val="none"/>
                <w:lang w:val="en-US" w:eastAsia="zh-CN"/>
              </w:rPr>
              <w:t>（第二次）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Align w:val="center"/>
          </w:tcPr>
          <w:p>
            <w:pPr>
              <w:spacing w:line="420" w:lineRule="exact"/>
              <w:jc w:val="center"/>
              <w:rPr>
                <w:b/>
                <w:bCs/>
                <w:color w:val="auto"/>
              </w:rPr>
            </w:pPr>
            <w:r>
              <w:rPr>
                <w:rFonts w:hint="eastAsia" w:ascii="宋体" w:hAnsi="宋体" w:cs="宋体"/>
                <w:b/>
                <w:bCs/>
                <w:color w:val="auto"/>
                <w:szCs w:val="21"/>
              </w:rPr>
              <w:t>项目编号</w:t>
            </w:r>
          </w:p>
        </w:tc>
        <w:tc>
          <w:tcPr>
            <w:tcW w:w="6297" w:type="dxa"/>
            <w:vAlign w:val="center"/>
          </w:tcPr>
          <w:p>
            <w:pPr>
              <w:jc w:val="center"/>
              <w:rPr>
                <w:rFonts w:hint="eastAsia" w:ascii="宋体" w:hAnsi="宋体" w:eastAsia="宋体"/>
                <w:color w:val="auto"/>
                <w:szCs w:val="21"/>
                <w:lang w:eastAsia="zh-CN"/>
              </w:rPr>
            </w:pPr>
            <w:r>
              <w:rPr>
                <w:rStyle w:val="56"/>
                <w:rFonts w:hint="eastAsia"/>
                <w:color w:val="auto"/>
                <w:kern w:val="0"/>
                <w:u w:val="none"/>
                <w:shd w:val="clear" w:color="auto" w:fill="FFFFFF"/>
                <w:lang w:eastAsia="zh-CN"/>
              </w:rPr>
              <w:t>长轨运服采【2023】059号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2523" w:type="dxa"/>
            <w:vAlign w:val="center"/>
          </w:tcPr>
          <w:p>
            <w:pPr>
              <w:spacing w:line="420" w:lineRule="exact"/>
              <w:jc w:val="center"/>
              <w:rPr>
                <w:b/>
                <w:bCs/>
                <w:color w:val="auto"/>
              </w:rPr>
            </w:pPr>
            <w:r>
              <w:rPr>
                <w:rFonts w:hint="eastAsia"/>
                <w:b/>
                <w:bCs/>
                <w:color w:val="auto"/>
              </w:rPr>
              <w:t>服务期限</w:t>
            </w:r>
          </w:p>
        </w:tc>
        <w:tc>
          <w:tcPr>
            <w:tcW w:w="6297" w:type="dxa"/>
            <w:vAlign w:val="center"/>
          </w:tcPr>
          <w:p>
            <w:pPr>
              <w:rPr>
                <w:rFonts w:hint="default" w:ascii="宋体" w:hAnsi="宋体"/>
                <w:color w:val="auto"/>
                <w:szCs w:val="21"/>
                <w:lang w:val="en-US"/>
              </w:rPr>
            </w:pPr>
            <w:r>
              <w:rPr>
                <w:rStyle w:val="56"/>
                <w:rFonts w:hint="eastAsia" w:ascii="Times New Roman" w:hAnsi="Times New Roman" w:eastAsia="宋体" w:cs="Times New Roman"/>
                <w:color w:val="auto"/>
                <w:kern w:val="0"/>
                <w:u w:val="none"/>
                <w:shd w:val="clear" w:color="auto" w:fill="FFFFFF"/>
                <w:lang w:val="en-US" w:eastAsia="zh-CN"/>
              </w:rPr>
              <w:t>本项目服务期限暂定为</w:t>
            </w:r>
            <w:bookmarkStart w:id="146" w:name="_GoBack"/>
            <w:r>
              <w:rPr>
                <w:rStyle w:val="56"/>
                <w:rFonts w:hint="eastAsia" w:cs="Times New Roman"/>
                <w:color w:val="auto"/>
                <w:kern w:val="0"/>
                <w:u w:val="none"/>
                <w:shd w:val="clear" w:color="auto" w:fill="FFFFFF"/>
                <w:lang w:val="en-US" w:eastAsia="zh-CN"/>
              </w:rPr>
              <w:t>2023</w:t>
            </w:r>
            <w:r>
              <w:rPr>
                <w:rStyle w:val="56"/>
                <w:rFonts w:hint="eastAsia" w:ascii="Times New Roman" w:hAnsi="Times New Roman" w:eastAsia="宋体" w:cs="Times New Roman"/>
                <w:color w:val="auto"/>
                <w:kern w:val="0"/>
                <w:u w:val="none"/>
                <w:shd w:val="clear" w:color="auto" w:fill="FFFFFF"/>
                <w:lang w:val="en-US" w:eastAsia="zh-CN"/>
              </w:rPr>
              <w:t>年</w:t>
            </w:r>
            <w:bookmarkEnd w:id="146"/>
            <w:r>
              <w:rPr>
                <w:rStyle w:val="56"/>
                <w:rFonts w:hint="eastAsia" w:cs="Times New Roman"/>
                <w:color w:val="auto"/>
                <w:kern w:val="0"/>
                <w:u w:val="none"/>
                <w:shd w:val="clear" w:color="auto" w:fill="FFFFFF"/>
                <w:lang w:val="en-US" w:eastAsia="zh-CN"/>
              </w:rPr>
              <w:t>12月</w:t>
            </w:r>
            <w:r>
              <w:rPr>
                <w:rStyle w:val="56"/>
                <w:rFonts w:hint="eastAsia" w:ascii="Times New Roman" w:hAnsi="Times New Roman" w:eastAsia="宋体" w:cs="Times New Roman"/>
                <w:color w:val="auto"/>
                <w:kern w:val="0"/>
                <w:u w:val="none"/>
                <w:shd w:val="clear" w:color="auto" w:fill="FFFFFF"/>
                <w:lang w:val="en-US" w:eastAsia="zh-CN"/>
              </w:rPr>
              <w:t>至2025年</w:t>
            </w:r>
            <w:r>
              <w:rPr>
                <w:rStyle w:val="56"/>
                <w:rFonts w:hint="eastAsia" w:cs="Times New Roman"/>
                <w:color w:val="auto"/>
                <w:kern w:val="0"/>
                <w:u w:val="none"/>
                <w:shd w:val="clear" w:color="auto" w:fill="FFFFFF"/>
                <w:lang w:val="en-US" w:eastAsia="zh-CN"/>
              </w:rPr>
              <w:t>12月</w:t>
            </w:r>
            <w:r>
              <w:rPr>
                <w:rStyle w:val="56"/>
                <w:rFonts w:hint="eastAsia" w:ascii="Times New Roman" w:hAnsi="Times New Roman" w:eastAsia="宋体" w:cs="Times New Roman"/>
                <w:color w:val="auto"/>
                <w:kern w:val="0"/>
                <w:u w:val="none"/>
                <w:shd w:val="clear" w:color="auto" w:fill="FFFFFF"/>
                <w:lang w:val="en-US" w:eastAsia="zh-CN"/>
              </w:rPr>
              <w:t>（实际服务时间以供应商接到采购单位发出的进场通知起算，总计24个月）。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restart"/>
            <w:vAlign w:val="center"/>
          </w:tcPr>
          <w:p>
            <w:pPr>
              <w:spacing w:line="420" w:lineRule="exact"/>
              <w:jc w:val="center"/>
              <w:rPr>
                <w:rFonts w:ascii="宋体" w:hAnsi="宋体"/>
                <w:b/>
                <w:bCs/>
                <w:color w:val="auto"/>
                <w:szCs w:val="21"/>
              </w:rPr>
            </w:pPr>
            <w:r>
              <w:rPr>
                <w:rFonts w:hint="eastAsia" w:ascii="宋体" w:hAnsi="宋体"/>
                <w:b/>
                <w:bCs/>
                <w:color w:val="auto"/>
                <w:szCs w:val="21"/>
              </w:rPr>
              <w:t>不含增值税</w:t>
            </w:r>
            <w:r>
              <w:rPr>
                <w:rFonts w:ascii="宋体" w:hAnsi="宋体"/>
                <w:b/>
                <w:bCs/>
                <w:color w:val="auto"/>
                <w:szCs w:val="21"/>
              </w:rPr>
              <w:t>总报价</w:t>
            </w:r>
          </w:p>
        </w:tc>
        <w:tc>
          <w:tcPr>
            <w:tcW w:w="6297" w:type="dxa"/>
            <w:vAlign w:val="center"/>
          </w:tcPr>
          <w:p>
            <w:pPr>
              <w:spacing w:line="420" w:lineRule="exact"/>
              <w:jc w:val="left"/>
              <w:rPr>
                <w:rFonts w:ascii="宋体" w:hAnsi="宋体"/>
                <w:color w:val="auto"/>
                <w:szCs w:val="21"/>
                <w:u w:val="single"/>
              </w:rPr>
            </w:pPr>
            <w:r>
              <w:rPr>
                <w:rFonts w:hint="eastAsia" w:ascii="宋体" w:hAnsi="宋体"/>
                <w:color w:val="auto"/>
                <w:szCs w:val="21"/>
              </w:rPr>
              <w:t>大写：</w:t>
            </w:r>
            <w:r>
              <w:rPr>
                <w:rFonts w:hint="eastAsia" w:ascii="宋体" w:hAnsi="宋体" w:cs="宋体"/>
                <w:color w:val="auto"/>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continue"/>
            <w:vAlign w:val="center"/>
          </w:tcPr>
          <w:p>
            <w:pPr>
              <w:spacing w:line="420" w:lineRule="exact"/>
              <w:jc w:val="center"/>
              <w:rPr>
                <w:rFonts w:ascii="宋体" w:hAnsi="宋体"/>
                <w:b/>
                <w:bCs/>
                <w:color w:val="auto"/>
                <w:szCs w:val="21"/>
              </w:rPr>
            </w:pPr>
          </w:p>
        </w:tc>
        <w:tc>
          <w:tcPr>
            <w:tcW w:w="6297" w:type="dxa"/>
            <w:vAlign w:val="center"/>
          </w:tcPr>
          <w:p>
            <w:pPr>
              <w:spacing w:line="420" w:lineRule="exact"/>
              <w:jc w:val="left"/>
              <w:rPr>
                <w:rFonts w:ascii="宋体" w:hAnsi="宋体"/>
                <w:color w:val="auto"/>
                <w:szCs w:val="21"/>
              </w:rPr>
            </w:pPr>
            <w:r>
              <w:rPr>
                <w:rFonts w:hint="eastAsia" w:ascii="宋体" w:hAnsi="宋体"/>
                <w:color w:val="auto"/>
                <w:szCs w:val="21"/>
              </w:rPr>
              <w:t>小写：</w:t>
            </w:r>
            <w:r>
              <w:rPr>
                <w:rFonts w:hint="eastAsia" w:ascii="宋体" w:hAnsi="宋体" w:cs="宋体"/>
                <w:color w:val="auto"/>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2523" w:type="dxa"/>
            <w:vAlign w:val="center"/>
          </w:tcPr>
          <w:p>
            <w:pPr>
              <w:spacing w:line="420" w:lineRule="exact"/>
              <w:jc w:val="center"/>
              <w:rPr>
                <w:rFonts w:ascii="宋体" w:hAnsi="宋体"/>
                <w:b/>
                <w:bCs/>
                <w:color w:val="auto"/>
                <w:szCs w:val="21"/>
              </w:rPr>
            </w:pPr>
            <w:r>
              <w:rPr>
                <w:rFonts w:hint="eastAsia" w:ascii="宋体" w:hAnsi="宋体"/>
                <w:b/>
                <w:bCs/>
                <w:color w:val="auto"/>
                <w:szCs w:val="21"/>
              </w:rPr>
              <w:t>税费</w:t>
            </w:r>
          </w:p>
        </w:tc>
        <w:tc>
          <w:tcPr>
            <w:tcW w:w="6297" w:type="dxa"/>
            <w:vAlign w:val="center"/>
          </w:tcPr>
          <w:p>
            <w:pPr>
              <w:spacing w:line="420" w:lineRule="exact"/>
              <w:jc w:val="left"/>
              <w:rPr>
                <w:rFonts w:ascii="宋体" w:hAnsi="宋体"/>
                <w:color w:val="auto"/>
                <w:szCs w:val="21"/>
              </w:rPr>
            </w:pPr>
            <w:r>
              <w:rPr>
                <w:rFonts w:hint="eastAsia" w:ascii="宋体" w:hAnsi="宋体" w:cs="宋体"/>
                <w:color w:val="auto"/>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2523" w:type="dxa"/>
            <w:vAlign w:val="center"/>
          </w:tcPr>
          <w:p>
            <w:pPr>
              <w:spacing w:line="420" w:lineRule="exact"/>
              <w:jc w:val="center"/>
              <w:rPr>
                <w:rFonts w:ascii="宋体" w:hAnsi="宋体"/>
                <w:b/>
                <w:bCs/>
                <w:color w:val="auto"/>
                <w:szCs w:val="21"/>
              </w:rPr>
            </w:pPr>
            <w:r>
              <w:rPr>
                <w:rFonts w:hint="eastAsia" w:ascii="宋体" w:hAnsi="宋体"/>
                <w:b/>
                <w:bCs/>
                <w:color w:val="auto"/>
                <w:szCs w:val="21"/>
              </w:rPr>
              <w:t>增值税税率</w:t>
            </w:r>
          </w:p>
        </w:tc>
        <w:tc>
          <w:tcPr>
            <w:tcW w:w="6297" w:type="dxa"/>
            <w:vAlign w:val="center"/>
          </w:tcPr>
          <w:p>
            <w:pPr>
              <w:spacing w:line="420" w:lineRule="exact"/>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restart"/>
            <w:vAlign w:val="center"/>
          </w:tcPr>
          <w:p>
            <w:pPr>
              <w:spacing w:line="420" w:lineRule="exact"/>
              <w:jc w:val="center"/>
              <w:rPr>
                <w:rFonts w:ascii="宋体" w:hAnsi="宋体"/>
                <w:b/>
                <w:bCs/>
                <w:color w:val="auto"/>
                <w:szCs w:val="21"/>
              </w:rPr>
            </w:pPr>
            <w:r>
              <w:rPr>
                <w:rFonts w:hint="eastAsia" w:ascii="宋体" w:hAnsi="宋体"/>
                <w:b/>
                <w:bCs/>
                <w:color w:val="auto"/>
                <w:szCs w:val="21"/>
              </w:rPr>
              <w:t>含增值税</w:t>
            </w:r>
            <w:r>
              <w:rPr>
                <w:rFonts w:ascii="宋体" w:hAnsi="宋体"/>
                <w:b/>
                <w:bCs/>
                <w:color w:val="auto"/>
                <w:szCs w:val="21"/>
              </w:rPr>
              <w:t>总报价</w:t>
            </w:r>
          </w:p>
        </w:tc>
        <w:tc>
          <w:tcPr>
            <w:tcW w:w="6297" w:type="dxa"/>
            <w:vAlign w:val="center"/>
          </w:tcPr>
          <w:p>
            <w:pPr>
              <w:spacing w:line="420" w:lineRule="exact"/>
              <w:jc w:val="left"/>
              <w:rPr>
                <w:rFonts w:ascii="宋体" w:hAnsi="宋体"/>
                <w:color w:val="auto"/>
                <w:szCs w:val="21"/>
              </w:rPr>
            </w:pPr>
            <w:r>
              <w:rPr>
                <w:rFonts w:hint="eastAsia" w:ascii="宋体" w:hAnsi="宋体"/>
                <w:color w:val="auto"/>
                <w:szCs w:val="21"/>
              </w:rPr>
              <w:t>大写：</w:t>
            </w:r>
            <w:r>
              <w:rPr>
                <w:rFonts w:hint="eastAsia" w:ascii="宋体" w:hAnsi="宋体" w:cs="宋体"/>
                <w:color w:val="auto"/>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continue"/>
            <w:vAlign w:val="center"/>
          </w:tcPr>
          <w:p>
            <w:pPr>
              <w:spacing w:line="420" w:lineRule="exact"/>
              <w:jc w:val="center"/>
              <w:rPr>
                <w:rFonts w:ascii="宋体" w:hAnsi="宋体"/>
                <w:b/>
                <w:bCs/>
                <w:color w:val="auto"/>
                <w:szCs w:val="21"/>
              </w:rPr>
            </w:pPr>
          </w:p>
        </w:tc>
        <w:tc>
          <w:tcPr>
            <w:tcW w:w="6297" w:type="dxa"/>
            <w:vAlign w:val="center"/>
          </w:tcPr>
          <w:p>
            <w:pPr>
              <w:spacing w:line="420" w:lineRule="exact"/>
              <w:jc w:val="left"/>
              <w:rPr>
                <w:rFonts w:ascii="宋体" w:hAnsi="宋体"/>
                <w:color w:val="auto"/>
                <w:szCs w:val="21"/>
              </w:rPr>
            </w:pPr>
            <w:r>
              <w:rPr>
                <w:rFonts w:hint="eastAsia" w:ascii="宋体" w:hAnsi="宋体"/>
                <w:color w:val="auto"/>
                <w:szCs w:val="21"/>
              </w:rPr>
              <w:t>小写：</w:t>
            </w:r>
            <w:r>
              <w:rPr>
                <w:rFonts w:hint="eastAsia" w:ascii="宋体" w:hAnsi="宋体" w:cs="宋体"/>
                <w:color w:val="auto"/>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2523" w:type="dxa"/>
            <w:vAlign w:val="center"/>
          </w:tcPr>
          <w:p>
            <w:pPr>
              <w:spacing w:line="420" w:lineRule="exact"/>
              <w:jc w:val="center"/>
              <w:rPr>
                <w:rFonts w:ascii="宋体" w:hAnsi="宋体"/>
                <w:b/>
                <w:bCs/>
                <w:color w:val="auto"/>
                <w:szCs w:val="21"/>
              </w:rPr>
            </w:pPr>
            <w:r>
              <w:rPr>
                <w:rFonts w:ascii="宋体" w:hAnsi="宋体"/>
                <w:b/>
                <w:bCs/>
                <w:color w:val="auto"/>
                <w:szCs w:val="21"/>
              </w:rPr>
              <w:t>备  注</w:t>
            </w:r>
          </w:p>
        </w:tc>
        <w:tc>
          <w:tcPr>
            <w:tcW w:w="6297" w:type="dxa"/>
            <w:vAlign w:val="center"/>
          </w:tcPr>
          <w:p>
            <w:pPr>
              <w:adjustRightInd w:val="0"/>
              <w:snapToGrid w:val="0"/>
              <w:spacing w:line="360" w:lineRule="auto"/>
              <w:rPr>
                <w:rFonts w:ascii="宋体" w:hAnsi="宋体"/>
                <w:color w:val="auto"/>
                <w:szCs w:val="21"/>
              </w:rPr>
            </w:pPr>
          </w:p>
        </w:tc>
      </w:tr>
    </w:tbl>
    <w:p>
      <w:pPr>
        <w:adjustRightInd w:val="0"/>
        <w:snapToGrid w:val="0"/>
        <w:spacing w:line="360" w:lineRule="auto"/>
        <w:rPr>
          <w:rFonts w:ascii="宋体" w:hAnsi="宋体" w:cs="宋体"/>
          <w:b/>
          <w:color w:val="auto"/>
          <w:szCs w:val="21"/>
        </w:rPr>
      </w:pPr>
      <w:r>
        <w:rPr>
          <w:rFonts w:hint="eastAsia" w:ascii="宋体" w:hAnsi="宋体" w:cs="宋体"/>
          <w:b/>
          <w:color w:val="auto"/>
          <w:szCs w:val="21"/>
        </w:rPr>
        <w:t>注：1.所有报价保留小数点后两位，小数点后第三位“四舍五入”。</w:t>
      </w:r>
    </w:p>
    <w:p>
      <w:pPr>
        <w:adjustRightInd w:val="0"/>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2.本表内“</w:t>
      </w:r>
      <w:r>
        <w:rPr>
          <w:rFonts w:hint="eastAsia" w:ascii="宋体" w:hAnsi="宋体"/>
          <w:b/>
          <w:bCs/>
          <w:color w:val="auto"/>
          <w:szCs w:val="21"/>
        </w:rPr>
        <w:t>含增值税</w:t>
      </w:r>
      <w:r>
        <w:rPr>
          <w:rFonts w:hint="eastAsia" w:ascii="宋体" w:hAnsi="宋体" w:cs="宋体"/>
          <w:b/>
          <w:color w:val="auto"/>
          <w:szCs w:val="21"/>
        </w:rPr>
        <w:t>总报价”是包含了所有隐含的管理费、税金和利润等其他费用的报价。</w:t>
      </w:r>
    </w:p>
    <w:p>
      <w:pPr>
        <w:adjustRightInd w:val="0"/>
        <w:snapToGrid w:val="0"/>
        <w:spacing w:line="360" w:lineRule="auto"/>
        <w:ind w:firstLine="422" w:firstLineChars="200"/>
        <w:rPr>
          <w:rFonts w:ascii="宋体" w:hAnsi="宋体"/>
          <w:b/>
          <w:color w:val="auto"/>
          <w:szCs w:val="21"/>
        </w:rPr>
      </w:pPr>
      <w:r>
        <w:rPr>
          <w:rFonts w:hint="eastAsia" w:ascii="宋体" w:hAnsi="宋体"/>
          <w:b/>
          <w:color w:val="auto"/>
          <w:szCs w:val="21"/>
        </w:rPr>
        <w:t>3.本项目设置</w:t>
      </w:r>
      <w:r>
        <w:rPr>
          <w:rFonts w:hint="eastAsia" w:ascii="宋体" w:hAnsi="宋体" w:eastAsia="宋体" w:cs="宋体"/>
          <w:b/>
          <w:color w:val="auto"/>
          <w:szCs w:val="21"/>
          <w:lang w:eastAsia="zh-CN"/>
        </w:rPr>
        <w:t>控制价</w:t>
      </w:r>
      <w:r>
        <w:rPr>
          <w:rFonts w:hint="eastAsia" w:ascii="宋体" w:hAnsi="宋体" w:eastAsia="宋体" w:cs="宋体"/>
          <w:b/>
          <w:color w:val="auto"/>
          <w:szCs w:val="21"/>
        </w:rPr>
        <w:t>，不超过</w:t>
      </w:r>
      <w:r>
        <w:rPr>
          <w:rFonts w:hint="eastAsia" w:ascii="宋体" w:hAnsi="宋体" w:eastAsia="宋体" w:cs="宋体"/>
          <w:b/>
          <w:color w:val="auto"/>
          <w:szCs w:val="21"/>
          <w:lang w:eastAsia="zh-CN"/>
        </w:rPr>
        <w:t>控制价</w:t>
      </w:r>
      <w:r>
        <w:rPr>
          <w:rFonts w:hint="eastAsia" w:ascii="宋体" w:hAnsi="宋体" w:eastAsia="宋体" w:cs="宋体"/>
          <w:b/>
          <w:color w:val="auto"/>
          <w:szCs w:val="21"/>
        </w:rPr>
        <w:t>的</w:t>
      </w:r>
      <w:r>
        <w:rPr>
          <w:rFonts w:hint="eastAsia" w:ascii="宋体" w:hAnsi="宋体"/>
          <w:b/>
          <w:bCs/>
          <w:color w:val="auto"/>
          <w:szCs w:val="21"/>
        </w:rPr>
        <w:t>含增值税</w:t>
      </w:r>
      <w:r>
        <w:rPr>
          <w:rFonts w:hint="eastAsia" w:ascii="宋体" w:hAnsi="宋体" w:cs="宋体"/>
          <w:b/>
          <w:color w:val="auto"/>
          <w:szCs w:val="21"/>
        </w:rPr>
        <w:t>总报价</w:t>
      </w:r>
      <w:r>
        <w:rPr>
          <w:rFonts w:hint="eastAsia" w:ascii="宋体" w:hAnsi="宋体" w:eastAsia="宋体" w:cs="宋体"/>
          <w:b/>
          <w:color w:val="auto"/>
          <w:szCs w:val="21"/>
        </w:rPr>
        <w:t>为有效报价。</w:t>
      </w:r>
    </w:p>
    <w:p>
      <w:pPr>
        <w:adjustRightInd w:val="0"/>
        <w:snapToGrid w:val="0"/>
        <w:spacing w:line="360" w:lineRule="auto"/>
        <w:ind w:firstLine="422" w:firstLineChars="200"/>
        <w:rPr>
          <w:rFonts w:ascii="宋体" w:hAnsi="宋体"/>
          <w:b/>
          <w:color w:val="auto"/>
          <w:szCs w:val="21"/>
        </w:rPr>
      </w:pPr>
      <w:r>
        <w:rPr>
          <w:rFonts w:hint="eastAsia" w:ascii="宋体" w:hAnsi="宋体"/>
          <w:b/>
          <w:color w:val="auto"/>
          <w:szCs w:val="21"/>
        </w:rPr>
        <w:t>4.本项目竞争性采购报价评审时，以“不含增值税总报价”进行评审。</w:t>
      </w:r>
    </w:p>
    <w:p>
      <w:pPr>
        <w:adjustRightInd w:val="0"/>
        <w:snapToGrid w:val="0"/>
        <w:spacing w:line="360" w:lineRule="auto"/>
        <w:ind w:firstLine="422" w:firstLineChars="200"/>
        <w:rPr>
          <w:rFonts w:ascii="宋体" w:hAnsi="宋体"/>
          <w:b/>
          <w:color w:val="auto"/>
          <w:szCs w:val="21"/>
        </w:rPr>
      </w:pPr>
      <w:r>
        <w:rPr>
          <w:rFonts w:hint="eastAsia" w:ascii="宋体" w:hAnsi="宋体"/>
          <w:b/>
          <w:color w:val="auto"/>
          <w:szCs w:val="21"/>
        </w:rPr>
        <w:t>5.本项目</w:t>
      </w:r>
      <w:r>
        <w:rPr>
          <w:rFonts w:hint="eastAsia" w:ascii="宋体" w:hAnsi="宋体"/>
          <w:b/>
          <w:bCs/>
          <w:color w:val="auto"/>
          <w:szCs w:val="21"/>
        </w:rPr>
        <w:t>含增值税</w:t>
      </w:r>
      <w:r>
        <w:rPr>
          <w:rFonts w:ascii="宋体" w:hAnsi="宋体"/>
          <w:b/>
          <w:bCs/>
          <w:color w:val="auto"/>
          <w:szCs w:val="21"/>
        </w:rPr>
        <w:t>总报价</w:t>
      </w:r>
      <w:r>
        <w:rPr>
          <w:rFonts w:hint="eastAsia" w:ascii="宋体" w:hAnsi="宋体"/>
          <w:b/>
          <w:color w:val="auto"/>
          <w:szCs w:val="21"/>
          <w:lang w:val="en-US" w:eastAsia="zh-CN"/>
        </w:rPr>
        <w:t>为</w:t>
      </w:r>
      <w:r>
        <w:rPr>
          <w:rFonts w:hint="eastAsia" w:ascii="宋体" w:hAnsi="宋体"/>
          <w:b/>
          <w:color w:val="auto"/>
          <w:szCs w:val="21"/>
        </w:rPr>
        <w:t>不含税增值税总报价与税费之和。供应商在填写报价时应当注意区分“</w:t>
      </w:r>
      <w:r>
        <w:rPr>
          <w:rFonts w:hint="eastAsia" w:ascii="宋体" w:hAnsi="宋体"/>
          <w:b/>
          <w:bCs/>
          <w:color w:val="auto"/>
          <w:szCs w:val="21"/>
        </w:rPr>
        <w:t>含增值税</w:t>
      </w:r>
      <w:r>
        <w:rPr>
          <w:rFonts w:ascii="宋体" w:hAnsi="宋体"/>
          <w:b/>
          <w:bCs/>
          <w:color w:val="auto"/>
          <w:szCs w:val="21"/>
        </w:rPr>
        <w:t>总报价</w:t>
      </w:r>
      <w:r>
        <w:rPr>
          <w:rFonts w:hint="eastAsia" w:ascii="宋体" w:hAnsi="宋体"/>
          <w:b/>
          <w:color w:val="auto"/>
          <w:szCs w:val="21"/>
        </w:rPr>
        <w:t>”“不含增值税</w:t>
      </w:r>
      <w:r>
        <w:rPr>
          <w:rFonts w:hint="eastAsia" w:ascii="宋体" w:hAnsi="宋体"/>
          <w:b/>
          <w:color w:val="auto"/>
          <w:szCs w:val="21"/>
          <w:lang w:val="en-US" w:eastAsia="zh-CN"/>
        </w:rPr>
        <w:t>总</w:t>
      </w:r>
      <w:r>
        <w:rPr>
          <w:rFonts w:ascii="宋体" w:hAnsi="宋体"/>
          <w:b/>
          <w:bCs/>
          <w:color w:val="auto"/>
          <w:szCs w:val="21"/>
        </w:rPr>
        <w:t>报价</w:t>
      </w:r>
      <w:r>
        <w:rPr>
          <w:rFonts w:hint="eastAsia" w:ascii="宋体" w:hAnsi="宋体"/>
          <w:b/>
          <w:color w:val="auto"/>
          <w:szCs w:val="21"/>
        </w:rPr>
        <w:t>”“税费”。</w:t>
      </w:r>
    </w:p>
    <w:p>
      <w:pPr>
        <w:pStyle w:val="27"/>
        <w:adjustRightInd w:val="0"/>
        <w:snapToGrid w:val="0"/>
        <w:spacing w:line="360" w:lineRule="auto"/>
        <w:outlineLvl w:val="9"/>
        <w:rPr>
          <w:rFonts w:ascii="宋体" w:hAnsi="宋体"/>
          <w:color w:val="auto"/>
          <w:sz w:val="21"/>
          <w:szCs w:val="21"/>
        </w:rPr>
      </w:pPr>
    </w:p>
    <w:p>
      <w:pPr>
        <w:pStyle w:val="27"/>
        <w:adjustRightInd w:val="0"/>
        <w:snapToGrid w:val="0"/>
        <w:spacing w:line="480" w:lineRule="auto"/>
        <w:outlineLvl w:val="9"/>
        <w:rPr>
          <w:rFonts w:hint="eastAsia" w:ascii="宋体" w:hAnsi="宋体"/>
          <w:bCs/>
          <w:color w:val="auto"/>
          <w:sz w:val="21"/>
          <w:szCs w:val="21"/>
        </w:rPr>
      </w:pPr>
      <w:r>
        <w:rPr>
          <w:rFonts w:hint="eastAsia" w:ascii="宋体" w:hAnsi="宋体"/>
          <w:color w:val="auto"/>
          <w:sz w:val="21"/>
          <w:szCs w:val="21"/>
        </w:rPr>
        <w:t>供应商名称：</w:t>
      </w:r>
      <w:r>
        <w:rPr>
          <w:rFonts w:hint="eastAsia" w:ascii="宋体" w:hAnsi="宋体"/>
          <w:color w:val="auto"/>
          <w:sz w:val="21"/>
          <w:szCs w:val="21"/>
          <w:u w:val="single"/>
        </w:rPr>
        <w:t xml:space="preserve">    （盖单位章）    </w:t>
      </w:r>
    </w:p>
    <w:p>
      <w:pPr>
        <w:adjustRightInd w:val="0"/>
        <w:snapToGrid w:val="0"/>
        <w:spacing w:line="480" w:lineRule="auto"/>
        <w:outlineLvl w:val="9"/>
        <w:rPr>
          <w:rFonts w:ascii="宋体" w:hAnsi="宋体"/>
          <w:color w:val="auto"/>
          <w:szCs w:val="21"/>
          <w:u w:val="single"/>
        </w:rPr>
      </w:pPr>
      <w:r>
        <w:rPr>
          <w:rFonts w:hint="eastAsia" w:ascii="宋体" w:hAnsi="宋体"/>
          <w:color w:val="auto"/>
          <w:szCs w:val="21"/>
          <w:lang w:eastAsia="zh-CN"/>
        </w:rPr>
        <w:t>律师事务所负责人</w:t>
      </w:r>
      <w:r>
        <w:rPr>
          <w:rFonts w:hint="eastAsia" w:ascii="宋体" w:hAnsi="宋体"/>
          <w:color w:val="auto"/>
          <w:szCs w:val="21"/>
          <w:lang w:val="en-US" w:eastAsia="zh-CN"/>
        </w:rPr>
        <w:t>或委托代理人（</w:t>
      </w:r>
      <w:r>
        <w:rPr>
          <w:rFonts w:hint="eastAsia" w:ascii="宋体" w:hAnsi="宋体"/>
          <w:color w:val="auto"/>
          <w:szCs w:val="21"/>
        </w:rPr>
        <w:t>签字或盖章</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u w:val="single"/>
        </w:rPr>
        <w:t xml:space="preserve">              </w:t>
      </w:r>
    </w:p>
    <w:p>
      <w:pPr>
        <w:adjustRightInd w:val="0"/>
        <w:snapToGrid w:val="0"/>
        <w:spacing w:line="480" w:lineRule="auto"/>
        <w:outlineLvl w:val="9"/>
        <w:rPr>
          <w:rFonts w:hint="eastAsia" w:ascii="宋体" w:hAnsi="宋体"/>
          <w:color w:val="auto"/>
          <w:szCs w:val="21"/>
        </w:rPr>
        <w:sectPr>
          <w:pgSz w:w="11906" w:h="16838"/>
          <w:pgMar w:top="2098" w:right="1474" w:bottom="1985" w:left="1588" w:header="851" w:footer="992" w:gutter="0"/>
          <w:cols w:space="0" w:num="1"/>
          <w:docGrid w:type="lines" w:linePitch="319" w:charSpace="0"/>
        </w:sectPr>
      </w:pPr>
      <w:r>
        <w:rPr>
          <w:rFonts w:hint="eastAsia" w:ascii="宋体" w:hAnsi="宋体"/>
          <w:color w:val="auto"/>
          <w:szCs w:val="21"/>
        </w:rPr>
        <w:t xml:space="preserve">日期： </w:t>
      </w:r>
      <w:r>
        <w:rPr>
          <w:rFonts w:hint="eastAsia" w:ascii="宋体" w:hAnsi="宋体"/>
          <w:color w:val="auto"/>
          <w:szCs w:val="21"/>
          <w:u w:val="single"/>
        </w:rPr>
        <w:t xml:space="preserve">     </w:t>
      </w:r>
      <w:r>
        <w:rPr>
          <w:rFonts w:hint="eastAsia" w:ascii="宋体" w:hAnsi="宋体"/>
          <w:color w:val="auto"/>
          <w:szCs w:val="21"/>
        </w:rPr>
        <w:t xml:space="preserve"> 年 </w:t>
      </w:r>
      <w:r>
        <w:rPr>
          <w:rFonts w:hint="eastAsia" w:ascii="宋体" w:hAnsi="宋体"/>
          <w:color w:val="auto"/>
          <w:szCs w:val="21"/>
          <w:u w:val="single"/>
        </w:rPr>
        <w:t xml:space="preserve">    </w:t>
      </w:r>
      <w:r>
        <w:rPr>
          <w:rFonts w:hint="eastAsia" w:ascii="宋体" w:hAnsi="宋体"/>
          <w:color w:val="auto"/>
          <w:szCs w:val="21"/>
        </w:rPr>
        <w:t xml:space="preserve"> 月 </w:t>
      </w:r>
      <w:r>
        <w:rPr>
          <w:rFonts w:hint="eastAsia" w:ascii="宋体" w:hAnsi="宋体"/>
          <w:color w:val="auto"/>
          <w:szCs w:val="21"/>
          <w:u w:val="single"/>
        </w:rPr>
        <w:t xml:space="preserve">   </w:t>
      </w:r>
      <w:r>
        <w:rPr>
          <w:rFonts w:hint="eastAsia" w:ascii="宋体" w:hAnsi="宋体"/>
          <w:color w:val="auto"/>
          <w:szCs w:val="21"/>
        </w:rPr>
        <w:t xml:space="preserve"> 日</w:t>
      </w:r>
    </w:p>
    <w:p>
      <w:pPr>
        <w:adjustRightInd w:val="0"/>
        <w:snapToGrid w:val="0"/>
        <w:spacing w:line="360" w:lineRule="auto"/>
        <w:ind w:right="24"/>
        <w:jc w:val="center"/>
        <w:outlineLvl w:val="1"/>
        <w:rPr>
          <w:rFonts w:hint="eastAsia" w:ascii="宋体" w:hAnsi="宋体" w:cs="宋体"/>
          <w:b/>
          <w:color w:val="auto"/>
          <w:sz w:val="32"/>
          <w:szCs w:val="32"/>
          <w:highlight w:val="none"/>
          <w:lang w:eastAsia="zh-CN"/>
        </w:rPr>
      </w:pPr>
      <w:bookmarkStart w:id="131" w:name="_Toc2797"/>
      <w:bookmarkStart w:id="132" w:name="_Toc31819"/>
      <w:bookmarkStart w:id="133" w:name="_Toc20020"/>
      <w:r>
        <w:rPr>
          <w:rFonts w:hint="eastAsia" w:ascii="宋体" w:hAnsi="宋体" w:cs="宋体"/>
          <w:b/>
          <w:color w:val="auto"/>
          <w:sz w:val="32"/>
          <w:szCs w:val="32"/>
          <w:highlight w:val="none"/>
          <w:lang w:val="en-US" w:eastAsia="zh-CN"/>
        </w:rPr>
        <w:t>九、</w:t>
      </w:r>
      <w:r>
        <w:rPr>
          <w:rFonts w:hint="eastAsia" w:ascii="宋体" w:hAnsi="宋体" w:cs="宋体"/>
          <w:b/>
          <w:color w:val="auto"/>
          <w:sz w:val="32"/>
          <w:szCs w:val="32"/>
          <w:highlight w:val="none"/>
        </w:rPr>
        <w:t>分项</w:t>
      </w:r>
      <w:r>
        <w:rPr>
          <w:rFonts w:hint="eastAsia" w:ascii="宋体" w:hAnsi="宋体" w:cs="宋体"/>
          <w:b/>
          <w:color w:val="auto"/>
          <w:sz w:val="32"/>
          <w:szCs w:val="32"/>
          <w:highlight w:val="none"/>
          <w:lang w:eastAsia="zh-CN"/>
        </w:rPr>
        <w:t>报价表</w:t>
      </w:r>
      <w:bookmarkEnd w:id="131"/>
      <w:bookmarkEnd w:id="132"/>
      <w:bookmarkEnd w:id="133"/>
    </w:p>
    <w:tbl>
      <w:tblPr>
        <w:tblStyle w:val="47"/>
        <w:tblW w:w="97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15"/>
        <w:gridCol w:w="1874"/>
        <w:gridCol w:w="1190"/>
        <w:gridCol w:w="1215"/>
        <w:gridCol w:w="1969"/>
        <w:gridCol w:w="2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315"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8417" w:type="dxa"/>
            <w:gridSpan w:val="5"/>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长沙市轨道交通运营有限公司法律顾问采购服务项目</w:t>
            </w:r>
            <w:r>
              <w:rPr>
                <w:rFonts w:hint="eastAsia" w:cs="Times New Roman"/>
                <w:b w:val="0"/>
                <w:bCs w:val="0"/>
                <w:i w:val="0"/>
                <w:iCs w:val="0"/>
                <w:color w:val="auto"/>
                <w:kern w:val="0"/>
                <w:sz w:val="21"/>
                <w:szCs w:val="21"/>
                <w:highlight w:val="none"/>
                <w:u w:val="none"/>
                <w:lang w:val="en-US" w:eastAsia="zh-CN" w:bidi="ar"/>
              </w:rPr>
              <w:t>（第二次）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31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项目编号</w:t>
            </w:r>
          </w:p>
        </w:tc>
        <w:tc>
          <w:tcPr>
            <w:tcW w:w="8417" w:type="dxa"/>
            <w:gridSpan w:val="5"/>
            <w:tcBorders>
              <w:top w:val="single" w:color="000000"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长轨运服采【2023】059号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jc w:val="center"/>
        </w:trPr>
        <w:tc>
          <w:tcPr>
            <w:tcW w:w="1315" w:type="dxa"/>
            <w:tcBorders>
              <w:top w:val="single" w:color="auto" w:sz="4" w:space="0"/>
              <w:left w:val="single" w:color="000000"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874"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服务名称</w:t>
            </w:r>
          </w:p>
        </w:tc>
        <w:tc>
          <w:tcPr>
            <w:tcW w:w="1190"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color w:val="auto"/>
                <w:highlight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宋体" w:eastAsia="宋体" w:cs="宋体"/>
                <w:b/>
                <w:bCs/>
                <w:color w:val="auto"/>
                <w:szCs w:val="21"/>
                <w:highlight w:val="none"/>
                <w:lang w:val="en-US" w:eastAsia="zh-CN"/>
              </w:rPr>
              <w:t>不含增值税</w:t>
            </w:r>
            <w:r>
              <w:rPr>
                <w:rFonts w:hint="eastAsia" w:ascii="Times New Roman" w:hAnsi="宋体" w:cs="宋体"/>
                <w:b/>
                <w:bCs/>
                <w:color w:val="auto"/>
                <w:szCs w:val="21"/>
                <w:highlight w:val="none"/>
                <w:lang w:val="en-US" w:eastAsia="zh-CN"/>
              </w:rPr>
              <w:t>单</w:t>
            </w:r>
            <w:r>
              <w:rPr>
                <w:rFonts w:hint="eastAsia" w:ascii="Times New Roman" w:hAnsi="宋体" w:eastAsia="宋体" w:cs="宋体"/>
                <w:b/>
                <w:bCs/>
                <w:color w:val="auto"/>
                <w:szCs w:val="21"/>
                <w:highlight w:val="none"/>
                <w:lang w:val="en-US" w:eastAsia="zh-CN"/>
              </w:rPr>
              <w:t>价（元）</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不含增值税</w:t>
            </w:r>
            <w:r>
              <w:rPr>
                <w:rFonts w:hint="eastAsia" w:ascii="宋体" w:hAnsi="宋体"/>
                <w:b/>
                <w:bCs/>
                <w:color w:val="auto"/>
                <w:szCs w:val="21"/>
                <w:lang w:val="en-US" w:eastAsia="zh-CN"/>
              </w:rPr>
              <w:t>合</w:t>
            </w:r>
            <w:r>
              <w:rPr>
                <w:rFonts w:ascii="宋体" w:hAnsi="宋体"/>
                <w:b/>
                <w:bCs/>
                <w:color w:val="auto"/>
                <w:szCs w:val="21"/>
              </w:rPr>
              <w:t>价</w:t>
            </w:r>
          </w:p>
          <w:p>
            <w:pPr>
              <w:keepNext w:val="0"/>
              <w:keepLines w:val="0"/>
              <w:suppressLineNumbers w:val="0"/>
              <w:spacing w:before="0" w:beforeAutospacing="0" w:after="0" w:afterAutospacing="0"/>
              <w:ind w:left="0" w:leftChars="0" w:right="0" w:rightChars="0"/>
              <w:jc w:val="center"/>
              <w:rPr>
                <w:rFonts w:hint="eastAsia" w:ascii="Times New Roman" w:hAnsi="宋体" w:eastAsia="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315"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1</w:t>
            </w:r>
          </w:p>
        </w:tc>
        <w:tc>
          <w:tcPr>
            <w:tcW w:w="187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法律顾问服务</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年</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2</w:t>
            </w:r>
          </w:p>
        </w:tc>
        <w:tc>
          <w:tcPr>
            <w:tcW w:w="196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宋体" w:eastAsia="宋体" w:cs="宋体"/>
                <w:b/>
                <w:bCs/>
                <w:color w:val="auto"/>
                <w:szCs w:val="21"/>
                <w:highlight w:val="none"/>
                <w:lang w:val="en-US" w:eastAsia="zh-CN"/>
              </w:rPr>
            </w:pPr>
          </w:p>
        </w:tc>
        <w:tc>
          <w:tcPr>
            <w:tcW w:w="216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756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宋体" w:eastAsia="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不含增值税</w:t>
            </w:r>
            <w:r>
              <w:rPr>
                <w:rFonts w:ascii="宋体" w:hAnsi="宋体"/>
                <w:b/>
                <w:bCs/>
                <w:color w:val="auto"/>
                <w:szCs w:val="21"/>
              </w:rPr>
              <w:t>总报价</w:t>
            </w:r>
            <w:r>
              <w:rPr>
                <w:rFonts w:hint="eastAsia" w:ascii="Times New Roman" w:hAnsi="宋体" w:eastAsia="宋体" w:cs="宋体"/>
                <w:b/>
                <w:bCs/>
                <w:color w:val="auto"/>
                <w:szCs w:val="21"/>
                <w:highlight w:val="none"/>
                <w:lang w:val="en-US" w:eastAsia="zh-CN"/>
              </w:rPr>
              <w:t>A（元）</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756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宋体" w:eastAsia="宋体" w:cs="宋体"/>
                <w:b/>
                <w:bCs/>
                <w:color w:val="auto"/>
                <w:szCs w:val="21"/>
                <w:highlight w:val="none"/>
                <w:lang w:val="en-US" w:eastAsia="zh-CN"/>
              </w:rPr>
              <w:t>税率B</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756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宋体" w:eastAsia="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税费C（元）</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756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default" w:ascii="Times New Roman" w:hAnsi="宋体" w:eastAsia="宋体" w:cs="宋体"/>
                <w:b/>
                <w:bCs/>
                <w:color w:val="auto"/>
                <w:szCs w:val="21"/>
                <w:highlight w:val="none"/>
                <w:lang w:val="en-US" w:eastAsia="zh-CN"/>
              </w:rPr>
              <w:t>含增值税</w:t>
            </w:r>
            <w:r>
              <w:rPr>
                <w:rFonts w:ascii="宋体" w:hAnsi="宋体"/>
                <w:b/>
                <w:bCs/>
                <w:color w:val="auto"/>
                <w:szCs w:val="21"/>
              </w:rPr>
              <w:t>总报价</w:t>
            </w:r>
            <w:r>
              <w:rPr>
                <w:rFonts w:hint="eastAsia" w:ascii="Times New Roman" w:hAnsi="宋体" w:eastAsia="宋体" w:cs="宋体"/>
                <w:b/>
                <w:bCs/>
                <w:color w:val="auto"/>
                <w:szCs w:val="21"/>
                <w:highlight w:val="none"/>
                <w:lang w:val="en-US" w:eastAsia="zh-CN"/>
              </w:rPr>
              <w:t>D（元）</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default" w:ascii="Times New Roman" w:hAnsi="Times New Roman" w:cs="Times New Roman"/>
          <w:b/>
          <w:bCs/>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备注：1.所有报价保留小数点后两位，小数点后第三位“四舍五入”。</w:t>
      </w:r>
    </w:p>
    <w:p>
      <w:pPr>
        <w:keepNext w:val="0"/>
        <w:keepLines w:val="0"/>
        <w:pageBreakBefore w:val="0"/>
        <w:widowControl w:val="0"/>
        <w:kinsoku/>
        <w:wordWrap/>
        <w:overflowPunct/>
        <w:topLinePunct w:val="0"/>
        <w:autoSpaceDE/>
        <w:autoSpaceDN/>
        <w:bidi w:val="0"/>
        <w:adjustRightInd w:val="0"/>
        <w:snapToGrid w:val="0"/>
        <w:spacing w:line="240" w:lineRule="auto"/>
        <w:ind w:left="630" w:leftChars="300" w:right="0" w:firstLine="0" w:firstLineChars="0"/>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2.</w:t>
      </w:r>
      <w:r>
        <w:rPr>
          <w:rFonts w:hint="eastAsia" w:ascii="Times New Roman" w:hAnsi="Times New Roman" w:eastAsia="宋体" w:cs="Times New Roman"/>
          <w:b/>
          <w:bCs/>
          <w:color w:val="auto"/>
          <w:szCs w:val="21"/>
          <w:highlight w:val="none"/>
          <w:lang w:val="en-US" w:eastAsia="zh-CN"/>
        </w:rPr>
        <w:t>报价</w:t>
      </w:r>
      <w:r>
        <w:rPr>
          <w:rFonts w:hint="eastAsia" w:ascii="Times New Roman" w:hAnsi="Times New Roman" w:cs="Times New Roman"/>
          <w:b/>
          <w:bCs/>
          <w:color w:val="auto"/>
          <w:szCs w:val="21"/>
          <w:highlight w:val="none"/>
          <w:lang w:val="en-US" w:eastAsia="zh-CN"/>
        </w:rPr>
        <w:t>需满足不含增值税</w:t>
      </w:r>
      <w:r>
        <w:rPr>
          <w:rFonts w:hint="eastAsia" w:ascii="宋体" w:hAnsi="宋体"/>
          <w:b/>
          <w:bCs/>
          <w:color w:val="auto"/>
          <w:szCs w:val="21"/>
          <w:lang w:val="en-US" w:eastAsia="zh-CN"/>
        </w:rPr>
        <w:t>合</w:t>
      </w:r>
      <w:r>
        <w:rPr>
          <w:rFonts w:ascii="宋体" w:hAnsi="宋体"/>
          <w:b/>
          <w:bCs/>
          <w:color w:val="auto"/>
          <w:szCs w:val="21"/>
        </w:rPr>
        <w:t>价</w:t>
      </w:r>
      <w:r>
        <w:rPr>
          <w:rFonts w:hint="eastAsia" w:ascii="Times New Roman" w:hAnsi="Times New Roman" w:cs="Times New Roman"/>
          <w:b/>
          <w:bCs/>
          <w:color w:val="auto"/>
          <w:szCs w:val="21"/>
          <w:highlight w:val="none"/>
          <w:lang w:val="en-US" w:eastAsia="zh-CN"/>
        </w:rPr>
        <w:t>=不含增值税单价x数量；</w:t>
      </w:r>
      <w:r>
        <w:rPr>
          <w:rFonts w:hint="eastAsia" w:ascii="Times New Roman" w:hAnsi="宋体" w:eastAsia="宋体" w:cs="宋体"/>
          <w:b/>
          <w:bCs/>
          <w:color w:val="auto"/>
          <w:szCs w:val="21"/>
          <w:highlight w:val="none"/>
          <w:lang w:val="en-US" w:eastAsia="zh-CN"/>
        </w:rPr>
        <w:t>税费C</w:t>
      </w:r>
      <w:r>
        <w:rPr>
          <w:rFonts w:hint="eastAsia" w:ascii="Times New Roman" w:hAnsi="Times New Roman" w:cs="Times New Roman"/>
          <w:b/>
          <w:bCs/>
          <w:color w:val="auto"/>
          <w:szCs w:val="21"/>
          <w:highlight w:val="none"/>
          <w:lang w:val="en-US" w:eastAsia="zh-CN"/>
        </w:rPr>
        <w:t>=</w:t>
      </w:r>
      <w:r>
        <w:rPr>
          <w:rFonts w:hint="default" w:ascii="Times New Roman" w:hAnsi="宋体" w:eastAsia="宋体" w:cs="宋体"/>
          <w:b/>
          <w:bCs/>
          <w:color w:val="auto"/>
          <w:szCs w:val="21"/>
          <w:highlight w:val="none"/>
          <w:lang w:val="en-US" w:eastAsia="zh-CN"/>
        </w:rPr>
        <w:t>不含增值税</w:t>
      </w:r>
      <w:r>
        <w:rPr>
          <w:rFonts w:ascii="宋体" w:hAnsi="宋体"/>
          <w:b/>
          <w:bCs/>
          <w:color w:val="auto"/>
          <w:szCs w:val="21"/>
        </w:rPr>
        <w:t>总报价</w:t>
      </w:r>
      <w:r>
        <w:rPr>
          <w:rFonts w:hint="eastAsia" w:ascii="Times New Roman" w:hAnsi="宋体" w:eastAsia="宋体" w:cs="宋体"/>
          <w:b/>
          <w:bCs/>
          <w:color w:val="auto"/>
          <w:szCs w:val="21"/>
          <w:highlight w:val="none"/>
          <w:lang w:val="en-US" w:eastAsia="zh-CN"/>
        </w:rPr>
        <w:t>A</w:t>
      </w:r>
      <w:r>
        <w:rPr>
          <w:rFonts w:hint="eastAsia" w:ascii="Times New Roman" w:hAnsi="Times New Roman" w:cs="Times New Roman"/>
          <w:b/>
          <w:bCs/>
          <w:color w:val="auto"/>
          <w:szCs w:val="21"/>
          <w:highlight w:val="none"/>
          <w:lang w:val="en-US" w:eastAsia="zh-CN"/>
        </w:rPr>
        <w:t>*</w:t>
      </w:r>
      <w:r>
        <w:rPr>
          <w:rFonts w:hint="eastAsia" w:ascii="Times New Roman" w:hAnsi="宋体" w:eastAsia="宋体" w:cs="宋体"/>
          <w:b/>
          <w:bCs/>
          <w:color w:val="auto"/>
          <w:szCs w:val="21"/>
          <w:highlight w:val="none"/>
          <w:lang w:val="en-US" w:eastAsia="zh-CN"/>
        </w:rPr>
        <w:t>税率B</w:t>
      </w:r>
      <w:r>
        <w:rPr>
          <w:rFonts w:hint="eastAsia" w:ascii="Times New Roman" w:hAnsi="Times New Roman" w:cs="Times New Roman"/>
          <w:b/>
          <w:bCs/>
          <w:color w:val="auto"/>
          <w:szCs w:val="21"/>
          <w:highlight w:val="none"/>
          <w:lang w:val="en-US" w:eastAsia="zh-CN"/>
        </w:rPr>
        <w:t>、</w:t>
      </w:r>
      <w:r>
        <w:rPr>
          <w:rFonts w:hint="default" w:ascii="Times New Roman" w:hAnsi="宋体" w:eastAsia="宋体" w:cs="宋体"/>
          <w:b/>
          <w:bCs/>
          <w:color w:val="auto"/>
          <w:szCs w:val="21"/>
          <w:highlight w:val="none"/>
          <w:lang w:val="en-US" w:eastAsia="zh-CN"/>
        </w:rPr>
        <w:t>不含增值税</w:t>
      </w:r>
      <w:r>
        <w:rPr>
          <w:rFonts w:ascii="宋体" w:hAnsi="宋体"/>
          <w:b/>
          <w:bCs/>
          <w:color w:val="auto"/>
          <w:szCs w:val="21"/>
        </w:rPr>
        <w:t>总报价</w:t>
      </w:r>
      <w:r>
        <w:rPr>
          <w:rFonts w:hint="eastAsia" w:ascii="Times New Roman" w:hAnsi="宋体" w:eastAsia="宋体" w:cs="宋体"/>
          <w:b/>
          <w:bCs/>
          <w:color w:val="auto"/>
          <w:szCs w:val="21"/>
          <w:highlight w:val="none"/>
          <w:lang w:val="en-US" w:eastAsia="zh-CN"/>
        </w:rPr>
        <w:t>A+税费C=</w:t>
      </w:r>
      <w:r>
        <w:rPr>
          <w:rFonts w:hint="default" w:ascii="Times New Roman" w:hAnsi="宋体" w:eastAsia="宋体" w:cs="宋体"/>
          <w:b/>
          <w:bCs/>
          <w:color w:val="auto"/>
          <w:szCs w:val="21"/>
          <w:highlight w:val="none"/>
          <w:lang w:val="en-US" w:eastAsia="zh-CN"/>
        </w:rPr>
        <w:t>含增值税</w:t>
      </w:r>
      <w:r>
        <w:rPr>
          <w:rFonts w:ascii="宋体" w:hAnsi="宋体"/>
          <w:b/>
          <w:bCs/>
          <w:color w:val="auto"/>
          <w:szCs w:val="21"/>
        </w:rPr>
        <w:t>总报价</w:t>
      </w:r>
      <w:r>
        <w:rPr>
          <w:rFonts w:hint="eastAsia" w:ascii="Times New Roman" w:hAnsi="宋体" w:eastAsia="宋体" w:cs="宋体"/>
          <w:b/>
          <w:bCs/>
          <w:color w:val="auto"/>
          <w:szCs w:val="21"/>
          <w:highlight w:val="none"/>
          <w:lang w:val="en-US" w:eastAsia="zh-CN"/>
        </w:rPr>
        <w:t>D。</w:t>
      </w:r>
    </w:p>
    <w:p>
      <w:pPr>
        <w:pStyle w:val="46"/>
        <w:ind w:left="0" w:leftChars="0" w:firstLine="632" w:firstLineChars="300"/>
        <w:rPr>
          <w:rFonts w:hint="default" w:ascii="宋体" w:hAnsi="宋体" w:cs="宋体"/>
          <w:b/>
          <w:color w:val="auto"/>
          <w:sz w:val="32"/>
          <w:szCs w:val="32"/>
          <w:highlight w:val="none"/>
          <w:lang w:val="en-US" w:eastAsia="zh-CN"/>
        </w:rPr>
      </w:pPr>
      <w:r>
        <w:rPr>
          <w:rFonts w:hint="default" w:ascii="Times New Roman" w:hAnsi="Times New Roman" w:eastAsia="宋体" w:cs="Times New Roman"/>
          <w:b/>
          <w:bCs/>
          <w:color w:val="auto"/>
          <w:szCs w:val="21"/>
          <w:highlight w:val="none"/>
        </w:rPr>
        <w:t>3</w:t>
      </w:r>
      <w:r>
        <w:rPr>
          <w:rFonts w:hint="default" w:ascii="Times New Roman" w:hAnsi="Times New Roman" w:eastAsia="宋体" w:cs="Times New Roman"/>
          <w:b/>
          <w:bCs/>
          <w:color w:val="auto"/>
          <w:szCs w:val="21"/>
          <w:highlight w:val="none"/>
          <w:lang w:val="en-US" w:eastAsia="zh-CN"/>
        </w:rPr>
        <w:t>.</w:t>
      </w:r>
      <w:r>
        <w:rPr>
          <w:rFonts w:hint="default" w:ascii="Times New Roman" w:hAnsi="Times New Roman" w:cs="Times New Roman"/>
          <w:b/>
          <w:bCs/>
          <w:color w:val="auto"/>
          <w:szCs w:val="21"/>
          <w:highlight w:val="none"/>
        </w:rPr>
        <w:t>本表的增值税税率</w:t>
      </w:r>
      <w:r>
        <w:rPr>
          <w:rFonts w:hint="eastAsia" w:ascii="Times New Roman" w:hAnsi="Times New Roman" w:cs="Times New Roman"/>
          <w:b/>
          <w:bCs/>
          <w:color w:val="auto"/>
          <w:szCs w:val="21"/>
          <w:highlight w:val="none"/>
          <w:lang w:eastAsia="zh-CN"/>
        </w:rPr>
        <w:t>、</w:t>
      </w:r>
      <w:r>
        <w:rPr>
          <w:rFonts w:hint="eastAsia" w:ascii="Times New Roman" w:hAnsi="宋体" w:eastAsia="宋体" w:cs="宋体"/>
          <w:b/>
          <w:bCs/>
          <w:color w:val="auto"/>
          <w:szCs w:val="21"/>
          <w:highlight w:val="none"/>
          <w:lang w:val="en-US" w:eastAsia="zh-CN"/>
        </w:rPr>
        <w:t>税费、</w:t>
      </w:r>
      <w:r>
        <w:rPr>
          <w:rFonts w:hint="default" w:ascii="Times New Roman" w:hAnsi="宋体" w:eastAsia="宋体" w:cs="宋体"/>
          <w:b/>
          <w:bCs/>
          <w:color w:val="auto"/>
          <w:szCs w:val="21"/>
          <w:highlight w:val="none"/>
          <w:lang w:val="en-US" w:eastAsia="zh-CN"/>
        </w:rPr>
        <w:t>含增值税</w:t>
      </w:r>
      <w:r>
        <w:rPr>
          <w:rFonts w:ascii="宋体" w:hAnsi="宋体"/>
          <w:b/>
          <w:bCs/>
          <w:color w:val="auto"/>
          <w:szCs w:val="21"/>
        </w:rPr>
        <w:t>总报价</w:t>
      </w:r>
      <w:r>
        <w:rPr>
          <w:rFonts w:hint="default" w:ascii="Times New Roman" w:hAnsi="Times New Roman" w:cs="Times New Roman"/>
          <w:b/>
          <w:bCs/>
          <w:color w:val="auto"/>
          <w:szCs w:val="21"/>
          <w:highlight w:val="none"/>
        </w:rPr>
        <w:t>应与《报价一览表》</w:t>
      </w:r>
      <w:r>
        <w:rPr>
          <w:rFonts w:hint="eastAsia" w:ascii="Times New Roman" w:hAnsi="Times New Roman" w:cs="Times New Roman"/>
          <w:b/>
          <w:bCs/>
          <w:color w:val="auto"/>
          <w:szCs w:val="21"/>
          <w:highlight w:val="none"/>
          <w:lang w:eastAsia="zh-CN"/>
        </w:rPr>
        <w:t>内数据</w:t>
      </w:r>
      <w:r>
        <w:rPr>
          <w:rFonts w:hint="default" w:ascii="Times New Roman" w:hAnsi="Times New Roman" w:cs="Times New Roman"/>
          <w:b/>
          <w:bCs/>
          <w:color w:val="auto"/>
          <w:szCs w:val="21"/>
          <w:highlight w:val="none"/>
        </w:rPr>
        <w:t>一致。</w:t>
      </w:r>
    </w:p>
    <w:p>
      <w:pPr>
        <w:pStyle w:val="27"/>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rPr>
          <w:rFonts w:hint="default" w:ascii="Times New Roman" w:hAnsi="Times New Roman" w:cs="Times New Roman"/>
          <w:b w:val="0"/>
          <w:bCs w:val="0"/>
          <w:color w:val="auto"/>
          <w:sz w:val="21"/>
          <w:szCs w:val="21"/>
          <w:highlight w:val="none"/>
        </w:rPr>
      </w:pPr>
    </w:p>
    <w:p>
      <w:pPr>
        <w:pStyle w:val="27"/>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outlineLvl w:val="9"/>
        <w:rPr>
          <w:rFonts w:hint="default"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val="en-US" w:eastAsia="zh-CN"/>
        </w:rPr>
        <w:t>供应商</w:t>
      </w:r>
      <w:r>
        <w:rPr>
          <w:rFonts w:hint="default" w:ascii="Times New Roman" w:hAnsi="Times New Roman" w:cs="Times New Roman"/>
          <w:b w:val="0"/>
          <w:bCs w:val="0"/>
          <w:color w:val="auto"/>
          <w:sz w:val="21"/>
          <w:szCs w:val="21"/>
          <w:highlight w:val="none"/>
        </w:rPr>
        <w:t>名称：</w:t>
      </w:r>
      <w:r>
        <w:rPr>
          <w:rFonts w:hint="default" w:ascii="Times New Roman" w:hAnsi="Times New Roman" w:cs="Times New Roman"/>
          <w:b w:val="0"/>
          <w:bCs w:val="0"/>
          <w:color w:val="auto"/>
          <w:sz w:val="21"/>
          <w:szCs w:val="21"/>
          <w:highlight w:val="none"/>
          <w:u w:val="single"/>
        </w:rPr>
        <w:t xml:space="preserve">    （盖单位章）    </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outlineLvl w:val="9"/>
        <w:rPr>
          <w:rFonts w:hint="default" w:ascii="Times New Roman" w:hAnsi="Times New Roman" w:cs="Times New Roman"/>
          <w:b w:val="0"/>
          <w:bCs w:val="0"/>
          <w:color w:val="auto"/>
          <w:szCs w:val="21"/>
          <w:highlight w:val="none"/>
        </w:rPr>
      </w:pPr>
      <w:r>
        <w:rPr>
          <w:rFonts w:hint="eastAsia" w:cs="Times New Roman"/>
          <w:b w:val="0"/>
          <w:bCs w:val="0"/>
          <w:color w:val="auto"/>
          <w:szCs w:val="21"/>
          <w:highlight w:val="none"/>
          <w:lang w:eastAsia="zh-CN"/>
        </w:rPr>
        <w:t>律师事务所负责人</w:t>
      </w:r>
      <w:r>
        <w:rPr>
          <w:rFonts w:hint="default" w:ascii="Times New Roman" w:hAnsi="Times New Roman" w:cs="Times New Roman"/>
          <w:b w:val="0"/>
          <w:bCs w:val="0"/>
          <w:color w:val="auto"/>
          <w:szCs w:val="21"/>
          <w:highlight w:val="none"/>
        </w:rPr>
        <w:t>或其委托代理人(签字或盖章)：</w:t>
      </w:r>
      <w:r>
        <w:rPr>
          <w:rFonts w:hint="default" w:ascii="Times New Roman" w:hAnsi="Times New Roman" w:cs="Times New Roman"/>
          <w:b w:val="0"/>
          <w:bCs w:val="0"/>
          <w:color w:val="auto"/>
          <w:szCs w:val="21"/>
          <w:highlight w:val="none"/>
          <w:u w:val="single"/>
        </w:rPr>
        <w:t xml:space="preserve">               </w:t>
      </w:r>
    </w:p>
    <w:p>
      <w:pPr>
        <w:keepNext w:val="0"/>
        <w:keepLines w:val="0"/>
        <w:pageBreakBefore w:val="0"/>
        <w:kinsoku/>
        <w:wordWrap/>
        <w:overflowPunct/>
        <w:topLinePunct w:val="0"/>
        <w:autoSpaceDE/>
        <w:autoSpaceDN/>
        <w:bidi w:val="0"/>
        <w:spacing w:line="560" w:lineRule="exact"/>
        <w:ind w:left="0" w:leftChars="0" w:right="0" w:firstLine="420" w:firstLineChars="200"/>
        <w:outlineLvl w:val="9"/>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日期：</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年</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月</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日</w:t>
      </w:r>
    </w:p>
    <w:p>
      <w:pPr>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br w:type="page"/>
      </w:r>
    </w:p>
    <w:p>
      <w:pPr>
        <w:adjustRightInd w:val="0"/>
        <w:snapToGrid w:val="0"/>
        <w:spacing w:line="360" w:lineRule="auto"/>
        <w:ind w:right="24"/>
        <w:jc w:val="center"/>
        <w:outlineLvl w:val="1"/>
        <w:rPr>
          <w:rFonts w:ascii="宋体" w:hAnsi="宋体" w:cs="宋体"/>
          <w:b/>
          <w:color w:val="auto"/>
          <w:sz w:val="32"/>
          <w:szCs w:val="32"/>
        </w:rPr>
      </w:pPr>
      <w:bookmarkStart w:id="134" w:name="_Toc27585"/>
      <w:bookmarkStart w:id="135" w:name="_Toc22739"/>
      <w:bookmarkStart w:id="136" w:name="_Toc9077"/>
      <w:bookmarkStart w:id="137" w:name="_Toc132361376"/>
      <w:bookmarkStart w:id="138" w:name="_Toc23274"/>
      <w:bookmarkStart w:id="139" w:name="_Toc4155"/>
      <w:bookmarkStart w:id="140" w:name="_Toc27918"/>
      <w:bookmarkStart w:id="141" w:name="_Toc1936"/>
      <w:r>
        <w:rPr>
          <w:rFonts w:hint="eastAsia" w:ascii="宋体" w:hAnsi="宋体" w:cs="宋体"/>
          <w:b/>
          <w:color w:val="auto"/>
          <w:sz w:val="32"/>
          <w:szCs w:val="32"/>
          <w:lang w:val="en-US" w:eastAsia="zh-CN"/>
        </w:rPr>
        <w:t>十</w:t>
      </w:r>
      <w:r>
        <w:rPr>
          <w:rFonts w:hint="eastAsia" w:ascii="宋体" w:hAnsi="宋体" w:cs="宋体"/>
          <w:b/>
          <w:color w:val="auto"/>
          <w:sz w:val="32"/>
          <w:szCs w:val="32"/>
        </w:rPr>
        <w:t>、其他资料</w:t>
      </w:r>
      <w:bookmarkEnd w:id="134"/>
      <w:bookmarkEnd w:id="135"/>
      <w:bookmarkEnd w:id="136"/>
      <w:r>
        <w:rPr>
          <w:rFonts w:hint="eastAsia" w:ascii="宋体" w:hAnsi="宋体" w:cs="宋体"/>
          <w:b/>
          <w:color w:val="auto"/>
          <w:sz w:val="32"/>
          <w:szCs w:val="32"/>
        </w:rPr>
        <w:t>（如有）</w:t>
      </w:r>
      <w:bookmarkEnd w:id="137"/>
      <w:bookmarkEnd w:id="138"/>
      <w:bookmarkEnd w:id="139"/>
      <w:bookmarkEnd w:id="140"/>
      <w:bookmarkEnd w:id="141"/>
    </w:p>
    <w:p>
      <w:pPr>
        <w:adjustRightInd w:val="0"/>
        <w:snapToGrid w:val="0"/>
        <w:spacing w:before="159" w:beforeLines="50" w:line="360" w:lineRule="auto"/>
        <w:ind w:firstLine="420" w:firstLineChars="200"/>
        <w:jc w:val="left"/>
        <w:rPr>
          <w:rFonts w:ascii="宋体" w:hAnsi="宋体"/>
          <w:color w:val="auto"/>
          <w:szCs w:val="21"/>
        </w:rPr>
      </w:pPr>
      <w:bookmarkStart w:id="142" w:name="_Toc18188"/>
      <w:bookmarkStart w:id="143" w:name="_Toc22084"/>
      <w:bookmarkStart w:id="144" w:name="_Toc5412"/>
      <w:bookmarkStart w:id="145" w:name="_Toc10648"/>
      <w:r>
        <w:rPr>
          <w:rFonts w:hint="eastAsia" w:ascii="宋体" w:hAnsi="宋体"/>
          <w:color w:val="auto"/>
          <w:szCs w:val="21"/>
        </w:rPr>
        <w:t>供应商认为需要提供的其他竞争性采购资料，格式自拟。</w:t>
      </w:r>
      <w:bookmarkEnd w:id="142"/>
      <w:bookmarkEnd w:id="143"/>
      <w:bookmarkEnd w:id="144"/>
      <w:bookmarkEnd w:id="145"/>
    </w:p>
    <w:sectPr>
      <w:pgSz w:w="11906" w:h="16838"/>
      <w:pgMar w:top="2098" w:right="1474" w:bottom="1985" w:left="1588"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5147460"/>
      <w:docPartObj>
        <w:docPartGallery w:val="autotext"/>
      </w:docPartObj>
    </w:sdtPr>
    <w:sdtContent>
      <w:p>
        <w:pPr>
          <w:pStyle w:val="30"/>
          <w:jc w:val="center"/>
        </w:pPr>
        <w:r>
          <w:fldChar w:fldCharType="begin"/>
        </w:r>
        <w:r>
          <w:instrText xml:space="preserve">PAGE   \* MERGEFORMAT</w:instrText>
        </w:r>
        <w:r>
          <w:fldChar w:fldCharType="separate"/>
        </w:r>
        <w:r>
          <w:rPr>
            <w:lang w:val="zh-CN"/>
          </w:rPr>
          <w:t>2</w:t>
        </w:r>
        <w:r>
          <w:fldChar w:fldCharType="end"/>
        </w:r>
      </w:p>
    </w:sdtContent>
  </w:sdt>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4173106"/>
      <w:docPartObj>
        <w:docPartGallery w:val="autotext"/>
      </w:docPartObj>
    </w:sdtPr>
    <w:sdtContent>
      <w:p>
        <w:pPr>
          <w:pStyle w:val="30"/>
          <w:jc w:val="center"/>
        </w:pPr>
        <w:r>
          <w:fldChar w:fldCharType="begin"/>
        </w:r>
        <w:r>
          <w:instrText xml:space="preserve">PAGE   \* MERGEFORMAT</w:instrText>
        </w:r>
        <w:r>
          <w:fldChar w:fldCharType="separate"/>
        </w:r>
        <w:r>
          <w:rPr>
            <w:lang w:val="zh-CN"/>
          </w:rPr>
          <w:t>2</w:t>
        </w:r>
        <w:r>
          <w:fldChar w:fldCharType="end"/>
        </w:r>
      </w:p>
    </w:sdtContent>
  </w:sdt>
  <w:p>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8712506"/>
      <w:docPartObj>
        <w:docPartGallery w:val="autotext"/>
      </w:docPartObj>
    </w:sdtPr>
    <w:sdtContent>
      <w:p>
        <w:pPr>
          <w:pStyle w:val="30"/>
          <w:jc w:val="center"/>
        </w:pPr>
        <w:r>
          <w:fldChar w:fldCharType="begin"/>
        </w:r>
        <w:r>
          <w:instrText xml:space="preserve">PAGE   \* MERGEFORMAT</w:instrText>
        </w:r>
        <w:r>
          <w:fldChar w:fldCharType="separate"/>
        </w:r>
        <w:r>
          <w:rPr>
            <w:lang w:val="zh-CN"/>
          </w:rPr>
          <w:t>2</w:t>
        </w:r>
        <w:r>
          <w:fldChar w:fldCharType="end"/>
        </w:r>
      </w:p>
    </w:sdtContent>
  </w:sdt>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0749866"/>
      <w:docPartObj>
        <w:docPartGallery w:val="autotext"/>
      </w:docPartObj>
    </w:sdtPr>
    <w:sdtContent>
      <w:p>
        <w:pPr>
          <w:pStyle w:val="30"/>
          <w:jc w:val="center"/>
        </w:pPr>
        <w:r>
          <w:fldChar w:fldCharType="begin"/>
        </w:r>
        <w:r>
          <w:instrText xml:space="preserve">PAGE   \* MERGEFORMAT</w:instrText>
        </w:r>
        <w:r>
          <w:fldChar w:fldCharType="separate"/>
        </w:r>
        <w:r>
          <w:rPr>
            <w:lang w:val="zh-CN"/>
          </w:rPr>
          <w:t>2</w:t>
        </w:r>
        <w:r>
          <w:fldChar w:fldCharType="end"/>
        </w:r>
      </w:p>
    </w:sdtContent>
  </w:sdt>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A8BA4"/>
    <w:multiLevelType w:val="singleLevel"/>
    <w:tmpl w:val="A28A8BA4"/>
    <w:lvl w:ilvl="0" w:tentative="0">
      <w:start w:val="1"/>
      <w:numFmt w:val="decimal"/>
      <w:suff w:val="nothing"/>
      <w:lvlText w:val="（%1）"/>
      <w:lvlJc w:val="left"/>
    </w:lvl>
  </w:abstractNum>
  <w:abstractNum w:abstractNumId="1">
    <w:nsid w:val="B2B2FE05"/>
    <w:multiLevelType w:val="singleLevel"/>
    <w:tmpl w:val="B2B2FE05"/>
    <w:lvl w:ilvl="0" w:tentative="0">
      <w:start w:val="1"/>
      <w:numFmt w:val="decimal"/>
      <w:suff w:val="nothing"/>
      <w:lvlText w:val="%1．"/>
      <w:lvlJc w:val="left"/>
      <w:pPr>
        <w:ind w:left="0" w:firstLine="400"/>
      </w:pPr>
      <w:rPr>
        <w:rFonts w:hint="default"/>
      </w:rPr>
    </w:lvl>
  </w:abstractNum>
  <w:abstractNum w:abstractNumId="2">
    <w:nsid w:val="C29E6077"/>
    <w:multiLevelType w:val="singleLevel"/>
    <w:tmpl w:val="C29E6077"/>
    <w:lvl w:ilvl="0" w:tentative="0">
      <w:start w:val="1"/>
      <w:numFmt w:val="decimal"/>
      <w:lvlText w:val="(%1)"/>
      <w:lvlJc w:val="left"/>
      <w:pPr>
        <w:ind w:left="425" w:hanging="425"/>
      </w:pPr>
      <w:rPr>
        <w:rFonts w:hint="default"/>
      </w:rPr>
    </w:lvl>
  </w:abstractNum>
  <w:abstractNum w:abstractNumId="3">
    <w:nsid w:val="D174DA3E"/>
    <w:multiLevelType w:val="singleLevel"/>
    <w:tmpl w:val="D174DA3E"/>
    <w:lvl w:ilvl="0" w:tentative="0">
      <w:start w:val="1"/>
      <w:numFmt w:val="chineseCounting"/>
      <w:suff w:val="nothing"/>
      <w:lvlText w:val="（%1）"/>
      <w:lvlJc w:val="left"/>
      <w:rPr>
        <w:rFonts w:hint="eastAsia"/>
      </w:rPr>
    </w:lvl>
  </w:abstractNum>
  <w:abstractNum w:abstractNumId="4">
    <w:nsid w:val="D3285168"/>
    <w:multiLevelType w:val="singleLevel"/>
    <w:tmpl w:val="D3285168"/>
    <w:lvl w:ilvl="0" w:tentative="0">
      <w:start w:val="1"/>
      <w:numFmt w:val="decimal"/>
      <w:suff w:val="nothing"/>
      <w:lvlText w:val="%1．"/>
      <w:lvlJc w:val="left"/>
      <w:pPr>
        <w:ind w:left="0" w:firstLine="400"/>
      </w:pPr>
      <w:rPr>
        <w:rFonts w:hint="default"/>
      </w:rPr>
    </w:lvl>
  </w:abstractNum>
  <w:abstractNum w:abstractNumId="5">
    <w:nsid w:val="E20105E9"/>
    <w:multiLevelType w:val="singleLevel"/>
    <w:tmpl w:val="E20105E9"/>
    <w:lvl w:ilvl="0" w:tentative="0">
      <w:start w:val="1"/>
      <w:numFmt w:val="decimal"/>
      <w:suff w:val="nothing"/>
      <w:lvlText w:val="%1．"/>
      <w:lvlJc w:val="left"/>
      <w:pPr>
        <w:ind w:left="0" w:firstLine="400"/>
      </w:pPr>
      <w:rPr>
        <w:rFonts w:hint="default"/>
      </w:rPr>
    </w:lvl>
  </w:abstractNum>
  <w:abstractNum w:abstractNumId="6">
    <w:nsid w:val="F6733FC5"/>
    <w:multiLevelType w:val="singleLevel"/>
    <w:tmpl w:val="F6733FC5"/>
    <w:lvl w:ilvl="0" w:tentative="0">
      <w:start w:val="1"/>
      <w:numFmt w:val="decimal"/>
      <w:suff w:val="nothing"/>
      <w:lvlText w:val="%1．"/>
      <w:lvlJc w:val="left"/>
      <w:pPr>
        <w:ind w:left="0" w:firstLine="400"/>
      </w:pPr>
      <w:rPr>
        <w:rFonts w:hint="default"/>
      </w:rPr>
    </w:lvl>
  </w:abstractNum>
  <w:abstractNum w:abstractNumId="7">
    <w:nsid w:val="FE293A88"/>
    <w:multiLevelType w:val="singleLevel"/>
    <w:tmpl w:val="FE293A88"/>
    <w:lvl w:ilvl="0" w:tentative="0">
      <w:start w:val="3"/>
      <w:numFmt w:val="chineseCounting"/>
      <w:pStyle w:val="360"/>
      <w:suff w:val="nothing"/>
      <w:lvlText w:val="%1、"/>
      <w:lvlJc w:val="left"/>
      <w:rPr>
        <w:rFonts w:hint="eastAsia"/>
      </w:rPr>
    </w:lvl>
  </w:abstractNum>
  <w:abstractNum w:abstractNumId="8">
    <w:nsid w:val="00000006"/>
    <w:multiLevelType w:val="multilevel"/>
    <w:tmpl w:val="00000006"/>
    <w:lvl w:ilvl="0" w:tentative="0">
      <w:start w:val="1"/>
      <w:numFmt w:val="decimal"/>
      <w:pStyle w:val="248"/>
      <w:lvlText w:val="%1"/>
      <w:lvlJc w:val="left"/>
      <w:pPr>
        <w:tabs>
          <w:tab w:val="left" w:pos="2238"/>
        </w:tabs>
        <w:ind w:left="2238" w:hanging="432"/>
      </w:pPr>
      <w:rPr>
        <w:rFonts w:hint="default"/>
        <w:u w:val="none"/>
      </w:rPr>
    </w:lvl>
    <w:lvl w:ilvl="1" w:tentative="0">
      <w:start w:val="1"/>
      <w:numFmt w:val="decimal"/>
      <w:pStyle w:val="324"/>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9">
    <w:nsid w:val="03F6A11D"/>
    <w:multiLevelType w:val="singleLevel"/>
    <w:tmpl w:val="03F6A11D"/>
    <w:lvl w:ilvl="0" w:tentative="0">
      <w:start w:val="1"/>
      <w:numFmt w:val="decimal"/>
      <w:lvlText w:val="%1."/>
      <w:lvlJc w:val="left"/>
      <w:pPr>
        <w:tabs>
          <w:tab w:val="left" w:pos="312"/>
        </w:tabs>
      </w:pPr>
    </w:lvl>
  </w:abstractNum>
  <w:abstractNum w:abstractNumId="10">
    <w:nsid w:val="0B70834F"/>
    <w:multiLevelType w:val="singleLevel"/>
    <w:tmpl w:val="0B70834F"/>
    <w:lvl w:ilvl="0" w:tentative="0">
      <w:start w:val="1"/>
      <w:numFmt w:val="decimal"/>
      <w:suff w:val="nothing"/>
      <w:lvlText w:val="%1．"/>
      <w:lvlJc w:val="left"/>
      <w:pPr>
        <w:ind w:left="0" w:firstLine="400"/>
      </w:pPr>
      <w:rPr>
        <w:rFonts w:hint="default"/>
      </w:rPr>
    </w:lvl>
  </w:abstractNum>
  <w:abstractNum w:abstractNumId="11">
    <w:nsid w:val="0D1516BE"/>
    <w:multiLevelType w:val="multilevel"/>
    <w:tmpl w:val="0D1516BE"/>
    <w:lvl w:ilvl="0" w:tentative="0">
      <w:start w:val="1"/>
      <w:numFmt w:val="chineseCountingThousand"/>
      <w:pStyle w:val="364"/>
      <w:suff w:val="space"/>
      <w:lvlText w:val="(%1)"/>
      <w:lvlJc w:val="left"/>
      <w:pPr>
        <w:ind w:left="640" w:firstLine="0"/>
      </w:pPr>
      <w:rPr>
        <w:rFonts w:hint="eastAsia" w:ascii="楷体_GB2312" w:eastAsia="楷体_GB2312"/>
        <w:sz w:val="32"/>
        <w:szCs w:val="32"/>
      </w:rPr>
    </w:lvl>
    <w:lvl w:ilvl="1" w:tentative="0">
      <w:start w:val="1"/>
      <w:numFmt w:val="lowerLetter"/>
      <w:pStyle w:val="359"/>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2">
    <w:nsid w:val="16516015"/>
    <w:multiLevelType w:val="multilevel"/>
    <w:tmpl w:val="16516015"/>
    <w:lvl w:ilvl="0" w:tentative="0">
      <w:start w:val="1"/>
      <w:numFmt w:val="chineseCountingThousand"/>
      <w:pStyle w:val="362"/>
      <w:suff w:val="space"/>
      <w:lvlText w:val="(%1)"/>
      <w:lvlJc w:val="left"/>
      <w:pPr>
        <w:ind w:left="0" w:firstLine="0"/>
      </w:pPr>
      <w:rPr>
        <w:rFonts w:hint="eastAsia" w:ascii="楷体_GB2312" w:eastAsia="楷体_GB2312"/>
        <w:sz w:val="32"/>
        <w:szCs w:val="32"/>
      </w:rPr>
    </w:lvl>
    <w:lvl w:ilvl="1" w:tentative="0">
      <w:start w:val="1"/>
      <w:numFmt w:val="lowerLetter"/>
      <w:pStyle w:val="361"/>
      <w:lvlText w:val="%2)"/>
      <w:lvlJc w:val="left"/>
      <w:pPr>
        <w:ind w:left="840" w:hanging="420"/>
      </w:pPr>
    </w:lvl>
    <w:lvl w:ilvl="2" w:tentative="0">
      <w:start w:val="1"/>
      <w:numFmt w:val="lowerRoman"/>
      <w:pStyle w:val="363"/>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EE24559"/>
    <w:multiLevelType w:val="singleLevel"/>
    <w:tmpl w:val="1EE24559"/>
    <w:lvl w:ilvl="0" w:tentative="0">
      <w:start w:val="5"/>
      <w:numFmt w:val="chineseCounting"/>
      <w:suff w:val="space"/>
      <w:lvlText w:val="第%1章"/>
      <w:lvlJc w:val="left"/>
      <w:rPr>
        <w:rFonts w:hint="eastAsia"/>
      </w:rPr>
    </w:lvl>
  </w:abstractNum>
  <w:abstractNum w:abstractNumId="14">
    <w:nsid w:val="269FB15F"/>
    <w:multiLevelType w:val="singleLevel"/>
    <w:tmpl w:val="269FB15F"/>
    <w:lvl w:ilvl="0" w:tentative="0">
      <w:start w:val="1"/>
      <w:numFmt w:val="chineseCounting"/>
      <w:suff w:val="nothing"/>
      <w:lvlText w:val="%1、"/>
      <w:lvlJc w:val="left"/>
      <w:pPr>
        <w:ind w:left="0" w:firstLine="420"/>
      </w:pPr>
      <w:rPr>
        <w:rFonts w:hint="eastAsia"/>
      </w:rPr>
    </w:lvl>
  </w:abstractNum>
  <w:abstractNum w:abstractNumId="15">
    <w:nsid w:val="28838A2B"/>
    <w:multiLevelType w:val="singleLevel"/>
    <w:tmpl w:val="28838A2B"/>
    <w:lvl w:ilvl="0" w:tentative="0">
      <w:start w:val="1"/>
      <w:numFmt w:val="chineseCounting"/>
      <w:suff w:val="nothing"/>
      <w:lvlText w:val="%1、"/>
      <w:lvlJc w:val="left"/>
      <w:pPr>
        <w:ind w:left="0" w:firstLine="420"/>
      </w:pPr>
      <w:rPr>
        <w:rFonts w:hint="eastAsia"/>
      </w:rPr>
    </w:lvl>
  </w:abstractNum>
  <w:abstractNum w:abstractNumId="16">
    <w:nsid w:val="3B30530B"/>
    <w:multiLevelType w:val="singleLevel"/>
    <w:tmpl w:val="3B30530B"/>
    <w:lvl w:ilvl="0" w:tentative="0">
      <w:start w:val="6"/>
      <w:numFmt w:val="chineseCounting"/>
      <w:suff w:val="space"/>
      <w:lvlText w:val="第%1章"/>
      <w:lvlJc w:val="left"/>
      <w:rPr>
        <w:rFonts w:hint="eastAsia"/>
      </w:rPr>
    </w:lvl>
  </w:abstractNum>
  <w:abstractNum w:abstractNumId="17">
    <w:nsid w:val="55A9815E"/>
    <w:multiLevelType w:val="singleLevel"/>
    <w:tmpl w:val="55A9815E"/>
    <w:lvl w:ilvl="0" w:tentative="0">
      <w:start w:val="1"/>
      <w:numFmt w:val="decimal"/>
      <w:suff w:val="nothing"/>
      <w:lvlText w:val="%1．"/>
      <w:lvlJc w:val="left"/>
      <w:pPr>
        <w:ind w:left="0" w:firstLine="400"/>
      </w:pPr>
      <w:rPr>
        <w:rFonts w:hint="default"/>
      </w:rPr>
    </w:lvl>
  </w:abstractNum>
  <w:abstractNum w:abstractNumId="18">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5"/>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8"/>
  </w:num>
  <w:num w:numId="2">
    <w:abstractNumId w:val="11"/>
  </w:num>
  <w:num w:numId="3">
    <w:abstractNumId w:val="7"/>
  </w:num>
  <w:num w:numId="4">
    <w:abstractNumId w:val="12"/>
  </w:num>
  <w:num w:numId="5">
    <w:abstractNumId w:val="18"/>
  </w:num>
  <w:num w:numId="6">
    <w:abstractNumId w:val="14"/>
  </w:num>
  <w:num w:numId="7">
    <w:abstractNumId w:val="1"/>
  </w:num>
  <w:num w:numId="8">
    <w:abstractNumId w:val="5"/>
  </w:num>
  <w:num w:numId="9">
    <w:abstractNumId w:val="10"/>
  </w:num>
  <w:num w:numId="10">
    <w:abstractNumId w:val="6"/>
  </w:num>
  <w:num w:numId="11">
    <w:abstractNumId w:val="17"/>
  </w:num>
  <w:num w:numId="12">
    <w:abstractNumId w:val="4"/>
  </w:num>
  <w:num w:numId="13">
    <w:abstractNumId w:val="9"/>
  </w:num>
  <w:num w:numId="14">
    <w:abstractNumId w:val="2"/>
  </w:num>
  <w:num w:numId="15">
    <w:abstractNumId w:val="0"/>
  </w:num>
  <w:num w:numId="16">
    <w:abstractNumId w:val="13"/>
  </w:num>
  <w:num w:numId="17">
    <w:abstractNumId w:val="16"/>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5ZWY5ZmZiMGUxNTM4NTVkMTJkMzM2MDI5NGRjZTQifQ=="/>
    <w:docVar w:name="KSO_WPS_MARK_KEY" w:val="2af6febb-bc55-4893-bfaf-6af9ac8ed726"/>
  </w:docVars>
  <w:rsids>
    <w:rsidRoot w:val="00172A27"/>
    <w:rsid w:val="00005EC9"/>
    <w:rsid w:val="00006D21"/>
    <w:rsid w:val="00016902"/>
    <w:rsid w:val="00024E8E"/>
    <w:rsid w:val="000274C6"/>
    <w:rsid w:val="00033F99"/>
    <w:rsid w:val="00052640"/>
    <w:rsid w:val="00063D15"/>
    <w:rsid w:val="00074928"/>
    <w:rsid w:val="00091C9D"/>
    <w:rsid w:val="000A2D1F"/>
    <w:rsid w:val="000C106E"/>
    <w:rsid w:val="000C21C5"/>
    <w:rsid w:val="000E0193"/>
    <w:rsid w:val="000E7968"/>
    <w:rsid w:val="000F4DE1"/>
    <w:rsid w:val="00115FE6"/>
    <w:rsid w:val="00116BAE"/>
    <w:rsid w:val="001453A1"/>
    <w:rsid w:val="00152FD0"/>
    <w:rsid w:val="00162D59"/>
    <w:rsid w:val="00172A27"/>
    <w:rsid w:val="00186162"/>
    <w:rsid w:val="0019086A"/>
    <w:rsid w:val="001C23BF"/>
    <w:rsid w:val="001D6D72"/>
    <w:rsid w:val="001E02FE"/>
    <w:rsid w:val="001F35D3"/>
    <w:rsid w:val="002067E8"/>
    <w:rsid w:val="002069C8"/>
    <w:rsid w:val="002117C9"/>
    <w:rsid w:val="002139EB"/>
    <w:rsid w:val="0022188F"/>
    <w:rsid w:val="00222DFA"/>
    <w:rsid w:val="00230A1A"/>
    <w:rsid w:val="002314A3"/>
    <w:rsid w:val="002371E9"/>
    <w:rsid w:val="00237FEC"/>
    <w:rsid w:val="002504FF"/>
    <w:rsid w:val="002523FD"/>
    <w:rsid w:val="0025312F"/>
    <w:rsid w:val="00255546"/>
    <w:rsid w:val="00286014"/>
    <w:rsid w:val="002B1D56"/>
    <w:rsid w:val="002F262C"/>
    <w:rsid w:val="00306794"/>
    <w:rsid w:val="003102A2"/>
    <w:rsid w:val="00320AA6"/>
    <w:rsid w:val="003268C0"/>
    <w:rsid w:val="00331810"/>
    <w:rsid w:val="003469C0"/>
    <w:rsid w:val="00372ECC"/>
    <w:rsid w:val="00375CC4"/>
    <w:rsid w:val="00380064"/>
    <w:rsid w:val="00381105"/>
    <w:rsid w:val="00381BB4"/>
    <w:rsid w:val="003958B2"/>
    <w:rsid w:val="0039632C"/>
    <w:rsid w:val="003A13F1"/>
    <w:rsid w:val="003B1109"/>
    <w:rsid w:val="003D080C"/>
    <w:rsid w:val="003D6204"/>
    <w:rsid w:val="003F46A7"/>
    <w:rsid w:val="004014FD"/>
    <w:rsid w:val="004129B9"/>
    <w:rsid w:val="00423B85"/>
    <w:rsid w:val="00424532"/>
    <w:rsid w:val="004263EB"/>
    <w:rsid w:val="00426543"/>
    <w:rsid w:val="004402F2"/>
    <w:rsid w:val="00452FCB"/>
    <w:rsid w:val="00453EE9"/>
    <w:rsid w:val="0045503A"/>
    <w:rsid w:val="0046304B"/>
    <w:rsid w:val="00464250"/>
    <w:rsid w:val="00473865"/>
    <w:rsid w:val="0048093D"/>
    <w:rsid w:val="00495DBC"/>
    <w:rsid w:val="00495F57"/>
    <w:rsid w:val="004978CA"/>
    <w:rsid w:val="004B3D80"/>
    <w:rsid w:val="004B41B1"/>
    <w:rsid w:val="004D6C39"/>
    <w:rsid w:val="00500B91"/>
    <w:rsid w:val="00502338"/>
    <w:rsid w:val="00504DED"/>
    <w:rsid w:val="00526589"/>
    <w:rsid w:val="00545140"/>
    <w:rsid w:val="0055214F"/>
    <w:rsid w:val="005537C6"/>
    <w:rsid w:val="005556A5"/>
    <w:rsid w:val="0056117D"/>
    <w:rsid w:val="0056143E"/>
    <w:rsid w:val="00563F81"/>
    <w:rsid w:val="005751BB"/>
    <w:rsid w:val="005837A3"/>
    <w:rsid w:val="0058523E"/>
    <w:rsid w:val="0058754B"/>
    <w:rsid w:val="005A6669"/>
    <w:rsid w:val="005B484D"/>
    <w:rsid w:val="005B4C5D"/>
    <w:rsid w:val="005C688B"/>
    <w:rsid w:val="005E6BBB"/>
    <w:rsid w:val="005F037B"/>
    <w:rsid w:val="005F2910"/>
    <w:rsid w:val="005F4513"/>
    <w:rsid w:val="00607C42"/>
    <w:rsid w:val="00641E72"/>
    <w:rsid w:val="00642B10"/>
    <w:rsid w:val="00654D1D"/>
    <w:rsid w:val="0066697A"/>
    <w:rsid w:val="00677C6C"/>
    <w:rsid w:val="0068504A"/>
    <w:rsid w:val="0068515F"/>
    <w:rsid w:val="00687C87"/>
    <w:rsid w:val="006B467A"/>
    <w:rsid w:val="006B6300"/>
    <w:rsid w:val="006D0A13"/>
    <w:rsid w:val="006E025D"/>
    <w:rsid w:val="006F5FAC"/>
    <w:rsid w:val="00702618"/>
    <w:rsid w:val="0070400F"/>
    <w:rsid w:val="00707592"/>
    <w:rsid w:val="0070784A"/>
    <w:rsid w:val="00730CC6"/>
    <w:rsid w:val="00740D0D"/>
    <w:rsid w:val="00755E0C"/>
    <w:rsid w:val="007656DC"/>
    <w:rsid w:val="007821C6"/>
    <w:rsid w:val="0078370F"/>
    <w:rsid w:val="00787C0E"/>
    <w:rsid w:val="0079338D"/>
    <w:rsid w:val="00793ABB"/>
    <w:rsid w:val="0079784E"/>
    <w:rsid w:val="007D0446"/>
    <w:rsid w:val="007F3811"/>
    <w:rsid w:val="007F3D9B"/>
    <w:rsid w:val="00802770"/>
    <w:rsid w:val="0081382B"/>
    <w:rsid w:val="00820369"/>
    <w:rsid w:val="00826C75"/>
    <w:rsid w:val="0084147A"/>
    <w:rsid w:val="00842E06"/>
    <w:rsid w:val="0084367C"/>
    <w:rsid w:val="008511F3"/>
    <w:rsid w:val="00864C78"/>
    <w:rsid w:val="00875BCF"/>
    <w:rsid w:val="008B6242"/>
    <w:rsid w:val="008C7C9F"/>
    <w:rsid w:val="008C7D68"/>
    <w:rsid w:val="008D7CB4"/>
    <w:rsid w:val="00901FFA"/>
    <w:rsid w:val="00915948"/>
    <w:rsid w:val="00923E97"/>
    <w:rsid w:val="009407F4"/>
    <w:rsid w:val="0095247F"/>
    <w:rsid w:val="009743DD"/>
    <w:rsid w:val="00985C96"/>
    <w:rsid w:val="00986B8A"/>
    <w:rsid w:val="009955C7"/>
    <w:rsid w:val="009A0679"/>
    <w:rsid w:val="009A5642"/>
    <w:rsid w:val="009B5270"/>
    <w:rsid w:val="009C10AF"/>
    <w:rsid w:val="009D41D7"/>
    <w:rsid w:val="009D52F6"/>
    <w:rsid w:val="009D7D4A"/>
    <w:rsid w:val="009E03FD"/>
    <w:rsid w:val="009E2384"/>
    <w:rsid w:val="009F4E1B"/>
    <w:rsid w:val="00A1346C"/>
    <w:rsid w:val="00A34DC1"/>
    <w:rsid w:val="00A41E73"/>
    <w:rsid w:val="00A46FA2"/>
    <w:rsid w:val="00A618F2"/>
    <w:rsid w:val="00A61CCE"/>
    <w:rsid w:val="00A63637"/>
    <w:rsid w:val="00A71DF4"/>
    <w:rsid w:val="00A8235A"/>
    <w:rsid w:val="00A92B7C"/>
    <w:rsid w:val="00A95261"/>
    <w:rsid w:val="00AA162E"/>
    <w:rsid w:val="00AA1709"/>
    <w:rsid w:val="00AA21B6"/>
    <w:rsid w:val="00AB013C"/>
    <w:rsid w:val="00AC26D2"/>
    <w:rsid w:val="00AD758B"/>
    <w:rsid w:val="00AF11ED"/>
    <w:rsid w:val="00B01BA0"/>
    <w:rsid w:val="00B24E2D"/>
    <w:rsid w:val="00B25F75"/>
    <w:rsid w:val="00B2613B"/>
    <w:rsid w:val="00B315EE"/>
    <w:rsid w:val="00B32406"/>
    <w:rsid w:val="00B3385B"/>
    <w:rsid w:val="00B351F1"/>
    <w:rsid w:val="00B67430"/>
    <w:rsid w:val="00B74689"/>
    <w:rsid w:val="00B82298"/>
    <w:rsid w:val="00B832A9"/>
    <w:rsid w:val="00B917C8"/>
    <w:rsid w:val="00B92FA2"/>
    <w:rsid w:val="00BC7A25"/>
    <w:rsid w:val="00BD47EB"/>
    <w:rsid w:val="00BD51DE"/>
    <w:rsid w:val="00BE15B5"/>
    <w:rsid w:val="00C0069B"/>
    <w:rsid w:val="00C1468A"/>
    <w:rsid w:val="00C20479"/>
    <w:rsid w:val="00C21D69"/>
    <w:rsid w:val="00C24579"/>
    <w:rsid w:val="00C26D33"/>
    <w:rsid w:val="00C34E11"/>
    <w:rsid w:val="00C351C5"/>
    <w:rsid w:val="00C532E5"/>
    <w:rsid w:val="00C57914"/>
    <w:rsid w:val="00C6008B"/>
    <w:rsid w:val="00C668B4"/>
    <w:rsid w:val="00C758E3"/>
    <w:rsid w:val="00C779DE"/>
    <w:rsid w:val="00C837D6"/>
    <w:rsid w:val="00C84172"/>
    <w:rsid w:val="00CB06B4"/>
    <w:rsid w:val="00CB534B"/>
    <w:rsid w:val="00CD4A6E"/>
    <w:rsid w:val="00CE51F2"/>
    <w:rsid w:val="00CE631C"/>
    <w:rsid w:val="00CE703D"/>
    <w:rsid w:val="00CF0192"/>
    <w:rsid w:val="00CF040C"/>
    <w:rsid w:val="00D03CFB"/>
    <w:rsid w:val="00D069C6"/>
    <w:rsid w:val="00D164FE"/>
    <w:rsid w:val="00D23178"/>
    <w:rsid w:val="00D31733"/>
    <w:rsid w:val="00D40D79"/>
    <w:rsid w:val="00D43330"/>
    <w:rsid w:val="00D45708"/>
    <w:rsid w:val="00D6362F"/>
    <w:rsid w:val="00D84A7F"/>
    <w:rsid w:val="00D87C92"/>
    <w:rsid w:val="00D95761"/>
    <w:rsid w:val="00D958E3"/>
    <w:rsid w:val="00D960FE"/>
    <w:rsid w:val="00DA51BD"/>
    <w:rsid w:val="00DE5673"/>
    <w:rsid w:val="00DF363F"/>
    <w:rsid w:val="00E24889"/>
    <w:rsid w:val="00E32EEF"/>
    <w:rsid w:val="00E342DB"/>
    <w:rsid w:val="00E5084D"/>
    <w:rsid w:val="00E5628F"/>
    <w:rsid w:val="00E74692"/>
    <w:rsid w:val="00E761DC"/>
    <w:rsid w:val="00E77817"/>
    <w:rsid w:val="00E81403"/>
    <w:rsid w:val="00E944EE"/>
    <w:rsid w:val="00EB1427"/>
    <w:rsid w:val="00EC5DC1"/>
    <w:rsid w:val="00EC7F43"/>
    <w:rsid w:val="00ED34A8"/>
    <w:rsid w:val="00EF2E7B"/>
    <w:rsid w:val="00EF5BC3"/>
    <w:rsid w:val="00EF6911"/>
    <w:rsid w:val="00EF6B19"/>
    <w:rsid w:val="00F00894"/>
    <w:rsid w:val="00F02213"/>
    <w:rsid w:val="00F175B5"/>
    <w:rsid w:val="00F338DB"/>
    <w:rsid w:val="00F37996"/>
    <w:rsid w:val="00F410E0"/>
    <w:rsid w:val="00F52B22"/>
    <w:rsid w:val="00F579E9"/>
    <w:rsid w:val="00F93F0E"/>
    <w:rsid w:val="00FA17B5"/>
    <w:rsid w:val="00FA6734"/>
    <w:rsid w:val="00FE331E"/>
    <w:rsid w:val="00FE3699"/>
    <w:rsid w:val="00FE6AFF"/>
    <w:rsid w:val="011E3D92"/>
    <w:rsid w:val="0123584C"/>
    <w:rsid w:val="01375331"/>
    <w:rsid w:val="01403F6F"/>
    <w:rsid w:val="014D6F55"/>
    <w:rsid w:val="01791910"/>
    <w:rsid w:val="01873122"/>
    <w:rsid w:val="01932790"/>
    <w:rsid w:val="01D94140"/>
    <w:rsid w:val="01EA6EEC"/>
    <w:rsid w:val="01F95304"/>
    <w:rsid w:val="01FA47FF"/>
    <w:rsid w:val="021B19D1"/>
    <w:rsid w:val="02263AD9"/>
    <w:rsid w:val="023870D5"/>
    <w:rsid w:val="024C0DC0"/>
    <w:rsid w:val="02787973"/>
    <w:rsid w:val="02787D91"/>
    <w:rsid w:val="027A5940"/>
    <w:rsid w:val="029749D1"/>
    <w:rsid w:val="029A1968"/>
    <w:rsid w:val="02A54EA8"/>
    <w:rsid w:val="02A84E4A"/>
    <w:rsid w:val="02AB7973"/>
    <w:rsid w:val="02BF5617"/>
    <w:rsid w:val="02DF0C01"/>
    <w:rsid w:val="02FB4FEB"/>
    <w:rsid w:val="030A502B"/>
    <w:rsid w:val="03190CB5"/>
    <w:rsid w:val="036A7762"/>
    <w:rsid w:val="03727DAF"/>
    <w:rsid w:val="037C1244"/>
    <w:rsid w:val="03C055D4"/>
    <w:rsid w:val="03D41287"/>
    <w:rsid w:val="03F31A5E"/>
    <w:rsid w:val="03F91117"/>
    <w:rsid w:val="03FC0CEA"/>
    <w:rsid w:val="04107C23"/>
    <w:rsid w:val="04152EDE"/>
    <w:rsid w:val="04240981"/>
    <w:rsid w:val="042B3AFB"/>
    <w:rsid w:val="04472782"/>
    <w:rsid w:val="045C15F4"/>
    <w:rsid w:val="04653BF5"/>
    <w:rsid w:val="04886728"/>
    <w:rsid w:val="04AD08F2"/>
    <w:rsid w:val="04EE0D07"/>
    <w:rsid w:val="05031B6B"/>
    <w:rsid w:val="05292583"/>
    <w:rsid w:val="054E6891"/>
    <w:rsid w:val="055967E4"/>
    <w:rsid w:val="05617FBA"/>
    <w:rsid w:val="057228FE"/>
    <w:rsid w:val="05B01562"/>
    <w:rsid w:val="05BA17D7"/>
    <w:rsid w:val="05BA6ECD"/>
    <w:rsid w:val="05CA44E8"/>
    <w:rsid w:val="05DC14A7"/>
    <w:rsid w:val="05E36661"/>
    <w:rsid w:val="05EB6762"/>
    <w:rsid w:val="05F607BC"/>
    <w:rsid w:val="05F777CC"/>
    <w:rsid w:val="06085634"/>
    <w:rsid w:val="061842D1"/>
    <w:rsid w:val="062F07EF"/>
    <w:rsid w:val="067362CB"/>
    <w:rsid w:val="067428EB"/>
    <w:rsid w:val="0676319E"/>
    <w:rsid w:val="067B6F39"/>
    <w:rsid w:val="069C40D7"/>
    <w:rsid w:val="06A765D7"/>
    <w:rsid w:val="06C96275"/>
    <w:rsid w:val="06D118A6"/>
    <w:rsid w:val="06D605B3"/>
    <w:rsid w:val="06F105E4"/>
    <w:rsid w:val="06FA0280"/>
    <w:rsid w:val="07076C16"/>
    <w:rsid w:val="070C68F7"/>
    <w:rsid w:val="071C6A43"/>
    <w:rsid w:val="071F0B70"/>
    <w:rsid w:val="072B22BC"/>
    <w:rsid w:val="074C43F1"/>
    <w:rsid w:val="07650D5D"/>
    <w:rsid w:val="076619FA"/>
    <w:rsid w:val="07A76048"/>
    <w:rsid w:val="07B16F85"/>
    <w:rsid w:val="07C94578"/>
    <w:rsid w:val="07F615C4"/>
    <w:rsid w:val="07FB0412"/>
    <w:rsid w:val="08232382"/>
    <w:rsid w:val="08246E93"/>
    <w:rsid w:val="082F5114"/>
    <w:rsid w:val="083D23B2"/>
    <w:rsid w:val="08534C69"/>
    <w:rsid w:val="086136BB"/>
    <w:rsid w:val="08786792"/>
    <w:rsid w:val="08807627"/>
    <w:rsid w:val="08832554"/>
    <w:rsid w:val="0896057A"/>
    <w:rsid w:val="089F6734"/>
    <w:rsid w:val="08D54CEA"/>
    <w:rsid w:val="08FC61FE"/>
    <w:rsid w:val="093252EE"/>
    <w:rsid w:val="09422E59"/>
    <w:rsid w:val="094A4EE7"/>
    <w:rsid w:val="0959407C"/>
    <w:rsid w:val="095E38C5"/>
    <w:rsid w:val="095F763D"/>
    <w:rsid w:val="097D1C20"/>
    <w:rsid w:val="098552EA"/>
    <w:rsid w:val="098A3350"/>
    <w:rsid w:val="09A23D38"/>
    <w:rsid w:val="09AB154E"/>
    <w:rsid w:val="09B259BF"/>
    <w:rsid w:val="0A0106F5"/>
    <w:rsid w:val="0A0A57FB"/>
    <w:rsid w:val="0A0F1CA7"/>
    <w:rsid w:val="0A2948BE"/>
    <w:rsid w:val="0A316A36"/>
    <w:rsid w:val="0A451CA7"/>
    <w:rsid w:val="0A57416B"/>
    <w:rsid w:val="0A5B6057"/>
    <w:rsid w:val="0A6F1B02"/>
    <w:rsid w:val="0A8258AD"/>
    <w:rsid w:val="0AA7304A"/>
    <w:rsid w:val="0AE15667"/>
    <w:rsid w:val="0AE24958"/>
    <w:rsid w:val="0AF46E84"/>
    <w:rsid w:val="0AF74A1D"/>
    <w:rsid w:val="0B151530"/>
    <w:rsid w:val="0B254E0F"/>
    <w:rsid w:val="0B2D2864"/>
    <w:rsid w:val="0B4432D5"/>
    <w:rsid w:val="0B590F4A"/>
    <w:rsid w:val="0B6B051B"/>
    <w:rsid w:val="0B8511E8"/>
    <w:rsid w:val="0B8E420A"/>
    <w:rsid w:val="0BA81653"/>
    <w:rsid w:val="0BAA700E"/>
    <w:rsid w:val="0BD7795F"/>
    <w:rsid w:val="0BEB10E2"/>
    <w:rsid w:val="0BF05451"/>
    <w:rsid w:val="0C1A66D1"/>
    <w:rsid w:val="0C411CD0"/>
    <w:rsid w:val="0C547BEC"/>
    <w:rsid w:val="0C596A1F"/>
    <w:rsid w:val="0C5B1FA9"/>
    <w:rsid w:val="0C705D15"/>
    <w:rsid w:val="0C8E4136"/>
    <w:rsid w:val="0CA062F8"/>
    <w:rsid w:val="0CD600E2"/>
    <w:rsid w:val="0CED2457"/>
    <w:rsid w:val="0D165872"/>
    <w:rsid w:val="0D232FE9"/>
    <w:rsid w:val="0D2C1377"/>
    <w:rsid w:val="0D301CA7"/>
    <w:rsid w:val="0D5C45C0"/>
    <w:rsid w:val="0D5C5AB2"/>
    <w:rsid w:val="0D614F04"/>
    <w:rsid w:val="0D687BD8"/>
    <w:rsid w:val="0D691927"/>
    <w:rsid w:val="0D6A4C3D"/>
    <w:rsid w:val="0D6B79A8"/>
    <w:rsid w:val="0D894C89"/>
    <w:rsid w:val="0D904269"/>
    <w:rsid w:val="0DB37F58"/>
    <w:rsid w:val="0DBD7268"/>
    <w:rsid w:val="0DCC335E"/>
    <w:rsid w:val="0DE66BD9"/>
    <w:rsid w:val="0DF87606"/>
    <w:rsid w:val="0E04554D"/>
    <w:rsid w:val="0E0C0187"/>
    <w:rsid w:val="0E197CD6"/>
    <w:rsid w:val="0E3C619F"/>
    <w:rsid w:val="0E4137B5"/>
    <w:rsid w:val="0E634231"/>
    <w:rsid w:val="0E720AFA"/>
    <w:rsid w:val="0E760DED"/>
    <w:rsid w:val="0E94477A"/>
    <w:rsid w:val="0EA93835"/>
    <w:rsid w:val="0EBC2000"/>
    <w:rsid w:val="0EE04D7C"/>
    <w:rsid w:val="0EE07C71"/>
    <w:rsid w:val="0F143C2E"/>
    <w:rsid w:val="0F340DCE"/>
    <w:rsid w:val="0F362BEE"/>
    <w:rsid w:val="0F3918CC"/>
    <w:rsid w:val="0F397095"/>
    <w:rsid w:val="0F4006B3"/>
    <w:rsid w:val="0F6C10CB"/>
    <w:rsid w:val="0F904BE6"/>
    <w:rsid w:val="0FB64C56"/>
    <w:rsid w:val="0FCF7859"/>
    <w:rsid w:val="0FD663C6"/>
    <w:rsid w:val="0FEA3549"/>
    <w:rsid w:val="0FED06EC"/>
    <w:rsid w:val="0FF52AA9"/>
    <w:rsid w:val="10044A9B"/>
    <w:rsid w:val="1008523D"/>
    <w:rsid w:val="10190CBD"/>
    <w:rsid w:val="102D14D1"/>
    <w:rsid w:val="103A56ED"/>
    <w:rsid w:val="105F6F02"/>
    <w:rsid w:val="106119F9"/>
    <w:rsid w:val="10824B97"/>
    <w:rsid w:val="108711C7"/>
    <w:rsid w:val="10907255"/>
    <w:rsid w:val="10A05079"/>
    <w:rsid w:val="10A34515"/>
    <w:rsid w:val="10BB784F"/>
    <w:rsid w:val="10D355A2"/>
    <w:rsid w:val="10FD40A8"/>
    <w:rsid w:val="1102722C"/>
    <w:rsid w:val="11040DF0"/>
    <w:rsid w:val="111A35FE"/>
    <w:rsid w:val="113118BF"/>
    <w:rsid w:val="11342822"/>
    <w:rsid w:val="11627CCB"/>
    <w:rsid w:val="1165541F"/>
    <w:rsid w:val="117935E0"/>
    <w:rsid w:val="118640B3"/>
    <w:rsid w:val="11AE6531"/>
    <w:rsid w:val="11F254F3"/>
    <w:rsid w:val="11F757FC"/>
    <w:rsid w:val="11FB35F8"/>
    <w:rsid w:val="121F52D5"/>
    <w:rsid w:val="12321665"/>
    <w:rsid w:val="123C49C0"/>
    <w:rsid w:val="124273CB"/>
    <w:rsid w:val="12440908"/>
    <w:rsid w:val="124752ED"/>
    <w:rsid w:val="12492C39"/>
    <w:rsid w:val="125862DF"/>
    <w:rsid w:val="126741BF"/>
    <w:rsid w:val="126C7EC0"/>
    <w:rsid w:val="1277417D"/>
    <w:rsid w:val="12BE7F96"/>
    <w:rsid w:val="12E70400"/>
    <w:rsid w:val="12F055D1"/>
    <w:rsid w:val="12F068F7"/>
    <w:rsid w:val="12F745E0"/>
    <w:rsid w:val="12F96D8F"/>
    <w:rsid w:val="13141D5A"/>
    <w:rsid w:val="1319085D"/>
    <w:rsid w:val="13286CF2"/>
    <w:rsid w:val="13294F44"/>
    <w:rsid w:val="133B07D3"/>
    <w:rsid w:val="1342515B"/>
    <w:rsid w:val="1356443E"/>
    <w:rsid w:val="135A4326"/>
    <w:rsid w:val="1360694E"/>
    <w:rsid w:val="136253A7"/>
    <w:rsid w:val="136544CD"/>
    <w:rsid w:val="138D7601"/>
    <w:rsid w:val="13A72C3B"/>
    <w:rsid w:val="13A934D3"/>
    <w:rsid w:val="13B4150B"/>
    <w:rsid w:val="13C0328F"/>
    <w:rsid w:val="13C719E1"/>
    <w:rsid w:val="13DC2553"/>
    <w:rsid w:val="14215CAB"/>
    <w:rsid w:val="142F3F7D"/>
    <w:rsid w:val="143E367B"/>
    <w:rsid w:val="14551D69"/>
    <w:rsid w:val="14760CCE"/>
    <w:rsid w:val="1482435B"/>
    <w:rsid w:val="149B2B25"/>
    <w:rsid w:val="149C34F4"/>
    <w:rsid w:val="15007F26"/>
    <w:rsid w:val="15127621"/>
    <w:rsid w:val="15684FD5"/>
    <w:rsid w:val="157939BE"/>
    <w:rsid w:val="158076D1"/>
    <w:rsid w:val="15836462"/>
    <w:rsid w:val="158B1288"/>
    <w:rsid w:val="15B360ED"/>
    <w:rsid w:val="15CA4090"/>
    <w:rsid w:val="15E46AEA"/>
    <w:rsid w:val="15E5196C"/>
    <w:rsid w:val="15F25C65"/>
    <w:rsid w:val="161C194F"/>
    <w:rsid w:val="16345E5C"/>
    <w:rsid w:val="163A2839"/>
    <w:rsid w:val="164C7B0F"/>
    <w:rsid w:val="165805AA"/>
    <w:rsid w:val="167D6633"/>
    <w:rsid w:val="168372F9"/>
    <w:rsid w:val="1695644C"/>
    <w:rsid w:val="16A6065A"/>
    <w:rsid w:val="16C7330C"/>
    <w:rsid w:val="16CE41FA"/>
    <w:rsid w:val="16D276A1"/>
    <w:rsid w:val="16E77616"/>
    <w:rsid w:val="16E80C72"/>
    <w:rsid w:val="16E90E79"/>
    <w:rsid w:val="16F862E2"/>
    <w:rsid w:val="170656B5"/>
    <w:rsid w:val="170B4961"/>
    <w:rsid w:val="172D2B29"/>
    <w:rsid w:val="17374F68"/>
    <w:rsid w:val="176159C8"/>
    <w:rsid w:val="17762075"/>
    <w:rsid w:val="17C50F2C"/>
    <w:rsid w:val="17C57205"/>
    <w:rsid w:val="17CB2366"/>
    <w:rsid w:val="181F4751"/>
    <w:rsid w:val="182E1E5C"/>
    <w:rsid w:val="186407CC"/>
    <w:rsid w:val="1871686D"/>
    <w:rsid w:val="187F73B4"/>
    <w:rsid w:val="188416DE"/>
    <w:rsid w:val="188542AB"/>
    <w:rsid w:val="1888103C"/>
    <w:rsid w:val="18940F06"/>
    <w:rsid w:val="189E1726"/>
    <w:rsid w:val="18AE213F"/>
    <w:rsid w:val="18B94A2C"/>
    <w:rsid w:val="18EF3A7F"/>
    <w:rsid w:val="18FE522F"/>
    <w:rsid w:val="19024447"/>
    <w:rsid w:val="190B2D72"/>
    <w:rsid w:val="19160AEA"/>
    <w:rsid w:val="19202945"/>
    <w:rsid w:val="19266EAE"/>
    <w:rsid w:val="193E61A9"/>
    <w:rsid w:val="19653DE0"/>
    <w:rsid w:val="1977008B"/>
    <w:rsid w:val="19A52E4A"/>
    <w:rsid w:val="19AC41D9"/>
    <w:rsid w:val="19B175FE"/>
    <w:rsid w:val="19BA2DA6"/>
    <w:rsid w:val="19CB3F91"/>
    <w:rsid w:val="19D43730"/>
    <w:rsid w:val="19DE29A1"/>
    <w:rsid w:val="19E060CA"/>
    <w:rsid w:val="19E17184"/>
    <w:rsid w:val="19E716B5"/>
    <w:rsid w:val="19FB2C3C"/>
    <w:rsid w:val="1A1B5EE6"/>
    <w:rsid w:val="1A2E0747"/>
    <w:rsid w:val="1A351A94"/>
    <w:rsid w:val="1A3B188F"/>
    <w:rsid w:val="1A416618"/>
    <w:rsid w:val="1A466920"/>
    <w:rsid w:val="1A4F4961"/>
    <w:rsid w:val="1A527E86"/>
    <w:rsid w:val="1A544DDF"/>
    <w:rsid w:val="1A5F0DA7"/>
    <w:rsid w:val="1A8011C2"/>
    <w:rsid w:val="1A864FC7"/>
    <w:rsid w:val="1A967D50"/>
    <w:rsid w:val="1A970FB3"/>
    <w:rsid w:val="1AAB45F6"/>
    <w:rsid w:val="1AC35813"/>
    <w:rsid w:val="1AC402FB"/>
    <w:rsid w:val="1AC83294"/>
    <w:rsid w:val="1ADC4BA2"/>
    <w:rsid w:val="1AF205C1"/>
    <w:rsid w:val="1AFA5418"/>
    <w:rsid w:val="1B106349"/>
    <w:rsid w:val="1B1310F9"/>
    <w:rsid w:val="1B133EBD"/>
    <w:rsid w:val="1B150307"/>
    <w:rsid w:val="1B3F107D"/>
    <w:rsid w:val="1B4628AD"/>
    <w:rsid w:val="1B4A3CA9"/>
    <w:rsid w:val="1B5075E1"/>
    <w:rsid w:val="1B524AC2"/>
    <w:rsid w:val="1B59326E"/>
    <w:rsid w:val="1B6D7998"/>
    <w:rsid w:val="1B791B76"/>
    <w:rsid w:val="1BA82FED"/>
    <w:rsid w:val="1BB6133F"/>
    <w:rsid w:val="1BBD3D34"/>
    <w:rsid w:val="1BBE13E9"/>
    <w:rsid w:val="1BC54211"/>
    <w:rsid w:val="1BCC07FF"/>
    <w:rsid w:val="1BCF0C5A"/>
    <w:rsid w:val="1BD52D66"/>
    <w:rsid w:val="1BED31A7"/>
    <w:rsid w:val="1C1E4C23"/>
    <w:rsid w:val="1C2416AE"/>
    <w:rsid w:val="1C2D03AA"/>
    <w:rsid w:val="1C60574F"/>
    <w:rsid w:val="1C694603"/>
    <w:rsid w:val="1CB20E75"/>
    <w:rsid w:val="1CB3587E"/>
    <w:rsid w:val="1CD56934"/>
    <w:rsid w:val="1CE400B3"/>
    <w:rsid w:val="1CE442E3"/>
    <w:rsid w:val="1D012A8E"/>
    <w:rsid w:val="1D0B7468"/>
    <w:rsid w:val="1D10120A"/>
    <w:rsid w:val="1D1736BA"/>
    <w:rsid w:val="1D2119DA"/>
    <w:rsid w:val="1D2530AE"/>
    <w:rsid w:val="1D383045"/>
    <w:rsid w:val="1D4666F2"/>
    <w:rsid w:val="1D481945"/>
    <w:rsid w:val="1D497F91"/>
    <w:rsid w:val="1D4E6BA1"/>
    <w:rsid w:val="1D6651E0"/>
    <w:rsid w:val="1D7F1E81"/>
    <w:rsid w:val="1D9F6122"/>
    <w:rsid w:val="1DE63A32"/>
    <w:rsid w:val="1DEB189E"/>
    <w:rsid w:val="1DEE13B0"/>
    <w:rsid w:val="1DF92030"/>
    <w:rsid w:val="1E2B1E83"/>
    <w:rsid w:val="1E453774"/>
    <w:rsid w:val="1E58492F"/>
    <w:rsid w:val="1E5B7F7C"/>
    <w:rsid w:val="1E5E5C12"/>
    <w:rsid w:val="1E7277E4"/>
    <w:rsid w:val="1E805AB6"/>
    <w:rsid w:val="1E8D7EC4"/>
    <w:rsid w:val="1E8E66CF"/>
    <w:rsid w:val="1E9811D0"/>
    <w:rsid w:val="1EB05FC3"/>
    <w:rsid w:val="1EB06519"/>
    <w:rsid w:val="1EB57C64"/>
    <w:rsid w:val="1EB75293"/>
    <w:rsid w:val="1EDA17E8"/>
    <w:rsid w:val="1EDD61C5"/>
    <w:rsid w:val="1EDE506D"/>
    <w:rsid w:val="1EE456C8"/>
    <w:rsid w:val="1EFA23B0"/>
    <w:rsid w:val="1F091FF2"/>
    <w:rsid w:val="1F120F82"/>
    <w:rsid w:val="1F1C3BAF"/>
    <w:rsid w:val="1F260B0D"/>
    <w:rsid w:val="1F2F00D5"/>
    <w:rsid w:val="1F3031B6"/>
    <w:rsid w:val="1F375C0D"/>
    <w:rsid w:val="1F391141"/>
    <w:rsid w:val="1F3D0CE1"/>
    <w:rsid w:val="1F444EB4"/>
    <w:rsid w:val="1F541C2F"/>
    <w:rsid w:val="1F646872"/>
    <w:rsid w:val="1FA00F50"/>
    <w:rsid w:val="1FA7260B"/>
    <w:rsid w:val="1FB172DF"/>
    <w:rsid w:val="1FCC5AE8"/>
    <w:rsid w:val="1FE0333B"/>
    <w:rsid w:val="1FEE3736"/>
    <w:rsid w:val="2034266D"/>
    <w:rsid w:val="20441BF7"/>
    <w:rsid w:val="20567811"/>
    <w:rsid w:val="206472BB"/>
    <w:rsid w:val="207B20B8"/>
    <w:rsid w:val="208F3298"/>
    <w:rsid w:val="209D0D1F"/>
    <w:rsid w:val="20AE2C72"/>
    <w:rsid w:val="20B47E17"/>
    <w:rsid w:val="20C242E2"/>
    <w:rsid w:val="20C87EE6"/>
    <w:rsid w:val="20DF6696"/>
    <w:rsid w:val="21156537"/>
    <w:rsid w:val="212C091B"/>
    <w:rsid w:val="21584C46"/>
    <w:rsid w:val="21815AE7"/>
    <w:rsid w:val="218469C1"/>
    <w:rsid w:val="21FB6487"/>
    <w:rsid w:val="22511F8F"/>
    <w:rsid w:val="22590C76"/>
    <w:rsid w:val="225B5552"/>
    <w:rsid w:val="22620C72"/>
    <w:rsid w:val="22654441"/>
    <w:rsid w:val="226811CD"/>
    <w:rsid w:val="22753215"/>
    <w:rsid w:val="22754B37"/>
    <w:rsid w:val="22977085"/>
    <w:rsid w:val="22AE5F02"/>
    <w:rsid w:val="22B71369"/>
    <w:rsid w:val="22C70E9C"/>
    <w:rsid w:val="22E54FD6"/>
    <w:rsid w:val="23156267"/>
    <w:rsid w:val="231F3C6E"/>
    <w:rsid w:val="23305E7B"/>
    <w:rsid w:val="23641680"/>
    <w:rsid w:val="23AD7E03"/>
    <w:rsid w:val="23B24AE2"/>
    <w:rsid w:val="23BA37D0"/>
    <w:rsid w:val="23D26F32"/>
    <w:rsid w:val="23F724F4"/>
    <w:rsid w:val="24207C9D"/>
    <w:rsid w:val="2432177F"/>
    <w:rsid w:val="243A6885"/>
    <w:rsid w:val="244A7E06"/>
    <w:rsid w:val="24552B00"/>
    <w:rsid w:val="24582CE4"/>
    <w:rsid w:val="24656A71"/>
    <w:rsid w:val="246C3202"/>
    <w:rsid w:val="2483022C"/>
    <w:rsid w:val="24B12C02"/>
    <w:rsid w:val="24C451F6"/>
    <w:rsid w:val="24CD7C86"/>
    <w:rsid w:val="250462EA"/>
    <w:rsid w:val="252D7657"/>
    <w:rsid w:val="25355DF2"/>
    <w:rsid w:val="25390605"/>
    <w:rsid w:val="253A3746"/>
    <w:rsid w:val="25671777"/>
    <w:rsid w:val="256C29A0"/>
    <w:rsid w:val="25716113"/>
    <w:rsid w:val="25752417"/>
    <w:rsid w:val="25933BDB"/>
    <w:rsid w:val="25B66BA8"/>
    <w:rsid w:val="25C37B84"/>
    <w:rsid w:val="25C60532"/>
    <w:rsid w:val="25E70ABF"/>
    <w:rsid w:val="262732E8"/>
    <w:rsid w:val="262E1F92"/>
    <w:rsid w:val="26584F46"/>
    <w:rsid w:val="266E4660"/>
    <w:rsid w:val="26A45747"/>
    <w:rsid w:val="26B20955"/>
    <w:rsid w:val="26CC3CC0"/>
    <w:rsid w:val="26CF4594"/>
    <w:rsid w:val="271E4DAB"/>
    <w:rsid w:val="27255727"/>
    <w:rsid w:val="272606A8"/>
    <w:rsid w:val="272B540D"/>
    <w:rsid w:val="273B6B9C"/>
    <w:rsid w:val="274759C4"/>
    <w:rsid w:val="274B7559"/>
    <w:rsid w:val="276B0402"/>
    <w:rsid w:val="278E4F1E"/>
    <w:rsid w:val="27944F81"/>
    <w:rsid w:val="27BF157B"/>
    <w:rsid w:val="27D919DA"/>
    <w:rsid w:val="27FA6A57"/>
    <w:rsid w:val="28166B73"/>
    <w:rsid w:val="282442D9"/>
    <w:rsid w:val="284367B5"/>
    <w:rsid w:val="285718A5"/>
    <w:rsid w:val="286669E4"/>
    <w:rsid w:val="28D42DB2"/>
    <w:rsid w:val="28EB4C69"/>
    <w:rsid w:val="28EC781E"/>
    <w:rsid w:val="28F865CB"/>
    <w:rsid w:val="290470B8"/>
    <w:rsid w:val="29053276"/>
    <w:rsid w:val="29250E1B"/>
    <w:rsid w:val="292A336C"/>
    <w:rsid w:val="295A53EB"/>
    <w:rsid w:val="297665B1"/>
    <w:rsid w:val="29802F8C"/>
    <w:rsid w:val="29803AA3"/>
    <w:rsid w:val="29884B07"/>
    <w:rsid w:val="298957C4"/>
    <w:rsid w:val="29BD5F8E"/>
    <w:rsid w:val="29CF1324"/>
    <w:rsid w:val="29DF4E52"/>
    <w:rsid w:val="2A1D6A45"/>
    <w:rsid w:val="2A2102CB"/>
    <w:rsid w:val="2A4C6A9B"/>
    <w:rsid w:val="2A5A3D87"/>
    <w:rsid w:val="2A6F6EBA"/>
    <w:rsid w:val="2A774E1D"/>
    <w:rsid w:val="2A780C4F"/>
    <w:rsid w:val="2A7B10C0"/>
    <w:rsid w:val="2A830C79"/>
    <w:rsid w:val="2A8D5961"/>
    <w:rsid w:val="2ABF1256"/>
    <w:rsid w:val="2AD11736"/>
    <w:rsid w:val="2AE65071"/>
    <w:rsid w:val="2AEB2687"/>
    <w:rsid w:val="2B0E0405"/>
    <w:rsid w:val="2B1029CF"/>
    <w:rsid w:val="2B1D6E88"/>
    <w:rsid w:val="2B1F7D54"/>
    <w:rsid w:val="2B2032D9"/>
    <w:rsid w:val="2B4D51E4"/>
    <w:rsid w:val="2B5F0E77"/>
    <w:rsid w:val="2B720245"/>
    <w:rsid w:val="2B7F64C1"/>
    <w:rsid w:val="2B886128"/>
    <w:rsid w:val="2BA3212D"/>
    <w:rsid w:val="2BAE55DD"/>
    <w:rsid w:val="2BE7007A"/>
    <w:rsid w:val="2BEE09B1"/>
    <w:rsid w:val="2BFE408A"/>
    <w:rsid w:val="2C234403"/>
    <w:rsid w:val="2C2A1060"/>
    <w:rsid w:val="2C916010"/>
    <w:rsid w:val="2CA927FA"/>
    <w:rsid w:val="2CC9059D"/>
    <w:rsid w:val="2CD55307"/>
    <w:rsid w:val="2CDF0482"/>
    <w:rsid w:val="2CE66C6C"/>
    <w:rsid w:val="2D22640D"/>
    <w:rsid w:val="2D464D5F"/>
    <w:rsid w:val="2D4E5097"/>
    <w:rsid w:val="2D4E5386"/>
    <w:rsid w:val="2D592D22"/>
    <w:rsid w:val="2D8C0151"/>
    <w:rsid w:val="2DA27975"/>
    <w:rsid w:val="2DB5450D"/>
    <w:rsid w:val="2DFB00B5"/>
    <w:rsid w:val="2E0752B0"/>
    <w:rsid w:val="2E474078"/>
    <w:rsid w:val="2E556795"/>
    <w:rsid w:val="2E681342"/>
    <w:rsid w:val="2E697CA3"/>
    <w:rsid w:val="2E6B280E"/>
    <w:rsid w:val="2E6D4E98"/>
    <w:rsid w:val="2E7931EC"/>
    <w:rsid w:val="2E7B0389"/>
    <w:rsid w:val="2E7B06AB"/>
    <w:rsid w:val="2E886C68"/>
    <w:rsid w:val="2E8E5491"/>
    <w:rsid w:val="2E944745"/>
    <w:rsid w:val="2E9705D3"/>
    <w:rsid w:val="2E9C3022"/>
    <w:rsid w:val="2E9F2106"/>
    <w:rsid w:val="2EBC6814"/>
    <w:rsid w:val="2EBE0475"/>
    <w:rsid w:val="2EC1790D"/>
    <w:rsid w:val="2EC25397"/>
    <w:rsid w:val="2ED718A0"/>
    <w:rsid w:val="2EE23871"/>
    <w:rsid w:val="2EE71A9D"/>
    <w:rsid w:val="2EEF6BEA"/>
    <w:rsid w:val="2EFF1CE5"/>
    <w:rsid w:val="2F1D1D68"/>
    <w:rsid w:val="2F2A65B2"/>
    <w:rsid w:val="2F6C2DFA"/>
    <w:rsid w:val="2F7F39E1"/>
    <w:rsid w:val="2F846AE9"/>
    <w:rsid w:val="2FAD2438"/>
    <w:rsid w:val="2FC811E9"/>
    <w:rsid w:val="30060BFA"/>
    <w:rsid w:val="30134B9E"/>
    <w:rsid w:val="3022617D"/>
    <w:rsid w:val="303A1CAD"/>
    <w:rsid w:val="303E6666"/>
    <w:rsid w:val="30464B56"/>
    <w:rsid w:val="30473068"/>
    <w:rsid w:val="304B5DEC"/>
    <w:rsid w:val="30580361"/>
    <w:rsid w:val="30731155"/>
    <w:rsid w:val="307C2C0D"/>
    <w:rsid w:val="30896BCA"/>
    <w:rsid w:val="308C66BA"/>
    <w:rsid w:val="30965B9C"/>
    <w:rsid w:val="30967620"/>
    <w:rsid w:val="30AE7314"/>
    <w:rsid w:val="30B5082A"/>
    <w:rsid w:val="30BD1FE5"/>
    <w:rsid w:val="30F36C74"/>
    <w:rsid w:val="30F90CD1"/>
    <w:rsid w:val="30F9318B"/>
    <w:rsid w:val="31272F44"/>
    <w:rsid w:val="31362C1F"/>
    <w:rsid w:val="31605B7D"/>
    <w:rsid w:val="31662A68"/>
    <w:rsid w:val="316B62D0"/>
    <w:rsid w:val="31936105"/>
    <w:rsid w:val="319475D5"/>
    <w:rsid w:val="31990307"/>
    <w:rsid w:val="31A57A34"/>
    <w:rsid w:val="31AE740B"/>
    <w:rsid w:val="31B658D4"/>
    <w:rsid w:val="31B9385A"/>
    <w:rsid w:val="32316E69"/>
    <w:rsid w:val="325B404D"/>
    <w:rsid w:val="3264576A"/>
    <w:rsid w:val="32742ADC"/>
    <w:rsid w:val="32887E5F"/>
    <w:rsid w:val="329A50AF"/>
    <w:rsid w:val="329E5AD1"/>
    <w:rsid w:val="329E6A56"/>
    <w:rsid w:val="32C02899"/>
    <w:rsid w:val="32CC51E5"/>
    <w:rsid w:val="32E6051A"/>
    <w:rsid w:val="32F02F31"/>
    <w:rsid w:val="32F33B15"/>
    <w:rsid w:val="330B7D6A"/>
    <w:rsid w:val="332A2B6E"/>
    <w:rsid w:val="332B5568"/>
    <w:rsid w:val="333861AC"/>
    <w:rsid w:val="33435AA7"/>
    <w:rsid w:val="335A3660"/>
    <w:rsid w:val="335F3C12"/>
    <w:rsid w:val="33691AE5"/>
    <w:rsid w:val="336D5F74"/>
    <w:rsid w:val="336F02F9"/>
    <w:rsid w:val="337176F8"/>
    <w:rsid w:val="33753436"/>
    <w:rsid w:val="33887C63"/>
    <w:rsid w:val="3392569B"/>
    <w:rsid w:val="33A40443"/>
    <w:rsid w:val="33A718ED"/>
    <w:rsid w:val="33AA3E3F"/>
    <w:rsid w:val="33C61EE3"/>
    <w:rsid w:val="33C85C5B"/>
    <w:rsid w:val="33EF143A"/>
    <w:rsid w:val="3402290E"/>
    <w:rsid w:val="341D5FA7"/>
    <w:rsid w:val="344A35D0"/>
    <w:rsid w:val="34873182"/>
    <w:rsid w:val="349F7782"/>
    <w:rsid w:val="34A72140"/>
    <w:rsid w:val="34AC6BE3"/>
    <w:rsid w:val="34EB329F"/>
    <w:rsid w:val="34F942C8"/>
    <w:rsid w:val="34FE1F7D"/>
    <w:rsid w:val="35064D89"/>
    <w:rsid w:val="35266C07"/>
    <w:rsid w:val="35270865"/>
    <w:rsid w:val="356F6C4A"/>
    <w:rsid w:val="3594762C"/>
    <w:rsid w:val="35A87AF3"/>
    <w:rsid w:val="35C42A65"/>
    <w:rsid w:val="36041B6D"/>
    <w:rsid w:val="3609516B"/>
    <w:rsid w:val="361B7BDC"/>
    <w:rsid w:val="362819E9"/>
    <w:rsid w:val="363B20F4"/>
    <w:rsid w:val="364221AD"/>
    <w:rsid w:val="36627D01"/>
    <w:rsid w:val="368C5FD1"/>
    <w:rsid w:val="36AC6FD2"/>
    <w:rsid w:val="36AE45FE"/>
    <w:rsid w:val="36C070BE"/>
    <w:rsid w:val="36D4159F"/>
    <w:rsid w:val="36E67798"/>
    <w:rsid w:val="36E7289C"/>
    <w:rsid w:val="36FF0DB1"/>
    <w:rsid w:val="37067020"/>
    <w:rsid w:val="371D1CDE"/>
    <w:rsid w:val="372649E2"/>
    <w:rsid w:val="372C02AF"/>
    <w:rsid w:val="372C59AA"/>
    <w:rsid w:val="372E2279"/>
    <w:rsid w:val="373000B7"/>
    <w:rsid w:val="37412D8C"/>
    <w:rsid w:val="37424DCB"/>
    <w:rsid w:val="377A54BF"/>
    <w:rsid w:val="377F0D27"/>
    <w:rsid w:val="37824D2F"/>
    <w:rsid w:val="37963F54"/>
    <w:rsid w:val="379A6B89"/>
    <w:rsid w:val="37B7401D"/>
    <w:rsid w:val="37BF2E3D"/>
    <w:rsid w:val="37C91EDA"/>
    <w:rsid w:val="37D107AA"/>
    <w:rsid w:val="37FD7E74"/>
    <w:rsid w:val="38045AA7"/>
    <w:rsid w:val="380A6843"/>
    <w:rsid w:val="38617BEC"/>
    <w:rsid w:val="38926D93"/>
    <w:rsid w:val="38B04B0E"/>
    <w:rsid w:val="38E54BBA"/>
    <w:rsid w:val="38FD54AF"/>
    <w:rsid w:val="390741E5"/>
    <w:rsid w:val="391F264A"/>
    <w:rsid w:val="39243472"/>
    <w:rsid w:val="392B2144"/>
    <w:rsid w:val="3931679A"/>
    <w:rsid w:val="394205BC"/>
    <w:rsid w:val="3997588E"/>
    <w:rsid w:val="39B22412"/>
    <w:rsid w:val="39B46D56"/>
    <w:rsid w:val="39C828E7"/>
    <w:rsid w:val="39DD557C"/>
    <w:rsid w:val="39E714BC"/>
    <w:rsid w:val="39F552D0"/>
    <w:rsid w:val="39FC4298"/>
    <w:rsid w:val="3A4536A9"/>
    <w:rsid w:val="3A483568"/>
    <w:rsid w:val="3A5448AB"/>
    <w:rsid w:val="3A552184"/>
    <w:rsid w:val="3A60099C"/>
    <w:rsid w:val="3A672F16"/>
    <w:rsid w:val="3A7900EF"/>
    <w:rsid w:val="3A800711"/>
    <w:rsid w:val="3A810CA0"/>
    <w:rsid w:val="3A9446EC"/>
    <w:rsid w:val="3A96496C"/>
    <w:rsid w:val="3A9F3479"/>
    <w:rsid w:val="3ABC7EEE"/>
    <w:rsid w:val="3AC0768C"/>
    <w:rsid w:val="3AED2009"/>
    <w:rsid w:val="3AFD271B"/>
    <w:rsid w:val="3B1771AB"/>
    <w:rsid w:val="3B1939D0"/>
    <w:rsid w:val="3B2E7228"/>
    <w:rsid w:val="3B3955B9"/>
    <w:rsid w:val="3B581890"/>
    <w:rsid w:val="3BA60A85"/>
    <w:rsid w:val="3BA96372"/>
    <w:rsid w:val="3BAB1C70"/>
    <w:rsid w:val="3BAB26D3"/>
    <w:rsid w:val="3BD009CC"/>
    <w:rsid w:val="3BDE0A34"/>
    <w:rsid w:val="3BF45BDB"/>
    <w:rsid w:val="3C0812EB"/>
    <w:rsid w:val="3C2B1FE6"/>
    <w:rsid w:val="3C541C9F"/>
    <w:rsid w:val="3C8779B9"/>
    <w:rsid w:val="3C8B2C2B"/>
    <w:rsid w:val="3C940215"/>
    <w:rsid w:val="3C9F058C"/>
    <w:rsid w:val="3CA60B04"/>
    <w:rsid w:val="3CA93707"/>
    <w:rsid w:val="3CB74ABF"/>
    <w:rsid w:val="3CC97C4F"/>
    <w:rsid w:val="3CCA29EB"/>
    <w:rsid w:val="3CCC5DBF"/>
    <w:rsid w:val="3CD74C46"/>
    <w:rsid w:val="3D3B124C"/>
    <w:rsid w:val="3D453E79"/>
    <w:rsid w:val="3D481758"/>
    <w:rsid w:val="3D497E6A"/>
    <w:rsid w:val="3D567E34"/>
    <w:rsid w:val="3D634958"/>
    <w:rsid w:val="3D6C6B53"/>
    <w:rsid w:val="3D8A01C7"/>
    <w:rsid w:val="3D8C6BB2"/>
    <w:rsid w:val="3D987150"/>
    <w:rsid w:val="3D9D71C0"/>
    <w:rsid w:val="3D9E333B"/>
    <w:rsid w:val="3DBC00BF"/>
    <w:rsid w:val="3DCB1A6B"/>
    <w:rsid w:val="3DCE35B6"/>
    <w:rsid w:val="3DED30AA"/>
    <w:rsid w:val="3DEE3528"/>
    <w:rsid w:val="3DFF671E"/>
    <w:rsid w:val="3E2C72A8"/>
    <w:rsid w:val="3E3102BB"/>
    <w:rsid w:val="3E556C1E"/>
    <w:rsid w:val="3E614AA5"/>
    <w:rsid w:val="3E704F26"/>
    <w:rsid w:val="3EB02545"/>
    <w:rsid w:val="3EB21D54"/>
    <w:rsid w:val="3ECF2DF7"/>
    <w:rsid w:val="3EF93562"/>
    <w:rsid w:val="3F12422F"/>
    <w:rsid w:val="3F18661A"/>
    <w:rsid w:val="3F240013"/>
    <w:rsid w:val="3F6D4287"/>
    <w:rsid w:val="3F7512EA"/>
    <w:rsid w:val="3F850EA5"/>
    <w:rsid w:val="3F87243F"/>
    <w:rsid w:val="3F9730B9"/>
    <w:rsid w:val="3FA373CA"/>
    <w:rsid w:val="3FAC350B"/>
    <w:rsid w:val="3FBD58AF"/>
    <w:rsid w:val="3FC15168"/>
    <w:rsid w:val="3FC55901"/>
    <w:rsid w:val="3FC92B3F"/>
    <w:rsid w:val="3FC9458D"/>
    <w:rsid w:val="3FCB5FB2"/>
    <w:rsid w:val="3FD033AD"/>
    <w:rsid w:val="3FE12547"/>
    <w:rsid w:val="3FE23C01"/>
    <w:rsid w:val="401924B3"/>
    <w:rsid w:val="401F021A"/>
    <w:rsid w:val="403D0C6D"/>
    <w:rsid w:val="404148A6"/>
    <w:rsid w:val="40572AB6"/>
    <w:rsid w:val="405D3459"/>
    <w:rsid w:val="4068264C"/>
    <w:rsid w:val="407728FD"/>
    <w:rsid w:val="407D4A21"/>
    <w:rsid w:val="40983992"/>
    <w:rsid w:val="40CA0DB3"/>
    <w:rsid w:val="40D64B0A"/>
    <w:rsid w:val="40DB2B57"/>
    <w:rsid w:val="40DC5CDB"/>
    <w:rsid w:val="410603FC"/>
    <w:rsid w:val="410D06B8"/>
    <w:rsid w:val="4156426C"/>
    <w:rsid w:val="415D2E43"/>
    <w:rsid w:val="41754012"/>
    <w:rsid w:val="417B380A"/>
    <w:rsid w:val="41A274B6"/>
    <w:rsid w:val="41C034AF"/>
    <w:rsid w:val="41C061C4"/>
    <w:rsid w:val="42107DDD"/>
    <w:rsid w:val="42311D52"/>
    <w:rsid w:val="424A712C"/>
    <w:rsid w:val="42563698"/>
    <w:rsid w:val="4263268C"/>
    <w:rsid w:val="426C12DA"/>
    <w:rsid w:val="42890130"/>
    <w:rsid w:val="428C44AE"/>
    <w:rsid w:val="429F7E60"/>
    <w:rsid w:val="42A66B85"/>
    <w:rsid w:val="42B615E6"/>
    <w:rsid w:val="42CB2D35"/>
    <w:rsid w:val="42D21256"/>
    <w:rsid w:val="42F42EB4"/>
    <w:rsid w:val="42F759C4"/>
    <w:rsid w:val="43023463"/>
    <w:rsid w:val="43144A19"/>
    <w:rsid w:val="431C38CE"/>
    <w:rsid w:val="432F4C06"/>
    <w:rsid w:val="433F0A06"/>
    <w:rsid w:val="434660D0"/>
    <w:rsid w:val="434877D8"/>
    <w:rsid w:val="43554BAC"/>
    <w:rsid w:val="435968D0"/>
    <w:rsid w:val="435D3A52"/>
    <w:rsid w:val="43770B04"/>
    <w:rsid w:val="438751EB"/>
    <w:rsid w:val="43A027A3"/>
    <w:rsid w:val="43AA1E91"/>
    <w:rsid w:val="43AF27CC"/>
    <w:rsid w:val="43BA343C"/>
    <w:rsid w:val="43DD3416"/>
    <w:rsid w:val="43DD4C6D"/>
    <w:rsid w:val="43E06D85"/>
    <w:rsid w:val="43F8127E"/>
    <w:rsid w:val="440A08B0"/>
    <w:rsid w:val="4428525F"/>
    <w:rsid w:val="443122C0"/>
    <w:rsid w:val="444A0170"/>
    <w:rsid w:val="44621887"/>
    <w:rsid w:val="44667276"/>
    <w:rsid w:val="448259B3"/>
    <w:rsid w:val="44A37922"/>
    <w:rsid w:val="44B63420"/>
    <w:rsid w:val="44B71DE6"/>
    <w:rsid w:val="44BE70AA"/>
    <w:rsid w:val="44C075E6"/>
    <w:rsid w:val="44CB332F"/>
    <w:rsid w:val="44D7718A"/>
    <w:rsid w:val="44DB6B8D"/>
    <w:rsid w:val="45561319"/>
    <w:rsid w:val="458431BA"/>
    <w:rsid w:val="45A57BAB"/>
    <w:rsid w:val="45AB4EDC"/>
    <w:rsid w:val="45DA7219"/>
    <w:rsid w:val="45DE130F"/>
    <w:rsid w:val="45F8252B"/>
    <w:rsid w:val="46153B79"/>
    <w:rsid w:val="4625595A"/>
    <w:rsid w:val="4655670F"/>
    <w:rsid w:val="46690BD8"/>
    <w:rsid w:val="469236DF"/>
    <w:rsid w:val="46CD6A3D"/>
    <w:rsid w:val="46D23AA8"/>
    <w:rsid w:val="46D446A7"/>
    <w:rsid w:val="46DC43BD"/>
    <w:rsid w:val="46ED7A5B"/>
    <w:rsid w:val="47165D61"/>
    <w:rsid w:val="475D1752"/>
    <w:rsid w:val="476E2F0C"/>
    <w:rsid w:val="47767BD4"/>
    <w:rsid w:val="477737C9"/>
    <w:rsid w:val="477766D9"/>
    <w:rsid w:val="477D0471"/>
    <w:rsid w:val="47863A0C"/>
    <w:rsid w:val="47A21C7D"/>
    <w:rsid w:val="47E0458D"/>
    <w:rsid w:val="47E250E6"/>
    <w:rsid w:val="47E31939"/>
    <w:rsid w:val="47FB44E3"/>
    <w:rsid w:val="4804332F"/>
    <w:rsid w:val="48117779"/>
    <w:rsid w:val="482374AD"/>
    <w:rsid w:val="48523ECB"/>
    <w:rsid w:val="48527D6A"/>
    <w:rsid w:val="48594C7C"/>
    <w:rsid w:val="48677399"/>
    <w:rsid w:val="48767191"/>
    <w:rsid w:val="488A747A"/>
    <w:rsid w:val="489640A7"/>
    <w:rsid w:val="489B72A2"/>
    <w:rsid w:val="489E300A"/>
    <w:rsid w:val="4909055C"/>
    <w:rsid w:val="492152AE"/>
    <w:rsid w:val="4955748F"/>
    <w:rsid w:val="49624358"/>
    <w:rsid w:val="49634005"/>
    <w:rsid w:val="49694B92"/>
    <w:rsid w:val="496D4E83"/>
    <w:rsid w:val="49737357"/>
    <w:rsid w:val="49C10267"/>
    <w:rsid w:val="49E36EF3"/>
    <w:rsid w:val="49F35390"/>
    <w:rsid w:val="4A0366CF"/>
    <w:rsid w:val="4A256483"/>
    <w:rsid w:val="4A38641F"/>
    <w:rsid w:val="4A4E6A63"/>
    <w:rsid w:val="4A777A61"/>
    <w:rsid w:val="4A800E57"/>
    <w:rsid w:val="4A9F5D83"/>
    <w:rsid w:val="4AB5099E"/>
    <w:rsid w:val="4AB52052"/>
    <w:rsid w:val="4AF859CC"/>
    <w:rsid w:val="4B5E5853"/>
    <w:rsid w:val="4B657DEC"/>
    <w:rsid w:val="4B683B54"/>
    <w:rsid w:val="4B6B5BFE"/>
    <w:rsid w:val="4B6F63D5"/>
    <w:rsid w:val="4B8152D3"/>
    <w:rsid w:val="4B83273C"/>
    <w:rsid w:val="4B965649"/>
    <w:rsid w:val="4B9A1834"/>
    <w:rsid w:val="4BAF2CE6"/>
    <w:rsid w:val="4BB30958"/>
    <w:rsid w:val="4BBA0F4B"/>
    <w:rsid w:val="4BC03621"/>
    <w:rsid w:val="4BC22F72"/>
    <w:rsid w:val="4BE67E16"/>
    <w:rsid w:val="4BEC1DA9"/>
    <w:rsid w:val="4C132E92"/>
    <w:rsid w:val="4C431ECB"/>
    <w:rsid w:val="4C454D9D"/>
    <w:rsid w:val="4C6D4FD8"/>
    <w:rsid w:val="4C956109"/>
    <w:rsid w:val="4CB12B2C"/>
    <w:rsid w:val="4CBC2827"/>
    <w:rsid w:val="4CC312B6"/>
    <w:rsid w:val="4CC748AA"/>
    <w:rsid w:val="4CCE79E7"/>
    <w:rsid w:val="4CDD2221"/>
    <w:rsid w:val="4CEC7C13"/>
    <w:rsid w:val="4D01004E"/>
    <w:rsid w:val="4D1737DC"/>
    <w:rsid w:val="4D225F85"/>
    <w:rsid w:val="4D230F75"/>
    <w:rsid w:val="4D297313"/>
    <w:rsid w:val="4D2E5116"/>
    <w:rsid w:val="4D4137BC"/>
    <w:rsid w:val="4D45784B"/>
    <w:rsid w:val="4D4946C3"/>
    <w:rsid w:val="4D553C64"/>
    <w:rsid w:val="4D6215E1"/>
    <w:rsid w:val="4D667D39"/>
    <w:rsid w:val="4D6A6CFA"/>
    <w:rsid w:val="4D6F53B7"/>
    <w:rsid w:val="4D8C427F"/>
    <w:rsid w:val="4D9739B2"/>
    <w:rsid w:val="4D973F59"/>
    <w:rsid w:val="4D97704E"/>
    <w:rsid w:val="4DB579D1"/>
    <w:rsid w:val="4DBD70EB"/>
    <w:rsid w:val="4DCC1493"/>
    <w:rsid w:val="4DD51249"/>
    <w:rsid w:val="4DD76CA3"/>
    <w:rsid w:val="4E2C254F"/>
    <w:rsid w:val="4E5B174E"/>
    <w:rsid w:val="4E6E459C"/>
    <w:rsid w:val="4E817FEA"/>
    <w:rsid w:val="4E98618A"/>
    <w:rsid w:val="4E9D352C"/>
    <w:rsid w:val="4EB95E17"/>
    <w:rsid w:val="4EB96475"/>
    <w:rsid w:val="4EF253F4"/>
    <w:rsid w:val="4EFB4CDF"/>
    <w:rsid w:val="4F0A4F22"/>
    <w:rsid w:val="4F500538"/>
    <w:rsid w:val="4F6A27E9"/>
    <w:rsid w:val="4F6B02B8"/>
    <w:rsid w:val="4F6C413C"/>
    <w:rsid w:val="4F7156E6"/>
    <w:rsid w:val="4FA43165"/>
    <w:rsid w:val="4FB6214D"/>
    <w:rsid w:val="4FD03912"/>
    <w:rsid w:val="4FF82FCD"/>
    <w:rsid w:val="4FFA116E"/>
    <w:rsid w:val="4FFA2095"/>
    <w:rsid w:val="50147125"/>
    <w:rsid w:val="50151DD1"/>
    <w:rsid w:val="502A1801"/>
    <w:rsid w:val="504C7A9D"/>
    <w:rsid w:val="509E6F0D"/>
    <w:rsid w:val="50AA42C7"/>
    <w:rsid w:val="50D41344"/>
    <w:rsid w:val="50D47596"/>
    <w:rsid w:val="50E2544B"/>
    <w:rsid w:val="50E65CE2"/>
    <w:rsid w:val="510E6FAF"/>
    <w:rsid w:val="511E0033"/>
    <w:rsid w:val="51202751"/>
    <w:rsid w:val="51366F1E"/>
    <w:rsid w:val="51404C2B"/>
    <w:rsid w:val="5143280B"/>
    <w:rsid w:val="51546F21"/>
    <w:rsid w:val="515D758B"/>
    <w:rsid w:val="517A638F"/>
    <w:rsid w:val="517F2D8F"/>
    <w:rsid w:val="51826FF2"/>
    <w:rsid w:val="518A1586"/>
    <w:rsid w:val="519C4558"/>
    <w:rsid w:val="51A86476"/>
    <w:rsid w:val="51B3364F"/>
    <w:rsid w:val="51C8534D"/>
    <w:rsid w:val="51D05FAF"/>
    <w:rsid w:val="51D32482"/>
    <w:rsid w:val="51D51C1A"/>
    <w:rsid w:val="51DD620D"/>
    <w:rsid w:val="51F83F85"/>
    <w:rsid w:val="52051862"/>
    <w:rsid w:val="52100AA2"/>
    <w:rsid w:val="52245275"/>
    <w:rsid w:val="52262073"/>
    <w:rsid w:val="522A5D40"/>
    <w:rsid w:val="52535651"/>
    <w:rsid w:val="526A01B2"/>
    <w:rsid w:val="5278011C"/>
    <w:rsid w:val="52AB2578"/>
    <w:rsid w:val="52E066C6"/>
    <w:rsid w:val="52E972F6"/>
    <w:rsid w:val="53043BBE"/>
    <w:rsid w:val="53163533"/>
    <w:rsid w:val="53181985"/>
    <w:rsid w:val="53274B28"/>
    <w:rsid w:val="535C0EA9"/>
    <w:rsid w:val="536562F0"/>
    <w:rsid w:val="537F1DE8"/>
    <w:rsid w:val="53876B42"/>
    <w:rsid w:val="53E43F94"/>
    <w:rsid w:val="53EC2A4F"/>
    <w:rsid w:val="540162FD"/>
    <w:rsid w:val="54016901"/>
    <w:rsid w:val="541E4FD7"/>
    <w:rsid w:val="542258CB"/>
    <w:rsid w:val="54333B92"/>
    <w:rsid w:val="5444354A"/>
    <w:rsid w:val="544D7D8B"/>
    <w:rsid w:val="545F7AE6"/>
    <w:rsid w:val="547A6B2A"/>
    <w:rsid w:val="54905ECA"/>
    <w:rsid w:val="54C51909"/>
    <w:rsid w:val="54D049E4"/>
    <w:rsid w:val="54F16968"/>
    <w:rsid w:val="54F75F49"/>
    <w:rsid w:val="551D6AF9"/>
    <w:rsid w:val="55376345"/>
    <w:rsid w:val="554D7917"/>
    <w:rsid w:val="556324F2"/>
    <w:rsid w:val="55A60ADC"/>
    <w:rsid w:val="55D164E9"/>
    <w:rsid w:val="55D857C5"/>
    <w:rsid w:val="56253A26"/>
    <w:rsid w:val="56257414"/>
    <w:rsid w:val="5638334C"/>
    <w:rsid w:val="5666031A"/>
    <w:rsid w:val="56725887"/>
    <w:rsid w:val="56734377"/>
    <w:rsid w:val="56780FF9"/>
    <w:rsid w:val="567A0BDF"/>
    <w:rsid w:val="56870578"/>
    <w:rsid w:val="568F259A"/>
    <w:rsid w:val="569241C0"/>
    <w:rsid w:val="56973027"/>
    <w:rsid w:val="56A1616C"/>
    <w:rsid w:val="56A33B67"/>
    <w:rsid w:val="56A40E03"/>
    <w:rsid w:val="56C45A8D"/>
    <w:rsid w:val="56E20A0E"/>
    <w:rsid w:val="57034731"/>
    <w:rsid w:val="5737516A"/>
    <w:rsid w:val="573941DB"/>
    <w:rsid w:val="57431AE0"/>
    <w:rsid w:val="57477AE4"/>
    <w:rsid w:val="576A2A02"/>
    <w:rsid w:val="57730A91"/>
    <w:rsid w:val="57A27BD5"/>
    <w:rsid w:val="57C762A2"/>
    <w:rsid w:val="57D42974"/>
    <w:rsid w:val="57DA52AD"/>
    <w:rsid w:val="57DE6F4C"/>
    <w:rsid w:val="58005114"/>
    <w:rsid w:val="5812512F"/>
    <w:rsid w:val="58207565"/>
    <w:rsid w:val="582272CD"/>
    <w:rsid w:val="58402143"/>
    <w:rsid w:val="588C140C"/>
    <w:rsid w:val="58A00649"/>
    <w:rsid w:val="58AA14AD"/>
    <w:rsid w:val="58B21650"/>
    <w:rsid w:val="58C00F3E"/>
    <w:rsid w:val="58C21630"/>
    <w:rsid w:val="58C919AA"/>
    <w:rsid w:val="58D72CB8"/>
    <w:rsid w:val="59051221"/>
    <w:rsid w:val="59103E6F"/>
    <w:rsid w:val="59373C72"/>
    <w:rsid w:val="5945207E"/>
    <w:rsid w:val="594C2225"/>
    <w:rsid w:val="595B4F2E"/>
    <w:rsid w:val="596620B1"/>
    <w:rsid w:val="596C42A4"/>
    <w:rsid w:val="596D221D"/>
    <w:rsid w:val="59A237B5"/>
    <w:rsid w:val="59A77712"/>
    <w:rsid w:val="59B02759"/>
    <w:rsid w:val="59D32AE1"/>
    <w:rsid w:val="5A144EA7"/>
    <w:rsid w:val="5A706348"/>
    <w:rsid w:val="5A72604D"/>
    <w:rsid w:val="5A743572"/>
    <w:rsid w:val="5A7F77CE"/>
    <w:rsid w:val="5AA20C09"/>
    <w:rsid w:val="5ABC5F71"/>
    <w:rsid w:val="5AC661A1"/>
    <w:rsid w:val="5AD41FF4"/>
    <w:rsid w:val="5AF81EC0"/>
    <w:rsid w:val="5AF8422D"/>
    <w:rsid w:val="5B0E4DAE"/>
    <w:rsid w:val="5B0E6862"/>
    <w:rsid w:val="5B2F49C7"/>
    <w:rsid w:val="5B390A46"/>
    <w:rsid w:val="5B58464F"/>
    <w:rsid w:val="5B8509D1"/>
    <w:rsid w:val="5B90297B"/>
    <w:rsid w:val="5BC70423"/>
    <w:rsid w:val="5BF154A0"/>
    <w:rsid w:val="5C076A71"/>
    <w:rsid w:val="5C11606C"/>
    <w:rsid w:val="5C3E4DAC"/>
    <w:rsid w:val="5C484871"/>
    <w:rsid w:val="5C4E0A2D"/>
    <w:rsid w:val="5C524815"/>
    <w:rsid w:val="5C64452B"/>
    <w:rsid w:val="5C7719CE"/>
    <w:rsid w:val="5C8E79BD"/>
    <w:rsid w:val="5C9407AC"/>
    <w:rsid w:val="5C981DBF"/>
    <w:rsid w:val="5CA60F7A"/>
    <w:rsid w:val="5CB443E5"/>
    <w:rsid w:val="5CE96177"/>
    <w:rsid w:val="5D23703E"/>
    <w:rsid w:val="5D2719C9"/>
    <w:rsid w:val="5D2773E7"/>
    <w:rsid w:val="5D285026"/>
    <w:rsid w:val="5D373386"/>
    <w:rsid w:val="5D5C0E3F"/>
    <w:rsid w:val="5D5D2953"/>
    <w:rsid w:val="5D5E619D"/>
    <w:rsid w:val="5D697358"/>
    <w:rsid w:val="5D747A99"/>
    <w:rsid w:val="5D826A79"/>
    <w:rsid w:val="5D9249ED"/>
    <w:rsid w:val="5DA1646B"/>
    <w:rsid w:val="5DB03139"/>
    <w:rsid w:val="5DC32A29"/>
    <w:rsid w:val="5DDB1F64"/>
    <w:rsid w:val="5DDC5DDB"/>
    <w:rsid w:val="5DE55498"/>
    <w:rsid w:val="5DF04FFA"/>
    <w:rsid w:val="5DF905DA"/>
    <w:rsid w:val="5E063C72"/>
    <w:rsid w:val="5E146BD8"/>
    <w:rsid w:val="5E19167C"/>
    <w:rsid w:val="5E2E51B3"/>
    <w:rsid w:val="5E3653EC"/>
    <w:rsid w:val="5E3C01D4"/>
    <w:rsid w:val="5E5166CA"/>
    <w:rsid w:val="5E6F443D"/>
    <w:rsid w:val="5E70354F"/>
    <w:rsid w:val="5E781EA8"/>
    <w:rsid w:val="5E802B0B"/>
    <w:rsid w:val="5E8C7523"/>
    <w:rsid w:val="5E94632E"/>
    <w:rsid w:val="5E9C2B92"/>
    <w:rsid w:val="5EA762EA"/>
    <w:rsid w:val="5EC837BF"/>
    <w:rsid w:val="5EC87275"/>
    <w:rsid w:val="5F111534"/>
    <w:rsid w:val="5F3A0F0C"/>
    <w:rsid w:val="5F5E606D"/>
    <w:rsid w:val="5F9A0CFC"/>
    <w:rsid w:val="5FA840C8"/>
    <w:rsid w:val="5FB20DDC"/>
    <w:rsid w:val="5FBC6FFC"/>
    <w:rsid w:val="5FD91B32"/>
    <w:rsid w:val="5FDE3D1C"/>
    <w:rsid w:val="5FE07D05"/>
    <w:rsid w:val="5FEB36B0"/>
    <w:rsid w:val="600037C3"/>
    <w:rsid w:val="60070235"/>
    <w:rsid w:val="600B76B1"/>
    <w:rsid w:val="600F0792"/>
    <w:rsid w:val="60117D06"/>
    <w:rsid w:val="60247960"/>
    <w:rsid w:val="60337FBD"/>
    <w:rsid w:val="604A33D1"/>
    <w:rsid w:val="60557909"/>
    <w:rsid w:val="60600E46"/>
    <w:rsid w:val="60885BF1"/>
    <w:rsid w:val="608A1A1F"/>
    <w:rsid w:val="608B596D"/>
    <w:rsid w:val="608E7CA1"/>
    <w:rsid w:val="60B20DDE"/>
    <w:rsid w:val="60B53DBD"/>
    <w:rsid w:val="60B86965"/>
    <w:rsid w:val="60C43183"/>
    <w:rsid w:val="60CF6017"/>
    <w:rsid w:val="60E84D86"/>
    <w:rsid w:val="60EC58A1"/>
    <w:rsid w:val="60F765D6"/>
    <w:rsid w:val="61194815"/>
    <w:rsid w:val="61273959"/>
    <w:rsid w:val="61402D8F"/>
    <w:rsid w:val="616D02E8"/>
    <w:rsid w:val="619B0A4D"/>
    <w:rsid w:val="619E6915"/>
    <w:rsid w:val="619F45F8"/>
    <w:rsid w:val="61BC5698"/>
    <w:rsid w:val="61C05E29"/>
    <w:rsid w:val="61C4413E"/>
    <w:rsid w:val="61D95419"/>
    <w:rsid w:val="61E17C31"/>
    <w:rsid w:val="61E220CA"/>
    <w:rsid w:val="620A3758"/>
    <w:rsid w:val="620B4DE2"/>
    <w:rsid w:val="620F48D2"/>
    <w:rsid w:val="621F3A28"/>
    <w:rsid w:val="622B10BD"/>
    <w:rsid w:val="622D4D58"/>
    <w:rsid w:val="623817CD"/>
    <w:rsid w:val="623D05EF"/>
    <w:rsid w:val="625671C6"/>
    <w:rsid w:val="626D5F1F"/>
    <w:rsid w:val="62774225"/>
    <w:rsid w:val="627E2DFB"/>
    <w:rsid w:val="628D5A05"/>
    <w:rsid w:val="629635F2"/>
    <w:rsid w:val="62A757FE"/>
    <w:rsid w:val="62B339E5"/>
    <w:rsid w:val="62B9713E"/>
    <w:rsid w:val="62BE3638"/>
    <w:rsid w:val="62DB156F"/>
    <w:rsid w:val="62E35C5C"/>
    <w:rsid w:val="62EA49F7"/>
    <w:rsid w:val="6308602C"/>
    <w:rsid w:val="630E06E5"/>
    <w:rsid w:val="63182D33"/>
    <w:rsid w:val="631B2082"/>
    <w:rsid w:val="63213C90"/>
    <w:rsid w:val="6324615B"/>
    <w:rsid w:val="63655BF1"/>
    <w:rsid w:val="6381414F"/>
    <w:rsid w:val="639869FA"/>
    <w:rsid w:val="63A03B11"/>
    <w:rsid w:val="63A6496D"/>
    <w:rsid w:val="63A83FEC"/>
    <w:rsid w:val="63D92053"/>
    <w:rsid w:val="63E37B79"/>
    <w:rsid w:val="63FA4C32"/>
    <w:rsid w:val="63FC1B88"/>
    <w:rsid w:val="63FF5094"/>
    <w:rsid w:val="64035403"/>
    <w:rsid w:val="64224BB1"/>
    <w:rsid w:val="642B1E03"/>
    <w:rsid w:val="64334D4A"/>
    <w:rsid w:val="644D4301"/>
    <w:rsid w:val="64524F4A"/>
    <w:rsid w:val="6477289B"/>
    <w:rsid w:val="649176C0"/>
    <w:rsid w:val="64987293"/>
    <w:rsid w:val="649B2A1E"/>
    <w:rsid w:val="649E57C1"/>
    <w:rsid w:val="64A11F98"/>
    <w:rsid w:val="64A641F4"/>
    <w:rsid w:val="64B0249D"/>
    <w:rsid w:val="64D179F6"/>
    <w:rsid w:val="64D442AC"/>
    <w:rsid w:val="64FD012C"/>
    <w:rsid w:val="650401CF"/>
    <w:rsid w:val="65040F88"/>
    <w:rsid w:val="65256ED5"/>
    <w:rsid w:val="653D52DC"/>
    <w:rsid w:val="655373D5"/>
    <w:rsid w:val="657A0FFC"/>
    <w:rsid w:val="6593581A"/>
    <w:rsid w:val="659F7D1B"/>
    <w:rsid w:val="65A300A1"/>
    <w:rsid w:val="65CE3AA1"/>
    <w:rsid w:val="65DB5C3D"/>
    <w:rsid w:val="65DC330D"/>
    <w:rsid w:val="65ED11DD"/>
    <w:rsid w:val="65F00576"/>
    <w:rsid w:val="65F22BB6"/>
    <w:rsid w:val="66126967"/>
    <w:rsid w:val="66383CCB"/>
    <w:rsid w:val="66774BB5"/>
    <w:rsid w:val="66780DEE"/>
    <w:rsid w:val="668E1E21"/>
    <w:rsid w:val="66926F8C"/>
    <w:rsid w:val="66966882"/>
    <w:rsid w:val="66A7157D"/>
    <w:rsid w:val="66B703DE"/>
    <w:rsid w:val="66CE3047"/>
    <w:rsid w:val="66D51A3C"/>
    <w:rsid w:val="66F269C9"/>
    <w:rsid w:val="67285BDC"/>
    <w:rsid w:val="673D5663"/>
    <w:rsid w:val="6779492F"/>
    <w:rsid w:val="67860BC1"/>
    <w:rsid w:val="67B36479"/>
    <w:rsid w:val="67C1521F"/>
    <w:rsid w:val="67C541F4"/>
    <w:rsid w:val="67D32BDC"/>
    <w:rsid w:val="67D41EE5"/>
    <w:rsid w:val="67E1461B"/>
    <w:rsid w:val="67FB2FC2"/>
    <w:rsid w:val="67FB3202"/>
    <w:rsid w:val="67FC180B"/>
    <w:rsid w:val="6838125F"/>
    <w:rsid w:val="684E7153"/>
    <w:rsid w:val="68572B2F"/>
    <w:rsid w:val="689070BF"/>
    <w:rsid w:val="68942469"/>
    <w:rsid w:val="68996F46"/>
    <w:rsid w:val="68A270B1"/>
    <w:rsid w:val="68D37C3F"/>
    <w:rsid w:val="68E63EB3"/>
    <w:rsid w:val="69180510"/>
    <w:rsid w:val="691D5888"/>
    <w:rsid w:val="693A2C01"/>
    <w:rsid w:val="695157D0"/>
    <w:rsid w:val="69522C18"/>
    <w:rsid w:val="69697A4F"/>
    <w:rsid w:val="6975567D"/>
    <w:rsid w:val="699D0A15"/>
    <w:rsid w:val="69A41F02"/>
    <w:rsid w:val="69A85914"/>
    <w:rsid w:val="69B54893"/>
    <w:rsid w:val="69BC180F"/>
    <w:rsid w:val="69CE2026"/>
    <w:rsid w:val="69D4612E"/>
    <w:rsid w:val="69DB0334"/>
    <w:rsid w:val="69F0666F"/>
    <w:rsid w:val="69FA018D"/>
    <w:rsid w:val="6A25465E"/>
    <w:rsid w:val="6A31115D"/>
    <w:rsid w:val="6A530131"/>
    <w:rsid w:val="6A572716"/>
    <w:rsid w:val="6A732B1A"/>
    <w:rsid w:val="6A87076D"/>
    <w:rsid w:val="6A9454E3"/>
    <w:rsid w:val="6A945F72"/>
    <w:rsid w:val="6AA3205B"/>
    <w:rsid w:val="6AA47B81"/>
    <w:rsid w:val="6ACF2D0F"/>
    <w:rsid w:val="6ADD27C8"/>
    <w:rsid w:val="6AFC23BD"/>
    <w:rsid w:val="6AFF188E"/>
    <w:rsid w:val="6B030F7C"/>
    <w:rsid w:val="6B1F5D43"/>
    <w:rsid w:val="6B287CCA"/>
    <w:rsid w:val="6B37191E"/>
    <w:rsid w:val="6B3724F2"/>
    <w:rsid w:val="6B3B6738"/>
    <w:rsid w:val="6B444F7E"/>
    <w:rsid w:val="6B4475B1"/>
    <w:rsid w:val="6B447D73"/>
    <w:rsid w:val="6B4D0219"/>
    <w:rsid w:val="6B607F4C"/>
    <w:rsid w:val="6B67752D"/>
    <w:rsid w:val="6B6F1752"/>
    <w:rsid w:val="6B756B33"/>
    <w:rsid w:val="6BA33D44"/>
    <w:rsid w:val="6BD129BE"/>
    <w:rsid w:val="6BDD77EF"/>
    <w:rsid w:val="6BF46467"/>
    <w:rsid w:val="6BFD6FB6"/>
    <w:rsid w:val="6C0134DD"/>
    <w:rsid w:val="6C3A4C18"/>
    <w:rsid w:val="6C4068D5"/>
    <w:rsid w:val="6C711CE5"/>
    <w:rsid w:val="6C8568B5"/>
    <w:rsid w:val="6C993E35"/>
    <w:rsid w:val="6CAB51F7"/>
    <w:rsid w:val="6CB00C5D"/>
    <w:rsid w:val="6CCB7647"/>
    <w:rsid w:val="6CD86BAF"/>
    <w:rsid w:val="6D0057D8"/>
    <w:rsid w:val="6D0441AB"/>
    <w:rsid w:val="6D481945"/>
    <w:rsid w:val="6D4D1149"/>
    <w:rsid w:val="6D4F4E10"/>
    <w:rsid w:val="6D524B22"/>
    <w:rsid w:val="6D6650F6"/>
    <w:rsid w:val="6D6D32A5"/>
    <w:rsid w:val="6D8F2922"/>
    <w:rsid w:val="6D914BEF"/>
    <w:rsid w:val="6D96704E"/>
    <w:rsid w:val="6D9D7A52"/>
    <w:rsid w:val="6DC75409"/>
    <w:rsid w:val="6DCB0439"/>
    <w:rsid w:val="6DFF1F7A"/>
    <w:rsid w:val="6E6A491D"/>
    <w:rsid w:val="6ECD14C3"/>
    <w:rsid w:val="6ED609B9"/>
    <w:rsid w:val="6EF06A3A"/>
    <w:rsid w:val="6F19466E"/>
    <w:rsid w:val="6F231086"/>
    <w:rsid w:val="6F2C1077"/>
    <w:rsid w:val="6F4412DE"/>
    <w:rsid w:val="6F4831D1"/>
    <w:rsid w:val="6F525DFE"/>
    <w:rsid w:val="6F6649B1"/>
    <w:rsid w:val="6FAD6CB0"/>
    <w:rsid w:val="6FB01FF6"/>
    <w:rsid w:val="6FB50908"/>
    <w:rsid w:val="6FDC5D2F"/>
    <w:rsid w:val="6FEC5DB0"/>
    <w:rsid w:val="6FFA5FC3"/>
    <w:rsid w:val="700E441B"/>
    <w:rsid w:val="702D3037"/>
    <w:rsid w:val="703379DD"/>
    <w:rsid w:val="705624B2"/>
    <w:rsid w:val="70774D12"/>
    <w:rsid w:val="70854008"/>
    <w:rsid w:val="70A00296"/>
    <w:rsid w:val="70AD21AE"/>
    <w:rsid w:val="70D07922"/>
    <w:rsid w:val="70D32F6E"/>
    <w:rsid w:val="70F21646"/>
    <w:rsid w:val="71170489"/>
    <w:rsid w:val="7134603E"/>
    <w:rsid w:val="71887EFB"/>
    <w:rsid w:val="71902C0D"/>
    <w:rsid w:val="71945132"/>
    <w:rsid w:val="71986BB2"/>
    <w:rsid w:val="719B293E"/>
    <w:rsid w:val="719D47F2"/>
    <w:rsid w:val="71E84DCD"/>
    <w:rsid w:val="722021E3"/>
    <w:rsid w:val="72330169"/>
    <w:rsid w:val="724203AC"/>
    <w:rsid w:val="72511D57"/>
    <w:rsid w:val="72525910"/>
    <w:rsid w:val="7272141E"/>
    <w:rsid w:val="72920575"/>
    <w:rsid w:val="729A51BF"/>
    <w:rsid w:val="72C267D6"/>
    <w:rsid w:val="72C31F67"/>
    <w:rsid w:val="72CF2367"/>
    <w:rsid w:val="73075151"/>
    <w:rsid w:val="730D7B4F"/>
    <w:rsid w:val="730F2443"/>
    <w:rsid w:val="73100A0F"/>
    <w:rsid w:val="73487C44"/>
    <w:rsid w:val="738A19B2"/>
    <w:rsid w:val="73906864"/>
    <w:rsid w:val="73986D48"/>
    <w:rsid w:val="73E3664B"/>
    <w:rsid w:val="74184199"/>
    <w:rsid w:val="74221866"/>
    <w:rsid w:val="74460C31"/>
    <w:rsid w:val="745948C9"/>
    <w:rsid w:val="74782083"/>
    <w:rsid w:val="74786307"/>
    <w:rsid w:val="74933140"/>
    <w:rsid w:val="74AE4A3E"/>
    <w:rsid w:val="74B36971"/>
    <w:rsid w:val="74F00783"/>
    <w:rsid w:val="74F21A8E"/>
    <w:rsid w:val="74F23FC5"/>
    <w:rsid w:val="75092D2E"/>
    <w:rsid w:val="750C7A2C"/>
    <w:rsid w:val="751F35C6"/>
    <w:rsid w:val="7521074C"/>
    <w:rsid w:val="752124FA"/>
    <w:rsid w:val="752673FA"/>
    <w:rsid w:val="753D14AD"/>
    <w:rsid w:val="75445278"/>
    <w:rsid w:val="75616D9B"/>
    <w:rsid w:val="756D2420"/>
    <w:rsid w:val="757A60AE"/>
    <w:rsid w:val="75842A89"/>
    <w:rsid w:val="75D33B60"/>
    <w:rsid w:val="75DA7D51"/>
    <w:rsid w:val="75EB0030"/>
    <w:rsid w:val="75FB2A78"/>
    <w:rsid w:val="7608635A"/>
    <w:rsid w:val="761E2EDE"/>
    <w:rsid w:val="76364EC8"/>
    <w:rsid w:val="764346F2"/>
    <w:rsid w:val="767A1884"/>
    <w:rsid w:val="767A70FF"/>
    <w:rsid w:val="7681376B"/>
    <w:rsid w:val="76CE66B2"/>
    <w:rsid w:val="76E7048B"/>
    <w:rsid w:val="76F679B7"/>
    <w:rsid w:val="771405C6"/>
    <w:rsid w:val="77186802"/>
    <w:rsid w:val="77244002"/>
    <w:rsid w:val="774626EC"/>
    <w:rsid w:val="7759121E"/>
    <w:rsid w:val="77844FC2"/>
    <w:rsid w:val="778C19C1"/>
    <w:rsid w:val="778D54AD"/>
    <w:rsid w:val="77BA4E88"/>
    <w:rsid w:val="77DE7388"/>
    <w:rsid w:val="77E617D9"/>
    <w:rsid w:val="77FF289B"/>
    <w:rsid w:val="78104AA8"/>
    <w:rsid w:val="78123276"/>
    <w:rsid w:val="781B6350"/>
    <w:rsid w:val="782A528E"/>
    <w:rsid w:val="784234F5"/>
    <w:rsid w:val="78606B54"/>
    <w:rsid w:val="78661D77"/>
    <w:rsid w:val="787542C9"/>
    <w:rsid w:val="787C4A52"/>
    <w:rsid w:val="787D1A38"/>
    <w:rsid w:val="78833D88"/>
    <w:rsid w:val="78970D25"/>
    <w:rsid w:val="78A14DF7"/>
    <w:rsid w:val="78C70562"/>
    <w:rsid w:val="78F148D9"/>
    <w:rsid w:val="7908482C"/>
    <w:rsid w:val="792279DB"/>
    <w:rsid w:val="7948489C"/>
    <w:rsid w:val="797C1AA1"/>
    <w:rsid w:val="79A731EA"/>
    <w:rsid w:val="79AB2C72"/>
    <w:rsid w:val="79B25E17"/>
    <w:rsid w:val="79FA5E1B"/>
    <w:rsid w:val="7A22179C"/>
    <w:rsid w:val="7A224071"/>
    <w:rsid w:val="7A2605B3"/>
    <w:rsid w:val="7A2E4173"/>
    <w:rsid w:val="7A6A2399"/>
    <w:rsid w:val="7A6F26A9"/>
    <w:rsid w:val="7A934CC7"/>
    <w:rsid w:val="7AAD65DE"/>
    <w:rsid w:val="7AAD7251"/>
    <w:rsid w:val="7AB53B21"/>
    <w:rsid w:val="7AB93CAD"/>
    <w:rsid w:val="7AC027B5"/>
    <w:rsid w:val="7ACC2F08"/>
    <w:rsid w:val="7AD43015"/>
    <w:rsid w:val="7AD43747"/>
    <w:rsid w:val="7AD718AD"/>
    <w:rsid w:val="7AD745BE"/>
    <w:rsid w:val="7ADD5745"/>
    <w:rsid w:val="7AFB7263"/>
    <w:rsid w:val="7B050F64"/>
    <w:rsid w:val="7B062FF2"/>
    <w:rsid w:val="7B4235E1"/>
    <w:rsid w:val="7B4771D3"/>
    <w:rsid w:val="7B4969DA"/>
    <w:rsid w:val="7B4B57FE"/>
    <w:rsid w:val="7B5F0CE7"/>
    <w:rsid w:val="7B6C7305"/>
    <w:rsid w:val="7BBA7BC4"/>
    <w:rsid w:val="7BF444AB"/>
    <w:rsid w:val="7BFE0356"/>
    <w:rsid w:val="7C050FEE"/>
    <w:rsid w:val="7C152DB6"/>
    <w:rsid w:val="7C1F696C"/>
    <w:rsid w:val="7C241FA4"/>
    <w:rsid w:val="7C270CE3"/>
    <w:rsid w:val="7C2F7F24"/>
    <w:rsid w:val="7C3513D5"/>
    <w:rsid w:val="7C4F6127"/>
    <w:rsid w:val="7C557027"/>
    <w:rsid w:val="7C5F4F28"/>
    <w:rsid w:val="7C705B15"/>
    <w:rsid w:val="7C743857"/>
    <w:rsid w:val="7C774202"/>
    <w:rsid w:val="7CF32D47"/>
    <w:rsid w:val="7CF47DC4"/>
    <w:rsid w:val="7D2D7E4F"/>
    <w:rsid w:val="7D3D1C6F"/>
    <w:rsid w:val="7D444573"/>
    <w:rsid w:val="7D7D2444"/>
    <w:rsid w:val="7DC17AA5"/>
    <w:rsid w:val="7DC225BC"/>
    <w:rsid w:val="7DD947CA"/>
    <w:rsid w:val="7DD949C1"/>
    <w:rsid w:val="7E3F400C"/>
    <w:rsid w:val="7E3F5C67"/>
    <w:rsid w:val="7E485A8B"/>
    <w:rsid w:val="7E5B22A5"/>
    <w:rsid w:val="7E710432"/>
    <w:rsid w:val="7E723DC7"/>
    <w:rsid w:val="7E784FFE"/>
    <w:rsid w:val="7E985A2E"/>
    <w:rsid w:val="7EAF56A8"/>
    <w:rsid w:val="7EBF2EFE"/>
    <w:rsid w:val="7EC7030B"/>
    <w:rsid w:val="7ED26AAB"/>
    <w:rsid w:val="7F0D36A8"/>
    <w:rsid w:val="7F0D6F9B"/>
    <w:rsid w:val="7F0F1F2B"/>
    <w:rsid w:val="7F17671C"/>
    <w:rsid w:val="7F267E5E"/>
    <w:rsid w:val="7F315A30"/>
    <w:rsid w:val="7F511034"/>
    <w:rsid w:val="7F531E4A"/>
    <w:rsid w:val="7F5C1736"/>
    <w:rsid w:val="7F6F772F"/>
    <w:rsid w:val="7FA8044F"/>
    <w:rsid w:val="7FB12B06"/>
    <w:rsid w:val="7FD12D6F"/>
    <w:rsid w:val="7FD840FD"/>
    <w:rsid w:val="7FF30DF3"/>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qFormat/>
    <w:uiPriority w:val="0"/>
    <w:pPr>
      <w:keepNext/>
      <w:jc w:val="center"/>
      <w:outlineLvl w:val="0"/>
    </w:pPr>
    <w:rPr>
      <w:b/>
      <w:bCs/>
      <w:kern w:val="0"/>
      <w:sz w:val="24"/>
      <w:szCs w:val="20"/>
    </w:rPr>
  </w:style>
  <w:style w:type="paragraph" w:styleId="4">
    <w:name w:val="heading 2"/>
    <w:basedOn w:val="1"/>
    <w:next w:val="1"/>
    <w:link w:val="66"/>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7"/>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8"/>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7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71"/>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3"/>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5"/>
    <w:qFormat/>
    <w:uiPriority w:val="0"/>
    <w:pPr>
      <w:widowControl/>
      <w:ind w:firstLine="420"/>
      <w:jc w:val="left"/>
    </w:pPr>
    <w:rPr>
      <w:kern w:val="0"/>
      <w:sz w:val="20"/>
      <w:szCs w:val="20"/>
    </w:rPr>
  </w:style>
  <w:style w:type="paragraph" w:styleId="14">
    <w:name w:val="Document Map"/>
    <w:basedOn w:val="1"/>
    <w:link w:val="129"/>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11"/>
    <w:unhideWhenUsed/>
    <w:qFormat/>
    <w:uiPriority w:val="99"/>
    <w:pPr>
      <w:jc w:val="left"/>
    </w:pPr>
  </w:style>
  <w:style w:type="paragraph" w:styleId="17">
    <w:name w:val="Salutation"/>
    <w:basedOn w:val="1"/>
    <w:next w:val="1"/>
    <w:link w:val="116"/>
    <w:qFormat/>
    <w:uiPriority w:val="0"/>
    <w:rPr>
      <w:rFonts w:ascii="仿宋_GB2312" w:eastAsia="仿宋_GB2312"/>
      <w:sz w:val="24"/>
    </w:rPr>
  </w:style>
  <w:style w:type="paragraph" w:styleId="18">
    <w:name w:val="Body Text 3"/>
    <w:basedOn w:val="1"/>
    <w:link w:val="150"/>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119"/>
    <w:qFormat/>
    <w:uiPriority w:val="99"/>
    <w:pPr>
      <w:spacing w:after="120"/>
    </w:pPr>
  </w:style>
  <w:style w:type="paragraph" w:styleId="20">
    <w:name w:val="Body Text Indent"/>
    <w:basedOn w:val="1"/>
    <w:link w:val="99"/>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8"/>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41"/>
    <w:qFormat/>
    <w:uiPriority w:val="0"/>
    <w:rPr>
      <w:rFonts w:ascii="Calibri" w:hAnsi="Calibri" w:cs="黑体"/>
      <w:sz w:val="24"/>
      <w:szCs w:val="22"/>
    </w:rPr>
  </w:style>
  <w:style w:type="paragraph" w:styleId="28">
    <w:name w:val="Body Text Indent 2"/>
    <w:basedOn w:val="1"/>
    <w:link w:val="103"/>
    <w:qFormat/>
    <w:uiPriority w:val="0"/>
    <w:pPr>
      <w:spacing w:after="120" w:line="480" w:lineRule="auto"/>
      <w:ind w:left="420" w:leftChars="200"/>
    </w:pPr>
  </w:style>
  <w:style w:type="paragraph" w:styleId="29">
    <w:name w:val="Balloon Text"/>
    <w:basedOn w:val="1"/>
    <w:link w:val="98"/>
    <w:qFormat/>
    <w:uiPriority w:val="0"/>
    <w:rPr>
      <w:rFonts w:ascii="Calibri" w:hAnsi="Calibri" w:cs="黑体"/>
      <w:sz w:val="18"/>
      <w:szCs w:val="18"/>
    </w:rPr>
  </w:style>
  <w:style w:type="paragraph" w:styleId="30">
    <w:name w:val="footer"/>
    <w:basedOn w:val="1"/>
    <w:link w:val="64"/>
    <w:unhideWhenUsed/>
    <w:qFormat/>
    <w:uiPriority w:val="99"/>
    <w:pPr>
      <w:tabs>
        <w:tab w:val="center" w:pos="4153"/>
        <w:tab w:val="right" w:pos="8306"/>
      </w:tabs>
      <w:snapToGrid w:val="0"/>
      <w:jc w:val="left"/>
    </w:pPr>
    <w:rPr>
      <w:sz w:val="18"/>
      <w:szCs w:val="18"/>
    </w:rPr>
  </w:style>
  <w:style w:type="paragraph" w:styleId="31">
    <w:name w:val="header"/>
    <w:basedOn w:val="1"/>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7"/>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6"/>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4"/>
    <w:qFormat/>
    <w:uiPriority w:val="0"/>
    <w:pPr>
      <w:spacing w:after="120" w:line="480" w:lineRule="auto"/>
    </w:pPr>
  </w:style>
  <w:style w:type="paragraph" w:styleId="40">
    <w:name w:val="HTML Preformatted"/>
    <w:basedOn w:val="1"/>
    <w:link w:val="1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2"/>
    <w:qFormat/>
    <w:uiPriority w:val="0"/>
    <w:pPr>
      <w:spacing w:before="240" w:after="60"/>
      <w:jc w:val="center"/>
      <w:outlineLvl w:val="0"/>
    </w:pPr>
    <w:rPr>
      <w:rFonts w:ascii="Cambria" w:hAnsi="Cambria"/>
      <w:b/>
      <w:sz w:val="32"/>
    </w:rPr>
  </w:style>
  <w:style w:type="paragraph" w:styleId="44">
    <w:name w:val="annotation subject"/>
    <w:basedOn w:val="16"/>
    <w:next w:val="1"/>
    <w:link w:val="88"/>
    <w:qFormat/>
    <w:uiPriority w:val="0"/>
    <w:rPr>
      <w:rFonts w:ascii="Calibri" w:hAnsi="Calibri" w:cs="黑体"/>
      <w:b/>
      <w:bCs/>
    </w:rPr>
  </w:style>
  <w:style w:type="paragraph" w:styleId="45">
    <w:name w:val="Body Text First Indent"/>
    <w:basedOn w:val="19"/>
    <w:link w:val="177"/>
    <w:unhideWhenUsed/>
    <w:qFormat/>
    <w:uiPriority w:val="0"/>
    <w:pPr>
      <w:spacing w:line="500" w:lineRule="exact"/>
      <w:ind w:firstLine="420" w:firstLineChars="200"/>
    </w:pPr>
  </w:style>
  <w:style w:type="paragraph" w:styleId="46">
    <w:name w:val="Body Text First Indent 2"/>
    <w:basedOn w:val="20"/>
    <w:qFormat/>
    <w:uiPriority w:val="6"/>
    <w:pPr>
      <w:ind w:firstLine="420"/>
      <w:jc w:val="left"/>
    </w:pPr>
    <w:rPr>
      <w:rFonts w:cs="Calibri"/>
      <w:kern w:val="0"/>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basedOn w:val="49"/>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paragraph" w:customStyle="1" w:styleId="62">
    <w:name w:val="正文首行缩进1"/>
    <w:basedOn w:val="1"/>
    <w:qFormat/>
    <w:uiPriority w:val="99"/>
    <w:pPr>
      <w:spacing w:after="120"/>
      <w:ind w:firstLine="420" w:firstLineChars="100"/>
    </w:pPr>
  </w:style>
  <w:style w:type="character" w:customStyle="1" w:styleId="63">
    <w:name w:val="页眉 字符"/>
    <w:basedOn w:val="49"/>
    <w:link w:val="31"/>
    <w:qFormat/>
    <w:uiPriority w:val="99"/>
    <w:rPr>
      <w:sz w:val="18"/>
      <w:szCs w:val="18"/>
    </w:rPr>
  </w:style>
  <w:style w:type="character" w:customStyle="1" w:styleId="64">
    <w:name w:val="页脚 字符"/>
    <w:basedOn w:val="49"/>
    <w:link w:val="30"/>
    <w:qFormat/>
    <w:uiPriority w:val="99"/>
    <w:rPr>
      <w:sz w:val="18"/>
      <w:szCs w:val="18"/>
    </w:rPr>
  </w:style>
  <w:style w:type="character" w:customStyle="1" w:styleId="65">
    <w:name w:val="标题 1 字符"/>
    <w:basedOn w:val="49"/>
    <w:link w:val="3"/>
    <w:qFormat/>
    <w:uiPriority w:val="0"/>
    <w:rPr>
      <w:rFonts w:ascii="Times New Roman" w:hAnsi="Times New Roman" w:eastAsia="宋体" w:cs="Times New Roman"/>
      <w:b/>
      <w:bCs/>
      <w:kern w:val="0"/>
      <w:sz w:val="24"/>
      <w:szCs w:val="20"/>
    </w:rPr>
  </w:style>
  <w:style w:type="character" w:customStyle="1" w:styleId="66">
    <w:name w:val="标题 2 字符"/>
    <w:basedOn w:val="49"/>
    <w:link w:val="4"/>
    <w:qFormat/>
    <w:uiPriority w:val="0"/>
    <w:rPr>
      <w:rFonts w:ascii="Arial" w:hAnsi="Arial" w:eastAsia="宋体" w:cs="Times New Roman"/>
      <w:b/>
      <w:bCs/>
      <w:kern w:val="0"/>
      <w:sz w:val="24"/>
      <w:szCs w:val="32"/>
    </w:rPr>
  </w:style>
  <w:style w:type="character" w:customStyle="1" w:styleId="67">
    <w:name w:val="标题 3 字符"/>
    <w:basedOn w:val="49"/>
    <w:link w:val="5"/>
    <w:qFormat/>
    <w:uiPriority w:val="0"/>
    <w:rPr>
      <w:rFonts w:ascii="Times New Roman" w:hAnsi="Times New Roman" w:eastAsia="宋体" w:cs="Times New Roman"/>
      <w:b/>
      <w:bCs/>
      <w:kern w:val="0"/>
      <w:sz w:val="32"/>
      <w:szCs w:val="32"/>
    </w:rPr>
  </w:style>
  <w:style w:type="character" w:customStyle="1" w:styleId="68">
    <w:name w:val="标题 4 字符"/>
    <w:basedOn w:val="49"/>
    <w:link w:val="6"/>
    <w:qFormat/>
    <w:uiPriority w:val="0"/>
    <w:rPr>
      <w:rFonts w:ascii="Arial" w:hAnsi="Arial" w:eastAsia="黑体" w:cs="Times New Roman"/>
      <w:b/>
      <w:bCs/>
      <w:kern w:val="0"/>
      <w:sz w:val="28"/>
      <w:szCs w:val="28"/>
    </w:rPr>
  </w:style>
  <w:style w:type="character" w:customStyle="1" w:styleId="69">
    <w:name w:val="标题 5 字符"/>
    <w:basedOn w:val="49"/>
    <w:link w:val="7"/>
    <w:qFormat/>
    <w:uiPriority w:val="0"/>
    <w:rPr>
      <w:rFonts w:ascii="Times New Roman" w:hAnsi="Times New Roman" w:eastAsia="宋体" w:cs="Times New Roman"/>
      <w:b/>
      <w:bCs/>
      <w:kern w:val="0"/>
      <w:sz w:val="28"/>
      <w:szCs w:val="28"/>
    </w:rPr>
  </w:style>
  <w:style w:type="character" w:customStyle="1" w:styleId="70">
    <w:name w:val="标题 6 字符"/>
    <w:basedOn w:val="49"/>
    <w:link w:val="8"/>
    <w:qFormat/>
    <w:uiPriority w:val="0"/>
    <w:rPr>
      <w:rFonts w:ascii="Arial" w:hAnsi="Arial" w:eastAsia="黑体" w:cs="Times New Roman"/>
      <w:b/>
      <w:bCs/>
      <w:kern w:val="0"/>
      <w:sz w:val="24"/>
      <w:szCs w:val="24"/>
    </w:rPr>
  </w:style>
  <w:style w:type="character" w:customStyle="1" w:styleId="71">
    <w:name w:val="标题 7 字符"/>
    <w:basedOn w:val="49"/>
    <w:link w:val="9"/>
    <w:qFormat/>
    <w:uiPriority w:val="0"/>
    <w:rPr>
      <w:rFonts w:ascii="Times New Roman" w:hAnsi="Times New Roman" w:eastAsia="宋体" w:cs="Times New Roman"/>
      <w:b/>
      <w:bCs/>
      <w:kern w:val="0"/>
      <w:sz w:val="24"/>
      <w:szCs w:val="24"/>
    </w:rPr>
  </w:style>
  <w:style w:type="character" w:customStyle="1" w:styleId="72">
    <w:name w:val="标题 8 字符"/>
    <w:basedOn w:val="49"/>
    <w:link w:val="10"/>
    <w:qFormat/>
    <w:uiPriority w:val="0"/>
    <w:rPr>
      <w:rFonts w:ascii="Arial" w:hAnsi="Arial" w:eastAsia="黑体" w:cs="Times New Roman"/>
      <w:kern w:val="0"/>
      <w:sz w:val="24"/>
      <w:szCs w:val="24"/>
    </w:rPr>
  </w:style>
  <w:style w:type="character" w:customStyle="1" w:styleId="73">
    <w:name w:val="标题 9 字符"/>
    <w:basedOn w:val="49"/>
    <w:link w:val="11"/>
    <w:qFormat/>
    <w:uiPriority w:val="0"/>
    <w:rPr>
      <w:rFonts w:ascii="Arial" w:hAnsi="Arial" w:eastAsia="黑体" w:cs="Times New Roman"/>
      <w:kern w:val="0"/>
      <w:sz w:val="20"/>
      <w:szCs w:val="21"/>
    </w:rPr>
  </w:style>
  <w:style w:type="character" w:customStyle="1" w:styleId="74">
    <w:name w:val="正文文本 2 字符"/>
    <w:basedOn w:val="49"/>
    <w:link w:val="39"/>
    <w:qFormat/>
    <w:uiPriority w:val="0"/>
    <w:rPr>
      <w:rFonts w:ascii="Times New Roman" w:hAnsi="Times New Roman" w:eastAsia="宋体" w:cs="Times New Roman"/>
      <w:szCs w:val="24"/>
    </w:rPr>
  </w:style>
  <w:style w:type="character" w:customStyle="1" w:styleId="75">
    <w:name w:val="Font Style104"/>
    <w:unhideWhenUsed/>
    <w:qFormat/>
    <w:uiPriority w:val="0"/>
    <w:rPr>
      <w:rFonts w:hint="eastAsia" w:ascii="宋体" w:hAnsi="宋体" w:eastAsia="宋体"/>
      <w:spacing w:val="30"/>
      <w:sz w:val="18"/>
    </w:rPr>
  </w:style>
  <w:style w:type="character" w:customStyle="1" w:styleId="76">
    <w:name w:val="Font Style128"/>
    <w:unhideWhenUsed/>
    <w:qFormat/>
    <w:uiPriority w:val="0"/>
    <w:rPr>
      <w:rFonts w:hint="eastAsia" w:ascii="Times New Roman" w:hAnsi="Times New Roman" w:eastAsia="Times New Roman"/>
      <w:sz w:val="16"/>
    </w:rPr>
  </w:style>
  <w:style w:type="character" w:customStyle="1" w:styleId="77">
    <w:name w:val="页脚 Char1"/>
    <w:qFormat/>
    <w:uiPriority w:val="0"/>
    <w:rPr>
      <w:rFonts w:eastAsia="宋体"/>
      <w:kern w:val="2"/>
      <w:sz w:val="18"/>
      <w:szCs w:val="18"/>
      <w:lang w:val="en-US" w:eastAsia="zh-CN" w:bidi="ar-SA"/>
    </w:rPr>
  </w:style>
  <w:style w:type="character" w:customStyle="1" w:styleId="78">
    <w:name w:val="标题 4 Char"/>
    <w:basedOn w:val="49"/>
    <w:qFormat/>
    <w:uiPriority w:val="0"/>
    <w:rPr>
      <w:rFonts w:ascii="Cambria" w:hAnsi="Cambria" w:eastAsia="宋体" w:cs="Times New Roman"/>
      <w:b/>
      <w:bCs/>
      <w:sz w:val="28"/>
      <w:szCs w:val="28"/>
    </w:rPr>
  </w:style>
  <w:style w:type="character" w:customStyle="1" w:styleId="79">
    <w:name w:val="日期 Char"/>
    <w:basedOn w:val="49"/>
    <w:qFormat/>
    <w:uiPriority w:val="0"/>
    <w:rPr>
      <w:rFonts w:ascii="Times New Roman" w:hAnsi="Times New Roman" w:eastAsia="宋体" w:cs="Times New Roman"/>
      <w:szCs w:val="24"/>
    </w:rPr>
  </w:style>
  <w:style w:type="character" w:customStyle="1" w:styleId="80">
    <w:name w:val="Font Style123"/>
    <w:unhideWhenUsed/>
    <w:qFormat/>
    <w:uiPriority w:val="0"/>
    <w:rPr>
      <w:rFonts w:hint="eastAsia" w:ascii="宋体" w:hAnsi="宋体" w:eastAsia="宋体"/>
      <w:b/>
      <w:sz w:val="32"/>
    </w:rPr>
  </w:style>
  <w:style w:type="character" w:customStyle="1" w:styleId="81">
    <w:name w:val="bds_nopic2"/>
    <w:qFormat/>
    <w:uiPriority w:val="0"/>
    <w:rPr>
      <w:rFonts w:ascii="Times New Roman" w:hAnsi="Times New Roman" w:eastAsia="宋体"/>
    </w:rPr>
  </w:style>
  <w:style w:type="character" w:customStyle="1" w:styleId="82">
    <w:name w:val="lemmatitleh12"/>
    <w:qFormat/>
    <w:uiPriority w:val="0"/>
    <w:rPr>
      <w:rFonts w:ascii="Times New Roman" w:hAnsi="Times New Roman" w:eastAsia="宋体"/>
    </w:rPr>
  </w:style>
  <w:style w:type="character" w:customStyle="1" w:styleId="83">
    <w:name w:val="Char Char13"/>
    <w:qFormat/>
    <w:uiPriority w:val="0"/>
    <w:rPr>
      <w:rFonts w:eastAsia="宋体"/>
      <w:b/>
      <w:bCs/>
      <w:kern w:val="2"/>
      <w:sz w:val="24"/>
      <w:lang w:val="en-US" w:eastAsia="zh-CN" w:bidi="ar-SA"/>
    </w:rPr>
  </w:style>
  <w:style w:type="character" w:customStyle="1" w:styleId="84">
    <w:name w:val="Font Style94"/>
    <w:unhideWhenUsed/>
    <w:qFormat/>
    <w:uiPriority w:val="0"/>
    <w:rPr>
      <w:rFonts w:hint="eastAsia" w:ascii="Times New Roman" w:hAnsi="Times New Roman" w:eastAsia="Times New Roman"/>
      <w:sz w:val="28"/>
    </w:rPr>
  </w:style>
  <w:style w:type="character" w:customStyle="1" w:styleId="85">
    <w:name w:val="Font Style125"/>
    <w:unhideWhenUsed/>
    <w:qFormat/>
    <w:uiPriority w:val="0"/>
    <w:rPr>
      <w:rFonts w:hint="eastAsia" w:ascii="宋体" w:hAnsi="宋体" w:eastAsia="宋体"/>
      <w:b/>
      <w:sz w:val="26"/>
    </w:rPr>
  </w:style>
  <w:style w:type="character" w:customStyle="1" w:styleId="86">
    <w:name w:val="Font Style133"/>
    <w:unhideWhenUsed/>
    <w:qFormat/>
    <w:uiPriority w:val="0"/>
    <w:rPr>
      <w:rFonts w:hint="eastAsia" w:ascii="宋体" w:hAnsi="宋体" w:eastAsia="宋体"/>
      <w:spacing w:val="30"/>
      <w:sz w:val="24"/>
    </w:rPr>
  </w:style>
  <w:style w:type="character" w:customStyle="1" w:styleId="87">
    <w:name w:val="polysemyred"/>
    <w:qFormat/>
    <w:uiPriority w:val="0"/>
    <w:rPr>
      <w:rFonts w:ascii="Times New Roman" w:hAnsi="Times New Roman" w:eastAsia="宋体"/>
      <w:color w:val="FF6666"/>
      <w:sz w:val="18"/>
      <w:szCs w:val="18"/>
    </w:rPr>
  </w:style>
  <w:style w:type="character" w:customStyle="1" w:styleId="88">
    <w:name w:val="批注主题 字符"/>
    <w:link w:val="44"/>
    <w:qFormat/>
    <w:uiPriority w:val="0"/>
    <w:rPr>
      <w:rFonts w:ascii="Calibri" w:hAnsi="Calibri" w:eastAsia="宋体" w:cs="黑体"/>
      <w:b/>
      <w:bCs/>
      <w:szCs w:val="24"/>
    </w:rPr>
  </w:style>
  <w:style w:type="character" w:customStyle="1" w:styleId="89">
    <w:name w:val="p0 Char"/>
    <w:link w:val="90"/>
    <w:qFormat/>
    <w:uiPriority w:val="0"/>
    <w:rPr>
      <w:rFonts w:ascii="Calibri" w:hAnsi="Calibri" w:eastAsia="宋体" w:cs="黑体"/>
      <w:szCs w:val="21"/>
    </w:rPr>
  </w:style>
  <w:style w:type="paragraph" w:customStyle="1" w:styleId="90">
    <w:name w:val="p0"/>
    <w:basedOn w:val="1"/>
    <w:link w:val="89"/>
    <w:qFormat/>
    <w:uiPriority w:val="0"/>
    <w:pPr>
      <w:widowControl/>
    </w:pPr>
    <w:rPr>
      <w:rFonts w:ascii="Calibri" w:hAnsi="Calibri" w:cs="黑体"/>
      <w:szCs w:val="21"/>
    </w:rPr>
  </w:style>
  <w:style w:type="character" w:customStyle="1" w:styleId="91">
    <w:name w:val="Char Char12"/>
    <w:qFormat/>
    <w:uiPriority w:val="0"/>
    <w:rPr>
      <w:rFonts w:ascii="Arial" w:hAnsi="Arial" w:eastAsia="黑体"/>
      <w:b/>
      <w:bCs/>
      <w:kern w:val="2"/>
      <w:sz w:val="28"/>
      <w:szCs w:val="28"/>
      <w:lang w:val="en-US" w:eastAsia="zh-CN" w:bidi="ar-SA"/>
    </w:rPr>
  </w:style>
  <w:style w:type="character" w:customStyle="1" w:styleId="92">
    <w:name w:val="标题 4 Char Char"/>
    <w:qFormat/>
    <w:uiPriority w:val="0"/>
    <w:rPr>
      <w:rFonts w:ascii="Arial" w:hAnsi="Arial" w:eastAsia="宋体"/>
      <w:b/>
      <w:bCs/>
      <w:kern w:val="2"/>
      <w:sz w:val="21"/>
      <w:szCs w:val="28"/>
      <w:lang w:val="en-US" w:eastAsia="zh-CN" w:bidi="ar-SA"/>
    </w:rPr>
  </w:style>
  <w:style w:type="character" w:customStyle="1" w:styleId="93">
    <w:name w:val="font11"/>
    <w:basedOn w:val="49"/>
    <w:qFormat/>
    <w:uiPriority w:val="0"/>
    <w:rPr>
      <w:rFonts w:hint="eastAsia" w:ascii="宋体" w:hAnsi="宋体" w:eastAsia="宋体" w:cs="宋体"/>
      <w:color w:val="000000"/>
      <w:sz w:val="18"/>
      <w:szCs w:val="18"/>
      <w:u w:val="none"/>
    </w:rPr>
  </w:style>
  <w:style w:type="character" w:customStyle="1" w:styleId="94">
    <w:name w:val="font01"/>
    <w:basedOn w:val="49"/>
    <w:qFormat/>
    <w:uiPriority w:val="0"/>
    <w:rPr>
      <w:rFonts w:hint="eastAsia" w:ascii="宋体" w:hAnsi="宋体" w:eastAsia="宋体" w:cs="宋体"/>
      <w:color w:val="000000"/>
      <w:sz w:val="22"/>
      <w:szCs w:val="22"/>
      <w:u w:val="single"/>
    </w:rPr>
  </w:style>
  <w:style w:type="character" w:customStyle="1" w:styleId="95">
    <w:name w:val="sidecatalog-dot1"/>
    <w:qFormat/>
    <w:uiPriority w:val="0"/>
    <w:rPr>
      <w:rFonts w:ascii="Times New Roman" w:hAnsi="Times New Roman" w:eastAsia="宋体"/>
    </w:rPr>
  </w:style>
  <w:style w:type="character" w:customStyle="1" w:styleId="96">
    <w:name w:val="Font Style124"/>
    <w:unhideWhenUsed/>
    <w:qFormat/>
    <w:uiPriority w:val="0"/>
    <w:rPr>
      <w:rFonts w:hint="eastAsia" w:ascii="宋体" w:hAnsi="宋体" w:eastAsia="宋体"/>
      <w:spacing w:val="30"/>
      <w:sz w:val="24"/>
    </w:rPr>
  </w:style>
  <w:style w:type="character" w:customStyle="1" w:styleId="97">
    <w:name w:val="批注框文本 Char"/>
    <w:basedOn w:val="49"/>
    <w:qFormat/>
    <w:uiPriority w:val="0"/>
    <w:rPr>
      <w:rFonts w:ascii="Times New Roman" w:hAnsi="Times New Roman" w:eastAsia="宋体" w:cs="Times New Roman"/>
      <w:sz w:val="18"/>
      <w:szCs w:val="18"/>
    </w:rPr>
  </w:style>
  <w:style w:type="character" w:customStyle="1" w:styleId="98">
    <w:name w:val="批注框文本 字符"/>
    <w:link w:val="29"/>
    <w:qFormat/>
    <w:locked/>
    <w:uiPriority w:val="0"/>
    <w:rPr>
      <w:rFonts w:ascii="Calibri" w:hAnsi="Calibri" w:eastAsia="宋体" w:cs="黑体"/>
      <w:sz w:val="18"/>
      <w:szCs w:val="18"/>
    </w:rPr>
  </w:style>
  <w:style w:type="character" w:customStyle="1" w:styleId="99">
    <w:name w:val="正文文本缩进 字符"/>
    <w:basedOn w:val="49"/>
    <w:link w:val="20"/>
    <w:qFormat/>
    <w:uiPriority w:val="0"/>
    <w:rPr>
      <w:rFonts w:ascii="Calibri" w:hAnsi="Calibri" w:eastAsia="宋体" w:cs="黑体"/>
      <w:szCs w:val="24"/>
    </w:rPr>
  </w:style>
  <w:style w:type="character" w:customStyle="1" w:styleId="100">
    <w:name w:val="bds_more9"/>
    <w:qFormat/>
    <w:uiPriority w:val="0"/>
    <w:rPr>
      <w:rFonts w:ascii="Times New Roman" w:hAnsi="Times New Roman" w:eastAsia="宋体"/>
    </w:rPr>
  </w:style>
  <w:style w:type="character" w:customStyle="1" w:styleId="101">
    <w:name w:val="Char Char17"/>
    <w:qFormat/>
    <w:uiPriority w:val="0"/>
    <w:rPr>
      <w:rFonts w:ascii="宋体" w:hAnsi="Times New Roman" w:eastAsia="宋体"/>
      <w:b/>
      <w:sz w:val="28"/>
      <w:lang w:val="en-US" w:eastAsia="zh-CN" w:bidi="ar-SA"/>
    </w:rPr>
  </w:style>
  <w:style w:type="character" w:customStyle="1" w:styleId="102">
    <w:name w:val="标题 字符"/>
    <w:basedOn w:val="49"/>
    <w:link w:val="43"/>
    <w:qFormat/>
    <w:uiPriority w:val="0"/>
    <w:rPr>
      <w:rFonts w:ascii="Cambria" w:hAnsi="Cambria" w:eastAsia="宋体" w:cs="Times New Roman"/>
      <w:b/>
      <w:sz w:val="32"/>
      <w:szCs w:val="24"/>
    </w:rPr>
  </w:style>
  <w:style w:type="character" w:customStyle="1" w:styleId="103">
    <w:name w:val="正文文本缩进 2 字符"/>
    <w:basedOn w:val="49"/>
    <w:link w:val="28"/>
    <w:qFormat/>
    <w:uiPriority w:val="0"/>
    <w:rPr>
      <w:rFonts w:ascii="Times New Roman" w:hAnsi="Times New Roman" w:eastAsia="宋体" w:cs="Times New Roman"/>
      <w:szCs w:val="24"/>
    </w:rPr>
  </w:style>
  <w:style w:type="character" w:customStyle="1" w:styleId="104">
    <w:name w:val="Font Style105"/>
    <w:unhideWhenUsed/>
    <w:qFormat/>
    <w:uiPriority w:val="0"/>
    <w:rPr>
      <w:rFonts w:hint="eastAsia" w:ascii="Times New Roman" w:hAnsi="Times New Roman" w:eastAsia="Times New Roman"/>
      <w:w w:val="60"/>
      <w:sz w:val="26"/>
    </w:rPr>
  </w:style>
  <w:style w:type="character" w:customStyle="1" w:styleId="105">
    <w:name w:val="标题 6 Char"/>
    <w:basedOn w:val="49"/>
    <w:qFormat/>
    <w:uiPriority w:val="0"/>
    <w:rPr>
      <w:rFonts w:ascii="Cambria" w:hAnsi="Cambria" w:eastAsia="宋体" w:cs="Times New Roman"/>
      <w:b/>
      <w:bCs/>
      <w:sz w:val="24"/>
      <w:szCs w:val="24"/>
    </w:rPr>
  </w:style>
  <w:style w:type="character" w:customStyle="1" w:styleId="106">
    <w:name w:val="morelink-item"/>
    <w:qFormat/>
    <w:uiPriority w:val="0"/>
    <w:rPr>
      <w:rFonts w:ascii="Times New Roman" w:hAnsi="Times New Roman" w:eastAsia="宋体"/>
    </w:rPr>
  </w:style>
  <w:style w:type="character" w:customStyle="1" w:styleId="107">
    <w:name w:val="bds_more7"/>
    <w:qFormat/>
    <w:uiPriority w:val="0"/>
    <w:rPr>
      <w:rFonts w:ascii="Times New Roman" w:hAnsi="Times New Roman" w:eastAsia="宋体"/>
    </w:rPr>
  </w:style>
  <w:style w:type="character" w:customStyle="1" w:styleId="108">
    <w:name w:val="纯文本 字符"/>
    <w:basedOn w:val="49"/>
    <w:link w:val="25"/>
    <w:qFormat/>
    <w:uiPriority w:val="0"/>
    <w:rPr>
      <w:rFonts w:ascii="宋体" w:hAnsi="Courier New" w:eastAsia="宋体" w:cs="Courier New"/>
      <w:szCs w:val="21"/>
    </w:rPr>
  </w:style>
  <w:style w:type="character" w:customStyle="1" w:styleId="109">
    <w:name w:val="Char Char16"/>
    <w:qFormat/>
    <w:uiPriority w:val="0"/>
    <w:rPr>
      <w:rFonts w:ascii="宋体" w:hAnsi="Times New Roman" w:eastAsia="宋体"/>
      <w:b/>
      <w:sz w:val="24"/>
      <w:lang w:val="en-US" w:eastAsia="zh-CN" w:bidi="ar-SA"/>
    </w:rPr>
  </w:style>
  <w:style w:type="character" w:customStyle="1" w:styleId="110">
    <w:name w:val="批注主题 Char"/>
    <w:basedOn w:val="111"/>
    <w:qFormat/>
    <w:uiPriority w:val="0"/>
    <w:rPr>
      <w:rFonts w:ascii="Times New Roman" w:hAnsi="Times New Roman" w:eastAsia="宋体" w:cs="Times New Roman"/>
      <w:b/>
      <w:bCs/>
      <w:szCs w:val="24"/>
    </w:rPr>
  </w:style>
  <w:style w:type="character" w:customStyle="1" w:styleId="111">
    <w:name w:val="批注文字 字符"/>
    <w:basedOn w:val="49"/>
    <w:link w:val="16"/>
    <w:qFormat/>
    <w:uiPriority w:val="99"/>
    <w:rPr>
      <w:rFonts w:ascii="Times New Roman" w:hAnsi="Times New Roman" w:eastAsia="宋体" w:cs="Times New Roman"/>
      <w:szCs w:val="24"/>
    </w:rPr>
  </w:style>
  <w:style w:type="character" w:customStyle="1" w:styleId="112">
    <w:name w:val="Font Style126"/>
    <w:unhideWhenUsed/>
    <w:qFormat/>
    <w:uiPriority w:val="0"/>
    <w:rPr>
      <w:rFonts w:hint="eastAsia" w:ascii="宋体" w:hAnsi="宋体" w:eastAsia="宋体"/>
      <w:b/>
      <w:spacing w:val="-30"/>
      <w:sz w:val="28"/>
    </w:rPr>
  </w:style>
  <w:style w:type="character" w:customStyle="1" w:styleId="113">
    <w:name w:val="标题 Char1"/>
    <w:qFormat/>
    <w:uiPriority w:val="0"/>
    <w:rPr>
      <w:rFonts w:ascii="Cambria" w:hAnsi="Cambria" w:eastAsia="宋体" w:cs="Times New Roman"/>
      <w:b/>
      <w:bCs/>
      <w:sz w:val="32"/>
      <w:szCs w:val="32"/>
    </w:rPr>
  </w:style>
  <w:style w:type="character" w:customStyle="1" w:styleId="114">
    <w:name w:val="plus"/>
    <w:qFormat/>
    <w:uiPriority w:val="0"/>
    <w:rPr>
      <w:rFonts w:ascii="Times New Roman" w:hAnsi="Times New Roman" w:eastAsia="宋体"/>
      <w:b/>
      <w:vanish/>
      <w:color w:val="1F8DEF"/>
      <w:sz w:val="24"/>
      <w:szCs w:val="24"/>
    </w:rPr>
  </w:style>
  <w:style w:type="character" w:customStyle="1" w:styleId="115">
    <w:name w:val="HTML 预设格式 字符"/>
    <w:basedOn w:val="49"/>
    <w:link w:val="40"/>
    <w:qFormat/>
    <w:uiPriority w:val="0"/>
    <w:rPr>
      <w:rFonts w:ascii="Arial" w:hAnsi="Arial" w:eastAsia="宋体" w:cs="Arial"/>
      <w:kern w:val="0"/>
      <w:sz w:val="24"/>
      <w:szCs w:val="24"/>
    </w:rPr>
  </w:style>
  <w:style w:type="character" w:customStyle="1" w:styleId="116">
    <w:name w:val="称呼 字符"/>
    <w:basedOn w:val="49"/>
    <w:link w:val="17"/>
    <w:qFormat/>
    <w:uiPriority w:val="0"/>
    <w:rPr>
      <w:rFonts w:ascii="仿宋_GB2312" w:hAnsi="Times New Roman" w:eastAsia="仿宋_GB2312" w:cs="Times New Roman"/>
      <w:sz w:val="24"/>
      <w:szCs w:val="24"/>
    </w:rPr>
  </w:style>
  <w:style w:type="character" w:customStyle="1" w:styleId="117">
    <w:name w:val="批注文字 Char Char"/>
    <w:qFormat/>
    <w:uiPriority w:val="0"/>
    <w:rPr>
      <w:kern w:val="2"/>
      <w:sz w:val="21"/>
      <w:szCs w:val="24"/>
      <w:lang w:bidi="ar-SA"/>
    </w:rPr>
  </w:style>
  <w:style w:type="character" w:customStyle="1" w:styleId="118">
    <w:name w:val="p0 Char Char"/>
    <w:qFormat/>
    <w:uiPriority w:val="0"/>
    <w:rPr>
      <w:rFonts w:eastAsia="宋体"/>
      <w:kern w:val="2"/>
      <w:sz w:val="21"/>
      <w:szCs w:val="21"/>
      <w:lang w:val="en-US" w:eastAsia="zh-CN" w:bidi="ar-SA"/>
    </w:rPr>
  </w:style>
  <w:style w:type="character" w:customStyle="1" w:styleId="119">
    <w:name w:val="正文文本 字符"/>
    <w:basedOn w:val="49"/>
    <w:link w:val="19"/>
    <w:qFormat/>
    <w:uiPriority w:val="99"/>
    <w:rPr>
      <w:rFonts w:ascii="Times New Roman" w:hAnsi="Times New Roman" w:eastAsia="宋体" w:cs="Times New Roman"/>
      <w:szCs w:val="24"/>
    </w:rPr>
  </w:style>
  <w:style w:type="character" w:customStyle="1" w:styleId="120">
    <w:name w:val="批注文字 Char1"/>
    <w:qFormat/>
    <w:uiPriority w:val="0"/>
    <w:rPr>
      <w:rFonts w:eastAsia="宋体"/>
      <w:kern w:val="2"/>
      <w:sz w:val="21"/>
      <w:szCs w:val="24"/>
      <w:lang w:val="en-US" w:eastAsia="zh-CN" w:bidi="ar-SA"/>
    </w:rPr>
  </w:style>
  <w:style w:type="character" w:customStyle="1" w:styleId="121">
    <w:name w:val="Font Style131"/>
    <w:unhideWhenUsed/>
    <w:qFormat/>
    <w:uiPriority w:val="0"/>
    <w:rPr>
      <w:rFonts w:hint="eastAsia" w:ascii="Times New Roman" w:hAnsi="Times New Roman" w:eastAsia="Times New Roman"/>
      <w:sz w:val="18"/>
    </w:rPr>
  </w:style>
  <w:style w:type="character" w:customStyle="1" w:styleId="122">
    <w:name w:val="Font Style127"/>
    <w:unhideWhenUsed/>
    <w:qFormat/>
    <w:uiPriority w:val="0"/>
    <w:rPr>
      <w:rFonts w:hint="eastAsia" w:ascii="Times New Roman" w:hAnsi="Times New Roman" w:eastAsia="Times New Roman"/>
      <w:sz w:val="20"/>
    </w:rPr>
  </w:style>
  <w:style w:type="character" w:customStyle="1" w:styleId="123">
    <w:name w:val="Font Style122"/>
    <w:unhideWhenUsed/>
    <w:qFormat/>
    <w:uiPriority w:val="0"/>
    <w:rPr>
      <w:rFonts w:hint="eastAsia" w:ascii="宋体" w:hAnsi="宋体" w:eastAsia="宋体"/>
      <w:spacing w:val="20"/>
      <w:sz w:val="24"/>
    </w:rPr>
  </w:style>
  <w:style w:type="character" w:customStyle="1" w:styleId="124">
    <w:name w:val="标题 3 Char"/>
    <w:basedOn w:val="49"/>
    <w:qFormat/>
    <w:uiPriority w:val="0"/>
    <w:rPr>
      <w:rFonts w:ascii="Times New Roman" w:hAnsi="Times New Roman" w:eastAsia="宋体" w:cs="Times New Roman"/>
      <w:b/>
      <w:bCs/>
      <w:sz w:val="32"/>
      <w:szCs w:val="32"/>
    </w:rPr>
  </w:style>
  <w:style w:type="character" w:customStyle="1" w:styleId="125">
    <w:name w:val="sidecatalog-dot"/>
    <w:qFormat/>
    <w:uiPriority w:val="0"/>
    <w:rPr>
      <w:rFonts w:ascii="Times New Roman" w:hAnsi="Times New Roman" w:eastAsia="宋体"/>
    </w:rPr>
  </w:style>
  <w:style w:type="character" w:customStyle="1" w:styleId="126">
    <w:name w:val="正文文本缩进 3 字符"/>
    <w:link w:val="36"/>
    <w:qFormat/>
    <w:uiPriority w:val="0"/>
    <w:rPr>
      <w:rFonts w:ascii="Calibri" w:hAnsi="Calibri" w:eastAsia="宋体" w:cs="黑体"/>
      <w:sz w:val="16"/>
      <w:szCs w:val="16"/>
    </w:rPr>
  </w:style>
  <w:style w:type="character" w:customStyle="1" w:styleId="127">
    <w:name w:val="副标题 字符"/>
    <w:basedOn w:val="49"/>
    <w:link w:val="34"/>
    <w:qFormat/>
    <w:uiPriority w:val="99"/>
    <w:rPr>
      <w:sz w:val="18"/>
      <w:szCs w:val="18"/>
    </w:rPr>
  </w:style>
  <w:style w:type="character" w:customStyle="1" w:styleId="128">
    <w:name w:val="页码1"/>
    <w:qFormat/>
    <w:uiPriority w:val="0"/>
    <w:rPr>
      <w:lang w:val="zh-TW" w:eastAsia="zh-TW"/>
    </w:rPr>
  </w:style>
  <w:style w:type="character" w:customStyle="1" w:styleId="129">
    <w:name w:val="文档结构图 字符"/>
    <w:basedOn w:val="49"/>
    <w:link w:val="14"/>
    <w:qFormat/>
    <w:uiPriority w:val="0"/>
    <w:rPr>
      <w:rFonts w:ascii="Times New Roman" w:hAnsi="Times New Roman" w:eastAsia="宋体" w:cs="Times New Roman"/>
      <w:szCs w:val="24"/>
      <w:shd w:val="clear" w:color="auto" w:fill="000080"/>
    </w:rPr>
  </w:style>
  <w:style w:type="character" w:customStyle="1" w:styleId="130">
    <w:name w:val="标题 1 Char"/>
    <w:basedOn w:val="49"/>
    <w:qFormat/>
    <w:uiPriority w:val="0"/>
    <w:rPr>
      <w:rFonts w:ascii="Times New Roman" w:hAnsi="Times New Roman" w:eastAsia="宋体" w:cs="Times New Roman"/>
      <w:b/>
      <w:bCs/>
      <w:kern w:val="44"/>
      <w:sz w:val="44"/>
      <w:szCs w:val="44"/>
    </w:rPr>
  </w:style>
  <w:style w:type="character" w:customStyle="1" w:styleId="131">
    <w:name w:val="bds_nopic"/>
    <w:qFormat/>
    <w:uiPriority w:val="0"/>
    <w:rPr>
      <w:rFonts w:ascii="Times New Roman" w:hAnsi="Times New Roman" w:eastAsia="宋体"/>
    </w:rPr>
  </w:style>
  <w:style w:type="character" w:customStyle="1" w:styleId="132">
    <w:name w:val="Font Style116"/>
    <w:unhideWhenUsed/>
    <w:qFormat/>
    <w:uiPriority w:val="0"/>
    <w:rPr>
      <w:rFonts w:hint="eastAsia" w:ascii="宋体" w:hAnsi="宋体" w:eastAsia="宋体"/>
      <w:spacing w:val="-20"/>
      <w:sz w:val="24"/>
    </w:rPr>
  </w:style>
  <w:style w:type="character" w:customStyle="1" w:styleId="133">
    <w:name w:val="标题 2 Char"/>
    <w:basedOn w:val="49"/>
    <w:qFormat/>
    <w:uiPriority w:val="0"/>
    <w:rPr>
      <w:rFonts w:ascii="Cambria" w:hAnsi="Cambria" w:eastAsia="宋体" w:cs="Times New Roman"/>
      <w:b/>
      <w:bCs/>
      <w:sz w:val="32"/>
      <w:szCs w:val="32"/>
    </w:rPr>
  </w:style>
  <w:style w:type="character" w:customStyle="1" w:styleId="134">
    <w:name w:val="纯文本 Char1"/>
    <w:basedOn w:val="49"/>
    <w:qFormat/>
    <w:uiPriority w:val="0"/>
    <w:rPr>
      <w:rFonts w:ascii="宋体" w:hAnsi="Courier New" w:eastAsia="宋体" w:cs="Courier New"/>
      <w:kern w:val="2"/>
      <w:sz w:val="21"/>
      <w:szCs w:val="21"/>
    </w:rPr>
  </w:style>
  <w:style w:type="character" w:customStyle="1" w:styleId="135">
    <w:name w:val="Font Style117"/>
    <w:unhideWhenUsed/>
    <w:qFormat/>
    <w:uiPriority w:val="0"/>
    <w:rPr>
      <w:rFonts w:hint="eastAsia" w:ascii="宋体" w:hAnsi="宋体" w:eastAsia="宋体"/>
      <w:spacing w:val="20"/>
      <w:sz w:val="24"/>
    </w:rPr>
  </w:style>
  <w:style w:type="character" w:customStyle="1" w:styleId="136">
    <w:name w:val="正文文本缩进 3 Char"/>
    <w:basedOn w:val="49"/>
    <w:qFormat/>
    <w:uiPriority w:val="0"/>
    <w:rPr>
      <w:rFonts w:ascii="Times New Roman" w:hAnsi="Times New Roman" w:eastAsia="宋体" w:cs="Times New Roman"/>
      <w:sz w:val="16"/>
      <w:szCs w:val="16"/>
    </w:rPr>
  </w:style>
  <w:style w:type="character" w:customStyle="1" w:styleId="137">
    <w:name w:val="Font Style90"/>
    <w:unhideWhenUsed/>
    <w:qFormat/>
    <w:uiPriority w:val="0"/>
    <w:rPr>
      <w:rFonts w:hint="eastAsia" w:ascii="宋体" w:hAnsi="宋体" w:eastAsia="宋体"/>
      <w:b/>
      <w:spacing w:val="-20"/>
      <w:sz w:val="40"/>
    </w:rPr>
  </w:style>
  <w:style w:type="character" w:customStyle="1" w:styleId="138">
    <w:name w:val="sidecatalog-index2"/>
    <w:qFormat/>
    <w:uiPriority w:val="0"/>
    <w:rPr>
      <w:rFonts w:ascii="Arail" w:hAnsi="Arail" w:eastAsia="Arail" w:cs="Arail"/>
      <w:color w:val="999999"/>
      <w:sz w:val="21"/>
      <w:szCs w:val="21"/>
    </w:rPr>
  </w:style>
  <w:style w:type="character" w:customStyle="1" w:styleId="139">
    <w:name w:val="标题 Char"/>
    <w:basedOn w:val="49"/>
    <w:qFormat/>
    <w:uiPriority w:val="0"/>
    <w:rPr>
      <w:rFonts w:ascii="Cambria" w:hAnsi="Cambria" w:eastAsia="宋体" w:cs="Times New Roman"/>
      <w:b/>
      <w:bCs/>
      <w:sz w:val="32"/>
      <w:szCs w:val="32"/>
    </w:rPr>
  </w:style>
  <w:style w:type="character" w:customStyle="1" w:styleId="140">
    <w:name w:val="font41"/>
    <w:basedOn w:val="49"/>
    <w:qFormat/>
    <w:uiPriority w:val="0"/>
    <w:rPr>
      <w:rFonts w:hint="eastAsia" w:ascii="宋体" w:hAnsi="宋体" w:eastAsia="宋体" w:cs="宋体"/>
      <w:color w:val="000000"/>
      <w:sz w:val="22"/>
      <w:szCs w:val="22"/>
      <w:u w:val="single"/>
    </w:rPr>
  </w:style>
  <w:style w:type="character" w:customStyle="1" w:styleId="141">
    <w:name w:val="日期 字符"/>
    <w:link w:val="27"/>
    <w:qFormat/>
    <w:uiPriority w:val="0"/>
    <w:rPr>
      <w:rFonts w:ascii="Calibri" w:hAnsi="Calibri" w:eastAsia="宋体" w:cs="黑体"/>
      <w:sz w:val="24"/>
    </w:rPr>
  </w:style>
  <w:style w:type="character" w:customStyle="1" w:styleId="142">
    <w:name w:val="Font Style86"/>
    <w:unhideWhenUsed/>
    <w:qFormat/>
    <w:uiPriority w:val="0"/>
    <w:rPr>
      <w:rFonts w:hint="eastAsia" w:ascii="黑体" w:hAnsi="黑体" w:eastAsia="黑体"/>
      <w:spacing w:val="10"/>
      <w:sz w:val="30"/>
    </w:rPr>
  </w:style>
  <w:style w:type="character" w:customStyle="1" w:styleId="143">
    <w:name w:val="Font Style121"/>
    <w:unhideWhenUsed/>
    <w:qFormat/>
    <w:uiPriority w:val="0"/>
    <w:rPr>
      <w:rFonts w:hint="eastAsia" w:ascii="宋体" w:hAnsi="宋体" w:eastAsia="宋体"/>
      <w:spacing w:val="-10"/>
      <w:sz w:val="30"/>
    </w:rPr>
  </w:style>
  <w:style w:type="character" w:customStyle="1" w:styleId="144">
    <w:name w:val="Font Style134"/>
    <w:unhideWhenUsed/>
    <w:qFormat/>
    <w:uiPriority w:val="0"/>
    <w:rPr>
      <w:rFonts w:hint="eastAsia" w:ascii="宋体" w:hAnsi="宋体" w:eastAsia="宋体"/>
      <w:spacing w:val="20"/>
      <w:sz w:val="22"/>
    </w:rPr>
  </w:style>
  <w:style w:type="character" w:customStyle="1" w:styleId="145">
    <w:name w:val="页眉 Char1"/>
    <w:qFormat/>
    <w:uiPriority w:val="0"/>
    <w:rPr>
      <w:rFonts w:eastAsia="宋体"/>
      <w:kern w:val="2"/>
      <w:sz w:val="18"/>
      <w:szCs w:val="18"/>
      <w:lang w:val="en-US" w:eastAsia="zh-CN" w:bidi="ar-SA"/>
    </w:rPr>
  </w:style>
  <w:style w:type="character" w:customStyle="1" w:styleId="146">
    <w:name w:val="sort"/>
    <w:qFormat/>
    <w:uiPriority w:val="0"/>
    <w:rPr>
      <w:rFonts w:ascii="Times New Roman" w:hAnsi="Times New Roman" w:eastAsia="宋体"/>
      <w:color w:val="FFFFFF"/>
      <w:bdr w:val="single" w:color="auto" w:sz="24" w:space="0"/>
    </w:rPr>
  </w:style>
  <w:style w:type="character" w:customStyle="1" w:styleId="147">
    <w:name w:val="Font Style115"/>
    <w:unhideWhenUsed/>
    <w:qFormat/>
    <w:uiPriority w:val="0"/>
    <w:rPr>
      <w:rFonts w:hint="eastAsia" w:ascii="Times New Roman" w:hAnsi="Times New Roman" w:eastAsia="Times New Roman"/>
      <w:sz w:val="16"/>
    </w:rPr>
  </w:style>
  <w:style w:type="character" w:customStyle="1" w:styleId="148">
    <w:name w:val="bds_more6"/>
    <w:qFormat/>
    <w:uiPriority w:val="0"/>
    <w:rPr>
      <w:rFonts w:hint="eastAsia" w:ascii="宋体" w:hAnsi="宋体" w:eastAsia="宋体" w:cs="宋体"/>
    </w:rPr>
  </w:style>
  <w:style w:type="character" w:customStyle="1" w:styleId="149">
    <w:name w:val="标题 8 Char"/>
    <w:basedOn w:val="49"/>
    <w:qFormat/>
    <w:uiPriority w:val="0"/>
    <w:rPr>
      <w:rFonts w:ascii="Cambria" w:hAnsi="Cambria" w:eastAsia="宋体" w:cs="Times New Roman"/>
      <w:sz w:val="24"/>
      <w:szCs w:val="24"/>
    </w:rPr>
  </w:style>
  <w:style w:type="character" w:customStyle="1" w:styleId="150">
    <w:name w:val="正文文本 3 字符"/>
    <w:basedOn w:val="49"/>
    <w:link w:val="18"/>
    <w:qFormat/>
    <w:uiPriority w:val="0"/>
    <w:rPr>
      <w:rFonts w:ascii="宋体" w:hAnsi="Times New Roman" w:eastAsia="宋体" w:cs="Times New Roman"/>
      <w:color w:val="000000"/>
      <w:kern w:val="0"/>
      <w:sz w:val="24"/>
      <w:szCs w:val="20"/>
    </w:rPr>
  </w:style>
  <w:style w:type="character" w:customStyle="1" w:styleId="151">
    <w:name w:val="font71"/>
    <w:basedOn w:val="49"/>
    <w:qFormat/>
    <w:uiPriority w:val="0"/>
    <w:rPr>
      <w:rFonts w:hint="eastAsia" w:ascii="宋体" w:hAnsi="宋体" w:eastAsia="宋体" w:cs="宋体"/>
      <w:b/>
      <w:color w:val="000000"/>
      <w:sz w:val="22"/>
      <w:szCs w:val="22"/>
      <w:u w:val="none"/>
    </w:rPr>
  </w:style>
  <w:style w:type="character" w:customStyle="1" w:styleId="152">
    <w:name w:val="font21"/>
    <w:basedOn w:val="49"/>
    <w:qFormat/>
    <w:uiPriority w:val="0"/>
    <w:rPr>
      <w:rFonts w:hint="eastAsia" w:ascii="宋体" w:hAnsi="宋体" w:eastAsia="宋体" w:cs="宋体"/>
      <w:color w:val="000000"/>
      <w:sz w:val="18"/>
      <w:szCs w:val="18"/>
      <w:u w:val="none"/>
    </w:rPr>
  </w:style>
  <w:style w:type="character" w:customStyle="1" w:styleId="153">
    <w:name w:val="标题 9 Char"/>
    <w:basedOn w:val="49"/>
    <w:qFormat/>
    <w:uiPriority w:val="0"/>
    <w:rPr>
      <w:rFonts w:ascii="Cambria" w:hAnsi="Cambria" w:eastAsia="宋体" w:cs="Times New Roman"/>
      <w:szCs w:val="21"/>
    </w:rPr>
  </w:style>
  <w:style w:type="character" w:customStyle="1" w:styleId="154">
    <w:name w:val="Char Char14"/>
    <w:qFormat/>
    <w:uiPriority w:val="0"/>
    <w:rPr>
      <w:rFonts w:ascii="Arial" w:hAnsi="Arial" w:eastAsia="黑体"/>
      <w:b/>
      <w:bCs/>
      <w:sz w:val="28"/>
      <w:szCs w:val="28"/>
      <w:lang w:val="en-US" w:eastAsia="zh-CN" w:bidi="ar-SA"/>
    </w:rPr>
  </w:style>
  <w:style w:type="character" w:customStyle="1" w:styleId="155">
    <w:name w:val="Font Style119"/>
    <w:unhideWhenUsed/>
    <w:qFormat/>
    <w:uiPriority w:val="0"/>
    <w:rPr>
      <w:rFonts w:hint="eastAsia" w:ascii="宋体" w:hAnsi="宋体" w:eastAsia="宋体"/>
      <w:sz w:val="24"/>
    </w:rPr>
  </w:style>
  <w:style w:type="character" w:customStyle="1" w:styleId="156">
    <w:name w:val="标题 5 Char"/>
    <w:basedOn w:val="49"/>
    <w:qFormat/>
    <w:uiPriority w:val="0"/>
    <w:rPr>
      <w:rFonts w:ascii="Times New Roman" w:hAnsi="Times New Roman" w:eastAsia="宋体" w:cs="Times New Roman"/>
      <w:b/>
      <w:bCs/>
      <w:sz w:val="28"/>
      <w:szCs w:val="28"/>
    </w:rPr>
  </w:style>
  <w:style w:type="character" w:customStyle="1" w:styleId="157">
    <w:name w:val="Char Char15"/>
    <w:qFormat/>
    <w:uiPriority w:val="0"/>
    <w:rPr>
      <w:b/>
      <w:bCs/>
      <w:sz w:val="24"/>
      <w:szCs w:val="24"/>
    </w:rPr>
  </w:style>
  <w:style w:type="character" w:customStyle="1" w:styleId="158">
    <w:name w:val="polysemyexp"/>
    <w:qFormat/>
    <w:uiPriority w:val="0"/>
    <w:rPr>
      <w:rFonts w:ascii="Times New Roman" w:hAnsi="Times New Roman" w:eastAsia="宋体"/>
      <w:color w:val="AAAAAA"/>
      <w:sz w:val="18"/>
      <w:szCs w:val="18"/>
    </w:rPr>
  </w:style>
  <w:style w:type="character" w:customStyle="1" w:styleId="159">
    <w:name w:val="bds_nopic1"/>
    <w:qFormat/>
    <w:uiPriority w:val="0"/>
    <w:rPr>
      <w:rFonts w:ascii="Times New Roman" w:hAnsi="Times New Roman" w:eastAsia="宋体"/>
    </w:rPr>
  </w:style>
  <w:style w:type="character" w:customStyle="1" w:styleId="160">
    <w:name w:val="bds_more8"/>
    <w:qFormat/>
    <w:uiPriority w:val="0"/>
    <w:rPr>
      <w:rFonts w:ascii="Times New Roman" w:hAnsi="Times New Roman" w:eastAsia="宋体"/>
    </w:rPr>
  </w:style>
  <w:style w:type="character" w:customStyle="1" w:styleId="161">
    <w:name w:val="sort1"/>
    <w:qFormat/>
    <w:uiPriority w:val="0"/>
    <w:rPr>
      <w:rFonts w:ascii="Times New Roman" w:hAnsi="Times New Roman" w:eastAsia="宋体"/>
    </w:rPr>
  </w:style>
  <w:style w:type="character" w:customStyle="1" w:styleId="162">
    <w:name w:val="bds_more10"/>
    <w:qFormat/>
    <w:uiPriority w:val="0"/>
    <w:rPr>
      <w:rFonts w:ascii="Times New Roman" w:hAnsi="Times New Roman" w:eastAsia="宋体"/>
    </w:rPr>
  </w:style>
  <w:style w:type="character" w:customStyle="1" w:styleId="163">
    <w:name w:val="sidecatalog-index1"/>
    <w:qFormat/>
    <w:uiPriority w:val="0"/>
    <w:rPr>
      <w:rFonts w:ascii="Arial" w:hAnsi="Arial" w:eastAsia="宋体" w:cs="Arial"/>
      <w:b/>
      <w:color w:val="999999"/>
      <w:sz w:val="21"/>
      <w:szCs w:val="21"/>
    </w:rPr>
  </w:style>
  <w:style w:type="character" w:customStyle="1" w:styleId="164">
    <w:name w:val="标题 7 Char"/>
    <w:basedOn w:val="49"/>
    <w:qFormat/>
    <w:uiPriority w:val="0"/>
    <w:rPr>
      <w:rFonts w:ascii="Times New Roman" w:hAnsi="Times New Roman" w:eastAsia="宋体" w:cs="Times New Roman"/>
      <w:b/>
      <w:bCs/>
      <w:sz w:val="24"/>
      <w:szCs w:val="24"/>
    </w:rPr>
  </w:style>
  <w:style w:type="character" w:customStyle="1" w:styleId="165">
    <w:name w:val="desc"/>
    <w:qFormat/>
    <w:uiPriority w:val="0"/>
    <w:rPr>
      <w:rFonts w:ascii="Times New Roman" w:hAnsi="Times New Roman" w:eastAsia="宋体"/>
      <w:color w:val="000000"/>
      <w:sz w:val="18"/>
      <w:szCs w:val="18"/>
    </w:rPr>
  </w:style>
  <w:style w:type="character" w:customStyle="1" w:styleId="166">
    <w:name w:val="正文文本缩进 2 字符1"/>
    <w:basedOn w:val="49"/>
    <w:semiHidden/>
    <w:qFormat/>
    <w:uiPriority w:val="99"/>
    <w:rPr>
      <w:rFonts w:ascii="Times New Roman" w:hAnsi="Times New Roman" w:eastAsia="宋体" w:cs="Times New Roman"/>
      <w:szCs w:val="24"/>
    </w:rPr>
  </w:style>
  <w:style w:type="character" w:customStyle="1" w:styleId="167">
    <w:name w:val="正文文本缩进 字符1"/>
    <w:basedOn w:val="49"/>
    <w:semiHidden/>
    <w:qFormat/>
    <w:uiPriority w:val="99"/>
    <w:rPr>
      <w:rFonts w:ascii="Times New Roman" w:hAnsi="Times New Roman" w:eastAsia="宋体" w:cs="Times New Roman"/>
      <w:szCs w:val="24"/>
    </w:rPr>
  </w:style>
  <w:style w:type="character" w:customStyle="1" w:styleId="168">
    <w:name w:val="正文文本 3 字符1"/>
    <w:basedOn w:val="49"/>
    <w:semiHidden/>
    <w:qFormat/>
    <w:uiPriority w:val="99"/>
    <w:rPr>
      <w:rFonts w:ascii="Times New Roman" w:hAnsi="Times New Roman" w:eastAsia="宋体" w:cs="Times New Roman"/>
      <w:sz w:val="16"/>
      <w:szCs w:val="16"/>
    </w:rPr>
  </w:style>
  <w:style w:type="character" w:customStyle="1" w:styleId="169">
    <w:name w:val="称呼 字符1"/>
    <w:basedOn w:val="49"/>
    <w:semiHidden/>
    <w:qFormat/>
    <w:uiPriority w:val="99"/>
    <w:rPr>
      <w:rFonts w:ascii="Times New Roman" w:hAnsi="Times New Roman" w:eastAsia="宋体" w:cs="Times New Roman"/>
      <w:szCs w:val="24"/>
    </w:rPr>
  </w:style>
  <w:style w:type="character" w:customStyle="1" w:styleId="170">
    <w:name w:val="批注框文本 字符1"/>
    <w:basedOn w:val="49"/>
    <w:semiHidden/>
    <w:qFormat/>
    <w:uiPriority w:val="99"/>
    <w:rPr>
      <w:rFonts w:ascii="Times New Roman" w:hAnsi="Times New Roman" w:eastAsia="宋体" w:cs="Times New Roman"/>
      <w:sz w:val="18"/>
      <w:szCs w:val="18"/>
    </w:rPr>
  </w:style>
  <w:style w:type="character" w:customStyle="1" w:styleId="171">
    <w:name w:val="正文文本缩进 3 字符1"/>
    <w:basedOn w:val="49"/>
    <w:semiHidden/>
    <w:qFormat/>
    <w:uiPriority w:val="99"/>
    <w:rPr>
      <w:rFonts w:ascii="Times New Roman" w:hAnsi="Times New Roman" w:eastAsia="宋体" w:cs="Times New Roman"/>
      <w:sz w:val="16"/>
      <w:szCs w:val="16"/>
    </w:rPr>
  </w:style>
  <w:style w:type="character" w:customStyle="1" w:styleId="172">
    <w:name w:val="文档结构图 字符1"/>
    <w:basedOn w:val="49"/>
    <w:semiHidden/>
    <w:qFormat/>
    <w:uiPriority w:val="99"/>
    <w:rPr>
      <w:rFonts w:ascii="Microsoft YaHei UI" w:hAnsi="Times New Roman" w:eastAsia="Microsoft YaHei UI" w:cs="Times New Roman"/>
      <w:sz w:val="18"/>
      <w:szCs w:val="18"/>
    </w:rPr>
  </w:style>
  <w:style w:type="character" w:customStyle="1" w:styleId="173">
    <w:name w:val="日期 字符1"/>
    <w:basedOn w:val="49"/>
    <w:semiHidden/>
    <w:qFormat/>
    <w:uiPriority w:val="99"/>
    <w:rPr>
      <w:rFonts w:ascii="Times New Roman" w:hAnsi="Times New Roman" w:eastAsia="宋体" w:cs="Times New Roman"/>
      <w:szCs w:val="24"/>
    </w:rPr>
  </w:style>
  <w:style w:type="character" w:customStyle="1" w:styleId="174">
    <w:name w:val="正文文本 字符1"/>
    <w:basedOn w:val="49"/>
    <w:semiHidden/>
    <w:qFormat/>
    <w:uiPriority w:val="99"/>
    <w:rPr>
      <w:rFonts w:ascii="Times New Roman" w:hAnsi="Times New Roman" w:eastAsia="宋体" w:cs="Times New Roman"/>
      <w:szCs w:val="24"/>
    </w:rPr>
  </w:style>
  <w:style w:type="character" w:customStyle="1" w:styleId="175">
    <w:name w:val="批注文字 字符1"/>
    <w:basedOn w:val="49"/>
    <w:semiHidden/>
    <w:qFormat/>
    <w:uiPriority w:val="99"/>
    <w:rPr>
      <w:rFonts w:ascii="Times New Roman" w:hAnsi="Times New Roman" w:eastAsia="宋体" w:cs="Times New Roman"/>
      <w:szCs w:val="24"/>
    </w:rPr>
  </w:style>
  <w:style w:type="character" w:customStyle="1" w:styleId="176">
    <w:name w:val="HTML 预设格式 字符1"/>
    <w:basedOn w:val="49"/>
    <w:semiHidden/>
    <w:qFormat/>
    <w:uiPriority w:val="99"/>
    <w:rPr>
      <w:rFonts w:ascii="Courier New" w:hAnsi="Courier New" w:eastAsia="宋体" w:cs="Courier New"/>
      <w:sz w:val="20"/>
      <w:szCs w:val="20"/>
    </w:rPr>
  </w:style>
  <w:style w:type="character" w:customStyle="1" w:styleId="177">
    <w:name w:val="正文文本首行缩进 字符"/>
    <w:basedOn w:val="174"/>
    <w:link w:val="45"/>
    <w:qFormat/>
    <w:uiPriority w:val="0"/>
    <w:rPr>
      <w:rFonts w:ascii="Times New Roman" w:hAnsi="Times New Roman" w:eastAsia="宋体" w:cs="Times New Roman"/>
      <w:szCs w:val="24"/>
    </w:rPr>
  </w:style>
  <w:style w:type="character" w:customStyle="1" w:styleId="178">
    <w:name w:val="正文文本 2 字符1"/>
    <w:basedOn w:val="49"/>
    <w:semiHidden/>
    <w:qFormat/>
    <w:uiPriority w:val="99"/>
    <w:rPr>
      <w:rFonts w:ascii="Times New Roman" w:hAnsi="Times New Roman" w:eastAsia="宋体" w:cs="Times New Roman"/>
      <w:szCs w:val="24"/>
    </w:rPr>
  </w:style>
  <w:style w:type="character" w:customStyle="1" w:styleId="179">
    <w:name w:val="副标题 字符1"/>
    <w:basedOn w:val="49"/>
    <w:qFormat/>
    <w:uiPriority w:val="11"/>
    <w:rPr>
      <w:b/>
      <w:bCs/>
      <w:kern w:val="28"/>
      <w:sz w:val="32"/>
      <w:szCs w:val="32"/>
    </w:rPr>
  </w:style>
  <w:style w:type="character" w:customStyle="1" w:styleId="180">
    <w:name w:val="批注主题 字符1"/>
    <w:basedOn w:val="175"/>
    <w:semiHidden/>
    <w:qFormat/>
    <w:uiPriority w:val="99"/>
    <w:rPr>
      <w:rFonts w:ascii="Times New Roman" w:hAnsi="Times New Roman" w:eastAsia="宋体" w:cs="Times New Roman"/>
      <w:b/>
      <w:bCs/>
      <w:szCs w:val="24"/>
    </w:rPr>
  </w:style>
  <w:style w:type="character" w:customStyle="1" w:styleId="181">
    <w:name w:val="标题 字符1"/>
    <w:basedOn w:val="49"/>
    <w:qFormat/>
    <w:uiPriority w:val="10"/>
    <w:rPr>
      <w:rFonts w:asciiTheme="majorHAnsi" w:hAnsiTheme="majorHAnsi" w:eastAsiaTheme="majorEastAsia" w:cstheme="majorBidi"/>
      <w:b/>
      <w:bCs/>
      <w:sz w:val="32"/>
      <w:szCs w:val="32"/>
    </w:rPr>
  </w:style>
  <w:style w:type="character" w:customStyle="1" w:styleId="182">
    <w:name w:val="纯文本 字符1"/>
    <w:basedOn w:val="49"/>
    <w:semiHidden/>
    <w:qFormat/>
    <w:uiPriority w:val="99"/>
    <w:rPr>
      <w:rFonts w:hAnsi="Courier New" w:cs="Courier New" w:asciiTheme="minorEastAsia"/>
      <w:szCs w:val="24"/>
    </w:rPr>
  </w:style>
  <w:style w:type="paragraph" w:customStyle="1" w:styleId="183">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4">
    <w:name w:val="Char Char Char"/>
    <w:basedOn w:val="1"/>
    <w:qFormat/>
    <w:uiPriority w:val="0"/>
    <w:rPr>
      <w:rFonts w:ascii="宋体" w:hAnsi="宋体"/>
      <w:b/>
      <w:sz w:val="28"/>
      <w:szCs w:val="28"/>
    </w:rPr>
  </w:style>
  <w:style w:type="paragraph" w:customStyle="1" w:styleId="185">
    <w:name w:val="Style29"/>
    <w:basedOn w:val="1"/>
    <w:unhideWhenUsed/>
    <w:qFormat/>
    <w:uiPriority w:val="0"/>
    <w:pPr>
      <w:spacing w:line="547" w:lineRule="exact"/>
      <w:ind w:firstLine="547"/>
    </w:pPr>
  </w:style>
  <w:style w:type="paragraph" w:customStyle="1" w:styleId="186">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7">
    <w:name w:val="Style13"/>
    <w:basedOn w:val="1"/>
    <w:unhideWhenUsed/>
    <w:qFormat/>
    <w:uiPriority w:val="0"/>
  </w:style>
  <w:style w:type="paragraph" w:customStyle="1" w:styleId="18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9">
    <w:name w:val="正文缩进2"/>
    <w:basedOn w:val="1"/>
    <w:qFormat/>
    <w:uiPriority w:val="0"/>
    <w:pPr>
      <w:tabs>
        <w:tab w:val="left" w:pos="720"/>
      </w:tabs>
      <w:ind w:left="624" w:hanging="624"/>
      <w:textAlignment w:val="baseline"/>
    </w:pPr>
    <w:rPr>
      <w:rFonts w:hint="eastAsia" w:ascii="宋体"/>
    </w:rPr>
  </w:style>
  <w:style w:type="paragraph" w:customStyle="1" w:styleId="190">
    <w:name w:val="Style23"/>
    <w:basedOn w:val="1"/>
    <w:unhideWhenUsed/>
    <w:qFormat/>
    <w:uiPriority w:val="0"/>
  </w:style>
  <w:style w:type="paragraph" w:customStyle="1" w:styleId="191">
    <w:name w:val="Style81"/>
    <w:basedOn w:val="1"/>
    <w:unhideWhenUsed/>
    <w:qFormat/>
    <w:uiPriority w:val="0"/>
    <w:pPr>
      <w:spacing w:line="547" w:lineRule="exact"/>
    </w:pPr>
  </w:style>
  <w:style w:type="paragraph" w:customStyle="1" w:styleId="192">
    <w:name w:val="Style73"/>
    <w:basedOn w:val="1"/>
    <w:unhideWhenUsed/>
    <w:qFormat/>
    <w:uiPriority w:val="0"/>
    <w:pPr>
      <w:spacing w:line="538" w:lineRule="exact"/>
      <w:ind w:firstLine="533"/>
    </w:pPr>
  </w:style>
  <w:style w:type="paragraph" w:customStyle="1" w:styleId="193">
    <w:name w:val="Style47"/>
    <w:basedOn w:val="1"/>
    <w:unhideWhenUsed/>
    <w:qFormat/>
    <w:uiPriority w:val="0"/>
  </w:style>
  <w:style w:type="paragraph" w:customStyle="1" w:styleId="194">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5">
    <w:name w:val="Style77"/>
    <w:basedOn w:val="1"/>
    <w:unhideWhenUsed/>
    <w:qFormat/>
    <w:uiPriority w:val="0"/>
  </w:style>
  <w:style w:type="paragraph" w:customStyle="1" w:styleId="196">
    <w:name w:val="Style8"/>
    <w:basedOn w:val="1"/>
    <w:unhideWhenUsed/>
    <w:qFormat/>
    <w:uiPriority w:val="0"/>
    <w:pPr>
      <w:spacing w:line="566" w:lineRule="exact"/>
      <w:jc w:val="center"/>
    </w:pPr>
  </w:style>
  <w:style w:type="paragraph" w:customStyle="1" w:styleId="197">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8">
    <w:name w:val="Char1 Char Char Char Char Char Char Char Char Char"/>
    <w:basedOn w:val="1"/>
    <w:qFormat/>
    <w:uiPriority w:val="0"/>
    <w:rPr>
      <w:szCs w:val="20"/>
    </w:rPr>
  </w:style>
  <w:style w:type="paragraph" w:customStyle="1" w:styleId="199">
    <w:name w:val="_Style 1"/>
    <w:basedOn w:val="1"/>
    <w:qFormat/>
    <w:uiPriority w:val="34"/>
    <w:pPr>
      <w:ind w:firstLine="420" w:firstLineChars="200"/>
    </w:pPr>
    <w:rPr>
      <w:rFonts w:ascii="Calibri" w:hAnsi="Calibri" w:cs="黑体"/>
    </w:rPr>
  </w:style>
  <w:style w:type="paragraph" w:customStyle="1" w:styleId="200">
    <w:name w:val="_Style 39"/>
    <w:basedOn w:val="201"/>
    <w:qFormat/>
    <w:uiPriority w:val="0"/>
  </w:style>
  <w:style w:type="paragraph" w:customStyle="1" w:styleId="20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Style24"/>
    <w:basedOn w:val="1"/>
    <w:unhideWhenUsed/>
    <w:qFormat/>
    <w:uiPriority w:val="0"/>
  </w:style>
  <w:style w:type="paragraph" w:customStyle="1" w:styleId="203">
    <w:name w:val="Style34"/>
    <w:basedOn w:val="1"/>
    <w:unhideWhenUsed/>
    <w:qFormat/>
    <w:uiPriority w:val="0"/>
    <w:pPr>
      <w:spacing w:line="375" w:lineRule="exact"/>
    </w:pPr>
  </w:style>
  <w:style w:type="paragraph" w:customStyle="1" w:styleId="20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5">
    <w:name w:val="Style69"/>
    <w:basedOn w:val="1"/>
    <w:unhideWhenUsed/>
    <w:qFormat/>
    <w:uiPriority w:val="0"/>
    <w:pPr>
      <w:spacing w:line="557" w:lineRule="exact"/>
      <w:ind w:firstLine="1666"/>
    </w:pPr>
  </w:style>
  <w:style w:type="paragraph" w:customStyle="1" w:styleId="206">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7">
    <w:name w:val="表格内容"/>
    <w:basedOn w:val="19"/>
    <w:qFormat/>
    <w:uiPriority w:val="0"/>
    <w:pPr>
      <w:suppressLineNumbers/>
      <w:suppressAutoHyphens/>
      <w:jc w:val="left"/>
    </w:pPr>
    <w:rPr>
      <w:rFonts w:cs="Tahoma"/>
      <w:kern w:val="0"/>
      <w:sz w:val="24"/>
    </w:rPr>
  </w:style>
  <w:style w:type="paragraph" w:customStyle="1" w:styleId="208">
    <w:name w:val="Style54"/>
    <w:basedOn w:val="1"/>
    <w:unhideWhenUsed/>
    <w:qFormat/>
    <w:uiPriority w:val="0"/>
  </w:style>
  <w:style w:type="paragraph" w:customStyle="1" w:styleId="209">
    <w:name w:val="标题 31"/>
    <w:basedOn w:val="1"/>
    <w:next w:val="210"/>
    <w:qFormat/>
    <w:uiPriority w:val="0"/>
    <w:pPr>
      <w:spacing w:before="60" w:line="300" w:lineRule="auto"/>
      <w:outlineLvl w:val="2"/>
    </w:pPr>
    <w:rPr>
      <w:rFonts w:ascii="宋体" w:hAnsi="宋体"/>
      <w:snapToGrid w:val="0"/>
      <w:kern w:val="0"/>
      <w:sz w:val="24"/>
    </w:rPr>
  </w:style>
  <w:style w:type="paragraph" w:customStyle="1" w:styleId="210">
    <w:name w:val="正文缩进3"/>
    <w:basedOn w:val="1"/>
    <w:qFormat/>
    <w:uiPriority w:val="0"/>
    <w:pPr>
      <w:tabs>
        <w:tab w:val="left" w:pos="720"/>
      </w:tabs>
      <w:ind w:left="624" w:hanging="624"/>
      <w:textAlignment w:val="baseline"/>
    </w:pPr>
    <w:rPr>
      <w:rFonts w:hint="eastAsia" w:ascii="宋体"/>
    </w:rPr>
  </w:style>
  <w:style w:type="paragraph" w:customStyle="1" w:styleId="211">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2">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3">
    <w:name w:val="Style21"/>
    <w:basedOn w:val="1"/>
    <w:unhideWhenUsed/>
    <w:qFormat/>
    <w:uiPriority w:val="0"/>
    <w:pPr>
      <w:spacing w:line="566" w:lineRule="exact"/>
      <w:ind w:firstLine="682"/>
    </w:pPr>
  </w:style>
  <w:style w:type="paragraph" w:customStyle="1" w:styleId="214">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5">
    <w:name w:val="Style12"/>
    <w:basedOn w:val="1"/>
    <w:unhideWhenUsed/>
    <w:qFormat/>
    <w:uiPriority w:val="0"/>
    <w:pPr>
      <w:spacing w:line="564" w:lineRule="exact"/>
      <w:ind w:hanging="115"/>
    </w:pPr>
  </w:style>
  <w:style w:type="paragraph" w:customStyle="1" w:styleId="216">
    <w:name w:val="Style58"/>
    <w:basedOn w:val="1"/>
    <w:unhideWhenUsed/>
    <w:qFormat/>
    <w:uiPriority w:val="0"/>
    <w:pPr>
      <w:spacing w:line="413" w:lineRule="exact"/>
    </w:pPr>
  </w:style>
  <w:style w:type="paragraph" w:customStyle="1" w:styleId="217">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8">
    <w:name w:val="默认段落字体 Para Char Char Char Char Char Char Char Char Char Char Char Char Char Char Char Char Char Char Char"/>
    <w:basedOn w:val="1"/>
    <w:qFormat/>
    <w:uiPriority w:val="0"/>
  </w:style>
  <w:style w:type="paragraph" w:customStyle="1" w:styleId="219">
    <w:name w:val="p16"/>
    <w:basedOn w:val="1"/>
    <w:qFormat/>
    <w:uiPriority w:val="0"/>
    <w:pPr>
      <w:widowControl/>
      <w:jc w:val="left"/>
    </w:pPr>
    <w:rPr>
      <w:kern w:val="0"/>
      <w:szCs w:val="21"/>
    </w:rPr>
  </w:style>
  <w:style w:type="paragraph" w:customStyle="1" w:styleId="220">
    <w:name w:val="Char Char1 Char Char Char"/>
    <w:basedOn w:val="1"/>
    <w:qFormat/>
    <w:uiPriority w:val="0"/>
    <w:rPr>
      <w:kern w:val="0"/>
      <w:sz w:val="20"/>
      <w:szCs w:val="20"/>
    </w:rPr>
  </w:style>
  <w:style w:type="paragraph" w:customStyle="1" w:styleId="221">
    <w:name w:val="Style42"/>
    <w:basedOn w:val="1"/>
    <w:unhideWhenUsed/>
    <w:qFormat/>
    <w:uiPriority w:val="0"/>
    <w:pPr>
      <w:spacing w:line="542" w:lineRule="exact"/>
      <w:ind w:firstLine="547"/>
    </w:pPr>
  </w:style>
  <w:style w:type="paragraph" w:customStyle="1" w:styleId="222">
    <w:name w:val="Style11"/>
    <w:basedOn w:val="1"/>
    <w:unhideWhenUsed/>
    <w:qFormat/>
    <w:uiPriority w:val="0"/>
    <w:pPr>
      <w:spacing w:line="559" w:lineRule="exact"/>
      <w:ind w:firstLine="590"/>
    </w:pPr>
  </w:style>
  <w:style w:type="paragraph" w:customStyle="1" w:styleId="223">
    <w:name w:val="Style27"/>
    <w:basedOn w:val="1"/>
    <w:unhideWhenUsed/>
    <w:qFormat/>
    <w:uiPriority w:val="0"/>
  </w:style>
  <w:style w:type="paragraph" w:customStyle="1" w:styleId="224">
    <w:name w:val="1"/>
    <w:basedOn w:val="1"/>
    <w:qFormat/>
    <w:uiPriority w:val="0"/>
    <w:pPr>
      <w:spacing w:afterLines="50" w:line="360" w:lineRule="auto"/>
    </w:pPr>
    <w:rPr>
      <w:rFonts w:ascii="宋体" w:hAnsi="宋体"/>
      <w:b/>
      <w:sz w:val="30"/>
      <w:szCs w:val="21"/>
    </w:rPr>
  </w:style>
  <w:style w:type="paragraph" w:customStyle="1" w:styleId="225">
    <w:name w:val="标题 311"/>
    <w:basedOn w:val="1"/>
    <w:next w:val="226"/>
    <w:qFormat/>
    <w:uiPriority w:val="0"/>
    <w:pPr>
      <w:spacing w:line="300" w:lineRule="auto"/>
      <w:outlineLvl w:val="2"/>
    </w:pPr>
    <w:rPr>
      <w:rFonts w:hint="eastAsia" w:ascii="宋体" w:hAnsi="宋体"/>
      <w:snapToGrid w:val="0"/>
      <w:kern w:val="0"/>
      <w:sz w:val="24"/>
      <w:szCs w:val="22"/>
    </w:rPr>
  </w:style>
  <w:style w:type="paragraph" w:customStyle="1" w:styleId="226">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7">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8">
    <w:name w:val="Style68"/>
    <w:basedOn w:val="1"/>
    <w:unhideWhenUsed/>
    <w:qFormat/>
    <w:uiPriority w:val="0"/>
    <w:pPr>
      <w:spacing w:line="547" w:lineRule="exact"/>
    </w:pPr>
  </w:style>
  <w:style w:type="paragraph" w:customStyle="1" w:styleId="229">
    <w:name w:val="Char1 Char Char Char"/>
    <w:basedOn w:val="1"/>
    <w:qFormat/>
    <w:uiPriority w:val="0"/>
    <w:pPr>
      <w:widowControl/>
      <w:spacing w:after="160" w:line="240" w:lineRule="exact"/>
      <w:jc w:val="left"/>
    </w:pPr>
    <w:rPr>
      <w:kern w:val="0"/>
      <w:sz w:val="24"/>
      <w:szCs w:val="20"/>
    </w:rPr>
  </w:style>
  <w:style w:type="paragraph" w:customStyle="1" w:styleId="230">
    <w:name w:val="Style46"/>
    <w:basedOn w:val="1"/>
    <w:unhideWhenUsed/>
    <w:qFormat/>
    <w:uiPriority w:val="0"/>
    <w:pPr>
      <w:spacing w:line="672" w:lineRule="exact"/>
    </w:pPr>
  </w:style>
  <w:style w:type="paragraph" w:customStyle="1" w:styleId="231">
    <w:name w:val="Style67"/>
    <w:basedOn w:val="1"/>
    <w:unhideWhenUsed/>
    <w:qFormat/>
    <w:uiPriority w:val="0"/>
    <w:pPr>
      <w:spacing w:line="566" w:lineRule="exact"/>
      <w:ind w:firstLine="552"/>
    </w:pPr>
  </w:style>
  <w:style w:type="paragraph" w:customStyle="1" w:styleId="232">
    <w:name w:val="Char1 Char Char Char 字元 Char Char 字元 Char 字元 Char1 Char Char Char"/>
    <w:basedOn w:val="1"/>
    <w:qFormat/>
    <w:uiPriority w:val="0"/>
    <w:rPr>
      <w:szCs w:val="20"/>
    </w:rPr>
  </w:style>
  <w:style w:type="paragraph" w:customStyle="1" w:styleId="233">
    <w:name w:val="Style50"/>
    <w:basedOn w:val="1"/>
    <w:unhideWhenUsed/>
    <w:qFormat/>
    <w:uiPriority w:val="0"/>
  </w:style>
  <w:style w:type="paragraph" w:customStyle="1" w:styleId="234">
    <w:name w:val="Style41"/>
    <w:basedOn w:val="1"/>
    <w:unhideWhenUsed/>
    <w:qFormat/>
    <w:uiPriority w:val="0"/>
    <w:pPr>
      <w:spacing w:line="542" w:lineRule="exact"/>
      <w:ind w:firstLine="125"/>
    </w:pPr>
  </w:style>
  <w:style w:type="paragraph" w:customStyle="1" w:styleId="235">
    <w:name w:val="Style62"/>
    <w:basedOn w:val="1"/>
    <w:unhideWhenUsed/>
    <w:qFormat/>
    <w:uiPriority w:val="0"/>
  </w:style>
  <w:style w:type="paragraph" w:customStyle="1" w:styleId="236">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7">
    <w:name w:val="Style5"/>
    <w:basedOn w:val="1"/>
    <w:unhideWhenUsed/>
    <w:qFormat/>
    <w:uiPriority w:val="0"/>
  </w:style>
  <w:style w:type="paragraph" w:customStyle="1" w:styleId="23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Style15"/>
    <w:basedOn w:val="1"/>
    <w:unhideWhenUsed/>
    <w:qFormat/>
    <w:uiPriority w:val="0"/>
    <w:pPr>
      <w:spacing w:line="557" w:lineRule="exact"/>
      <w:ind w:firstLine="672"/>
    </w:pPr>
  </w:style>
  <w:style w:type="paragraph" w:customStyle="1" w:styleId="240">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1">
    <w:name w:val="列出段落1"/>
    <w:basedOn w:val="1"/>
    <w:qFormat/>
    <w:uiPriority w:val="99"/>
    <w:pPr>
      <w:ind w:firstLine="420" w:firstLineChars="200"/>
    </w:pPr>
    <w:rPr>
      <w:rFonts w:ascii="Calibri" w:hAnsi="Calibri" w:cs="Calibri"/>
      <w:szCs w:val="21"/>
    </w:rPr>
  </w:style>
  <w:style w:type="paragraph" w:customStyle="1" w:styleId="24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3">
    <w:name w:val="Style44"/>
    <w:basedOn w:val="1"/>
    <w:unhideWhenUsed/>
    <w:qFormat/>
    <w:uiPriority w:val="0"/>
  </w:style>
  <w:style w:type="paragraph" w:customStyle="1" w:styleId="244">
    <w:name w:val="Char Char1 Char Char Char Char Char1 Char Char Char Char"/>
    <w:basedOn w:val="14"/>
    <w:qFormat/>
    <w:uiPriority w:val="0"/>
    <w:rPr>
      <w:rFonts w:ascii="Tahoma" w:hAnsi="Tahoma"/>
    </w:rPr>
  </w:style>
  <w:style w:type="paragraph" w:customStyle="1" w:styleId="245">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6">
    <w:name w:val="标题2"/>
    <w:basedOn w:val="43"/>
    <w:qFormat/>
    <w:uiPriority w:val="0"/>
    <w:pPr>
      <w:spacing w:after="240"/>
      <w:jc w:val="left"/>
    </w:pPr>
    <w:rPr>
      <w:sz w:val="30"/>
    </w:rPr>
  </w:style>
  <w:style w:type="paragraph" w:customStyle="1" w:styleId="247">
    <w:name w:val="Style52"/>
    <w:basedOn w:val="1"/>
    <w:unhideWhenUsed/>
    <w:qFormat/>
    <w:uiPriority w:val="0"/>
    <w:pPr>
      <w:spacing w:line="682" w:lineRule="exact"/>
      <w:ind w:firstLine="557"/>
    </w:pPr>
  </w:style>
  <w:style w:type="paragraph" w:customStyle="1" w:styleId="248">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9">
    <w:name w:val="Style53"/>
    <w:basedOn w:val="1"/>
    <w:unhideWhenUsed/>
    <w:qFormat/>
    <w:uiPriority w:val="0"/>
    <w:pPr>
      <w:spacing w:line="533" w:lineRule="exact"/>
      <w:ind w:firstLine="581"/>
    </w:pPr>
  </w:style>
  <w:style w:type="paragraph" w:customStyle="1" w:styleId="250">
    <w:name w:val="Style56"/>
    <w:basedOn w:val="1"/>
    <w:unhideWhenUsed/>
    <w:qFormat/>
    <w:uiPriority w:val="0"/>
  </w:style>
  <w:style w:type="paragraph" w:customStyle="1" w:styleId="251">
    <w:name w:val="Style9"/>
    <w:basedOn w:val="1"/>
    <w:unhideWhenUsed/>
    <w:qFormat/>
    <w:uiPriority w:val="0"/>
  </w:style>
  <w:style w:type="paragraph" w:customStyle="1" w:styleId="252">
    <w:name w:val="列出段落2"/>
    <w:basedOn w:val="1"/>
    <w:qFormat/>
    <w:uiPriority w:val="0"/>
    <w:pPr>
      <w:ind w:firstLine="420" w:firstLineChars="200"/>
    </w:pPr>
    <w:rPr>
      <w:rFonts w:ascii="Calibri" w:hAnsi="Calibri"/>
      <w:szCs w:val="22"/>
    </w:rPr>
  </w:style>
  <w:style w:type="paragraph" w:customStyle="1" w:styleId="253">
    <w:name w:val="1 Char Char Char Char"/>
    <w:basedOn w:val="1"/>
    <w:qFormat/>
    <w:uiPriority w:val="0"/>
  </w:style>
  <w:style w:type="paragraph" w:customStyle="1" w:styleId="254">
    <w:name w:val="标题 1 +"/>
    <w:basedOn w:val="3"/>
    <w:next w:val="1"/>
    <w:qFormat/>
    <w:uiPriority w:val="0"/>
    <w:pPr>
      <w:keepLines/>
      <w:spacing w:line="600" w:lineRule="auto"/>
    </w:pPr>
    <w:rPr>
      <w:rFonts w:eastAsia="黑体"/>
      <w:sz w:val="32"/>
      <w:szCs w:val="32"/>
    </w:rPr>
  </w:style>
  <w:style w:type="paragraph" w:customStyle="1" w:styleId="255">
    <w:name w:val="Style59"/>
    <w:basedOn w:val="1"/>
    <w:unhideWhenUsed/>
    <w:qFormat/>
    <w:uiPriority w:val="0"/>
  </w:style>
  <w:style w:type="paragraph" w:customStyle="1" w:styleId="256">
    <w:name w:val="标题 41"/>
    <w:basedOn w:val="1"/>
    <w:next w:val="226"/>
    <w:qFormat/>
    <w:uiPriority w:val="0"/>
    <w:pPr>
      <w:tabs>
        <w:tab w:val="left" w:pos="1021"/>
        <w:tab w:val="left" w:pos="1175"/>
      </w:tabs>
      <w:ind w:left="2" w:firstLine="2"/>
      <w:outlineLvl w:val="3"/>
    </w:pPr>
    <w:rPr>
      <w:snapToGrid w:val="0"/>
      <w:color w:val="000000"/>
      <w:kern w:val="0"/>
      <w:sz w:val="24"/>
      <w:szCs w:val="22"/>
    </w:rPr>
  </w:style>
  <w:style w:type="paragraph" w:customStyle="1" w:styleId="257">
    <w:name w:val="Style16"/>
    <w:basedOn w:val="1"/>
    <w:unhideWhenUsed/>
    <w:qFormat/>
    <w:uiPriority w:val="0"/>
    <w:pPr>
      <w:jc w:val="right"/>
    </w:pPr>
  </w:style>
  <w:style w:type="paragraph" w:customStyle="1" w:styleId="258">
    <w:name w:val="Style4"/>
    <w:basedOn w:val="1"/>
    <w:unhideWhenUsed/>
    <w:qFormat/>
    <w:uiPriority w:val="0"/>
  </w:style>
  <w:style w:type="paragraph" w:customStyle="1" w:styleId="259">
    <w:name w:val="Style63"/>
    <w:basedOn w:val="1"/>
    <w:unhideWhenUsed/>
    <w:qFormat/>
    <w:uiPriority w:val="0"/>
    <w:pPr>
      <w:spacing w:line="564" w:lineRule="exact"/>
      <w:ind w:firstLine="682"/>
    </w:pPr>
  </w:style>
  <w:style w:type="paragraph" w:customStyle="1" w:styleId="260">
    <w:name w:val="标题3"/>
    <w:basedOn w:val="3"/>
    <w:qFormat/>
    <w:uiPriority w:val="0"/>
    <w:pPr>
      <w:spacing w:beforeLines="50" w:afterLines="50" w:line="400" w:lineRule="exact"/>
      <w:jc w:val="both"/>
    </w:pPr>
    <w:rPr>
      <w:rFonts w:ascii="宋体" w:hAnsi="宋体"/>
      <w:kern w:val="32"/>
      <w:szCs w:val="32"/>
    </w:rPr>
  </w:style>
  <w:style w:type="paragraph" w:customStyle="1" w:styleId="261">
    <w:name w:val="Style26"/>
    <w:basedOn w:val="1"/>
    <w:unhideWhenUsed/>
    <w:qFormat/>
    <w:uiPriority w:val="0"/>
  </w:style>
  <w:style w:type="paragraph" w:customStyle="1" w:styleId="262">
    <w:name w:val="Style64"/>
    <w:basedOn w:val="1"/>
    <w:unhideWhenUsed/>
    <w:qFormat/>
    <w:uiPriority w:val="0"/>
  </w:style>
  <w:style w:type="paragraph" w:customStyle="1" w:styleId="263">
    <w:name w:val="Style48"/>
    <w:basedOn w:val="1"/>
    <w:unhideWhenUsed/>
    <w:qFormat/>
    <w:uiPriority w:val="0"/>
    <w:pPr>
      <w:spacing w:line="542" w:lineRule="exact"/>
      <w:jc w:val="right"/>
    </w:pPr>
  </w:style>
  <w:style w:type="paragraph" w:customStyle="1" w:styleId="264">
    <w:name w:val="Style70"/>
    <w:basedOn w:val="1"/>
    <w:unhideWhenUsed/>
    <w:qFormat/>
    <w:uiPriority w:val="0"/>
    <w:pPr>
      <w:spacing w:line="549" w:lineRule="exact"/>
      <w:ind w:firstLine="686"/>
    </w:pPr>
  </w:style>
  <w:style w:type="paragraph" w:customStyle="1" w:styleId="265">
    <w:name w:val="Style78"/>
    <w:basedOn w:val="1"/>
    <w:unhideWhenUsed/>
    <w:qFormat/>
    <w:uiPriority w:val="0"/>
  </w:style>
  <w:style w:type="paragraph" w:customStyle="1" w:styleId="266">
    <w:name w:val="Style60"/>
    <w:basedOn w:val="1"/>
    <w:unhideWhenUsed/>
    <w:qFormat/>
    <w:uiPriority w:val="0"/>
    <w:pPr>
      <w:spacing w:line="566" w:lineRule="exact"/>
    </w:pPr>
  </w:style>
  <w:style w:type="paragraph" w:customStyle="1" w:styleId="267">
    <w:name w:val="NO3"/>
    <w:basedOn w:val="1"/>
    <w:qFormat/>
    <w:uiPriority w:val="0"/>
    <w:pPr>
      <w:tabs>
        <w:tab w:val="left" w:pos="907"/>
      </w:tabs>
      <w:spacing w:line="360" w:lineRule="auto"/>
    </w:pPr>
    <w:rPr>
      <w:rFonts w:ascii="宋体" w:hAnsi="宋体"/>
      <w:sz w:val="24"/>
    </w:rPr>
  </w:style>
  <w:style w:type="paragraph" w:customStyle="1" w:styleId="268">
    <w:name w:val="Char"/>
    <w:basedOn w:val="1"/>
    <w:qFormat/>
    <w:uiPriority w:val="0"/>
    <w:pPr>
      <w:tabs>
        <w:tab w:val="left" w:pos="360"/>
      </w:tabs>
      <w:ind w:left="360" w:hanging="360" w:hangingChars="200"/>
    </w:pPr>
    <w:rPr>
      <w:sz w:val="24"/>
    </w:rPr>
  </w:style>
  <w:style w:type="paragraph" w:customStyle="1" w:styleId="269">
    <w:name w:val="附录标识"/>
    <w:basedOn w:val="211"/>
    <w:qFormat/>
    <w:uiPriority w:val="0"/>
    <w:pPr>
      <w:tabs>
        <w:tab w:val="left" w:pos="6405"/>
        <w:tab w:val="clear" w:pos="360"/>
        <w:tab w:val="clear" w:pos="720"/>
      </w:tabs>
      <w:spacing w:after="200"/>
    </w:pPr>
    <w:rPr>
      <w:sz w:val="21"/>
    </w:rPr>
  </w:style>
  <w:style w:type="paragraph" w:customStyle="1" w:styleId="270">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1">
    <w:name w:val="Style74"/>
    <w:basedOn w:val="1"/>
    <w:unhideWhenUsed/>
    <w:qFormat/>
    <w:uiPriority w:val="0"/>
    <w:pPr>
      <w:spacing w:line="437" w:lineRule="exact"/>
    </w:pPr>
  </w:style>
  <w:style w:type="paragraph" w:customStyle="1" w:styleId="272">
    <w:name w:val="Style36"/>
    <w:basedOn w:val="1"/>
    <w:unhideWhenUsed/>
    <w:qFormat/>
    <w:uiPriority w:val="0"/>
  </w:style>
  <w:style w:type="paragraph" w:customStyle="1" w:styleId="273">
    <w:name w:val="Style61"/>
    <w:basedOn w:val="1"/>
    <w:unhideWhenUsed/>
    <w:qFormat/>
    <w:uiPriority w:val="0"/>
  </w:style>
  <w:style w:type="paragraph" w:customStyle="1" w:styleId="274">
    <w:name w:val="标题 21"/>
    <w:basedOn w:val="1"/>
    <w:next w:val="226"/>
    <w:qFormat/>
    <w:uiPriority w:val="0"/>
    <w:pPr>
      <w:spacing w:line="300" w:lineRule="auto"/>
      <w:outlineLvl w:val="1"/>
    </w:pPr>
    <w:rPr>
      <w:rFonts w:hint="eastAsia" w:ascii="宋体" w:hAnsi="宋体"/>
      <w:b/>
      <w:snapToGrid w:val="0"/>
      <w:kern w:val="0"/>
      <w:sz w:val="28"/>
      <w:szCs w:val="22"/>
    </w:rPr>
  </w:style>
  <w:style w:type="paragraph" w:customStyle="1" w:styleId="275">
    <w:name w:val="Style76"/>
    <w:basedOn w:val="1"/>
    <w:unhideWhenUsed/>
    <w:qFormat/>
    <w:uiPriority w:val="0"/>
  </w:style>
  <w:style w:type="paragraph" w:customStyle="1" w:styleId="276">
    <w:name w:val="列表段落1"/>
    <w:basedOn w:val="1"/>
    <w:qFormat/>
    <w:uiPriority w:val="0"/>
    <w:pPr>
      <w:ind w:firstLine="420" w:firstLineChars="200"/>
    </w:pPr>
  </w:style>
  <w:style w:type="paragraph" w:customStyle="1" w:styleId="277">
    <w:name w:val="修订1"/>
    <w:qFormat/>
    <w:uiPriority w:val="0"/>
    <w:rPr>
      <w:rFonts w:ascii="Times New Roman" w:hAnsi="Times New Roman" w:eastAsia="宋体" w:cs="Times New Roman"/>
      <w:kern w:val="2"/>
      <w:sz w:val="21"/>
      <w:szCs w:val="24"/>
      <w:lang w:val="en-US" w:eastAsia="zh-CN" w:bidi="ar-SA"/>
    </w:rPr>
  </w:style>
  <w:style w:type="paragraph" w:customStyle="1" w:styleId="278">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9">
    <w:name w:val="_Style 7"/>
    <w:basedOn w:val="1"/>
    <w:qFormat/>
    <w:uiPriority w:val="0"/>
    <w:pPr>
      <w:ind w:firstLine="420" w:firstLineChars="200"/>
    </w:pPr>
    <w:rPr>
      <w:rFonts w:ascii="Calibri" w:hAnsi="Calibri" w:cs="黑体"/>
    </w:rPr>
  </w:style>
  <w:style w:type="paragraph" w:customStyle="1" w:styleId="280">
    <w:name w:val="Char Char1 Char Char Char Char Char Char Char"/>
    <w:basedOn w:val="1"/>
    <w:qFormat/>
    <w:uiPriority w:val="0"/>
    <w:pPr>
      <w:widowControl/>
      <w:spacing w:after="160" w:line="240" w:lineRule="exact"/>
      <w:jc w:val="left"/>
    </w:pPr>
  </w:style>
  <w:style w:type="paragraph" w:customStyle="1" w:styleId="281">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3">
    <w:name w:val="Style10"/>
    <w:basedOn w:val="1"/>
    <w:unhideWhenUsed/>
    <w:qFormat/>
    <w:uiPriority w:val="0"/>
    <w:pPr>
      <w:spacing w:line="538" w:lineRule="exact"/>
    </w:pPr>
  </w:style>
  <w:style w:type="paragraph" w:customStyle="1" w:styleId="284">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5">
    <w:name w:val="Style72"/>
    <w:basedOn w:val="1"/>
    <w:unhideWhenUsed/>
    <w:qFormat/>
    <w:uiPriority w:val="0"/>
  </w:style>
  <w:style w:type="paragraph" w:customStyle="1" w:styleId="286">
    <w:name w:val="Style45"/>
    <w:basedOn w:val="1"/>
    <w:unhideWhenUsed/>
    <w:qFormat/>
    <w:uiPriority w:val="0"/>
  </w:style>
  <w:style w:type="paragraph" w:customStyle="1" w:styleId="287">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8">
    <w:name w:val="Style80"/>
    <w:basedOn w:val="1"/>
    <w:unhideWhenUsed/>
    <w:qFormat/>
    <w:uiPriority w:val="0"/>
  </w:style>
  <w:style w:type="paragraph" w:customStyle="1" w:styleId="289">
    <w:name w:val="Style71"/>
    <w:basedOn w:val="1"/>
    <w:unhideWhenUsed/>
    <w:qFormat/>
    <w:uiPriority w:val="0"/>
    <w:pPr>
      <w:spacing w:line="538" w:lineRule="exact"/>
      <w:ind w:firstLine="101"/>
    </w:pPr>
  </w:style>
  <w:style w:type="paragraph" w:customStyle="1" w:styleId="290">
    <w:name w:val="Style65"/>
    <w:basedOn w:val="1"/>
    <w:unhideWhenUsed/>
    <w:qFormat/>
    <w:uiPriority w:val="0"/>
  </w:style>
  <w:style w:type="paragraph" w:customStyle="1" w:styleId="291">
    <w:name w:val="Style28"/>
    <w:basedOn w:val="1"/>
    <w:unhideWhenUsed/>
    <w:qFormat/>
    <w:uiPriority w:val="0"/>
    <w:pPr>
      <w:spacing w:line="552" w:lineRule="exact"/>
      <w:ind w:firstLine="547"/>
    </w:pPr>
  </w:style>
  <w:style w:type="paragraph" w:customStyle="1" w:styleId="292">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3">
    <w:name w:val="标题 32"/>
    <w:basedOn w:val="1"/>
    <w:next w:val="189"/>
    <w:qFormat/>
    <w:uiPriority w:val="0"/>
    <w:pPr>
      <w:spacing w:before="60" w:line="300" w:lineRule="auto"/>
      <w:outlineLvl w:val="2"/>
    </w:pPr>
    <w:rPr>
      <w:rFonts w:hint="eastAsia" w:ascii="宋体" w:hAnsi="宋体" w:cs="黑体"/>
      <w:snapToGrid w:val="0"/>
      <w:kern w:val="0"/>
      <w:sz w:val="24"/>
      <w:szCs w:val="20"/>
    </w:rPr>
  </w:style>
  <w:style w:type="paragraph" w:customStyle="1" w:styleId="294">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5">
    <w:name w:val="正文缩进 字符"/>
    <w:link w:val="13"/>
    <w:qFormat/>
    <w:uiPriority w:val="0"/>
    <w:rPr>
      <w:rFonts w:ascii="Times New Roman" w:hAnsi="Times New Roman" w:eastAsia="宋体" w:cs="Times New Roman"/>
      <w:kern w:val="0"/>
      <w:sz w:val="20"/>
      <w:szCs w:val="20"/>
    </w:rPr>
  </w:style>
  <w:style w:type="character" w:customStyle="1" w:styleId="296">
    <w:name w:val="公文正文 Char Char"/>
    <w:link w:val="297"/>
    <w:qFormat/>
    <w:uiPriority w:val="0"/>
    <w:rPr>
      <w:rFonts w:ascii="仿宋_GB2312" w:hAnsi="Calisto MT" w:eastAsia="仿宋_GB2312"/>
      <w:color w:val="000000"/>
      <w:sz w:val="32"/>
    </w:rPr>
  </w:style>
  <w:style w:type="paragraph" w:customStyle="1" w:styleId="297">
    <w:name w:val="公文正文"/>
    <w:link w:val="296"/>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8">
    <w:name w:val="普通文字 Char Char"/>
    <w:qFormat/>
    <w:uiPriority w:val="0"/>
    <w:rPr>
      <w:rFonts w:ascii="宋体" w:hAnsi="Courier New" w:eastAsia="宋体"/>
      <w:kern w:val="2"/>
      <w:sz w:val="21"/>
      <w:lang w:val="en-US" w:eastAsia="zh-CN" w:bidi="ar-SA"/>
    </w:rPr>
  </w:style>
  <w:style w:type="character" w:customStyle="1" w:styleId="299">
    <w:name w:val="副标题 Char1"/>
    <w:qFormat/>
    <w:uiPriority w:val="0"/>
    <w:rPr>
      <w:rFonts w:ascii="Cambria" w:hAnsi="Cambria" w:cs="Times New Roman"/>
      <w:b/>
      <w:bCs/>
      <w:kern w:val="28"/>
      <w:sz w:val="32"/>
      <w:szCs w:val="32"/>
    </w:rPr>
  </w:style>
  <w:style w:type="character" w:customStyle="1" w:styleId="300">
    <w:name w:val="无间隔 字符"/>
    <w:link w:val="301"/>
    <w:qFormat/>
    <w:uiPriority w:val="1"/>
    <w:rPr>
      <w:rFonts w:ascii="Calibri" w:hAnsi="Calibri"/>
      <w:sz w:val="22"/>
      <w:szCs w:val="22"/>
    </w:rPr>
  </w:style>
  <w:style w:type="paragraph" w:styleId="301">
    <w:name w:val="No Spacing"/>
    <w:link w:val="300"/>
    <w:qFormat/>
    <w:uiPriority w:val="1"/>
    <w:rPr>
      <w:rFonts w:ascii="Calibri" w:hAnsi="Calibri" w:eastAsiaTheme="minorEastAsia" w:cstheme="minorBidi"/>
      <w:sz w:val="22"/>
      <w:szCs w:val="22"/>
      <w:lang w:val="en-US" w:eastAsia="zh-CN" w:bidi="ar-SA"/>
    </w:rPr>
  </w:style>
  <w:style w:type="character" w:customStyle="1" w:styleId="302">
    <w:name w:val="样式 样式 样式 标题 2标题 1.1第一层条第二层论文标题 1Para2Title1H2h22l2list + ch...1 ... Char Char"/>
    <w:link w:val="303"/>
    <w:qFormat/>
    <w:uiPriority w:val="0"/>
    <w:rPr>
      <w:rFonts w:ascii="Arial" w:hAnsi="Arial" w:cs="宋体"/>
      <w:b/>
      <w:color w:val="000000"/>
      <w:sz w:val="28"/>
      <w:szCs w:val="28"/>
    </w:rPr>
  </w:style>
  <w:style w:type="paragraph" w:customStyle="1" w:styleId="303">
    <w:name w:val="样式 样式 样式 标题 2标题 1.1第一层条第二层论文标题 1Para2Title1H2h22l2list + ch...1 ..."/>
    <w:basedOn w:val="304"/>
    <w:link w:val="302"/>
    <w:qFormat/>
    <w:uiPriority w:val="0"/>
    <w:pPr>
      <w:tabs>
        <w:tab w:val="left" w:pos="567"/>
        <w:tab w:val="left" w:pos="840"/>
        <w:tab w:val="left" w:pos="965"/>
      </w:tabs>
      <w:spacing w:beforeLines="0" w:afterLines="0"/>
      <w:ind w:left="965" w:right="105" w:hanging="425"/>
    </w:pPr>
    <w:rPr>
      <w:sz w:val="28"/>
      <w:szCs w:val="28"/>
    </w:rPr>
  </w:style>
  <w:style w:type="paragraph" w:customStyle="1" w:styleId="304">
    <w:name w:val="样式 样式 标题 2标题 1.1第一层条第二层论文标题 1Para2Title1H2h22l2list + ch...1 + 右...1"/>
    <w:basedOn w:val="305"/>
    <w:link w:val="317"/>
    <w:qFormat/>
    <w:uiPriority w:val="0"/>
    <w:pPr>
      <w:tabs>
        <w:tab w:val="left" w:pos="567"/>
        <w:tab w:val="left" w:pos="840"/>
      </w:tabs>
      <w:spacing w:beforeLines="50" w:afterLines="50"/>
      <w:ind w:left="576"/>
    </w:pPr>
  </w:style>
  <w:style w:type="paragraph" w:customStyle="1" w:styleId="305">
    <w:name w:val="样式 标题 2标题 1.1第一层条第二层论文标题 1Para2Title1H2h22l2list + ch...1"/>
    <w:basedOn w:val="4"/>
    <w:link w:val="318"/>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6">
    <w:name w:val="列表框1 Char Char"/>
    <w:link w:val="307"/>
    <w:qFormat/>
    <w:uiPriority w:val="0"/>
    <w:rPr>
      <w:rFonts w:ascii="Arial" w:hAnsi="Arial" w:eastAsia="楷体_GB2312" w:cs="Arial"/>
      <w:spacing w:val="10"/>
      <w:szCs w:val="24"/>
    </w:rPr>
  </w:style>
  <w:style w:type="paragraph" w:customStyle="1" w:styleId="307">
    <w:name w:val="列表框1"/>
    <w:basedOn w:val="308"/>
    <w:next w:val="308"/>
    <w:link w:val="306"/>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8">
    <w:name w:val="应答文本"/>
    <w:basedOn w:val="1"/>
    <w:link w:val="323"/>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9">
    <w:name w:val="普通文字 Char2"/>
    <w:qFormat/>
    <w:uiPriority w:val="0"/>
    <w:rPr>
      <w:rFonts w:ascii="宋体" w:hAnsi="Courier New" w:eastAsia="宋体"/>
      <w:kern w:val="2"/>
      <w:sz w:val="21"/>
      <w:lang w:val="en-US" w:eastAsia="zh-CN" w:bidi="ar-SA"/>
    </w:rPr>
  </w:style>
  <w:style w:type="character" w:customStyle="1" w:styleId="310">
    <w:name w:val="样式 标题 1标题 1 111121314151111211311611212213217113... Char Char"/>
    <w:link w:val="311"/>
    <w:qFormat/>
    <w:uiPriority w:val="0"/>
    <w:rPr>
      <w:rFonts w:ascii="宋体" w:hAnsi="宋体" w:eastAsia="黑体"/>
      <w:bCs/>
      <w:kern w:val="44"/>
      <w:sz w:val="48"/>
      <w:szCs w:val="32"/>
    </w:rPr>
  </w:style>
  <w:style w:type="paragraph" w:customStyle="1" w:styleId="311">
    <w:name w:val="样式 标题 1标题 1 111121314151111211311611212213217113..."/>
    <w:basedOn w:val="3"/>
    <w:link w:val="310"/>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2">
    <w:name w:val="even Char Char"/>
    <w:qFormat/>
    <w:uiPriority w:val="0"/>
    <w:rPr>
      <w:rFonts w:eastAsia="宋体"/>
      <w:kern w:val="2"/>
      <w:sz w:val="18"/>
      <w:szCs w:val="24"/>
      <w:lang w:val="en-US" w:eastAsia="zh-CN" w:bidi="ar-SA"/>
    </w:rPr>
  </w:style>
  <w:style w:type="character" w:customStyle="1" w:styleId="313">
    <w:name w:val="样式 标题 4Para4CDR_Lev 4Title3h44 dashddash + (符号) 宋体 加粗 Char Char"/>
    <w:link w:val="314"/>
    <w:qFormat/>
    <w:uiPriority w:val="0"/>
    <w:rPr>
      <w:rFonts w:ascii="Arial" w:hAnsi="Arial" w:eastAsia="黑体"/>
      <w:snapToGrid w:val="0"/>
      <w:sz w:val="28"/>
      <w:szCs w:val="24"/>
    </w:rPr>
  </w:style>
  <w:style w:type="paragraph" w:customStyle="1" w:styleId="314">
    <w:name w:val="样式 标题 4Para4CDR_Lev 4Title3h44 dashddash + (符号) 宋体 加粗"/>
    <w:basedOn w:val="6"/>
    <w:link w:val="313"/>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5">
    <w:name w:val="纯文本 Char"/>
    <w:qFormat/>
    <w:uiPriority w:val="0"/>
    <w:rPr>
      <w:rFonts w:ascii="宋体" w:hAnsi="Courier New" w:cs="Courier New"/>
      <w:kern w:val="2"/>
      <w:sz w:val="21"/>
      <w:szCs w:val="21"/>
    </w:rPr>
  </w:style>
  <w:style w:type="character" w:customStyle="1" w:styleId="316">
    <w:name w:val="style131"/>
    <w:qFormat/>
    <w:uiPriority w:val="0"/>
    <w:rPr>
      <w:rFonts w:eastAsia="宋体"/>
      <w:kern w:val="2"/>
      <w:sz w:val="24"/>
      <w:szCs w:val="24"/>
      <w:lang w:val="en-US" w:eastAsia="zh-CN" w:bidi="ar-SA"/>
    </w:rPr>
  </w:style>
  <w:style w:type="character" w:customStyle="1" w:styleId="317">
    <w:name w:val="样式 样式 标题 2标题 1.1第一层条第二层论文标题 1Para2Title1H2h22l2list + ch...1 + 右...1 Char Char"/>
    <w:basedOn w:val="318"/>
    <w:link w:val="304"/>
    <w:qFormat/>
    <w:uiPriority w:val="0"/>
    <w:rPr>
      <w:rFonts w:ascii="Arial" w:hAnsi="Arial" w:cs="宋体"/>
      <w:color w:val="000000"/>
      <w:sz w:val="24"/>
      <w:szCs w:val="24"/>
    </w:rPr>
  </w:style>
  <w:style w:type="character" w:customStyle="1" w:styleId="318">
    <w:name w:val="样式 标题 2标题 1.1第一层条第二层论文标题 1Para2Title1H2h22l2list + ch...1 Char Char"/>
    <w:link w:val="305"/>
    <w:qFormat/>
    <w:uiPriority w:val="0"/>
    <w:rPr>
      <w:rFonts w:ascii="Arial" w:hAnsi="Arial" w:cs="宋体"/>
      <w:b/>
      <w:color w:val="000000"/>
      <w:sz w:val="24"/>
      <w:szCs w:val="24"/>
    </w:rPr>
  </w:style>
  <w:style w:type="character" w:customStyle="1" w:styleId="319">
    <w:name w:val="Char Char Char Char Char Char"/>
    <w:qFormat/>
    <w:uiPriority w:val="0"/>
    <w:rPr>
      <w:rFonts w:ascii="宋体" w:hAnsi="Courier New" w:eastAsia="宋体"/>
      <w:kern w:val="2"/>
      <w:sz w:val="21"/>
      <w:lang w:val="en-US" w:eastAsia="zh-CN" w:bidi="ar-SA"/>
    </w:rPr>
  </w:style>
  <w:style w:type="character" w:customStyle="1" w:styleId="320">
    <w:name w:val="页码2"/>
    <w:basedOn w:val="49"/>
    <w:qFormat/>
    <w:uiPriority w:val="0"/>
  </w:style>
  <w:style w:type="character" w:customStyle="1" w:styleId="321">
    <w:name w:val="样式 样式 样式 样式 标题 2标题 1.1第一层条第二层论文标题 1Para2Title1H2h22l2list + ch..... Char Char"/>
    <w:link w:val="322"/>
    <w:qFormat/>
    <w:uiPriority w:val="0"/>
    <w:rPr>
      <w:rFonts w:ascii="宋体" w:hAnsi="宋体" w:cs="宋体"/>
      <w:b/>
      <w:color w:val="000000"/>
      <w:szCs w:val="28"/>
    </w:rPr>
  </w:style>
  <w:style w:type="paragraph" w:customStyle="1" w:styleId="322">
    <w:name w:val="样式 样式 样式 样式 标题 2标题 1.1第一层条第二层论文标题 1Para2Title1H2h22l2list + ch....."/>
    <w:basedOn w:val="303"/>
    <w:link w:val="321"/>
    <w:qFormat/>
    <w:uiPriority w:val="0"/>
    <w:pPr>
      <w:spacing w:before="50" w:after="50"/>
      <w:ind w:left="1134" w:right="50" w:hanging="1134"/>
    </w:pPr>
    <w:rPr>
      <w:rFonts w:ascii="宋体" w:hAnsi="宋体"/>
      <w:sz w:val="20"/>
    </w:rPr>
  </w:style>
  <w:style w:type="character" w:customStyle="1" w:styleId="323">
    <w:name w:val="应答文本 Char Char"/>
    <w:link w:val="308"/>
    <w:qFormat/>
    <w:uiPriority w:val="0"/>
    <w:rPr>
      <w:rFonts w:ascii="Arial" w:hAnsi="Arial" w:eastAsia="楷体_GB2312" w:cs="宋体"/>
      <w:spacing w:val="10"/>
      <w:szCs w:val="24"/>
    </w:rPr>
  </w:style>
  <w:style w:type="paragraph" w:customStyle="1" w:styleId="324">
    <w:name w:val="章标题"/>
    <w:next w:val="325"/>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6">
    <w:name w:val="表格"/>
    <w:basedOn w:val="1"/>
    <w:qFormat/>
    <w:uiPriority w:val="0"/>
    <w:pPr>
      <w:jc w:val="center"/>
    </w:pPr>
    <w:rPr>
      <w:rFonts w:ascii="华文细黑" w:hAnsi="华文细黑"/>
      <w:kern w:val="0"/>
      <w:szCs w:val="20"/>
    </w:rPr>
  </w:style>
  <w:style w:type="paragraph" w:customStyle="1" w:styleId="327">
    <w:name w:val="_Style 11"/>
    <w:basedOn w:val="14"/>
    <w:qFormat/>
    <w:uiPriority w:val="0"/>
  </w:style>
  <w:style w:type="paragraph" w:customStyle="1" w:styleId="328">
    <w:name w:val="Char2"/>
    <w:basedOn w:val="1"/>
    <w:qFormat/>
    <w:uiPriority w:val="0"/>
    <w:rPr>
      <w:sz w:val="24"/>
    </w:rPr>
  </w:style>
  <w:style w:type="paragraph" w:customStyle="1" w:styleId="329">
    <w:name w:val="正文文本缩进1"/>
    <w:basedOn w:val="1"/>
    <w:qFormat/>
    <w:uiPriority w:val="0"/>
    <w:pPr>
      <w:ind w:firstLine="420" w:firstLineChars="200"/>
    </w:pPr>
  </w:style>
  <w:style w:type="paragraph" w:customStyle="1" w:styleId="330">
    <w:name w:val="正文缩进11"/>
    <w:basedOn w:val="1"/>
    <w:qFormat/>
    <w:uiPriority w:val="0"/>
    <w:pPr>
      <w:tabs>
        <w:tab w:val="left" w:pos="720"/>
      </w:tabs>
      <w:ind w:left="624" w:hanging="624"/>
      <w:textAlignment w:val="baseline"/>
    </w:pPr>
    <w:rPr>
      <w:rFonts w:hint="eastAsia" w:ascii="宋体"/>
      <w:szCs w:val="22"/>
    </w:rPr>
  </w:style>
  <w:style w:type="paragraph" w:customStyle="1" w:styleId="331">
    <w:name w:val="样式 行距: 1.5 倍行距"/>
    <w:basedOn w:val="1"/>
    <w:qFormat/>
    <w:uiPriority w:val="0"/>
    <w:pPr>
      <w:spacing w:line="360" w:lineRule="auto"/>
    </w:pPr>
    <w:rPr>
      <w:rFonts w:cs="宋体"/>
      <w:szCs w:val="20"/>
    </w:rPr>
  </w:style>
  <w:style w:type="paragraph" w:customStyle="1" w:styleId="332">
    <w:name w:val="Char Char1 Char Char Char Char Char Char Char Char Char Char"/>
    <w:basedOn w:val="1"/>
    <w:qFormat/>
    <w:uiPriority w:val="0"/>
    <w:rPr>
      <w:sz w:val="24"/>
    </w:rPr>
  </w:style>
  <w:style w:type="paragraph" w:customStyle="1" w:styleId="333">
    <w:name w:val="Char Char17 Char Char"/>
    <w:basedOn w:val="14"/>
    <w:qFormat/>
    <w:uiPriority w:val="0"/>
    <w:pPr>
      <w:widowControl/>
      <w:jc w:val="left"/>
    </w:pPr>
  </w:style>
  <w:style w:type="paragraph" w:customStyle="1" w:styleId="334">
    <w:name w:val="目录文字"/>
    <w:basedOn w:val="1"/>
    <w:qFormat/>
    <w:uiPriority w:val="0"/>
    <w:pPr>
      <w:widowControl/>
      <w:spacing w:line="480" w:lineRule="auto"/>
      <w:jc w:val="left"/>
    </w:pPr>
    <w:rPr>
      <w:rFonts w:ascii="宋体" w:hAnsi="宋体"/>
      <w:kern w:val="0"/>
      <w:sz w:val="24"/>
      <w:szCs w:val="20"/>
    </w:rPr>
  </w:style>
  <w:style w:type="paragraph" w:customStyle="1" w:styleId="335">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6">
    <w:name w:val="Char Char Char Char Char Char Char Char Char Char Char Char Char Char Char Char"/>
    <w:basedOn w:val="1"/>
    <w:qFormat/>
    <w:uiPriority w:val="0"/>
    <w:rPr>
      <w:szCs w:val="20"/>
    </w:rPr>
  </w:style>
  <w:style w:type="paragraph" w:styleId="337">
    <w:name w:val="List Paragraph"/>
    <w:basedOn w:val="1"/>
    <w:qFormat/>
    <w:uiPriority w:val="0"/>
    <w:pPr>
      <w:ind w:firstLine="420" w:firstLineChars="200"/>
    </w:pPr>
  </w:style>
  <w:style w:type="paragraph" w:customStyle="1" w:styleId="338">
    <w:name w:val="日期1"/>
    <w:basedOn w:val="1"/>
    <w:next w:val="1"/>
    <w:qFormat/>
    <w:uiPriority w:val="0"/>
    <w:pPr>
      <w:ind w:left="100" w:leftChars="2500"/>
    </w:pPr>
  </w:style>
  <w:style w:type="paragraph" w:customStyle="1" w:styleId="339">
    <w:name w:val="普通(网站)1"/>
    <w:basedOn w:val="1"/>
    <w:qFormat/>
    <w:uiPriority w:val="0"/>
    <w:pPr>
      <w:widowControl/>
      <w:jc w:val="left"/>
    </w:pPr>
    <w:rPr>
      <w:rFonts w:hint="eastAsia" w:ascii="宋体" w:hAnsi="宋体"/>
      <w:sz w:val="24"/>
    </w:rPr>
  </w:style>
  <w:style w:type="paragraph" w:customStyle="1" w:styleId="340">
    <w:name w:val="文档结构图1"/>
    <w:basedOn w:val="1"/>
    <w:qFormat/>
    <w:uiPriority w:val="0"/>
    <w:pPr>
      <w:shd w:val="clear" w:color="auto" w:fill="000080"/>
    </w:pPr>
  </w:style>
  <w:style w:type="paragraph" w:customStyle="1" w:styleId="341">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2">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3">
    <w:name w:val="正文文本 22"/>
    <w:basedOn w:val="1"/>
    <w:qFormat/>
    <w:uiPriority w:val="0"/>
    <w:pPr>
      <w:spacing w:after="120" w:line="480" w:lineRule="auto"/>
    </w:pPr>
  </w:style>
  <w:style w:type="paragraph" w:customStyle="1" w:styleId="344">
    <w:name w:val="Char Char Char Char"/>
    <w:basedOn w:val="1"/>
    <w:qFormat/>
    <w:uiPriority w:val="0"/>
  </w:style>
  <w:style w:type="paragraph" w:customStyle="1" w:styleId="345">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6">
    <w:name w:val="右侧正文"/>
    <w:basedOn w:val="1"/>
    <w:qFormat/>
    <w:uiPriority w:val="0"/>
    <w:pPr>
      <w:spacing w:line="360" w:lineRule="auto"/>
    </w:pPr>
    <w:rPr>
      <w:rFonts w:ascii="宋体" w:hAnsi="宋体"/>
      <w:sz w:val="24"/>
      <w:szCs w:val="28"/>
    </w:rPr>
  </w:style>
  <w:style w:type="paragraph" w:customStyle="1" w:styleId="347">
    <w:name w:val="WPSOffice手动目录 1"/>
    <w:qFormat/>
    <w:uiPriority w:val="0"/>
    <w:rPr>
      <w:rFonts w:ascii="Times New Roman" w:hAnsi="Times New Roman" w:eastAsia="宋体" w:cs="Times New Roman"/>
      <w:lang w:val="en-US" w:eastAsia="zh-CN" w:bidi="ar-SA"/>
    </w:rPr>
  </w:style>
  <w:style w:type="paragraph" w:customStyle="1" w:styleId="34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9">
    <w:name w:val="页码3"/>
    <w:basedOn w:val="49"/>
    <w:qFormat/>
    <w:uiPriority w:val="0"/>
  </w:style>
  <w:style w:type="paragraph" w:customStyle="1" w:styleId="350">
    <w:name w:val="普通(网站)2"/>
    <w:basedOn w:val="1"/>
    <w:qFormat/>
    <w:uiPriority w:val="0"/>
    <w:pPr>
      <w:widowControl/>
      <w:jc w:val="left"/>
    </w:pPr>
    <w:rPr>
      <w:rFonts w:hint="eastAsia" w:ascii="宋体" w:hAnsi="宋体"/>
      <w:sz w:val="24"/>
    </w:rPr>
  </w:style>
  <w:style w:type="character" w:customStyle="1" w:styleId="351">
    <w:name w:val="页脚 字符1"/>
    <w:basedOn w:val="49"/>
    <w:semiHidden/>
    <w:qFormat/>
    <w:uiPriority w:val="99"/>
    <w:rPr>
      <w:kern w:val="2"/>
      <w:sz w:val="18"/>
      <w:szCs w:val="18"/>
    </w:rPr>
  </w:style>
  <w:style w:type="paragraph" w:customStyle="1" w:styleId="352">
    <w:name w:val="正文文本 23"/>
    <w:basedOn w:val="1"/>
    <w:qFormat/>
    <w:uiPriority w:val="0"/>
    <w:pPr>
      <w:spacing w:after="120" w:line="480" w:lineRule="auto"/>
    </w:pPr>
  </w:style>
  <w:style w:type="character" w:customStyle="1" w:styleId="353">
    <w:name w:val="页眉 字符1"/>
    <w:basedOn w:val="49"/>
    <w:semiHidden/>
    <w:qFormat/>
    <w:uiPriority w:val="99"/>
    <w:rPr>
      <w:kern w:val="2"/>
      <w:sz w:val="18"/>
      <w:szCs w:val="18"/>
    </w:rPr>
  </w:style>
  <w:style w:type="paragraph" w:customStyle="1" w:styleId="354">
    <w:name w:val="文档结构图2"/>
    <w:basedOn w:val="1"/>
    <w:qFormat/>
    <w:uiPriority w:val="0"/>
    <w:pPr>
      <w:shd w:val="clear" w:color="auto" w:fill="000080"/>
    </w:pPr>
  </w:style>
  <w:style w:type="paragraph" w:customStyle="1" w:styleId="35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6">
    <w:name w:val="正文文本缩进2"/>
    <w:basedOn w:val="1"/>
    <w:qFormat/>
    <w:uiPriority w:val="0"/>
    <w:pPr>
      <w:ind w:firstLine="420" w:firstLineChars="200"/>
    </w:pPr>
  </w:style>
  <w:style w:type="paragraph" w:customStyle="1" w:styleId="357">
    <w:name w:val="日期2"/>
    <w:basedOn w:val="1"/>
    <w:next w:val="1"/>
    <w:qFormat/>
    <w:uiPriority w:val="0"/>
    <w:pPr>
      <w:ind w:left="100" w:leftChars="2500"/>
    </w:pPr>
  </w:style>
  <w:style w:type="paragraph" w:customStyle="1" w:styleId="358">
    <w:name w:val="样式3"/>
    <w:basedOn w:val="1"/>
    <w:next w:val="1"/>
    <w:qFormat/>
    <w:uiPriority w:val="0"/>
    <w:pPr>
      <w:spacing w:line="360" w:lineRule="auto"/>
      <w:ind w:firstLine="480"/>
      <w:jc w:val="left"/>
    </w:pPr>
    <w:rPr>
      <w:rFonts w:ascii="宋体"/>
      <w:sz w:val="24"/>
      <w:szCs w:val="22"/>
    </w:rPr>
  </w:style>
  <w:style w:type="paragraph" w:customStyle="1" w:styleId="359">
    <w:name w:val="附录图标题"/>
    <w:basedOn w:val="1"/>
    <w:next w:val="325"/>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60">
    <w:name w:val="正文表标题"/>
    <w:next w:val="325"/>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1">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2">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3">
    <w:name w:val="列项◆（三级）"/>
    <w:basedOn w:val="1"/>
    <w:qFormat/>
    <w:uiPriority w:val="0"/>
    <w:pPr>
      <w:numPr>
        <w:ilvl w:val="2"/>
        <w:numId w:val="4"/>
      </w:numPr>
      <w:tabs>
        <w:tab w:val="left" w:pos="1678"/>
      </w:tabs>
    </w:pPr>
    <w:rPr>
      <w:rFonts w:ascii="宋体"/>
      <w:szCs w:val="21"/>
    </w:rPr>
  </w:style>
  <w:style w:type="paragraph" w:customStyle="1" w:styleId="364">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5">
    <w:name w:val="附录章标题"/>
    <w:next w:val="325"/>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6">
    <w:name w:val="fontstyle01"/>
    <w:qFormat/>
    <w:uiPriority w:val="0"/>
    <w:rPr>
      <w:rFonts w:hint="eastAsia" w:ascii="宋体" w:hAnsi="宋体" w:eastAsia="宋体"/>
      <w:color w:val="000000"/>
      <w:sz w:val="22"/>
      <w:szCs w:val="22"/>
    </w:rPr>
  </w:style>
  <w:style w:type="paragraph" w:customStyle="1" w:styleId="367">
    <w:name w:val="通用"/>
    <w:basedOn w:val="1"/>
    <w:qFormat/>
    <w:uiPriority w:val="99"/>
    <w:pPr>
      <w:tabs>
        <w:tab w:val="left" w:pos="851"/>
      </w:tabs>
      <w:adjustRightInd w:val="0"/>
      <w:snapToGrid w:val="0"/>
      <w:spacing w:beforeLines="200" w:line="360" w:lineRule="auto"/>
      <w:ind w:left="851" w:hanging="851"/>
      <w:outlineLvl w:val="3"/>
    </w:pPr>
    <w:rPr>
      <w:rFonts w:ascii="宋体" w:hAnsiTheme="minorHAnsi" w:eastAsiaTheme="minorEastAsia" w:cstheme="minorBidi"/>
      <w:b/>
      <w:sz w:val="24"/>
      <w:szCs w:val="20"/>
    </w:rPr>
  </w:style>
  <w:style w:type="paragraph" w:customStyle="1" w:styleId="368">
    <w:name w:val="Normal_0_1"/>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C3E1B6-2490-4299-906E-68A75FA90BE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38</Pages>
  <Words>15320</Words>
  <Characters>16084</Characters>
  <Lines>206</Lines>
  <Paragraphs>58</Paragraphs>
  <TotalTime>7</TotalTime>
  <ScaleCrop>false</ScaleCrop>
  <LinksUpToDate>false</LinksUpToDate>
  <CharactersWithSpaces>16855</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2021-05-17T02:20:00Z</dcterms:created>
  <dc:creator>李 毅</dc:creator>
  <cp:lastModifiedBy>奉翔</cp:lastModifiedBy>
  <cp:lastPrinted>2023-07-04T06:03:00Z</cp:lastPrinted>
  <dcterms:modified xsi:type="dcterms:W3CDTF">2024-01-15T07:56:14Z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7C874A77AA8D4DEBB146A54206B9C58F</vt:lpwstr>
  </property>
</Properties>
</file>