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720" w:lineRule="exact"/>
        <w:ind w:firstLine="640" w:firstLineChars="200"/>
        <w:jc w:val="both"/>
        <w:rPr>
          <w:rFonts w:ascii="宋体" w:hAnsi="宋体" w:cs="宋体"/>
          <w:b/>
          <w:bCs/>
          <w:color w:val="000000"/>
          <w:sz w:val="48"/>
          <w:szCs w:val="48"/>
        </w:rPr>
      </w:pPr>
      <w:r>
        <w:rPr>
          <w:rFonts w:hint="eastAsia" w:ascii="仿宋_GB2312" w:hAnsi="仿宋" w:eastAsia="仿宋_GB2312" w:cs="宋体"/>
          <w:bCs/>
          <w:color w:val="000000"/>
          <w:sz w:val="32"/>
          <w:szCs w:val="32"/>
        </w:rPr>
        <w:t>附件</w:t>
      </w:r>
      <w:r>
        <w:rPr>
          <w:rFonts w:ascii="仿宋_GB2312" w:hAnsi="仿宋" w:eastAsia="仿宋_GB2312" w:cs="宋体"/>
          <w:bCs/>
          <w:color w:val="000000"/>
          <w:sz w:val="32"/>
          <w:szCs w:val="32"/>
        </w:rPr>
        <w:t>2</w:t>
      </w:r>
    </w:p>
    <w:p>
      <w:pPr>
        <w:autoSpaceDN w:val="0"/>
        <w:spacing w:line="72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招标代理服务费计费方式</w:t>
      </w:r>
    </w:p>
    <w:bookmarkEnd w:id="0"/>
    <w:p>
      <w:pPr>
        <w:pStyle w:val="7"/>
        <w:numPr>
          <w:ilvl w:val="0"/>
          <w:numId w:val="1"/>
        </w:numPr>
        <w:spacing w:line="500" w:lineRule="exact"/>
        <w:ind w:firstLineChars="0"/>
        <w:rPr>
          <w:rFonts w:ascii="楷体_GB2312" w:hAnsi="楷体" w:eastAsia="楷体_GB2312" w:cs="___WRD_EMBED_SUB_40"/>
          <w:b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 w:cs="___WRD_EMBED_SUB_40"/>
          <w:b/>
          <w:bCs/>
          <w:color w:val="000000"/>
          <w:sz w:val="32"/>
          <w:szCs w:val="32"/>
        </w:rPr>
        <w:t>计算公式</w:t>
      </w:r>
    </w:p>
    <w:p>
      <w:pPr>
        <w:pStyle w:val="4"/>
        <w:spacing w:after="0" w:line="5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最</w:t>
      </w:r>
      <w:r>
        <w:rPr>
          <w:rFonts w:ascii="仿宋_GB2312" w:eastAsia="仿宋_GB2312"/>
          <w:color w:val="000000"/>
          <w:sz w:val="32"/>
          <w:szCs w:val="32"/>
        </w:rPr>
        <w:t>终</w:t>
      </w:r>
      <w:r>
        <w:rPr>
          <w:rFonts w:hint="eastAsia" w:ascii="仿宋_GB2312" w:eastAsia="仿宋_GB2312"/>
          <w:color w:val="000000"/>
          <w:sz w:val="32"/>
          <w:szCs w:val="32"/>
        </w:rPr>
        <w:t>招标代理服务费=招标代理服务费基准价格</w:t>
      </w:r>
      <w:r>
        <w:rPr>
          <w:rFonts w:hint="eastAsia"/>
          <w:color w:val="000000"/>
          <w:sz w:val="32"/>
          <w:szCs w:val="32"/>
        </w:rPr>
        <w:t>*</w:t>
      </w:r>
      <w:r>
        <w:rPr>
          <w:rFonts w:hint="eastAsia" w:ascii="仿宋_GB2312" w:eastAsia="仿宋_GB2312"/>
          <w:color w:val="000000"/>
          <w:sz w:val="32"/>
          <w:szCs w:val="32"/>
        </w:rPr>
        <w:t>折扣系数</w:t>
      </w:r>
    </w:p>
    <w:p>
      <w:pPr>
        <w:pStyle w:val="4"/>
        <w:spacing w:after="0" w:line="5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折扣系数以中选招标代理机构竞选文件中的报价为准。</w:t>
      </w:r>
    </w:p>
    <w:p>
      <w:pPr>
        <w:pStyle w:val="7"/>
        <w:numPr>
          <w:ilvl w:val="0"/>
          <w:numId w:val="1"/>
        </w:numPr>
        <w:spacing w:line="500" w:lineRule="exact"/>
        <w:ind w:firstLineChars="0"/>
        <w:rPr>
          <w:rFonts w:ascii="楷体_GB2312" w:hAnsi="楷体" w:eastAsia="楷体_GB2312" w:cs="___WRD_EMBED_SUB_40"/>
          <w:b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 w:cs="___WRD_EMBED_SUB_40"/>
          <w:b/>
          <w:bCs/>
          <w:color w:val="000000"/>
          <w:sz w:val="32"/>
          <w:szCs w:val="32"/>
        </w:rPr>
        <w:t>招标代理服务费基准价格计算方式</w:t>
      </w:r>
    </w:p>
    <w:tbl>
      <w:tblPr>
        <w:tblStyle w:val="5"/>
        <w:tblW w:w="8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1831"/>
        <w:gridCol w:w="183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673" w:type="dxa"/>
            <w:noWrap w:val="0"/>
            <w:vAlign w:val="top"/>
          </w:tcPr>
          <w:p>
            <w:pPr>
              <w:spacing w:line="320" w:lineRule="exact"/>
              <w:ind w:firstLine="1470" w:firstLineChars="700"/>
              <w:rPr>
                <w:rFonts w:ascii="宋体" w:hAnsi="宋体"/>
                <w:b/>
                <w:color w:val="000000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8890</wp:posOffset>
                      </wp:positionV>
                      <wp:extent cx="942975" cy="666750"/>
                      <wp:effectExtent l="2540" t="3810" r="6985" b="152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6667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3.6pt;margin-top:0.7pt;height:52.5pt;width:74.25pt;z-index:251660288;mso-width-relative:page;mso-height-relative:page;" filled="f" stroked="t" coordsize="21600,21600" o:gfxdata="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ouB19YAAAAJAQAADwAAAAAAAAABACAAAAAiAAAAZHJzL2Rvd25yZXYueG1s&#10;UEsBAhQAFAAAAAgAh07iQP/QrJb6AQAA1wMAAA4AAAAAAAAAAQAgAAAAJQEAAGRycy9lMm9Eb2Mu&#10;eG1sUEsFBgAAAAAGAAYAWQEAAJE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-6350</wp:posOffset>
                  </wp:positionV>
                  <wp:extent cx="635" cy="0"/>
                  <wp:effectExtent l="0" t="0" r="0" b="0"/>
                  <wp:wrapNone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color w:val="000000"/>
              </w:rPr>
              <w:t>服务类型</w:t>
            </w:r>
          </w:p>
          <w:p>
            <w:pPr>
              <w:spacing w:line="320" w:lineRule="exact"/>
              <w:ind w:firstLine="840" w:firstLineChars="400"/>
              <w:rPr>
                <w:rFonts w:ascii="宋体" w:hAnsi="宋体"/>
                <w:b/>
                <w:color w:val="000000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-77470</wp:posOffset>
                      </wp:positionH>
                      <wp:positionV relativeFrom="paragraph">
                        <wp:posOffset>59055</wp:posOffset>
                      </wp:positionV>
                      <wp:extent cx="1714500" cy="419100"/>
                      <wp:effectExtent l="1270" t="4445" r="17780" b="1460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1pt;margin-top:4.65pt;height:33pt;width:135pt;mso-position-horizontal-relative:margin;z-index:251661312;mso-width-relative:page;mso-height-relative:page;" filled="f" stroked="t" coordsize="21600,21600" o:gfxdata="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3g+nD1wAAAAgBAAAPAAAAAAAAAAEAIAAAACIAAABkcnMvZG93bnJldi54bWxQ&#10;SwECFAAUAAAACACHTuJAyYsWMfgBAADaAwAADgAAAAAAAAABACAAAAAmAQAAZHJzL2Uyb0RvYy54&#10;bWxQSwUGAAAAAAYABgBZAQAAkA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/>
                <w:b/>
                <w:color w:val="000000"/>
              </w:rPr>
              <w:t>费</w:t>
            </w:r>
            <w:r>
              <w:rPr>
                <w:rFonts w:hint="eastAsia" w:ascii="宋体" w:hAnsi="宋体"/>
                <w:b/>
                <w:color w:val="000000"/>
              </w:rPr>
              <w:t>率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中标金额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货物招标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服务招标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工程招标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7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100万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  <w:r>
              <w:rPr>
                <w:rFonts w:hint="eastAsia" w:ascii="宋体" w:hAnsi="宋体"/>
                <w:color w:val="000000"/>
              </w:rPr>
              <w:t>以下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100-500万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1.1%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0.8%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673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500-1000万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0.8%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0.45%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1000～2000万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0.25%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2000～</w:t>
            </w:r>
            <w:r>
              <w:rPr>
                <w:rFonts w:ascii="宋体" w:hAnsi="宋体"/>
                <w:color w:val="000000"/>
              </w:rPr>
              <w:t>3000</w:t>
            </w:r>
            <w:r>
              <w:rPr>
                <w:rFonts w:hint="eastAsia" w:ascii="宋体" w:hAnsi="宋体"/>
                <w:color w:val="000000"/>
              </w:rPr>
              <w:t>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0.25%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3000～4000万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0.25%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4000～5000万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hint="eastAsia" w:ascii="宋体" w:hAnsi="宋体"/>
                <w:color w:val="000000"/>
              </w:rPr>
              <w:t>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0.25%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5000～1亿元（不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0.25%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0.1%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1～5亿元（不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5～10亿元（不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0.035%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0.035%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10～50亿元（不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0.008%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0.008%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0.008%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50～100亿元（不</w:t>
            </w:r>
            <w:r>
              <w:rPr>
                <w:rFonts w:ascii="宋体" w:hAnsi="宋体"/>
                <w:color w:val="000000"/>
              </w:rPr>
              <w:t>含）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0.006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0.006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0.006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100亿以上</w:t>
            </w:r>
          </w:p>
        </w:tc>
        <w:tc>
          <w:tcPr>
            <w:tcW w:w="183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0.004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0.004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0.004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</w:tr>
    </w:tbl>
    <w:p>
      <w:pPr>
        <w:spacing w:line="276" w:lineRule="auto"/>
        <w:ind w:firstLine="360" w:firstLineChars="1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说明：</w:t>
      </w:r>
    </w:p>
    <w:p>
      <w:pPr>
        <w:ind w:left="420" w:left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招标代理服务费基准价格计算方式参照《招标代理服务收费管理暂行办法》</w:t>
      </w:r>
      <w:r>
        <w:rPr>
          <w:rFonts w:ascii="宋体" w:hAnsi="宋体"/>
          <w:color w:val="000000"/>
        </w:rPr>
        <w:t>(计价格〔2002〕1980号) 、《关于降低部分建设项目收费标准规范收费行为等有关问题的通知》（发改价格〔2011〕534号）</w:t>
      </w:r>
      <w:r>
        <w:rPr>
          <w:rFonts w:hint="eastAsia" w:ascii="宋体" w:hAnsi="宋体"/>
          <w:color w:val="000000"/>
        </w:rPr>
        <w:t>执行。</w:t>
      </w:r>
    </w:p>
    <w:p>
      <w:pPr>
        <w:ind w:left="420" w:left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.</w:t>
      </w:r>
      <w:r>
        <w:rPr>
          <w:rFonts w:hint="eastAsia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招标代理服务费基准价格以所</w:t>
      </w:r>
      <w:r>
        <w:rPr>
          <w:rFonts w:ascii="宋体" w:hAnsi="宋体"/>
          <w:color w:val="000000"/>
        </w:rPr>
        <w:t>代理招标项目中标金额为计</w:t>
      </w:r>
      <w:r>
        <w:rPr>
          <w:rFonts w:hint="eastAsia" w:ascii="宋体" w:hAnsi="宋体"/>
          <w:color w:val="000000"/>
        </w:rPr>
        <w:t>算</w:t>
      </w:r>
      <w:r>
        <w:rPr>
          <w:rFonts w:ascii="宋体" w:hAnsi="宋体"/>
          <w:color w:val="000000"/>
        </w:rPr>
        <w:t>基数，</w:t>
      </w:r>
      <w:r>
        <w:rPr>
          <w:rFonts w:hint="eastAsia" w:ascii="宋体" w:hAnsi="宋体"/>
          <w:color w:val="000000"/>
        </w:rPr>
        <w:t xml:space="preserve">按差额定率累进法计算。例如：某工程招标项目中标金额为6000万元，计算该项目招标代理服务费基准价格方式如下： </w:t>
      </w:r>
    </w:p>
    <w:p>
      <w:pPr>
        <w:ind w:firstLine="462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100万元×1.0%=1万元 </w:t>
      </w:r>
      <w:r>
        <w:rPr>
          <w:rFonts w:ascii="宋体" w:hAnsi="宋体"/>
          <w:color w:val="000000"/>
        </w:rPr>
        <w:t xml:space="preserve">          </w:t>
      </w:r>
    </w:p>
    <w:p>
      <w:pPr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（500-100）万元×0.7%=2.8万元</w:t>
      </w:r>
    </w:p>
    <w:p>
      <w:pPr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（1000-500）×0.55%=2.75万元 </w:t>
      </w:r>
      <w:r>
        <w:rPr>
          <w:rFonts w:ascii="宋体" w:hAnsi="宋体"/>
          <w:color w:val="000000"/>
        </w:rPr>
        <w:t xml:space="preserve">   </w:t>
      </w:r>
    </w:p>
    <w:p>
      <w:pPr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（5000-1000）×0.35%=14万元</w:t>
      </w:r>
    </w:p>
    <w:p>
      <w:pPr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（6000-5000）×0.2%=2万元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</w:t>
      </w:r>
      <w:r>
        <w:rPr>
          <w:rFonts w:hint="eastAsia" w:ascii="宋体" w:hAnsi="宋体"/>
          <w:color w:val="000000"/>
        </w:rPr>
        <w:t>招标代理服务费基准价格=1+2.8+2.75+14+2=22.55（万元）</w:t>
      </w:r>
    </w:p>
    <w:p>
      <w:pPr>
        <w:pStyle w:val="7"/>
        <w:numPr>
          <w:ilvl w:val="0"/>
          <w:numId w:val="1"/>
        </w:numPr>
        <w:spacing w:line="500" w:lineRule="exact"/>
        <w:ind w:firstLineChars="0"/>
        <w:rPr>
          <w:rFonts w:ascii="楷体_GB2312" w:hAnsi="楷体" w:eastAsia="楷体_GB2312" w:cs="___WRD_EMBED_SUB_40"/>
          <w:b/>
          <w:bCs/>
          <w:color w:val="000000"/>
          <w:sz w:val="32"/>
          <w:szCs w:val="32"/>
        </w:rPr>
      </w:pPr>
      <w:r>
        <w:rPr>
          <w:rFonts w:hint="eastAsia" w:ascii="楷体_GB2312" w:hAnsi="楷体" w:eastAsia="楷体_GB2312" w:cs="___WRD_EMBED_SUB_40"/>
          <w:b/>
          <w:bCs/>
          <w:color w:val="000000"/>
          <w:sz w:val="32"/>
          <w:szCs w:val="32"/>
        </w:rPr>
        <w:t>其他</w:t>
      </w:r>
    </w:p>
    <w:p>
      <w:pPr>
        <w:pStyle w:val="4"/>
        <w:spacing w:after="0" w:line="50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中标金额</w:t>
      </w:r>
      <w:r>
        <w:rPr>
          <w:rFonts w:ascii="仿宋_GB2312" w:eastAsia="仿宋_GB2312"/>
          <w:color w:val="000000"/>
          <w:sz w:val="32"/>
          <w:szCs w:val="32"/>
        </w:rPr>
        <w:t>10亿元以下项目的招标代理服务费最高不得超过30万元，中标</w:t>
      </w:r>
      <w:r>
        <w:rPr>
          <w:rFonts w:hint="eastAsia" w:ascii="仿宋_GB2312" w:eastAsia="仿宋_GB2312"/>
          <w:color w:val="000000"/>
          <w:sz w:val="32"/>
          <w:szCs w:val="32"/>
        </w:rPr>
        <w:t>金额</w:t>
      </w:r>
      <w:r>
        <w:rPr>
          <w:rFonts w:ascii="仿宋_GB2312" w:eastAsia="仿宋_GB2312"/>
          <w:color w:val="000000"/>
          <w:sz w:val="32"/>
          <w:szCs w:val="32"/>
        </w:rPr>
        <w:t>10亿元（含）以上项目的招标代理服务费最高不得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超过50万元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。</w:t>
      </w:r>
    </w:p>
    <w:p>
      <w:r>
        <w:rPr>
          <w:rFonts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长沙磁浮快线运营期2025年安保及安检外委服务项目、长沙磁浮快线运营期2025年保洁服务项目、长沙磁浮快线运营期2025年-2026年“四电集成”设备设施委外维保项目、长沙磁浮快线运营期2025年-2026年工建设备设施委外维保项目、长沙磁浮快线运营期2024年-2027年电梯设备维保项目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的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最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终招标代理服务费，</w:t>
      </w:r>
      <w:r>
        <w:rPr>
          <w:rFonts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以该招标项目的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中标金额作为招标代理服务费基准价格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计算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基数。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4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1343F"/>
    <w:multiLevelType w:val="multilevel"/>
    <w:tmpl w:val="0DD1343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4C7E"/>
    <w:rsid w:val="5A32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line="500" w:lineRule="exact"/>
      <w:ind w:firstLine="420" w:firstLineChars="2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2024-01-11T02:12:00Z</dcterms:created>
  <dc:creator>黄亦云</dc:creator>
  <cp:lastModifiedBy>黄亦云</cp:lastModifiedBy>
  <dcterms:modified xsi:type="dcterms:W3CDTF">2024-01-11T02:12:33Z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4CCC142A10CD4C49B56D30C45AFF9CA0</vt:lpwstr>
  </property>
</Properties>
</file>