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5" w:line="360" w:lineRule="auto"/>
        <w:ind w:right="117" w:firstLine="480" w:firstLineChars="200"/>
        <w:jc w:val="center"/>
        <w:rPr>
          <w:color w:val="000000" w:themeColor="text1"/>
          <w:kern w:val="0"/>
          <w:sz w:val="24"/>
          <w:highlight w:val="none"/>
          <w14:textFill>
            <w14:solidFill>
              <w14:schemeClr w14:val="tx1"/>
            </w14:solidFill>
          </w14:textFill>
        </w:rPr>
      </w:pPr>
    </w:p>
    <w:p>
      <w:pPr>
        <w:ind w:left="321" w:hanging="321" w:hangingChars="10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长沙市轨道交通1、2、3、4、5号线、西环线运营期2024年-2025年铁路轨距尺等计量器具及变压器油化验委外检测服务</w:t>
      </w:r>
    </w:p>
    <w:p>
      <w:pPr>
        <w:ind w:left="319" w:leftChars="152" w:firstLine="2891" w:firstLineChars="900"/>
        <w:jc w:val="both"/>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项目</w:t>
      </w:r>
      <w:r>
        <w:rPr>
          <w:rFonts w:hint="eastAsia" w:ascii="宋体" w:hAnsi="宋体" w:cs="宋体"/>
          <w:b/>
          <w:bCs/>
          <w:color w:val="auto"/>
          <w:sz w:val="32"/>
          <w:szCs w:val="32"/>
          <w:highlight w:val="none"/>
          <w:lang w:eastAsia="zh-CN"/>
        </w:rPr>
        <w:t>（</w:t>
      </w:r>
      <w:r>
        <w:rPr>
          <w:rFonts w:hint="eastAsia" w:ascii="宋体" w:hAnsi="宋体" w:cs="宋体"/>
          <w:b/>
          <w:bCs/>
          <w:color w:val="auto"/>
          <w:sz w:val="32"/>
          <w:szCs w:val="32"/>
          <w:highlight w:val="none"/>
          <w:lang w:val="en-US" w:eastAsia="zh-CN"/>
        </w:rPr>
        <w:t>第二次</w:t>
      </w:r>
      <w:r>
        <w:rPr>
          <w:rFonts w:hint="eastAsia" w:ascii="宋体" w:hAnsi="宋体" w:cs="宋体"/>
          <w:b/>
          <w:bCs/>
          <w:color w:val="auto"/>
          <w:sz w:val="32"/>
          <w:szCs w:val="32"/>
          <w:highlight w:val="none"/>
          <w:lang w:eastAsia="zh-CN"/>
        </w:rPr>
        <w:t>）</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jc w:val="center"/>
        <w:rPr>
          <w:color w:val="000000" w:themeColor="text1"/>
          <w:sz w:val="22"/>
          <w:szCs w:val="2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w:t>竞 争 性 采 购 文 件</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adjustRightInd w:val="0"/>
        <w:snapToGrid w:val="0"/>
        <w:spacing w:line="360" w:lineRule="auto"/>
        <w:ind w:firstLine="1948" w:firstLineChars="696"/>
        <w:jc w:val="both"/>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长沙市轨道交通一号线建设发展有限公司</w:t>
      </w:r>
    </w:p>
    <w:p>
      <w:pPr>
        <w:adjustRightInd w:val="0"/>
        <w:snapToGrid w:val="0"/>
        <w:spacing w:line="360" w:lineRule="auto"/>
        <w:ind w:firstLine="3360" w:firstLineChars="1200"/>
        <w:jc w:val="both"/>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长沙市轨道交通运营有限公司</w:t>
      </w:r>
    </w:p>
    <w:p>
      <w:pPr>
        <w:adjustRightInd w:val="0"/>
        <w:snapToGrid w:val="0"/>
        <w:spacing w:line="360" w:lineRule="auto"/>
        <w:ind w:firstLine="3348" w:firstLineChars="1196"/>
        <w:jc w:val="both"/>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长沙市轨道交通三号线建设发展有限公司</w:t>
      </w:r>
    </w:p>
    <w:p>
      <w:pPr>
        <w:adjustRightInd w:val="0"/>
        <w:snapToGrid w:val="0"/>
        <w:spacing w:line="360" w:lineRule="auto"/>
        <w:ind w:firstLine="3348" w:firstLineChars="1196"/>
        <w:jc w:val="both"/>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长沙市轨道交通四号线建设发展有限公司</w:t>
      </w:r>
    </w:p>
    <w:p>
      <w:pPr>
        <w:adjustRightInd w:val="0"/>
        <w:snapToGrid w:val="0"/>
        <w:spacing w:line="360" w:lineRule="auto"/>
        <w:ind w:firstLine="3348" w:firstLineChars="1196"/>
        <w:jc w:val="both"/>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长沙市轨道交通五号线建设发展有限公司</w:t>
      </w:r>
    </w:p>
    <w:p>
      <w:pPr>
        <w:spacing w:line="540" w:lineRule="exact"/>
        <w:ind w:firstLine="1960" w:firstLineChars="700"/>
        <w:rPr>
          <w:rFonts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日</w:t>
      </w:r>
      <w:r>
        <w:rPr>
          <w:rFonts w:hint="eastAsia" w:eastAsia="黑体"/>
          <w:color w:val="000000" w:themeColor="text1"/>
          <w:sz w:val="28"/>
          <w:szCs w:val="28"/>
          <w:highlight w:val="non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期：</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hint="eastAsia" w:eastAsia="黑体"/>
          <w:color w:val="000000" w:themeColor="text1"/>
          <w:sz w:val="28"/>
          <w:szCs w:val="28"/>
          <w:highlight w:val="none"/>
          <w:u w:val="single"/>
          <w:lang w:val="en-US" w:eastAsia="zh-CN"/>
          <w14:textFill>
            <w14:solidFill>
              <w14:schemeClr w14:val="tx1"/>
            </w14:solidFill>
          </w14:textFill>
        </w:rPr>
        <w:t>2023</w:t>
      </w:r>
      <w:r>
        <w:rPr>
          <w:rFonts w:hint="eastAsia" w:ascii="黑体" w:hAnsi="黑体"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lang w:val="en-US" w:eastAsia="zh-CN"/>
          <w14:textFill>
            <w14:solidFill>
              <w14:schemeClr w14:val="tx1"/>
            </w14:solidFill>
          </w14:textFill>
        </w:rPr>
        <w:t>10</w:t>
      </w:r>
      <w:r>
        <w:rPr>
          <w:rFonts w:hint="eastAsia" w:ascii="黑体" w:hAnsi="黑体" w:eastAsia="黑体"/>
          <w:color w:val="000000" w:themeColor="text1"/>
          <w:sz w:val="28"/>
          <w:szCs w:val="28"/>
          <w:highlight w:val="none"/>
          <w14:textFill>
            <w14:solidFill>
              <w14:schemeClr w14:val="tx1"/>
            </w14:solidFill>
          </w14:textFill>
        </w:rPr>
        <w:t>月</w:t>
      </w:r>
    </w:p>
    <w:p>
      <w:pPr>
        <w:pStyle w:val="2"/>
        <w:ind w:firstLine="440"/>
        <w:rPr>
          <w:color w:val="000000" w:themeColor="text1"/>
          <w:sz w:val="22"/>
          <w:szCs w:val="22"/>
          <w:highlight w:val="none"/>
          <w14:textFill>
            <w14:solidFill>
              <w14:schemeClr w14:val="tx1"/>
            </w14:solidFill>
          </w14:textFill>
        </w:rPr>
      </w:pPr>
    </w:p>
    <w:p>
      <w:pPr>
        <w:ind w:firstLine="435"/>
        <w:rPr>
          <w:rFonts w:ascii="华文中宋" w:hAnsi="华文中宋" w:eastAsia="华文中宋"/>
          <w:b/>
          <w:color w:val="000000" w:themeColor="text1"/>
          <w:sz w:val="52"/>
          <w:szCs w:val="52"/>
          <w:highlight w:val="none"/>
          <w14:textFill>
            <w14:solidFill>
              <w14:schemeClr w14:val="tx1"/>
            </w14:solidFill>
          </w14:textFill>
        </w:rPr>
      </w:pPr>
    </w:p>
    <w:p>
      <w:pPr>
        <w:pStyle w:val="26"/>
        <w:adjustRightInd w:val="0"/>
        <w:snapToGrid w:val="0"/>
        <w:spacing w:line="360" w:lineRule="auto"/>
        <w:rPr>
          <w:rFonts w:ascii="黑体" w:hAnsi="黑体" w:eastAsia="黑体" w:cs="宋体"/>
          <w:b/>
          <w:color w:val="000000" w:themeColor="text1"/>
          <w:spacing w:val="160"/>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6"/>
        <w:adjustRightInd w:val="0"/>
        <w:snapToGrid w:val="0"/>
        <w:spacing w:line="360" w:lineRule="auto"/>
        <w:jc w:val="center"/>
        <w:rPr>
          <w:rFonts w:ascii="黑体" w:hAnsi="黑体" w:eastAsia="黑体" w:cs="宋体"/>
          <w:b/>
          <w:color w:val="000000" w:themeColor="text1"/>
          <w:spacing w:val="160"/>
          <w:sz w:val="32"/>
          <w:szCs w:val="32"/>
          <w:highlight w:val="none"/>
          <w14:textFill>
            <w14:solidFill>
              <w14:schemeClr w14:val="tx1"/>
            </w14:solidFill>
          </w14:textFill>
        </w:rPr>
      </w:pPr>
      <w:r>
        <w:rPr>
          <w:rFonts w:hint="eastAsia" w:ascii="黑体" w:hAnsi="黑体" w:eastAsia="黑体" w:cs="宋体"/>
          <w:b/>
          <w:color w:val="000000" w:themeColor="text1"/>
          <w:spacing w:val="160"/>
          <w:sz w:val="32"/>
          <w:szCs w:val="32"/>
          <w:highlight w:val="none"/>
          <w14:textFill>
            <w14:solidFill>
              <w14:schemeClr w14:val="tx1"/>
            </w14:solidFill>
          </w14:textFill>
        </w:rPr>
        <w:t>目录</w:t>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_Toc32055 </w:instrText>
      </w:r>
      <w:r>
        <w:rPr>
          <w:highlight w:val="none"/>
        </w:rPr>
        <w:fldChar w:fldCharType="separate"/>
      </w:r>
      <w:r>
        <w:rPr>
          <w:rFonts w:hint="eastAsia" w:ascii="黑体" w:hAnsi="黑体" w:eastAsia="黑体" w:cs="黑体"/>
          <w:szCs w:val="32"/>
          <w:highlight w:val="none"/>
        </w:rPr>
        <w:t>第一章 竞争性采购公告</w:t>
      </w:r>
      <w:r>
        <w:rPr>
          <w:highlight w:val="none"/>
        </w:rPr>
        <w:tab/>
      </w:r>
      <w:r>
        <w:rPr>
          <w:highlight w:val="none"/>
        </w:rPr>
        <w:fldChar w:fldCharType="begin"/>
      </w:r>
      <w:r>
        <w:rPr>
          <w:highlight w:val="none"/>
        </w:rPr>
        <w:instrText xml:space="preserve"> PAGEREF _Toc32055 \h </w:instrText>
      </w:r>
      <w:r>
        <w:rPr>
          <w:highlight w:val="none"/>
        </w:rPr>
        <w:fldChar w:fldCharType="separate"/>
      </w:r>
      <w:r>
        <w:rPr>
          <w:highlight w:val="none"/>
        </w:rPr>
        <w:t>1</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_Toc14696 </w:instrText>
      </w:r>
      <w:r>
        <w:rPr>
          <w:highlight w:val="none"/>
        </w:rPr>
        <w:fldChar w:fldCharType="separate"/>
      </w:r>
      <w:r>
        <w:rPr>
          <w:rFonts w:hint="eastAsia" w:ascii="黑体" w:hAnsi="黑体" w:eastAsia="黑体" w:cs="黑体"/>
          <w:szCs w:val="32"/>
          <w:highlight w:val="none"/>
        </w:rPr>
        <w:t>第二章 竞争性采购须知</w:t>
      </w:r>
      <w:r>
        <w:rPr>
          <w:highlight w:val="none"/>
        </w:rPr>
        <w:tab/>
      </w:r>
      <w:r>
        <w:rPr>
          <w:highlight w:val="none"/>
        </w:rPr>
        <w:fldChar w:fldCharType="begin"/>
      </w:r>
      <w:r>
        <w:rPr>
          <w:highlight w:val="none"/>
        </w:rPr>
        <w:instrText xml:space="preserve"> PAGEREF _Toc14696 \h </w:instrText>
      </w:r>
      <w:r>
        <w:rPr>
          <w:highlight w:val="none"/>
        </w:rPr>
        <w:fldChar w:fldCharType="separate"/>
      </w:r>
      <w:r>
        <w:rPr>
          <w:highlight w:val="none"/>
        </w:rPr>
        <w:t>5</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_Toc29351 </w:instrText>
      </w:r>
      <w:r>
        <w:rPr>
          <w:highlight w:val="none"/>
        </w:rPr>
        <w:fldChar w:fldCharType="separate"/>
      </w:r>
      <w:r>
        <w:rPr>
          <w:rFonts w:hint="eastAsia" w:ascii="黑体" w:hAnsi="黑体" w:eastAsia="黑体" w:cs="黑体"/>
          <w:bCs/>
          <w:szCs w:val="32"/>
          <w:highlight w:val="none"/>
        </w:rPr>
        <w:t>第三章 评审办法及标准</w:t>
      </w:r>
      <w:r>
        <w:rPr>
          <w:highlight w:val="none"/>
        </w:rPr>
        <w:tab/>
      </w:r>
      <w:r>
        <w:rPr>
          <w:highlight w:val="none"/>
        </w:rPr>
        <w:fldChar w:fldCharType="begin"/>
      </w:r>
      <w:r>
        <w:rPr>
          <w:highlight w:val="none"/>
        </w:rPr>
        <w:instrText xml:space="preserve"> PAGEREF _Toc29351 \h </w:instrText>
      </w:r>
      <w:r>
        <w:rPr>
          <w:highlight w:val="none"/>
        </w:rPr>
        <w:fldChar w:fldCharType="separate"/>
      </w:r>
      <w:r>
        <w:rPr>
          <w:highlight w:val="none"/>
        </w:rPr>
        <w:t>21</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_Toc7076 </w:instrText>
      </w:r>
      <w:r>
        <w:rPr>
          <w:highlight w:val="none"/>
        </w:rPr>
        <w:fldChar w:fldCharType="separate"/>
      </w:r>
      <w:r>
        <w:rPr>
          <w:rFonts w:hint="eastAsia" w:ascii="黑体" w:eastAsia="黑体"/>
          <w:szCs w:val="32"/>
          <w:highlight w:val="none"/>
        </w:rPr>
        <w:t>第四章 合同条款及格式</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_Toc7076 \h </w:instrText>
      </w:r>
      <w:r>
        <w:rPr>
          <w:highlight w:val="none"/>
        </w:rPr>
        <w:fldChar w:fldCharType="separate"/>
      </w:r>
      <w:r>
        <w:rPr>
          <w:highlight w:val="none"/>
        </w:rPr>
        <w:t>27</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_Toc2030 </w:instrText>
      </w:r>
      <w:r>
        <w:rPr>
          <w:highlight w:val="none"/>
        </w:rPr>
        <w:fldChar w:fldCharType="separate"/>
      </w:r>
      <w:r>
        <w:rPr>
          <w:rFonts w:hint="eastAsia" w:ascii="黑体" w:hAnsi="Times New Roman" w:eastAsia="黑体" w:cs="Times New Roman"/>
          <w:bCs/>
          <w:kern w:val="2"/>
          <w:szCs w:val="32"/>
          <w:highlight w:val="none"/>
          <w:lang w:val="en-US" w:eastAsia="zh-CN" w:bidi="ar-SA"/>
        </w:rPr>
        <w:t>第五章 用户需求书（另册）</w:t>
      </w:r>
      <w:r>
        <w:rPr>
          <w:highlight w:val="none"/>
        </w:rPr>
        <w:tab/>
      </w:r>
      <w:r>
        <w:rPr>
          <w:highlight w:val="none"/>
        </w:rPr>
        <w:fldChar w:fldCharType="begin"/>
      </w:r>
      <w:r>
        <w:rPr>
          <w:highlight w:val="none"/>
        </w:rPr>
        <w:instrText xml:space="preserve"> PAGEREF _Toc2030 \h </w:instrText>
      </w:r>
      <w:r>
        <w:rPr>
          <w:highlight w:val="none"/>
        </w:rPr>
        <w:fldChar w:fldCharType="separate"/>
      </w:r>
      <w:r>
        <w:rPr>
          <w:highlight w:val="none"/>
        </w:rPr>
        <w:t>28</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_Toc7423 </w:instrText>
      </w:r>
      <w:r>
        <w:rPr>
          <w:highlight w:val="none"/>
        </w:rPr>
        <w:fldChar w:fldCharType="separate"/>
      </w:r>
      <w:r>
        <w:rPr>
          <w:rFonts w:hint="eastAsia" w:ascii="黑体" w:eastAsia="黑体"/>
          <w:szCs w:val="32"/>
          <w:highlight w:val="none"/>
        </w:rPr>
        <w:t xml:space="preserve">第六章 </w:t>
      </w:r>
      <w:r>
        <w:rPr>
          <w:rFonts w:hint="eastAsia" w:ascii="黑体" w:hAnsi="Times New Roman" w:eastAsia="黑体" w:cs="Times New Roman"/>
          <w:szCs w:val="32"/>
          <w:highlight w:val="none"/>
        </w:rPr>
        <w:t>竞争性采购最高限价</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_Toc7423 \h </w:instrText>
      </w:r>
      <w:r>
        <w:rPr>
          <w:highlight w:val="none"/>
        </w:rPr>
        <w:fldChar w:fldCharType="separate"/>
      </w:r>
      <w:r>
        <w:rPr>
          <w:highlight w:val="none"/>
        </w:rPr>
        <w:t>29</w:t>
      </w:r>
      <w:r>
        <w:rPr>
          <w:highlight w:val="none"/>
        </w:rPr>
        <w:fldChar w:fldCharType="end"/>
      </w:r>
      <w:r>
        <w:rPr>
          <w:color w:val="000000" w:themeColor="text1"/>
          <w:highlight w:val="none"/>
          <w14:textFill>
            <w14:solidFill>
              <w14:schemeClr w14:val="tx1"/>
            </w14:solidFill>
          </w14:textFill>
        </w:rPr>
        <w:fldChar w:fldCharType="end"/>
      </w:r>
    </w:p>
    <w:p>
      <w:pPr>
        <w:pStyle w:val="33"/>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_Toc24815 </w:instrText>
      </w:r>
      <w:r>
        <w:rPr>
          <w:highlight w:val="none"/>
        </w:rPr>
        <w:fldChar w:fldCharType="separate"/>
      </w:r>
      <w:r>
        <w:rPr>
          <w:rFonts w:hint="eastAsia" w:ascii="黑体" w:eastAsia="黑体"/>
          <w:szCs w:val="32"/>
          <w:highlight w:val="none"/>
        </w:rPr>
        <w:t>第</w:t>
      </w:r>
      <w:r>
        <w:rPr>
          <w:rFonts w:hint="eastAsia" w:ascii="黑体" w:eastAsia="黑体"/>
          <w:szCs w:val="32"/>
          <w:highlight w:val="none"/>
          <w:lang w:val="en-US" w:eastAsia="zh-CN"/>
        </w:rPr>
        <w:t>七</w:t>
      </w:r>
      <w:r>
        <w:rPr>
          <w:rFonts w:hint="eastAsia" w:ascii="黑体" w:eastAsia="黑体"/>
          <w:szCs w:val="32"/>
          <w:highlight w:val="none"/>
        </w:rPr>
        <w:t>章 响应文件格式</w:t>
      </w:r>
      <w:r>
        <w:rPr>
          <w:highlight w:val="none"/>
        </w:rPr>
        <w:tab/>
      </w:r>
      <w:r>
        <w:rPr>
          <w:highlight w:val="none"/>
        </w:rPr>
        <w:fldChar w:fldCharType="begin"/>
      </w:r>
      <w:r>
        <w:rPr>
          <w:highlight w:val="none"/>
        </w:rPr>
        <w:instrText xml:space="preserve"> PAGEREF _Toc24815 \h </w:instrText>
      </w:r>
      <w:r>
        <w:rPr>
          <w:highlight w:val="none"/>
        </w:rPr>
        <w:fldChar w:fldCharType="separate"/>
      </w:r>
      <w:r>
        <w:rPr>
          <w:highlight w:val="none"/>
        </w:rPr>
        <w:t>30</w:t>
      </w:r>
      <w:r>
        <w:rPr>
          <w:highlight w:val="none"/>
        </w:rPr>
        <w:fldChar w:fldCharType="end"/>
      </w:r>
      <w:r>
        <w:rPr>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highlight w:val="none"/>
          <w14:textFill>
            <w14:solidFill>
              <w14:schemeClr w14:val="tx1"/>
            </w14:solidFill>
          </w14:textFill>
        </w:rPr>
      </w:pPr>
    </w:p>
    <w:p>
      <w:pPr>
        <w:spacing w:line="360" w:lineRule="exact"/>
        <w:rPr>
          <w:rFonts w:ascii="黑体" w:eastAsia="黑体"/>
          <w:b/>
          <w:color w:val="000000" w:themeColor="text1"/>
          <w:sz w:val="24"/>
          <w:highlight w:val="none"/>
          <w14:textFill>
            <w14:solidFill>
              <w14:schemeClr w14:val="tx1"/>
            </w14:solidFill>
          </w14:textFill>
        </w:rPr>
      </w:pPr>
    </w:p>
    <w:p>
      <w:pPr>
        <w:spacing w:line="360" w:lineRule="exact"/>
        <w:jc w:val="center"/>
        <w:rPr>
          <w:rFonts w:ascii="黑体" w:hAnsi="宋体" w:eastAsia="黑体"/>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 xml:space="preserve"> </w:t>
      </w:r>
      <w:bookmarkStart w:id="0" w:name="_Toc28078"/>
      <w:bookmarkStart w:id="1" w:name="_Toc32055"/>
      <w:bookmarkStart w:id="2" w:name="_Toc15335"/>
      <w:r>
        <w:rPr>
          <w:rFonts w:hint="eastAsia" w:ascii="黑体" w:hAnsi="黑体" w:eastAsia="黑体" w:cs="黑体"/>
          <w:b/>
          <w:color w:val="000000" w:themeColor="text1"/>
          <w:sz w:val="32"/>
          <w:szCs w:val="32"/>
          <w:highlight w:val="none"/>
          <w14:textFill>
            <w14:solidFill>
              <w14:schemeClr w14:val="tx1"/>
            </w14:solidFill>
          </w14:textFill>
        </w:rPr>
        <w:t>竞争性采购公告</w:t>
      </w:r>
      <w:bookmarkEnd w:id="0"/>
      <w:bookmarkEnd w:id="1"/>
      <w:bookmarkEnd w:id="2"/>
    </w:p>
    <w:p>
      <w:pPr>
        <w:pStyle w:val="2"/>
        <w:rPr>
          <w:rFonts w:ascii="黑体" w:hAnsi="黑体" w:eastAsia="黑体" w:cs="黑体"/>
          <w:color w:val="000000" w:themeColor="text1"/>
          <w:highlight w:val="none"/>
          <w14:textFill>
            <w14:solidFill>
              <w14:schemeClr w14:val="tx1"/>
            </w14:solidFill>
          </w14:textFill>
        </w:rPr>
      </w:pPr>
    </w:p>
    <w:p>
      <w:pPr>
        <w:spacing w:line="400" w:lineRule="exact"/>
        <w:ind w:left="482" w:firstLine="53" w:firstLineChars="19"/>
        <w:jc w:val="center"/>
        <w:rPr>
          <w:rFonts w:hint="eastAsia" w:ascii="宋体" w:hAnsi="宋体" w:cs="宋体"/>
          <w:b/>
          <w:bCs/>
          <w:color w:val="000000" w:themeColor="text1"/>
          <w:sz w:val="28"/>
          <w:szCs w:val="28"/>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长沙市轨道交通1、2、3、4、5号线、西环线运营期2024年-2025年铁路轨距尺等计量器具及变压器油化验委外检测服务项目</w:t>
      </w:r>
      <w:r>
        <w:rPr>
          <w:rFonts w:hint="eastAsia" w:ascii="宋体" w:hAnsi="宋体" w:cs="宋体"/>
          <w:b/>
          <w:bCs/>
          <w:color w:val="000000" w:themeColor="text1"/>
          <w:sz w:val="28"/>
          <w:szCs w:val="28"/>
          <w:highlight w:val="none"/>
          <w:u w:val="single"/>
          <w:lang w:val="en-US" w:eastAsia="zh-CN"/>
          <w14:textFill>
            <w14:solidFill>
              <w14:schemeClr w14:val="tx1"/>
            </w14:solidFill>
          </w14:textFill>
        </w:rPr>
        <w:t>（第二次）</w:t>
      </w:r>
    </w:p>
    <w:p>
      <w:pPr>
        <w:spacing w:line="400" w:lineRule="exact"/>
        <w:ind w:left="482" w:firstLine="53" w:firstLineChars="19"/>
        <w:jc w:val="center"/>
        <w:rPr>
          <w:rFonts w:ascii="宋体" w:hAnsi="宋体" w:cs="宋体"/>
          <w:b/>
          <w:bCs/>
          <w:color w:val="000000" w:themeColor="text1"/>
          <w:sz w:val="28"/>
          <w:szCs w:val="28"/>
          <w:highlight w:val="none"/>
          <w:u w:val="single"/>
          <w14:textFill>
            <w14:solidFill>
              <w14:schemeClr w14:val="tx1"/>
            </w14:solidFill>
          </w14:textFill>
        </w:rPr>
      </w:pPr>
      <w:r>
        <w:rPr>
          <w:rFonts w:hint="eastAsia" w:ascii="宋体" w:hAnsi="宋体" w:cs="宋体"/>
          <w:b/>
          <w:bCs/>
          <w:color w:val="000000" w:themeColor="text1"/>
          <w:sz w:val="28"/>
          <w:szCs w:val="28"/>
          <w:highlight w:val="none"/>
          <w:u w:val="single"/>
          <w14:textFill>
            <w14:solidFill>
              <w14:schemeClr w14:val="tx1"/>
            </w14:solidFill>
          </w14:textFill>
        </w:rPr>
        <w:t>竞争性采购公告</w:t>
      </w:r>
    </w:p>
    <w:p>
      <w:pPr>
        <w:pStyle w:val="26"/>
        <w:adjustRightInd w:val="0"/>
        <w:snapToGrid w:val="0"/>
        <w:spacing w:line="360" w:lineRule="auto"/>
        <w:rPr>
          <w:rFonts w:hAnsi="宋体"/>
          <w:iCs/>
          <w:color w:val="000000" w:themeColor="text1"/>
          <w:highlight w:val="none"/>
          <w:u w:val="single"/>
          <w14:textFill>
            <w14:solidFill>
              <w14:schemeClr w14:val="tx1"/>
            </w14:solidFill>
          </w14:textFill>
        </w:rPr>
      </w:pP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bookmarkStart w:id="3" w:name="_Toc19246"/>
      <w:bookmarkStart w:id="4" w:name="_Toc16911"/>
      <w:r>
        <w:rPr>
          <w:rFonts w:hint="eastAsia" w:ascii="宋体" w:hAnsi="宋体" w:eastAsia="宋体" w:cs="宋体"/>
          <w:b/>
          <w:bCs/>
          <w:color w:val="000000"/>
          <w:sz w:val="21"/>
          <w:szCs w:val="21"/>
          <w:highlight w:val="none"/>
        </w:rPr>
        <w:t>1.项目概况</w:t>
      </w:r>
    </w:p>
    <w:p>
      <w:pPr>
        <w:pStyle w:val="41"/>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8"/>
          <w:rFonts w:hint="eastAsia" w:ascii="宋体" w:hAnsi="宋体" w:eastAsia="宋体" w:cs="微软雅黑"/>
          <w:color w:val="000000"/>
          <w:sz w:val="21"/>
          <w:szCs w:val="21"/>
          <w:highlight w:val="none"/>
        </w:rPr>
        <w:t>1.1 采购条件</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w:t>
      </w:r>
      <w:r>
        <w:rPr>
          <w:rFonts w:hint="eastAsia" w:ascii="宋体" w:hAnsi="宋体" w:cs="宋体"/>
          <w:color w:val="auto"/>
          <w:sz w:val="21"/>
          <w:szCs w:val="21"/>
          <w:highlight w:val="none"/>
          <w:u w:val="single"/>
          <w:lang w:val="en-US" w:eastAsia="zh-CN"/>
        </w:rPr>
        <w:t>长沙市轨道交通1、2、3、4、5号线、西环线运营期2024年-2025年铁路轨距尺等计量器具及变压器油化验委外检测服务项目</w:t>
      </w:r>
      <w:r>
        <w:rPr>
          <w:rFonts w:hint="eastAsia" w:cs="宋体"/>
          <w:color w:val="auto"/>
          <w:sz w:val="21"/>
          <w:szCs w:val="21"/>
          <w:highlight w:val="none"/>
          <w:u w:val="single"/>
          <w:lang w:val="en-US" w:eastAsia="zh-CN"/>
        </w:rPr>
        <w:t>（第二次）</w:t>
      </w:r>
      <w:r>
        <w:rPr>
          <w:rFonts w:hint="eastAsia" w:ascii="宋体" w:hAnsi="宋体" w:eastAsia="宋体" w:cs="宋体"/>
          <w:color w:val="000000"/>
          <w:sz w:val="21"/>
          <w:szCs w:val="21"/>
          <w:highlight w:val="none"/>
          <w:shd w:val="clear" w:color="auto" w:fill="FFFFFF"/>
        </w:rPr>
        <w:t>，采购编号为</w:t>
      </w:r>
      <w:r>
        <w:rPr>
          <w:rFonts w:hint="eastAsia" w:ascii="宋体" w:hAnsi="宋体" w:eastAsia="宋体" w:cs="宋体"/>
          <w:color w:val="000000"/>
          <w:sz w:val="21"/>
          <w:szCs w:val="21"/>
          <w:highlight w:val="none"/>
          <w:u w:val="single"/>
        </w:rPr>
        <w:t>长轨运服采【202</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0</w:t>
      </w:r>
      <w:r>
        <w:rPr>
          <w:rFonts w:hint="eastAsia" w:cs="宋体"/>
          <w:color w:val="000000"/>
          <w:sz w:val="21"/>
          <w:szCs w:val="21"/>
          <w:highlight w:val="none"/>
          <w:u w:val="single"/>
          <w:lang w:val="en-US" w:eastAsia="zh-CN"/>
        </w:rPr>
        <w:t>50</w:t>
      </w:r>
      <w:r>
        <w:rPr>
          <w:rFonts w:hint="eastAsia" w:ascii="宋体" w:hAnsi="宋体" w:eastAsia="宋体" w:cs="宋体"/>
          <w:color w:val="000000"/>
          <w:sz w:val="21"/>
          <w:szCs w:val="21"/>
          <w:highlight w:val="none"/>
          <w:u w:val="single"/>
        </w:rPr>
        <w:t>号</w:t>
      </w:r>
      <w:r>
        <w:rPr>
          <w:rFonts w:hint="eastAsia" w:ascii="宋体" w:hAnsi="宋体" w:eastAsia="宋体" w:cs="宋体"/>
          <w:color w:val="000000"/>
          <w:sz w:val="21"/>
          <w:szCs w:val="21"/>
          <w:highlight w:val="none"/>
          <w:shd w:val="clear" w:color="auto" w:fill="FFFFFF"/>
        </w:rPr>
        <w:t>，采购人为</w:t>
      </w:r>
      <w:r>
        <w:rPr>
          <w:rFonts w:hint="eastAsia" w:ascii="Times New Roman" w:hAnsi="Times New Roman"/>
          <w:bCs/>
          <w:sz w:val="21"/>
          <w:szCs w:val="21"/>
          <w:u w:val="single"/>
        </w:rPr>
        <w:t>长沙市轨道交通一号线建设发展有限公司、长沙市轨道交通运营有限公司</w:t>
      </w:r>
      <w:r>
        <w:rPr>
          <w:rFonts w:hint="eastAsia" w:ascii="Times New Roman" w:hAnsi="Times New Roman"/>
          <w:bCs/>
          <w:sz w:val="21"/>
          <w:szCs w:val="21"/>
          <w:u w:val="single"/>
          <w:lang w:eastAsia="zh-CN"/>
        </w:rPr>
        <w:t>、</w:t>
      </w:r>
      <w:r>
        <w:rPr>
          <w:rStyle w:val="54"/>
          <w:rFonts w:hint="eastAsia" w:ascii="Times New Roman" w:hAnsi="Times New Roman" w:cs="Times New Roman"/>
          <w:color w:val="auto"/>
          <w:sz w:val="21"/>
          <w:szCs w:val="21"/>
          <w:u w:val="single"/>
          <w:shd w:val="clear" w:color="auto" w:fill="FFFFFF"/>
          <w:lang w:val="en-US" w:eastAsia="zh-CN"/>
        </w:rPr>
        <w:t>长沙市轨道交通三号线建设发展有限公司、长沙市轨道交通四号线建设发展有限公司、长沙市轨道交通五号线建设发展有限公司</w:t>
      </w:r>
      <w:r>
        <w:rPr>
          <w:rFonts w:hint="eastAsia" w:ascii="宋体" w:hAnsi="宋体" w:eastAsia="宋体" w:cs="宋体"/>
          <w:color w:val="000000"/>
          <w:sz w:val="21"/>
          <w:szCs w:val="21"/>
          <w:highlight w:val="none"/>
          <w:shd w:val="clear" w:color="auto" w:fill="FFFFFF"/>
        </w:rPr>
        <w:t>，采购项目资金来源已落实。该项目已具备采购条件，现进行竞争性采购。</w:t>
      </w:r>
    </w:p>
    <w:p>
      <w:pPr>
        <w:pStyle w:val="41"/>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8"/>
          <w:rFonts w:hint="eastAsia" w:ascii="宋体" w:hAnsi="宋体" w:eastAsia="宋体" w:cs="微软雅黑"/>
          <w:color w:val="000000"/>
          <w:sz w:val="21"/>
          <w:szCs w:val="21"/>
          <w:highlight w:val="none"/>
        </w:rPr>
        <w:t>1.2采购项目概况与采购范围</w:t>
      </w:r>
    </w:p>
    <w:p>
      <w:pPr>
        <w:pStyle w:val="41"/>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1.2.1项目名称:</w:t>
      </w:r>
      <w:r>
        <w:rPr>
          <w:rFonts w:hint="eastAsia" w:ascii="宋体" w:hAnsi="宋体" w:cs="宋体"/>
          <w:color w:val="auto"/>
          <w:sz w:val="21"/>
          <w:szCs w:val="21"/>
          <w:highlight w:val="none"/>
          <w:u w:val="single"/>
          <w:lang w:val="en-US" w:eastAsia="zh-CN"/>
        </w:rPr>
        <w:t>长沙市轨道交通1、2、3、4、5号线、西环线运营期2024年-2025年铁路轨距尺等计量器具及变压器油化验委外检测服务项目</w:t>
      </w:r>
      <w:r>
        <w:rPr>
          <w:rFonts w:hint="eastAsia" w:cs="宋体"/>
          <w:color w:val="auto"/>
          <w:sz w:val="21"/>
          <w:szCs w:val="21"/>
          <w:highlight w:val="none"/>
          <w:u w:val="single"/>
          <w:lang w:val="en-US" w:eastAsia="zh-CN"/>
        </w:rPr>
        <w:t>（第二次）</w:t>
      </w:r>
      <w:r>
        <w:rPr>
          <w:rFonts w:hint="eastAsia" w:cs="宋体"/>
          <w:color w:val="auto"/>
          <w:sz w:val="21"/>
          <w:szCs w:val="21"/>
          <w:highlight w:val="none"/>
          <w:u w:val="none"/>
          <w:lang w:val="en-US" w:eastAsia="zh-CN"/>
        </w:rPr>
        <w:t>；</w:t>
      </w:r>
    </w:p>
    <w:p>
      <w:pPr>
        <w:pStyle w:val="41"/>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标段划分：</w:t>
      </w:r>
      <w:r>
        <w:rPr>
          <w:rFonts w:hint="eastAsia" w:ascii="宋体" w:hAnsi="宋体" w:eastAsia="宋体" w:cs="宋体"/>
          <w:color w:val="000000"/>
          <w:sz w:val="21"/>
          <w:szCs w:val="21"/>
          <w:highlight w:val="none"/>
          <w:u w:val="single"/>
          <w:shd w:val="clear" w:color="auto" w:fill="FFFFFF"/>
        </w:rPr>
        <w:t>1个标段</w:t>
      </w:r>
      <w:r>
        <w:rPr>
          <w:rFonts w:hint="eastAsia" w:cs="宋体"/>
          <w:color w:val="000000"/>
          <w:sz w:val="21"/>
          <w:szCs w:val="21"/>
          <w:highlight w:val="none"/>
          <w:u w:val="none"/>
          <w:shd w:val="clear" w:color="auto" w:fill="FFFFFF"/>
          <w:lang w:eastAsia="zh-CN"/>
        </w:rPr>
        <w:t>；</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采购人：</w:t>
      </w:r>
      <w:r>
        <w:rPr>
          <w:rFonts w:hint="eastAsia" w:ascii="Times New Roman" w:hAnsi="Times New Roman"/>
          <w:bCs/>
          <w:sz w:val="21"/>
          <w:szCs w:val="21"/>
          <w:u w:val="none"/>
        </w:rPr>
        <w:t>长沙市轨道交通一号线建设发展有限公司、长沙市轨道交通运营有限公司</w:t>
      </w:r>
      <w:r>
        <w:rPr>
          <w:rFonts w:hint="eastAsia" w:ascii="Times New Roman" w:hAnsi="Times New Roman"/>
          <w:bCs/>
          <w:sz w:val="21"/>
          <w:szCs w:val="21"/>
          <w:u w:val="none"/>
          <w:lang w:eastAsia="zh-CN"/>
        </w:rPr>
        <w:t>、</w:t>
      </w:r>
      <w:r>
        <w:rPr>
          <w:rStyle w:val="54"/>
          <w:rFonts w:hint="eastAsia" w:ascii="Times New Roman" w:hAnsi="Times New Roman" w:cs="Times New Roman"/>
          <w:color w:val="auto"/>
          <w:sz w:val="21"/>
          <w:u w:val="none"/>
          <w:shd w:val="clear" w:color="auto" w:fill="FFFFFF"/>
          <w:lang w:val="en-US" w:eastAsia="zh-CN"/>
        </w:rPr>
        <w:t>长沙市轨道交通三号线建设发展有限公司、长沙市轨道交通四号线建设发展有限公司、长沙市轨道交通五号线建设发展有限公司；</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4</w:t>
      </w:r>
      <w:r>
        <w:rPr>
          <w:rFonts w:hint="eastAsia" w:ascii="宋体" w:hAnsi="宋体" w:eastAsia="宋体" w:cs="宋体"/>
          <w:color w:val="000000"/>
          <w:sz w:val="21"/>
          <w:szCs w:val="21"/>
          <w:highlight w:val="none"/>
          <w:shd w:val="clear" w:color="auto" w:fill="FFFFFF"/>
        </w:rPr>
        <w:t>采购范围：</w:t>
      </w:r>
      <w:r>
        <w:rPr>
          <w:rFonts w:hint="eastAsia" w:ascii="宋体" w:hAnsi="宋体" w:eastAsia="宋体" w:cs="宋体"/>
          <w:color w:val="000000"/>
          <w:sz w:val="21"/>
          <w:szCs w:val="21"/>
          <w:highlight w:val="none"/>
          <w:u w:val="single"/>
          <w:shd w:val="clear" w:color="auto" w:fill="FFFFFF"/>
          <w:lang w:val="en-US" w:eastAsia="zh-CN"/>
        </w:rPr>
        <w:t>主要</w:t>
      </w:r>
      <w:r>
        <w:rPr>
          <w:rFonts w:hint="eastAsia" w:ascii="宋体" w:hAnsi="宋体" w:eastAsia="宋体" w:cs="宋体"/>
          <w:color w:val="000000"/>
          <w:sz w:val="21"/>
          <w:szCs w:val="21"/>
          <w:highlight w:val="none"/>
          <w:u w:val="single"/>
          <w:shd w:val="clear" w:color="auto" w:fill="FFFFFF"/>
        </w:rPr>
        <w:t>为</w:t>
      </w:r>
      <w:r>
        <w:rPr>
          <w:rFonts w:hint="eastAsia" w:ascii="宋体" w:hAnsi="宋体" w:eastAsia="宋体" w:cs="宋体"/>
          <w:color w:val="000000"/>
          <w:sz w:val="21"/>
          <w:szCs w:val="21"/>
          <w:highlight w:val="none"/>
          <w:u w:val="single"/>
          <w:shd w:val="clear" w:color="auto" w:fill="FFFFFF"/>
          <w:lang w:val="en-US" w:eastAsia="zh-CN"/>
        </w:rPr>
        <w:t>长沙市轨道交通1、2、3、4、5号线、西环线运营期所属铁路轨距尺等计量器具及变压器油提供委外检测相关服务。</w:t>
      </w:r>
      <w:r>
        <w:rPr>
          <w:rFonts w:hint="eastAsia" w:ascii="宋体" w:hAnsi="宋体" w:eastAsia="宋体" w:cs="宋体"/>
          <w:color w:val="000000"/>
          <w:sz w:val="21"/>
          <w:szCs w:val="21"/>
          <w:highlight w:val="none"/>
          <w:u w:val="none"/>
          <w:shd w:val="clear" w:color="auto" w:fill="FFFFFF"/>
        </w:rPr>
        <w:t>（</w:t>
      </w:r>
      <w:r>
        <w:rPr>
          <w:rFonts w:hint="eastAsia" w:ascii="宋体" w:hAnsi="宋体" w:eastAsia="宋体" w:cs="宋体"/>
          <w:color w:val="000000"/>
          <w:sz w:val="21"/>
          <w:szCs w:val="21"/>
          <w:highlight w:val="none"/>
          <w:shd w:val="clear" w:color="auto" w:fill="FFFFFF"/>
        </w:rPr>
        <w:t>具体详见用户需求书）</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服务期：</w:t>
      </w:r>
      <w:r>
        <w:rPr>
          <w:rFonts w:hint="eastAsia" w:ascii="宋体" w:hAnsi="宋体" w:eastAsia="宋体" w:cs="宋体"/>
          <w:color w:val="000000"/>
          <w:sz w:val="21"/>
          <w:szCs w:val="21"/>
          <w:highlight w:val="none"/>
          <w:u w:val="single"/>
          <w:shd w:val="clear" w:color="auto" w:fill="FFFFFF"/>
          <w:lang w:val="en-US" w:eastAsia="zh-CN"/>
        </w:rPr>
        <w:t>本项目服务期限暂定为2024年1月至2025年1月，总计12个月（实际服务时间以采购人发出的进场通知起算，总计12个月)。</w:t>
      </w:r>
      <w:r>
        <w:rPr>
          <w:rFonts w:hint="eastAsia" w:ascii="宋体" w:hAnsi="宋体" w:eastAsia="宋体" w:cs="宋体"/>
          <w:color w:val="000000"/>
          <w:sz w:val="21"/>
          <w:szCs w:val="21"/>
          <w:highlight w:val="none"/>
          <w:shd w:val="clear" w:color="auto" w:fill="FFFFFF"/>
        </w:rPr>
        <w:t>（具体详见用户需求书）</w:t>
      </w:r>
    </w:p>
    <w:p>
      <w:pPr>
        <w:pStyle w:val="41"/>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1.2.6项目</w:t>
      </w:r>
      <w:r>
        <w:rPr>
          <w:rFonts w:hint="eastAsia" w:ascii="宋体" w:hAnsi="宋体" w:eastAsia="宋体" w:cs="宋体"/>
          <w:color w:val="000000"/>
          <w:sz w:val="21"/>
          <w:szCs w:val="21"/>
          <w:highlight w:val="none"/>
          <w:shd w:val="clear" w:color="auto" w:fill="FFFFFF"/>
          <w:lang w:val="en-US" w:eastAsia="zh-CN"/>
        </w:rPr>
        <w:t>最高限价</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u w:val="single"/>
          <w:shd w:val="clear" w:color="auto" w:fill="FFFFFF"/>
          <w:lang w:val="en-US" w:eastAsia="zh-CN"/>
        </w:rPr>
        <w:t>784304.45</w:t>
      </w:r>
      <w:r>
        <w:rPr>
          <w:rFonts w:hint="eastAsia" w:ascii="宋体" w:hAnsi="宋体" w:eastAsia="宋体" w:cs="宋体"/>
          <w:color w:val="000000"/>
          <w:sz w:val="21"/>
          <w:szCs w:val="21"/>
          <w:highlight w:val="none"/>
          <w:u w:val="single"/>
          <w:shd w:val="clear" w:color="auto" w:fill="FFFFFF"/>
        </w:rPr>
        <w:t>元</w:t>
      </w:r>
    </w:p>
    <w:p>
      <w:pPr>
        <w:pStyle w:val="41"/>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2.资格要求</w:t>
      </w:r>
    </w:p>
    <w:p>
      <w:pPr>
        <w:widowControl/>
        <w:numPr>
          <w:ilvl w:val="0"/>
          <w:numId w:val="0"/>
        </w:numPr>
        <w:spacing w:line="360" w:lineRule="auto"/>
        <w:ind w:firstLine="420" w:firstLineChars="200"/>
        <w:jc w:val="left"/>
        <w:rPr>
          <w:rFonts w:hint="eastAsia" w:ascii="宋体" w:hAnsi="宋体" w:cs="宋体"/>
          <w:bCs/>
          <w:sz w:val="21"/>
          <w:szCs w:val="21"/>
        </w:rPr>
      </w:pPr>
      <w:r>
        <w:rPr>
          <w:rFonts w:hint="eastAsia" w:ascii="宋体" w:hAnsi="宋体" w:eastAsia="宋体" w:cs="宋体"/>
          <w:color w:val="000000"/>
          <w:sz w:val="21"/>
          <w:szCs w:val="21"/>
          <w:highlight w:val="none"/>
          <w:shd w:val="clear" w:color="auto" w:fill="FFFFFF"/>
        </w:rPr>
        <w:t>2.1</w:t>
      </w:r>
      <w:r>
        <w:rPr>
          <w:rStyle w:val="54"/>
          <w:rFonts w:hint="eastAsia" w:ascii="Times New Roman" w:hAnsi="Times New Roman" w:eastAsia="宋体" w:cs="Times New Roman"/>
          <w:snapToGrid w:val="0"/>
          <w:color w:val="auto"/>
          <w:kern w:val="0"/>
          <w:sz w:val="21"/>
          <w:u w:val="none"/>
          <w:shd w:val="clear" w:color="auto" w:fill="FFFFFF"/>
          <w:lang w:val="en-US" w:eastAsia="zh-CN" w:bidi="ar-SA"/>
        </w:rPr>
        <w:t>供应商须为具有独立法人资格、自主经营、独立核算的企业/事业单位，且营业执照/事业单位法人证书处于有效期内</w:t>
      </w:r>
      <w:r>
        <w:rPr>
          <w:rStyle w:val="54"/>
          <w:rFonts w:hint="eastAsia" w:ascii="Times New Roman" w:hAnsi="Times New Roman" w:cs="Times New Roman"/>
          <w:snapToGrid w:val="0"/>
          <w:color w:val="auto"/>
          <w:kern w:val="0"/>
          <w:sz w:val="21"/>
          <w:u w:val="none"/>
          <w:shd w:val="clear" w:color="auto" w:fill="FFFFFF"/>
          <w:lang w:val="en-US" w:eastAsia="zh-CN" w:bidi="ar-SA"/>
        </w:rPr>
        <w:t>。</w:t>
      </w: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2.2</w:t>
      </w:r>
      <w:r>
        <w:rPr>
          <w:rFonts w:hint="eastAsia" w:ascii="宋体" w:hAnsi="宋体" w:eastAsia="宋体" w:cs="宋体"/>
          <w:bCs/>
          <w:sz w:val="21"/>
          <w:szCs w:val="21"/>
          <w:highlight w:val="none"/>
          <w:lang w:val="en-US" w:eastAsia="zh-CN"/>
        </w:rPr>
        <w:t>供应商须具有中国合格评定国家认可委员会颁发的检测或校准实验室认可资质（CNAS资质），且其证书附表中的自检范围须占本项目检测清单总项目比重（自检率）的60%（不含）以上。</w:t>
      </w:r>
    </w:p>
    <w:p>
      <w:pPr>
        <w:pStyle w:val="41"/>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bCs/>
          <w:sz w:val="21"/>
          <w:szCs w:val="21"/>
          <w:highlight w:val="none"/>
        </w:rPr>
        <w:t>供应商须具有一项入围业绩，入围业绩是指在本项目</w:t>
      </w:r>
      <w:r>
        <w:rPr>
          <w:rFonts w:hint="eastAsia" w:ascii="宋体" w:hAnsi="宋体" w:cs="宋体"/>
          <w:bCs/>
          <w:sz w:val="21"/>
          <w:szCs w:val="21"/>
          <w:highlight w:val="none"/>
          <w:lang w:val="en-US" w:eastAsia="zh-CN"/>
        </w:rPr>
        <w:t>递交响应文件</w:t>
      </w:r>
      <w:r>
        <w:rPr>
          <w:rFonts w:hint="eastAsia" w:ascii="宋体" w:hAnsi="宋体" w:eastAsia="宋体" w:cs="宋体"/>
          <w:bCs/>
          <w:sz w:val="21"/>
          <w:szCs w:val="21"/>
          <w:highlight w:val="none"/>
        </w:rPr>
        <w:t>截止之日前36个月内须具有单项合同金额不少于</w:t>
      </w:r>
      <w:r>
        <w:rPr>
          <w:rFonts w:hint="eastAsia" w:cs="宋体"/>
          <w:bCs/>
          <w:sz w:val="21"/>
          <w:szCs w:val="21"/>
          <w:highlight w:val="none"/>
          <w:lang w:val="en-US" w:eastAsia="zh-CN"/>
        </w:rPr>
        <w:t>35</w:t>
      </w:r>
      <w:r>
        <w:rPr>
          <w:rFonts w:hint="eastAsia" w:ascii="宋体" w:hAnsi="宋体" w:eastAsia="宋体" w:cs="宋体"/>
          <w:bCs/>
          <w:sz w:val="21"/>
          <w:szCs w:val="21"/>
          <w:highlight w:val="none"/>
        </w:rPr>
        <w:t>万元的计量器具检测服务业绩。不接受联合体业绩、港澳台或境外业绩。</w:t>
      </w: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2</w:t>
      </w:r>
      <w:r>
        <w:rPr>
          <w:rFonts w:ascii="宋体" w:hAnsi="宋体" w:eastAsia="宋体" w:cs="宋体"/>
          <w:color w:val="000000"/>
          <w:sz w:val="21"/>
          <w:szCs w:val="21"/>
          <w:highlight w:val="none"/>
        </w:rPr>
        <w:t>.</w:t>
      </w:r>
      <w:r>
        <w:rPr>
          <w:rFonts w:hint="eastAsia" w:cs="宋体"/>
          <w:color w:val="000000"/>
          <w:sz w:val="21"/>
          <w:szCs w:val="21"/>
          <w:highlight w:val="none"/>
          <w:lang w:val="en-US" w:eastAsia="zh-CN"/>
        </w:rPr>
        <w:t>4</w:t>
      </w:r>
      <w:r>
        <w:rPr>
          <w:rFonts w:hint="eastAsia" w:ascii="宋体" w:hAnsi="宋体" w:eastAsia="宋体" w:cs="宋体"/>
          <w:color w:val="000000"/>
          <w:sz w:val="21"/>
          <w:szCs w:val="21"/>
          <w:highlight w:val="none"/>
        </w:rPr>
        <w:t>本次采购不接受联合体</w:t>
      </w:r>
      <w:r>
        <w:rPr>
          <w:rFonts w:hint="eastAsia" w:cs="宋体"/>
          <w:color w:val="000000"/>
          <w:sz w:val="21"/>
          <w:szCs w:val="21"/>
          <w:highlight w:val="none"/>
          <w:lang w:eastAsia="zh-CN"/>
        </w:rPr>
        <w:t>。</w:t>
      </w:r>
    </w:p>
    <w:p>
      <w:pPr>
        <w:pStyle w:val="41"/>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被长沙市轨道交通集团有限公司或长沙市轨道交通运营有限公司函告禁止在一定期限内参与投标的单位按函告内容执行。</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3.资格审查</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本项目资格审查方式为资格后审。</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4.评审办法</w:t>
      </w:r>
    </w:p>
    <w:p>
      <w:pPr>
        <w:pStyle w:val="41"/>
        <w:widowControl/>
        <w:spacing w:beforeAutospacing="0" w:afterAutospacing="0" w:line="360" w:lineRule="auto"/>
        <w:ind w:firstLine="420" w:firstLineChars="200"/>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本采购项目采用“经符合性审查合格后的最低价法”。</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5.采购文件的获取及报名</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5.2供应商可自本公告发布之日起登陆采购平台下载采购文件。采购文件包括技术标准和要求、合同条款等。</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5.3有意愿参与本次采购活动的供应商，应于本公告1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.1款规定的公告时间内至采购平台进行报名，报名成功后方可参与本次采购活动。</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5.4供应商若对采购文件有任何疑问，应于本公告1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6.响应文件的递交</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6.1请供应商登录采购平台下载“电子响应文件制作工具”编制电子响应文件，供应商应按本公告1</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.3款规定的响应文件递交截止时间通过采购平台递交电子响应文件。逾期递交的电子响应文件，采购平台予以拒收。</w:t>
      </w:r>
    </w:p>
    <w:p>
      <w:pPr>
        <w:pStyle w:val="41"/>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6.2电子响应文件应按采购平台要求在规定时间内进行解密，请供应商确保电子响应文件如期解密。</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.项目竞争性采购保证金提交与退还</w:t>
      </w:r>
    </w:p>
    <w:p>
      <w:pPr>
        <w:widowControl/>
        <w:shd w:val="clear" w:color="auto" w:fill="FFFFFF"/>
        <w:spacing w:line="360" w:lineRule="auto"/>
        <w:ind w:firstLine="420" w:firstLineChars="200"/>
        <w:rPr>
          <w:rFonts w:ascii="宋体" w:hAnsi="宋体" w:eastAsia="宋体" w:cs="宋体"/>
          <w:color w:val="000000"/>
          <w:kern w:val="0"/>
          <w:sz w:val="24"/>
          <w:highlight w:val="none"/>
        </w:rPr>
      </w:pPr>
      <w:r>
        <w:rPr>
          <w:rFonts w:hint="eastAsia" w:ascii="宋体" w:hAnsi="宋体" w:eastAsia="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.1竞争性采购保证金金额为（人民币）</w:t>
      </w:r>
      <w:r>
        <w:rPr>
          <w:rFonts w:hint="eastAsia" w:ascii="宋体" w:hAnsi="宋体" w:cs="宋体"/>
          <w:color w:val="000000"/>
          <w:kern w:val="0"/>
          <w:szCs w:val="21"/>
          <w:highlight w:val="none"/>
          <w:u w:val="single"/>
          <w:shd w:val="clear" w:color="auto" w:fill="FFFFFF"/>
          <w:lang w:val="en-US" w:eastAsia="zh-CN"/>
        </w:rPr>
        <w:t>壹万伍仟陆佰</w:t>
      </w:r>
      <w:r>
        <w:rPr>
          <w:rFonts w:hint="eastAsia" w:ascii="宋体" w:hAnsi="宋体" w:eastAsia="宋体" w:cs="宋体"/>
          <w:color w:val="000000"/>
          <w:kern w:val="0"/>
          <w:szCs w:val="21"/>
          <w:highlight w:val="none"/>
          <w:u w:val="single"/>
        </w:rPr>
        <w:t>元整（¥</w:t>
      </w:r>
      <w:r>
        <w:rPr>
          <w:rFonts w:hint="eastAsia" w:ascii="宋体" w:hAnsi="宋体" w:cs="宋体"/>
          <w:color w:val="000000"/>
          <w:kern w:val="0"/>
          <w:szCs w:val="21"/>
          <w:highlight w:val="none"/>
          <w:u w:val="single"/>
          <w:lang w:val="en-US" w:eastAsia="zh-CN"/>
        </w:rPr>
        <w:t>15600</w:t>
      </w:r>
      <w:r>
        <w:rPr>
          <w:rFonts w:hint="eastAsia" w:ascii="宋体" w:hAnsi="宋体" w:eastAsia="宋体" w:cs="宋体"/>
          <w:color w:val="000000"/>
          <w:kern w:val="0"/>
          <w:szCs w:val="21"/>
          <w:highlight w:val="none"/>
          <w:u w:val="single"/>
        </w:rPr>
        <w:t>元）</w:t>
      </w:r>
      <w:r>
        <w:rPr>
          <w:rFonts w:hint="eastAsia" w:ascii="宋体" w:hAnsi="宋体" w:eastAsia="宋体" w:cs="宋体"/>
          <w:color w:val="000000"/>
          <w:kern w:val="0"/>
          <w:szCs w:val="21"/>
          <w:highlight w:val="none"/>
          <w:shd w:val="clear" w:color="auto" w:fill="FFFFFF"/>
        </w:rPr>
        <w:t>。</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7.4供应商在缴纳竞争性采购保证金时，应按照获取的账号信息准确填写银行账单。供应商可通过采购平台“保证金管理”专区，查询本单位竞争性采购保证金到账和退还情况。</w:t>
      </w:r>
    </w:p>
    <w:p>
      <w:pPr>
        <w:pStyle w:val="41"/>
        <w:shd w:val="clear" w:color="auto" w:fill="FFFFFF"/>
        <w:spacing w:before="0" w:beforeAutospacing="0" w:after="0" w:afterAutospacing="0" w:line="360" w:lineRule="auto"/>
        <w:ind w:firstLine="420"/>
        <w:jc w:val="both"/>
        <w:rPr>
          <w:color w:val="auto"/>
          <w:sz w:val="21"/>
          <w:szCs w:val="21"/>
          <w:highlight w:val="none"/>
          <w:u w:val="none"/>
          <w:shd w:val="clear" w:color="auto" w:fill="FFFFFF"/>
          <w:lang w:bidi="ar"/>
        </w:rPr>
      </w:pPr>
      <w:r>
        <w:rPr>
          <w:rFonts w:hint="eastAsia"/>
          <w:color w:val="auto"/>
          <w:sz w:val="21"/>
          <w:szCs w:val="21"/>
          <w:highlight w:val="none"/>
          <w:u w:val="none"/>
          <w:shd w:val="clear" w:color="auto" w:fill="FFFFFF"/>
          <w:lang w:bidi="ar"/>
        </w:rPr>
        <w:t>7.</w:t>
      </w:r>
      <w:r>
        <w:rPr>
          <w:rFonts w:hint="eastAsia"/>
          <w:color w:val="auto"/>
          <w:sz w:val="21"/>
          <w:szCs w:val="21"/>
          <w:highlight w:val="none"/>
          <w:u w:val="none"/>
          <w:shd w:val="clear" w:color="auto" w:fill="FFFFFF"/>
          <w:lang w:val="en-US" w:eastAsia="zh-CN" w:bidi="ar"/>
        </w:rPr>
        <w:t>5</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shd w:val="clear" w:color="auto" w:fill="FFFFFF"/>
          <w:lang w:bidi="ar"/>
        </w:rPr>
        <w:t>保证金到账截止时间与响应文件递交截止时间一致。</w:t>
      </w:r>
      <w:r>
        <w:rPr>
          <w:rFonts w:hint="eastAsia"/>
          <w:color w:val="auto"/>
          <w:sz w:val="21"/>
          <w:szCs w:val="21"/>
          <w:highlight w:val="none"/>
          <w:u w:val="none"/>
        </w:rPr>
        <w:t>供应商不按采购公告要求提交</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rPr>
        <w:t>保证金的，</w:t>
      </w:r>
      <w:r>
        <w:rPr>
          <w:color w:val="auto"/>
          <w:sz w:val="21"/>
          <w:szCs w:val="21"/>
          <w:highlight w:val="none"/>
          <w:u w:val="none"/>
        </w:rPr>
        <w:t>在评</w:t>
      </w:r>
      <w:r>
        <w:rPr>
          <w:rFonts w:hint="eastAsia"/>
          <w:color w:val="auto"/>
          <w:sz w:val="21"/>
          <w:szCs w:val="21"/>
          <w:highlight w:val="none"/>
          <w:u w:val="none"/>
        </w:rPr>
        <w:t>审</w:t>
      </w:r>
      <w:r>
        <w:rPr>
          <w:color w:val="auto"/>
          <w:sz w:val="21"/>
          <w:szCs w:val="21"/>
          <w:highlight w:val="none"/>
          <w:u w:val="none"/>
        </w:rPr>
        <w:t>时</w:t>
      </w:r>
      <w:r>
        <w:rPr>
          <w:rFonts w:hint="eastAsia"/>
          <w:color w:val="auto"/>
          <w:sz w:val="21"/>
          <w:szCs w:val="21"/>
          <w:highlight w:val="none"/>
          <w:u w:val="none"/>
        </w:rPr>
        <w:t>按</w:t>
      </w:r>
      <w:r>
        <w:rPr>
          <w:rFonts w:hint="eastAsia"/>
          <w:b/>
          <w:bCs/>
          <w:color w:val="auto"/>
          <w:sz w:val="21"/>
          <w:szCs w:val="21"/>
          <w:highlight w:val="none"/>
          <w:u w:val="none"/>
        </w:rPr>
        <w:t>否决</w:t>
      </w:r>
      <w:r>
        <w:rPr>
          <w:rFonts w:hint="eastAsia"/>
          <w:color w:val="auto"/>
          <w:sz w:val="21"/>
          <w:szCs w:val="21"/>
          <w:highlight w:val="none"/>
          <w:u w:val="none"/>
        </w:rPr>
        <w:t>情形处理</w:t>
      </w:r>
      <w:r>
        <w:rPr>
          <w:color w:val="auto"/>
          <w:sz w:val="21"/>
          <w:szCs w:val="21"/>
          <w:highlight w:val="none"/>
          <w:u w:val="none"/>
        </w:rPr>
        <w:t>。</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6</w:t>
      </w:r>
      <w:r>
        <w:rPr>
          <w:rFonts w:hint="eastAsia" w:ascii="宋体" w:hAnsi="宋体" w:eastAsia="宋体" w:cs="宋体"/>
          <w:color w:val="000000"/>
          <w:kern w:val="0"/>
          <w:szCs w:val="21"/>
          <w:highlight w:val="none"/>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widowControl/>
        <w:shd w:val="clear" w:color="auto" w:fill="FFFFFF"/>
        <w:spacing w:line="360" w:lineRule="auto"/>
        <w:ind w:firstLine="420" w:firstLineChars="200"/>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.发布公告的媒介</w:t>
      </w:r>
    </w:p>
    <w:p>
      <w:pPr>
        <w:pStyle w:val="41"/>
        <w:widowControl/>
        <w:autoSpaceDE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本项目竞争性采购公告和结果公示在采购平台（https://opp.hncsmtr.com:9001/index.aspx）、长沙市轨道交通集团有限公司官网（http://www.hncsmtr.com）发布，具体以采购平台发布的为准。</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.供应商注册及认证等要求</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.异议与投诉</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11.联系方式</w:t>
      </w:r>
    </w:p>
    <w:p>
      <w:pPr>
        <w:spacing w:line="360" w:lineRule="auto"/>
        <w:ind w:firstLine="420" w:firstLineChars="200"/>
        <w:rPr>
          <w:rFonts w:hint="eastAsia" w:ascii="宋体" w:hAnsi="宋体" w:cs="宋体"/>
          <w:bCs/>
          <w:sz w:val="21"/>
          <w:szCs w:val="21"/>
        </w:rPr>
      </w:pPr>
      <w:r>
        <w:rPr>
          <w:rFonts w:hint="eastAsia" w:ascii="宋体" w:hAnsi="宋体" w:eastAsia="宋体" w:cs="宋体"/>
          <w:color w:val="000000"/>
          <w:sz w:val="21"/>
          <w:szCs w:val="21"/>
          <w:highlight w:val="none"/>
          <w:shd w:val="clear" w:color="auto" w:fill="FFFFFF"/>
        </w:rPr>
        <w:t>采购人：</w:t>
      </w:r>
      <w:r>
        <w:rPr>
          <w:rFonts w:hint="eastAsia" w:ascii="宋体" w:hAnsi="宋体" w:cs="宋体"/>
          <w:bCs/>
          <w:sz w:val="21"/>
          <w:szCs w:val="21"/>
        </w:rPr>
        <w:t>长沙市轨道交通一号线建设发展有限公司</w:t>
      </w:r>
    </w:p>
    <w:p>
      <w:pPr>
        <w:spacing w:line="360" w:lineRule="auto"/>
        <w:ind w:firstLine="1260" w:firstLineChars="600"/>
        <w:rPr>
          <w:rFonts w:hint="eastAsia" w:ascii="宋体" w:hAnsi="宋体" w:cs="宋体"/>
          <w:bCs/>
          <w:sz w:val="21"/>
          <w:szCs w:val="21"/>
        </w:rPr>
      </w:pPr>
      <w:r>
        <w:rPr>
          <w:rFonts w:hint="eastAsia" w:ascii="宋体" w:hAnsi="宋体" w:cs="宋体"/>
          <w:bCs/>
          <w:sz w:val="21"/>
          <w:szCs w:val="21"/>
        </w:rPr>
        <w:t>长沙市轨道交通运营有限公司</w:t>
      </w:r>
    </w:p>
    <w:p>
      <w:pPr>
        <w:spacing w:line="360" w:lineRule="auto"/>
        <w:ind w:firstLine="1260" w:firstLineChars="600"/>
        <w:rPr>
          <w:rFonts w:hint="eastAsia" w:ascii="宋体" w:hAnsi="宋体" w:cs="宋体"/>
          <w:bCs/>
          <w:sz w:val="21"/>
          <w:szCs w:val="21"/>
          <w:lang w:val="en-US" w:eastAsia="zh-CN"/>
        </w:rPr>
      </w:pPr>
      <w:r>
        <w:rPr>
          <w:rFonts w:hint="eastAsia" w:ascii="宋体" w:hAnsi="宋体" w:cs="宋体"/>
          <w:bCs/>
          <w:sz w:val="21"/>
          <w:szCs w:val="21"/>
          <w:lang w:val="en-US" w:eastAsia="zh-CN"/>
        </w:rPr>
        <w:t>长沙市轨道交通三号线建设发展有限公司</w:t>
      </w:r>
    </w:p>
    <w:p>
      <w:pPr>
        <w:spacing w:line="360" w:lineRule="auto"/>
        <w:ind w:firstLine="1260" w:firstLineChars="600"/>
        <w:rPr>
          <w:rFonts w:hint="eastAsia" w:ascii="宋体" w:hAnsi="宋体" w:cs="宋体"/>
          <w:bCs/>
          <w:sz w:val="21"/>
          <w:szCs w:val="21"/>
          <w:lang w:val="en-US" w:eastAsia="zh-CN"/>
        </w:rPr>
      </w:pPr>
      <w:r>
        <w:rPr>
          <w:rFonts w:hint="eastAsia" w:ascii="宋体" w:hAnsi="宋体" w:cs="宋体"/>
          <w:bCs/>
          <w:sz w:val="21"/>
          <w:szCs w:val="21"/>
          <w:lang w:val="en-US" w:eastAsia="zh-CN"/>
        </w:rPr>
        <w:t>长沙市轨道交通四号线建设发展有限公司</w:t>
      </w:r>
    </w:p>
    <w:p>
      <w:pPr>
        <w:pStyle w:val="41"/>
        <w:widowControl/>
        <w:spacing w:beforeAutospacing="0" w:afterAutospacing="0" w:line="360" w:lineRule="auto"/>
        <w:ind w:firstLine="1260" w:firstLineChars="600"/>
        <w:rPr>
          <w:rFonts w:ascii="宋体" w:hAnsi="宋体" w:eastAsia="宋体" w:cs="宋体"/>
          <w:color w:val="000000"/>
          <w:sz w:val="21"/>
          <w:szCs w:val="21"/>
          <w:highlight w:val="none"/>
          <w:shd w:val="clear" w:color="auto" w:fill="FFFFFF"/>
        </w:rPr>
      </w:pPr>
      <w:r>
        <w:rPr>
          <w:rFonts w:hint="eastAsia" w:ascii="宋体" w:hAnsi="宋体" w:cs="宋体"/>
          <w:bCs/>
          <w:sz w:val="21"/>
          <w:szCs w:val="21"/>
          <w:lang w:val="en-US" w:eastAsia="zh-CN"/>
        </w:rPr>
        <w:t>长沙市轨道交通五号线建设发展有限公司</w:t>
      </w:r>
    </w:p>
    <w:p>
      <w:pPr>
        <w:keepNext w:val="0"/>
        <w:keepLines w:val="0"/>
        <w:widowControl/>
        <w:suppressLineNumbers w:val="0"/>
        <w:ind w:firstLine="420" w:firstLineChars="200"/>
        <w:jc w:val="left"/>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 xml:space="preserve">地 </w:t>
      </w:r>
      <w:r>
        <w:rPr>
          <w:rFonts w:hint="eastAsia" w:ascii="宋体" w:hAnsi="宋体" w:cs="宋体"/>
          <w:color w:val="000000"/>
          <w:sz w:val="21"/>
          <w:szCs w:val="21"/>
          <w:highlight w:val="none"/>
          <w:shd w:val="clear" w:color="auto" w:fill="FFFFFF"/>
          <w:lang w:val="en-US" w:eastAsia="zh-CN"/>
        </w:rPr>
        <w:t xml:space="preserve"> </w:t>
      </w:r>
      <w:r>
        <w:rPr>
          <w:rFonts w:hint="eastAsia" w:ascii="宋体" w:hAnsi="宋体" w:eastAsia="宋体" w:cs="宋体"/>
          <w:color w:val="000000"/>
          <w:kern w:val="0"/>
          <w:sz w:val="21"/>
          <w:szCs w:val="21"/>
          <w:highlight w:val="none"/>
          <w:shd w:val="clear" w:color="auto" w:fill="FFFFFF"/>
          <w:lang w:val="en-US" w:eastAsia="zh-CN" w:bidi="ar-SA"/>
        </w:rPr>
        <w:t>址：长沙市雨花区杜花路166号</w:t>
      </w:r>
    </w:p>
    <w:p>
      <w:pPr>
        <w:pStyle w:val="41"/>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联系人：</w:t>
      </w:r>
      <w:r>
        <w:rPr>
          <w:rFonts w:hint="eastAsia" w:cs="宋体"/>
          <w:color w:val="000000"/>
          <w:sz w:val="21"/>
          <w:szCs w:val="21"/>
          <w:highlight w:val="none"/>
          <w:shd w:val="clear" w:color="auto" w:fill="FFFFFF"/>
          <w:lang w:val="en-US" w:eastAsia="zh-CN"/>
        </w:rPr>
        <w:t>陈</w:t>
      </w:r>
      <w:r>
        <w:rPr>
          <w:rStyle w:val="54"/>
          <w:rFonts w:hint="eastAsia" w:ascii="Times New Roman" w:hAnsi="Times New Roman" w:cs="Times New Roman"/>
          <w:color w:val="auto"/>
          <w:sz w:val="21"/>
          <w:highlight w:val="none"/>
          <w:u w:val="none"/>
          <w:shd w:val="clear" w:color="auto" w:fill="FFFFFF"/>
        </w:rPr>
        <w:t>工</w:t>
      </w:r>
    </w:p>
    <w:p>
      <w:pPr>
        <w:pStyle w:val="41"/>
        <w:widowControl/>
        <w:spacing w:beforeAutospacing="0" w:afterAutospacing="0" w:line="360" w:lineRule="auto"/>
        <w:ind w:firstLine="420" w:firstLineChars="200"/>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电 话：</w:t>
      </w:r>
      <w:r>
        <w:rPr>
          <w:rFonts w:ascii="宋体" w:hAnsi="宋体" w:eastAsia="宋体" w:cs="宋体"/>
          <w:color w:val="000000"/>
          <w:sz w:val="21"/>
          <w:szCs w:val="21"/>
          <w:highlight w:val="none"/>
          <w:shd w:val="clear" w:color="auto" w:fill="FFFFFF"/>
        </w:rPr>
        <w:t>0731-86852</w:t>
      </w:r>
      <w:r>
        <w:rPr>
          <w:rFonts w:hint="eastAsia" w:cs="宋体"/>
          <w:color w:val="000000"/>
          <w:sz w:val="21"/>
          <w:szCs w:val="21"/>
          <w:highlight w:val="none"/>
          <w:shd w:val="clear" w:color="auto" w:fill="FFFFFF"/>
          <w:lang w:val="en-US" w:eastAsia="zh-CN"/>
        </w:rPr>
        <w:t>293</w:t>
      </w:r>
    </w:p>
    <w:p>
      <w:pPr>
        <w:pStyle w:val="41"/>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12.公告、报名、提疑</w:t>
      </w:r>
      <w:r>
        <w:rPr>
          <w:rFonts w:hint="eastAsia" w:cs="宋体"/>
          <w:b/>
          <w:bCs/>
          <w:color w:val="000000"/>
          <w:sz w:val="21"/>
          <w:szCs w:val="21"/>
          <w:highlight w:val="none"/>
          <w:lang w:eastAsia="zh-CN"/>
        </w:rPr>
        <w:t>、</w:t>
      </w:r>
      <w:r>
        <w:rPr>
          <w:rFonts w:hint="eastAsia" w:ascii="宋体" w:hAnsi="宋体" w:eastAsia="宋体" w:cs="宋体"/>
          <w:b/>
          <w:bCs/>
          <w:color w:val="000000"/>
          <w:sz w:val="21"/>
          <w:szCs w:val="21"/>
          <w:highlight w:val="none"/>
        </w:rPr>
        <w:t>响应文件</w:t>
      </w:r>
      <w:r>
        <w:rPr>
          <w:rFonts w:hint="eastAsia" w:cs="宋体"/>
          <w:b/>
          <w:bCs/>
          <w:color w:val="000000"/>
          <w:sz w:val="21"/>
          <w:szCs w:val="21"/>
          <w:highlight w:val="none"/>
          <w:lang w:eastAsia="zh-CN"/>
        </w:rPr>
        <w:t>及保证金</w:t>
      </w:r>
      <w:r>
        <w:rPr>
          <w:rFonts w:hint="eastAsia" w:ascii="宋体" w:hAnsi="宋体" w:eastAsia="宋体" w:cs="宋体"/>
          <w:b/>
          <w:bCs/>
          <w:color w:val="000000"/>
          <w:sz w:val="21"/>
          <w:szCs w:val="21"/>
          <w:highlight w:val="none"/>
        </w:rPr>
        <w:t>递交时间</w:t>
      </w:r>
    </w:p>
    <w:p>
      <w:pPr>
        <w:pStyle w:val="41"/>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w:t>
      </w:r>
      <w:r>
        <w:rPr>
          <w:rFonts w:hint="eastAsia"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9时30分</w:t>
      </w:r>
      <w:r>
        <w:rPr>
          <w:rFonts w:hint="eastAsia" w:ascii="宋体" w:hAnsi="宋体" w:eastAsia="宋体" w:cs="宋体"/>
          <w:color w:val="auto"/>
          <w:sz w:val="21"/>
          <w:szCs w:val="21"/>
          <w:highlight w:val="none"/>
          <w:shd w:val="clear" w:color="auto" w:fill="FFFFFF"/>
        </w:rPr>
        <w:t>（北京时间，下同）。</w:t>
      </w:r>
    </w:p>
    <w:p>
      <w:pPr>
        <w:pStyle w:val="41"/>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12</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29</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5"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w:t>
      </w:r>
      <w:r>
        <w:rPr>
          <w:rFonts w:hint="eastAsia" w:hAnsi="宋体" w:cs="宋体"/>
          <w:color w:val="auto"/>
          <w:sz w:val="21"/>
          <w:szCs w:val="21"/>
          <w:highlight w:val="none"/>
          <w:shd w:val="clear" w:color="auto" w:fill="FFFFFF"/>
          <w:lang w:val="en-US" w:eastAsia="zh-CN"/>
        </w:rPr>
        <w:t>4</w:t>
      </w:r>
      <w:r>
        <w:rPr>
          <w:rFonts w:hint="eastAsia" w:ascii="宋体" w:hAnsi="宋体" w:eastAsia="宋体" w:cs="宋体"/>
          <w:color w:val="auto"/>
          <w:sz w:val="21"/>
          <w:szCs w:val="21"/>
          <w:highlight w:val="none"/>
          <w:shd w:val="clear" w:color="auto" w:fill="FFFFFF"/>
        </w:rPr>
        <w:t>年</w:t>
      </w:r>
      <w:r>
        <w:rPr>
          <w:rFonts w:hint="eastAsia" w:hAnsi="宋体" w:cs="宋体"/>
          <w:color w:val="auto"/>
          <w:sz w:val="21"/>
          <w:szCs w:val="21"/>
          <w:highlight w:val="none"/>
          <w:shd w:val="clear" w:color="auto" w:fill="FFFFFF"/>
          <w:lang w:val="en-US" w:eastAsia="zh-CN"/>
        </w:rPr>
        <w:t>1</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日</w:t>
      </w:r>
      <w:r>
        <w:rPr>
          <w:rFonts w:hint="eastAsia" w:hAnsi="宋体"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时</w:t>
      </w:r>
      <w:r>
        <w:rPr>
          <w:rFonts w:hint="eastAsia"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0分 。</w:t>
      </w:r>
      <w:bookmarkEnd w:id="5"/>
    </w:p>
    <w:p>
      <w:pPr>
        <w:rPr>
          <w:rFonts w:hint="eastAsia" w:ascii="宋体" w:hAnsi="宋体" w:eastAsia="宋体" w:cs="宋体"/>
          <w:color w:val="0000FF"/>
          <w:sz w:val="21"/>
          <w:szCs w:val="21"/>
          <w:highlight w:val="none"/>
          <w:shd w:val="clear" w:color="auto" w:fill="FFFFFF"/>
        </w:rPr>
      </w:pPr>
      <w:r>
        <w:rPr>
          <w:rFonts w:hint="eastAsia" w:ascii="宋体" w:hAnsi="宋体" w:eastAsia="宋体" w:cs="宋体"/>
          <w:color w:val="0000FF"/>
          <w:sz w:val="21"/>
          <w:szCs w:val="21"/>
          <w:highlight w:val="none"/>
          <w:shd w:val="clear" w:color="auto" w:fill="FFFFFF"/>
        </w:rPr>
        <w:br w:type="page"/>
      </w:r>
    </w:p>
    <w:p>
      <w:pPr>
        <w:pStyle w:val="26"/>
        <w:jc w:val="center"/>
        <w:outlineLvl w:val="0"/>
        <w:rPr>
          <w:rFonts w:hint="default" w:hAnsi="宋体" w:cs="宋体"/>
          <w:color w:val="000000"/>
          <w:sz w:val="21"/>
          <w:szCs w:val="21"/>
          <w:highlight w:val="none"/>
          <w:shd w:val="clear" w:color="auto" w:fill="FFFFFF"/>
          <w:lang w:val="en-US" w:eastAsia="zh-CN"/>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6"/>
        <w:jc w:val="center"/>
        <w:outlineLvl w:val="0"/>
        <w:rPr>
          <w:rFonts w:ascii="黑体" w:eastAsia="黑体"/>
          <w:b/>
          <w:color w:val="000000" w:themeColor="text1"/>
          <w:sz w:val="32"/>
          <w:szCs w:val="32"/>
          <w:highlight w:val="none"/>
          <w14:textFill>
            <w14:solidFill>
              <w14:schemeClr w14:val="tx1"/>
            </w14:solidFill>
          </w14:textFill>
        </w:rPr>
      </w:pPr>
      <w:bookmarkStart w:id="6" w:name="_Toc22187"/>
      <w:bookmarkStart w:id="7" w:name="_Toc24340"/>
      <w:bookmarkStart w:id="8" w:name="_Toc14696"/>
      <w:r>
        <w:rPr>
          <w:rFonts w:hint="eastAsia" w:ascii="黑体" w:hAnsi="黑体" w:eastAsia="黑体" w:cs="黑体"/>
          <w:b/>
          <w:color w:val="000000" w:themeColor="text1"/>
          <w:sz w:val="32"/>
          <w:szCs w:val="32"/>
          <w:highlight w:val="none"/>
          <w14:textFill>
            <w14:solidFill>
              <w14:schemeClr w14:val="tx1"/>
            </w14:solidFill>
          </w14:textFill>
        </w:rPr>
        <w:t>第二章 竞争性采购须知</w:t>
      </w:r>
      <w:bookmarkEnd w:id="3"/>
      <w:bookmarkEnd w:id="4"/>
      <w:bookmarkEnd w:id="6"/>
      <w:bookmarkEnd w:id="7"/>
      <w:bookmarkEnd w:id="8"/>
    </w:p>
    <w:p>
      <w:pPr>
        <w:pStyle w:val="26"/>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竞争性采购须知前附表</w:t>
      </w:r>
    </w:p>
    <w:tbl>
      <w:tblPr>
        <w:tblStyle w:val="45"/>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448"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2980"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ascii="宋体" w:hAnsi="宋体" w:cs="宋体"/>
                <w:color w:val="000000" w:themeColor="text1"/>
                <w:szCs w:val="21"/>
                <w:highlight w:val="none"/>
                <w14:textFill>
                  <w14:solidFill>
                    <w14:schemeClr w14:val="tx1"/>
                  </w14:solidFill>
                </w14:textFill>
              </w:rPr>
              <w:t>3</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auto"/>
                <w:szCs w:val="21"/>
                <w:highlight w:val="none"/>
              </w:rPr>
              <w:t>1.3.3</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不接受</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448"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不组织</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□组织，踏勘时间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pStyle w:val="188"/>
              <w:spacing w:line="360" w:lineRule="exact"/>
              <w:ind w:firstLine="840" w:firstLineChars="400"/>
              <w:jc w:val="both"/>
              <w:rPr>
                <w:rStyle w:val="277"/>
                <w:rFonts w:hint="default"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踏勘地点：</w:t>
            </w:r>
            <w:r>
              <w:rPr>
                <w:rFonts w:hint="eastAsia" w:hAnsi="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1448" w:type="pct"/>
            <w:vAlign w:val="center"/>
          </w:tcPr>
          <w:p>
            <w:pPr>
              <w:pStyle w:val="276"/>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□允许，分包内容要求：</w:t>
            </w:r>
            <w:r>
              <w:rPr>
                <w:rFonts w:hint="eastAsia" w:hAnsi="宋体" w:cs="宋体"/>
                <w:sz w:val="21"/>
                <w:szCs w:val="21"/>
                <w:highlight w:val="none"/>
                <w:u w:val="single"/>
              </w:rPr>
              <w:t xml:space="preserve">                  </w:t>
            </w:r>
          </w:p>
          <w:p>
            <w:pPr>
              <w:pStyle w:val="188"/>
              <w:spacing w:line="360" w:lineRule="exact"/>
              <w:ind w:firstLine="0"/>
              <w:jc w:val="both"/>
              <w:rPr>
                <w:rFonts w:hAnsi="宋体" w:cs="宋体"/>
                <w:sz w:val="21"/>
                <w:szCs w:val="21"/>
                <w:highlight w:val="none"/>
              </w:rPr>
            </w:pPr>
            <w:r>
              <w:rPr>
                <w:rFonts w:hint="eastAsia" w:hAnsi="宋体" w:cs="宋体"/>
                <w:sz w:val="21"/>
                <w:szCs w:val="21"/>
                <w:highlight w:val="none"/>
              </w:rPr>
              <w:t xml:space="preserve">        分包金额要求：</w:t>
            </w:r>
            <w:r>
              <w:rPr>
                <w:rFonts w:hint="eastAsia" w:hAnsi="宋体" w:cs="宋体"/>
                <w:sz w:val="21"/>
                <w:szCs w:val="21"/>
                <w:highlight w:val="none"/>
                <w:u w:val="single"/>
              </w:rPr>
              <w:t xml:space="preserve">                  </w:t>
            </w:r>
          </w:p>
          <w:p>
            <w:pPr>
              <w:pStyle w:val="188"/>
              <w:spacing w:line="360" w:lineRule="exact"/>
              <w:ind w:firstLine="840" w:firstLineChars="400"/>
              <w:jc w:val="both"/>
              <w:rPr>
                <w:rFonts w:hAnsi="宋体" w:cs="宋体"/>
                <w:sz w:val="21"/>
                <w:szCs w:val="21"/>
                <w:highlight w:val="none"/>
              </w:rPr>
            </w:pPr>
            <w:r>
              <w:rPr>
                <w:rFonts w:hint="eastAsia" w:hAnsi="宋体" w:cs="宋体"/>
                <w:sz w:val="21"/>
                <w:szCs w:val="21"/>
                <w:highlight w:val="none"/>
              </w:rPr>
              <w:t>接受分包的第三人资质要求：</w:t>
            </w:r>
            <w:r>
              <w:rPr>
                <w:rFonts w:hint="eastAsia" w:hAnsi="宋体" w:cs="宋体"/>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其他资料</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采购文件时间和方式</w:t>
            </w:r>
          </w:p>
        </w:tc>
        <w:tc>
          <w:tcPr>
            <w:tcW w:w="2980" w:type="pct"/>
            <w:vAlign w:val="center"/>
          </w:tcPr>
          <w:p>
            <w:pPr>
              <w:spacing w:line="360" w:lineRule="exact"/>
              <w:rPr>
                <w:rFonts w:hint="default" w:ascii="宋体" w:hAnsi="宋体" w:eastAsia="宋体" w:cs="宋体"/>
                <w:highlight w:val="none"/>
                <w:u w:val="none"/>
                <w:lang w:val="en-US" w:eastAsia="zh-CN"/>
              </w:rPr>
            </w:pPr>
            <w:r>
              <w:rPr>
                <w:rFonts w:hint="eastAsia" w:ascii="宋体" w:hAnsi="宋体" w:cs="宋体"/>
                <w:highlight w:val="none"/>
              </w:rPr>
              <w:t>截止时间：</w:t>
            </w:r>
            <w:r>
              <w:rPr>
                <w:rFonts w:hint="eastAsia" w:ascii="宋体" w:hAnsi="宋体" w:eastAsia="宋体" w:cs="宋体"/>
                <w:color w:val="auto"/>
                <w:sz w:val="21"/>
                <w:szCs w:val="21"/>
                <w:highlight w:val="none"/>
                <w:u w:val="single"/>
                <w:shd w:val="clear" w:color="auto" w:fill="FFFFFF"/>
              </w:rPr>
              <w:t>2023年</w:t>
            </w:r>
            <w:r>
              <w:rPr>
                <w:rFonts w:hint="eastAsia" w:cs="宋体"/>
                <w:color w:val="auto"/>
                <w:sz w:val="21"/>
                <w:szCs w:val="21"/>
                <w:highlight w:val="none"/>
                <w:u w:val="single"/>
                <w:shd w:val="clear" w:color="auto" w:fill="FFFFFF"/>
                <w:lang w:val="en-US" w:eastAsia="zh-CN"/>
              </w:rPr>
              <w:t>12</w:t>
            </w:r>
            <w:r>
              <w:rPr>
                <w:rFonts w:hint="eastAsia" w:ascii="宋体" w:hAnsi="宋体" w:eastAsia="宋体" w:cs="宋体"/>
                <w:color w:val="auto"/>
                <w:sz w:val="21"/>
                <w:szCs w:val="21"/>
                <w:highlight w:val="none"/>
                <w:u w:val="single"/>
                <w:shd w:val="clear" w:color="auto" w:fill="FFFFFF"/>
              </w:rPr>
              <w:t>月</w:t>
            </w:r>
            <w:r>
              <w:rPr>
                <w:rFonts w:hint="eastAsia" w:cs="宋体"/>
                <w:color w:val="auto"/>
                <w:sz w:val="21"/>
                <w:szCs w:val="21"/>
                <w:highlight w:val="none"/>
                <w:u w:val="single"/>
                <w:shd w:val="clear" w:color="auto" w:fill="FFFFFF"/>
                <w:lang w:val="en-US" w:eastAsia="zh-CN"/>
              </w:rPr>
              <w:t>29</w:t>
            </w:r>
            <w:r>
              <w:rPr>
                <w:rFonts w:hint="eastAsia" w:ascii="宋体" w:hAnsi="宋体" w:eastAsia="宋体" w:cs="宋体"/>
                <w:color w:val="auto"/>
                <w:sz w:val="21"/>
                <w:szCs w:val="21"/>
                <w:highlight w:val="none"/>
                <w:u w:val="single"/>
                <w:shd w:val="clear" w:color="auto" w:fill="FFFFFF"/>
              </w:rPr>
              <w:t>日17时</w:t>
            </w:r>
            <w:r>
              <w:rPr>
                <w:rFonts w:hint="eastAsia" w:cs="宋体"/>
                <w:color w:val="auto"/>
                <w:sz w:val="21"/>
                <w:szCs w:val="21"/>
                <w:highlight w:val="none"/>
                <w:u w:val="single"/>
                <w:shd w:val="clear" w:color="auto" w:fill="FFFFFF"/>
                <w:lang w:val="en-US" w:eastAsia="zh-CN"/>
              </w:rPr>
              <w:t>00分</w:t>
            </w:r>
          </w:p>
          <w:p>
            <w:pPr>
              <w:pStyle w:val="2"/>
              <w:spacing w:after="0" w:line="360" w:lineRule="exact"/>
              <w:ind w:left="0" w:leftChars="0" w:firstLine="0"/>
              <w:rPr>
                <w:rFonts w:ascii="宋体" w:hAnsi="宋体" w:cs="宋体"/>
                <w:highlight w:val="none"/>
              </w:rPr>
            </w:pPr>
            <w:r>
              <w:rPr>
                <w:rFonts w:hint="eastAsia" w:ascii="宋体" w:hAnsi="宋体" w:cs="宋体"/>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r>
              <w:rPr>
                <w:rFonts w:hint="eastAsia" w:ascii="宋体" w:hAnsi="宋体" w:cs="宋体"/>
                <w:color w:val="000000" w:themeColor="text1"/>
                <w:szCs w:val="21"/>
                <w:highlight w:val="none"/>
                <w:lang w:val="en-US" w:eastAsia="zh-CN"/>
                <w14:textFill>
                  <w14:solidFill>
                    <w14:schemeClr w14:val="tx1"/>
                  </w14:solidFill>
                </w14:textFill>
              </w:rPr>
              <w:t>·</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采购文件澄清和修改</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发出的方式</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在采购平台发布。</w:t>
            </w:r>
            <w:r>
              <w:rPr>
                <w:rFonts w:hint="eastAsia" w:ascii="宋体" w:hAnsi="宋体" w:cs="宋体"/>
                <w:spacing w:val="-8"/>
                <w:szCs w:val="21"/>
                <w:highlight w:val="none"/>
              </w:rPr>
              <w:t>供应商自行在上述网站下载，敬请关注，恕不另行</w:t>
            </w:r>
            <w:r>
              <w:rPr>
                <w:rFonts w:hint="eastAsia" w:ascii="宋体" w:hAnsi="宋体" w:cs="宋体"/>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项目最高限价</w:t>
            </w:r>
          </w:p>
        </w:tc>
        <w:tc>
          <w:tcPr>
            <w:tcW w:w="2980" w:type="pct"/>
            <w:vAlign w:val="center"/>
          </w:tcPr>
          <w:p>
            <w:pPr>
              <w:spacing w:line="360" w:lineRule="exact"/>
              <w:rPr>
                <w:highlight w:val="none"/>
              </w:rPr>
            </w:pPr>
            <w:r>
              <w:rPr>
                <w:rFonts w:hint="eastAsia" w:ascii="宋体" w:hAnsi="宋体" w:cs="宋体"/>
                <w:b/>
                <w:szCs w:val="21"/>
                <w:highlight w:val="none"/>
              </w:rPr>
              <w:t>本项目</w:t>
            </w:r>
            <w:r>
              <w:rPr>
                <w:rFonts w:hint="eastAsia" w:ascii="宋体" w:hAnsi="宋体" w:eastAsia="宋体" w:cs="宋体"/>
                <w:b/>
                <w:szCs w:val="21"/>
                <w:highlight w:val="none"/>
              </w:rPr>
              <w:t>最高限价</w:t>
            </w:r>
            <w:r>
              <w:rPr>
                <w:rFonts w:hint="eastAsia" w:ascii="宋体" w:hAnsi="宋体" w:cs="宋体"/>
                <w:b/>
                <w:szCs w:val="21"/>
                <w:highlight w:val="none"/>
              </w:rPr>
              <w:t>为：</w:t>
            </w:r>
            <w:r>
              <w:rPr>
                <w:rFonts w:hint="eastAsia" w:ascii="宋体" w:hAnsi="宋体" w:cs="宋体"/>
                <w:szCs w:val="21"/>
                <w:highlight w:val="none"/>
                <w:lang w:val="en-US" w:eastAsia="zh-CN"/>
              </w:rPr>
              <w:t>784304.45</w:t>
            </w:r>
            <w:r>
              <w:rPr>
                <w:rFonts w:hint="eastAsia" w:ascii="宋体" w:hAnsi="宋体" w:eastAsia="宋体" w:cs="宋体"/>
                <w:color w:val="auto"/>
                <w:highlight w:val="none"/>
              </w:rPr>
              <w:t>元</w:t>
            </w:r>
            <w:r>
              <w:rPr>
                <w:rFonts w:hint="eastAsia" w:ascii="宋体" w:hAnsi="宋体" w:cs="宋体"/>
                <w:b w:val="0"/>
                <w:bCs/>
                <w:szCs w:val="21"/>
                <w:highlight w:val="none"/>
              </w:rPr>
              <w:t>。</w:t>
            </w:r>
            <w:r>
              <w:rPr>
                <w:rFonts w:hint="eastAsia" w:ascii="宋体" w:hAnsi="宋体" w:cs="宋体"/>
                <w:szCs w:val="21"/>
                <w:highlight w:val="none"/>
              </w:rPr>
              <w:t>报价</w:t>
            </w:r>
            <w:r>
              <w:rPr>
                <w:rFonts w:hint="eastAsia" w:ascii="宋体" w:hAnsi="宋体" w:cs="宋体"/>
                <w:szCs w:val="21"/>
                <w:highlight w:val="none"/>
                <w:u w:val="single"/>
              </w:rPr>
              <w:t>（总报价、分项报价）</w:t>
            </w:r>
            <w:r>
              <w:rPr>
                <w:rFonts w:hint="eastAsia" w:ascii="宋体" w:hAnsi="宋体" w:cs="宋体"/>
                <w:szCs w:val="21"/>
                <w:highlight w:val="none"/>
              </w:rPr>
              <w:t>均不能高于采购人公布的</w:t>
            </w:r>
            <w:r>
              <w:rPr>
                <w:rFonts w:hint="eastAsia" w:ascii="宋体" w:hAnsi="宋体" w:eastAsia="宋体" w:cs="宋体"/>
                <w:szCs w:val="21"/>
                <w:highlight w:val="none"/>
              </w:rPr>
              <w:t>最高限价，不超过最高限价的报价（总报价、分项报价）方为有效报价。具体详见</w:t>
            </w:r>
            <w:r>
              <w:rPr>
                <w:rFonts w:hint="eastAsia" w:ascii="宋体" w:hAnsi="宋体" w:cs="宋体"/>
                <w:b/>
                <w:bCs/>
                <w:szCs w:val="21"/>
                <w:highlight w:val="none"/>
                <w:lang w:eastAsia="zh-CN"/>
              </w:rPr>
              <w:t>第六章</w:t>
            </w:r>
            <w:r>
              <w:rPr>
                <w:rFonts w:hint="eastAsia" w:ascii="宋体" w:hAnsi="宋体" w:cs="宋体"/>
                <w:b w:val="0"/>
                <w:bCs w:val="0"/>
                <w:szCs w:val="21"/>
                <w:highlight w:val="none"/>
                <w:lang w:eastAsia="zh-CN"/>
              </w:rPr>
              <w:t>《竞争性采购最高限价》</w:t>
            </w: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1448" w:type="pct"/>
            <w:vAlign w:val="center"/>
          </w:tcPr>
          <w:p>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自响应文件递交截止之日起</w:t>
            </w:r>
            <w:r>
              <w:rPr>
                <w:rFonts w:hint="eastAsia" w:ascii="宋体" w:hAnsi="宋体" w:cs="宋体"/>
                <w:szCs w:val="21"/>
                <w:highlight w:val="none"/>
                <w:u w:val="single"/>
              </w:rPr>
              <w:t>180</w:t>
            </w:r>
            <w:r>
              <w:rPr>
                <w:rFonts w:hint="eastAsia" w:ascii="宋体"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1.金额：人民币（大写）</w:t>
            </w:r>
            <w:r>
              <w:rPr>
                <w:rFonts w:hint="eastAsia"/>
                <w:color w:val="auto"/>
                <w:sz w:val="21"/>
                <w:szCs w:val="21"/>
                <w:highlight w:val="none"/>
                <w:u w:val="single"/>
                <w:shd w:val="clear" w:color="auto" w:fill="FFFFFF"/>
                <w:lang w:val="en-US" w:eastAsia="zh-CN" w:bidi="ar"/>
              </w:rPr>
              <w:t>壹万伍仟陆佰</w:t>
            </w:r>
            <w:r>
              <w:rPr>
                <w:rFonts w:hint="eastAsia"/>
                <w:color w:val="auto"/>
                <w:sz w:val="21"/>
                <w:szCs w:val="21"/>
                <w:highlight w:val="none"/>
                <w:u w:val="single"/>
                <w:shd w:val="clear" w:color="auto" w:fill="FFFFFF"/>
                <w:lang w:bidi="ar"/>
              </w:rPr>
              <w:t>元整（¥</w:t>
            </w:r>
            <w:r>
              <w:rPr>
                <w:rFonts w:hint="eastAsia"/>
                <w:color w:val="auto"/>
                <w:sz w:val="21"/>
                <w:szCs w:val="21"/>
                <w:highlight w:val="none"/>
                <w:u w:val="single"/>
                <w:shd w:val="clear" w:color="auto" w:fill="FFFFFF"/>
                <w:lang w:val="en-US" w:eastAsia="zh-CN" w:bidi="ar"/>
              </w:rPr>
              <w:t>15600</w:t>
            </w:r>
            <w:bookmarkStart w:id="90" w:name="_GoBack"/>
            <w:bookmarkEnd w:id="90"/>
            <w:r>
              <w:rPr>
                <w:rFonts w:hint="eastAsia"/>
                <w:color w:val="auto"/>
                <w:sz w:val="21"/>
                <w:szCs w:val="21"/>
                <w:highlight w:val="none"/>
                <w:u w:val="single"/>
                <w:shd w:val="clear" w:color="auto" w:fill="FFFFFF"/>
                <w:lang w:bidi="ar"/>
              </w:rPr>
              <w:t>元）</w:t>
            </w:r>
            <w:r>
              <w:rPr>
                <w:rFonts w:hint="eastAsia" w:ascii="宋体" w:hAnsi="宋体" w:cs="宋体"/>
                <w:color w:val="000000" w:themeColor="text1"/>
                <w:szCs w:val="21"/>
                <w:highlight w:val="none"/>
                <w14:textFill>
                  <w14:solidFill>
                    <w14:schemeClr w14:val="tx1"/>
                  </w14:solidFill>
                </w14:textFill>
              </w:rPr>
              <w:t>。</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000000"/>
                <w:kern w:val="0"/>
                <w:szCs w:val="21"/>
                <w:highlight w:val="none"/>
                <w:shd w:val="clear" w:color="auto" w:fill="FFFFFF"/>
                <w:lang w:eastAsia="zh-CN"/>
              </w:rPr>
              <w:t>（</w:t>
            </w:r>
            <w:r>
              <w:rPr>
                <w:rFonts w:hint="eastAsia" w:ascii="宋体" w:hAnsi="宋体" w:cs="宋体"/>
                <w:color w:val="000000"/>
                <w:kern w:val="0"/>
                <w:szCs w:val="21"/>
                <w:highlight w:val="none"/>
                <w:shd w:val="clear" w:color="auto" w:fill="FFFFFF"/>
                <w:lang w:val="en-US" w:eastAsia="zh-CN"/>
              </w:rPr>
              <w:t>如需</w:t>
            </w:r>
            <w:r>
              <w:rPr>
                <w:rFonts w:hint="eastAsia" w:ascii="宋体" w:hAnsi="宋体" w:cs="宋体"/>
                <w:color w:val="000000"/>
                <w:kern w:val="0"/>
                <w:szCs w:val="21"/>
                <w:highlight w:val="none"/>
                <w:shd w:val="clear" w:color="auto" w:fill="FFFFFF"/>
                <w:lang w:eastAsia="zh-CN"/>
              </w:rPr>
              <w:t>）</w:t>
            </w:r>
            <w:r>
              <w:rPr>
                <w:rFonts w:hint="eastAsia" w:ascii="宋体" w:hAnsi="宋体" w:eastAsia="宋体" w:cs="宋体"/>
                <w:color w:val="000000"/>
                <w:kern w:val="0"/>
                <w:szCs w:val="21"/>
                <w:highlight w:val="none"/>
                <w:shd w:val="clear" w:color="auto" w:fill="FFFFFF"/>
              </w:rPr>
              <w:t>后予以退还。如在退还竞争性采购保证金时发生银行费用，则在竞争性采购保证金金额内扣减后将余额退回</w:t>
            </w:r>
            <w:r>
              <w:rPr>
                <w:rFonts w:hint="eastAsia" w:ascii="宋体" w:hAnsi="宋体" w:cs="宋体"/>
                <w:color w:val="000000"/>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是否允许递交备选方案</w:t>
            </w:r>
          </w:p>
        </w:tc>
        <w:tc>
          <w:tcPr>
            <w:tcW w:w="2980" w:type="pct"/>
            <w:vAlign w:val="center"/>
          </w:tcPr>
          <w:p>
            <w:pPr>
              <w:pStyle w:val="276"/>
              <w:adjustRightInd w:val="0"/>
              <w:snapToGrid w:val="0"/>
              <w:spacing w:line="360" w:lineRule="exact"/>
              <w:rPr>
                <w:rFonts w:ascii="宋体" w:hAnsi="宋体" w:cs="宋体"/>
                <w:szCs w:val="21"/>
                <w:highlight w:val="none"/>
              </w:rPr>
            </w:pPr>
            <w:r>
              <w:rPr>
                <w:rFonts w:hint="eastAsia" w:ascii="宋体" w:hAnsi="宋体" w:cs="宋体"/>
                <w:szCs w:val="21"/>
                <w:highlight w:val="none"/>
              </w:rPr>
              <w:t>□允许</w:t>
            </w:r>
          </w:p>
          <w:p>
            <w:pPr>
              <w:adjustRightInd w:val="0"/>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6"/>
              <w:adjustRightInd w:val="0"/>
              <w:snapToGrid w:val="0"/>
              <w:spacing w:line="25" w:lineRule="atLeast"/>
              <w:ind w:left="139"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w:t>
            </w:r>
          </w:p>
        </w:tc>
        <w:tc>
          <w:tcPr>
            <w:tcW w:w="1448"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电子响应文件编制要求</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color w:val="000000" w:themeColor="text1"/>
                <w:highlight w:val="none"/>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ind w:left="148"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w:t>
            </w:r>
          </w:p>
        </w:tc>
        <w:tc>
          <w:tcPr>
            <w:tcW w:w="1448" w:type="pct"/>
            <w:vAlign w:val="center"/>
          </w:tcPr>
          <w:p>
            <w:pPr>
              <w:pStyle w:val="276"/>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签字或盖章要求</w:t>
            </w:r>
          </w:p>
        </w:tc>
        <w:tc>
          <w:tcPr>
            <w:tcW w:w="2980" w:type="pct"/>
            <w:vAlign w:val="center"/>
          </w:tcPr>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响应文件应由</w:t>
            </w:r>
            <w:r>
              <w:rPr>
                <w:rFonts w:hint="eastAsia" w:ascii="宋体" w:hAnsi="宋体" w:cs="宋体"/>
                <w:color w:val="000000" w:themeColor="text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按采购文件要求在相应位置</w:t>
            </w:r>
            <w:r>
              <w:rPr>
                <w:rFonts w:hint="eastAsia" w:ascii="宋体" w:hAnsi="宋体" w:cs="宋体"/>
                <w:color w:val="000000" w:themeColor="text1"/>
                <w:szCs w:val="21"/>
                <w:highlight w:val="none"/>
                <w14:textFill>
                  <w14:solidFill>
                    <w14:schemeClr w14:val="tx1"/>
                  </w14:solidFill>
                </w14:textFill>
              </w:rPr>
              <w:t>签名（或加盖印章），并采用单位数字证书，</w:t>
            </w:r>
            <w:r>
              <w:rPr>
                <w:rFonts w:hint="eastAsia" w:ascii="宋体" w:hAnsi="宋体" w:cs="宋体"/>
                <w:color w:val="000000" w:themeColor="text1"/>
                <w:highlight w:val="none"/>
                <w14:textFill>
                  <w14:solidFill>
                    <w14:schemeClr w14:val="tx1"/>
                  </w14:solidFill>
                </w14:textFill>
              </w:rPr>
              <w:t>按采购文件要求在相应位置加盖电子印章。</w:t>
            </w:r>
          </w:p>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由法定代表人签字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的，响应文件应附法定代表人身份证明，由委托代理人签字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响应文件的份数</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供应商须在采购文件规定的响应文件递交截止时间前登陆</w:t>
            </w:r>
            <w:r>
              <w:rPr>
                <w:rFonts w:hint="eastAsia" w:ascii="宋体" w:hAnsi="宋体" w:cs="宋体"/>
                <w:color w:val="000000" w:themeColor="text1"/>
                <w:highlight w:val="none"/>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6"/>
              <w:adjustRightInd w:val="0"/>
              <w:snapToGrid w:val="0"/>
              <w:spacing w:line="25" w:lineRule="atLeas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4.1.1</w:t>
            </w:r>
          </w:p>
        </w:tc>
        <w:tc>
          <w:tcPr>
            <w:tcW w:w="1448" w:type="pct"/>
            <w:vAlign w:val="center"/>
          </w:tcPr>
          <w:p>
            <w:pPr>
              <w:pStyle w:val="276"/>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响应文件加密要求</w:t>
            </w:r>
          </w:p>
        </w:tc>
        <w:tc>
          <w:tcPr>
            <w:tcW w:w="2980" w:type="pct"/>
            <w:vAlign w:val="center"/>
          </w:tcPr>
          <w:p>
            <w:pPr>
              <w:pStyle w:val="276"/>
              <w:adjustRightInd w:val="0"/>
              <w:snapToGrid w:val="0"/>
              <w:spacing w:line="300" w:lineRule="auto"/>
              <w:rPr>
                <w:rFonts w:ascii="宋体" w:hAnsi="宋体" w:cs="宋体"/>
                <w:szCs w:val="21"/>
                <w:highlight w:val="none"/>
                <w:u w:val="single"/>
              </w:rPr>
            </w:pPr>
            <w:r>
              <w:rPr>
                <w:rFonts w:hint="eastAsia" w:ascii="宋体" w:hAnsi="宋体" w:cs="宋体"/>
                <w:bCs/>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4.2.1</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2980" w:type="pct"/>
            <w:vAlign w:val="center"/>
          </w:tcPr>
          <w:p>
            <w:pPr>
              <w:spacing w:line="360" w:lineRule="exact"/>
              <w:rPr>
                <w:rFonts w:hint="default" w:ascii="宋体" w:hAnsi="宋体" w:eastAsia="宋体" w:cs="宋体"/>
                <w:szCs w:val="21"/>
                <w:highlight w:val="none"/>
                <w:lang w:val="en-US" w:eastAsia="zh-CN"/>
              </w:rPr>
            </w:pPr>
            <w:r>
              <w:rPr>
                <w:rFonts w:hint="eastAsia" w:ascii="宋体" w:hAnsi="宋体" w:eastAsia="宋体" w:cs="宋体"/>
                <w:color w:val="auto"/>
                <w:sz w:val="21"/>
                <w:szCs w:val="21"/>
                <w:highlight w:val="none"/>
                <w:u w:val="single"/>
                <w:shd w:val="clear" w:color="auto" w:fill="FFFFFF"/>
              </w:rPr>
              <w:t>202</w:t>
            </w:r>
            <w:r>
              <w:rPr>
                <w:rFonts w:hint="eastAsia" w:ascii="宋体" w:hAnsi="宋体" w:cs="宋体"/>
                <w:color w:val="auto"/>
                <w:sz w:val="21"/>
                <w:szCs w:val="21"/>
                <w:highlight w:val="none"/>
                <w:u w:val="single"/>
                <w:shd w:val="clear" w:color="auto" w:fill="FFFFFF"/>
                <w:lang w:val="en-US" w:eastAsia="zh-CN"/>
              </w:rPr>
              <w:t>4</w:t>
            </w:r>
            <w:r>
              <w:rPr>
                <w:rFonts w:hint="eastAsia" w:ascii="宋体" w:hAnsi="宋体" w:eastAsia="宋体" w:cs="宋体"/>
                <w:color w:val="auto"/>
                <w:sz w:val="21"/>
                <w:szCs w:val="21"/>
                <w:highlight w:val="none"/>
                <w:u w:val="single"/>
                <w:shd w:val="clear" w:color="auto" w:fill="FFFFFF"/>
              </w:rPr>
              <w:t>年</w:t>
            </w:r>
            <w:r>
              <w:rPr>
                <w:rFonts w:hint="eastAsia" w:hAnsi="宋体" w:cs="宋体"/>
                <w:color w:val="auto"/>
                <w:sz w:val="21"/>
                <w:szCs w:val="21"/>
                <w:highlight w:val="none"/>
                <w:u w:val="single"/>
                <w:shd w:val="clear" w:color="auto" w:fill="FFFFFF"/>
                <w:lang w:val="en-US" w:eastAsia="zh-CN"/>
              </w:rPr>
              <w:t>1</w:t>
            </w:r>
            <w:r>
              <w:rPr>
                <w:rFonts w:hint="eastAsia" w:ascii="宋体" w:hAnsi="宋体" w:eastAsia="宋体" w:cs="宋体"/>
                <w:color w:val="auto"/>
                <w:sz w:val="21"/>
                <w:szCs w:val="21"/>
                <w:highlight w:val="none"/>
                <w:u w:val="single"/>
                <w:shd w:val="clear" w:color="auto" w:fill="FFFFFF"/>
              </w:rPr>
              <w:t>月</w:t>
            </w:r>
            <w:r>
              <w:rPr>
                <w:rFonts w:hint="eastAsia" w:hAnsi="宋体" w:cs="宋体"/>
                <w:color w:val="auto"/>
                <w:sz w:val="21"/>
                <w:szCs w:val="21"/>
                <w:highlight w:val="none"/>
                <w:u w:val="single"/>
                <w:shd w:val="clear" w:color="auto" w:fill="FFFFFF"/>
                <w:lang w:val="en-US" w:eastAsia="zh-CN"/>
              </w:rPr>
              <w:t>5</w:t>
            </w:r>
            <w:r>
              <w:rPr>
                <w:rFonts w:hint="eastAsia" w:ascii="宋体" w:hAnsi="宋体" w:eastAsia="宋体" w:cs="宋体"/>
                <w:color w:val="auto"/>
                <w:sz w:val="21"/>
                <w:szCs w:val="21"/>
                <w:highlight w:val="none"/>
                <w:u w:val="single"/>
                <w:shd w:val="clear" w:color="auto" w:fill="FFFFFF"/>
              </w:rPr>
              <w:t>日</w:t>
            </w:r>
            <w:r>
              <w:rPr>
                <w:rFonts w:hint="eastAsia" w:hAnsi="宋体" w:cs="宋体"/>
                <w:color w:val="auto"/>
                <w:sz w:val="21"/>
                <w:szCs w:val="21"/>
                <w:highlight w:val="none"/>
                <w:u w:val="single"/>
                <w:shd w:val="clear" w:color="auto" w:fill="FFFFFF"/>
                <w:lang w:val="en-US" w:eastAsia="zh-CN"/>
              </w:rPr>
              <w:t>9</w:t>
            </w:r>
            <w:r>
              <w:rPr>
                <w:rFonts w:hint="eastAsia" w:ascii="宋体" w:hAnsi="宋体" w:eastAsia="宋体" w:cs="宋体"/>
                <w:color w:val="auto"/>
                <w:sz w:val="21"/>
                <w:szCs w:val="21"/>
                <w:highlight w:val="none"/>
                <w:u w:val="single"/>
                <w:shd w:val="clear" w:color="auto" w:fill="FFFFFF"/>
              </w:rPr>
              <w:t>时</w:t>
            </w:r>
            <w:r>
              <w:rPr>
                <w:rFonts w:hint="eastAsia" w:hAnsi="宋体" w:cs="宋体"/>
                <w:color w:val="auto"/>
                <w:sz w:val="21"/>
                <w:szCs w:val="21"/>
                <w:highlight w:val="none"/>
                <w:u w:val="single"/>
                <w:shd w:val="clear" w:color="auto" w:fill="FFFFFF"/>
                <w:lang w:val="en-US" w:eastAsia="zh-CN"/>
              </w:rPr>
              <w:t>3</w:t>
            </w:r>
            <w:r>
              <w:rPr>
                <w:rFonts w:hint="eastAsia" w:ascii="宋体" w:hAnsi="宋体" w:eastAsia="宋体" w:cs="宋体"/>
                <w:color w:val="auto"/>
                <w:sz w:val="21"/>
                <w:szCs w:val="21"/>
                <w:highlight w:val="none"/>
                <w:u w:val="single"/>
                <w:shd w:val="clear" w:color="auto" w:fill="FFFFFF"/>
              </w:rPr>
              <w:t>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w:t>
            </w:r>
            <w:r>
              <w:rPr>
                <w:rFonts w:ascii="宋体" w:hAnsi="宋体" w:cs="宋体"/>
                <w:szCs w:val="21"/>
                <w:highlight w:val="none"/>
              </w:rPr>
              <w:t>2</w:t>
            </w:r>
          </w:p>
        </w:tc>
        <w:tc>
          <w:tcPr>
            <w:tcW w:w="1448" w:type="pct"/>
            <w:vAlign w:val="center"/>
          </w:tcPr>
          <w:p>
            <w:pPr>
              <w:pStyle w:val="276"/>
              <w:adjustRightInd w:val="0"/>
              <w:snapToGrid w:val="0"/>
              <w:spacing w:line="300" w:lineRule="auto"/>
              <w:jc w:val="center"/>
              <w:rPr>
                <w:szCs w:val="21"/>
                <w:highlight w:val="none"/>
              </w:rPr>
            </w:pPr>
            <w:r>
              <w:rPr>
                <w:rFonts w:hint="eastAsia"/>
                <w:szCs w:val="21"/>
                <w:highlight w:val="none"/>
              </w:rPr>
              <w:t>递交</w:t>
            </w:r>
            <w:r>
              <w:rPr>
                <w:rFonts w:hint="eastAsia" w:ascii="宋体" w:hAnsi="宋体" w:cs="宋体"/>
                <w:szCs w:val="21"/>
                <w:highlight w:val="none"/>
              </w:rPr>
              <w:t>响应</w:t>
            </w:r>
            <w:r>
              <w:rPr>
                <w:rFonts w:hint="eastAsia"/>
                <w:szCs w:val="21"/>
                <w:highlight w:val="none"/>
              </w:rPr>
              <w:t>文件地点</w:t>
            </w:r>
          </w:p>
        </w:tc>
        <w:tc>
          <w:tcPr>
            <w:tcW w:w="2980" w:type="pct"/>
            <w:vAlign w:val="center"/>
          </w:tcPr>
          <w:p>
            <w:pPr>
              <w:spacing w:line="276" w:lineRule="auto"/>
              <w:rPr>
                <w:rFonts w:ascii="宋体" w:hAnsi="宋体" w:cs="宋体"/>
                <w:szCs w:val="21"/>
                <w:highlight w:val="none"/>
              </w:rPr>
            </w:pPr>
            <w:r>
              <w:rPr>
                <w:rFonts w:hint="eastAsia" w:ascii="宋体" w:hAnsi="宋体" w:cs="宋体"/>
                <w:szCs w:val="21"/>
                <w:highlight w:val="none"/>
              </w:rPr>
              <w:t>登录采购平台上传电子响应文件（</w:t>
            </w:r>
            <w:r>
              <w:rPr>
                <w:rFonts w:hint="eastAsia" w:ascii="宋体" w:hAnsi="宋体" w:cs="宋体"/>
                <w:highlight w:val="none"/>
              </w:rPr>
              <w:t>CSCG格式</w:t>
            </w:r>
            <w:r>
              <w:rPr>
                <w:rFonts w:hint="eastAsia" w:ascii="宋体" w:hAnsi="宋体" w:cs="宋体"/>
                <w:szCs w:val="21"/>
                <w:highlight w:val="none"/>
              </w:rPr>
              <w:t>）</w:t>
            </w:r>
            <w:r>
              <w:rPr>
                <w:rFonts w:hint="eastAsia"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4.2.3</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是否退还响应文件</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评审小组的组建</w:t>
            </w:r>
          </w:p>
        </w:tc>
        <w:tc>
          <w:tcPr>
            <w:tcW w:w="2980" w:type="pct"/>
            <w:vAlign w:val="center"/>
          </w:tcPr>
          <w:p>
            <w:pPr>
              <w:pStyle w:val="188"/>
              <w:spacing w:line="360" w:lineRule="exact"/>
              <w:ind w:firstLine="0"/>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结果公示媒介</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highlight w:val="none"/>
              </w:rPr>
              <w:t>7.2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和确定成交供应商方式</w:t>
            </w:r>
          </w:p>
        </w:tc>
        <w:tc>
          <w:tcPr>
            <w:tcW w:w="2980" w:type="pct"/>
            <w:vAlign w:val="center"/>
          </w:tcPr>
          <w:p>
            <w:pPr>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1.竞争性采购评审小组按照综合得分由高到低的顺序推荐不超过 3 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。经公示无异议后，确定排名第一的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为成交供</w:t>
            </w:r>
            <w:r>
              <w:rPr>
                <w:rFonts w:ascii="宋体" w:hAnsi="宋体" w:cs="宋体"/>
                <w:color w:val="000000" w:themeColor="text1"/>
                <w:szCs w:val="21"/>
                <w:highlight w:val="none"/>
                <w14:textFill>
                  <w14:solidFill>
                    <w14:schemeClr w14:val="tx1"/>
                  </w14:solidFill>
                </w14:textFill>
              </w:rPr>
              <w:t>应商</w:t>
            </w:r>
            <w:r>
              <w:rPr>
                <w:rFonts w:hint="eastAsia" w:ascii="宋体" w:hAnsi="宋体" w:cs="宋体"/>
                <w:color w:val="000000" w:themeColor="text1"/>
                <w:szCs w:val="21"/>
                <w:highlight w:val="none"/>
                <w14:textFill>
                  <w14:solidFill>
                    <w14:schemeClr w14:val="tx1"/>
                  </w14:solidFill>
                </w14:textFill>
              </w:rPr>
              <w:t>。</w:t>
            </w:r>
          </w:p>
          <w:p>
            <w:pPr>
              <w:spacing w:line="360" w:lineRule="exact"/>
              <w:jc w:val="left"/>
              <w:rPr>
                <w:highlight w:val="none"/>
              </w:rPr>
            </w:pPr>
            <w:r>
              <w:rPr>
                <w:rFonts w:hint="eastAsia" w:ascii="宋体" w:hAnsi="宋体" w:cs="宋体"/>
                <w:color w:val="000000" w:themeColor="text1"/>
                <w:szCs w:val="21"/>
                <w:highlight w:val="none"/>
                <w14:textFill>
                  <w14:solidFill>
                    <w14:schemeClr w14:val="tx1"/>
                  </w14:solidFill>
                </w14:textFill>
              </w:rPr>
              <w:t>2.竞争性采购排名第一的成交候选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放弃</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、因不可抗力不能履行合同，或者被查实存在影响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结果的违法行为等情形，不符合</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条件的，采购人可以按照评审小组提出的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名单排序依次确定其他</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Cs w:val="21"/>
                <w:highlight w:val="none"/>
              </w:rPr>
              <w:t>7.</w:t>
            </w:r>
            <w:r>
              <w:rPr>
                <w:rFonts w:hint="eastAsia" w:ascii="宋体" w:hAnsi="宋体" w:cs="宋体"/>
                <w:szCs w:val="21"/>
                <w:highlight w:val="none"/>
                <w:lang w:val="en-US" w:eastAsia="zh-CN"/>
              </w:rPr>
              <w:t>4</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履约保证金的形式：详见合同条款。</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w:t>
            </w:r>
          </w:p>
        </w:tc>
        <w:tc>
          <w:tcPr>
            <w:tcW w:w="4428" w:type="pct"/>
            <w:gridSpan w:val="2"/>
            <w:vAlign w:val="center"/>
          </w:tcPr>
          <w:p>
            <w:pPr>
              <w:pStyle w:val="26"/>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6"/>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异议的提出与处理按《</w:t>
            </w:r>
            <w:r>
              <w:rPr>
                <w:rFonts w:hint="eastAsia" w:ascii="宋体" w:hAnsi="宋体" w:eastAsia="宋体" w:cs="宋体"/>
                <w:color w:val="000000"/>
                <w:sz w:val="21"/>
                <w:szCs w:val="21"/>
                <w:highlight w:val="none"/>
                <w:shd w:val="clear" w:color="auto" w:fill="FFFFFF"/>
              </w:rPr>
              <w:t>长沙市轨道交通运营有限公司采购管理办法（试行）</w:t>
            </w:r>
            <w:r>
              <w:rPr>
                <w:rFonts w:hint="eastAsia" w:hAnsi="宋体" w:cs="宋体"/>
                <w:color w:val="000000" w:themeColor="text1"/>
                <w:sz w:val="21"/>
                <w:szCs w:val="21"/>
                <w:highlight w:val="none"/>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3</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4</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5</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成交通知发出以前，成交候选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及其相关情况发生变化，致使其达不到合格供应商资格条件的，取消其成交候选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6</w:t>
            </w:r>
          </w:p>
        </w:tc>
        <w:tc>
          <w:tcPr>
            <w:tcW w:w="4428" w:type="pct"/>
            <w:gridSpan w:val="2"/>
            <w:vAlign w:val="center"/>
          </w:tcPr>
          <w:p>
            <w:pPr>
              <w:pStyle w:val="188"/>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highlight w:val="none"/>
                <w14:textFill>
                  <w14:solidFill>
                    <w14:schemeClr w14:val="tx1"/>
                  </w14:solidFill>
                </w14:textFill>
              </w:rPr>
              <w:t>视为不合格供应商</w:t>
            </w:r>
            <w:r>
              <w:rPr>
                <w:rFonts w:hint="eastAsia" w:hAnsi="宋体" w:cs="宋体"/>
                <w:color w:val="000000" w:themeColor="text1"/>
                <w:sz w:val="21"/>
                <w:szCs w:val="21"/>
                <w:highlight w:val="none"/>
                <w14:textFill>
                  <w14:solidFill>
                    <w14:schemeClr w14:val="tx1"/>
                  </w14:solidFill>
                </w14:textFill>
              </w:rPr>
              <w:t>处理，采购人有权取消其成交资格并没收</w:t>
            </w:r>
            <w:r>
              <w:rPr>
                <w:rFonts w:hint="eastAsia" w:hAnsi="宋体" w:cs="宋体"/>
                <w:color w:val="000000" w:themeColor="text1"/>
                <w:sz w:val="21"/>
                <w:szCs w:val="21"/>
                <w:highlight w:val="none"/>
                <w:lang w:eastAsia="zh-CN"/>
                <w14:textFill>
                  <w14:solidFill>
                    <w14:schemeClr w14:val="tx1"/>
                  </w14:solidFill>
                </w14:textFill>
              </w:rPr>
              <w:t>竞争性采购</w:t>
            </w:r>
            <w:r>
              <w:rPr>
                <w:rFonts w:hint="eastAsia" w:hAnsi="宋体" w:cs="宋体"/>
                <w:color w:val="000000" w:themeColor="text1"/>
                <w:sz w:val="21"/>
                <w:szCs w:val="21"/>
                <w:highlight w:val="none"/>
                <w14:textFill>
                  <w14:solidFill>
                    <w14:schemeClr w14:val="tx1"/>
                  </w14:solidFill>
                </w14:textFill>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7</w:t>
            </w:r>
          </w:p>
        </w:tc>
        <w:tc>
          <w:tcPr>
            <w:tcW w:w="4428" w:type="pct"/>
            <w:gridSpan w:val="2"/>
            <w:vAlign w:val="center"/>
          </w:tcPr>
          <w:p>
            <w:pPr>
              <w:spacing w:line="360" w:lineRule="exac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8</w:t>
            </w:r>
          </w:p>
        </w:tc>
        <w:tc>
          <w:tcPr>
            <w:tcW w:w="4428" w:type="pct"/>
            <w:gridSpan w:val="2"/>
            <w:vAlign w:val="center"/>
          </w:tcPr>
          <w:p>
            <w:pPr>
              <w:pStyle w:val="2"/>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小组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highlight w:val="none"/>
          <w14:textFill>
            <w14:solidFill>
              <w14:schemeClr w14:val="tx1"/>
            </w14:solidFill>
          </w14:textFill>
        </w:rPr>
      </w:pPr>
      <w:r>
        <w:rPr>
          <w:rFonts w:ascii="黑体" w:eastAsia="黑体"/>
          <w:b/>
          <w:color w:val="000000" w:themeColor="text1"/>
          <w:sz w:val="32"/>
          <w:szCs w:val="32"/>
          <w:highlight w:val="none"/>
          <w14:textFill>
            <w14:solidFill>
              <w14:schemeClr w14:val="tx1"/>
            </w14:solidFill>
          </w14:textFill>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1.1.1根据有关法律、法规和规章的规定，本项目已具备</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条件，现进行</w:t>
      </w:r>
      <w:r>
        <w:rPr>
          <w:rFonts w:hint="eastAsia" w:ascii="宋体" w:hAnsi="宋体"/>
          <w:color w:val="000000" w:themeColor="text1"/>
          <w:szCs w:val="21"/>
          <w:highlight w:val="none"/>
          <w14:textFill>
            <w14:solidFill>
              <w14:schemeClr w14:val="tx1"/>
            </w14:solidFill>
          </w14:textFill>
        </w:rPr>
        <w:t>竞争性采购</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3采购</w:t>
      </w:r>
      <w:r>
        <w:rPr>
          <w:rFonts w:ascii="宋体" w:hAnsi="宋体"/>
          <w:color w:val="000000" w:themeColor="text1"/>
          <w:szCs w:val="21"/>
          <w:highlight w:val="none"/>
          <w14:textFill>
            <w14:solidFill>
              <w14:schemeClr w14:val="tx1"/>
            </w14:solidFill>
          </w14:textFill>
        </w:rPr>
        <w:t>项目名称：</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1.2 资金来源</w:t>
      </w:r>
    </w:p>
    <w:p>
      <w:pPr>
        <w:pStyle w:val="188"/>
        <w:ind w:firstLine="420" w:firstLineChars="200"/>
        <w:jc w:val="both"/>
        <w:rPr>
          <w:rFonts w:hAnsi="宋体"/>
          <w:strike/>
          <w:color w:val="000000" w:themeColor="text1"/>
          <w:sz w:val="21"/>
          <w:szCs w:val="21"/>
          <w:highlight w:val="none"/>
          <w14:textFill>
            <w14:solidFill>
              <w14:schemeClr w14:val="tx1"/>
            </w14:solidFill>
          </w14:textFill>
        </w:rPr>
      </w:pPr>
      <w:r>
        <w:rPr>
          <w:rFonts w:hint="eastAsia" w:ascii="Times New Roman" w:hAnsi="宋体"/>
          <w:color w:val="000000" w:themeColor="text1"/>
          <w:sz w:val="21"/>
          <w:szCs w:val="21"/>
          <w:highlight w:val="none"/>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1.3 采购范围</w:t>
      </w:r>
      <w:r>
        <w:rPr>
          <w:rFonts w:hint="eastAsia" w:ascii="宋体" w:hAnsi="宋体" w:eastAsia="宋体" w:cs="Times New Roman"/>
          <w:b/>
          <w:bCs/>
          <w:color w:val="000000" w:themeColor="text1"/>
          <w:szCs w:val="21"/>
          <w:highlight w:val="none"/>
          <w14:textFill>
            <w14:solidFill>
              <w14:schemeClr w14:val="tx1"/>
            </w14:solidFill>
          </w14:textFill>
        </w:rPr>
        <w:t>、服务期</w:t>
      </w:r>
    </w:p>
    <w:p>
      <w:pPr>
        <w:pStyle w:val="188"/>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1.3.1采购范围：见竞争性采购须知前附表。</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1.3.2服务期：见竞争性采购须知前附表。</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 供应商资格要求</w:t>
      </w:r>
    </w:p>
    <w:p>
      <w:pPr>
        <w:pStyle w:val="188"/>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1.4.1 供应商应具备承担本项目资格要求：见竞争性采购公告。</w:t>
      </w:r>
      <w:bookmarkStart w:id="9" w:name="page20"/>
      <w:bookmarkEnd w:id="9"/>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highlight w:val="none"/>
          <w14:textFill>
            <w14:solidFill>
              <w14:schemeClr w14:val="tx1"/>
            </w14:solidFill>
          </w14:textFill>
        </w:rPr>
        <w:t>第1.4.1项</w:t>
      </w:r>
      <w:r>
        <w:rPr>
          <w:rFonts w:hint="eastAsia" w:hAnsi="宋体" w:cs="宋体"/>
          <w:color w:val="000000" w:themeColor="text1"/>
          <w:sz w:val="21"/>
          <w:szCs w:val="21"/>
          <w:highlight w:val="none"/>
          <w14:textFill>
            <w14:solidFill>
              <w14:schemeClr w14:val="tx1"/>
            </w14:solidFill>
          </w14:textFill>
        </w:rPr>
        <w:t>和竞争性采购须知</w:t>
      </w:r>
      <w:r>
        <w:rPr>
          <w:rFonts w:hint="eastAsia" w:ascii="宋体" w:hAnsi="宋体" w:eastAsia="宋体" w:cs="宋体"/>
          <w:color w:val="000000" w:themeColor="text1"/>
          <w:sz w:val="21"/>
          <w:szCs w:val="21"/>
          <w:highlight w:val="none"/>
          <w14:textFill>
            <w14:solidFill>
              <w14:schemeClr w14:val="tx1"/>
            </w14:solidFill>
          </w14:textFill>
        </w:rPr>
        <w:t>前附表的要求外，还应遵守以下规定：</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（1）联合体各方应按竞争性采购文件提供的格式签订联合体协议书，明确联合体牵头人和各方权利义务；</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（2）由同一专业的单位组成的联合体，按照资质等级较低的单位确定资质等级；</w:t>
      </w:r>
    </w:p>
    <w:p>
      <w:pPr>
        <w:pStyle w:val="188"/>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（3）联合体各方不得再以自己名义单独或参加其他联合体在同一标段中投标。</w:t>
      </w:r>
    </w:p>
    <w:p>
      <w:pPr>
        <w:pStyle w:val="188"/>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8"/>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8"/>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8"/>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8"/>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8"/>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8"/>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8"/>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8"/>
        <w:jc w:val="both"/>
        <w:rPr>
          <w:rFonts w:hAnsi="宋体" w:cs="宋体"/>
          <w:color w:val="auto"/>
          <w:sz w:val="21"/>
          <w:szCs w:val="21"/>
          <w:highlight w:val="none"/>
        </w:rPr>
      </w:pPr>
      <w:r>
        <w:rPr>
          <w:rFonts w:hAnsi="宋体" w:cs="宋体"/>
          <w:color w:val="auto"/>
          <w:sz w:val="21"/>
          <w:szCs w:val="21"/>
          <w:highlight w:val="none"/>
        </w:rPr>
        <w:t>（8）被责令停业的；</w:t>
      </w:r>
    </w:p>
    <w:p>
      <w:pPr>
        <w:pStyle w:val="188"/>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8"/>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8"/>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1.5 费用承担</w:t>
      </w:r>
    </w:p>
    <w:p>
      <w:pPr>
        <w:pStyle w:val="92"/>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准备和参加</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 保密</w:t>
      </w:r>
    </w:p>
    <w:p>
      <w:pPr>
        <w:pStyle w:val="281"/>
        <w:tabs>
          <w:tab w:val="left" w:pos="2117"/>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参与</w:t>
      </w:r>
      <w:r>
        <w:rPr>
          <w:rFonts w:hint="eastAsia" w:hAnsi="宋体"/>
          <w:color w:val="000000" w:themeColor="text1"/>
          <w:szCs w:val="21"/>
          <w:highlight w:val="none"/>
          <w14:textFill>
            <w14:solidFill>
              <w14:schemeClr w14:val="tx1"/>
            </w14:solidFill>
          </w14:textFill>
        </w:rPr>
        <w:t>采购</w:t>
      </w:r>
      <w:r>
        <w:rPr>
          <w:rFonts w:hAnsi="宋体"/>
          <w:color w:val="000000" w:themeColor="text1"/>
          <w:szCs w:val="21"/>
          <w:highlight w:val="none"/>
          <w14:textFill>
            <w14:solidFill>
              <w14:schemeClr w14:val="tx1"/>
            </w14:solidFill>
          </w14:textFill>
        </w:rPr>
        <w:t>活动的各方应对</w:t>
      </w:r>
      <w:r>
        <w:rPr>
          <w:rFonts w:hint="eastAsia" w:hAnsi="宋体"/>
          <w:color w:val="000000" w:themeColor="text1"/>
          <w:szCs w:val="21"/>
          <w:highlight w:val="none"/>
          <w14:textFill>
            <w14:solidFill>
              <w14:schemeClr w14:val="tx1"/>
            </w14:solidFill>
          </w14:textFill>
        </w:rPr>
        <w:t>采购文件</w:t>
      </w:r>
      <w:r>
        <w:rPr>
          <w:rFonts w:hAnsi="宋体"/>
          <w:color w:val="000000" w:themeColor="text1"/>
          <w:szCs w:val="21"/>
          <w:highlight w:val="none"/>
          <w14:textFill>
            <w14:solidFill>
              <w14:schemeClr w14:val="tx1"/>
            </w14:solidFill>
          </w14:textFill>
        </w:rPr>
        <w:t>和</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文件中的商业和技术等秘密保密，</w:t>
      </w:r>
      <w:r>
        <w:rPr>
          <w:rFonts w:hint="eastAsia"/>
          <w:color w:val="000000" w:themeColor="text1"/>
          <w:highlight w:val="none"/>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1.7 语言文字</w:t>
      </w:r>
    </w:p>
    <w:p>
      <w:pPr>
        <w:pStyle w:val="281"/>
        <w:tabs>
          <w:tab w:val="left" w:pos="2117"/>
        </w:tabs>
        <w:adjustRightInd w:val="0"/>
        <w:snapToGrid w:val="0"/>
        <w:spacing w:line="360" w:lineRule="auto"/>
        <w:ind w:left="42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1.8 计量单位</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1.9 踏勘现场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1.9.1按竞争性采购须知前附表的规定执行。</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1.9.2供应商踏勘现场发生的费用自理。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1.9.3除采购人的原因外，供应商自行负责在踏勘现场中所发生的人员伤亡和财产损失。</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1.10 分包</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1.10.1供应商拟在成交后将成交项目的</w:t>
      </w:r>
      <w:r>
        <w:rPr>
          <w:rFonts w:hint="eastAsia" w:ascii="Times New Roman"/>
          <w:color w:val="000000" w:themeColor="text1"/>
          <w:sz w:val="21"/>
          <w:szCs w:val="20"/>
          <w:highlight w:val="none"/>
          <w14:textFill>
            <w14:solidFill>
              <w14:schemeClr w14:val="tx1"/>
            </w14:solidFill>
          </w14:textFill>
        </w:rPr>
        <w:t>非主体、非关键性</w:t>
      </w:r>
      <w:r>
        <w:rPr>
          <w:rFonts w:hint="eastAsia" w:hAnsi="宋体"/>
          <w:color w:val="000000" w:themeColor="text1"/>
          <w:sz w:val="21"/>
          <w:szCs w:val="21"/>
          <w:highlight w:val="none"/>
          <w14:textFill>
            <w14:solidFill>
              <w14:schemeClr w14:val="tx1"/>
            </w14:solidFill>
          </w14:textFill>
        </w:rPr>
        <w:t>服务工作进行分包的，应符合采购文件和“技术标准和要求”规定的分包内容、分包金额和资质要求等限制性条件。</w:t>
      </w:r>
    </w:p>
    <w:p>
      <w:pPr>
        <w:pStyle w:val="188"/>
        <w:jc w:val="both"/>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1.11 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1.11.1响应文件应当对采购文件的实质性要求和条件作出满足性或更有利于采购人的响应，否则，将视为不合格供应商。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1.11.2供应商应根据采购文件的要求对采购文件作出响应。</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 采购文件的组成</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本</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包括：</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竞争性采购公告</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须知；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w:t>
      </w:r>
      <w:r>
        <w:rPr>
          <w:rFonts w:hint="eastAsia" w:hAnsi="宋体"/>
          <w:color w:val="000000" w:themeColor="text1"/>
          <w:sz w:val="21"/>
          <w:szCs w:val="21"/>
          <w:highlight w:val="none"/>
          <w14:textFill>
            <w14:solidFill>
              <w14:schemeClr w14:val="tx1"/>
            </w14:solidFill>
          </w14:textFill>
        </w:rPr>
        <w:t>及</w:t>
      </w:r>
      <w:r>
        <w:rPr>
          <w:rFonts w:hAnsi="宋体"/>
          <w:color w:val="000000" w:themeColor="text1"/>
          <w:sz w:val="21"/>
          <w:szCs w:val="21"/>
          <w:highlight w:val="none"/>
          <w14:textFill>
            <w14:solidFill>
              <w14:schemeClr w14:val="tx1"/>
            </w14:solidFill>
          </w14:textFill>
        </w:rPr>
        <w:t>标准；</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（4）合同条款及格式</w:t>
      </w:r>
      <w:r>
        <w:rPr>
          <w:rFonts w:hint="eastAsia" w:hAnsi="宋体"/>
          <w:color w:val="000000" w:themeColor="text1"/>
          <w:sz w:val="21"/>
          <w:szCs w:val="21"/>
          <w:highlight w:val="none"/>
          <w:lang w:val="en-US" w:eastAsia="zh-CN"/>
          <w14:textFill>
            <w14:solidFill>
              <w14:schemeClr w14:val="tx1"/>
            </w14:solidFill>
          </w14:textFill>
        </w:rPr>
        <w:t>（另册）</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lang w:val="en-US" w:eastAsia="zh-CN"/>
          <w14:textFill>
            <w14:solidFill>
              <w14:schemeClr w14:val="tx1"/>
            </w14:solidFill>
          </w14:textFill>
        </w:rPr>
        <w:t>用户需求书（另册）</w:t>
      </w:r>
      <w:r>
        <w:rPr>
          <w:rFonts w:hAnsi="宋体"/>
          <w:color w:val="000000" w:themeColor="text1"/>
          <w:sz w:val="21"/>
          <w:szCs w:val="21"/>
          <w:highlight w:val="none"/>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r>
        <w:rPr>
          <w:rFonts w:hint="eastAsia" w:hAnsi="宋体"/>
          <w:color w:val="000000" w:themeColor="text1"/>
          <w:sz w:val="21"/>
          <w:szCs w:val="21"/>
          <w:highlight w:val="none"/>
          <w14:textFill>
            <w14:solidFill>
              <w14:schemeClr w14:val="tx1"/>
            </w14:solidFill>
          </w14:textFill>
        </w:rPr>
        <w:t>竞争性采购最高限价</w:t>
      </w:r>
      <w:r>
        <w:rPr>
          <w:rFonts w:hint="eastAsia" w:hAnsi="宋体"/>
          <w:color w:val="000000" w:themeColor="text1"/>
          <w:sz w:val="21"/>
          <w:szCs w:val="21"/>
          <w:highlight w:val="none"/>
          <w:lang w:val="en-US" w:eastAsia="zh-CN"/>
          <w14:textFill>
            <w14:solidFill>
              <w14:schemeClr w14:val="tx1"/>
            </w14:solidFill>
          </w14:textFill>
        </w:rPr>
        <w:t>（另册）</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7</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格式；</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根据本须知</w:t>
      </w:r>
      <w:r>
        <w:rPr>
          <w:rFonts w:hint="eastAsia" w:hAnsi="宋体"/>
          <w:b/>
          <w:bCs/>
          <w:color w:val="000000" w:themeColor="text1"/>
          <w:sz w:val="21"/>
          <w:szCs w:val="21"/>
          <w:highlight w:val="none"/>
          <w14:textFill>
            <w14:solidFill>
              <w14:schemeClr w14:val="tx1"/>
            </w14:solidFill>
          </w14:textFill>
        </w:rPr>
        <w:t>第2.2项</w:t>
      </w:r>
      <w:r>
        <w:rPr>
          <w:rFonts w:hint="eastAsia" w:hAnsi="宋体"/>
          <w:color w:val="000000" w:themeColor="text1"/>
          <w:sz w:val="21"/>
          <w:szCs w:val="21"/>
          <w:highlight w:val="none"/>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 采购文件的澄清和修改</w:t>
      </w:r>
    </w:p>
    <w:p>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2.2.2采购文件的</w:t>
      </w:r>
      <w:r>
        <w:rPr>
          <w:rFonts w:hint="eastAsia" w:ascii="宋体" w:hAnsi="Courier New" w:cs="Courier New"/>
          <w:color w:val="000000" w:themeColor="text1"/>
          <w:szCs w:val="21"/>
          <w:highlight w:val="none"/>
          <w14:textFill>
            <w14:solidFill>
              <w14:schemeClr w14:val="tx1"/>
            </w14:solidFill>
          </w14:textFill>
        </w:rPr>
        <w:t>澄清或者修改的</w:t>
      </w:r>
      <w:r>
        <w:rPr>
          <w:rFonts w:hint="eastAsia" w:ascii="宋体" w:hAnsi="宋体" w:cs="宋体"/>
          <w:color w:val="000000" w:themeColor="text1"/>
          <w:kern w:val="0"/>
          <w:szCs w:val="21"/>
          <w:highlight w:val="none"/>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highlight w:val="none"/>
          <w14:textFill>
            <w14:solidFill>
              <w14:schemeClr w14:val="tx1"/>
            </w14:solidFill>
          </w14:textFill>
        </w:rPr>
        <w:t>在竞争性采购须知前附表规定的媒介发布</w:t>
      </w:r>
      <w:r>
        <w:rPr>
          <w:rFonts w:hint="eastAsia" w:ascii="宋体" w:hAnsi="宋体" w:cs="宋体"/>
          <w:color w:val="000000" w:themeColor="text1"/>
          <w:kern w:val="0"/>
          <w:szCs w:val="21"/>
          <w:highlight w:val="none"/>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.2.4除非</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人认为确有必要答复，否则，</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人有权拒绝回复</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在本章</w:t>
      </w:r>
      <w:r>
        <w:rPr>
          <w:rFonts w:ascii="宋体" w:hAnsi="宋体"/>
          <w:b/>
          <w:bCs/>
          <w:color w:val="000000" w:themeColor="text1"/>
          <w:szCs w:val="21"/>
          <w:highlight w:val="none"/>
          <w14:textFill>
            <w14:solidFill>
              <w14:schemeClr w14:val="tx1"/>
            </w14:solidFill>
          </w14:textFill>
        </w:rPr>
        <w:t>第2.2.1项</w:t>
      </w:r>
      <w:r>
        <w:rPr>
          <w:rFonts w:ascii="宋体" w:hAnsi="宋体"/>
          <w:color w:val="000000" w:themeColor="text1"/>
          <w:szCs w:val="21"/>
          <w:highlight w:val="none"/>
          <w14:textFill>
            <w14:solidFill>
              <w14:schemeClr w14:val="tx1"/>
            </w14:solidFill>
          </w14:textFill>
        </w:rPr>
        <w:t>规定的时间后的任何澄清要求。</w:t>
      </w:r>
      <w:r>
        <w:rPr>
          <w:rFonts w:hint="eastAsia" w:ascii="宋体" w:hAnsi="宋体"/>
          <w:color w:val="000000" w:themeColor="text1"/>
          <w:szCs w:val="21"/>
          <w:highlight w:val="none"/>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响应文件的组成</w:t>
      </w:r>
    </w:p>
    <w:p>
      <w:pPr>
        <w:adjustRightInd w:val="0"/>
        <w:snapToGrid w:val="0"/>
        <w:spacing w:line="360" w:lineRule="auto"/>
        <w:ind w:firstLine="420" w:firstLineChars="200"/>
        <w:jc w:val="left"/>
        <w:outlineLvl w:val="9"/>
        <w:rPr>
          <w:rFonts w:ascii="宋体" w:hAnsi="宋体"/>
          <w:color w:val="000000" w:themeColor="text1"/>
          <w:szCs w:val="21"/>
          <w:highlight w:val="none"/>
          <w14:textFill>
            <w14:solidFill>
              <w14:schemeClr w14:val="tx1"/>
            </w14:solidFill>
          </w14:textFill>
        </w:rPr>
      </w:pPr>
      <w:bookmarkStart w:id="10" w:name="_Toc22778"/>
      <w:bookmarkStart w:id="11" w:name="_Toc6078"/>
      <w:bookmarkStart w:id="12" w:name="_Toc30984"/>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响</w:t>
      </w:r>
      <w:r>
        <w:rPr>
          <w:rFonts w:hint="eastAsia" w:hAnsi="宋体"/>
          <w:color w:val="000000" w:themeColor="text1"/>
          <w:highlight w:val="none"/>
          <w14:textFill>
            <w14:solidFill>
              <w14:schemeClr w14:val="tx1"/>
            </w14:solidFill>
          </w14:textFill>
        </w:rPr>
        <w:t>应文件应包括下列内容：</w:t>
      </w:r>
      <w:bookmarkEnd w:id="10"/>
      <w:bookmarkEnd w:id="11"/>
      <w:bookmarkEnd w:id="12"/>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（1）竞争性采购承诺书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（2）法定代表人身份证明书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（3）授权委托书</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（4）供应商资格证明文件</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）报价一览表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）分项报价表</w:t>
      </w:r>
    </w:p>
    <w:p>
      <w:pPr>
        <w:pStyle w:val="188"/>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）其他资料（如有）</w:t>
      </w:r>
    </w:p>
    <w:p>
      <w:pPr>
        <w:pStyle w:val="188"/>
        <w:jc w:val="both"/>
        <w:rPr>
          <w:rFonts w:hAnsi="宋体"/>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r>
        <w:rPr>
          <w:color w:val="000000" w:themeColor="text1"/>
          <w:sz w:val="21"/>
          <w:highlight w:val="none"/>
          <w14:textFill>
            <w14:solidFill>
              <w14:schemeClr w14:val="tx1"/>
            </w14:solidFill>
          </w14:textFill>
        </w:rPr>
        <w:t>.1.2</w:t>
      </w:r>
      <w:r>
        <w:rPr>
          <w:rFonts w:hint="eastAsia"/>
          <w:color w:val="000000" w:themeColor="text1"/>
          <w:sz w:val="21"/>
          <w:highlight w:val="none"/>
          <w14:textFill>
            <w14:solidFill>
              <w14:schemeClr w14:val="tx1"/>
            </w14:solidFill>
          </w14:textFill>
        </w:rPr>
        <w:t>供应商</w:t>
      </w:r>
      <w:r>
        <w:rPr>
          <w:color w:val="000000" w:themeColor="text1"/>
          <w:sz w:val="21"/>
          <w:highlight w:val="none"/>
          <w14:textFill>
            <w14:solidFill>
              <w14:schemeClr w14:val="tx1"/>
            </w14:solidFill>
          </w14:textFill>
        </w:rPr>
        <w:t>在评</w:t>
      </w:r>
      <w:r>
        <w:rPr>
          <w:rFonts w:hint="eastAsia"/>
          <w:color w:val="000000" w:themeColor="text1"/>
          <w:sz w:val="21"/>
          <w:highlight w:val="none"/>
          <w14:textFill>
            <w14:solidFill>
              <w14:schemeClr w14:val="tx1"/>
            </w14:solidFill>
          </w14:textFill>
        </w:rPr>
        <w:t>审</w:t>
      </w:r>
      <w:r>
        <w:rPr>
          <w:color w:val="000000" w:themeColor="text1"/>
          <w:sz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根据评审小组要求提交的</w:t>
      </w:r>
      <w:r>
        <w:rPr>
          <w:rFonts w:hAnsi="宋体"/>
          <w:color w:val="000000" w:themeColor="text1"/>
          <w:sz w:val="21"/>
          <w:szCs w:val="21"/>
          <w:highlight w:val="none"/>
          <w14:textFill>
            <w14:solidFill>
              <w14:schemeClr w14:val="tx1"/>
            </w14:solidFill>
          </w14:textFill>
        </w:rPr>
        <w:t>澄清</w:t>
      </w:r>
      <w:r>
        <w:rPr>
          <w:rFonts w:hint="eastAsia" w:hAnsi="宋体"/>
          <w:color w:val="000000" w:themeColor="text1"/>
          <w:sz w:val="21"/>
          <w:szCs w:val="21"/>
          <w:highlight w:val="none"/>
          <w14:textFill>
            <w14:solidFill>
              <w14:schemeClr w14:val="tx1"/>
            </w14:solidFill>
          </w14:textFill>
        </w:rPr>
        <w:t>、说明和补正</w:t>
      </w:r>
      <w:r>
        <w:rPr>
          <w:color w:val="000000" w:themeColor="text1"/>
          <w:sz w:val="21"/>
          <w:highlight w:val="none"/>
          <w14:textFill>
            <w14:solidFill>
              <w14:schemeClr w14:val="tx1"/>
            </w14:solidFill>
          </w14:textFill>
        </w:rPr>
        <w:t>，构成</w:t>
      </w:r>
      <w:r>
        <w:rPr>
          <w:rFonts w:hint="eastAsia"/>
          <w:color w:val="000000" w:themeColor="text1"/>
          <w:sz w:val="21"/>
          <w:highlight w:val="none"/>
          <w14:textFill>
            <w14:solidFill>
              <w14:schemeClr w14:val="tx1"/>
            </w14:solidFill>
          </w14:textFill>
        </w:rPr>
        <w:t>响应</w:t>
      </w:r>
      <w:r>
        <w:rPr>
          <w:color w:val="000000" w:themeColor="text1"/>
          <w:sz w:val="21"/>
          <w:highlight w:val="none"/>
          <w14:textFill>
            <w14:solidFill>
              <w14:schemeClr w14:val="tx1"/>
            </w14:solidFill>
          </w14:textFill>
        </w:rPr>
        <w:t>文件的组成部分。</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highlight w:val="none"/>
        </w:rPr>
      </w:pPr>
      <w:r>
        <w:rPr>
          <w:rFonts w:hint="eastAsia" w:ascii="宋体" w:hAnsi="宋体"/>
          <w:b/>
          <w:bCs/>
          <w:szCs w:val="21"/>
          <w:highlight w:val="none"/>
        </w:rPr>
        <w:t>3.2 报价</w:t>
      </w:r>
    </w:p>
    <w:p>
      <w:pPr>
        <w:pStyle w:val="188"/>
        <w:jc w:val="both"/>
        <w:rPr>
          <w:sz w:val="21"/>
          <w:szCs w:val="21"/>
          <w:highlight w:val="none"/>
          <w:shd w:val="clear" w:color="auto" w:fill="FFFFFF"/>
        </w:rPr>
      </w:pPr>
      <w:r>
        <w:rPr>
          <w:rFonts w:hint="eastAsia" w:hAnsi="宋体"/>
          <w:color w:val="000000" w:themeColor="text1"/>
          <w:sz w:val="21"/>
          <w:szCs w:val="21"/>
          <w:highlight w:val="none"/>
          <w14:textFill>
            <w14:solidFill>
              <w14:schemeClr w14:val="tx1"/>
            </w14:solidFill>
          </w14:textFill>
        </w:rPr>
        <w:t>3.2.1</w:t>
      </w:r>
      <w:r>
        <w:rPr>
          <w:rFonts w:hint="eastAsia"/>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3.2.2供应商须按照</w:t>
      </w:r>
      <w:r>
        <w:rPr>
          <w:rFonts w:hint="eastAsia"/>
          <w:sz w:val="21"/>
          <w:szCs w:val="21"/>
          <w:highlight w:val="none"/>
          <w:shd w:val="clear" w:color="auto" w:fill="FFFFFF"/>
        </w:rPr>
        <w:t>本项目采购文件及“</w:t>
      </w:r>
      <w:r>
        <w:rPr>
          <w:rFonts w:hint="eastAsia"/>
          <w:b/>
          <w:bCs/>
          <w:color w:val="000000" w:themeColor="text1"/>
          <w:sz w:val="21"/>
          <w:szCs w:val="21"/>
          <w:highlight w:val="none"/>
          <w:lang w:eastAsia="zh-CN"/>
          <w14:textFill>
            <w14:solidFill>
              <w14:schemeClr w14:val="tx1"/>
            </w14:solidFill>
          </w14:textFill>
        </w:rPr>
        <w:t>用户需求书</w:t>
      </w:r>
      <w:r>
        <w:rPr>
          <w:rFonts w:hint="eastAsia"/>
          <w:color w:val="000000" w:themeColor="text1"/>
          <w:sz w:val="21"/>
          <w:szCs w:val="21"/>
          <w:highlight w:val="none"/>
          <w14:textFill>
            <w14:solidFill>
              <w14:schemeClr w14:val="tx1"/>
            </w14:solidFill>
          </w14:textFill>
        </w:rPr>
        <w:t>”内容</w:t>
      </w:r>
      <w:r>
        <w:rPr>
          <w:rFonts w:hint="eastAsia"/>
          <w:sz w:val="21"/>
          <w:szCs w:val="21"/>
          <w:highlight w:val="none"/>
          <w:shd w:val="clear" w:color="auto" w:fill="FFFFFF"/>
          <w:lang w:bidi="ar"/>
        </w:rPr>
        <w:t>进行报价。其中，所报单价及总价均不得超过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，不超过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的报价方为有效报价。</w:t>
      </w:r>
      <w:r>
        <w:rPr>
          <w:rFonts w:hint="eastAsia"/>
          <w:color w:val="000000" w:themeColor="text1"/>
          <w:sz w:val="21"/>
          <w:szCs w:val="21"/>
          <w:highlight w:val="none"/>
          <w:lang w:eastAsia="zh-CN"/>
          <w14:textFill>
            <w14:solidFill>
              <w14:schemeClr w14:val="tx1"/>
            </w14:solidFill>
          </w14:textFill>
        </w:rPr>
        <w:t>最高限价</w:t>
      </w:r>
      <w:r>
        <w:rPr>
          <w:color w:val="000000" w:themeColor="text1"/>
          <w:sz w:val="21"/>
          <w:szCs w:val="21"/>
          <w:highlight w:val="none"/>
          <w14:textFill>
            <w14:solidFill>
              <w14:schemeClr w14:val="tx1"/>
            </w14:solidFill>
          </w14:textFill>
        </w:rPr>
        <w:t>在</w:t>
      </w:r>
      <w:r>
        <w:rPr>
          <w:rFonts w:hint="eastAsia"/>
          <w:color w:val="000000" w:themeColor="text1"/>
          <w:sz w:val="21"/>
          <w:szCs w:val="21"/>
          <w:highlight w:val="none"/>
          <w14:textFill>
            <w14:solidFill>
              <w14:schemeClr w14:val="tx1"/>
            </w14:solidFill>
          </w14:textFill>
        </w:rPr>
        <w:t>竞争性采购</w:t>
      </w:r>
      <w:r>
        <w:rPr>
          <w:color w:val="000000" w:themeColor="text1"/>
          <w:sz w:val="21"/>
          <w:szCs w:val="21"/>
          <w:highlight w:val="none"/>
          <w14:textFill>
            <w14:solidFill>
              <w14:schemeClr w14:val="tx1"/>
            </w14:solidFill>
          </w14:textFill>
        </w:rPr>
        <w:t>须知前附表中载明。</w:t>
      </w:r>
    </w:p>
    <w:p>
      <w:pPr>
        <w:pStyle w:val="41"/>
        <w:shd w:val="clear" w:color="auto" w:fill="FFFFFF"/>
        <w:spacing w:before="0" w:beforeAutospacing="0" w:after="0" w:afterAutospacing="0" w:line="360" w:lineRule="auto"/>
        <w:ind w:firstLine="420"/>
        <w:jc w:val="both"/>
        <w:rPr>
          <w:sz w:val="21"/>
          <w:szCs w:val="21"/>
          <w:highlight w:val="none"/>
          <w:shd w:val="clear" w:color="auto" w:fill="FFFFFF"/>
          <w:lang w:bidi="ar"/>
        </w:rPr>
      </w:pPr>
      <w:r>
        <w:rPr>
          <w:rFonts w:hint="eastAsia"/>
          <w:sz w:val="21"/>
          <w:szCs w:val="21"/>
          <w:highlight w:val="none"/>
          <w:shd w:val="clear" w:color="auto" w:fill="FFFFFF"/>
          <w:lang w:bidi="ar"/>
        </w:rPr>
        <w:t>3.2.3本项目以不含增值税总价进行比价。供应商报价须</w:t>
      </w:r>
      <w:r>
        <w:rPr>
          <w:rFonts w:hint="eastAsia" w:ascii="宋体" w:hAnsi="宋体" w:eastAsia="宋体" w:cs="宋体"/>
          <w:sz w:val="21"/>
          <w:szCs w:val="21"/>
          <w:highlight w:val="none"/>
          <w:shd w:val="clear" w:color="auto" w:fill="FFFFFF"/>
          <w:lang w:bidi="ar"/>
        </w:rPr>
        <w:t>满足“不含增值税单价=含税单价/（1+增值税税率）”</w:t>
      </w:r>
      <w:r>
        <w:rPr>
          <w:rFonts w:hint="eastAsia" w:ascii="宋体" w:hAnsi="宋体" w:eastAsia="宋体" w:cs="宋体"/>
          <w:sz w:val="21"/>
          <w:szCs w:val="21"/>
          <w:highlight w:val="none"/>
          <w:shd w:val="clear" w:color="auto" w:fill="FFFFFF"/>
          <w:lang w:eastAsia="zh-CN" w:bidi="ar"/>
        </w:rPr>
        <w:t>（如有）、</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总报价/（1+增值税税率）”</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不含增值税总报价+税费</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增值税税费总价</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”，否则视为无效报价。</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3.2.4</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报价为各分项报价金额之和，</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报价；如分项报价中存在缺漏项，则视为缺漏项价格已包含在其他分项报价之中；如分项报价中存在直接填写为零的情况，则视为其价格已包含在其他分项报价之中。</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3.2.5“单价”“合价”“总价”均是包含了所有隐含的管理费、税金和利润等其他费用的报价。</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3.2.6所有报价保留小数点后两位，小数点后第三位“四舍五入”，单位为元。</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sz w:val="21"/>
          <w:szCs w:val="21"/>
          <w:highlight w:val="none"/>
          <w:shd w:val="clear" w:color="auto" w:fill="FFFFFF"/>
          <w:lang w:eastAsia="zh-CN" w:bidi="ar"/>
        </w:rPr>
        <w:t>运营</w:t>
      </w:r>
      <w:r>
        <w:rPr>
          <w:rFonts w:hint="eastAsia"/>
          <w:sz w:val="21"/>
          <w:szCs w:val="21"/>
          <w:highlight w:val="none"/>
          <w:shd w:val="clear" w:color="auto" w:fill="FFFFFF"/>
          <w:lang w:bidi="ar"/>
        </w:rPr>
        <w:t>有限公司审核为准。</w:t>
      </w:r>
    </w:p>
    <w:p>
      <w:pPr>
        <w:pStyle w:val="41"/>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3.3 响应文件有效期</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3.3.1</w:t>
      </w:r>
      <w:r>
        <w:rPr>
          <w:rFonts w:hint="eastAsia" w:hAnsi="宋体"/>
          <w:color w:val="000000" w:themeColor="text1"/>
          <w:sz w:val="21"/>
          <w:szCs w:val="21"/>
          <w:highlight w:val="none"/>
          <w14:textFill>
            <w14:solidFill>
              <w14:schemeClr w14:val="tx1"/>
            </w14:solidFill>
          </w14:textFill>
        </w:rPr>
        <w:t>在竞争性采购须知前附表规定的响应文件</w:t>
      </w:r>
      <w:r>
        <w:rPr>
          <w:rFonts w:hAnsi="宋体"/>
          <w:color w:val="000000" w:themeColor="text1"/>
          <w:sz w:val="21"/>
          <w:szCs w:val="21"/>
          <w:highlight w:val="none"/>
          <w14:textFill>
            <w14:solidFill>
              <w14:schemeClr w14:val="tx1"/>
            </w14:solidFill>
          </w14:textFill>
        </w:rPr>
        <w:t>有效期</w:t>
      </w:r>
      <w:r>
        <w:rPr>
          <w:rFonts w:hint="eastAsia" w:hAnsi="宋体"/>
          <w:color w:val="000000" w:themeColor="text1"/>
          <w:sz w:val="21"/>
          <w:szCs w:val="21"/>
          <w:highlight w:val="none"/>
          <w14:textFill>
            <w14:solidFill>
              <w14:schemeClr w14:val="tx1"/>
            </w14:solidFill>
          </w14:textFill>
        </w:rPr>
        <w:t>内，供应商不得要求</w:t>
      </w:r>
      <w:r>
        <w:rPr>
          <w:rFonts w:hAnsi="宋体"/>
          <w:color w:val="000000" w:themeColor="text1"/>
          <w:sz w:val="21"/>
          <w:szCs w:val="21"/>
          <w:highlight w:val="none"/>
          <w14:textFill>
            <w14:solidFill>
              <w14:schemeClr w14:val="tx1"/>
            </w14:solidFill>
          </w14:textFill>
        </w:rPr>
        <w:t>撤销</w:t>
      </w:r>
      <w:r>
        <w:rPr>
          <w:rFonts w:hint="eastAsia" w:hAnsi="宋体"/>
          <w:color w:val="000000" w:themeColor="text1"/>
          <w:sz w:val="21"/>
          <w:szCs w:val="21"/>
          <w:highlight w:val="none"/>
          <w14:textFill>
            <w14:solidFill>
              <w14:schemeClr w14:val="tx1"/>
            </w14:solidFill>
          </w14:textFill>
        </w:rPr>
        <w:t>或修改其响应文件</w:t>
      </w:r>
      <w:r>
        <w:rPr>
          <w:rFonts w:hAnsi="宋体"/>
          <w:color w:val="000000" w:themeColor="text1"/>
          <w:sz w:val="21"/>
          <w:szCs w:val="21"/>
          <w:highlight w:val="none"/>
          <w14:textFill>
            <w14:solidFill>
              <w14:schemeClr w14:val="tx1"/>
            </w14:solidFill>
          </w14:textFill>
        </w:rPr>
        <w:t>。</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3.3.2出现特殊情况需要延长响应文件有效期的，采购人通知所有供应商延长响应文件有效期。供应商同意延长的，应相应延长其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保证金的有效期（如有），且不得要求或被允许修改或撤销其采购文件；供应商拒绝延长的</w:t>
      </w:r>
      <w:r>
        <w:rPr>
          <w:rFonts w:hint="eastAsia" w:hAnsi="宋体"/>
          <w:color w:val="auto"/>
          <w:sz w:val="21"/>
          <w:szCs w:val="21"/>
          <w:highlight w:val="none"/>
        </w:rPr>
        <w:t>，其采购</w:t>
      </w:r>
      <w:r>
        <w:rPr>
          <w:rFonts w:hAnsi="宋体"/>
          <w:color w:val="auto"/>
          <w:sz w:val="21"/>
          <w:szCs w:val="21"/>
          <w:highlight w:val="none"/>
        </w:rPr>
        <w:t>活动失效</w:t>
      </w:r>
      <w:r>
        <w:rPr>
          <w:rFonts w:hint="eastAsia" w:hAnsi="宋体"/>
          <w:color w:val="auto"/>
          <w:sz w:val="21"/>
          <w:szCs w:val="21"/>
          <w:highlight w:val="none"/>
        </w:rPr>
        <w:t>，供应</w:t>
      </w:r>
      <w:r>
        <w:rPr>
          <w:rFonts w:hAnsi="宋体"/>
          <w:color w:val="auto"/>
          <w:sz w:val="21"/>
          <w:szCs w:val="21"/>
          <w:highlight w:val="none"/>
        </w:rPr>
        <w:t>商</w:t>
      </w:r>
      <w:r>
        <w:rPr>
          <w:rFonts w:hint="eastAsia" w:hAnsi="宋体"/>
          <w:color w:val="000000" w:themeColor="text1"/>
          <w:sz w:val="21"/>
          <w:szCs w:val="21"/>
          <w:highlight w:val="none"/>
          <w14:textFill>
            <w14:solidFill>
              <w14:schemeClr w14:val="tx1"/>
            </w14:solidFill>
          </w14:textFill>
        </w:rPr>
        <w:t>有权收回其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3.4 </w:t>
      </w:r>
      <w:r>
        <w:rPr>
          <w:rFonts w:hint="eastAsia" w:ascii="宋体" w:hAnsi="宋体"/>
          <w:b/>
          <w:color w:val="000000" w:themeColor="text1"/>
          <w:szCs w:val="21"/>
          <w:highlight w:val="none"/>
          <w:lang w:eastAsia="zh-CN"/>
          <w14:textFill>
            <w14:solidFill>
              <w14:schemeClr w14:val="tx1"/>
            </w14:solidFill>
          </w14:textFill>
        </w:rPr>
        <w:t>竞争性采购</w:t>
      </w:r>
      <w:r>
        <w:rPr>
          <w:rFonts w:hint="eastAsia" w:ascii="宋体" w:hAnsi="宋体"/>
          <w:b/>
          <w:color w:val="000000" w:themeColor="text1"/>
          <w:szCs w:val="21"/>
          <w:highlight w:val="none"/>
          <w14:textFill>
            <w14:solidFill>
              <w14:schemeClr w14:val="tx1"/>
            </w14:solidFill>
          </w14:textFill>
        </w:rPr>
        <w:t>保证金</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3.4.1供应商在递交响应文件的同时，应当按照按竞争性采购须知前附表的规定递交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保证金，并作为其响应文件的组成部分。联合体参与的，其</w:t>
      </w:r>
      <w:r>
        <w:rPr>
          <w:rFonts w:hint="eastAsia" w:ascii="宋体" w:hAnsi="宋体" w:eastAsia="宋体" w:cs="Times New Roman"/>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保证金由牵头人递交，并应符合竞争性采购须知前附表的规定。</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3.4.2供应商不按本章</w:t>
      </w:r>
      <w:r>
        <w:rPr>
          <w:rFonts w:hint="eastAsia" w:hAnsi="宋体"/>
          <w:b/>
          <w:bCs/>
          <w:color w:val="000000" w:themeColor="text1"/>
          <w:sz w:val="21"/>
          <w:szCs w:val="21"/>
          <w:highlight w:val="none"/>
          <w14:textFill>
            <w14:solidFill>
              <w14:schemeClr w14:val="tx1"/>
            </w14:solidFill>
          </w14:textFill>
        </w:rPr>
        <w:t>第3.4.1项</w:t>
      </w:r>
      <w:r>
        <w:rPr>
          <w:rFonts w:hint="eastAsia" w:hAnsi="宋体"/>
          <w:color w:val="000000" w:themeColor="text1"/>
          <w:sz w:val="21"/>
          <w:szCs w:val="21"/>
          <w:highlight w:val="none"/>
          <w14:textFill>
            <w14:solidFill>
              <w14:schemeClr w14:val="tx1"/>
            </w14:solidFill>
          </w14:textFill>
        </w:rPr>
        <w:t>要求提交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时</w:t>
      </w:r>
      <w:r>
        <w:rPr>
          <w:rFonts w:hint="eastAsia" w:hAnsi="宋体" w:cs="宋体"/>
          <w:color w:val="000000" w:themeColor="text1"/>
          <w:sz w:val="21"/>
          <w:szCs w:val="21"/>
          <w:highlight w:val="none"/>
          <w14:textFill>
            <w14:solidFill>
              <w14:schemeClr w14:val="tx1"/>
            </w14:solidFill>
          </w14:textFill>
        </w:rPr>
        <w:t>按</w:t>
      </w:r>
      <w:r>
        <w:rPr>
          <w:rFonts w:hint="eastAsia" w:hAnsi="宋体" w:cs="宋体"/>
          <w:b/>
          <w:bCs/>
          <w:color w:val="000000" w:themeColor="text1"/>
          <w:sz w:val="21"/>
          <w:szCs w:val="21"/>
          <w:highlight w:val="none"/>
          <w14:textFill>
            <w14:solidFill>
              <w14:schemeClr w14:val="tx1"/>
            </w14:solidFill>
          </w14:textFill>
        </w:rPr>
        <w:t>否决</w:t>
      </w:r>
      <w:r>
        <w:rPr>
          <w:rFonts w:hint="eastAsia" w:hAnsi="宋体" w:cs="宋体"/>
          <w:color w:val="000000" w:themeColor="text1"/>
          <w:sz w:val="21"/>
          <w:szCs w:val="21"/>
          <w:highlight w:val="none"/>
          <w14:textFill>
            <w14:solidFill>
              <w14:schemeClr w14:val="tx1"/>
            </w14:solidFill>
          </w14:textFill>
        </w:rPr>
        <w:t>情形处理</w:t>
      </w:r>
      <w:r>
        <w:rPr>
          <w:rFonts w:hAnsi="宋体"/>
          <w:color w:val="000000" w:themeColor="text1"/>
          <w:sz w:val="21"/>
          <w:szCs w:val="21"/>
          <w:highlight w:val="none"/>
          <w14:textFill>
            <w14:solidFill>
              <w14:schemeClr w14:val="tx1"/>
            </w14:solidFill>
          </w14:textFill>
        </w:rPr>
        <w:t>。</w:t>
      </w:r>
    </w:p>
    <w:p>
      <w:pPr>
        <w:pStyle w:val="188"/>
        <w:jc w:val="both"/>
        <w:rPr>
          <w:rFonts w:hint="eastAsia"/>
          <w:highlight w:val="none"/>
        </w:rPr>
      </w:pPr>
      <w:r>
        <w:rPr>
          <w:rFonts w:hint="eastAsia" w:ascii="宋体" w:hAnsi="宋体" w:eastAsia="宋体" w:cs="Times New Roman"/>
          <w:color w:val="000000" w:themeColor="text1"/>
          <w:sz w:val="21"/>
          <w:szCs w:val="21"/>
          <w:highlight w:val="none"/>
          <w14:textFill>
            <w14:solidFill>
              <w14:schemeClr w14:val="tx1"/>
            </w14:solidFill>
          </w14:textFill>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3.5备选响应方案</w:t>
      </w:r>
    </w:p>
    <w:p>
      <w:pPr>
        <w:pStyle w:val="92"/>
        <w:widowControl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3.5.1 </w:t>
      </w:r>
      <w:r>
        <w:rPr>
          <w:rFonts w:hint="eastAsia" w:hAnsi="宋体"/>
          <w:color w:val="000000" w:themeColor="text1"/>
          <w:highlight w:val="none"/>
          <w14:textFill>
            <w14:solidFill>
              <w14:schemeClr w14:val="tx1"/>
            </w14:solidFill>
          </w14:textFill>
        </w:rPr>
        <w:t>除竞争性采购须知前附表另有规定外，供应商</w:t>
      </w:r>
      <w:r>
        <w:rPr>
          <w:rFonts w:hAnsi="宋体"/>
          <w:color w:val="000000" w:themeColor="text1"/>
          <w:highlight w:val="none"/>
          <w14:textFill>
            <w14:solidFill>
              <w14:schemeClr w14:val="tx1"/>
            </w14:solidFill>
          </w14:textFill>
        </w:rPr>
        <w:t>不得递交</w:t>
      </w:r>
      <w:r>
        <w:rPr>
          <w:rFonts w:ascii="宋体" w:hAnsi="宋体" w:cs="Times New Roman"/>
          <w:color w:val="000000" w:themeColor="text1"/>
          <w:highlight w:val="none"/>
          <w14:textFill>
            <w14:solidFill>
              <w14:schemeClr w14:val="tx1"/>
            </w14:solidFill>
          </w14:textFill>
        </w:rPr>
        <w:t>备选</w:t>
      </w:r>
      <w:r>
        <w:rPr>
          <w:rFonts w:hint="eastAsia" w:ascii="宋体" w:hAnsi="宋体" w:cs="Times New Roman"/>
          <w:color w:val="000000" w:themeColor="text1"/>
          <w:highlight w:val="none"/>
          <w14:textFill>
            <w14:solidFill>
              <w14:schemeClr w14:val="tx1"/>
            </w14:solidFill>
          </w14:textFill>
        </w:rPr>
        <w:t>响应</w:t>
      </w:r>
      <w:r>
        <w:rPr>
          <w:rFonts w:ascii="宋体" w:hAnsi="宋体" w:cs="Times New Roman"/>
          <w:color w:val="000000" w:themeColor="text1"/>
          <w:highlight w:val="none"/>
          <w14:textFill>
            <w14:solidFill>
              <w14:schemeClr w14:val="tx1"/>
            </w14:solidFill>
          </w14:textFill>
        </w:rPr>
        <w:t>方案</w:t>
      </w:r>
      <w:r>
        <w:rPr>
          <w:rFonts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允许</w:t>
      </w:r>
      <w:r>
        <w:rPr>
          <w:rFonts w:hint="eastAsia" w:hAnsi="宋体"/>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递交备选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方案的，只有</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所递交的备选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方案方可予以考虑。</w:t>
      </w:r>
      <w:r>
        <w:rPr>
          <w:rFonts w:hint="eastAsia"/>
          <w:color w:val="000000" w:themeColor="text1"/>
          <w:highlight w:val="none"/>
          <w14:textFill>
            <w14:solidFill>
              <w14:schemeClr w14:val="tx1"/>
            </w14:solidFill>
          </w14:textFill>
        </w:rPr>
        <w:t>评审小组</w:t>
      </w:r>
      <w:r>
        <w:rPr>
          <w:color w:val="000000" w:themeColor="text1"/>
          <w:highlight w:val="none"/>
          <w14:textFill>
            <w14:solidFill>
              <w14:schemeClr w14:val="tx1"/>
            </w14:solidFill>
          </w14:textFill>
        </w:rPr>
        <w:t>认为</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方案优于其按照</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文件要求编制的</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可以接受该备选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3.6响应文件的编制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3.6.1响应文件应按</w:t>
      </w:r>
      <w:r>
        <w:rPr>
          <w:rFonts w:hint="eastAsia" w:ascii="宋体" w:hAnsi="宋体" w:cs="宋体"/>
          <w:b/>
          <w:bCs/>
          <w:color w:val="000000" w:themeColor="text1"/>
          <w:szCs w:val="21"/>
          <w:highlight w:val="none"/>
          <w14:textFill>
            <w14:solidFill>
              <w14:schemeClr w14:val="tx1"/>
            </w14:solidFill>
          </w14:textFill>
        </w:rPr>
        <w:t>第</w:t>
      </w:r>
      <w:r>
        <w:rPr>
          <w:rFonts w:hint="eastAsia" w:ascii="宋体" w:hAnsi="宋体" w:cs="宋体"/>
          <w:b/>
          <w:bCs/>
          <w:color w:val="000000" w:themeColor="text1"/>
          <w:szCs w:val="21"/>
          <w:highlight w:val="none"/>
          <w:lang w:eastAsia="zh-CN"/>
          <w14:textFill>
            <w14:solidFill>
              <w14:schemeClr w14:val="tx1"/>
            </w14:solidFill>
          </w14:textFill>
        </w:rPr>
        <w:t>七</w:t>
      </w:r>
      <w:r>
        <w:rPr>
          <w:rFonts w:hint="eastAsia" w:ascii="宋体" w:hAnsi="宋体" w:cs="宋体"/>
          <w:b/>
          <w:bCs/>
          <w:color w:val="000000" w:themeColor="text1"/>
          <w:szCs w:val="21"/>
          <w:highlight w:val="none"/>
          <w14:textFill>
            <w14:solidFill>
              <w14:schemeClr w14:val="tx1"/>
            </w14:solidFill>
          </w14:textFill>
        </w:rPr>
        <w:t>章“响应文件格式”</w:t>
      </w:r>
      <w:r>
        <w:rPr>
          <w:rFonts w:hint="eastAsia" w:ascii="宋体" w:hAnsi="宋体" w:cs="宋体"/>
          <w:color w:val="000000" w:themeColor="text1"/>
          <w:szCs w:val="21"/>
          <w:highlight w:val="none"/>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3.6.5响应文件份数见竞争性采购须知前附表。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4.响应文件的递交</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4.1响应文件的密封</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4.1.1供应商应当按照竞争性采购须知前附表的规定加密响应文件。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4.2 响应文件的递交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应</w:t>
      </w:r>
      <w:r>
        <w:rPr>
          <w:rFonts w:hint="eastAsia" w:hAnsi="宋体"/>
          <w:color w:val="000000" w:themeColor="text1"/>
          <w:sz w:val="21"/>
          <w:szCs w:val="21"/>
          <w:highlight w:val="none"/>
          <w14:textFill>
            <w14:solidFill>
              <w14:schemeClr w14:val="tx1"/>
            </w14:solidFill>
          </w14:textFill>
        </w:rPr>
        <w:t>当</w:t>
      </w:r>
      <w:r>
        <w:rPr>
          <w:rFonts w:hAnsi="宋体"/>
          <w:color w:val="000000" w:themeColor="text1"/>
          <w:sz w:val="21"/>
          <w:szCs w:val="21"/>
          <w:highlight w:val="none"/>
          <w14:textFill>
            <w14:solidFill>
              <w14:schemeClr w14:val="tx1"/>
            </w14:solidFill>
          </w14:textFill>
        </w:rPr>
        <w:t>在</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递交截止时间前递交</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w:t>
      </w:r>
    </w:p>
    <w:p>
      <w:pPr>
        <w:pStyle w:val="188"/>
        <w:jc w:val="both"/>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4.2.2供应商通过采购平台递交电子响应文件。</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4.2.3 除竞争性采购须知前附表另有规定外，供应商所递交的响应文件不予退还。</w:t>
      </w:r>
    </w:p>
    <w:p>
      <w:pPr>
        <w:pStyle w:val="188"/>
        <w:jc w:val="both"/>
        <w:rPr>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4.2.4逾期提交的电</w:t>
      </w:r>
      <w:r>
        <w:rPr>
          <w:rFonts w:hAnsi="宋体"/>
          <w:color w:val="000000" w:themeColor="text1"/>
          <w:sz w:val="21"/>
          <w:szCs w:val="21"/>
          <w:highlight w:val="none"/>
          <w14:textFill>
            <w14:solidFill>
              <w14:schemeClr w14:val="tx1"/>
            </w14:solidFill>
          </w14:textFill>
        </w:rPr>
        <w:t>子</w:t>
      </w:r>
      <w:r>
        <w:rPr>
          <w:rFonts w:hint="eastAsia" w:hAnsi="宋体"/>
          <w:color w:val="000000" w:themeColor="text1"/>
          <w:sz w:val="21"/>
          <w:szCs w:val="21"/>
          <w:highlight w:val="none"/>
          <w14:textFill>
            <w14:solidFill>
              <w14:schemeClr w14:val="tx1"/>
            </w14:solidFill>
          </w14:textFill>
        </w:rPr>
        <w:t>响应文件，电子采购平台将予以拒收。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4.3 响应文件的修改与撤回</w:t>
      </w:r>
    </w:p>
    <w:p>
      <w:pPr>
        <w:pStyle w:val="188"/>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5.在线唱价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5.1.1响应文件递交截止时间到达后，采购人在采购平台公布递交响应文件的供应商名单后，系统进入解密环</w:t>
      </w:r>
      <w:r>
        <w:rPr>
          <w:rFonts w:hint="eastAsia" w:hAnsi="宋体"/>
          <w:color w:val="auto"/>
          <w:sz w:val="21"/>
          <w:szCs w:val="21"/>
          <w:highlight w:val="none"/>
        </w:rPr>
        <w:t>节，供应商须在采购平台规定时限内对响应文件进行解密，</w:t>
      </w:r>
      <w:r>
        <w:rPr>
          <w:rFonts w:hint="eastAsia" w:hAnsi="宋体"/>
          <w:color w:val="000000" w:themeColor="text1"/>
          <w:sz w:val="21"/>
          <w:szCs w:val="21"/>
          <w:highlight w:val="none"/>
          <w14:textFill>
            <w14:solidFill>
              <w14:schemeClr w14:val="tx1"/>
            </w14:solidFill>
          </w14:textFill>
        </w:rPr>
        <w:t>解密后采购人开启报价。</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6.评审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6.1 评审小组</w:t>
      </w:r>
    </w:p>
    <w:p>
      <w:pPr>
        <w:pStyle w:val="188"/>
        <w:jc w:val="both"/>
        <w:rPr>
          <w:color w:val="000000" w:themeColor="text1"/>
          <w:spacing w:val="-5"/>
          <w:sz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6.1.1评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组建的评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负责。</w:t>
      </w:r>
      <w:r>
        <w:rPr>
          <w:rFonts w:hint="eastAsia" w:hAnsi="宋体"/>
          <w:color w:val="000000" w:themeColor="text1"/>
          <w:sz w:val="21"/>
          <w:szCs w:val="21"/>
          <w:highlight w:val="none"/>
          <w14:textFill>
            <w14:solidFill>
              <w14:schemeClr w14:val="tx1"/>
            </w14:solidFill>
          </w14:textFill>
        </w:rPr>
        <w:t>评审小组</w:t>
      </w:r>
      <w:r>
        <w:rPr>
          <w:color w:val="000000" w:themeColor="text1"/>
          <w:spacing w:val="-5"/>
          <w:sz w:val="21"/>
          <w:highlight w:val="none"/>
          <w14:textFill>
            <w14:solidFill>
              <w14:schemeClr w14:val="tx1"/>
            </w14:solidFill>
          </w14:textFill>
        </w:rPr>
        <w:t>的组建见</w:t>
      </w:r>
      <w:r>
        <w:rPr>
          <w:rFonts w:hint="eastAsia"/>
          <w:color w:val="000000" w:themeColor="text1"/>
          <w:spacing w:val="-5"/>
          <w:sz w:val="21"/>
          <w:highlight w:val="none"/>
          <w14:textFill>
            <w14:solidFill>
              <w14:schemeClr w14:val="tx1"/>
            </w14:solidFill>
          </w14:textFill>
        </w:rPr>
        <w:t>竞争性采购</w:t>
      </w:r>
      <w:r>
        <w:rPr>
          <w:color w:val="000000" w:themeColor="text1"/>
          <w:spacing w:val="-5"/>
          <w:sz w:val="21"/>
          <w:highlight w:val="none"/>
          <w14:textFill>
            <w14:solidFill>
              <w14:schemeClr w14:val="tx1"/>
            </w14:solidFill>
          </w14:textFill>
        </w:rPr>
        <w:t>须知前附表。</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6.1.2</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成员有下列情形之一的，应当回避：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为供应商</w:t>
      </w:r>
      <w:r>
        <w:rPr>
          <w:rFonts w:hAnsi="宋体"/>
          <w:color w:val="000000" w:themeColor="text1"/>
          <w:sz w:val="21"/>
          <w:szCs w:val="21"/>
          <w:highlight w:val="none"/>
          <w14:textFill>
            <w14:solidFill>
              <w14:schemeClr w14:val="tx1"/>
            </w14:solidFill>
          </w14:textFill>
        </w:rPr>
        <w:t>主要负责人近亲属的；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有经济利益关系，可能影响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公正的；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）曾因在招标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评审（评审）</w:t>
      </w:r>
      <w:r>
        <w:rPr>
          <w:rFonts w:hAnsi="宋体"/>
          <w:color w:val="000000" w:themeColor="text1"/>
          <w:sz w:val="21"/>
          <w:szCs w:val="21"/>
          <w:highlight w:val="none"/>
          <w14:textFill>
            <w14:solidFill>
              <w14:schemeClr w14:val="tx1"/>
            </w14:solidFill>
          </w14:textFill>
        </w:rPr>
        <w:t>以及其他与招标投标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有关活动中从事违法行为而受过行政处罚或刑事处罚的；</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有其他利害关系。</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成员有回避事由、擅离职守或者因健康等原因不能继续评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有权更换。被更换的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成员作出的评审结论无效，由更换后的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成员重新进行评审。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6.2 评审原则</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活动遵循公平、公正、</w:t>
      </w:r>
      <w:r>
        <w:rPr>
          <w:rFonts w:hint="eastAsia" w:hAnsi="宋体"/>
          <w:color w:val="000000" w:themeColor="text1"/>
          <w:sz w:val="21"/>
          <w:szCs w:val="21"/>
          <w:highlight w:val="none"/>
          <w14:textFill>
            <w14:solidFill>
              <w14:schemeClr w14:val="tx1"/>
            </w14:solidFill>
          </w14:textFill>
        </w:rPr>
        <w:t>科学和择优</w:t>
      </w:r>
      <w:r>
        <w:rPr>
          <w:rFonts w:hAnsi="宋体"/>
          <w:color w:val="000000" w:themeColor="text1"/>
          <w:sz w:val="21"/>
          <w:szCs w:val="21"/>
          <w:highlight w:val="none"/>
          <w14:textFill>
            <w14:solidFill>
              <w14:schemeClr w14:val="tx1"/>
            </w14:solidFill>
          </w14:textFill>
        </w:rPr>
        <w:t>的原则。</w:t>
      </w:r>
      <w:bookmarkStart w:id="13" w:name="page30"/>
      <w:bookmarkEnd w:id="13"/>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6.3 评审</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6.3.1</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highlight w:val="none"/>
          <w14:textFill>
            <w14:solidFill>
              <w14:schemeClr w14:val="tx1"/>
            </w14:solidFill>
          </w14:textFill>
        </w:rPr>
        <w:t>规定的方法、评审因素、标准和程序对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进行</w:t>
      </w:r>
      <w:r>
        <w:rPr>
          <w:rFonts w:hint="eastAsia" w:hAnsi="宋体"/>
          <w:color w:val="000000" w:themeColor="text1"/>
          <w:sz w:val="21"/>
          <w:szCs w:val="21"/>
          <w:highlight w:val="none"/>
          <w14:textFill>
            <w14:solidFill>
              <w14:schemeClr w14:val="tx1"/>
            </w14:solidFill>
          </w14:textFill>
        </w:rPr>
        <w:t>评审。</w:t>
      </w:r>
      <w:r>
        <w:rPr>
          <w:rFonts w:hint="eastAsia" w:hAnsi="宋体"/>
          <w:b/>
          <w:bCs/>
          <w:color w:val="000000" w:themeColor="text1"/>
          <w:sz w:val="21"/>
          <w:szCs w:val="21"/>
          <w:highlight w:val="none"/>
          <w14:textFill>
            <w14:solidFill>
              <w14:schemeClr w14:val="tx1"/>
            </w14:solidFill>
          </w14:textFill>
        </w:rPr>
        <w:t>第三章“评审办法”</w:t>
      </w:r>
      <w:r>
        <w:rPr>
          <w:rFonts w:hint="eastAsia" w:hAnsi="宋体"/>
          <w:color w:val="000000" w:themeColor="text1"/>
          <w:sz w:val="21"/>
          <w:szCs w:val="21"/>
          <w:highlight w:val="none"/>
          <w14:textFill>
            <w14:solidFill>
              <w14:schemeClr w14:val="tx1"/>
            </w14:solidFill>
          </w14:textFill>
        </w:rPr>
        <w:t>没有规定的方法、评审因素和标准，不作为评审依据。</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 xml:space="preserve">6.3.2除下列情形外，任何人不得修改评审结果： </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(一)分值计算错误的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(二)分项评分超出评分标准范围的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(三)评审小组成员对客观评审因素评分有误的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(四)其他存在明显过失，影响评审结果的</w:t>
      </w:r>
      <w:r>
        <w:rPr>
          <w:rFonts w:hint="eastAsia" w:hAnsi="宋体"/>
          <w:color w:val="000000" w:themeColor="text1"/>
          <w:sz w:val="21"/>
          <w:szCs w:val="21"/>
          <w:highlight w:val="none"/>
          <w:lang w:eastAsia="zh-CN"/>
          <w14:textFill>
            <w14:solidFill>
              <w14:schemeClr w14:val="tx1"/>
            </w14:solidFill>
          </w14:textFill>
        </w:rPr>
        <w:t>。</w:t>
      </w:r>
    </w:p>
    <w:p>
      <w:pPr>
        <w:pStyle w:val="188"/>
        <w:jc w:val="both"/>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评审专家签署评审报告前，评审小组主任评委应当组织评审</w:t>
      </w:r>
      <w:r>
        <w:rPr>
          <w:rFonts w:hint="eastAsia" w:hAnsi="宋体" w:cs="Times New Roman"/>
          <w:color w:val="000000" w:themeColor="text1"/>
          <w:sz w:val="21"/>
          <w:szCs w:val="21"/>
          <w:highlight w:val="none"/>
          <w:lang w:eastAsia="zh-CN"/>
          <w14:textFill>
            <w14:solidFill>
              <w14:schemeClr w14:val="tx1"/>
            </w14:solidFill>
          </w14:textFill>
        </w:rPr>
        <w:t>小组</w:t>
      </w:r>
      <w:r>
        <w:rPr>
          <w:rFonts w:hint="eastAsia" w:ascii="宋体" w:hAnsi="宋体" w:eastAsia="宋体" w:cs="Times New Roman"/>
          <w:color w:val="000000" w:themeColor="text1"/>
          <w:sz w:val="21"/>
          <w:szCs w:val="21"/>
          <w:highlight w:val="none"/>
          <w14:textFill>
            <w14:solidFill>
              <w14:schemeClr w14:val="tx1"/>
            </w14:solidFill>
          </w14:textFill>
        </w:rPr>
        <w:t>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7.合同授予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7.1 结果公示</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在收到评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报告</w:t>
      </w:r>
      <w:r>
        <w:rPr>
          <w:rFonts w:hint="eastAsia" w:hAnsi="宋体"/>
          <w:color w:val="000000" w:themeColor="text1"/>
          <w:sz w:val="21"/>
          <w:szCs w:val="21"/>
          <w:highlight w:val="none"/>
          <w14:textFill>
            <w14:solidFill>
              <w14:schemeClr w14:val="tx1"/>
            </w14:solidFill>
          </w14:textFill>
        </w:rPr>
        <w:t>后</w:t>
      </w:r>
      <w:r>
        <w:rPr>
          <w:rFonts w:hAnsi="宋体"/>
          <w:color w:val="000000" w:themeColor="text1"/>
          <w:sz w:val="21"/>
          <w:szCs w:val="21"/>
          <w:highlight w:val="none"/>
          <w14:textFill>
            <w14:solidFill>
              <w14:schemeClr w14:val="tx1"/>
            </w14:solidFill>
          </w14:textFill>
        </w:rPr>
        <w:t>，按照</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规定的公</w:t>
      </w:r>
      <w:r>
        <w:rPr>
          <w:rFonts w:hint="eastAsia" w:hAnsi="宋体"/>
          <w:color w:val="000000" w:themeColor="text1"/>
          <w:sz w:val="21"/>
          <w:szCs w:val="21"/>
          <w:highlight w:val="none"/>
          <w14:textFill>
            <w14:solidFill>
              <w14:schemeClr w14:val="tx1"/>
            </w14:solidFill>
          </w14:textFill>
        </w:rPr>
        <w:t>告</w:t>
      </w:r>
      <w:r>
        <w:rPr>
          <w:rFonts w:hAnsi="宋体"/>
          <w:color w:val="000000" w:themeColor="text1"/>
          <w:sz w:val="21"/>
          <w:szCs w:val="21"/>
          <w:highlight w:val="none"/>
          <w14:textFill>
            <w14:solidFill>
              <w14:schemeClr w14:val="tx1"/>
            </w14:solidFill>
          </w14:textFill>
        </w:rPr>
        <w:t>媒介和期限</w:t>
      </w:r>
      <w:r>
        <w:rPr>
          <w:rFonts w:hint="eastAsia" w:hAnsi="宋体"/>
          <w:color w:val="000000" w:themeColor="text1"/>
          <w:sz w:val="21"/>
          <w:szCs w:val="21"/>
          <w:highlight w:val="none"/>
          <w14:textFill>
            <w14:solidFill>
              <w14:schemeClr w14:val="tx1"/>
            </w14:solidFill>
          </w14:textFill>
        </w:rPr>
        <w:t>发布结果公示</w:t>
      </w:r>
      <w:r>
        <w:rPr>
          <w:rFonts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 成交供应商的确定</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7.2.1经结果公示无异议后，采购人原则上应在评审报告确定的成交候选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名单中按顺序确定成交供应商。采购人依据评审小组推荐的成交候选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确定成交供应商。评审小组推荐成交候选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的数量以及采购人确定成交供应商的方式见竞争性采购须知前附表。</w:t>
      </w:r>
    </w:p>
    <w:p>
      <w:pPr>
        <w:pStyle w:val="188"/>
        <w:jc w:val="both"/>
        <w:rPr>
          <w:rFonts w:hAnsi="宋体"/>
          <w:color w:val="FF0000"/>
          <w:sz w:val="21"/>
          <w:szCs w:val="21"/>
          <w:highlight w:val="none"/>
        </w:rPr>
      </w:pPr>
      <w:r>
        <w:rPr>
          <w:rFonts w:hint="eastAsia" w:hAnsi="宋体"/>
          <w:color w:val="000000" w:themeColor="text1"/>
          <w:sz w:val="21"/>
          <w:szCs w:val="21"/>
          <w:highlight w:val="none"/>
          <w14:textFill>
            <w14:solidFill>
              <w14:schemeClr w14:val="tx1"/>
            </w14:solidFill>
          </w14:textFill>
        </w:rPr>
        <w:t>7.2.2</w:t>
      </w:r>
      <w:r>
        <w:rPr>
          <w:rFonts w:hint="eastAsia" w:hAnsi="宋体"/>
          <w:color w:val="auto"/>
          <w:sz w:val="21"/>
          <w:szCs w:val="21"/>
          <w:highlight w:val="none"/>
        </w:rPr>
        <w:t>竞争性采购排名第一的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放弃中选、因不可抗力不能履行合同，或者被查实存在影响</w:t>
      </w:r>
      <w:r>
        <w:rPr>
          <w:rFonts w:hint="eastAsia" w:hAnsi="宋体"/>
          <w:color w:val="auto"/>
          <w:sz w:val="21"/>
          <w:szCs w:val="21"/>
          <w:highlight w:val="none"/>
          <w:lang w:eastAsia="zh-CN"/>
        </w:rPr>
        <w:t>成交</w:t>
      </w:r>
      <w:r>
        <w:rPr>
          <w:rFonts w:hint="eastAsia" w:hAnsi="宋体"/>
          <w:color w:val="auto"/>
          <w:sz w:val="21"/>
          <w:szCs w:val="21"/>
          <w:highlight w:val="none"/>
        </w:rPr>
        <w:t>结果的违法行为等情形，不符合</w:t>
      </w:r>
      <w:r>
        <w:rPr>
          <w:rFonts w:hint="eastAsia" w:hAnsi="宋体"/>
          <w:color w:val="auto"/>
          <w:sz w:val="21"/>
          <w:szCs w:val="21"/>
          <w:highlight w:val="none"/>
          <w:lang w:eastAsia="zh-CN"/>
        </w:rPr>
        <w:t>成交</w:t>
      </w:r>
      <w:r>
        <w:rPr>
          <w:rFonts w:hint="eastAsia" w:hAnsi="宋体"/>
          <w:color w:val="auto"/>
          <w:sz w:val="21"/>
          <w:szCs w:val="21"/>
          <w:highlight w:val="none"/>
        </w:rPr>
        <w:t>条件的，采购人可以按照评审小组提出的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名单排序依次确定其他</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为</w:t>
      </w:r>
      <w:r>
        <w:rPr>
          <w:rFonts w:hint="eastAsia" w:hAnsi="宋体"/>
          <w:color w:val="auto"/>
          <w:sz w:val="21"/>
          <w:szCs w:val="21"/>
          <w:highlight w:val="none"/>
          <w:lang w:eastAsia="zh-CN"/>
        </w:rPr>
        <w:t>成交供应商</w:t>
      </w:r>
      <w:r>
        <w:rPr>
          <w:rFonts w:hint="eastAsia" w:hAnsi="宋体"/>
          <w:color w:val="auto"/>
          <w:sz w:val="21"/>
          <w:szCs w:val="21"/>
          <w:highlight w:val="none"/>
        </w:rPr>
        <w:t>，也可以重新采购。</w:t>
      </w:r>
    </w:p>
    <w:p>
      <w:pPr>
        <w:pStyle w:val="188"/>
        <w:ind w:left="0" w:leftChars="0" w:firstLine="0" w:firstLineChars="0"/>
        <w:jc w:val="both"/>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7.3 成交通知</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有效期内，</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w:t>
      </w:r>
      <w:r>
        <w:rPr>
          <w:rFonts w:hint="eastAsia"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7.4 履约保证金</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在签订合同前，成交供应商</w:t>
      </w:r>
      <w:r>
        <w:rPr>
          <w:rFonts w:hAnsi="宋体"/>
          <w:color w:val="000000" w:themeColor="text1"/>
          <w:sz w:val="21"/>
          <w:szCs w:val="21"/>
          <w:highlight w:val="none"/>
          <w14:textFill>
            <w14:solidFill>
              <w14:schemeClr w14:val="tx1"/>
            </w14:solidFill>
          </w14:textFill>
        </w:rPr>
        <w:t>应按</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规定的形式、金额和</w:t>
      </w:r>
      <w:r>
        <w:rPr>
          <w:rFonts w:hint="eastAsia" w:hAnsi="宋体"/>
          <w:color w:val="000000" w:themeColor="text1"/>
          <w:sz w:val="21"/>
          <w:szCs w:val="21"/>
          <w:highlight w:val="none"/>
          <w14:textFill>
            <w14:solidFill>
              <w14:schemeClr w14:val="tx1"/>
            </w14:solidFill>
          </w14:textFill>
        </w:rPr>
        <w:t>采购文件</w:t>
      </w:r>
      <w:r>
        <w:rPr>
          <w:rFonts w:hAnsi="宋体"/>
          <w:b/>
          <w:bCs/>
          <w:color w:val="000000" w:themeColor="text1"/>
          <w:sz w:val="21"/>
          <w:szCs w:val="21"/>
          <w:highlight w:val="none"/>
          <w14:textFill>
            <w14:solidFill>
              <w14:schemeClr w14:val="tx1"/>
            </w14:solidFill>
          </w14:textFill>
        </w:rPr>
        <w:t>第</w:t>
      </w:r>
      <w:r>
        <w:rPr>
          <w:rFonts w:hint="eastAsia" w:hAnsi="宋体"/>
          <w:b/>
          <w:bCs/>
          <w:color w:val="000000" w:themeColor="text1"/>
          <w:sz w:val="21"/>
          <w:szCs w:val="21"/>
          <w:highlight w:val="none"/>
          <w14:textFill>
            <w14:solidFill>
              <w14:schemeClr w14:val="tx1"/>
            </w14:solidFill>
          </w14:textFill>
        </w:rPr>
        <w:t>四</w:t>
      </w:r>
      <w:r>
        <w:rPr>
          <w:rFonts w:hAnsi="宋体"/>
          <w:b/>
          <w:bCs/>
          <w:color w:val="000000" w:themeColor="text1"/>
          <w:sz w:val="21"/>
          <w:szCs w:val="21"/>
          <w:highlight w:val="none"/>
          <w14:textFill>
            <w14:solidFill>
              <w14:schemeClr w14:val="tx1"/>
            </w14:solidFill>
          </w14:textFill>
        </w:rPr>
        <w:t>章“合</w:t>
      </w:r>
      <w:bookmarkStart w:id="14" w:name="page31"/>
      <w:bookmarkEnd w:id="14"/>
      <w:r>
        <w:rPr>
          <w:rFonts w:hAnsi="宋体"/>
          <w:b/>
          <w:bCs/>
          <w:color w:val="000000" w:themeColor="text1"/>
          <w:sz w:val="21"/>
          <w:szCs w:val="21"/>
          <w:highlight w:val="none"/>
          <w14:textFill>
            <w14:solidFill>
              <w14:schemeClr w14:val="tx1"/>
            </w14:solidFill>
          </w14:textFill>
        </w:rPr>
        <w:t>同条款及格式”</w:t>
      </w:r>
      <w:r>
        <w:rPr>
          <w:rFonts w:hAnsi="宋体"/>
          <w:color w:val="000000" w:themeColor="text1"/>
          <w:sz w:val="21"/>
          <w:szCs w:val="21"/>
          <w:highlight w:val="none"/>
          <w14:textFill>
            <w14:solidFill>
              <w14:schemeClr w14:val="tx1"/>
            </w14:solidFill>
          </w14:textFill>
        </w:rPr>
        <w:t>规定的或者事先经过</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书面认可的履约保证金格式向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提交履约保证金。联合体</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的，其履约保证金以联合体各方或者联合体中牵头人的名义提交。</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不能按本章</w:t>
      </w:r>
      <w:r>
        <w:rPr>
          <w:rFonts w:hAnsi="宋体"/>
          <w:b/>
          <w:bCs/>
          <w:color w:val="000000" w:themeColor="text1"/>
          <w:sz w:val="21"/>
          <w:szCs w:val="21"/>
          <w:highlight w:val="none"/>
          <w14:textFill>
            <w14:solidFill>
              <w14:schemeClr w14:val="tx1"/>
            </w14:solidFill>
          </w14:textFill>
        </w:rPr>
        <w:t>第7.</w:t>
      </w:r>
      <w:r>
        <w:rPr>
          <w:rFonts w:hint="eastAsia" w:hAnsi="宋体"/>
          <w:b/>
          <w:bCs/>
          <w:color w:val="000000" w:themeColor="text1"/>
          <w:sz w:val="21"/>
          <w:szCs w:val="21"/>
          <w:highlight w:val="none"/>
          <w14:textFill>
            <w14:solidFill>
              <w14:schemeClr w14:val="tx1"/>
            </w14:solidFill>
          </w14:textFill>
        </w:rPr>
        <w:t>4</w:t>
      </w:r>
      <w:r>
        <w:rPr>
          <w:rFonts w:hAnsi="宋体"/>
          <w:b/>
          <w:bCs/>
          <w:color w:val="000000" w:themeColor="text1"/>
          <w:sz w:val="21"/>
          <w:szCs w:val="21"/>
          <w:highlight w:val="none"/>
          <w14:textFill>
            <w14:solidFill>
              <w14:schemeClr w14:val="tx1"/>
            </w14:solidFill>
          </w14:textFill>
        </w:rPr>
        <w:t>.1项</w:t>
      </w:r>
      <w:r>
        <w:rPr>
          <w:rFonts w:hAnsi="宋体"/>
          <w:color w:val="000000" w:themeColor="text1"/>
          <w:sz w:val="21"/>
          <w:szCs w:val="21"/>
          <w:highlight w:val="none"/>
          <w14:textFill>
            <w14:solidFill>
              <w14:schemeClr w14:val="tx1"/>
            </w14:solidFill>
          </w14:textFill>
        </w:rPr>
        <w:t>要求提交履约保证金的，视为放弃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，其</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保证金不予退还，给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还应当对超过部分予以赔偿。</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7.5 签订合同</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7.5.1 自</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通知书发出之日起30天内，</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文件和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文件订立合同。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人取消其</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资格；给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w:t>
      </w:r>
      <w:r>
        <w:rPr>
          <w:rFonts w:hint="eastAsia" w:hAnsi="宋体"/>
          <w:color w:val="000000" w:themeColor="text1"/>
          <w:sz w:val="21"/>
          <w:szCs w:val="21"/>
          <w:highlight w:val="none"/>
          <w:lang w:eastAsia="zh-CN"/>
          <w14:textFill>
            <w14:solidFill>
              <w14:schemeClr w14:val="tx1"/>
            </w14:solidFill>
          </w14:textFill>
        </w:rPr>
        <w:t>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应当对超过部分予以赔偿。</w:t>
      </w:r>
    </w:p>
    <w:p>
      <w:pPr>
        <w:pStyle w:val="188"/>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7.5.2 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退还</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；给</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8.1 对供应商的纪律要求</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供应商在采购活动中</w:t>
      </w:r>
      <w:r>
        <w:rPr>
          <w:rFonts w:hAnsi="宋体"/>
          <w:color w:val="000000" w:themeColor="text1"/>
          <w:sz w:val="21"/>
          <w:szCs w:val="21"/>
          <w:highlight w:val="none"/>
          <w14:textFill>
            <w14:solidFill>
              <w14:schemeClr w14:val="tx1"/>
            </w14:solidFill>
          </w14:textFill>
        </w:rPr>
        <w:t>不得相互串通或者与</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串通，不得向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或者</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成员行贿谋取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，不得以他人名义</w:t>
      </w:r>
      <w:r>
        <w:rPr>
          <w:rFonts w:hint="eastAsia" w:hAnsi="宋体"/>
          <w:color w:val="000000" w:themeColor="text1"/>
          <w:sz w:val="21"/>
          <w:szCs w:val="21"/>
          <w:highlight w:val="none"/>
          <w14:textFill>
            <w14:solidFill>
              <w14:schemeClr w14:val="tx1"/>
            </w14:solidFill>
          </w14:textFill>
        </w:rPr>
        <w:t>参与采购活动</w:t>
      </w:r>
      <w:r>
        <w:rPr>
          <w:rFonts w:hAnsi="宋体"/>
          <w:color w:val="000000" w:themeColor="text1"/>
          <w:sz w:val="21"/>
          <w:szCs w:val="21"/>
          <w:highlight w:val="none"/>
          <w14:textFill>
            <w14:solidFill>
              <w14:schemeClr w14:val="tx1"/>
            </w14:solidFill>
          </w14:textFill>
        </w:rPr>
        <w:t>或者以其他方式弄虚作假骗取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不得以任何方式干扰、影响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 对评审小组成员的纪律要求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8.3 对与评审活动有关的工作人员的纪律要求</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pStyle w:val="188"/>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8.4 异议和投诉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1供应商</w:t>
      </w:r>
      <w:r>
        <w:rPr>
          <w:rFonts w:hAnsi="宋体"/>
          <w:color w:val="000000" w:themeColor="text1"/>
          <w:sz w:val="21"/>
          <w:szCs w:val="21"/>
          <w:highlight w:val="none"/>
          <w14:textFill>
            <w14:solidFill>
              <w14:schemeClr w14:val="tx1"/>
            </w14:solidFill>
          </w14:textFill>
        </w:rPr>
        <w:t>或者其他利害关系人认为本次</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活动违反法律法规规范性文件规定的，可以在知道或者应当知道之日起10日内向</w:t>
      </w:r>
      <w:r>
        <w:rPr>
          <w:rFonts w:hint="eastAsia" w:ascii="宋体" w:hAnsi="宋体" w:eastAsia="宋体" w:cs="宋体"/>
          <w:color w:val="000000"/>
          <w:sz w:val="21"/>
          <w:szCs w:val="21"/>
          <w:highlight w:val="none"/>
          <w:shd w:val="clear" w:color="auto" w:fill="FFFFFF"/>
        </w:rPr>
        <w:t>长沙市轨道交通运营有限公司监察审计部门</w:t>
      </w:r>
      <w:r>
        <w:rPr>
          <w:rFonts w:hAnsi="宋体"/>
          <w:color w:val="000000" w:themeColor="text1"/>
          <w:sz w:val="21"/>
          <w:szCs w:val="21"/>
          <w:highlight w:val="none"/>
          <w14:textFill>
            <w14:solidFill>
              <w14:schemeClr w14:val="tx1"/>
            </w14:solidFill>
          </w14:textFill>
        </w:rPr>
        <w:t>投诉。</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2供应商</w:t>
      </w:r>
      <w:r>
        <w:rPr>
          <w:rFonts w:hAnsi="宋体"/>
          <w:color w:val="000000" w:themeColor="text1"/>
          <w:sz w:val="21"/>
          <w:szCs w:val="21"/>
          <w:highlight w:val="none"/>
          <w14:textFill>
            <w14:solidFill>
              <w14:schemeClr w14:val="tx1"/>
            </w14:solidFill>
          </w14:textFill>
        </w:rPr>
        <w:t>或者其他利害关系人就下列事项投诉的，应当按照相关规定</w:t>
      </w:r>
      <w:r>
        <w:rPr>
          <w:rFonts w:hint="eastAsia" w:hAnsi="宋体"/>
          <w:color w:val="000000" w:themeColor="text1"/>
          <w:sz w:val="21"/>
          <w:szCs w:val="21"/>
          <w:highlight w:val="none"/>
          <w14:textFill>
            <w14:solidFill>
              <w14:schemeClr w14:val="tx1"/>
            </w14:solidFill>
          </w14:textFill>
        </w:rPr>
        <w:t>先</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(1)认为</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不符合相关法律法规规范性文件规定，应当在</w:t>
      </w:r>
      <w:r>
        <w:rPr>
          <w:rFonts w:hint="eastAsia" w:hAnsi="宋体"/>
          <w:color w:val="000000" w:themeColor="text1"/>
          <w:sz w:val="21"/>
          <w:szCs w:val="21"/>
          <w:highlight w:val="none"/>
          <w14:textFill>
            <w14:solidFill>
              <w14:schemeClr w14:val="tx1"/>
            </w14:solidFill>
          </w14:textFill>
        </w:rPr>
        <w:t>响应文件递交</w:t>
      </w:r>
      <w:r>
        <w:rPr>
          <w:rFonts w:hAnsi="宋体"/>
          <w:color w:val="000000" w:themeColor="text1"/>
          <w:sz w:val="21"/>
          <w:szCs w:val="21"/>
          <w:highlight w:val="none"/>
          <w14:textFill>
            <w14:solidFill>
              <w14:schemeClr w14:val="tx1"/>
            </w14:solidFill>
          </w14:textFill>
        </w:rPr>
        <w:t>截止时间</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日前向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(2)认为</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活动不符合相关法律法规规范性文件规定的，应当在</w:t>
      </w:r>
      <w:r>
        <w:rPr>
          <w:rFonts w:hint="eastAsia" w:hAnsi="宋体"/>
          <w:color w:val="000000" w:themeColor="text1"/>
          <w:sz w:val="21"/>
          <w:szCs w:val="21"/>
          <w:highlight w:val="none"/>
          <w14:textFill>
            <w14:solidFill>
              <w14:schemeClr w14:val="tx1"/>
            </w14:solidFill>
          </w14:textFill>
        </w:rPr>
        <w:t>采购活动各个阶段当场</w:t>
      </w:r>
      <w:r>
        <w:rPr>
          <w:rFonts w:hAnsi="宋体"/>
          <w:color w:val="000000" w:themeColor="text1"/>
          <w:sz w:val="21"/>
          <w:szCs w:val="21"/>
          <w:highlight w:val="none"/>
          <w14:textFill>
            <w14:solidFill>
              <w14:schemeClr w14:val="tx1"/>
            </w14:solidFill>
          </w14:textFill>
        </w:rPr>
        <w:t>提出异议；</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(3)对</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结果有异议的，在</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公示期</w:t>
      </w:r>
      <w:r>
        <w:rPr>
          <w:rFonts w:hint="eastAsia" w:hAnsi="宋体"/>
          <w:color w:val="000000" w:themeColor="text1"/>
          <w:sz w:val="21"/>
          <w:szCs w:val="21"/>
          <w:highlight w:val="none"/>
          <w14:textFill>
            <w14:solidFill>
              <w14:schemeClr w14:val="tx1"/>
            </w14:solidFill>
          </w14:textFill>
        </w:rPr>
        <w:t>内</w:t>
      </w:r>
      <w:r>
        <w:rPr>
          <w:rFonts w:hAnsi="宋体"/>
          <w:color w:val="000000" w:themeColor="text1"/>
          <w:sz w:val="21"/>
          <w:szCs w:val="21"/>
          <w:highlight w:val="none"/>
          <w14:textFill>
            <w14:solidFill>
              <w14:schemeClr w14:val="tx1"/>
            </w14:solidFill>
          </w14:textFill>
        </w:rPr>
        <w:t>以书面形式向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w:t>
      </w:r>
    </w:p>
    <w:p>
      <w:pPr>
        <w:pStyle w:val="188"/>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供应商或利害关系人不满意采购人的答复或者认为采购人处理不当的，可以向</w:t>
      </w:r>
      <w:r>
        <w:rPr>
          <w:rFonts w:hint="eastAsia" w:ascii="宋体" w:hAnsi="宋体" w:eastAsia="宋体" w:cs="宋体"/>
          <w:color w:val="000000"/>
          <w:sz w:val="21"/>
          <w:szCs w:val="21"/>
          <w:highlight w:val="none"/>
          <w:shd w:val="clear" w:color="auto" w:fill="FFFFFF"/>
        </w:rPr>
        <w:t>长沙市轨道交通运营有限公司监察审计部门</w:t>
      </w:r>
      <w:r>
        <w:rPr>
          <w:rFonts w:hint="eastAsia" w:hAnsi="宋体"/>
          <w:color w:val="000000" w:themeColor="text1"/>
          <w:sz w:val="21"/>
          <w:szCs w:val="21"/>
          <w:highlight w:val="none"/>
          <w14:textFill>
            <w14:solidFill>
              <w14:schemeClr w14:val="tx1"/>
            </w14:solidFill>
          </w14:textFill>
        </w:rPr>
        <w:t>投诉。</w:t>
      </w:r>
    </w:p>
    <w:p>
      <w:pPr>
        <w:pStyle w:val="188"/>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highlight w:val="none"/>
          <w14:textFill>
            <w14:solidFill>
              <w14:schemeClr w14:val="tx1"/>
            </w14:solidFill>
          </w14:textFill>
        </w:rPr>
        <w:t>材料的，不予受理。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.4投诉书应当包括下列内容：</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（2）被投诉人的名称、地址及有效联系方式；</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（3）投诉事项的基本事实；</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（4）相关请求及主张；</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（5）有效线索和相关证明材料。</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（6）提起投诉的日期；</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（7）法律法规规定的其它内容。</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.5对按规定应先提出异议的事项进行投诉的，应当附提出异议的答复情况说明及相关证明材料。</w:t>
      </w:r>
    </w:p>
    <w:p>
      <w:pPr>
        <w:pStyle w:val="188"/>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投诉人为利害关系人的，还应当提供与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项目或</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9.需要补充的其他内容</w:t>
      </w:r>
    </w:p>
    <w:p>
      <w:pPr>
        <w:pStyle w:val="41"/>
        <w:widowControl w:val="0"/>
        <w:spacing w:before="0" w:beforeAutospacing="0" w:after="0" w:afterAutospacing="0" w:line="360" w:lineRule="auto"/>
        <w:ind w:firstLine="420" w:firstLineChars="200"/>
        <w:jc w:val="both"/>
        <w:rPr>
          <w:color w:val="000000" w:themeColor="text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 xml:space="preserve">附件2-1 </w:t>
      </w:r>
    </w:p>
    <w:p>
      <w:pPr>
        <w:spacing w:line="360" w:lineRule="auto"/>
        <w:ind w:firstLine="281" w:firstLineChars="100"/>
        <w:jc w:val="center"/>
        <w:rPr>
          <w:highlight w:val="none"/>
        </w:rPr>
      </w:pPr>
      <w:r>
        <w:rPr>
          <w:rFonts w:hint="eastAsia" w:hAnsi="宋体"/>
          <w:b/>
          <w:sz w:val="28"/>
          <w:szCs w:val="28"/>
          <w:highlight w:val="none"/>
        </w:rPr>
        <w:t>电子响应文件编制及报送要求</w:t>
      </w:r>
    </w:p>
    <w:p>
      <w:pPr>
        <w:pStyle w:val="188"/>
        <w:rPr>
          <w:rFonts w:hAnsi="宋体"/>
          <w:b/>
          <w:bCs/>
          <w:sz w:val="21"/>
          <w:szCs w:val="21"/>
          <w:highlight w:val="none"/>
        </w:rPr>
      </w:pPr>
      <w:r>
        <w:rPr>
          <w:rFonts w:hint="eastAsia" w:hAnsi="宋体"/>
          <w:sz w:val="21"/>
          <w:szCs w:val="21"/>
          <w:highlight w:val="none"/>
        </w:rPr>
        <w:t>1、制作本项目响应文件所使用软件：登录采购平台网站主页“办事指南”专区</w:t>
      </w:r>
      <w:r>
        <w:rPr>
          <w:rFonts w:hint="eastAsia" w:hAnsi="宋体"/>
          <w:b/>
          <w:bCs/>
          <w:sz w:val="21"/>
          <w:szCs w:val="21"/>
          <w:highlight w:val="none"/>
        </w:rPr>
        <w:t>下载安装“电子响应文件制作工具”。</w:t>
      </w:r>
    </w:p>
    <w:p>
      <w:pPr>
        <w:pStyle w:val="188"/>
        <w:rPr>
          <w:rFonts w:hAnsi="宋体"/>
          <w:sz w:val="21"/>
          <w:szCs w:val="21"/>
          <w:highlight w:val="none"/>
        </w:rPr>
      </w:pPr>
      <w:r>
        <w:rPr>
          <w:rFonts w:hint="eastAsia" w:hAnsi="宋体"/>
          <w:sz w:val="21"/>
          <w:szCs w:val="21"/>
          <w:highlight w:val="none"/>
        </w:rPr>
        <w:t>2、参与采购活动的供应商须使用采购平台“电子响应文件制作工具”制作CSCG格式响应文件。本项目响应文件</w:t>
      </w:r>
      <w:r>
        <w:rPr>
          <w:rFonts w:hint="eastAsia" w:hAnsi="宋体"/>
          <w:b/>
          <w:bCs/>
          <w:sz w:val="21"/>
          <w:szCs w:val="21"/>
          <w:highlight w:val="none"/>
        </w:rPr>
        <w:t>最大容量为20MB</w:t>
      </w:r>
      <w:r>
        <w:rPr>
          <w:rFonts w:hint="eastAsia" w:hAnsi="宋体"/>
          <w:sz w:val="21"/>
          <w:szCs w:val="21"/>
          <w:highlight w:val="none"/>
        </w:rPr>
        <w:t>，</w:t>
      </w:r>
      <w:r>
        <w:rPr>
          <w:spacing w:val="-5"/>
          <w:sz w:val="21"/>
          <w:highlight w:val="none"/>
        </w:rPr>
        <w:t>请</w:t>
      </w:r>
      <w:r>
        <w:rPr>
          <w:rFonts w:hint="eastAsia"/>
          <w:spacing w:val="-5"/>
          <w:sz w:val="21"/>
          <w:highlight w:val="none"/>
        </w:rPr>
        <w:t>供应商</w:t>
      </w:r>
      <w:r>
        <w:rPr>
          <w:spacing w:val="-5"/>
          <w:sz w:val="21"/>
          <w:highlight w:val="none"/>
        </w:rPr>
        <w:t>注意控制文件大小。</w:t>
      </w:r>
    </w:p>
    <w:p>
      <w:pPr>
        <w:pStyle w:val="188"/>
        <w:rPr>
          <w:rFonts w:hAnsi="宋体"/>
          <w:sz w:val="21"/>
          <w:szCs w:val="21"/>
          <w:highlight w:val="none"/>
        </w:rPr>
      </w:pPr>
      <w:r>
        <w:rPr>
          <w:rFonts w:hint="eastAsia" w:hAnsi="宋体"/>
          <w:sz w:val="21"/>
          <w:szCs w:val="21"/>
          <w:highlight w:val="none"/>
        </w:rPr>
        <w:t>3、供应商须使用湖南CA数字证书（含电子印章）。CA数字证书具体办理流程详见采购平台网站主页“办事指南”专区“湖南CA证书办证指引”，并</w:t>
      </w:r>
      <w:r>
        <w:rPr>
          <w:rFonts w:hint="eastAsia" w:hAnsi="宋体"/>
          <w:b/>
          <w:bCs/>
          <w:sz w:val="21"/>
          <w:szCs w:val="21"/>
          <w:highlight w:val="none"/>
        </w:rPr>
        <w:t>须在专区下载安装“CA数字证书驱动”。</w:t>
      </w:r>
    </w:p>
    <w:p>
      <w:pPr>
        <w:pStyle w:val="188"/>
        <w:jc w:val="both"/>
        <w:rPr>
          <w:rFonts w:hAnsi="宋体"/>
          <w:sz w:val="21"/>
          <w:szCs w:val="21"/>
          <w:highlight w:val="none"/>
        </w:rPr>
      </w:pPr>
      <w:r>
        <w:rPr>
          <w:rFonts w:hint="eastAsia" w:hAnsi="宋体"/>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highlight w:val="none"/>
        </w:rPr>
        <w:t>（</w:t>
      </w:r>
      <w:r>
        <w:rPr>
          <w:rFonts w:hint="eastAsia" w:hAnsi="宋体"/>
          <w:sz w:val="21"/>
          <w:szCs w:val="21"/>
          <w:highlight w:val="none"/>
        </w:rPr>
        <w:t>或加盖印章）的，响应文件应附法定代表人身份证明，由委托代理人签字</w:t>
      </w:r>
      <w:r>
        <w:rPr>
          <w:rFonts w:hint="eastAsia" w:hAnsi="宋体" w:cs="宋体"/>
          <w:szCs w:val="21"/>
          <w:highlight w:val="none"/>
        </w:rPr>
        <w:t>（</w:t>
      </w:r>
      <w:r>
        <w:rPr>
          <w:rFonts w:hint="eastAsia" w:hAnsi="宋体"/>
          <w:sz w:val="21"/>
          <w:szCs w:val="21"/>
          <w:highlight w:val="none"/>
        </w:rPr>
        <w:t>或加盖印章）的，响应文件应附法定代表人签署的授权委托书。</w:t>
      </w:r>
    </w:p>
    <w:p>
      <w:pPr>
        <w:pStyle w:val="188"/>
        <w:jc w:val="both"/>
        <w:rPr>
          <w:highlight w:val="none"/>
        </w:rPr>
      </w:pPr>
      <w:r>
        <w:rPr>
          <w:rFonts w:hint="eastAsia" w:hAnsi="宋体"/>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highlight w:val="none"/>
        </w:rPr>
        <w:t>按</w:t>
      </w:r>
      <w:r>
        <w:rPr>
          <w:rFonts w:hint="eastAsia" w:hAnsi="宋体" w:cs="宋体"/>
          <w:b/>
          <w:bCs/>
          <w:sz w:val="21"/>
          <w:szCs w:val="21"/>
          <w:highlight w:val="none"/>
        </w:rPr>
        <w:t>否决</w:t>
      </w:r>
      <w:r>
        <w:rPr>
          <w:rFonts w:hint="eastAsia" w:hAnsi="宋体" w:cs="宋体"/>
          <w:sz w:val="21"/>
          <w:szCs w:val="21"/>
          <w:highlight w:val="none"/>
        </w:rPr>
        <w:t>情形</w:t>
      </w:r>
      <w:r>
        <w:rPr>
          <w:rFonts w:hint="eastAsia" w:hAnsi="宋体"/>
          <w:sz w:val="21"/>
          <w:szCs w:val="21"/>
          <w:highlight w:val="none"/>
        </w:rPr>
        <w:t>处理，涉及打分项的则该项评分予以0分处理。</w:t>
      </w:r>
    </w:p>
    <w:p>
      <w:pPr>
        <w:pStyle w:val="188"/>
        <w:jc w:val="both"/>
        <w:rPr>
          <w:rFonts w:hAnsi="宋体"/>
          <w:sz w:val="21"/>
          <w:szCs w:val="21"/>
          <w:highlight w:val="none"/>
        </w:rPr>
      </w:pPr>
      <w:r>
        <w:rPr>
          <w:rFonts w:hint="eastAsia" w:hAnsi="宋体"/>
          <w:sz w:val="21"/>
          <w:szCs w:val="21"/>
          <w:highlight w:val="none"/>
        </w:rPr>
        <w:t>6、响应文件编写完成后，须对响应文件进行加密处理，加密后的响应文件为CSCG格式文件。</w:t>
      </w:r>
    </w:p>
    <w:p>
      <w:pPr>
        <w:pStyle w:val="188"/>
        <w:ind w:firstLine="0"/>
        <w:jc w:val="both"/>
        <w:rPr>
          <w:rFonts w:hAnsi="宋体"/>
          <w:sz w:val="21"/>
          <w:szCs w:val="21"/>
          <w:highlight w:val="none"/>
        </w:rPr>
      </w:pPr>
      <w:r>
        <w:rPr>
          <w:rFonts w:hint="eastAsia" w:hAnsi="宋体"/>
          <w:sz w:val="21"/>
          <w:szCs w:val="21"/>
          <w:highlight w:val="none"/>
        </w:rPr>
        <w:t>供应商在采购文件规定的响应文件递交截止时间前登陆采购平台竞争性采购项目专区上传递交响应文件（CSCG格式）一份。</w:t>
      </w:r>
      <w:r>
        <w:rPr>
          <w:rFonts w:hint="eastAsia" w:hAnsi="宋体"/>
          <w:b/>
          <w:bCs/>
          <w:sz w:val="21"/>
          <w:szCs w:val="21"/>
          <w:highlight w:val="none"/>
        </w:rPr>
        <w:t>因供应商自身原因未在规定时间内完成解密或无法解密的响应文件视为撤销其响应文件，相应责任由供应商自行承担。</w:t>
      </w:r>
    </w:p>
    <w:p>
      <w:pPr>
        <w:pStyle w:val="188"/>
        <w:jc w:val="both"/>
        <w:rPr>
          <w:rFonts w:hAnsi="宋体"/>
          <w:sz w:val="21"/>
          <w:szCs w:val="21"/>
          <w:highlight w:val="none"/>
        </w:rPr>
      </w:pPr>
      <w:r>
        <w:rPr>
          <w:rFonts w:hint="eastAsia" w:hAnsi="宋体"/>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sz w:val="21"/>
          <w:szCs w:val="21"/>
          <w:highlight w:val="none"/>
        </w:rPr>
        <w:t>（0731-86850487）。</w:t>
      </w:r>
    </w:p>
    <w:p>
      <w:pPr>
        <w:pStyle w:val="188"/>
        <w:jc w:val="both"/>
        <w:rPr>
          <w:rFonts w:hAnsi="宋体"/>
          <w:sz w:val="21"/>
          <w:szCs w:val="21"/>
          <w:highlight w:val="none"/>
        </w:rPr>
      </w:pPr>
      <w:r>
        <w:rPr>
          <w:rFonts w:hint="eastAsia" w:hAnsi="宋体"/>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8"/>
        <w:jc w:val="both"/>
        <w:rPr>
          <w:rFonts w:hAnsi="宋体"/>
          <w:sz w:val="21"/>
          <w:szCs w:val="21"/>
          <w:highlight w:val="none"/>
        </w:rPr>
      </w:pPr>
      <w:r>
        <w:rPr>
          <w:rFonts w:hint="eastAsia" w:hAnsi="宋体"/>
          <w:sz w:val="21"/>
          <w:szCs w:val="21"/>
          <w:highlight w:val="none"/>
        </w:rPr>
        <w:t>9、结果公示结束后，采购人将供应商在采购平台的“电子响应文件制作工具”制作投递的响应文件下载，打印成纸质版文件胶装成册归档。</w:t>
      </w:r>
    </w:p>
    <w:p>
      <w:pPr>
        <w:rPr>
          <w:highlight w:val="none"/>
        </w:r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rPr>
          <w:highlight w:val="none"/>
        </w:rPr>
      </w:pPr>
      <w:r>
        <w:rPr>
          <w:rFonts w:hint="eastAsia" w:ascii="宋体" w:hAnsi="宋体"/>
          <w:b/>
          <w:sz w:val="28"/>
          <w:szCs w:val="28"/>
          <w:highlight w:val="none"/>
        </w:rPr>
        <w:t>附件2-2</w:t>
      </w:r>
    </w:p>
    <w:p>
      <w:pPr>
        <w:spacing w:line="360" w:lineRule="auto"/>
        <w:ind w:firstLine="281" w:firstLineChars="100"/>
        <w:jc w:val="center"/>
        <w:rPr>
          <w:rFonts w:hAnsi="宋体"/>
          <w:b/>
          <w:sz w:val="28"/>
          <w:szCs w:val="28"/>
          <w:highlight w:val="none"/>
        </w:rPr>
      </w:pPr>
      <w:r>
        <w:rPr>
          <w:rFonts w:hint="eastAsia" w:hAnsi="宋体"/>
          <w:b/>
          <w:sz w:val="28"/>
          <w:szCs w:val="28"/>
          <w:highlight w:val="none"/>
        </w:rPr>
        <w:t>否决的情形</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供应商或其响应文件有下列情形之一的，应当按</w:t>
      </w:r>
      <w:r>
        <w:rPr>
          <w:rFonts w:hint="eastAsia" w:hAnsi="宋体" w:cs="宋体"/>
          <w:b/>
          <w:bCs/>
          <w:sz w:val="21"/>
          <w:szCs w:val="21"/>
          <w:highlight w:val="none"/>
        </w:rPr>
        <w:t>否决</w:t>
      </w:r>
      <w:r>
        <w:rPr>
          <w:rFonts w:hint="eastAsia" w:hAnsi="宋体" w:cs="宋体"/>
          <w:sz w:val="21"/>
          <w:szCs w:val="21"/>
          <w:highlight w:val="none"/>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2.供应商以他人名义投标、串通投标、以行贿手段谋取中标的；</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8"/>
        <w:spacing w:line="500" w:lineRule="exact"/>
        <w:ind w:firstLine="420" w:firstLineChars="200"/>
        <w:jc w:val="both"/>
        <w:rPr>
          <w:rFonts w:hAnsi="宋体" w:cs="宋体"/>
          <w:sz w:val="21"/>
          <w:szCs w:val="21"/>
          <w:highlight w:val="none"/>
        </w:rPr>
      </w:pPr>
      <w:r>
        <w:rPr>
          <w:rFonts w:hint="eastAsia" w:hAnsi="宋体" w:cs="宋体"/>
          <w:sz w:val="21"/>
          <w:szCs w:val="21"/>
          <w:highlight w:val="none"/>
        </w:rPr>
        <w:t>7.响应文件未对采购文件的实质性要求和条件作出满足性或更有利于采购人的响应；</w:t>
      </w:r>
    </w:p>
    <w:p>
      <w:pPr>
        <w:pStyle w:val="188"/>
        <w:spacing w:line="500" w:lineRule="exact"/>
        <w:ind w:firstLine="420" w:firstLineChars="200"/>
        <w:jc w:val="both"/>
        <w:rPr>
          <w:rFonts w:hAnsi="宋体" w:cs="宋体"/>
          <w:sz w:val="21"/>
          <w:szCs w:val="21"/>
          <w:highlight w:val="none"/>
        </w:rPr>
      </w:pPr>
      <w:r>
        <w:rPr>
          <w:rFonts w:hAnsi="宋体" w:cs="宋体"/>
          <w:color w:val="auto"/>
          <w:sz w:val="21"/>
          <w:szCs w:val="21"/>
          <w:highlight w:val="none"/>
        </w:rPr>
        <w:t>8</w:t>
      </w:r>
      <w:r>
        <w:rPr>
          <w:rFonts w:hint="eastAsia" w:hAnsi="宋体" w:cs="宋体"/>
          <w:color w:val="auto"/>
          <w:sz w:val="21"/>
          <w:szCs w:val="21"/>
          <w:highlight w:val="none"/>
        </w:rPr>
        <w:t>.若供应商</w:t>
      </w:r>
      <w:r>
        <w:rPr>
          <w:rFonts w:hint="eastAsia" w:hAnsi="宋体" w:cs="宋体"/>
          <w:sz w:val="21"/>
          <w:szCs w:val="21"/>
          <w:highlight w:val="none"/>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highlight w:val="none"/>
        </w:rPr>
        <w:t>否决</w:t>
      </w:r>
      <w:r>
        <w:rPr>
          <w:rFonts w:hint="eastAsia" w:hAnsi="宋体" w:cs="宋体"/>
          <w:sz w:val="21"/>
          <w:szCs w:val="21"/>
          <w:highlight w:val="none"/>
        </w:rPr>
        <w:t>情形处理，涉及打分项的则该项评分予以0分处理。</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.法律法规中规定的其他情形。</w:t>
      </w:r>
    </w:p>
    <w:p>
      <w:pPr>
        <w:rPr>
          <w:highlight w:val="none"/>
        </w:rPr>
      </w:pPr>
      <w:r>
        <w:rPr>
          <w:highlight w:val="none"/>
        </w:rPr>
        <w:br w:type="page"/>
      </w:r>
    </w:p>
    <w:p>
      <w:pPr>
        <w:adjustRightInd w:val="0"/>
        <w:snapToGrid w:val="0"/>
        <w:spacing w:line="360" w:lineRule="auto"/>
        <w:jc w:val="center"/>
        <w:outlineLvl w:val="0"/>
        <w:rPr>
          <w:rFonts w:ascii="黑体" w:hAnsi="宋体" w:eastAsia="黑体"/>
          <w:b/>
          <w:color w:val="000000" w:themeColor="text1"/>
          <w:sz w:val="24"/>
          <w:highlight w:val="none"/>
          <w14:textFill>
            <w14:solidFill>
              <w14:schemeClr w14:val="tx1"/>
            </w14:solidFill>
          </w14:textFill>
        </w:rPr>
      </w:pPr>
      <w:bookmarkStart w:id="15" w:name="_Toc3540"/>
      <w:bookmarkStart w:id="16" w:name="_Toc4847"/>
      <w:bookmarkStart w:id="17" w:name="_Toc29351"/>
      <w:r>
        <w:rPr>
          <w:rFonts w:hint="eastAsia" w:ascii="黑体" w:hAnsi="黑体" w:eastAsia="黑体" w:cs="黑体"/>
          <w:bCs/>
          <w:color w:val="000000" w:themeColor="text1"/>
          <w:sz w:val="32"/>
          <w:szCs w:val="32"/>
          <w:highlight w:val="none"/>
          <w14:textFill>
            <w14:solidFill>
              <w14:schemeClr w14:val="tx1"/>
            </w14:solidFill>
          </w14:textFill>
        </w:rPr>
        <w:t>第三章 评审办法及标准</w:t>
      </w:r>
      <w:bookmarkEnd w:id="15"/>
      <w:bookmarkEnd w:id="16"/>
      <w:bookmarkEnd w:id="17"/>
    </w:p>
    <w:p>
      <w:pPr>
        <w:spacing w:line="560" w:lineRule="exact"/>
        <w:ind w:firstLine="301" w:firstLineChar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评审办法前附表</w:t>
      </w:r>
    </w:p>
    <w:tbl>
      <w:tblPr>
        <w:tblStyle w:val="45"/>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6523"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866" w:type="dxa"/>
            <w:gridSpan w:val="3"/>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由法定代表人（或其委托代理人）签名（或加盖印章），并加盖供应商的单位</w:t>
            </w:r>
            <w:r>
              <w:rPr>
                <w:rFonts w:hint="eastAsia" w:ascii="宋体" w:hAnsi="宋体" w:cs="宋体"/>
                <w:color w:val="auto"/>
                <w:szCs w:val="21"/>
                <w:highlight w:val="none"/>
              </w:rPr>
              <w:t>公章。供应商加盖的单位公章与</w:t>
            </w:r>
            <w:r>
              <w:rPr>
                <w:rFonts w:hint="eastAsia" w:ascii="宋体" w:hAnsi="宋体" w:cs="宋体"/>
                <w:color w:val="000000" w:themeColor="text1"/>
                <w:szCs w:val="21"/>
                <w:highlight w:val="none"/>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14:textFill>
                  <w14:solidFill>
                    <w14:schemeClr w14:val="tx1"/>
                  </w14:solidFill>
                </w14:textFill>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8866" w:type="dxa"/>
            <w:gridSpan w:val="3"/>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营业执照（事业单位法人证书）</w:t>
            </w:r>
          </w:p>
        </w:tc>
        <w:tc>
          <w:tcPr>
            <w:tcW w:w="6523" w:type="dxa"/>
            <w:vMerge w:val="restart"/>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入围业绩</w:t>
            </w:r>
          </w:p>
        </w:tc>
        <w:tc>
          <w:tcPr>
            <w:tcW w:w="6523" w:type="dxa"/>
            <w:vMerge w:val="continue"/>
            <w:vAlign w:val="center"/>
          </w:tcPr>
          <w:p>
            <w:pPr>
              <w:spacing w:line="360" w:lineRule="exact"/>
              <w:rPr>
                <w:rFonts w:hAnsi="宋体"/>
                <w:color w:val="000000" w:themeColor="text1"/>
                <w:szCs w:val="21"/>
                <w:highlight w:val="none"/>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kern w:val="2"/>
                <w:sz w:val="21"/>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tcBorders>
              <w:top w:val="single" w:color="auto" w:sz="4" w:space="0"/>
              <w:bottom w:val="single" w:color="auto" w:sz="4" w:space="0"/>
            </w:tcBorders>
            <w:vAlign w:val="center"/>
          </w:tcPr>
          <w:p>
            <w:pPr>
              <w:spacing w:line="360" w:lineRule="exact"/>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详见附表</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没有发生“</w:t>
            </w:r>
            <w:r>
              <w:rPr>
                <w:rFonts w:hint="eastAsia" w:ascii="宋体" w:hAnsi="宋体" w:cs="宋体"/>
                <w:color w:val="000000"/>
                <w:highlight w:val="none"/>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highlight w:val="none"/>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8866" w:type="dxa"/>
            <w:gridSpan w:val="3"/>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供应商报价</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6523" w:type="dxa"/>
            <w:tcBorders>
              <w:top w:val="single" w:color="auto" w:sz="4" w:space="0"/>
              <w:bottom w:val="single" w:color="auto" w:sz="4" w:space="0"/>
            </w:tcBorders>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8866" w:type="dxa"/>
            <w:gridSpan w:val="3"/>
            <w:tcBorders>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8866" w:type="dxa"/>
            <w:gridSpan w:val="3"/>
            <w:vAlign w:val="center"/>
          </w:tcPr>
          <w:p>
            <w:pPr>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详细</w:t>
            </w:r>
            <w:r>
              <w:rPr>
                <w:rFonts w:hint="eastAsia" w:ascii="宋体" w:hAnsi="宋体" w:cs="宋体"/>
                <w:color w:val="000000" w:themeColor="text1"/>
                <w:szCs w:val="21"/>
                <w:highlight w:val="none"/>
                <w14:textFill>
                  <w14:solidFill>
                    <w14:schemeClr w14:val="tx1"/>
                  </w14:solidFill>
                </w14:textFill>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p>
        </w:tc>
        <w:tc>
          <w:tcPr>
            <w:tcW w:w="2343" w:type="dxa"/>
            <w:gridSpan w:val="2"/>
            <w:vAlign w:val="center"/>
          </w:tcPr>
          <w:p>
            <w:pPr>
              <w:spacing w:line="36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w:t>
            </w:r>
            <w:r>
              <w:rPr>
                <w:rFonts w:hint="eastAsia" w:ascii="宋体" w:hAnsi="宋体"/>
                <w:color w:val="000000" w:themeColor="text1"/>
                <w:szCs w:val="21"/>
                <w:highlight w:val="none"/>
                <w:lang w:val="en-US" w:eastAsia="zh-CN"/>
                <w14:textFill>
                  <w14:solidFill>
                    <w14:schemeClr w14:val="tx1"/>
                  </w14:solidFill>
                </w14:textFill>
              </w:rPr>
              <w:t>部分</w:t>
            </w:r>
          </w:p>
        </w:tc>
        <w:tc>
          <w:tcPr>
            <w:tcW w:w="6523" w:type="dxa"/>
            <w:vAlign w:val="center"/>
          </w:tcPr>
          <w:p>
            <w:pPr>
              <w:spacing w:line="36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评审小组应按以下要求对</w:t>
            </w:r>
            <w:r>
              <w:rPr>
                <w:rFonts w:hint="eastAsia" w:ascii="宋体" w:hAnsi="宋体" w:cs="宋体"/>
                <w:color w:val="000000" w:themeColor="text1"/>
                <w:szCs w:val="21"/>
                <w:highlight w:val="none"/>
                <w:lang w:eastAsia="zh-CN"/>
                <w14:textFill>
                  <w14:solidFill>
                    <w14:schemeClr w14:val="tx1"/>
                  </w14:solidFill>
                </w14:textFill>
              </w:rPr>
              <w:t>经符合性审查合格</w:t>
            </w:r>
            <w:r>
              <w:rPr>
                <w:rFonts w:hint="eastAsia" w:ascii="宋体" w:hAnsi="宋体" w:cs="宋体"/>
                <w:color w:val="000000" w:themeColor="text1"/>
                <w:szCs w:val="21"/>
                <w:highlight w:val="none"/>
                <w:lang w:val="en-US" w:eastAsia="zh-CN"/>
                <w14:textFill>
                  <w14:solidFill>
                    <w14:schemeClr w14:val="tx1"/>
                  </w14:solidFill>
                </w14:textFill>
              </w:rPr>
              <w:t>（第三章第2.1.1项、第2.1.2项、第2.1.3项规定）</w:t>
            </w:r>
            <w:r>
              <w:rPr>
                <w:rFonts w:hint="eastAsia" w:ascii="宋体" w:hAnsi="宋体" w:cs="宋体"/>
                <w:color w:val="000000" w:themeColor="text1"/>
                <w:szCs w:val="21"/>
                <w:highlight w:val="none"/>
                <w:lang w:eastAsia="zh-CN"/>
                <w14:textFill>
                  <w14:solidFill>
                    <w14:schemeClr w14:val="tx1"/>
                  </w14:solidFill>
                </w14:textFill>
              </w:rPr>
              <w:t>的供应商进行详细评审：</w:t>
            </w:r>
          </w:p>
          <w:p>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（1）以经</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评审小组一致认定满足《竞争性</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文件》要求且</w:t>
            </w:r>
            <w:bookmarkStart w:id="18" w:name="_Hlk70673845"/>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w:t>
            </w:r>
            <w:bookmarkEnd w:id="18"/>
            <w:r>
              <w:rPr>
                <w:rFonts w:hint="eastAsia" w:ascii="宋体" w:hAnsi="宋体" w:cs="宋体"/>
                <w:color w:val="000000" w:themeColor="text1"/>
                <w:szCs w:val="21"/>
                <w:highlight w:val="none"/>
                <w14:textFill>
                  <w14:solidFill>
                    <w14:schemeClr w14:val="tx1"/>
                  </w14:solidFill>
                </w14:textFill>
              </w:rPr>
              <w:t>最低的报价为基准价，其得分为满分。</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（2）其他有效单位的得分统一按下列公式计算（保留2位小数，第3位四舍五入）：</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得分=(基准价／</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不含增值税总报价)×100</w:t>
            </w:r>
            <w:r>
              <w:rPr>
                <w:rFonts w:hint="eastAsia" w:ascii="宋体" w:hAnsi="宋体" w:cs="宋体"/>
                <w:color w:val="000000" w:themeColor="text1"/>
                <w:szCs w:val="21"/>
                <w:highlight w:val="none"/>
                <w:lang w:eastAsia="zh-CN"/>
                <w14:textFill>
                  <w14:solidFill>
                    <w14:schemeClr w14:val="tx1"/>
                  </w14:solidFill>
                </w14:textFill>
              </w:rPr>
              <w:t>。</w:t>
            </w:r>
          </w:p>
        </w:tc>
      </w:tr>
    </w:tbl>
    <w:p>
      <w:pPr>
        <w:spacing w:line="560" w:lineRule="exact"/>
        <w:jc w:val="center"/>
        <w:rPr>
          <w:rFonts w:ascii="宋体" w:hAnsi="宋体"/>
          <w:b/>
          <w:color w:val="000000" w:themeColor="text1"/>
          <w:sz w:val="32"/>
          <w:szCs w:val="32"/>
          <w:highlight w:val="none"/>
          <w14:textFill>
            <w14:solidFill>
              <w14:schemeClr w14:val="tx1"/>
            </w14:solidFill>
          </w14:textFill>
        </w:rPr>
      </w:pPr>
    </w:p>
    <w:p>
      <w:pPr>
        <w:pStyle w:val="2"/>
        <w:ind w:left="0" w:leftChars="0" w:firstLine="0" w:firstLineChars="0"/>
        <w:rPr>
          <w:rFonts w:hint="eastAsia" w:ascii="宋体" w:hAnsi="宋体" w:cs="宋体"/>
          <w:kern w:val="0"/>
          <w:szCs w:val="21"/>
          <w:highlight w:val="none"/>
        </w:rPr>
      </w:pPr>
      <w:r>
        <w:rPr>
          <w:rFonts w:hint="eastAsia" w:ascii="宋体" w:hAnsi="宋体" w:cs="宋体"/>
          <w:kern w:val="0"/>
          <w:szCs w:val="21"/>
          <w:highlight w:val="none"/>
        </w:rPr>
        <w:br w:type="page"/>
      </w:r>
    </w:p>
    <w:p>
      <w:pPr>
        <w:spacing w:line="560" w:lineRule="exact"/>
        <w:jc w:val="center"/>
        <w:rPr>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评审办法正文</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1.评审方法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本次评审采用</w:t>
      </w:r>
      <w:r>
        <w:rPr>
          <w:rFonts w:hint="eastAsia" w:ascii="宋体" w:hAnsi="宋体" w:cs="宋体"/>
          <w:b/>
          <w:bCs/>
          <w:color w:val="000000" w:themeColor="text1"/>
          <w:szCs w:val="21"/>
          <w:highlight w:val="none"/>
          <w14:textFill>
            <w14:solidFill>
              <w14:schemeClr w14:val="tx1"/>
            </w14:solidFill>
          </w14:textFill>
        </w:rPr>
        <w:t>经符合性审查合格后的最低价法</w:t>
      </w:r>
      <w:r>
        <w:rPr>
          <w:rFonts w:hint="eastAsia" w:ascii="宋体" w:hAnsi="宋体" w:cs="宋体"/>
          <w:color w:val="000000" w:themeColor="text1"/>
          <w:szCs w:val="21"/>
          <w:highlight w:val="none"/>
          <w14:textFill>
            <w14:solidFill>
              <w14:schemeClr w14:val="tx1"/>
            </w14:solidFill>
          </w14:textFill>
        </w:rPr>
        <w:t>，资格审查方式为资格后审。评审小组对满足本项目采购文件实质要求的响应文件，</w:t>
      </w:r>
      <w:r>
        <w:rPr>
          <w:rFonts w:hint="eastAsia" w:ascii="宋体" w:hAnsi="宋体" w:cs="宋体"/>
          <w:strike w:val="0"/>
          <w:dstrike w:val="0"/>
          <w:color w:val="000000" w:themeColor="text1"/>
          <w:szCs w:val="21"/>
          <w:highlight w:val="none"/>
          <w14:textFill>
            <w14:solidFill>
              <w14:schemeClr w14:val="tx1"/>
            </w14:solidFill>
          </w14:textFill>
        </w:rPr>
        <w:t>根据规定的</w:t>
      </w:r>
      <w:r>
        <w:rPr>
          <w:rFonts w:hint="eastAsia" w:ascii="宋体" w:hAnsi="宋体" w:cs="宋体"/>
          <w:strike w:val="0"/>
          <w:dstrike w:val="0"/>
          <w:color w:val="000000" w:themeColor="text1"/>
          <w:szCs w:val="21"/>
          <w:highlight w:val="none"/>
          <w:lang w:val="en-US" w:eastAsia="zh-CN"/>
          <w14:textFill>
            <w14:solidFill>
              <w14:schemeClr w14:val="tx1"/>
            </w14:solidFill>
          </w14:textFill>
        </w:rPr>
        <w:t>评审</w:t>
      </w:r>
      <w:r>
        <w:rPr>
          <w:rFonts w:hint="eastAsia" w:ascii="宋体" w:hAnsi="宋体" w:cs="宋体"/>
          <w:strike w:val="0"/>
          <w:dstrike w:val="0"/>
          <w:color w:val="000000" w:themeColor="text1"/>
          <w:szCs w:val="21"/>
          <w:highlight w:val="none"/>
          <w14:textFill>
            <w14:solidFill>
              <w14:schemeClr w14:val="tx1"/>
            </w14:solidFill>
          </w14:textFill>
        </w:rPr>
        <w:t>标准进行评审，</w:t>
      </w:r>
      <w:r>
        <w:rPr>
          <w:rFonts w:hint="eastAsia" w:ascii="宋体" w:hAnsi="宋体" w:cs="宋体"/>
          <w:color w:val="000000" w:themeColor="text1"/>
          <w:szCs w:val="21"/>
          <w:highlight w:val="none"/>
          <w14:textFill>
            <w14:solidFill>
              <w14:schemeClr w14:val="tx1"/>
            </w14:solidFill>
          </w14:textFill>
        </w:rPr>
        <w:t>并按竞争性采购须知前附表规定的排序方法推荐成交候选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2.评审标准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初步评审标准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2.1.1形式评审标准：见评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2.1.2资格评审标准：见评审办法前附表</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 详细评审标准</w:t>
      </w:r>
    </w:p>
    <w:p>
      <w:pPr>
        <w:pStyle w:val="188"/>
        <w:rPr>
          <w:highlight w:val="none"/>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lang w:val="en-US" w:eastAsia="zh-CN"/>
          <w14:textFill>
            <w14:solidFill>
              <w14:schemeClr w14:val="tx1"/>
            </w14:solidFill>
          </w14:textFill>
        </w:rPr>
        <w:t>2.1详细</w:t>
      </w:r>
      <w:r>
        <w:rPr>
          <w:rFonts w:hAnsi="宋体"/>
          <w:color w:val="000000" w:themeColor="text1"/>
          <w:sz w:val="21"/>
          <w:szCs w:val="21"/>
          <w:highlight w:val="none"/>
          <w14:textFill>
            <w14:solidFill>
              <w14:schemeClr w14:val="tx1"/>
            </w14:solidFill>
          </w14:textFill>
        </w:rPr>
        <w:t>评审标准：见评审办法前附表。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3.评审程序</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 基本程序</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活动将按以下</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个步骤进行：</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准备；</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（2）初步评审</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（3）详细评审；</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（4）推荐</w:t>
      </w:r>
      <w:r>
        <w:rPr>
          <w:rFonts w:hint="eastAsia"/>
          <w:color w:val="000000" w:themeColor="text1"/>
          <w:highlight w:val="none"/>
          <w14:textFill>
            <w14:solidFill>
              <w14:schemeClr w14:val="tx1"/>
            </w14:solidFill>
          </w14:textFill>
        </w:rPr>
        <w:t>成交候选</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及提交评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 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成员签到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成员到达评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3.2.2 </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的分工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评审小组首先推举一名评审小组主任。评审小组主任负责主持评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 熟悉文件资料</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评审小组主任应组织评审小组成员认真研究</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文件，了解和熟悉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目的、</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范围、主要合同条件、</w:t>
      </w:r>
      <w:r>
        <w:rPr>
          <w:rFonts w:hint="eastAsia" w:ascii="宋体" w:hAnsi="宋体"/>
          <w:color w:val="000000" w:themeColor="text1"/>
          <w:szCs w:val="21"/>
          <w:highlight w:val="none"/>
          <w:u w:val="none"/>
          <w:lang w:eastAsia="zh-CN"/>
          <w14:textFill>
            <w14:solidFill>
              <w14:schemeClr w14:val="tx1"/>
            </w14:solidFill>
          </w14:textFill>
        </w:rPr>
        <w:t>用户需求书</w:t>
      </w:r>
      <w:r>
        <w:rPr>
          <w:rFonts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none"/>
          <w14:textFill>
            <w14:solidFill>
              <w14:schemeClr w14:val="tx1"/>
            </w14:solidFill>
          </w14:textFill>
        </w:rPr>
        <w:t>服务期</w:t>
      </w:r>
      <w:r>
        <w:rPr>
          <w:rFonts w:ascii="宋体" w:hAnsi="宋体"/>
          <w:color w:val="000000" w:themeColor="text1"/>
          <w:szCs w:val="21"/>
          <w:highlight w:val="none"/>
          <w14:textFill>
            <w14:solidFill>
              <w14:schemeClr w14:val="tx1"/>
            </w14:solidFill>
          </w14:textFill>
        </w:rPr>
        <w:t>等，掌握评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标准和方法。未在</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文件中规定的标准和方法不得作为评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的依据。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w:t>
      </w:r>
      <w:r>
        <w:rPr>
          <w:rFonts w:ascii="宋体" w:hAnsi="宋体"/>
          <w:color w:val="000000" w:themeColor="text1"/>
          <w:szCs w:val="21"/>
          <w:highlight w:val="none"/>
          <w14:textFill>
            <w14:solidFill>
              <w14:schemeClr w14:val="tx1"/>
            </w14:solidFill>
          </w14:textFill>
        </w:rPr>
        <w:t>应向评审小组提供评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所需的信息和数据，包括</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唱价</w:t>
      </w:r>
      <w:r>
        <w:rPr>
          <w:rFonts w:ascii="宋体" w:hAnsi="宋体"/>
          <w:color w:val="000000" w:themeColor="text1"/>
          <w:szCs w:val="21"/>
          <w:highlight w:val="none"/>
          <w14:textFill>
            <w14:solidFill>
              <w14:schemeClr w14:val="tx1"/>
            </w14:solidFill>
          </w14:textFill>
        </w:rPr>
        <w:t>记录、有关的法律、法规、规章、国家标准以及</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 对</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在不改变</w:t>
      </w:r>
      <w:r>
        <w:rPr>
          <w:rFonts w:hint="eastAsia" w:ascii="宋体" w:hAnsi="宋体"/>
          <w:color w:val="000000" w:themeColor="text1"/>
          <w:szCs w:val="21"/>
          <w:highlight w:val="none"/>
          <w14:textFill>
            <w14:solidFill>
              <w14:schemeClr w14:val="tx1"/>
            </w14:solidFill>
          </w14:textFill>
        </w:rPr>
        <w:t>供应商响应</w:t>
      </w:r>
      <w:r>
        <w:rPr>
          <w:rFonts w:ascii="宋体" w:hAnsi="宋体"/>
          <w:color w:val="000000" w:themeColor="text1"/>
          <w:szCs w:val="21"/>
          <w:highlight w:val="none"/>
          <w14:textFill>
            <w14:solidFill>
              <w14:schemeClr w14:val="tx1"/>
            </w14:solidFill>
          </w14:textFill>
        </w:rPr>
        <w:t>文件实质性内容的前提下，评审小组应当</w:t>
      </w:r>
      <w:r>
        <w:rPr>
          <w:rFonts w:hint="eastAsia" w:ascii="宋体" w:hAnsi="宋体"/>
          <w:color w:val="000000" w:themeColor="text1"/>
          <w:szCs w:val="21"/>
          <w:highlight w:val="none"/>
          <w14:textFill>
            <w14:solidFill>
              <w14:schemeClr w14:val="tx1"/>
            </w14:solidFill>
          </w14:textFill>
        </w:rPr>
        <w:t>对响应文件进行基础性数据分析和整理工作</w:t>
      </w:r>
      <w:r>
        <w:rPr>
          <w:rFonts w:ascii="宋体" w:hAnsi="宋体"/>
          <w:color w:val="000000" w:themeColor="text1"/>
          <w:szCs w:val="21"/>
          <w:highlight w:val="none"/>
          <w14:textFill>
            <w14:solidFill>
              <w14:schemeClr w14:val="tx1"/>
            </w14:solidFill>
          </w14:textFill>
        </w:rPr>
        <w:t>，发现并提取其中可能存在的对</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。评审小组对</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审议后，对于需要</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进行澄清、说明或补正的问题，形成</w:t>
      </w:r>
      <w:r>
        <w:rPr>
          <w:rFonts w:hint="eastAsia" w:ascii="宋体" w:hAnsi="宋体"/>
          <w:color w:val="000000" w:themeColor="text1"/>
          <w:szCs w:val="21"/>
          <w:highlight w:val="none"/>
          <w14:textFill>
            <w14:solidFill>
              <w14:schemeClr w14:val="tx1"/>
            </w14:solidFill>
          </w14:textFill>
        </w:rPr>
        <w:t>澄清问题清单</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w:t>
      </w:r>
      <w:r>
        <w:rPr>
          <w:rFonts w:ascii="宋体" w:hAnsi="宋体"/>
          <w:color w:val="000000" w:themeColor="text1"/>
          <w:szCs w:val="21"/>
          <w:highlight w:val="none"/>
          <w14:textFill>
            <w14:solidFill>
              <w14:schemeClr w14:val="tx1"/>
            </w14:solidFill>
          </w14:textFill>
        </w:rPr>
        <w:t>应当按照评审小组的要求，</w:t>
      </w:r>
      <w:r>
        <w:rPr>
          <w:rFonts w:hint="eastAsia" w:ascii="宋体" w:hAnsi="宋体"/>
          <w:color w:val="000000" w:themeColor="text1"/>
          <w:szCs w:val="21"/>
          <w:highlight w:val="none"/>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rFonts w:hint="eastAsia" w:hAnsi="宋体"/>
          <w:color w:val="000000" w:themeColor="text1"/>
          <w:szCs w:val="21"/>
          <w:highlight w:val="none"/>
          <w14:textFill>
            <w14:solidFill>
              <w14:schemeClr w14:val="tx1"/>
            </w14:solidFill>
          </w14:textFill>
        </w:rPr>
        <w:t>根据第</w:t>
      </w:r>
      <w:r>
        <w:rPr>
          <w:rFonts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14:textFill>
            <w14:solidFill>
              <w14:schemeClr w14:val="tx1"/>
            </w14:solidFill>
          </w14:textFill>
        </w:rPr>
        <w:t>项规定的评审因素和评审标准，对供应商</w:t>
      </w:r>
      <w:r>
        <w:rPr>
          <w:rFonts w:hint="eastAsia"/>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响应文件进行初步审查。</w:t>
      </w:r>
      <w:r>
        <w:rPr>
          <w:rFonts w:hint="eastAsia" w:ascii="宋体" w:hAnsi="宋体" w:cs="宋体"/>
          <w:color w:val="000000" w:themeColor="text1"/>
          <w:szCs w:val="21"/>
          <w:highlight w:val="none"/>
          <w14:textFill>
            <w14:solidFill>
              <w14:schemeClr w14:val="tx1"/>
            </w14:solidFill>
          </w14:textFill>
        </w:rPr>
        <w:t>有一项不符合评审标准的，应当予以否决。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 形式评审</w:t>
      </w:r>
    </w:p>
    <w:p>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color w:val="000000" w:themeColor="text1"/>
          <w:szCs w:val="21"/>
          <w:highlight w:val="none"/>
          <w14:textFill>
            <w14:solidFill>
              <w14:schemeClr w14:val="tx1"/>
            </w14:solidFill>
          </w14:textFill>
        </w:rPr>
        <w:t>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文件进行形式评审。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 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 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3.3.4 算术错误修正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评审小组检查</w:t>
      </w:r>
      <w:r>
        <w:rPr>
          <w:rFonts w:hint="eastAsia"/>
          <w:color w:val="000000" w:themeColor="text1"/>
          <w:szCs w:val="21"/>
          <w:highlight w:val="none"/>
          <w14:textFill>
            <w14:solidFill>
              <w14:schemeClr w14:val="tx1"/>
            </w14:solidFill>
          </w14:textFill>
        </w:rPr>
        <w:t>供应商的</w:t>
      </w:r>
      <w:r>
        <w:rPr>
          <w:color w:val="000000" w:themeColor="text1"/>
          <w:szCs w:val="21"/>
          <w:highlight w:val="none"/>
          <w14:textFill>
            <w14:solidFill>
              <w14:schemeClr w14:val="tx1"/>
            </w14:solidFill>
          </w14:textFill>
        </w:rPr>
        <w:t>报价是否有算术错误，算术性错误分析和修正按以下原则进行，修正的价格经</w:t>
      </w:r>
      <w:r>
        <w:rPr>
          <w:rFonts w:hint="eastAsia"/>
          <w:color w:val="000000" w:themeColor="text1"/>
          <w:szCs w:val="21"/>
          <w:highlight w:val="none"/>
          <w14:textFill>
            <w14:solidFill>
              <w14:schemeClr w14:val="tx1"/>
            </w14:solidFill>
          </w14:textFill>
        </w:rPr>
        <w:t>供应商通过采购平台进行</w:t>
      </w:r>
      <w:r>
        <w:rPr>
          <w:color w:val="000000" w:themeColor="text1"/>
          <w:szCs w:val="21"/>
          <w:highlight w:val="none"/>
          <w14:textFill>
            <w14:solidFill>
              <w14:schemeClr w14:val="tx1"/>
            </w14:solidFill>
          </w14:textFill>
        </w:rPr>
        <w:t>确认后具有约束力。</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不接受修正价格的，应当</w:t>
      </w:r>
      <w:r>
        <w:rPr>
          <w:rFonts w:hint="eastAsia"/>
          <w:color w:val="000000" w:themeColor="text1"/>
          <w:szCs w:val="21"/>
          <w:highlight w:val="none"/>
          <w14:textFill>
            <w14:solidFill>
              <w14:schemeClr w14:val="tx1"/>
            </w14:solidFill>
          </w14:textFill>
        </w:rPr>
        <w:t>予以</w:t>
      </w:r>
      <w:r>
        <w:rPr>
          <w:color w:val="000000" w:themeColor="text1"/>
          <w:szCs w:val="21"/>
          <w:highlight w:val="none"/>
          <w14:textFill>
            <w14:solidFill>
              <w14:schemeClr w14:val="tx1"/>
            </w14:solidFill>
          </w14:textFill>
        </w:rPr>
        <w:t>否决。</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中的大写金额与小写金额不一致的，以大写金额为准；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总价金额与依据单价计算出的结果不一致的，以单价金额为准修正总价，但单价金额小数点有明显错误的除外。</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报价为各分项报价金额之和，</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highlight w:val="none"/>
          <w14:textFill>
            <w14:solidFill>
              <w14:schemeClr w14:val="tx1"/>
            </w14:solidFill>
          </w14:textFill>
        </w:rPr>
        <w:t>。</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进行确认。供应商对修正结果有不同意见或未通过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在初步评审过程中，</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应当就</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文件中不明确的内容要求</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进行澄清、说明或者补正。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3.3.6是否予以否决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在评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过程中，依据第二章附件2-2中规定的否决情形，判断是否对</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第二章附件2-2集中列示的否决情形如果与第二章</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竞争性采购须知</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本章</w:t>
      </w:r>
      <w:r>
        <w:rPr>
          <w:rFonts w:ascii="宋体" w:hAnsi="宋体"/>
          <w:color w:val="000000" w:themeColor="text1"/>
          <w:szCs w:val="21"/>
          <w:highlight w:val="none"/>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初步评审合格的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进入详细评审。</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 xml:space="preserve">按本章第 2.2 </w:t>
      </w:r>
      <w:r>
        <w:rPr>
          <w:rFonts w:hint="eastAsia" w:ascii="宋体" w:hAnsi="宋体"/>
          <w:color w:val="000000" w:themeColor="text1"/>
          <w:szCs w:val="21"/>
          <w:highlight w:val="none"/>
          <w14:textFill>
            <w14:solidFill>
              <w14:schemeClr w14:val="tx1"/>
            </w14:solidFill>
          </w14:textFill>
        </w:rPr>
        <w:t>项</w:t>
      </w:r>
      <w:r>
        <w:rPr>
          <w:rFonts w:ascii="宋体" w:hAnsi="宋体"/>
          <w:color w:val="000000" w:themeColor="text1"/>
          <w:szCs w:val="21"/>
          <w:highlight w:val="none"/>
          <w14:textFill>
            <w14:solidFill>
              <w14:schemeClr w14:val="tx1"/>
            </w14:solidFill>
          </w14:textFill>
        </w:rPr>
        <w:t>规定规定的评审因素和标准进行评审，并计算出评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总得分。</w:t>
      </w:r>
    </w:p>
    <w:p>
      <w:pPr>
        <w:pStyle w:val="60"/>
        <w:spacing w:line="360" w:lineRule="auto"/>
        <w:ind w:firstLine="420" w:firstLineChars="200"/>
        <w:rPr>
          <w:rFonts w:ascii="宋体" w:hAnsi="宋体" w:eastAsia="宋体"/>
          <w:color w:val="000000" w:themeColor="text1"/>
          <w:kern w:val="2"/>
          <w:sz w:val="21"/>
          <w:szCs w:val="21"/>
          <w:highlight w:val="none"/>
          <w14:textFill>
            <w14:solidFill>
              <w14:schemeClr w14:val="tx1"/>
            </w14:solidFill>
          </w14:textFill>
        </w:rPr>
      </w:pPr>
      <w:r>
        <w:rPr>
          <w:rFonts w:ascii="宋体" w:hAnsi="宋体" w:eastAsia="宋体"/>
          <w:color w:val="000000" w:themeColor="text1"/>
          <w:kern w:val="2"/>
          <w:sz w:val="21"/>
          <w:szCs w:val="21"/>
          <w:highlight w:val="none"/>
          <w14:textFill>
            <w14:solidFill>
              <w14:schemeClr w14:val="tx1"/>
            </w14:solidFill>
          </w14:textFill>
        </w:rPr>
        <w:t>3.</w:t>
      </w:r>
      <w:r>
        <w:rPr>
          <w:rFonts w:hint="eastAsia" w:ascii="宋体" w:hAnsi="宋体" w:eastAsia="宋体"/>
          <w:color w:val="000000" w:themeColor="text1"/>
          <w:kern w:val="2"/>
          <w:sz w:val="21"/>
          <w:szCs w:val="21"/>
          <w:highlight w:val="none"/>
          <w14:textFill>
            <w14:solidFill>
              <w14:schemeClr w14:val="tx1"/>
            </w14:solidFill>
          </w14:textFill>
        </w:rPr>
        <w:t>4.1 详细评审的程序</w:t>
      </w:r>
    </w:p>
    <w:p>
      <w:pPr>
        <w:pStyle w:val="188"/>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按本章第 2.2.</w:t>
      </w:r>
      <w:r>
        <w:rPr>
          <w:rFonts w:hint="eastAsia" w:hAnsi="宋体"/>
          <w:color w:val="000000" w:themeColor="text1"/>
          <w:sz w:val="21"/>
          <w:szCs w:val="21"/>
          <w:highlight w:val="none"/>
          <w:lang w:val="en-US" w:eastAsia="zh-CN"/>
          <w14:textFill>
            <w14:solidFill>
              <w14:schemeClr w14:val="tx1"/>
            </w14:solidFill>
          </w14:textFill>
        </w:rPr>
        <w:t>1</w:t>
      </w:r>
      <w:r>
        <w:rPr>
          <w:rFonts w:hAnsi="宋体"/>
          <w:color w:val="000000" w:themeColor="text1"/>
          <w:sz w:val="21"/>
          <w:szCs w:val="21"/>
          <w:highlight w:val="none"/>
          <w14:textFill>
            <w14:solidFill>
              <w14:schemeClr w14:val="tx1"/>
            </w14:solidFill>
          </w14:textFill>
        </w:rPr>
        <w:t>规定的评审因素和</w:t>
      </w:r>
      <w:r>
        <w:rPr>
          <w:rFonts w:hint="eastAsia" w:hAnsi="宋体"/>
          <w:color w:val="000000" w:themeColor="text1"/>
          <w:sz w:val="21"/>
          <w:szCs w:val="21"/>
          <w:highlight w:val="none"/>
          <w:lang w:val="en-US" w:eastAsia="zh-CN"/>
          <w14:textFill>
            <w14:solidFill>
              <w14:schemeClr w14:val="tx1"/>
            </w14:solidFill>
          </w14:textFill>
        </w:rPr>
        <w:t>评审</w:t>
      </w:r>
      <w:r>
        <w:rPr>
          <w:rFonts w:hint="eastAsia" w:hAnsi="宋体"/>
          <w:color w:val="000000" w:themeColor="text1"/>
          <w:sz w:val="21"/>
          <w:szCs w:val="21"/>
          <w:highlight w:val="none"/>
          <w14:textFill>
            <w14:solidFill>
              <w14:schemeClr w14:val="tx1"/>
            </w14:solidFill>
          </w14:textFill>
        </w:rPr>
        <w:t>标准</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lang w:val="en-US" w:eastAsia="zh-CN"/>
          <w14:textFill>
            <w14:solidFill>
              <w14:schemeClr w14:val="tx1"/>
            </w14:solidFill>
          </w14:textFill>
        </w:rPr>
        <w:t>报价</w:t>
      </w:r>
      <w:r>
        <w:rPr>
          <w:rFonts w:hAnsi="宋体"/>
          <w:color w:val="000000" w:themeColor="text1"/>
          <w:sz w:val="21"/>
          <w:szCs w:val="21"/>
          <w:highlight w:val="none"/>
          <w14:textFill>
            <w14:solidFill>
              <w14:schemeClr w14:val="tx1"/>
            </w14:solidFill>
          </w14:textFill>
        </w:rPr>
        <w:t>部分计算出得分</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由评审小组集体评审计分。</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3.4.2 澄清、说明或补正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在详细评审过程中，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应当就</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文件中不明确的内容要求</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进行澄清、说明或者补正。</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3.4.3汇总评分结果</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详细评审工作全部结束后，汇总评审计分结果，</w:t>
      </w:r>
      <w:r>
        <w:rPr>
          <w:rFonts w:hint="eastAsia" w:hAnsi="宋体"/>
          <w:color w:val="000000" w:themeColor="text1"/>
          <w:sz w:val="21"/>
          <w:szCs w:val="21"/>
          <w:highlight w:val="none"/>
          <w14:textFill>
            <w14:solidFill>
              <w14:schemeClr w14:val="tx1"/>
            </w14:solidFill>
          </w14:textFill>
        </w:rPr>
        <w:t>并按</w:t>
      </w:r>
      <w:r>
        <w:rPr>
          <w:rFonts w:hint="eastAsia" w:hAnsi="宋体" w:cs="宋体"/>
          <w:color w:val="000000" w:themeColor="text1"/>
          <w:sz w:val="21"/>
          <w:szCs w:val="21"/>
          <w:highlight w:val="none"/>
          <w14:textFill>
            <w14:solidFill>
              <w14:schemeClr w14:val="tx1"/>
            </w14:solidFill>
          </w14:textFill>
        </w:rPr>
        <w:t>竞争性采购须知前附表</w:t>
      </w:r>
      <w:r>
        <w:rPr>
          <w:rFonts w:hint="eastAsia" w:hAnsi="宋体"/>
          <w:color w:val="000000" w:themeColor="text1"/>
          <w:sz w:val="21"/>
          <w:szCs w:val="21"/>
          <w:highlight w:val="none"/>
          <w14:textFill>
            <w14:solidFill>
              <w14:schemeClr w14:val="tx1"/>
            </w14:solidFill>
          </w14:textFill>
        </w:rPr>
        <w:t>规定的排序方法</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进行排序。评分分值计算保留</w:t>
      </w:r>
      <w:r>
        <w:rPr>
          <w:rFonts w:hint="eastAsia" w:hAnsi="宋体"/>
          <w:color w:val="000000" w:themeColor="text1"/>
          <w:sz w:val="21"/>
          <w:szCs w:val="21"/>
          <w:highlight w:val="none"/>
          <w14:textFill>
            <w14:solidFill>
              <w14:schemeClr w14:val="tx1"/>
            </w14:solidFill>
          </w14:textFill>
        </w:rPr>
        <w:t>到</w:t>
      </w:r>
      <w:r>
        <w:rPr>
          <w:rFonts w:hAnsi="宋体"/>
          <w:color w:val="000000" w:themeColor="text1"/>
          <w:sz w:val="21"/>
          <w:szCs w:val="21"/>
          <w:highlight w:val="none"/>
          <w14:textFill>
            <w14:solidFill>
              <w14:schemeClr w14:val="tx1"/>
            </w14:solidFill>
          </w14:textFill>
        </w:rPr>
        <w:t>小数点后两位，小数点后第三位</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四舍五入</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5 </w:t>
      </w:r>
      <w:r>
        <w:rPr>
          <w:rFonts w:hint="eastAsia" w:ascii="宋体" w:hAnsi="宋体" w:cs="宋体"/>
          <w:b/>
          <w:bCs/>
          <w:color w:val="000000" w:themeColor="text1"/>
          <w:szCs w:val="21"/>
          <w:highlight w:val="none"/>
          <w14:textFill>
            <w14:solidFill>
              <w14:schemeClr w14:val="tx1"/>
            </w14:solidFill>
          </w14:textFill>
        </w:rPr>
        <w:t>推荐成交候选</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及提交评审报告</w:t>
      </w:r>
    </w:p>
    <w:p>
      <w:pPr>
        <w:pStyle w:val="188"/>
        <w:ind w:right="105"/>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评审小组按</w:t>
      </w:r>
      <w:r>
        <w:rPr>
          <w:rFonts w:hint="eastAsia" w:hAnsi="宋体" w:cs="宋体"/>
          <w:color w:val="000000" w:themeColor="text1"/>
          <w:sz w:val="21"/>
          <w:szCs w:val="21"/>
          <w:highlight w:val="none"/>
          <w14:textFill>
            <w14:solidFill>
              <w14:schemeClr w14:val="tx1"/>
            </w14:solidFill>
          </w14:textFill>
        </w:rPr>
        <w:t>竞争性采购须知前附表规定的排序方法推荐成交候选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，并向采购人提交评审报告。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其他补充条款</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3.6.1 </w:t>
      </w:r>
      <w:r>
        <w:rPr>
          <w:rFonts w:hint="eastAsia" w:hAnsi="宋体"/>
          <w:color w:val="000000" w:themeColor="text1"/>
          <w:sz w:val="21"/>
          <w:szCs w:val="21"/>
          <w:highlight w:val="none"/>
          <w14:textFill>
            <w14:solidFill>
              <w14:schemeClr w14:val="tx1"/>
            </w14:solidFill>
          </w14:textFill>
        </w:rPr>
        <w:t>对</w:t>
      </w:r>
      <w:r>
        <w:rPr>
          <w:rFonts w:hAnsi="宋体"/>
          <w:color w:val="000000" w:themeColor="text1"/>
          <w:sz w:val="21"/>
          <w:szCs w:val="21"/>
          <w:highlight w:val="none"/>
          <w14:textFill>
            <w14:solidFill>
              <w14:schemeClr w14:val="tx1"/>
            </w14:solidFill>
          </w14:textFill>
        </w:rPr>
        <w:t>澄清、说明或补正</w:t>
      </w:r>
      <w:r>
        <w:rPr>
          <w:rFonts w:hint="eastAsia" w:hAnsi="宋体"/>
          <w:color w:val="000000" w:themeColor="text1"/>
          <w:sz w:val="21"/>
          <w:szCs w:val="21"/>
          <w:highlight w:val="none"/>
          <w14:textFill>
            <w14:solidFill>
              <w14:schemeClr w14:val="tx1"/>
            </w14:solidFill>
          </w14:textFill>
        </w:rPr>
        <w:t>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过程中，评审小组可以要求供应商</w:t>
      </w:r>
      <w:r>
        <w:rPr>
          <w:rFonts w:hint="eastAsia" w:hAnsi="宋体"/>
          <w:color w:val="000000" w:themeColor="text1"/>
          <w:sz w:val="21"/>
          <w:szCs w:val="21"/>
          <w:highlight w:val="none"/>
          <w14:textFill>
            <w14:solidFill>
              <w14:schemeClr w14:val="tx1"/>
            </w14:solidFill>
          </w14:textFill>
        </w:rPr>
        <w:t>对所提交的响应文件中不明确的内容进行澄清或说明，或者对细微偏差进行补正。</w:t>
      </w:r>
      <w:r>
        <w:rPr>
          <w:rFonts w:hAnsi="宋体"/>
          <w:color w:val="000000" w:themeColor="text1"/>
          <w:sz w:val="21"/>
          <w:szCs w:val="21"/>
          <w:highlight w:val="none"/>
          <w14:textFill>
            <w14:solidFill>
              <w14:schemeClr w14:val="tx1"/>
            </w14:solidFill>
          </w14:textFill>
        </w:rPr>
        <w:t>澄清、说明或补正应</w:t>
      </w:r>
      <w:r>
        <w:rPr>
          <w:rFonts w:hint="eastAsia" w:hAnsi="宋体"/>
          <w:color w:val="000000" w:themeColor="text1"/>
          <w:sz w:val="21"/>
          <w:szCs w:val="21"/>
          <w:highlight w:val="none"/>
          <w14:textFill>
            <w14:solidFill>
              <w14:schemeClr w14:val="tx1"/>
            </w14:solidFill>
          </w14:textFill>
        </w:rPr>
        <w:t>在采购平台</w:t>
      </w:r>
      <w:r>
        <w:rPr>
          <w:rFonts w:hAnsi="宋体"/>
          <w:color w:val="000000" w:themeColor="text1"/>
          <w:sz w:val="21"/>
          <w:szCs w:val="21"/>
          <w:highlight w:val="none"/>
          <w14:textFill>
            <w14:solidFill>
              <w14:schemeClr w14:val="tx1"/>
            </w14:solidFill>
          </w14:textFill>
        </w:rPr>
        <w:t>进行。评审小组不接受供应商主动提出的澄清、说明或补正。</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（2）供应商在评审过程中作出的</w:t>
      </w:r>
      <w:r>
        <w:rPr>
          <w:rFonts w:hAnsi="宋体"/>
          <w:color w:val="000000" w:themeColor="text1"/>
          <w:sz w:val="21"/>
          <w:szCs w:val="21"/>
          <w:highlight w:val="none"/>
          <w14:textFill>
            <w14:solidFill>
              <w14:schemeClr w14:val="tx1"/>
            </w14:solidFill>
          </w14:textFill>
        </w:rPr>
        <w:t>澄清、说明或补正不得改变</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文件的实质性内容</w:t>
      </w:r>
      <w:r>
        <w:rPr>
          <w:rFonts w:hint="eastAsia" w:hAnsi="宋体"/>
          <w:color w:val="000000" w:themeColor="text1"/>
          <w:sz w:val="21"/>
          <w:szCs w:val="21"/>
          <w:highlight w:val="none"/>
          <w14:textFill>
            <w14:solidFill>
              <w14:schemeClr w14:val="tx1"/>
            </w14:solidFill>
          </w14:textFill>
        </w:rPr>
        <w:t>（算术性错误修正的除外）。供应商的澄清、说明和补正属于响应文件的组成部分。</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（3）供应商应当在规定的时间内通过采购平台提供加盖公章或法定代表人（或其委托代理人）签署的澄清、说明或者补正资料。</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评审小组对供应商提交的澄清、说明或补正有疑问的，可以要求供应商进一步澄清、说明或补正，直至满足评审小组的要求。</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.6.2关于评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审小组成员</w:t>
      </w:r>
    </w:p>
    <w:p>
      <w:pPr>
        <w:pStyle w:val="188"/>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除非发生下列情况之一，不得在评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因不可抗拒的原因，评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成员不能到场或需在评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w:t>
      </w:r>
    </w:p>
    <w:p>
      <w:pPr>
        <w:pStyle w:val="188"/>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根据法律法规规定，某个或某几个评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成员需要回避。</w:t>
      </w:r>
    </w:p>
    <w:p>
      <w:pPr>
        <w:pStyle w:val="188"/>
        <w:rPr>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的评审小组成员，其已完成的评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行为无效。由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有关规定</w:t>
      </w:r>
      <w:r>
        <w:rPr>
          <w:rFonts w:hAnsi="宋体"/>
          <w:color w:val="000000" w:themeColor="text1"/>
          <w:sz w:val="21"/>
          <w:szCs w:val="21"/>
          <w:highlight w:val="none"/>
          <w14:textFill>
            <w14:solidFill>
              <w14:schemeClr w14:val="tx1"/>
            </w14:solidFill>
          </w14:textFill>
        </w:rPr>
        <w:t>另行确定替代者进行评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w:t>
      </w:r>
    </w:p>
    <w:p>
      <w:pPr>
        <w:pStyle w:val="2"/>
        <w:rPr>
          <w:highlight w:val="none"/>
        </w:rPr>
      </w:pPr>
    </w:p>
    <w:p>
      <w:pPr>
        <w:spacing w:line="560" w:lineRule="exact"/>
        <w:jc w:val="center"/>
        <w:rPr>
          <w:rFonts w:ascii="宋体" w:hAnsi="宋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19" w:name="_Toc13416"/>
      <w:bookmarkStart w:id="20" w:name="_Toc2682"/>
      <w:bookmarkStart w:id="21" w:name="_Toc7076"/>
      <w:bookmarkStart w:id="22" w:name="_Toc1964"/>
      <w:bookmarkStart w:id="23" w:name="_Toc15306"/>
      <w:bookmarkStart w:id="24" w:name="_Toc8265"/>
      <w:r>
        <w:rPr>
          <w:rFonts w:hint="eastAsia" w:ascii="黑体" w:eastAsia="黑体"/>
          <w:b/>
          <w:color w:val="000000" w:themeColor="text1"/>
          <w:sz w:val="32"/>
          <w:szCs w:val="32"/>
          <w:highlight w:val="none"/>
          <w14:textFill>
            <w14:solidFill>
              <w14:schemeClr w14:val="tx1"/>
            </w14:solidFill>
          </w14:textFill>
        </w:rPr>
        <w:t>第四章 合同条款及格式</w:t>
      </w:r>
      <w:bookmarkEnd w:id="19"/>
      <w:bookmarkEnd w:id="20"/>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21"/>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p>
    <w:p>
      <w:pPr>
        <w:rPr>
          <w:highlight w:val="none"/>
        </w:rPr>
      </w:pPr>
      <w:r>
        <w:rPr>
          <w:highlight w:val="none"/>
        </w:rPr>
        <w:br w:type="page"/>
      </w: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5" w:name="_Toc7734"/>
      <w:bookmarkStart w:id="26" w:name="_Toc14718"/>
      <w:bookmarkStart w:id="27" w:name="_Toc2030"/>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第五章 用户需求书（另册）</w:t>
      </w:r>
      <w:bookmarkEnd w:id="25"/>
      <w:bookmarkEnd w:id="26"/>
      <w:bookmarkEnd w:id="27"/>
    </w:p>
    <w:p>
      <w:pPr>
        <w:pStyle w:val="2"/>
        <w:rPr>
          <w:rFonts w:ascii="黑体" w:eastAsia="黑体"/>
          <w:b/>
          <w:color w:val="000000" w:themeColor="text1"/>
          <w:sz w:val="32"/>
          <w:szCs w:val="32"/>
          <w:highlight w:val="none"/>
          <w14:textFill>
            <w14:solidFill>
              <w14:schemeClr w14:val="tx1"/>
            </w14:solidFill>
          </w14:textFill>
        </w:rPr>
        <w:sectPr>
          <w:headerReference r:id="rId8" w:type="default"/>
          <w:footerReference r:id="rId9" w:type="default"/>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8" w:name="_Toc2947"/>
      <w:bookmarkStart w:id="29" w:name="_Toc18238"/>
      <w:bookmarkStart w:id="30" w:name="_Toc7423"/>
      <w:r>
        <w:rPr>
          <w:rFonts w:hint="eastAsia" w:ascii="黑体" w:eastAsia="黑体"/>
          <w:b/>
          <w:color w:val="000000" w:themeColor="text1"/>
          <w:sz w:val="32"/>
          <w:szCs w:val="32"/>
          <w:highlight w:val="none"/>
          <w14:textFill>
            <w14:solidFill>
              <w14:schemeClr w14:val="tx1"/>
            </w14:solidFill>
          </w14:textFill>
        </w:rPr>
        <w:t xml:space="preserve">第六章 </w:t>
      </w:r>
      <w:r>
        <w:rPr>
          <w:rFonts w:hint="eastAsia" w:ascii="黑体" w:hAnsi="Times New Roman" w:eastAsia="黑体" w:cs="Times New Roman"/>
          <w:b/>
          <w:color w:val="000000" w:themeColor="text1"/>
          <w:sz w:val="32"/>
          <w:szCs w:val="32"/>
          <w:highlight w:val="none"/>
          <w14:textFill>
            <w14:solidFill>
              <w14:schemeClr w14:val="tx1"/>
            </w14:solidFill>
          </w14:textFill>
        </w:rPr>
        <w:t>竞争性采购最高限价</w:t>
      </w:r>
      <w:bookmarkEnd w:id="28"/>
      <w:bookmarkEnd w:id="29"/>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30"/>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bCs w:val="0"/>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strike w:val="0"/>
          <w:highlight w:val="none"/>
        </w:rPr>
      </w:pPr>
    </w:p>
    <w:p>
      <w:pPr>
        <w:rPr>
          <w:rFonts w:hint="eastAsia"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br w:type="page"/>
      </w:r>
    </w:p>
    <w:p>
      <w:pPr>
        <w:pStyle w:val="16"/>
        <w:rPr>
          <w:rFonts w:hint="eastAsia"/>
          <w:highlight w:val="none"/>
        </w:rPr>
      </w:pP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pPr>
      <w:bookmarkStart w:id="31" w:name="_Toc24815"/>
      <w:bookmarkStart w:id="32" w:name="_Toc8284"/>
      <w:bookmarkStart w:id="33" w:name="_Toc10575"/>
      <w:r>
        <w:rPr>
          <w:rFonts w:hint="eastAsia" w:ascii="黑体" w:eastAsia="黑体"/>
          <w:b/>
          <w:color w:val="000000" w:themeColor="text1"/>
          <w:sz w:val="32"/>
          <w:szCs w:val="32"/>
          <w:highlight w:val="none"/>
          <w14:textFill>
            <w14:solidFill>
              <w14:schemeClr w14:val="tx1"/>
            </w14:solidFill>
          </w14:textFill>
        </w:rPr>
        <w:t>第</w:t>
      </w:r>
      <w:r>
        <w:rPr>
          <w:rFonts w:hint="eastAsia" w:ascii="黑体" w:eastAsia="黑体"/>
          <w:b/>
          <w:color w:val="000000" w:themeColor="text1"/>
          <w:sz w:val="32"/>
          <w:szCs w:val="32"/>
          <w:highlight w:val="none"/>
          <w:lang w:val="en-US" w:eastAsia="zh-CN"/>
          <w14:textFill>
            <w14:solidFill>
              <w14:schemeClr w14:val="tx1"/>
            </w14:solidFill>
          </w14:textFill>
        </w:rPr>
        <w:t>七</w:t>
      </w:r>
      <w:r>
        <w:rPr>
          <w:rFonts w:hint="eastAsia" w:ascii="黑体" w:eastAsia="黑体"/>
          <w:b/>
          <w:color w:val="000000" w:themeColor="text1"/>
          <w:sz w:val="32"/>
          <w:szCs w:val="32"/>
          <w:highlight w:val="none"/>
          <w14:textFill>
            <w14:solidFill>
              <w14:schemeClr w14:val="tx1"/>
            </w14:solidFill>
          </w14:textFill>
        </w:rPr>
        <w:t>章 响应文件格式</w:t>
      </w:r>
      <w:bookmarkEnd w:id="31"/>
      <w:bookmarkEnd w:id="32"/>
      <w:bookmarkEnd w:id="33"/>
    </w:p>
    <w:p>
      <w:pPr>
        <w:pStyle w:val="16"/>
        <w:rPr>
          <w:rFonts w:ascii="宋体"/>
          <w:color w:val="000000" w:themeColor="text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000000" w:themeColor="text1"/>
          <w:sz w:val="52"/>
          <w:szCs w:val="52"/>
          <w:highlight w:val="none"/>
          <w14:textFill>
            <w14:solidFill>
              <w14:schemeClr w14:val="tx1"/>
            </w14:solidFill>
          </w14:textFill>
        </w:rPr>
      </w:pPr>
      <w:bookmarkStart w:id="34" w:name="_Toc28138"/>
      <w:bookmarkStart w:id="35" w:name="_Toc19793"/>
      <w:bookmarkStart w:id="36" w:name="_Toc13293"/>
      <w:bookmarkStart w:id="37" w:name="_Toc24076"/>
      <w:bookmarkStart w:id="38" w:name="_Toc2964"/>
      <w:r>
        <w:rPr>
          <w:rFonts w:hint="eastAsia" w:ascii="宋体" w:hAnsi="宋体"/>
          <w:b/>
          <w:bCs/>
          <w:color w:val="000000" w:themeColor="text1"/>
          <w:sz w:val="72"/>
          <w:szCs w:val="72"/>
          <w:highlight w:val="none"/>
          <w14:textFill>
            <w14:solidFill>
              <w14:schemeClr w14:val="tx1"/>
            </w14:solidFill>
          </w14:textFill>
        </w:rPr>
        <w:t>响应文件</w:t>
      </w:r>
      <w:bookmarkEnd w:id="34"/>
      <w:bookmarkEnd w:id="35"/>
      <w:bookmarkEnd w:id="36"/>
      <w:bookmarkEnd w:id="37"/>
      <w:bookmarkEnd w:id="38"/>
    </w:p>
    <w:p>
      <w:pPr>
        <w:spacing w:line="360" w:lineRule="auto"/>
        <w:rPr>
          <w:rFonts w:ascii="宋体" w:hAnsi="宋体" w:cs="宋体"/>
          <w:b/>
          <w:bCs/>
          <w:color w:val="000000" w:themeColor="text1"/>
          <w:szCs w:val="21"/>
          <w:highlight w:val="none"/>
          <w14:textFill>
            <w14:solidFill>
              <w14:schemeClr w14:val="tx1"/>
            </w14:solidFill>
          </w14:textFill>
        </w:rPr>
      </w:pPr>
    </w:p>
    <w:p>
      <w:pPr>
        <w:pStyle w:val="44"/>
        <w:ind w:firstLine="422"/>
        <w:rPr>
          <w:rFonts w:ascii="宋体" w:hAnsi="宋体" w:cs="宋体"/>
          <w:b/>
          <w:bCs/>
          <w:color w:val="000000" w:themeColor="text1"/>
          <w:szCs w:val="21"/>
          <w:highlight w:val="none"/>
          <w14:textFill>
            <w14:solidFill>
              <w14:schemeClr w14:val="tx1"/>
            </w14:solidFill>
          </w14:textFill>
        </w:rPr>
      </w:pPr>
    </w:p>
    <w:p>
      <w:pPr>
        <w:pStyle w:val="26"/>
        <w:spacing w:line="360" w:lineRule="auto"/>
        <w:rPr>
          <w:rFonts w:hAnsi="宋体"/>
          <w:b/>
          <w:bCs/>
          <w:color w:val="000000" w:themeColor="text1"/>
          <w:sz w:val="32"/>
          <w:szCs w:val="32"/>
          <w:highlight w:val="none"/>
          <w14:textFill>
            <w14:solidFill>
              <w14:schemeClr w14:val="tx1"/>
            </w14:solidFill>
          </w14:textFill>
        </w:rPr>
      </w:pPr>
    </w:p>
    <w:p>
      <w:pPr>
        <w:spacing w:line="360" w:lineRule="auto"/>
        <w:ind w:left="3529" w:leftChars="304" w:hanging="2891" w:hangingChars="900"/>
        <w:outlineLvl w:val="9"/>
        <w:rPr>
          <w:rFonts w:hint="eastAsia" w:ascii="宋体" w:hAnsi="宋体" w:cs="Courier New"/>
          <w:b w:val="0"/>
          <w:bCs/>
          <w:color w:val="000000" w:themeColor="text1"/>
          <w:sz w:val="32"/>
          <w:szCs w:val="21"/>
          <w:highlight w:val="none"/>
          <w:u w:val="single"/>
          <w14:textFill>
            <w14:solidFill>
              <w14:schemeClr w14:val="tx1"/>
            </w14:solidFill>
          </w14:textFill>
        </w:rPr>
      </w:pPr>
      <w:bookmarkStart w:id="39" w:name="_Toc5446"/>
      <w:bookmarkStart w:id="40" w:name="_Toc2676"/>
      <w:bookmarkStart w:id="41" w:name="_Toc12573"/>
      <w:bookmarkStart w:id="42" w:name="_Toc1956"/>
      <w:bookmarkStart w:id="43" w:name="_Toc11829"/>
      <w:r>
        <w:rPr>
          <w:rFonts w:hint="eastAsia" w:ascii="宋体" w:hAnsi="宋体" w:cs="Courier New"/>
          <w:b/>
          <w:color w:val="000000" w:themeColor="text1"/>
          <w:sz w:val="32"/>
          <w:szCs w:val="21"/>
          <w:highlight w:val="none"/>
          <w14:textFill>
            <w14:solidFill>
              <w14:schemeClr w14:val="tx1"/>
            </w14:solidFill>
          </w14:textFill>
        </w:rPr>
        <w:t>项目名称：</w:t>
      </w:r>
      <w:bookmarkEnd w:id="39"/>
      <w:bookmarkEnd w:id="40"/>
      <w:bookmarkEnd w:id="41"/>
      <w:bookmarkEnd w:id="42"/>
      <w:bookmarkEnd w:id="43"/>
      <w:r>
        <w:rPr>
          <w:rFonts w:hint="eastAsia" w:ascii="宋体" w:hAnsi="宋体" w:cs="Courier New"/>
          <w:b w:val="0"/>
          <w:bCs/>
          <w:color w:val="000000" w:themeColor="text1"/>
          <w:sz w:val="32"/>
          <w:szCs w:val="21"/>
          <w:highlight w:val="none"/>
          <w:u w:val="single"/>
          <w14:textFill>
            <w14:solidFill>
              <w14:schemeClr w14:val="tx1"/>
            </w14:solidFill>
          </w14:textFill>
        </w:rPr>
        <w:t>长沙市轨道交通1、2、3、4、5号线、西环线运</w:t>
      </w:r>
    </w:p>
    <w:p>
      <w:pPr>
        <w:spacing w:line="360" w:lineRule="auto"/>
        <w:ind w:left="3514" w:leftChars="1064" w:hanging="1280" w:hangingChars="400"/>
        <w:outlineLvl w:val="9"/>
        <w:rPr>
          <w:rFonts w:hint="eastAsia" w:ascii="宋体" w:hAnsi="宋体" w:cs="Courier New"/>
          <w:b w:val="0"/>
          <w:bCs/>
          <w:color w:val="000000" w:themeColor="text1"/>
          <w:sz w:val="32"/>
          <w:szCs w:val="21"/>
          <w:highlight w:val="none"/>
          <w:u w:val="single"/>
          <w14:textFill>
            <w14:solidFill>
              <w14:schemeClr w14:val="tx1"/>
            </w14:solidFill>
          </w14:textFill>
        </w:rPr>
      </w:pPr>
      <w:r>
        <w:rPr>
          <w:rFonts w:hint="eastAsia" w:ascii="宋体" w:hAnsi="宋体" w:cs="Courier New"/>
          <w:b w:val="0"/>
          <w:bCs/>
          <w:color w:val="000000" w:themeColor="text1"/>
          <w:sz w:val="32"/>
          <w:szCs w:val="21"/>
          <w:highlight w:val="none"/>
          <w:u w:val="single"/>
          <w14:textFill>
            <w14:solidFill>
              <w14:schemeClr w14:val="tx1"/>
            </w14:solidFill>
          </w14:textFill>
        </w:rPr>
        <w:t>营期2024年-2025年铁路轨距尺等计量器具及变</w:t>
      </w:r>
    </w:p>
    <w:p>
      <w:pPr>
        <w:spacing w:line="360" w:lineRule="auto"/>
        <w:ind w:left="3514" w:leftChars="1064" w:hanging="1280" w:hangingChars="400"/>
        <w:outlineLvl w:val="9"/>
        <w:rPr>
          <w:rFonts w:hint="default" w:ascii="宋体" w:hAnsi="宋体" w:eastAsia="宋体" w:cs="Courier New"/>
          <w:b w:val="0"/>
          <w:bCs/>
          <w:color w:val="000000" w:themeColor="text1"/>
          <w:sz w:val="32"/>
          <w:szCs w:val="21"/>
          <w:highlight w:val="none"/>
          <w:u w:val="single"/>
          <w:lang w:val="en-US" w:eastAsia="zh-CN"/>
          <w14:textFill>
            <w14:solidFill>
              <w14:schemeClr w14:val="tx1"/>
            </w14:solidFill>
          </w14:textFill>
        </w:rPr>
      </w:pPr>
      <w:r>
        <w:rPr>
          <w:rFonts w:hint="eastAsia" w:ascii="宋体" w:hAnsi="宋体" w:cs="Courier New"/>
          <w:b w:val="0"/>
          <w:bCs/>
          <w:color w:val="000000" w:themeColor="text1"/>
          <w:sz w:val="32"/>
          <w:szCs w:val="21"/>
          <w:highlight w:val="none"/>
          <w:u w:val="single"/>
          <w14:textFill>
            <w14:solidFill>
              <w14:schemeClr w14:val="tx1"/>
            </w14:solidFill>
          </w14:textFill>
        </w:rPr>
        <w:t>压器油化验委外检测服务项目</w:t>
      </w:r>
      <w:r>
        <w:rPr>
          <w:rFonts w:hint="eastAsia" w:ascii="宋体" w:hAnsi="宋体" w:cs="Courier New"/>
          <w:b w:val="0"/>
          <w:bCs/>
          <w:color w:val="000000" w:themeColor="text1"/>
          <w:sz w:val="32"/>
          <w:szCs w:val="21"/>
          <w:highlight w:val="none"/>
          <w:u w:val="single"/>
          <w:lang w:val="en-US" w:eastAsia="zh-CN"/>
          <w14:textFill>
            <w14:solidFill>
              <w14:schemeClr w14:val="tx1"/>
            </w14:solidFill>
          </w14:textFill>
        </w:rPr>
        <w:t>(第二次)</w:t>
      </w:r>
    </w:p>
    <w:p>
      <w:pPr>
        <w:pStyle w:val="44"/>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4" w:name="_Toc16"/>
      <w:bookmarkStart w:id="45" w:name="_Toc20489"/>
      <w:r>
        <w:rPr>
          <w:rFonts w:hint="eastAsia" w:ascii="宋体" w:hAnsi="宋体" w:cs="Courier New"/>
          <w:b/>
          <w:color w:val="000000" w:themeColor="text1"/>
          <w:sz w:val="32"/>
          <w:szCs w:val="21"/>
          <w:highlight w:val="none"/>
          <w14:textFill>
            <w14:solidFill>
              <w14:schemeClr w14:val="tx1"/>
            </w14:solidFill>
          </w14:textFill>
        </w:rPr>
        <w:t>供应商名称：</w:t>
      </w:r>
      <w:bookmarkEnd w:id="44"/>
      <w:bookmarkEnd w:id="45"/>
      <w:r>
        <w:rPr>
          <w:rFonts w:hint="eastAsia" w:ascii="宋体" w:hAnsi="宋体" w:cs="Courier New"/>
          <w:b/>
          <w:color w:val="000000" w:themeColor="text1"/>
          <w:sz w:val="32"/>
          <w:szCs w:val="21"/>
          <w:highlight w:val="none"/>
          <w:u w:val="single"/>
          <w14:textFill>
            <w14:solidFill>
              <w14:schemeClr w14:val="tx1"/>
            </w14:solidFill>
          </w14:textFill>
        </w:rPr>
        <w:t xml:space="preserve">  </w:t>
      </w:r>
      <w:r>
        <w:rPr>
          <w:rFonts w:hint="eastAsia" w:hAnsi="宋体"/>
          <w:color w:val="000000" w:themeColor="text1"/>
          <w:sz w:val="32"/>
          <w:szCs w:val="32"/>
          <w:highlight w:val="none"/>
          <w:u w:val="single"/>
          <w14:textFill>
            <w14:solidFill>
              <w14:schemeClr w14:val="tx1"/>
            </w14:solidFill>
          </w14:textFill>
        </w:rPr>
        <w:t xml:space="preserve"> （加盖单位公章）</w:t>
      </w:r>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6" w:name="_Toc28350"/>
      <w:bookmarkStart w:id="47" w:name="_Toc24096"/>
      <w:bookmarkStart w:id="48" w:name="_Toc3500"/>
      <w:bookmarkStart w:id="49" w:name="_Toc23784"/>
      <w:bookmarkStart w:id="50" w:name="_Toc27634"/>
      <w:r>
        <w:rPr>
          <w:rFonts w:hint="eastAsia" w:ascii="宋体" w:hAnsi="宋体" w:cs="Courier New"/>
          <w:b/>
          <w:color w:val="000000" w:themeColor="text1"/>
          <w:sz w:val="32"/>
          <w:szCs w:val="21"/>
          <w:highlight w:val="none"/>
          <w14:textFill>
            <w14:solidFill>
              <w14:schemeClr w14:val="tx1"/>
            </w14:solidFill>
          </w14:textFill>
        </w:rPr>
        <w:t>项目编号：</w:t>
      </w:r>
      <w:bookmarkEnd w:id="46"/>
      <w:bookmarkEnd w:id="47"/>
      <w:bookmarkEnd w:id="48"/>
      <w:bookmarkEnd w:id="49"/>
      <w:bookmarkEnd w:id="50"/>
      <w:r>
        <w:rPr>
          <w:rFonts w:hint="eastAsia" w:ascii="宋体" w:hAnsi="宋体" w:cs="Courier New"/>
          <w:b w:val="0"/>
          <w:bCs/>
          <w:color w:val="000000" w:themeColor="text1"/>
          <w:sz w:val="32"/>
          <w:szCs w:val="21"/>
          <w:highlight w:val="none"/>
          <w:u w:val="single"/>
          <w14:textFill>
            <w14:solidFill>
              <w14:schemeClr w14:val="tx1"/>
            </w14:solidFill>
          </w14:textFill>
        </w:rPr>
        <w:t>长轨运服采【202</w:t>
      </w:r>
      <w:r>
        <w:rPr>
          <w:rFonts w:hint="eastAsia" w:ascii="宋体" w:hAnsi="宋体" w:cs="Courier New"/>
          <w:b w:val="0"/>
          <w:bCs/>
          <w:color w:val="000000" w:themeColor="text1"/>
          <w:sz w:val="32"/>
          <w:szCs w:val="21"/>
          <w:highlight w:val="none"/>
          <w:u w:val="single"/>
          <w:lang w:val="en-US" w:eastAsia="zh-CN"/>
          <w14:textFill>
            <w14:solidFill>
              <w14:schemeClr w14:val="tx1"/>
            </w14:solidFill>
          </w14:textFill>
        </w:rPr>
        <w:t>3</w:t>
      </w:r>
      <w:r>
        <w:rPr>
          <w:rFonts w:hint="eastAsia" w:ascii="宋体" w:hAnsi="宋体" w:cs="Courier New"/>
          <w:b w:val="0"/>
          <w:bCs/>
          <w:color w:val="000000" w:themeColor="text1"/>
          <w:sz w:val="32"/>
          <w:szCs w:val="21"/>
          <w:highlight w:val="none"/>
          <w:u w:val="single"/>
          <w14:textFill>
            <w14:solidFill>
              <w14:schemeClr w14:val="tx1"/>
            </w14:solidFill>
          </w14:textFill>
        </w:rPr>
        <w:t>】</w:t>
      </w:r>
      <w:r>
        <w:rPr>
          <w:rFonts w:hint="eastAsia" w:ascii="宋体" w:hAnsi="宋体" w:cs="Courier New"/>
          <w:b w:val="0"/>
          <w:bCs/>
          <w:color w:val="000000" w:themeColor="text1"/>
          <w:sz w:val="32"/>
          <w:szCs w:val="21"/>
          <w:highlight w:val="none"/>
          <w:u w:val="single"/>
          <w:lang w:val="en-US" w:eastAsia="zh-CN"/>
          <w14:textFill>
            <w14:solidFill>
              <w14:schemeClr w14:val="tx1"/>
            </w14:solidFill>
          </w14:textFill>
        </w:rPr>
        <w:t>050</w:t>
      </w:r>
      <w:r>
        <w:rPr>
          <w:rFonts w:hint="eastAsia" w:ascii="宋体" w:hAnsi="宋体" w:cs="Courier New"/>
          <w:b w:val="0"/>
          <w:bCs/>
          <w:color w:val="000000" w:themeColor="text1"/>
          <w:sz w:val="32"/>
          <w:szCs w:val="21"/>
          <w:highlight w:val="none"/>
          <w:u w:val="single"/>
          <w14:textFill>
            <w14:solidFill>
              <w14:schemeClr w14:val="tx1"/>
            </w14:solidFill>
          </w14:textFill>
        </w:rPr>
        <w:t xml:space="preserve">号   </w:t>
      </w:r>
      <w:r>
        <w:rPr>
          <w:rFonts w:hint="eastAsia" w:ascii="宋体" w:hAnsi="宋体" w:cs="Courier New"/>
          <w:b/>
          <w:color w:val="000000" w:themeColor="text1"/>
          <w:sz w:val="32"/>
          <w:szCs w:val="21"/>
          <w:highlight w:val="none"/>
          <w:u w:val="none"/>
          <w14:textFill>
            <w14:solidFill>
              <w14:schemeClr w14:val="tx1"/>
            </w14:solidFill>
          </w14:textFill>
        </w:rPr>
        <w:t xml:space="preserve">                        </w:t>
      </w:r>
    </w:p>
    <w:p>
      <w:pPr>
        <w:pStyle w:val="26"/>
        <w:spacing w:line="360" w:lineRule="auto"/>
        <w:outlineLvl w:val="9"/>
        <w:rPr>
          <w:rFonts w:hAnsi="宋体" w:cs="宋体"/>
          <w:b/>
          <w:bCs/>
          <w:color w:val="000000" w:themeColor="text1"/>
          <w:highlight w:val="none"/>
          <w:u w:val="singl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6"/>
        <w:adjustRightInd w:val="0"/>
        <w:snapToGrid w:val="0"/>
        <w:spacing w:line="360" w:lineRule="auto"/>
        <w:jc w:val="center"/>
        <w:outlineLvl w:val="9"/>
        <w:rPr>
          <w:rFonts w:hAnsi="宋体"/>
          <w:color w:val="000000" w:themeColor="text1"/>
          <w:highlight w:val="none"/>
          <w14:textFill>
            <w14:solidFill>
              <w14:schemeClr w14:val="tx1"/>
            </w14:solidFill>
          </w14:textFill>
        </w:rPr>
      </w:pPr>
      <w:bookmarkStart w:id="51" w:name="_Toc12352"/>
      <w:bookmarkStart w:id="52" w:name="_Toc16781"/>
      <w:bookmarkStart w:id="53" w:name="_Toc4095"/>
      <w:r>
        <w:rPr>
          <w:rFonts w:hint="eastAsia" w:hAnsi="宋体"/>
          <w:b/>
          <w:bCs/>
          <w:color w:val="000000" w:themeColor="text1"/>
          <w:sz w:val="32"/>
          <w:szCs w:val="32"/>
          <w:highlight w:val="none"/>
          <w14:textFill>
            <w14:solidFill>
              <w14:schemeClr w14:val="tx1"/>
            </w14:solidFill>
          </w14:textFill>
        </w:rPr>
        <w:t>日  期：</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日</w:t>
      </w:r>
      <w:bookmarkEnd w:id="51"/>
      <w:bookmarkEnd w:id="52"/>
      <w:bookmarkEnd w:id="53"/>
    </w:p>
    <w:p>
      <w:pPr>
        <w:widowControl/>
        <w:spacing w:line="360" w:lineRule="auto"/>
        <w:jc w:val="center"/>
        <w:rPr>
          <w:rFonts w:ascii="宋体" w:hAnsi="宋体"/>
          <w:b/>
          <w:color w:val="000000" w:themeColor="text1"/>
          <w:sz w:val="30"/>
          <w:szCs w:val="30"/>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目   录</w:t>
      </w:r>
    </w:p>
    <w:p>
      <w:pPr>
        <w:adjustRightInd w:val="0"/>
        <w:snapToGrid w:val="0"/>
        <w:spacing w:line="360" w:lineRule="auto"/>
        <w:jc w:val="center"/>
        <w:rPr>
          <w:rFonts w:ascii="宋体" w:hAnsi="宋体"/>
          <w:color w:val="000000" w:themeColor="text1"/>
          <w:sz w:val="24"/>
          <w:highlight w:val="none"/>
          <w14:textFill>
            <w14:solidFill>
              <w14:schemeClr w14:val="tx1"/>
            </w14:solidFill>
          </w14:textFill>
        </w:rPr>
      </w:pP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4" w:name="_Toc19789"/>
      <w:bookmarkStart w:id="55" w:name="_Toc15578"/>
      <w:r>
        <w:rPr>
          <w:rFonts w:hint="eastAsia" w:ascii="宋体" w:hAnsi="宋体"/>
          <w:color w:val="000000" w:themeColor="text1"/>
          <w:szCs w:val="21"/>
          <w:highlight w:val="none"/>
          <w14:textFill>
            <w14:solidFill>
              <w14:schemeClr w14:val="tx1"/>
            </w14:solidFill>
          </w14:textFill>
        </w:rPr>
        <w:t>一、</w:t>
      </w:r>
      <w:bookmarkEnd w:id="54"/>
      <w:bookmarkEnd w:id="55"/>
      <w:r>
        <w:rPr>
          <w:rFonts w:hint="eastAsia" w:ascii="宋体" w:hAnsi="宋体" w:eastAsia="宋体"/>
          <w:szCs w:val="21"/>
          <w:highlight w:val="none"/>
          <w:lang w:val="en-US" w:eastAsia="zh-CN"/>
        </w:rPr>
        <w:t>竞争性采购</w:t>
      </w:r>
      <w:r>
        <w:rPr>
          <w:rFonts w:hint="eastAsia" w:ascii="宋体" w:hAnsi="宋体"/>
          <w:szCs w:val="21"/>
          <w:highlight w:val="none"/>
          <w:lang w:val="en-US" w:eastAsia="zh-CN"/>
        </w:rPr>
        <w:t>响应函</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6" w:name="_Toc27498"/>
      <w:bookmarkStart w:id="57" w:name="_Toc2906"/>
      <w:r>
        <w:rPr>
          <w:rFonts w:hint="eastAsia" w:ascii="宋体" w:hAnsi="宋体"/>
          <w:color w:val="000000" w:themeColor="text1"/>
          <w:szCs w:val="21"/>
          <w:highlight w:val="none"/>
          <w14:textFill>
            <w14:solidFill>
              <w14:schemeClr w14:val="tx1"/>
            </w14:solidFill>
          </w14:textFill>
        </w:rPr>
        <w:t>二、</w:t>
      </w:r>
      <w:bookmarkEnd w:id="56"/>
      <w:bookmarkEnd w:id="57"/>
      <w:r>
        <w:rPr>
          <w:rFonts w:hint="eastAsia" w:ascii="宋体" w:hAnsi="宋体" w:eastAsia="宋体"/>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58" w:name="_Toc2754"/>
      <w:bookmarkStart w:id="59" w:name="_Toc16965"/>
      <w:r>
        <w:rPr>
          <w:rFonts w:hint="eastAsia" w:ascii="宋体" w:hAnsi="宋体"/>
          <w:color w:val="000000" w:themeColor="text1"/>
          <w:szCs w:val="21"/>
          <w:highlight w:val="none"/>
          <w14:textFill>
            <w14:solidFill>
              <w14:schemeClr w14:val="tx1"/>
            </w14:solidFill>
          </w14:textFill>
        </w:rPr>
        <w:t>三、授权委托书</w:t>
      </w:r>
      <w:bookmarkEnd w:id="58"/>
      <w:bookmarkEnd w:id="59"/>
      <w:bookmarkStart w:id="60" w:name="_Toc30780"/>
      <w:bookmarkStart w:id="61" w:name="_Toc1800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、供应商资格证明文件</w:t>
      </w:r>
      <w:bookmarkEnd w:id="60"/>
      <w:bookmarkEnd w:id="61"/>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62" w:name="_Toc2718"/>
      <w:bookmarkStart w:id="63" w:name="_Toc18220"/>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w:t>
      </w:r>
      <w:bookmarkEnd w:id="62"/>
      <w:bookmarkEnd w:id="63"/>
      <w:r>
        <w:rPr>
          <w:rFonts w:hint="eastAsia" w:ascii="宋体" w:hAnsi="宋体"/>
          <w:szCs w:val="21"/>
          <w:highlight w:val="none"/>
        </w:rPr>
        <w:t>报价一览表</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64" w:name="_Toc3578"/>
      <w:bookmarkStart w:id="65" w:name="_Toc6918"/>
      <w:r>
        <w:rPr>
          <w:rFonts w:hint="eastAsia" w:ascii="宋体" w:hAnsi="宋体"/>
          <w:color w:val="000000" w:themeColor="text1"/>
          <w:szCs w:val="21"/>
          <w:highlight w:val="none"/>
          <w:lang w:val="en-US" w:eastAsia="zh-CN"/>
          <w14:textFill>
            <w14:solidFill>
              <w14:schemeClr w14:val="tx1"/>
            </w14:solidFill>
          </w14:textFill>
        </w:rPr>
        <w:t>六</w:t>
      </w:r>
      <w:r>
        <w:rPr>
          <w:rFonts w:hint="eastAsia" w:ascii="宋体" w:hAnsi="宋体"/>
          <w:color w:val="000000" w:themeColor="text1"/>
          <w:szCs w:val="21"/>
          <w:highlight w:val="none"/>
          <w14:textFill>
            <w14:solidFill>
              <w14:schemeClr w14:val="tx1"/>
            </w14:solidFill>
          </w14:textFill>
        </w:rPr>
        <w:t>、分项报价表</w:t>
      </w:r>
      <w:bookmarkEnd w:id="64"/>
      <w:bookmarkEnd w:id="65"/>
      <w:bookmarkStart w:id="66" w:name="_Toc14772"/>
      <w:bookmarkStart w:id="67" w:name="_Toc824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、其他资料（如有）</w:t>
      </w:r>
      <w:bookmarkEnd w:id="66"/>
      <w:bookmarkEnd w:id="67"/>
    </w:p>
    <w:p>
      <w:pPr>
        <w:adjustRightInd w:val="0"/>
        <w:snapToGrid w:val="0"/>
        <w:spacing w:line="360" w:lineRule="auto"/>
        <w:ind w:firstLine="422" w:firstLineChars="200"/>
        <w:rPr>
          <w:rFonts w:ascii="宋体" w:hAnsi="宋体"/>
          <w:szCs w:val="21"/>
          <w:highlight w:val="none"/>
        </w:rPr>
      </w:pPr>
      <w:r>
        <w:rPr>
          <w:rFonts w:ascii="宋体" w:hAnsi="宋体"/>
          <w:b/>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Times New Roman" w:hAnsi="Times New Roman"/>
          <w:bCs/>
          <w:sz w:val="21"/>
          <w:szCs w:val="21"/>
          <w:u w:val="single"/>
        </w:rPr>
        <w:t>长沙市轨道交通一号线建设发展有限公司、长沙市轨道交通运营有限公司</w:t>
      </w:r>
      <w:r>
        <w:rPr>
          <w:rFonts w:hint="eastAsia" w:ascii="Times New Roman" w:hAnsi="Times New Roman"/>
          <w:bCs/>
          <w:sz w:val="21"/>
          <w:szCs w:val="21"/>
          <w:u w:val="single"/>
          <w:lang w:eastAsia="zh-CN"/>
        </w:rPr>
        <w:t>、</w:t>
      </w:r>
      <w:r>
        <w:rPr>
          <w:rStyle w:val="54"/>
          <w:rFonts w:hint="eastAsia" w:ascii="Times New Roman" w:hAnsi="Times New Roman" w:cs="Times New Roman"/>
          <w:color w:val="auto"/>
          <w:sz w:val="21"/>
          <w:u w:val="single"/>
          <w:shd w:val="clear" w:color="auto" w:fill="FFFFFF"/>
          <w:lang w:val="en-US" w:eastAsia="zh-CN"/>
        </w:rPr>
        <w:t>长沙市轨道交通三号线建设发展有限公司、长沙市轨道交通四号线建设发展有限公司、长沙市轨道交通五号线建设发展有限公司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我方已仔细研究了</w:t>
      </w:r>
      <w:r>
        <w:rPr>
          <w:rFonts w:hint="eastAsia" w:ascii="宋体" w:hAnsi="宋体" w:cs="宋体"/>
          <w:bCs/>
          <w:sz w:val="21"/>
          <w:szCs w:val="21"/>
          <w:u w:val="single"/>
        </w:rPr>
        <w:t>长沙市轨道交通1、2、3、4、5号线、西环线运营期2024年-2025年铁路轨距尺等计量器具及变压器油化验委外检测服务项目</w:t>
      </w:r>
      <w:r>
        <w:rPr>
          <w:rFonts w:hint="eastAsia" w:ascii="宋体" w:hAnsi="宋体" w:cs="宋体"/>
          <w:bCs/>
          <w:sz w:val="21"/>
          <w:szCs w:val="21"/>
          <w:u w:val="single"/>
          <w:lang w:eastAsia="zh-CN"/>
        </w:rPr>
        <w:t>（</w:t>
      </w:r>
      <w:r>
        <w:rPr>
          <w:rFonts w:hint="eastAsia" w:ascii="宋体" w:hAnsi="宋体" w:cs="宋体"/>
          <w:bCs/>
          <w:sz w:val="21"/>
          <w:szCs w:val="21"/>
          <w:u w:val="single"/>
          <w:lang w:val="en-US" w:eastAsia="zh-CN"/>
        </w:rPr>
        <w:t>第二次</w:t>
      </w:r>
      <w:r>
        <w:rPr>
          <w:rFonts w:hint="eastAsia" w:ascii="宋体" w:hAnsi="宋体" w:cs="宋体"/>
          <w:bCs/>
          <w:sz w:val="21"/>
          <w:szCs w:val="21"/>
          <w:u w:val="single"/>
          <w:lang w:eastAsia="zh-CN"/>
        </w:rPr>
        <w:t>）</w:t>
      </w:r>
      <w:r>
        <w:rPr>
          <w:rFonts w:hint="eastAsia" w:ascii="宋体" w:hAnsi="宋体"/>
          <w:color w:val="000000" w:themeColor="text1"/>
          <w:szCs w:val="21"/>
          <w:highlight w:val="none"/>
          <w14:textFill>
            <w14:solidFill>
              <w14:schemeClr w14:val="tx1"/>
            </w14:solidFill>
          </w14:textFill>
        </w:rPr>
        <w:t>的采购文件（项目编号：</w:t>
      </w:r>
      <w:r>
        <w:rPr>
          <w:rStyle w:val="54"/>
          <w:rFonts w:hint="eastAsia"/>
          <w:color w:val="auto"/>
          <w:kern w:val="0"/>
          <w:highlight w:val="none"/>
          <w:u w:val="single"/>
          <w:shd w:val="clear" w:color="auto" w:fill="FFFFFF"/>
        </w:rPr>
        <w:t>长轨运服采【202</w:t>
      </w:r>
      <w:r>
        <w:rPr>
          <w:rStyle w:val="54"/>
          <w:rFonts w:hint="eastAsia"/>
          <w:color w:val="auto"/>
          <w:kern w:val="0"/>
          <w:highlight w:val="none"/>
          <w:u w:val="single"/>
          <w:shd w:val="clear" w:color="auto" w:fill="FFFFFF"/>
          <w:lang w:val="en-US" w:eastAsia="zh-CN"/>
        </w:rPr>
        <w:t>3</w:t>
      </w:r>
      <w:r>
        <w:rPr>
          <w:rStyle w:val="54"/>
          <w:rFonts w:hint="eastAsia"/>
          <w:color w:val="auto"/>
          <w:kern w:val="0"/>
          <w:highlight w:val="none"/>
          <w:u w:val="single"/>
          <w:shd w:val="clear" w:color="auto" w:fill="FFFFFF"/>
        </w:rPr>
        <w:t>】</w:t>
      </w:r>
      <w:r>
        <w:rPr>
          <w:rStyle w:val="54"/>
          <w:rFonts w:hint="eastAsia"/>
          <w:color w:val="auto"/>
          <w:kern w:val="0"/>
          <w:highlight w:val="none"/>
          <w:u w:val="single"/>
          <w:shd w:val="clear" w:color="auto" w:fill="FFFFFF"/>
          <w:lang w:val="en-US" w:eastAsia="zh-CN"/>
        </w:rPr>
        <w:t>050</w:t>
      </w:r>
      <w:r>
        <w:rPr>
          <w:rStyle w:val="54"/>
          <w:rFonts w:hint="eastAsia"/>
          <w:color w:val="auto"/>
          <w:kern w:val="0"/>
          <w:highlight w:val="none"/>
          <w:u w:val="single"/>
          <w:shd w:val="clear" w:color="auto" w:fill="FFFFFF"/>
        </w:rPr>
        <w:t>号</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的全部内容，</w:t>
      </w:r>
      <w:r>
        <w:rPr>
          <w:rFonts w:hint="eastAsia" w:hAnsi="宋体"/>
          <w:color w:val="000000" w:themeColor="text1"/>
          <w:szCs w:val="21"/>
          <w:highlight w:val="none"/>
          <w14:textFill>
            <w14:solidFill>
              <w14:schemeClr w14:val="tx1"/>
            </w14:solidFill>
          </w14:textFill>
        </w:rPr>
        <w:t>知悉参加本项目</w:t>
      </w:r>
      <w:r>
        <w:rPr>
          <w:rFonts w:hint="eastAsia" w:ascii="宋体" w:hAnsi="宋体"/>
          <w:color w:val="000000" w:themeColor="text1"/>
          <w:szCs w:val="21"/>
          <w:highlight w:val="none"/>
          <w14:textFill>
            <w14:solidFill>
              <w14:schemeClr w14:val="tx1"/>
            </w14:solidFill>
          </w14:textFill>
        </w:rPr>
        <w:t>竞争性</w:t>
      </w:r>
      <w:r>
        <w:rPr>
          <w:rFonts w:hint="eastAsia" w:hAnsi="宋体"/>
          <w:color w:val="000000" w:themeColor="text1"/>
          <w:szCs w:val="21"/>
          <w:highlight w:val="none"/>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一、参与本项目竞争性采购活动系本公司自愿行为。</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w:t>
      </w:r>
      <w:r>
        <w:rPr>
          <w:rFonts w:hint="eastAsia" w:hAnsi="宋体"/>
          <w:color w:val="000000" w:themeColor="text1"/>
          <w:highlight w:val="none"/>
          <w14:textFill>
            <w14:solidFill>
              <w14:schemeClr w14:val="tx1"/>
            </w14:solidFill>
          </w14:textFill>
        </w:rPr>
        <w:t>我方承诺对本项目采购文件第四章“合同条款及格式”和第五章“</w:t>
      </w:r>
      <w:r>
        <w:rPr>
          <w:rFonts w:hint="eastAsia" w:hAnsi="宋体"/>
          <w:color w:val="000000" w:themeColor="text1"/>
          <w:highlight w:val="none"/>
          <w:lang w:val="en-US" w:eastAsia="zh-CN"/>
          <w14:textFill>
            <w14:solidFill>
              <w14:schemeClr w14:val="tx1"/>
            </w14:solidFill>
          </w14:textFill>
        </w:rPr>
        <w:t>用户需求书</w:t>
      </w:r>
      <w:r>
        <w:rPr>
          <w:rFonts w:hint="eastAsia" w:hAnsi="宋体"/>
          <w:color w:val="000000" w:themeColor="text1"/>
          <w:highlight w:val="none"/>
          <w14:textFill>
            <w14:solidFill>
              <w14:schemeClr w14:val="tx1"/>
            </w14:solidFill>
          </w14:textFill>
        </w:rPr>
        <w:t>”的全</w:t>
      </w:r>
      <w:r>
        <w:rPr>
          <w:rFonts w:hint="eastAsia" w:hAnsi="宋体" w:cs="宋体"/>
          <w:color w:val="000000" w:themeColor="text1"/>
          <w:highlight w:val="none"/>
          <w14:textFill>
            <w14:solidFill>
              <w14:schemeClr w14:val="tx1"/>
            </w14:solidFill>
          </w14:textFill>
        </w:rPr>
        <w:t>部条款完全响应，无偏离。</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四、我方在此声明，所递交的响应文件及有关资料内容完整、真实准确、合法有效，且我方承诺不存在下列情</w:t>
      </w:r>
      <w:r>
        <w:rPr>
          <w:rFonts w:hint="eastAsia" w:ascii="宋体" w:hAnsi="宋体" w:eastAsia="宋体" w:cs="宋体"/>
          <w:color w:val="000000" w:themeColor="text1"/>
          <w:highlight w:val="none"/>
          <w14:textFill>
            <w14:solidFill>
              <w14:schemeClr w14:val="tx1"/>
            </w14:solidFill>
          </w14:textFill>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六、我方承诺，若贵方需要，我方愿意提供任何与本次采购有关的数据、情况和技术资料。</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6"/>
        <w:adjustRightInd w:val="0"/>
        <w:snapToGrid w:val="0"/>
        <w:spacing w:line="48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采购，或者以其它方式弄虚作假骗取成交；（4）不在</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采购结束后进行虚假、恶意质疑和投诉。</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九、我方自愿遵守《</w:t>
      </w:r>
      <w:r>
        <w:rPr>
          <w:rFonts w:hint="eastAsia" w:hAnsi="宋体" w:cs="宋体"/>
          <w:color w:val="000000" w:themeColor="text1"/>
          <w:highlight w:val="none"/>
          <w:lang w:eastAsia="zh-CN"/>
          <w14:textFill>
            <w14:solidFill>
              <w14:schemeClr w14:val="tx1"/>
            </w14:solidFill>
          </w14:textFill>
        </w:rPr>
        <w:t>长沙市轨道交通运营有限公司采购管理办法（试行）</w:t>
      </w:r>
      <w:r>
        <w:rPr>
          <w:rFonts w:hint="eastAsia" w:hAnsi="宋体" w:cs="宋体"/>
          <w:color w:val="000000" w:themeColor="text1"/>
          <w:highlight w:val="none"/>
          <w14:textFill>
            <w14:solidFill>
              <w14:schemeClr w14:val="tx1"/>
            </w14:solidFill>
          </w14:textFill>
        </w:rPr>
        <w:t>》和恶意异议处罚的相关规定和要求，如有违反，我方自愿承担因我方违反相关规定所引起的一切后果。</w:t>
      </w:r>
    </w:p>
    <w:p>
      <w:pPr>
        <w:pStyle w:val="26"/>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十、遵守贵司各项管理制度和采购现场纪律，自觉维护贵司</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十二、我方如有违反本承诺书内容的行为，愿意承担由此产生的法律责任及后果。</w:t>
      </w:r>
    </w:p>
    <w:p>
      <w:pPr>
        <w:pStyle w:val="26"/>
        <w:numPr>
          <w:ilvl w:val="0"/>
          <w:numId w:val="0"/>
        </w:numPr>
        <w:adjustRightInd w:val="0"/>
        <w:snapToGrid w:val="0"/>
        <w:spacing w:line="360" w:lineRule="auto"/>
        <w:ind w:left="420" w:leftChars="0"/>
        <w:rPr>
          <w:rFonts w:hint="eastAsia"/>
          <w:b/>
          <w:bCs/>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360" w:lineRule="auto"/>
        <w:ind w:right="24"/>
        <w:jc w:val="left"/>
        <w:rPr>
          <w:rFonts w:hint="eastAsia" w:ascii="宋体" w:hAnsi="宋体" w:cs="宋体"/>
          <w:szCs w:val="21"/>
          <w:highlight w:val="none"/>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numPr>
          <w:ilvl w:val="0"/>
          <w:numId w:val="2"/>
        </w:num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68" w:name="_Toc9473"/>
      <w:bookmarkStart w:id="69" w:name="_Toc5828"/>
      <w:bookmarkStart w:id="70" w:name="_Toc22681"/>
      <w:r>
        <w:rPr>
          <w:rFonts w:hint="eastAsia" w:ascii="黑体" w:hAnsi="宋体" w:eastAsia="黑体"/>
          <w:b/>
          <w:color w:val="000000" w:themeColor="text1"/>
          <w:sz w:val="32"/>
          <w:szCs w:val="32"/>
          <w:highlight w:val="none"/>
          <w14:textFill>
            <w14:solidFill>
              <w14:schemeClr w14:val="tx1"/>
            </w14:solidFill>
          </w14:textFill>
        </w:rPr>
        <w:t>法定代表人身份证明书</w:t>
      </w:r>
      <w:bookmarkEnd w:id="68"/>
      <w:bookmarkEnd w:id="69"/>
      <w:bookmarkEnd w:id="70"/>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p>
    <w:p>
      <w:pPr>
        <w:pStyle w:val="60"/>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71" w:name="_Toc4403"/>
      <w:bookmarkStart w:id="72" w:name="_Toc3091"/>
      <w:bookmarkStart w:id="73" w:name="_Toc5064"/>
      <w:r>
        <w:rPr>
          <w:rFonts w:hint="eastAsia" w:ascii="黑体" w:hAnsi="宋体" w:eastAsia="黑体"/>
          <w:b/>
          <w:color w:val="000000" w:themeColor="text1"/>
          <w:sz w:val="32"/>
          <w:szCs w:val="32"/>
          <w:highlight w:val="none"/>
          <w14:textFill>
            <w14:solidFill>
              <w14:schemeClr w14:val="tx1"/>
            </w14:solidFill>
          </w14:textFill>
        </w:rPr>
        <w:t>三、授权委托书</w:t>
      </w:r>
      <w:bookmarkEnd w:id="71"/>
      <w:bookmarkEnd w:id="72"/>
      <w:bookmarkEnd w:id="73"/>
    </w:p>
    <w:p>
      <w:pPr>
        <w:adjustRightInd w:val="0"/>
        <w:snapToGrid w:val="0"/>
        <w:spacing w:line="360" w:lineRule="auto"/>
        <w:jc w:val="center"/>
        <w:rPr>
          <w:rFonts w:ascii="黑体" w:hAnsi="华文中宋" w:eastAsia="黑体"/>
          <w:b/>
          <w:color w:val="000000" w:themeColor="text1"/>
          <w:sz w:val="28"/>
          <w:szCs w:val="28"/>
          <w:highlight w:val="none"/>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s="宋体"/>
          <w:color w:val="000000" w:themeColor="text1"/>
          <w:kern w:val="0"/>
          <w:szCs w:val="21"/>
          <w:highlight w:val="none"/>
          <w14:textFill>
            <w14:solidFill>
              <w14:schemeClr w14:val="tx1"/>
            </w14:solidFill>
          </w14:textFill>
        </w:rPr>
        <w:t>编号）响应文件及与本</w:t>
      </w:r>
      <w:r>
        <w:rPr>
          <w:rFonts w:hint="eastAsia" w:ascii="宋体" w:hAnsi="宋体"/>
          <w:color w:val="000000" w:themeColor="text1"/>
          <w:szCs w:val="21"/>
          <w:highlight w:val="none"/>
          <w14:textFill>
            <w14:solidFill>
              <w14:schemeClr w14:val="tx1"/>
            </w14:solidFill>
          </w14:textFill>
        </w:rPr>
        <w:t>竞争性</w:t>
      </w:r>
      <w:r>
        <w:rPr>
          <w:rFonts w:hint="eastAsia" w:ascii="宋体" w:hAnsi="宋体" w:cs="宋体"/>
          <w:color w:val="000000" w:themeColor="text1"/>
          <w:kern w:val="0"/>
          <w:szCs w:val="21"/>
          <w:highlight w:val="none"/>
          <w14:textFill>
            <w14:solidFill>
              <w14:schemeClr w14:val="tx1"/>
            </w14:solidFill>
          </w14:textFill>
        </w:rPr>
        <w:t>采购项目的有关事宜，其法律后果由我方承担。</w:t>
      </w:r>
    </w:p>
    <w:p>
      <w:pPr>
        <w:pStyle w:val="16"/>
        <w:spacing w:line="360" w:lineRule="auto"/>
        <w:ind w:left="0" w:leftChars="0" w:firstLine="420" w:firstLineChars="200"/>
        <w:rPr>
          <w:rFonts w:hint="eastAsia" w:ascii="宋体" w:hAnsi="宋体"/>
          <w:szCs w:val="21"/>
          <w:highlight w:val="none"/>
        </w:rPr>
      </w:pPr>
    </w:p>
    <w:p>
      <w:pPr>
        <w:pStyle w:val="16"/>
        <w:spacing w:line="360" w:lineRule="auto"/>
        <w:ind w:left="0" w:leftChars="0" w:firstLine="420" w:firstLineChars="200"/>
        <w:rPr>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firstLine="420" w:firstLineChars="200"/>
        <w:rPr>
          <w:rFonts w:ascii="宋体" w:hAnsi="宋体" w:cs="宋体"/>
          <w:kern w:val="0"/>
          <w:szCs w:val="21"/>
          <w:highlight w:val="none"/>
        </w:rPr>
      </w:pPr>
    </w:p>
    <w:p>
      <w:pPr>
        <w:pStyle w:val="2"/>
        <w:spacing w:after="0" w:line="360" w:lineRule="auto"/>
        <w:ind w:left="0" w:leftChars="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rPr>
          <w:rFonts w:ascii="宋体" w:hAnsi="宋体" w:cs="宋体"/>
          <w:color w:val="000000" w:themeColor="text1"/>
          <w:kern w:val="0"/>
          <w:szCs w:val="21"/>
          <w:highlight w:val="none"/>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spacing w:line="360" w:lineRule="exact"/>
        <w:rPr>
          <w:rFonts w:ascii="宋体"/>
          <w:b/>
          <w:color w:val="000000" w:themeColor="text1"/>
          <w:highlight w:val="none"/>
          <w14:textFill>
            <w14:solidFill>
              <w14:schemeClr w14:val="tx1"/>
            </w14:solidFill>
          </w14:textFill>
        </w:rPr>
      </w:pPr>
    </w:p>
    <w:p>
      <w:pPr>
        <w:spacing w:line="480" w:lineRule="exact"/>
        <w:jc w:val="center"/>
        <w:outlineLvl w:val="9"/>
        <w:rPr>
          <w:rFonts w:ascii="黑体" w:eastAsia="黑体"/>
          <w:color w:val="000000" w:themeColor="text1"/>
          <w:sz w:val="24"/>
          <w:highlight w:val="none"/>
          <w:lang w:val="sq-AL"/>
          <w14:textFill>
            <w14:solidFill>
              <w14:schemeClr w14:val="tx1"/>
            </w14:solidFill>
          </w14:textFill>
        </w:rPr>
      </w:pPr>
      <w:r>
        <w:rPr>
          <w:rFonts w:ascii="黑体" w:eastAsia="黑体"/>
          <w:color w:val="000000" w:themeColor="text1"/>
          <w:sz w:val="24"/>
          <w:highlight w:val="none"/>
          <w14:textFill>
            <w14:solidFill>
              <w14:schemeClr w14:val="tx1"/>
            </w14:solidFill>
          </w14:textFill>
        </w:rPr>
        <w:br w:type="page"/>
      </w:r>
      <w:bookmarkStart w:id="74" w:name="_Toc6384"/>
      <w:bookmarkStart w:id="75" w:name="_Toc17472"/>
      <w:bookmarkStart w:id="76" w:name="_Toc30307"/>
      <w:bookmarkStart w:id="77" w:name="_Toc18590"/>
      <w:bookmarkStart w:id="78" w:name="_Toc17556"/>
      <w:bookmarkStart w:id="79" w:name="_Toc22346"/>
      <w:bookmarkStart w:id="80" w:name="_Toc10492"/>
      <w:bookmarkStart w:id="81" w:name="_Toc8471"/>
    </w:p>
    <w:p>
      <w:pPr>
        <w:spacing w:line="480" w:lineRule="exact"/>
        <w:jc w:val="center"/>
        <w:outlineLvl w:val="9"/>
        <w:rPr>
          <w:rFonts w:ascii="黑体" w:eastAsia="黑体"/>
          <w:color w:val="000000" w:themeColor="text1"/>
          <w:sz w:val="24"/>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四</w:t>
      </w:r>
      <w:r>
        <w:rPr>
          <w:rFonts w:hint="eastAsia" w:ascii="黑体" w:hAnsi="宋体" w:eastAsia="黑体"/>
          <w:b/>
          <w:color w:val="000000" w:themeColor="text1"/>
          <w:sz w:val="32"/>
          <w:szCs w:val="32"/>
          <w:highlight w:val="none"/>
          <w14:textFill>
            <w14:solidFill>
              <w14:schemeClr w14:val="tx1"/>
            </w14:solidFill>
          </w14:textFill>
        </w:rPr>
        <w:t>、供应商资格证明文件</w:t>
      </w:r>
      <w:bookmarkEnd w:id="74"/>
      <w:bookmarkEnd w:id="75"/>
    </w:p>
    <w:p>
      <w:pPr>
        <w:adjustRightInd w:val="0"/>
        <w:snapToGrid w:val="0"/>
        <w:spacing w:line="360" w:lineRule="auto"/>
        <w:rPr>
          <w:rFonts w:ascii="仿宋" w:hAnsi="仿宋" w:eastAsia="仿宋"/>
          <w:bCs/>
          <w:color w:val="000000" w:themeColor="text1"/>
          <w:szCs w:val="21"/>
          <w:highlight w:val="none"/>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ascii="宋体" w:hAnsi="宋体" w:cs="宋体"/>
          <w:color w:val="auto"/>
          <w:highlight w:val="none"/>
        </w:rPr>
      </w:pPr>
      <w:r>
        <w:rPr>
          <w:rFonts w:hint="eastAsia" w:ascii="宋体" w:hAnsi="宋体" w:cs="宋体"/>
          <w:color w:val="auto"/>
          <w:highlight w:val="none"/>
          <w:lang w:val="en-US" w:eastAsia="zh-CN"/>
        </w:rPr>
        <w:t>1.须</w:t>
      </w:r>
      <w:r>
        <w:rPr>
          <w:rFonts w:hint="eastAsia" w:ascii="宋体" w:hAnsi="宋体"/>
          <w:bCs/>
          <w:szCs w:val="21"/>
          <w:highlight w:val="none"/>
        </w:rPr>
        <w:t>提供</w:t>
      </w:r>
      <w:r>
        <w:rPr>
          <w:rFonts w:hint="eastAsia" w:ascii="宋体" w:hAnsi="宋体"/>
          <w:bCs/>
          <w:szCs w:val="21"/>
          <w:highlight w:val="none"/>
          <w:lang w:val="en-US" w:eastAsia="zh-CN"/>
        </w:rPr>
        <w:t>在有效期内的</w:t>
      </w:r>
      <w:r>
        <w:rPr>
          <w:rFonts w:hint="eastAsia" w:ascii="宋体" w:hAnsi="宋体" w:eastAsia="宋体" w:cs="宋体"/>
          <w:color w:val="000000"/>
          <w:highlight w:val="none"/>
          <w:lang w:val="en-US" w:eastAsia="zh-CN"/>
        </w:rPr>
        <w:t>营业执照/事业单位法人证书</w:t>
      </w:r>
      <w:r>
        <w:rPr>
          <w:rFonts w:hint="eastAsia" w:ascii="宋体" w:hAnsi="宋体" w:cs="宋体"/>
          <w:color w:val="000000"/>
          <w:highlight w:val="none"/>
          <w:lang w:val="en-US" w:eastAsia="zh-CN"/>
        </w:rPr>
        <w:t>，</w:t>
      </w:r>
      <w:r>
        <w:rPr>
          <w:rFonts w:hint="eastAsia" w:ascii="宋体" w:hAnsi="宋体" w:cs="宋体"/>
          <w:color w:val="000000"/>
          <w:highlight w:val="none"/>
        </w:rPr>
        <w:t>且在有效期内</w:t>
      </w:r>
      <w:r>
        <w:rPr>
          <w:rFonts w:hint="eastAsia" w:ascii="宋体" w:hAnsi="宋体" w:cs="宋体"/>
          <w:color w:val="auto"/>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2.须</w:t>
      </w:r>
      <w:r>
        <w:rPr>
          <w:rFonts w:hint="eastAsia" w:ascii="宋体" w:hAnsi="宋体"/>
          <w:bCs/>
          <w:szCs w:val="21"/>
          <w:highlight w:val="none"/>
        </w:rPr>
        <w:t>提供</w:t>
      </w:r>
      <w:r>
        <w:rPr>
          <w:rFonts w:hint="eastAsia" w:ascii="宋体" w:hAnsi="宋体" w:eastAsia="宋体" w:cs="宋体"/>
          <w:bCs/>
          <w:sz w:val="21"/>
          <w:szCs w:val="21"/>
          <w:highlight w:val="none"/>
          <w:lang w:val="en-US" w:eastAsia="zh-CN"/>
        </w:rPr>
        <w:t>中国合格评定国家认可委员会颁发的检测或校准实验室认可资质（CNAS资质），且其</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ascii="宋体" w:hAnsi="宋体" w:cs="宋体"/>
          <w:color w:val="auto"/>
          <w:highlight w:val="none"/>
        </w:rPr>
      </w:pPr>
      <w:r>
        <w:rPr>
          <w:rFonts w:hint="eastAsia" w:ascii="宋体" w:hAnsi="宋体" w:eastAsia="宋体" w:cs="宋体"/>
          <w:bCs/>
          <w:sz w:val="21"/>
          <w:szCs w:val="21"/>
          <w:highlight w:val="none"/>
          <w:lang w:val="en-US" w:eastAsia="zh-CN"/>
        </w:rPr>
        <w:t>证书附表中的自检范围须占本项目检测清单总项目比重（自检率）的60%（不含）以上。</w:t>
      </w:r>
    </w:p>
    <w:p>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lang w:val="en-US" w:eastAsia="zh-CN"/>
        </w:rPr>
        <w:t>须提供在本项目递交响应文件截止之日前36个月内须具有单项合同金额不少于</w:t>
      </w:r>
      <w:r>
        <w:rPr>
          <w:rFonts w:hint="eastAsia" w:ascii="宋体" w:hAnsi="宋体" w:cs="宋体"/>
          <w:bCs/>
          <w:sz w:val="21"/>
          <w:szCs w:val="21"/>
          <w:highlight w:val="none"/>
          <w:lang w:val="en-US" w:eastAsia="zh-CN"/>
        </w:rPr>
        <w:t>35</w:t>
      </w:r>
      <w:r>
        <w:rPr>
          <w:rFonts w:hint="eastAsia" w:ascii="宋体" w:hAnsi="宋体" w:eastAsia="宋体" w:cs="宋体"/>
          <w:bCs/>
          <w:sz w:val="21"/>
          <w:szCs w:val="21"/>
          <w:highlight w:val="none"/>
          <w:lang w:val="en-US" w:eastAsia="zh-CN"/>
        </w:rPr>
        <w:t>万元的</w:t>
      </w:r>
    </w:p>
    <w:p>
      <w:pPr>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计量器具检测服务业绩。不接受联合体业绩、港澳台或境外业绩。</w:t>
      </w:r>
    </w:p>
    <w:p>
      <w:pPr>
        <w:keepNext w:val="0"/>
        <w:keepLines w:val="0"/>
        <w:pageBreakBefore w:val="0"/>
        <w:widowControl w:val="0"/>
        <w:numPr>
          <w:ilvl w:val="0"/>
          <w:numId w:val="0"/>
        </w:numPr>
        <w:kinsoku/>
        <w:wordWrap/>
        <w:overflowPunct/>
        <w:topLinePunct w:val="0"/>
        <w:autoSpaceDE/>
        <w:autoSpaceDN/>
        <w:bidi w:val="0"/>
        <w:spacing w:line="360" w:lineRule="auto"/>
        <w:ind w:leftChars="200"/>
        <w:textAlignment w:val="auto"/>
        <w:rPr>
          <w:rFonts w:ascii="宋体" w:hAnsi="宋体" w:cs="宋体"/>
          <w:color w:val="auto"/>
          <w:highlight w:val="none"/>
        </w:rPr>
      </w:pPr>
      <w:r>
        <w:rPr>
          <w:rFonts w:hint="eastAsia" w:ascii="宋体" w:hAnsi="宋体" w:cs="宋体"/>
          <w:color w:val="auto"/>
          <w:highlight w:val="none"/>
          <w:lang w:val="en-US" w:eastAsia="zh-CN"/>
        </w:rPr>
        <w:t>4.供应商</w:t>
      </w:r>
      <w:r>
        <w:rPr>
          <w:rFonts w:hint="eastAsia" w:ascii="宋体" w:hAnsi="宋体" w:cs="宋体"/>
          <w:color w:val="auto"/>
          <w:highlight w:val="none"/>
        </w:rPr>
        <w:t>认为与本项目资格条件有关的其它证明文件（如有，格式自拟）。</w:t>
      </w:r>
    </w:p>
    <w:p>
      <w:pPr>
        <w:pStyle w:val="16"/>
        <w:spacing w:line="360" w:lineRule="auto"/>
        <w:ind w:left="0" w:leftChars="0"/>
      </w:pPr>
    </w:p>
    <w:p>
      <w:pPr>
        <w:adjustRightInd w:val="0"/>
        <w:snapToGrid w:val="0"/>
        <w:spacing w:line="360" w:lineRule="auto"/>
        <w:ind w:firstLine="422" w:firstLineChars="200"/>
        <w:rPr>
          <w:rFonts w:ascii="宋体" w:hAnsi="宋体"/>
          <w:b/>
          <w:bCs/>
          <w:szCs w:val="21"/>
        </w:rPr>
      </w:pPr>
      <w:r>
        <w:rPr>
          <w:rFonts w:hint="eastAsia" w:ascii="宋体" w:hAnsi="宋体"/>
          <w:b/>
          <w:bCs/>
          <w:szCs w:val="21"/>
        </w:rPr>
        <w:t>备注：上述证明文件</w:t>
      </w:r>
      <w:r>
        <w:rPr>
          <w:rStyle w:val="54"/>
          <w:rFonts w:hint="eastAsia"/>
          <w:b/>
          <w:bCs/>
          <w:color w:val="auto"/>
          <w:u w:val="none"/>
          <w:shd w:val="clear" w:color="auto" w:fill="FFFFFF"/>
        </w:rPr>
        <w:t>原件</w:t>
      </w:r>
      <w:r>
        <w:rPr>
          <w:rStyle w:val="54"/>
          <w:rFonts w:hint="eastAsia" w:ascii="Times New Roman" w:hAnsi="Times New Roman" w:eastAsia="宋体" w:cs="Times New Roman"/>
          <w:b/>
          <w:bCs/>
          <w:color w:val="auto"/>
          <w:u w:val="none"/>
          <w:shd w:val="clear" w:color="auto" w:fill="FFFFFF"/>
          <w:lang w:eastAsia="zh-CN"/>
        </w:rPr>
        <w:t>复印件</w:t>
      </w:r>
      <w:r>
        <w:rPr>
          <w:rFonts w:hint="eastAsia" w:ascii="宋体" w:hAnsi="宋体"/>
          <w:b/>
          <w:bCs/>
          <w:szCs w:val="21"/>
        </w:rPr>
        <w:t>均须加盖供应商公章。</w:t>
      </w:r>
    </w:p>
    <w:p>
      <w:pPr>
        <w:pStyle w:val="279"/>
        <w:sectPr>
          <w:pgSz w:w="11906" w:h="16838"/>
          <w:pgMar w:top="1440" w:right="1361" w:bottom="1440" w:left="1474" w:header="851" w:footer="992" w:gutter="0"/>
          <w:pgNumType w:fmt="decimal"/>
          <w:cols w:space="720" w:num="1"/>
          <w:docGrid w:type="lines" w:linePitch="312" w:charSpace="0"/>
        </w:sectPr>
      </w:pPr>
    </w:p>
    <w:p>
      <w:pPr>
        <w:spacing w:line="360" w:lineRule="auto"/>
        <w:jc w:val="center"/>
        <w:rPr>
          <w:rFonts w:ascii="黑体" w:hAnsi="宋体" w:eastAsia="黑体"/>
          <w:bCs/>
          <w:color w:val="auto"/>
          <w:sz w:val="32"/>
          <w:szCs w:val="32"/>
          <w:highlight w:val="none"/>
        </w:rPr>
      </w:pPr>
      <w:r>
        <w:rPr>
          <w:rFonts w:hint="eastAsia" w:ascii="黑体" w:hAnsi="宋体" w:eastAsia="黑体"/>
          <w:bCs/>
          <w:color w:val="auto"/>
          <w:sz w:val="32"/>
          <w:szCs w:val="32"/>
          <w:highlight w:val="none"/>
        </w:rPr>
        <w:t>业绩合同扫描件</w:t>
      </w:r>
    </w:p>
    <w:p>
      <w:pPr>
        <w:pStyle w:val="2"/>
        <w:spacing w:after="0" w:line="360" w:lineRule="auto"/>
        <w:ind w:left="0" w:leftChars="0" w:firstLine="0"/>
        <w:jc w:val="both"/>
        <w:rPr>
          <w:rStyle w:val="54"/>
          <w:rFonts w:ascii="Times New Roman" w:hAnsi="Times New Roman" w:cs="Times New Roman"/>
          <w:color w:val="auto"/>
          <w:highlight w:val="none"/>
          <w:u w:val="none"/>
          <w:shd w:val="clear" w:color="auto" w:fill="FFFFFF"/>
        </w:rPr>
      </w:pPr>
    </w:p>
    <w:tbl>
      <w:tblPr>
        <w:tblStyle w:val="45"/>
        <w:tblW w:w="93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1670"/>
        <w:gridCol w:w="1470"/>
        <w:gridCol w:w="1340"/>
        <w:gridCol w:w="1540"/>
        <w:gridCol w:w="1290"/>
        <w:gridCol w:w="8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9338" w:type="dxa"/>
            <w:gridSpan w:val="7"/>
            <w:tcBorders>
              <w:top w:val="single" w:color="auto" w:sz="8" w:space="0"/>
              <w:left w:val="single" w:color="auto" w:sz="8" w:space="0"/>
              <w:right w:val="single" w:color="auto" w:sz="8" w:space="0"/>
            </w:tcBorders>
            <w:vAlign w:val="center"/>
          </w:tcPr>
          <w:p>
            <w:pPr>
              <w:spacing w:line="360" w:lineRule="auto"/>
              <w:jc w:val="center"/>
              <w:rPr>
                <w:rFonts w:hAnsi="宋体" w:cs="宋体"/>
                <w:color w:val="auto"/>
                <w:szCs w:val="21"/>
                <w:highlight w:val="none"/>
              </w:rPr>
            </w:pPr>
            <w:r>
              <w:rPr>
                <w:rFonts w:hint="eastAsia" w:ascii="黑体" w:hAnsi="黑体" w:eastAsia="黑体" w:cs="黑体"/>
                <w:bCs/>
                <w:color w:val="auto"/>
                <w:sz w:val="28"/>
                <w:szCs w:val="28"/>
                <w:highlight w:val="none"/>
                <w:lang w:val="en-US" w:eastAsia="zh-CN"/>
              </w:rPr>
              <w:t>供应商</w:t>
            </w:r>
            <w:r>
              <w:rPr>
                <w:rFonts w:hint="eastAsia" w:ascii="黑体" w:hAnsi="黑体" w:eastAsia="黑体" w:cs="黑体"/>
                <w:bCs/>
                <w:color w:val="auto"/>
                <w:sz w:val="28"/>
                <w:szCs w:val="28"/>
                <w:highlight w:val="none"/>
              </w:rPr>
              <w:t>合同业绩情况汇总表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2" w:hRule="atLeast"/>
          <w:jc w:val="center"/>
        </w:trPr>
        <w:tc>
          <w:tcPr>
            <w:tcW w:w="1158"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项目名称</w:t>
            </w:r>
          </w:p>
        </w:tc>
        <w:tc>
          <w:tcPr>
            <w:tcW w:w="16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采购人名称</w:t>
            </w:r>
          </w:p>
        </w:tc>
        <w:tc>
          <w:tcPr>
            <w:tcW w:w="1470" w:type="dxa"/>
            <w:tcBorders>
              <w:left w:val="single" w:color="auto" w:sz="8" w:space="0"/>
              <w:right w:val="single" w:color="auto" w:sz="8" w:space="0"/>
            </w:tcBorders>
            <w:vAlign w:val="center"/>
          </w:tcPr>
          <w:p>
            <w:pPr>
              <w:jc w:val="center"/>
              <w:rPr>
                <w:rFonts w:hint="eastAsia" w:hAnsi="宋体" w:cs="宋体"/>
                <w:b/>
                <w:bCs/>
                <w:color w:val="auto"/>
                <w:szCs w:val="21"/>
                <w:highlight w:val="none"/>
              </w:rPr>
            </w:pPr>
            <w:r>
              <w:rPr>
                <w:rFonts w:hint="eastAsia" w:hAnsi="宋体" w:cs="宋体"/>
                <w:b/>
                <w:bCs/>
                <w:color w:val="auto"/>
                <w:szCs w:val="21"/>
                <w:highlight w:val="none"/>
              </w:rPr>
              <w:t>合同金额</w:t>
            </w:r>
          </w:p>
          <w:p>
            <w:pPr>
              <w:jc w:val="center"/>
              <w:rPr>
                <w:rFonts w:hAnsi="宋体" w:cs="宋体"/>
                <w:b/>
                <w:bCs/>
                <w:color w:val="auto"/>
                <w:szCs w:val="21"/>
                <w:highlight w:val="none"/>
              </w:rPr>
            </w:pPr>
            <w:r>
              <w:rPr>
                <w:rFonts w:hint="eastAsia" w:hAnsi="宋体" w:cs="宋体"/>
                <w:b/>
                <w:bCs/>
                <w:color w:val="auto"/>
                <w:szCs w:val="21"/>
                <w:highlight w:val="none"/>
              </w:rPr>
              <w:t>（总金额）</w:t>
            </w:r>
          </w:p>
        </w:tc>
        <w:tc>
          <w:tcPr>
            <w:tcW w:w="134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服务期限</w:t>
            </w:r>
          </w:p>
        </w:tc>
        <w:tc>
          <w:tcPr>
            <w:tcW w:w="154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合同签订</w:t>
            </w:r>
          </w:p>
          <w:p>
            <w:pPr>
              <w:jc w:val="center"/>
              <w:rPr>
                <w:rFonts w:hAnsi="宋体" w:cs="宋体"/>
                <w:b/>
                <w:bCs/>
                <w:color w:val="auto"/>
                <w:szCs w:val="21"/>
                <w:highlight w:val="none"/>
              </w:rPr>
            </w:pPr>
            <w:r>
              <w:rPr>
                <w:rFonts w:hint="eastAsia" w:hAnsi="宋体" w:cs="宋体"/>
                <w:b/>
                <w:bCs/>
                <w:color w:val="auto"/>
                <w:szCs w:val="21"/>
                <w:highlight w:val="none"/>
              </w:rPr>
              <w:t>时间</w:t>
            </w:r>
          </w:p>
        </w:tc>
        <w:tc>
          <w:tcPr>
            <w:tcW w:w="129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甲方单位</w:t>
            </w:r>
          </w:p>
          <w:p>
            <w:pPr>
              <w:jc w:val="center"/>
              <w:rPr>
                <w:rFonts w:hAnsi="宋体" w:cs="宋体"/>
                <w:b/>
                <w:bCs/>
                <w:color w:val="auto"/>
                <w:szCs w:val="21"/>
                <w:highlight w:val="none"/>
              </w:rPr>
            </w:pPr>
            <w:r>
              <w:rPr>
                <w:rFonts w:hint="eastAsia" w:hAnsi="宋体" w:cs="宋体"/>
                <w:b/>
                <w:bCs/>
                <w:color w:val="auto"/>
                <w:szCs w:val="21"/>
                <w:highlight w:val="none"/>
              </w:rPr>
              <w:t>及联系方式</w:t>
            </w:r>
          </w:p>
        </w:tc>
        <w:tc>
          <w:tcPr>
            <w:tcW w:w="870" w:type="dxa"/>
            <w:tcBorders>
              <w:left w:val="single" w:color="auto" w:sz="8" w:space="0"/>
              <w:right w:val="single" w:color="auto" w:sz="8" w:space="0"/>
            </w:tcBorders>
            <w:vAlign w:val="center"/>
          </w:tcPr>
          <w:p>
            <w:pPr>
              <w:jc w:val="center"/>
              <w:rPr>
                <w:rFonts w:hAnsi="宋体" w:cs="宋体"/>
                <w:b/>
                <w:bCs/>
                <w:color w:val="auto"/>
                <w:szCs w:val="21"/>
                <w:highlight w:val="none"/>
              </w:rPr>
            </w:pPr>
            <w:r>
              <w:rPr>
                <w:rFonts w:hint="eastAsia" w:hAnsi="宋体" w:cs="宋体"/>
                <w:b/>
                <w:bC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1158"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47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4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c>
          <w:tcPr>
            <w:tcW w:w="154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right w:val="single" w:color="auto" w:sz="8" w:space="0"/>
            </w:tcBorders>
          </w:tcPr>
          <w:p>
            <w:pPr>
              <w:spacing w:line="360" w:lineRule="auto"/>
              <w:jc w:val="center"/>
              <w:rPr>
                <w:rFonts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158"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6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47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34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c>
          <w:tcPr>
            <w:tcW w:w="154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1290" w:type="dxa"/>
            <w:tcBorders>
              <w:left w:val="single" w:color="auto" w:sz="8" w:space="0"/>
              <w:bottom w:val="single" w:color="auto" w:sz="8" w:space="0"/>
              <w:right w:val="single" w:color="auto" w:sz="8" w:space="0"/>
            </w:tcBorders>
            <w:vAlign w:val="center"/>
          </w:tcPr>
          <w:p>
            <w:pPr>
              <w:spacing w:line="360" w:lineRule="auto"/>
              <w:jc w:val="center"/>
              <w:rPr>
                <w:rFonts w:hAnsi="宋体" w:cs="宋体"/>
                <w:color w:val="auto"/>
                <w:szCs w:val="21"/>
                <w:highlight w:val="none"/>
              </w:rPr>
            </w:pPr>
          </w:p>
        </w:tc>
        <w:tc>
          <w:tcPr>
            <w:tcW w:w="870" w:type="dxa"/>
            <w:tcBorders>
              <w:left w:val="single" w:color="auto" w:sz="8" w:space="0"/>
              <w:bottom w:val="single" w:color="auto" w:sz="8" w:space="0"/>
              <w:right w:val="single" w:color="auto" w:sz="8" w:space="0"/>
            </w:tcBorders>
          </w:tcPr>
          <w:p>
            <w:pPr>
              <w:spacing w:line="360" w:lineRule="auto"/>
              <w:jc w:val="center"/>
              <w:rPr>
                <w:rFonts w:hAnsi="宋体" w:cs="宋体"/>
                <w:color w:val="auto"/>
                <w:szCs w:val="21"/>
                <w:highlight w:val="none"/>
              </w:rPr>
            </w:pPr>
          </w:p>
        </w:tc>
      </w:tr>
    </w:tbl>
    <w:p>
      <w:pPr>
        <w:pStyle w:val="2"/>
        <w:spacing w:after="0" w:line="360" w:lineRule="auto"/>
        <w:ind w:left="0" w:leftChars="0" w:firstLine="0"/>
        <w:jc w:val="both"/>
        <w:rPr>
          <w:rStyle w:val="54"/>
          <w:rFonts w:ascii="Times New Roman" w:hAnsi="Times New Roman" w:cs="Times New Roman"/>
          <w:color w:val="auto"/>
          <w:highlight w:val="none"/>
          <w:u w:val="none"/>
          <w:shd w:val="clear" w:color="auto" w:fill="FFFFFF"/>
        </w:rPr>
      </w:pPr>
    </w:p>
    <w:p>
      <w:pPr>
        <w:rPr>
          <w:rStyle w:val="54"/>
          <w:color w:val="auto"/>
          <w:highlight w:val="none"/>
          <w:u w:val="none"/>
          <w:shd w:val="clear" w:color="auto" w:fill="FFFFFF"/>
        </w:rPr>
      </w:pPr>
    </w:p>
    <w:p>
      <w:pPr>
        <w:rPr>
          <w:rStyle w:val="54"/>
          <w:color w:val="auto"/>
          <w:highlight w:val="none"/>
          <w:u w:val="none"/>
          <w:shd w:val="clear" w:color="auto" w:fill="FFFFFF"/>
        </w:rPr>
      </w:pPr>
    </w:p>
    <w:p>
      <w:pPr>
        <w:rPr>
          <w:highlight w:val="none"/>
        </w:rPr>
      </w:pPr>
      <w:r>
        <w:rPr>
          <w:rStyle w:val="54"/>
          <w:color w:val="auto"/>
          <w:highlight w:val="none"/>
          <w:u w:val="none"/>
          <w:shd w:val="clear" w:color="auto" w:fill="FFFFFF"/>
        </w:rPr>
        <w:t>业绩</w:t>
      </w:r>
      <w:r>
        <w:rPr>
          <w:rStyle w:val="54"/>
          <w:rFonts w:hint="eastAsia"/>
          <w:color w:val="auto"/>
          <w:highlight w:val="none"/>
          <w:u w:val="none"/>
          <w:shd w:val="clear" w:color="auto" w:fill="FFFFFF"/>
        </w:rPr>
        <w:t>合同</w:t>
      </w:r>
      <w:r>
        <w:rPr>
          <w:rStyle w:val="54"/>
          <w:color w:val="auto"/>
          <w:highlight w:val="none"/>
          <w:u w:val="none"/>
          <w:shd w:val="clear" w:color="auto" w:fill="FFFFFF"/>
        </w:rPr>
        <w:t>证明材料</w:t>
      </w:r>
      <w:r>
        <w:rPr>
          <w:rStyle w:val="54"/>
          <w:rFonts w:hint="eastAsia"/>
          <w:color w:val="auto"/>
          <w:highlight w:val="none"/>
          <w:u w:val="none"/>
          <w:shd w:val="clear" w:color="auto" w:fill="FFFFFF"/>
        </w:rPr>
        <w:t>须为</w:t>
      </w:r>
      <w:r>
        <w:rPr>
          <w:rStyle w:val="54"/>
          <w:color w:val="auto"/>
          <w:highlight w:val="none"/>
          <w:u w:val="none"/>
          <w:shd w:val="clear" w:color="auto" w:fill="FFFFFF"/>
        </w:rPr>
        <w:t>合同</w:t>
      </w:r>
      <w:r>
        <w:rPr>
          <w:rStyle w:val="54"/>
          <w:rFonts w:hint="eastAsia"/>
          <w:color w:val="auto"/>
          <w:highlight w:val="none"/>
          <w:u w:val="none"/>
          <w:shd w:val="clear" w:color="auto" w:fill="FFFFFF"/>
        </w:rPr>
        <w:t>原件</w:t>
      </w:r>
      <w:r>
        <w:rPr>
          <w:rStyle w:val="54"/>
          <w:rFonts w:hint="eastAsia"/>
          <w:color w:val="auto"/>
          <w:highlight w:val="none"/>
          <w:u w:val="none"/>
          <w:shd w:val="clear" w:color="auto" w:fill="FFFFFF"/>
          <w:lang w:eastAsia="zh-CN"/>
        </w:rPr>
        <w:t>复印件</w:t>
      </w:r>
      <w:r>
        <w:rPr>
          <w:rStyle w:val="54"/>
          <w:rFonts w:hint="eastAsia"/>
          <w:color w:val="auto"/>
          <w:highlight w:val="none"/>
          <w:u w:val="none"/>
          <w:shd w:val="clear" w:color="auto" w:fill="FFFFFF"/>
        </w:rPr>
        <w:t>，并按顺序附后。</w:t>
      </w:r>
    </w:p>
    <w:p>
      <w:pPr>
        <w:pStyle w:val="21"/>
        <w:spacing w:before="37" w:line="360" w:lineRule="auto"/>
        <w:ind w:left="2730" w:right="105"/>
        <w:rPr>
          <w:rFonts w:hint="eastAsia" w:ascii="宋体" w:hAnsi="宋体"/>
          <w:b/>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000000" w:themeColor="text1"/>
          <w:sz w:val="24"/>
          <w:highlight w:val="none"/>
          <w:u w:val="single"/>
          <w14:textFill>
            <w14:solidFill>
              <w14:schemeClr w14:val="tx1"/>
            </w14:solidFill>
          </w14:textFill>
        </w:rPr>
      </w:pPr>
      <w:bookmarkStart w:id="82" w:name="_Toc29599"/>
      <w:r>
        <w:rPr>
          <w:rFonts w:hint="eastAsia" w:ascii="黑体" w:hAnsi="宋体" w:eastAsia="黑体"/>
          <w:b/>
          <w:bCs/>
          <w:color w:val="000000" w:themeColor="text1"/>
          <w:sz w:val="32"/>
          <w:szCs w:val="32"/>
          <w:highlight w:val="none"/>
          <w:lang w:val="en-US" w:eastAsia="zh-CN"/>
          <w14:textFill>
            <w14:solidFill>
              <w14:schemeClr w14:val="tx1"/>
            </w14:solidFill>
          </w14:textFill>
        </w:rPr>
        <w:t>五</w:t>
      </w:r>
      <w:r>
        <w:rPr>
          <w:rFonts w:hint="eastAsia" w:ascii="黑体" w:hAnsi="宋体" w:eastAsia="黑体"/>
          <w:b/>
          <w:bCs/>
          <w:color w:val="000000" w:themeColor="text1"/>
          <w:sz w:val="32"/>
          <w:szCs w:val="32"/>
          <w:highlight w:val="none"/>
          <w14:textFill>
            <w14:solidFill>
              <w14:schemeClr w14:val="tx1"/>
            </w14:solidFill>
          </w14:textFill>
        </w:rPr>
        <w:t>、</w:t>
      </w:r>
      <w:bookmarkEnd w:id="76"/>
      <w:bookmarkEnd w:id="77"/>
      <w:bookmarkEnd w:id="78"/>
      <w:bookmarkEnd w:id="79"/>
      <w:bookmarkEnd w:id="80"/>
      <w:bookmarkEnd w:id="81"/>
      <w:bookmarkEnd w:id="82"/>
      <w:r>
        <w:rPr>
          <w:rFonts w:hint="eastAsia" w:ascii="黑体" w:hAnsi="宋体" w:eastAsia="黑体" w:cs="Times New Roman"/>
          <w:b/>
          <w:bCs/>
          <w:color w:val="000000" w:themeColor="text1"/>
          <w:sz w:val="32"/>
          <w:szCs w:val="32"/>
          <w:highlight w:val="none"/>
          <w:lang w:val="en-US" w:eastAsia="zh-CN"/>
          <w14:textFill>
            <w14:solidFill>
              <w14:schemeClr w14:val="tx1"/>
            </w14:solidFill>
          </w14:textFill>
        </w:rPr>
        <w:t>报价一览表</w:t>
      </w:r>
    </w:p>
    <w:tbl>
      <w:tblPr>
        <w:tblStyle w:val="45"/>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项目名称</w:t>
            </w:r>
          </w:p>
        </w:tc>
        <w:tc>
          <w:tcPr>
            <w:tcW w:w="6297" w:type="dxa"/>
            <w:vAlign w:val="center"/>
          </w:tcPr>
          <w:p>
            <w:pPr>
              <w:rPr>
                <w:rFonts w:hint="eastAsia" w:ascii="宋体" w:hAnsi="宋体" w:eastAsia="宋体"/>
                <w:szCs w:val="21"/>
                <w:highlight w:val="none"/>
                <w:lang w:eastAsia="zh-CN"/>
              </w:rPr>
            </w:pPr>
            <w:r>
              <w:rPr>
                <w:rFonts w:hint="eastAsia" w:ascii="宋体" w:hAnsi="宋体" w:cs="宋体"/>
                <w:bCs/>
                <w:sz w:val="21"/>
                <w:szCs w:val="21"/>
              </w:rPr>
              <w:t>长沙市轨道交通1、2、3、4、5号线、西环线运营期2024年-2025年铁路轨距尺等计量器具及变压器油化验委外检测服务项目</w:t>
            </w:r>
            <w:r>
              <w:rPr>
                <w:rFonts w:hint="eastAsia" w:ascii="宋体" w:hAnsi="宋体" w:cs="宋体"/>
                <w:bCs/>
                <w:sz w:val="21"/>
                <w:szCs w:val="21"/>
                <w:lang w:eastAsia="zh-CN"/>
              </w:rPr>
              <w:t>（</w:t>
            </w:r>
            <w:r>
              <w:rPr>
                <w:rFonts w:hint="eastAsia" w:ascii="宋体" w:hAnsi="宋体" w:cs="宋体"/>
                <w:bCs/>
                <w:sz w:val="21"/>
                <w:szCs w:val="21"/>
                <w:lang w:val="en-US" w:eastAsia="zh-CN"/>
              </w:rPr>
              <w:t>第二次</w:t>
            </w:r>
            <w:r>
              <w:rPr>
                <w:rFonts w:hint="eastAsia" w:ascii="宋体" w:hAnsi="宋体" w:cs="宋体"/>
                <w:bCs/>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项目编号</w:t>
            </w:r>
          </w:p>
        </w:tc>
        <w:tc>
          <w:tcPr>
            <w:tcW w:w="6297" w:type="dxa"/>
            <w:vAlign w:val="center"/>
          </w:tcPr>
          <w:p>
            <w:pPr>
              <w:jc w:val="center"/>
              <w:rPr>
                <w:rFonts w:ascii="宋体" w:hAnsi="宋体"/>
                <w:szCs w:val="21"/>
                <w:highlight w:val="none"/>
              </w:rPr>
            </w:pPr>
            <w:r>
              <w:rPr>
                <w:rStyle w:val="54"/>
                <w:rFonts w:hint="eastAsia"/>
                <w:color w:val="auto"/>
                <w:kern w:val="0"/>
                <w:highlight w:val="none"/>
                <w:u w:val="none"/>
                <w:shd w:val="clear" w:color="auto" w:fill="FFFFFF"/>
              </w:rPr>
              <w:t>长轨运服采【202</w:t>
            </w:r>
            <w:r>
              <w:rPr>
                <w:rStyle w:val="54"/>
                <w:rFonts w:hint="eastAsia"/>
                <w:color w:val="auto"/>
                <w:kern w:val="0"/>
                <w:highlight w:val="none"/>
                <w:u w:val="none"/>
                <w:shd w:val="clear" w:color="auto" w:fill="FFFFFF"/>
                <w:lang w:val="en-US" w:eastAsia="zh-CN"/>
              </w:rPr>
              <w:t>3</w:t>
            </w:r>
            <w:r>
              <w:rPr>
                <w:rStyle w:val="54"/>
                <w:rFonts w:hint="eastAsia"/>
                <w:color w:val="auto"/>
                <w:kern w:val="0"/>
                <w:highlight w:val="none"/>
                <w:u w:val="none"/>
                <w:shd w:val="clear" w:color="auto" w:fill="FFFFFF"/>
              </w:rPr>
              <w:t>】</w:t>
            </w:r>
            <w:r>
              <w:rPr>
                <w:rStyle w:val="54"/>
                <w:rFonts w:hint="eastAsia"/>
                <w:color w:val="auto"/>
                <w:kern w:val="0"/>
                <w:highlight w:val="none"/>
                <w:u w:val="none"/>
                <w:shd w:val="clear" w:color="auto" w:fill="FFFFFF"/>
                <w:lang w:val="en-US" w:eastAsia="zh-CN"/>
              </w:rPr>
              <w:t>050</w:t>
            </w:r>
            <w:r>
              <w:rPr>
                <w:rStyle w:val="54"/>
                <w:rFonts w:hint="eastAsia"/>
                <w:color w:val="auto"/>
                <w:kern w:val="0"/>
                <w:highlight w:val="none"/>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highlight w:val="none"/>
              </w:rPr>
            </w:pPr>
            <w:r>
              <w:rPr>
                <w:rFonts w:hint="eastAsia"/>
                <w:b/>
                <w:bCs/>
                <w:highlight w:val="none"/>
              </w:rPr>
              <w:t>服务期限</w:t>
            </w:r>
          </w:p>
        </w:tc>
        <w:tc>
          <w:tcPr>
            <w:tcW w:w="6297" w:type="dxa"/>
            <w:vAlign w:val="center"/>
          </w:tcPr>
          <w:p>
            <w:pPr>
              <w:rPr>
                <w:rFonts w:ascii="宋体" w:hAnsi="宋体"/>
                <w:szCs w:val="21"/>
                <w:highlight w:val="none"/>
              </w:rPr>
            </w:pPr>
            <w:r>
              <w:rPr>
                <w:rFonts w:hint="eastAsia" w:ascii="宋体" w:hAnsi="宋体" w:cs="宋体"/>
                <w:bCs/>
                <w:sz w:val="21"/>
                <w:szCs w:val="21"/>
              </w:rPr>
              <w:t>本项目服务</w:t>
            </w:r>
            <w:r>
              <w:rPr>
                <w:rFonts w:hint="eastAsia" w:ascii="宋体" w:hAnsi="宋体" w:cs="宋体"/>
                <w:bCs/>
                <w:sz w:val="21"/>
                <w:szCs w:val="21"/>
                <w:lang w:val="en-US" w:eastAsia="zh-CN"/>
              </w:rPr>
              <w:t>期暂定为</w:t>
            </w:r>
            <w:r>
              <w:rPr>
                <w:rFonts w:hint="eastAsia" w:ascii="宋体" w:hAnsi="宋体" w:cs="宋体"/>
                <w:bCs/>
                <w:sz w:val="21"/>
                <w:szCs w:val="21"/>
              </w:rPr>
              <w:t>202</w:t>
            </w:r>
            <w:r>
              <w:rPr>
                <w:rFonts w:hint="eastAsia" w:ascii="宋体" w:hAnsi="宋体" w:cs="宋体"/>
                <w:bCs/>
                <w:sz w:val="21"/>
                <w:szCs w:val="21"/>
                <w:lang w:val="en-US" w:eastAsia="zh-CN"/>
              </w:rPr>
              <w:t>4</w:t>
            </w:r>
            <w:r>
              <w:rPr>
                <w:rFonts w:hint="eastAsia" w:ascii="宋体" w:hAnsi="宋体" w:cs="宋体"/>
                <w:bCs/>
                <w:sz w:val="21"/>
                <w:szCs w:val="21"/>
              </w:rPr>
              <w:t>年</w:t>
            </w:r>
            <w:r>
              <w:rPr>
                <w:rFonts w:hint="eastAsia" w:ascii="宋体" w:hAnsi="宋体" w:cs="宋体"/>
                <w:bCs/>
                <w:sz w:val="21"/>
                <w:szCs w:val="21"/>
                <w:lang w:val="en-US" w:eastAsia="zh-CN"/>
              </w:rPr>
              <w:t>1月</w:t>
            </w:r>
            <w:r>
              <w:rPr>
                <w:rFonts w:hint="eastAsia" w:ascii="宋体" w:hAnsi="宋体" w:cs="宋体"/>
                <w:bCs/>
                <w:sz w:val="21"/>
                <w:szCs w:val="21"/>
              </w:rPr>
              <w:t>至202</w:t>
            </w:r>
            <w:r>
              <w:rPr>
                <w:rFonts w:hint="eastAsia" w:ascii="宋体" w:hAnsi="宋体" w:cs="宋体"/>
                <w:bCs/>
                <w:sz w:val="21"/>
                <w:szCs w:val="21"/>
                <w:lang w:val="en-US" w:eastAsia="zh-CN"/>
              </w:rPr>
              <w:t>5</w:t>
            </w:r>
            <w:r>
              <w:rPr>
                <w:rFonts w:hint="eastAsia" w:ascii="宋体" w:hAnsi="宋体" w:cs="宋体"/>
                <w:bCs/>
                <w:sz w:val="21"/>
                <w:szCs w:val="21"/>
              </w:rPr>
              <w:t>年</w:t>
            </w:r>
            <w:r>
              <w:rPr>
                <w:rFonts w:hint="eastAsia" w:ascii="宋体" w:hAnsi="宋体" w:cs="宋体"/>
                <w:bCs/>
                <w:sz w:val="21"/>
                <w:szCs w:val="21"/>
                <w:lang w:val="en-US" w:eastAsia="zh-CN"/>
              </w:rPr>
              <w:t>1月</w:t>
            </w:r>
            <w:r>
              <w:rPr>
                <w:rFonts w:hint="eastAsia" w:ascii="宋体" w:hAnsi="宋体" w:cs="宋体"/>
                <w:bCs/>
                <w:sz w:val="21"/>
                <w:szCs w:val="21"/>
              </w:rPr>
              <w:t>，总计12个月（实际服务时间以</w:t>
            </w:r>
            <w:r>
              <w:rPr>
                <w:rFonts w:hint="eastAsia" w:ascii="宋体" w:hAnsi="宋体" w:cs="宋体"/>
                <w:bCs/>
                <w:sz w:val="21"/>
                <w:szCs w:val="21"/>
                <w:lang w:eastAsia="zh-CN"/>
              </w:rPr>
              <w:t>采购人</w:t>
            </w:r>
            <w:r>
              <w:rPr>
                <w:rFonts w:hint="eastAsia" w:ascii="宋体" w:hAnsi="宋体" w:cs="宋体"/>
                <w:bCs/>
                <w:sz w:val="21"/>
                <w:szCs w:val="21"/>
              </w:rPr>
              <w:t>发出的进场通知起算，总计12个月)。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竞争性采购不含增值税</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u w:val="single"/>
              </w:rPr>
            </w:pPr>
            <w:r>
              <w:rPr>
                <w:rFonts w:hint="eastAsia" w:ascii="宋体" w:hAnsi="宋体"/>
                <w:szCs w:val="21"/>
                <w:highlight w:val="none"/>
              </w:rPr>
              <w:t>大写：</w:t>
            </w:r>
            <w:r>
              <w:rPr>
                <w:rFonts w:hint="eastAsia" w:ascii="宋体" w:hAnsi="宋体" w:cs="宋体"/>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税费</w:t>
            </w:r>
          </w:p>
        </w:tc>
        <w:tc>
          <w:tcPr>
            <w:tcW w:w="6297" w:type="dxa"/>
            <w:vAlign w:val="center"/>
          </w:tcPr>
          <w:p>
            <w:pPr>
              <w:spacing w:line="420" w:lineRule="exact"/>
              <w:jc w:val="left"/>
              <w:rPr>
                <w:rFonts w:ascii="宋体" w:hAnsi="宋体"/>
                <w:szCs w:val="21"/>
                <w:highlight w:val="none"/>
              </w:rPr>
            </w:pP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增值税税率</w:t>
            </w:r>
          </w:p>
        </w:tc>
        <w:tc>
          <w:tcPr>
            <w:tcW w:w="6297" w:type="dxa"/>
            <w:vAlign w:val="center"/>
          </w:tcPr>
          <w:p>
            <w:pPr>
              <w:spacing w:line="420" w:lineRule="exact"/>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大写：</w:t>
            </w:r>
            <w:r>
              <w:rPr>
                <w:rFonts w:hint="eastAsia" w:ascii="宋体" w:hAnsi="宋体" w:cs="宋体"/>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highlight w:val="none"/>
              </w:rPr>
            </w:pPr>
            <w:r>
              <w:rPr>
                <w:rFonts w:ascii="宋体" w:hAnsi="宋体"/>
                <w:b/>
                <w:bCs/>
                <w:szCs w:val="21"/>
                <w:highlight w:val="none"/>
              </w:rPr>
              <w:t>备  注</w:t>
            </w:r>
          </w:p>
        </w:tc>
        <w:tc>
          <w:tcPr>
            <w:tcW w:w="6297" w:type="dxa"/>
            <w:vAlign w:val="center"/>
          </w:tcPr>
          <w:p>
            <w:pPr>
              <w:adjustRightInd w:val="0"/>
              <w:snapToGrid w:val="0"/>
              <w:spacing w:line="360" w:lineRule="auto"/>
              <w:rPr>
                <w:rFonts w:ascii="宋体" w:hAnsi="宋体"/>
                <w:szCs w:val="21"/>
                <w:highlight w:val="none"/>
              </w:rPr>
            </w:pPr>
            <w:r>
              <w:rPr>
                <w:rFonts w:hint="eastAsia" w:ascii="宋体" w:hAnsi="宋体"/>
                <w:b/>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3.本项目设置最高限价，竞争性采购报价综合单价、总价不能高于采购单位公布的最高限价，不超过最高限价的竞争性采购报价综合单价、总价方为有效报价。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8"/>
        <w:adjustRightInd w:val="0"/>
        <w:snapToGrid w:val="0"/>
        <w:spacing w:line="360" w:lineRule="auto"/>
        <w:rPr>
          <w:rFonts w:ascii="宋体" w:hAnsi="宋体"/>
          <w:sz w:val="21"/>
          <w:szCs w:val="21"/>
          <w:highlight w:val="none"/>
        </w:rPr>
      </w:pPr>
    </w:p>
    <w:p>
      <w:pPr>
        <w:pStyle w:val="28"/>
        <w:adjustRightInd w:val="0"/>
        <w:snapToGrid w:val="0"/>
        <w:spacing w:line="360" w:lineRule="auto"/>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（盖单位章）    </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rPr>
          <w:rFonts w:ascii="黑体" w:eastAsia="黑体"/>
          <w:b/>
          <w:bCs/>
          <w:sz w:val="32"/>
          <w:szCs w:val="32"/>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jc w:val="left"/>
        <w:rPr>
          <w:rFonts w:ascii="宋体" w:hAnsi="宋体"/>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3"/>
        </w:numPr>
        <w:spacing w:line="360" w:lineRule="auto"/>
        <w:jc w:val="center"/>
        <w:outlineLvl w:val="9"/>
        <w:rPr>
          <w:rFonts w:hint="eastAsia" w:ascii="宋体" w:hAnsi="宋体" w:cs="宋体"/>
          <w:b/>
          <w:color w:val="auto"/>
          <w:sz w:val="32"/>
          <w:szCs w:val="32"/>
          <w:highlight w:val="none"/>
          <w:lang w:eastAsia="zh-CN"/>
        </w:rPr>
      </w:pPr>
      <w:bookmarkStart w:id="83" w:name="_Toc15249"/>
      <w:bookmarkStart w:id="84" w:name="_Toc12974"/>
      <w:bookmarkStart w:id="85" w:name="_Toc21834"/>
      <w:r>
        <w:rPr>
          <w:rFonts w:hint="eastAsia" w:ascii="黑体" w:hAnsi="宋体" w:eastAsia="黑体"/>
          <w:b/>
          <w:color w:val="000000" w:themeColor="text1"/>
          <w:sz w:val="32"/>
          <w:szCs w:val="32"/>
          <w:highlight w:val="none"/>
          <w14:textFill>
            <w14:solidFill>
              <w14:schemeClr w14:val="tx1"/>
            </w14:solidFill>
          </w14:textFill>
        </w:rPr>
        <w:t>分项报价表</w:t>
      </w:r>
    </w:p>
    <w:tbl>
      <w:tblPr>
        <w:tblStyle w:val="45"/>
        <w:tblW w:w="100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3"/>
        <w:gridCol w:w="1468"/>
        <w:gridCol w:w="1748"/>
        <w:gridCol w:w="1562"/>
        <w:gridCol w:w="1650"/>
        <w:gridCol w:w="2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063"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8956" w:type="dxa"/>
            <w:gridSpan w:val="5"/>
            <w:tcBorders>
              <w:top w:val="single" w:color="auto"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长沙市轨道交通1、2、3、4、5号线、西环线运营期2024年-2025年铁路轨距尺等计量器具及变压器油化验委外检测服务项目</w:t>
            </w:r>
            <w:r>
              <w:rPr>
                <w:rFonts w:hint="eastAsia" w:ascii="宋体" w:hAnsi="宋体" w:cs="宋体"/>
                <w:i w:val="0"/>
                <w:iCs w:val="0"/>
                <w:color w:val="000000"/>
                <w:kern w:val="0"/>
                <w:sz w:val="21"/>
                <w:szCs w:val="21"/>
                <w:u w:val="none"/>
                <w:lang w:val="en-US" w:eastAsia="zh-CN" w:bidi="ar"/>
              </w:rPr>
              <w:t>（第二次）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jc w:val="center"/>
        </w:trPr>
        <w:tc>
          <w:tcPr>
            <w:tcW w:w="1063"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项目</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编号</w:t>
            </w:r>
          </w:p>
        </w:tc>
        <w:tc>
          <w:tcPr>
            <w:tcW w:w="8956" w:type="dxa"/>
            <w:gridSpan w:val="5"/>
            <w:tcBorders>
              <w:top w:val="single" w:color="000000" w:sz="4" w:space="0"/>
              <w:left w:val="single" w:color="auto"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u w:val="none"/>
                <w:lang w:val="en-US" w:eastAsia="zh-CN" w:bidi="ar"/>
              </w:rPr>
              <w:t>长轨运服采【2023】050号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63" w:type="dxa"/>
            <w:tcBorders>
              <w:top w:val="single" w:color="auto" w:sz="4" w:space="0"/>
              <w:left w:val="single" w:color="000000"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468" w:type="dxa"/>
            <w:tcBorders>
              <w:top w:val="single" w:color="auto" w:sz="4" w:space="0"/>
              <w:left w:val="single" w:color="auto" w:sz="4" w:space="0"/>
              <w:bottom w:val="single" w:color="auto"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线路名称</w:t>
            </w:r>
          </w:p>
        </w:tc>
        <w:tc>
          <w:tcPr>
            <w:tcW w:w="17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不含增值税报价</w:t>
            </w:r>
          </w:p>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增值税税率</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增值税税费</w:t>
            </w:r>
          </w:p>
          <w:p>
            <w:pPr>
              <w:keepNext w:val="0"/>
              <w:keepLines w:val="0"/>
              <w:suppressLineNumbers w:val="0"/>
              <w:spacing w:before="0" w:beforeAutospacing="0" w:after="0" w:afterAutospacing="0"/>
              <w:ind w:left="0" w:leftChars="0" w:right="0" w:rightChars="0"/>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（元）</w:t>
            </w:r>
          </w:p>
        </w:tc>
        <w:tc>
          <w:tcPr>
            <w:tcW w:w="2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含增值税报价</w:t>
            </w:r>
          </w:p>
          <w:p>
            <w:pPr>
              <w:keepNext w:val="0"/>
              <w:keepLines w:val="0"/>
              <w:suppressLineNumbers w:val="0"/>
              <w:spacing w:before="0" w:beforeAutospacing="0" w:after="0" w:afterAutospacing="0"/>
              <w:ind w:left="0" w:right="0"/>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auto"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1号线</w:t>
            </w:r>
          </w:p>
        </w:tc>
        <w:tc>
          <w:tcPr>
            <w:tcW w:w="1748" w:type="dxa"/>
            <w:tcBorders>
              <w:top w:val="single" w:color="000000"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restart"/>
            <w:tcBorders>
              <w:top w:val="single" w:color="000000"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3号线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4号线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1468"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5号线</w:t>
            </w:r>
          </w:p>
        </w:tc>
        <w:tc>
          <w:tcPr>
            <w:tcW w:w="1748"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jc w:val="center"/>
        </w:trPr>
        <w:tc>
          <w:tcPr>
            <w:tcW w:w="10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6</w:t>
            </w:r>
          </w:p>
        </w:tc>
        <w:tc>
          <w:tcPr>
            <w:tcW w:w="1468" w:type="dxa"/>
            <w:tcBorders>
              <w:top w:val="single" w:color="auto"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西环线</w:t>
            </w:r>
          </w:p>
        </w:tc>
        <w:tc>
          <w:tcPr>
            <w:tcW w:w="1748" w:type="dxa"/>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5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jc w:val="center"/>
        </w:trPr>
        <w:tc>
          <w:tcPr>
            <w:tcW w:w="2531" w:type="dxa"/>
            <w:gridSpan w:val="2"/>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总计金额（元）</w:t>
            </w:r>
          </w:p>
        </w:tc>
        <w:tc>
          <w:tcPr>
            <w:tcW w:w="174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w:t>
            </w:r>
          </w:p>
        </w:tc>
        <w:tc>
          <w:tcPr>
            <w:tcW w:w="1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25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bl>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b/>
          <w:color w:val="auto"/>
          <w:szCs w:val="21"/>
          <w:highlight w:val="none"/>
        </w:rPr>
      </w:pPr>
      <w:r>
        <w:rPr>
          <w:rFonts w:hint="eastAsia" w:ascii="宋体" w:hAnsi="宋体"/>
          <w:b/>
          <w:color w:val="auto"/>
          <w:szCs w:val="21"/>
          <w:highlight w:val="none"/>
        </w:rPr>
        <w:t>注：1.</w:t>
      </w:r>
      <w:r>
        <w:rPr>
          <w:rFonts w:hint="default" w:ascii="Times New Roman" w:hAnsi="Times New Roman" w:cs="Times New Roman"/>
          <w:b/>
          <w:bCs/>
          <w:color w:val="auto"/>
          <w:szCs w:val="21"/>
          <w:highlight w:val="none"/>
        </w:rPr>
        <w:t>所有报价保留小数点后两位，小数点后第三位“四舍五入”。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2.各条线路报价均须满足增值税税费=不含增值税报价*增值税税率；含增值税报价=不含增值税报价+增值税税费。</w:t>
      </w:r>
    </w:p>
    <w:p>
      <w:pPr>
        <w:pStyle w:val="2"/>
        <w:keepNext w:val="0"/>
        <w:keepLines w:val="0"/>
        <w:pageBreakBefore w:val="0"/>
        <w:widowControl w:val="0"/>
        <w:kinsoku/>
        <w:wordWrap/>
        <w:overflowPunct/>
        <w:topLinePunct w:val="0"/>
        <w:autoSpaceDE/>
        <w:autoSpaceDN/>
        <w:bidi w:val="0"/>
        <w:spacing w:after="0" w:line="240" w:lineRule="auto"/>
        <w:ind w:left="0" w:leftChars="0" w:firstLine="422" w:firstLineChars="200"/>
        <w:textAlignment w:val="auto"/>
        <w:rPr>
          <w:rFonts w:hint="eastAsia"/>
          <w:lang w:val="en-US" w:eastAsia="zh-CN"/>
        </w:rPr>
      </w:pPr>
      <w:r>
        <w:rPr>
          <w:rFonts w:hint="eastAsia" w:ascii="宋体" w:hAnsi="宋体" w:eastAsia="宋体" w:cs="Times New Roman"/>
          <w:b/>
          <w:color w:val="auto"/>
          <w:szCs w:val="21"/>
          <w:highlight w:val="none"/>
          <w:lang w:val="en-US" w:eastAsia="zh-CN"/>
        </w:rPr>
        <w:t>3.</w:t>
      </w:r>
      <w:r>
        <w:rPr>
          <w:rFonts w:hint="eastAsia"/>
          <w:b/>
          <w:bCs/>
          <w:lang w:val="en-US" w:eastAsia="zh-CN"/>
        </w:rPr>
        <w:t>总计金额须满足</w:t>
      </w:r>
      <w:r>
        <w:rPr>
          <w:rFonts w:hint="eastAsia" w:ascii="宋体" w:hAnsi="宋体" w:eastAsia="宋体" w:cs="Times New Roman"/>
          <w:b/>
          <w:color w:val="auto"/>
          <w:szCs w:val="21"/>
          <w:highlight w:val="none"/>
          <w:lang w:val="en-US" w:eastAsia="zh-CN"/>
        </w:rPr>
        <w:t>含增值税报价=不含增值税报价+增值税税费。</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lang w:val="en-US" w:eastAsia="zh-CN"/>
        </w:rPr>
        <w:t>4.</w:t>
      </w: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（不含增值税报价部分）</w:t>
      </w:r>
      <w:r>
        <w:rPr>
          <w:rFonts w:hint="eastAsia" w:ascii="宋体" w:hAnsi="宋体"/>
          <w:b/>
          <w:color w:val="auto"/>
          <w:szCs w:val="21"/>
          <w:highlight w:val="none"/>
        </w:rPr>
        <w:t>应与《报价一览表》内“</w:t>
      </w:r>
      <w:r>
        <w:rPr>
          <w:rFonts w:hint="eastAsia" w:ascii="宋体" w:hAnsi="宋体"/>
          <w:b/>
          <w:color w:val="auto"/>
          <w:szCs w:val="21"/>
          <w:highlight w:val="none"/>
          <w:lang w:eastAsia="zh-CN"/>
        </w:rPr>
        <w:t>竞争性采购</w:t>
      </w:r>
      <w:r>
        <w:rPr>
          <w:rFonts w:hint="eastAsia" w:ascii="宋体" w:hAnsi="宋体"/>
          <w:b/>
          <w:color w:val="auto"/>
          <w:szCs w:val="21"/>
          <w:highlight w:val="none"/>
        </w:rPr>
        <w:t>不含增值税总报价”金额一致；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lang w:eastAsia="zh-CN"/>
        </w:rPr>
        <w:t>总计</w:t>
      </w:r>
      <w:r>
        <w:rPr>
          <w:rFonts w:hint="eastAsia" w:ascii="宋体" w:hAnsi="宋体"/>
          <w:b/>
          <w:color w:val="auto"/>
          <w:szCs w:val="21"/>
          <w:highlight w:val="none"/>
        </w:rPr>
        <w:t>金额</w:t>
      </w:r>
      <w:r>
        <w:rPr>
          <w:rFonts w:hint="eastAsia" w:ascii="宋体" w:hAnsi="宋体"/>
          <w:b/>
          <w:color w:val="auto"/>
          <w:szCs w:val="21"/>
          <w:highlight w:val="none"/>
          <w:lang w:eastAsia="zh-CN"/>
        </w:rPr>
        <w:t>（含增值税部分报价部分）</w:t>
      </w:r>
      <w:r>
        <w:rPr>
          <w:rFonts w:hint="eastAsia" w:ascii="宋体" w:hAnsi="宋体"/>
          <w:b/>
          <w:color w:val="auto"/>
          <w:szCs w:val="21"/>
          <w:highlight w:val="none"/>
        </w:rPr>
        <w:t>应与《报价一览表》内“</w:t>
      </w:r>
      <w:r>
        <w:rPr>
          <w:rFonts w:hint="eastAsia" w:ascii="宋体" w:hAnsi="宋体"/>
          <w:b/>
          <w:color w:val="auto"/>
          <w:szCs w:val="21"/>
          <w:highlight w:val="none"/>
          <w:lang w:eastAsia="zh-CN"/>
        </w:rPr>
        <w:t>竞争性采购</w:t>
      </w:r>
      <w:r>
        <w:rPr>
          <w:rFonts w:hint="eastAsia" w:ascii="宋体" w:hAnsi="宋体"/>
          <w:b/>
          <w:color w:val="auto"/>
          <w:szCs w:val="21"/>
          <w:highlight w:val="none"/>
        </w:rPr>
        <w:t>总报价”金额一致；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textAlignment w:val="auto"/>
        <w:rPr>
          <w:rFonts w:hint="eastAsia" w:ascii="宋体" w:hAnsi="宋体"/>
          <w:b/>
          <w:color w:val="auto"/>
          <w:szCs w:val="21"/>
          <w:highlight w:val="none"/>
        </w:rPr>
      </w:pPr>
      <w:r>
        <w:rPr>
          <w:rFonts w:hint="eastAsia" w:ascii="宋体" w:hAnsi="宋体"/>
          <w:b/>
          <w:color w:val="auto"/>
          <w:szCs w:val="21"/>
          <w:highlight w:val="none"/>
        </w:rPr>
        <w:t>本表的增值税税率应与《报价一览表》</w:t>
      </w:r>
      <w:r>
        <w:rPr>
          <w:rFonts w:hint="eastAsia" w:ascii="宋体" w:hAnsi="宋体"/>
          <w:b/>
          <w:color w:val="auto"/>
          <w:szCs w:val="21"/>
          <w:highlight w:val="none"/>
          <w:lang w:eastAsia="zh-CN"/>
        </w:rPr>
        <w:t>内“</w:t>
      </w:r>
      <w:r>
        <w:rPr>
          <w:rFonts w:hint="eastAsia" w:ascii="宋体" w:hAnsi="宋体"/>
          <w:b/>
          <w:color w:val="auto"/>
          <w:szCs w:val="21"/>
          <w:highlight w:val="none"/>
        </w:rPr>
        <w:t>增值税税率</w:t>
      </w:r>
      <w:r>
        <w:rPr>
          <w:rFonts w:hint="eastAsia" w:ascii="宋体" w:hAnsi="宋体"/>
          <w:b/>
          <w:color w:val="auto"/>
          <w:szCs w:val="21"/>
          <w:highlight w:val="none"/>
          <w:lang w:eastAsia="zh-CN"/>
        </w:rPr>
        <w:t>”</w:t>
      </w:r>
      <w:r>
        <w:rPr>
          <w:rFonts w:hint="eastAsia" w:ascii="宋体" w:hAnsi="宋体"/>
          <w:b/>
          <w:color w:val="auto"/>
          <w:szCs w:val="21"/>
          <w:highlight w:val="none"/>
        </w:rPr>
        <w:t>一致。</w:t>
      </w: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pStyle w:val="2"/>
        <w:rPr>
          <w:rFonts w:ascii="黑体" w:hAnsi="宋体" w:eastAsia="黑体"/>
          <w:b/>
          <w:color w:val="000000" w:themeColor="text1"/>
          <w:sz w:val="32"/>
          <w:szCs w:val="32"/>
          <w:highlight w:val="none"/>
          <w14:textFill>
            <w14:solidFill>
              <w14:schemeClr w14:val="tx1"/>
            </w14:solidFill>
          </w14:textFill>
        </w:rPr>
      </w:pPr>
    </w:p>
    <w:p>
      <w:pPr>
        <w:rPr>
          <w:rFonts w:ascii="黑体" w:hAnsi="宋体" w:eastAsia="黑体"/>
          <w:b/>
          <w:color w:val="000000" w:themeColor="text1"/>
          <w:sz w:val="32"/>
          <w:szCs w:val="32"/>
          <w:highlight w:val="none"/>
          <w14:textFill>
            <w14:solidFill>
              <w14:schemeClr w14:val="tx1"/>
            </w14:solidFill>
          </w14:textFill>
        </w:rPr>
      </w:pPr>
      <w:r>
        <w:rPr>
          <w:rFonts w:ascii="黑体" w:hAnsi="宋体" w:eastAsia="黑体"/>
          <w:b/>
          <w:color w:val="000000" w:themeColor="text1"/>
          <w:sz w:val="32"/>
          <w:szCs w:val="32"/>
          <w:highlight w:val="none"/>
          <w14:textFill>
            <w14:solidFill>
              <w14:schemeClr w14:val="tx1"/>
            </w14:solidFill>
          </w14:textFill>
        </w:rPr>
        <w:br w:type="page"/>
      </w:r>
    </w:p>
    <w:p>
      <w:pPr>
        <w:pStyle w:val="2"/>
        <w:rPr>
          <w:rFonts w:ascii="黑体" w:hAnsi="宋体" w:eastAsia="黑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tbl>
      <w:tblPr>
        <w:tblStyle w:val="45"/>
        <w:tblW w:w="583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1766"/>
        <w:gridCol w:w="918"/>
        <w:gridCol w:w="716"/>
        <w:gridCol w:w="714"/>
        <w:gridCol w:w="1129"/>
        <w:gridCol w:w="909"/>
        <w:gridCol w:w="700"/>
        <w:gridCol w:w="900"/>
        <w:gridCol w:w="689"/>
        <w:gridCol w:w="911"/>
        <w:gridCol w:w="688"/>
        <w:gridCol w:w="924"/>
        <w:gridCol w:w="675"/>
        <w:gridCol w:w="925"/>
        <w:gridCol w:w="676"/>
        <w:gridCol w:w="923"/>
        <w:gridCol w:w="679"/>
        <w:gridCol w:w="9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器具名称</w:t>
            </w:r>
          </w:p>
        </w:tc>
        <w:tc>
          <w:tcPr>
            <w:tcW w:w="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规格</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总计</w:t>
            </w: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报价</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1号线</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2号线</w:t>
            </w:r>
          </w:p>
        </w:tc>
        <w:tc>
          <w:tcPr>
            <w:tcW w:w="1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3号线</w:t>
            </w:r>
          </w:p>
        </w:tc>
        <w:tc>
          <w:tcPr>
            <w:tcW w:w="16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4号线</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5号线</w:t>
            </w:r>
          </w:p>
        </w:tc>
        <w:tc>
          <w:tcPr>
            <w:tcW w:w="16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西环线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11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增值税</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单价</w:t>
            </w:r>
          </w:p>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(元)</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单价（元）</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需求</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数量</w:t>
            </w:r>
          </w:p>
        </w:tc>
        <w:tc>
          <w:tcPr>
            <w:tcW w:w="9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不含</w:t>
            </w:r>
          </w:p>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增值税</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车辆车钩中心高度尺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车辆车轮第四种检查器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机车车辆轮对内距尺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机车车辆轮径测量器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电子式波形磨耗测量仪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钢轨磨耗测量仪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钢轨直度测量尺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铁路方尺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237.74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铁路轨距尺检定器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铁路支距尺检定器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1271.23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铁路支距尺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辙叉磨耗测量仪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百分表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粗糙度仪（光泽度仪）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91.91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卡尺（含表盘式、机械、游标、数显、深度等卡尺）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塞尺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水准仪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外径千分尺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万能角度尺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50匝电流线圈</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361.32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可程控多功能标准源</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1961.32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LCR数字电桥</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避雷器计数测试仪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避雷器特性测试仪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变压器变比测试仪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变压器线圈直流电阻测试仪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变压器有载分接开关测试仪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便携式高压测试仪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便携式交流耐压测试装置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电磁式探伤仪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475.47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电能质量分析仪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断路器参数测试仪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防雷元件测试仪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高压开关特性测试仪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高压直流泄漏测试仪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工频耐压测试系统</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工频耐压测试仪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176.52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过程校验仪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回路电阻测试仪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继电保护测试仪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交流电量测试仪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介质损耗及电容量测试仪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384.84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绝缘电阻测试仪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绝缘靴手套耐压试验装置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绝缘油介电强度测试仪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漏电流测试仪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148.29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耐压测试仪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164.48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数字电容表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数字钳形表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64.15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指针式万用表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数字万用表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89.62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数字微欧计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速度表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相位测试仪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蓄电池放电测试仪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蓄电池负载测试仪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328.97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蓄电池内阻测试仪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272.24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蓄电池容量测试仪及智能负载</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蓄电池维护测试仪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353.04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兆欧表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43.40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直流电阻电桥</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204.54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直流电阻器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直流高压发生器/超低频高压发生器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LCR测量仪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自动化综合测试仪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光功率计/光万用表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光可变衰减器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光时域反射仪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732.95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激光测量仪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照度计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多参数测定器</w:t>
            </w:r>
            <w:r>
              <w:rPr>
                <w:rFonts w:hint="eastAsia" w:ascii="宋体" w:hAnsi="宋体" w:cs="宋体"/>
                <w:i w:val="0"/>
                <w:iCs w:val="0"/>
                <w:color w:val="000000"/>
                <w:kern w:val="0"/>
                <w:sz w:val="21"/>
                <w:szCs w:val="21"/>
                <w:u w:val="none"/>
                <w:lang w:val="en-US" w:eastAsia="zh-CN" w:bidi="ar"/>
              </w:rPr>
              <w:t>/多气体检测仪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二氧化碳浓度测试仪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酒精测试仪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809.43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可燃气体报警器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气体检测报警仪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285.57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丙烷减压器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二氧化碳减压器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氩气减压器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氧气减压器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乙炔减压器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回弹仪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122.73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管形测力计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测力计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电子秤/电子台秤</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电子平台秤（地磅）</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压力表（含压力表、升弓压力表、耐震压力表、抗磨液压表、电接点压力表等）</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34.29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68.57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烟烙尽测压表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双头压力表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冷媒压力表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膜盒压力真空表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安全阀</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扭力扳手检测仪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628.25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推拉力计（含数显式、指针式等推拉力计）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149.34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双通道动平衡仪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转辙机测试仪/道岔测力仪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毫伏发生器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386.79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热电偶校准仪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335.67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红外测温仪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红外热像仪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125.65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微水测量仪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220.79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秒表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频率计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367.08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TETRA综合测试仪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便携式场强分析仪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场强仪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214.09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便携式网络分析仪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电子电压表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309.06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交流毫伏表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逻辑分析仪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频谱分析仪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多功能信号发生器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428.69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任意波形发生器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模拟示波器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219.10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便携式波形记录仪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示波器（含数字、数字存储、高级数字万用、单踪10MHz、8通道等示波器）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261.77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天馈线分析仪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167.53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钢轨探伤仪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数字超声波探伤仪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噪声频谱分析仪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声级计</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噪音计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合金钢平直尺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框式水平仪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水平尺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98.11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条式水平仪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155.66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叶片角度尺</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多功能振荡仪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490.54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便携式数字温度计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126.42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高精度温度表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114.61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手持式温湿度计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温湿度手持表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51.89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合成信号发生器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799.69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便携式车轮检测仪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421.23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钢轨轮廓检测仪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650.00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低压电缆故障检测仪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546.23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刀口尺</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17.92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红外测距仪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356.60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手持式激光测距仪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2M误码测试仪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542.14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电缆认证分析仪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431.13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系统比特误码率及抖动测试仪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721.70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以太网测试仪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电动机运行参数测试仪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电缆高阻故障定位电桥</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344.34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电缆故障测量仪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SF6气体测试装置</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489.62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精定点仪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电缆路径仪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电缆故障定位电源</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电缆故障定位仪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310.38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钢筋定位仪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局放超声自动定位仪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677.36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框架断路器测试仪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三相相序表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129.25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通信电缆障碍测试仪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773.58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线路故障检测仪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真空度测试仪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直流接地试验器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彩色图形信号发生器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612.76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钢轨直度尺校零器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电动机故障检测仪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高压实验操作台</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713.21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光缆测试仪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412.26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962.26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光纤寻障仪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524.21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光源</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风速仪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418.24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光电转速计（转速表）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280.19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扭矩测试仪（扭矩传感器）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热线风速仪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445.92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186</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交流耐压试验台</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187</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交流耐压试验系统</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电压事件记录仪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903.77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189</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59.43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电缆验测仪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191</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192</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寻线器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193</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双针电压表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108.49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194</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电能表</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89.15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195</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电缆识别器/智能数字查线仪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169.38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196</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智能用户线测试仪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197</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综合布线测试仪</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438.02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198</w:t>
            </w:r>
          </w:p>
        </w:tc>
        <w:tc>
          <w:tcPr>
            <w:tcW w:w="1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电子微风仪</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431.12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199</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验电器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接地棒</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83.76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除冰器</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各型号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144.75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p>
        </w:tc>
        <w:tc>
          <w:tcPr>
            <w:tcW w:w="17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变压器油</w:t>
            </w: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取样</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209.42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溶解气体色谱分析</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介损耐压</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418.83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含水量</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104.71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酸值</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157.07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17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21"/>
                <w:szCs w:val="21"/>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色度</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7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65.38 </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594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小计金额（元）</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2"/>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eastAsia="宋体" w:cs="宋体"/>
          <w:b/>
          <w:bCs/>
          <w:lang w:val="en-US" w:eastAsia="zh-CN"/>
        </w:rPr>
      </w:pPr>
      <w:r>
        <w:rPr>
          <w:rFonts w:hint="eastAsia" w:ascii="宋体" w:hAnsi="宋体" w:eastAsia="宋体" w:cs="宋体"/>
          <w:b/>
          <w:bCs/>
          <w:lang w:eastAsia="zh-CN"/>
        </w:rPr>
        <w:t>注：</w:t>
      </w:r>
      <w:r>
        <w:rPr>
          <w:rFonts w:hint="eastAsia" w:ascii="宋体" w:hAnsi="宋体" w:eastAsia="宋体" w:cs="宋体"/>
          <w:b/>
          <w:bCs/>
          <w:lang w:val="en-US" w:eastAsia="zh-CN"/>
        </w:rPr>
        <w:t>1.所有报价保留小数点后两位，小数点后第三位“四舍五入”。</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cs="宋体"/>
          <w:b/>
          <w:bCs/>
          <w:lang w:val="en-US" w:eastAsia="zh-CN"/>
        </w:rPr>
      </w:pPr>
      <w:r>
        <w:rPr>
          <w:rFonts w:hint="eastAsia" w:ascii="宋体" w:hAnsi="宋体" w:eastAsia="宋体" w:cs="宋体"/>
          <w:b/>
          <w:bCs/>
          <w:lang w:val="en-US" w:eastAsia="zh-CN"/>
        </w:rPr>
        <w:t xml:space="preserve">    2.报价需满足各线路</w:t>
      </w:r>
      <w:r>
        <w:rPr>
          <w:rFonts w:hint="eastAsia" w:ascii="宋体" w:hAnsi="宋体" w:cs="宋体"/>
          <w:b/>
          <w:bCs/>
          <w:lang w:val="en-US" w:eastAsia="zh-CN"/>
        </w:rPr>
        <w:t>不含增值税合价=不含增值税单价*各线路需求数量；</w:t>
      </w:r>
    </w:p>
    <w:p>
      <w:pPr>
        <w:pStyle w:val="2"/>
        <w:keepNext w:val="0"/>
        <w:keepLines w:val="0"/>
        <w:pageBreakBefore w:val="0"/>
        <w:widowControl w:val="0"/>
        <w:kinsoku/>
        <w:wordWrap/>
        <w:overflowPunct/>
        <w:topLinePunct w:val="0"/>
        <w:autoSpaceDE/>
        <w:autoSpaceDN/>
        <w:bidi w:val="0"/>
        <w:adjustRightInd/>
        <w:snapToGrid/>
        <w:spacing w:after="0" w:line="240" w:lineRule="auto"/>
        <w:ind w:firstLine="420"/>
        <w:textAlignment w:val="auto"/>
        <w:rPr>
          <w:rFonts w:hint="eastAsia" w:ascii="宋体" w:hAnsi="宋体" w:cs="宋体"/>
          <w:b/>
          <w:bCs/>
          <w:lang w:val="en-US" w:eastAsia="zh-CN"/>
        </w:rPr>
      </w:pPr>
      <w:r>
        <w:rPr>
          <w:rFonts w:hint="eastAsia" w:ascii="宋体" w:hAnsi="宋体" w:cs="宋体"/>
          <w:b/>
          <w:bCs/>
          <w:lang w:val="en-US" w:eastAsia="zh-CN"/>
        </w:rPr>
        <w:t xml:space="preserve">    3.各线路（不含增值税合价）小计金额应与《分项报价表》内对应的各线路“不含增值税报价”金额一致。</w:t>
      </w:r>
    </w:p>
    <w:p>
      <w:pPr>
        <w:pStyle w:val="2"/>
        <w:rPr>
          <w:rFonts w:hint="eastAsia" w:ascii="宋体" w:hAnsi="宋体" w:cs="宋体"/>
          <w:b/>
          <w:bCs/>
          <w:lang w:val="en-US" w:eastAsia="zh-CN"/>
        </w:rPr>
      </w:pPr>
    </w:p>
    <w:p>
      <w:pPr>
        <w:pStyle w:val="2"/>
        <w:rPr>
          <w:rFonts w:hint="eastAsia" w:ascii="宋体" w:hAnsi="宋体" w:cs="宋体"/>
          <w:b/>
          <w:bCs/>
          <w:lang w:val="en-US" w:eastAsia="zh-CN"/>
        </w:rPr>
      </w:pPr>
    </w:p>
    <w:p>
      <w:pPr>
        <w:pStyle w:val="28"/>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ascii="宋体" w:hAnsi="宋体"/>
          <w:bCs/>
          <w:color w:val="auto"/>
          <w:sz w:val="21"/>
          <w:szCs w:val="21"/>
          <w:highlight w:val="none"/>
        </w:rPr>
      </w:pPr>
      <w:r>
        <w:rPr>
          <w:rFonts w:hint="eastAsia" w:ascii="宋体" w:hAnsi="宋体"/>
          <w:sz w:val="21"/>
          <w:szCs w:val="21"/>
          <w:highlight w:val="none"/>
        </w:rPr>
        <w:t>供应商名称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（盖单位章）    </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法定代表人或其委托代理人(签字或盖章)：</w:t>
      </w:r>
    </w:p>
    <w:p>
      <w:pPr>
        <w:keepNext w:val="0"/>
        <w:keepLines w:val="0"/>
        <w:pageBreakBefore w:val="0"/>
        <w:widowControl w:val="0"/>
        <w:kinsoku/>
        <w:wordWrap/>
        <w:overflowPunct/>
        <w:topLinePunct w:val="0"/>
        <w:autoSpaceDE/>
        <w:autoSpaceDN/>
        <w:bidi w:val="0"/>
        <w:adjustRightInd w:val="0"/>
        <w:snapToGrid w:val="0"/>
        <w:spacing w:line="360" w:lineRule="auto"/>
        <w:ind w:firstLine="840" w:firstLineChars="400"/>
        <w:textAlignment w:val="auto"/>
        <w:rPr>
          <w:rFonts w:hint="default" w:ascii="宋体" w:hAnsi="宋体" w:cs="宋体"/>
          <w:b/>
          <w:bCs/>
          <w:lang w:val="en-US" w:eastAsia="zh-CN"/>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2"/>
        <w:rPr>
          <w:rFonts w:ascii="黑体" w:hAnsi="宋体" w:eastAsia="黑体"/>
          <w:b/>
          <w:color w:val="000000" w:themeColor="text1"/>
          <w:sz w:val="32"/>
          <w:szCs w:val="32"/>
          <w:highlight w:val="none"/>
          <w14:textFill>
            <w14:solidFill>
              <w14:schemeClr w14:val="tx1"/>
            </w14:solidFill>
          </w14:textFill>
        </w:rPr>
        <w:sectPr>
          <w:pgSz w:w="16838" w:h="11906" w:orient="landscape"/>
          <w:pgMar w:top="1474" w:right="1440" w:bottom="1361" w:left="1440" w:header="851" w:footer="992" w:gutter="0"/>
          <w:pgNumType w:fmt="decimal"/>
          <w:cols w:space="720" w:num="1"/>
          <w:docGrid w:type="lines" w:linePitch="312" w:charSpace="0"/>
        </w:sectPr>
      </w:pPr>
    </w:p>
    <w:p>
      <w:pPr>
        <w:numPr>
          <w:ilvl w:val="0"/>
          <w:numId w:val="0"/>
        </w:numPr>
        <w:spacing w:line="360" w:lineRule="auto"/>
        <w:jc w:val="center"/>
        <w:outlineLvl w:val="9"/>
        <w:rPr>
          <w:rFonts w:ascii="黑体" w:hAnsi="宋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七、</w:t>
      </w:r>
      <w:r>
        <w:rPr>
          <w:rFonts w:hint="eastAsia" w:ascii="黑体" w:hAnsi="宋体" w:eastAsia="黑体"/>
          <w:b/>
          <w:color w:val="000000" w:themeColor="text1"/>
          <w:sz w:val="32"/>
          <w:szCs w:val="32"/>
          <w:highlight w:val="none"/>
          <w14:textFill>
            <w14:solidFill>
              <w14:schemeClr w14:val="tx1"/>
            </w14:solidFill>
          </w14:textFill>
        </w:rPr>
        <w:t>其他资料</w:t>
      </w:r>
      <w:bookmarkEnd w:id="22"/>
      <w:bookmarkEnd w:id="23"/>
      <w:bookmarkEnd w:id="24"/>
      <w:bookmarkEnd w:id="83"/>
      <w:bookmarkEnd w:id="84"/>
      <w:bookmarkEnd w:id="85"/>
    </w:p>
    <w:p>
      <w:pPr>
        <w:adjustRightInd w:val="0"/>
        <w:snapToGrid w:val="0"/>
        <w:spacing w:before="156" w:beforeLines="50" w:line="360" w:lineRule="auto"/>
        <w:ind w:firstLine="560" w:firstLineChars="200"/>
        <w:jc w:val="center"/>
        <w:rPr>
          <w:rFonts w:ascii="宋体" w:hAnsi="宋体"/>
          <w:color w:val="000000" w:themeColor="text1"/>
          <w:sz w:val="28"/>
          <w:szCs w:val="28"/>
          <w:highlight w:val="none"/>
          <w14:textFill>
            <w14:solidFill>
              <w14:schemeClr w14:val="tx1"/>
            </w14:solidFill>
          </w14:textFill>
        </w:rPr>
      </w:pPr>
    </w:p>
    <w:p>
      <w:pPr>
        <w:adjustRightInd w:val="0"/>
        <w:snapToGrid w:val="0"/>
        <w:spacing w:before="159" w:beforeLines="50" w:line="360" w:lineRule="auto"/>
        <w:ind w:firstLine="420" w:firstLineChars="200"/>
        <w:jc w:val="center"/>
        <w:rPr>
          <w:rFonts w:ascii="宋体" w:hAnsi="宋体"/>
          <w:szCs w:val="21"/>
          <w:highlight w:val="none"/>
        </w:rPr>
      </w:pPr>
      <w:bookmarkStart w:id="86" w:name="_Toc5412"/>
      <w:bookmarkStart w:id="87" w:name="_Toc22084"/>
      <w:bookmarkStart w:id="88" w:name="_Toc18188"/>
      <w:bookmarkStart w:id="89" w:name="_Toc10648"/>
      <w:r>
        <w:rPr>
          <w:rFonts w:hint="eastAsia" w:ascii="宋体" w:hAnsi="宋体"/>
          <w:szCs w:val="21"/>
          <w:highlight w:val="none"/>
        </w:rPr>
        <w:t>供应商认为需要提供的其他竞争性采购资料，格式自拟。</w:t>
      </w:r>
      <w:bookmarkEnd w:id="86"/>
      <w:bookmarkEnd w:id="87"/>
      <w:bookmarkEnd w:id="88"/>
      <w:bookmarkEnd w:id="89"/>
    </w:p>
    <w:p>
      <w:pPr>
        <w:pStyle w:val="4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7884BA6B"/>
    <w:multiLevelType w:val="singleLevel"/>
    <w:tmpl w:val="7884BA6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wZDA1NzM1NDY3NGFhMWY3NjBiYWM3ZmFkNGZlYTcifQ=="/>
  </w:docVars>
  <w:rsids>
    <w:rsidRoot w:val="008F5875"/>
    <w:rsid w:val="000226FA"/>
    <w:rsid w:val="00023327"/>
    <w:rsid w:val="0004276E"/>
    <w:rsid w:val="0006071D"/>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101E9"/>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1936"/>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BB46AD"/>
    <w:rsid w:val="01EC48C4"/>
    <w:rsid w:val="01F25D3F"/>
    <w:rsid w:val="030B27B4"/>
    <w:rsid w:val="0331363F"/>
    <w:rsid w:val="033C7949"/>
    <w:rsid w:val="037D6499"/>
    <w:rsid w:val="03D10E79"/>
    <w:rsid w:val="03E30F7F"/>
    <w:rsid w:val="04567CE7"/>
    <w:rsid w:val="04B75B22"/>
    <w:rsid w:val="04D91551"/>
    <w:rsid w:val="04DF2BB8"/>
    <w:rsid w:val="04E76F09"/>
    <w:rsid w:val="052A0790"/>
    <w:rsid w:val="05CE2E56"/>
    <w:rsid w:val="05ED1D5C"/>
    <w:rsid w:val="05FB0548"/>
    <w:rsid w:val="05FD5DDE"/>
    <w:rsid w:val="0660677A"/>
    <w:rsid w:val="06A31671"/>
    <w:rsid w:val="076B2344"/>
    <w:rsid w:val="07765EF3"/>
    <w:rsid w:val="07B05786"/>
    <w:rsid w:val="081D2278"/>
    <w:rsid w:val="082846E4"/>
    <w:rsid w:val="08602454"/>
    <w:rsid w:val="08C14098"/>
    <w:rsid w:val="09073CCF"/>
    <w:rsid w:val="098D089A"/>
    <w:rsid w:val="09BB6192"/>
    <w:rsid w:val="09C92F93"/>
    <w:rsid w:val="09D04097"/>
    <w:rsid w:val="09E30536"/>
    <w:rsid w:val="09F558AC"/>
    <w:rsid w:val="0A2E357E"/>
    <w:rsid w:val="0A8F762F"/>
    <w:rsid w:val="0ABD3615"/>
    <w:rsid w:val="0B1227AF"/>
    <w:rsid w:val="0C310979"/>
    <w:rsid w:val="0C3A172B"/>
    <w:rsid w:val="0C3A3FB3"/>
    <w:rsid w:val="0C427E66"/>
    <w:rsid w:val="0C505A27"/>
    <w:rsid w:val="0C516EDE"/>
    <w:rsid w:val="0C6A6969"/>
    <w:rsid w:val="0CE71E24"/>
    <w:rsid w:val="0CF939CA"/>
    <w:rsid w:val="0D0B4B0C"/>
    <w:rsid w:val="0D972117"/>
    <w:rsid w:val="0DC67D96"/>
    <w:rsid w:val="0DF87BB1"/>
    <w:rsid w:val="0E267459"/>
    <w:rsid w:val="0E681A7D"/>
    <w:rsid w:val="0EA868A2"/>
    <w:rsid w:val="0F060549"/>
    <w:rsid w:val="0F07037D"/>
    <w:rsid w:val="0F3F7BE9"/>
    <w:rsid w:val="0F4F723E"/>
    <w:rsid w:val="0F662E78"/>
    <w:rsid w:val="0F786710"/>
    <w:rsid w:val="0F7C234B"/>
    <w:rsid w:val="10182CDD"/>
    <w:rsid w:val="103460AC"/>
    <w:rsid w:val="10366AD9"/>
    <w:rsid w:val="1058744B"/>
    <w:rsid w:val="109E6BE9"/>
    <w:rsid w:val="10C55145"/>
    <w:rsid w:val="10D26947"/>
    <w:rsid w:val="11487B02"/>
    <w:rsid w:val="11BD5413"/>
    <w:rsid w:val="12463C8B"/>
    <w:rsid w:val="127C6B6A"/>
    <w:rsid w:val="12AF2877"/>
    <w:rsid w:val="13045F1B"/>
    <w:rsid w:val="13673D62"/>
    <w:rsid w:val="136D16FB"/>
    <w:rsid w:val="13923D70"/>
    <w:rsid w:val="14485C8E"/>
    <w:rsid w:val="14D054CF"/>
    <w:rsid w:val="155E6DA8"/>
    <w:rsid w:val="158E0134"/>
    <w:rsid w:val="15A054D7"/>
    <w:rsid w:val="15AA1C40"/>
    <w:rsid w:val="15D35728"/>
    <w:rsid w:val="162B2AC3"/>
    <w:rsid w:val="165B41C2"/>
    <w:rsid w:val="167B2CE0"/>
    <w:rsid w:val="167C4F45"/>
    <w:rsid w:val="16EF5A51"/>
    <w:rsid w:val="17066772"/>
    <w:rsid w:val="17326590"/>
    <w:rsid w:val="17677C2F"/>
    <w:rsid w:val="176D5E03"/>
    <w:rsid w:val="17B86896"/>
    <w:rsid w:val="186073E5"/>
    <w:rsid w:val="18820C52"/>
    <w:rsid w:val="188E0351"/>
    <w:rsid w:val="19906060"/>
    <w:rsid w:val="19921369"/>
    <w:rsid w:val="1A06434C"/>
    <w:rsid w:val="1A147FD0"/>
    <w:rsid w:val="1A396AE4"/>
    <w:rsid w:val="1A413B91"/>
    <w:rsid w:val="1AC366BD"/>
    <w:rsid w:val="1AC64A4D"/>
    <w:rsid w:val="1AE322D1"/>
    <w:rsid w:val="1B016E94"/>
    <w:rsid w:val="1B2A56D2"/>
    <w:rsid w:val="1B441E62"/>
    <w:rsid w:val="1B6207EC"/>
    <w:rsid w:val="1B7E3953"/>
    <w:rsid w:val="1BC3716B"/>
    <w:rsid w:val="1BD215E2"/>
    <w:rsid w:val="1C0F1574"/>
    <w:rsid w:val="1C3E6079"/>
    <w:rsid w:val="1C625023"/>
    <w:rsid w:val="1CB02280"/>
    <w:rsid w:val="1D0F39CD"/>
    <w:rsid w:val="1D1C40BA"/>
    <w:rsid w:val="1D47584C"/>
    <w:rsid w:val="1D5319AE"/>
    <w:rsid w:val="1D7A2848"/>
    <w:rsid w:val="1D9828ED"/>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29067C3"/>
    <w:rsid w:val="22A31F71"/>
    <w:rsid w:val="22C55E3C"/>
    <w:rsid w:val="22C977AC"/>
    <w:rsid w:val="237B711D"/>
    <w:rsid w:val="23F17818"/>
    <w:rsid w:val="255A7EB4"/>
    <w:rsid w:val="25AB7A3A"/>
    <w:rsid w:val="25CE5FB4"/>
    <w:rsid w:val="25E57747"/>
    <w:rsid w:val="26072CE7"/>
    <w:rsid w:val="261C669C"/>
    <w:rsid w:val="26382098"/>
    <w:rsid w:val="268A7862"/>
    <w:rsid w:val="270F6E14"/>
    <w:rsid w:val="277246F6"/>
    <w:rsid w:val="27AC163D"/>
    <w:rsid w:val="27E4011C"/>
    <w:rsid w:val="283D6BE2"/>
    <w:rsid w:val="28F92927"/>
    <w:rsid w:val="29583C63"/>
    <w:rsid w:val="29C260B1"/>
    <w:rsid w:val="2A232C39"/>
    <w:rsid w:val="2A447A2D"/>
    <w:rsid w:val="2A790107"/>
    <w:rsid w:val="2AD6263E"/>
    <w:rsid w:val="2B3C2072"/>
    <w:rsid w:val="2B590518"/>
    <w:rsid w:val="2B7060E0"/>
    <w:rsid w:val="2BF45A3E"/>
    <w:rsid w:val="2C574478"/>
    <w:rsid w:val="2C591244"/>
    <w:rsid w:val="2C76033D"/>
    <w:rsid w:val="2CF83555"/>
    <w:rsid w:val="2D3D1686"/>
    <w:rsid w:val="2D4A7B39"/>
    <w:rsid w:val="2D7F749B"/>
    <w:rsid w:val="2D9D1B14"/>
    <w:rsid w:val="2DF3510D"/>
    <w:rsid w:val="2F9E3139"/>
    <w:rsid w:val="3031382E"/>
    <w:rsid w:val="30385AFD"/>
    <w:rsid w:val="305F0FC2"/>
    <w:rsid w:val="30A91ED7"/>
    <w:rsid w:val="310C7A3F"/>
    <w:rsid w:val="312468F3"/>
    <w:rsid w:val="31EF1D56"/>
    <w:rsid w:val="333A1A71"/>
    <w:rsid w:val="33556A97"/>
    <w:rsid w:val="33E92C8F"/>
    <w:rsid w:val="33ED5256"/>
    <w:rsid w:val="342C4FCD"/>
    <w:rsid w:val="368220F2"/>
    <w:rsid w:val="369C2FBB"/>
    <w:rsid w:val="36AB3842"/>
    <w:rsid w:val="36CD1045"/>
    <w:rsid w:val="371A713B"/>
    <w:rsid w:val="38726948"/>
    <w:rsid w:val="38EF64BB"/>
    <w:rsid w:val="391457D8"/>
    <w:rsid w:val="39202C52"/>
    <w:rsid w:val="392E0867"/>
    <w:rsid w:val="3956044B"/>
    <w:rsid w:val="39775FC0"/>
    <w:rsid w:val="39AF7250"/>
    <w:rsid w:val="39B3514F"/>
    <w:rsid w:val="39F86FD6"/>
    <w:rsid w:val="3A2C34BF"/>
    <w:rsid w:val="3A3C0765"/>
    <w:rsid w:val="3A5D6A1D"/>
    <w:rsid w:val="3A625371"/>
    <w:rsid w:val="3AC727C9"/>
    <w:rsid w:val="3AF807CF"/>
    <w:rsid w:val="3B234380"/>
    <w:rsid w:val="3B8159AD"/>
    <w:rsid w:val="3C876996"/>
    <w:rsid w:val="3C986999"/>
    <w:rsid w:val="3CA336DA"/>
    <w:rsid w:val="3CA376AB"/>
    <w:rsid w:val="3CD10CF6"/>
    <w:rsid w:val="3CFC4FCB"/>
    <w:rsid w:val="3D461FE9"/>
    <w:rsid w:val="3D5D55F1"/>
    <w:rsid w:val="3DA46DF1"/>
    <w:rsid w:val="3DAF2A38"/>
    <w:rsid w:val="3DE12A36"/>
    <w:rsid w:val="3DFE0BF8"/>
    <w:rsid w:val="3E1E7FD8"/>
    <w:rsid w:val="3ED01E68"/>
    <w:rsid w:val="3EF91090"/>
    <w:rsid w:val="3F2E5BE4"/>
    <w:rsid w:val="3F300ECA"/>
    <w:rsid w:val="3F506C1B"/>
    <w:rsid w:val="3F5347AD"/>
    <w:rsid w:val="3F690088"/>
    <w:rsid w:val="3F6F6BFE"/>
    <w:rsid w:val="3FA90294"/>
    <w:rsid w:val="403B1D17"/>
    <w:rsid w:val="40771850"/>
    <w:rsid w:val="4170505D"/>
    <w:rsid w:val="427D2184"/>
    <w:rsid w:val="42963E29"/>
    <w:rsid w:val="43402B23"/>
    <w:rsid w:val="436E75F6"/>
    <w:rsid w:val="439324B3"/>
    <w:rsid w:val="43947908"/>
    <w:rsid w:val="43E03479"/>
    <w:rsid w:val="43E445C7"/>
    <w:rsid w:val="43E6398E"/>
    <w:rsid w:val="4416031D"/>
    <w:rsid w:val="44253D83"/>
    <w:rsid w:val="4436254A"/>
    <w:rsid w:val="44AD1D09"/>
    <w:rsid w:val="456F064C"/>
    <w:rsid w:val="45A3734C"/>
    <w:rsid w:val="45C00171"/>
    <w:rsid w:val="45D97854"/>
    <w:rsid w:val="45E33099"/>
    <w:rsid w:val="465C62D1"/>
    <w:rsid w:val="468277A6"/>
    <w:rsid w:val="46E100CE"/>
    <w:rsid w:val="46EC7FE4"/>
    <w:rsid w:val="470A37CB"/>
    <w:rsid w:val="471065C1"/>
    <w:rsid w:val="474B668E"/>
    <w:rsid w:val="47513D55"/>
    <w:rsid w:val="47613CD4"/>
    <w:rsid w:val="476D389D"/>
    <w:rsid w:val="47BB36B5"/>
    <w:rsid w:val="47FB1D04"/>
    <w:rsid w:val="48127A27"/>
    <w:rsid w:val="489A5724"/>
    <w:rsid w:val="48F51F2E"/>
    <w:rsid w:val="49D0711D"/>
    <w:rsid w:val="49D404BD"/>
    <w:rsid w:val="49D56017"/>
    <w:rsid w:val="4A344080"/>
    <w:rsid w:val="4AD4683C"/>
    <w:rsid w:val="4AD82D68"/>
    <w:rsid w:val="4ADC7B71"/>
    <w:rsid w:val="4AFB1112"/>
    <w:rsid w:val="4B3C2D5F"/>
    <w:rsid w:val="4B8C5D00"/>
    <w:rsid w:val="4B8D43FD"/>
    <w:rsid w:val="4C220D30"/>
    <w:rsid w:val="4CB021E0"/>
    <w:rsid w:val="4D124C43"/>
    <w:rsid w:val="4D2910C1"/>
    <w:rsid w:val="4D44381F"/>
    <w:rsid w:val="4D911D5D"/>
    <w:rsid w:val="4DF842F9"/>
    <w:rsid w:val="4E56050F"/>
    <w:rsid w:val="4E6A7E03"/>
    <w:rsid w:val="4EBF72A0"/>
    <w:rsid w:val="4ECC5230"/>
    <w:rsid w:val="4ECF324C"/>
    <w:rsid w:val="4ED129DC"/>
    <w:rsid w:val="4F0A6EB0"/>
    <w:rsid w:val="4F0C54EA"/>
    <w:rsid w:val="4F757F77"/>
    <w:rsid w:val="4F812774"/>
    <w:rsid w:val="4F9A3C1C"/>
    <w:rsid w:val="4FAF2FEB"/>
    <w:rsid w:val="50270332"/>
    <w:rsid w:val="502C43D7"/>
    <w:rsid w:val="506C6001"/>
    <w:rsid w:val="50EB62AD"/>
    <w:rsid w:val="50FF0BE7"/>
    <w:rsid w:val="511E2E66"/>
    <w:rsid w:val="524719CE"/>
    <w:rsid w:val="5251711B"/>
    <w:rsid w:val="52800678"/>
    <w:rsid w:val="52BE51C9"/>
    <w:rsid w:val="52E652B7"/>
    <w:rsid w:val="53431C23"/>
    <w:rsid w:val="53627F46"/>
    <w:rsid w:val="536B75FD"/>
    <w:rsid w:val="539D2F78"/>
    <w:rsid w:val="53AE0572"/>
    <w:rsid w:val="53E72E6F"/>
    <w:rsid w:val="5422686A"/>
    <w:rsid w:val="547C41CC"/>
    <w:rsid w:val="54B2462F"/>
    <w:rsid w:val="55045144"/>
    <w:rsid w:val="550C4C66"/>
    <w:rsid w:val="55594EB2"/>
    <w:rsid w:val="55B87A7F"/>
    <w:rsid w:val="56326E52"/>
    <w:rsid w:val="5643634F"/>
    <w:rsid w:val="56AC5924"/>
    <w:rsid w:val="56CE0279"/>
    <w:rsid w:val="56F03878"/>
    <w:rsid w:val="56F36AE0"/>
    <w:rsid w:val="57153957"/>
    <w:rsid w:val="57402C2A"/>
    <w:rsid w:val="580446CF"/>
    <w:rsid w:val="581971D9"/>
    <w:rsid w:val="582B07DD"/>
    <w:rsid w:val="58421C40"/>
    <w:rsid w:val="588A2BAD"/>
    <w:rsid w:val="589A33ED"/>
    <w:rsid w:val="58DC78DE"/>
    <w:rsid w:val="590669A7"/>
    <w:rsid w:val="59211E00"/>
    <w:rsid w:val="59452011"/>
    <w:rsid w:val="5954688A"/>
    <w:rsid w:val="595B1BDE"/>
    <w:rsid w:val="59D47661"/>
    <w:rsid w:val="59D86987"/>
    <w:rsid w:val="59E3084A"/>
    <w:rsid w:val="5A083D04"/>
    <w:rsid w:val="5A160C1F"/>
    <w:rsid w:val="5A1A4674"/>
    <w:rsid w:val="5A2A24DF"/>
    <w:rsid w:val="5A6545DD"/>
    <w:rsid w:val="5A8E216B"/>
    <w:rsid w:val="5B4F06A8"/>
    <w:rsid w:val="5B747772"/>
    <w:rsid w:val="5B850A4E"/>
    <w:rsid w:val="5C567C46"/>
    <w:rsid w:val="5C7775F7"/>
    <w:rsid w:val="5C7900C1"/>
    <w:rsid w:val="5CE9261B"/>
    <w:rsid w:val="5D1464F0"/>
    <w:rsid w:val="5D181187"/>
    <w:rsid w:val="5E0A56D8"/>
    <w:rsid w:val="5E127BB5"/>
    <w:rsid w:val="5E231B53"/>
    <w:rsid w:val="5E323B4E"/>
    <w:rsid w:val="5E7662CF"/>
    <w:rsid w:val="5E816D45"/>
    <w:rsid w:val="5E9D79D9"/>
    <w:rsid w:val="5E9E38C2"/>
    <w:rsid w:val="5EFC5236"/>
    <w:rsid w:val="5F5A12EF"/>
    <w:rsid w:val="5F5A79D9"/>
    <w:rsid w:val="603273B0"/>
    <w:rsid w:val="607B7A2E"/>
    <w:rsid w:val="610A28DB"/>
    <w:rsid w:val="610B0C87"/>
    <w:rsid w:val="6110461A"/>
    <w:rsid w:val="61213F4D"/>
    <w:rsid w:val="61D23BFA"/>
    <w:rsid w:val="61DB339D"/>
    <w:rsid w:val="61EF472C"/>
    <w:rsid w:val="620D0AAD"/>
    <w:rsid w:val="627B5EAC"/>
    <w:rsid w:val="62C109B8"/>
    <w:rsid w:val="62F27F47"/>
    <w:rsid w:val="63846BFA"/>
    <w:rsid w:val="63D95C29"/>
    <w:rsid w:val="63DE6C47"/>
    <w:rsid w:val="641E3D3F"/>
    <w:rsid w:val="644C622B"/>
    <w:rsid w:val="647C524D"/>
    <w:rsid w:val="648B471A"/>
    <w:rsid w:val="65566EDF"/>
    <w:rsid w:val="65963180"/>
    <w:rsid w:val="65963DE7"/>
    <w:rsid w:val="65A527FF"/>
    <w:rsid w:val="65C21C5B"/>
    <w:rsid w:val="65DF15F8"/>
    <w:rsid w:val="65ED7E14"/>
    <w:rsid w:val="663A6376"/>
    <w:rsid w:val="66A0151D"/>
    <w:rsid w:val="66E81784"/>
    <w:rsid w:val="66F15393"/>
    <w:rsid w:val="67292271"/>
    <w:rsid w:val="67373CC7"/>
    <w:rsid w:val="67F45BE3"/>
    <w:rsid w:val="695F523B"/>
    <w:rsid w:val="69944611"/>
    <w:rsid w:val="69BE15AE"/>
    <w:rsid w:val="6A154999"/>
    <w:rsid w:val="6A5C599D"/>
    <w:rsid w:val="6A854623"/>
    <w:rsid w:val="6AFF7643"/>
    <w:rsid w:val="6B4D303F"/>
    <w:rsid w:val="6B6873C7"/>
    <w:rsid w:val="6B824366"/>
    <w:rsid w:val="6BB612E3"/>
    <w:rsid w:val="6C2067E8"/>
    <w:rsid w:val="6C273007"/>
    <w:rsid w:val="6C3F36C6"/>
    <w:rsid w:val="6CE801F9"/>
    <w:rsid w:val="6D430996"/>
    <w:rsid w:val="6D462990"/>
    <w:rsid w:val="6D952DD1"/>
    <w:rsid w:val="6DDF784E"/>
    <w:rsid w:val="6E3C5818"/>
    <w:rsid w:val="6ED80BC8"/>
    <w:rsid w:val="6F827E21"/>
    <w:rsid w:val="6FF944CB"/>
    <w:rsid w:val="701E7D87"/>
    <w:rsid w:val="709C1C0D"/>
    <w:rsid w:val="714869F9"/>
    <w:rsid w:val="718C54CF"/>
    <w:rsid w:val="71A93FA1"/>
    <w:rsid w:val="725D1CAC"/>
    <w:rsid w:val="727D7636"/>
    <w:rsid w:val="728A0C52"/>
    <w:rsid w:val="72B73991"/>
    <w:rsid w:val="72CD1814"/>
    <w:rsid w:val="73042D7F"/>
    <w:rsid w:val="7329373D"/>
    <w:rsid w:val="73671DCC"/>
    <w:rsid w:val="73781BAB"/>
    <w:rsid w:val="742B3070"/>
    <w:rsid w:val="746A1F1D"/>
    <w:rsid w:val="74980BA6"/>
    <w:rsid w:val="74C04833"/>
    <w:rsid w:val="75271228"/>
    <w:rsid w:val="753239AA"/>
    <w:rsid w:val="761B33ED"/>
    <w:rsid w:val="762F5EBE"/>
    <w:rsid w:val="76416844"/>
    <w:rsid w:val="76A84CD5"/>
    <w:rsid w:val="76BB279C"/>
    <w:rsid w:val="770136DA"/>
    <w:rsid w:val="77404A94"/>
    <w:rsid w:val="777D1E86"/>
    <w:rsid w:val="7785374F"/>
    <w:rsid w:val="77AC55E5"/>
    <w:rsid w:val="781E639C"/>
    <w:rsid w:val="78947992"/>
    <w:rsid w:val="7896766E"/>
    <w:rsid w:val="78B13375"/>
    <w:rsid w:val="795D5ACB"/>
    <w:rsid w:val="799D05BD"/>
    <w:rsid w:val="7A623937"/>
    <w:rsid w:val="7B597D67"/>
    <w:rsid w:val="7B5D3170"/>
    <w:rsid w:val="7B717746"/>
    <w:rsid w:val="7C8E6467"/>
    <w:rsid w:val="7CF07B71"/>
    <w:rsid w:val="7CFB5642"/>
    <w:rsid w:val="7D7131C1"/>
    <w:rsid w:val="7D7B6E68"/>
    <w:rsid w:val="7D9D1C4C"/>
    <w:rsid w:val="7E0D5208"/>
    <w:rsid w:val="7E226D6A"/>
    <w:rsid w:val="7E6E560C"/>
    <w:rsid w:val="7EC00E1F"/>
    <w:rsid w:val="7EE344B2"/>
    <w:rsid w:val="7EE67BF7"/>
    <w:rsid w:val="7F151AD5"/>
    <w:rsid w:val="7F2C31B7"/>
    <w:rsid w:val="7F724BB2"/>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1"/>
    <w:qFormat/>
    <w:uiPriority w:val="0"/>
    <w:pPr>
      <w:keepNext/>
      <w:jc w:val="center"/>
      <w:outlineLvl w:val="0"/>
    </w:pPr>
    <w:rPr>
      <w:b/>
      <w:bCs/>
      <w:sz w:val="24"/>
      <w:szCs w:val="20"/>
    </w:rPr>
  </w:style>
  <w:style w:type="paragraph" w:styleId="7">
    <w:name w:val="heading 2"/>
    <w:basedOn w:val="1"/>
    <w:next w:val="1"/>
    <w:link w:val="62"/>
    <w:qFormat/>
    <w:uiPriority w:val="0"/>
    <w:pPr>
      <w:keepNext/>
      <w:keepLines/>
      <w:spacing w:line="360" w:lineRule="auto"/>
      <w:outlineLvl w:val="1"/>
    </w:pPr>
    <w:rPr>
      <w:rFonts w:ascii="Arial" w:hAnsi="Arial"/>
      <w:b/>
      <w:bCs/>
      <w:sz w:val="24"/>
      <w:szCs w:val="32"/>
    </w:rPr>
  </w:style>
  <w:style w:type="paragraph" w:styleId="8">
    <w:name w:val="heading 3"/>
    <w:basedOn w:val="1"/>
    <w:next w:val="1"/>
    <w:link w:val="63"/>
    <w:qFormat/>
    <w:uiPriority w:val="0"/>
    <w:pPr>
      <w:keepNext/>
      <w:keepLines/>
      <w:spacing w:before="260" w:after="260" w:line="416" w:lineRule="auto"/>
      <w:outlineLvl w:val="2"/>
    </w:pPr>
    <w:rPr>
      <w:b/>
      <w:bCs/>
      <w:sz w:val="32"/>
      <w:szCs w:val="32"/>
    </w:rPr>
  </w:style>
  <w:style w:type="paragraph" w:styleId="9">
    <w:name w:val="heading 4"/>
    <w:basedOn w:val="1"/>
    <w:next w:val="1"/>
    <w:link w:val="64"/>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65"/>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6"/>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67"/>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68"/>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69"/>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6"/>
    <w:qFormat/>
    <w:uiPriority w:val="6"/>
    <w:pPr>
      <w:ind w:firstLine="420"/>
      <w:jc w:val="left"/>
    </w:pPr>
    <w:rPr>
      <w:rFonts w:ascii="Calibri" w:hAnsi="Calibri" w:cs="Calibri"/>
      <w:kern w:val="0"/>
    </w:rPr>
  </w:style>
  <w:style w:type="paragraph" w:styleId="3">
    <w:name w:val="Body Text Indent"/>
    <w:basedOn w:val="1"/>
    <w:next w:val="4"/>
    <w:link w:val="70"/>
    <w:unhideWhenUsed/>
    <w:qFormat/>
    <w:uiPriority w:val="0"/>
    <w:pPr>
      <w:spacing w:after="120"/>
      <w:ind w:left="420" w:leftChars="200"/>
    </w:pPr>
  </w:style>
  <w:style w:type="paragraph" w:styleId="4">
    <w:name w:val="annotation subject"/>
    <w:basedOn w:val="5"/>
    <w:next w:val="1"/>
    <w:link w:val="87"/>
    <w:qFormat/>
    <w:uiPriority w:val="0"/>
    <w:rPr>
      <w:b/>
      <w:bCs/>
    </w:rPr>
  </w:style>
  <w:style w:type="paragraph" w:styleId="5">
    <w:name w:val="annotation text"/>
    <w:basedOn w:val="1"/>
    <w:link w:val="73"/>
    <w:semiHidden/>
    <w:qFormat/>
    <w:uiPriority w:val="0"/>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unhideWhenUsed/>
    <w:qFormat/>
    <w:uiPriority w:val="99"/>
    <w:pPr>
      <w:ind w:left="420" w:leftChars="200"/>
    </w:pPr>
    <w:rPr>
      <w:rFonts w:ascii="Calibri" w:hAnsi="Calibri"/>
    </w:rPr>
  </w:style>
  <w:style w:type="paragraph" w:styleId="17">
    <w:name w:val="Normal Indent"/>
    <w:basedOn w:val="1"/>
    <w:link w:val="287"/>
    <w:qFormat/>
    <w:uiPriority w:val="99"/>
    <w:pPr>
      <w:widowControl/>
      <w:ind w:firstLine="420"/>
      <w:jc w:val="left"/>
    </w:pPr>
    <w:rPr>
      <w:kern w:val="0"/>
      <w:sz w:val="20"/>
      <w:szCs w:val="20"/>
    </w:rPr>
  </w:style>
  <w:style w:type="paragraph" w:styleId="18">
    <w:name w:val="Document Map"/>
    <w:basedOn w:val="1"/>
    <w:link w:val="72"/>
    <w:semiHidden/>
    <w:qFormat/>
    <w:uiPriority w:val="0"/>
    <w:pPr>
      <w:shd w:val="clear" w:color="auto" w:fill="000080"/>
    </w:pPr>
  </w:style>
  <w:style w:type="paragraph" w:styleId="19">
    <w:name w:val="Salutation"/>
    <w:basedOn w:val="1"/>
    <w:next w:val="1"/>
    <w:link w:val="74"/>
    <w:qFormat/>
    <w:uiPriority w:val="0"/>
    <w:rPr>
      <w:rFonts w:ascii="仿宋_GB2312" w:eastAsia="仿宋_GB2312"/>
      <w:sz w:val="24"/>
    </w:rPr>
  </w:style>
  <w:style w:type="paragraph" w:styleId="20">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22"/>
    <w:link w:val="76"/>
    <w:qFormat/>
    <w:uiPriority w:val="0"/>
    <w:pPr>
      <w:spacing w:after="120"/>
    </w:pPr>
  </w:style>
  <w:style w:type="paragraph" w:customStyle="1" w:styleId="22">
    <w:name w:val="正文首行缩进1"/>
    <w:basedOn w:val="1"/>
    <w:qFormat/>
    <w:uiPriority w:val="99"/>
    <w:pPr>
      <w:spacing w:after="120"/>
      <w:ind w:firstLine="420" w:firstLineChars="100"/>
    </w:p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style>
  <w:style w:type="paragraph" w:styleId="26">
    <w:name w:val="Plain Text"/>
    <w:basedOn w:val="1"/>
    <w:link w:val="77"/>
    <w:qFormat/>
    <w:uiPriority w:val="99"/>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78"/>
    <w:qFormat/>
    <w:uiPriority w:val="0"/>
    <w:rPr>
      <w:sz w:val="24"/>
      <w:szCs w:val="20"/>
    </w:rPr>
  </w:style>
  <w:style w:type="paragraph" w:styleId="29">
    <w:name w:val="Body Text Indent 2"/>
    <w:basedOn w:val="1"/>
    <w:link w:val="79"/>
    <w:qFormat/>
    <w:uiPriority w:val="0"/>
    <w:pPr>
      <w:spacing w:after="120" w:line="480" w:lineRule="auto"/>
      <w:ind w:left="420" w:leftChars="200"/>
    </w:pPr>
  </w:style>
  <w:style w:type="paragraph" w:styleId="30">
    <w:name w:val="Balloon Text"/>
    <w:basedOn w:val="1"/>
    <w:link w:val="80"/>
    <w:qFormat/>
    <w:uiPriority w:val="0"/>
    <w:rPr>
      <w:rFonts w:ascii="Calibri" w:hAnsi="Calibri"/>
      <w:sz w:val="18"/>
      <w:szCs w:val="18"/>
    </w:rPr>
  </w:style>
  <w:style w:type="paragraph" w:styleId="31">
    <w:name w:val="footer"/>
    <w:basedOn w:val="1"/>
    <w:link w:val="81"/>
    <w:qFormat/>
    <w:uiPriority w:val="99"/>
    <w:pPr>
      <w:tabs>
        <w:tab w:val="center" w:pos="4153"/>
        <w:tab w:val="right" w:pos="8306"/>
      </w:tabs>
      <w:snapToGrid w:val="0"/>
      <w:jc w:val="left"/>
    </w:pPr>
    <w:rPr>
      <w:sz w:val="18"/>
      <w:szCs w:val="18"/>
    </w:rPr>
  </w:style>
  <w:style w:type="paragraph" w:styleId="32">
    <w:name w:val="header"/>
    <w:basedOn w:val="1"/>
    <w:link w:val="82"/>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rPr>
      <w:rFonts w:ascii="Calibri" w:hAnsi="Calibri"/>
      <w:szCs w:val="22"/>
    </w:rPr>
  </w:style>
  <w:style w:type="paragraph" w:styleId="36">
    <w:name w:val="Body Text Indent 3"/>
    <w:basedOn w:val="1"/>
    <w:link w:val="83"/>
    <w:qFormat/>
    <w:uiPriority w:val="0"/>
    <w:pPr>
      <w:spacing w:after="120"/>
      <w:ind w:left="420" w:leftChars="200"/>
    </w:pPr>
    <w:rPr>
      <w:sz w:val="16"/>
      <w:szCs w:val="16"/>
    </w:rPr>
  </w:style>
  <w:style w:type="paragraph" w:styleId="37">
    <w:name w:val="toc 2"/>
    <w:basedOn w:val="1"/>
    <w:next w:val="1"/>
    <w:qFormat/>
    <w:uiPriority w:val="0"/>
    <w:pPr>
      <w:ind w:left="420" w:leftChars="200"/>
    </w:pPr>
  </w:style>
  <w:style w:type="paragraph" w:styleId="38">
    <w:name w:val="toc 9"/>
    <w:basedOn w:val="1"/>
    <w:next w:val="1"/>
    <w:qFormat/>
    <w:uiPriority w:val="0"/>
    <w:pPr>
      <w:ind w:left="3360" w:leftChars="1600"/>
    </w:pPr>
    <w:rPr>
      <w:rFonts w:ascii="Calibri" w:hAnsi="Calibri"/>
      <w:szCs w:val="22"/>
    </w:rPr>
  </w:style>
  <w:style w:type="paragraph" w:styleId="39">
    <w:name w:val="Body Text 2"/>
    <w:basedOn w:val="1"/>
    <w:link w:val="84"/>
    <w:qFormat/>
    <w:uiPriority w:val="0"/>
    <w:pPr>
      <w:spacing w:after="120" w:line="480" w:lineRule="auto"/>
    </w:pPr>
  </w:style>
  <w:style w:type="paragraph" w:styleId="40">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86"/>
    <w:qFormat/>
    <w:uiPriority w:val="0"/>
    <w:pPr>
      <w:spacing w:before="240" w:after="60"/>
      <w:jc w:val="center"/>
      <w:outlineLvl w:val="0"/>
    </w:pPr>
    <w:rPr>
      <w:rFonts w:ascii="Cambria" w:hAnsi="Cambria"/>
      <w:b/>
      <w:sz w:val="32"/>
    </w:rPr>
  </w:style>
  <w:style w:type="paragraph" w:styleId="44">
    <w:name w:val="Body Text First Indent"/>
    <w:basedOn w:val="21"/>
    <w:link w:val="88"/>
    <w:qFormat/>
    <w:uiPriority w:val="99"/>
    <w:pPr>
      <w:ind w:firstLine="42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333333"/>
      <w:u w:val="none"/>
    </w:rPr>
  </w:style>
  <w:style w:type="character" w:styleId="51">
    <w:name w:val="Emphasis"/>
    <w:qFormat/>
    <w:uiPriority w:val="0"/>
    <w:rPr>
      <w:rFonts w:ascii="Times New Roman" w:hAnsi="Times New Roman" w:eastAsia="宋体"/>
    </w:rPr>
  </w:style>
  <w:style w:type="character" w:styleId="52">
    <w:name w:val="HTML Definition"/>
    <w:qFormat/>
    <w:uiPriority w:val="0"/>
    <w:rPr>
      <w:rFonts w:ascii="Times New Roman" w:hAnsi="Times New Roman" w:eastAsia="宋体"/>
    </w:rPr>
  </w:style>
  <w:style w:type="character" w:styleId="53">
    <w:name w:val="HTML Variable"/>
    <w:qFormat/>
    <w:uiPriority w:val="0"/>
    <w:rPr>
      <w:rFonts w:ascii="Times New Roman" w:hAnsi="Times New Roman" w:eastAsia="宋体"/>
    </w:rPr>
  </w:style>
  <w:style w:type="character" w:styleId="54">
    <w:name w:val="Hyperlink"/>
    <w:basedOn w:val="47"/>
    <w:qFormat/>
    <w:uiPriority w:val="0"/>
    <w:rPr>
      <w:color w:val="136EC2"/>
      <w:u w:val="single"/>
    </w:rPr>
  </w:style>
  <w:style w:type="character" w:styleId="55">
    <w:name w:val="HTML Code"/>
    <w:qFormat/>
    <w:uiPriority w:val="0"/>
    <w:rPr>
      <w:rFonts w:ascii="Courier New" w:hAnsi="Courier New" w:eastAsia="Courier New" w:cs="Courier New"/>
      <w:sz w:val="20"/>
    </w:rPr>
  </w:style>
  <w:style w:type="character" w:styleId="56">
    <w:name w:val="annotation reference"/>
    <w:qFormat/>
    <w:uiPriority w:val="0"/>
    <w:rPr>
      <w:sz w:val="21"/>
      <w:szCs w:val="21"/>
    </w:rPr>
  </w:style>
  <w:style w:type="character" w:styleId="57">
    <w:name w:val="HTML Cite"/>
    <w:qFormat/>
    <w:uiPriority w:val="0"/>
    <w:rPr>
      <w:rFonts w:ascii="Times New Roman" w:hAnsi="Times New Roman" w:eastAsia="宋体"/>
    </w:rPr>
  </w:style>
  <w:style w:type="character" w:styleId="58">
    <w:name w:val="HTML Keyboard"/>
    <w:qFormat/>
    <w:uiPriority w:val="0"/>
    <w:rPr>
      <w:rFonts w:ascii="Courier New" w:hAnsi="Courier New" w:eastAsia="Courier New" w:cs="Courier New"/>
      <w:sz w:val="20"/>
    </w:rPr>
  </w:style>
  <w:style w:type="character" w:styleId="59">
    <w:name w:val="HTML Sample"/>
    <w:qFormat/>
    <w:uiPriority w:val="0"/>
    <w:rPr>
      <w:rFonts w:ascii="Courier New" w:hAnsi="Courier New" w:eastAsia="Courier New" w:cs="Courier New"/>
    </w:rPr>
  </w:style>
  <w:style w:type="paragraph" w:customStyle="1" w:styleId="6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1">
    <w:name w:val="标题 1 Char1"/>
    <w:basedOn w:val="47"/>
    <w:link w:val="6"/>
    <w:qFormat/>
    <w:uiPriority w:val="0"/>
    <w:rPr>
      <w:rFonts w:ascii="Times New Roman" w:hAnsi="Times New Roman" w:eastAsia="宋体" w:cs="Times New Roman"/>
      <w:b/>
      <w:bCs/>
      <w:sz w:val="24"/>
      <w:szCs w:val="20"/>
    </w:rPr>
  </w:style>
  <w:style w:type="character" w:customStyle="1" w:styleId="62">
    <w:name w:val="标题 2 Char1"/>
    <w:basedOn w:val="47"/>
    <w:link w:val="7"/>
    <w:qFormat/>
    <w:uiPriority w:val="0"/>
    <w:rPr>
      <w:rFonts w:ascii="Arial" w:hAnsi="Arial" w:eastAsia="宋体" w:cs="Times New Roman"/>
      <w:b/>
      <w:bCs/>
      <w:sz w:val="24"/>
      <w:szCs w:val="32"/>
    </w:rPr>
  </w:style>
  <w:style w:type="character" w:customStyle="1" w:styleId="63">
    <w:name w:val="标题 3 Char1"/>
    <w:basedOn w:val="47"/>
    <w:link w:val="8"/>
    <w:qFormat/>
    <w:uiPriority w:val="0"/>
    <w:rPr>
      <w:rFonts w:ascii="Times New Roman" w:hAnsi="Times New Roman" w:eastAsia="宋体" w:cs="Times New Roman"/>
      <w:b/>
      <w:bCs/>
      <w:sz w:val="32"/>
      <w:szCs w:val="32"/>
    </w:rPr>
  </w:style>
  <w:style w:type="character" w:customStyle="1" w:styleId="64">
    <w:name w:val="标题 4 Char1"/>
    <w:basedOn w:val="47"/>
    <w:link w:val="9"/>
    <w:qFormat/>
    <w:uiPriority w:val="0"/>
    <w:rPr>
      <w:rFonts w:ascii="Arial" w:hAnsi="Arial" w:eastAsia="黑体" w:cs="Times New Roman"/>
      <w:b/>
      <w:bCs/>
      <w:sz w:val="28"/>
      <w:szCs w:val="28"/>
    </w:rPr>
  </w:style>
  <w:style w:type="character" w:customStyle="1" w:styleId="65">
    <w:name w:val="标题 5 Char1"/>
    <w:basedOn w:val="47"/>
    <w:link w:val="10"/>
    <w:qFormat/>
    <w:uiPriority w:val="0"/>
    <w:rPr>
      <w:rFonts w:ascii="Times New Roman" w:hAnsi="Times New Roman" w:eastAsia="宋体" w:cs="Times New Roman"/>
      <w:b/>
      <w:bCs/>
      <w:kern w:val="0"/>
      <w:sz w:val="28"/>
      <w:szCs w:val="28"/>
    </w:rPr>
  </w:style>
  <w:style w:type="character" w:customStyle="1" w:styleId="66">
    <w:name w:val="标题 6 Char1"/>
    <w:basedOn w:val="47"/>
    <w:link w:val="11"/>
    <w:qFormat/>
    <w:uiPriority w:val="0"/>
    <w:rPr>
      <w:rFonts w:ascii="Arial" w:hAnsi="Arial" w:eastAsia="黑体" w:cs="Times New Roman"/>
      <w:b/>
      <w:bCs/>
      <w:kern w:val="0"/>
      <w:sz w:val="24"/>
      <w:szCs w:val="24"/>
    </w:rPr>
  </w:style>
  <w:style w:type="character" w:customStyle="1" w:styleId="67">
    <w:name w:val="标题 7 Char1"/>
    <w:basedOn w:val="47"/>
    <w:link w:val="12"/>
    <w:qFormat/>
    <w:uiPriority w:val="0"/>
    <w:rPr>
      <w:rFonts w:ascii="Times New Roman" w:hAnsi="Times New Roman" w:eastAsia="宋体" w:cs="Times New Roman"/>
      <w:b/>
      <w:bCs/>
      <w:kern w:val="0"/>
      <w:sz w:val="24"/>
      <w:szCs w:val="24"/>
    </w:rPr>
  </w:style>
  <w:style w:type="character" w:customStyle="1" w:styleId="68">
    <w:name w:val="标题 8 Char1"/>
    <w:basedOn w:val="47"/>
    <w:link w:val="13"/>
    <w:qFormat/>
    <w:uiPriority w:val="0"/>
    <w:rPr>
      <w:rFonts w:ascii="Arial" w:hAnsi="Arial" w:eastAsia="黑体" w:cs="Times New Roman"/>
      <w:kern w:val="0"/>
      <w:sz w:val="24"/>
      <w:szCs w:val="24"/>
    </w:rPr>
  </w:style>
  <w:style w:type="character" w:customStyle="1" w:styleId="69">
    <w:name w:val="标题 9 Char1"/>
    <w:basedOn w:val="47"/>
    <w:link w:val="14"/>
    <w:qFormat/>
    <w:uiPriority w:val="0"/>
    <w:rPr>
      <w:rFonts w:ascii="Arial" w:hAnsi="Arial" w:eastAsia="黑体" w:cs="Times New Roman"/>
      <w:kern w:val="0"/>
      <w:szCs w:val="21"/>
    </w:rPr>
  </w:style>
  <w:style w:type="character" w:customStyle="1" w:styleId="70">
    <w:name w:val="正文文本缩进 Char"/>
    <w:basedOn w:val="47"/>
    <w:link w:val="3"/>
    <w:qFormat/>
    <w:uiPriority w:val="0"/>
    <w:rPr>
      <w:rFonts w:ascii="Times New Roman" w:hAnsi="Times New Roman" w:eastAsia="宋体" w:cs="Times New Roman"/>
      <w:szCs w:val="24"/>
    </w:rPr>
  </w:style>
  <w:style w:type="character" w:customStyle="1" w:styleId="71">
    <w:name w:val="正文文本首行缩进 2 字符"/>
    <w:basedOn w:val="70"/>
    <w:qFormat/>
    <w:uiPriority w:val="6"/>
    <w:rPr>
      <w:rFonts w:ascii="Calibri" w:hAnsi="Calibri" w:eastAsia="宋体" w:cs="Calibri"/>
      <w:kern w:val="0"/>
      <w:szCs w:val="24"/>
    </w:rPr>
  </w:style>
  <w:style w:type="character" w:customStyle="1" w:styleId="72">
    <w:name w:val="文档结构图 Char"/>
    <w:basedOn w:val="47"/>
    <w:link w:val="18"/>
    <w:semiHidden/>
    <w:qFormat/>
    <w:uiPriority w:val="0"/>
    <w:rPr>
      <w:rFonts w:ascii="Times New Roman" w:hAnsi="Times New Roman" w:eastAsia="宋体" w:cs="Times New Roman"/>
      <w:szCs w:val="24"/>
      <w:shd w:val="clear" w:color="auto" w:fill="000080"/>
    </w:rPr>
  </w:style>
  <w:style w:type="character" w:customStyle="1" w:styleId="73">
    <w:name w:val="批注文字 Char1"/>
    <w:basedOn w:val="47"/>
    <w:link w:val="5"/>
    <w:semiHidden/>
    <w:qFormat/>
    <w:uiPriority w:val="0"/>
    <w:rPr>
      <w:rFonts w:ascii="Times New Roman" w:hAnsi="Times New Roman" w:eastAsia="宋体" w:cs="Times New Roman"/>
      <w:szCs w:val="24"/>
    </w:rPr>
  </w:style>
  <w:style w:type="character" w:customStyle="1" w:styleId="74">
    <w:name w:val="称呼 Char"/>
    <w:basedOn w:val="47"/>
    <w:link w:val="19"/>
    <w:qFormat/>
    <w:uiPriority w:val="0"/>
    <w:rPr>
      <w:rFonts w:ascii="仿宋_GB2312" w:hAnsi="Times New Roman" w:eastAsia="仿宋_GB2312" w:cs="Times New Roman"/>
      <w:sz w:val="24"/>
      <w:szCs w:val="24"/>
    </w:rPr>
  </w:style>
  <w:style w:type="character" w:customStyle="1" w:styleId="75">
    <w:name w:val="正文文本 3 Char"/>
    <w:basedOn w:val="47"/>
    <w:link w:val="20"/>
    <w:qFormat/>
    <w:uiPriority w:val="0"/>
    <w:rPr>
      <w:rFonts w:ascii="宋体" w:hAnsi="Times New Roman" w:eastAsia="宋体" w:cs="Times New Roman"/>
      <w:color w:val="000000"/>
      <w:kern w:val="0"/>
      <w:sz w:val="24"/>
      <w:szCs w:val="20"/>
    </w:rPr>
  </w:style>
  <w:style w:type="character" w:customStyle="1" w:styleId="76">
    <w:name w:val="正文文本 Char"/>
    <w:basedOn w:val="47"/>
    <w:link w:val="21"/>
    <w:qFormat/>
    <w:uiPriority w:val="0"/>
    <w:rPr>
      <w:rFonts w:ascii="Times New Roman" w:hAnsi="Times New Roman" w:eastAsia="宋体" w:cs="Times New Roman"/>
      <w:szCs w:val="24"/>
    </w:rPr>
  </w:style>
  <w:style w:type="character" w:customStyle="1" w:styleId="77">
    <w:name w:val="纯文本 Char"/>
    <w:basedOn w:val="47"/>
    <w:link w:val="26"/>
    <w:qFormat/>
    <w:uiPriority w:val="99"/>
    <w:rPr>
      <w:rFonts w:ascii="宋体" w:hAnsi="Courier New" w:eastAsia="宋体" w:cs="Courier New"/>
      <w:szCs w:val="21"/>
    </w:rPr>
  </w:style>
  <w:style w:type="character" w:customStyle="1" w:styleId="78">
    <w:name w:val="日期 Char1"/>
    <w:basedOn w:val="47"/>
    <w:link w:val="28"/>
    <w:qFormat/>
    <w:uiPriority w:val="0"/>
    <w:rPr>
      <w:rFonts w:ascii="Times New Roman" w:hAnsi="Times New Roman" w:eastAsia="宋体" w:cs="Times New Roman"/>
      <w:sz w:val="24"/>
      <w:szCs w:val="20"/>
    </w:rPr>
  </w:style>
  <w:style w:type="character" w:customStyle="1" w:styleId="79">
    <w:name w:val="正文文本缩进 2 Char"/>
    <w:basedOn w:val="47"/>
    <w:link w:val="29"/>
    <w:qFormat/>
    <w:uiPriority w:val="0"/>
    <w:rPr>
      <w:rFonts w:ascii="Times New Roman" w:hAnsi="Times New Roman" w:eastAsia="宋体" w:cs="Times New Roman"/>
      <w:szCs w:val="24"/>
    </w:rPr>
  </w:style>
  <w:style w:type="character" w:customStyle="1" w:styleId="80">
    <w:name w:val="批注框文本 Char1"/>
    <w:basedOn w:val="47"/>
    <w:link w:val="30"/>
    <w:qFormat/>
    <w:uiPriority w:val="0"/>
    <w:rPr>
      <w:rFonts w:ascii="Calibri" w:hAnsi="Calibri" w:eastAsia="宋体" w:cs="Times New Roman"/>
      <w:sz w:val="18"/>
      <w:szCs w:val="18"/>
    </w:rPr>
  </w:style>
  <w:style w:type="character" w:customStyle="1" w:styleId="81">
    <w:name w:val="页脚 Char1"/>
    <w:basedOn w:val="47"/>
    <w:link w:val="31"/>
    <w:qFormat/>
    <w:uiPriority w:val="0"/>
    <w:rPr>
      <w:rFonts w:ascii="Times New Roman" w:hAnsi="Times New Roman" w:eastAsia="宋体" w:cs="Times New Roman"/>
      <w:sz w:val="18"/>
      <w:szCs w:val="18"/>
    </w:rPr>
  </w:style>
  <w:style w:type="character" w:customStyle="1" w:styleId="82">
    <w:name w:val="页眉 Char1"/>
    <w:basedOn w:val="47"/>
    <w:link w:val="32"/>
    <w:qFormat/>
    <w:uiPriority w:val="0"/>
    <w:rPr>
      <w:rFonts w:ascii="Times New Roman" w:hAnsi="Times New Roman" w:eastAsia="宋体" w:cs="Times New Roman"/>
      <w:sz w:val="18"/>
      <w:szCs w:val="18"/>
    </w:rPr>
  </w:style>
  <w:style w:type="character" w:customStyle="1" w:styleId="83">
    <w:name w:val="正文文本缩进 3 Char1"/>
    <w:basedOn w:val="47"/>
    <w:link w:val="36"/>
    <w:qFormat/>
    <w:uiPriority w:val="0"/>
    <w:rPr>
      <w:rFonts w:ascii="Times New Roman" w:hAnsi="Times New Roman" w:eastAsia="宋体" w:cs="Times New Roman"/>
      <w:sz w:val="16"/>
      <w:szCs w:val="16"/>
    </w:rPr>
  </w:style>
  <w:style w:type="character" w:customStyle="1" w:styleId="84">
    <w:name w:val="正文文本 2 Char"/>
    <w:basedOn w:val="47"/>
    <w:link w:val="39"/>
    <w:qFormat/>
    <w:uiPriority w:val="0"/>
    <w:rPr>
      <w:rFonts w:ascii="Times New Roman" w:hAnsi="Times New Roman" w:eastAsia="宋体" w:cs="Times New Roman"/>
      <w:szCs w:val="24"/>
    </w:rPr>
  </w:style>
  <w:style w:type="character" w:customStyle="1" w:styleId="85">
    <w:name w:val="HTML 预设格式 Char"/>
    <w:basedOn w:val="47"/>
    <w:link w:val="40"/>
    <w:qFormat/>
    <w:uiPriority w:val="0"/>
    <w:rPr>
      <w:rFonts w:ascii="Arial" w:hAnsi="Arial" w:eastAsia="宋体" w:cs="Arial"/>
      <w:kern w:val="0"/>
      <w:sz w:val="24"/>
      <w:szCs w:val="24"/>
    </w:rPr>
  </w:style>
  <w:style w:type="character" w:customStyle="1" w:styleId="86">
    <w:name w:val="标题 Char2"/>
    <w:basedOn w:val="47"/>
    <w:link w:val="43"/>
    <w:qFormat/>
    <w:uiPriority w:val="0"/>
    <w:rPr>
      <w:rFonts w:ascii="Cambria" w:hAnsi="Cambria" w:eastAsia="宋体" w:cs="Times New Roman"/>
      <w:b/>
      <w:sz w:val="32"/>
      <w:szCs w:val="24"/>
    </w:rPr>
  </w:style>
  <w:style w:type="character" w:customStyle="1" w:styleId="87">
    <w:name w:val="批注主题 Char1"/>
    <w:basedOn w:val="73"/>
    <w:link w:val="4"/>
    <w:qFormat/>
    <w:uiPriority w:val="0"/>
    <w:rPr>
      <w:rFonts w:ascii="Times New Roman" w:hAnsi="Times New Roman" w:eastAsia="宋体" w:cs="Times New Roman"/>
      <w:b/>
      <w:bCs/>
      <w:szCs w:val="24"/>
    </w:rPr>
  </w:style>
  <w:style w:type="character" w:customStyle="1" w:styleId="88">
    <w:name w:val="正文首行缩进 Char"/>
    <w:basedOn w:val="76"/>
    <w:link w:val="44"/>
    <w:qFormat/>
    <w:uiPriority w:val="99"/>
    <w:rPr>
      <w:rFonts w:ascii="Times New Roman" w:hAnsi="Times New Roman" w:eastAsia="宋体" w:cs="Times New Roman"/>
      <w:szCs w:val="24"/>
    </w:rPr>
  </w:style>
  <w:style w:type="character" w:customStyle="1" w:styleId="89">
    <w:name w:val="Font Style133"/>
    <w:unhideWhenUsed/>
    <w:qFormat/>
    <w:uiPriority w:val="0"/>
    <w:rPr>
      <w:rFonts w:hint="eastAsia" w:ascii="宋体" w:hAnsi="宋体" w:eastAsia="宋体"/>
      <w:spacing w:val="30"/>
      <w:sz w:val="24"/>
    </w:rPr>
  </w:style>
  <w:style w:type="character" w:customStyle="1" w:styleId="90">
    <w:name w:val="Char Char16"/>
    <w:qFormat/>
    <w:uiPriority w:val="0"/>
    <w:rPr>
      <w:rFonts w:ascii="宋体" w:hAnsi="Times New Roman" w:eastAsia="宋体"/>
      <w:b/>
      <w:sz w:val="24"/>
      <w:lang w:val="en-US" w:eastAsia="zh-CN" w:bidi="ar-SA"/>
    </w:rPr>
  </w:style>
  <w:style w:type="character" w:customStyle="1" w:styleId="91">
    <w:name w:val="p0 Char"/>
    <w:link w:val="92"/>
    <w:qFormat/>
    <w:uiPriority w:val="0"/>
    <w:rPr>
      <w:rFonts w:eastAsia="宋体"/>
      <w:szCs w:val="21"/>
    </w:rPr>
  </w:style>
  <w:style w:type="paragraph" w:customStyle="1" w:styleId="92">
    <w:name w:val="p0"/>
    <w:basedOn w:val="1"/>
    <w:link w:val="91"/>
    <w:qFormat/>
    <w:uiPriority w:val="0"/>
    <w:pPr>
      <w:widowControl/>
    </w:pPr>
    <w:rPr>
      <w:rFonts w:asciiTheme="minorHAnsi" w:hAnsiTheme="minorHAnsi" w:cstheme="minorBidi"/>
      <w:szCs w:val="21"/>
    </w:rPr>
  </w:style>
  <w:style w:type="character" w:customStyle="1" w:styleId="93">
    <w:name w:val="Font Style105"/>
    <w:unhideWhenUsed/>
    <w:qFormat/>
    <w:uiPriority w:val="0"/>
    <w:rPr>
      <w:rFonts w:hint="eastAsia" w:ascii="Times New Roman" w:hAnsi="Times New Roman" w:eastAsia="Times New Roman"/>
      <w:w w:val="60"/>
      <w:sz w:val="26"/>
    </w:rPr>
  </w:style>
  <w:style w:type="character" w:customStyle="1" w:styleId="94">
    <w:name w:val="plus"/>
    <w:qFormat/>
    <w:uiPriority w:val="0"/>
    <w:rPr>
      <w:rFonts w:ascii="Times New Roman" w:hAnsi="Times New Roman" w:eastAsia="宋体"/>
      <w:b/>
      <w:vanish/>
      <w:color w:val="1F8DEF"/>
      <w:sz w:val="24"/>
      <w:szCs w:val="24"/>
    </w:rPr>
  </w:style>
  <w:style w:type="character" w:customStyle="1" w:styleId="95">
    <w:name w:val="Font Style125"/>
    <w:unhideWhenUsed/>
    <w:qFormat/>
    <w:uiPriority w:val="0"/>
    <w:rPr>
      <w:rFonts w:hint="eastAsia" w:ascii="宋体" w:hAnsi="宋体" w:eastAsia="宋体"/>
      <w:b/>
      <w:sz w:val="26"/>
    </w:rPr>
  </w:style>
  <w:style w:type="character" w:customStyle="1" w:styleId="96">
    <w:name w:val="标题 4 Char Char"/>
    <w:qFormat/>
    <w:uiPriority w:val="0"/>
    <w:rPr>
      <w:rFonts w:ascii="Arial" w:hAnsi="Arial" w:eastAsia="宋体"/>
      <w:b/>
      <w:bCs/>
      <w:kern w:val="2"/>
      <w:sz w:val="21"/>
      <w:szCs w:val="28"/>
      <w:lang w:val="en-US" w:eastAsia="zh-CN" w:bidi="ar-SA"/>
    </w:rPr>
  </w:style>
  <w:style w:type="character" w:customStyle="1" w:styleId="97">
    <w:name w:val="bds_more10"/>
    <w:qFormat/>
    <w:uiPriority w:val="0"/>
    <w:rPr>
      <w:rFonts w:ascii="Times New Roman" w:hAnsi="Times New Roman" w:eastAsia="宋体"/>
    </w:rPr>
  </w:style>
  <w:style w:type="character" w:customStyle="1" w:styleId="98">
    <w:name w:val="Font Style94"/>
    <w:unhideWhenUsed/>
    <w:qFormat/>
    <w:uiPriority w:val="0"/>
    <w:rPr>
      <w:rFonts w:hint="eastAsia" w:ascii="Times New Roman" w:hAnsi="Times New Roman" w:eastAsia="Times New Roman"/>
      <w:sz w:val="28"/>
    </w:rPr>
  </w:style>
  <w:style w:type="character" w:customStyle="1" w:styleId="99">
    <w:name w:val="polysemyred"/>
    <w:qFormat/>
    <w:uiPriority w:val="0"/>
    <w:rPr>
      <w:rFonts w:ascii="Times New Roman" w:hAnsi="Times New Roman" w:eastAsia="宋体"/>
      <w:color w:val="FF6666"/>
      <w:sz w:val="18"/>
      <w:szCs w:val="18"/>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页眉 Char"/>
    <w:qFormat/>
    <w:uiPriority w:val="99"/>
    <w:rPr>
      <w:kern w:val="2"/>
      <w:sz w:val="18"/>
      <w:szCs w:val="18"/>
    </w:rPr>
  </w:style>
  <w:style w:type="character" w:customStyle="1" w:styleId="102">
    <w:name w:val="Font Style90"/>
    <w:unhideWhenUsed/>
    <w:qFormat/>
    <w:uiPriority w:val="0"/>
    <w:rPr>
      <w:rFonts w:hint="eastAsia" w:ascii="宋体" w:hAnsi="宋体" w:eastAsia="宋体"/>
      <w:b/>
      <w:spacing w:val="-20"/>
      <w:sz w:val="40"/>
    </w:rPr>
  </w:style>
  <w:style w:type="character" w:customStyle="1" w:styleId="103">
    <w:name w:val="Font Style123"/>
    <w:unhideWhenUsed/>
    <w:qFormat/>
    <w:uiPriority w:val="0"/>
    <w:rPr>
      <w:rFonts w:hint="eastAsia" w:ascii="宋体" w:hAnsi="宋体" w:eastAsia="宋体"/>
      <w:b/>
      <w:sz w:val="32"/>
    </w:rPr>
  </w:style>
  <w:style w:type="character" w:customStyle="1" w:styleId="104">
    <w:name w:val="sort"/>
    <w:qFormat/>
    <w:uiPriority w:val="0"/>
    <w:rPr>
      <w:rFonts w:ascii="Times New Roman" w:hAnsi="Times New Roman" w:eastAsia="宋体"/>
      <w:color w:val="FFFFFF"/>
      <w:bdr w:val="single" w:color="auto" w:sz="24" w:space="0"/>
    </w:rPr>
  </w:style>
  <w:style w:type="character" w:customStyle="1" w:styleId="105">
    <w:name w:val="bds_more8"/>
    <w:qFormat/>
    <w:uiPriority w:val="0"/>
    <w:rPr>
      <w:rFonts w:ascii="Times New Roman" w:hAnsi="Times New Roman" w:eastAsia="宋体"/>
    </w:rPr>
  </w:style>
  <w:style w:type="character" w:customStyle="1" w:styleId="106">
    <w:name w:val="页脚 Char"/>
    <w:qFormat/>
    <w:uiPriority w:val="99"/>
    <w:rPr>
      <w:kern w:val="2"/>
      <w:sz w:val="18"/>
      <w:szCs w:val="18"/>
    </w:rPr>
  </w:style>
  <w:style w:type="character" w:customStyle="1" w:styleId="107">
    <w:name w:val="Font Style131"/>
    <w:unhideWhenUsed/>
    <w:qFormat/>
    <w:uiPriority w:val="0"/>
    <w:rPr>
      <w:rFonts w:hint="eastAsia" w:ascii="Times New Roman" w:hAnsi="Times New Roman" w:eastAsia="Times New Roman"/>
      <w:sz w:val="18"/>
    </w:rPr>
  </w:style>
  <w:style w:type="character" w:customStyle="1" w:styleId="108">
    <w:name w:val="Font Style122"/>
    <w:unhideWhenUsed/>
    <w:qFormat/>
    <w:uiPriority w:val="0"/>
    <w:rPr>
      <w:rFonts w:hint="eastAsia" w:ascii="宋体" w:hAnsi="宋体" w:eastAsia="宋体"/>
      <w:spacing w:val="20"/>
      <w:sz w:val="24"/>
    </w:rPr>
  </w:style>
  <w:style w:type="character" w:customStyle="1" w:styleId="109">
    <w:name w:val="Font Style128"/>
    <w:unhideWhenUsed/>
    <w:qFormat/>
    <w:uiPriority w:val="0"/>
    <w:rPr>
      <w:rFonts w:hint="eastAsia" w:ascii="Times New Roman" w:hAnsi="Times New Roman" w:eastAsia="Times New Roman"/>
      <w:sz w:val="16"/>
    </w:rPr>
  </w:style>
  <w:style w:type="character" w:customStyle="1" w:styleId="110">
    <w:name w:val="sidecatalog-index2"/>
    <w:qFormat/>
    <w:uiPriority w:val="0"/>
    <w:rPr>
      <w:rFonts w:ascii="Arail" w:hAnsi="Arail" w:eastAsia="Arail" w:cs="Arail"/>
      <w:color w:val="999999"/>
      <w:sz w:val="21"/>
      <w:szCs w:val="21"/>
    </w:rPr>
  </w:style>
  <w:style w:type="character" w:customStyle="1" w:styleId="111">
    <w:name w:val="标题 5 Char"/>
    <w:qFormat/>
    <w:uiPriority w:val="0"/>
    <w:rPr>
      <w:b/>
      <w:bCs/>
      <w:kern w:val="2"/>
      <w:sz w:val="28"/>
      <w:szCs w:val="28"/>
    </w:rPr>
  </w:style>
  <w:style w:type="character" w:customStyle="1" w:styleId="112">
    <w:name w:val="bds_more9"/>
    <w:qFormat/>
    <w:uiPriority w:val="0"/>
    <w:rPr>
      <w:rFonts w:ascii="Times New Roman" w:hAnsi="Times New Roman" w:eastAsia="宋体"/>
    </w:rPr>
  </w:style>
  <w:style w:type="character" w:customStyle="1" w:styleId="113">
    <w:name w:val="morelink-item"/>
    <w:qFormat/>
    <w:uiPriority w:val="0"/>
    <w:rPr>
      <w:rFonts w:ascii="Times New Roman" w:hAnsi="Times New Roman" w:eastAsia="宋体"/>
    </w:rPr>
  </w:style>
  <w:style w:type="character" w:customStyle="1" w:styleId="114">
    <w:name w:val="sidecatalog-index1"/>
    <w:qFormat/>
    <w:uiPriority w:val="0"/>
    <w:rPr>
      <w:rFonts w:ascii="Arial" w:hAnsi="Arial" w:eastAsia="宋体" w:cs="Arial"/>
      <w:b/>
      <w:color w:val="999999"/>
      <w:sz w:val="21"/>
      <w:szCs w:val="21"/>
    </w:rPr>
  </w:style>
  <w:style w:type="character" w:customStyle="1" w:styleId="115">
    <w:name w:val="Font Style104"/>
    <w:unhideWhenUsed/>
    <w:qFormat/>
    <w:uiPriority w:val="0"/>
    <w:rPr>
      <w:rFonts w:hint="eastAsia" w:ascii="宋体" w:hAnsi="宋体" w:eastAsia="宋体"/>
      <w:spacing w:val="30"/>
      <w:sz w:val="18"/>
    </w:rPr>
  </w:style>
  <w:style w:type="character" w:customStyle="1" w:styleId="116">
    <w:name w:val="sidecatalog-dot"/>
    <w:qFormat/>
    <w:uiPriority w:val="0"/>
    <w:rPr>
      <w:rFonts w:ascii="Times New Roman" w:hAnsi="Times New Roman" w:eastAsia="宋体"/>
    </w:rPr>
  </w:style>
  <w:style w:type="character" w:customStyle="1" w:styleId="117">
    <w:name w:val="sort1"/>
    <w:qFormat/>
    <w:uiPriority w:val="0"/>
    <w:rPr>
      <w:rFonts w:ascii="Times New Roman" w:hAnsi="Times New Roman" w:eastAsia="宋体"/>
    </w:rPr>
  </w:style>
  <w:style w:type="character" w:customStyle="1" w:styleId="118">
    <w:name w:val="Char Char12"/>
    <w:qFormat/>
    <w:uiPriority w:val="0"/>
    <w:rPr>
      <w:rFonts w:ascii="Arial" w:hAnsi="Arial" w:eastAsia="黑体"/>
      <w:b/>
      <w:bCs/>
      <w:kern w:val="2"/>
      <w:sz w:val="28"/>
      <w:szCs w:val="28"/>
      <w:lang w:val="en-US" w:eastAsia="zh-CN" w:bidi="ar-SA"/>
    </w:rPr>
  </w:style>
  <w:style w:type="character" w:customStyle="1" w:styleId="119">
    <w:name w:val="标题 2 Char"/>
    <w:qFormat/>
    <w:uiPriority w:val="0"/>
    <w:rPr>
      <w:rFonts w:ascii="Cambria" w:hAnsi="Cambria" w:eastAsia="宋体" w:cs="Times New Roman"/>
      <w:b/>
      <w:bCs/>
      <w:kern w:val="2"/>
      <w:sz w:val="32"/>
      <w:szCs w:val="32"/>
    </w:rPr>
  </w:style>
  <w:style w:type="character" w:customStyle="1" w:styleId="120">
    <w:name w:val="Font Style126"/>
    <w:unhideWhenUsed/>
    <w:qFormat/>
    <w:uiPriority w:val="0"/>
    <w:rPr>
      <w:rFonts w:hint="eastAsia" w:ascii="宋体" w:hAnsi="宋体" w:eastAsia="宋体"/>
      <w:b/>
      <w:spacing w:val="-30"/>
      <w:sz w:val="28"/>
    </w:rPr>
  </w:style>
  <w:style w:type="character" w:customStyle="1" w:styleId="121">
    <w:name w:val="标题 3 Char"/>
    <w:qFormat/>
    <w:uiPriority w:val="0"/>
    <w:rPr>
      <w:b/>
      <w:bCs/>
      <w:sz w:val="24"/>
      <w:szCs w:val="24"/>
    </w:rPr>
  </w:style>
  <w:style w:type="character" w:customStyle="1" w:styleId="122">
    <w:name w:val="标题 9 Char"/>
    <w:qFormat/>
    <w:uiPriority w:val="0"/>
    <w:rPr>
      <w:rFonts w:ascii="Arial" w:hAnsi="Arial" w:eastAsia="黑体"/>
      <w:sz w:val="21"/>
      <w:szCs w:val="21"/>
    </w:rPr>
  </w:style>
  <w:style w:type="character" w:customStyle="1" w:styleId="123">
    <w:name w:val="Font Style119"/>
    <w:unhideWhenUsed/>
    <w:qFormat/>
    <w:uiPriority w:val="0"/>
    <w:rPr>
      <w:rFonts w:hint="eastAsia" w:ascii="宋体" w:hAnsi="宋体" w:eastAsia="宋体"/>
      <w:sz w:val="24"/>
    </w:rPr>
  </w:style>
  <w:style w:type="character" w:customStyle="1" w:styleId="124">
    <w:name w:val="标题 4 Char"/>
    <w:qFormat/>
    <w:uiPriority w:val="0"/>
    <w:rPr>
      <w:rFonts w:ascii="Arial" w:hAnsi="Arial" w:eastAsia="宋体" w:cs="Times New Roman"/>
      <w:b/>
      <w:bCs/>
      <w:szCs w:val="28"/>
    </w:rPr>
  </w:style>
  <w:style w:type="character" w:customStyle="1" w:styleId="125">
    <w:name w:val="polysemyexp"/>
    <w:qFormat/>
    <w:uiPriority w:val="0"/>
    <w:rPr>
      <w:rFonts w:ascii="Times New Roman" w:hAnsi="Times New Roman" w:eastAsia="宋体"/>
      <w:color w:val="AAAAAA"/>
      <w:sz w:val="18"/>
      <w:szCs w:val="18"/>
    </w:rPr>
  </w:style>
  <w:style w:type="character" w:customStyle="1" w:styleId="126">
    <w:name w:val="标题 8 Char"/>
    <w:qFormat/>
    <w:uiPriority w:val="0"/>
    <w:rPr>
      <w:rFonts w:ascii="Arial" w:hAnsi="Arial" w:eastAsia="黑体"/>
      <w:sz w:val="24"/>
      <w:szCs w:val="24"/>
    </w:rPr>
  </w:style>
  <w:style w:type="character" w:customStyle="1" w:styleId="127">
    <w:name w:val="Font Style124"/>
    <w:unhideWhenUsed/>
    <w:qFormat/>
    <w:uiPriority w:val="0"/>
    <w:rPr>
      <w:rFonts w:hint="eastAsia" w:ascii="宋体" w:hAnsi="宋体" w:eastAsia="宋体"/>
      <w:spacing w:val="30"/>
      <w:sz w:val="24"/>
    </w:rPr>
  </w:style>
  <w:style w:type="character" w:customStyle="1" w:styleId="128">
    <w:name w:val="bds_nopic"/>
    <w:qFormat/>
    <w:uiPriority w:val="0"/>
    <w:rPr>
      <w:rFonts w:ascii="Times New Roman" w:hAnsi="Times New Roman" w:eastAsia="宋体"/>
    </w:rPr>
  </w:style>
  <w:style w:type="character" w:customStyle="1" w:styleId="129">
    <w:name w:val="Char Char13"/>
    <w:qFormat/>
    <w:uiPriority w:val="0"/>
    <w:rPr>
      <w:rFonts w:eastAsia="宋体"/>
      <w:b/>
      <w:bCs/>
      <w:kern w:val="2"/>
      <w:sz w:val="24"/>
      <w:lang w:val="en-US" w:eastAsia="zh-CN" w:bidi="ar-SA"/>
    </w:rPr>
  </w:style>
  <w:style w:type="character" w:customStyle="1" w:styleId="130">
    <w:name w:val="Font Style115"/>
    <w:unhideWhenUsed/>
    <w:qFormat/>
    <w:uiPriority w:val="0"/>
    <w:rPr>
      <w:rFonts w:hint="eastAsia" w:ascii="Times New Roman" w:hAnsi="Times New Roman" w:eastAsia="Times New Roman"/>
      <w:sz w:val="16"/>
    </w:rPr>
  </w:style>
  <w:style w:type="character" w:customStyle="1" w:styleId="131">
    <w:name w:val="Font Style127"/>
    <w:unhideWhenUsed/>
    <w:qFormat/>
    <w:uiPriority w:val="0"/>
    <w:rPr>
      <w:rFonts w:hint="eastAsia" w:ascii="Times New Roman" w:hAnsi="Times New Roman" w:eastAsia="Times New Roman"/>
      <w:sz w:val="20"/>
    </w:rPr>
  </w:style>
  <w:style w:type="character" w:customStyle="1" w:styleId="132">
    <w:name w:val="font01"/>
    <w:qFormat/>
    <w:uiPriority w:val="0"/>
    <w:rPr>
      <w:rFonts w:hint="eastAsia" w:ascii="宋体" w:hAnsi="宋体" w:eastAsia="宋体" w:cs="宋体"/>
      <w:color w:val="000000"/>
      <w:sz w:val="21"/>
      <w:szCs w:val="21"/>
      <w:u w:val="none"/>
    </w:rPr>
  </w:style>
  <w:style w:type="character" w:customStyle="1" w:styleId="133">
    <w:name w:val="Char Char15"/>
    <w:qFormat/>
    <w:uiPriority w:val="0"/>
    <w:rPr>
      <w:b/>
      <w:bCs/>
      <w:sz w:val="24"/>
      <w:szCs w:val="24"/>
    </w:rPr>
  </w:style>
  <w:style w:type="character" w:customStyle="1" w:styleId="134">
    <w:name w:val="批注文字 Char"/>
    <w:qFormat/>
    <w:uiPriority w:val="0"/>
    <w:rPr>
      <w:kern w:val="2"/>
      <w:sz w:val="21"/>
      <w:szCs w:val="24"/>
    </w:rPr>
  </w:style>
  <w:style w:type="character" w:customStyle="1" w:styleId="135">
    <w:name w:val="sidecatalog-dot1"/>
    <w:qFormat/>
    <w:uiPriority w:val="0"/>
    <w:rPr>
      <w:rFonts w:ascii="Times New Roman" w:hAnsi="Times New Roman" w:eastAsia="宋体"/>
    </w:rPr>
  </w:style>
  <w:style w:type="character" w:customStyle="1" w:styleId="136">
    <w:name w:val="desc"/>
    <w:qFormat/>
    <w:uiPriority w:val="0"/>
    <w:rPr>
      <w:rFonts w:ascii="Times New Roman" w:hAnsi="Times New Roman" w:eastAsia="宋体"/>
      <w:color w:val="000000"/>
      <w:sz w:val="18"/>
      <w:szCs w:val="18"/>
    </w:rPr>
  </w:style>
  <w:style w:type="character" w:customStyle="1" w:styleId="137">
    <w:name w:val="标题 7 Char"/>
    <w:qFormat/>
    <w:uiPriority w:val="0"/>
    <w:rPr>
      <w:b/>
      <w:bCs/>
      <w:sz w:val="24"/>
      <w:szCs w:val="24"/>
    </w:rPr>
  </w:style>
  <w:style w:type="character" w:customStyle="1" w:styleId="138">
    <w:name w:val="p0 Char Char"/>
    <w:qFormat/>
    <w:uiPriority w:val="0"/>
    <w:rPr>
      <w:rFonts w:eastAsia="宋体"/>
      <w:kern w:val="2"/>
      <w:sz w:val="21"/>
      <w:szCs w:val="21"/>
      <w:lang w:val="en-US" w:eastAsia="zh-CN" w:bidi="ar-SA"/>
    </w:rPr>
  </w:style>
  <w:style w:type="character" w:customStyle="1" w:styleId="139">
    <w:name w:val="批注框文本 Char"/>
    <w:qFormat/>
    <w:uiPriority w:val="0"/>
    <w:rPr>
      <w:kern w:val="2"/>
      <w:sz w:val="18"/>
      <w:szCs w:val="18"/>
    </w:rPr>
  </w:style>
  <w:style w:type="character" w:customStyle="1" w:styleId="140">
    <w:name w:val="标题 Char"/>
    <w:qFormat/>
    <w:uiPriority w:val="0"/>
    <w:rPr>
      <w:rFonts w:ascii="Cambria" w:hAnsi="Cambria"/>
      <w:b/>
      <w:kern w:val="2"/>
      <w:sz w:val="32"/>
      <w:szCs w:val="24"/>
    </w:rPr>
  </w:style>
  <w:style w:type="character" w:customStyle="1" w:styleId="141">
    <w:name w:val="Font Style121"/>
    <w:unhideWhenUsed/>
    <w:qFormat/>
    <w:uiPriority w:val="0"/>
    <w:rPr>
      <w:rFonts w:hint="eastAsia" w:ascii="宋体" w:hAnsi="宋体" w:eastAsia="宋体"/>
      <w:spacing w:val="-10"/>
      <w:sz w:val="30"/>
    </w:rPr>
  </w:style>
  <w:style w:type="character" w:customStyle="1" w:styleId="142">
    <w:name w:val="Font Style86"/>
    <w:unhideWhenUsed/>
    <w:qFormat/>
    <w:uiPriority w:val="0"/>
    <w:rPr>
      <w:rFonts w:hint="eastAsia" w:ascii="黑体" w:hAnsi="黑体" w:eastAsia="黑体"/>
      <w:spacing w:val="10"/>
      <w:sz w:val="30"/>
    </w:rPr>
  </w:style>
  <w:style w:type="character" w:customStyle="1" w:styleId="143">
    <w:name w:val="Font Style116"/>
    <w:unhideWhenUsed/>
    <w:qFormat/>
    <w:uiPriority w:val="0"/>
    <w:rPr>
      <w:rFonts w:hint="eastAsia" w:ascii="宋体" w:hAnsi="宋体" w:eastAsia="宋体"/>
      <w:spacing w:val="-20"/>
      <w:sz w:val="24"/>
    </w:rPr>
  </w:style>
  <w:style w:type="character" w:customStyle="1" w:styleId="144">
    <w:name w:val="标题 1 Char"/>
    <w:qFormat/>
    <w:uiPriority w:val="0"/>
    <w:rPr>
      <w:rFonts w:ascii="Cambria" w:hAnsi="Cambria"/>
      <w:b/>
      <w:bCs/>
      <w:kern w:val="32"/>
      <w:sz w:val="32"/>
      <w:szCs w:val="32"/>
    </w:rPr>
  </w:style>
  <w:style w:type="character" w:customStyle="1" w:styleId="145">
    <w:name w:val="批注主题 Char"/>
    <w:qFormat/>
    <w:uiPriority w:val="0"/>
    <w:rPr>
      <w:b/>
      <w:bCs/>
      <w:kern w:val="2"/>
      <w:sz w:val="21"/>
      <w:szCs w:val="24"/>
    </w:rPr>
  </w:style>
  <w:style w:type="character" w:customStyle="1" w:styleId="146">
    <w:name w:val="标题 Char1"/>
    <w:qFormat/>
    <w:uiPriority w:val="0"/>
    <w:rPr>
      <w:rFonts w:ascii="Cambria" w:hAnsi="Cambria" w:eastAsia="宋体" w:cs="Times New Roman"/>
      <w:b/>
      <w:bCs/>
      <w:sz w:val="32"/>
      <w:szCs w:val="32"/>
    </w:rPr>
  </w:style>
  <w:style w:type="character" w:customStyle="1" w:styleId="147">
    <w:name w:val="bds_nopic2"/>
    <w:qFormat/>
    <w:uiPriority w:val="0"/>
    <w:rPr>
      <w:rFonts w:ascii="Times New Roman" w:hAnsi="Times New Roman" w:eastAsia="宋体"/>
    </w:rPr>
  </w:style>
  <w:style w:type="character" w:customStyle="1" w:styleId="148">
    <w:name w:val="bds_more6"/>
    <w:qFormat/>
    <w:uiPriority w:val="0"/>
    <w:rPr>
      <w:rFonts w:hint="eastAsia" w:ascii="宋体" w:hAnsi="宋体" w:eastAsia="宋体" w:cs="宋体"/>
    </w:rPr>
  </w:style>
  <w:style w:type="character" w:customStyle="1" w:styleId="149">
    <w:name w:val="Font Style134"/>
    <w:unhideWhenUsed/>
    <w:qFormat/>
    <w:uiPriority w:val="0"/>
    <w:rPr>
      <w:rFonts w:hint="eastAsia" w:ascii="宋体" w:hAnsi="宋体" w:eastAsia="宋体"/>
      <w:spacing w:val="20"/>
      <w:sz w:val="22"/>
    </w:rPr>
  </w:style>
  <w:style w:type="character" w:customStyle="1" w:styleId="150">
    <w:name w:val="font11"/>
    <w:qFormat/>
    <w:uiPriority w:val="0"/>
    <w:rPr>
      <w:rFonts w:hint="eastAsia" w:ascii="宋体" w:hAnsi="宋体" w:eastAsia="宋体" w:cs="宋体"/>
      <w:color w:val="000000"/>
      <w:sz w:val="22"/>
      <w:szCs w:val="22"/>
      <w:u w:val="none"/>
    </w:rPr>
  </w:style>
  <w:style w:type="character" w:customStyle="1" w:styleId="151">
    <w:name w:val="批注文字 Char Char"/>
    <w:qFormat/>
    <w:uiPriority w:val="0"/>
    <w:rPr>
      <w:kern w:val="2"/>
      <w:sz w:val="21"/>
      <w:szCs w:val="24"/>
      <w:lang w:bidi="ar-SA"/>
    </w:rPr>
  </w:style>
  <w:style w:type="character" w:customStyle="1" w:styleId="152">
    <w:name w:val="lemmatitleh12"/>
    <w:qFormat/>
    <w:uiPriority w:val="0"/>
    <w:rPr>
      <w:rFonts w:ascii="Times New Roman" w:hAnsi="Times New Roman" w:eastAsia="宋体"/>
    </w:rPr>
  </w:style>
  <w:style w:type="character" w:customStyle="1" w:styleId="153">
    <w:name w:val="bds_more7"/>
    <w:qFormat/>
    <w:uiPriority w:val="0"/>
    <w:rPr>
      <w:rFonts w:ascii="Times New Roman" w:hAnsi="Times New Roman" w:eastAsia="宋体"/>
    </w:rPr>
  </w:style>
  <w:style w:type="character" w:customStyle="1" w:styleId="154">
    <w:name w:val="Char Char14"/>
    <w:qFormat/>
    <w:uiPriority w:val="0"/>
    <w:rPr>
      <w:rFonts w:ascii="Arial" w:hAnsi="Arial" w:eastAsia="黑体"/>
      <w:b/>
      <w:bCs/>
      <w:sz w:val="28"/>
      <w:szCs w:val="28"/>
      <w:lang w:val="en-US" w:eastAsia="zh-CN" w:bidi="ar-SA"/>
    </w:rPr>
  </w:style>
  <w:style w:type="character" w:customStyle="1" w:styleId="155">
    <w:name w:val="日期 Char"/>
    <w:qFormat/>
    <w:uiPriority w:val="0"/>
    <w:rPr>
      <w:kern w:val="2"/>
      <w:sz w:val="21"/>
      <w:szCs w:val="24"/>
    </w:rPr>
  </w:style>
  <w:style w:type="character" w:customStyle="1" w:styleId="156">
    <w:name w:val="标题 6 Char"/>
    <w:qFormat/>
    <w:uiPriority w:val="0"/>
    <w:rPr>
      <w:rFonts w:ascii="Arial" w:hAnsi="Arial" w:eastAsia="黑体"/>
      <w:b/>
      <w:bCs/>
      <w:sz w:val="24"/>
      <w:szCs w:val="24"/>
    </w:rPr>
  </w:style>
  <w:style w:type="character" w:customStyle="1" w:styleId="157">
    <w:name w:val="正文文本缩进 3 Char"/>
    <w:qFormat/>
    <w:uiPriority w:val="0"/>
    <w:rPr>
      <w:rFonts w:ascii="宋体" w:hAnsi="MS Sans Serif"/>
      <w:color w:val="000000"/>
      <w:sz w:val="24"/>
    </w:rPr>
  </w:style>
  <w:style w:type="character" w:customStyle="1" w:styleId="158">
    <w:name w:val="Font Style117"/>
    <w:unhideWhenUsed/>
    <w:qFormat/>
    <w:uiPriority w:val="0"/>
    <w:rPr>
      <w:rFonts w:hint="eastAsia" w:ascii="宋体" w:hAnsi="宋体" w:eastAsia="宋体"/>
      <w:spacing w:val="20"/>
      <w:sz w:val="24"/>
    </w:rPr>
  </w:style>
  <w:style w:type="character" w:customStyle="1" w:styleId="159">
    <w:name w:val="bds_nopic1"/>
    <w:qFormat/>
    <w:uiPriority w:val="0"/>
    <w:rPr>
      <w:rFonts w:ascii="Times New Roman" w:hAnsi="Times New Roman" w:eastAsia="宋体"/>
    </w:rPr>
  </w:style>
  <w:style w:type="paragraph" w:customStyle="1" w:styleId="160">
    <w:name w:val="Style67"/>
    <w:basedOn w:val="1"/>
    <w:unhideWhenUsed/>
    <w:qFormat/>
    <w:uiPriority w:val="0"/>
    <w:pPr>
      <w:spacing w:line="566" w:lineRule="exact"/>
      <w:ind w:firstLine="552"/>
    </w:pPr>
  </w:style>
  <w:style w:type="paragraph" w:customStyle="1" w:styleId="161">
    <w:name w:val="Style47"/>
    <w:basedOn w:val="1"/>
    <w:unhideWhenUsed/>
    <w:qFormat/>
    <w:uiPriority w:val="0"/>
  </w:style>
  <w:style w:type="paragraph" w:customStyle="1" w:styleId="16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Style28"/>
    <w:basedOn w:val="1"/>
    <w:unhideWhenUsed/>
    <w:qFormat/>
    <w:uiPriority w:val="0"/>
    <w:pPr>
      <w:spacing w:line="552" w:lineRule="exact"/>
      <w:ind w:firstLine="547"/>
    </w:pPr>
  </w:style>
  <w:style w:type="paragraph" w:customStyle="1" w:styleId="164">
    <w:name w:val="标题3"/>
    <w:basedOn w:val="6"/>
    <w:qFormat/>
    <w:uiPriority w:val="0"/>
    <w:pPr>
      <w:spacing w:beforeLines="50" w:afterLines="50" w:line="400" w:lineRule="exact"/>
      <w:jc w:val="both"/>
    </w:pPr>
    <w:rPr>
      <w:rFonts w:ascii="宋体" w:hAnsi="宋体"/>
      <w:kern w:val="32"/>
      <w:szCs w:val="32"/>
    </w:rPr>
  </w:style>
  <w:style w:type="paragraph" w:customStyle="1" w:styleId="165">
    <w:name w:val="Style41"/>
    <w:basedOn w:val="1"/>
    <w:unhideWhenUsed/>
    <w:qFormat/>
    <w:uiPriority w:val="0"/>
    <w:pPr>
      <w:spacing w:line="542" w:lineRule="exact"/>
      <w:ind w:firstLine="125"/>
    </w:pPr>
  </w:style>
  <w:style w:type="paragraph" w:customStyle="1" w:styleId="166">
    <w:name w:val="Style65"/>
    <w:basedOn w:val="1"/>
    <w:unhideWhenUsed/>
    <w:qFormat/>
    <w:uiPriority w:val="0"/>
  </w:style>
  <w:style w:type="paragraph" w:customStyle="1" w:styleId="167">
    <w:name w:val="默认段落字体 Para Char Char Char Char Char Char Char Char Char Char Char Char Char Char Char Char Char Char Char"/>
    <w:basedOn w:val="1"/>
    <w:qFormat/>
    <w:uiPriority w:val="0"/>
  </w:style>
  <w:style w:type="paragraph" w:customStyle="1" w:styleId="168">
    <w:name w:val="Style78"/>
    <w:basedOn w:val="1"/>
    <w:unhideWhenUsed/>
    <w:qFormat/>
    <w:uiPriority w:val="0"/>
  </w:style>
  <w:style w:type="paragraph" w:customStyle="1" w:styleId="169">
    <w:name w:val="标题 1 +"/>
    <w:basedOn w:val="6"/>
    <w:next w:val="1"/>
    <w:qFormat/>
    <w:uiPriority w:val="0"/>
    <w:pPr>
      <w:keepLines/>
      <w:spacing w:line="600" w:lineRule="auto"/>
    </w:pPr>
    <w:rPr>
      <w:rFonts w:eastAsia="黑体"/>
      <w:kern w:val="0"/>
      <w:sz w:val="32"/>
      <w:szCs w:val="32"/>
    </w:rPr>
  </w:style>
  <w:style w:type="paragraph" w:customStyle="1" w:styleId="170">
    <w:name w:val="Style77"/>
    <w:basedOn w:val="1"/>
    <w:unhideWhenUsed/>
    <w:qFormat/>
    <w:uiPriority w:val="0"/>
  </w:style>
  <w:style w:type="paragraph" w:customStyle="1" w:styleId="171">
    <w:name w:val="Style48"/>
    <w:basedOn w:val="1"/>
    <w:unhideWhenUsed/>
    <w:qFormat/>
    <w:uiPriority w:val="0"/>
    <w:pPr>
      <w:spacing w:line="542" w:lineRule="exact"/>
      <w:jc w:val="right"/>
    </w:pPr>
  </w:style>
  <w:style w:type="paragraph" w:customStyle="1" w:styleId="172">
    <w:name w:val="Style45"/>
    <w:basedOn w:val="1"/>
    <w:unhideWhenUsed/>
    <w:qFormat/>
    <w:uiPriority w:val="0"/>
  </w:style>
  <w:style w:type="paragraph" w:customStyle="1" w:styleId="173">
    <w:name w:val="Style36"/>
    <w:basedOn w:val="1"/>
    <w:unhideWhenUsed/>
    <w:qFormat/>
    <w:uiPriority w:val="0"/>
  </w:style>
  <w:style w:type="paragraph" w:customStyle="1" w:styleId="174">
    <w:name w:val="Char1 Char Char Char Char Char Char Char Char Char"/>
    <w:basedOn w:val="1"/>
    <w:qFormat/>
    <w:uiPriority w:val="0"/>
    <w:rPr>
      <w:szCs w:val="20"/>
    </w:rPr>
  </w:style>
  <w:style w:type="paragraph" w:customStyle="1" w:styleId="175">
    <w:name w:val="Style27"/>
    <w:basedOn w:val="1"/>
    <w:unhideWhenUsed/>
    <w:qFormat/>
    <w:uiPriority w:val="0"/>
  </w:style>
  <w:style w:type="paragraph" w:customStyle="1" w:styleId="176">
    <w:name w:val="Style16"/>
    <w:basedOn w:val="1"/>
    <w:unhideWhenUsed/>
    <w:qFormat/>
    <w:uiPriority w:val="0"/>
    <w:pPr>
      <w:jc w:val="right"/>
    </w:pPr>
  </w:style>
  <w:style w:type="paragraph" w:customStyle="1" w:styleId="17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8">
    <w:name w:val="Style12"/>
    <w:basedOn w:val="1"/>
    <w:unhideWhenUsed/>
    <w:qFormat/>
    <w:uiPriority w:val="0"/>
    <w:pPr>
      <w:spacing w:line="564" w:lineRule="exact"/>
      <w:ind w:hanging="115"/>
    </w:p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w:basedOn w:val="1"/>
    <w:qFormat/>
    <w:uiPriority w:val="0"/>
    <w:pPr>
      <w:tabs>
        <w:tab w:val="left" w:pos="360"/>
      </w:tabs>
      <w:ind w:left="360" w:hanging="360" w:hangingChars="200"/>
    </w:pPr>
    <w:rPr>
      <w:sz w:val="24"/>
    </w:rPr>
  </w:style>
  <w:style w:type="paragraph" w:customStyle="1" w:styleId="181">
    <w:name w:val="_Style 39"/>
    <w:basedOn w:val="162"/>
    <w:qFormat/>
    <w:uiPriority w:val="0"/>
  </w:style>
  <w:style w:type="paragraph" w:customStyle="1" w:styleId="182">
    <w:name w:val="Style70"/>
    <w:basedOn w:val="1"/>
    <w:unhideWhenUsed/>
    <w:qFormat/>
    <w:uiPriority w:val="0"/>
    <w:pPr>
      <w:spacing w:line="549" w:lineRule="exact"/>
      <w:ind w:firstLine="686"/>
    </w:pPr>
  </w:style>
  <w:style w:type="paragraph" w:customStyle="1" w:styleId="183">
    <w:name w:val="Style13"/>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8"/>
    <w:basedOn w:val="1"/>
    <w:unhideWhenUsed/>
    <w:qFormat/>
    <w:uiPriority w:val="0"/>
    <w:pPr>
      <w:spacing w:line="566" w:lineRule="exact"/>
      <w:jc w:val="center"/>
    </w:pPr>
  </w:style>
  <w:style w:type="paragraph" w:customStyle="1" w:styleId="186">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187">
    <w:name w:val="Char Char1 Char Char Char"/>
    <w:basedOn w:val="1"/>
    <w:qFormat/>
    <w:uiPriority w:val="0"/>
    <w:rPr>
      <w:kern w:val="0"/>
      <w:sz w:val="20"/>
      <w:szCs w:val="20"/>
    </w:rPr>
  </w:style>
  <w:style w:type="paragraph" w:customStyle="1" w:styleId="188">
    <w:name w:val="样式3"/>
    <w:basedOn w:val="1"/>
    <w:next w:val="1"/>
    <w:qFormat/>
    <w:uiPriority w:val="0"/>
    <w:pPr>
      <w:spacing w:line="360" w:lineRule="auto"/>
      <w:ind w:firstLine="480"/>
      <w:jc w:val="left"/>
    </w:pPr>
    <w:rPr>
      <w:rFonts w:ascii="宋体"/>
      <w:sz w:val="24"/>
      <w:szCs w:val="22"/>
    </w:rPr>
  </w:style>
  <w:style w:type="paragraph" w:customStyle="1" w:styleId="189">
    <w:name w:val="Normal_18_6"/>
    <w:qFormat/>
    <w:uiPriority w:val="0"/>
    <w:pPr>
      <w:widowControl w:val="0"/>
      <w:jc w:val="both"/>
    </w:pPr>
    <w:rPr>
      <w:rFonts w:ascii="等线" w:hAnsi="等线" w:eastAsia="等线" w:cs="Times New Roman"/>
      <w:lang w:val="en-US" w:eastAsia="zh-CN" w:bidi="ar-SA"/>
    </w:rPr>
  </w:style>
  <w:style w:type="paragraph" w:customStyle="1" w:styleId="190">
    <w:name w:val="Style76"/>
    <w:basedOn w:val="1"/>
    <w:unhideWhenUsed/>
    <w:qFormat/>
    <w:uiPriority w:val="0"/>
  </w:style>
  <w:style w:type="paragraph" w:customStyle="1" w:styleId="191">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2">
    <w:name w:val="Style80"/>
    <w:basedOn w:val="1"/>
    <w:unhideWhenUsed/>
    <w:qFormat/>
    <w:uiPriority w:val="0"/>
  </w:style>
  <w:style w:type="paragraph" w:customStyle="1" w:styleId="193">
    <w:name w:val="Style5"/>
    <w:basedOn w:val="1"/>
    <w:unhideWhenUsed/>
    <w:qFormat/>
    <w:uiPriority w:val="0"/>
  </w:style>
  <w:style w:type="paragraph" w:customStyle="1" w:styleId="194">
    <w:name w:val="Normal_6_0"/>
    <w:qFormat/>
    <w:uiPriority w:val="0"/>
    <w:pPr>
      <w:widowControl w:val="0"/>
      <w:jc w:val="both"/>
    </w:pPr>
    <w:rPr>
      <w:rFonts w:ascii="等线" w:hAnsi="等线" w:eastAsia="等线" w:cs="Times New Roman"/>
      <w:lang w:val="en-US" w:eastAsia="zh-CN" w:bidi="ar-SA"/>
    </w:rPr>
  </w:style>
  <w:style w:type="paragraph" w:customStyle="1" w:styleId="19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6">
    <w:name w:val="TOC 标题1"/>
    <w:basedOn w:val="6"/>
    <w:next w:val="1"/>
    <w:qFormat/>
    <w:uiPriority w:val="0"/>
    <w:pPr>
      <w:tabs>
        <w:tab w:val="left" w:pos="885"/>
      </w:tabs>
      <w:outlineLvl w:val="9"/>
    </w:pPr>
    <w:rPr>
      <w:rFonts w:ascii="Calibri" w:hAnsi="Calibri"/>
    </w:rPr>
  </w:style>
  <w:style w:type="paragraph" w:customStyle="1" w:styleId="197">
    <w:name w:val="Style29"/>
    <w:basedOn w:val="1"/>
    <w:unhideWhenUsed/>
    <w:qFormat/>
    <w:uiPriority w:val="0"/>
    <w:pPr>
      <w:spacing w:line="547" w:lineRule="exact"/>
      <w:ind w:firstLine="547"/>
    </w:pPr>
  </w:style>
  <w:style w:type="paragraph" w:customStyle="1" w:styleId="198">
    <w:name w:val="p16"/>
    <w:basedOn w:val="1"/>
    <w:qFormat/>
    <w:uiPriority w:val="0"/>
    <w:pPr>
      <w:widowControl/>
      <w:jc w:val="left"/>
    </w:pPr>
    <w:rPr>
      <w:kern w:val="0"/>
      <w:szCs w:val="21"/>
    </w:rPr>
  </w:style>
  <w:style w:type="paragraph" w:customStyle="1" w:styleId="199">
    <w:name w:val="Char1 Char Char Char 字元 Char Char 字元 Char 字元 Char1 Char Char Char"/>
    <w:basedOn w:val="1"/>
    <w:qFormat/>
    <w:uiPriority w:val="0"/>
    <w:rPr>
      <w:szCs w:val="20"/>
    </w:rPr>
  </w:style>
  <w:style w:type="paragraph" w:customStyle="1" w:styleId="200">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2">
    <w:name w:val="Char Char Char"/>
    <w:basedOn w:val="1"/>
    <w:qFormat/>
    <w:uiPriority w:val="0"/>
    <w:rPr>
      <w:rFonts w:ascii="宋体" w:hAnsi="宋体"/>
      <w:b/>
      <w:sz w:val="28"/>
      <w:szCs w:val="28"/>
    </w:rPr>
  </w:style>
  <w:style w:type="paragraph" w:customStyle="1" w:styleId="203">
    <w:name w:val="1 Char Char Char Char"/>
    <w:basedOn w:val="1"/>
    <w:qFormat/>
    <w:uiPriority w:val="0"/>
  </w:style>
  <w:style w:type="paragraph" w:customStyle="1" w:styleId="204">
    <w:name w:val="Style71"/>
    <w:basedOn w:val="1"/>
    <w:unhideWhenUsed/>
    <w:qFormat/>
    <w:uiPriority w:val="0"/>
    <w:pPr>
      <w:spacing w:line="538" w:lineRule="exact"/>
      <w:ind w:firstLine="101"/>
    </w:pPr>
  </w:style>
  <w:style w:type="paragraph" w:customStyle="1" w:styleId="205">
    <w:name w:val="Char Char1 Char Char Char Char Char1 Char Char Char Char"/>
    <w:basedOn w:val="18"/>
    <w:qFormat/>
    <w:uiPriority w:val="0"/>
    <w:rPr>
      <w:rFonts w:ascii="Tahoma" w:hAnsi="Tahoma"/>
    </w:rPr>
  </w:style>
  <w:style w:type="paragraph" w:customStyle="1" w:styleId="206">
    <w:name w:val="Style60"/>
    <w:basedOn w:val="1"/>
    <w:unhideWhenUsed/>
    <w:qFormat/>
    <w:uiPriority w:val="0"/>
    <w:pPr>
      <w:spacing w:line="566" w:lineRule="exact"/>
    </w:pPr>
  </w:style>
  <w:style w:type="paragraph" w:customStyle="1" w:styleId="207">
    <w:name w:val="Style9"/>
    <w:basedOn w:val="1"/>
    <w:unhideWhenUsed/>
    <w:qFormat/>
    <w:uiPriority w:val="0"/>
  </w:style>
  <w:style w:type="paragraph" w:styleId="208">
    <w:name w:val="List Paragraph"/>
    <w:basedOn w:val="1"/>
    <w:qFormat/>
    <w:uiPriority w:val="1"/>
    <w:pPr>
      <w:ind w:firstLine="420" w:firstLineChars="200"/>
    </w:pPr>
    <w:rPr>
      <w:rFonts w:ascii="Calibri" w:hAnsi="Calibri"/>
      <w:szCs w:val="22"/>
    </w:rPr>
  </w:style>
  <w:style w:type="paragraph" w:customStyle="1" w:styleId="209">
    <w:name w:val="列表段落1"/>
    <w:basedOn w:val="1"/>
    <w:qFormat/>
    <w:uiPriority w:val="0"/>
    <w:pPr>
      <w:ind w:firstLine="420" w:firstLineChars="200"/>
    </w:pPr>
    <w:rPr>
      <w:rFonts w:ascii="Calibri" w:hAnsi="Calibri" w:cs="Calibri"/>
      <w:szCs w:val="21"/>
    </w:rPr>
  </w:style>
  <w:style w:type="paragraph" w:customStyle="1" w:styleId="210">
    <w:name w:val="Style15"/>
    <w:basedOn w:val="1"/>
    <w:unhideWhenUsed/>
    <w:qFormat/>
    <w:uiPriority w:val="0"/>
    <w:pPr>
      <w:spacing w:line="557" w:lineRule="exact"/>
      <w:ind w:firstLine="672"/>
    </w:pPr>
  </w:style>
  <w:style w:type="paragraph" w:customStyle="1" w:styleId="211">
    <w:name w:val="Style23"/>
    <w:basedOn w:val="1"/>
    <w:unhideWhenUsed/>
    <w:qFormat/>
    <w:uiPriority w:val="0"/>
  </w:style>
  <w:style w:type="paragraph" w:customStyle="1" w:styleId="212">
    <w:name w:val="Style26"/>
    <w:basedOn w:val="1"/>
    <w:unhideWhenUsed/>
    <w:qFormat/>
    <w:uiPriority w:val="0"/>
  </w:style>
  <w:style w:type="paragraph" w:customStyle="1" w:styleId="213">
    <w:name w:val="Style50"/>
    <w:basedOn w:val="1"/>
    <w:unhideWhenUsed/>
    <w:qFormat/>
    <w:uiPriority w:val="0"/>
  </w:style>
  <w:style w:type="paragraph" w:customStyle="1" w:styleId="214">
    <w:name w:val="Style64"/>
    <w:basedOn w:val="1"/>
    <w:unhideWhenUsed/>
    <w:qFormat/>
    <w:uiPriority w:val="0"/>
  </w:style>
  <w:style w:type="paragraph" w:customStyle="1" w:styleId="215">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6">
    <w:name w:val="Style46"/>
    <w:basedOn w:val="1"/>
    <w:unhideWhenUsed/>
    <w:qFormat/>
    <w:uiPriority w:val="0"/>
    <w:pPr>
      <w:spacing w:line="672" w:lineRule="exact"/>
    </w:pPr>
  </w:style>
  <w:style w:type="paragraph" w:customStyle="1" w:styleId="217">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9">
    <w:name w:val="标题2"/>
    <w:basedOn w:val="43"/>
    <w:qFormat/>
    <w:uiPriority w:val="0"/>
    <w:pPr>
      <w:spacing w:after="240"/>
      <w:jc w:val="left"/>
    </w:pPr>
    <w:rPr>
      <w:sz w:val="30"/>
    </w:rPr>
  </w:style>
  <w:style w:type="paragraph" w:customStyle="1" w:styleId="220">
    <w:name w:val="TOC 标题11"/>
    <w:basedOn w:val="6"/>
    <w:next w:val="1"/>
    <w:qFormat/>
    <w:uiPriority w:val="0"/>
    <w:pPr>
      <w:outlineLvl w:val="9"/>
    </w:pPr>
    <w:rPr>
      <w:rFonts w:ascii="Calibri" w:hAnsi="Calibri"/>
    </w:rPr>
  </w:style>
  <w:style w:type="paragraph" w:customStyle="1" w:styleId="221">
    <w:name w:val="Style81"/>
    <w:basedOn w:val="1"/>
    <w:unhideWhenUsed/>
    <w:qFormat/>
    <w:uiPriority w:val="0"/>
    <w:pPr>
      <w:spacing w:line="547" w:lineRule="exact"/>
    </w:pPr>
  </w:style>
  <w:style w:type="paragraph" w:customStyle="1" w:styleId="222">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3">
    <w:name w:val="Style72"/>
    <w:basedOn w:val="1"/>
    <w:unhideWhenUsed/>
    <w:qFormat/>
    <w:uiPriority w:val="0"/>
  </w:style>
  <w:style w:type="paragraph" w:customStyle="1" w:styleId="224">
    <w:name w:val="Style74"/>
    <w:basedOn w:val="1"/>
    <w:unhideWhenUsed/>
    <w:qFormat/>
    <w:uiPriority w:val="0"/>
    <w:pPr>
      <w:spacing w:line="437" w:lineRule="exact"/>
    </w:pPr>
  </w:style>
  <w:style w:type="paragraph" w:customStyle="1" w:styleId="225">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6">
    <w:name w:val="Style24"/>
    <w:basedOn w:val="1"/>
    <w:unhideWhenUsed/>
    <w:qFormat/>
    <w:uiPriority w:val="0"/>
  </w:style>
  <w:style w:type="paragraph" w:customStyle="1" w:styleId="227">
    <w:name w:val="Char Char1 Char Char Char Char Char Char Char"/>
    <w:basedOn w:val="1"/>
    <w:qFormat/>
    <w:uiPriority w:val="0"/>
    <w:pPr>
      <w:widowControl/>
      <w:spacing w:after="160" w:line="240" w:lineRule="exact"/>
      <w:jc w:val="left"/>
    </w:pPr>
  </w:style>
  <w:style w:type="paragraph" w:customStyle="1" w:styleId="228">
    <w:name w:val="Style21"/>
    <w:basedOn w:val="1"/>
    <w:unhideWhenUsed/>
    <w:qFormat/>
    <w:uiPriority w:val="0"/>
    <w:pPr>
      <w:spacing w:line="566" w:lineRule="exact"/>
      <w:ind w:firstLine="682"/>
    </w:pPr>
  </w:style>
  <w:style w:type="paragraph" w:customStyle="1" w:styleId="229">
    <w:name w:val="Style52"/>
    <w:basedOn w:val="1"/>
    <w:unhideWhenUsed/>
    <w:qFormat/>
    <w:uiPriority w:val="0"/>
    <w:pPr>
      <w:spacing w:line="682" w:lineRule="exact"/>
      <w:ind w:firstLine="557"/>
    </w:pPr>
  </w:style>
  <w:style w:type="paragraph" w:customStyle="1" w:styleId="230">
    <w:name w:val="Style61"/>
    <w:basedOn w:val="1"/>
    <w:unhideWhenUsed/>
    <w:qFormat/>
    <w:uiPriority w:val="0"/>
  </w:style>
  <w:style w:type="paragraph" w:customStyle="1" w:styleId="231">
    <w:name w:val="Style11"/>
    <w:basedOn w:val="1"/>
    <w:unhideWhenUsed/>
    <w:qFormat/>
    <w:uiPriority w:val="0"/>
    <w:pPr>
      <w:spacing w:line="559" w:lineRule="exact"/>
      <w:ind w:firstLine="590"/>
    </w:pPr>
  </w:style>
  <w:style w:type="paragraph" w:customStyle="1" w:styleId="232">
    <w:name w:val="Style62"/>
    <w:basedOn w:val="1"/>
    <w:unhideWhenUsed/>
    <w:qFormat/>
    <w:uiPriority w:val="0"/>
  </w:style>
  <w:style w:type="paragraph" w:customStyle="1" w:styleId="233">
    <w:name w:val="Style58"/>
    <w:basedOn w:val="1"/>
    <w:unhideWhenUsed/>
    <w:qFormat/>
    <w:uiPriority w:val="0"/>
    <w:pPr>
      <w:spacing w:line="413" w:lineRule="exact"/>
    </w:pPr>
  </w:style>
  <w:style w:type="paragraph" w:customStyle="1" w:styleId="234">
    <w:name w:val="Style56"/>
    <w:basedOn w:val="1"/>
    <w:unhideWhenUsed/>
    <w:qFormat/>
    <w:uiPriority w:val="0"/>
  </w:style>
  <w:style w:type="paragraph" w:customStyle="1" w:styleId="235">
    <w:name w:val="Style44"/>
    <w:basedOn w:val="1"/>
    <w:unhideWhenUsed/>
    <w:qFormat/>
    <w:uiPriority w:val="0"/>
  </w:style>
  <w:style w:type="paragraph" w:customStyle="1" w:styleId="236">
    <w:name w:val="1"/>
    <w:basedOn w:val="1"/>
    <w:qFormat/>
    <w:uiPriority w:val="0"/>
    <w:pPr>
      <w:spacing w:afterLines="50" w:line="360" w:lineRule="auto"/>
    </w:pPr>
    <w:rPr>
      <w:rFonts w:ascii="宋体" w:hAnsi="宋体"/>
      <w:b/>
      <w:sz w:val="30"/>
      <w:szCs w:val="21"/>
    </w:rPr>
  </w:style>
  <w:style w:type="paragraph" w:customStyle="1" w:styleId="237">
    <w:name w:val="NO3"/>
    <w:basedOn w:val="1"/>
    <w:qFormat/>
    <w:uiPriority w:val="0"/>
    <w:pPr>
      <w:tabs>
        <w:tab w:val="left" w:pos="907"/>
      </w:tabs>
      <w:spacing w:line="360" w:lineRule="auto"/>
    </w:pPr>
    <w:rPr>
      <w:rFonts w:ascii="宋体" w:hAnsi="宋体"/>
      <w:sz w:val="24"/>
    </w:rPr>
  </w:style>
  <w:style w:type="paragraph" w:customStyle="1" w:styleId="238">
    <w:name w:val="Style54"/>
    <w:basedOn w:val="1"/>
    <w:unhideWhenUsed/>
    <w:qFormat/>
    <w:uiPriority w:val="0"/>
  </w:style>
  <w:style w:type="paragraph" w:customStyle="1" w:styleId="239">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40">
    <w:name w:val="Style34"/>
    <w:basedOn w:val="1"/>
    <w:unhideWhenUsed/>
    <w:qFormat/>
    <w:uiPriority w:val="0"/>
    <w:pPr>
      <w:spacing w:line="375" w:lineRule="exact"/>
    </w:pPr>
  </w:style>
  <w:style w:type="paragraph" w:customStyle="1" w:styleId="241">
    <w:name w:val="Style69"/>
    <w:basedOn w:val="1"/>
    <w:unhideWhenUsed/>
    <w:qFormat/>
    <w:uiPriority w:val="0"/>
    <w:pPr>
      <w:spacing w:line="557" w:lineRule="exact"/>
      <w:ind w:firstLine="1666"/>
    </w:pPr>
  </w:style>
  <w:style w:type="paragraph" w:customStyle="1" w:styleId="242">
    <w:name w:val="Style59"/>
    <w:basedOn w:val="1"/>
    <w:unhideWhenUsed/>
    <w:qFormat/>
    <w:uiPriority w:val="0"/>
  </w:style>
  <w:style w:type="paragraph" w:customStyle="1" w:styleId="243">
    <w:name w:val="表格内容"/>
    <w:basedOn w:val="21"/>
    <w:qFormat/>
    <w:uiPriority w:val="0"/>
    <w:pPr>
      <w:suppressLineNumbers/>
      <w:suppressAutoHyphens/>
      <w:jc w:val="left"/>
    </w:pPr>
    <w:rPr>
      <w:rFonts w:cs="Tahoma"/>
      <w:kern w:val="0"/>
      <w:sz w:val="24"/>
    </w:rPr>
  </w:style>
  <w:style w:type="paragraph" w:customStyle="1" w:styleId="244">
    <w:name w:val="Style4"/>
    <w:basedOn w:val="1"/>
    <w:unhideWhenUsed/>
    <w:qFormat/>
    <w:uiPriority w:val="0"/>
  </w:style>
  <w:style w:type="paragraph" w:customStyle="1" w:styleId="245">
    <w:name w:val="Style63"/>
    <w:basedOn w:val="1"/>
    <w:unhideWhenUsed/>
    <w:qFormat/>
    <w:uiPriority w:val="0"/>
    <w:pPr>
      <w:spacing w:line="564" w:lineRule="exact"/>
      <w:ind w:firstLine="682"/>
    </w:pPr>
  </w:style>
  <w:style w:type="paragraph" w:customStyle="1" w:styleId="246">
    <w:name w:val="Normal_18_7"/>
    <w:qFormat/>
    <w:uiPriority w:val="0"/>
    <w:pPr>
      <w:widowControl w:val="0"/>
      <w:jc w:val="both"/>
    </w:pPr>
    <w:rPr>
      <w:rFonts w:ascii="等线" w:hAnsi="等线" w:eastAsia="等线" w:cs="Times New Roman"/>
      <w:lang w:val="en-US" w:eastAsia="zh-CN" w:bidi="ar-SA"/>
    </w:rPr>
  </w:style>
  <w:style w:type="paragraph" w:customStyle="1" w:styleId="247">
    <w:name w:val="Style10"/>
    <w:basedOn w:val="1"/>
    <w:unhideWhenUsed/>
    <w:qFormat/>
    <w:uiPriority w:val="0"/>
    <w:pPr>
      <w:spacing w:line="538" w:lineRule="exact"/>
    </w:pPr>
  </w:style>
  <w:style w:type="paragraph" w:customStyle="1" w:styleId="248">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0">
    <w:name w:val="附录标识"/>
    <w:basedOn w:val="225"/>
    <w:qFormat/>
    <w:uiPriority w:val="0"/>
    <w:pPr>
      <w:tabs>
        <w:tab w:val="left" w:pos="6405"/>
        <w:tab w:val="clear" w:pos="360"/>
        <w:tab w:val="clear" w:pos="720"/>
      </w:tabs>
      <w:spacing w:after="200"/>
    </w:pPr>
    <w:rPr>
      <w:sz w:val="21"/>
    </w:rPr>
  </w:style>
  <w:style w:type="paragraph" w:customStyle="1" w:styleId="251">
    <w:name w:val="Normal_18_5"/>
    <w:qFormat/>
    <w:uiPriority w:val="0"/>
    <w:pPr>
      <w:widowControl w:val="0"/>
      <w:jc w:val="both"/>
    </w:pPr>
    <w:rPr>
      <w:rFonts w:ascii="等线" w:hAnsi="等线" w:eastAsia="等线" w:cs="Times New Roman"/>
      <w:lang w:val="en-US" w:eastAsia="zh-CN" w:bidi="ar-SA"/>
    </w:rPr>
  </w:style>
  <w:style w:type="paragraph" w:customStyle="1" w:styleId="252">
    <w:name w:val="Char1 Char Char Char"/>
    <w:basedOn w:val="1"/>
    <w:qFormat/>
    <w:uiPriority w:val="0"/>
    <w:pPr>
      <w:widowControl/>
      <w:spacing w:after="160" w:line="240" w:lineRule="exact"/>
      <w:jc w:val="left"/>
    </w:pPr>
    <w:rPr>
      <w:kern w:val="0"/>
      <w:sz w:val="24"/>
      <w:szCs w:val="20"/>
    </w:rPr>
  </w:style>
  <w:style w:type="paragraph" w:customStyle="1" w:styleId="253">
    <w:name w:val="Style53"/>
    <w:basedOn w:val="1"/>
    <w:unhideWhenUsed/>
    <w:qFormat/>
    <w:uiPriority w:val="0"/>
    <w:pPr>
      <w:spacing w:line="533" w:lineRule="exact"/>
      <w:ind w:firstLine="581"/>
    </w:pPr>
  </w:style>
  <w:style w:type="paragraph" w:customStyle="1" w:styleId="254">
    <w:name w:val="Style42"/>
    <w:basedOn w:val="1"/>
    <w:unhideWhenUsed/>
    <w:qFormat/>
    <w:uiPriority w:val="0"/>
    <w:pPr>
      <w:spacing w:line="542" w:lineRule="exact"/>
      <w:ind w:firstLine="547"/>
    </w:pPr>
  </w:style>
  <w:style w:type="paragraph" w:customStyle="1" w:styleId="255">
    <w:name w:val="Style68"/>
    <w:basedOn w:val="1"/>
    <w:unhideWhenUsed/>
    <w:qFormat/>
    <w:uiPriority w:val="0"/>
    <w:pPr>
      <w:spacing w:line="547" w:lineRule="exact"/>
    </w:pPr>
  </w:style>
  <w:style w:type="paragraph" w:customStyle="1" w:styleId="25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7">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8">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9">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0">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1">
    <w:name w:val="网格型3"/>
    <w:basedOn w:val="4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2">
    <w:name w:val="layui-this"/>
    <w:qFormat/>
    <w:uiPriority w:val="0"/>
    <w:rPr>
      <w:bdr w:val="single" w:color="EEEEEE" w:sz="6" w:space="0"/>
      <w:shd w:val="clear" w:color="auto" w:fill="FFFFFF"/>
    </w:rPr>
  </w:style>
  <w:style w:type="character" w:customStyle="1" w:styleId="263">
    <w:name w:val="module-textbox"/>
    <w:qFormat/>
    <w:uiPriority w:val="0"/>
  </w:style>
  <w:style w:type="character" w:customStyle="1" w:styleId="264">
    <w:name w:val="mt-enabled"/>
    <w:qFormat/>
    <w:uiPriority w:val="0"/>
    <w:rPr>
      <w:bdr w:val="single" w:color="E0E0E0" w:sz="6" w:space="0"/>
      <w:shd w:val="clear" w:color="auto" w:fill="FFFFFF"/>
    </w:rPr>
  </w:style>
  <w:style w:type="character" w:customStyle="1" w:styleId="265">
    <w:name w:val="first-child"/>
    <w:qFormat/>
    <w:uiPriority w:val="0"/>
  </w:style>
  <w:style w:type="character" w:customStyle="1" w:styleId="266">
    <w:name w:val="error2"/>
    <w:qFormat/>
    <w:uiPriority w:val="0"/>
    <w:rPr>
      <w:bdr w:val="single" w:color="FF0000" w:sz="6" w:space="0"/>
      <w:shd w:val="clear" w:color="auto" w:fill="FECCCF"/>
    </w:rPr>
  </w:style>
  <w:style w:type="character" w:customStyle="1" w:styleId="267">
    <w:name w:val="success"/>
    <w:qFormat/>
    <w:uiPriority w:val="0"/>
    <w:rPr>
      <w:bdr w:val="single" w:color="008000" w:sz="6" w:space="0"/>
      <w:shd w:val="clear" w:color="auto" w:fill="E0FFE0"/>
    </w:rPr>
  </w:style>
  <w:style w:type="character" w:customStyle="1" w:styleId="268">
    <w:name w:val="active2"/>
    <w:qFormat/>
    <w:uiPriority w:val="0"/>
    <w:rPr>
      <w:color w:val="FF0000"/>
    </w:rPr>
  </w:style>
  <w:style w:type="character" w:customStyle="1" w:styleId="269">
    <w:name w:val="hover9"/>
    <w:qFormat/>
    <w:uiPriority w:val="0"/>
    <w:rPr>
      <w:color w:val="FF0000"/>
    </w:rPr>
  </w:style>
  <w:style w:type="paragraph" w:customStyle="1" w:styleId="270">
    <w:name w:val="z-窗体顶端1"/>
    <w:basedOn w:val="1"/>
    <w:next w:val="1"/>
    <w:link w:val="271"/>
    <w:qFormat/>
    <w:uiPriority w:val="0"/>
    <w:pPr>
      <w:pBdr>
        <w:bottom w:val="single" w:color="auto" w:sz="6" w:space="1"/>
      </w:pBdr>
      <w:jc w:val="center"/>
    </w:pPr>
    <w:rPr>
      <w:rFonts w:ascii="Arial"/>
      <w:vanish/>
      <w:sz w:val="16"/>
    </w:rPr>
  </w:style>
  <w:style w:type="character" w:customStyle="1" w:styleId="271">
    <w:name w:val="z-窗体顶端 字符"/>
    <w:basedOn w:val="47"/>
    <w:link w:val="270"/>
    <w:qFormat/>
    <w:uiPriority w:val="0"/>
    <w:rPr>
      <w:rFonts w:ascii="Arial" w:hAnsi="Times New Roman" w:eastAsia="宋体" w:cs="Times New Roman"/>
      <w:vanish/>
      <w:sz w:val="16"/>
      <w:szCs w:val="24"/>
    </w:rPr>
  </w:style>
  <w:style w:type="paragraph" w:customStyle="1" w:styleId="272">
    <w:name w:val="z-窗体底端1"/>
    <w:basedOn w:val="1"/>
    <w:next w:val="1"/>
    <w:link w:val="273"/>
    <w:qFormat/>
    <w:uiPriority w:val="0"/>
    <w:pPr>
      <w:pBdr>
        <w:top w:val="single" w:color="auto" w:sz="6" w:space="1"/>
      </w:pBdr>
      <w:jc w:val="center"/>
    </w:pPr>
    <w:rPr>
      <w:rFonts w:ascii="Arial"/>
      <w:vanish/>
      <w:sz w:val="16"/>
    </w:rPr>
  </w:style>
  <w:style w:type="character" w:customStyle="1" w:styleId="273">
    <w:name w:val="z-窗体底端 字符"/>
    <w:basedOn w:val="47"/>
    <w:link w:val="272"/>
    <w:qFormat/>
    <w:uiPriority w:val="0"/>
    <w:rPr>
      <w:rFonts w:ascii="Arial" w:hAnsi="Times New Roman" w:eastAsia="宋体" w:cs="Times New Roman"/>
      <w:vanish/>
      <w:sz w:val="16"/>
      <w:szCs w:val="24"/>
    </w:rPr>
  </w:style>
  <w:style w:type="character" w:customStyle="1" w:styleId="274">
    <w:name w:val="active"/>
    <w:qFormat/>
    <w:uiPriority w:val="0"/>
    <w:rPr>
      <w:color w:val="FF0000"/>
    </w:rPr>
  </w:style>
  <w:style w:type="character" w:customStyle="1" w:styleId="275">
    <w:name w:val="hover"/>
    <w:qFormat/>
    <w:uiPriority w:val="0"/>
    <w:rPr>
      <w:color w:val="FF0000"/>
    </w:rPr>
  </w:style>
  <w:style w:type="paragraph" w:customStyle="1" w:styleId="276">
    <w:name w:val="Table Paragraph"/>
    <w:basedOn w:val="1"/>
    <w:qFormat/>
    <w:uiPriority w:val="1"/>
  </w:style>
  <w:style w:type="character" w:customStyle="1" w:styleId="277">
    <w:name w:val="fontstyle01"/>
    <w:qFormat/>
    <w:uiPriority w:val="0"/>
    <w:rPr>
      <w:rFonts w:hint="eastAsia" w:ascii="宋体" w:hAnsi="宋体" w:eastAsia="宋体"/>
      <w:color w:val="000000"/>
      <w:sz w:val="22"/>
      <w:szCs w:val="22"/>
    </w:rPr>
  </w:style>
  <w:style w:type="paragraph" w:customStyle="1" w:styleId="278">
    <w:name w:val="标题 21"/>
    <w:basedOn w:val="1"/>
    <w:next w:val="279"/>
    <w:qFormat/>
    <w:uiPriority w:val="0"/>
    <w:pPr>
      <w:spacing w:before="240" w:line="300" w:lineRule="auto"/>
      <w:outlineLvl w:val="1"/>
    </w:pPr>
    <w:rPr>
      <w:rFonts w:ascii="宋体" w:hAnsi="宋体"/>
      <w:b/>
      <w:snapToGrid w:val="0"/>
      <w:kern w:val="0"/>
      <w:sz w:val="28"/>
    </w:rPr>
  </w:style>
  <w:style w:type="paragraph" w:customStyle="1" w:styleId="279">
    <w:name w:val="正文缩进1"/>
    <w:basedOn w:val="1"/>
    <w:qFormat/>
    <w:uiPriority w:val="0"/>
    <w:pPr>
      <w:tabs>
        <w:tab w:val="left" w:pos="720"/>
      </w:tabs>
      <w:ind w:left="624" w:hanging="624"/>
      <w:textAlignment w:val="baseline"/>
    </w:pPr>
    <w:rPr>
      <w:rFonts w:hint="eastAsia" w:ascii="宋体"/>
    </w:rPr>
  </w:style>
  <w:style w:type="paragraph" w:customStyle="1" w:styleId="280">
    <w:name w:val="WPSOffice手动目录 1"/>
    <w:qFormat/>
    <w:uiPriority w:val="0"/>
    <w:rPr>
      <w:rFonts w:ascii="Times New Roman" w:hAnsi="Times New Roman" w:eastAsia="宋体" w:cs="Times New Roman"/>
      <w:lang w:val="en-US" w:eastAsia="zh-CN" w:bidi="ar-SA"/>
    </w:rPr>
  </w:style>
  <w:style w:type="paragraph" w:customStyle="1" w:styleId="281">
    <w:name w:val="列出段落1"/>
    <w:basedOn w:val="1"/>
    <w:qFormat/>
    <w:uiPriority w:val="1"/>
    <w:pPr>
      <w:ind w:left="1060" w:firstLine="480"/>
    </w:pPr>
  </w:style>
  <w:style w:type="character" w:customStyle="1" w:styleId="282">
    <w:name w:val="Char Char1"/>
    <w:link w:val="283"/>
    <w:qFormat/>
    <w:uiPriority w:val="0"/>
    <w:rPr>
      <w:b/>
      <w:sz w:val="28"/>
    </w:rPr>
  </w:style>
  <w:style w:type="paragraph" w:customStyle="1" w:styleId="283">
    <w:name w:val="批注主题1"/>
    <w:basedOn w:val="5"/>
    <w:next w:val="5"/>
    <w:link w:val="282"/>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4">
    <w:name w:val="不明显参考1"/>
    <w:qFormat/>
    <w:uiPriority w:val="0"/>
    <w:rPr>
      <w:smallCaps/>
      <w:color w:val="C0504D"/>
      <w:u w:val="single"/>
    </w:rPr>
  </w:style>
  <w:style w:type="character" w:customStyle="1" w:styleId="285">
    <w:name w:val="正文文本首行缩进 2 字符1"/>
    <w:qFormat/>
    <w:uiPriority w:val="0"/>
    <w:rPr>
      <w:kern w:val="2"/>
      <w:sz w:val="21"/>
    </w:rPr>
  </w:style>
  <w:style w:type="character" w:customStyle="1" w:styleId="286">
    <w:name w:val="正文首行缩进 2 Char"/>
    <w:link w:val="2"/>
    <w:qFormat/>
    <w:uiPriority w:val="0"/>
    <w:rPr>
      <w:kern w:val="2"/>
      <w:sz w:val="21"/>
    </w:rPr>
  </w:style>
  <w:style w:type="character" w:customStyle="1" w:styleId="287">
    <w:name w:val="正文缩进 Char"/>
    <w:link w:val="17"/>
    <w:qFormat/>
    <w:uiPriority w:val="99"/>
  </w:style>
  <w:style w:type="paragraph" w:customStyle="1" w:styleId="288">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34230</Words>
  <Characters>35871</Characters>
  <Lines>186</Lines>
  <Paragraphs>52</Paragraphs>
  <TotalTime>96</TotalTime>
  <ScaleCrop>false</ScaleCrop>
  <LinksUpToDate>false</LinksUpToDate>
  <CharactersWithSpaces>37636</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陈湘梅</cp:lastModifiedBy>
  <cp:lastPrinted>2023-10-13T00:47:00Z</cp:lastPrinted>
  <dcterms:modified xsi:type="dcterms:W3CDTF">2023-12-15T09:00:51Z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337C1F2CF42A47648C4C850F9C5ECD74</vt:lpwstr>
  </property>
</Properties>
</file>