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color w:val="000000" w:themeColor="text1"/>
          <w:kern w:val="0"/>
          <w:sz w:val="24"/>
          <w14:textFill>
            <w14:solidFill>
              <w14:schemeClr w14:val="tx1"/>
            </w14:solidFill>
          </w14:textFill>
        </w:rPr>
      </w:pPr>
    </w:p>
    <w:p>
      <w:pPr>
        <w:ind w:firstLine="435"/>
        <w:jc w:val="center"/>
        <w:rPr>
          <w:rFonts w:hint="eastAsia" w:eastAsia="宋体"/>
          <w:color w:val="000000" w:themeColor="text1"/>
          <w:sz w:val="32"/>
          <w:szCs w:val="32"/>
          <w:lang w:eastAsia="zh-CN"/>
          <w14:textFill>
            <w14:solidFill>
              <w14:schemeClr w14:val="tx1"/>
            </w14:solidFill>
          </w14:textFill>
        </w:rPr>
      </w:pPr>
      <w:r>
        <w:rPr>
          <w:rFonts w:hint="eastAsia" w:ascii="宋体" w:hAnsi="宋体" w:eastAsia="宋体" w:cs="宋体"/>
          <w:b/>
          <w:bCs/>
          <w:color w:val="auto"/>
          <w:sz w:val="32"/>
          <w:szCs w:val="32"/>
          <w:highlight w:val="none"/>
        </w:rPr>
        <w:t>长沙市轨道交通西环线运营期2023年-2024年九华车辆基地食堂劳务委外服务项目</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第二次</w:t>
      </w:r>
      <w:r>
        <w:rPr>
          <w:rFonts w:hint="eastAsia" w:ascii="宋体" w:hAnsi="宋体" w:cs="宋体"/>
          <w:b/>
          <w:bCs/>
          <w:color w:val="auto"/>
          <w:sz w:val="32"/>
          <w:szCs w:val="32"/>
          <w:highlight w:val="none"/>
          <w:lang w:eastAsia="zh-CN"/>
        </w:rPr>
        <w:t>）</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jc w:val="center"/>
        <w:rPr>
          <w:color w:val="000000" w:themeColor="text1"/>
          <w:sz w:val="22"/>
          <w:szCs w:val="2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竞 争 性 采 购 文 件</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spacing w:line="360" w:lineRule="auto"/>
        <w:ind w:firstLine="1960" w:firstLineChars="700"/>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 xml:space="preserve">采 购 </w:t>
      </w:r>
      <w:r>
        <w:rPr>
          <w:rFonts w:hint="eastAsia" w:ascii="黑体" w:hAnsi="黑体" w:eastAsia="黑体"/>
          <w:color w:val="000000" w:themeColor="text1"/>
          <w:sz w:val="28"/>
          <w:szCs w:val="28"/>
          <w14:textFill>
            <w14:solidFill>
              <w14:schemeClr w14:val="tx1"/>
            </w14:solidFill>
          </w14:textFill>
        </w:rPr>
        <w:t>人：</w:t>
      </w:r>
      <w:r>
        <w:rPr>
          <w:rFonts w:hint="eastAsia" w:ascii="Times New Roman" w:hAnsi="Times New Roman" w:eastAsia="黑体" w:cs="Times New Roman"/>
          <w:color w:val="000000" w:themeColor="text1"/>
          <w:sz w:val="28"/>
          <w:szCs w:val="28"/>
          <w:u w:val="single"/>
          <w14:textFill>
            <w14:solidFill>
              <w14:schemeClr w14:val="tx1"/>
            </w14:solidFill>
          </w14:textFill>
        </w:rPr>
        <w:t>长沙市轨道交通运营有限公司</w:t>
      </w:r>
    </w:p>
    <w:p>
      <w:pPr>
        <w:spacing w:line="540" w:lineRule="exact"/>
        <w:ind w:firstLine="1960" w:firstLineChars="700"/>
        <w:rPr>
          <w:rFonts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日</w:t>
      </w:r>
      <w:r>
        <w:rPr>
          <w:rFonts w:hint="eastAsia"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期</w:t>
      </w:r>
      <w:r>
        <w:rPr>
          <w:rFonts w:hint="eastAsia"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bookmarkStart w:id="156" w:name="_GoBack"/>
      <w:r>
        <w:rPr>
          <w:rFonts w:hint="eastAsia" w:eastAsia="黑体"/>
          <w:color w:val="000000" w:themeColor="text1"/>
          <w:sz w:val="28"/>
          <w:szCs w:val="28"/>
          <w:highlight w:val="none"/>
          <w:u w:val="single"/>
          <w:lang w:val="en-US" w:eastAsia="zh-CN"/>
          <w14:textFill>
            <w14:solidFill>
              <w14:schemeClr w14:val="tx1"/>
            </w14:solidFill>
          </w14:textFill>
        </w:rPr>
        <w:t>08</w:t>
      </w:r>
      <w:r>
        <w:rPr>
          <w:rFonts w:hint="eastAsia" w:ascii="黑体" w:hAnsi="黑体" w:eastAsia="黑体"/>
          <w:color w:val="000000" w:themeColor="text1"/>
          <w:sz w:val="28"/>
          <w:szCs w:val="28"/>
          <w:highlight w:val="none"/>
          <w14:textFill>
            <w14:solidFill>
              <w14:schemeClr w14:val="tx1"/>
            </w14:solidFill>
          </w14:textFill>
        </w:rPr>
        <w:t>月</w:t>
      </w:r>
      <w:r>
        <w:rPr>
          <w:rFonts w:hint="eastAsia" w:eastAsia="黑体"/>
          <w:color w:val="000000" w:themeColor="text1"/>
          <w:sz w:val="28"/>
          <w:szCs w:val="28"/>
          <w:highlight w:val="none"/>
          <w:u w:val="single"/>
          <w:lang w:val="en-US" w:eastAsia="zh-CN"/>
          <w14:textFill>
            <w14:solidFill>
              <w14:schemeClr w14:val="tx1"/>
            </w14:solidFill>
          </w14:textFill>
        </w:rPr>
        <w:t>14</w:t>
      </w:r>
      <w:r>
        <w:rPr>
          <w:rFonts w:hint="eastAsia" w:ascii="黑体" w:hAnsi="黑体" w:eastAsia="黑体"/>
          <w:color w:val="000000" w:themeColor="text1"/>
          <w:sz w:val="28"/>
          <w:szCs w:val="28"/>
          <w:highlight w:val="none"/>
          <w14:textFill>
            <w14:solidFill>
              <w14:schemeClr w14:val="tx1"/>
            </w14:solidFill>
          </w14:textFill>
        </w:rPr>
        <w:t>日</w:t>
      </w:r>
      <w:bookmarkEnd w:id="156"/>
    </w:p>
    <w:p>
      <w:pPr>
        <w:pStyle w:val="43"/>
        <w:ind w:firstLine="440"/>
        <w:rPr>
          <w:color w:val="000000" w:themeColor="text1"/>
          <w:sz w:val="22"/>
          <w:szCs w:val="22"/>
          <w14:textFill>
            <w14:solidFill>
              <w14:schemeClr w14:val="tx1"/>
            </w14:solidFill>
          </w14:textFill>
        </w:rPr>
      </w:pPr>
    </w:p>
    <w:p>
      <w:pPr>
        <w:ind w:firstLine="435"/>
        <w:rPr>
          <w:rFonts w:ascii="华文中宋" w:hAnsi="华文中宋" w:eastAsia="华文中宋"/>
          <w:b/>
          <w:color w:val="000000" w:themeColor="text1"/>
          <w:sz w:val="52"/>
          <w:szCs w:val="52"/>
          <w14:textFill>
            <w14:solidFill>
              <w14:schemeClr w14:val="tx1"/>
            </w14:solidFill>
          </w14:textFill>
        </w:rPr>
      </w:pPr>
    </w:p>
    <w:p>
      <w:pPr>
        <w:pStyle w:val="24"/>
        <w:adjustRightInd w:val="0"/>
        <w:snapToGrid w:val="0"/>
        <w:spacing w:line="360" w:lineRule="auto"/>
        <w:rPr>
          <w:rFonts w:ascii="黑体" w:hAnsi="黑体" w:eastAsia="黑体" w:cs="宋体"/>
          <w:b/>
          <w:color w:val="000000" w:themeColor="text1"/>
          <w:spacing w:val="160"/>
          <w:sz w:val="32"/>
          <w:szCs w:val="32"/>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000000" w:themeColor="text1"/>
          <w:spacing w:val="160"/>
          <w:sz w:val="32"/>
          <w:szCs w:val="32"/>
          <w14:textFill>
            <w14:solidFill>
              <w14:schemeClr w14:val="tx1"/>
            </w14:solidFill>
          </w14:textFill>
        </w:rPr>
      </w:pPr>
      <w:r>
        <w:rPr>
          <w:rFonts w:hint="eastAsia" w:ascii="黑体" w:hAnsi="黑体" w:eastAsia="黑体" w:cs="宋体"/>
          <w:b/>
          <w:color w:val="000000" w:themeColor="text1"/>
          <w:spacing w:val="160"/>
          <w:sz w:val="32"/>
          <w:szCs w:val="32"/>
          <w14:textFill>
            <w14:solidFill>
              <w14:schemeClr w14:val="tx1"/>
            </w14:solidFill>
          </w14:textFill>
        </w:rPr>
        <w:t>目录</w:t>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_Toc15335 </w:instrText>
      </w:r>
      <w:r>
        <w:fldChar w:fldCharType="separate"/>
      </w:r>
      <w:r>
        <w:rPr>
          <w:rFonts w:hint="eastAsia" w:ascii="黑体" w:hAnsi="黑体" w:eastAsia="黑体" w:cs="黑体"/>
          <w:szCs w:val="32"/>
        </w:rPr>
        <w:t>第一章 竞争性采购公告</w:t>
      </w:r>
      <w:r>
        <w:tab/>
      </w:r>
      <w:r>
        <w:fldChar w:fldCharType="begin"/>
      </w:r>
      <w:r>
        <w:instrText xml:space="preserve"> PAGEREF _Toc15335 \h </w:instrText>
      </w:r>
      <w:r>
        <w:fldChar w:fldCharType="separate"/>
      </w:r>
      <w:r>
        <w:t>1</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_Toc22187 </w:instrText>
      </w:r>
      <w:r>
        <w:fldChar w:fldCharType="separate"/>
      </w:r>
      <w:r>
        <w:rPr>
          <w:rFonts w:hint="eastAsia" w:ascii="黑体" w:hAnsi="黑体" w:eastAsia="黑体" w:cs="黑体"/>
          <w:szCs w:val="32"/>
        </w:rPr>
        <w:t>第二章 竞争性采购须知</w:t>
      </w:r>
      <w:r>
        <w:tab/>
      </w:r>
      <w:r>
        <w:fldChar w:fldCharType="begin"/>
      </w:r>
      <w:r>
        <w:instrText xml:space="preserve"> PAGEREF _Toc22187 \h </w:instrText>
      </w:r>
      <w:r>
        <w:fldChar w:fldCharType="separate"/>
      </w:r>
      <w:r>
        <w:t>6</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_Toc3540 </w:instrText>
      </w:r>
      <w:r>
        <w:fldChar w:fldCharType="separate"/>
      </w:r>
      <w:r>
        <w:rPr>
          <w:rFonts w:hint="eastAsia" w:ascii="黑体" w:hAnsi="黑体" w:eastAsia="黑体" w:cs="黑体"/>
          <w:bCs/>
          <w:szCs w:val="32"/>
        </w:rPr>
        <w:t>第三章 评审办法及标准</w:t>
      </w:r>
      <w:r>
        <w:tab/>
      </w:r>
      <w:r>
        <w:fldChar w:fldCharType="begin"/>
      </w:r>
      <w:r>
        <w:instrText xml:space="preserve"> PAGEREF _Toc3540 \h </w:instrText>
      </w:r>
      <w:r>
        <w:fldChar w:fldCharType="separate"/>
      </w:r>
      <w:r>
        <w:t>23</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_Toc13416 </w:instrText>
      </w:r>
      <w:r>
        <w:fldChar w:fldCharType="separate"/>
      </w:r>
      <w:r>
        <w:rPr>
          <w:rFonts w:hint="eastAsia" w:ascii="黑体" w:eastAsia="黑体"/>
          <w:szCs w:val="32"/>
        </w:rPr>
        <w:t>第四章 合同条款及格式</w:t>
      </w:r>
      <w:r>
        <w:tab/>
      </w:r>
      <w:r>
        <w:fldChar w:fldCharType="begin"/>
      </w:r>
      <w:r>
        <w:instrText xml:space="preserve"> PAGEREF _Toc13416 \h </w:instrText>
      </w:r>
      <w:r>
        <w:fldChar w:fldCharType="separate"/>
      </w:r>
      <w:r>
        <w:t>34</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_Toc7734 </w:instrText>
      </w:r>
      <w:r>
        <w:fldChar w:fldCharType="separate"/>
      </w:r>
      <w:r>
        <w:rPr>
          <w:rFonts w:hint="eastAsia" w:ascii="黑体" w:hAnsi="Times New Roman" w:eastAsia="黑体" w:cs="Times New Roman"/>
          <w:bCs/>
          <w:kern w:val="2"/>
          <w:szCs w:val="32"/>
          <w:lang w:val="en-US" w:eastAsia="zh-CN" w:bidi="ar-SA"/>
        </w:rPr>
        <w:t>第五章 用户需求书（另册）</w:t>
      </w:r>
      <w:r>
        <w:tab/>
      </w:r>
      <w:r>
        <w:fldChar w:fldCharType="begin"/>
      </w:r>
      <w:r>
        <w:instrText xml:space="preserve"> PAGEREF _Toc7734 \h </w:instrText>
      </w:r>
      <w:r>
        <w:fldChar w:fldCharType="separate"/>
      </w:r>
      <w:r>
        <w:t>60</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_Toc2947 </w:instrText>
      </w:r>
      <w:r>
        <w:fldChar w:fldCharType="separate"/>
      </w:r>
      <w:r>
        <w:rPr>
          <w:rFonts w:hint="eastAsia" w:ascii="黑体" w:eastAsia="黑体"/>
          <w:szCs w:val="32"/>
        </w:rPr>
        <w:t xml:space="preserve">第六章 </w:t>
      </w:r>
      <w:r>
        <w:rPr>
          <w:rFonts w:hint="eastAsia" w:ascii="黑体" w:hAnsi="Times New Roman" w:eastAsia="黑体" w:cs="Times New Roman"/>
          <w:szCs w:val="32"/>
        </w:rPr>
        <w:t>竞争性采购最高限价</w:t>
      </w:r>
      <w:r>
        <w:tab/>
      </w:r>
      <w:r>
        <w:fldChar w:fldCharType="begin"/>
      </w:r>
      <w:r>
        <w:instrText xml:space="preserve"> PAGEREF _Toc2947 \h </w:instrText>
      </w:r>
      <w:r>
        <w:fldChar w:fldCharType="separate"/>
      </w:r>
      <w:r>
        <w:t>61</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_Toc8284 </w:instrText>
      </w:r>
      <w:r>
        <w:fldChar w:fldCharType="separate"/>
      </w:r>
      <w:r>
        <w:rPr>
          <w:rFonts w:hint="eastAsia" w:ascii="黑体" w:eastAsia="黑体"/>
          <w:szCs w:val="32"/>
        </w:rPr>
        <w:t>第</w:t>
      </w:r>
      <w:r>
        <w:rPr>
          <w:rFonts w:hint="eastAsia" w:ascii="黑体" w:eastAsia="黑体"/>
          <w:szCs w:val="32"/>
          <w:lang w:val="en-US" w:eastAsia="zh-CN"/>
        </w:rPr>
        <w:t>七</w:t>
      </w:r>
      <w:r>
        <w:rPr>
          <w:rFonts w:hint="eastAsia" w:ascii="黑体" w:eastAsia="黑体"/>
          <w:szCs w:val="32"/>
        </w:rPr>
        <w:t>章 响应文件格式</w:t>
      </w:r>
      <w:r>
        <w:tab/>
      </w:r>
      <w:r>
        <w:fldChar w:fldCharType="begin"/>
      </w:r>
      <w:r>
        <w:instrText xml:space="preserve"> PAGEREF _Toc8284 \h </w:instrText>
      </w:r>
      <w:r>
        <w:fldChar w:fldCharType="separate"/>
      </w:r>
      <w:r>
        <w:t>62</w:t>
      </w:r>
      <w:r>
        <w:fldChar w:fldCharType="end"/>
      </w:r>
      <w:r>
        <w:rPr>
          <w:color w:val="000000" w:themeColor="text1"/>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spacing w:line="360" w:lineRule="auto"/>
        <w:rPr>
          <w:rFonts w:ascii="宋体" w:hAnsi="宋体" w:cs="宋体"/>
          <w:b/>
          <w:color w:val="000000" w:themeColor="text1"/>
          <w:sz w:val="24"/>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14:textFill>
            <w14:solidFill>
              <w14:schemeClr w14:val="tx1"/>
            </w14:solidFill>
          </w14:textFill>
        </w:rPr>
      </w:pPr>
    </w:p>
    <w:p>
      <w:pPr>
        <w:spacing w:line="360" w:lineRule="exact"/>
        <w:rPr>
          <w:rFonts w:ascii="黑体" w:eastAsia="黑体"/>
          <w:b/>
          <w:color w:val="000000" w:themeColor="text1"/>
          <w:sz w:val="24"/>
          <w14:textFill>
            <w14:solidFill>
              <w14:schemeClr w14:val="tx1"/>
            </w14:solidFill>
          </w14:textFill>
        </w:rPr>
      </w:pPr>
    </w:p>
    <w:p>
      <w:pPr>
        <w:spacing w:line="360" w:lineRule="exact"/>
        <w:jc w:val="center"/>
        <w:rPr>
          <w:rFonts w:ascii="黑体" w:hAnsi="宋体" w:eastAsia="黑体"/>
          <w:b/>
          <w:color w:val="000000" w:themeColor="text1"/>
          <w:sz w:val="32"/>
          <w:szCs w:val="32"/>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 </w:t>
      </w:r>
      <w:bookmarkStart w:id="0" w:name="_Toc15335"/>
      <w:bookmarkStart w:id="1" w:name="_Toc28078"/>
      <w:r>
        <w:rPr>
          <w:rFonts w:hint="eastAsia" w:ascii="黑体" w:hAnsi="黑体" w:eastAsia="黑体" w:cs="黑体"/>
          <w:b/>
          <w:color w:val="000000" w:themeColor="text1"/>
          <w:sz w:val="32"/>
          <w:szCs w:val="32"/>
          <w14:textFill>
            <w14:solidFill>
              <w14:schemeClr w14:val="tx1"/>
            </w14:solidFill>
          </w14:textFill>
        </w:rPr>
        <w:t>竞争性采购公告</w:t>
      </w:r>
      <w:bookmarkEnd w:id="0"/>
      <w:bookmarkEnd w:id="1"/>
    </w:p>
    <w:p>
      <w:pPr>
        <w:pStyle w:val="43"/>
        <w:rPr>
          <w:rFonts w:ascii="黑体" w:hAnsi="黑体" w:eastAsia="黑体" w:cs="黑体"/>
          <w:color w:val="000000" w:themeColor="text1"/>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u w:val="single"/>
          <w14:textFill>
            <w14:solidFill>
              <w14:schemeClr w14:val="tx1"/>
            </w14:solidFill>
          </w14:textFill>
        </w:rPr>
      </w:pPr>
      <w:r>
        <w:rPr>
          <w:rFonts w:hint="eastAsia" w:ascii="宋体" w:hAnsi="宋体" w:eastAsia="宋体" w:cs="宋体"/>
          <w:b/>
          <w:bCs/>
          <w:color w:val="000000" w:themeColor="text1"/>
          <w:sz w:val="28"/>
          <w:szCs w:val="28"/>
          <w:u w:val="single"/>
          <w14:textFill>
            <w14:solidFill>
              <w14:schemeClr w14:val="tx1"/>
            </w14:solidFill>
          </w14:textFill>
        </w:rPr>
        <w:t>长沙市轨道交通西环线运营期2023年-2024年九华车辆基地食堂劳务委外服务项目</w:t>
      </w:r>
      <w:r>
        <w:rPr>
          <w:rFonts w:hint="eastAsia" w:ascii="宋体" w:hAnsi="宋体" w:cs="宋体"/>
          <w:b/>
          <w:bCs/>
          <w:color w:val="000000" w:themeColor="text1"/>
          <w:sz w:val="28"/>
          <w:szCs w:val="28"/>
          <w:u w:val="single"/>
          <w:lang w:eastAsia="zh-CN"/>
          <w14:textFill>
            <w14:solidFill>
              <w14:schemeClr w14:val="tx1"/>
            </w14:solidFill>
          </w14:textFill>
        </w:rPr>
        <w:t>（</w:t>
      </w:r>
      <w:r>
        <w:rPr>
          <w:rFonts w:hint="eastAsia" w:ascii="宋体" w:hAnsi="宋体" w:cs="宋体"/>
          <w:b/>
          <w:bCs/>
          <w:color w:val="000000" w:themeColor="text1"/>
          <w:sz w:val="28"/>
          <w:szCs w:val="28"/>
          <w:u w:val="single"/>
          <w:lang w:val="en-US" w:eastAsia="zh-CN"/>
          <w14:textFill>
            <w14:solidFill>
              <w14:schemeClr w14:val="tx1"/>
            </w14:solidFill>
          </w14:textFill>
        </w:rPr>
        <w:t>第二次</w:t>
      </w:r>
      <w:r>
        <w:rPr>
          <w:rFonts w:hint="eastAsia" w:ascii="宋体" w:hAnsi="宋体" w:cs="宋体"/>
          <w:b/>
          <w:bCs/>
          <w:color w:val="000000" w:themeColor="text1"/>
          <w:sz w:val="28"/>
          <w:szCs w:val="28"/>
          <w:u w:val="single"/>
          <w:lang w:eastAsia="zh-CN"/>
          <w14:textFill>
            <w14:solidFill>
              <w14:schemeClr w14:val="tx1"/>
            </w14:solidFill>
          </w14:textFill>
        </w:rPr>
        <w:t>）</w:t>
      </w:r>
      <w:r>
        <w:rPr>
          <w:rFonts w:hint="eastAsia" w:ascii="宋体" w:hAnsi="宋体" w:cs="宋体"/>
          <w:b/>
          <w:bCs/>
          <w:color w:val="000000" w:themeColor="text1"/>
          <w:sz w:val="28"/>
          <w:szCs w:val="28"/>
          <w:u w:val="single"/>
          <w14:textFill>
            <w14:solidFill>
              <w14:schemeClr w14:val="tx1"/>
            </w14:solidFill>
          </w14:textFill>
        </w:rPr>
        <w:t>竞争性采购公告</w:t>
      </w:r>
    </w:p>
    <w:p>
      <w:pPr>
        <w:pStyle w:val="24"/>
        <w:adjustRightInd w:val="0"/>
        <w:snapToGrid w:val="0"/>
        <w:spacing w:line="360" w:lineRule="auto"/>
        <w:rPr>
          <w:rFonts w:hAnsi="宋体"/>
          <w:iCs/>
          <w:color w:val="000000" w:themeColor="text1"/>
          <w:u w:val="single"/>
          <w14:textFill>
            <w14:solidFill>
              <w14:schemeClr w14:val="tx1"/>
            </w14:solidFill>
          </w14:textFill>
        </w:rPr>
      </w:pP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bookmarkStart w:id="2" w:name="_Toc19246"/>
      <w:bookmarkStart w:id="3" w:name="_Toc16911"/>
      <w:r>
        <w:rPr>
          <w:rFonts w:hint="eastAsia" w:ascii="宋体" w:hAnsi="宋体" w:eastAsia="宋体" w:cs="宋体"/>
          <w:b/>
          <w:bCs/>
          <w:color w:val="000000"/>
          <w:sz w:val="21"/>
          <w:szCs w:val="21"/>
        </w:rPr>
        <w:t>1.项目概况</w:t>
      </w:r>
    </w:p>
    <w:p>
      <w:pPr>
        <w:pStyle w:val="39"/>
        <w:widowControl/>
        <w:snapToGrid w:val="0"/>
        <w:spacing w:beforeAutospacing="0" w:afterAutospacing="0" w:line="360" w:lineRule="auto"/>
        <w:ind w:firstLine="422" w:firstLineChars="200"/>
        <w:jc w:val="both"/>
        <w:rPr>
          <w:rFonts w:ascii="宋体" w:hAnsi="宋体" w:eastAsia="宋体" w:cs="微软雅黑"/>
          <w:color w:val="000000"/>
          <w:sz w:val="21"/>
          <w:szCs w:val="21"/>
        </w:rPr>
      </w:pPr>
      <w:r>
        <w:rPr>
          <w:rStyle w:val="47"/>
          <w:rFonts w:hint="eastAsia" w:ascii="宋体" w:hAnsi="宋体" w:eastAsia="宋体" w:cs="微软雅黑"/>
          <w:color w:val="000000"/>
          <w:sz w:val="21"/>
          <w:szCs w:val="21"/>
        </w:rPr>
        <w:t>1.1 采购条件</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本采购项目</w:t>
      </w:r>
      <w:r>
        <w:rPr>
          <w:rFonts w:hint="eastAsia" w:ascii="宋体" w:hAnsi="宋体" w:eastAsia="宋体" w:cs="宋体"/>
          <w:color w:val="000000"/>
          <w:sz w:val="21"/>
          <w:szCs w:val="21"/>
          <w:u w:val="single"/>
          <w:shd w:val="clear" w:color="auto" w:fill="FFFFFF"/>
        </w:rPr>
        <w:t>长沙市轨道交通西环线运营期2023年-2024年九华车辆基地食堂劳务委外服务项目</w:t>
      </w:r>
      <w:r>
        <w:rPr>
          <w:rFonts w:hint="eastAsia" w:cs="宋体"/>
          <w:color w:val="000000"/>
          <w:sz w:val="21"/>
          <w:szCs w:val="21"/>
          <w:u w:val="single"/>
          <w:shd w:val="clear" w:color="auto" w:fill="FFFFFF"/>
          <w:lang w:eastAsia="zh-CN"/>
        </w:rPr>
        <w:t>（</w:t>
      </w:r>
      <w:r>
        <w:rPr>
          <w:rFonts w:hint="eastAsia" w:cs="宋体"/>
          <w:color w:val="000000"/>
          <w:sz w:val="21"/>
          <w:szCs w:val="21"/>
          <w:u w:val="single"/>
          <w:shd w:val="clear" w:color="auto" w:fill="FFFFFF"/>
          <w:lang w:val="en-US" w:eastAsia="zh-CN"/>
        </w:rPr>
        <w:t>第二次</w:t>
      </w:r>
      <w:r>
        <w:rPr>
          <w:rFonts w:hint="eastAsia" w:cs="宋体"/>
          <w:color w:val="000000"/>
          <w:sz w:val="21"/>
          <w:szCs w:val="21"/>
          <w:u w:val="single"/>
          <w:shd w:val="clear" w:color="auto" w:fill="FFFFFF"/>
          <w:lang w:eastAsia="zh-CN"/>
        </w:rPr>
        <w:t>）</w:t>
      </w:r>
      <w:r>
        <w:rPr>
          <w:rFonts w:hint="eastAsia" w:ascii="宋体" w:hAnsi="宋体" w:eastAsia="宋体" w:cs="宋体"/>
          <w:color w:val="000000"/>
          <w:sz w:val="21"/>
          <w:szCs w:val="21"/>
          <w:shd w:val="clear" w:color="auto" w:fill="FFFFFF"/>
        </w:rPr>
        <w:t>，采购编号为</w:t>
      </w:r>
      <w:r>
        <w:rPr>
          <w:rFonts w:hint="eastAsia" w:ascii="宋体" w:hAnsi="宋体" w:eastAsia="宋体" w:cs="宋体"/>
          <w:color w:val="000000"/>
          <w:sz w:val="21"/>
          <w:szCs w:val="21"/>
          <w:u w:val="single"/>
        </w:rPr>
        <w:t>长轨运服采【2023】049号</w:t>
      </w:r>
      <w:r>
        <w:rPr>
          <w:rFonts w:hint="eastAsia" w:ascii="宋体" w:hAnsi="宋体" w:eastAsia="宋体" w:cs="宋体"/>
          <w:color w:val="000000"/>
          <w:sz w:val="21"/>
          <w:szCs w:val="21"/>
          <w:shd w:val="clear" w:color="auto" w:fill="FFFFFF"/>
        </w:rPr>
        <w:t>，采购人为</w:t>
      </w:r>
      <w:r>
        <w:rPr>
          <w:rFonts w:hint="eastAsia" w:ascii="宋体" w:hAnsi="宋体" w:eastAsia="宋体" w:cs="宋体"/>
          <w:color w:val="000000"/>
          <w:sz w:val="21"/>
          <w:szCs w:val="21"/>
          <w:u w:val="single"/>
          <w:shd w:val="clear" w:color="auto" w:fill="FFFFFF"/>
        </w:rPr>
        <w:t>长沙市轨道交通运营有限公司</w:t>
      </w:r>
      <w:r>
        <w:rPr>
          <w:rFonts w:hint="eastAsia" w:ascii="宋体" w:hAnsi="宋体" w:eastAsia="宋体" w:cs="宋体"/>
          <w:color w:val="000000"/>
          <w:sz w:val="21"/>
          <w:szCs w:val="21"/>
          <w:shd w:val="clear" w:color="auto" w:fill="FFFFFF"/>
        </w:rPr>
        <w:t>，采购项目资金来源已落实。该项目已具备采购条件，现进行竞争性采购。</w:t>
      </w:r>
    </w:p>
    <w:p>
      <w:pPr>
        <w:pStyle w:val="39"/>
        <w:widowControl/>
        <w:snapToGrid w:val="0"/>
        <w:spacing w:beforeAutospacing="0" w:afterAutospacing="0" w:line="360" w:lineRule="auto"/>
        <w:ind w:firstLine="422" w:firstLineChars="200"/>
        <w:jc w:val="both"/>
        <w:rPr>
          <w:rFonts w:ascii="宋体" w:hAnsi="宋体" w:eastAsia="宋体" w:cs="微软雅黑"/>
          <w:color w:val="000000"/>
          <w:sz w:val="21"/>
          <w:szCs w:val="21"/>
        </w:rPr>
      </w:pPr>
      <w:r>
        <w:rPr>
          <w:rStyle w:val="47"/>
          <w:rFonts w:hint="eastAsia" w:ascii="宋体" w:hAnsi="宋体" w:eastAsia="宋体" w:cs="微软雅黑"/>
          <w:color w:val="000000"/>
          <w:sz w:val="21"/>
          <w:szCs w:val="21"/>
        </w:rPr>
        <w:t>1.2采购项目概况与采购范围</w:t>
      </w:r>
    </w:p>
    <w:p>
      <w:pPr>
        <w:pStyle w:val="39"/>
        <w:widowControl/>
        <w:snapToGrid w:val="0"/>
        <w:spacing w:beforeAutospacing="0" w:afterAutospacing="0" w:line="360" w:lineRule="auto"/>
        <w:ind w:firstLine="420" w:firstLineChars="20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1.2.1项目名称:</w:t>
      </w:r>
      <w:r>
        <w:rPr>
          <w:rFonts w:hint="eastAsia" w:ascii="宋体" w:hAnsi="宋体" w:eastAsia="宋体" w:cs="宋体"/>
          <w:color w:val="000000"/>
          <w:sz w:val="21"/>
          <w:szCs w:val="21"/>
          <w:u w:val="single"/>
          <w:shd w:val="clear" w:color="auto" w:fill="FFFFFF"/>
        </w:rPr>
        <w:t>长沙市轨道交通西环线运营期2023年-2024年九华车辆基地食堂劳务委外服务项目</w:t>
      </w:r>
      <w:r>
        <w:rPr>
          <w:rFonts w:hint="eastAsia" w:cs="宋体"/>
          <w:color w:val="000000"/>
          <w:sz w:val="21"/>
          <w:szCs w:val="21"/>
          <w:u w:val="single"/>
          <w:shd w:val="clear" w:color="auto" w:fill="FFFFFF"/>
          <w:lang w:eastAsia="zh-CN"/>
        </w:rPr>
        <w:t>（</w:t>
      </w:r>
      <w:r>
        <w:rPr>
          <w:rFonts w:hint="eastAsia" w:cs="宋体"/>
          <w:color w:val="000000"/>
          <w:sz w:val="21"/>
          <w:szCs w:val="21"/>
          <w:u w:val="single"/>
          <w:shd w:val="clear" w:color="auto" w:fill="FFFFFF"/>
          <w:lang w:val="en-US" w:eastAsia="zh-CN"/>
        </w:rPr>
        <w:t>第二次</w:t>
      </w:r>
      <w:r>
        <w:rPr>
          <w:rFonts w:hint="eastAsia" w:cs="宋体"/>
          <w:color w:val="000000"/>
          <w:sz w:val="21"/>
          <w:szCs w:val="21"/>
          <w:u w:val="single"/>
          <w:shd w:val="clear" w:color="auto" w:fill="FFFFFF"/>
          <w:lang w:eastAsia="zh-CN"/>
        </w:rPr>
        <w:t>）</w:t>
      </w:r>
      <w:r>
        <w:rPr>
          <w:rFonts w:hint="eastAsia" w:ascii="宋体" w:hAnsi="宋体" w:eastAsia="宋体" w:cs="宋体"/>
          <w:color w:val="000000"/>
          <w:sz w:val="21"/>
          <w:szCs w:val="21"/>
          <w:shd w:val="clear" w:color="auto" w:fill="FFFFFF"/>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标段划分：</w:t>
      </w:r>
      <w:r>
        <w:rPr>
          <w:rFonts w:hint="eastAsia" w:ascii="宋体" w:hAnsi="宋体" w:eastAsia="宋体" w:cs="宋体"/>
          <w:color w:val="000000"/>
          <w:sz w:val="21"/>
          <w:szCs w:val="21"/>
          <w:u w:val="single"/>
          <w:shd w:val="clear" w:color="auto" w:fill="FFFFFF"/>
        </w:rPr>
        <w:t>1个标段</w:t>
      </w:r>
      <w:r>
        <w:rPr>
          <w:rFonts w:hint="eastAsia" w:ascii="宋体" w:hAnsi="宋体" w:eastAsia="宋体" w:cs="宋体"/>
          <w:color w:val="000000"/>
          <w:sz w:val="21"/>
          <w:szCs w:val="21"/>
          <w:shd w:val="clear" w:color="auto" w:fill="FFFFFF"/>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采购人：</w:t>
      </w:r>
      <w:r>
        <w:rPr>
          <w:rFonts w:hint="eastAsia" w:ascii="宋体" w:hAnsi="宋体" w:eastAsia="宋体" w:cs="宋体"/>
          <w:color w:val="000000"/>
          <w:sz w:val="21"/>
          <w:szCs w:val="21"/>
          <w:u w:val="single"/>
          <w:shd w:val="clear" w:color="auto" w:fill="FFFFFF"/>
        </w:rPr>
        <w:t>长沙市轨道交通运营有限公司</w:t>
      </w:r>
      <w:r>
        <w:rPr>
          <w:rFonts w:hint="eastAsia" w:ascii="宋体" w:hAnsi="宋体" w:eastAsia="宋体" w:cs="宋体"/>
          <w:color w:val="000000"/>
          <w:sz w:val="21"/>
          <w:szCs w:val="21"/>
          <w:shd w:val="clear" w:color="auto" w:fill="FFFFFF"/>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采购范围：</w:t>
      </w:r>
      <w:r>
        <w:rPr>
          <w:rFonts w:hint="eastAsia" w:ascii="宋体" w:hAnsi="宋体" w:eastAsia="宋体" w:cs="宋体"/>
          <w:color w:val="000000"/>
          <w:sz w:val="21"/>
          <w:szCs w:val="21"/>
          <w:u w:val="single"/>
          <w:shd w:val="clear" w:color="auto" w:fill="FFFFFF"/>
        </w:rPr>
        <w:t>主要为供应商餐饮劳务团队负责为采购人员工提供餐饮服务，包括但不限于：五餐（早早餐、早餐、中餐、晚餐、晚晚餐）、车站送餐、客餐服务和相关辅助服务（如按要求提供凉茶、绿豆汤等），以及其他服务性的工作（如遇抢险救援等特殊情况需要加班的必须服从安排，确保员工用餐）。食堂日常经营所需食材、调味品、耗材由采购人提供</w:t>
      </w:r>
      <w:r>
        <w:rPr>
          <w:rFonts w:hint="eastAsia" w:ascii="宋体" w:hAnsi="宋体" w:eastAsia="宋体" w:cs="宋体"/>
          <w:color w:val="000000"/>
          <w:sz w:val="21"/>
          <w:szCs w:val="21"/>
          <w:shd w:val="clear" w:color="auto" w:fill="FFFFFF"/>
        </w:rPr>
        <w:t>。（具体详见用户需求书）</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服务期：</w:t>
      </w:r>
      <w:r>
        <w:rPr>
          <w:rFonts w:hint="eastAsia" w:ascii="宋体" w:hAnsi="宋体" w:eastAsia="宋体" w:cs="宋体"/>
          <w:color w:val="000000"/>
          <w:sz w:val="21"/>
          <w:szCs w:val="21"/>
          <w:u w:val="single"/>
          <w:shd w:val="clear" w:color="auto" w:fill="FFFFFF"/>
        </w:rPr>
        <w:t>本项目服务期限暂定为12个月，实际进场日期以采购人发出的书面通知上载明的日期为准</w:t>
      </w:r>
      <w:r>
        <w:rPr>
          <w:rFonts w:hint="eastAsia" w:ascii="宋体" w:hAnsi="宋体" w:eastAsia="宋体" w:cs="宋体"/>
          <w:color w:val="000000"/>
          <w:sz w:val="21"/>
          <w:szCs w:val="21"/>
          <w:shd w:val="clear" w:color="auto" w:fill="FFFFFF"/>
        </w:rPr>
        <w:t>。（具体详见用户需求书）；</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1.2.6项目</w:t>
      </w:r>
      <w:r>
        <w:rPr>
          <w:rFonts w:hint="eastAsia" w:ascii="宋体" w:hAnsi="宋体" w:eastAsia="宋体" w:cs="宋体"/>
          <w:color w:val="000000"/>
          <w:sz w:val="21"/>
          <w:szCs w:val="21"/>
          <w:shd w:val="clear" w:color="auto" w:fill="FFFFFF"/>
          <w:lang w:val="en-US" w:eastAsia="zh-CN"/>
        </w:rPr>
        <w:t>最高限价</w:t>
      </w:r>
      <w:r>
        <w:rPr>
          <w:rFonts w:hint="eastAsia" w:ascii="宋体" w:hAnsi="宋体" w:eastAsia="宋体" w:cs="宋体"/>
          <w:color w:val="000000"/>
          <w:sz w:val="21"/>
          <w:szCs w:val="21"/>
          <w:shd w:val="clear" w:color="auto" w:fill="FFFFFF"/>
        </w:rPr>
        <w:t>：</w:t>
      </w:r>
      <w:r>
        <w:rPr>
          <w:rFonts w:ascii="宋体" w:hAnsi="宋体" w:eastAsia="宋体" w:cs="宋体"/>
          <w:color w:val="000000"/>
          <w:sz w:val="21"/>
          <w:szCs w:val="21"/>
          <w:u w:val="single"/>
          <w:shd w:val="clear" w:color="auto" w:fill="FFFFFF"/>
        </w:rPr>
        <w:t>434657.06</w:t>
      </w:r>
      <w:r>
        <w:rPr>
          <w:rFonts w:hint="eastAsia" w:ascii="宋体" w:hAnsi="宋体" w:eastAsia="宋体" w:cs="宋体"/>
          <w:color w:val="000000"/>
          <w:sz w:val="21"/>
          <w:szCs w:val="21"/>
          <w:u w:val="single"/>
          <w:shd w:val="clear" w:color="auto" w:fill="FFFFFF"/>
        </w:rPr>
        <w:t>元</w:t>
      </w:r>
      <w:r>
        <w:rPr>
          <w:rFonts w:hint="eastAsia" w:ascii="宋体" w:hAnsi="宋体" w:eastAsia="宋体" w:cs="宋体"/>
          <w:color w:val="000000"/>
          <w:sz w:val="21"/>
          <w:szCs w:val="21"/>
          <w:shd w:val="clear" w:color="auto" w:fill="FFFFFF"/>
        </w:rPr>
        <w:t>。</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2.资格要求</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2.1供应商须为具有独立法人资格、自主经营、独立核算的公司或事业单位，须提供加盖供应商公章的营业执照（事业单位法人证书）复印件。</w:t>
      </w:r>
    </w:p>
    <w:p>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kern w:val="0"/>
          <w:szCs w:val="21"/>
          <w:shd w:val="clear" w:color="auto" w:fill="FFFFFF"/>
        </w:rPr>
        <w:t>2.2</w:t>
      </w:r>
      <w:r>
        <w:rPr>
          <w:rFonts w:hint="eastAsia" w:ascii="宋体" w:hAnsi="宋体" w:eastAsia="宋体" w:cs="宋体"/>
          <w:color w:val="000000"/>
          <w:szCs w:val="21"/>
        </w:rPr>
        <w:t>供应商须具有一个入围业绩，入围业绩是指供应商在提交响应文件截止之日前36个月内须具有餐饮服务业绩。不接受联合体业绩、港澳台或境外业绩。</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rPr>
        <w:t>业绩证明材料以同时提供的合同原件扫描件和可查验的增值税发票原件扫描件为准（均须加盖供应商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9"/>
        <w:widowControl/>
        <w:snapToGrid w:val="0"/>
        <w:spacing w:beforeAutospacing="0" w:afterAutospacing="0" w:line="360" w:lineRule="auto"/>
        <w:ind w:firstLine="420" w:firstLineChars="200"/>
        <w:jc w:val="both"/>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2</w:t>
      </w:r>
      <w:r>
        <w:rPr>
          <w:rFonts w:ascii="宋体" w:hAnsi="宋体" w:eastAsia="宋体" w:cs="宋体"/>
          <w:color w:val="000000"/>
          <w:sz w:val="21"/>
          <w:szCs w:val="21"/>
        </w:rPr>
        <w:t>.3</w:t>
      </w:r>
      <w:r>
        <w:rPr>
          <w:rFonts w:hint="eastAsia" w:ascii="宋体" w:hAnsi="宋体" w:eastAsia="宋体" w:cs="宋体"/>
          <w:color w:val="000000"/>
          <w:sz w:val="21"/>
          <w:szCs w:val="21"/>
        </w:rPr>
        <w:t>本次采购不接受联合体</w:t>
      </w:r>
      <w:r>
        <w:rPr>
          <w:rFonts w:hint="eastAsia" w:cs="宋体"/>
          <w:color w:val="000000"/>
          <w:sz w:val="21"/>
          <w:szCs w:val="21"/>
          <w:lang w:eastAsia="zh-CN"/>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w:t>
      </w:r>
      <w:r>
        <w:rPr>
          <w:rFonts w:ascii="宋体" w:hAnsi="宋体" w:eastAsia="宋体" w:cs="宋体"/>
          <w:color w:val="000000"/>
          <w:sz w:val="21"/>
          <w:szCs w:val="21"/>
          <w:shd w:val="clear" w:color="auto" w:fill="FFFFFF"/>
        </w:rPr>
        <w:t>4</w:t>
      </w:r>
      <w:r>
        <w:rPr>
          <w:rFonts w:hint="eastAsia" w:ascii="宋体" w:hAnsi="宋体" w:eastAsia="宋体" w:cs="宋体"/>
          <w:color w:val="000000"/>
          <w:sz w:val="21"/>
          <w:szCs w:val="21"/>
          <w:shd w:val="clear" w:color="auto" w:fill="FFFFFF"/>
        </w:rPr>
        <w:t>被长沙市轨道交通集团有限公司或长沙市轨道交通运营有限公司函告禁止在一定期限内参与投标的单位按函告内容执行。</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3.资格审查</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本项目资格审查方式为资格后审。</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4.评审办法</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本采购项目采用“综合评审法”。</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5.采购文件的获取及报名</w:t>
      </w:r>
    </w:p>
    <w:p>
      <w:pPr>
        <w:pStyle w:val="39"/>
        <w:widowControl/>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39"/>
        <w:widowControl/>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6.2电子响应文件应按采购平台要求在规定时间内进行解密，请供应商确保电子响应文件如期解密。</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cs="宋体"/>
          <w:b/>
          <w:bCs/>
          <w:color w:val="000000"/>
          <w:sz w:val="21"/>
          <w:szCs w:val="21"/>
          <w:lang w:val="en-US" w:eastAsia="zh-CN"/>
        </w:rPr>
        <w:t>7</w:t>
      </w:r>
      <w:r>
        <w:rPr>
          <w:rFonts w:hint="eastAsia" w:ascii="宋体" w:hAnsi="宋体" w:eastAsia="宋体" w:cs="宋体"/>
          <w:b/>
          <w:bCs/>
          <w:color w:val="000000"/>
          <w:sz w:val="21"/>
          <w:szCs w:val="21"/>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.1竞争性采购保证金金额为（人民币）</w:t>
      </w:r>
      <w:r>
        <w:rPr>
          <w:rFonts w:hint="eastAsia" w:ascii="宋体" w:hAnsi="宋体" w:eastAsia="宋体" w:cs="宋体"/>
          <w:color w:val="000000"/>
          <w:kern w:val="0"/>
          <w:szCs w:val="21"/>
          <w:u w:val="single"/>
        </w:rPr>
        <w:t>捌仟陆佰元整</w:t>
      </w:r>
      <w:r>
        <w:rPr>
          <w:rFonts w:hint="eastAsia"/>
          <w:color w:val="000000"/>
          <w:szCs w:val="21"/>
          <w:shd w:val="clear" w:color="auto" w:fill="FFFFFF"/>
          <w:lang w:bidi="ar"/>
        </w:rPr>
        <w:t>（</w:t>
      </w:r>
      <w:r>
        <w:rPr>
          <w:rFonts w:hint="eastAsia" w:asciiTheme="minorEastAsia" w:hAnsiTheme="minorEastAsia"/>
          <w:color w:val="000000"/>
          <w:szCs w:val="21"/>
          <w:shd w:val="clear" w:color="auto" w:fill="FFFFFF"/>
          <w:lang w:bidi="ar"/>
        </w:rPr>
        <w:t>¥</w:t>
      </w:r>
      <w:r>
        <w:rPr>
          <w:rFonts w:hint="eastAsia" w:asciiTheme="minorEastAsia" w:hAnsiTheme="minorEastAsia"/>
          <w:color w:val="000000"/>
          <w:szCs w:val="21"/>
          <w:u w:val="single"/>
          <w:shd w:val="clear" w:color="auto" w:fill="FFFFFF"/>
          <w:lang w:bidi="ar"/>
        </w:rPr>
        <w:t>8600.00</w:t>
      </w:r>
      <w:r>
        <w:rPr>
          <w:rFonts w:hint="eastAsia"/>
          <w:color w:val="000000"/>
          <w:szCs w:val="21"/>
          <w:shd w:val="clear" w:color="auto" w:fill="FFFFFF"/>
          <w:lang w:bidi="ar"/>
        </w:rPr>
        <w:t>元）</w:t>
      </w:r>
      <w:r>
        <w:rPr>
          <w:rFonts w:hint="eastAsia" w:ascii="宋体" w:hAnsi="宋体" w:eastAsia="宋体" w:cs="宋体"/>
          <w:color w:val="000000"/>
          <w:kern w:val="0"/>
          <w:szCs w:val="21"/>
          <w:shd w:val="clear" w:color="auto" w:fill="FFFFFF"/>
        </w:rPr>
        <w:t>。</w:t>
      </w:r>
    </w:p>
    <w:p>
      <w:pPr>
        <w:widowControl/>
        <w:shd w:val="clear" w:color="auto" w:fill="FFFFFF"/>
        <w:spacing w:line="360" w:lineRule="auto"/>
        <w:ind w:firstLine="420" w:firstLineChars="200"/>
        <w:rPr>
          <w:rFonts w:hint="eastAsia"/>
          <w:color w:val="auto"/>
          <w:sz w:val="21"/>
          <w:szCs w:val="21"/>
          <w:u w:val="none"/>
          <w:shd w:val="clear" w:color="auto" w:fill="FFFFFF"/>
          <w:lang w:bidi="ar"/>
        </w:rPr>
      </w:pPr>
      <w:r>
        <w:rPr>
          <w:rFonts w:hint="eastAsia"/>
          <w:color w:val="auto"/>
          <w:sz w:val="21"/>
          <w:szCs w:val="21"/>
          <w:u w:val="none"/>
          <w:shd w:val="clear" w:color="auto" w:fill="FFFFFF"/>
          <w:lang w:val="en-US" w:eastAsia="zh-CN" w:bidi="ar"/>
        </w:rPr>
        <w:t>7.2</w:t>
      </w:r>
      <w:r>
        <w:rPr>
          <w:rFonts w:hint="eastAsia"/>
          <w:color w:val="auto"/>
          <w:sz w:val="21"/>
          <w:szCs w:val="21"/>
          <w:u w:val="none"/>
          <w:shd w:val="clear" w:color="auto" w:fill="FFFFFF"/>
          <w:lang w:bidi="ar"/>
        </w:rPr>
        <w:t>供应商登录采购平台，点击[参与项目]进行[在线报名]，下载采购文件后，在“保证金管理”专区中获取项目（标段）子账号，子账号为供应商缴纳本项目（标段）</w:t>
      </w:r>
      <w:r>
        <w:rPr>
          <w:rFonts w:hint="eastAsia" w:ascii="宋体" w:hAnsi="宋体" w:eastAsia="宋体" w:cs="宋体"/>
          <w:color w:val="auto"/>
          <w:kern w:val="0"/>
          <w:szCs w:val="21"/>
          <w:u w:val="none"/>
          <w:shd w:val="clear" w:color="auto" w:fill="FFFFFF"/>
        </w:rPr>
        <w:t>竞争性采购</w:t>
      </w:r>
      <w:r>
        <w:rPr>
          <w:rFonts w:hint="eastAsia"/>
          <w:color w:val="auto"/>
          <w:sz w:val="21"/>
          <w:szCs w:val="21"/>
          <w:u w:val="none"/>
          <w:shd w:val="clear" w:color="auto" w:fill="FFFFFF"/>
          <w:lang w:bidi="ar"/>
        </w:rPr>
        <w:t>保证金的唯一账号，请注意保密。</w:t>
      </w:r>
    </w:p>
    <w:p>
      <w:pPr>
        <w:widowControl/>
        <w:shd w:val="clear" w:color="auto" w:fill="FFFFFF"/>
        <w:spacing w:line="360" w:lineRule="auto"/>
        <w:ind w:firstLine="420" w:firstLineChars="200"/>
        <w:rPr>
          <w:rFonts w:hint="eastAsia" w:ascii="Times New Roman" w:hAnsi="Times New Roman" w:eastAsia="宋体" w:cs="Times New Roman"/>
          <w:color w:val="auto"/>
          <w:sz w:val="21"/>
          <w:szCs w:val="21"/>
          <w:u w:val="none"/>
          <w:shd w:val="clear" w:color="auto" w:fill="FFFFFF"/>
          <w:lang w:val="en-US" w:eastAsia="zh-CN" w:bidi="ar"/>
        </w:rPr>
      </w:pPr>
      <w:r>
        <w:rPr>
          <w:rFonts w:hint="eastAsia" w:ascii="Times New Roman" w:hAnsi="Times New Roman" w:eastAsia="宋体" w:cs="Times New Roman"/>
          <w:color w:val="auto"/>
          <w:sz w:val="21"/>
          <w:szCs w:val="21"/>
          <w:u w:val="none"/>
          <w:shd w:val="clear" w:color="auto" w:fill="FFFFFF"/>
          <w:lang w:val="en-US" w:eastAsia="zh-CN" w:bidi="ar"/>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Times New Roman" w:hAnsi="Times New Roman" w:eastAsia="宋体" w:cs="Times New Roman"/>
          <w:color w:val="auto"/>
          <w:sz w:val="21"/>
          <w:szCs w:val="21"/>
          <w:u w:val="none"/>
          <w:shd w:val="clear" w:color="auto" w:fill="FFFFFF"/>
          <w:lang w:val="en-US" w:eastAsia="zh-CN" w:bidi="ar"/>
        </w:rPr>
      </w:pPr>
      <w:r>
        <w:rPr>
          <w:rFonts w:hint="eastAsia" w:ascii="Times New Roman" w:hAnsi="Times New Roman" w:eastAsia="宋体" w:cs="Times New Roman"/>
          <w:color w:val="auto"/>
          <w:sz w:val="21"/>
          <w:szCs w:val="21"/>
          <w:u w:val="none"/>
          <w:shd w:val="clear" w:color="auto" w:fill="FFFFFF"/>
          <w:lang w:val="en-US" w:eastAsia="zh-CN" w:bidi="ar"/>
        </w:rPr>
        <w:t>7.4供应商在缴纳竞争性采购保证金时，应按照获取的账号信息准确填写银行账单。供应商可通过采购平台“保证金管理”专区，查询本单位竞争性采购保证金到账和退还情况。</w:t>
      </w:r>
    </w:p>
    <w:p>
      <w:pPr>
        <w:pStyle w:val="39"/>
        <w:shd w:val="clear" w:color="auto" w:fill="FFFFFF"/>
        <w:spacing w:before="0" w:beforeAutospacing="0" w:after="0" w:afterAutospacing="0" w:line="360" w:lineRule="auto"/>
        <w:ind w:firstLine="420"/>
        <w:jc w:val="both"/>
        <w:rPr>
          <w:color w:val="auto"/>
          <w:sz w:val="21"/>
          <w:szCs w:val="21"/>
          <w:u w:val="none"/>
          <w:shd w:val="clear" w:color="auto" w:fill="FFFFFF"/>
          <w:lang w:bidi="ar"/>
        </w:rPr>
      </w:pPr>
      <w:r>
        <w:rPr>
          <w:rFonts w:hint="eastAsia"/>
          <w:color w:val="auto"/>
          <w:sz w:val="21"/>
          <w:szCs w:val="21"/>
          <w:u w:val="none"/>
          <w:shd w:val="clear" w:color="auto" w:fill="FFFFFF"/>
          <w:lang w:bidi="ar"/>
        </w:rPr>
        <w:t>7.</w:t>
      </w:r>
      <w:r>
        <w:rPr>
          <w:rFonts w:hint="eastAsia"/>
          <w:color w:val="auto"/>
          <w:sz w:val="21"/>
          <w:szCs w:val="21"/>
          <w:u w:val="none"/>
          <w:shd w:val="clear" w:color="auto" w:fill="FFFFFF"/>
          <w:lang w:val="en-US" w:eastAsia="zh-CN" w:bidi="ar"/>
        </w:rPr>
        <w:t>5</w:t>
      </w:r>
      <w:r>
        <w:rPr>
          <w:rFonts w:hint="eastAsia" w:ascii="Times New Roman" w:hAnsi="Times New Roman" w:eastAsia="宋体" w:cs="Times New Roman"/>
          <w:color w:val="auto"/>
          <w:sz w:val="21"/>
          <w:szCs w:val="21"/>
          <w:u w:val="none"/>
          <w:shd w:val="clear" w:color="auto" w:fill="FFFFFF"/>
          <w:lang w:val="en-US" w:eastAsia="zh-CN" w:bidi="ar"/>
        </w:rPr>
        <w:t>竞争性采购</w:t>
      </w:r>
      <w:r>
        <w:rPr>
          <w:rFonts w:hint="eastAsia"/>
          <w:color w:val="auto"/>
          <w:sz w:val="21"/>
          <w:szCs w:val="21"/>
          <w:u w:val="none"/>
          <w:shd w:val="clear" w:color="auto" w:fill="FFFFFF"/>
          <w:lang w:bidi="ar"/>
        </w:rPr>
        <w:t>保证金到账截止时间与响应文件递交截止时间一致。</w:t>
      </w:r>
      <w:r>
        <w:rPr>
          <w:rFonts w:hint="eastAsia"/>
          <w:color w:val="auto"/>
          <w:sz w:val="21"/>
          <w:szCs w:val="21"/>
          <w:u w:val="none"/>
        </w:rPr>
        <w:t>供应商不按采购公告要求提交</w:t>
      </w:r>
      <w:r>
        <w:rPr>
          <w:rFonts w:hint="eastAsia" w:ascii="Times New Roman" w:hAnsi="Times New Roman" w:eastAsia="宋体" w:cs="Times New Roman"/>
          <w:color w:val="auto"/>
          <w:sz w:val="21"/>
          <w:szCs w:val="21"/>
          <w:u w:val="none"/>
          <w:shd w:val="clear" w:color="auto" w:fill="FFFFFF"/>
          <w:lang w:val="en-US" w:eastAsia="zh-CN" w:bidi="ar"/>
        </w:rPr>
        <w:t>竞争性采购</w:t>
      </w:r>
      <w:r>
        <w:rPr>
          <w:rFonts w:hint="eastAsia"/>
          <w:color w:val="auto"/>
          <w:sz w:val="21"/>
          <w:szCs w:val="21"/>
          <w:u w:val="none"/>
        </w:rPr>
        <w:t>保证金的，</w:t>
      </w:r>
      <w:r>
        <w:rPr>
          <w:color w:val="auto"/>
          <w:sz w:val="21"/>
          <w:szCs w:val="21"/>
          <w:u w:val="none"/>
        </w:rPr>
        <w:t>在评</w:t>
      </w:r>
      <w:r>
        <w:rPr>
          <w:rFonts w:hint="eastAsia"/>
          <w:color w:val="auto"/>
          <w:sz w:val="21"/>
          <w:szCs w:val="21"/>
          <w:u w:val="none"/>
        </w:rPr>
        <w:t>审</w:t>
      </w:r>
      <w:r>
        <w:rPr>
          <w:color w:val="auto"/>
          <w:sz w:val="21"/>
          <w:szCs w:val="21"/>
          <w:u w:val="none"/>
        </w:rPr>
        <w:t>时</w:t>
      </w:r>
      <w:r>
        <w:rPr>
          <w:rFonts w:hint="eastAsia"/>
          <w:color w:val="auto"/>
          <w:sz w:val="21"/>
          <w:szCs w:val="21"/>
          <w:u w:val="none"/>
        </w:rPr>
        <w:t>按</w:t>
      </w:r>
      <w:r>
        <w:rPr>
          <w:rFonts w:hint="eastAsia"/>
          <w:b/>
          <w:bCs/>
          <w:color w:val="auto"/>
          <w:sz w:val="21"/>
          <w:szCs w:val="21"/>
          <w:u w:val="none"/>
        </w:rPr>
        <w:t>否决</w:t>
      </w:r>
      <w:r>
        <w:rPr>
          <w:rFonts w:hint="eastAsia"/>
          <w:color w:val="auto"/>
          <w:sz w:val="21"/>
          <w:szCs w:val="21"/>
          <w:u w:val="none"/>
        </w:rPr>
        <w:t>情形处理</w:t>
      </w:r>
      <w:r>
        <w:rPr>
          <w:color w:val="auto"/>
          <w:sz w:val="21"/>
          <w:szCs w:val="21"/>
          <w:u w:val="none"/>
        </w:rPr>
        <w:t>。</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w:t>
      </w:r>
      <w:r>
        <w:rPr>
          <w:rFonts w:hint="eastAsia" w:ascii="宋体" w:hAnsi="宋体" w:eastAsia="宋体" w:cs="宋体"/>
          <w:color w:val="000000"/>
          <w:kern w:val="0"/>
          <w:szCs w:val="21"/>
          <w:shd w:val="clear" w:color="auto" w:fill="FFFFFF"/>
          <w:lang w:val="en-US" w:eastAsia="zh-CN"/>
        </w:rPr>
        <w:t>6</w:t>
      </w:r>
      <w:r>
        <w:rPr>
          <w:rFonts w:hint="eastAsia" w:ascii="宋体" w:hAnsi="宋体" w:eastAsia="宋体" w:cs="宋体"/>
          <w:color w:val="000000"/>
          <w:kern w:val="0"/>
          <w:szCs w:val="21"/>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w:t>
      </w:r>
      <w:r>
        <w:rPr>
          <w:rFonts w:hint="eastAsia" w:ascii="宋体" w:hAnsi="宋体" w:eastAsia="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w:t>
      </w:r>
      <w:r>
        <w:rPr>
          <w:rFonts w:hint="eastAsia" w:ascii="宋体" w:hAnsi="宋体" w:eastAsia="宋体" w:cs="宋体"/>
          <w:color w:val="000000"/>
          <w:kern w:val="0"/>
          <w:szCs w:val="21"/>
          <w:shd w:val="clear" w:color="auto" w:fill="FFFFFF"/>
          <w:lang w:val="en-US" w:eastAsia="zh-CN"/>
        </w:rPr>
        <w:t>8</w:t>
      </w:r>
      <w:r>
        <w:rPr>
          <w:rFonts w:hint="eastAsia" w:ascii="宋体" w:hAnsi="宋体" w:eastAsia="宋体" w:cs="宋体"/>
          <w:color w:val="000000"/>
          <w:kern w:val="0"/>
          <w:szCs w:val="21"/>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cs="宋体"/>
          <w:b/>
          <w:bCs/>
          <w:color w:val="000000"/>
          <w:sz w:val="21"/>
          <w:szCs w:val="21"/>
          <w:lang w:val="en-US" w:eastAsia="zh-CN"/>
        </w:rPr>
        <w:t>8</w:t>
      </w:r>
      <w:r>
        <w:rPr>
          <w:rFonts w:hint="eastAsia" w:ascii="宋体" w:hAnsi="宋体" w:eastAsia="宋体" w:cs="宋体"/>
          <w:b/>
          <w:bCs/>
          <w:color w:val="000000"/>
          <w:sz w:val="21"/>
          <w:szCs w:val="21"/>
        </w:rPr>
        <w:t>.发布公告的媒介</w:t>
      </w:r>
    </w:p>
    <w:p>
      <w:pPr>
        <w:pStyle w:val="39"/>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shd w:val="clear" w:color="auto" w:fill="FFFFFF"/>
        </w:rPr>
        <w:t>本项目竞争性采购公告和结果</w:t>
      </w:r>
      <w:r>
        <w:rPr>
          <w:rFonts w:hint="eastAsia" w:ascii="宋体" w:hAnsi="宋体" w:eastAsia="宋体" w:cs="宋体"/>
          <w:color w:val="000000"/>
          <w:sz w:val="21"/>
          <w:szCs w:val="21"/>
          <w:highlight w:val="none"/>
          <w:shd w:val="clear" w:color="auto" w:fill="FFFFFF"/>
        </w:rPr>
        <w:t>公示在采购平台（https://opp.hncsmtr.com:9001/index.aspx）、长沙市轨道交通集团有限公司官网（http://www.hncsmtr.com）发布，具体以采购平台发布的为准。</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w:t>
      </w:r>
      <w:r>
        <w:rPr>
          <w:rFonts w:hint="eastAsia" w:ascii="宋体" w:hAnsi="宋体" w:eastAsia="宋体" w:cs="宋体"/>
          <w:color w:val="000000"/>
          <w:sz w:val="21"/>
          <w:szCs w:val="21"/>
          <w:shd w:val="clear" w:color="auto" w:fill="FFFFFF"/>
        </w:rPr>
        <w:t>和递交电子响应文件，具体要求请供应商在采购平台网站主页“办事指南”专区查看“供应商注册操作指引”、“竞争性采购项目操作指引”。</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cs="宋体"/>
          <w:b/>
          <w:bCs/>
          <w:color w:val="000000"/>
          <w:sz w:val="21"/>
          <w:szCs w:val="21"/>
          <w:lang w:val="en-US" w:eastAsia="zh-CN"/>
        </w:rPr>
        <w:t>10</w:t>
      </w:r>
      <w:r>
        <w:rPr>
          <w:rFonts w:hint="eastAsia" w:ascii="宋体" w:hAnsi="宋体" w:eastAsia="宋体" w:cs="宋体"/>
          <w:b/>
          <w:bCs/>
          <w:color w:val="000000"/>
          <w:sz w:val="21"/>
          <w:szCs w:val="21"/>
        </w:rPr>
        <w:t>.异议与投诉</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11.联系方式</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采购人：长沙市轨道交通运营有限公司</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地 址：湖南省长沙市劳动东路二段48号黄兴车辆段</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联系人：杨工</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电 话：</w:t>
      </w:r>
      <w:r>
        <w:rPr>
          <w:rFonts w:ascii="宋体" w:hAnsi="宋体" w:eastAsia="宋体" w:cs="宋体"/>
          <w:color w:val="000000"/>
          <w:sz w:val="21"/>
          <w:szCs w:val="21"/>
          <w:shd w:val="clear" w:color="auto" w:fill="FFFFFF"/>
        </w:rPr>
        <w:t>0731-86852347</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12.公告、报名、提疑</w:t>
      </w:r>
      <w:r>
        <w:rPr>
          <w:rFonts w:hint="eastAsia" w:cs="宋体"/>
          <w:b/>
          <w:bCs/>
          <w:color w:val="000000"/>
          <w:sz w:val="21"/>
          <w:szCs w:val="21"/>
          <w:lang w:eastAsia="zh-CN"/>
        </w:rPr>
        <w:t>、</w:t>
      </w:r>
      <w:r>
        <w:rPr>
          <w:rFonts w:hint="eastAsia" w:ascii="宋体" w:hAnsi="宋体" w:eastAsia="宋体" w:cs="宋体"/>
          <w:b/>
          <w:bCs/>
          <w:color w:val="000000"/>
          <w:sz w:val="21"/>
          <w:szCs w:val="21"/>
        </w:rPr>
        <w:t>响应文件</w:t>
      </w:r>
      <w:r>
        <w:rPr>
          <w:rFonts w:hint="eastAsia" w:cs="宋体"/>
          <w:b/>
          <w:bCs/>
          <w:color w:val="000000"/>
          <w:sz w:val="21"/>
          <w:szCs w:val="21"/>
          <w:lang w:eastAsia="zh-CN"/>
        </w:rPr>
        <w:t>及保证金</w:t>
      </w:r>
      <w:r>
        <w:rPr>
          <w:rFonts w:hint="eastAsia" w:ascii="宋体" w:hAnsi="宋体" w:eastAsia="宋体" w:cs="宋体"/>
          <w:b/>
          <w:bCs/>
          <w:color w:val="000000"/>
          <w:sz w:val="21"/>
          <w:szCs w:val="21"/>
        </w:rPr>
        <w:t>递交时间</w:t>
      </w:r>
    </w:p>
    <w:p>
      <w:pPr>
        <w:pStyle w:val="39"/>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21</w:t>
      </w:r>
      <w:r>
        <w:rPr>
          <w:rFonts w:hint="eastAsia" w:ascii="宋体" w:hAnsi="宋体" w:eastAsia="宋体" w:cs="宋体"/>
          <w:color w:val="auto"/>
          <w:sz w:val="21"/>
          <w:szCs w:val="21"/>
          <w:highlight w:val="none"/>
          <w:shd w:val="clear" w:color="auto" w:fill="FFFFFF"/>
        </w:rPr>
        <w:t>日17：00时（北京时间，下同）。</w:t>
      </w:r>
    </w:p>
    <w:p>
      <w:pPr>
        <w:pStyle w:val="39"/>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21</w:t>
      </w:r>
      <w:r>
        <w:rPr>
          <w:rFonts w:hint="eastAsia" w:ascii="宋体" w:hAnsi="宋体" w:eastAsia="宋体" w:cs="宋体"/>
          <w:color w:val="auto"/>
          <w:sz w:val="21"/>
          <w:szCs w:val="21"/>
          <w:highlight w:val="none"/>
          <w:shd w:val="clear" w:color="auto" w:fill="FFFFFF"/>
        </w:rPr>
        <w:t>日17：00时。</w:t>
      </w:r>
    </w:p>
    <w:p>
      <w:pPr>
        <w:pStyle w:val="24"/>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4"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日9时00分 。</w:t>
      </w:r>
      <w:bookmarkEnd w:id="4"/>
    </w:p>
    <w:p>
      <w:pPr>
        <w:pStyle w:val="24"/>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0000FF"/>
          <w:sz w:val="21"/>
          <w:szCs w:val="21"/>
          <w:highlight w:val="none"/>
          <w:shd w:val="clear" w:color="auto" w:fill="FFFFFF"/>
        </w:rPr>
      </w:pPr>
    </w:p>
    <w:p>
      <w:pPr>
        <w:pStyle w:val="24"/>
        <w:jc w:val="center"/>
        <w:outlineLvl w:val="0"/>
        <w:rPr>
          <w:rFonts w:hint="eastAsia" w:ascii="宋体" w:hAnsi="宋体" w:eastAsia="宋体" w:cs="宋体"/>
          <w:color w:val="000000"/>
          <w:sz w:val="21"/>
          <w:szCs w:val="21"/>
          <w:highlight w:val="yellow"/>
          <w:shd w:val="clear" w:color="auto" w:fill="FFFFFF"/>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4"/>
        <w:jc w:val="center"/>
        <w:outlineLvl w:val="0"/>
        <w:rPr>
          <w:rFonts w:ascii="黑体" w:eastAsia="黑体"/>
          <w:b/>
          <w:color w:val="000000" w:themeColor="text1"/>
          <w:sz w:val="32"/>
          <w:szCs w:val="32"/>
          <w14:textFill>
            <w14:solidFill>
              <w14:schemeClr w14:val="tx1"/>
            </w14:solidFill>
          </w14:textFill>
        </w:rPr>
      </w:pPr>
      <w:bookmarkStart w:id="5" w:name="_Toc22187"/>
      <w:bookmarkStart w:id="6" w:name="_Toc24340"/>
      <w:r>
        <w:rPr>
          <w:rFonts w:hint="eastAsia" w:ascii="黑体" w:hAnsi="黑体" w:eastAsia="黑体" w:cs="黑体"/>
          <w:b/>
          <w:color w:val="000000" w:themeColor="text1"/>
          <w:sz w:val="32"/>
          <w:szCs w:val="32"/>
          <w14:textFill>
            <w14:solidFill>
              <w14:schemeClr w14:val="tx1"/>
            </w14:solidFill>
          </w14:textFill>
        </w:rPr>
        <w:t>第二章 竞争性采购须知</w:t>
      </w:r>
      <w:bookmarkEnd w:id="2"/>
      <w:bookmarkEnd w:id="3"/>
      <w:bookmarkEnd w:id="5"/>
      <w:bookmarkEnd w:id="6"/>
    </w:p>
    <w:p>
      <w:pPr>
        <w:pStyle w:val="24"/>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lang w:val="en-US" w:eastAsia="zh-CN" w:bidi="ar-SA"/>
              </w:rPr>
            </w:pPr>
            <w:r>
              <w:rPr>
                <w:rFonts w:hint="eastAsia" w:ascii="宋体" w:hAnsi="宋体" w:cs="宋体"/>
                <w:color w:val="auto"/>
                <w:szCs w:val="21"/>
              </w:rPr>
              <w:t>1.3.3</w:t>
            </w:r>
          </w:p>
        </w:tc>
        <w:tc>
          <w:tcPr>
            <w:tcW w:w="1448" w:type="pct"/>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不接受</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□接受，应满足下列要求：</w:t>
            </w:r>
            <w:r>
              <w:rPr>
                <w:rFonts w:hint="eastAsia" w:ascii="宋体" w:hAnsi="宋体" w:cs="宋体"/>
                <w:color w:val="000000" w:themeColor="text1"/>
                <w:szCs w:val="21"/>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1448" w:type="pct"/>
            <w:vAlign w:val="center"/>
          </w:tcPr>
          <w:p>
            <w:pPr>
              <w:pStyle w:val="275"/>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不组织</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□组织，踏勘时间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187"/>
              <w:spacing w:line="360" w:lineRule="exact"/>
              <w:ind w:firstLine="840" w:firstLineChars="400"/>
              <w:jc w:val="both"/>
              <w:rPr>
                <w:rStyle w:val="276"/>
                <w:rFonts w:hint="default"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踏勘地点：</w:t>
            </w:r>
            <w:r>
              <w:rPr>
                <w:rFonts w:hint="eastAsia" w:hAnsi="宋体" w:cs="宋体"/>
                <w:color w:val="000000" w:themeColor="text1"/>
                <w:sz w:val="21"/>
                <w:szCs w:val="21"/>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48" w:type="pct"/>
            <w:vAlign w:val="center"/>
          </w:tcPr>
          <w:p>
            <w:pPr>
              <w:pStyle w:val="275"/>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  包</w:t>
            </w:r>
          </w:p>
        </w:tc>
        <w:tc>
          <w:tcPr>
            <w:tcW w:w="2980"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pStyle w:val="187"/>
              <w:spacing w:line="360" w:lineRule="exact"/>
              <w:ind w:firstLine="0"/>
              <w:jc w:val="both"/>
              <w:rPr>
                <w:rFonts w:hAnsi="宋体" w:cs="宋体"/>
                <w:sz w:val="21"/>
                <w:szCs w:val="21"/>
              </w:rPr>
            </w:pPr>
            <w:r>
              <w:rPr>
                <w:rFonts w:hint="eastAsia" w:hAnsi="宋体" w:cs="宋体"/>
                <w:sz w:val="21"/>
                <w:szCs w:val="21"/>
              </w:rPr>
              <w:t>□允许，分包内容要求：</w:t>
            </w:r>
            <w:r>
              <w:rPr>
                <w:rFonts w:hint="eastAsia" w:hAnsi="宋体" w:cs="宋体"/>
                <w:sz w:val="21"/>
                <w:szCs w:val="21"/>
                <w:u w:val="single"/>
              </w:rPr>
              <w:t xml:space="preserve">                  </w:t>
            </w:r>
          </w:p>
          <w:p>
            <w:pPr>
              <w:pStyle w:val="187"/>
              <w:spacing w:line="360" w:lineRule="exact"/>
              <w:ind w:firstLine="0"/>
              <w:jc w:val="both"/>
              <w:rPr>
                <w:rFonts w:hAnsi="宋体" w:cs="宋体"/>
                <w:sz w:val="21"/>
                <w:szCs w:val="21"/>
              </w:rPr>
            </w:pPr>
            <w:r>
              <w:rPr>
                <w:rFonts w:hint="eastAsia" w:hAnsi="宋体" w:cs="宋体"/>
                <w:sz w:val="21"/>
                <w:szCs w:val="21"/>
              </w:rPr>
              <w:t xml:space="preserve">        分包金额要求：</w:t>
            </w:r>
            <w:r>
              <w:rPr>
                <w:rFonts w:hint="eastAsia" w:hAnsi="宋体" w:cs="宋体"/>
                <w:sz w:val="21"/>
                <w:szCs w:val="21"/>
                <w:u w:val="single"/>
              </w:rPr>
              <w:t xml:space="preserve">                  </w:t>
            </w:r>
          </w:p>
          <w:p>
            <w:pPr>
              <w:pStyle w:val="187"/>
              <w:spacing w:line="360" w:lineRule="exact"/>
              <w:ind w:firstLine="840" w:firstLineChars="400"/>
              <w:jc w:val="both"/>
              <w:rPr>
                <w:rFonts w:hAnsi="宋体" w:cs="宋体"/>
                <w:sz w:val="21"/>
                <w:szCs w:val="21"/>
              </w:rPr>
            </w:pPr>
            <w:r>
              <w:rPr>
                <w:rFonts w:hint="eastAsia" w:hAnsi="宋体" w:cs="宋体"/>
                <w:sz w:val="21"/>
                <w:szCs w:val="21"/>
              </w:rPr>
              <w:t>接受分包的第三人资质要求：</w:t>
            </w:r>
            <w:r>
              <w:rPr>
                <w:rFonts w:hint="eastAsia" w:hAnsi="宋体" w:cs="宋体"/>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其他资料</w:t>
            </w:r>
          </w:p>
        </w:tc>
        <w:tc>
          <w:tcPr>
            <w:tcW w:w="2980" w:type="pct"/>
            <w:vAlign w:val="center"/>
          </w:tcPr>
          <w:p>
            <w:pPr>
              <w:spacing w:line="360" w:lineRule="exact"/>
              <w:rPr>
                <w:rFonts w:ascii="宋体" w:hAnsi="宋体" w:cs="宋体"/>
                <w:szCs w:val="21"/>
              </w:rPr>
            </w:pPr>
            <w:r>
              <w:rPr>
                <w:rFonts w:hint="eastAsia" w:ascii="宋体" w:hAnsi="宋体" w:cs="宋体"/>
                <w:szCs w:val="21"/>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采购文件时间和方式</w:t>
            </w:r>
          </w:p>
        </w:tc>
        <w:tc>
          <w:tcPr>
            <w:tcW w:w="2980" w:type="pct"/>
            <w:vAlign w:val="center"/>
          </w:tcPr>
          <w:p>
            <w:pPr>
              <w:spacing w:line="360" w:lineRule="exact"/>
              <w:rPr>
                <w:rFonts w:ascii="宋体" w:hAnsi="宋体" w:cs="宋体"/>
              </w:rPr>
            </w:pPr>
            <w:r>
              <w:rPr>
                <w:rFonts w:hint="eastAsia" w:ascii="宋体" w:hAnsi="宋体" w:cs="宋体"/>
              </w:rPr>
              <w:t>截止时间</w:t>
            </w:r>
            <w:r>
              <w:rPr>
                <w:rFonts w:hint="eastAsia" w:ascii="宋体" w:hAnsi="宋体" w:cs="宋体"/>
                <w:highlight w:val="none"/>
              </w:rPr>
              <w:t>：</w:t>
            </w: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8</w:t>
            </w:r>
            <w:r>
              <w:rPr>
                <w:rFonts w:hint="eastAsia" w:ascii="宋体" w:hAnsi="宋体" w:cs="宋体"/>
                <w:szCs w:val="21"/>
                <w:highlight w:val="none"/>
              </w:rPr>
              <w:t>月</w:t>
            </w:r>
            <w:r>
              <w:rPr>
                <w:rFonts w:hint="eastAsia" w:ascii="宋体" w:hAnsi="宋体" w:cs="宋体"/>
                <w:szCs w:val="21"/>
                <w:highlight w:val="none"/>
                <w:u w:val="single"/>
                <w:lang w:val="en-US" w:eastAsia="zh-CN"/>
              </w:rPr>
              <w:t>21</w:t>
            </w:r>
            <w:r>
              <w:rPr>
                <w:rFonts w:hint="eastAsia" w:ascii="宋体" w:hAnsi="宋体" w:cs="宋体"/>
                <w:szCs w:val="21"/>
                <w:highlight w:val="none"/>
              </w:rPr>
              <w:t>日</w:t>
            </w:r>
            <w:r>
              <w:rPr>
                <w:rFonts w:hint="eastAsia" w:ascii="宋体" w:hAnsi="宋体" w:cs="宋体"/>
                <w:szCs w:val="21"/>
                <w:highlight w:val="none"/>
                <w:u w:val="single"/>
                <w:lang w:val="en-US" w:eastAsia="zh-CN"/>
              </w:rPr>
              <w:t>17</w:t>
            </w:r>
            <w:r>
              <w:rPr>
                <w:rFonts w:hint="eastAsia" w:ascii="宋体" w:hAnsi="宋体" w:cs="宋体"/>
                <w:szCs w:val="21"/>
                <w:highlight w:val="none"/>
              </w:rPr>
              <w:t>时</w:t>
            </w:r>
          </w:p>
          <w:p>
            <w:pPr>
              <w:pStyle w:val="43"/>
              <w:spacing w:after="0" w:line="360" w:lineRule="exact"/>
              <w:ind w:left="0" w:leftChars="0" w:firstLine="0"/>
              <w:rPr>
                <w:rFonts w:ascii="宋体" w:hAnsi="宋体" w:cs="宋体"/>
              </w:rPr>
            </w:pPr>
            <w:r>
              <w:rPr>
                <w:rFonts w:hint="eastAsia" w:ascii="宋体" w:hAnsi="宋体" w:cs="宋体"/>
                <w:kern w:val="2"/>
                <w:szCs w:val="21"/>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采购文件澄清和修改</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发出的方式</w:t>
            </w:r>
          </w:p>
        </w:tc>
        <w:tc>
          <w:tcPr>
            <w:tcW w:w="2980" w:type="pct"/>
            <w:vAlign w:val="center"/>
          </w:tcPr>
          <w:p>
            <w:pPr>
              <w:spacing w:line="360" w:lineRule="exact"/>
              <w:rPr>
                <w:rFonts w:ascii="宋体" w:hAnsi="宋体" w:cs="宋体"/>
                <w:szCs w:val="21"/>
              </w:rPr>
            </w:pPr>
            <w:r>
              <w:rPr>
                <w:rFonts w:hint="eastAsia" w:ascii="宋体" w:hAnsi="宋体" w:cs="宋体"/>
                <w:szCs w:val="21"/>
              </w:rPr>
              <w:t>在采购平台发布。</w:t>
            </w:r>
            <w:r>
              <w:rPr>
                <w:rFonts w:hint="eastAsia" w:ascii="宋体" w:hAnsi="宋体" w:cs="宋体"/>
                <w:spacing w:val="-8"/>
                <w:szCs w:val="21"/>
              </w:rPr>
              <w:t>供应商自行在上述网站下载，敬请关注，恕不另行</w:t>
            </w:r>
            <w:r>
              <w:rPr>
                <w:rFonts w:hint="eastAsia" w:ascii="宋体" w:hAnsi="宋体" w:cs="宋体"/>
                <w:szCs w:val="21"/>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项目最高限价</w:t>
            </w:r>
          </w:p>
        </w:tc>
        <w:tc>
          <w:tcPr>
            <w:tcW w:w="2980" w:type="pct"/>
            <w:vAlign w:val="center"/>
          </w:tcPr>
          <w:p>
            <w:pPr>
              <w:spacing w:line="360" w:lineRule="exact"/>
            </w:pPr>
            <w:r>
              <w:rPr>
                <w:rFonts w:hint="eastAsia" w:ascii="宋体" w:hAnsi="宋体" w:cs="宋体"/>
                <w:b/>
                <w:szCs w:val="21"/>
              </w:rPr>
              <w:t>本项目</w:t>
            </w:r>
            <w:r>
              <w:rPr>
                <w:rFonts w:hint="eastAsia" w:ascii="宋体" w:hAnsi="宋体" w:eastAsia="宋体" w:cs="宋体"/>
                <w:b/>
                <w:szCs w:val="21"/>
              </w:rPr>
              <w:t>最高限价</w:t>
            </w:r>
            <w:r>
              <w:rPr>
                <w:rFonts w:hint="eastAsia" w:ascii="宋体" w:hAnsi="宋体" w:cs="宋体"/>
                <w:b/>
                <w:szCs w:val="21"/>
              </w:rPr>
              <w:t>为</w:t>
            </w:r>
            <w:r>
              <w:rPr>
                <w:rFonts w:hint="eastAsia" w:ascii="宋体" w:hAnsi="宋体" w:cs="宋体"/>
                <w:b/>
                <w:szCs w:val="21"/>
                <w:highlight w:val="none"/>
              </w:rPr>
              <w:t>：</w:t>
            </w:r>
            <w:r>
              <w:rPr>
                <w:rFonts w:ascii="宋体" w:hAnsi="宋体" w:eastAsia="宋体" w:cs="宋体"/>
                <w:color w:val="000000"/>
                <w:sz w:val="21"/>
                <w:szCs w:val="21"/>
                <w:highlight w:val="none"/>
                <w:shd w:val="clear" w:color="auto" w:fill="FFFFFF"/>
              </w:rPr>
              <w:t>434657.06</w:t>
            </w:r>
            <w:r>
              <w:rPr>
                <w:rFonts w:hint="eastAsia" w:ascii="宋体" w:hAnsi="宋体" w:cs="宋体"/>
                <w:color w:val="000000"/>
                <w:sz w:val="21"/>
                <w:szCs w:val="21"/>
                <w:highlight w:val="none"/>
                <w:shd w:val="clear" w:color="auto" w:fill="FFFFFF"/>
                <w:lang w:val="en-US" w:eastAsia="zh-CN"/>
              </w:rPr>
              <w:t>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w:t>
            </w:r>
            <w:r>
              <w:rPr>
                <w:rFonts w:hint="eastAsia" w:ascii="宋体" w:hAnsi="宋体" w:eastAsia="宋体" w:cs="宋体"/>
                <w:szCs w:val="21"/>
              </w:rPr>
              <w:t>价。具体详见</w:t>
            </w:r>
            <w:r>
              <w:rPr>
                <w:rFonts w:hint="eastAsia" w:ascii="宋体" w:hAnsi="宋体" w:cs="宋体"/>
                <w:b/>
                <w:bCs/>
                <w:szCs w:val="21"/>
                <w:lang w:eastAsia="zh-CN"/>
              </w:rPr>
              <w:t>第六章</w:t>
            </w:r>
            <w:r>
              <w:rPr>
                <w:rFonts w:hint="eastAsia" w:ascii="宋体" w:hAnsi="宋体" w:cs="宋体"/>
                <w:b w:val="0"/>
                <w:bCs w:val="0"/>
                <w:szCs w:val="21"/>
                <w:lang w:eastAsia="zh-CN"/>
              </w:rPr>
              <w:t>《竞争性采购最高限价》</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2980" w:type="pct"/>
            <w:vAlign w:val="center"/>
          </w:tcPr>
          <w:p>
            <w:pPr>
              <w:spacing w:line="360" w:lineRule="exact"/>
              <w:rPr>
                <w:rFonts w:ascii="宋体" w:hAnsi="宋体" w:cs="宋体"/>
                <w:szCs w:val="21"/>
              </w:rPr>
            </w:pPr>
            <w:r>
              <w:rPr>
                <w:rFonts w:hint="eastAsia" w:ascii="宋体" w:hAnsi="宋体" w:cs="宋体"/>
                <w:szCs w:val="21"/>
              </w:rPr>
              <w:t>自响应文件递交截止之日起</w:t>
            </w:r>
            <w:r>
              <w:rPr>
                <w:rFonts w:hint="eastAsia" w:ascii="宋体" w:hAnsi="宋体" w:cs="宋体"/>
                <w:szCs w:val="21"/>
                <w:u w:val="single"/>
              </w:rPr>
              <w:t>180</w:t>
            </w:r>
            <w:r>
              <w:rPr>
                <w:rFonts w:hint="eastAsia" w:ascii="宋体" w:hAnsi="宋体" w:cs="宋体"/>
                <w:szCs w:val="21"/>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竞争性采购</w:t>
            </w:r>
            <w:r>
              <w:rPr>
                <w:rFonts w:hint="eastAsia" w:ascii="宋体" w:hAnsi="宋体" w:cs="宋体"/>
                <w:color w:val="000000" w:themeColor="text1"/>
                <w:szCs w:val="21"/>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□不要求提交</w:t>
            </w:r>
            <w:r>
              <w:rPr>
                <w:rFonts w:hint="eastAsia" w:ascii="宋体" w:hAnsi="宋体" w:cs="宋体"/>
                <w:color w:val="000000" w:themeColor="text1"/>
                <w:szCs w:val="21"/>
                <w:lang w:eastAsia="zh-CN"/>
                <w14:textFill>
                  <w14:solidFill>
                    <w14:schemeClr w14:val="tx1"/>
                  </w14:solidFill>
                </w14:textFill>
              </w:rPr>
              <w:t>竞争性采购</w:t>
            </w:r>
            <w:r>
              <w:rPr>
                <w:rFonts w:hint="eastAsia" w:ascii="宋体" w:hAnsi="宋体" w:cs="宋体"/>
                <w:color w:val="000000" w:themeColor="text1"/>
                <w:szCs w:val="21"/>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要求提交</w:t>
            </w:r>
            <w:r>
              <w:rPr>
                <w:rFonts w:hint="eastAsia" w:ascii="宋体" w:hAnsi="宋体" w:cs="宋体"/>
                <w:color w:val="000000" w:themeColor="text1"/>
                <w:szCs w:val="21"/>
                <w:lang w:eastAsia="zh-CN"/>
                <w14:textFill>
                  <w14:solidFill>
                    <w14:schemeClr w14:val="tx1"/>
                  </w14:solidFill>
                </w14:textFill>
              </w:rPr>
              <w:t>竞争性采购</w:t>
            </w:r>
            <w:r>
              <w:rPr>
                <w:rFonts w:hint="eastAsia" w:ascii="宋体" w:hAnsi="宋体" w:cs="宋体"/>
                <w:color w:val="000000" w:themeColor="text1"/>
                <w:szCs w:val="21"/>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1.金额：人民币（大写）</w:t>
            </w:r>
            <w:r>
              <w:rPr>
                <w:rFonts w:hint="eastAsia" w:ascii="宋体" w:hAnsi="宋体" w:eastAsia="宋体" w:cs="宋体"/>
                <w:color w:val="000000"/>
                <w:kern w:val="0"/>
                <w:szCs w:val="21"/>
                <w:u w:val="single"/>
              </w:rPr>
              <w:t>捌仟陆佰元整</w:t>
            </w:r>
            <w:r>
              <w:rPr>
                <w:rFonts w:hint="eastAsia" w:ascii="宋体" w:hAnsi="宋体" w:cs="宋体"/>
                <w:color w:val="000000" w:themeColor="text1"/>
                <w:szCs w:val="21"/>
                <w14:textFill>
                  <w14:solidFill>
                    <w14:schemeClr w14:val="tx1"/>
                  </w14:solidFill>
                </w14:textFill>
              </w:rPr>
              <w:t>（¥</w:t>
            </w:r>
            <w:r>
              <w:rPr>
                <w:rFonts w:hint="eastAsia" w:asciiTheme="minorEastAsia" w:hAnsiTheme="minorEastAsia"/>
                <w:color w:val="000000"/>
                <w:szCs w:val="21"/>
                <w:u w:val="single"/>
                <w:shd w:val="clear" w:color="auto" w:fill="FFFFFF"/>
                <w:lang w:bidi="ar"/>
              </w:rPr>
              <w:t>8600</w:t>
            </w:r>
            <w:r>
              <w:rPr>
                <w:rFonts w:hint="eastAsia" w:ascii="宋体" w:hAnsi="宋体" w:cs="宋体"/>
                <w:color w:val="000000" w:themeColor="text1"/>
                <w:szCs w:val="21"/>
                <w14:textFill>
                  <w14:solidFill>
                    <w14:schemeClr w14:val="tx1"/>
                  </w14:solidFill>
                </w14:textFill>
              </w:rPr>
              <w:t>元）。</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kern w:val="0"/>
                <w:szCs w:val="21"/>
                <w:shd w:val="clear" w:color="auto" w:fill="FFFFFF"/>
                <w:lang w:val="en-US" w:eastAsia="zh-CN"/>
              </w:rPr>
              <w:t>8.</w:t>
            </w:r>
            <w:r>
              <w:rPr>
                <w:rFonts w:hint="eastAsia" w:ascii="宋体" w:hAnsi="宋体" w:eastAsia="宋体" w:cs="宋体"/>
                <w:color w:val="000000"/>
                <w:kern w:val="0"/>
                <w:szCs w:val="21"/>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shd w:val="clear" w:color="auto" w:fill="FFFFFF"/>
                <w:lang w:eastAsia="zh-CN"/>
              </w:rPr>
              <w:t>（</w:t>
            </w:r>
            <w:r>
              <w:rPr>
                <w:rFonts w:hint="eastAsia" w:ascii="宋体" w:hAnsi="宋体" w:cs="宋体"/>
                <w:color w:val="000000"/>
                <w:kern w:val="0"/>
                <w:szCs w:val="21"/>
                <w:shd w:val="clear" w:color="auto" w:fill="FFFFFF"/>
                <w:lang w:val="en-US" w:eastAsia="zh-CN"/>
              </w:rPr>
              <w:t>如需</w:t>
            </w:r>
            <w:r>
              <w:rPr>
                <w:rFonts w:hint="eastAsia" w:ascii="宋体" w:hAnsi="宋体" w:cs="宋体"/>
                <w:color w:val="000000"/>
                <w:kern w:val="0"/>
                <w:szCs w:val="21"/>
                <w:shd w:val="clear" w:color="auto" w:fill="FFFFFF"/>
                <w:lang w:eastAsia="zh-CN"/>
              </w:rPr>
              <w:t>）</w:t>
            </w:r>
            <w:r>
              <w:rPr>
                <w:rFonts w:hint="eastAsia" w:ascii="宋体" w:hAnsi="宋体" w:eastAsia="宋体" w:cs="宋体"/>
                <w:color w:val="000000"/>
                <w:kern w:val="0"/>
                <w:szCs w:val="21"/>
                <w:shd w:val="clear" w:color="auto" w:fill="FFFFFF"/>
              </w:rPr>
              <w:t>后予以退还。如在退还竞争性采购保证</w:t>
            </w:r>
            <w:r>
              <w:rPr>
                <w:rFonts w:hint="eastAsia" w:ascii="宋体" w:hAnsi="宋体" w:eastAsia="宋体" w:cs="宋体"/>
                <w:color w:val="000000"/>
                <w:kern w:val="0"/>
                <w:szCs w:val="21"/>
                <w:highlight w:val="none"/>
                <w:shd w:val="clear" w:color="auto" w:fill="FFFFFF"/>
              </w:rPr>
              <w:t>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是否允许递交备选方案</w:t>
            </w:r>
          </w:p>
        </w:tc>
        <w:tc>
          <w:tcPr>
            <w:tcW w:w="2980" w:type="pct"/>
            <w:vAlign w:val="center"/>
          </w:tcPr>
          <w:p>
            <w:pPr>
              <w:pStyle w:val="275"/>
              <w:adjustRightInd w:val="0"/>
              <w:snapToGrid w:val="0"/>
              <w:spacing w:line="360" w:lineRule="exact"/>
              <w:rPr>
                <w:rFonts w:ascii="宋体" w:hAnsi="宋体" w:cs="宋体"/>
                <w:szCs w:val="21"/>
              </w:rPr>
            </w:pPr>
            <w:r>
              <w:rPr>
                <w:rFonts w:hint="eastAsia" w:ascii="宋体" w:hAnsi="宋体" w:cs="宋体"/>
                <w:szCs w:val="21"/>
              </w:rPr>
              <w:t>□允许</w:t>
            </w:r>
          </w:p>
          <w:p>
            <w:pPr>
              <w:adjustRightInd w:val="0"/>
              <w:snapToGrid w:val="0"/>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w:t>
            </w:r>
          </w:p>
        </w:tc>
        <w:tc>
          <w:tcPr>
            <w:tcW w:w="1448" w:type="pct"/>
            <w:vAlign w:val="center"/>
          </w:tcPr>
          <w:p>
            <w:pPr>
              <w:pStyle w:val="275"/>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14:textFill>
                  <w14:solidFill>
                    <w14:schemeClr w14:val="tx1"/>
                  </w14:solidFill>
                </w14:textFill>
              </w:rPr>
              <w:t>第</w:t>
            </w:r>
            <w:r>
              <w:rPr>
                <w:rFonts w:hint="eastAsia" w:ascii="宋体" w:hAnsi="宋体" w:cs="宋体"/>
                <w:b/>
                <w:bCs/>
                <w:color w:val="000000" w:themeColor="text1"/>
                <w:lang w:eastAsia="zh-CN"/>
                <w14:textFill>
                  <w14:solidFill>
                    <w14:schemeClr w14:val="tx1"/>
                  </w14:solidFill>
                </w14:textFill>
              </w:rPr>
              <w:t>七</w:t>
            </w:r>
            <w:r>
              <w:rPr>
                <w:rFonts w:hint="eastAsia" w:ascii="宋体" w:hAnsi="宋体" w:cs="宋体"/>
                <w:b/>
                <w:bCs/>
                <w:color w:val="000000" w:themeColor="text1"/>
                <w14:textFill>
                  <w14:solidFill>
                    <w14:schemeClr w14:val="tx1"/>
                  </w14:solidFill>
                </w14:textFill>
              </w:rPr>
              <w:t>章</w:t>
            </w:r>
            <w:r>
              <w:rPr>
                <w:rFonts w:hint="eastAsia" w:ascii="宋体" w:hAnsi="宋体" w:cs="宋体"/>
                <w:color w:val="000000" w:themeColor="text1"/>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w:t>
            </w:r>
          </w:p>
        </w:tc>
        <w:tc>
          <w:tcPr>
            <w:tcW w:w="1448" w:type="pct"/>
            <w:vAlign w:val="center"/>
          </w:tcPr>
          <w:p>
            <w:pPr>
              <w:pStyle w:val="275"/>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响应文件应由</w:t>
            </w:r>
            <w:r>
              <w:rPr>
                <w:rFonts w:hint="eastAsia" w:ascii="宋体" w:hAnsi="宋体" w:cs="宋体"/>
                <w:color w:val="000000" w:themeColor="text1"/>
                <w14:textFill>
                  <w14:solidFill>
                    <w14:schemeClr w14:val="tx1"/>
                  </w14:solidFill>
                </w14:textFill>
              </w:rPr>
              <w:t>供应商的</w:t>
            </w: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color w:val="000000" w:themeColor="text1"/>
                <w14:textFill>
                  <w14:solidFill>
                    <w14:schemeClr w14:val="tx1"/>
                  </w14:solidFill>
                </w14:textFill>
              </w:rPr>
              <w:t>按采购文件要求在相应位置</w:t>
            </w:r>
            <w:r>
              <w:rPr>
                <w:rFonts w:hint="eastAsia" w:ascii="宋体" w:hAnsi="宋体" w:cs="宋体"/>
                <w:color w:val="000000" w:themeColor="text1"/>
                <w:szCs w:val="21"/>
                <w14:textFill>
                  <w14:solidFill>
                    <w14:schemeClr w14:val="tx1"/>
                  </w14:solidFill>
                </w14:textFill>
              </w:rPr>
              <w:t>签名（或加盖印章），并采用单位数字证书，</w:t>
            </w:r>
            <w:r>
              <w:rPr>
                <w:rFonts w:hint="eastAsia" w:ascii="宋体" w:hAnsi="宋体" w:cs="宋体"/>
                <w:color w:val="000000" w:themeColor="text1"/>
                <w14:textFill>
                  <w14:solidFill>
                    <w14:schemeClr w14:val="tx1"/>
                  </w14:solidFill>
                </w14:textFill>
              </w:rPr>
              <w:t>按采购文件要求在相应位置加盖电子印章。</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由法定代表人签字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的，响应文件应附法定代表人身份证明，由委托代理人签字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供应商须在采购文件规定的响应文件递交截止时间前登陆</w:t>
            </w:r>
            <w:r>
              <w:rPr>
                <w:rFonts w:hint="eastAsia" w:ascii="宋体" w:hAnsi="宋体" w:cs="宋体"/>
                <w:color w:val="000000" w:themeColor="text1"/>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kern w:val="2"/>
                <w:sz w:val="21"/>
                <w:szCs w:val="21"/>
                <w:lang w:val="en-US" w:eastAsia="zh-CN" w:bidi="ar-SA"/>
              </w:rPr>
            </w:pPr>
            <w:r>
              <w:rPr>
                <w:rFonts w:hint="eastAsia" w:ascii="宋体" w:hAnsi="宋体" w:cs="宋体"/>
                <w:szCs w:val="21"/>
              </w:rPr>
              <w:t>4.1.1</w:t>
            </w:r>
          </w:p>
        </w:tc>
        <w:tc>
          <w:tcPr>
            <w:tcW w:w="1448" w:type="pct"/>
            <w:vAlign w:val="center"/>
          </w:tcPr>
          <w:p>
            <w:pPr>
              <w:pStyle w:val="275"/>
              <w:adjustRightInd w:val="0"/>
              <w:snapToGrid w:val="0"/>
              <w:spacing w:line="300" w:lineRule="auto"/>
              <w:jc w:val="center"/>
              <w:rPr>
                <w:rFonts w:ascii="宋体" w:hAnsi="宋体" w:cs="宋体"/>
                <w:szCs w:val="21"/>
              </w:rPr>
            </w:pPr>
            <w:r>
              <w:rPr>
                <w:rFonts w:hint="eastAsia" w:ascii="宋体" w:hAnsi="宋体" w:cs="宋体"/>
                <w:szCs w:val="21"/>
              </w:rPr>
              <w:t>响应文件加密要求</w:t>
            </w:r>
          </w:p>
        </w:tc>
        <w:tc>
          <w:tcPr>
            <w:tcW w:w="2980" w:type="pct"/>
            <w:vAlign w:val="center"/>
          </w:tcPr>
          <w:p>
            <w:pPr>
              <w:pStyle w:val="275"/>
              <w:adjustRightInd w:val="0"/>
              <w:snapToGrid w:val="0"/>
              <w:spacing w:line="300" w:lineRule="auto"/>
              <w:rPr>
                <w:rFonts w:ascii="宋体" w:hAnsi="宋体" w:cs="宋体"/>
                <w:szCs w:val="21"/>
                <w:u w:val="single"/>
              </w:rPr>
            </w:pPr>
            <w:r>
              <w:rPr>
                <w:rFonts w:hint="eastAsia" w:ascii="宋体" w:hAnsi="宋体" w:cs="宋体"/>
                <w:bCs/>
                <w:szCs w:val="21"/>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4.2.1</w:t>
            </w:r>
          </w:p>
        </w:tc>
        <w:tc>
          <w:tcPr>
            <w:tcW w:w="1448" w:type="pct"/>
            <w:vAlign w:val="center"/>
          </w:tcPr>
          <w:p>
            <w:pPr>
              <w:spacing w:line="360" w:lineRule="exact"/>
              <w:jc w:val="center"/>
              <w:rPr>
                <w:rFonts w:ascii="宋体" w:hAnsi="宋体" w:cs="宋体"/>
                <w:szCs w:val="21"/>
              </w:rPr>
            </w:pPr>
            <w:r>
              <w:rPr>
                <w:rFonts w:hint="eastAsia" w:ascii="宋体" w:hAnsi="宋体" w:cs="宋体"/>
                <w:szCs w:val="21"/>
              </w:rPr>
              <w:t>响应文件递交截止时间</w:t>
            </w:r>
          </w:p>
        </w:tc>
        <w:tc>
          <w:tcPr>
            <w:tcW w:w="2980" w:type="pct"/>
            <w:vAlign w:val="center"/>
          </w:tcPr>
          <w:p>
            <w:pPr>
              <w:spacing w:line="360" w:lineRule="exact"/>
              <w:rPr>
                <w:rFonts w:ascii="宋体" w:hAnsi="宋体" w:cs="宋体"/>
                <w:szCs w:val="21"/>
              </w:rPr>
            </w:pP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8</w:t>
            </w:r>
            <w:r>
              <w:rPr>
                <w:rFonts w:hint="eastAsia" w:ascii="宋体" w:hAnsi="宋体" w:cs="宋体"/>
                <w:szCs w:val="21"/>
                <w:highlight w:val="none"/>
              </w:rPr>
              <w:t>月</w:t>
            </w:r>
            <w:r>
              <w:rPr>
                <w:rFonts w:hint="eastAsia" w:ascii="宋体" w:hAnsi="宋体" w:cs="宋体"/>
                <w:szCs w:val="21"/>
                <w:highlight w:val="none"/>
                <w:u w:val="single"/>
                <w:lang w:val="en-US" w:eastAsia="zh-CN"/>
              </w:rPr>
              <w:t>25</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rPr>
              <w:t>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4.2.</w:t>
            </w:r>
            <w:r>
              <w:rPr>
                <w:rFonts w:ascii="宋体" w:hAnsi="宋体" w:cs="宋体"/>
                <w:szCs w:val="21"/>
              </w:rPr>
              <w:t>2</w:t>
            </w:r>
          </w:p>
        </w:tc>
        <w:tc>
          <w:tcPr>
            <w:tcW w:w="1448" w:type="pct"/>
            <w:vAlign w:val="center"/>
          </w:tcPr>
          <w:p>
            <w:pPr>
              <w:pStyle w:val="275"/>
              <w:adjustRightInd w:val="0"/>
              <w:snapToGrid w:val="0"/>
              <w:spacing w:line="300" w:lineRule="auto"/>
              <w:jc w:val="center"/>
              <w:rPr>
                <w:szCs w:val="21"/>
              </w:rPr>
            </w:pPr>
            <w:r>
              <w:rPr>
                <w:rFonts w:hint="eastAsia"/>
                <w:szCs w:val="21"/>
              </w:rPr>
              <w:t>递交</w:t>
            </w:r>
            <w:r>
              <w:rPr>
                <w:rFonts w:hint="eastAsia" w:ascii="宋体" w:hAnsi="宋体" w:cs="宋体"/>
                <w:szCs w:val="21"/>
              </w:rPr>
              <w:t>响应</w:t>
            </w:r>
            <w:r>
              <w:rPr>
                <w:rFonts w:hint="eastAsia"/>
                <w:szCs w:val="21"/>
              </w:rPr>
              <w:t>文件地点</w:t>
            </w:r>
          </w:p>
        </w:tc>
        <w:tc>
          <w:tcPr>
            <w:tcW w:w="2980" w:type="pct"/>
            <w:vAlign w:val="center"/>
          </w:tcPr>
          <w:p>
            <w:pPr>
              <w:spacing w:line="276" w:lineRule="auto"/>
              <w:rPr>
                <w:rFonts w:ascii="宋体" w:hAnsi="宋体" w:cs="宋体"/>
                <w:szCs w:val="21"/>
              </w:rPr>
            </w:pPr>
            <w:r>
              <w:rPr>
                <w:rFonts w:hint="eastAsia" w:ascii="宋体" w:hAnsi="宋体" w:cs="宋体"/>
                <w:szCs w:val="21"/>
              </w:rPr>
              <w:t>登录采购平台上传电子响应文件（</w:t>
            </w:r>
            <w:r>
              <w:rPr>
                <w:rFonts w:hint="eastAsia" w:ascii="宋体" w:hAnsi="宋体" w:cs="宋体"/>
              </w:rPr>
              <w:t>CSCG格式</w:t>
            </w:r>
            <w:r>
              <w:rPr>
                <w:rFonts w:hint="eastAsia" w:ascii="宋体" w:hAnsi="宋体" w:cs="宋体"/>
                <w:szCs w:val="21"/>
              </w:rPr>
              <w:t>）</w:t>
            </w:r>
            <w:r>
              <w:rPr>
                <w:rFonts w:hint="eastAsia"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4.2.3</w:t>
            </w:r>
          </w:p>
        </w:tc>
        <w:tc>
          <w:tcPr>
            <w:tcW w:w="1448" w:type="pct"/>
            <w:vAlign w:val="center"/>
          </w:tcPr>
          <w:p>
            <w:pPr>
              <w:spacing w:line="360" w:lineRule="exact"/>
              <w:jc w:val="center"/>
              <w:rPr>
                <w:rFonts w:ascii="宋体" w:hAnsi="宋体" w:cs="宋体"/>
                <w:szCs w:val="21"/>
              </w:rPr>
            </w:pPr>
            <w:r>
              <w:rPr>
                <w:rFonts w:hint="eastAsia" w:ascii="宋体" w:hAnsi="宋体" w:cs="宋体"/>
                <w:szCs w:val="21"/>
              </w:rPr>
              <w:t>是否退还响应文件</w:t>
            </w:r>
          </w:p>
        </w:tc>
        <w:tc>
          <w:tcPr>
            <w:tcW w:w="2980" w:type="pct"/>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评审小组的组建</w:t>
            </w:r>
          </w:p>
        </w:tc>
        <w:tc>
          <w:tcPr>
            <w:tcW w:w="2980" w:type="pct"/>
            <w:vAlign w:val="center"/>
          </w:tcPr>
          <w:p>
            <w:pPr>
              <w:pStyle w:val="187"/>
              <w:spacing w:line="360" w:lineRule="exact"/>
              <w:ind w:firstLine="0"/>
              <w:jc w:val="both"/>
              <w:rPr>
                <w:rFonts w:hAnsi="宋体" w:cs="宋体"/>
                <w:color w:val="000000" w:themeColor="text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结果公示媒介</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szCs w:val="21"/>
              </w:rPr>
              <w:t>7.2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推荐成交候选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。经公示无异议后，确定排名第一的</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为成交供</w:t>
            </w:r>
            <w:r>
              <w:rPr>
                <w:rFonts w:ascii="宋体" w:hAnsi="宋体" w:cs="宋体"/>
                <w:color w:val="000000" w:themeColor="text1"/>
                <w:szCs w:val="21"/>
                <w14:textFill>
                  <w14:solidFill>
                    <w14:schemeClr w14:val="tx1"/>
                  </w14:solidFill>
                </w14:textFill>
              </w:rPr>
              <w:t>应商</w:t>
            </w:r>
            <w:r>
              <w:rPr>
                <w:rFonts w:hint="eastAsia" w:ascii="宋体" w:hAnsi="宋体" w:cs="宋体"/>
                <w:color w:val="000000" w:themeColor="text1"/>
                <w:szCs w:val="21"/>
                <w14:textFill>
                  <w14:solidFill>
                    <w14:schemeClr w14:val="tx1"/>
                  </w14:solidFill>
                </w14:textFill>
              </w:rPr>
              <w:t>。</w:t>
            </w:r>
          </w:p>
          <w:p>
            <w:pPr>
              <w:spacing w:line="360" w:lineRule="exact"/>
              <w:jc w:val="left"/>
            </w:pPr>
            <w:r>
              <w:rPr>
                <w:rFonts w:hint="eastAsia" w:ascii="宋体" w:hAnsi="宋体" w:cs="宋体"/>
                <w:color w:val="000000" w:themeColor="text1"/>
                <w:szCs w:val="21"/>
                <w14:textFill>
                  <w14:solidFill>
                    <w14:schemeClr w14:val="tx1"/>
                  </w14:solidFill>
                </w14:textFill>
              </w:rPr>
              <w:t>2.竞争性采购排名第一的成交候选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放弃</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、因不可抗力不能履行合同，或者被查实存在影响</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结果的违法行为等情形，不符合</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条件的，采购人可以按照评审小组提出的</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名单排序依次确定其他</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为</w:t>
            </w:r>
            <w:r>
              <w:rPr>
                <w:rFonts w:hint="eastAsia" w:ascii="宋体" w:hAnsi="宋体" w:cs="宋体"/>
                <w:color w:val="000000" w:themeColor="text1"/>
                <w:szCs w:val="21"/>
                <w:lang w:eastAsia="zh-CN"/>
                <w14:textFill>
                  <w14:solidFill>
                    <w14:schemeClr w14:val="tx1"/>
                  </w14:solidFill>
                </w14:textFill>
              </w:rPr>
              <w:t>成交供应商</w:t>
            </w:r>
            <w:r>
              <w:rPr>
                <w:rFonts w:hint="eastAsia" w:ascii="宋体" w:hAnsi="宋体" w:cs="宋体"/>
                <w:color w:val="000000" w:themeColor="text1"/>
                <w:szCs w:val="21"/>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szCs w:val="21"/>
              </w:rPr>
              <w:t>7.</w:t>
            </w:r>
            <w:r>
              <w:rPr>
                <w:rFonts w:hint="eastAsia" w:ascii="宋体" w:hAnsi="宋体" w:cs="宋体"/>
                <w:szCs w:val="21"/>
                <w:lang w:val="en-US" w:eastAsia="zh-CN"/>
              </w:rPr>
              <w:t>4</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履约保证金的形式：详见合同条款。</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9.1</w:t>
            </w:r>
          </w:p>
        </w:tc>
        <w:tc>
          <w:tcPr>
            <w:tcW w:w="4428" w:type="pct"/>
            <w:gridSpan w:val="2"/>
            <w:vAlign w:val="center"/>
          </w:tcPr>
          <w:p>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cya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异议的提出与处理按《</w:t>
            </w:r>
            <w:r>
              <w:rPr>
                <w:rFonts w:hint="eastAsia" w:ascii="宋体" w:hAnsi="宋体" w:eastAsia="宋体" w:cs="宋体"/>
                <w:color w:val="000000"/>
                <w:sz w:val="21"/>
                <w:szCs w:val="21"/>
                <w:shd w:val="clear" w:color="auto" w:fill="FFFFFF"/>
              </w:rPr>
              <w:t>长沙市轨道交通运营有限公司采购管理办法（试行）</w:t>
            </w:r>
            <w:r>
              <w:rPr>
                <w:rFonts w:hint="eastAsia" w:hAnsi="宋体" w:cs="宋体"/>
                <w:color w:val="000000" w:themeColor="text1"/>
                <w:sz w:val="21"/>
                <w:szCs w:val="21"/>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3</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4</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5</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成交通知发出以前，成交候选</w:t>
            </w:r>
            <w:r>
              <w:rPr>
                <w:rFonts w:hint="eastAsia" w:hAnsi="宋体" w:cs="宋体"/>
                <w:color w:val="000000" w:themeColor="text1"/>
                <w:sz w:val="21"/>
                <w:szCs w:val="21"/>
                <w:lang w:eastAsia="zh-CN"/>
                <w14:textFill>
                  <w14:solidFill>
                    <w14:schemeClr w14:val="tx1"/>
                  </w14:solidFill>
                </w14:textFill>
              </w:rPr>
              <w:t>供应商</w:t>
            </w:r>
            <w:r>
              <w:rPr>
                <w:rFonts w:hint="eastAsia" w:hAnsi="宋体" w:cs="宋体"/>
                <w:color w:val="000000" w:themeColor="text1"/>
                <w:sz w:val="21"/>
                <w:szCs w:val="21"/>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lang w:eastAsia="zh-CN"/>
                <w14:textFill>
                  <w14:solidFill>
                    <w14:schemeClr w14:val="tx1"/>
                  </w14:solidFill>
                </w14:textFill>
              </w:rPr>
              <w:t>供应商</w:t>
            </w:r>
            <w:r>
              <w:rPr>
                <w:rFonts w:hint="eastAsia" w:hAnsi="宋体" w:cs="宋体"/>
                <w:color w:val="000000" w:themeColor="text1"/>
                <w:sz w:val="21"/>
                <w:szCs w:val="21"/>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6</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14:textFill>
                  <w14:solidFill>
                    <w14:schemeClr w14:val="tx1"/>
                  </w14:solidFill>
                </w14:textFill>
              </w:rPr>
              <w:t>视为不合格供应商</w:t>
            </w:r>
            <w:r>
              <w:rPr>
                <w:rFonts w:hint="eastAsia" w:hAnsi="宋体" w:cs="宋体"/>
                <w:color w:val="000000" w:themeColor="text1"/>
                <w:sz w:val="21"/>
                <w:szCs w:val="21"/>
                <w14:textFill>
                  <w14:solidFill>
                    <w14:schemeClr w14:val="tx1"/>
                  </w14:solidFill>
                </w14:textFill>
              </w:rPr>
              <w:t>处理，采购人有权取消其成交资格并没收</w:t>
            </w:r>
            <w:r>
              <w:rPr>
                <w:rFonts w:hint="eastAsia" w:hAnsi="宋体" w:cs="宋体"/>
                <w:color w:val="000000" w:themeColor="text1"/>
                <w:sz w:val="21"/>
                <w:szCs w:val="21"/>
                <w:lang w:eastAsia="zh-CN"/>
                <w14:textFill>
                  <w14:solidFill>
                    <w14:schemeClr w14:val="tx1"/>
                  </w14:solidFill>
                </w14:textFill>
              </w:rPr>
              <w:t>竞争性采购</w:t>
            </w:r>
            <w:r>
              <w:rPr>
                <w:rFonts w:hint="eastAsia" w:hAnsi="宋体" w:cs="宋体"/>
                <w:color w:val="000000" w:themeColor="text1"/>
                <w:sz w:val="21"/>
                <w:szCs w:val="21"/>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7</w:t>
            </w:r>
          </w:p>
        </w:tc>
        <w:tc>
          <w:tcPr>
            <w:tcW w:w="4428" w:type="pct"/>
            <w:gridSpan w:val="2"/>
            <w:vAlign w:val="center"/>
          </w:tcPr>
          <w:p>
            <w:pPr>
              <w:spacing w:line="360" w:lineRule="exact"/>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8</w:t>
            </w:r>
          </w:p>
        </w:tc>
        <w:tc>
          <w:tcPr>
            <w:tcW w:w="4428" w:type="pct"/>
            <w:gridSpan w:val="2"/>
            <w:vAlign w:val="center"/>
          </w:tcPr>
          <w:p>
            <w:pPr>
              <w:pStyle w:val="43"/>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14:textFill>
            <w14:solidFill>
              <w14:schemeClr w14:val="tx1"/>
            </w14:solidFill>
          </w14:textFill>
        </w:rPr>
      </w:pPr>
      <w:r>
        <w:rPr>
          <w:rFonts w:ascii="黑体" w:eastAsia="黑体"/>
          <w:b/>
          <w:color w:val="000000" w:themeColor="text1"/>
          <w:sz w:val="32"/>
          <w:szCs w:val="32"/>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1.1.1根据有关法律、法规和规章的规定，本项目已具备</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条件，现进行</w:t>
      </w:r>
      <w:r>
        <w:rPr>
          <w:rFonts w:hint="eastAsia" w:ascii="宋体" w:hAnsi="宋体"/>
          <w:color w:val="000000" w:themeColor="text1"/>
          <w:szCs w:val="21"/>
          <w14:textFill>
            <w14:solidFill>
              <w14:schemeClr w14:val="tx1"/>
            </w14:solidFill>
          </w14:textFill>
        </w:rPr>
        <w:t>竞争性采购</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3采购</w:t>
      </w:r>
      <w:r>
        <w:rPr>
          <w:rFonts w:ascii="宋体" w:hAnsi="宋体"/>
          <w:color w:val="000000" w:themeColor="text1"/>
          <w:szCs w:val="21"/>
          <w14:textFill>
            <w14:solidFill>
              <w14:schemeClr w14:val="tx1"/>
            </w14:solidFill>
          </w14:textFill>
        </w:rPr>
        <w:t>项目名称：</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pStyle w:val="187"/>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1.2 资金来源</w:t>
      </w:r>
    </w:p>
    <w:p>
      <w:pPr>
        <w:pStyle w:val="187"/>
        <w:ind w:firstLine="420" w:firstLineChars="200"/>
        <w:jc w:val="both"/>
        <w:rPr>
          <w:rFonts w:hAnsi="宋体"/>
          <w:strike/>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 采购范围</w:t>
      </w:r>
      <w:r>
        <w:rPr>
          <w:rFonts w:hint="eastAsia" w:ascii="宋体" w:hAnsi="宋体" w:eastAsia="宋体" w:cs="Times New Roman"/>
          <w:b/>
          <w:bCs/>
          <w:color w:val="000000" w:themeColor="text1"/>
          <w:szCs w:val="21"/>
          <w14:textFill>
            <w14:solidFill>
              <w14:schemeClr w14:val="tx1"/>
            </w14:solidFill>
          </w14:textFill>
        </w:rPr>
        <w:t>、服务期</w:t>
      </w:r>
    </w:p>
    <w:p>
      <w:pPr>
        <w:pStyle w:val="187"/>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1.3.1采购范围：见竞争性采购须知前附表。</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1.3.2服务期：见竞争性采购须知前附表。</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 供应商资格要求</w:t>
      </w:r>
    </w:p>
    <w:p>
      <w:pPr>
        <w:pStyle w:val="187"/>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1.4.1 供应商应具备承担本项目资格要求：见竞争性采购公告。</w:t>
      </w:r>
      <w:bookmarkStart w:id="7" w:name="page20"/>
      <w:bookmarkEnd w:id="7"/>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14:textFill>
            <w14:solidFill>
              <w14:schemeClr w14:val="tx1"/>
            </w14:solidFill>
          </w14:textFill>
        </w:rPr>
        <w:t>第1.4.1项</w:t>
      </w:r>
      <w:r>
        <w:rPr>
          <w:rFonts w:hint="eastAsia" w:hAnsi="宋体" w:cs="宋体"/>
          <w:color w:val="000000" w:themeColor="text1"/>
          <w:sz w:val="21"/>
          <w:szCs w:val="21"/>
          <w14:textFill>
            <w14:solidFill>
              <w14:schemeClr w14:val="tx1"/>
            </w14:solidFill>
          </w14:textFill>
        </w:rPr>
        <w:t>和竞争性采购须知</w:t>
      </w:r>
      <w:r>
        <w:rPr>
          <w:rFonts w:hint="eastAsia" w:ascii="宋体" w:hAnsi="宋体" w:eastAsia="宋体" w:cs="宋体"/>
          <w:color w:val="000000" w:themeColor="text1"/>
          <w:sz w:val="21"/>
          <w:szCs w:val="21"/>
          <w14:textFill>
            <w14:solidFill>
              <w14:schemeClr w14:val="tx1"/>
            </w14:solidFill>
          </w14:textFill>
        </w:rPr>
        <w:t>前附表的要求外，还应遵守以下规定：</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（1）联合体各方应按竞争性采购文件提供的格式签订联合体协议书，明确联合体牵头人和各方权利义务；</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（2）由同一专业的单位组成的联合体，按照资质等级较低的单位确定资质等级；</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 费用承担</w:t>
      </w:r>
    </w:p>
    <w:p>
      <w:pPr>
        <w:pStyle w:val="91"/>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准备和参加</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1.6 保密</w:t>
      </w:r>
    </w:p>
    <w:p>
      <w:pPr>
        <w:pStyle w:val="280"/>
        <w:tabs>
          <w:tab w:val="left" w:pos="2117"/>
        </w:tabs>
        <w:adjustRightInd w:val="0"/>
        <w:snapToGrid w:val="0"/>
        <w:spacing w:line="360" w:lineRule="auto"/>
        <w:ind w:left="0" w:firstLine="420" w:firstLineChars="200"/>
        <w:rPr>
          <w:color w:val="000000" w:themeColor="text1"/>
          <w14:textFill>
            <w14:solidFill>
              <w14:schemeClr w14:val="tx1"/>
            </w14:solidFill>
          </w14:textFill>
        </w:rPr>
      </w:pPr>
      <w:r>
        <w:rPr>
          <w:rFonts w:hAnsi="宋体"/>
          <w:color w:val="000000" w:themeColor="text1"/>
          <w:szCs w:val="21"/>
          <w14:textFill>
            <w14:solidFill>
              <w14:schemeClr w14:val="tx1"/>
            </w14:solidFill>
          </w14:textFill>
        </w:rPr>
        <w:t>参与</w:t>
      </w:r>
      <w:r>
        <w:rPr>
          <w:rFonts w:hint="eastAsia" w:hAnsi="宋体"/>
          <w:color w:val="000000" w:themeColor="text1"/>
          <w:szCs w:val="21"/>
          <w14:textFill>
            <w14:solidFill>
              <w14:schemeClr w14:val="tx1"/>
            </w14:solidFill>
          </w14:textFill>
        </w:rPr>
        <w:t>采购</w:t>
      </w:r>
      <w:r>
        <w:rPr>
          <w:rFonts w:hAnsi="宋体"/>
          <w:color w:val="000000" w:themeColor="text1"/>
          <w:szCs w:val="21"/>
          <w14:textFill>
            <w14:solidFill>
              <w14:schemeClr w14:val="tx1"/>
            </w14:solidFill>
          </w14:textFill>
        </w:rPr>
        <w:t>活动的各方应对</w:t>
      </w:r>
      <w:r>
        <w:rPr>
          <w:rFonts w:hint="eastAsia" w:hAnsi="宋体"/>
          <w:color w:val="000000" w:themeColor="text1"/>
          <w:szCs w:val="21"/>
          <w14:textFill>
            <w14:solidFill>
              <w14:schemeClr w14:val="tx1"/>
            </w14:solidFill>
          </w14:textFill>
        </w:rPr>
        <w:t>采购文件</w:t>
      </w:r>
      <w:r>
        <w:rPr>
          <w:rFonts w:hAnsi="宋体"/>
          <w:color w:val="000000" w:themeColor="text1"/>
          <w:szCs w:val="21"/>
          <w14:textFill>
            <w14:solidFill>
              <w14:schemeClr w14:val="tx1"/>
            </w14:solidFill>
          </w14:textFill>
        </w:rPr>
        <w:t>和</w:t>
      </w:r>
      <w:r>
        <w:rPr>
          <w:rFonts w:hint="eastAsia" w:hAnsi="宋体"/>
          <w:color w:val="000000" w:themeColor="text1"/>
          <w:szCs w:val="21"/>
          <w14:textFill>
            <w14:solidFill>
              <w14:schemeClr w14:val="tx1"/>
            </w14:solidFill>
          </w14:textFill>
        </w:rPr>
        <w:t>响应</w:t>
      </w:r>
      <w:r>
        <w:rPr>
          <w:rFonts w:hAnsi="宋体"/>
          <w:color w:val="000000" w:themeColor="text1"/>
          <w:szCs w:val="21"/>
          <w14:textFill>
            <w14:solidFill>
              <w14:schemeClr w14:val="tx1"/>
            </w14:solidFill>
          </w14:textFill>
        </w:rPr>
        <w:t>文件中的商业和技术等秘密保密，</w:t>
      </w:r>
      <w:r>
        <w:rPr>
          <w:rFonts w:hint="eastAsia"/>
          <w:color w:val="000000" w:themeColor="text1"/>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1.7 语言文字</w:t>
      </w:r>
    </w:p>
    <w:p>
      <w:pPr>
        <w:pStyle w:val="280"/>
        <w:tabs>
          <w:tab w:val="left" w:pos="2117"/>
        </w:tabs>
        <w:adjustRightInd w:val="0"/>
        <w:snapToGrid w:val="0"/>
        <w:spacing w:line="360" w:lineRule="auto"/>
        <w:ind w:left="42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1.8 计量单位</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 踏勘现场</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1.9.1按竞争性采购须知前附表的规定执行。</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1.9.2供应商踏勘现场发生的费用自理。</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1.9.3除采购人的原因外，供应商自行负责在踏勘现场中所发生的人员伤亡和财产损失。</w:t>
      </w:r>
    </w:p>
    <w:p>
      <w:pPr>
        <w:pStyle w:val="187"/>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1.10 分包</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1.10.1供应商拟在成交后将成交项目的</w:t>
      </w:r>
      <w:r>
        <w:rPr>
          <w:rFonts w:hint="eastAsia" w:ascii="Times New Roman"/>
          <w:color w:val="000000" w:themeColor="text1"/>
          <w:sz w:val="21"/>
          <w:szCs w:val="20"/>
          <w14:textFill>
            <w14:solidFill>
              <w14:schemeClr w14:val="tx1"/>
            </w14:solidFill>
          </w14:textFill>
        </w:rPr>
        <w:t>非主体、非关键性</w:t>
      </w:r>
      <w:r>
        <w:rPr>
          <w:rFonts w:hint="eastAsia" w:hAnsi="宋体"/>
          <w:color w:val="000000" w:themeColor="text1"/>
          <w:sz w:val="21"/>
          <w:szCs w:val="21"/>
          <w14:textFill>
            <w14:solidFill>
              <w14:schemeClr w14:val="tx1"/>
            </w14:solidFill>
          </w14:textFill>
        </w:rPr>
        <w:t>服务工作进行分包的，应符合采购文件和“技术标准和要求”规定的分包内容、分包金额和资质要求等限制性条件。</w:t>
      </w:r>
    </w:p>
    <w:p>
      <w:pPr>
        <w:pStyle w:val="187"/>
        <w:jc w:val="both"/>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1.11 响应</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1.11.1响应文件应当对采购文件的实质性要求和条件作出满足性或更有利于采购人的响应，否则，将视为不合格供应商。</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1.11.2供应商应根据采购文件的要求对采购文件作出响应。</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 采购文件的组成</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本</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包括：</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竞争性采购公告</w:t>
      </w:r>
      <w:r>
        <w:rPr>
          <w:rFonts w:hAnsi="宋体"/>
          <w:color w:val="000000" w:themeColor="text1"/>
          <w:sz w:val="21"/>
          <w:szCs w:val="21"/>
          <w14:textFill>
            <w14:solidFill>
              <w14:schemeClr w14:val="tx1"/>
            </w14:solidFill>
          </w14:textFill>
        </w:rPr>
        <w:t>；</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须知；</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w:t>
      </w:r>
      <w:r>
        <w:rPr>
          <w:rFonts w:hint="eastAsia" w:hAnsi="宋体"/>
          <w:color w:val="000000" w:themeColor="text1"/>
          <w:sz w:val="21"/>
          <w:szCs w:val="21"/>
          <w14:textFill>
            <w14:solidFill>
              <w14:schemeClr w14:val="tx1"/>
            </w14:solidFill>
          </w14:textFill>
        </w:rPr>
        <w:t>及</w:t>
      </w:r>
      <w:r>
        <w:rPr>
          <w:rFonts w:hAnsi="宋体"/>
          <w:color w:val="000000" w:themeColor="text1"/>
          <w:sz w:val="21"/>
          <w:szCs w:val="21"/>
          <w14:textFill>
            <w14:solidFill>
              <w14:schemeClr w14:val="tx1"/>
            </w14:solidFill>
          </w14:textFill>
        </w:rPr>
        <w:t>标准；</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（4）合同条款及格式；</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w:t>
      </w:r>
      <w:r>
        <w:rPr>
          <w:rFonts w:hint="eastAsia" w:hAnsi="宋体"/>
          <w:color w:val="000000" w:themeColor="text1"/>
          <w:sz w:val="21"/>
          <w:szCs w:val="21"/>
          <w:lang w:val="en-US" w:eastAsia="zh-CN"/>
          <w14:textFill>
            <w14:solidFill>
              <w14:schemeClr w14:val="tx1"/>
            </w14:solidFill>
          </w14:textFill>
        </w:rPr>
        <w:t>用户需求书（另册）</w:t>
      </w:r>
      <w:r>
        <w:rPr>
          <w:rFonts w:hAnsi="宋体"/>
          <w:color w:val="000000" w:themeColor="text1"/>
          <w:sz w:val="21"/>
          <w:szCs w:val="21"/>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Ansi="宋体"/>
          <w:color w:val="000000" w:themeColor="text1"/>
          <w:sz w:val="21"/>
          <w:szCs w:val="21"/>
          <w14:textFill>
            <w14:solidFill>
              <w14:schemeClr w14:val="tx1"/>
            </w14:solidFill>
          </w14:textFill>
        </w:rPr>
        <w:t>（6）</w:t>
      </w:r>
      <w:r>
        <w:rPr>
          <w:rFonts w:hint="eastAsia" w:hAnsi="宋体"/>
          <w:color w:val="000000" w:themeColor="text1"/>
          <w:sz w:val="21"/>
          <w:szCs w:val="21"/>
          <w14:textFill>
            <w14:solidFill>
              <w14:schemeClr w14:val="tx1"/>
            </w14:solidFill>
          </w14:textFill>
        </w:rPr>
        <w:t>竞争性采购最高限价</w:t>
      </w:r>
      <w:r>
        <w:rPr>
          <w:rFonts w:hint="eastAsia" w:hAnsi="宋体"/>
          <w:color w:val="000000" w:themeColor="text1"/>
          <w:sz w:val="21"/>
          <w:szCs w:val="21"/>
          <w:lang w:eastAsia="zh-CN"/>
          <w14:textFill>
            <w14:solidFill>
              <w14:schemeClr w14:val="tx1"/>
            </w14:solidFill>
          </w14:textFill>
        </w:rPr>
        <w:t>；</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lang w:eastAsia="zh-CN"/>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7</w:t>
      </w:r>
      <w:r>
        <w:rPr>
          <w:rFonts w:hint="eastAsia" w:hAnsi="宋体"/>
          <w:color w:val="000000" w:themeColor="text1"/>
          <w:sz w:val="21"/>
          <w:szCs w:val="21"/>
          <w:lang w:eastAsia="zh-CN"/>
          <w14:textFill>
            <w14:solidFill>
              <w14:schemeClr w14:val="tx1"/>
            </w14:solidFill>
          </w14:textFill>
        </w:rPr>
        <w:t>）</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格式；</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根据本须知</w:t>
      </w:r>
      <w:r>
        <w:rPr>
          <w:rFonts w:hint="eastAsia" w:hAnsi="宋体"/>
          <w:b/>
          <w:bCs/>
          <w:color w:val="000000" w:themeColor="text1"/>
          <w:sz w:val="21"/>
          <w:szCs w:val="21"/>
          <w14:textFill>
            <w14:solidFill>
              <w14:schemeClr w14:val="tx1"/>
            </w14:solidFill>
          </w14:textFill>
        </w:rPr>
        <w:t>第2.2项</w:t>
      </w:r>
      <w:r>
        <w:rPr>
          <w:rFonts w:hint="eastAsia" w:hAnsi="宋体"/>
          <w:color w:val="000000" w:themeColor="text1"/>
          <w:sz w:val="21"/>
          <w:szCs w:val="21"/>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2.2.2采购文件的</w:t>
      </w:r>
      <w:r>
        <w:rPr>
          <w:rFonts w:hint="eastAsia" w:ascii="宋体" w:hAnsi="Courier New" w:cs="Courier New"/>
          <w:color w:val="000000" w:themeColor="text1"/>
          <w:szCs w:val="21"/>
          <w14:textFill>
            <w14:solidFill>
              <w14:schemeClr w14:val="tx1"/>
            </w14:solidFill>
          </w14:textFill>
        </w:rPr>
        <w:t>澄清或者修改的</w:t>
      </w:r>
      <w:r>
        <w:rPr>
          <w:rFonts w:hint="eastAsia" w:ascii="宋体" w:hAnsi="宋体" w:cs="宋体"/>
          <w:color w:val="000000" w:themeColor="text1"/>
          <w:kern w:val="0"/>
          <w:szCs w:val="21"/>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14:textFill>
            <w14:solidFill>
              <w14:schemeClr w14:val="tx1"/>
            </w14:solidFill>
          </w14:textFill>
        </w:rPr>
        <w:t>在竞争性采购须知前附表规定的媒介发布</w:t>
      </w:r>
      <w:r>
        <w:rPr>
          <w:rFonts w:hint="eastAsia" w:ascii="宋体" w:hAnsi="宋体" w:cs="宋体"/>
          <w:color w:val="000000" w:themeColor="text1"/>
          <w:kern w:val="0"/>
          <w:szCs w:val="21"/>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.2.4除非</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人认为确有必要答复，否则，</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人有权拒绝回复</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在本章</w:t>
      </w:r>
      <w:r>
        <w:rPr>
          <w:rFonts w:ascii="宋体" w:hAnsi="宋体"/>
          <w:b/>
          <w:bCs/>
          <w:color w:val="000000" w:themeColor="text1"/>
          <w:szCs w:val="21"/>
          <w14:textFill>
            <w14:solidFill>
              <w14:schemeClr w14:val="tx1"/>
            </w14:solidFill>
          </w14:textFill>
        </w:rPr>
        <w:t>第2.2.1项</w:t>
      </w:r>
      <w:r>
        <w:rPr>
          <w:rFonts w:ascii="宋体" w:hAnsi="宋体"/>
          <w:color w:val="000000" w:themeColor="text1"/>
          <w:szCs w:val="21"/>
          <w14:textFill>
            <w14:solidFill>
              <w14:schemeClr w14:val="tx1"/>
            </w14:solidFill>
          </w14:textFill>
        </w:rPr>
        <w:t>规定的时间后的任何澄清要求。</w:t>
      </w:r>
      <w:r>
        <w:rPr>
          <w:rFonts w:hint="eastAsia" w:ascii="宋体" w:hAnsi="宋体"/>
          <w:color w:val="000000" w:themeColor="text1"/>
          <w:szCs w:val="21"/>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14:textFill>
            <w14:solidFill>
              <w14:schemeClr w14:val="tx1"/>
            </w14:solidFill>
          </w14:textFill>
        </w:rPr>
      </w:pPr>
      <w:bookmarkStart w:id="8" w:name="_Toc22778"/>
      <w:bookmarkStart w:id="9" w:name="_Toc6078"/>
      <w:bookmarkStart w:id="10" w:name="_Toc30984"/>
      <w:r>
        <w:rPr>
          <w:rFonts w:hint="eastAsia" w:ascii="宋体" w:hAnsi="宋体" w:cs="宋体"/>
          <w:color w:val="000000" w:themeColor="text1"/>
          <w:szCs w:val="21"/>
          <w14:textFill>
            <w14:solidFill>
              <w14:schemeClr w14:val="tx1"/>
            </w14:solidFill>
          </w14:textFill>
        </w:rPr>
        <w:t>3.1.1</w:t>
      </w:r>
      <w:r>
        <w:rPr>
          <w:rFonts w:hint="eastAsia" w:ascii="宋体" w:hAnsi="宋体" w:cs="宋体"/>
          <w:color w:val="000000" w:themeColor="text1"/>
          <w14:textFill>
            <w14:solidFill>
              <w14:schemeClr w14:val="tx1"/>
            </w14:solidFill>
          </w14:textFill>
        </w:rPr>
        <w:t>响</w:t>
      </w:r>
      <w:r>
        <w:rPr>
          <w:rFonts w:hint="eastAsia" w:hAnsi="宋体"/>
          <w:color w:val="000000" w:themeColor="text1"/>
          <w14:textFill>
            <w14:solidFill>
              <w14:schemeClr w14:val="tx1"/>
            </w14:solidFill>
          </w14:textFill>
        </w:rPr>
        <w:t>应文件应包括下列内容：</w:t>
      </w:r>
      <w:bookmarkEnd w:id="8"/>
      <w:bookmarkEnd w:id="9"/>
      <w:bookmarkEnd w:id="10"/>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（5）与评审办法相关的证明资料</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（6）服务方案</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（7）报价一览表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（9）其他资料（如有）</w:t>
      </w:r>
    </w:p>
    <w:p>
      <w:pPr>
        <w:pStyle w:val="187"/>
        <w:jc w:val="both"/>
        <w:rPr>
          <w:rFonts w:hAnsi="宋体"/>
          <w:color w:val="000000" w:themeColor="text1"/>
          <w:sz w:val="21"/>
          <w:szCs w:val="21"/>
          <w14:textFill>
            <w14:solidFill>
              <w14:schemeClr w14:val="tx1"/>
            </w14:solidFill>
          </w14:textFill>
        </w:rPr>
      </w:pPr>
      <w:r>
        <w:rPr>
          <w:rFonts w:hint="eastAsia"/>
          <w:color w:val="000000" w:themeColor="text1"/>
          <w:sz w:val="21"/>
          <w14:textFill>
            <w14:solidFill>
              <w14:schemeClr w14:val="tx1"/>
            </w14:solidFill>
          </w14:textFill>
        </w:rPr>
        <w:t>3</w:t>
      </w:r>
      <w:r>
        <w:rPr>
          <w:color w:val="000000" w:themeColor="text1"/>
          <w:sz w:val="21"/>
          <w14:textFill>
            <w14:solidFill>
              <w14:schemeClr w14:val="tx1"/>
            </w14:solidFill>
          </w14:textFill>
        </w:rPr>
        <w:t>.1.2</w:t>
      </w:r>
      <w:r>
        <w:rPr>
          <w:rFonts w:hint="eastAsia"/>
          <w:color w:val="000000" w:themeColor="text1"/>
          <w:sz w:val="21"/>
          <w14:textFill>
            <w14:solidFill>
              <w14:schemeClr w14:val="tx1"/>
            </w14:solidFill>
          </w14:textFill>
        </w:rPr>
        <w:t>供应商</w:t>
      </w:r>
      <w:r>
        <w:rPr>
          <w:color w:val="000000" w:themeColor="text1"/>
          <w:sz w:val="21"/>
          <w14:textFill>
            <w14:solidFill>
              <w14:schemeClr w14:val="tx1"/>
            </w14:solidFill>
          </w14:textFill>
        </w:rPr>
        <w:t>在评</w:t>
      </w:r>
      <w:r>
        <w:rPr>
          <w:rFonts w:hint="eastAsia"/>
          <w:color w:val="000000" w:themeColor="text1"/>
          <w:sz w:val="21"/>
          <w14:textFill>
            <w14:solidFill>
              <w14:schemeClr w14:val="tx1"/>
            </w14:solidFill>
          </w14:textFill>
        </w:rPr>
        <w:t>审</w:t>
      </w:r>
      <w:r>
        <w:rPr>
          <w:color w:val="000000" w:themeColor="text1"/>
          <w:sz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根据评审小组要求提交的</w:t>
      </w:r>
      <w:r>
        <w:rPr>
          <w:rFonts w:hAnsi="宋体"/>
          <w:color w:val="000000" w:themeColor="text1"/>
          <w:sz w:val="21"/>
          <w:szCs w:val="21"/>
          <w14:textFill>
            <w14:solidFill>
              <w14:schemeClr w14:val="tx1"/>
            </w14:solidFill>
          </w14:textFill>
        </w:rPr>
        <w:t>澄清</w:t>
      </w:r>
      <w:r>
        <w:rPr>
          <w:rFonts w:hint="eastAsia" w:hAnsi="宋体"/>
          <w:color w:val="000000" w:themeColor="text1"/>
          <w:sz w:val="21"/>
          <w:szCs w:val="21"/>
          <w14:textFill>
            <w14:solidFill>
              <w14:schemeClr w14:val="tx1"/>
            </w14:solidFill>
          </w14:textFill>
        </w:rPr>
        <w:t>、说明和补正</w:t>
      </w:r>
      <w:r>
        <w:rPr>
          <w:color w:val="000000" w:themeColor="text1"/>
          <w:sz w:val="21"/>
          <w14:textFill>
            <w14:solidFill>
              <w14:schemeClr w14:val="tx1"/>
            </w14:solidFill>
          </w14:textFill>
        </w:rPr>
        <w:t>，构成</w:t>
      </w:r>
      <w:r>
        <w:rPr>
          <w:rFonts w:hint="eastAsia"/>
          <w:color w:val="000000" w:themeColor="text1"/>
          <w:sz w:val="21"/>
          <w14:textFill>
            <w14:solidFill>
              <w14:schemeClr w14:val="tx1"/>
            </w14:solidFill>
          </w14:textFill>
        </w:rPr>
        <w:t>响应</w:t>
      </w:r>
      <w:r>
        <w:rPr>
          <w:color w:val="000000" w:themeColor="text1"/>
          <w:sz w:val="21"/>
          <w14:textFill>
            <w14:solidFill>
              <w14:schemeClr w14:val="tx1"/>
            </w14:solidFill>
          </w14:textFill>
        </w:rPr>
        <w:t>文件的组成部分。</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3.2 报价</w:t>
      </w:r>
    </w:p>
    <w:p>
      <w:pPr>
        <w:pStyle w:val="187"/>
        <w:jc w:val="both"/>
        <w:rPr>
          <w:sz w:val="21"/>
          <w:szCs w:val="21"/>
          <w:shd w:val="clear" w:color="auto" w:fill="FFFFFF"/>
        </w:rPr>
      </w:pPr>
      <w:r>
        <w:rPr>
          <w:rFonts w:hint="eastAsia" w:hAnsi="宋体"/>
          <w:color w:val="000000" w:themeColor="text1"/>
          <w:sz w:val="21"/>
          <w:szCs w:val="21"/>
          <w14:textFill>
            <w14:solidFill>
              <w14:schemeClr w14:val="tx1"/>
            </w14:solidFill>
          </w14:textFill>
        </w:rPr>
        <w:t>3.2.1</w:t>
      </w:r>
      <w:r>
        <w:rPr>
          <w:rFonts w:hint="eastAsia"/>
          <w:sz w:val="21"/>
          <w:szCs w:val="21"/>
          <w:shd w:val="clear" w:color="auto" w:fill="FFFFFF"/>
        </w:rPr>
        <w:t>在合同支付阶段，增值税根据供应商提供的增值税专用发票中的税额据实支付和结算。合同支付时，供应商需开具经采购人认可的合法完税单据。</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3.2.2供应商须按照</w:t>
      </w:r>
      <w:r>
        <w:rPr>
          <w:rFonts w:hint="eastAsia"/>
          <w:sz w:val="21"/>
          <w:szCs w:val="21"/>
          <w:shd w:val="clear" w:color="auto" w:fill="FFFFFF"/>
        </w:rPr>
        <w:t>本项目采购文件及“</w:t>
      </w:r>
      <w:r>
        <w:rPr>
          <w:rFonts w:hint="eastAsia"/>
          <w:b/>
          <w:bCs/>
          <w:color w:val="000000" w:themeColor="text1"/>
          <w:sz w:val="21"/>
          <w:szCs w:val="21"/>
          <w:lang w:eastAsia="zh-CN"/>
          <w14:textFill>
            <w14:solidFill>
              <w14:schemeClr w14:val="tx1"/>
            </w14:solidFill>
          </w14:textFill>
        </w:rPr>
        <w:t>用户需求书</w:t>
      </w:r>
      <w:r>
        <w:rPr>
          <w:rFonts w:hint="eastAsia"/>
          <w:color w:val="000000" w:themeColor="text1"/>
          <w:sz w:val="21"/>
          <w:szCs w:val="21"/>
          <w14:textFill>
            <w14:solidFill>
              <w14:schemeClr w14:val="tx1"/>
            </w14:solidFill>
          </w14:textFill>
        </w:rPr>
        <w:t>”内容</w:t>
      </w:r>
      <w:r>
        <w:rPr>
          <w:rFonts w:hint="eastAsia"/>
          <w:sz w:val="21"/>
          <w:szCs w:val="21"/>
          <w:shd w:val="clear" w:color="auto" w:fill="FFFFFF"/>
          <w:lang w:bidi="ar"/>
        </w:rPr>
        <w:t>进行报价。其中，所报单价及总价均不得超过</w:t>
      </w:r>
      <w:r>
        <w:rPr>
          <w:rFonts w:hint="eastAsia"/>
          <w:sz w:val="21"/>
          <w:szCs w:val="21"/>
          <w:shd w:val="clear" w:color="auto" w:fill="FFFFFF"/>
          <w:lang w:eastAsia="zh-CN" w:bidi="ar"/>
        </w:rPr>
        <w:t>最高限价</w:t>
      </w:r>
      <w:r>
        <w:rPr>
          <w:rFonts w:hint="eastAsia"/>
          <w:sz w:val="21"/>
          <w:szCs w:val="21"/>
          <w:shd w:val="clear" w:color="auto" w:fill="FFFFFF"/>
          <w:lang w:bidi="ar"/>
        </w:rPr>
        <w:t>，不超过</w:t>
      </w:r>
      <w:r>
        <w:rPr>
          <w:rFonts w:hint="eastAsia"/>
          <w:sz w:val="21"/>
          <w:szCs w:val="21"/>
          <w:shd w:val="clear" w:color="auto" w:fill="FFFFFF"/>
          <w:lang w:eastAsia="zh-CN" w:bidi="ar"/>
        </w:rPr>
        <w:t>最高限价</w:t>
      </w:r>
      <w:r>
        <w:rPr>
          <w:rFonts w:hint="eastAsia"/>
          <w:sz w:val="21"/>
          <w:szCs w:val="21"/>
          <w:shd w:val="clear" w:color="auto" w:fill="FFFFFF"/>
          <w:lang w:bidi="ar"/>
        </w:rPr>
        <w:t>的报价方为有效报价。</w:t>
      </w:r>
      <w:r>
        <w:rPr>
          <w:rFonts w:hint="eastAsia"/>
          <w:color w:val="000000" w:themeColor="text1"/>
          <w:sz w:val="21"/>
          <w:szCs w:val="21"/>
          <w:lang w:eastAsia="zh-CN"/>
          <w14:textFill>
            <w14:solidFill>
              <w14:schemeClr w14:val="tx1"/>
            </w14:solidFill>
          </w14:textFill>
        </w:rPr>
        <w:t>最高限价</w:t>
      </w:r>
      <w:r>
        <w:rPr>
          <w:color w:val="000000" w:themeColor="text1"/>
          <w:sz w:val="21"/>
          <w:szCs w:val="21"/>
          <w14:textFill>
            <w14:solidFill>
              <w14:schemeClr w14:val="tx1"/>
            </w14:solidFill>
          </w14:textFill>
        </w:rPr>
        <w:t>在</w:t>
      </w:r>
      <w:r>
        <w:rPr>
          <w:rFonts w:hint="eastAsia"/>
          <w:color w:val="000000" w:themeColor="text1"/>
          <w:sz w:val="21"/>
          <w:szCs w:val="21"/>
          <w14:textFill>
            <w14:solidFill>
              <w14:schemeClr w14:val="tx1"/>
            </w14:solidFill>
          </w14:textFill>
        </w:rPr>
        <w:t>竞争性采购</w:t>
      </w:r>
      <w:r>
        <w:rPr>
          <w:color w:val="000000" w:themeColor="text1"/>
          <w:sz w:val="21"/>
          <w:szCs w:val="21"/>
          <w14:textFill>
            <w14:solidFill>
              <w14:schemeClr w14:val="tx1"/>
            </w14:solidFill>
          </w14:textFill>
        </w:rPr>
        <w:t>须知前附表中载明。</w:t>
      </w:r>
    </w:p>
    <w:p>
      <w:pPr>
        <w:pStyle w:val="39"/>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3.2.3本项目以不含增值税总价进行比价。供应商报价须满足“不含增值税单价=含增值税单价/（1+暂定增值税税率）”（如有）、“不含增值税合价=含增值税合价/（1+</w:t>
      </w:r>
      <w:r>
        <w:rPr>
          <w:rFonts w:hint="eastAsia"/>
          <w:sz w:val="21"/>
          <w:szCs w:val="21"/>
        </w:rPr>
        <w:t>暂定增值税税率</w:t>
      </w:r>
      <w:r>
        <w:rPr>
          <w:rFonts w:hint="eastAsia"/>
          <w:sz w:val="21"/>
          <w:szCs w:val="21"/>
          <w:shd w:val="clear" w:color="auto" w:fill="FFFFFF"/>
          <w:lang w:bidi="ar"/>
        </w:rPr>
        <w:t>）”、 “含增值税合价=增值税税费合价+不含增值税合价”、“含增值税总价=增值税税费总价+不含增值税总价”，否则视为无效报价。</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3.2.4</w:t>
      </w:r>
      <w:r>
        <w:rPr>
          <w:rFonts w:hint="eastAsia"/>
          <w:color w:val="000000" w:themeColor="text1"/>
          <w:sz w:val="21"/>
          <w:szCs w:val="21"/>
          <w14:textFill>
            <w14:solidFill>
              <w14:schemeClr w14:val="tx1"/>
            </w14:solidFill>
          </w14:textFill>
        </w:rPr>
        <w:t>总</w:t>
      </w:r>
      <w:r>
        <w:rPr>
          <w:color w:val="000000" w:themeColor="text1"/>
          <w:sz w:val="21"/>
          <w:szCs w:val="21"/>
          <w14:textFill>
            <w14:solidFill>
              <w14:schemeClr w14:val="tx1"/>
            </w14:solidFill>
          </w14:textFill>
        </w:rPr>
        <w:t>报价为各分项报价金额之和，</w:t>
      </w:r>
      <w:r>
        <w:rPr>
          <w:rFonts w:hint="eastAsia"/>
          <w:color w:val="000000" w:themeColor="text1"/>
          <w:sz w:val="21"/>
          <w:szCs w:val="21"/>
          <w14:textFill>
            <w14:solidFill>
              <w14:schemeClr w14:val="tx1"/>
            </w14:solidFill>
          </w14:textFill>
        </w:rPr>
        <w:t>总</w:t>
      </w:r>
      <w:r>
        <w:rPr>
          <w:color w:val="000000" w:themeColor="text1"/>
          <w:sz w:val="21"/>
          <w:szCs w:val="21"/>
          <w14:textFill>
            <w14:solidFill>
              <w14:schemeClr w14:val="tx1"/>
            </w14:solidFill>
          </w14:textFill>
        </w:rPr>
        <w:t>报价与分项报价的合价不一致的，应以各分项合价累计数为准，修正</w:t>
      </w:r>
      <w:r>
        <w:rPr>
          <w:rFonts w:hint="eastAsia"/>
          <w:color w:val="000000" w:themeColor="text1"/>
          <w:sz w:val="21"/>
          <w:szCs w:val="21"/>
          <w14:textFill>
            <w14:solidFill>
              <w14:schemeClr w14:val="tx1"/>
            </w14:solidFill>
          </w14:textFill>
        </w:rPr>
        <w:t>总</w:t>
      </w:r>
      <w:r>
        <w:rPr>
          <w:color w:val="000000" w:themeColor="text1"/>
          <w:sz w:val="21"/>
          <w:szCs w:val="21"/>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3.2.5“单价”“合价”“总价”均是包含了所有隐含的管理费、税金和利润等其他费用的报价。</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3.2.6所有报价保留小数点后两位，小数点后第三位“四舍五入”，单位为元。</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3.2.7供应商应充分了解该项目的总体情况以及影响报价的其他要素。最终结算以长沙市政府相关职能部门或长沙市轨道交通</w:t>
      </w:r>
      <w:r>
        <w:rPr>
          <w:rFonts w:hint="eastAsia"/>
          <w:sz w:val="21"/>
          <w:szCs w:val="21"/>
          <w:shd w:val="clear" w:color="auto" w:fill="FFFFFF"/>
          <w:lang w:eastAsia="zh-CN" w:bidi="ar"/>
        </w:rPr>
        <w:t>运营</w:t>
      </w:r>
      <w:r>
        <w:rPr>
          <w:rFonts w:hint="eastAsia"/>
          <w:sz w:val="21"/>
          <w:szCs w:val="21"/>
          <w:shd w:val="clear" w:color="auto" w:fill="FFFFFF"/>
          <w:lang w:bidi="ar"/>
        </w:rPr>
        <w:t>有限公司审核为准。</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3.3 响应文件有效期</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3.3.1</w:t>
      </w:r>
      <w:r>
        <w:rPr>
          <w:rFonts w:hint="eastAsia" w:hAnsi="宋体"/>
          <w:color w:val="000000" w:themeColor="text1"/>
          <w:sz w:val="21"/>
          <w:szCs w:val="21"/>
          <w14:textFill>
            <w14:solidFill>
              <w14:schemeClr w14:val="tx1"/>
            </w14:solidFill>
          </w14:textFill>
        </w:rPr>
        <w:t>在竞争性采购须知前附表规定的响应文件</w:t>
      </w:r>
      <w:r>
        <w:rPr>
          <w:rFonts w:hAnsi="宋体"/>
          <w:color w:val="000000" w:themeColor="text1"/>
          <w:sz w:val="21"/>
          <w:szCs w:val="21"/>
          <w14:textFill>
            <w14:solidFill>
              <w14:schemeClr w14:val="tx1"/>
            </w14:solidFill>
          </w14:textFill>
        </w:rPr>
        <w:t>有效期</w:t>
      </w:r>
      <w:r>
        <w:rPr>
          <w:rFonts w:hint="eastAsia" w:hAnsi="宋体"/>
          <w:color w:val="000000" w:themeColor="text1"/>
          <w:sz w:val="21"/>
          <w:szCs w:val="21"/>
          <w14:textFill>
            <w14:solidFill>
              <w14:schemeClr w14:val="tx1"/>
            </w14:solidFill>
          </w14:textFill>
        </w:rPr>
        <w:t>内，供应商不得要求</w:t>
      </w:r>
      <w:r>
        <w:rPr>
          <w:rFonts w:hAnsi="宋体"/>
          <w:color w:val="000000" w:themeColor="text1"/>
          <w:sz w:val="21"/>
          <w:szCs w:val="21"/>
          <w14:textFill>
            <w14:solidFill>
              <w14:schemeClr w14:val="tx1"/>
            </w14:solidFill>
          </w14:textFill>
        </w:rPr>
        <w:t>撤销</w:t>
      </w:r>
      <w:r>
        <w:rPr>
          <w:rFonts w:hint="eastAsia" w:hAnsi="宋体"/>
          <w:color w:val="000000" w:themeColor="text1"/>
          <w:sz w:val="21"/>
          <w:szCs w:val="21"/>
          <w14:textFill>
            <w14:solidFill>
              <w14:schemeClr w14:val="tx1"/>
            </w14:solidFill>
          </w14:textFill>
        </w:rPr>
        <w:t>或修改其响应文件</w:t>
      </w:r>
      <w:r>
        <w:rPr>
          <w:rFonts w:hAnsi="宋体"/>
          <w:color w:val="000000" w:themeColor="text1"/>
          <w:sz w:val="21"/>
          <w:szCs w:val="21"/>
          <w14:textFill>
            <w14:solidFill>
              <w14:schemeClr w14:val="tx1"/>
            </w14:solidFill>
          </w14:textFill>
        </w:rPr>
        <w:t>。</w:t>
      </w:r>
    </w:p>
    <w:p>
      <w:pPr>
        <w:pStyle w:val="187"/>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保证金的有效期（如有），且不得要求或被允许修改或撤销其采购文件；供应商拒绝延长的</w:t>
      </w:r>
      <w:r>
        <w:rPr>
          <w:rFonts w:hint="eastAsia" w:hAnsi="宋体"/>
          <w:color w:val="auto"/>
          <w:sz w:val="21"/>
          <w:szCs w:val="21"/>
        </w:rPr>
        <w:t>，其采购</w:t>
      </w:r>
      <w:r>
        <w:rPr>
          <w:rFonts w:hAnsi="宋体"/>
          <w:color w:val="auto"/>
          <w:sz w:val="21"/>
          <w:szCs w:val="21"/>
        </w:rPr>
        <w:t>活动失效</w:t>
      </w:r>
      <w:r>
        <w:rPr>
          <w:rFonts w:hint="eastAsia" w:hAnsi="宋体"/>
          <w:color w:val="auto"/>
          <w:sz w:val="21"/>
          <w:szCs w:val="21"/>
        </w:rPr>
        <w:t>，供应</w:t>
      </w:r>
      <w:r>
        <w:rPr>
          <w:rFonts w:hAnsi="宋体"/>
          <w:color w:val="auto"/>
          <w:sz w:val="21"/>
          <w:szCs w:val="21"/>
        </w:rPr>
        <w:t>商</w:t>
      </w:r>
      <w:r>
        <w:rPr>
          <w:rFonts w:hint="eastAsia" w:hAnsi="宋体"/>
          <w:color w:val="000000" w:themeColor="text1"/>
          <w:sz w:val="21"/>
          <w:szCs w:val="21"/>
          <w14:textFill>
            <w14:solidFill>
              <w14:schemeClr w14:val="tx1"/>
            </w14:solidFill>
          </w14:textFill>
        </w:rPr>
        <w:t>有权收回其</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3.4 </w:t>
      </w:r>
      <w:r>
        <w:rPr>
          <w:rFonts w:hint="eastAsia" w:ascii="宋体" w:hAnsi="宋体"/>
          <w:b/>
          <w:color w:val="000000" w:themeColor="text1"/>
          <w:szCs w:val="21"/>
          <w:lang w:eastAsia="zh-CN"/>
          <w14:textFill>
            <w14:solidFill>
              <w14:schemeClr w14:val="tx1"/>
            </w14:solidFill>
          </w14:textFill>
        </w:rPr>
        <w:t>竞争性采购</w:t>
      </w:r>
      <w:r>
        <w:rPr>
          <w:rFonts w:hint="eastAsia" w:ascii="宋体" w:hAnsi="宋体"/>
          <w:b/>
          <w:color w:val="000000" w:themeColor="text1"/>
          <w:szCs w:val="21"/>
          <w14:textFill>
            <w14:solidFill>
              <w14:schemeClr w14:val="tx1"/>
            </w14:solidFill>
          </w14:textFill>
        </w:rPr>
        <w:t>保证金</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保证金由牵头人递交，并应符合竞争性采购须知前附表的规定。</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3.4.2供应商不按本章</w:t>
      </w:r>
      <w:r>
        <w:rPr>
          <w:rFonts w:hint="eastAsia" w:hAnsi="宋体"/>
          <w:b/>
          <w:bCs/>
          <w:color w:val="000000" w:themeColor="text1"/>
          <w:sz w:val="21"/>
          <w:szCs w:val="21"/>
          <w14:textFill>
            <w14:solidFill>
              <w14:schemeClr w14:val="tx1"/>
            </w14:solidFill>
          </w14:textFill>
        </w:rPr>
        <w:t>第3.4.1项</w:t>
      </w:r>
      <w:r>
        <w:rPr>
          <w:rFonts w:hint="eastAsia" w:hAnsi="宋体"/>
          <w:color w:val="000000" w:themeColor="text1"/>
          <w:sz w:val="21"/>
          <w:szCs w:val="21"/>
          <w14:textFill>
            <w14:solidFill>
              <w14:schemeClr w14:val="tx1"/>
            </w14:solidFill>
          </w14:textFill>
        </w:rPr>
        <w:t>要求提交</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保证金的，</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时</w:t>
      </w:r>
      <w:r>
        <w:rPr>
          <w:rFonts w:hint="eastAsia" w:hAnsi="宋体" w:cs="宋体"/>
          <w:color w:val="000000" w:themeColor="text1"/>
          <w:sz w:val="21"/>
          <w:szCs w:val="21"/>
          <w14:textFill>
            <w14:solidFill>
              <w14:schemeClr w14:val="tx1"/>
            </w14:solidFill>
          </w14:textFill>
        </w:rPr>
        <w:t>按</w:t>
      </w:r>
      <w:r>
        <w:rPr>
          <w:rFonts w:hint="eastAsia" w:hAnsi="宋体" w:cs="宋体"/>
          <w:b/>
          <w:bCs/>
          <w:color w:val="000000" w:themeColor="text1"/>
          <w:sz w:val="21"/>
          <w:szCs w:val="21"/>
          <w14:textFill>
            <w14:solidFill>
              <w14:schemeClr w14:val="tx1"/>
            </w14:solidFill>
          </w14:textFill>
        </w:rPr>
        <w:t>否决</w:t>
      </w:r>
      <w:r>
        <w:rPr>
          <w:rFonts w:hint="eastAsia" w:hAnsi="宋体" w:cs="宋体"/>
          <w:color w:val="000000" w:themeColor="text1"/>
          <w:sz w:val="21"/>
          <w:szCs w:val="21"/>
          <w14:textFill>
            <w14:solidFill>
              <w14:schemeClr w14:val="tx1"/>
            </w14:solidFill>
          </w14:textFill>
        </w:rPr>
        <w:t>情形处理</w:t>
      </w:r>
      <w:r>
        <w:rPr>
          <w:rFonts w:hAnsi="宋体"/>
          <w:color w:val="000000" w:themeColor="text1"/>
          <w:sz w:val="21"/>
          <w:szCs w:val="21"/>
          <w14:textFill>
            <w14:solidFill>
              <w14:schemeClr w14:val="tx1"/>
            </w14:solidFill>
          </w14:textFill>
        </w:rPr>
        <w:t>。</w:t>
      </w:r>
    </w:p>
    <w:p>
      <w:pPr>
        <w:pStyle w:val="187"/>
        <w:jc w:val="both"/>
        <w:rPr>
          <w:rFonts w:hint="eastAsia"/>
        </w:rPr>
      </w:pPr>
      <w:r>
        <w:rPr>
          <w:rFonts w:hint="eastAsia" w:ascii="宋体" w:hAnsi="宋体" w:eastAsia="宋体" w:cs="Times New Roman"/>
          <w:color w:val="000000" w:themeColor="text1"/>
          <w:sz w:val="21"/>
          <w:szCs w:val="21"/>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3.5备选响应方案</w:t>
      </w:r>
    </w:p>
    <w:p>
      <w:pPr>
        <w:pStyle w:val="91"/>
        <w:widowControl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3.5.1 </w:t>
      </w:r>
      <w:r>
        <w:rPr>
          <w:rFonts w:hint="eastAsia" w:hAnsi="宋体"/>
          <w:color w:val="000000" w:themeColor="text1"/>
          <w14:textFill>
            <w14:solidFill>
              <w14:schemeClr w14:val="tx1"/>
            </w14:solidFill>
          </w14:textFill>
        </w:rPr>
        <w:t>除竞争性采购须知前附表另有规定外，供应商</w:t>
      </w:r>
      <w:r>
        <w:rPr>
          <w:rFonts w:hAnsi="宋体"/>
          <w:color w:val="000000" w:themeColor="text1"/>
          <w14:textFill>
            <w14:solidFill>
              <w14:schemeClr w14:val="tx1"/>
            </w14:solidFill>
          </w14:textFill>
        </w:rPr>
        <w:t>不得递交</w:t>
      </w:r>
      <w:r>
        <w:rPr>
          <w:rFonts w:ascii="宋体" w:hAnsi="宋体" w:cs="Times New Roman"/>
          <w:color w:val="000000" w:themeColor="text1"/>
          <w14:textFill>
            <w14:solidFill>
              <w14:schemeClr w14:val="tx1"/>
            </w14:solidFill>
          </w14:textFill>
        </w:rPr>
        <w:t>备选</w:t>
      </w:r>
      <w:r>
        <w:rPr>
          <w:rFonts w:hint="eastAsia" w:ascii="宋体" w:hAnsi="宋体" w:cs="Times New Roman"/>
          <w:color w:val="000000" w:themeColor="text1"/>
          <w14:textFill>
            <w14:solidFill>
              <w14:schemeClr w14:val="tx1"/>
            </w14:solidFill>
          </w14:textFill>
        </w:rPr>
        <w:t>响应</w:t>
      </w:r>
      <w:r>
        <w:rPr>
          <w:rFonts w:ascii="宋体" w:hAnsi="宋体" w:cs="Times New Roman"/>
          <w:color w:val="000000" w:themeColor="text1"/>
          <w14:textFill>
            <w14:solidFill>
              <w14:schemeClr w14:val="tx1"/>
            </w14:solidFill>
          </w14:textFill>
        </w:rPr>
        <w:t>方案</w:t>
      </w:r>
      <w:r>
        <w:rPr>
          <w:rFonts w:hAnsi="宋体"/>
          <w:color w:val="000000" w:themeColor="text1"/>
          <w14:textFill>
            <w14:solidFill>
              <w14:schemeClr w14:val="tx1"/>
            </w14:solidFill>
          </w14:textFill>
        </w:rPr>
        <w:t>。</w:t>
      </w:r>
      <w:r>
        <w:rPr>
          <w:color w:val="000000" w:themeColor="text1"/>
          <w14:textFill>
            <w14:solidFill>
              <w14:schemeClr w14:val="tx1"/>
            </w14:solidFill>
          </w14:textFill>
        </w:rPr>
        <w:t>允许</w:t>
      </w:r>
      <w:r>
        <w:rPr>
          <w:rFonts w:hint="eastAsia" w:hAnsi="宋体"/>
          <w:color w:val="000000" w:themeColor="text1"/>
          <w14:textFill>
            <w14:solidFill>
              <w14:schemeClr w14:val="tx1"/>
            </w14:solidFill>
          </w14:textFill>
        </w:rPr>
        <w:t>供应商</w:t>
      </w:r>
      <w:r>
        <w:rPr>
          <w:color w:val="000000" w:themeColor="text1"/>
          <w14:textFill>
            <w14:solidFill>
              <w14:schemeClr w14:val="tx1"/>
            </w14:solidFill>
          </w14:textFill>
        </w:rPr>
        <w:t>递交备选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方案的，只有</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所递交的备选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方案方可予以考虑。</w:t>
      </w:r>
      <w:r>
        <w:rPr>
          <w:rFonts w:hint="eastAsia"/>
          <w:color w:val="000000" w:themeColor="text1"/>
          <w14:textFill>
            <w14:solidFill>
              <w14:schemeClr w14:val="tx1"/>
            </w14:solidFill>
          </w14:textFill>
        </w:rPr>
        <w:t>评审小组</w:t>
      </w:r>
      <w:r>
        <w:rPr>
          <w:color w:val="000000" w:themeColor="text1"/>
          <w14:textFill>
            <w14:solidFill>
              <w14:schemeClr w14:val="tx1"/>
            </w14:solidFill>
          </w14:textFill>
        </w:rPr>
        <w:t>认为</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方案优于其按照</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文件要求编制的</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w:t>
      </w:r>
      <w:r>
        <w:rPr>
          <w:rFonts w:hint="eastAsia"/>
          <w:color w:val="000000" w:themeColor="text1"/>
          <w14:textFill>
            <w14:solidFill>
              <w14:schemeClr w14:val="tx1"/>
            </w14:solidFill>
          </w14:textFill>
        </w:rPr>
        <w:t>采购人</w:t>
      </w:r>
      <w:r>
        <w:rPr>
          <w:color w:val="000000" w:themeColor="text1"/>
          <w14:textFill>
            <w14:solidFill>
              <w14:schemeClr w14:val="tx1"/>
            </w14:solidFill>
          </w14:textFill>
        </w:rPr>
        <w:t>可以接受该备选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3.6响应文件的编制</w:t>
      </w:r>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3.6.1响应文件应按</w:t>
      </w:r>
      <w:r>
        <w:rPr>
          <w:rFonts w:hint="eastAsia" w:ascii="宋体" w:hAnsi="宋体" w:cs="宋体"/>
          <w:b/>
          <w:bCs/>
          <w:color w:val="000000" w:themeColor="text1"/>
          <w:szCs w:val="21"/>
          <w14:textFill>
            <w14:solidFill>
              <w14:schemeClr w14:val="tx1"/>
            </w14:solidFill>
          </w14:textFill>
        </w:rPr>
        <w:t>第</w:t>
      </w:r>
      <w:r>
        <w:rPr>
          <w:rFonts w:hint="eastAsia" w:ascii="宋体" w:hAnsi="宋体" w:cs="宋体"/>
          <w:b/>
          <w:bCs/>
          <w:color w:val="000000" w:themeColor="text1"/>
          <w:szCs w:val="21"/>
          <w:lang w:eastAsia="zh-CN"/>
          <w14:textFill>
            <w14:solidFill>
              <w14:schemeClr w14:val="tx1"/>
            </w14:solidFill>
          </w14:textFill>
        </w:rPr>
        <w:t>七</w:t>
      </w:r>
      <w:r>
        <w:rPr>
          <w:rFonts w:hint="eastAsia" w:ascii="宋体" w:hAnsi="宋体" w:cs="宋体"/>
          <w:b/>
          <w:bCs/>
          <w:color w:val="000000" w:themeColor="text1"/>
          <w:szCs w:val="21"/>
          <w14:textFill>
            <w14:solidFill>
              <w14:schemeClr w14:val="tx1"/>
            </w14:solidFill>
          </w14:textFill>
        </w:rPr>
        <w:t>章“响应文件格式”</w:t>
      </w:r>
      <w:r>
        <w:rPr>
          <w:rFonts w:hint="eastAsia" w:ascii="宋体" w:hAnsi="宋体" w:cs="宋体"/>
          <w:color w:val="000000" w:themeColor="text1"/>
          <w:szCs w:val="21"/>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4.响应文件的递交</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4.1响应文件的密封</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4.1.1供应商应当按照竞争性采购须知前附表的规定加密响应文件。</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4.2 响应文件的递交</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应</w:t>
      </w:r>
      <w:r>
        <w:rPr>
          <w:rFonts w:hint="eastAsia" w:hAnsi="宋体"/>
          <w:color w:val="000000" w:themeColor="text1"/>
          <w:sz w:val="21"/>
          <w:szCs w:val="21"/>
          <w14:textFill>
            <w14:solidFill>
              <w14:schemeClr w14:val="tx1"/>
            </w14:solidFill>
          </w14:textFill>
        </w:rPr>
        <w:t>当</w:t>
      </w: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递交截止时间前递交</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w:t>
      </w:r>
    </w:p>
    <w:p>
      <w:pPr>
        <w:pStyle w:val="187"/>
        <w:jc w:val="both"/>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4.2.2供应商通过采购平台递交电子响应文件。</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4.2.3 除竞争性采购须知前附表另有规定外，供应商所递交的响应文件不予退还。</w:t>
      </w:r>
    </w:p>
    <w:p>
      <w:pPr>
        <w:pStyle w:val="187"/>
        <w:jc w:val="both"/>
        <w:rPr>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4.2.4逾期提交的电</w:t>
      </w:r>
      <w:r>
        <w:rPr>
          <w:rFonts w:hAnsi="宋体"/>
          <w:color w:val="000000" w:themeColor="text1"/>
          <w:sz w:val="21"/>
          <w:szCs w:val="21"/>
          <w14:textFill>
            <w14:solidFill>
              <w14:schemeClr w14:val="tx1"/>
            </w14:solidFill>
          </w14:textFill>
        </w:rPr>
        <w:t>子</w:t>
      </w:r>
      <w:r>
        <w:rPr>
          <w:rFonts w:hint="eastAsia" w:hAnsi="宋体"/>
          <w:color w:val="000000" w:themeColor="text1"/>
          <w:sz w:val="21"/>
          <w:szCs w:val="21"/>
          <w14:textFill>
            <w14:solidFill>
              <w14:schemeClr w14:val="tx1"/>
            </w14:solidFill>
          </w14:textFill>
        </w:rPr>
        <w:t>响应文件，电子采购平台将予以拒收。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4.3 响应文件的修改与撤回</w:t>
      </w:r>
    </w:p>
    <w:p>
      <w:pPr>
        <w:pStyle w:val="187"/>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5.在线唱价</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rPr>
        <w:t>节，供应商须在采购平台规定时限内对响应文件进行解密，</w:t>
      </w:r>
      <w:r>
        <w:rPr>
          <w:rFonts w:hint="eastAsia" w:hAnsi="宋体"/>
          <w:color w:val="000000" w:themeColor="text1"/>
          <w:sz w:val="21"/>
          <w:szCs w:val="21"/>
          <w14:textFill>
            <w14:solidFill>
              <w14:schemeClr w14:val="tx1"/>
            </w14:solidFill>
          </w14:textFill>
        </w:rPr>
        <w:t>解密后采购人开启报价。</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6.评审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6.1 评审小组</w:t>
      </w:r>
    </w:p>
    <w:p>
      <w:pPr>
        <w:pStyle w:val="187"/>
        <w:jc w:val="both"/>
        <w:rPr>
          <w:color w:val="000000" w:themeColor="text1"/>
          <w:spacing w:val="-5"/>
          <w:sz w:val="21"/>
          <w14:textFill>
            <w14:solidFill>
              <w14:schemeClr w14:val="tx1"/>
            </w14:solidFill>
          </w14:textFill>
        </w:rPr>
      </w:pPr>
      <w:r>
        <w:rPr>
          <w:rFonts w:hAnsi="宋体"/>
          <w:color w:val="000000" w:themeColor="text1"/>
          <w:sz w:val="21"/>
          <w:szCs w:val="21"/>
          <w14:textFill>
            <w14:solidFill>
              <w14:schemeClr w14:val="tx1"/>
            </w14:solidFill>
          </w14:textFill>
        </w:rPr>
        <w:t>6.1.1评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组建的评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负责。</w:t>
      </w:r>
      <w:r>
        <w:rPr>
          <w:rFonts w:hint="eastAsia" w:hAnsi="宋体"/>
          <w:color w:val="000000" w:themeColor="text1"/>
          <w:sz w:val="21"/>
          <w:szCs w:val="21"/>
          <w14:textFill>
            <w14:solidFill>
              <w14:schemeClr w14:val="tx1"/>
            </w14:solidFill>
          </w14:textFill>
        </w:rPr>
        <w:t>评审小组</w:t>
      </w:r>
      <w:r>
        <w:rPr>
          <w:color w:val="000000" w:themeColor="text1"/>
          <w:spacing w:val="-5"/>
          <w:sz w:val="21"/>
          <w14:textFill>
            <w14:solidFill>
              <w14:schemeClr w14:val="tx1"/>
            </w14:solidFill>
          </w14:textFill>
        </w:rPr>
        <w:t>的组建见</w:t>
      </w:r>
      <w:r>
        <w:rPr>
          <w:rFonts w:hint="eastAsia"/>
          <w:color w:val="000000" w:themeColor="text1"/>
          <w:spacing w:val="-5"/>
          <w:sz w:val="21"/>
          <w14:textFill>
            <w14:solidFill>
              <w14:schemeClr w14:val="tx1"/>
            </w14:solidFill>
          </w14:textFill>
        </w:rPr>
        <w:t>竞争性采购</w:t>
      </w:r>
      <w:r>
        <w:rPr>
          <w:color w:val="000000" w:themeColor="text1"/>
          <w:spacing w:val="-5"/>
          <w:sz w:val="21"/>
          <w14:textFill>
            <w14:solidFill>
              <w14:schemeClr w14:val="tx1"/>
            </w14:solidFill>
          </w14:textFill>
        </w:rPr>
        <w:t>须知前附表。</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6.1.2</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成员有下列情形之一的，应当回避：</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为供应商</w:t>
      </w:r>
      <w:r>
        <w:rPr>
          <w:rFonts w:hAnsi="宋体"/>
          <w:color w:val="000000" w:themeColor="text1"/>
          <w:sz w:val="21"/>
          <w:szCs w:val="21"/>
          <w14:textFill>
            <w14:solidFill>
              <w14:schemeClr w14:val="tx1"/>
            </w14:solidFill>
          </w14:textFill>
        </w:rPr>
        <w:t>主要负责人近亲属的；</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有经济利益关系，可能影响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公正的；</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）曾因在招标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评审（评审）</w:t>
      </w:r>
      <w:r>
        <w:rPr>
          <w:rFonts w:hAnsi="宋体"/>
          <w:color w:val="000000" w:themeColor="text1"/>
          <w:sz w:val="21"/>
          <w:szCs w:val="21"/>
          <w14:textFill>
            <w14:solidFill>
              <w14:schemeClr w14:val="tx1"/>
            </w14:solidFill>
          </w14:textFill>
        </w:rPr>
        <w:t>以及其他与招标投标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有关活动中从事违法行为而受过行政处罚或刑事处罚的；</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有其他利害关系。</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成员有回避事由、擅离职守或者因健康等原因不能继续评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有权更换。被更换的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成员作出的评审结论无效，由更换后的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成员重新进行评审。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6.2 评审原则</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活动遵循公平、公正、</w:t>
      </w:r>
      <w:r>
        <w:rPr>
          <w:rFonts w:hint="eastAsia" w:hAnsi="宋体"/>
          <w:color w:val="000000" w:themeColor="text1"/>
          <w:sz w:val="21"/>
          <w:szCs w:val="21"/>
          <w14:textFill>
            <w14:solidFill>
              <w14:schemeClr w14:val="tx1"/>
            </w14:solidFill>
          </w14:textFill>
        </w:rPr>
        <w:t>科学和择优</w:t>
      </w:r>
      <w:r>
        <w:rPr>
          <w:rFonts w:hAnsi="宋体"/>
          <w:color w:val="000000" w:themeColor="text1"/>
          <w:sz w:val="21"/>
          <w:szCs w:val="21"/>
          <w14:textFill>
            <w14:solidFill>
              <w14:schemeClr w14:val="tx1"/>
            </w14:solidFill>
          </w14:textFill>
        </w:rPr>
        <w:t>的原则。</w:t>
      </w:r>
      <w:bookmarkStart w:id="11" w:name="page30"/>
      <w:bookmarkEnd w:id="11"/>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6.3 评审</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6.3.1</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14:textFill>
            <w14:solidFill>
              <w14:schemeClr w14:val="tx1"/>
            </w14:solidFill>
          </w14:textFill>
        </w:rPr>
        <w:t>规定的方法、评审因素、标准和程序对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进行</w:t>
      </w:r>
      <w:r>
        <w:rPr>
          <w:rFonts w:hint="eastAsia" w:hAnsi="宋体"/>
          <w:color w:val="000000" w:themeColor="text1"/>
          <w:sz w:val="21"/>
          <w:szCs w:val="21"/>
          <w14:textFill>
            <w14:solidFill>
              <w14:schemeClr w14:val="tx1"/>
            </w14:solidFill>
          </w14:textFill>
        </w:rPr>
        <w:t>评审。</w:t>
      </w:r>
      <w:r>
        <w:rPr>
          <w:rFonts w:hint="eastAsia" w:hAnsi="宋体"/>
          <w:b/>
          <w:bCs/>
          <w:color w:val="000000" w:themeColor="text1"/>
          <w:sz w:val="21"/>
          <w:szCs w:val="21"/>
          <w14:textFill>
            <w14:solidFill>
              <w14:schemeClr w14:val="tx1"/>
            </w14:solidFill>
          </w14:textFill>
        </w:rPr>
        <w:t>第三章“评审办法”</w:t>
      </w:r>
      <w:r>
        <w:rPr>
          <w:rFonts w:hint="eastAsia" w:hAnsi="宋体"/>
          <w:color w:val="000000" w:themeColor="text1"/>
          <w:sz w:val="21"/>
          <w:szCs w:val="21"/>
          <w14:textFill>
            <w14:solidFill>
              <w14:schemeClr w14:val="tx1"/>
            </w14:solidFill>
          </w14:textFill>
        </w:rPr>
        <w:t>没有规定的方法、评审因素和标准，不作为评审依据。</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6.3.2除下列情形外，任何人不得修改评审结果： </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(一)分值计算错误的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(二)分项评分超出评分标准范围的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(三)评审小组成员对客观评审因素评分有误的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(四)其他存在明显过失，影响评审结果的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lang w:eastAsia="zh-CN"/>
          <w14:textFill>
            <w14:solidFill>
              <w14:schemeClr w14:val="tx1"/>
            </w14:solidFill>
          </w14:textFill>
        </w:rPr>
        <w:t>小组</w:t>
      </w:r>
      <w:r>
        <w:rPr>
          <w:rFonts w:hint="eastAsia" w:ascii="宋体" w:hAnsi="宋体" w:eastAsia="宋体" w:cs="Times New Roman"/>
          <w:color w:val="000000" w:themeColor="text1"/>
          <w:sz w:val="21"/>
          <w:szCs w:val="21"/>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7.合同授予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7.1 结果公示</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在收到评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报告</w:t>
      </w:r>
      <w:r>
        <w:rPr>
          <w:rFonts w:hint="eastAsia" w:hAnsi="宋体"/>
          <w:color w:val="000000" w:themeColor="text1"/>
          <w:sz w:val="21"/>
          <w:szCs w:val="21"/>
          <w14:textFill>
            <w14:solidFill>
              <w14:schemeClr w14:val="tx1"/>
            </w14:solidFill>
          </w14:textFill>
        </w:rPr>
        <w:t>后</w:t>
      </w:r>
      <w:r>
        <w:rPr>
          <w:rFonts w:hAnsi="宋体"/>
          <w:color w:val="000000" w:themeColor="text1"/>
          <w:sz w:val="21"/>
          <w:szCs w:val="21"/>
          <w14:textFill>
            <w14:solidFill>
              <w14:schemeClr w14:val="tx1"/>
            </w14:solidFill>
          </w14:textFill>
        </w:rPr>
        <w:t>，按照</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规定的公</w:t>
      </w:r>
      <w:r>
        <w:rPr>
          <w:rFonts w:hint="eastAsia" w:hAnsi="宋体"/>
          <w:color w:val="000000" w:themeColor="text1"/>
          <w:sz w:val="21"/>
          <w:szCs w:val="21"/>
          <w14:textFill>
            <w14:solidFill>
              <w14:schemeClr w14:val="tx1"/>
            </w14:solidFill>
          </w14:textFill>
        </w:rPr>
        <w:t>告</w:t>
      </w:r>
      <w:r>
        <w:rPr>
          <w:rFonts w:hAnsi="宋体"/>
          <w:color w:val="000000" w:themeColor="text1"/>
          <w:sz w:val="21"/>
          <w:szCs w:val="21"/>
          <w14:textFill>
            <w14:solidFill>
              <w14:schemeClr w14:val="tx1"/>
            </w14:solidFill>
          </w14:textFill>
        </w:rPr>
        <w:t>媒介和期限</w:t>
      </w:r>
      <w:r>
        <w:rPr>
          <w:rFonts w:hint="eastAsia" w:hAnsi="宋体"/>
          <w:color w:val="000000" w:themeColor="text1"/>
          <w:sz w:val="21"/>
          <w:szCs w:val="21"/>
          <w14:textFill>
            <w14:solidFill>
              <w14:schemeClr w14:val="tx1"/>
            </w14:solidFill>
          </w14:textFill>
        </w:rPr>
        <w:t>发布结果公示</w:t>
      </w:r>
      <w:r>
        <w:rPr>
          <w:rFonts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7.2 成交供应商的确定</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7.2.1经结果公示无异议后，采购人原则上应在评审报告确定的成交候选</w:t>
      </w:r>
      <w:r>
        <w:rPr>
          <w:rFonts w:hint="eastAsia" w:hAnsi="宋体"/>
          <w:color w:val="000000" w:themeColor="text1"/>
          <w:sz w:val="21"/>
          <w:szCs w:val="21"/>
          <w:lang w:eastAsia="zh-CN"/>
          <w14:textFill>
            <w14:solidFill>
              <w14:schemeClr w14:val="tx1"/>
            </w14:solidFill>
          </w14:textFill>
        </w:rPr>
        <w:t>供应商</w:t>
      </w:r>
      <w:r>
        <w:rPr>
          <w:rFonts w:hint="eastAsia" w:hAnsi="宋体"/>
          <w:color w:val="000000" w:themeColor="text1"/>
          <w:sz w:val="21"/>
          <w:szCs w:val="21"/>
          <w14:textFill>
            <w14:solidFill>
              <w14:schemeClr w14:val="tx1"/>
            </w14:solidFill>
          </w14:textFill>
        </w:rPr>
        <w:t>名单中按顺序确定成交供应商。采购人依据评审小组推荐的成交候选</w:t>
      </w:r>
      <w:r>
        <w:rPr>
          <w:rFonts w:hint="eastAsia" w:hAnsi="宋体"/>
          <w:color w:val="000000" w:themeColor="text1"/>
          <w:sz w:val="21"/>
          <w:szCs w:val="21"/>
          <w:lang w:eastAsia="zh-CN"/>
          <w14:textFill>
            <w14:solidFill>
              <w14:schemeClr w14:val="tx1"/>
            </w14:solidFill>
          </w14:textFill>
        </w:rPr>
        <w:t>供应商</w:t>
      </w:r>
      <w:r>
        <w:rPr>
          <w:rFonts w:hint="eastAsia" w:hAnsi="宋体"/>
          <w:color w:val="000000" w:themeColor="text1"/>
          <w:sz w:val="21"/>
          <w:szCs w:val="21"/>
          <w14:textFill>
            <w14:solidFill>
              <w14:schemeClr w14:val="tx1"/>
            </w14:solidFill>
          </w14:textFill>
        </w:rPr>
        <w:t>确定成交供应商。评审小组推荐成交候选</w:t>
      </w:r>
      <w:r>
        <w:rPr>
          <w:rFonts w:hint="eastAsia" w:hAnsi="宋体"/>
          <w:color w:val="000000" w:themeColor="text1"/>
          <w:sz w:val="21"/>
          <w:szCs w:val="21"/>
          <w:lang w:eastAsia="zh-CN"/>
          <w14:textFill>
            <w14:solidFill>
              <w14:schemeClr w14:val="tx1"/>
            </w14:solidFill>
          </w14:textFill>
        </w:rPr>
        <w:t>供应商</w:t>
      </w:r>
      <w:r>
        <w:rPr>
          <w:rFonts w:hint="eastAsia" w:hAnsi="宋体"/>
          <w:color w:val="000000" w:themeColor="text1"/>
          <w:sz w:val="21"/>
          <w:szCs w:val="21"/>
          <w14:textFill>
            <w14:solidFill>
              <w14:schemeClr w14:val="tx1"/>
            </w14:solidFill>
          </w14:textFill>
        </w:rPr>
        <w:t>的数量以及采购人确定成交供应商的方式见竞争性采购须知前附表。</w:t>
      </w:r>
    </w:p>
    <w:p>
      <w:pPr>
        <w:pStyle w:val="187"/>
        <w:jc w:val="both"/>
        <w:rPr>
          <w:rFonts w:hAnsi="宋体"/>
          <w:color w:val="FF0000"/>
          <w:sz w:val="21"/>
          <w:szCs w:val="21"/>
        </w:rPr>
      </w:pPr>
      <w:r>
        <w:rPr>
          <w:rFonts w:hint="eastAsia" w:hAnsi="宋体"/>
          <w:color w:val="000000" w:themeColor="text1"/>
          <w:sz w:val="21"/>
          <w:szCs w:val="21"/>
          <w14:textFill>
            <w14:solidFill>
              <w14:schemeClr w14:val="tx1"/>
            </w14:solidFill>
          </w14:textFill>
        </w:rPr>
        <w:t>7.2.2</w:t>
      </w:r>
      <w:r>
        <w:rPr>
          <w:rFonts w:hint="eastAsia" w:hAnsi="宋体"/>
          <w:color w:val="auto"/>
          <w:sz w:val="21"/>
          <w:szCs w:val="21"/>
        </w:rPr>
        <w:t>竞争性采购排名第一的</w:t>
      </w:r>
      <w:r>
        <w:rPr>
          <w:rFonts w:hint="eastAsia" w:hAnsi="宋体"/>
          <w:color w:val="auto"/>
          <w:sz w:val="21"/>
          <w:szCs w:val="21"/>
          <w:lang w:eastAsia="zh-CN"/>
        </w:rPr>
        <w:t>成交</w:t>
      </w:r>
      <w:r>
        <w:rPr>
          <w:rFonts w:hint="eastAsia" w:hAnsi="宋体"/>
          <w:color w:val="auto"/>
          <w:sz w:val="21"/>
          <w:szCs w:val="21"/>
        </w:rPr>
        <w:t>候选</w:t>
      </w:r>
      <w:r>
        <w:rPr>
          <w:rFonts w:hint="eastAsia" w:hAnsi="宋体"/>
          <w:color w:val="auto"/>
          <w:sz w:val="21"/>
          <w:szCs w:val="21"/>
          <w:lang w:eastAsia="zh-CN"/>
        </w:rPr>
        <w:t>供应商</w:t>
      </w:r>
      <w:r>
        <w:rPr>
          <w:rFonts w:hint="eastAsia" w:hAnsi="宋体"/>
          <w:color w:val="auto"/>
          <w:sz w:val="21"/>
          <w:szCs w:val="21"/>
        </w:rPr>
        <w:t>放弃中选、因不可抗力不能履行合同，或者被查实存在影响</w:t>
      </w:r>
      <w:r>
        <w:rPr>
          <w:rFonts w:hint="eastAsia" w:hAnsi="宋体"/>
          <w:color w:val="auto"/>
          <w:sz w:val="21"/>
          <w:szCs w:val="21"/>
          <w:lang w:eastAsia="zh-CN"/>
        </w:rPr>
        <w:t>成交</w:t>
      </w:r>
      <w:r>
        <w:rPr>
          <w:rFonts w:hint="eastAsia" w:hAnsi="宋体"/>
          <w:color w:val="auto"/>
          <w:sz w:val="21"/>
          <w:szCs w:val="21"/>
        </w:rPr>
        <w:t>结果的违法行为等情形，不符合</w:t>
      </w:r>
      <w:r>
        <w:rPr>
          <w:rFonts w:hint="eastAsia" w:hAnsi="宋体"/>
          <w:color w:val="auto"/>
          <w:sz w:val="21"/>
          <w:szCs w:val="21"/>
          <w:lang w:eastAsia="zh-CN"/>
        </w:rPr>
        <w:t>成交</w:t>
      </w:r>
      <w:r>
        <w:rPr>
          <w:rFonts w:hint="eastAsia" w:hAnsi="宋体"/>
          <w:color w:val="auto"/>
          <w:sz w:val="21"/>
          <w:szCs w:val="21"/>
        </w:rPr>
        <w:t>条件的，采购人可以按照评审小组提出的</w:t>
      </w:r>
      <w:r>
        <w:rPr>
          <w:rFonts w:hint="eastAsia" w:hAnsi="宋体"/>
          <w:color w:val="auto"/>
          <w:sz w:val="21"/>
          <w:szCs w:val="21"/>
          <w:lang w:eastAsia="zh-CN"/>
        </w:rPr>
        <w:t>成交</w:t>
      </w:r>
      <w:r>
        <w:rPr>
          <w:rFonts w:hint="eastAsia" w:hAnsi="宋体"/>
          <w:color w:val="auto"/>
          <w:sz w:val="21"/>
          <w:szCs w:val="21"/>
        </w:rPr>
        <w:t>候选</w:t>
      </w:r>
      <w:r>
        <w:rPr>
          <w:rFonts w:hint="eastAsia" w:hAnsi="宋体"/>
          <w:color w:val="auto"/>
          <w:sz w:val="21"/>
          <w:szCs w:val="21"/>
          <w:lang w:eastAsia="zh-CN"/>
        </w:rPr>
        <w:t>供应商</w:t>
      </w:r>
      <w:r>
        <w:rPr>
          <w:rFonts w:hint="eastAsia" w:hAnsi="宋体"/>
          <w:color w:val="auto"/>
          <w:sz w:val="21"/>
          <w:szCs w:val="21"/>
        </w:rPr>
        <w:t>名单排序依次确定其他</w:t>
      </w:r>
      <w:r>
        <w:rPr>
          <w:rFonts w:hint="eastAsia" w:hAnsi="宋体"/>
          <w:color w:val="auto"/>
          <w:sz w:val="21"/>
          <w:szCs w:val="21"/>
          <w:lang w:eastAsia="zh-CN"/>
        </w:rPr>
        <w:t>成交</w:t>
      </w:r>
      <w:r>
        <w:rPr>
          <w:rFonts w:hint="eastAsia" w:hAnsi="宋体"/>
          <w:color w:val="auto"/>
          <w:sz w:val="21"/>
          <w:szCs w:val="21"/>
        </w:rPr>
        <w:t>候选</w:t>
      </w:r>
      <w:r>
        <w:rPr>
          <w:rFonts w:hint="eastAsia" w:hAnsi="宋体"/>
          <w:color w:val="auto"/>
          <w:sz w:val="21"/>
          <w:szCs w:val="21"/>
          <w:lang w:eastAsia="zh-CN"/>
        </w:rPr>
        <w:t>供应商</w:t>
      </w:r>
      <w:r>
        <w:rPr>
          <w:rFonts w:hint="eastAsia" w:hAnsi="宋体"/>
          <w:color w:val="auto"/>
          <w:sz w:val="21"/>
          <w:szCs w:val="21"/>
        </w:rPr>
        <w:t>为</w:t>
      </w:r>
      <w:r>
        <w:rPr>
          <w:rFonts w:hint="eastAsia" w:hAnsi="宋体"/>
          <w:color w:val="auto"/>
          <w:sz w:val="21"/>
          <w:szCs w:val="21"/>
          <w:lang w:eastAsia="zh-CN"/>
        </w:rPr>
        <w:t>成交供应商</w:t>
      </w:r>
      <w:r>
        <w:rPr>
          <w:rFonts w:hint="eastAsia" w:hAnsi="宋体"/>
          <w:color w:val="auto"/>
          <w:sz w:val="21"/>
          <w:szCs w:val="21"/>
        </w:rPr>
        <w:t>，也可以重新采购。</w:t>
      </w:r>
    </w:p>
    <w:p>
      <w:pPr>
        <w:pStyle w:val="187"/>
        <w:jc w:val="both"/>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7.3 成交通知</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有效期内，</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w:t>
      </w:r>
      <w:r>
        <w:rPr>
          <w:rFonts w:hint="eastAsia"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7.4 履约保证金</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在签订合同前，成交供应商</w:t>
      </w:r>
      <w:r>
        <w:rPr>
          <w:rFonts w:hAnsi="宋体"/>
          <w:color w:val="000000" w:themeColor="text1"/>
          <w:sz w:val="21"/>
          <w:szCs w:val="21"/>
          <w14:textFill>
            <w14:solidFill>
              <w14:schemeClr w14:val="tx1"/>
            </w14:solidFill>
          </w14:textFill>
        </w:rPr>
        <w:t>应按</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规定的形式、金额和</w:t>
      </w:r>
      <w:r>
        <w:rPr>
          <w:rFonts w:hint="eastAsia" w:hAnsi="宋体"/>
          <w:color w:val="000000" w:themeColor="text1"/>
          <w:sz w:val="21"/>
          <w:szCs w:val="21"/>
          <w14:textFill>
            <w14:solidFill>
              <w14:schemeClr w14:val="tx1"/>
            </w14:solidFill>
          </w14:textFill>
        </w:rPr>
        <w:t>采购文件</w:t>
      </w:r>
      <w:r>
        <w:rPr>
          <w:rFonts w:hAnsi="宋体"/>
          <w:b/>
          <w:bCs/>
          <w:color w:val="000000" w:themeColor="text1"/>
          <w:sz w:val="21"/>
          <w:szCs w:val="21"/>
          <w14:textFill>
            <w14:solidFill>
              <w14:schemeClr w14:val="tx1"/>
            </w14:solidFill>
          </w14:textFill>
        </w:rPr>
        <w:t>第</w:t>
      </w:r>
      <w:r>
        <w:rPr>
          <w:rFonts w:hint="eastAsia" w:hAnsi="宋体"/>
          <w:b/>
          <w:bCs/>
          <w:color w:val="000000" w:themeColor="text1"/>
          <w:sz w:val="21"/>
          <w:szCs w:val="21"/>
          <w14:textFill>
            <w14:solidFill>
              <w14:schemeClr w14:val="tx1"/>
            </w14:solidFill>
          </w14:textFill>
        </w:rPr>
        <w:t>四</w:t>
      </w:r>
      <w:r>
        <w:rPr>
          <w:rFonts w:hAnsi="宋体"/>
          <w:b/>
          <w:bCs/>
          <w:color w:val="000000" w:themeColor="text1"/>
          <w:sz w:val="21"/>
          <w:szCs w:val="21"/>
          <w14:textFill>
            <w14:solidFill>
              <w14:schemeClr w14:val="tx1"/>
            </w14:solidFill>
          </w14:textFill>
        </w:rPr>
        <w:t>章“合</w:t>
      </w:r>
      <w:bookmarkStart w:id="12" w:name="page31"/>
      <w:bookmarkEnd w:id="12"/>
      <w:r>
        <w:rPr>
          <w:rFonts w:hAnsi="宋体"/>
          <w:b/>
          <w:bCs/>
          <w:color w:val="000000" w:themeColor="text1"/>
          <w:sz w:val="21"/>
          <w:szCs w:val="21"/>
          <w14:textFill>
            <w14:solidFill>
              <w14:schemeClr w14:val="tx1"/>
            </w14:solidFill>
          </w14:textFill>
        </w:rPr>
        <w:t>同条款及格式”</w:t>
      </w:r>
      <w:r>
        <w:rPr>
          <w:rFonts w:hAnsi="宋体"/>
          <w:color w:val="000000" w:themeColor="text1"/>
          <w:sz w:val="21"/>
          <w:szCs w:val="21"/>
          <w14:textFill>
            <w14:solidFill>
              <w14:schemeClr w14:val="tx1"/>
            </w14:solidFill>
          </w14:textFill>
        </w:rPr>
        <w:t>规定的或者事先经过</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书面认可的履约保证金格式向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提交履约保证金。联合体</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的，其履约保证金以联合体各方或者联合体中牵头人的名义提交。</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不能按本章</w:t>
      </w:r>
      <w:r>
        <w:rPr>
          <w:rFonts w:hAnsi="宋体"/>
          <w:b/>
          <w:bCs/>
          <w:color w:val="000000" w:themeColor="text1"/>
          <w:sz w:val="21"/>
          <w:szCs w:val="21"/>
          <w14:textFill>
            <w14:solidFill>
              <w14:schemeClr w14:val="tx1"/>
            </w14:solidFill>
          </w14:textFill>
        </w:rPr>
        <w:t>第7.</w:t>
      </w:r>
      <w:r>
        <w:rPr>
          <w:rFonts w:hint="eastAsia" w:hAnsi="宋体"/>
          <w:b/>
          <w:bCs/>
          <w:color w:val="000000" w:themeColor="text1"/>
          <w:sz w:val="21"/>
          <w:szCs w:val="21"/>
          <w14:textFill>
            <w14:solidFill>
              <w14:schemeClr w14:val="tx1"/>
            </w14:solidFill>
          </w14:textFill>
        </w:rPr>
        <w:t>4</w:t>
      </w:r>
      <w:r>
        <w:rPr>
          <w:rFonts w:hAnsi="宋体"/>
          <w:b/>
          <w:bCs/>
          <w:color w:val="000000" w:themeColor="text1"/>
          <w:sz w:val="21"/>
          <w:szCs w:val="21"/>
          <w14:textFill>
            <w14:solidFill>
              <w14:schemeClr w14:val="tx1"/>
            </w14:solidFill>
          </w14:textFill>
        </w:rPr>
        <w:t>.1项</w:t>
      </w:r>
      <w:r>
        <w:rPr>
          <w:rFonts w:hAnsi="宋体"/>
          <w:color w:val="000000" w:themeColor="text1"/>
          <w:sz w:val="21"/>
          <w:szCs w:val="21"/>
          <w14:textFill>
            <w14:solidFill>
              <w14:schemeClr w14:val="tx1"/>
            </w14:solidFill>
          </w14:textFill>
        </w:rPr>
        <w:t>要求提交履约保证金的，视为放弃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，其</w:t>
      </w:r>
      <w:r>
        <w:rPr>
          <w:rFonts w:hint="eastAsia" w:hAnsi="宋体"/>
          <w:color w:val="000000" w:themeColor="text1"/>
          <w:sz w:val="21"/>
          <w:szCs w:val="21"/>
          <w:lang w:eastAsia="zh-CN"/>
          <w14:textFill>
            <w14:solidFill>
              <w14:schemeClr w14:val="tx1"/>
            </w14:solidFill>
          </w14:textFill>
        </w:rPr>
        <w:t>竞争性采购</w:t>
      </w:r>
      <w:r>
        <w:rPr>
          <w:rFonts w:hAnsi="宋体"/>
          <w:color w:val="000000" w:themeColor="text1"/>
          <w:sz w:val="21"/>
          <w:szCs w:val="21"/>
          <w14:textFill>
            <w14:solidFill>
              <w14:schemeClr w14:val="tx1"/>
            </w14:solidFill>
          </w14:textFill>
        </w:rPr>
        <w:t>保证金不予退还，给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还应当对超过部分予以赔偿。</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7.5 签订合同</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7.5.1 自</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通知书发出之日起30天内，</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文件和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文件订立合同。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人取消其</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资格；给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lang w:eastAsia="zh-CN"/>
          <w14:textFill>
            <w14:solidFill>
              <w14:schemeClr w14:val="tx1"/>
            </w14:solidFill>
          </w14:textFill>
        </w:rPr>
        <w:t>竞争性采购</w:t>
      </w:r>
      <w:r>
        <w:rPr>
          <w:rFonts w:hAnsi="宋体"/>
          <w:color w:val="000000" w:themeColor="text1"/>
          <w:sz w:val="21"/>
          <w:szCs w:val="21"/>
          <w14:textFill>
            <w14:solidFill>
              <w14:schemeClr w14:val="tx1"/>
            </w14:solidFill>
          </w14:textFill>
        </w:rPr>
        <w:t>保证</w:t>
      </w:r>
      <w:r>
        <w:rPr>
          <w:rFonts w:hint="eastAsia" w:hAnsi="宋体"/>
          <w:color w:val="000000" w:themeColor="text1"/>
          <w:sz w:val="21"/>
          <w:szCs w:val="21"/>
          <w:lang w:eastAsia="zh-CN"/>
          <w14:textFill>
            <w14:solidFill>
              <w14:schemeClr w14:val="tx1"/>
            </w14:solidFill>
          </w14:textFill>
        </w:rPr>
        <w:t>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应当对超过部分予以赔偿。</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7.5.2 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退还</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w:t>
      </w:r>
      <w:r>
        <w:rPr>
          <w:rFonts w:hAnsi="宋体"/>
          <w:color w:val="000000" w:themeColor="text1"/>
          <w:sz w:val="21"/>
          <w:szCs w:val="21"/>
          <w14:textFill>
            <w14:solidFill>
              <w14:schemeClr w14:val="tx1"/>
            </w14:solidFill>
          </w14:textFill>
        </w:rPr>
        <w:t>；给</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8.1 对供应商的纪律要求</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供应商在采购活动中</w:t>
      </w:r>
      <w:r>
        <w:rPr>
          <w:rFonts w:hAnsi="宋体"/>
          <w:color w:val="000000" w:themeColor="text1"/>
          <w:sz w:val="21"/>
          <w:szCs w:val="21"/>
          <w14:textFill>
            <w14:solidFill>
              <w14:schemeClr w14:val="tx1"/>
            </w14:solidFill>
          </w14:textFill>
        </w:rPr>
        <w:t>不得相互串通或者与</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串通，不得向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或者</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成员行贿谋取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，不得以他人名义</w:t>
      </w:r>
      <w:r>
        <w:rPr>
          <w:rFonts w:hint="eastAsia" w:hAnsi="宋体"/>
          <w:color w:val="000000" w:themeColor="text1"/>
          <w:sz w:val="21"/>
          <w:szCs w:val="21"/>
          <w14:textFill>
            <w14:solidFill>
              <w14:schemeClr w14:val="tx1"/>
            </w14:solidFill>
          </w14:textFill>
        </w:rPr>
        <w:t>参与采购活动</w:t>
      </w:r>
      <w:r>
        <w:rPr>
          <w:rFonts w:hAnsi="宋体"/>
          <w:color w:val="000000" w:themeColor="text1"/>
          <w:sz w:val="21"/>
          <w:szCs w:val="21"/>
          <w14:textFill>
            <w14:solidFill>
              <w14:schemeClr w14:val="tx1"/>
            </w14:solidFill>
          </w14:textFill>
        </w:rPr>
        <w:t>或者以其他方式弄虚作假骗取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不得以任何方式干扰、影响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8.2 对评审小组成员的纪律要求</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lang w:eastAsia="zh-CN"/>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8.3 对与评审活动有关的工作人员的纪律要求</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lang w:eastAsia="zh-CN"/>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pStyle w:val="187"/>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8.4 异议和投诉</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1供应商</w:t>
      </w:r>
      <w:r>
        <w:rPr>
          <w:rFonts w:hAnsi="宋体"/>
          <w:color w:val="000000" w:themeColor="text1"/>
          <w:sz w:val="21"/>
          <w:szCs w:val="21"/>
          <w14:textFill>
            <w14:solidFill>
              <w14:schemeClr w14:val="tx1"/>
            </w14:solidFill>
          </w14:textFill>
        </w:rPr>
        <w:t>或者其他利害关系人认为本次</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shd w:val="clear" w:color="auto" w:fill="FFFFFF"/>
        </w:rPr>
        <w:t>长沙市轨道交通运营有限公司监察审计部门</w:t>
      </w:r>
      <w:r>
        <w:rPr>
          <w:rFonts w:hAnsi="宋体"/>
          <w:color w:val="000000" w:themeColor="text1"/>
          <w:sz w:val="21"/>
          <w:szCs w:val="21"/>
          <w14:textFill>
            <w14:solidFill>
              <w14:schemeClr w14:val="tx1"/>
            </w14:solidFill>
          </w14:textFill>
        </w:rPr>
        <w:t>投诉。</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2供应商</w:t>
      </w:r>
      <w:r>
        <w:rPr>
          <w:rFonts w:hAnsi="宋体"/>
          <w:color w:val="000000" w:themeColor="text1"/>
          <w:sz w:val="21"/>
          <w:szCs w:val="21"/>
          <w14:textFill>
            <w14:solidFill>
              <w14:schemeClr w14:val="tx1"/>
            </w14:solidFill>
          </w14:textFill>
        </w:rPr>
        <w:t>或者其他利害关系人就下列事项投诉的，应当按照相关规定</w:t>
      </w:r>
      <w:r>
        <w:rPr>
          <w:rFonts w:hint="eastAsia" w:hAnsi="宋体"/>
          <w:color w:val="000000" w:themeColor="text1"/>
          <w:sz w:val="21"/>
          <w:szCs w:val="21"/>
          <w14:textFill>
            <w14:solidFill>
              <w14:schemeClr w14:val="tx1"/>
            </w14:solidFill>
          </w14:textFill>
        </w:rPr>
        <w:t>先</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(1)认为</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不符合相关法律法规规范性文件规定，应当在</w:t>
      </w:r>
      <w:r>
        <w:rPr>
          <w:rFonts w:hint="eastAsia" w:hAnsi="宋体"/>
          <w:color w:val="000000" w:themeColor="text1"/>
          <w:sz w:val="21"/>
          <w:szCs w:val="21"/>
          <w14:textFill>
            <w14:solidFill>
              <w14:schemeClr w14:val="tx1"/>
            </w14:solidFill>
          </w14:textFill>
        </w:rPr>
        <w:t>响应文件递交</w:t>
      </w:r>
      <w:r>
        <w:rPr>
          <w:rFonts w:hAnsi="宋体"/>
          <w:color w:val="000000" w:themeColor="text1"/>
          <w:sz w:val="21"/>
          <w:szCs w:val="21"/>
          <w14:textFill>
            <w14:solidFill>
              <w14:schemeClr w14:val="tx1"/>
            </w14:solidFill>
          </w14:textFill>
        </w:rPr>
        <w:t>截止时间</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日前向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(2)认为</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活动不符合相关法律法规规范性文件规定的，应当在</w:t>
      </w:r>
      <w:r>
        <w:rPr>
          <w:rFonts w:hint="eastAsia" w:hAnsi="宋体"/>
          <w:color w:val="000000" w:themeColor="text1"/>
          <w:sz w:val="21"/>
          <w:szCs w:val="21"/>
          <w14:textFill>
            <w14:solidFill>
              <w14:schemeClr w14:val="tx1"/>
            </w14:solidFill>
          </w14:textFill>
        </w:rPr>
        <w:t>采购活动各个阶段当场</w:t>
      </w:r>
      <w:r>
        <w:rPr>
          <w:rFonts w:hAnsi="宋体"/>
          <w:color w:val="000000" w:themeColor="text1"/>
          <w:sz w:val="21"/>
          <w:szCs w:val="21"/>
          <w14:textFill>
            <w14:solidFill>
              <w14:schemeClr w14:val="tx1"/>
            </w14:solidFill>
          </w14:textFill>
        </w:rPr>
        <w:t>提出异议；</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(3)对</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结果有异议的，在</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lang w:eastAsia="zh-CN"/>
          <w14:textFill>
            <w14:solidFill>
              <w14:schemeClr w14:val="tx1"/>
            </w14:solidFill>
          </w14:textFill>
        </w:rPr>
        <w:t>供应商</w:t>
      </w:r>
      <w:r>
        <w:rPr>
          <w:rFonts w:hAnsi="宋体"/>
          <w:color w:val="000000" w:themeColor="text1"/>
          <w:sz w:val="21"/>
          <w:szCs w:val="21"/>
          <w14:textFill>
            <w14:solidFill>
              <w14:schemeClr w14:val="tx1"/>
            </w14:solidFill>
          </w14:textFill>
        </w:rPr>
        <w:t>公示期</w:t>
      </w:r>
      <w:r>
        <w:rPr>
          <w:rFonts w:hint="eastAsia" w:hAnsi="宋体"/>
          <w:color w:val="000000" w:themeColor="text1"/>
          <w:sz w:val="21"/>
          <w:szCs w:val="21"/>
          <w14:textFill>
            <w14:solidFill>
              <w14:schemeClr w14:val="tx1"/>
            </w14:solidFill>
          </w14:textFill>
        </w:rPr>
        <w:t>内</w:t>
      </w:r>
      <w:r>
        <w:rPr>
          <w:rFonts w:hAnsi="宋体"/>
          <w:color w:val="000000" w:themeColor="text1"/>
          <w:sz w:val="21"/>
          <w:szCs w:val="21"/>
          <w14:textFill>
            <w14:solidFill>
              <w14:schemeClr w14:val="tx1"/>
            </w14:solidFill>
          </w14:textFill>
        </w:rPr>
        <w:t>以书面形式向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shd w:val="clear" w:color="auto" w:fill="FFFFFF"/>
        </w:rPr>
        <w:t>长沙市轨道交通运营有限公司监察审计部门</w:t>
      </w:r>
      <w:r>
        <w:rPr>
          <w:rFonts w:hint="eastAsia" w:hAnsi="宋体"/>
          <w:color w:val="000000" w:themeColor="text1"/>
          <w:sz w:val="21"/>
          <w:szCs w:val="21"/>
          <w14:textFill>
            <w14:solidFill>
              <w14:schemeClr w14:val="tx1"/>
            </w14:solidFill>
          </w14:textFill>
        </w:rPr>
        <w:t>投诉。</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14:textFill>
            <w14:solidFill>
              <w14:schemeClr w14:val="tx1"/>
            </w14:solidFill>
          </w14:textFill>
        </w:rPr>
        <w:t>材料的，不予受理。</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.4投诉书应当包括下列内容：</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（1）投诉人的名称、地址及有效联系方式；</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（2）被投诉人的名称、地址及有效联系方式；</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（3）投诉事项的基本事实；</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（4）相关请求及主张；</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（5）有效线索和相关证明材料。</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（6）提起投诉的日期；</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（7）法律法规规定的其它内容。</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.5对按规定应先提出异议的事项进行投诉的，应当附提出异议的答复情况说明及相关证明材料。</w:t>
      </w:r>
    </w:p>
    <w:p>
      <w:pPr>
        <w:pStyle w:val="187"/>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投诉人为利害关系人的，还应当提供与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项目或</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9.需要补充的其他内容</w:t>
      </w:r>
    </w:p>
    <w:p>
      <w:pPr>
        <w:pStyle w:val="39"/>
        <w:widowControl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 xml:space="preserve">附件2-1 </w:t>
      </w:r>
    </w:p>
    <w:p>
      <w:pPr>
        <w:spacing w:line="360" w:lineRule="auto"/>
        <w:ind w:firstLine="281" w:firstLineChars="100"/>
        <w:jc w:val="center"/>
      </w:pPr>
      <w:r>
        <w:rPr>
          <w:rFonts w:hint="eastAsia" w:hAnsi="宋体"/>
          <w:b/>
          <w:sz w:val="28"/>
          <w:szCs w:val="28"/>
        </w:rPr>
        <w:t>电子响应文件编制及报送要求</w:t>
      </w:r>
    </w:p>
    <w:p>
      <w:pPr>
        <w:pStyle w:val="187"/>
        <w:rPr>
          <w:rFonts w:hAnsi="宋体"/>
          <w:b/>
          <w:bCs/>
          <w:sz w:val="21"/>
          <w:szCs w:val="21"/>
        </w:rPr>
      </w:pPr>
      <w:r>
        <w:rPr>
          <w:rFonts w:hint="eastAsia" w:hAnsi="宋体"/>
          <w:sz w:val="21"/>
          <w:szCs w:val="21"/>
        </w:rPr>
        <w:t>1、制作本项目响应文件所使用软件：登录采购平台网站主页“办事指南”专区</w:t>
      </w:r>
      <w:r>
        <w:rPr>
          <w:rFonts w:hint="eastAsia" w:hAnsi="宋体"/>
          <w:b/>
          <w:bCs/>
          <w:sz w:val="21"/>
          <w:szCs w:val="21"/>
        </w:rPr>
        <w:t>下载安装“电子响应文件制作工具”。</w:t>
      </w:r>
    </w:p>
    <w:p>
      <w:pPr>
        <w:pStyle w:val="187"/>
        <w:rPr>
          <w:rFonts w:hAnsi="宋体"/>
          <w:sz w:val="21"/>
          <w:szCs w:val="21"/>
        </w:rPr>
      </w:pPr>
      <w:r>
        <w:rPr>
          <w:rFonts w:hint="eastAsia" w:hAnsi="宋体"/>
          <w:sz w:val="21"/>
          <w:szCs w:val="21"/>
        </w:rPr>
        <w:t>2、参与采购活动的供应商须使用采购平台“电子响应文件制作工具”制作CSCG格式响应文件。本项目响应文件</w:t>
      </w:r>
      <w:r>
        <w:rPr>
          <w:rFonts w:hint="eastAsia" w:hAnsi="宋体"/>
          <w:b/>
          <w:bCs/>
          <w:sz w:val="21"/>
          <w:szCs w:val="21"/>
        </w:rPr>
        <w:t>最大容量为20MB</w:t>
      </w:r>
      <w:r>
        <w:rPr>
          <w:rFonts w:hint="eastAsia" w:hAnsi="宋体"/>
          <w:sz w:val="21"/>
          <w:szCs w:val="21"/>
        </w:rPr>
        <w:t>，</w:t>
      </w:r>
      <w:r>
        <w:rPr>
          <w:spacing w:val="-5"/>
          <w:sz w:val="21"/>
        </w:rPr>
        <w:t>请</w:t>
      </w:r>
      <w:r>
        <w:rPr>
          <w:rFonts w:hint="eastAsia"/>
          <w:spacing w:val="-5"/>
          <w:sz w:val="21"/>
        </w:rPr>
        <w:t>供应商</w:t>
      </w:r>
      <w:r>
        <w:rPr>
          <w:spacing w:val="-5"/>
          <w:sz w:val="21"/>
        </w:rPr>
        <w:t>注意控制文件大小。</w:t>
      </w:r>
    </w:p>
    <w:p>
      <w:pPr>
        <w:pStyle w:val="187"/>
        <w:rPr>
          <w:rFonts w:hAnsi="宋体"/>
          <w:sz w:val="21"/>
          <w:szCs w:val="21"/>
        </w:rPr>
      </w:pPr>
      <w:r>
        <w:rPr>
          <w:rFonts w:hint="eastAsia" w:hAnsi="宋体"/>
          <w:sz w:val="21"/>
          <w:szCs w:val="21"/>
        </w:rPr>
        <w:t>3、供应商须使用湖南CA数字证书（含电子印章）。CA数字证书具体办理流程详见采购平台网站主页“办事指南”专区“湖南CA证书办证指引”，并</w:t>
      </w:r>
      <w:r>
        <w:rPr>
          <w:rFonts w:hint="eastAsia" w:hAnsi="宋体"/>
          <w:b/>
          <w:bCs/>
          <w:sz w:val="21"/>
          <w:szCs w:val="21"/>
        </w:rPr>
        <w:t>须在专区下载安装“CA数字证书驱动”。</w:t>
      </w:r>
    </w:p>
    <w:p>
      <w:pPr>
        <w:pStyle w:val="187"/>
        <w:jc w:val="both"/>
        <w:rPr>
          <w:rFonts w:hAnsi="宋体"/>
          <w:sz w:val="21"/>
          <w:szCs w:val="21"/>
        </w:rPr>
      </w:pPr>
      <w:r>
        <w:rPr>
          <w:rFonts w:hint="eastAsia" w:hAnsi="宋体"/>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rPr>
        <w:t>（</w:t>
      </w:r>
      <w:r>
        <w:rPr>
          <w:rFonts w:hint="eastAsia" w:hAnsi="宋体"/>
          <w:sz w:val="21"/>
          <w:szCs w:val="21"/>
        </w:rPr>
        <w:t>或加盖印章）的，响应文件应附法定代表人身份证明，由委托代理人签字</w:t>
      </w:r>
      <w:r>
        <w:rPr>
          <w:rFonts w:hint="eastAsia" w:hAnsi="宋体" w:cs="宋体"/>
          <w:szCs w:val="21"/>
        </w:rPr>
        <w:t>（</w:t>
      </w:r>
      <w:r>
        <w:rPr>
          <w:rFonts w:hint="eastAsia" w:hAnsi="宋体"/>
          <w:sz w:val="21"/>
          <w:szCs w:val="21"/>
        </w:rPr>
        <w:t>或加盖印章）的，响应文件应附法定代表人签署的授权委托书。</w:t>
      </w:r>
    </w:p>
    <w:p>
      <w:pPr>
        <w:pStyle w:val="187"/>
        <w:jc w:val="both"/>
      </w:pPr>
      <w:r>
        <w:rPr>
          <w:rFonts w:hint="eastAsia" w:hAnsi="宋体"/>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w:t>
      </w:r>
      <w:r>
        <w:rPr>
          <w:rFonts w:hint="eastAsia" w:hAnsi="宋体"/>
          <w:sz w:val="21"/>
          <w:szCs w:val="21"/>
        </w:rPr>
        <w:t>处理，涉及打分项的则该项评分予以0分处理。</w:t>
      </w:r>
    </w:p>
    <w:p>
      <w:pPr>
        <w:pStyle w:val="187"/>
        <w:jc w:val="both"/>
        <w:rPr>
          <w:rFonts w:hAnsi="宋体"/>
          <w:sz w:val="21"/>
          <w:szCs w:val="21"/>
        </w:rPr>
      </w:pPr>
      <w:r>
        <w:rPr>
          <w:rFonts w:hint="eastAsia" w:hAnsi="宋体"/>
          <w:sz w:val="21"/>
          <w:szCs w:val="21"/>
        </w:rPr>
        <w:t>6、响应文件编写完成后，须对响应文件进行加密处理，加密后的响应文件为CSCG格式文件。</w:t>
      </w:r>
    </w:p>
    <w:p>
      <w:pPr>
        <w:pStyle w:val="187"/>
        <w:ind w:firstLine="0"/>
        <w:jc w:val="both"/>
        <w:rPr>
          <w:rFonts w:hAnsi="宋体"/>
          <w:sz w:val="21"/>
          <w:szCs w:val="21"/>
        </w:rPr>
      </w:pPr>
      <w:r>
        <w:rPr>
          <w:rFonts w:hint="eastAsia" w:hAnsi="宋体"/>
          <w:sz w:val="21"/>
          <w:szCs w:val="21"/>
        </w:rPr>
        <w:t>供应商在采购文件规定的响应文件递交截止时间前登陆采购平台竞争性采购项目专区上传递交响应文件（CSCG格式）一份。</w:t>
      </w:r>
      <w:r>
        <w:rPr>
          <w:rFonts w:hint="eastAsia" w:hAnsi="宋体"/>
          <w:b/>
          <w:bCs/>
          <w:sz w:val="21"/>
          <w:szCs w:val="21"/>
        </w:rPr>
        <w:t>因供应商自身原因未在规定时间内完成解密或无法解密的响应文件视为撤销其响应文件，相应责任由供应商自行承担。</w:t>
      </w:r>
    </w:p>
    <w:p>
      <w:pPr>
        <w:pStyle w:val="187"/>
        <w:jc w:val="both"/>
        <w:rPr>
          <w:rFonts w:hAnsi="宋体"/>
          <w:sz w:val="21"/>
          <w:szCs w:val="21"/>
        </w:rPr>
      </w:pPr>
      <w:r>
        <w:rPr>
          <w:rFonts w:hint="eastAsia" w:hAnsi="宋体"/>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rPr>
        <w:t>（0731-86850487）。</w:t>
      </w:r>
    </w:p>
    <w:p>
      <w:pPr>
        <w:pStyle w:val="187"/>
        <w:jc w:val="both"/>
        <w:rPr>
          <w:rFonts w:hAnsi="宋体"/>
          <w:sz w:val="21"/>
          <w:szCs w:val="21"/>
        </w:rPr>
      </w:pPr>
      <w:r>
        <w:rPr>
          <w:rFonts w:hint="eastAsia" w:hAnsi="宋体"/>
          <w:sz w:val="21"/>
          <w:szCs w:val="21"/>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sz w:val="21"/>
          <w:szCs w:val="21"/>
        </w:rPr>
      </w:pPr>
      <w:r>
        <w:rPr>
          <w:rFonts w:hint="eastAsia" w:hAnsi="宋体"/>
          <w:sz w:val="21"/>
          <w:szCs w:val="21"/>
        </w:rPr>
        <w:t>9、结果公示结束后，采购人将供应商在采购平台的“电子响应文件制作工具”制作投递的响应文件下载，打印成纸质版文件胶装成册归档。</w:t>
      </w:r>
    </w:p>
    <w:p>
      <w:p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pPr>
      <w:r>
        <w:rPr>
          <w:rFonts w:hint="eastAsia" w:ascii="宋体" w:hAnsi="宋体"/>
          <w:b/>
          <w:sz w:val="28"/>
          <w:szCs w:val="28"/>
        </w:rPr>
        <w:t>附件2-2</w:t>
      </w:r>
    </w:p>
    <w:p>
      <w:pPr>
        <w:spacing w:line="360" w:lineRule="auto"/>
        <w:ind w:firstLine="281" w:firstLineChars="100"/>
        <w:jc w:val="center"/>
        <w:rPr>
          <w:rFonts w:hAnsi="宋体"/>
          <w:b/>
          <w:sz w:val="28"/>
          <w:szCs w:val="28"/>
        </w:rPr>
      </w:pPr>
      <w:r>
        <w:rPr>
          <w:rFonts w:hint="eastAsia" w:hAnsi="宋体"/>
          <w:b/>
          <w:sz w:val="28"/>
          <w:szCs w:val="28"/>
        </w:rPr>
        <w:t>否决的情形</w:t>
      </w:r>
    </w:p>
    <w:p>
      <w:pPr>
        <w:pStyle w:val="187"/>
        <w:spacing w:line="500" w:lineRule="exact"/>
        <w:ind w:firstLine="420" w:firstLineChars="200"/>
        <w:jc w:val="both"/>
        <w:rPr>
          <w:rFonts w:hAnsi="宋体" w:cs="宋体"/>
          <w:sz w:val="21"/>
          <w:szCs w:val="21"/>
        </w:rPr>
      </w:pPr>
      <w:r>
        <w:rPr>
          <w:rFonts w:hint="eastAsia" w:hAnsi="宋体" w:cs="宋体"/>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sz w:val="21"/>
          <w:szCs w:val="21"/>
        </w:rPr>
      </w:pPr>
      <w:r>
        <w:rPr>
          <w:rFonts w:hint="eastAsia" w:hAnsi="宋体" w:cs="宋体"/>
          <w:sz w:val="21"/>
          <w:szCs w:val="21"/>
        </w:rPr>
        <w:t>供应商或其响应文件有下列情形之一的，应当按</w:t>
      </w:r>
      <w:r>
        <w:rPr>
          <w:rFonts w:hint="eastAsia" w:hAnsi="宋体" w:cs="宋体"/>
          <w:b/>
          <w:bCs/>
          <w:sz w:val="21"/>
          <w:szCs w:val="21"/>
        </w:rPr>
        <w:t>否决</w:t>
      </w:r>
      <w:r>
        <w:rPr>
          <w:rFonts w:hint="eastAsia" w:hAnsi="宋体" w:cs="宋体"/>
          <w:sz w:val="21"/>
          <w:szCs w:val="21"/>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rPr>
      </w:pPr>
      <w:r>
        <w:rPr>
          <w:rFonts w:hint="eastAsia" w:ascii="宋体" w:hAnsi="宋体" w:cs="宋体"/>
          <w:szCs w:val="21"/>
        </w:rPr>
        <w:t>2.供应商以他人名义投标、串通投标、以行贿手段谋取中标的；</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rPr>
        <w:t>否决</w:t>
      </w:r>
      <w:r>
        <w:rPr>
          <w:rFonts w:hint="eastAsia" w:hAnsi="宋体" w:cs="宋体"/>
          <w:sz w:val="21"/>
          <w:szCs w:val="21"/>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rPr>
        <w:t>否决</w:t>
      </w:r>
      <w:r>
        <w:rPr>
          <w:rFonts w:hint="eastAsia" w:hAnsi="宋体" w:cs="宋体"/>
          <w:sz w:val="21"/>
          <w:szCs w:val="21"/>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7.响应文件未对采购文件的实质性要求和条件作出满足性或更有利于采购人的响应；</w:t>
      </w:r>
    </w:p>
    <w:p>
      <w:pPr>
        <w:pStyle w:val="187"/>
        <w:spacing w:line="500" w:lineRule="exact"/>
        <w:ind w:firstLine="420" w:firstLineChars="200"/>
        <w:jc w:val="both"/>
        <w:rPr>
          <w:rFonts w:hAnsi="宋体" w:cs="宋体"/>
          <w:sz w:val="21"/>
          <w:szCs w:val="21"/>
        </w:rPr>
      </w:pPr>
      <w:r>
        <w:rPr>
          <w:rFonts w:hAnsi="宋体" w:cs="宋体"/>
          <w:color w:val="auto"/>
          <w:sz w:val="21"/>
          <w:szCs w:val="21"/>
        </w:rPr>
        <w:t>8</w:t>
      </w:r>
      <w:r>
        <w:rPr>
          <w:rFonts w:hint="eastAsia" w:hAnsi="宋体" w:cs="宋体"/>
          <w:color w:val="auto"/>
          <w:sz w:val="21"/>
          <w:szCs w:val="21"/>
        </w:rPr>
        <w:t>.若供应商</w:t>
      </w:r>
      <w:r>
        <w:rPr>
          <w:rFonts w:hint="eastAsia" w:hAnsi="宋体" w:cs="宋体"/>
          <w:sz w:val="21"/>
          <w:szCs w:val="21"/>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rPr>
        <w:t>否决</w:t>
      </w:r>
      <w:r>
        <w:rPr>
          <w:rFonts w:hint="eastAsia" w:hAnsi="宋体" w:cs="宋体"/>
          <w:sz w:val="21"/>
          <w:szCs w:val="21"/>
        </w:rPr>
        <w:t>情形处理，涉及打分项的则该项评分予以0分处理。</w:t>
      </w:r>
    </w:p>
    <w:p>
      <w:pPr>
        <w:spacing w:line="500" w:lineRule="exact"/>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.法律法规中规定的其他情形。</w:t>
      </w:r>
    </w:p>
    <w:p>
      <w:pPr>
        <w:pStyle w:val="43"/>
      </w:pPr>
    </w:p>
    <w:p>
      <w:pPr>
        <w:pStyle w:val="43"/>
      </w:pPr>
    </w:p>
    <w:p>
      <w:pPr>
        <w:pStyle w:val="43"/>
      </w:pPr>
    </w:p>
    <w:p>
      <w:pPr>
        <w:pStyle w:val="43"/>
      </w:pPr>
    </w:p>
    <w:p>
      <w:pPr>
        <w:pStyle w:val="43"/>
      </w:pPr>
    </w:p>
    <w:p>
      <w:pPr>
        <w:pStyle w:val="43"/>
      </w:pPr>
    </w:p>
    <w:p>
      <w:pPr>
        <w:pStyle w:val="43"/>
      </w:pPr>
    </w:p>
    <w:p>
      <w:pPr>
        <w:adjustRightInd w:val="0"/>
        <w:snapToGrid w:val="0"/>
        <w:spacing w:line="360" w:lineRule="auto"/>
        <w:jc w:val="center"/>
        <w:outlineLvl w:val="0"/>
        <w:rPr>
          <w:rFonts w:ascii="黑体" w:hAnsi="宋体" w:eastAsia="黑体"/>
          <w:b/>
          <w:color w:val="000000" w:themeColor="text1"/>
          <w:sz w:val="24"/>
          <w14:textFill>
            <w14:solidFill>
              <w14:schemeClr w14:val="tx1"/>
            </w14:solidFill>
          </w14:textFill>
        </w:rPr>
      </w:pPr>
      <w:bookmarkStart w:id="13" w:name="_Toc4847"/>
      <w:bookmarkStart w:id="14" w:name="_Toc3540"/>
      <w:r>
        <w:rPr>
          <w:rFonts w:hint="eastAsia" w:ascii="黑体" w:hAnsi="黑体" w:eastAsia="黑体" w:cs="黑体"/>
          <w:bCs/>
          <w:color w:val="000000" w:themeColor="text1"/>
          <w:sz w:val="32"/>
          <w:szCs w:val="32"/>
          <w14:textFill>
            <w14:solidFill>
              <w14:schemeClr w14:val="tx1"/>
            </w14:solidFill>
          </w14:textFill>
        </w:rPr>
        <w:t>第三章 评审办法及标准</w:t>
      </w:r>
      <w:bookmarkEnd w:id="13"/>
      <w:bookmarkEnd w:id="14"/>
    </w:p>
    <w:p>
      <w:pPr>
        <w:spacing w:line="560" w:lineRule="exact"/>
        <w:ind w:firstLine="301" w:firstLineChars="10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825"/>
        <w:gridCol w:w="5698"/>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评审因素</w:t>
            </w:r>
          </w:p>
        </w:tc>
        <w:tc>
          <w:tcPr>
            <w:tcW w:w="652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响应文件签字盖章</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由法定代表人（或其委托代理人）签名（或加盖印章），并加盖供应商的单位</w:t>
            </w:r>
            <w:r>
              <w:rPr>
                <w:rFonts w:hint="eastAsia" w:ascii="宋体" w:hAnsi="宋体" w:cs="宋体"/>
                <w:color w:val="auto"/>
                <w:szCs w:val="21"/>
              </w:rPr>
              <w:t>公章。供应商加盖的单位公章与</w:t>
            </w:r>
            <w:r>
              <w:rPr>
                <w:rFonts w:hint="eastAsia" w:ascii="宋体" w:hAnsi="宋体" w:cs="宋体"/>
                <w:color w:val="000000" w:themeColor="text1"/>
                <w:szCs w:val="21"/>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lang w:val="en-US" w:eastAsia="zh-CN"/>
                <w14:textFill>
                  <w14:solidFill>
                    <w14:schemeClr w14:val="tx1"/>
                  </w14:solidFill>
                </w14:textFill>
              </w:rPr>
              <w:t>七</w:t>
            </w:r>
            <w:r>
              <w:rPr>
                <w:rFonts w:hint="eastAsia" w:ascii="宋体" w:hAnsi="宋体" w:cs="宋体"/>
                <w:color w:val="000000" w:themeColor="text1"/>
                <w:szCs w:val="21"/>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w:t>
            </w:r>
          </w:p>
        </w:tc>
        <w:tc>
          <w:tcPr>
            <w:tcW w:w="6523" w:type="dxa"/>
            <w:gridSpan w:val="2"/>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供应商报价</w:t>
            </w:r>
          </w:p>
        </w:tc>
        <w:tc>
          <w:tcPr>
            <w:tcW w:w="6523" w:type="dxa"/>
            <w:gridSpan w:val="2"/>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联合体供应商</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营业执照（事业单位法人证书）</w:t>
            </w:r>
          </w:p>
        </w:tc>
        <w:tc>
          <w:tcPr>
            <w:tcW w:w="6523" w:type="dxa"/>
            <w:gridSpan w:val="2"/>
            <w:vMerge w:val="restart"/>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入围业绩</w:t>
            </w:r>
          </w:p>
        </w:tc>
        <w:tc>
          <w:tcPr>
            <w:tcW w:w="6523" w:type="dxa"/>
            <w:gridSpan w:val="2"/>
            <w:vMerge w:val="continue"/>
            <w:vAlign w:val="center"/>
          </w:tcPr>
          <w:p>
            <w:pPr>
              <w:spacing w:line="360" w:lineRule="exact"/>
              <w:rPr>
                <w:rFonts w:hAnsi="宋体"/>
                <w:color w:val="000000" w:themeColor="text1"/>
                <w:szCs w:val="21"/>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gridSpan w:val="2"/>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详见附表1</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没有发生“</w:t>
            </w:r>
            <w:r>
              <w:rPr>
                <w:rFonts w:hint="eastAsia" w:ascii="宋体" w:hAnsi="宋体" w:cs="宋体"/>
                <w:color w:val="000000"/>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8866" w:type="dxa"/>
            <w:gridSpan w:val="4"/>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gridSpan w:val="2"/>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w:t>
            </w:r>
          </w:p>
        </w:tc>
        <w:tc>
          <w:tcPr>
            <w:tcW w:w="6523" w:type="dxa"/>
            <w:gridSpan w:val="2"/>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质保期（如有）</w:t>
            </w:r>
          </w:p>
        </w:tc>
        <w:tc>
          <w:tcPr>
            <w:tcW w:w="6523" w:type="dxa"/>
            <w:gridSpan w:val="2"/>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6523" w:type="dxa"/>
            <w:gridSpan w:val="2"/>
            <w:tcBorders>
              <w:top w:val="single" w:color="auto" w:sz="4" w:space="0"/>
              <w:bottom w:val="single" w:color="auto" w:sz="4" w:space="0"/>
            </w:tcBorders>
            <w:vAlign w:val="center"/>
          </w:tcPr>
          <w:p>
            <w:pPr>
              <w:spacing w:line="3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权利义务</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tcBorders>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条款号</w:t>
            </w:r>
          </w:p>
        </w:tc>
        <w:tc>
          <w:tcPr>
            <w:tcW w:w="2343" w:type="dxa"/>
            <w:gridSpan w:val="2"/>
            <w:tcBorders>
              <w:bottom w:val="single" w:color="auto" w:sz="4" w:space="0"/>
            </w:tcBorders>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条款内容</w:t>
            </w:r>
          </w:p>
        </w:tc>
        <w:tc>
          <w:tcPr>
            <w:tcW w:w="6523" w:type="dxa"/>
            <w:gridSpan w:val="2"/>
            <w:tcBorders>
              <w:top w:val="single" w:color="auto" w:sz="4" w:space="0"/>
              <w:bottom w:val="single" w:color="auto" w:sz="4" w:space="0"/>
            </w:tcBorders>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编列内容</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2.2.1</w:t>
            </w: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权重构成（总权值为1）</w:t>
            </w:r>
          </w:p>
        </w:tc>
        <w:tc>
          <w:tcPr>
            <w:tcW w:w="6523" w:type="dxa"/>
            <w:gridSpan w:val="2"/>
            <w:tcBorders>
              <w:top w:val="single" w:color="auto" w:sz="4" w:space="0"/>
              <w:bottom w:val="single" w:color="auto" w:sz="4" w:space="0"/>
            </w:tcBorders>
            <w:vAlign w:val="center"/>
          </w:tcPr>
          <w:p>
            <w:pPr>
              <w:spacing w:line="360" w:lineRule="exact"/>
              <w:jc w:val="left"/>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商务技术</w:t>
            </w:r>
            <w:r>
              <w:rPr>
                <w:rFonts w:hint="eastAsia" w:ascii="宋体" w:hAnsi="宋体" w:cs="宋体"/>
                <w:color w:val="000000" w:themeColor="text1"/>
                <w:szCs w:val="21"/>
                <w:lang w:val="en-US" w:eastAsia="zh-CN"/>
                <w14:textFill>
                  <w14:solidFill>
                    <w14:schemeClr w14:val="tx1"/>
                  </w14:solidFill>
                </w14:textFill>
              </w:rPr>
              <w:t>0.7</w:t>
            </w:r>
            <w:r>
              <w:rPr>
                <w:rFonts w:hint="eastAsia" w:ascii="宋体" w:hAnsi="宋体" w:cs="宋体"/>
                <w:color w:val="000000" w:themeColor="text1"/>
                <w:szCs w:val="21"/>
                <w14:textFill>
                  <w14:solidFill>
                    <w14:schemeClr w14:val="tx1"/>
                  </w14:solidFill>
                </w14:textFill>
              </w:rPr>
              <w:t>，报价</w:t>
            </w:r>
            <w:r>
              <w:rPr>
                <w:rFonts w:hint="eastAsia" w:ascii="宋体" w:hAnsi="宋体" w:cs="宋体"/>
                <w:color w:val="000000" w:themeColor="text1"/>
                <w:szCs w:val="21"/>
                <w:lang w:val="en-US" w:eastAsia="zh-CN"/>
                <w14:textFill>
                  <w14:solidFill>
                    <w14:schemeClr w14:val="tx1"/>
                  </w14:solidFill>
                </w14:textFill>
              </w:rPr>
              <w:t>0.3</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评审因素</w:t>
            </w:r>
          </w:p>
        </w:tc>
        <w:tc>
          <w:tcPr>
            <w:tcW w:w="825" w:type="dxa"/>
            <w:tcBorders>
              <w:top w:val="single" w:color="auto" w:sz="4" w:space="0"/>
              <w:bottom w:val="single" w:color="auto" w:sz="4" w:space="0"/>
            </w:tcBorders>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c>
          <w:tcPr>
            <w:tcW w:w="5698" w:type="dxa"/>
            <w:tcBorders>
              <w:top w:val="single" w:color="auto" w:sz="4" w:space="0"/>
              <w:bottom w:val="single" w:color="auto" w:sz="4" w:space="0"/>
            </w:tcBorders>
            <w:vAlign w:val="center"/>
          </w:tcPr>
          <w:p>
            <w:pPr>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2.2.2（1）</w:t>
            </w:r>
          </w:p>
        </w:tc>
        <w:tc>
          <w:tcPr>
            <w:tcW w:w="8866" w:type="dxa"/>
            <w:gridSpan w:val="4"/>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商务技术详细评分标准（采用计分评审方式）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vAlign w:val="center"/>
          </w:tcPr>
          <w:p>
            <w:pPr>
              <w:spacing w:line="360" w:lineRule="exact"/>
              <w:jc w:val="center"/>
              <w:rPr>
                <w:rFonts w:hint="eastAsia" w:eastAsia="宋体"/>
                <w:lang w:eastAsia="zh-CN"/>
              </w:rPr>
            </w:pPr>
            <w:r>
              <w:rPr>
                <w:rFonts w:hint="eastAsia" w:ascii="宋体" w:hAnsi="宋体" w:cs="宋体"/>
                <w:kern w:val="0"/>
                <w:szCs w:val="21"/>
              </w:rPr>
              <w:t>附表</w:t>
            </w:r>
            <w:r>
              <w:rPr>
                <w:rFonts w:hint="eastAsia" w:ascii="宋体" w:hAnsi="宋体" w:cs="宋体"/>
                <w:kern w:val="0"/>
                <w:szCs w:val="21"/>
                <w:lang w:val="en-US" w:eastAsia="zh-CN"/>
              </w:rPr>
              <w:t>2</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w:t>
            </w: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14:textFill>
                  <w14:solidFill>
                    <w14:schemeClr w14:val="tx1"/>
                  </w14:solidFill>
                </w14:textFill>
              </w:rPr>
              <w:t>）</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vAlign w:val="center"/>
          </w:tcPr>
          <w:p>
            <w:pPr>
              <w:spacing w:line="300" w:lineRule="exact"/>
              <w:jc w:val="center"/>
              <w:rPr>
                <w:rFonts w:hint="eastAsia" w:eastAsia="宋体"/>
                <w:color w:val="000000" w:themeColor="text1"/>
                <w:sz w:val="20"/>
                <w:szCs w:val="20"/>
                <w:lang w:eastAsia="zh-CN"/>
                <w14:textFill>
                  <w14:solidFill>
                    <w14:schemeClr w14:val="tx1"/>
                  </w14:solidFill>
                </w14:textFill>
              </w:rPr>
            </w:pPr>
            <w:r>
              <w:rPr>
                <w:rFonts w:hint="eastAsia" w:ascii="宋体" w:hAnsi="宋体" w:cs="宋体"/>
                <w:kern w:val="0"/>
                <w:szCs w:val="21"/>
              </w:rPr>
              <w:t>附表</w:t>
            </w:r>
            <w:r>
              <w:rPr>
                <w:rFonts w:hint="eastAsia" w:ascii="宋体" w:hAnsi="宋体" w:cs="宋体"/>
                <w:kern w:val="0"/>
                <w:szCs w:val="21"/>
                <w:lang w:val="en-US" w:eastAsia="zh-CN"/>
              </w:rPr>
              <w:t>3</w:t>
            </w:r>
          </w:p>
        </w:tc>
      </w:tr>
    </w:tbl>
    <w:p>
      <w:pPr>
        <w:spacing w:line="560" w:lineRule="exact"/>
        <w:jc w:val="center"/>
        <w:rPr>
          <w:rFonts w:ascii="宋体" w:hAnsi="宋体"/>
          <w:b/>
          <w:color w:val="000000" w:themeColor="text1"/>
          <w:sz w:val="32"/>
          <w:szCs w:val="32"/>
          <w14:textFill>
            <w14:solidFill>
              <w14:schemeClr w14:val="tx1"/>
            </w14:solidFill>
          </w14:textFill>
        </w:rPr>
      </w:pPr>
    </w:p>
    <w:p>
      <w:pPr>
        <w:pStyle w:val="43"/>
      </w:pPr>
      <w:r>
        <w:br w:type="page"/>
      </w:r>
    </w:p>
    <w:p>
      <w:pPr>
        <w:rPr>
          <w:rFonts w:hint="eastAsia" w:hAnsi="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附表1</w:t>
      </w:r>
    </w:p>
    <w:tbl>
      <w:tblPr>
        <w:tblStyle w:val="44"/>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64"/>
        <w:gridCol w:w="517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序号</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岗位</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数量</w:t>
            </w:r>
            <w:r>
              <w:rPr>
                <w:rFonts w:hint="eastAsia" w:ascii="宋体" w:hAnsi="宋体" w:cs="宋体"/>
                <w:b w:val="0"/>
                <w:bCs/>
                <w:color w:val="auto"/>
                <w:sz w:val="22"/>
                <w:szCs w:val="22"/>
                <w:lang w:eastAsia="zh-CN"/>
              </w:rPr>
              <w:t>（</w:t>
            </w:r>
            <w:r>
              <w:rPr>
                <w:rFonts w:hint="eastAsia" w:ascii="宋体" w:hAnsi="宋体" w:cs="宋体"/>
                <w:b w:val="0"/>
                <w:bCs/>
                <w:color w:val="auto"/>
                <w:sz w:val="22"/>
                <w:szCs w:val="22"/>
                <w:lang w:val="en-US" w:eastAsia="zh-CN"/>
              </w:rPr>
              <w:t>人</w:t>
            </w:r>
            <w:r>
              <w:rPr>
                <w:rFonts w:hint="eastAsia" w:ascii="宋体" w:hAnsi="宋体" w:cs="宋体"/>
                <w:b w:val="0"/>
                <w:bCs/>
                <w:color w:val="auto"/>
                <w:sz w:val="22"/>
                <w:szCs w:val="22"/>
                <w:lang w:eastAsia="zh-CN"/>
              </w:rPr>
              <w:t>）</w:t>
            </w:r>
          </w:p>
        </w:tc>
        <w:tc>
          <w:tcPr>
            <w:tcW w:w="517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配备要求</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主厨（兼任食堂经理）</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51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2.健康证</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2</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Cs w:val="21"/>
                <w:lang w:eastAsia="zh-CN"/>
              </w:rPr>
              <w:t>厨师</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Cs w:val="21"/>
                <w:lang w:val="en-US" w:eastAsia="zh-CN"/>
              </w:rPr>
              <w:t>1</w:t>
            </w:r>
          </w:p>
        </w:tc>
        <w:tc>
          <w:tcPr>
            <w:tcW w:w="51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2.健康证</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3</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szCs w:val="21"/>
                <w:lang w:val="en-US" w:eastAsia="zh-CN"/>
              </w:rPr>
              <w:t>助厨</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p>
        </w:tc>
        <w:tc>
          <w:tcPr>
            <w:tcW w:w="517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健康证</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rPr>
            </w:pPr>
          </w:p>
        </w:tc>
      </w:tr>
    </w:tbl>
    <w:p>
      <w:pPr>
        <w:rPr>
          <w:rFonts w:hint="eastAsia" w:ascii="宋体" w:hAnsi="宋体" w:cs="宋体"/>
          <w:kern w:val="0"/>
          <w:szCs w:val="21"/>
        </w:rPr>
      </w:pPr>
      <w:r>
        <w:rPr>
          <w:rFonts w:hint="eastAsia" w:ascii="宋体" w:hAnsi="宋体" w:cs="宋体"/>
          <w:kern w:val="0"/>
          <w:szCs w:val="21"/>
        </w:rPr>
        <w:br w:type="page"/>
      </w:r>
    </w:p>
    <w:p>
      <w:pPr>
        <w:spacing w:line="360" w:lineRule="exact"/>
        <w:jc w:val="left"/>
        <w:rPr>
          <w:rFonts w:ascii="宋体" w:hAnsi="宋体" w:cs="宋体"/>
          <w:kern w:val="0"/>
          <w:szCs w:val="21"/>
        </w:rPr>
      </w:pPr>
      <w:r>
        <w:rPr>
          <w:rFonts w:hint="eastAsia" w:ascii="宋体" w:hAnsi="宋体" w:cs="宋体"/>
          <w:kern w:val="0"/>
          <w:szCs w:val="21"/>
        </w:rPr>
        <w:t>附表</w:t>
      </w:r>
      <w:r>
        <w:rPr>
          <w:rFonts w:hint="eastAsia" w:ascii="宋体" w:hAnsi="宋体" w:cs="宋体"/>
          <w:kern w:val="0"/>
          <w:szCs w:val="21"/>
          <w:lang w:val="en-US" w:eastAsia="zh-CN"/>
        </w:rPr>
        <w:t>2</w:t>
      </w:r>
    </w:p>
    <w:p>
      <w:pPr>
        <w:spacing w:line="360" w:lineRule="exact"/>
        <w:jc w:val="center"/>
        <w:rPr>
          <w:rFonts w:ascii="宋体" w:hAnsi="宋体" w:cs="宋体"/>
          <w:b/>
          <w:sz w:val="32"/>
          <w:szCs w:val="32"/>
        </w:rPr>
      </w:pPr>
      <w:r>
        <w:rPr>
          <w:rFonts w:hint="eastAsia" w:ascii="宋体" w:hAnsi="宋体" w:cs="宋体"/>
          <w:b/>
          <w:sz w:val="32"/>
          <w:szCs w:val="32"/>
        </w:rPr>
        <w:t>商务技术评分表</w:t>
      </w:r>
    </w:p>
    <w:tbl>
      <w:tblPr>
        <w:tblStyle w:val="4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55"/>
        <w:gridCol w:w="1395"/>
        <w:gridCol w:w="75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5"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序号</w:t>
            </w:r>
          </w:p>
        </w:tc>
        <w:tc>
          <w:tcPr>
            <w:tcW w:w="2150" w:type="dxa"/>
            <w:gridSpan w:val="2"/>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评审因素</w:t>
            </w:r>
          </w:p>
        </w:tc>
        <w:tc>
          <w:tcPr>
            <w:tcW w:w="753"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分值</w:t>
            </w:r>
          </w:p>
        </w:tc>
        <w:tc>
          <w:tcPr>
            <w:tcW w:w="5601"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05" w:type="dxa"/>
            <w:vAlign w:val="center"/>
          </w:tcPr>
          <w:p>
            <w:pPr>
              <w:jc w:val="center"/>
              <w:rPr>
                <w:rFonts w:ascii="宋体" w:hAnsi="宋体" w:cs="宋体"/>
              </w:rPr>
            </w:pPr>
            <w:r>
              <w:rPr>
                <w:rFonts w:hint="eastAsia" w:ascii="宋体" w:hAnsi="宋体" w:cs="宋体"/>
              </w:rPr>
              <w:t>1</w:t>
            </w:r>
          </w:p>
        </w:tc>
        <w:tc>
          <w:tcPr>
            <w:tcW w:w="755" w:type="dxa"/>
            <w:vMerge w:val="restart"/>
            <w:vAlign w:val="center"/>
          </w:tcPr>
          <w:p>
            <w:pPr>
              <w:jc w:val="center"/>
              <w:rPr>
                <w:rFonts w:ascii="宋体" w:hAnsi="宋体" w:cs="宋体"/>
              </w:rPr>
            </w:pPr>
            <w:r>
              <w:rPr>
                <w:rFonts w:hint="eastAsia" w:ascii="宋体" w:hAnsi="宋体" w:cs="宋体"/>
              </w:rPr>
              <w:t>商务部分（30分）</w:t>
            </w:r>
          </w:p>
        </w:tc>
        <w:tc>
          <w:tcPr>
            <w:tcW w:w="1395" w:type="dxa"/>
            <w:vAlign w:val="center"/>
          </w:tcPr>
          <w:p>
            <w:pPr>
              <w:spacing w:line="360" w:lineRule="exact"/>
              <w:jc w:val="center"/>
              <w:rPr>
                <w:rFonts w:ascii="宋体" w:hAnsi="宋体" w:cs="宋体"/>
              </w:rPr>
            </w:pPr>
            <w:r>
              <w:rPr>
                <w:rFonts w:hint="eastAsia" w:ascii="宋体" w:hAnsi="宋体" w:cs="宋体"/>
              </w:rPr>
              <w:t>响应文件的编制</w:t>
            </w:r>
          </w:p>
        </w:tc>
        <w:tc>
          <w:tcPr>
            <w:tcW w:w="753" w:type="dxa"/>
            <w:vAlign w:val="center"/>
          </w:tcPr>
          <w:p>
            <w:pPr>
              <w:spacing w:line="360" w:lineRule="exact"/>
              <w:jc w:val="center"/>
              <w:rPr>
                <w:rFonts w:ascii="宋体" w:hAnsi="宋体" w:cs="宋体"/>
              </w:rPr>
            </w:pPr>
            <w:r>
              <w:rPr>
                <w:rFonts w:hint="eastAsia" w:ascii="宋体" w:hAnsi="宋体" w:cs="宋体"/>
              </w:rPr>
              <w:t>1</w:t>
            </w:r>
          </w:p>
        </w:tc>
        <w:tc>
          <w:tcPr>
            <w:tcW w:w="5601" w:type="dxa"/>
            <w:vAlign w:val="center"/>
          </w:tcPr>
          <w:p>
            <w:pPr>
              <w:adjustRightInd w:val="0"/>
              <w:snapToGrid w:val="0"/>
              <w:spacing w:line="360" w:lineRule="exact"/>
              <w:rPr>
                <w:rFonts w:ascii="宋体" w:hAnsi="宋体" w:cs="宋体"/>
                <w:iCs/>
              </w:rPr>
            </w:pPr>
            <w:r>
              <w:rPr>
                <w:rFonts w:hint="eastAsia" w:ascii="宋体" w:hAnsi="宋体" w:cs="宋体"/>
                <w:iCs/>
              </w:rPr>
              <w:t>完全满足采购文件并响应的得1分。</w:t>
            </w:r>
          </w:p>
          <w:p>
            <w:pPr>
              <w:tabs>
                <w:tab w:val="left" w:pos="1260"/>
              </w:tabs>
              <w:rPr>
                <w:rFonts w:ascii="宋体" w:hAnsi="宋体" w:cs="宋体"/>
              </w:rPr>
            </w:pPr>
            <w:r>
              <w:rPr>
                <w:rFonts w:hint="eastAsia" w:ascii="宋体" w:hAnsi="宋体" w:cs="宋体"/>
                <w:iCs/>
              </w:rPr>
              <w:t>存在细微偏差的，每处扣0.2分，扣完为止。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05" w:type="dxa"/>
            <w:vAlign w:val="center"/>
          </w:tcPr>
          <w:p>
            <w:pPr>
              <w:jc w:val="center"/>
              <w:rPr>
                <w:rFonts w:ascii="宋体" w:hAnsi="宋体" w:cs="宋体"/>
              </w:rPr>
            </w:pPr>
            <w:r>
              <w:rPr>
                <w:rFonts w:hint="eastAsia" w:ascii="宋体" w:hAnsi="宋体" w:cs="宋体"/>
              </w:rPr>
              <w:t>2</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Ansi="宋体" w:cs="宋体"/>
              </w:rPr>
              <w:t>供应商业绩</w:t>
            </w:r>
          </w:p>
        </w:tc>
        <w:tc>
          <w:tcPr>
            <w:tcW w:w="753" w:type="dxa"/>
            <w:vAlign w:val="center"/>
          </w:tcPr>
          <w:p>
            <w:pPr>
              <w:jc w:val="center"/>
              <w:rPr>
                <w:rFonts w:ascii="宋体" w:hAnsi="宋体" w:cs="宋体"/>
              </w:rPr>
            </w:pPr>
            <w:r>
              <w:rPr>
                <w:rFonts w:hint="eastAsia" w:ascii="宋体" w:hAnsi="宋体" w:cs="宋体"/>
              </w:rPr>
              <w:t>12</w:t>
            </w:r>
          </w:p>
        </w:tc>
        <w:tc>
          <w:tcPr>
            <w:tcW w:w="5601" w:type="dxa"/>
            <w:vAlign w:val="center"/>
          </w:tcPr>
          <w:p>
            <w:pPr>
              <w:pStyle w:val="18"/>
              <w:spacing w:after="0"/>
              <w:rPr>
                <w:rFonts w:hAnsi="宋体" w:cs="宋体"/>
              </w:rPr>
            </w:pPr>
            <w:r>
              <w:rPr>
                <w:rFonts w:hAnsi="宋体" w:cs="宋体"/>
                <w:iCs/>
              </w:rPr>
              <w:t>供应商具有1个加分业绩得6分。每增加1个加分业绩加3分，最多加6分。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705" w:type="dxa"/>
            <w:vAlign w:val="center"/>
          </w:tcPr>
          <w:p>
            <w:pPr>
              <w:jc w:val="center"/>
              <w:rPr>
                <w:rFonts w:ascii="宋体" w:hAnsi="宋体" w:cs="宋体"/>
              </w:rPr>
            </w:pPr>
            <w:r>
              <w:rPr>
                <w:rFonts w:hint="eastAsia" w:ascii="宋体" w:hAnsi="宋体" w:cs="宋体"/>
              </w:rPr>
              <w:t>3</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综合实力</w:t>
            </w:r>
          </w:p>
        </w:tc>
        <w:tc>
          <w:tcPr>
            <w:tcW w:w="753" w:type="dxa"/>
            <w:vAlign w:val="center"/>
          </w:tcPr>
          <w:p>
            <w:pPr>
              <w:jc w:val="center"/>
              <w:rPr>
                <w:rFonts w:ascii="宋体" w:hAnsi="宋体" w:cs="宋体"/>
              </w:rPr>
            </w:pPr>
            <w:r>
              <w:rPr>
                <w:rFonts w:hint="eastAsia" w:ascii="宋体" w:hAnsi="宋体" w:cs="宋体"/>
              </w:rPr>
              <w:t>4</w:t>
            </w:r>
          </w:p>
        </w:tc>
        <w:tc>
          <w:tcPr>
            <w:tcW w:w="5601" w:type="dxa"/>
            <w:vAlign w:val="center"/>
          </w:tcPr>
          <w:p>
            <w:pPr>
              <w:pStyle w:val="18"/>
              <w:spacing w:after="0"/>
              <w:rPr>
                <w:rFonts w:hAnsi="宋体" w:cs="宋体"/>
              </w:rPr>
            </w:pPr>
            <w:r>
              <w:rPr>
                <w:rFonts w:hAnsi="宋体" w:cs="宋体"/>
              </w:rPr>
              <w:t>(1)</w:t>
            </w:r>
            <w:r>
              <w:rPr>
                <w:rFonts w:hAnsi="宋体" w:cs="宋体"/>
                <w:iCs/>
              </w:rPr>
              <w:t>具备有效的质量管理体系认证证书的，加1分。</w:t>
            </w:r>
          </w:p>
          <w:p>
            <w:pPr>
              <w:pStyle w:val="18"/>
              <w:spacing w:after="0"/>
              <w:rPr>
                <w:rFonts w:hAnsi="宋体" w:cs="宋体"/>
              </w:rPr>
            </w:pPr>
            <w:r>
              <w:rPr>
                <w:rFonts w:hAnsi="宋体" w:cs="宋体"/>
              </w:rPr>
              <w:t>(2)具备有效的食品安全管理体系认证证书的，</w:t>
            </w:r>
            <w:r>
              <w:rPr>
                <w:rFonts w:hAnsi="宋体" w:cs="宋体"/>
                <w:iCs/>
              </w:rPr>
              <w:t>加</w:t>
            </w:r>
            <w:r>
              <w:rPr>
                <w:rFonts w:hAnsi="宋体" w:cs="宋体"/>
              </w:rPr>
              <w:t>1分。</w:t>
            </w:r>
          </w:p>
          <w:p>
            <w:pPr>
              <w:pStyle w:val="18"/>
              <w:spacing w:after="0"/>
              <w:rPr>
                <w:rFonts w:hAnsi="宋体" w:cs="宋体"/>
              </w:rPr>
            </w:pPr>
            <w:r>
              <w:rPr>
                <w:rFonts w:hAnsi="宋体" w:cs="宋体"/>
              </w:rPr>
              <w:t>(3)具备有效的环境管理体系认证证书的，</w:t>
            </w:r>
            <w:r>
              <w:rPr>
                <w:rFonts w:hAnsi="宋体" w:cs="宋体"/>
                <w:iCs/>
              </w:rPr>
              <w:t>加</w:t>
            </w:r>
            <w:r>
              <w:rPr>
                <w:rFonts w:hAnsi="宋体" w:cs="宋体"/>
              </w:rPr>
              <w:t>1分。</w:t>
            </w:r>
          </w:p>
          <w:p>
            <w:pPr>
              <w:pStyle w:val="18"/>
              <w:spacing w:after="0"/>
              <w:rPr>
                <w:rFonts w:hAnsi="宋体" w:cs="宋体"/>
              </w:rPr>
            </w:pPr>
            <w:r>
              <w:rPr>
                <w:rFonts w:hAnsi="宋体" w:cs="宋体"/>
              </w:rPr>
              <w:t>(4)具备有效的职业健康安全管理体系认证证书的，</w:t>
            </w:r>
            <w:r>
              <w:rPr>
                <w:rFonts w:hAnsi="宋体" w:cs="宋体"/>
                <w:iCs/>
              </w:rPr>
              <w:t>加</w:t>
            </w:r>
            <w:r>
              <w:rPr>
                <w:rFonts w:hAnsi="宋体" w:cs="宋体"/>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705" w:type="dxa"/>
            <w:vAlign w:val="center"/>
          </w:tcPr>
          <w:p>
            <w:pPr>
              <w:jc w:val="center"/>
              <w:rPr>
                <w:rFonts w:ascii="宋体" w:hAnsi="宋体" w:cs="宋体"/>
              </w:rPr>
            </w:pPr>
            <w:r>
              <w:rPr>
                <w:rFonts w:hint="eastAsia" w:ascii="宋体" w:hAnsi="宋体" w:cs="宋体"/>
              </w:rPr>
              <w:t>4</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人员配置</w:t>
            </w:r>
          </w:p>
        </w:tc>
        <w:tc>
          <w:tcPr>
            <w:tcW w:w="753" w:type="dxa"/>
            <w:vAlign w:val="center"/>
          </w:tcPr>
          <w:p>
            <w:pPr>
              <w:jc w:val="center"/>
              <w:rPr>
                <w:rFonts w:ascii="宋体" w:hAnsi="宋体" w:cs="宋体"/>
              </w:rPr>
            </w:pPr>
            <w:r>
              <w:rPr>
                <w:rFonts w:hint="eastAsia" w:ascii="宋体" w:hAnsi="宋体" w:cs="宋体"/>
              </w:rPr>
              <w:t>13</w:t>
            </w:r>
          </w:p>
        </w:tc>
        <w:tc>
          <w:tcPr>
            <w:tcW w:w="5601" w:type="dxa"/>
            <w:vAlign w:val="center"/>
          </w:tcPr>
          <w:p>
            <w:pPr>
              <w:adjustRightInd w:val="0"/>
              <w:snapToGrid w:val="0"/>
              <w:spacing w:line="300" w:lineRule="exact"/>
              <w:jc w:val="left"/>
              <w:rPr>
                <w:rFonts w:ascii="宋体" w:hAnsi="宋体" w:cs="宋体"/>
                <w:color w:val="000000"/>
              </w:rPr>
            </w:pPr>
            <w:r>
              <w:rPr>
                <w:rFonts w:hint="eastAsia" w:ascii="宋体" w:hAnsi="宋体" w:cs="宋体"/>
                <w:color w:val="000000"/>
              </w:rPr>
              <w:t>拟配备的团队人员满足《人员配备要求表》（附后）的，得基本分5分；在满足《人员配备要求表》的基础上：</w:t>
            </w:r>
          </w:p>
          <w:p>
            <w:pPr>
              <w:rPr>
                <w:rFonts w:ascii="宋体" w:hAnsi="宋体" w:cs="宋体"/>
                <w:color w:val="000000"/>
              </w:rPr>
            </w:pPr>
            <w:r>
              <w:rPr>
                <w:rFonts w:hint="eastAsia" w:ascii="宋体" w:hAnsi="宋体" w:cs="宋体"/>
              </w:rPr>
              <w:t>(1)</w:t>
            </w:r>
            <w:r>
              <w:rPr>
                <w:rFonts w:hint="eastAsia" w:ascii="宋体" w:hAnsi="宋体" w:cs="宋体"/>
                <w:color w:val="000000"/>
              </w:rPr>
              <w:t>项目经理具有中级（含）以上餐饮业职业经理人证书的，加1分；</w:t>
            </w:r>
          </w:p>
          <w:p>
            <w:pPr>
              <w:rPr>
                <w:rFonts w:ascii="宋体" w:hAnsi="宋体" w:cs="宋体"/>
                <w:color w:val="000000"/>
              </w:rPr>
            </w:pPr>
            <w:r>
              <w:rPr>
                <w:rFonts w:hint="eastAsia" w:ascii="宋体" w:hAnsi="宋体" w:cs="宋体"/>
              </w:rPr>
              <w:t>(2)</w:t>
            </w:r>
            <w:r>
              <w:rPr>
                <w:rFonts w:hint="eastAsia" w:ascii="宋体" w:hAnsi="宋体" w:cs="宋体"/>
                <w:color w:val="000000"/>
              </w:rPr>
              <w:t>所配备的厨师中每有1人具有人力资源和社会保障部职业技能鉴定指导中心颁发的中式烹调师中级（四级）（含）以上</w:t>
            </w:r>
            <w:r>
              <w:rPr>
                <w:rFonts w:hint="eastAsia" w:ascii="宋体" w:hAnsi="宋体" w:cs="宋体"/>
                <w:kern w:val="0"/>
              </w:rPr>
              <w:t>职业资格证书</w:t>
            </w:r>
            <w:r>
              <w:rPr>
                <w:rFonts w:hint="eastAsia" w:ascii="宋体" w:hAnsi="宋体" w:cs="宋体"/>
                <w:color w:val="000000"/>
              </w:rPr>
              <w:t>的，加2分，最多加4分，同一人不重复计分；</w:t>
            </w:r>
          </w:p>
          <w:p>
            <w:pPr>
              <w:rPr>
                <w:rFonts w:ascii="宋体" w:hAnsi="宋体" w:cs="宋体"/>
                <w:b/>
              </w:rPr>
            </w:pPr>
            <w:r>
              <w:rPr>
                <w:rFonts w:hint="eastAsia" w:ascii="宋体" w:hAnsi="宋体" w:cs="宋体"/>
              </w:rPr>
              <w:t>(3)</w:t>
            </w:r>
            <w:r>
              <w:rPr>
                <w:rFonts w:ascii="宋体" w:hAnsi="宋体" w:cs="宋体"/>
              </w:rPr>
              <w:t>团队人员中每有1人具有营养师证或消防设施操作员证或食品安全管理员证的加1分，最多加</w:t>
            </w:r>
            <w:r>
              <w:rPr>
                <w:rFonts w:hint="eastAsia" w:ascii="宋体" w:hAnsi="宋体" w:cs="宋体"/>
              </w:rPr>
              <w:t>3</w:t>
            </w:r>
            <w:r>
              <w:rPr>
                <w:rFonts w:ascii="宋体" w:hAnsi="宋体" w:cs="宋体"/>
              </w:rPr>
              <w:t>分；</w:t>
            </w:r>
            <w:r>
              <w:rPr>
                <w:rFonts w:ascii="宋体" w:hAnsi="宋体" w:cs="宋体"/>
                <w:highlight w:val="none"/>
              </w:rPr>
              <w:t>同一证书不累计加分，同一人可累计加分。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705" w:type="dxa"/>
            <w:vAlign w:val="center"/>
          </w:tcPr>
          <w:p>
            <w:pPr>
              <w:jc w:val="center"/>
              <w:rPr>
                <w:rFonts w:ascii="宋体" w:hAnsi="宋体" w:cs="宋体"/>
              </w:rPr>
            </w:pPr>
            <w:r>
              <w:rPr>
                <w:rFonts w:hint="eastAsia" w:ascii="宋体" w:hAnsi="宋体" w:cs="宋体"/>
              </w:rPr>
              <w:t>5</w:t>
            </w:r>
          </w:p>
        </w:tc>
        <w:tc>
          <w:tcPr>
            <w:tcW w:w="755" w:type="dxa"/>
            <w:vMerge w:val="restart"/>
            <w:vAlign w:val="center"/>
          </w:tcPr>
          <w:p>
            <w:pPr>
              <w:jc w:val="center"/>
              <w:rPr>
                <w:rFonts w:ascii="宋体" w:hAnsi="宋体" w:cs="宋体"/>
              </w:rPr>
            </w:pPr>
            <w:r>
              <w:rPr>
                <w:rFonts w:hint="eastAsia" w:ascii="宋体" w:hAnsi="宋体" w:cs="宋体"/>
              </w:rPr>
              <w:t>技术部分（40分）</w:t>
            </w:r>
          </w:p>
        </w:tc>
        <w:tc>
          <w:tcPr>
            <w:tcW w:w="1395" w:type="dxa"/>
            <w:vAlign w:val="center"/>
          </w:tcPr>
          <w:p>
            <w:pPr>
              <w:jc w:val="center"/>
              <w:rPr>
                <w:rFonts w:ascii="宋体" w:hAnsi="宋体" w:cs="宋体"/>
              </w:rPr>
            </w:pPr>
            <w:r>
              <w:rPr>
                <w:rFonts w:hint="eastAsia" w:ascii="宋体" w:hAnsi="宋体" w:cs="宋体"/>
              </w:rPr>
              <w:t>安全管理方案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的食品安全、生产安全的风险分析及防控制定安全管理方案。评委根据企业提供的方案，重点考察企业方案对食堂风险的分析，对食品安全和食堂现场安全的保障措施及应急预案的科学合理性，考察企业在安全方面的内控机制及防控能力。</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705" w:type="dxa"/>
            <w:vAlign w:val="center"/>
          </w:tcPr>
          <w:p>
            <w:pPr>
              <w:jc w:val="center"/>
              <w:rPr>
                <w:rFonts w:ascii="宋体" w:hAnsi="宋体" w:cs="宋体"/>
              </w:rPr>
            </w:pPr>
            <w:r>
              <w:rPr>
                <w:rFonts w:hint="eastAsia" w:ascii="宋体" w:hAnsi="宋体" w:cs="宋体"/>
              </w:rPr>
              <w:t>6</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服务管理方案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rPr>
                <w:rFonts w:ascii="宋体" w:hAnsi="宋体" w:cs="宋体"/>
              </w:rPr>
            </w:pPr>
            <w:r>
              <w:rPr>
                <w:rFonts w:hint="eastAsia" w:ascii="宋体" w:hAnsi="宋体" w:cs="宋体"/>
              </w:rPr>
              <w:t>针对本项目设计一套服务方案，制定可行的产品质量及价格控制的服务管理方案。评委根据企业提供的方案，重点考察企业对餐厅服务的定位、餐厅服务措施、餐厅服务的流程设计、包厢公务接待以及相关服务承诺等方面内容。</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705" w:type="dxa"/>
            <w:vAlign w:val="center"/>
          </w:tcPr>
          <w:p>
            <w:pPr>
              <w:jc w:val="center"/>
              <w:rPr>
                <w:rFonts w:ascii="宋体" w:hAnsi="宋体" w:cs="宋体"/>
              </w:rPr>
            </w:pPr>
            <w:r>
              <w:rPr>
                <w:rFonts w:hint="eastAsia" w:ascii="宋体" w:hAnsi="宋体" w:cs="宋体"/>
              </w:rPr>
              <w:t>7</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综合管理方案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针对本项目设计一套整体可行的综合管理方案。包括服务时间、人员管理、窗口开设率、花色品种以及提供特色服务设计可行性方案。评委综合评价方案，根据方案的完整性及企业对该食堂服务需求的把握。</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5" w:type="dxa"/>
            <w:vAlign w:val="center"/>
          </w:tcPr>
          <w:p>
            <w:pPr>
              <w:jc w:val="center"/>
              <w:rPr>
                <w:rFonts w:ascii="宋体" w:hAnsi="宋体" w:cs="宋体"/>
              </w:rPr>
            </w:pPr>
            <w:r>
              <w:rPr>
                <w:rFonts w:hint="eastAsia" w:ascii="宋体" w:hAnsi="宋体" w:cs="宋体"/>
              </w:rPr>
              <w:t>8</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卫生管理方案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针对本项目制定卫生管理方案。评委根据企业提供的方案，重点考察企业方案对食堂卫生区域责任制度、卫生考核标准等方面内容。</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5" w:type="dxa"/>
            <w:vAlign w:val="center"/>
          </w:tcPr>
          <w:p>
            <w:pPr>
              <w:jc w:val="center"/>
              <w:rPr>
                <w:rFonts w:ascii="宋体" w:hAnsi="宋体" w:cs="宋体"/>
              </w:rPr>
            </w:pPr>
            <w:r>
              <w:rPr>
                <w:rFonts w:hint="eastAsia" w:ascii="宋体" w:hAnsi="宋体" w:cs="宋体"/>
              </w:rPr>
              <w:t>9</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应急管理方案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针对本项目制定投诉与事故处理方案。评委根据企业提供的方案，重点考察企业方案对食品安全事故处理、投诉处理流程及响应时间等方面内容。</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5" w:type="dxa"/>
            <w:vAlign w:val="center"/>
          </w:tcPr>
          <w:p>
            <w:pPr>
              <w:adjustRightInd w:val="0"/>
              <w:snapToGrid w:val="0"/>
              <w:spacing w:line="240" w:lineRule="atLeast"/>
              <w:jc w:val="center"/>
              <w:rPr>
                <w:rFonts w:ascii="宋体" w:hAnsi="宋体" w:cs="宋体"/>
                <w:b/>
                <w:bCs/>
              </w:rPr>
            </w:pPr>
            <w:r>
              <w:rPr>
                <w:rFonts w:hint="eastAsia" w:ascii="宋体" w:hAnsi="宋体" w:cs="宋体"/>
              </w:rPr>
              <w:t>10</w:t>
            </w:r>
          </w:p>
        </w:tc>
        <w:tc>
          <w:tcPr>
            <w:tcW w:w="2150" w:type="dxa"/>
            <w:gridSpan w:val="2"/>
            <w:vAlign w:val="center"/>
          </w:tcPr>
          <w:p>
            <w:pPr>
              <w:adjustRightInd w:val="0"/>
              <w:snapToGrid w:val="0"/>
              <w:spacing w:line="240" w:lineRule="atLeast"/>
              <w:jc w:val="center"/>
              <w:rPr>
                <w:rFonts w:ascii="宋体" w:hAnsi="宋体" w:cs="宋体"/>
              </w:rPr>
            </w:pPr>
            <w:r>
              <w:rPr>
                <w:rFonts w:hint="eastAsia" w:ascii="宋体" w:hAnsi="宋体" w:cs="宋体"/>
              </w:rPr>
              <w:t>合计</w:t>
            </w:r>
          </w:p>
        </w:tc>
        <w:tc>
          <w:tcPr>
            <w:tcW w:w="753" w:type="dxa"/>
            <w:vAlign w:val="center"/>
          </w:tcPr>
          <w:p>
            <w:pPr>
              <w:jc w:val="center"/>
              <w:rPr>
                <w:rFonts w:ascii="宋体" w:hAnsi="宋体" w:cs="宋体"/>
              </w:rPr>
            </w:pPr>
            <w:r>
              <w:rPr>
                <w:rFonts w:hint="eastAsia" w:ascii="宋体" w:hAnsi="宋体" w:cs="宋体"/>
              </w:rPr>
              <w:t>70</w:t>
            </w:r>
          </w:p>
        </w:tc>
        <w:tc>
          <w:tcPr>
            <w:tcW w:w="5601" w:type="dxa"/>
            <w:vAlign w:val="center"/>
          </w:tcPr>
          <w:p>
            <w:pPr>
              <w:rPr>
                <w:rFonts w:ascii="宋体" w:hAnsi="宋体" w:cs="宋体"/>
              </w:rPr>
            </w:pPr>
          </w:p>
        </w:tc>
      </w:tr>
    </w:tbl>
    <w:p>
      <w:pPr>
        <w:pStyle w:val="2"/>
      </w:pPr>
    </w:p>
    <w:p>
      <w:pPr>
        <w:spacing w:line="360" w:lineRule="exact"/>
        <w:rPr>
          <w:rFonts w:ascii="宋体" w:hAnsi="宋体" w:cs="宋体"/>
          <w:b/>
          <w:color w:val="000000"/>
        </w:rPr>
      </w:pPr>
      <w:r>
        <w:rPr>
          <w:rFonts w:hint="eastAsia" w:ascii="宋体" w:hAnsi="宋体" w:cs="宋体"/>
          <w:b/>
          <w:color w:val="000000"/>
        </w:rPr>
        <w:t>评审说明：</w:t>
      </w:r>
    </w:p>
    <w:p>
      <w:pPr>
        <w:ind w:firstLine="420" w:firstLineChars="200"/>
        <w:rPr>
          <w:rFonts w:ascii="宋体" w:hAnsi="宋体" w:cs="宋体"/>
        </w:rPr>
      </w:pPr>
      <w:r>
        <w:rPr>
          <w:rFonts w:hint="eastAsia" w:ascii="宋体" w:hAnsi="宋体" w:cs="宋体"/>
        </w:rPr>
        <w:t>1.细微偏差是指响应文件实质性响应了竞争性采购文件要求，但在个别地方存在漏项或者提供了不完整的信息和数据，或者响应文件格式等地方存在与竞争性采购文件规定不完全一致等情况，并且补正这些遗漏或者不完整不会对其他供应商造成不公平的结果。细微偏差不影响响应文件的有效性。</w:t>
      </w:r>
    </w:p>
    <w:p>
      <w:pPr>
        <w:widowControl/>
        <w:ind w:firstLine="420" w:firstLineChars="200"/>
        <w:jc w:val="left"/>
        <w:rPr>
          <w:rFonts w:ascii="宋体" w:hAnsi="宋体" w:cs="宋体"/>
          <w:color w:val="000000"/>
        </w:rPr>
      </w:pPr>
      <w:r>
        <w:rPr>
          <w:rFonts w:hint="eastAsia" w:ascii="宋体" w:hAnsi="宋体" w:cs="宋体"/>
        </w:rPr>
        <w:t>2. 加分业绩是指供应商在提交响应文件截止之日前36个月内须具有单项合同就餐人数</w:t>
      </w:r>
      <w:r>
        <w:rPr>
          <w:rFonts w:ascii="宋体" w:hAnsi="宋体" w:cs="宋体"/>
        </w:rPr>
        <w:t>1</w:t>
      </w:r>
      <w:r>
        <w:rPr>
          <w:rFonts w:hint="eastAsia" w:ascii="宋体" w:hAnsi="宋体" w:cs="宋体"/>
        </w:rPr>
        <w:t>00人/天（含）以上的餐饮服务业绩。</w:t>
      </w:r>
      <w:r>
        <w:rPr>
          <w:rFonts w:hint="eastAsia" w:ascii="宋体" w:hAnsi="宋体" w:cs="宋体"/>
          <w:color w:val="000000"/>
        </w:rPr>
        <w:t>不接受联合体业绩、港澳台或境外业绩。</w:t>
      </w:r>
    </w:p>
    <w:p>
      <w:pPr>
        <w:widowControl/>
        <w:ind w:firstLine="420" w:firstLineChars="200"/>
        <w:jc w:val="left"/>
        <w:rPr>
          <w:rFonts w:ascii="宋体" w:hAnsi="宋体" w:cs="宋体"/>
        </w:rPr>
      </w:pPr>
      <w:r>
        <w:rPr>
          <w:rFonts w:hint="eastAsia" w:ascii="宋体" w:hAnsi="宋体" w:cs="宋体"/>
        </w:rPr>
        <w:t>业绩证明材料以同时提供的合同原件扫描件和可查验的增值税发票原件扫描件为准（均须加盖供应商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ind w:firstLine="420" w:firstLineChars="200"/>
        <w:rPr>
          <w:rFonts w:ascii="宋体" w:hAnsi="宋体" w:cs="宋体"/>
          <w:color w:val="000000"/>
        </w:rPr>
      </w:pPr>
      <w:r>
        <w:rPr>
          <w:rFonts w:hint="eastAsia" w:ascii="宋体" w:hAnsi="宋体" w:cs="宋体"/>
          <w:color w:val="000000"/>
        </w:rPr>
        <w:t>3.供应商获得质量、环境、食品安全、职业健康安全管理体系认证的，须提供有效的证书复印件。</w:t>
      </w:r>
    </w:p>
    <w:p>
      <w:pPr>
        <w:pStyle w:val="59"/>
        <w:ind w:firstLine="420" w:firstLineChars="200"/>
        <w:rPr>
          <w:rFonts w:ascii="宋体" w:hAnsi="宋体" w:eastAsia="宋体" w:cs="宋体"/>
          <w:kern w:val="2"/>
          <w:sz w:val="21"/>
          <w:szCs w:val="21"/>
        </w:rPr>
      </w:pPr>
      <w:r>
        <w:rPr>
          <w:rFonts w:hint="eastAsia" w:ascii="宋体" w:hAnsi="宋体" w:eastAsia="宋体" w:cs="宋体"/>
          <w:kern w:val="2"/>
          <w:sz w:val="21"/>
          <w:szCs w:val="21"/>
        </w:rPr>
        <w:t>4</w:t>
      </w:r>
      <w:r>
        <w:rPr>
          <w:rFonts w:ascii="宋体" w:hAnsi="宋体" w:eastAsia="宋体" w:cs="宋体"/>
          <w:kern w:val="2"/>
          <w:sz w:val="21"/>
          <w:szCs w:val="21"/>
        </w:rPr>
        <w:t>.</w:t>
      </w:r>
      <w:r>
        <w:rPr>
          <w:rFonts w:hint="eastAsia" w:ascii="宋体" w:hAnsi="宋体" w:eastAsia="宋体" w:cs="宋体"/>
          <w:kern w:val="2"/>
          <w:sz w:val="21"/>
          <w:szCs w:val="21"/>
        </w:rPr>
        <w:t>本项目《人员配备要求表》如下：</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1550"/>
        <w:gridCol w:w="348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rPr>
            </w:pPr>
            <w:r>
              <w:rPr>
                <w:rFonts w:hint="eastAsia" w:ascii="宋体" w:hAnsi="宋体" w:cs="宋体"/>
                <w:bCs/>
                <w:szCs w:val="21"/>
              </w:rPr>
              <w:t>岗位</w:t>
            </w:r>
          </w:p>
        </w:tc>
        <w:tc>
          <w:tcPr>
            <w:tcW w:w="1550"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rPr>
            </w:pPr>
            <w:r>
              <w:rPr>
                <w:rFonts w:hint="eastAsia" w:ascii="宋体" w:hAnsi="宋体" w:cs="宋体"/>
                <w:bCs/>
                <w:szCs w:val="21"/>
              </w:rPr>
              <w:t>人数</w:t>
            </w:r>
          </w:p>
        </w:tc>
        <w:tc>
          <w:tcPr>
            <w:tcW w:w="3487"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default" w:ascii="宋体" w:hAnsi="宋体" w:eastAsia="宋体" w:cs="宋体"/>
                <w:bCs/>
                <w:lang w:val="en-US" w:eastAsia="zh-CN"/>
              </w:rPr>
            </w:pPr>
            <w:r>
              <w:rPr>
                <w:rFonts w:hint="eastAsia" w:ascii="宋体" w:hAnsi="宋体" w:cs="宋体"/>
                <w:bCs/>
                <w:szCs w:val="21"/>
                <w:lang w:val="en-US" w:eastAsia="zh-CN"/>
              </w:rPr>
              <w:t>配置要求</w:t>
            </w:r>
          </w:p>
        </w:tc>
        <w:tc>
          <w:tcPr>
            <w:tcW w:w="1388"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eastAsia="宋体" w:cs="宋体"/>
                <w:bCs/>
                <w:lang w:eastAsia="zh-CN"/>
              </w:rPr>
            </w:pPr>
            <w:r>
              <w:rPr>
                <w:rFonts w:hint="eastAsia" w:ascii="宋体" w:hAnsi="宋体" w:cs="宋体"/>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highlight w:val="none"/>
                <w:lang w:val="en-US" w:eastAsia="zh-CN"/>
              </w:rPr>
              <w:t>主厨</w:t>
            </w:r>
            <w:r>
              <w:rPr>
                <w:rFonts w:hint="eastAsia" w:ascii="宋体" w:hAnsi="宋体" w:cs="宋体"/>
                <w:bCs/>
                <w:highlight w:val="none"/>
              </w:rPr>
              <w:t>（</w:t>
            </w:r>
            <w:r>
              <w:rPr>
                <w:rFonts w:hint="eastAsia" w:ascii="宋体" w:hAnsi="宋体" w:cs="宋体"/>
                <w:bCs/>
                <w:highlight w:val="none"/>
                <w:lang w:val="en-US" w:eastAsia="zh-CN"/>
              </w:rPr>
              <w:t>兼任食堂经理</w:t>
            </w:r>
            <w:r>
              <w:rPr>
                <w:rFonts w:hint="eastAsia" w:ascii="宋体" w:hAnsi="宋体" w:cs="宋体"/>
                <w:bCs/>
                <w:highlight w:val="none"/>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szCs w:val="21"/>
                <w:highlight w:val="none"/>
              </w:rPr>
              <w:t>1名</w:t>
            </w:r>
          </w:p>
        </w:tc>
        <w:tc>
          <w:tcPr>
            <w:tcW w:w="3487"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adjustRightInd w:val="0"/>
              <w:spacing w:line="384" w:lineRule="auto"/>
              <w:jc w:val="both"/>
              <w:rPr>
                <w:rFonts w:hint="eastAsia" w:ascii="宋体" w:hAnsi="宋体" w:cs="宋体"/>
                <w:bCs/>
                <w:highlight w:val="lightGray"/>
              </w:rPr>
            </w:pPr>
            <w:r>
              <w:rPr>
                <w:rFonts w:hint="eastAsia" w:ascii="宋体" w:hAnsi="宋体" w:cs="宋体"/>
                <w:b w:val="0"/>
                <w:bCs/>
                <w:color w:val="auto"/>
                <w:szCs w:val="21"/>
                <w:highlight w:val="none"/>
                <w:lang w:val="en-US" w:eastAsia="zh-CN"/>
              </w:rPr>
              <w:t>2.健康证</w:t>
            </w:r>
          </w:p>
        </w:tc>
        <w:tc>
          <w:tcPr>
            <w:tcW w:w="1388" w:type="dxa"/>
            <w:tcBorders>
              <w:top w:val="single" w:color="auto" w:sz="4" w:space="0"/>
              <w:left w:val="single" w:color="auto" w:sz="4" w:space="0"/>
              <w:right w:val="single" w:color="auto" w:sz="4" w:space="0"/>
            </w:tcBorders>
            <w:vAlign w:val="center"/>
          </w:tcPr>
          <w:p>
            <w:pPr>
              <w:adjustRightInd w:val="0"/>
              <w:spacing w:line="384" w:lineRule="auto"/>
              <w:jc w:val="center"/>
              <w:rPr>
                <w:rFonts w:hint="eastAsia" w:ascii="宋体" w:hAnsi="宋体" w:cs="宋体"/>
                <w:b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szCs w:val="21"/>
                <w:highlight w:val="none"/>
              </w:rPr>
              <w:t>厨师</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szCs w:val="21"/>
                <w:highlight w:val="none"/>
                <w:lang w:val="en-US" w:eastAsia="zh-CN"/>
              </w:rPr>
              <w:t>1</w:t>
            </w:r>
            <w:r>
              <w:rPr>
                <w:rFonts w:hint="eastAsia" w:ascii="宋体" w:hAnsi="宋体" w:cs="宋体"/>
                <w:bCs/>
                <w:szCs w:val="21"/>
                <w:highlight w:val="none"/>
              </w:rPr>
              <w:t>名</w:t>
            </w:r>
          </w:p>
        </w:tc>
        <w:tc>
          <w:tcPr>
            <w:tcW w:w="3487" w:type="dxa"/>
            <w:tcBorders>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adjustRightInd w:val="0"/>
              <w:spacing w:line="384" w:lineRule="auto"/>
              <w:jc w:val="both"/>
              <w:rPr>
                <w:rFonts w:hint="eastAsia" w:ascii="宋体" w:hAnsi="宋体" w:cs="宋体"/>
                <w:bCs/>
                <w:highlight w:val="lightGray"/>
              </w:rPr>
            </w:pPr>
            <w:r>
              <w:rPr>
                <w:rFonts w:hint="eastAsia" w:ascii="宋体" w:hAnsi="宋体" w:cs="宋体"/>
                <w:b w:val="0"/>
                <w:bCs/>
                <w:color w:val="auto"/>
                <w:szCs w:val="21"/>
                <w:highlight w:val="none"/>
                <w:lang w:val="en-US" w:eastAsia="zh-CN"/>
              </w:rPr>
              <w:t>2.健康证</w:t>
            </w:r>
          </w:p>
        </w:tc>
        <w:tc>
          <w:tcPr>
            <w:tcW w:w="1388" w:type="dxa"/>
            <w:tcBorders>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eastAsia="宋体" w:cs="宋体"/>
                <w:bCs/>
                <w:kern w:val="2"/>
                <w:sz w:val="21"/>
                <w:szCs w:val="24"/>
                <w:highlight w:val="none"/>
                <w:lang w:val="en-US" w:eastAsia="zh-CN" w:bidi="ar-SA"/>
              </w:rPr>
            </w:pPr>
            <w:r>
              <w:rPr>
                <w:rFonts w:hint="eastAsia" w:ascii="宋体" w:hAnsi="宋体" w:cs="宋体"/>
                <w:bCs/>
                <w:szCs w:val="21"/>
                <w:highlight w:val="none"/>
              </w:rPr>
              <w:t>帮厨</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eastAsia="宋体" w:cs="宋体"/>
                <w:bCs/>
                <w:kern w:val="2"/>
                <w:sz w:val="21"/>
                <w:szCs w:val="24"/>
                <w:highlight w:val="none"/>
                <w:lang w:val="en-US" w:eastAsia="zh-CN" w:bidi="ar-SA"/>
              </w:rPr>
            </w:pPr>
            <w:r>
              <w:rPr>
                <w:rFonts w:ascii="宋体" w:hAnsi="宋体" w:cs="宋体"/>
                <w:bCs/>
                <w:szCs w:val="21"/>
                <w:highlight w:val="none"/>
              </w:rPr>
              <w:t>4</w:t>
            </w:r>
            <w:r>
              <w:rPr>
                <w:rFonts w:hint="eastAsia" w:ascii="宋体" w:hAnsi="宋体" w:cs="宋体"/>
                <w:bCs/>
                <w:szCs w:val="21"/>
                <w:highlight w:val="none"/>
              </w:rPr>
              <w:t>名</w:t>
            </w:r>
          </w:p>
        </w:tc>
        <w:tc>
          <w:tcPr>
            <w:tcW w:w="3487" w:type="dxa"/>
            <w:tcBorders>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r>
              <w:rPr>
                <w:rFonts w:hint="eastAsia" w:ascii="宋体" w:hAnsi="宋体" w:cs="宋体"/>
                <w:b w:val="0"/>
                <w:bCs/>
                <w:color w:val="auto"/>
                <w:szCs w:val="21"/>
                <w:highlight w:val="none"/>
                <w:lang w:val="en-US" w:eastAsia="zh-CN"/>
              </w:rPr>
              <w:t>健康证</w:t>
            </w:r>
          </w:p>
        </w:tc>
        <w:tc>
          <w:tcPr>
            <w:tcW w:w="1388" w:type="dxa"/>
            <w:tcBorders>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rPr>
            </w:pPr>
            <w:r>
              <w:rPr>
                <w:rFonts w:hint="eastAsia" w:ascii="宋体" w:hAnsi="宋体" w:cs="宋体"/>
                <w:bCs/>
                <w:szCs w:val="21"/>
              </w:rPr>
              <w:t>总计</w:t>
            </w:r>
          </w:p>
        </w:tc>
        <w:tc>
          <w:tcPr>
            <w:tcW w:w="6425" w:type="dxa"/>
            <w:gridSpan w:val="3"/>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r>
              <w:rPr>
                <w:rFonts w:hint="eastAsia" w:ascii="宋体" w:hAnsi="宋体" w:cs="宋体"/>
                <w:bCs/>
                <w:szCs w:val="21"/>
                <w:highlight w:val="none"/>
                <w:lang w:val="en-US" w:eastAsia="zh-CN"/>
              </w:rPr>
              <w:t>6</w:t>
            </w:r>
            <w:r>
              <w:rPr>
                <w:rFonts w:hint="eastAsia" w:ascii="宋体" w:hAnsi="宋体" w:cs="宋体"/>
                <w:bCs/>
                <w:szCs w:val="2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hint="eastAsia" w:ascii="宋体" w:hAnsi="宋体" w:cs="宋体"/>
                <w:bCs/>
              </w:rPr>
            </w:pPr>
            <w:r>
              <w:rPr>
                <w:rFonts w:hint="eastAsia" w:ascii="宋体" w:hAnsi="宋体" w:cs="宋体"/>
                <w:bCs/>
                <w:szCs w:val="21"/>
              </w:rPr>
              <w:t>备注：其中</w:t>
            </w:r>
          </w:p>
          <w:p>
            <w:pPr>
              <w:adjustRightInd w:val="0"/>
              <w:snapToGrid w:val="0"/>
              <w:spacing w:line="300" w:lineRule="exact"/>
              <w:rPr>
                <w:rFonts w:hint="eastAsia" w:ascii="宋体" w:hAnsi="宋体" w:cs="宋体"/>
                <w:bCs/>
              </w:rPr>
            </w:pPr>
            <w:r>
              <w:rPr>
                <w:rFonts w:hint="eastAsia" w:ascii="宋体" w:hAnsi="宋体" w:cs="宋体"/>
                <w:bCs/>
                <w:szCs w:val="21"/>
              </w:rPr>
              <w:t>厨师须具有人力资源和社会保障部职业技能鉴定指导中心颁发的中式烹调师</w:t>
            </w:r>
            <w:r>
              <w:rPr>
                <w:rFonts w:hint="eastAsia" w:ascii="宋体" w:hAnsi="宋体" w:cs="宋体"/>
                <w:bCs/>
              </w:rPr>
              <w:t>初级或以上</w:t>
            </w:r>
            <w:r>
              <w:rPr>
                <w:rFonts w:hint="eastAsia" w:ascii="宋体" w:hAnsi="宋体" w:cs="宋体"/>
                <w:bCs/>
                <w:szCs w:val="21"/>
              </w:rPr>
              <w:t>职业资格证书；</w:t>
            </w:r>
          </w:p>
        </w:tc>
      </w:tr>
    </w:tbl>
    <w:p>
      <w:pPr>
        <w:pStyle w:val="42"/>
        <w:spacing w:after="0" w:line="560" w:lineRule="exact"/>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响应文件缺失某项评审因素的，该项计零分。</w:t>
      </w:r>
    </w:p>
    <w:p>
      <w:pPr>
        <w:pStyle w:val="43"/>
        <w:rPr>
          <w:rFonts w:hint="eastAsia"/>
        </w:rPr>
      </w:pPr>
    </w:p>
    <w:p>
      <w:pPr>
        <w:pStyle w:val="59"/>
        <w:ind w:firstLine="400" w:firstLineChars="200"/>
        <w:rPr>
          <w:rFonts w:hint="eastAsia" w:ascii="宋体" w:hAnsi="宋体" w:eastAsia="宋体"/>
          <w:b/>
          <w:sz w:val="32"/>
          <w:szCs w:val="32"/>
          <w:lang w:eastAsia="zh-CN"/>
        </w:rPr>
      </w:pPr>
      <w:r>
        <w:br w:type="page"/>
      </w:r>
      <w:r>
        <w:rPr>
          <w:rFonts w:hint="eastAsia" w:ascii="宋体" w:hAnsi="宋体" w:eastAsia="宋体" w:cs="宋体"/>
          <w:kern w:val="2"/>
          <w:sz w:val="21"/>
          <w:szCs w:val="24"/>
        </w:rPr>
        <w:t>附表</w:t>
      </w:r>
      <w:r>
        <w:rPr>
          <w:rFonts w:hint="eastAsia" w:ascii="宋体" w:hAnsi="宋体" w:eastAsia="宋体" w:cs="宋体"/>
          <w:kern w:val="2"/>
          <w:sz w:val="21"/>
          <w:szCs w:val="24"/>
          <w:lang w:val="en-US" w:eastAsia="zh-CN"/>
        </w:rPr>
        <w:t>3</w:t>
      </w:r>
    </w:p>
    <w:p>
      <w:pPr>
        <w:jc w:val="center"/>
      </w:pPr>
      <w:r>
        <w:rPr>
          <w:rFonts w:hint="eastAsia" w:ascii="宋体" w:hAnsi="宋体"/>
          <w:b/>
          <w:sz w:val="32"/>
          <w:szCs w:val="32"/>
        </w:rPr>
        <w:t>报价评审计分表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0"/>
        <w:gridCol w:w="4033"/>
        <w:gridCol w:w="44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1170"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项目</w:t>
            </w:r>
          </w:p>
        </w:tc>
        <w:tc>
          <w:tcPr>
            <w:tcW w:w="4423"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m:oMathPara>
              <m:oMath>
                <m:r>
                  <m:rPr/>
                  <w:rPr>
                    <w:rFonts w:ascii="Cambria Math" w:hAnsi="宋体" w:cs="宋体"/>
                    <w:kern w:val="0"/>
                  </w:rPr>
                  <m:t>0＜</m:t>
                </m:r>
                <m:f>
                  <m:fPr>
                    <m:ctrlPr>
                      <w:rPr>
                        <w:rFonts w:ascii="Cambria Math" w:hAnsi="Cambria Math" w:cs="宋体"/>
                        <w:kern w:val="0"/>
                      </w:rPr>
                    </m:ctrlPr>
                  </m:fPr>
                  <m:num>
                    <m:r>
                      <m:rPr>
                        <m:sty m:val="p"/>
                      </m:rPr>
                      <w:rPr>
                        <w:rFonts w:hint="eastAsia" w:ascii="Cambria Math" w:hAnsi="宋体" w:cs="宋体"/>
                        <w:kern w:val="0"/>
                      </w:rPr>
                      <m:t>竞争性</m:t>
                    </m:r>
                    <m:r>
                      <m:rPr>
                        <m:sty m:val="p"/>
                      </m:rPr>
                      <w:rPr>
                        <w:rFonts w:ascii="Cambria Math" w:hAnsi="宋体" w:cs="宋体"/>
                        <w:kern w:val="0"/>
                      </w:rPr>
                      <m:t>报价－基准价</m:t>
                    </m:r>
                    <m:ctrlPr>
                      <w:rPr>
                        <w:rFonts w:ascii="Cambria Math" w:hAnsi="Cambria Math" w:cs="宋体"/>
                        <w:kern w:val="0"/>
                      </w:rPr>
                    </m:ctrlPr>
                  </m:num>
                  <m:den>
                    <m:r>
                      <m:rPr>
                        <m:sty m:val="p"/>
                      </m:rPr>
                      <w:rPr>
                        <w:rFonts w:ascii="Cambria Math" w:hAnsi="宋体" w:cs="宋体"/>
                        <w:kern w:val="0"/>
                      </w:rPr>
                      <m:t>基准价</m:t>
                    </m:r>
                    <m:ctrlPr>
                      <w:rPr>
                        <w:rFonts w:ascii="Cambria Math" w:hAnsi="Cambria Math" w:cs="宋体"/>
                        <w:kern w:val="0"/>
                      </w:rPr>
                    </m:ctrlPr>
                  </m:den>
                </m:f>
                <m:r>
                  <m:rPr/>
                  <w:rPr>
                    <w:rFonts w:ascii="Cambria Math" w:hAnsi="宋体" w:cs="宋体"/>
                    <w:kern w:val="0"/>
                  </w:rPr>
                  <m:t>×</m:t>
                </m:r>
                <m:r>
                  <m:rPr>
                    <m:nor/>
                    <m:sty m:val="p"/>
                  </m:rPr>
                  <w:rPr>
                    <w:rFonts w:ascii="Cambria Math" w:hAnsi="宋体" w:cs="宋体"/>
                    <w:b w:val="0"/>
                    <w:i w:val="0"/>
                    <w:kern w:val="0"/>
                  </w:rPr>
                  <m:t>100%</m:t>
                </m:r>
              </m:oMath>
            </m:oMathPara>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从0开始每升1%减2分，即</w:t>
            </w:r>
          </w:p>
          <w:p>
            <w:pPr>
              <w:jc w:val="center"/>
              <w:rPr>
                <w:rFonts w:ascii="仿宋" w:hAnsi="仿宋" w:eastAsia="仿宋" w:cs="仿宋"/>
              </w:rPr>
            </w:pPr>
            <w:r>
              <w:rPr>
                <w:rFonts w:hint="eastAsia" w:ascii="宋体" w:hAnsi="宋体" w:cs="宋体"/>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rPr>
              <w:t>竞争性报价＝基准价</w: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rPr>
              <w:object>
                <v:shape id="_x0000_i1025" o:spt="75" type="#_x0000_t75" style="height:31.5pt;width:163.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从0开始每降1%加1分，即</w:t>
            </w:r>
          </w:p>
          <w:p>
            <w:pPr>
              <w:jc w:val="center"/>
              <w:rPr>
                <w:rFonts w:ascii="仿宋" w:hAnsi="仿宋" w:eastAsia="仿宋" w:cs="仿宋"/>
              </w:rPr>
            </w:pPr>
            <w:r>
              <w:rPr>
                <w:rFonts w:hint="eastAsia" w:ascii="宋体" w:hAnsi="宋体" w:cs="宋体"/>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rPr>
            </w:pPr>
            <w:r>
              <w:rPr>
                <w:rFonts w:hint="eastAsia" w:ascii="宋体" w:hAnsi="宋体" w:cs="宋体"/>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sz w:val="24"/>
              </w:rPr>
            </w:pPr>
            <m:oMathPara>
              <m:oMath>
                <m:f>
                  <m:fPr>
                    <m:ctrlPr>
                      <w:rPr>
                        <w:rFonts w:ascii="Cambria Math" w:hAnsi="Cambria Math" w:cs="宋体"/>
                        <w:kern w:val="0"/>
                      </w:rPr>
                    </m:ctrlPr>
                  </m:fPr>
                  <m:num>
                    <m:r>
                      <m:rPr>
                        <m:sty m:val="p"/>
                      </m:rPr>
                      <w:rPr>
                        <w:rFonts w:hint="eastAsia" w:ascii="Cambria Math" w:hAnsi="宋体" w:cs="宋体"/>
                        <w:kern w:val="0"/>
                      </w:rPr>
                      <m:t>竞争性</m:t>
                    </m:r>
                    <m:r>
                      <m:rPr>
                        <m:sty m:val="p"/>
                      </m:rPr>
                      <w:rPr>
                        <w:rFonts w:ascii="Cambria Math" w:hAnsi="宋体" w:cs="宋体"/>
                        <w:kern w:val="0"/>
                      </w:rPr>
                      <m:t>报价－基准价</m:t>
                    </m:r>
                    <m:ctrlPr>
                      <w:rPr>
                        <w:rFonts w:ascii="Cambria Math" w:hAnsi="Cambria Math" w:cs="宋体"/>
                        <w:kern w:val="0"/>
                      </w:rPr>
                    </m:ctrlPr>
                  </m:num>
                  <m:den>
                    <m:r>
                      <m:rPr>
                        <m:sty m:val="p"/>
                      </m:rPr>
                      <w:rPr>
                        <w:rFonts w:ascii="Cambria Math" w:hAnsi="宋体" w:cs="宋体"/>
                        <w:kern w:val="0"/>
                      </w:rPr>
                      <m:t>基准价</m:t>
                    </m:r>
                    <m:ctrlPr>
                      <w:rPr>
                        <w:rFonts w:ascii="Cambria Math" w:hAnsi="Cambria Math" w:cs="宋体"/>
                        <w:kern w:val="0"/>
                      </w:rPr>
                    </m:ctrlPr>
                  </m:den>
                </m:f>
                <m:r>
                  <m:rPr/>
                  <w:rPr>
                    <w:rFonts w:ascii="Cambria Math" w:hAnsi="宋体" w:cs="宋体"/>
                    <w:kern w:val="0"/>
                  </w:rPr>
                  <m:t>×</m:t>
                </m:r>
                <m:r>
                  <m:rPr>
                    <m:nor/>
                    <m:sty m:val="p"/>
                  </m:rPr>
                  <w:rPr>
                    <w:rFonts w:ascii="Cambria Math" w:hAnsi="宋体" w:cs="宋体"/>
                    <w:b w:val="0"/>
                    <w:i w:val="0"/>
                    <w:kern w:val="0"/>
                  </w:rPr>
                  <m:t>100%＜</m:t>
                </m:r>
                <m:r>
                  <m:rPr>
                    <m:sty m:val="p"/>
                  </m:rPr>
                  <w:rPr>
                    <w:rFonts w:hint="eastAsia" w:ascii="微软雅黑" w:hAnsi="微软雅黑" w:eastAsia="微软雅黑" w:cs="微软雅黑"/>
                    <w:kern w:val="0"/>
                  </w:rPr>
                  <m:t>−</m:t>
                </m:r>
                <m:r>
                  <m:rPr>
                    <m:sty m:val="p"/>
                  </m:rPr>
                  <w:rPr>
                    <w:rFonts w:ascii="Cambria Math" w:hAnsi="宋体" w:cs="宋体"/>
                    <w:kern w:val="0"/>
                  </w:rPr>
                  <m:t>3</m:t>
                </m:r>
                <m:r>
                  <m:rPr/>
                  <w:rPr>
                    <w:rFonts w:ascii="Cambria Math" w:hAnsi="宋体" w:cs="宋体"/>
                    <w:kern w:val="0"/>
                  </w:rPr>
                  <m:t>%</m:t>
                </m:r>
              </m:oMath>
            </m:oMathPara>
          </w:p>
        </w:tc>
        <w:tc>
          <w:tcPr>
            <w:tcW w:w="4423"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rPr>
            </w:pPr>
            <w:r>
              <w:rPr>
                <w:rFonts w:hint="eastAsia" w:ascii="宋体" w:hAnsi="宋体" w:cs="宋体"/>
              </w:rPr>
              <w:t>从-3%开始每降1%减1分，即</w:t>
            </w:r>
          </w:p>
          <w:p>
            <w:pPr>
              <w:jc w:val="center"/>
              <w:rPr>
                <w:rFonts w:ascii="仿宋" w:hAnsi="仿宋" w:eastAsia="仿宋" w:cs="仿宋"/>
              </w:rPr>
            </w:pPr>
            <w:r>
              <w:rPr>
                <w:rFonts w:hint="eastAsia" w:ascii="宋体" w:hAnsi="宋体" w:cs="宋体"/>
              </w:rPr>
              <w:t>103-（100X-3）</w:t>
            </w:r>
          </w:p>
        </w:tc>
      </w:tr>
    </w:tbl>
    <w:p>
      <w:pPr>
        <w:shd w:val="clear" w:color="auto" w:fill="FFFFFF"/>
        <w:ind w:right="-332" w:rightChars="-158" w:firstLine="422" w:firstLineChars="200"/>
        <w:rPr>
          <w:rFonts w:ascii="宋体" w:hAnsi="宋体" w:cs="宋体"/>
          <w:kern w:val="0"/>
        </w:rPr>
      </w:pPr>
      <w:r>
        <w:rPr>
          <w:rFonts w:hint="eastAsia" w:ascii="宋体" w:hAnsi="宋体" w:cs="宋体"/>
          <w:b/>
          <w:bCs/>
          <w:kern w:val="0"/>
        </w:rPr>
        <w:t>备注：</w:t>
      </w:r>
    </w:p>
    <w:p>
      <w:pPr>
        <w:ind w:firstLine="420" w:firstLineChars="200"/>
        <w:rPr>
          <w:rFonts w:ascii="宋体" w:hAnsi="宋体" w:cs="宋体"/>
          <w:color w:val="0000FF"/>
        </w:rPr>
      </w:pPr>
      <w:r>
        <w:rPr>
          <w:rFonts w:hint="eastAsia" w:ascii="宋体" w:hAnsi="宋体" w:cs="宋体"/>
          <w:kern w:val="0"/>
        </w:rPr>
        <w:t>1</w:t>
      </w:r>
      <w:r>
        <w:rPr>
          <w:rFonts w:hint="eastAsia" w:ascii="宋体" w:hAnsi="宋体" w:cs="宋体"/>
        </w:rPr>
        <w:t>、当供应商的</w:t>
      </w:r>
      <w:bookmarkStart w:id="15" w:name="_Hlk139892213"/>
      <w:r>
        <w:rPr>
          <w:rFonts w:hint="eastAsia" w:ascii="宋体" w:hAnsi="宋体" w:cs="宋体"/>
        </w:rPr>
        <w:t>竞争性</w:t>
      </w:r>
      <w:bookmarkEnd w:id="15"/>
      <w:r>
        <w:rPr>
          <w:rFonts w:hint="eastAsia" w:ascii="宋体" w:hAnsi="宋体" w:cs="宋体"/>
        </w:rPr>
        <w:t>报价低于（不含）进入详细评审的所有有效竞争性报价的算术平均值90%时，由评审小组启动成本评审工作，以判别该供应商的竞争性报价是否低于其成本。评审小组应当要求该供应商作出书面说明并提供相应的证明材料。供应商不能合理说明或者不能提供相应证明材料的，由评审小组认定该供应商以低于成本报价竞标，并否决其投标。</w:t>
      </w:r>
    </w:p>
    <w:p>
      <w:pPr>
        <w:ind w:firstLine="420" w:firstLineChars="200"/>
        <w:rPr>
          <w:rFonts w:ascii="宋体" w:hAnsi="宋体" w:cs="宋体"/>
        </w:rPr>
      </w:pPr>
      <w:r>
        <w:rPr>
          <w:rFonts w:hint="eastAsia" w:ascii="宋体" w:hAnsi="宋体" w:cs="宋体"/>
        </w:rPr>
        <w:t>2、评审基准价计算方法：</w:t>
      </w:r>
    </w:p>
    <w:p>
      <w:pPr>
        <w:ind w:firstLine="420" w:firstLineChars="200"/>
        <w:rPr>
          <w:rFonts w:ascii="宋体" w:hAnsi="宋体" w:cs="宋体"/>
        </w:rPr>
      </w:pPr>
      <w:r>
        <w:rPr>
          <w:rFonts w:hint="eastAsia" w:ascii="宋体" w:hAnsi="宋体" w:cs="宋体"/>
        </w:rPr>
        <w:t>（1）进入详细评审且未低于成本报价的供应商，均进入最终报价的算术平均。</w:t>
      </w:r>
    </w:p>
    <w:p>
      <w:pPr>
        <w:ind w:firstLine="420" w:firstLineChars="200"/>
        <w:rPr>
          <w:rFonts w:ascii="宋体" w:hAnsi="宋体" w:cs="宋体"/>
        </w:rPr>
      </w:pPr>
      <w:r>
        <w:rPr>
          <w:rFonts w:hint="eastAsia" w:ascii="宋体" w:hAnsi="宋体" w:cs="宋体"/>
        </w:rPr>
        <w:t>（2）进入基准价计算的供应商为：符合本采购文件规定，且报价在所有进入最终报价算术平均值的±10%以内的</w:t>
      </w:r>
      <w:r>
        <w:rPr>
          <w:rFonts w:hint="eastAsia" w:ascii="宋体" w:hAnsi="宋体" w:cs="宋体"/>
          <w:bCs/>
        </w:rPr>
        <w:t>投标人</w:t>
      </w:r>
      <w:r>
        <w:rPr>
          <w:rFonts w:hint="eastAsia" w:ascii="宋体" w:hAnsi="宋体" w:cs="宋体"/>
        </w:rPr>
        <w:t>。</w:t>
      </w:r>
    </w:p>
    <w:p>
      <w:pPr>
        <w:shd w:val="clear" w:color="auto" w:fill="FFFFFF"/>
        <w:ind w:right="-332" w:rightChars="-158" w:firstLine="420" w:firstLineChars="200"/>
        <w:rPr>
          <w:rFonts w:ascii="宋体" w:hAnsi="宋体" w:cs="宋体"/>
          <w:kern w:val="0"/>
        </w:rPr>
      </w:pPr>
      <w:r>
        <w:rPr>
          <w:rFonts w:hint="eastAsia" w:ascii="宋体" w:hAnsi="宋体" w:cs="宋体"/>
          <w:kern w:val="0"/>
        </w:rPr>
        <w:t xml:space="preserve">基准价计算公式： </w:t>
      </w:r>
    </w:p>
    <w:p>
      <w:pPr>
        <w:shd w:val="clear" w:color="auto" w:fill="FFFFFF"/>
        <w:ind w:firstLine="2205" w:firstLineChars="1050"/>
        <w:outlineLvl w:val="9"/>
        <w:rPr>
          <w:rFonts w:ascii="宋体" w:hAnsi="宋体" w:cs="宋体"/>
          <w:kern w:val="0"/>
        </w:rPr>
      </w:pPr>
      <w:bookmarkStart w:id="16" w:name="_Toc3054"/>
      <w:r>
        <w:rPr>
          <w:rFonts w:hint="eastAsia" w:ascii="宋体" w:hAnsi="宋体" w:cs="宋体"/>
          <w:kern w:val="0"/>
        </w:rPr>
        <w:t>A1+A2+……＋Ai+……＋An</w:t>
      </w:r>
      <w:bookmarkEnd w:id="16"/>
    </w:p>
    <w:p>
      <w:pPr>
        <w:shd w:val="clear" w:color="auto" w:fill="FFFFFF"/>
        <w:ind w:right="-332" w:rightChars="-158" w:firstLine="1050" w:firstLineChars="500"/>
        <w:rPr>
          <w:rFonts w:ascii="宋体" w:hAnsi="宋体" w:cs="宋体"/>
          <w:kern w:val="0"/>
        </w:rPr>
      </w:pP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1505585</wp:posOffset>
                </wp:positionH>
                <wp:positionV relativeFrom="paragraph">
                  <wp:posOffset>86995</wp:posOffset>
                </wp:positionV>
                <wp:extent cx="1828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85pt;height:0pt;width:144pt;z-index:251666432;mso-width-relative:page;mso-height-relative:page;" filled="f" stroked="t" coordsize="21600,21600" o:gfxdata="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0qrl91QAAAAkBAAAPAAAAAAAAAAEAIAAAACIAAABkcnMvZG93bnJldi54bWxQSwECFAAUAAAA&#10;CACHTuJAlcPQov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rPr>
        <w:t xml:space="preserve">基准价=                               </w:t>
      </w:r>
    </w:p>
    <w:p>
      <w:pPr>
        <w:shd w:val="clear" w:color="auto" w:fill="FFFFFF"/>
        <w:ind w:firstLine="1050" w:firstLineChars="500"/>
        <w:outlineLvl w:val="9"/>
        <w:rPr>
          <w:rFonts w:ascii="宋体" w:hAnsi="宋体" w:cs="宋体"/>
          <w:kern w:val="0"/>
        </w:rPr>
      </w:pPr>
      <w:r>
        <w:rPr>
          <w:rFonts w:hint="eastAsia" w:ascii="宋体" w:hAnsi="宋体" w:cs="宋体"/>
          <w:kern w:val="0"/>
        </w:rPr>
        <w:t xml:space="preserve">                     </w:t>
      </w:r>
      <w:bookmarkStart w:id="17" w:name="_Toc22491"/>
      <w:r>
        <w:rPr>
          <w:rFonts w:hint="eastAsia" w:ascii="宋体" w:hAnsi="宋体" w:cs="宋体"/>
          <w:kern w:val="0"/>
        </w:rPr>
        <w:t>N</w:t>
      </w:r>
      <w:bookmarkEnd w:id="17"/>
    </w:p>
    <w:p>
      <w:pPr>
        <w:ind w:firstLine="840" w:firstLineChars="400"/>
        <w:outlineLvl w:val="9"/>
        <w:rPr>
          <w:rFonts w:ascii="宋体" w:hAnsi="宋体" w:cs="宋体"/>
        </w:rPr>
      </w:pPr>
      <w:r>
        <w:rPr>
          <w:rFonts w:hint="eastAsia" w:ascii="宋体" w:hAnsi="宋体" w:cs="宋体"/>
        </w:rPr>
        <w:t>i=1…i…n； Ai为进入基准价计算的报价； N为进入基准价计算的报价的个数。</w:t>
      </w:r>
    </w:p>
    <w:p>
      <w:pPr>
        <w:shd w:val="clear" w:color="auto" w:fill="FFFFFF"/>
        <w:adjustRightInd w:val="0"/>
        <w:snapToGrid w:val="0"/>
        <w:spacing w:line="360" w:lineRule="atLeast"/>
        <w:ind w:firstLine="420" w:firstLineChars="200"/>
        <w:outlineLvl w:val="9"/>
        <w:rPr>
          <w:rFonts w:ascii="宋体" w:hAnsi="宋体" w:cs="宋体"/>
        </w:rPr>
      </w:pPr>
      <w:r>
        <w:rPr>
          <w:rFonts w:hint="eastAsia" w:ascii="宋体" w:hAnsi="宋体" w:cs="宋体"/>
        </w:rPr>
        <w:t>3、X为报价升、降率百分点数的绝对值，即</w:t>
      </w:r>
    </w:p>
    <w:p>
      <w:pPr>
        <w:shd w:val="clear" w:color="auto" w:fill="FFFFFF"/>
        <w:adjustRightInd w:val="0"/>
        <w:snapToGrid w:val="0"/>
        <w:spacing w:line="360" w:lineRule="atLeast"/>
        <w:outlineLvl w:val="9"/>
        <w:rPr>
          <w:rFonts w:ascii="宋体" w:hAnsi="宋体" w:cs="宋体"/>
          <w:kern w:val="0"/>
        </w:rPr>
      </w:pPr>
      <w:r>
        <mc:AlternateContent>
          <mc:Choice Requires="wps">
            <w:drawing>
              <wp:anchor distT="0" distB="0" distL="114300" distR="114300" simplePos="0" relativeHeight="251669504" behindDoc="0" locked="0" layoutInCell="1" allowOverlap="1">
                <wp:simplePos x="0" y="0"/>
                <wp:positionH relativeFrom="column">
                  <wp:posOffset>2142490</wp:posOffset>
                </wp:positionH>
                <wp:positionV relativeFrom="paragraph">
                  <wp:posOffset>60325</wp:posOffset>
                </wp:positionV>
                <wp:extent cx="635" cy="594360"/>
                <wp:effectExtent l="4445" t="0" r="1016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635" cy="5943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168.7pt;margin-top:4.75pt;height:46.8pt;width:0.05pt;z-index:251669504;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1ZKuXTAAAACQEAAA8AAAAAAAAAAQAgAAAAIgAAAGRycy9kb3ducmV2LnhtbFBLAQIUABQAAAAI&#10;AIdO4kAoBqzP8gEAAL8DAAAOAAAAAAAAAAEAIAAAACI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845820</wp:posOffset>
                </wp:positionH>
                <wp:positionV relativeFrom="paragraph">
                  <wp:posOffset>53340</wp:posOffset>
                </wp:positionV>
                <wp:extent cx="635" cy="610235"/>
                <wp:effectExtent l="4445" t="0" r="10160" b="1460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H="1">
                          <a:off x="0" y="0"/>
                          <a:ext cx="635" cy="6102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6.6pt;margin-top:4.2pt;height:48.05pt;width:0.05pt;z-index:251667456;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3j&#10;z5bWAAAACQEAAA8AAAAAAAAAAQAgAAAAIgAAAGRycy9kb3ducmV2LnhtbFBLAQIUABQAAAAIAIdO&#10;4kBmK3fY7AEAALUDAAAOAAAAAAAAAAEAIAAAACUBAABkcnMvZTJvRG9jLnhtbFBLBQYAAAAABgAG&#10;AFkBAACDBQAAAAA=&#10;">
                <v:fill on="f" focussize="0,0"/>
                <v:stroke color="#000000" joinstyle="round"/>
                <v:imagedata o:title=""/>
                <o:lock v:ext="edit" aspectratio="f"/>
              </v:line>
            </w:pict>
          </mc:Fallback>
        </mc:AlternateContent>
      </w:r>
      <w:r>
        <w:rPr>
          <w:rFonts w:ascii="宋体" w:hAnsi="宋体" w:cs="宋体"/>
          <w:kern w:val="0"/>
        </w:rPr>
        <w:t xml:space="preserve">    </w:t>
      </w:r>
      <w:r>
        <w:rPr>
          <w:rFonts w:hint="eastAsia" w:ascii="宋体" w:hAnsi="宋体" w:cs="宋体"/>
          <w:kern w:val="0"/>
        </w:rPr>
        <w:t xml:space="preserve">          竞争性报价</w:t>
      </w:r>
      <w:r>
        <w:rPr>
          <w:rFonts w:ascii="宋体" w:hAnsi="宋体" w:cs="宋体"/>
          <w:kern w:val="0"/>
        </w:rPr>
        <w:t>—</w:t>
      </w:r>
      <w:r>
        <w:rPr>
          <w:rFonts w:hint="eastAsia" w:ascii="宋体" w:hAnsi="宋体" w:cs="宋体"/>
          <w:kern w:val="0"/>
        </w:rPr>
        <w:t>基准价</w:t>
      </w:r>
    </w:p>
    <w:p>
      <w:pPr>
        <w:shd w:val="clear" w:color="auto" w:fill="FFFFFF"/>
        <w:adjustRightInd w:val="0"/>
        <w:snapToGrid w:val="0"/>
        <w:spacing w:line="360" w:lineRule="atLeast"/>
        <w:outlineLvl w:val="9"/>
        <w:rPr>
          <w:rFonts w:ascii="宋体" w:hAnsi="宋体" w:cs="宋体"/>
          <w:kern w:val="0"/>
        </w:rPr>
      </w:pPr>
      <w:r>
        <mc:AlternateContent>
          <mc:Choice Requires="wps">
            <w:drawing>
              <wp:anchor distT="0" distB="0" distL="114300" distR="114300" simplePos="0" relativeHeight="251668480"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H="1">
                          <a:off x="0" y="0"/>
                          <a:ext cx="12503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8.35pt;margin-top:11.05pt;height:0.05pt;width:98.45pt;z-index:251668480;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rWVXNUAAAAJAQAADwAAAAAAAAABACAAAAAiAAAAZHJzL2Rvd25yZXYueG1sUEsBAhQAFAAAAAgA&#10;h07iQP15PSHvAQAAuAMAAA4AAAAAAAAAAQAgAAAAJAEAAGRycy9lMm9Eb2MueG1sUEsFBgAAAAAG&#10;AAYAWQEAAIUFAAAAAA==&#10;">
                <v:fill on="f" focussize="0,0"/>
                <v:stroke color="#000000" joinstyle="round"/>
                <v:imagedata o:title=""/>
                <o:lock v:ext="edit" aspectratio="f"/>
              </v:line>
            </w:pict>
          </mc:Fallback>
        </mc:AlternateConten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100%</w:t>
      </w:r>
    </w:p>
    <w:p>
      <w:pPr>
        <w:shd w:val="clear" w:color="auto" w:fill="FFFFFF"/>
        <w:adjustRightInd w:val="0"/>
        <w:snapToGrid w:val="0"/>
        <w:spacing w:line="360" w:lineRule="atLeast"/>
        <w:ind w:firstLine="2100" w:firstLineChars="1000"/>
        <w:outlineLvl w:val="9"/>
        <w:rPr>
          <w:rFonts w:ascii="宋体" w:cs="宋体"/>
          <w:kern w:val="0"/>
        </w:rPr>
      </w:pPr>
      <w:r>
        <w:rPr>
          <w:rFonts w:hint="eastAsia" w:ascii="宋体" w:hAnsi="宋体" w:cs="宋体"/>
          <w:kern w:val="0"/>
        </w:rPr>
        <w:t>基准价</w:t>
      </w:r>
    </w:p>
    <w:p>
      <w:pPr>
        <w:adjustRightInd w:val="0"/>
        <w:snapToGrid w:val="0"/>
        <w:spacing w:line="360" w:lineRule="exact"/>
        <w:ind w:firstLine="420" w:firstLineChars="200"/>
        <w:outlineLvl w:val="9"/>
        <w:rPr>
          <w:rFonts w:ascii="宋体" w:hAnsi="宋体" w:cs="宋体"/>
          <w:iCs/>
        </w:rPr>
      </w:pPr>
      <w:r>
        <w:rPr>
          <w:rFonts w:hint="eastAsia" w:ascii="宋体" w:hAnsi="宋体" w:cs="宋体"/>
          <w:iCs/>
          <w:lang w:bidi="ar"/>
        </w:rPr>
        <w:t>4、按百分制计算：报价加分最多加3分，报价最高得分为103分。</w:t>
      </w:r>
    </w:p>
    <w:p>
      <w:pPr>
        <w:adjustRightInd w:val="0"/>
        <w:snapToGrid w:val="0"/>
        <w:spacing w:line="360" w:lineRule="exact"/>
        <w:ind w:firstLine="420" w:firstLineChars="200"/>
        <w:outlineLvl w:val="9"/>
        <w:rPr>
          <w:rFonts w:ascii="宋体" w:hAnsi="宋体" w:cs="宋体"/>
          <w:iCs/>
        </w:rPr>
      </w:pPr>
      <w:r>
        <w:rPr>
          <w:rFonts w:hint="eastAsia" w:ascii="宋体" w:hAnsi="宋体" w:cs="宋体"/>
          <w:iCs/>
          <w:lang w:bidi="ar"/>
        </w:rPr>
        <w:t>5、按百分制计算报价得分*权值30%，报价加权得分最高为30.9分。</w:t>
      </w:r>
    </w:p>
    <w:p>
      <w:pPr>
        <w:pStyle w:val="59"/>
        <w:ind w:firstLine="420" w:firstLineChars="200"/>
        <w:outlineLvl w:val="9"/>
        <w:rPr>
          <w:rFonts w:ascii="宋体" w:hAnsi="宋体" w:eastAsia="宋体" w:cs="宋体"/>
          <w:b/>
          <w:kern w:val="2"/>
          <w:sz w:val="28"/>
          <w:szCs w:val="28"/>
        </w:rPr>
      </w:pPr>
      <w:r>
        <w:rPr>
          <w:rFonts w:hint="eastAsia" w:ascii="宋体" w:hAnsi="宋体" w:eastAsia="宋体" w:cs="宋体"/>
          <w:sz w:val="21"/>
          <w:szCs w:val="21"/>
        </w:rPr>
        <w:t>6、</w:t>
      </w:r>
      <w:r>
        <w:rPr>
          <w:rFonts w:hint="eastAsia" w:ascii="宋体" w:hAnsi="宋体" w:eastAsia="宋体" w:cs="宋体"/>
          <w:b/>
          <w:bCs/>
          <w:sz w:val="21"/>
          <w:szCs w:val="21"/>
        </w:rPr>
        <w:t>本项目报价评审时，以“不含增值税总价”进行评审。</w:t>
      </w:r>
      <w:r>
        <w:rPr>
          <w:rFonts w:hint="eastAsia" w:ascii="宋体" w:hAnsi="宋体" w:eastAsia="宋体" w:cs="宋体"/>
          <w:sz w:val="21"/>
          <w:szCs w:val="21"/>
        </w:rPr>
        <w:t>报价评审时报价（或基准价）以人民币万元为单位，保留小数点后两位，小数点后第三位“四舍五入”。</w:t>
      </w:r>
    </w:p>
    <w:p>
      <w:pPr>
        <w:spacing w:line="560" w:lineRule="exact"/>
        <w:jc w:val="center"/>
        <w:rPr>
          <w:rFonts w:ascii="宋体" w:hAnsi="宋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560" w:lineRule="exact"/>
        <w:jc w:val="center"/>
        <w:rPr>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评审办法正文</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1.评审方法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本次评审采用综合评</w:t>
      </w:r>
      <w:r>
        <w:rPr>
          <w:rFonts w:hint="eastAsia" w:ascii="宋体" w:hAnsi="宋体" w:eastAsia="宋体" w:cs="宋体"/>
          <w:color w:val="000000"/>
          <w:sz w:val="21"/>
          <w:szCs w:val="21"/>
          <w:shd w:val="clear" w:color="auto" w:fill="FFFFFF"/>
        </w:rPr>
        <w:t>审</w:t>
      </w:r>
      <w:r>
        <w:rPr>
          <w:rFonts w:hint="eastAsia" w:ascii="宋体" w:hAnsi="宋体" w:cs="宋体"/>
          <w:color w:val="000000" w:themeColor="text1"/>
          <w:szCs w:val="21"/>
          <w14:textFill>
            <w14:solidFill>
              <w14:schemeClr w14:val="tx1"/>
            </w14:solidFill>
          </w14:textFill>
        </w:rPr>
        <w:t>法，资格审查方式为资格后审。评审小组对满足本项目采购文件实质要求的响应文件，根据规定的评分标准进行评审计分，并按竞争性采购须知前附表规定的排序方法推荐成交候选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2.评审标准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 初步评审标准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2.1.1形式评审标准：见评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办法前附表</w:t>
      </w:r>
      <w:r>
        <w:rPr>
          <w:rFonts w:hint="eastAsia" w:hAnsi="宋体"/>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2.1.2资格评审标准：见评审办法前附表</w:t>
      </w:r>
      <w:r>
        <w:rPr>
          <w:rFonts w:hint="eastAsia" w:hAnsi="宋体"/>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 详细评审标准</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2.2.1分值构成</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（1）商务技术部分：见评审办法前附表；</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2</w:t>
      </w:r>
      <w:r>
        <w:rPr>
          <w:rFonts w:hAnsi="宋体"/>
          <w:color w:val="000000" w:themeColor="text1"/>
          <w:sz w:val="21"/>
          <w:szCs w:val="21"/>
          <w14:textFill>
            <w14:solidFill>
              <w14:schemeClr w14:val="tx1"/>
            </w14:solidFill>
          </w14:textFill>
        </w:rPr>
        <w:t>）报价</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：见评审办法前附表</w:t>
      </w:r>
      <w:r>
        <w:rPr>
          <w:rFonts w:hint="eastAsia" w:hAnsi="宋体"/>
          <w:color w:val="000000" w:themeColor="text1"/>
          <w:sz w:val="21"/>
          <w:szCs w:val="21"/>
          <w14:textFill>
            <w14:solidFill>
              <w14:schemeClr w14:val="tx1"/>
            </w14:solidFill>
          </w14:textFill>
        </w:rPr>
        <w:t>。</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评分标准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（1）商务技术</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2</w:t>
      </w:r>
      <w:r>
        <w:rPr>
          <w:rFonts w:hAnsi="宋体"/>
          <w:color w:val="000000" w:themeColor="text1"/>
          <w:sz w:val="21"/>
          <w:szCs w:val="21"/>
          <w14:textFill>
            <w14:solidFill>
              <w14:schemeClr w14:val="tx1"/>
            </w14:solidFill>
          </w14:textFill>
        </w:rPr>
        <w:t>）报价</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r>
        <w:rPr>
          <w:rFonts w:hint="eastAsia" w:hAnsi="宋体"/>
          <w:color w:val="000000" w:themeColor="text1"/>
          <w:sz w:val="21"/>
          <w:szCs w:val="21"/>
          <w14:textFill>
            <w14:solidFill>
              <w14:schemeClr w14:val="tx1"/>
            </w14:solidFill>
          </w14:textFill>
        </w:rPr>
        <w:t>。</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3.评审程序</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3.1 基本程序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活动将按以下</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个步骤进行：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准备；</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（2）初步评审</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（3）详细评审；</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（4）推荐</w:t>
      </w:r>
      <w:r>
        <w:rPr>
          <w:rFonts w:hint="eastAsia"/>
          <w:color w:val="000000" w:themeColor="text1"/>
          <w14:textFill>
            <w14:solidFill>
              <w14:schemeClr w14:val="tx1"/>
            </w14:solidFill>
          </w14:textFill>
        </w:rPr>
        <w:t>成交候选</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及提交评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 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成员签到</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成员到达评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3.2.2 </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的分工</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评审小组首先推举一名评审小组主任。评审小组主任负责主持评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3.2.3 熟悉文件资料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评审小组主任应组织评审小组成员认真研究</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文件，了解和熟悉</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目的、</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范围、主要合同条件、</w:t>
      </w:r>
      <w:r>
        <w:rPr>
          <w:rFonts w:hint="eastAsia" w:ascii="宋体" w:hAnsi="宋体"/>
          <w:color w:val="000000" w:themeColor="text1"/>
          <w:szCs w:val="21"/>
          <w:u w:val="none"/>
          <w:lang w:eastAsia="zh-CN"/>
          <w14:textFill>
            <w14:solidFill>
              <w14:schemeClr w14:val="tx1"/>
            </w14:solidFill>
          </w14:textFill>
        </w:rPr>
        <w:t>用户需求书</w:t>
      </w:r>
      <w:r>
        <w:rPr>
          <w:rFonts w:ascii="宋体" w:hAnsi="宋体"/>
          <w:color w:val="000000" w:themeColor="text1"/>
          <w:szCs w:val="21"/>
          <w:u w:val="none"/>
          <w14:textFill>
            <w14:solidFill>
              <w14:schemeClr w14:val="tx1"/>
            </w14:solidFill>
          </w14:textFill>
        </w:rPr>
        <w:t>、</w:t>
      </w:r>
      <w:r>
        <w:rPr>
          <w:rFonts w:hint="eastAsia" w:ascii="宋体" w:hAnsi="宋体"/>
          <w:color w:val="000000" w:themeColor="text1"/>
          <w:szCs w:val="21"/>
          <w:u w:val="none"/>
          <w14:textFill>
            <w14:solidFill>
              <w14:schemeClr w14:val="tx1"/>
            </w14:solidFill>
          </w14:textFill>
        </w:rPr>
        <w:t>服务期</w:t>
      </w:r>
      <w:r>
        <w:rPr>
          <w:rFonts w:ascii="宋体" w:hAnsi="宋体"/>
          <w:color w:val="000000" w:themeColor="text1"/>
          <w:szCs w:val="21"/>
          <w14:textFill>
            <w14:solidFill>
              <w14:schemeClr w14:val="tx1"/>
            </w14:solidFill>
          </w14:textFill>
        </w:rPr>
        <w:t>等，掌握评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标准和方法。未在</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文件中规定的标准和方法不得作为评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的依据。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（2）采购人</w:t>
      </w:r>
      <w:r>
        <w:rPr>
          <w:rFonts w:ascii="宋体" w:hAnsi="宋体"/>
          <w:color w:val="000000" w:themeColor="text1"/>
          <w:szCs w:val="21"/>
          <w14:textFill>
            <w14:solidFill>
              <w14:schemeClr w14:val="tx1"/>
            </w14:solidFill>
          </w14:textFill>
        </w:rPr>
        <w:t>应向评审小组提供评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所需的信息和数据，包括</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唱价</w:t>
      </w:r>
      <w:r>
        <w:rPr>
          <w:rFonts w:ascii="宋体" w:hAnsi="宋体"/>
          <w:color w:val="000000" w:themeColor="text1"/>
          <w:szCs w:val="21"/>
          <w14:textFill>
            <w14:solidFill>
              <w14:schemeClr w14:val="tx1"/>
            </w14:solidFill>
          </w14:textFill>
        </w:rPr>
        <w:t>记录、有关的法律、法规、规章、国家标准以及</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3.2.4 对</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在不改变</w:t>
      </w:r>
      <w:r>
        <w:rPr>
          <w:rFonts w:hint="eastAsia" w:ascii="宋体" w:hAnsi="宋体"/>
          <w:color w:val="000000" w:themeColor="text1"/>
          <w:szCs w:val="21"/>
          <w14:textFill>
            <w14:solidFill>
              <w14:schemeClr w14:val="tx1"/>
            </w14:solidFill>
          </w14:textFill>
        </w:rPr>
        <w:t>供应商响应</w:t>
      </w:r>
      <w:r>
        <w:rPr>
          <w:rFonts w:ascii="宋体" w:hAnsi="宋体"/>
          <w:color w:val="000000" w:themeColor="text1"/>
          <w:szCs w:val="21"/>
          <w14:textFill>
            <w14:solidFill>
              <w14:schemeClr w14:val="tx1"/>
            </w14:solidFill>
          </w14:textFill>
        </w:rPr>
        <w:t>文件实质性内容的前提下，评审小组应当</w:t>
      </w:r>
      <w:r>
        <w:rPr>
          <w:rFonts w:hint="eastAsia" w:ascii="宋体" w:hAnsi="宋体"/>
          <w:color w:val="000000" w:themeColor="text1"/>
          <w:szCs w:val="21"/>
          <w14:textFill>
            <w14:solidFill>
              <w14:schemeClr w14:val="tx1"/>
            </w14:solidFill>
          </w14:textFill>
        </w:rPr>
        <w:t>对响应文件进行基础性数据分析和整理工作</w:t>
      </w:r>
      <w:r>
        <w:rPr>
          <w:rFonts w:ascii="宋体" w:hAnsi="宋体"/>
          <w:color w:val="000000" w:themeColor="text1"/>
          <w:szCs w:val="21"/>
          <w14:textFill>
            <w14:solidFill>
              <w14:schemeClr w14:val="tx1"/>
            </w14:solidFill>
          </w14:textFill>
        </w:rPr>
        <w:t>，发现并提取其中可能存在的对</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。评审小组对</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审议后，对于需要</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进行澄清、说明或补正的问题，形成</w:t>
      </w:r>
      <w:r>
        <w:rPr>
          <w:rFonts w:hint="eastAsia" w:ascii="宋体" w:hAnsi="宋体"/>
          <w:color w:val="000000" w:themeColor="text1"/>
          <w:szCs w:val="21"/>
          <w14:textFill>
            <w14:solidFill>
              <w14:schemeClr w14:val="tx1"/>
            </w14:solidFill>
          </w14:textFill>
        </w:rPr>
        <w:t>澄清问题清单</w:t>
      </w:r>
      <w:r>
        <w:rPr>
          <w:rFonts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应当按照评审小组的要求，</w:t>
      </w:r>
      <w:r>
        <w:rPr>
          <w:rFonts w:hint="eastAsia" w:ascii="宋体" w:hAnsi="宋体"/>
          <w:color w:val="000000" w:themeColor="text1"/>
          <w:szCs w:val="21"/>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rFonts w:hint="eastAsia" w:hAnsi="宋体"/>
          <w:color w:val="000000" w:themeColor="text1"/>
          <w:szCs w:val="21"/>
          <w14:textFill>
            <w14:solidFill>
              <w14:schemeClr w14:val="tx1"/>
            </w14:solidFill>
          </w14:textFill>
        </w:rPr>
        <w:t>根据第</w:t>
      </w:r>
      <w:r>
        <w:rPr>
          <w:rFonts w:hAnsi="宋体"/>
          <w:color w:val="000000" w:themeColor="text1"/>
          <w:szCs w:val="21"/>
          <w14:textFill>
            <w14:solidFill>
              <w14:schemeClr w14:val="tx1"/>
            </w14:solidFill>
          </w14:textFill>
        </w:rPr>
        <w:t>2.1</w:t>
      </w:r>
      <w:r>
        <w:rPr>
          <w:rFonts w:hint="eastAsia" w:hAnsi="宋体"/>
          <w:color w:val="000000" w:themeColor="text1"/>
          <w:szCs w:val="21"/>
          <w14:textFill>
            <w14:solidFill>
              <w14:schemeClr w14:val="tx1"/>
            </w14:solidFill>
          </w14:textFill>
        </w:rPr>
        <w:t>项规定的评审因素和评审标准，对供应商</w:t>
      </w:r>
      <w:r>
        <w:rPr>
          <w:rFonts w:hint="eastAsia"/>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响应文件进行初步审查。</w:t>
      </w:r>
      <w:r>
        <w:rPr>
          <w:rFonts w:hint="eastAsia" w:ascii="宋体" w:hAnsi="宋体" w:cs="宋体"/>
          <w:color w:val="000000" w:themeColor="text1"/>
          <w:szCs w:val="21"/>
          <w14:textFill>
            <w14:solidFill>
              <w14:schemeClr w14:val="tx1"/>
            </w14:solidFill>
          </w14:textFill>
        </w:rPr>
        <w:t>有一项不符合评审标准的，应当予以否决。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3.3.1 形式评审</w:t>
      </w:r>
    </w:p>
    <w:p>
      <w:pPr>
        <w:spacing w:line="360" w:lineRule="auto"/>
        <w:ind w:firstLine="420"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color w:val="000000" w:themeColor="text1"/>
          <w:szCs w:val="21"/>
          <w14:textFill>
            <w14:solidFill>
              <w14:schemeClr w14:val="tx1"/>
            </w14:solidFill>
          </w14:textFill>
        </w:rPr>
        <w:t>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文件进行形式评审。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3.3.2 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3.3.3 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3.3.4 算术错误修正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评审小组检查</w:t>
      </w:r>
      <w:r>
        <w:rPr>
          <w:rFonts w:hint="eastAsia"/>
          <w:color w:val="000000" w:themeColor="text1"/>
          <w:szCs w:val="21"/>
          <w14:textFill>
            <w14:solidFill>
              <w14:schemeClr w14:val="tx1"/>
            </w14:solidFill>
          </w14:textFill>
        </w:rPr>
        <w:t>供应商的</w:t>
      </w:r>
      <w:r>
        <w:rPr>
          <w:color w:val="000000" w:themeColor="text1"/>
          <w:szCs w:val="21"/>
          <w14:textFill>
            <w14:solidFill>
              <w14:schemeClr w14:val="tx1"/>
            </w14:solidFill>
          </w14:textFill>
        </w:rPr>
        <w:t>报价是否有算术错误，算术性错误分析和修正按以下原则进行，修正的价格经</w:t>
      </w:r>
      <w:r>
        <w:rPr>
          <w:rFonts w:hint="eastAsia"/>
          <w:color w:val="000000" w:themeColor="text1"/>
          <w:szCs w:val="21"/>
          <w14:textFill>
            <w14:solidFill>
              <w14:schemeClr w14:val="tx1"/>
            </w14:solidFill>
          </w14:textFill>
        </w:rPr>
        <w:t>供应商通过采购平台进行</w:t>
      </w:r>
      <w:r>
        <w:rPr>
          <w:color w:val="000000" w:themeColor="text1"/>
          <w:szCs w:val="21"/>
          <w14:textFill>
            <w14:solidFill>
              <w14:schemeClr w14:val="tx1"/>
            </w14:solidFill>
          </w14:textFill>
        </w:rPr>
        <w:t>确认后具有约束力。</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不接受修正价格的，应当</w:t>
      </w:r>
      <w:r>
        <w:rPr>
          <w:rFonts w:hint="eastAsia"/>
          <w:color w:val="000000" w:themeColor="text1"/>
          <w:szCs w:val="21"/>
          <w14:textFill>
            <w14:solidFill>
              <w14:schemeClr w14:val="tx1"/>
            </w14:solidFill>
          </w14:textFill>
        </w:rPr>
        <w:t>予以</w:t>
      </w:r>
      <w:r>
        <w:rPr>
          <w:color w:val="000000" w:themeColor="text1"/>
          <w:szCs w:val="21"/>
          <w14:textFill>
            <w14:solidFill>
              <w14:schemeClr w14:val="tx1"/>
            </w14:solidFill>
          </w14:textFill>
        </w:rPr>
        <w:t>否决。</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中的大写金额与小写金额不一致的，以大写金额为准；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总价金额与依据单价计算出的结果不一致的，以单价金额为准修正总价，但单价金额小数点有明显错误的除外。</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总</w:t>
      </w:r>
      <w:r>
        <w:rPr>
          <w:rFonts w:hAnsi="宋体"/>
          <w:color w:val="000000" w:themeColor="text1"/>
          <w:sz w:val="21"/>
          <w:szCs w:val="21"/>
          <w14:textFill>
            <w14:solidFill>
              <w14:schemeClr w14:val="tx1"/>
            </w14:solidFill>
          </w14:textFill>
        </w:rPr>
        <w:t>报价为各分项报价金额之和，</w:t>
      </w:r>
      <w:r>
        <w:rPr>
          <w:rFonts w:hint="eastAsia" w:hAnsi="宋体"/>
          <w:color w:val="000000" w:themeColor="text1"/>
          <w:sz w:val="21"/>
          <w:szCs w:val="21"/>
          <w14:textFill>
            <w14:solidFill>
              <w14:schemeClr w14:val="tx1"/>
            </w14:solidFill>
          </w14:textFill>
        </w:rPr>
        <w:t>总</w:t>
      </w:r>
      <w:r>
        <w:rPr>
          <w:rFonts w:hAnsi="宋体"/>
          <w:color w:val="000000" w:themeColor="text1"/>
          <w:sz w:val="21"/>
          <w:szCs w:val="21"/>
          <w14:textFill>
            <w14:solidFill>
              <w14:schemeClr w14:val="tx1"/>
            </w14:solidFill>
          </w14:textFill>
        </w:rPr>
        <w:t>报价与分项报价的合价不一致的，应以各分项合价累计数为准，修正</w:t>
      </w:r>
      <w:r>
        <w:rPr>
          <w:rFonts w:hint="eastAsia" w:hAnsi="宋体"/>
          <w:color w:val="000000" w:themeColor="text1"/>
          <w:sz w:val="21"/>
          <w:szCs w:val="21"/>
          <w14:textFill>
            <w14:solidFill>
              <w14:schemeClr w14:val="tx1"/>
            </w14:solidFill>
          </w14:textFill>
        </w:rPr>
        <w:t>总</w:t>
      </w:r>
      <w:r>
        <w:rPr>
          <w:rFonts w:hAnsi="宋体"/>
          <w:color w:val="000000" w:themeColor="text1"/>
          <w:sz w:val="21"/>
          <w:szCs w:val="21"/>
          <w14:textFill>
            <w14:solidFill>
              <w14:schemeClr w14:val="tx1"/>
            </w14:solidFill>
          </w14:textFill>
        </w:rPr>
        <w:t>报价；</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14:textFill>
            <w14:solidFill>
              <w14:schemeClr w14:val="tx1"/>
            </w14:solidFill>
          </w14:textFill>
        </w:rPr>
        <w:t>采购平台</w:t>
      </w:r>
      <w:r>
        <w:rPr>
          <w:rFonts w:hint="eastAsia" w:hAnsi="宋体"/>
          <w:color w:val="000000" w:themeColor="text1"/>
          <w:sz w:val="21"/>
          <w:szCs w:val="21"/>
          <w14:textFill>
            <w14:solidFill>
              <w14:schemeClr w14:val="tx1"/>
            </w14:solidFill>
          </w14:textFill>
        </w:rPr>
        <w:t>进行确认。供应商对修正结果有不同意见或未通过</w:t>
      </w:r>
      <w:r>
        <w:rPr>
          <w:rFonts w:hint="eastAsia"/>
          <w:color w:val="000000" w:themeColor="text1"/>
          <w:sz w:val="21"/>
          <w:szCs w:val="21"/>
          <w14:textFill>
            <w14:solidFill>
              <w14:schemeClr w14:val="tx1"/>
            </w14:solidFill>
          </w14:textFill>
        </w:rPr>
        <w:t>采购平台</w:t>
      </w:r>
      <w:r>
        <w:rPr>
          <w:rFonts w:hint="eastAsia" w:hAnsi="宋体"/>
          <w:color w:val="000000" w:themeColor="text1"/>
          <w:sz w:val="21"/>
          <w:szCs w:val="21"/>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在初步评审过程中，</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应当就</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文件中不明确的内容要求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进行澄清、说明或者补正。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3.3.6是否予以否决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在评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过程中，依据第二章附件2-2中规定的否决情形，判断是否对</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w:t>
      </w:r>
      <w:r>
        <w:rPr>
          <w:rFonts w:ascii="宋体" w:hAnsi="宋体"/>
          <w:color w:val="000000" w:themeColor="text1"/>
          <w:szCs w:val="21"/>
          <w14:textFill>
            <w14:solidFill>
              <w14:schemeClr w14:val="tx1"/>
            </w14:solidFill>
          </w14:textFill>
        </w:rPr>
        <w:t>集中列示的否决情形如果与第二章</w:t>
      </w:r>
      <w:r>
        <w:rPr>
          <w:rFonts w:hint="eastAsia"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竞争性采购须知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本章</w:t>
      </w:r>
      <w:r>
        <w:rPr>
          <w:rFonts w:ascii="宋体" w:hAnsi="宋体"/>
          <w:color w:val="000000" w:themeColor="text1"/>
          <w:szCs w:val="21"/>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初步评审合格的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进入详细评审。</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 xml:space="preserve">按本章第 2.2 </w:t>
      </w:r>
      <w:r>
        <w:rPr>
          <w:rFonts w:hint="eastAsia"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规定规定的评审因素和标准进行评审计分，并计算出评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总得分。</w:t>
      </w:r>
    </w:p>
    <w:p>
      <w:pPr>
        <w:pStyle w:val="59"/>
        <w:spacing w:line="360" w:lineRule="auto"/>
        <w:ind w:firstLine="420" w:firstLineChars="200"/>
        <w:rPr>
          <w:rFonts w:ascii="宋体" w:hAnsi="宋体" w:eastAsia="宋体"/>
          <w:color w:val="000000" w:themeColor="text1"/>
          <w:kern w:val="2"/>
          <w:sz w:val="21"/>
          <w:szCs w:val="21"/>
          <w14:textFill>
            <w14:solidFill>
              <w14:schemeClr w14:val="tx1"/>
            </w14:solidFill>
          </w14:textFill>
        </w:rPr>
      </w:pPr>
      <w:r>
        <w:rPr>
          <w:rFonts w:ascii="宋体" w:hAnsi="宋体" w:eastAsia="宋体"/>
          <w:color w:val="000000" w:themeColor="text1"/>
          <w:kern w:val="2"/>
          <w:sz w:val="21"/>
          <w:szCs w:val="21"/>
          <w14:textFill>
            <w14:solidFill>
              <w14:schemeClr w14:val="tx1"/>
            </w14:solidFill>
          </w14:textFill>
        </w:rPr>
        <w:t>3.</w:t>
      </w:r>
      <w:r>
        <w:rPr>
          <w:rFonts w:hint="eastAsia" w:ascii="宋体" w:hAnsi="宋体" w:eastAsia="宋体"/>
          <w:color w:val="000000" w:themeColor="text1"/>
          <w:kern w:val="2"/>
          <w:sz w:val="21"/>
          <w:szCs w:val="21"/>
          <w14:textFill>
            <w14:solidFill>
              <w14:schemeClr w14:val="tx1"/>
            </w14:solidFill>
          </w14:textFill>
        </w:rPr>
        <w:t>4.1 详细评审的程序</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（1）按本章第 2.2.2（1）目规定的评审因素和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对商务技术部分计算出得分 A；</w:t>
      </w:r>
      <w:r>
        <w:rPr>
          <w:rFonts w:hint="eastAsia" w:hAnsi="宋体"/>
          <w:color w:val="000000" w:themeColor="text1"/>
          <w:sz w:val="21"/>
          <w:szCs w:val="21"/>
          <w14:textFill>
            <w14:solidFill>
              <w14:schemeClr w14:val="tx1"/>
            </w14:solidFill>
          </w14:textFill>
        </w:rPr>
        <w:t>该部分由评审小组集体评审计分。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（3）按本章第 2.2.2（</w:t>
      </w:r>
      <w:r>
        <w:rPr>
          <w:rFonts w:hint="eastAsia" w:hAnsi="宋体"/>
          <w:color w:val="000000" w:themeColor="text1"/>
          <w:sz w:val="21"/>
          <w:szCs w:val="21"/>
          <w:lang w:val="en-US" w:eastAsia="zh-CN"/>
          <w14:textFill>
            <w14:solidFill>
              <w14:schemeClr w14:val="tx1"/>
            </w14:solidFill>
          </w14:textFill>
        </w:rPr>
        <w:t>2</w:t>
      </w:r>
      <w:r>
        <w:rPr>
          <w:rFonts w:hAnsi="宋体"/>
          <w:color w:val="000000" w:themeColor="text1"/>
          <w:sz w:val="21"/>
          <w:szCs w:val="21"/>
          <w14:textFill>
            <w14:solidFill>
              <w14:schemeClr w14:val="tx1"/>
            </w14:solidFill>
          </w14:textFill>
        </w:rPr>
        <w:t>）目规定的评审因素和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对报价</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 xml:space="preserve">计算出得分 </w:t>
      </w:r>
      <w:r>
        <w:rPr>
          <w:rFonts w:hint="eastAsia" w:hAnsi="宋体"/>
          <w:color w:val="000000" w:themeColor="text1"/>
          <w:sz w:val="21"/>
          <w:szCs w:val="21"/>
          <w:lang w:val="en-US" w:eastAsia="zh-CN"/>
          <w14:textFill>
            <w14:solidFill>
              <w14:schemeClr w14:val="tx1"/>
            </w14:solidFill>
          </w14:textFill>
        </w:rPr>
        <w:t>B</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该部分由评审小组集体评审计分。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3.4.2 澄清、说明或补正</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在详细评审过程中，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应当就</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文件中不明确的内容要求</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进行澄清、说明或者补正。</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3.4.3汇总评分结果</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详细评审工作全部结束后，汇总评审计分结果，</w:t>
      </w:r>
      <w:r>
        <w:rPr>
          <w:rFonts w:hint="eastAsia" w:hAnsi="宋体"/>
          <w:color w:val="000000" w:themeColor="text1"/>
          <w:sz w:val="21"/>
          <w:szCs w:val="21"/>
          <w14:textFill>
            <w14:solidFill>
              <w14:schemeClr w14:val="tx1"/>
            </w14:solidFill>
          </w14:textFill>
        </w:rPr>
        <w:t>并按</w:t>
      </w:r>
      <w:r>
        <w:rPr>
          <w:rFonts w:hint="eastAsia" w:hAnsi="宋体" w:cs="宋体"/>
          <w:color w:val="000000" w:themeColor="text1"/>
          <w:sz w:val="21"/>
          <w:szCs w:val="21"/>
          <w14:textFill>
            <w14:solidFill>
              <w14:schemeClr w14:val="tx1"/>
            </w14:solidFill>
          </w14:textFill>
        </w:rPr>
        <w:t>竞争性采购须知前附表</w:t>
      </w:r>
      <w:r>
        <w:rPr>
          <w:rFonts w:hint="eastAsia" w:hAnsi="宋体"/>
          <w:color w:val="000000" w:themeColor="text1"/>
          <w:sz w:val="21"/>
          <w:szCs w:val="21"/>
          <w14:textFill>
            <w14:solidFill>
              <w14:schemeClr w14:val="tx1"/>
            </w14:solidFill>
          </w14:textFill>
        </w:rPr>
        <w:t>规定的排序方法</w:t>
      </w:r>
      <w:r>
        <w:rPr>
          <w:rFonts w:hAnsi="宋体"/>
          <w:color w:val="000000" w:themeColor="text1"/>
          <w:sz w:val="21"/>
          <w:szCs w:val="21"/>
          <w14:textFill>
            <w14:solidFill>
              <w14:schemeClr w14:val="tx1"/>
            </w14:solidFill>
          </w14:textFill>
        </w:rPr>
        <w:t>对</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进行排序。</w:t>
      </w:r>
    </w:p>
    <w:p>
      <w:pPr>
        <w:pStyle w:val="187"/>
        <w:rPr>
          <w:rFonts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供应商得分=A</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商务技术部分权重</w:t>
      </w:r>
      <w:r>
        <w:rPr>
          <w:color w:val="000000" w:themeColor="text1"/>
          <w:sz w:val="21"/>
          <w:szCs w:val="21"/>
          <w14:textFill>
            <w14:solidFill>
              <w14:schemeClr w14:val="tx1"/>
            </w14:solidFill>
          </w14:textFill>
        </w:rPr>
        <w:t xml:space="preserve"> + </w:t>
      </w:r>
      <w:r>
        <w:rPr>
          <w:rFonts w:hint="eastAsia"/>
          <w:color w:val="000000" w:themeColor="text1"/>
          <w:sz w:val="21"/>
          <w:szCs w:val="21"/>
          <w:lang w:val="en-US" w:eastAsia="zh-CN"/>
          <w14:textFill>
            <w14:solidFill>
              <w14:schemeClr w14:val="tx1"/>
            </w14:solidFill>
          </w14:textFill>
        </w:rPr>
        <w:t>B</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报价部分权重</w:t>
      </w:r>
      <w:r>
        <w:rPr>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评分分值计算保留</w:t>
      </w:r>
      <w:r>
        <w:rPr>
          <w:rFonts w:hint="eastAsia" w:hAnsi="宋体"/>
          <w:color w:val="000000" w:themeColor="text1"/>
          <w:sz w:val="21"/>
          <w:szCs w:val="21"/>
          <w14:textFill>
            <w14:solidFill>
              <w14:schemeClr w14:val="tx1"/>
            </w14:solidFill>
          </w14:textFill>
        </w:rPr>
        <w:t>到</w:t>
      </w:r>
      <w:r>
        <w:rPr>
          <w:rFonts w:hAnsi="宋体"/>
          <w:color w:val="000000" w:themeColor="text1"/>
          <w:sz w:val="21"/>
          <w:szCs w:val="21"/>
          <w14:textFill>
            <w14:solidFill>
              <w14:schemeClr w14:val="tx1"/>
            </w14:solidFill>
          </w14:textFill>
        </w:rPr>
        <w:t>小数点后两位，小数点后第三位</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四舍五入</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 xml:space="preserve">5 </w:t>
      </w:r>
      <w:r>
        <w:rPr>
          <w:rFonts w:hint="eastAsia" w:ascii="宋体" w:hAnsi="宋体" w:cs="宋体"/>
          <w:b/>
          <w:bCs/>
          <w:color w:val="000000" w:themeColor="text1"/>
          <w:szCs w:val="21"/>
          <w14:textFill>
            <w14:solidFill>
              <w14:schemeClr w14:val="tx1"/>
            </w14:solidFill>
          </w14:textFill>
        </w:rPr>
        <w:t>推荐成交候选</w:t>
      </w:r>
      <w:r>
        <w:rPr>
          <w:rFonts w:hint="eastAsia" w:ascii="宋体" w:hAnsi="宋体" w:cs="宋体"/>
          <w:b/>
          <w:bCs/>
          <w:color w:val="000000" w:themeColor="text1"/>
          <w:szCs w:val="21"/>
          <w:lang w:eastAsia="zh-CN"/>
          <w14:textFill>
            <w14:solidFill>
              <w14:schemeClr w14:val="tx1"/>
            </w14:solidFill>
          </w14:textFill>
        </w:rPr>
        <w:t>供应商</w:t>
      </w:r>
      <w:r>
        <w:rPr>
          <w:rFonts w:hint="eastAsia" w:ascii="宋体" w:hAnsi="宋体" w:cs="宋体"/>
          <w:b/>
          <w:bCs/>
          <w:color w:val="000000" w:themeColor="text1"/>
          <w:szCs w:val="21"/>
          <w14:textFill>
            <w14:solidFill>
              <w14:schemeClr w14:val="tx1"/>
            </w14:solidFill>
          </w14:textFill>
        </w:rPr>
        <w:t>及提交评审报告</w:t>
      </w:r>
    </w:p>
    <w:p>
      <w:pPr>
        <w:pStyle w:val="187"/>
        <w:ind w:right="105"/>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评审小组按</w:t>
      </w:r>
      <w:r>
        <w:rPr>
          <w:rFonts w:hint="eastAsia" w:hAnsi="宋体" w:cs="宋体"/>
          <w:color w:val="000000" w:themeColor="text1"/>
          <w:sz w:val="21"/>
          <w:szCs w:val="21"/>
          <w14:textFill>
            <w14:solidFill>
              <w14:schemeClr w14:val="tx1"/>
            </w14:solidFill>
          </w14:textFill>
        </w:rPr>
        <w:t>竞争性采购须知前附表规定的排序方法推荐成交候选</w:t>
      </w:r>
      <w:r>
        <w:rPr>
          <w:rFonts w:hint="eastAsia" w:hAnsi="宋体" w:cs="宋体"/>
          <w:color w:val="000000" w:themeColor="text1"/>
          <w:sz w:val="21"/>
          <w:szCs w:val="21"/>
          <w:lang w:eastAsia="zh-CN"/>
          <w14:textFill>
            <w14:solidFill>
              <w14:schemeClr w14:val="tx1"/>
            </w14:solidFill>
          </w14:textFill>
        </w:rPr>
        <w:t>供应商</w:t>
      </w:r>
      <w:r>
        <w:rPr>
          <w:rFonts w:hint="eastAsia" w:hAnsi="宋体" w:cs="宋体"/>
          <w:color w:val="000000" w:themeColor="text1"/>
          <w:sz w:val="21"/>
          <w:szCs w:val="21"/>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其他补充条款</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 xml:space="preserve">3.6.1 </w:t>
      </w:r>
      <w:r>
        <w:rPr>
          <w:rFonts w:hint="eastAsia" w:hAnsi="宋体"/>
          <w:color w:val="000000" w:themeColor="text1"/>
          <w:sz w:val="21"/>
          <w:szCs w:val="21"/>
          <w14:textFill>
            <w14:solidFill>
              <w14:schemeClr w14:val="tx1"/>
            </w14:solidFill>
          </w14:textFill>
        </w:rPr>
        <w:t>对</w:t>
      </w:r>
      <w:r>
        <w:rPr>
          <w:rFonts w:hAnsi="宋体"/>
          <w:color w:val="000000" w:themeColor="text1"/>
          <w:sz w:val="21"/>
          <w:szCs w:val="21"/>
          <w14:textFill>
            <w14:solidFill>
              <w14:schemeClr w14:val="tx1"/>
            </w14:solidFill>
          </w14:textFill>
        </w:rPr>
        <w:t>澄清、说明或补正</w:t>
      </w:r>
      <w:r>
        <w:rPr>
          <w:rFonts w:hint="eastAsia" w:hAnsi="宋体"/>
          <w:color w:val="000000" w:themeColor="text1"/>
          <w:sz w:val="21"/>
          <w:szCs w:val="21"/>
          <w14:textFill>
            <w14:solidFill>
              <w14:schemeClr w14:val="tx1"/>
            </w14:solidFill>
          </w14:textFill>
        </w:rPr>
        <w:t>的要求</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过程中，评审小组可以要求供应商</w:t>
      </w:r>
      <w:r>
        <w:rPr>
          <w:rFonts w:hint="eastAsia" w:hAnsi="宋体"/>
          <w:color w:val="000000" w:themeColor="text1"/>
          <w:sz w:val="21"/>
          <w:szCs w:val="21"/>
          <w14:textFill>
            <w14:solidFill>
              <w14:schemeClr w14:val="tx1"/>
            </w14:solidFill>
          </w14:textFill>
        </w:rPr>
        <w:t>对所提交的响应文件中不明确的内容进行澄清或说明，或者对细微偏差进行补正。</w:t>
      </w:r>
      <w:r>
        <w:rPr>
          <w:rFonts w:hAnsi="宋体"/>
          <w:color w:val="000000" w:themeColor="text1"/>
          <w:sz w:val="21"/>
          <w:szCs w:val="21"/>
          <w14:textFill>
            <w14:solidFill>
              <w14:schemeClr w14:val="tx1"/>
            </w14:solidFill>
          </w14:textFill>
        </w:rPr>
        <w:t>澄清、说明或补正应</w:t>
      </w:r>
      <w:r>
        <w:rPr>
          <w:rFonts w:hint="eastAsia" w:hAnsi="宋体"/>
          <w:color w:val="000000" w:themeColor="text1"/>
          <w:sz w:val="21"/>
          <w:szCs w:val="21"/>
          <w14:textFill>
            <w14:solidFill>
              <w14:schemeClr w14:val="tx1"/>
            </w14:solidFill>
          </w14:textFill>
        </w:rPr>
        <w:t>在采购平台</w:t>
      </w:r>
      <w:r>
        <w:rPr>
          <w:rFonts w:hAnsi="宋体"/>
          <w:color w:val="000000" w:themeColor="text1"/>
          <w:sz w:val="21"/>
          <w:szCs w:val="21"/>
          <w14:textFill>
            <w14:solidFill>
              <w14:schemeClr w14:val="tx1"/>
            </w14:solidFill>
          </w14:textFill>
        </w:rPr>
        <w:t>进行。评审小组不接受供应商主动提出的澄清、说明或补正。</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（2）供应商在评审过程中作出的</w:t>
      </w:r>
      <w:r>
        <w:rPr>
          <w:rFonts w:hAnsi="宋体"/>
          <w:color w:val="000000" w:themeColor="text1"/>
          <w:sz w:val="21"/>
          <w:szCs w:val="21"/>
          <w14:textFill>
            <w14:solidFill>
              <w14:schemeClr w14:val="tx1"/>
            </w14:solidFill>
          </w14:textFill>
        </w:rPr>
        <w:t>澄清、说明或补正不得改变</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文件的实质性内容</w:t>
      </w:r>
      <w:r>
        <w:rPr>
          <w:rFonts w:hint="eastAsia" w:hAnsi="宋体"/>
          <w:color w:val="000000" w:themeColor="text1"/>
          <w:sz w:val="21"/>
          <w:szCs w:val="21"/>
          <w14:textFill>
            <w14:solidFill>
              <w14:schemeClr w14:val="tx1"/>
            </w14:solidFill>
          </w14:textFill>
        </w:rPr>
        <w:t>（算术性错误修正的除外）。供应商的澄清、说明和补正属于响应文件的组成部分。</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（3）供应商应当在规定的时间内通过采购平台提供加盖公章或法定代表人（或其委托代理人）签署的澄清、说明或者补正资料。</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评审小组对供应商提交的澄清、说明或补正有疑问的，可以要求供应商进一步澄清、说明或补正，直至满足评审小组的要求。</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.6.2关于评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审小组成员</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除非发生下列情况之一，不得在评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因不可抗拒的原因，评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成员不能到场或需在评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根据法律法规规定，某个或某几个评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成员需要回避。</w:t>
      </w:r>
    </w:p>
    <w:p>
      <w:pPr>
        <w:pStyle w:val="187"/>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的评审小组成员，其已完成的评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行为无效。由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有关规定</w:t>
      </w:r>
      <w:r>
        <w:rPr>
          <w:rFonts w:hAnsi="宋体"/>
          <w:color w:val="000000" w:themeColor="text1"/>
          <w:sz w:val="21"/>
          <w:szCs w:val="21"/>
          <w14:textFill>
            <w14:solidFill>
              <w14:schemeClr w14:val="tx1"/>
            </w14:solidFill>
          </w14:textFill>
        </w:rPr>
        <w:t>另行确定替代者进行评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w:t>
      </w:r>
    </w:p>
    <w:p>
      <w:pPr>
        <w:pStyle w:val="43"/>
      </w:pPr>
    </w:p>
    <w:p>
      <w:pPr>
        <w:spacing w:line="560" w:lineRule="exact"/>
        <w:jc w:val="center"/>
        <w:rPr>
          <w:rFonts w:ascii="宋体" w:hAnsi="宋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rPr>
          <w:rFonts w:ascii="宋体"/>
          <w:color w:val="000000" w:themeColor="text1"/>
          <w14:textFill>
            <w14:solidFill>
              <w14:schemeClr w14:val="tx1"/>
            </w14:solidFill>
          </w14:textFill>
        </w:rPr>
      </w:pPr>
      <w:bookmarkStart w:id="18" w:name="_Toc1964"/>
      <w:bookmarkStart w:id="19" w:name="_Toc8265"/>
      <w:bookmarkStart w:id="20" w:name="_Toc15306"/>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pPr>
      <w:bookmarkStart w:id="21" w:name="_Toc13416"/>
      <w:bookmarkStart w:id="22" w:name="_Toc2682"/>
      <w:r>
        <w:rPr>
          <w:rFonts w:hint="eastAsia" w:ascii="黑体" w:eastAsia="黑体"/>
          <w:b/>
          <w:color w:val="000000" w:themeColor="text1"/>
          <w:sz w:val="32"/>
          <w:szCs w:val="32"/>
          <w14:textFill>
            <w14:solidFill>
              <w14:schemeClr w14:val="tx1"/>
            </w14:solidFill>
          </w14:textFill>
        </w:rPr>
        <w:t>第四章 合同条款及格式</w:t>
      </w:r>
      <w:bookmarkEnd w:id="21"/>
      <w:bookmarkEnd w:id="22"/>
    </w:p>
    <w:p>
      <w:pPr>
        <w:jc w:val="left"/>
        <w:rPr>
          <w:rFonts w:ascii="仿宋_GB2312" w:hAnsi="仿宋_GB2312" w:eastAsia="仿宋_GB2312" w:cs="仿宋_GB2312"/>
          <w:b/>
          <w:sz w:val="24"/>
        </w:rPr>
      </w:pPr>
      <w:r>
        <w:rPr>
          <w:rFonts w:hint="eastAsia" w:ascii="仿宋_GB2312" w:hAnsi="仿宋_GB2312" w:eastAsia="仿宋_GB2312" w:cs="仿宋_GB2312"/>
          <w:b/>
          <w:sz w:val="24"/>
        </w:rPr>
        <w:t>版本号：CSGDHT-LWFW2018-20201215</w:t>
      </w:r>
    </w:p>
    <w:p>
      <w:pPr>
        <w:jc w:val="right"/>
        <w:rPr>
          <w:rFonts w:ascii="仿宋_GB2312" w:hAnsi="仿宋_GB2312" w:eastAsia="仿宋_GB2312" w:cs="仿宋_GB2312"/>
          <w:b/>
          <w:sz w:val="24"/>
        </w:rPr>
      </w:pPr>
    </w:p>
    <w:p>
      <w:pPr>
        <w:jc w:val="right"/>
        <w:rPr>
          <w:rFonts w:ascii="仿宋_GB2312" w:hAnsi="仿宋_GB2312" w:eastAsia="仿宋_GB2312" w:cs="仿宋_GB2312"/>
          <w:sz w:val="28"/>
        </w:rPr>
      </w:pPr>
      <w:r>
        <w:rPr>
          <w:rFonts w:hint="eastAsia" w:ascii="仿宋_GB2312" w:hAnsi="仿宋_GB2312" w:eastAsia="仿宋_GB2312" w:cs="仿宋_GB2312"/>
          <w:b/>
          <w:sz w:val="24"/>
        </w:rPr>
        <w:t>合同编号：</w:t>
      </w:r>
      <w:r>
        <w:rPr>
          <w:rFonts w:hint="eastAsia" w:ascii="仿宋_GB2312" w:hAnsi="仿宋_GB2312" w:eastAsia="仿宋_GB2312" w:cs="仿宋_GB2312"/>
          <w:sz w:val="24"/>
          <w:u w:val="dotted"/>
        </w:rPr>
        <w:t xml:space="preserve">         合同【20   】   号</w:t>
      </w:r>
    </w:p>
    <w:p>
      <w:pPr>
        <w:snapToGrid w:val="0"/>
        <w:spacing w:line="700" w:lineRule="exact"/>
        <w:rPr>
          <w:rFonts w:ascii="仿宋_GB2312" w:hAnsi="仿宋_GB2312" w:eastAsia="仿宋_GB2312" w:cs="仿宋_GB2312"/>
          <w:b/>
          <w:sz w:val="52"/>
          <w:szCs w:val="52"/>
        </w:rPr>
      </w:pPr>
    </w:p>
    <w:p>
      <w:pPr>
        <w:snapToGrid w:val="0"/>
        <w:spacing w:line="360" w:lineRule="auto"/>
        <w:jc w:val="center"/>
        <w:rPr>
          <w:rFonts w:ascii="仿宋_GB2312" w:hAnsi="仿宋_GB2312" w:eastAsia="仿宋_GB2312" w:cs="仿宋_GB2312"/>
          <w:b/>
          <w:sz w:val="52"/>
          <w:szCs w:val="52"/>
        </w:rPr>
      </w:pPr>
    </w:p>
    <w:p>
      <w:pPr>
        <w:snapToGrid w:val="0"/>
        <w:spacing w:line="360" w:lineRule="auto"/>
        <w:jc w:val="center"/>
        <w:rPr>
          <w:rFonts w:ascii="仿宋_GB2312" w:hAnsi="仿宋_GB2312" w:eastAsia="仿宋_GB2312" w:cs="仿宋_GB2312"/>
          <w:b/>
          <w:sz w:val="52"/>
          <w:szCs w:val="52"/>
        </w:rPr>
      </w:pPr>
    </w:p>
    <w:p>
      <w:pPr>
        <w:snapToGrid w:val="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劳务服务合同</w:t>
      </w:r>
    </w:p>
    <w:p>
      <w:pPr>
        <w:spacing w:before="312" w:beforeLines="100" w:line="300" w:lineRule="auto"/>
        <w:jc w:val="center"/>
        <w:rPr>
          <w:rFonts w:ascii="仿宋_GB2312" w:hAnsi="仿宋_GB2312" w:eastAsia="仿宋_GB2312" w:cs="仿宋_GB2312"/>
          <w:b/>
          <w:sz w:val="24"/>
        </w:rPr>
      </w:pPr>
    </w:p>
    <w:p>
      <w:pPr>
        <w:spacing w:before="312" w:beforeLines="100" w:line="300" w:lineRule="auto"/>
        <w:jc w:val="center"/>
        <w:rPr>
          <w:rFonts w:ascii="仿宋_GB2312" w:hAnsi="仿宋_GB2312" w:eastAsia="仿宋_GB2312" w:cs="仿宋_GB2312"/>
          <w:b/>
          <w:sz w:val="24"/>
        </w:rPr>
      </w:pPr>
    </w:p>
    <w:p>
      <w:pPr>
        <w:ind w:firstLine="1063" w:firstLineChars="378"/>
        <w:rPr>
          <w:rFonts w:ascii="仿宋_GB2312" w:hAnsi="仿宋_GB2312" w:eastAsia="仿宋_GB2312" w:cs="仿宋_GB2312"/>
          <w:b/>
          <w:sz w:val="28"/>
        </w:rPr>
      </w:pPr>
      <w:bookmarkStart w:id="23" w:name="_Toc471995641"/>
      <w:bookmarkStart w:id="24" w:name="OLE_LINK1"/>
    </w:p>
    <w:p>
      <w:pPr>
        <w:ind w:firstLine="1063" w:firstLineChars="378"/>
        <w:rPr>
          <w:rFonts w:ascii="仿宋_GB2312" w:hAnsi="仿宋_GB2312" w:eastAsia="仿宋_GB2312" w:cs="仿宋_GB2312"/>
          <w:b/>
          <w:sz w:val="28"/>
          <w:u w:val="single"/>
        </w:rPr>
      </w:pPr>
      <w:r>
        <w:rPr>
          <w:rFonts w:hint="eastAsia" w:ascii="仿宋_GB2312" w:hAnsi="仿宋_GB2312" w:eastAsia="仿宋_GB2312" w:cs="仿宋_GB2312"/>
          <w:b/>
          <w:sz w:val="28"/>
        </w:rPr>
        <w:t>项目名称：</w:t>
      </w:r>
      <w:r>
        <w:rPr>
          <w:rFonts w:hint="eastAsia" w:ascii="仿宋_GB2312" w:hAnsi="仿宋_GB2312" w:eastAsia="仿宋_GB2312" w:cs="仿宋_GB2312"/>
          <w:sz w:val="28"/>
          <w:szCs w:val="28"/>
          <w:u w:val="dotted"/>
        </w:rPr>
        <w:t>长沙市轨道交通西环线运营期2023年-2024年九华车辆基地食堂劳务委外服务项目</w:t>
      </w:r>
    </w:p>
    <w:p>
      <w:pPr>
        <w:ind w:firstLine="1058" w:firstLineChars="378"/>
        <w:rPr>
          <w:rFonts w:ascii="仿宋_GB2312" w:hAnsi="仿宋_GB2312" w:eastAsia="仿宋_GB2312" w:cs="仿宋_GB2312"/>
          <w:sz w:val="28"/>
          <w:u w:val="single"/>
        </w:rPr>
      </w:pPr>
    </w:p>
    <w:p>
      <w:pPr>
        <w:ind w:firstLine="1063" w:firstLineChars="378"/>
        <w:rPr>
          <w:rFonts w:ascii="仿宋_GB2312" w:hAnsi="仿宋_GB2312" w:eastAsia="仿宋_GB2312" w:cs="仿宋_GB2312"/>
          <w:b/>
          <w:sz w:val="28"/>
        </w:rPr>
      </w:pPr>
      <w:r>
        <w:rPr>
          <w:rFonts w:hint="eastAsia" w:ascii="仿宋_GB2312" w:hAnsi="仿宋_GB2312" w:eastAsia="仿宋_GB2312" w:cs="仿宋_GB2312"/>
          <w:b/>
          <w:sz w:val="28"/>
        </w:rPr>
        <w:t>项目地点：</w:t>
      </w:r>
      <w:r>
        <w:rPr>
          <w:rFonts w:hint="eastAsia" w:ascii="仿宋_GB2312" w:hAnsi="仿宋_GB2312" w:eastAsia="仿宋_GB2312" w:cs="仿宋_GB2312"/>
          <w:sz w:val="28"/>
          <w:szCs w:val="28"/>
          <w:u w:val="dotted"/>
        </w:rPr>
        <w:t xml:space="preserve">            湖南省长沙市             </w:t>
      </w:r>
    </w:p>
    <w:p>
      <w:pPr>
        <w:ind w:firstLine="1058" w:firstLineChars="378"/>
        <w:rPr>
          <w:rFonts w:ascii="仿宋_GB2312" w:hAnsi="仿宋_GB2312" w:eastAsia="仿宋_GB2312" w:cs="仿宋_GB2312"/>
          <w:sz w:val="28"/>
        </w:rPr>
      </w:pPr>
    </w:p>
    <w:p>
      <w:pPr>
        <w:ind w:firstLine="1063" w:firstLineChars="378"/>
        <w:rPr>
          <w:rFonts w:ascii="仿宋_GB2312" w:hAnsi="仿宋_GB2312" w:eastAsia="仿宋_GB2312" w:cs="仿宋_GB2312"/>
          <w:b/>
          <w:sz w:val="28"/>
          <w:u w:val="single"/>
        </w:rPr>
      </w:pPr>
      <w:r>
        <w:rPr>
          <w:rFonts w:hint="eastAsia" w:ascii="仿宋_GB2312" w:hAnsi="仿宋_GB2312" w:eastAsia="仿宋_GB2312" w:cs="仿宋_GB2312"/>
          <w:b/>
          <w:sz w:val="28"/>
        </w:rPr>
        <w:t>甲    方：</w:t>
      </w:r>
      <w:r>
        <w:rPr>
          <w:rFonts w:hint="eastAsia" w:ascii="仿宋_GB2312" w:hAnsi="仿宋_GB2312" w:eastAsia="仿宋_GB2312" w:cs="仿宋_GB2312"/>
          <w:sz w:val="28"/>
          <w:szCs w:val="28"/>
          <w:u w:val="dotted"/>
          <w:lang w:val="en-US" w:eastAsia="zh-CN"/>
        </w:rPr>
        <w:t>长沙市轨道交通运营有限公司</w:t>
      </w:r>
    </w:p>
    <w:p>
      <w:pPr>
        <w:ind w:firstLine="1058" w:firstLineChars="378"/>
        <w:rPr>
          <w:rFonts w:ascii="仿宋_GB2312" w:hAnsi="仿宋_GB2312" w:eastAsia="仿宋_GB2312" w:cs="仿宋_GB2312"/>
          <w:sz w:val="28"/>
        </w:rPr>
      </w:pPr>
    </w:p>
    <w:p>
      <w:pPr>
        <w:ind w:firstLine="1063" w:firstLineChars="378"/>
        <w:rPr>
          <w:rFonts w:ascii="仿宋_GB2312" w:hAnsi="仿宋_GB2312" w:eastAsia="仿宋_GB2312" w:cs="仿宋_GB2312"/>
          <w:b/>
          <w:sz w:val="28"/>
          <w:u w:val="single"/>
        </w:rPr>
      </w:pPr>
      <w:r>
        <w:rPr>
          <w:rFonts w:hint="eastAsia" w:ascii="仿宋_GB2312" w:hAnsi="仿宋_GB2312" w:eastAsia="仿宋_GB2312" w:cs="仿宋_GB2312"/>
          <w:b/>
          <w:sz w:val="28"/>
        </w:rPr>
        <w:t>乙    方：</w:t>
      </w:r>
      <w:r>
        <w:rPr>
          <w:rFonts w:hint="eastAsia" w:ascii="仿宋_GB2312" w:hAnsi="仿宋_GB2312" w:eastAsia="仿宋_GB2312" w:cs="仿宋_GB2312"/>
          <w:sz w:val="28"/>
          <w:szCs w:val="28"/>
          <w:u w:val="dotted"/>
        </w:rPr>
        <w:t xml:space="preserve">                                     </w:t>
      </w:r>
    </w:p>
    <w:p>
      <w:pPr>
        <w:pStyle w:val="219"/>
        <w:keepNext w:val="0"/>
        <w:keepLines w:val="0"/>
        <w:adjustRightInd w:val="0"/>
        <w:snapToGrid w:val="0"/>
        <w:spacing w:before="0" w:after="156" w:afterLines="50" w:line="240" w:lineRule="auto"/>
        <w:ind w:firstLine="907" w:firstLineChars="378"/>
        <w:jc w:val="center"/>
        <w:rPr>
          <w:rFonts w:ascii="仿宋_GB2312" w:hAnsi="仿宋_GB2312" w:eastAsia="仿宋_GB2312" w:cs="仿宋_GB2312"/>
          <w:b w:val="0"/>
          <w:szCs w:val="36"/>
          <w:lang w:val="zh-CN"/>
        </w:rPr>
        <w:sectPr>
          <w:footerReference r:id="rId10" w:type="first"/>
          <w:headerReference r:id="rId8" w:type="default"/>
          <w:footerReference r:id="rId9" w:type="default"/>
          <w:pgSz w:w="11850" w:h="16783"/>
          <w:pgMar w:top="1440" w:right="1800" w:bottom="1440" w:left="1800" w:header="851" w:footer="992" w:gutter="0"/>
          <w:pgNumType w:fmt="decimal"/>
          <w:cols w:space="720" w:num="1"/>
          <w:docGrid w:type="lines" w:linePitch="312" w:charSpace="0"/>
        </w:sectPr>
      </w:pPr>
    </w:p>
    <w:p>
      <w:pPr>
        <w:pStyle w:val="24"/>
        <w:adjustRightInd w:val="0"/>
        <w:snapToGrid w:val="0"/>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第一部分 合同协议书</w:t>
      </w:r>
      <w:bookmarkEnd w:id="23"/>
      <w:bookmarkEnd w:id="24"/>
    </w:p>
    <w:p>
      <w:pPr>
        <w:adjustRightInd w:val="0"/>
        <w:snapToGrid w:val="0"/>
        <w:spacing w:line="360" w:lineRule="auto"/>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甲方（全称）</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长沙市轨道交通运营有限公司</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乙方（全称）</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p>
    <w:p>
      <w:pPr>
        <w:spacing w:line="360" w:lineRule="auto"/>
        <w:ind w:firstLine="420" w:firstLineChars="175"/>
        <w:rPr>
          <w:rFonts w:ascii="仿宋_GB2312" w:hAnsi="仿宋_GB2312" w:eastAsia="仿宋_GB2312" w:cs="仿宋_GB2312"/>
          <w:sz w:val="24"/>
        </w:rPr>
      </w:pPr>
      <w:bookmarkStart w:id="25" w:name="_Toc457826139"/>
      <w:bookmarkStart w:id="26" w:name="_Toc406150410"/>
      <w:bookmarkStart w:id="27" w:name="_Toc249428983"/>
      <w:bookmarkStart w:id="28" w:name="_Toc360736714"/>
      <w:bookmarkStart w:id="29" w:name="_Toc249429992"/>
      <w:r>
        <w:rPr>
          <w:rFonts w:hint="eastAsia" w:ascii="仿宋_GB2312" w:hAnsi="仿宋_GB2312" w:eastAsia="仿宋_GB2312" w:cs="仿宋_GB2312"/>
          <w:sz w:val="24"/>
        </w:rPr>
        <w:t>根据《中华人民共和国民法典》及其他有关法律、法规，遵循平等、自愿、公平和诚实信用的原则，双方就下述项目的劳务服务及其他相关事项协商一致，订立本合同。</w:t>
      </w:r>
    </w:p>
    <w:p>
      <w:pPr>
        <w:spacing w:line="360" w:lineRule="auto"/>
        <w:ind w:firstLine="422" w:firstLineChars="175"/>
        <w:rPr>
          <w:rFonts w:ascii="仿宋_GB2312" w:hAnsi="仿宋_GB2312" w:eastAsia="仿宋_GB2312" w:cs="仿宋_GB2312"/>
          <w:b/>
          <w:kern w:val="0"/>
          <w:sz w:val="24"/>
        </w:rPr>
      </w:pPr>
      <w:r>
        <w:rPr>
          <w:rFonts w:hint="eastAsia" w:ascii="仿宋_GB2312" w:hAnsi="仿宋_GB2312" w:eastAsia="仿宋_GB2312" w:cs="仿宋_GB2312"/>
          <w:b/>
          <w:kern w:val="0"/>
          <w:sz w:val="24"/>
        </w:rPr>
        <w:t>一、项目概况</w:t>
      </w:r>
      <w:bookmarkEnd w:id="25"/>
      <w:bookmarkEnd w:id="26"/>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1、项目名称：</w:t>
      </w:r>
      <w:r>
        <w:rPr>
          <w:rFonts w:hint="eastAsia" w:ascii="仿宋_GB2312" w:hAnsi="仿宋_GB2312" w:eastAsia="仿宋_GB2312" w:cs="仿宋_GB2312"/>
          <w:kern w:val="0"/>
          <w:sz w:val="24"/>
          <w:u w:val="single"/>
        </w:rPr>
        <w:t>长沙市轨道交通西环线运营期2023年-2024年九华车辆基地食堂劳务委外服务项目</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2、项目地点：</w:t>
      </w:r>
      <w:r>
        <w:rPr>
          <w:rFonts w:hint="eastAsia" w:ascii="仿宋_GB2312" w:hAnsi="仿宋_GB2312" w:eastAsia="仿宋_GB2312" w:cs="仿宋_GB2312"/>
          <w:kern w:val="0"/>
          <w:sz w:val="24"/>
          <w:u w:val="single"/>
        </w:rPr>
        <w:t xml:space="preserve"> 湖南省长沙市 </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3、项目规模、特征：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lang w:val="en-US" w:eastAsia="zh-CN"/>
        </w:rPr>
        <w:t>/</w:t>
      </w:r>
      <w:r>
        <w:rPr>
          <w:rFonts w:hint="eastAsia" w:ascii="仿宋_GB2312" w:hAnsi="仿宋_GB2312" w:eastAsia="仿宋_GB2312" w:cs="仿宋_GB2312"/>
          <w:kern w:val="0"/>
          <w:sz w:val="24"/>
          <w:u w:val="single"/>
        </w:rPr>
        <w:t xml:space="preserve"> </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二、服务范围及工作内容</w:t>
      </w:r>
    </w:p>
    <w:p>
      <w:pPr>
        <w:adjustRightInd w:val="0"/>
        <w:snapToGrid w:val="0"/>
        <w:spacing w:line="360" w:lineRule="auto"/>
        <w:ind w:firstLine="480"/>
        <w:rPr>
          <w:rFonts w:ascii="仿宋_GB2312" w:hAnsi="仿宋_GB2312" w:eastAsia="仿宋_GB2312" w:cs="仿宋_GB2312"/>
        </w:rPr>
      </w:pP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w:t>
      </w:r>
      <w:r>
        <w:rPr>
          <w:rFonts w:hint="eastAsia" w:ascii="仿宋_GB2312" w:hAnsi="仿宋_GB2312" w:eastAsia="仿宋_GB2312" w:cs="仿宋_GB2312"/>
          <w:kern w:val="0"/>
          <w:sz w:val="24"/>
        </w:rPr>
        <w:t>具体以用户需求书/技术规格书为准。</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三、服务期限</w:t>
      </w:r>
    </w:p>
    <w:p>
      <w:pPr>
        <w:adjustRightInd w:val="0"/>
        <w:snapToGrid w:val="0"/>
        <w:spacing w:line="360" w:lineRule="auto"/>
        <w:ind w:firstLine="480" w:firstLineChars="200"/>
        <w:rPr>
          <w:rFonts w:ascii="仿宋_GB2312" w:hAnsi="仿宋_GB2312" w:eastAsia="仿宋_GB2312" w:cs="仿宋_GB2312"/>
        </w:rPr>
      </w:pP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lang w:eastAsia="zh-CN"/>
        </w:rPr>
        <w:t>，</w:t>
      </w:r>
      <w:r>
        <w:rPr>
          <w:rFonts w:hint="eastAsia" w:ascii="仿宋_GB2312" w:hAnsi="仿宋_GB2312" w:eastAsia="仿宋_GB2312" w:cs="仿宋_GB2312"/>
          <w:kern w:val="0"/>
          <w:sz w:val="24"/>
        </w:rPr>
        <w:t>具体以用户需求书/技术规格书为准。</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四、合同价款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1、签约合同价为含增值税价，</w:t>
      </w:r>
      <w:r>
        <w:rPr>
          <w:rFonts w:eastAsia="仿宋_GB2312"/>
          <w:sz w:val="24"/>
        </w:rPr>
        <w:t>金额为人民币（大写）</w:t>
      </w:r>
      <w:r>
        <w:rPr>
          <w:rFonts w:eastAsia="仿宋_GB2312"/>
          <w:sz w:val="24"/>
          <w:u w:val="single"/>
        </w:rPr>
        <w:t xml:space="preserve">       </w:t>
      </w:r>
      <w:r>
        <w:rPr>
          <w:rFonts w:eastAsia="仿宋_GB2312"/>
          <w:sz w:val="24"/>
        </w:rPr>
        <w:t>（¥</w:t>
      </w:r>
      <w:r>
        <w:rPr>
          <w:rFonts w:eastAsia="仿宋_GB2312"/>
          <w:sz w:val="24"/>
          <w:u w:val="single"/>
        </w:rPr>
        <w:t xml:space="preserve">     </w:t>
      </w:r>
      <w:r>
        <w:rPr>
          <w:rFonts w:eastAsia="仿宋_GB2312"/>
          <w:sz w:val="24"/>
        </w:rPr>
        <w:t>），其中，不含增值税价格为¥</w:t>
      </w:r>
      <w:r>
        <w:rPr>
          <w:rFonts w:eastAsia="仿宋_GB2312"/>
          <w:sz w:val="24"/>
          <w:u w:val="single"/>
        </w:rPr>
        <w:t xml:space="preserve">     </w:t>
      </w:r>
      <w:r>
        <w:rPr>
          <w:rFonts w:eastAsia="仿宋_GB2312"/>
          <w:sz w:val="24"/>
        </w:rPr>
        <w:t>、签约合同价中的增值税为¥</w:t>
      </w:r>
      <w:r>
        <w:rPr>
          <w:rFonts w:eastAsia="仿宋_GB2312"/>
          <w:sz w:val="24"/>
          <w:u w:val="single"/>
        </w:rPr>
        <w:t xml:space="preserve">     </w:t>
      </w:r>
      <w:r>
        <w:rPr>
          <w:rFonts w:eastAsia="仿宋_GB2312"/>
          <w:sz w:val="24"/>
        </w:rPr>
        <w:t>。</w:t>
      </w:r>
      <w:r>
        <w:rPr>
          <w:rFonts w:hint="eastAsia" w:ascii="仿宋_GB2312" w:hAnsi="仿宋_GB2312" w:eastAsia="仿宋_GB2312" w:cs="仿宋_GB2312"/>
          <w:sz w:val="24"/>
        </w:rPr>
        <w:t>增值税根据乙方提供给甲方的增值税专用发票中的税额据实支付和结算。</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2、价款形式为：</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单价合同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合同执行过程中，合同单价固定不变，不随政府政策（长沙市规定的最低工资标准变化等）及市场物价上涨或回落等因素调整</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/□总价合同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合同执行过程中，合同总价固定不变，不随政府政策（长沙市规定的最低工资标准变化等）及市场物价上涨或回落等因素调整</w:t>
      </w:r>
      <w:r>
        <w:rPr>
          <w:rFonts w:hint="eastAsia" w:ascii="仿宋_GB2312" w:hAnsi="仿宋_GB2312" w:eastAsia="仿宋_GB2312" w:cs="仿宋_GB2312"/>
          <w:b/>
          <w:sz w:val="24"/>
          <w:u w:val="single"/>
        </w:rPr>
        <w:t>）</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3、按长沙市政府或其职能部门相关规定，本项目的合同价格（即结算价格）最终以</w:t>
      </w:r>
      <w:r>
        <w:rPr>
          <w:rFonts w:hint="eastAsia" w:ascii="仿宋_GB2312" w:hAnsi="仿宋_GB2312" w:eastAsia="仿宋_GB2312" w:cs="仿宋_GB2312"/>
          <w:sz w:val="24"/>
          <w:u w:val="single"/>
        </w:rPr>
        <w:t>□长沙市政府相关职能部门或长沙市轨道交通集团有限公司授权的单位审定价款为准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履约验收合格确定的最终价款为准</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价格包括乙方完成合同规定服务范围内工作内容产生的成本（包括人工（含岗位轮休、遇突击任务需临时增加人员）、培训、财务、服装、装备、设备、材料、工器具、耗材等及由此产生的管理费）、保险（含养老、医疗、失业、工伤、生育、大病保险）、税金、利润等所有费用。</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五、合同文件构成</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本合同文件组成及优先顺序为</w:t>
      </w:r>
      <w:r>
        <w:rPr>
          <w:rFonts w:hint="eastAsia" w:ascii="仿宋_GB2312" w:hAnsi="仿宋_GB2312" w:eastAsia="仿宋_GB2312" w:cs="仿宋_GB2312"/>
          <w:kern w:val="0"/>
          <w:sz w:val="24"/>
        </w:rPr>
        <w:t>：</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（1）补充协议（如果有）；</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（2）合同协议书；</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bCs/>
          <w:kern w:val="0"/>
          <w:sz w:val="24"/>
        </w:rPr>
        <w:t>中标通知书/中选通知书</w:t>
      </w:r>
      <w:r>
        <w:rPr>
          <w:rFonts w:hint="eastAsia" w:ascii="仿宋_GB2312" w:hAnsi="仿宋_GB2312" w:eastAsia="仿宋_GB2312" w:cs="仿宋_GB2312"/>
          <w:sz w:val="24"/>
        </w:rPr>
        <w:t>/谈判记录表</w:t>
      </w:r>
      <w:r>
        <w:rPr>
          <w:rFonts w:hint="eastAsia" w:ascii="仿宋_GB2312" w:hAnsi="仿宋_GB2312" w:eastAsia="仿宋_GB2312" w:cs="仿宋_GB2312"/>
          <w:kern w:val="0"/>
          <w:sz w:val="24"/>
        </w:rPr>
        <w:t>;</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（4）合同条款;</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bCs/>
          <w:kern w:val="0"/>
          <w:sz w:val="24"/>
        </w:rPr>
        <w:t>用户需求书/技术规格书</w:t>
      </w:r>
      <w:r>
        <w:rPr>
          <w:rFonts w:hint="eastAsia" w:ascii="仿宋_GB2312" w:hAnsi="仿宋_GB2312" w:eastAsia="仿宋_GB2312" w:cs="仿宋_GB2312"/>
          <w:kern w:val="0"/>
          <w:sz w:val="24"/>
        </w:rPr>
        <w:t>;</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（6）签约合同价清单；</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（7）合同附件及乙方按合同附录格式及要求出具的文件；</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（8）招标文件/自主竞争性谈判文件/直接委托谈判文件及澄清与答疑文件及其它补充资料；</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（9）投标文件/谈判响应文件及澄清文件及其它补充资料；</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（10）其他构成本合同的文件。</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上述各项合同文件包括合同当事人就该项合同文件所作出的补充和修改，属于同一类内容的文件，应以最新签署的为准。</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pacing w:line="360" w:lineRule="auto"/>
        <w:ind w:firstLine="422" w:firstLineChars="175"/>
        <w:jc w:val="left"/>
        <w:rPr>
          <w:rFonts w:ascii="仿宋_GB2312" w:hAnsi="仿宋_GB2312" w:eastAsia="仿宋_GB2312" w:cs="仿宋_GB2312"/>
          <w:b/>
          <w:kern w:val="0"/>
          <w:sz w:val="24"/>
        </w:rPr>
      </w:pPr>
      <w:bookmarkStart w:id="30" w:name="_Toc406150417"/>
      <w:bookmarkStart w:id="31" w:name="_Toc457826146"/>
      <w:r>
        <w:rPr>
          <w:rFonts w:hint="eastAsia" w:ascii="仿宋_GB2312" w:hAnsi="仿宋_GB2312" w:eastAsia="仿宋_GB2312" w:cs="仿宋_GB2312"/>
          <w:b/>
          <w:kern w:val="0"/>
          <w:sz w:val="24"/>
        </w:rPr>
        <w:t>六、词语定义</w:t>
      </w:r>
      <w:bookmarkEnd w:id="30"/>
      <w:bookmarkEnd w:id="31"/>
    </w:p>
    <w:p>
      <w:pPr>
        <w:spacing w:line="360" w:lineRule="auto"/>
        <w:ind w:firstLine="420" w:firstLineChars="175"/>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bookmarkStart w:id="32" w:name="_Toc351203489"/>
      <w:bookmarkStart w:id="33" w:name="_Toc457826147"/>
      <w:bookmarkStart w:id="34" w:name="_Toc406150418"/>
    </w:p>
    <w:p>
      <w:pPr>
        <w:spacing w:line="360" w:lineRule="auto"/>
        <w:ind w:firstLine="422" w:firstLineChars="175"/>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bookmarkEnd w:id="32"/>
      <w:bookmarkEnd w:id="33"/>
      <w:bookmarkEnd w:id="34"/>
    </w:p>
    <w:p>
      <w:pPr>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p>
    <w:p>
      <w:pPr>
        <w:spacing w:line="360" w:lineRule="auto"/>
        <w:ind w:firstLine="422" w:firstLineChars="175"/>
        <w:jc w:val="left"/>
        <w:rPr>
          <w:rFonts w:ascii="仿宋_GB2312" w:hAnsi="仿宋_GB2312" w:eastAsia="仿宋_GB2312" w:cs="仿宋_GB2312"/>
          <w:b/>
          <w:kern w:val="0"/>
          <w:sz w:val="24"/>
        </w:rPr>
      </w:pPr>
      <w:bookmarkStart w:id="35" w:name="_Toc406150419"/>
      <w:bookmarkStart w:id="36" w:name="_Toc457826148"/>
      <w:bookmarkStart w:id="37" w:name="_Toc351203490"/>
      <w:r>
        <w:rPr>
          <w:rFonts w:hint="eastAsia" w:ascii="仿宋_GB2312" w:hAnsi="仿宋_GB2312" w:eastAsia="仿宋_GB2312" w:cs="仿宋_GB2312"/>
          <w:b/>
          <w:kern w:val="0"/>
          <w:sz w:val="24"/>
        </w:rPr>
        <w:t>八、签订地点</w:t>
      </w:r>
      <w:bookmarkEnd w:id="35"/>
      <w:bookmarkEnd w:id="36"/>
      <w:bookmarkEnd w:id="37"/>
    </w:p>
    <w:p>
      <w:pPr>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pPr>
        <w:spacing w:line="360" w:lineRule="auto"/>
        <w:ind w:firstLine="422" w:firstLineChars="175"/>
        <w:jc w:val="left"/>
        <w:rPr>
          <w:rFonts w:ascii="仿宋_GB2312" w:hAnsi="仿宋_GB2312" w:eastAsia="仿宋_GB2312" w:cs="仿宋_GB2312"/>
          <w:b/>
          <w:kern w:val="0"/>
          <w:sz w:val="24"/>
        </w:rPr>
      </w:pPr>
      <w:bookmarkStart w:id="38" w:name="_Toc457826149"/>
      <w:bookmarkStart w:id="39" w:name="_Toc351203492"/>
      <w:bookmarkStart w:id="40" w:name="_Toc406150420"/>
      <w:r>
        <w:rPr>
          <w:rFonts w:hint="eastAsia" w:ascii="仿宋_GB2312" w:hAnsi="仿宋_GB2312" w:eastAsia="仿宋_GB2312" w:cs="仿宋_GB2312"/>
          <w:b/>
          <w:kern w:val="0"/>
          <w:sz w:val="24"/>
        </w:rPr>
        <w:t>九、合同生效</w:t>
      </w:r>
      <w:bookmarkEnd w:id="38"/>
      <w:bookmarkEnd w:id="39"/>
      <w:bookmarkEnd w:id="40"/>
    </w:p>
    <w:p>
      <w:pPr>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p>
    <w:p>
      <w:pPr>
        <w:spacing w:line="360" w:lineRule="auto"/>
        <w:ind w:firstLine="422" w:firstLineChars="175"/>
        <w:jc w:val="left"/>
        <w:rPr>
          <w:rFonts w:ascii="仿宋_GB2312" w:hAnsi="仿宋_GB2312" w:eastAsia="仿宋_GB2312" w:cs="仿宋_GB2312"/>
          <w:b/>
          <w:kern w:val="0"/>
          <w:sz w:val="24"/>
        </w:rPr>
      </w:pPr>
      <w:bookmarkStart w:id="41" w:name="_Toc457826150"/>
      <w:r>
        <w:rPr>
          <w:rFonts w:hint="eastAsia" w:ascii="仿宋_GB2312" w:hAnsi="仿宋_GB2312" w:eastAsia="仿宋_GB2312" w:cs="仿宋_GB2312"/>
          <w:b/>
          <w:kern w:val="0"/>
          <w:sz w:val="24"/>
        </w:rPr>
        <w:t>十、合同份数</w:t>
      </w:r>
      <w:bookmarkEnd w:id="41"/>
    </w:p>
    <w:p>
      <w:pPr>
        <w:adjustRightInd w:val="0"/>
        <w:snapToGrid w:val="0"/>
        <w:spacing w:line="360" w:lineRule="auto"/>
        <w:ind w:firstLine="420" w:firstLineChars="175"/>
        <w:jc w:val="left"/>
        <w:rPr>
          <w:rFonts w:ascii="仿宋_GB2312" w:hAnsi="仿宋_GB2312" w:eastAsia="仿宋_GB2312" w:cs="仿宋_GB2312"/>
          <w:sz w:val="24"/>
        </w:rPr>
      </w:pPr>
      <w:r>
        <w:rPr>
          <w:rFonts w:hint="eastAsia" w:ascii="仿宋_GB2312" w:hAnsi="仿宋_GB2312" w:eastAsia="仿宋_GB2312" w:cs="仿宋_GB2312"/>
          <w:sz w:val="24"/>
        </w:rPr>
        <w:t>本合同正本</w:t>
      </w:r>
      <w:r>
        <w:rPr>
          <w:rFonts w:hint="eastAsia" w:ascii="仿宋_GB2312" w:hAnsi="仿宋_GB2312" w:eastAsia="仿宋_GB2312" w:cs="仿宋_GB2312"/>
          <w:sz w:val="24"/>
          <w:u w:val="single"/>
        </w:rPr>
        <w:t>二</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十</w:t>
      </w:r>
      <w:r>
        <w:rPr>
          <w:rFonts w:hint="eastAsia" w:ascii="仿宋_GB2312" w:hAnsi="仿宋_GB2312" w:eastAsia="仿宋_GB2312" w:cs="仿宋_GB2312"/>
          <w:sz w:val="24"/>
        </w:rPr>
        <w:t>份，甲方持正本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七</w:t>
      </w:r>
      <w:r>
        <w:rPr>
          <w:rFonts w:hint="eastAsia" w:ascii="仿宋_GB2312" w:hAnsi="仿宋_GB2312" w:eastAsia="仿宋_GB2312" w:cs="仿宋_GB2312"/>
          <w:sz w:val="24"/>
        </w:rPr>
        <w:t>份，乙方持正本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三</w:t>
      </w:r>
      <w:r>
        <w:rPr>
          <w:rFonts w:hint="eastAsia" w:ascii="仿宋_GB2312" w:hAnsi="仿宋_GB2312" w:eastAsia="仿宋_GB2312" w:cs="仿宋_GB2312"/>
          <w:sz w:val="24"/>
        </w:rPr>
        <w:t>份。合同正本与副本具有同等效力，当合同副本与正本之间存有差异时，以合同正本为准。</w:t>
      </w:r>
    </w:p>
    <w:p>
      <w:pPr>
        <w:adjustRightInd w:val="0"/>
        <w:snapToGrid w:val="0"/>
        <w:spacing w:line="360" w:lineRule="auto"/>
        <w:ind w:firstLine="480" w:firstLineChars="200"/>
        <w:rPr>
          <w:rFonts w:ascii="仿宋_GB2312" w:hAnsi="仿宋_GB2312" w:eastAsia="仿宋_GB2312" w:cs="仿宋_GB2312"/>
          <w:sz w:val="24"/>
        </w:rPr>
        <w:sectPr>
          <w:footerReference r:id="rId12" w:type="first"/>
          <w:footerReference r:id="rId11" w:type="default"/>
          <w:pgSz w:w="11850" w:h="16783"/>
          <w:pgMar w:top="1440" w:right="1361" w:bottom="1440" w:left="1474" w:header="851" w:footer="992" w:gutter="0"/>
          <w:pgNumType w:fmt="decimal"/>
          <w:cols w:space="720" w:num="1"/>
          <w:titlePg/>
          <w:docGrid w:type="lines" w:linePitch="312" w:charSpace="0"/>
        </w:sectPr>
      </w:pPr>
    </w:p>
    <w:p>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（本页无正文）</w:t>
      </w:r>
    </w:p>
    <w:p>
      <w:pPr>
        <w:adjustRightInd w:val="0"/>
        <w:snapToGrid w:val="0"/>
        <w:spacing w:line="360" w:lineRule="auto"/>
        <w:jc w:val="left"/>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tbl>
      <w:tblPr>
        <w:tblStyle w:val="44"/>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pStyle w:val="24"/>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4"/>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c>
          <w:tcPr>
            <w:tcW w:w="4252"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邮编：</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电话：</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传真：</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66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账号：</w:t>
            </w:r>
          </w:p>
          <w:p>
            <w:pPr>
              <w:pStyle w:val="24"/>
              <w:snapToGrid w:val="0"/>
              <w:spacing w:line="360" w:lineRule="auto"/>
              <w:rPr>
                <w:rFonts w:ascii="仿宋_GB2312" w:hAnsi="仿宋_GB2312" w:eastAsia="仿宋_GB2312" w:cs="仿宋_GB2312"/>
                <w:sz w:val="24"/>
              </w:rPr>
            </w:pP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仿宋_GB2312" w:hAnsi="仿宋_GB2312" w:eastAsia="仿宋_GB2312" w:cs="仿宋_GB2312"/>
          <w:b/>
          <w:sz w:val="24"/>
        </w:rPr>
      </w:pPr>
    </w:p>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sz w:val="24"/>
        </w:rPr>
        <w:sectPr>
          <w:pgSz w:w="11850" w:h="16783"/>
          <w:pgMar w:top="1440" w:right="1361" w:bottom="1440" w:left="1474" w:header="851" w:footer="992" w:gutter="0"/>
          <w:pgNumType w:fmt="decimal"/>
          <w:cols w:space="720" w:num="1"/>
          <w:titlePg/>
          <w:docGrid w:type="lines" w:linePitch="312" w:charSpace="0"/>
        </w:sectPr>
      </w:pPr>
      <w:bookmarkStart w:id="42" w:name="_Toc471995642"/>
    </w:p>
    <w:bookmarkEnd w:id="42"/>
    <w:p>
      <w:pPr>
        <w:pStyle w:val="41"/>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仿宋_GB2312" w:hAnsi="仿宋_GB2312" w:eastAsia="仿宋_GB2312" w:cs="仿宋_GB2312"/>
        </w:rPr>
      </w:pPr>
      <w:bookmarkStart w:id="43" w:name="_Toc471995643"/>
      <w:bookmarkStart w:id="44" w:name="_Toc30002"/>
      <w:bookmarkStart w:id="45" w:name="_Toc438"/>
      <w:r>
        <w:rPr>
          <w:rFonts w:hint="eastAsia" w:ascii="仿宋_GB2312" w:hAnsi="仿宋_GB2312" w:eastAsia="仿宋_GB2312" w:cs="仿宋_GB2312"/>
        </w:rPr>
        <w:t>第二部分 合同条款</w:t>
      </w:r>
      <w:bookmarkEnd w:id="43"/>
      <w:bookmarkEnd w:id="44"/>
      <w:bookmarkEnd w:id="45"/>
    </w:p>
    <w:p>
      <w:pPr>
        <w:adjustRightInd w:val="0"/>
        <w:snapToGrid w:val="0"/>
        <w:spacing w:line="360" w:lineRule="auto"/>
        <w:ind w:firstLine="472" w:firstLineChars="196"/>
        <w:outlineLvl w:val="9"/>
        <w:rPr>
          <w:rFonts w:ascii="仿宋_GB2312" w:hAnsi="仿宋_GB2312" w:eastAsia="仿宋_GB2312" w:cs="仿宋_GB2312"/>
          <w:b/>
          <w:bCs/>
          <w:sz w:val="24"/>
        </w:rPr>
      </w:pPr>
      <w:bookmarkStart w:id="46" w:name="_Toc368066686"/>
      <w:bookmarkStart w:id="47" w:name="_Toc28651"/>
      <w:bookmarkStart w:id="48" w:name="_Toc7761"/>
      <w:r>
        <w:rPr>
          <w:rFonts w:hint="eastAsia" w:ascii="仿宋_GB2312" w:hAnsi="仿宋_GB2312" w:eastAsia="仿宋_GB2312" w:cs="仿宋_GB2312"/>
          <w:b/>
          <w:bCs/>
          <w:sz w:val="24"/>
        </w:rPr>
        <w:t>1、</w:t>
      </w:r>
      <w:bookmarkEnd w:id="46"/>
      <w:r>
        <w:rPr>
          <w:rFonts w:hint="eastAsia" w:ascii="仿宋_GB2312" w:hAnsi="仿宋_GB2312" w:eastAsia="仿宋_GB2312" w:cs="仿宋_GB2312"/>
          <w:b/>
          <w:bCs/>
          <w:sz w:val="24"/>
        </w:rPr>
        <w:t>定义</w:t>
      </w:r>
      <w:bookmarkEnd w:id="47"/>
      <w:bookmarkEnd w:id="48"/>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1.1 “合同” 指甲乙双方签署的、合同协议书中载明的甲乙双方所达成的协议，包括所有的附件、附录和上述文件所提到的构成合同的所有文件。</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1.2 “签约合同价” 是指甲方和乙方在合同协议书中确定的金额，即本项目的中标价或中选价或成交价。</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1.3 “合同价格” 是指根据本合同规定乙方在正确地完全履行合同义务后，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1.4 “服务”是指根据本合同规定乙方在本项目中应承担所有工作和一切义务。</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1.5 “甲方”是指委托服务的一方以及其合法继承人，即合同协议书中所述的甲方。</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1.6 “乙方”是指承担服务的一方以及其合法继承人，即合同协议书中所述的乙方。</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1.7 “现场”是指合同协议书中明确的履行服务的现场。</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1.8 “日”是指任何一天零时至第二天零时的时间段。</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1.9 “月”是指根据公历从一个月份中任何一天开始到下一个月相应日期的前一天的时间段。</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1.10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1.11 “书面形式”是指合同书、信件和数据电文（包括电报、电传、传真、电子数据交换和电子邮件）等可以有形地表现所载内容的形式。</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1.12 “不可抗力”是指甲方和乙方在订立本合同时不可预见，在合同履行过程中不可避免并不能克服的自然灾害和社会性突发事件，如地震、海啸、瘟疫、水灾、骚乱、暴动、战争等情形。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1.13 “有责投诉”是指违反法律法规、合同条款、规章制度、劳动纪律、作业标准及设备设施不良、管理不善等原因，影响乘客服务体验、利益受损或对长沙地铁运营品牌、形象带来不良影响，对乙方及乙方人员有责任的投诉。</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1.14 “履约验收”系指按照长沙市政府相关职能部门或长沙市轨道交通集团有限公司或长沙市轨道交通集团有限公司授权的单位制定的履约验收相关管理规定办理验收。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72" w:firstLineChars="196"/>
        <w:outlineLvl w:val="9"/>
        <w:rPr>
          <w:rFonts w:ascii="仿宋_GB2312" w:hAnsi="仿宋_GB2312" w:eastAsia="仿宋_GB2312" w:cs="仿宋_GB2312"/>
          <w:b/>
          <w:bCs/>
          <w:sz w:val="24"/>
        </w:rPr>
      </w:pPr>
      <w:bookmarkStart w:id="49" w:name="_Toc457826158"/>
      <w:bookmarkStart w:id="50" w:name="_Toc406150428"/>
      <w:bookmarkStart w:id="51" w:name="_Toc351203502"/>
      <w:bookmarkStart w:id="52" w:name="_Toc337558733"/>
      <w:bookmarkStart w:id="53" w:name="_Toc296346534"/>
      <w:bookmarkStart w:id="54" w:name="_Toc296503033"/>
      <w:bookmarkStart w:id="55" w:name="_Toc20721"/>
      <w:bookmarkStart w:id="56" w:name="_Toc12453"/>
      <w:r>
        <w:rPr>
          <w:rFonts w:hint="eastAsia" w:ascii="仿宋_GB2312" w:hAnsi="仿宋_GB2312" w:eastAsia="仿宋_GB2312" w:cs="仿宋_GB2312"/>
          <w:b/>
          <w:bCs/>
          <w:sz w:val="24"/>
        </w:rPr>
        <w:t>2、联络</w:t>
      </w:r>
      <w:bookmarkEnd w:id="49"/>
      <w:bookmarkEnd w:id="50"/>
      <w:bookmarkEnd w:id="51"/>
    </w:p>
    <w:bookmarkEnd w:id="52"/>
    <w:bookmarkEnd w:id="53"/>
    <w:bookmarkEnd w:id="54"/>
    <w:p>
      <w:pPr>
        <w:tabs>
          <w:tab w:val="left" w:pos="540"/>
          <w:tab w:val="left" w:pos="720"/>
        </w:tabs>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与合同有关的批准文件、通知、证明、证书、指示、指令、要求、请求、意见、确定和决定等，均应采用书面形式或合同双方确认的其他形式。</w:t>
      </w:r>
    </w:p>
    <w:p>
      <w:pPr>
        <w:adjustRightInd w:val="0"/>
        <w:snapToGrid w:val="0"/>
        <w:spacing w:line="360" w:lineRule="auto"/>
        <w:ind w:firstLine="472" w:firstLineChars="196"/>
        <w:outlineLvl w:val="9"/>
        <w:rPr>
          <w:rFonts w:ascii="仿宋_GB2312" w:hAnsi="仿宋_GB2312" w:eastAsia="仿宋_GB2312" w:cs="仿宋_GB2312"/>
          <w:b/>
          <w:bCs/>
          <w:sz w:val="24"/>
        </w:rPr>
      </w:pPr>
      <w:r>
        <w:rPr>
          <w:rFonts w:hint="eastAsia" w:ascii="仿宋_GB2312" w:hAnsi="仿宋_GB2312" w:eastAsia="仿宋_GB2312" w:cs="仿宋_GB2312"/>
          <w:b/>
          <w:bCs/>
          <w:sz w:val="24"/>
        </w:rPr>
        <w:t>3、标准和规范</w:t>
      </w:r>
      <w:bookmarkEnd w:id="55"/>
      <w:bookmarkEnd w:id="56"/>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3.1 适用国家标准、行业标准、项目所在地的地方性标准，以及相应的规范、规程等。</w:t>
      </w:r>
    </w:p>
    <w:p>
      <w:pPr>
        <w:pStyle w:val="42"/>
        <w:adjustRightInd w:val="0"/>
        <w:snapToGrid w:val="0"/>
        <w:spacing w:after="0" w:line="360" w:lineRule="auto"/>
        <w:ind w:firstLine="480" w:firstLineChars="200"/>
        <w:rPr>
          <w:rFonts w:hint="default" w:ascii="仿宋_GB2312" w:hAnsi="仿宋_GB2312" w:eastAsia="仿宋_GB2312" w:cs="仿宋_GB2312"/>
          <w:b/>
          <w:bCs/>
          <w:color w:val="auto"/>
          <w:sz w:val="24"/>
        </w:rPr>
      </w:pPr>
      <w:r>
        <w:rPr>
          <w:rFonts w:ascii="仿宋_GB2312" w:hAnsi="仿宋_GB2312" w:eastAsia="仿宋_GB2312" w:cs="仿宋_GB2312"/>
          <w:color w:val="auto"/>
          <w:sz w:val="24"/>
        </w:rPr>
        <w:t>3.2 甲方对本项目的技术标准或功能的其他要求以用户需求书/技术规格书为准。</w:t>
      </w:r>
    </w:p>
    <w:p>
      <w:pPr>
        <w:adjustRightInd w:val="0"/>
        <w:snapToGrid w:val="0"/>
        <w:spacing w:line="360" w:lineRule="auto"/>
        <w:ind w:firstLine="472" w:firstLineChars="196"/>
        <w:outlineLvl w:val="9"/>
        <w:rPr>
          <w:rFonts w:ascii="仿宋_GB2312" w:hAnsi="仿宋_GB2312" w:eastAsia="仿宋_GB2312" w:cs="仿宋_GB2312"/>
          <w:b/>
          <w:bCs/>
          <w:sz w:val="24"/>
        </w:rPr>
      </w:pPr>
      <w:r>
        <w:rPr>
          <w:rFonts w:hint="eastAsia" w:ascii="仿宋_GB2312" w:hAnsi="仿宋_GB2312" w:eastAsia="仿宋_GB2312" w:cs="仿宋_GB2312"/>
          <w:b/>
          <w:bCs/>
          <w:sz w:val="24"/>
        </w:rPr>
        <w:t>4、价款支付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 进度款支付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进度款按月计量支付，其中：</w:t>
      </w:r>
    </w:p>
    <w:p>
      <w:pPr>
        <w:adjustRightInd w:val="0"/>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单价合同的进度款</w:t>
      </w:r>
      <w:r>
        <w:rPr>
          <w:rFonts w:hint="eastAsia" w:ascii="仿宋_GB2312" w:hAnsi="仿宋_GB2312" w:eastAsia="仿宋_GB2312" w:cs="仿宋_GB2312"/>
          <w:bCs/>
          <w:sz w:val="24"/>
        </w:rPr>
        <w:t>为每月计量金额（即当月实际服务工作量*中标单价/中选单价/成交单价）综合当月检查考评结果后的金额。</w:t>
      </w:r>
    </w:p>
    <w:p>
      <w:pPr>
        <w:adjustRightInd w:val="0"/>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总价合同的进度款</w:t>
      </w:r>
      <w:r>
        <w:rPr>
          <w:rFonts w:hint="eastAsia" w:ascii="仿宋_GB2312" w:hAnsi="仿宋_GB2312" w:eastAsia="仿宋_GB2312" w:cs="仿宋_GB2312"/>
          <w:bCs/>
          <w:sz w:val="24"/>
        </w:rPr>
        <w:t>为签约合同价的月平均数综合当月检查考评结果后的金额。</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进度款支付应</w:t>
      </w:r>
      <w:r>
        <w:rPr>
          <w:rFonts w:hint="eastAsia" w:ascii="仿宋_GB2312" w:hAnsi="仿宋_GB2312" w:eastAsia="仿宋_GB2312" w:cs="仿宋_GB2312"/>
          <w:bCs/>
          <w:sz w:val="24"/>
        </w:rPr>
        <w:t>在每月的考核验收合</w:t>
      </w:r>
      <w:r>
        <w:rPr>
          <w:rFonts w:hint="eastAsia" w:ascii="仿宋_GB2312" w:hAnsi="仿宋_GB2312" w:eastAsia="仿宋_GB2312" w:cs="仿宋_GB2312"/>
          <w:sz w:val="24"/>
        </w:rPr>
        <w:t>格后，乙方凭当次应支付款额度100%的增值税专用发票原件、有效期内的履约担保复印件及甲方出具的当月检查考评得分记录，办理每月的请款手续；甲方在收到乙方的上述请款材料并确认无误后的28个工作日内向乙方进行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 结算款支付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乙方正确地完全履行合同义务，且</w:t>
      </w:r>
      <w:r>
        <w:rPr>
          <w:rFonts w:hint="eastAsia" w:ascii="仿宋_GB2312" w:hAnsi="仿宋_GB2312" w:eastAsia="仿宋_GB2312" w:cs="仿宋_GB2312"/>
          <w:sz w:val="24"/>
          <w:u w:val="single"/>
        </w:rPr>
        <w:t>□本项目的合同价格（即结算价格）经长沙市政府相关职能部门或长沙市轨道交通集团有限公司授权的单位审定</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本项目履约验收合格</w:t>
      </w:r>
      <w:r>
        <w:rPr>
          <w:rFonts w:hint="eastAsia" w:ascii="仿宋_GB2312" w:hAnsi="仿宋_GB2312" w:eastAsia="仿宋_GB2312" w:cs="仿宋_GB2312"/>
          <w:kern w:val="0"/>
          <w:sz w:val="24"/>
        </w:rPr>
        <w:t>后，</w:t>
      </w:r>
      <w:r>
        <w:rPr>
          <w:rFonts w:hint="eastAsia" w:ascii="仿宋_GB2312" w:hAnsi="仿宋_GB2312" w:eastAsia="仿宋_GB2312" w:cs="仿宋_GB2312"/>
          <w:sz w:val="24"/>
        </w:rPr>
        <w:t>按上述进度款支付约定的方式，乙方凭当次支付款额度100%的增值税专用发票原件及甲方出具的当月检查考评结果，办理最后一个月服务费的请款手续；甲方在收到乙方的上述请款材料并确认无误后的28个工作日内向乙方进行支付。</w:t>
      </w:r>
    </w:p>
    <w:bookmarkEnd w:id="27"/>
    <w:bookmarkEnd w:id="28"/>
    <w:bookmarkEnd w:id="29"/>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napToGrid w:val="0"/>
          <w:sz w:val="24"/>
        </w:rPr>
        <w:t>5、</w:t>
      </w:r>
      <w:r>
        <w:rPr>
          <w:rFonts w:hint="eastAsia" w:ascii="仿宋_GB2312" w:hAnsi="仿宋_GB2312" w:eastAsia="仿宋_GB2312" w:cs="仿宋_GB2312"/>
          <w:b/>
          <w:sz w:val="24"/>
        </w:rPr>
        <w:t>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5.1 乙方</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 如需要乙方提供履约担保，则：</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30"/>
          <w:szCs w:val="30"/>
        </w:rPr>
      </w:pPr>
      <w:r>
        <w:rPr>
          <w:rFonts w:hint="eastAsia" w:ascii="仿宋_GB2312" w:hAnsi="仿宋_GB2312" w:eastAsia="仿宋_GB2312" w:cs="仿宋_GB2312"/>
          <w:kern w:val="0"/>
          <w:sz w:val="24"/>
        </w:rPr>
        <w:t>5.2.1 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5.2.2 乙方提供履约担保的形式、金额及期限可采用以下两种方式之一：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5.2.3 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5.2.5在乙方完成其合同义务包括任何保证义务后，甲方将把履约担保无息退还乙方。</w:t>
      </w:r>
    </w:p>
    <w:p>
      <w:pPr>
        <w:adjustRightInd w:val="0"/>
        <w:snapToGrid w:val="0"/>
        <w:spacing w:line="360" w:lineRule="auto"/>
        <w:ind w:firstLine="480"/>
        <w:rPr>
          <w:rFonts w:ascii="仿宋_GB2312" w:hAnsi="仿宋_GB2312" w:eastAsia="仿宋_GB2312" w:cs="仿宋_GB2312"/>
          <w:b/>
          <w:bCs/>
          <w:sz w:val="24"/>
        </w:rPr>
      </w:pPr>
      <w:r>
        <w:rPr>
          <w:rFonts w:hint="eastAsia" w:ascii="仿宋_GB2312" w:hAnsi="仿宋_GB2312" w:eastAsia="仿宋_GB2312" w:cs="仿宋_GB2312"/>
          <w:b/>
          <w:sz w:val="24"/>
        </w:rPr>
        <w:t>6、甲方</w:t>
      </w:r>
      <w:r>
        <w:rPr>
          <w:rFonts w:hint="eastAsia" w:ascii="仿宋_GB2312" w:hAnsi="仿宋_GB2312" w:eastAsia="仿宋_GB2312" w:cs="仿宋_GB2312"/>
          <w:b/>
          <w:bCs/>
          <w:sz w:val="24"/>
        </w:rPr>
        <w:t>权利和义务</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 甲方有权对乙方提供的服务依法、依规进行必要的监管，乙方必须配合及服从。</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 甲方有权对乙方进行定期和不定期检查（具体要求详见用户需求书/技术规格书），并依据检查考核打分的情况按照合同约定的方式向乙方办理支付手续。</w:t>
      </w:r>
    </w:p>
    <w:p>
      <w:pPr>
        <w:adjustRightInd w:val="0"/>
        <w:snapToGrid w:val="0"/>
        <w:spacing w:line="360" w:lineRule="auto"/>
        <w:ind w:firstLine="480"/>
        <w:rPr>
          <w:rFonts w:ascii="仿宋_GB2312" w:hAnsi="仿宋_GB2312" w:eastAsia="仿宋_GB2312" w:cs="仿宋_GB2312"/>
          <w:b/>
          <w:bCs/>
          <w:sz w:val="24"/>
        </w:rPr>
      </w:pPr>
      <w:r>
        <w:rPr>
          <w:rFonts w:hint="eastAsia" w:ascii="仿宋_GB2312" w:hAnsi="仿宋_GB2312" w:eastAsia="仿宋_GB2312" w:cs="仿宋_GB2312"/>
          <w:sz w:val="24"/>
        </w:rPr>
        <w:t>6.3 甲方有权查询乙方发放给其人员的工资和相关费用以及为其人员购买的社会保险等情况。</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6.4 在合同实施过程中，甲方有权根据实际情况对乙方所服务的工作范围、内容进行调整（包括增加和减少服务内容），乙方须无条件服从甲方的调整安排。</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6.5 甲方有权要求乙方更换不称职人员，乙方应积极响应并在收到甲方书面通知后3个工作日内予以调整，紧急情况下乙方应在24小时内予以更换，并不得将已更换的乙方人员安排到项目现场的其他岗位或甲方其他项目。</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6.6 甲方无偿提供乙方放置工器具、材料的临时场地或设施，并可视情况免费提供办公场所。</w:t>
      </w:r>
    </w:p>
    <w:p>
      <w:pPr>
        <w:autoSpaceDE w:val="0"/>
        <w:autoSpaceDN w:val="0"/>
        <w:adjustRightInd w:val="0"/>
        <w:snapToGrid w:val="0"/>
        <w:spacing w:line="360" w:lineRule="auto"/>
        <w:ind w:firstLine="480" w:firstLineChars="200"/>
        <w:jc w:val="left"/>
        <w:rPr>
          <w:rFonts w:ascii="仿宋_GB2312" w:hAnsi="仿宋_GB2312" w:eastAsia="仿宋_GB2312" w:cs="仿宋_GB2312"/>
        </w:rPr>
      </w:pPr>
      <w:r>
        <w:rPr>
          <w:rFonts w:hint="eastAsia" w:ascii="仿宋_GB2312" w:hAnsi="仿宋_GB2312" w:eastAsia="仿宋_GB2312" w:cs="仿宋_GB2312"/>
          <w:bCs/>
          <w:kern w:val="0"/>
          <w:sz w:val="24"/>
        </w:rPr>
        <w:t xml:space="preserve">6.7 </w:t>
      </w:r>
      <w:r>
        <w:rPr>
          <w:rFonts w:hint="eastAsia" w:ascii="仿宋_GB2312" w:hAnsi="仿宋_GB2312" w:eastAsia="仿宋_GB2312" w:cs="仿宋_GB2312"/>
          <w:bCs/>
          <w:kern w:val="0"/>
          <w:sz w:val="24"/>
          <w:lang w:val="zh-CN"/>
        </w:rPr>
        <w:t>在相关政策法规约定、政府职能部门要求或必要紧急情形下，甲方有权从任何一笔应付乙方的款项中直接扣除相关费用（包括但不限于乙方人员工资、抢救费、医疗费等）。</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6.8 经甲方查出乙方存在人员缺岗的，甲方有权按实际到岗情况核减费用。因乙方缺岗给甲方造成损失的，乙方还应承担全部赔偿责任。</w:t>
      </w:r>
    </w:p>
    <w:p>
      <w:pPr>
        <w:autoSpaceDE w:val="0"/>
        <w:autoSpaceDN w:val="0"/>
        <w:adjustRightInd w:val="0"/>
        <w:snapToGrid w:val="0"/>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sz w:val="24"/>
        </w:rPr>
        <w:t>7、乙方</w:t>
      </w:r>
      <w:r>
        <w:rPr>
          <w:rFonts w:hint="eastAsia" w:ascii="仿宋_GB2312" w:hAnsi="仿宋_GB2312" w:eastAsia="仿宋_GB2312" w:cs="仿宋_GB2312"/>
          <w:b/>
          <w:bCs/>
          <w:sz w:val="24"/>
        </w:rPr>
        <w:t>权利和义务</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7.1 乙方应妥善协调各方面关系，乙方所提供的服务应符合行业标准和满足本合同规定（具体详见用户需求书/技术规格书），确保服务规范、安全、高质；乙方应自备服务所需的全部设备和所有耗材（主要设备详见用户需求书/技术规格书）。</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 乙方应按照国家、湖南省及长沙市的政策法规规定合法经营、依法用工，并确保支付给其人员的月工资不得低于长沙市最低工资标准，否则承担由此造成的一切责任。</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bCs/>
          <w:sz w:val="24"/>
        </w:rPr>
        <w:t xml:space="preserve">7.3 </w:t>
      </w:r>
      <w:r>
        <w:rPr>
          <w:rFonts w:hint="eastAsia" w:ascii="仿宋_GB2312" w:hAnsi="仿宋_GB2312" w:eastAsia="仿宋_GB2312" w:cs="仿宋_GB2312"/>
          <w:sz w:val="24"/>
        </w:rPr>
        <w:t>乙方应遵守国家法律法规及管理规定、建立健全项目现场的管理制度，对甲方提出的问题整改通知及时答复并改进。乙方应确保不发生安全事故，且有责投诉每年少于2起。</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 xml:space="preserve">7.4 </w:t>
      </w:r>
      <w:r>
        <w:rPr>
          <w:rFonts w:hint="eastAsia" w:ascii="仿宋_GB2312" w:hAnsi="仿宋_GB2312" w:eastAsia="仿宋_GB2312" w:cs="仿宋_GB2312"/>
          <w:kern w:val="0"/>
          <w:sz w:val="24"/>
        </w:rPr>
        <w:t>乙方为本项目配置的人员须满足用户需求书/技术规格书的要求，应</w:t>
      </w:r>
      <w:r>
        <w:rPr>
          <w:rFonts w:hint="eastAsia" w:ascii="仿宋_GB2312" w:hAnsi="仿宋_GB2312" w:eastAsia="仿宋_GB2312" w:cs="仿宋_GB2312"/>
          <w:sz w:val="24"/>
        </w:rPr>
        <w:t>确保其人员思想品德良好、无犯罪记录、身体健康，并将其人员花名册、档案和证件以及与其人员所签订的劳务合同等资料复印件存档，甲方有权随时进行抽查。</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7.5 乙方应对其人员进行岗前及岗中的安全生产、消防安全和操作规程等培训，使其人员熟知操作规程规则、消防知识、行车安全规定等；培训考核合格后，其人员方可上岗。相关要求参照用户需求书/技术规格书。</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7.6 乙方应保持服务本项目人员数量及服务水平的稳定，未经甲方许可不得擅自更换管理人员；确需更换管理人员的，乙方应按甲方相关规定办理变更手续，并及时补充新进人员的资料。</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7.7 工作期间，乙方人员不得饮酒</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抽烟、吃槟榔等，确保上班时精神饱满，必须穿着统一的员工制服和佩戴胸卡，在轨道、隧道以及其他高危区域作业时必须按要求做好安全防护。</w:t>
      </w:r>
    </w:p>
    <w:p>
      <w:pPr>
        <w:autoSpaceDE w:val="0"/>
        <w:autoSpaceDN w:val="0"/>
        <w:adjustRightInd w:val="0"/>
        <w:snapToGrid w:val="0"/>
        <w:spacing w:line="360" w:lineRule="auto"/>
        <w:ind w:firstLine="480" w:firstLineChars="200"/>
        <w:rPr>
          <w:rFonts w:ascii="仿宋_GB2312" w:hAnsi="仿宋_GB2312" w:eastAsia="仿宋_GB2312" w:cs="仿宋_GB2312"/>
          <w:sz w:val="28"/>
          <w:szCs w:val="28"/>
        </w:rPr>
      </w:pPr>
      <w:r>
        <w:rPr>
          <w:rFonts w:hint="eastAsia" w:ascii="仿宋_GB2312" w:hAnsi="仿宋_GB2312" w:eastAsia="仿宋_GB2312" w:cs="仿宋_GB2312"/>
          <w:kern w:val="0"/>
          <w:sz w:val="24"/>
          <w:lang w:val="zh-CN"/>
        </w:rPr>
        <w:t>7.</w:t>
      </w:r>
      <w:r>
        <w:rPr>
          <w:rFonts w:hint="eastAsia" w:ascii="仿宋_GB2312" w:hAnsi="仿宋_GB2312" w:eastAsia="仿宋_GB2312" w:cs="仿宋_GB2312"/>
          <w:kern w:val="0"/>
          <w:sz w:val="24"/>
        </w:rPr>
        <w:t xml:space="preserve">8 </w:t>
      </w:r>
      <w:r>
        <w:rPr>
          <w:rFonts w:hint="eastAsia" w:ascii="仿宋_GB2312" w:hAnsi="仿宋_GB2312" w:eastAsia="仿宋_GB2312" w:cs="仿宋_GB2312"/>
          <w:kern w:val="0"/>
          <w:sz w:val="24"/>
          <w:lang w:val="zh-CN"/>
        </w:rPr>
        <w:t>在大客流、重大活动、节假日、突发事件或特别情况等临时性工作时，乙方须无条件服从甲方的调度指挥，按质按量完成甲方要求的工作任务，相关费用已包含在签约合同价中，甲方不再另行支付。</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7.9 乙方不得将项目转让给他人，也不得将项目分包给他人。</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7.10 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7.11 在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pPr>
        <w:widowControl/>
        <w:adjustRightInd w:val="0"/>
        <w:snapToGrid w:val="0"/>
        <w:spacing w:line="360" w:lineRule="auto"/>
        <w:ind w:firstLine="556"/>
        <w:jc w:val="left"/>
        <w:rPr>
          <w:rFonts w:ascii="仿宋_GB2312" w:hAnsi="仿宋_GB2312" w:eastAsia="仿宋_GB2312" w:cs="仿宋_GB2312"/>
          <w:sz w:val="24"/>
        </w:rPr>
      </w:pPr>
      <w:r>
        <w:rPr>
          <w:rFonts w:hint="eastAsia" w:ascii="仿宋_GB2312" w:hAnsi="仿宋_GB2312" w:eastAsia="仿宋_GB2312" w:cs="仿宋_GB2312"/>
          <w:sz w:val="24"/>
        </w:rPr>
        <w:t>7.12 乙方应厉行节约使用甲方提供的所有资源，合理使用材料，爱护设备设施，不得浪费。因乙方责任导致设备设施损坏的，由乙方负责修复并承担由此产生的一切费用及责任。</w:t>
      </w:r>
    </w:p>
    <w:p>
      <w:pPr>
        <w:widowControl/>
        <w:adjustRightInd w:val="0"/>
        <w:snapToGrid w:val="0"/>
        <w:spacing w:line="360" w:lineRule="auto"/>
        <w:ind w:firstLine="556"/>
        <w:jc w:val="left"/>
        <w:rPr>
          <w:rFonts w:ascii="仿宋_GB2312" w:hAnsi="仿宋_GB2312" w:eastAsia="仿宋_GB2312" w:cs="仿宋_GB2312"/>
          <w:sz w:val="24"/>
        </w:rPr>
      </w:pPr>
      <w:r>
        <w:rPr>
          <w:rFonts w:hint="eastAsia" w:ascii="仿宋_GB2312" w:hAnsi="仿宋_GB2312" w:eastAsia="仿宋_GB2312" w:cs="仿宋_GB2312"/>
          <w:sz w:val="24"/>
        </w:rPr>
        <w:t>7.13 乙方应确保提供的银行履约保函持续有效，在银行履约保函到期前1个月内办理好续保手续，并向甲方提供新的有效的银行履约保函。</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7.14</w:t>
      </w:r>
      <w:r>
        <w:rPr>
          <w:rFonts w:hint="eastAsia" w:ascii="仿宋_GB2312" w:hAnsi="仿宋_GB2312" w:eastAsia="仿宋_GB2312" w:cs="仿宋_GB2312"/>
          <w:bCs/>
          <w:kern w:val="0"/>
          <w:sz w:val="24"/>
        </w:rPr>
        <w:t xml:space="preserve"> </w:t>
      </w:r>
      <w:r>
        <w:rPr>
          <w:rFonts w:hint="eastAsia" w:ascii="仿宋_GB2312" w:hAnsi="仿宋_GB2312" w:eastAsia="仿宋_GB2312" w:cs="仿宋_GB2312"/>
          <w:bCs/>
          <w:kern w:val="0"/>
          <w:sz w:val="24"/>
          <w:lang w:val="zh-CN"/>
        </w:rPr>
        <w:t>乙方为甲方提供服务期间，应严格按照《劳动法》、《劳动合同法》、《工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（1）乙方拖欠员工工资的；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（2）乙方未按国家相关法律法规购买或未足额购买五险一金的；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（3）乙方超工时用工或未为员工提供劳动保护或者劳动条件的；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（4）乙方员工发生工伤/安全意外事故的；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（5）乙方存在其他违反国家相关法律法规的情形的。</w:t>
      </w:r>
    </w:p>
    <w:p>
      <w:pPr>
        <w:autoSpaceDE w:val="0"/>
        <w:autoSpaceDN w:val="0"/>
        <w:adjustRightInd w:val="0"/>
        <w:snapToGrid w:val="0"/>
        <w:spacing w:line="360" w:lineRule="auto"/>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sz w:val="24"/>
        </w:rPr>
        <w:t>8、违约责任</w:t>
      </w:r>
    </w:p>
    <w:p>
      <w:pPr>
        <w:autoSpaceDE w:val="0"/>
        <w:autoSpaceDN w:val="0"/>
        <w:adjustRightInd w:val="0"/>
        <w:snapToGrid w:val="0"/>
        <w:spacing w:line="360" w:lineRule="auto"/>
        <w:ind w:firstLine="482" w:firstLineChars="200"/>
        <w:rPr>
          <w:rFonts w:ascii="仿宋_GB2312" w:hAnsi="仿宋_GB2312" w:eastAsia="仿宋_GB2312" w:cs="仿宋_GB2312"/>
          <w:b/>
          <w:kern w:val="0"/>
          <w:sz w:val="24"/>
        </w:rPr>
      </w:pPr>
      <w:bookmarkStart w:id="57" w:name="_Toc249430000"/>
      <w:bookmarkStart w:id="58" w:name="_Toc360736722"/>
      <w:bookmarkStart w:id="59" w:name="_Toc249428991"/>
      <w:r>
        <w:rPr>
          <w:rFonts w:hint="eastAsia" w:ascii="仿宋_GB2312" w:hAnsi="仿宋_GB2312" w:eastAsia="仿宋_GB2312" w:cs="仿宋_GB2312"/>
          <w:b/>
          <w:kern w:val="0"/>
          <w:sz w:val="24"/>
        </w:rPr>
        <w:t>以下违约责任约定如有与用户需求书/技术规格书要求不一致的，以用户需求书/技术规格书要求为准。</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8.1 </w:t>
      </w:r>
      <w:r>
        <w:rPr>
          <w:rFonts w:hint="eastAsia" w:ascii="仿宋_GB2312" w:hAnsi="仿宋_GB2312" w:eastAsia="仿宋_GB2312" w:cs="仿宋_GB2312"/>
          <w:kern w:val="0"/>
          <w:sz w:val="24"/>
          <w:lang w:val="zh-CN"/>
        </w:rPr>
        <w:t>乙方有下列情形之一的，甲方有权解除合同和没收乙方所交履约担保，并有权追究乙方因此而给甲方造成的一切损失</w:t>
      </w:r>
      <w:r>
        <w:rPr>
          <w:rFonts w:hint="eastAsia" w:ascii="仿宋_GB2312" w:hAnsi="仿宋_GB2312" w:eastAsia="仿宋_GB2312" w:cs="仿宋_GB2312"/>
          <w:kern w:val="0"/>
          <w:sz w:val="24"/>
        </w:rPr>
        <w:t>：</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w:t>
      </w: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zh-CN"/>
        </w:rPr>
        <w:t>）乙方人员违反相关法律法规及合同约定，给甲方造成重大经济损失、严重损害甲方的声誉或造成不良的社会影响；</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w:t>
      </w: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zh-CN"/>
        </w:rPr>
        <w:t>乙方将合同范围内的工作转包或分包给其他单位或个人；</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w:t>
      </w: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zh-CN"/>
        </w:rPr>
        <w:t>乙方连续两个月的检查考评得分低于70分，或一年出现超过三次月检查考评得分低于70分的。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8.2 </w:t>
      </w:r>
      <w:r>
        <w:rPr>
          <w:rFonts w:hint="eastAsia" w:ascii="仿宋_GB2312" w:hAnsi="仿宋_GB2312" w:eastAsia="仿宋_GB2312" w:cs="仿宋_GB2312"/>
          <w:kern w:val="0"/>
          <w:sz w:val="24"/>
          <w:lang w:val="zh-CN"/>
        </w:rPr>
        <w:t>乙方有下列情形之一的</w:t>
      </w:r>
      <w:r>
        <w:rPr>
          <w:rFonts w:hint="eastAsia" w:ascii="仿宋_GB2312" w:hAnsi="仿宋_GB2312" w:eastAsia="仿宋_GB2312" w:cs="仿宋_GB2312"/>
          <w:kern w:val="0"/>
          <w:sz w:val="24"/>
        </w:rPr>
        <w:t>，甲方有权要求乙方支付5000元/次的违约金，直至解除合同，</w:t>
      </w:r>
      <w:r>
        <w:rPr>
          <w:rFonts w:hint="eastAsia" w:ascii="仿宋_GB2312" w:hAnsi="仿宋_GB2312" w:eastAsia="仿宋_GB2312" w:cs="仿宋_GB2312"/>
          <w:sz w:val="24"/>
        </w:rPr>
        <w:t>乙方除承担上述违约责任外，还需承担由此给甲方造成的一切损失及赔偿责任。</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（1）乙方人员在工作中出现监守自盗、数额较大、情节严重的；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（2）乙方在工作范围内发现重大隐患、险情未及时上报的；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（3）乙方因违反操作规程或玩忽职守造成人员伤亡或管理区域内财物失窃、毁损，数额较大的；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（4）当服务区域内发生紧急情况，乙方未按应急预案进行处置或未按规定予以配合的。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8.</w:t>
      </w:r>
      <w:r>
        <w:rPr>
          <w:rFonts w:hint="eastAsia" w:ascii="仿宋_GB2312" w:hAnsi="仿宋_GB2312" w:eastAsia="仿宋_GB2312" w:cs="仿宋_GB2312"/>
          <w:bCs/>
          <w:kern w:val="0"/>
          <w:sz w:val="24"/>
        </w:rPr>
        <w:t>3</w:t>
      </w:r>
      <w:r>
        <w:rPr>
          <w:rFonts w:hint="eastAsia" w:ascii="仿宋_GB2312" w:hAnsi="仿宋_GB2312" w:eastAsia="仿宋_GB2312" w:cs="仿宋_GB2312"/>
          <w:bCs/>
          <w:kern w:val="0"/>
          <w:sz w:val="24"/>
          <w:lang w:val="zh-CN"/>
        </w:rPr>
        <w:t xml:space="preserve"> </w:t>
      </w:r>
      <w:r>
        <w:rPr>
          <w:rFonts w:hint="eastAsia" w:ascii="仿宋_GB2312" w:hAnsi="仿宋_GB2312" w:eastAsia="仿宋_GB2312" w:cs="仿宋_GB2312"/>
          <w:kern w:val="0"/>
          <w:sz w:val="24"/>
          <w:lang w:val="zh-CN"/>
        </w:rPr>
        <w:t>乙方有下列情形之一的</w:t>
      </w:r>
      <w:r>
        <w:rPr>
          <w:rFonts w:hint="eastAsia" w:ascii="仿宋_GB2312" w:hAnsi="仿宋_GB2312" w:eastAsia="仿宋_GB2312" w:cs="仿宋_GB2312"/>
          <w:kern w:val="0"/>
          <w:sz w:val="24"/>
        </w:rPr>
        <w:t>，</w:t>
      </w:r>
      <w:r>
        <w:rPr>
          <w:rFonts w:hint="eastAsia" w:ascii="仿宋_GB2312" w:hAnsi="仿宋_GB2312" w:eastAsia="仿宋_GB2312" w:cs="仿宋_GB2312"/>
          <w:bCs/>
          <w:kern w:val="0"/>
          <w:sz w:val="24"/>
          <w:lang w:val="zh-CN"/>
        </w:rPr>
        <w:t>甲方有权要求乙方支付</w:t>
      </w:r>
      <w:r>
        <w:rPr>
          <w:rFonts w:hint="eastAsia" w:ascii="仿宋_GB2312" w:hAnsi="仿宋_GB2312" w:eastAsia="仿宋_GB2312" w:cs="仿宋_GB2312"/>
          <w:bCs/>
          <w:kern w:val="0"/>
          <w:sz w:val="24"/>
        </w:rPr>
        <w:t>2000元/次</w:t>
      </w:r>
      <w:r>
        <w:rPr>
          <w:rFonts w:hint="eastAsia" w:ascii="仿宋_GB2312" w:hAnsi="仿宋_GB2312" w:eastAsia="仿宋_GB2312" w:cs="仿宋_GB2312"/>
          <w:bCs/>
          <w:kern w:val="0"/>
          <w:sz w:val="24"/>
          <w:lang w:val="zh-CN"/>
        </w:rPr>
        <w:t>的违约金：</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w:t>
      </w:r>
      <w:r>
        <w:rPr>
          <w:rFonts w:hint="eastAsia" w:ascii="仿宋_GB2312" w:hAnsi="仿宋_GB2312" w:eastAsia="仿宋_GB2312" w:cs="仿宋_GB2312"/>
          <w:bCs/>
          <w:kern w:val="0"/>
          <w:sz w:val="24"/>
        </w:rPr>
        <w:t>1</w:t>
      </w:r>
      <w:r>
        <w:rPr>
          <w:rFonts w:hint="eastAsia" w:ascii="仿宋_GB2312" w:hAnsi="仿宋_GB2312" w:eastAsia="仿宋_GB2312" w:cs="仿宋_GB2312"/>
          <w:bCs/>
          <w:kern w:val="0"/>
          <w:sz w:val="24"/>
          <w:lang w:val="zh-CN"/>
        </w:rPr>
        <w:t>）乙方人员不符合甲方要求的，经甲方查出要求更换的，乙方在收到甲方更换通知之日起3个工作日内未更换完毕的；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w:t>
      </w:r>
      <w:r>
        <w:rPr>
          <w:rFonts w:hint="eastAsia" w:ascii="仿宋_GB2312" w:hAnsi="仿宋_GB2312" w:eastAsia="仿宋_GB2312" w:cs="仿宋_GB2312"/>
          <w:bCs/>
          <w:kern w:val="0"/>
          <w:sz w:val="24"/>
        </w:rPr>
        <w:t>2</w:t>
      </w:r>
      <w:r>
        <w:rPr>
          <w:rFonts w:hint="eastAsia" w:ascii="仿宋_GB2312" w:hAnsi="仿宋_GB2312" w:eastAsia="仿宋_GB2312" w:cs="仿宋_GB2312"/>
          <w:bCs/>
          <w:kern w:val="0"/>
          <w:sz w:val="24"/>
          <w:lang w:val="zh-CN"/>
        </w:rPr>
        <w:t>）乙方服务工作的质量及服务标准，不符合合同约定的，或收到投诉的，经甲方向乙方发出整改通知后，乙方拒绝整改、超时整改或整改后仍达不到甲方要求的；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w:t>
      </w:r>
      <w:r>
        <w:rPr>
          <w:rFonts w:hint="eastAsia" w:ascii="仿宋_GB2312" w:hAnsi="仿宋_GB2312" w:eastAsia="仿宋_GB2312" w:cs="仿宋_GB2312"/>
          <w:bCs/>
          <w:kern w:val="0"/>
          <w:sz w:val="24"/>
        </w:rPr>
        <w:t>3</w:t>
      </w:r>
      <w:r>
        <w:rPr>
          <w:rFonts w:hint="eastAsia" w:ascii="仿宋_GB2312" w:hAnsi="仿宋_GB2312" w:eastAsia="仿宋_GB2312" w:cs="仿宋_GB2312"/>
          <w:bCs/>
          <w:kern w:val="0"/>
          <w:sz w:val="24"/>
          <w:lang w:val="zh-CN"/>
        </w:rPr>
        <w:t>）乙方未经甲方许可擅自更换管理人员或未按要求报备人员信息的。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8.</w:t>
      </w:r>
      <w:r>
        <w:rPr>
          <w:rFonts w:hint="eastAsia" w:ascii="仿宋_GB2312" w:hAnsi="仿宋_GB2312" w:eastAsia="仿宋_GB2312" w:cs="仿宋_GB2312"/>
          <w:bCs/>
          <w:kern w:val="0"/>
          <w:sz w:val="24"/>
        </w:rPr>
        <w:t>4</w:t>
      </w:r>
      <w:r>
        <w:rPr>
          <w:rFonts w:hint="eastAsia" w:ascii="仿宋_GB2312" w:hAnsi="仿宋_GB2312" w:eastAsia="仿宋_GB2312" w:cs="仿宋_GB2312"/>
          <w:bCs/>
          <w:kern w:val="0"/>
          <w:sz w:val="24"/>
          <w:lang w:val="zh-CN"/>
        </w:rPr>
        <w:t xml:space="preserve"> 合同期内，因乙方无故单方面解除合同的，乙方应向甲方支付签约合同价的10%的违约金，并赔偿由此给甲方造成的一切损失。</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rPr>
        <w:t xml:space="preserve">8.5 </w:t>
      </w:r>
      <w:r>
        <w:rPr>
          <w:rFonts w:hint="eastAsia" w:ascii="仿宋_GB2312" w:hAnsi="仿宋_GB2312" w:eastAsia="仿宋_GB2312" w:cs="仿宋_GB2312"/>
          <w:sz w:val="24"/>
        </w:rPr>
        <w:t>乙方应以现金或转账方式交纳违约金，甲方根据税法相关规定开具收款收据或增值税发票</w:t>
      </w:r>
      <w:r>
        <w:rPr>
          <w:rFonts w:hint="eastAsia" w:ascii="仿宋_GB2312" w:hAnsi="仿宋_GB2312" w:eastAsia="仿宋_GB2312" w:cs="仿宋_GB2312"/>
          <w:bCs/>
          <w:kern w:val="0"/>
          <w:sz w:val="24"/>
          <w:lang w:val="zh-CN"/>
        </w:rPr>
        <w:t>。</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sz w:val="24"/>
        </w:rPr>
        <w:t>8.6 因乙方提供的发票导致甲方被税务部门追究相关法律责任的，乙方应承担由此给甲方造成的损失（包括但不限于未抵扣的税费、滞纳金）。</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rPr>
      </w:pPr>
      <w:r>
        <w:rPr>
          <w:rFonts w:hint="eastAsia" w:ascii="仿宋_GB2312" w:hAnsi="仿宋_GB2312" w:eastAsia="仿宋_GB2312" w:cs="仿宋_GB2312"/>
          <w:kern w:val="0"/>
          <w:sz w:val="24"/>
        </w:rPr>
        <w:t>8.7 乙方接到甲方的违约通知后，应按通知要求交纳违约金</w:t>
      </w:r>
      <w:r>
        <w:rPr>
          <w:rFonts w:hint="eastAsia" w:ascii="仿宋_GB2312" w:hAnsi="仿宋_GB2312" w:eastAsia="仿宋_GB2312" w:cs="仿宋_GB2312"/>
          <w:sz w:val="24"/>
        </w:rPr>
        <w:t>；否则，甲方有权暂停合同价款支付或从乙方的合同价款中扣除相应的违约金。</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8.</w:t>
      </w:r>
      <w:r>
        <w:rPr>
          <w:rFonts w:hint="eastAsia" w:ascii="仿宋_GB2312" w:hAnsi="仿宋_GB2312" w:eastAsia="仿宋_GB2312" w:cs="仿宋_GB2312"/>
          <w:bCs/>
          <w:kern w:val="0"/>
          <w:sz w:val="24"/>
        </w:rPr>
        <w:t>8</w:t>
      </w:r>
      <w:r>
        <w:rPr>
          <w:rFonts w:hint="eastAsia" w:ascii="仿宋_GB2312" w:hAnsi="仿宋_GB2312" w:eastAsia="仿宋_GB2312" w:cs="仿宋_GB2312"/>
          <w:bCs/>
          <w:kern w:val="0"/>
          <w:sz w:val="24"/>
          <w:lang w:val="zh-CN"/>
        </w:rPr>
        <w:t xml:space="preserve"> 其他违约责任及考核标准按照甲方相关管理规定执行；甲方相关管理规定有更新的，按最新发布的版本执行。</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lang w:val="zh-CN"/>
        </w:rPr>
      </w:pPr>
      <w:r>
        <w:rPr>
          <w:rFonts w:hint="eastAsia" w:ascii="仿宋_GB2312" w:hAnsi="仿宋_GB2312" w:eastAsia="仿宋_GB2312" w:cs="仿宋_GB2312"/>
          <w:b/>
          <w:kern w:val="0"/>
          <w:sz w:val="24"/>
          <w:lang w:val="zh-CN"/>
        </w:rPr>
        <w:t>9、不可抗力</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9.1不可抗力的确认</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不可抗力发生后，合同当事人应收集证明不可抗力发生及不可抗力造成损失的证据，并及时认真统计所造成的损失。合同当事人对是否属于不可抗力或其损失发生争议时，按第1</w:t>
      </w:r>
      <w:r>
        <w:rPr>
          <w:rFonts w:hint="eastAsia" w:ascii="仿宋_GB2312" w:hAnsi="仿宋_GB2312" w:eastAsia="仿宋_GB2312" w:cs="仿宋_GB2312"/>
          <w:bCs/>
          <w:kern w:val="0"/>
          <w:sz w:val="24"/>
        </w:rPr>
        <w:t>2</w:t>
      </w:r>
      <w:r>
        <w:rPr>
          <w:rFonts w:hint="eastAsia" w:ascii="仿宋_GB2312" w:hAnsi="仿宋_GB2312" w:eastAsia="仿宋_GB2312" w:cs="仿宋_GB2312"/>
          <w:bCs/>
          <w:kern w:val="0"/>
          <w:sz w:val="24"/>
          <w:lang w:val="zh-CN"/>
        </w:rPr>
        <w:t>条〔争议解决〕的约定处理。</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9.2不可抗力的通知</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合同一方当事人遇到不可抗力事件，使其履行合同义务受到阻碍时，应立即通知合同另一方当事人，书面说明不可抗力和受阻碍的详细情况，并在合理期限内提供必要的证明。</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不可抗力持续发生的，合同一方当事人应及时向合同另一方当事人提交中间报告，说明不可抗力和履行合同受阻的情况，并于不可抗力事件结束后28天内提交最终报告及有关资料。</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9.3不可抗力后果的承担</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不可抗力引起的后果及造成的损失由合同当事人按照法律规定及合同约定各自承担。不可抗力发生前已完成的工作应当按照合同约定进行支付。</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不可抗力发生后，合同当事人均应采取措施尽量避免和减少损失的扩大，任何一方当事人没有采取有效措施导致损失扩大的，应对扩大的损失承担责任。</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因合同一方迟延履行合同义务，在迟延履行期间遭遇不可抗力的，不免除其违约责任。</w:t>
      </w:r>
    </w:p>
    <w:bookmarkEnd w:id="57"/>
    <w:bookmarkEnd w:id="58"/>
    <w:bookmarkEnd w:id="59"/>
    <w:p>
      <w:pPr>
        <w:pStyle w:val="42"/>
        <w:snapToGrid w:val="0"/>
        <w:spacing w:after="0" w:line="360" w:lineRule="auto"/>
        <w:ind w:firstLine="482" w:firstLineChars="200"/>
        <w:outlineLvl w:val="9"/>
        <w:rPr>
          <w:rFonts w:hint="default" w:ascii="仿宋_GB2312" w:hAnsi="仿宋_GB2312" w:eastAsia="仿宋_GB2312" w:cs="仿宋_GB2312"/>
          <w:b/>
          <w:bCs/>
          <w:color w:val="auto"/>
          <w:sz w:val="24"/>
        </w:rPr>
      </w:pPr>
      <w:bookmarkStart w:id="60" w:name="_Toc5613"/>
      <w:bookmarkStart w:id="61" w:name="_Toc24616"/>
      <w:r>
        <w:rPr>
          <w:rFonts w:ascii="仿宋_GB2312" w:hAnsi="仿宋_GB2312" w:eastAsia="仿宋_GB2312" w:cs="仿宋_GB2312"/>
          <w:b/>
          <w:bCs/>
          <w:color w:val="auto"/>
          <w:sz w:val="24"/>
        </w:rPr>
        <w:t>10、合同终止</w:t>
      </w:r>
    </w:p>
    <w:p>
      <w:pPr>
        <w:pStyle w:val="42"/>
        <w:snapToGrid w:val="0"/>
        <w:spacing w:after="0" w:line="360" w:lineRule="auto"/>
        <w:ind w:firstLine="480" w:firstLineChars="200"/>
        <w:outlineLvl w:val="9"/>
        <w:rPr>
          <w:rFonts w:hint="default" w:ascii="仿宋_GB2312" w:hAnsi="仿宋_GB2312" w:eastAsia="仿宋_GB2312" w:cs="仿宋_GB2312"/>
          <w:bCs/>
          <w:color w:val="auto"/>
          <w:sz w:val="24"/>
        </w:rPr>
      </w:pPr>
      <w:r>
        <w:rPr>
          <w:rFonts w:ascii="仿宋_GB2312" w:hAnsi="仿宋_GB2312" w:eastAsia="仿宋_GB2312" w:cs="仿宋_GB2312"/>
          <w:bCs/>
          <w:color w:val="auto"/>
          <w:sz w:val="24"/>
        </w:rPr>
        <w:t>10.1 甲方、乙方履行合同全部义务，合同价款支付完毕，本合同即告终止。</w:t>
      </w:r>
    </w:p>
    <w:p>
      <w:pPr>
        <w:pStyle w:val="42"/>
        <w:snapToGrid w:val="0"/>
        <w:spacing w:after="0" w:line="360" w:lineRule="auto"/>
        <w:ind w:firstLine="480" w:firstLineChars="200"/>
        <w:outlineLvl w:val="9"/>
        <w:rPr>
          <w:rFonts w:hint="default" w:ascii="仿宋_GB2312" w:hAnsi="仿宋_GB2312" w:eastAsia="仿宋_GB2312" w:cs="仿宋_GB2312"/>
          <w:bCs/>
          <w:color w:val="auto"/>
          <w:sz w:val="24"/>
        </w:rPr>
      </w:pPr>
      <w:r>
        <w:rPr>
          <w:rFonts w:ascii="仿宋_GB2312" w:hAnsi="仿宋_GB2312" w:eastAsia="仿宋_GB2312" w:cs="仿宋_GB2312"/>
          <w:bCs/>
          <w:color w:val="auto"/>
          <w:sz w:val="24"/>
        </w:rPr>
        <w:t>10.2合同的权利义务终止后，合同当事人应遵循诚实信用原则，履行通知、协助和保密等义务。</w:t>
      </w:r>
    </w:p>
    <w:p>
      <w:pPr>
        <w:pStyle w:val="42"/>
        <w:spacing w:after="0" w:line="360" w:lineRule="auto"/>
        <w:ind w:firstLine="482" w:firstLineChars="200"/>
        <w:outlineLvl w:val="9"/>
        <w:rPr>
          <w:rFonts w:hint="default" w:ascii="仿宋_GB2312" w:hAnsi="仿宋_GB2312" w:eastAsia="仿宋_GB2312" w:cs="仿宋_GB2312"/>
          <w:b/>
          <w:bCs/>
          <w:color w:val="auto"/>
          <w:sz w:val="24"/>
        </w:rPr>
      </w:pPr>
      <w:r>
        <w:rPr>
          <w:rFonts w:ascii="仿宋_GB2312" w:hAnsi="仿宋_GB2312" w:eastAsia="仿宋_GB2312" w:cs="仿宋_GB2312"/>
          <w:b/>
          <w:bCs/>
          <w:color w:val="auto"/>
          <w:sz w:val="24"/>
        </w:rPr>
        <w:t>11、合同解除</w:t>
      </w:r>
      <w:bookmarkEnd w:id="60"/>
      <w:bookmarkEnd w:id="61"/>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11.1 有下列情形之一的，合同当事人一方或双方可以解除合同：</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（1）乙方将本合同约定的工作全部或部分转包给他人，甲方有权解除合同；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（2）乙方提供的维保服务不符合合同约定的要求，经甲方催告仍不能达到合同约定要求的，甲方有权解除合同；</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（3）因不可抗力致使合同无法履行；</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（4）因一方违约致使合同无法实际履行或实际履行已无必要；</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（5）违约金总额超过合同签约价的20%，甲方有权解除合同。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11.2任何一方提出解除合同的，应提前30天书面通知对方，违约方应赔偿由此给守约方造成的直接损失和间接损失。因不可抗力导致的合同解除，双方各自承担自身的损失。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42"/>
        <w:snapToGrid w:val="0"/>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11.4合同解除后，本合同约定的有关结算、争议解决方式的条款仍然有效。</w:t>
      </w:r>
    </w:p>
    <w:p>
      <w:pPr>
        <w:autoSpaceDE w:val="0"/>
        <w:autoSpaceDN w:val="0"/>
        <w:adjustRightInd w:val="0"/>
        <w:snapToGrid w:val="0"/>
        <w:spacing w:line="360" w:lineRule="auto"/>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kern w:val="0"/>
          <w:sz w:val="24"/>
        </w:rPr>
        <w:t>12</w:t>
      </w:r>
      <w:r>
        <w:rPr>
          <w:rFonts w:hint="eastAsia" w:ascii="仿宋_GB2312" w:hAnsi="仿宋_GB2312" w:eastAsia="仿宋_GB2312" w:cs="仿宋_GB2312"/>
          <w:b/>
          <w:kern w:val="0"/>
          <w:sz w:val="24"/>
          <w:lang w:val="zh-CN"/>
        </w:rPr>
        <w:t>、</w:t>
      </w:r>
      <w:r>
        <w:rPr>
          <w:rFonts w:hint="eastAsia" w:ascii="仿宋_GB2312" w:hAnsi="仿宋_GB2312" w:eastAsia="仿宋_GB2312" w:cs="仿宋_GB2312"/>
          <w:b/>
          <w:bCs/>
          <w:sz w:val="24"/>
        </w:rPr>
        <w:t>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spacing w:line="360" w:lineRule="auto"/>
        <w:ind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13、通知</w:t>
      </w:r>
    </w:p>
    <w:p>
      <w:pPr>
        <w:pStyle w:val="39"/>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13.1本合同一方给另一方的通知均应采用书面形式，传真或快递送到本合同中规定的对方的地址和办理签收手续。</w:t>
      </w:r>
    </w:p>
    <w:p>
      <w:pPr>
        <w:pStyle w:val="39"/>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13.2通知以送到之日或通知书中规定的生效之日起生效，两者中以较迟之日为准。</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14、其他</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 发生不可抗力致使本合同的履行成为不必要或不可能的，经双方协商可以解除本合同。</w:t>
      </w:r>
    </w:p>
    <w:p>
      <w:pPr>
        <w:autoSpaceDE w:val="0"/>
        <w:autoSpaceDN w:val="0"/>
        <w:adjustRightInd w:val="0"/>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14.2 本合同未尽事宜，由双方协商解决，或签订补充协议，补充协议与本合同具有同等法律效力。</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kern w:val="0"/>
          <w:sz w:val="24"/>
          <w:szCs w:val="24"/>
          <w:u w:val="single"/>
          <w:lang w:bidi="ar"/>
        </w:rPr>
      </w:pPr>
      <w:r>
        <w:rPr>
          <w:rFonts w:hint="eastAsia" w:ascii="仿宋_GB2312" w:hAnsi="仿宋_GB2312" w:eastAsia="仿宋_GB2312" w:cs="仿宋_GB2312"/>
          <w:kern w:val="0"/>
          <w:sz w:val="24"/>
        </w:rPr>
        <w:t xml:space="preserve">14.3 </w:t>
      </w:r>
      <w:r>
        <w:rPr>
          <w:rFonts w:hint="eastAsia" w:ascii="仿宋_GB2312" w:hAnsi="仿宋_GB2312" w:eastAsia="仿宋_GB2312" w:cs="仿宋_GB2312"/>
          <w:kern w:val="0"/>
          <w:sz w:val="24"/>
          <w:lang w:bidi="ar"/>
        </w:rPr>
        <w:t>双方特别约定事项（本条约定与专用合同条款中其他约定不一致时，以本条为准）：</w:t>
      </w:r>
      <w:r>
        <w:rPr>
          <w:rFonts w:hint="eastAsia" w:ascii="仿宋_GB2312" w:hAnsi="仿宋_GB2312" w:eastAsia="仿宋_GB2312" w:cs="仿宋_GB2312"/>
          <w:kern w:val="0"/>
          <w:sz w:val="24"/>
          <w:u w:val="single"/>
          <w:lang w:val="en-US" w:eastAsia="zh-CN" w:bidi="ar"/>
        </w:rPr>
        <w:t>增加：</w:t>
      </w:r>
      <w:r>
        <w:rPr>
          <w:rFonts w:hint="eastAsia" w:ascii="仿宋_GB2312" w:hAnsi="仿宋_GB2312" w:eastAsia="仿宋_GB2312" w:cs="仿宋_GB2312"/>
          <w:kern w:val="0"/>
          <w:sz w:val="24"/>
          <w:szCs w:val="24"/>
          <w:u w:val="single"/>
          <w:lang w:bidi="ar"/>
        </w:rPr>
        <w:t>1</w:t>
      </w:r>
      <w:r>
        <w:rPr>
          <w:rFonts w:hint="eastAsia" w:ascii="仿宋_GB2312" w:hAnsi="仿宋_GB2312" w:eastAsia="仿宋_GB2312" w:cs="仿宋_GB2312"/>
          <w:kern w:val="0"/>
          <w:sz w:val="24"/>
          <w:szCs w:val="24"/>
          <w:u w:val="single"/>
          <w:lang w:val="en-US" w:eastAsia="zh-CN" w:bidi="ar"/>
        </w:rPr>
        <w:t>.</w:t>
      </w:r>
      <w:r>
        <w:rPr>
          <w:rFonts w:hint="eastAsia" w:ascii="仿宋_GB2312" w:hAnsi="仿宋_GB2312" w:eastAsia="仿宋_GB2312" w:cs="仿宋_GB2312"/>
          <w:kern w:val="0"/>
          <w:sz w:val="24"/>
          <w:szCs w:val="24"/>
          <w:u w:val="single"/>
          <w:lang w:bidi="ar"/>
        </w:rPr>
        <w:t>甲乙双方权利义务约定如有与用户需求书/技术规格书要求不一致的，以用户需求书/技术规格书要求为准。</w:t>
      </w:r>
    </w:p>
    <w:p>
      <w:pPr>
        <w:autoSpaceDE w:val="0"/>
        <w:autoSpaceDN w:val="0"/>
        <w:adjustRightInd w:val="0"/>
        <w:snapToGrid w:val="0"/>
        <w:spacing w:line="360" w:lineRule="auto"/>
        <w:ind w:firstLine="480" w:firstLineChars="200"/>
        <w:rPr>
          <w:rFonts w:hint="eastAsia" w:ascii="仿宋_GB2312" w:hAnsi="仿宋_GB2312" w:eastAsia="仿宋_GB2312" w:cs="仿宋_GB2312"/>
          <w:kern w:val="0"/>
          <w:sz w:val="24"/>
          <w:u w:val="single"/>
          <w:lang w:val="zh-CN"/>
        </w:rPr>
      </w:pPr>
      <w:r>
        <w:rPr>
          <w:rFonts w:hint="eastAsia" w:ascii="仿宋_GB2312" w:hAnsi="仿宋_GB2312" w:eastAsia="仿宋_GB2312" w:cs="仿宋_GB2312"/>
          <w:kern w:val="0"/>
          <w:sz w:val="24"/>
          <w:szCs w:val="24"/>
          <w:u w:val="single"/>
          <w:lang w:val="en-US" w:eastAsia="zh-CN" w:bidi="ar"/>
        </w:rPr>
        <w:t>2.删除：8.1</w:t>
      </w:r>
      <w:r>
        <w:rPr>
          <w:rFonts w:hint="eastAsia" w:ascii="仿宋_GB2312" w:hAnsi="仿宋_GB2312" w:eastAsia="仿宋_GB2312" w:cs="仿宋_GB2312"/>
          <w:kern w:val="0"/>
          <w:sz w:val="24"/>
          <w:u w:val="single"/>
          <w:lang w:val="zh-CN"/>
        </w:rPr>
        <w:t>（</w:t>
      </w:r>
      <w:r>
        <w:rPr>
          <w:rFonts w:hint="eastAsia" w:ascii="仿宋_GB2312" w:hAnsi="仿宋_GB2312" w:eastAsia="仿宋_GB2312" w:cs="仿宋_GB2312"/>
          <w:kern w:val="0"/>
          <w:sz w:val="24"/>
          <w:u w:val="single"/>
        </w:rPr>
        <w:t>3）</w:t>
      </w:r>
      <w:r>
        <w:rPr>
          <w:rFonts w:hint="eastAsia" w:ascii="仿宋_GB2312" w:hAnsi="仿宋_GB2312" w:eastAsia="仿宋_GB2312" w:cs="仿宋_GB2312"/>
          <w:kern w:val="0"/>
          <w:sz w:val="24"/>
          <w:u w:val="single"/>
          <w:lang w:val="zh-CN"/>
        </w:rPr>
        <w:t>乙方连续两个月的检查考评得分低于70分，或一年出现超过三次月检查考评得分低于70分的。</w:t>
      </w:r>
    </w:p>
    <w:p>
      <w:pPr>
        <w:autoSpaceDE w:val="0"/>
        <w:autoSpaceDN w:val="0"/>
        <w:adjustRightInd w:val="0"/>
        <w:snapToGrid w:val="0"/>
        <w:spacing w:line="360" w:lineRule="auto"/>
        <w:ind w:firstLine="480" w:firstLineChars="200"/>
        <w:rPr>
          <w:rFonts w:hint="eastAsia" w:ascii="仿宋_GB2312" w:hAnsi="仿宋_GB2312" w:eastAsia="仿宋_GB2312" w:cs="仿宋_GB2312"/>
          <w:kern w:val="0"/>
          <w:sz w:val="24"/>
          <w:szCs w:val="24"/>
          <w:u w:val="single"/>
          <w:lang w:val="en-US" w:eastAsia="zh-CN" w:bidi="ar"/>
        </w:rPr>
      </w:pPr>
      <w:r>
        <w:rPr>
          <w:rFonts w:hint="eastAsia" w:ascii="仿宋_GB2312" w:hAnsi="仿宋_GB2312" w:eastAsia="仿宋_GB2312" w:cs="仿宋_GB2312"/>
          <w:kern w:val="0"/>
          <w:sz w:val="24"/>
          <w:szCs w:val="24"/>
          <w:u w:val="single"/>
          <w:lang w:val="en-US" w:eastAsia="zh-CN" w:bidi="ar"/>
        </w:rPr>
        <w:t>3.修改本合同“项目地点： 湖南省长沙市”为“湖南省湘潭市”</w:t>
      </w:r>
    </w:p>
    <w:p>
      <w:pPr>
        <w:autoSpaceDE w:val="0"/>
        <w:autoSpaceDN w:val="0"/>
        <w:adjustRightInd w:val="0"/>
        <w:snapToGrid w:val="0"/>
        <w:spacing w:line="360" w:lineRule="auto"/>
        <w:ind w:firstLine="480" w:firstLineChars="200"/>
        <w:rPr>
          <w:rFonts w:hint="eastAsia" w:ascii="仿宋_GB2312" w:hAnsi="仿宋_GB2312" w:eastAsia="仿宋_GB2312" w:cs="仿宋_GB2312"/>
          <w:kern w:val="0"/>
          <w:sz w:val="24"/>
          <w:szCs w:val="24"/>
          <w:u w:val="single"/>
          <w:lang w:val="en-US" w:eastAsia="zh-CN" w:bidi="ar"/>
        </w:rPr>
      </w:pPr>
      <w:r>
        <w:rPr>
          <w:rFonts w:hint="eastAsia" w:ascii="仿宋_GB2312" w:hAnsi="仿宋_GB2312" w:eastAsia="仿宋_GB2312" w:cs="仿宋_GB2312"/>
          <w:kern w:val="0"/>
          <w:sz w:val="24"/>
          <w:szCs w:val="24"/>
          <w:u w:val="single"/>
          <w:lang w:val="en-US" w:eastAsia="zh-CN" w:bidi="ar"/>
        </w:rPr>
        <w:t>4.修改第一部分合同协议书五、合同文件构成（8）和合同第五部分为“招标文件/竞争性采购文件/竞价采购文件/直接采购文件及澄清与答疑文件及其它补充资料；”</w:t>
      </w:r>
    </w:p>
    <w:p>
      <w:pPr>
        <w:autoSpaceDE w:val="0"/>
        <w:autoSpaceDN w:val="0"/>
        <w:adjustRightInd w:val="0"/>
        <w:snapToGrid w:val="0"/>
        <w:spacing w:line="360" w:lineRule="auto"/>
        <w:ind w:firstLine="42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rPr>
        <w:br w:type="page"/>
      </w:r>
    </w:p>
    <w:p>
      <w:pPr>
        <w:pStyle w:val="41"/>
        <w:adjustRightInd w:val="0"/>
        <w:snapToGrid w:val="0"/>
        <w:spacing w:line="360" w:lineRule="auto"/>
        <w:outlineLvl w:val="9"/>
        <w:rPr>
          <w:rFonts w:ascii="仿宋_GB2312" w:hAnsi="仿宋_GB2312" w:eastAsia="仿宋_GB2312" w:cs="仿宋_GB2312"/>
        </w:rPr>
      </w:pPr>
      <w:bookmarkStart w:id="62" w:name="_Toc31966"/>
      <w:bookmarkStart w:id="63" w:name="_Toc2869"/>
      <w:bookmarkStart w:id="64" w:name="_Toc471995644"/>
      <w:r>
        <w:rPr>
          <w:rFonts w:hint="eastAsia" w:ascii="仿宋_GB2312" w:hAnsi="仿宋_GB2312" w:eastAsia="仿宋_GB2312" w:cs="仿宋_GB2312"/>
        </w:rPr>
        <w:t>第三部分 合同附件</w:t>
      </w:r>
      <w:bookmarkEnd w:id="62"/>
      <w:bookmarkEnd w:id="63"/>
      <w:bookmarkEnd w:id="64"/>
    </w:p>
    <w:p>
      <w:pPr>
        <w:adjustRightInd w:val="0"/>
        <w:snapToGrid w:val="0"/>
        <w:rPr>
          <w:rFonts w:ascii="仿宋_GB2312" w:hAnsi="仿宋_GB2312" w:eastAsia="仿宋_GB2312" w:cs="仿宋_GB2312"/>
          <w:b/>
          <w:sz w:val="24"/>
        </w:rPr>
      </w:pPr>
      <w:bookmarkStart w:id="65" w:name="_Toc493574713"/>
      <w:r>
        <w:rPr>
          <w:rFonts w:hint="eastAsia" w:ascii="仿宋_GB2312" w:hAnsi="仿宋_GB2312" w:eastAsia="仿宋_GB2312" w:cs="仿宋_GB2312"/>
          <w:b/>
          <w:sz w:val="24"/>
        </w:rPr>
        <w:t>附件1 廉政协议</w:t>
      </w:r>
    </w:p>
    <w:p>
      <w:pPr>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widowControl/>
        <w:snapToGrid w:val="0"/>
        <w:spacing w:line="360" w:lineRule="auto"/>
        <w:jc w:val="left"/>
        <w:rPr>
          <w:rFonts w:ascii="仿宋_GB2312" w:hAnsi="仿宋_GB2312" w:eastAsia="仿宋_GB2312" w:cs="仿宋_GB2312"/>
          <w:kern w:val="0"/>
          <w:sz w:val="24"/>
          <w:lang w:bidi="en-US"/>
        </w:rPr>
      </w:pPr>
    </w:p>
    <w:p>
      <w:pPr>
        <w:pStyle w:val="13"/>
        <w:snapToGrid w:val="0"/>
        <w:spacing w:line="440" w:lineRule="exact"/>
        <w:ind w:firstLine="0"/>
        <w:jc w:val="left"/>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长沙市轨道交通运营有限公司</w:t>
      </w:r>
    </w:p>
    <w:p>
      <w:pPr>
        <w:pStyle w:val="13"/>
        <w:snapToGrid w:val="0"/>
        <w:spacing w:line="440" w:lineRule="exact"/>
        <w:ind w:firstLine="0"/>
        <w:jc w:val="left"/>
        <w:rPr>
          <w:rFonts w:ascii="仿宋_GB2312" w:hAnsi="仿宋_GB2312" w:eastAsia="仿宋_GB2312" w:cs="仿宋_GB2312"/>
          <w:sz w:val="24"/>
        </w:rPr>
      </w:pPr>
      <w:r>
        <w:rPr>
          <w:rFonts w:hint="eastAsia" w:ascii="仿宋_GB2312" w:hAnsi="仿宋_GB2312" w:eastAsia="仿宋_GB2312" w:cs="仿宋_GB2312"/>
          <w:sz w:val="24"/>
        </w:rPr>
        <w:t>乙方：</w:t>
      </w:r>
      <w:r>
        <w:rPr>
          <w:rFonts w:hint="eastAsia" w:ascii="仿宋_GB2312" w:hAnsi="仿宋_GB2312" w:eastAsia="仿宋_GB2312" w:cs="仿宋_GB2312"/>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sz w:val="24"/>
        </w:rPr>
      </w:pPr>
      <w:bookmarkStart w:id="66" w:name="_Toc59896701"/>
      <w:bookmarkStart w:id="67" w:name="_Toc59900969"/>
      <w:r>
        <w:rPr>
          <w:rFonts w:hint="eastAsia" w:ascii="仿宋_GB2312" w:hAnsi="仿宋_GB2312" w:eastAsia="仿宋_GB2312" w:cs="仿宋_GB2312"/>
          <w:sz w:val="24"/>
        </w:rPr>
        <w:t xml:space="preserve">第一条 </w:t>
      </w:r>
      <w:bookmarkEnd w:id="66"/>
      <w:bookmarkEnd w:id="67"/>
      <w:r>
        <w:rPr>
          <w:rFonts w:hint="eastAsia" w:ascii="仿宋_GB2312" w:hAnsi="仿宋_GB2312" w:eastAsia="仿宋_GB2312" w:cs="仿宋_GB2312"/>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kern w:val="0"/>
          <w:sz w:val="24"/>
          <w:u w:val="single"/>
        </w:rPr>
        <w:t>长沙市轨道交通西环线运营期2023年-2024年九华车辆基地食堂劳务委外服务项目</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sz w:val="24"/>
        </w:rPr>
      </w:pPr>
      <w:bookmarkStart w:id="68" w:name="_Toc59896702"/>
      <w:bookmarkStart w:id="69" w:name="_Toc59900970"/>
      <w:r>
        <w:rPr>
          <w:rFonts w:hint="eastAsia" w:ascii="仿宋_GB2312" w:hAnsi="仿宋_GB2312" w:eastAsia="仿宋_GB2312" w:cs="仿宋_GB2312"/>
          <w:sz w:val="24"/>
        </w:rPr>
        <w:t>第三条 甲方的义务</w:t>
      </w:r>
      <w:bookmarkEnd w:id="68"/>
      <w:bookmarkEnd w:id="69"/>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bookmarkStart w:id="70" w:name="_Toc59896703"/>
      <w:bookmarkStart w:id="71" w:name="_Toc59900971"/>
      <w:r>
        <w:rPr>
          <w:rFonts w:hint="eastAsia" w:ascii="仿宋_GB2312" w:hAnsi="仿宋_GB2312" w:eastAsia="仿宋_GB2312" w:cs="仿宋_GB2312"/>
          <w:sz w:val="24"/>
        </w:rPr>
        <w:t>第四条 乙方义务</w:t>
      </w:r>
      <w:bookmarkEnd w:id="70"/>
      <w:bookmarkEnd w:id="71"/>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rPr>
        <w:sectPr>
          <w:pgSz w:w="11906" w:h="16838"/>
          <w:pgMar w:top="1440" w:right="1800" w:bottom="1440" w:left="1800" w:header="851" w:footer="992" w:gutter="0"/>
          <w:pgNumType w:fmt="decimal"/>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pStyle w:val="2"/>
        <w:rPr>
          <w:rFonts w:ascii="仿宋_GB2312" w:hAnsi="仿宋_GB2312" w:eastAsia="仿宋_GB2312" w:cs="仿宋_GB2312"/>
        </w:rPr>
      </w:pPr>
    </w:p>
    <w:p>
      <w:pPr>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adjustRightInd w:val="0"/>
        <w:snapToGrid w:val="0"/>
        <w:spacing w:line="444"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br w:type="page"/>
      </w:r>
    </w:p>
    <w:bookmarkEnd w:id="65"/>
    <w:p>
      <w:pPr>
        <w:widowControl/>
        <w:jc w:val="left"/>
        <w:rPr>
          <w:rFonts w:ascii="仿宋_GB2312" w:hAnsi="仿宋_GB2312" w:eastAsia="仿宋_GB2312" w:cs="仿宋_GB2312"/>
          <w:b/>
          <w:sz w:val="24"/>
        </w:rPr>
      </w:pPr>
      <w:bookmarkStart w:id="72" w:name="3"/>
      <w:bookmarkEnd w:id="72"/>
      <w:bookmarkStart w:id="73" w:name="_Toc493574714"/>
      <w:r>
        <w:rPr>
          <w:rFonts w:hint="eastAsia" w:ascii="仿宋_GB2312" w:hAnsi="仿宋_GB2312" w:eastAsia="仿宋_GB2312" w:cs="仿宋_GB2312"/>
          <w:b/>
          <w:sz w:val="24"/>
        </w:rPr>
        <w:t>附件2 安全生产协议</w:t>
      </w:r>
    </w:p>
    <w:p>
      <w:pPr>
        <w:autoSpaceDE w:val="0"/>
        <w:autoSpaceDN w:val="0"/>
        <w:adjustRightInd w:val="0"/>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安全生产协议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hint="eastAsia" w:ascii="仿宋_GB2312" w:hAnsi="仿宋_GB2312" w:eastAsia="仿宋_GB2312" w:cs="仿宋_GB2312"/>
          <w:sz w:val="24"/>
          <w:u w:val="single"/>
        </w:rPr>
        <w:t>长沙市轨道交通运营有限公司</w:t>
      </w:r>
      <w:r>
        <w:rPr>
          <w:rFonts w:hint="eastAsia" w:ascii="仿宋_GB2312" w:hAnsi="仿宋_GB2312" w:eastAsia="仿宋_GB2312" w:cs="仿宋_GB2312"/>
          <w:kern w:val="0"/>
          <w:sz w:val="24"/>
          <w:u w:val="single"/>
          <w:lang w:val="en-US" w:eastAsia="zh-CN"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hint="eastAsia" w:ascii="仿宋_GB2312" w:hAnsi="仿宋_GB2312" w:eastAsia="仿宋_GB2312" w:cs="仿宋_GB2312"/>
          <w:kern w:val="0"/>
          <w:sz w:val="24"/>
          <w:u w:val="single"/>
          <w:lang w:bidi="en-US"/>
        </w:rPr>
        <w:t xml:space="preserve">                    </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为在 </w:t>
      </w:r>
      <w:r>
        <w:rPr>
          <w:rFonts w:hint="eastAsia" w:ascii="仿宋_GB2312" w:hAnsi="仿宋_GB2312" w:eastAsia="仿宋_GB2312" w:cs="仿宋_GB2312"/>
          <w:kern w:val="0"/>
          <w:sz w:val="24"/>
          <w:u w:val="single"/>
        </w:rPr>
        <w:t>长沙市轨道交通西环线运营期2023年-2024年九华车辆基地食堂劳务委外服务项目</w:t>
      </w:r>
      <w:r>
        <w:rPr>
          <w:rFonts w:hint="eastAsia" w:ascii="仿宋_GB2312" w:hAnsi="仿宋_GB2312" w:eastAsia="仿宋_GB2312" w:cs="仿宋_GB2312"/>
          <w:kern w:val="0"/>
          <w:sz w:val="24"/>
        </w:rPr>
        <w:t>合同</w:t>
      </w:r>
      <w:r>
        <w:rPr>
          <w:rFonts w:hint="eastAsia" w:ascii="仿宋_GB2312" w:hAnsi="仿宋_GB2312" w:eastAsia="仿宋_GB2312" w:cs="仿宋_GB2312"/>
          <w:sz w:val="24"/>
          <w:szCs w:val="20"/>
        </w:rPr>
        <w:t>（以下简称“主合同”）</w:t>
      </w:r>
      <w:r>
        <w:rPr>
          <w:rFonts w:hint="eastAsia" w:ascii="仿宋_GB2312" w:hAnsi="仿宋_GB2312" w:eastAsia="仿宋_GB2312" w:cs="仿宋_GB2312"/>
          <w:kern w:val="0"/>
          <w:sz w:val="24"/>
        </w:rPr>
        <w:t>的执行过程中创造安全、高效的施工环境，切实搞好项目的安全管理工作，甲、乙双方特签订本协议。</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一、甲方职责</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1、甲方应严格遵守国家有关安全生产的法律法规及有关安全生产管理条例的规定，认真执行主合同中的有关安全要求。</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2、甲方应按照“安全第一、预防为主”的原则进行安全生产管理。</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3、甲方应及时传达中央及地方有关安全生产的精神。</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4、甲方组织对乙方施工现场安全生产检查，监督乙方及时处理发现的各种安全隐患。</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二、乙方职责</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3、乙方应加强项目关键岗位人员到岗情况的监督和项目现场的人员管理，并为项目现场人员及时足额缴纳工伤保险费。</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乙方在项目现场配备的安全员应不低于《湖南省建设工程施工项目部和现场监理部关键岗位人员配备管理办法》（湘建建[2015]57号）规定，并确保安全员专职负责所有员工的安全和治安保卫工作和有权按有关规定发布指令、有权采取保护性措施。</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10、乙方应积极配合接受甲方的安全监督检查,及时整改管辖范围内的问题和安全隐患,确保安全生产。</w:t>
      </w:r>
    </w:p>
    <w:p>
      <w:pPr>
        <w:widowControl/>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11、乙方应履行法律、法规规定的其他安全生产责任和义务。</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三、违约责任</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在主合同执行过程中，因乙方原因发生安全事故，由此产生的一切行政、经济、法律责任由乙方承担。</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四、协议的生效和终止</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本协议由双方法定代表人或其授权代表签字并加盖公章后生效，主合同履行完毕后失效。</w:t>
      </w:r>
      <w:r>
        <w:rPr>
          <w:rFonts w:hint="eastAsia" w:ascii="仿宋_GB2312" w:hAnsi="仿宋_GB2312" w:eastAsia="仿宋_GB2312" w:cs="仿宋_GB2312"/>
          <w:kern w:val="0"/>
          <w:sz w:val="24"/>
        </w:rPr>
        <w:br w:type="page"/>
      </w:r>
    </w:p>
    <w:p>
      <w:pPr>
        <w:autoSpaceDE w:val="0"/>
        <w:autoSpaceDN w:val="0"/>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（本页无正文）</w:t>
      </w:r>
    </w:p>
    <w:p>
      <w:pPr>
        <w:autoSpaceDE w:val="0"/>
        <w:autoSpaceDN w:val="0"/>
        <w:adjustRightInd w:val="0"/>
        <w:snapToGrid w:val="0"/>
        <w:spacing w:line="360" w:lineRule="auto"/>
        <w:jc w:val="left"/>
        <w:rPr>
          <w:rFonts w:ascii="仿宋_GB2312" w:hAnsi="仿宋_GB2312" w:eastAsia="仿宋_GB2312" w:cs="仿宋_GB2312"/>
          <w:sz w:val="24"/>
        </w:rPr>
      </w:pPr>
    </w:p>
    <w:p>
      <w:pPr>
        <w:autoSpaceDE w:val="0"/>
        <w:autoSpaceDN w:val="0"/>
        <w:adjustRightInd w:val="0"/>
        <w:snapToGrid w:val="0"/>
        <w:spacing w:line="360" w:lineRule="auto"/>
        <w:jc w:val="left"/>
        <w:rPr>
          <w:rFonts w:ascii="仿宋_GB2312" w:hAnsi="仿宋_GB2312" w:eastAsia="仿宋_GB2312" w:cs="仿宋_GB2312"/>
          <w:sz w:val="24"/>
        </w:rPr>
      </w:pPr>
    </w:p>
    <w:p>
      <w:pPr>
        <w:autoSpaceDE w:val="0"/>
        <w:autoSpaceDN w:val="0"/>
        <w:adjustRightInd w:val="0"/>
        <w:snapToGrid w:val="0"/>
        <w:spacing w:line="360" w:lineRule="auto"/>
        <w:jc w:val="left"/>
        <w:rPr>
          <w:rFonts w:ascii="仿宋_GB2312" w:hAnsi="仿宋_GB2312" w:eastAsia="仿宋_GB2312" w:cs="仿宋_GB2312"/>
          <w:sz w:val="24"/>
        </w:rPr>
      </w:pPr>
    </w:p>
    <w:tbl>
      <w:tblPr>
        <w:tblStyle w:val="44"/>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tcPr>
          <w:p>
            <w:pPr>
              <w:adjustRightInd w:val="0"/>
              <w:snapToGrid w:val="0"/>
              <w:spacing w:line="360" w:lineRule="auto"/>
              <w:textAlignment w:val="baseline"/>
              <w:rPr>
                <w:rFonts w:ascii="仿宋_GB2312" w:hAnsi="仿宋_GB2312" w:eastAsia="仿宋_GB2312" w:cs="仿宋_GB2312"/>
                <w:sz w:val="24"/>
                <w:szCs w:val="20"/>
              </w:rPr>
            </w:pPr>
            <w:r>
              <w:rPr>
                <w:rFonts w:hint="eastAsia" w:ascii="仿宋_GB2312" w:hAnsi="仿宋_GB2312" w:eastAsia="仿宋_GB2312" w:cs="仿宋_GB2312"/>
                <w:sz w:val="24"/>
                <w:szCs w:val="20"/>
              </w:rPr>
              <w:br w:type="page"/>
            </w:r>
          </w:p>
          <w:p>
            <w:pPr>
              <w:adjustRightInd w:val="0"/>
              <w:snapToGrid w:val="0"/>
              <w:spacing w:line="360" w:lineRule="auto"/>
              <w:textAlignment w:val="baseline"/>
              <w:rPr>
                <w:rFonts w:ascii="仿宋_GB2312" w:hAnsi="仿宋_GB2312" w:eastAsia="仿宋_GB2312" w:cs="仿宋_GB2312"/>
                <w:sz w:val="24"/>
                <w:szCs w:val="20"/>
              </w:rPr>
            </w:pPr>
          </w:p>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甲方：(盖章)</w:t>
            </w:r>
          </w:p>
          <w:p>
            <w:pPr>
              <w:adjustRightInd w:val="0"/>
              <w:snapToGrid w:val="0"/>
              <w:spacing w:line="360" w:lineRule="auto"/>
              <w:textAlignment w:val="baseline"/>
              <w:rPr>
                <w:rFonts w:ascii="仿宋_GB2312" w:hAnsi="仿宋_GB2312" w:eastAsia="仿宋_GB2312" w:cs="仿宋_GB2312"/>
                <w:kern w:val="0"/>
                <w:sz w:val="24"/>
              </w:rPr>
            </w:pPr>
          </w:p>
        </w:tc>
        <w:tc>
          <w:tcPr>
            <w:tcW w:w="4193" w:type="dxa"/>
          </w:tcPr>
          <w:p>
            <w:pPr>
              <w:adjustRightInd w:val="0"/>
              <w:snapToGrid w:val="0"/>
              <w:spacing w:line="360" w:lineRule="auto"/>
              <w:textAlignment w:val="baseline"/>
              <w:rPr>
                <w:rFonts w:ascii="仿宋_GB2312" w:hAnsi="仿宋_GB2312" w:eastAsia="仿宋_GB2312" w:cs="仿宋_GB2312"/>
                <w:kern w:val="0"/>
                <w:sz w:val="24"/>
              </w:rPr>
            </w:pPr>
          </w:p>
          <w:p>
            <w:pPr>
              <w:adjustRightInd w:val="0"/>
              <w:snapToGrid w:val="0"/>
              <w:spacing w:line="360" w:lineRule="auto"/>
              <w:textAlignment w:val="baseline"/>
              <w:rPr>
                <w:rFonts w:ascii="仿宋_GB2312" w:hAnsi="仿宋_GB2312" w:eastAsia="仿宋_GB2312" w:cs="仿宋_GB2312"/>
                <w:kern w:val="0"/>
                <w:sz w:val="24"/>
              </w:rPr>
            </w:pPr>
          </w:p>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09" w:hRule="atLeast"/>
          <w:jc w:val="center"/>
        </w:trPr>
        <w:tc>
          <w:tcPr>
            <w:tcW w:w="4405"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193"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193"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snapToGrid w:val="0"/>
        <w:spacing w:line="360" w:lineRule="auto"/>
        <w:rPr>
          <w:rFonts w:ascii="仿宋_GB2312" w:hAnsi="仿宋_GB2312" w:eastAsia="仿宋_GB2312" w:cs="仿宋_GB2312"/>
          <w:szCs w:val="20"/>
        </w:rPr>
      </w:pPr>
    </w:p>
    <w:p>
      <w:pPr>
        <w:pStyle w:val="13"/>
        <w:snapToGrid w:val="0"/>
        <w:spacing w:line="360" w:lineRule="auto"/>
        <w:ind w:firstLine="0"/>
        <w:outlineLvl w:val="9"/>
        <w:rPr>
          <w:rFonts w:ascii="仿宋_GB2312" w:hAnsi="仿宋_GB2312" w:eastAsia="仿宋_GB2312" w:cs="仿宋_GB2312"/>
          <w:b/>
          <w:sz w:val="24"/>
        </w:rPr>
      </w:pPr>
    </w:p>
    <w:p>
      <w:pPr>
        <w:widowControl/>
        <w:jc w:val="left"/>
        <w:rPr>
          <w:rFonts w:ascii="仿宋_GB2312" w:hAnsi="仿宋_GB2312" w:eastAsia="仿宋_GB2312" w:cs="仿宋_GB2312"/>
          <w:b/>
          <w:sz w:val="24"/>
        </w:rPr>
      </w:pPr>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附件3 中标通知书/中选通知书/谈判记录表</w:t>
      </w:r>
    </w:p>
    <w:p>
      <w:pPr>
        <w:pStyle w:val="13"/>
        <w:snapToGrid w:val="0"/>
        <w:spacing w:line="360" w:lineRule="auto"/>
        <w:ind w:firstLine="0"/>
        <w:outlineLvl w:val="9"/>
        <w:rPr>
          <w:rFonts w:ascii="仿宋_GB2312" w:hAnsi="仿宋_GB2312" w:eastAsia="仿宋_GB2312" w:cs="仿宋_GB2312"/>
          <w:b/>
          <w:sz w:val="24"/>
        </w:rPr>
      </w:pPr>
    </w:p>
    <w:p>
      <w:pPr>
        <w:pStyle w:val="13"/>
        <w:snapToGrid w:val="0"/>
        <w:spacing w:line="360" w:lineRule="auto"/>
        <w:ind w:firstLine="0"/>
        <w:outlineLvl w:val="1"/>
        <w:rPr>
          <w:rFonts w:ascii="仿宋_GB2312" w:hAnsi="仿宋_GB2312" w:eastAsia="仿宋_GB2312" w:cs="仿宋_GB2312"/>
          <w:b/>
          <w:sz w:val="24"/>
        </w:rPr>
        <w:sectPr>
          <w:pgSz w:w="11850" w:h="16783"/>
          <w:pgMar w:top="1440" w:right="1361" w:bottom="1440" w:left="1474" w:header="851" w:footer="992" w:gutter="0"/>
          <w:pgNumType w:fmt="decimal"/>
          <w:cols w:space="720" w:num="1"/>
          <w:titlePg/>
          <w:docGrid w:type="lines" w:linePitch="312" w:charSpace="0"/>
        </w:sectPr>
      </w:pP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 xml:space="preserve">附件4 </w:t>
      </w:r>
      <w:bookmarkEnd w:id="73"/>
      <w:bookmarkStart w:id="74" w:name="_Toc493574715"/>
      <w:r>
        <w:rPr>
          <w:rFonts w:hint="eastAsia" w:ascii="仿宋_GB2312" w:hAnsi="仿宋_GB2312" w:eastAsia="仿宋_GB2312" w:cs="仿宋_GB2312"/>
          <w:b/>
          <w:sz w:val="24"/>
        </w:rPr>
        <w:t>签约合同价清单</w:t>
      </w:r>
      <w:bookmarkEnd w:id="74"/>
    </w:p>
    <w:p>
      <w:pPr>
        <w:widowControl/>
        <w:jc w:val="left"/>
        <w:outlineLvl w:val="9"/>
        <w:rPr>
          <w:rFonts w:ascii="仿宋_GB2312" w:hAnsi="仿宋_GB2312" w:eastAsia="仿宋_GB2312" w:cs="仿宋_GB2312"/>
          <w:b/>
          <w:sz w:val="24"/>
        </w:rPr>
      </w:pPr>
      <w:bookmarkStart w:id="75" w:name="_Toc493574717"/>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附件5 澄清与答疑文件</w:t>
      </w:r>
      <w:bookmarkEnd w:id="75"/>
    </w:p>
    <w:p>
      <w:pPr>
        <w:widowControl/>
        <w:jc w:val="left"/>
        <w:outlineLvl w:val="9"/>
        <w:rPr>
          <w:rFonts w:ascii="仿宋_GB2312" w:hAnsi="仿宋_GB2312" w:eastAsia="仿宋_GB2312" w:cs="仿宋_GB2312"/>
          <w:b/>
          <w:sz w:val="24"/>
        </w:rPr>
      </w:pPr>
      <w:bookmarkStart w:id="76" w:name="_Toc493574718"/>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附件6 最高投标限价公示说明</w:t>
      </w:r>
      <w:bookmarkEnd w:id="76"/>
    </w:p>
    <w:p>
      <w:pPr>
        <w:widowControl/>
        <w:jc w:val="left"/>
        <w:rPr>
          <w:rFonts w:ascii="仿宋_GB2312" w:hAnsi="仿宋_GB2312" w:eastAsia="仿宋_GB2312" w:cs="仿宋_GB2312"/>
          <w:b/>
          <w:sz w:val="24"/>
        </w:rPr>
      </w:pPr>
      <w:bookmarkStart w:id="77" w:name="_Toc493574719"/>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w:t>
      </w:r>
      <w:bookmarkEnd w:id="77"/>
      <w:r>
        <w:rPr>
          <w:rFonts w:hint="eastAsia" w:ascii="仿宋_GB2312" w:hAnsi="仿宋_GB2312" w:eastAsia="仿宋_GB2312" w:cs="仿宋_GB2312"/>
          <w:b/>
          <w:sz w:val="24"/>
        </w:rPr>
        <w:t>7 用户需求书/技术规格书</w:t>
      </w:r>
    </w:p>
    <w:p>
      <w:pPr>
        <w:pStyle w:val="13"/>
        <w:snapToGrid w:val="0"/>
        <w:spacing w:line="360" w:lineRule="auto"/>
        <w:ind w:firstLine="0"/>
        <w:outlineLvl w:val="9"/>
        <w:rPr>
          <w:rFonts w:ascii="仿宋_GB2312" w:hAnsi="仿宋_GB2312" w:eastAsia="仿宋_GB2312" w:cs="仿宋_GB2312"/>
          <w:b/>
          <w:sz w:val="24"/>
        </w:rPr>
      </w:pPr>
    </w:p>
    <w:p>
      <w:pPr>
        <w:pStyle w:val="13"/>
        <w:snapToGrid w:val="0"/>
        <w:spacing w:line="360" w:lineRule="auto"/>
        <w:ind w:firstLine="0"/>
        <w:outlineLvl w:val="1"/>
        <w:rPr>
          <w:rFonts w:ascii="仿宋_GB2312" w:hAnsi="仿宋_GB2312" w:eastAsia="仿宋_GB2312" w:cs="仿宋_GB2312"/>
          <w:b/>
          <w:sz w:val="24"/>
        </w:rPr>
        <w:sectPr>
          <w:pgSz w:w="11850" w:h="16783"/>
          <w:pgMar w:top="1440" w:right="1361" w:bottom="1440" w:left="1474" w:header="851" w:footer="992" w:gutter="0"/>
          <w:pgNumType w:fmt="decimal"/>
          <w:cols w:space="720" w:num="1"/>
          <w:titlePg/>
          <w:docGrid w:type="lines" w:linePitch="312" w:charSpace="0"/>
        </w:sectPr>
      </w:pPr>
    </w:p>
    <w:p>
      <w:pPr>
        <w:pStyle w:val="13"/>
        <w:snapToGrid w:val="0"/>
        <w:spacing w:line="360" w:lineRule="auto"/>
        <w:ind w:firstLine="0"/>
        <w:jc w:val="center"/>
        <w:outlineLvl w:val="9"/>
        <w:rPr>
          <w:rFonts w:ascii="仿宋_GB2312" w:hAnsi="仿宋_GB2312" w:eastAsia="仿宋_GB2312" w:cs="仿宋_GB2312"/>
          <w:b/>
          <w:bCs/>
          <w:sz w:val="32"/>
          <w:szCs w:val="32"/>
        </w:rPr>
      </w:pPr>
      <w:bookmarkStart w:id="78" w:name="_Toc13758"/>
      <w:bookmarkStart w:id="79" w:name="_Toc471984500"/>
      <w:bookmarkStart w:id="80" w:name="_Toc471995645"/>
      <w:bookmarkStart w:id="81" w:name="_Toc471994670"/>
      <w:bookmarkStart w:id="82" w:name="_Toc471994703"/>
      <w:bookmarkStart w:id="83" w:name="_Toc471985084"/>
      <w:bookmarkStart w:id="84" w:name="_Toc471994658"/>
      <w:r>
        <w:rPr>
          <w:rFonts w:hint="eastAsia" w:ascii="仿宋_GB2312" w:hAnsi="仿宋_GB2312" w:eastAsia="仿宋_GB2312" w:cs="仿宋_GB2312"/>
          <w:b/>
          <w:bCs/>
          <w:sz w:val="32"/>
          <w:szCs w:val="32"/>
        </w:rPr>
        <w:t>第四部分 合同附录</w:t>
      </w:r>
      <w:bookmarkEnd w:id="78"/>
      <w:bookmarkEnd w:id="79"/>
      <w:bookmarkEnd w:id="80"/>
      <w:bookmarkEnd w:id="81"/>
      <w:bookmarkEnd w:id="82"/>
      <w:bookmarkEnd w:id="83"/>
      <w:bookmarkEnd w:id="84"/>
    </w:p>
    <w:p>
      <w:pPr>
        <w:pStyle w:val="13"/>
        <w:snapToGrid w:val="0"/>
        <w:spacing w:line="360" w:lineRule="auto"/>
        <w:ind w:firstLine="0"/>
        <w:outlineLvl w:val="9"/>
        <w:rPr>
          <w:rFonts w:ascii="仿宋_GB2312" w:hAnsi="仿宋_GB2312" w:eastAsia="仿宋_GB2312" w:cs="仿宋_GB2312"/>
          <w:b/>
          <w:sz w:val="24"/>
        </w:rPr>
      </w:pPr>
      <w:bookmarkStart w:id="85" w:name="_Toc6333"/>
      <w:r>
        <w:rPr>
          <w:rFonts w:hint="eastAsia" w:ascii="仿宋_GB2312" w:hAnsi="仿宋_GB2312" w:eastAsia="仿宋_GB2312" w:cs="仿宋_GB2312"/>
          <w:b/>
          <w:sz w:val="24"/>
        </w:rPr>
        <w:t>附录1 履约保函(格式)</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hint="eastAsia" w:ascii="仿宋_GB2312" w:hAnsi="仿宋_GB2312" w:eastAsia="仿宋_GB2312" w:cs="仿宋_GB2312"/>
          <w:sz w:val="24"/>
          <w:szCs w:val="20"/>
        </w:rPr>
        <w:sectPr>
          <w:headerReference r:id="rId13" w:type="default"/>
          <w:footerReference r:id="rId14" w:type="default"/>
          <w:pgSz w:w="11906" w:h="16838"/>
          <w:pgMar w:top="1440" w:right="1361" w:bottom="1440" w:left="1474" w:header="851" w:footer="992" w:gutter="0"/>
          <w:pgNumType w:fmt="decimal"/>
          <w:cols w:space="720" w:num="1"/>
          <w:docGrid w:type="lines" w:linePitch="312" w:charSpace="0"/>
        </w:sectPr>
      </w:pPr>
      <w:r>
        <w:rPr>
          <w:rFonts w:hint="eastAsia" w:ascii="仿宋_GB2312" w:hAnsi="仿宋_GB2312" w:eastAsia="仿宋_GB2312" w:cs="仿宋_GB2312"/>
          <w:sz w:val="24"/>
          <w:szCs w:val="20"/>
        </w:rPr>
        <w:t>时间：</w:t>
      </w:r>
      <w:bookmarkEnd w:id="85"/>
    </w:p>
    <w:p>
      <w:p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 招标文件/自主竞争性谈判文件/直接委托谈判文件及澄清与答疑文件及其它补充资料（如有，另册）</w:t>
      </w:r>
    </w:p>
    <w:p>
      <w:pPr>
        <w:adjustRightInd w:val="0"/>
        <w:snapToGrid w:val="0"/>
        <w:spacing w:line="360" w:lineRule="auto"/>
        <w:ind w:firstLine="422" w:firstLineChars="175"/>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第六部分 投标文件/谈判响应文件及澄清文件及其它补充资料（如有，另册）</w:t>
      </w:r>
    </w:p>
    <w:p>
      <w:pPr>
        <w:snapToGrid w:val="0"/>
        <w:spacing w:line="360" w:lineRule="auto"/>
        <w:jc w:val="center"/>
        <w:rPr>
          <w:rFonts w:ascii="仿宋_GB2312" w:hAnsi="仿宋_GB2312" w:eastAsia="仿宋_GB2312" w:cs="仿宋_GB2312"/>
          <w:b/>
          <w:sz w:val="24"/>
        </w:rPr>
      </w:pPr>
    </w:p>
    <w:p>
      <w:pPr>
        <w:pStyle w:val="43"/>
        <w:rPr>
          <w:rFonts w:ascii="黑体" w:eastAsia="黑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lang w:val="en-US" w:eastAsia="zh-CN" w:bidi="ar-SA"/>
          <w14:textFill>
            <w14:solidFill>
              <w14:schemeClr w14:val="tx1"/>
            </w14:solidFill>
          </w14:textFill>
        </w:rPr>
      </w:pPr>
      <w:bookmarkStart w:id="86" w:name="_Toc14718"/>
      <w:bookmarkStart w:id="87" w:name="_Toc7734"/>
      <w:r>
        <w:rPr>
          <w:rFonts w:hint="eastAsia" w:ascii="黑体" w:hAnsi="Times New Roman" w:eastAsia="黑体" w:cs="Times New Roman"/>
          <w:b/>
          <w:bCs/>
          <w:color w:val="000000" w:themeColor="text1"/>
          <w:kern w:val="2"/>
          <w:sz w:val="32"/>
          <w:szCs w:val="32"/>
          <w:lang w:val="en-US" w:eastAsia="zh-CN" w:bidi="ar-SA"/>
          <w14:textFill>
            <w14:solidFill>
              <w14:schemeClr w14:val="tx1"/>
            </w14:solidFill>
          </w14:textFill>
        </w:rPr>
        <w:t>第五章 用户需求书（另册）</w:t>
      </w:r>
      <w:bookmarkEnd w:id="86"/>
      <w:bookmarkEnd w:id="87"/>
    </w:p>
    <w:p>
      <w:pPr>
        <w:pStyle w:val="43"/>
        <w:rPr>
          <w:rFonts w:ascii="黑体" w:eastAsia="黑体"/>
          <w:b/>
          <w:color w:val="000000" w:themeColor="text1"/>
          <w:sz w:val="32"/>
          <w:szCs w:val="32"/>
          <w14:textFill>
            <w14:solidFill>
              <w14:schemeClr w14:val="tx1"/>
            </w14:solidFill>
          </w14:textFill>
        </w:rPr>
      </w:pPr>
    </w:p>
    <w:p>
      <w:pPr>
        <w:pStyle w:val="3"/>
        <w:keepNext w:val="0"/>
        <w:spacing w:line="360" w:lineRule="auto"/>
        <w:rPr>
          <w:rFonts w:ascii="宋体" w:hAnsi="宋体" w:cs="宋体"/>
          <w:bCs w:val="0"/>
          <w:sz w:val="32"/>
          <w:szCs w:val="32"/>
        </w:rPr>
      </w:pPr>
      <w:r>
        <w:rPr>
          <w:rFonts w:hint="eastAsia" w:ascii="黑体" w:eastAsia="黑体"/>
          <w:b/>
          <w:color w:val="000000" w:themeColor="text1"/>
          <w:sz w:val="32"/>
          <w:szCs w:val="32"/>
          <w14:textFill>
            <w14:solidFill>
              <w14:schemeClr w14:val="tx1"/>
            </w14:solidFill>
          </w14:textFill>
        </w:rPr>
        <w:br w:type="page"/>
      </w:r>
      <w:bookmarkStart w:id="88" w:name="_Toc2947"/>
      <w:bookmarkStart w:id="89" w:name="_Toc18238"/>
      <w:r>
        <w:rPr>
          <w:rFonts w:hint="eastAsia" w:ascii="黑体" w:eastAsia="黑体"/>
          <w:b/>
          <w:color w:val="000000" w:themeColor="text1"/>
          <w:sz w:val="32"/>
          <w:szCs w:val="32"/>
          <w14:textFill>
            <w14:solidFill>
              <w14:schemeClr w14:val="tx1"/>
            </w14:solidFill>
          </w14:textFill>
        </w:rPr>
        <w:t xml:space="preserve">第六章 </w:t>
      </w:r>
      <w:r>
        <w:rPr>
          <w:rFonts w:hint="eastAsia" w:ascii="黑体" w:hAnsi="Times New Roman" w:eastAsia="黑体" w:cs="Times New Roman"/>
          <w:b/>
          <w:color w:val="000000" w:themeColor="text1"/>
          <w:sz w:val="32"/>
          <w:szCs w:val="32"/>
          <w14:textFill>
            <w14:solidFill>
              <w14:schemeClr w14:val="tx1"/>
            </w14:solidFill>
          </w14:textFill>
        </w:rPr>
        <w:t>竞争性采购最高限价</w:t>
      </w:r>
      <w:bookmarkEnd w:id="88"/>
      <w:bookmarkEnd w:id="89"/>
    </w:p>
    <w:p>
      <w:pPr>
        <w:pStyle w:val="43"/>
        <w:spacing w:after="0" w:line="360" w:lineRule="auto"/>
        <w:ind w:left="0" w:leftChars="0" w:firstLine="0" w:firstLineChars="0"/>
        <w:rPr>
          <w:strike w:val="0"/>
          <w:highlight w:val="none"/>
        </w:rPr>
      </w:pPr>
    </w:p>
    <w:p>
      <w:pPr>
        <w:pStyle w:val="2"/>
        <w:ind w:left="0" w:leftChars="0" w:firstLine="420" w:firstLineChars="200"/>
        <w:rPr>
          <w:rFonts w:hint="eastAsia" w:ascii="宋体" w:hAnsi="宋体" w:eastAsia="宋体" w:cs="宋体"/>
          <w:strike w:val="0"/>
          <w:kern w:val="0"/>
          <w:szCs w:val="21"/>
          <w:highlight w:val="none"/>
        </w:rPr>
      </w:pPr>
      <w:r>
        <w:rPr>
          <w:rFonts w:hint="eastAsia" w:ascii="宋体" w:hAnsi="宋体" w:eastAsia="宋体" w:cs="宋体"/>
          <w:strike w:val="0"/>
          <w:kern w:val="0"/>
          <w:szCs w:val="21"/>
          <w:highlight w:val="none"/>
        </w:rPr>
        <w:t>一、长沙市轨道交通西环线运营期2023年-2024年九华车辆基地食堂劳务委外服务项目最高限价（含税）为</w:t>
      </w:r>
      <w:r>
        <w:rPr>
          <w:rFonts w:hint="eastAsia" w:ascii="宋体" w:hAnsi="宋体" w:eastAsia="宋体" w:cs="宋体"/>
          <w:strike w:val="0"/>
          <w:kern w:val="0"/>
          <w:szCs w:val="21"/>
          <w:highlight w:val="none"/>
          <w:lang w:val="en-US" w:eastAsia="zh-CN"/>
        </w:rPr>
        <w:t>434657.06</w:t>
      </w:r>
      <w:r>
        <w:rPr>
          <w:rFonts w:hint="eastAsia" w:ascii="宋体" w:hAnsi="宋体" w:eastAsia="宋体" w:cs="宋体"/>
          <w:strike w:val="0"/>
          <w:kern w:val="0"/>
          <w:szCs w:val="21"/>
          <w:highlight w:val="none"/>
        </w:rPr>
        <w:t>元，其中不含税价为</w:t>
      </w:r>
      <w:r>
        <w:rPr>
          <w:rFonts w:hint="eastAsia" w:ascii="宋体" w:hAnsi="宋体" w:eastAsia="宋体" w:cs="宋体"/>
          <w:strike w:val="0"/>
          <w:kern w:val="0"/>
          <w:szCs w:val="21"/>
          <w:highlight w:val="none"/>
          <w:lang w:val="en-US" w:eastAsia="zh-CN"/>
        </w:rPr>
        <w:t>410053.83</w:t>
      </w:r>
      <w:r>
        <w:rPr>
          <w:rFonts w:hint="eastAsia" w:ascii="宋体" w:hAnsi="宋体" w:eastAsia="宋体" w:cs="宋体"/>
          <w:strike w:val="0"/>
          <w:kern w:val="0"/>
          <w:szCs w:val="21"/>
          <w:highlight w:val="none"/>
        </w:rPr>
        <w:t>元，税金为</w:t>
      </w:r>
      <w:r>
        <w:rPr>
          <w:rFonts w:hint="eastAsia" w:ascii="宋体" w:hAnsi="宋体" w:eastAsia="宋体" w:cs="宋体"/>
          <w:strike w:val="0"/>
          <w:kern w:val="0"/>
          <w:szCs w:val="21"/>
          <w:highlight w:val="none"/>
          <w:lang w:val="en-US" w:eastAsia="zh-CN"/>
        </w:rPr>
        <w:t>24603.23</w:t>
      </w:r>
      <w:r>
        <w:rPr>
          <w:rFonts w:hint="eastAsia" w:ascii="宋体" w:hAnsi="宋体" w:eastAsia="宋体" w:cs="宋体"/>
          <w:strike w:val="0"/>
          <w:kern w:val="0"/>
          <w:szCs w:val="21"/>
          <w:highlight w:val="none"/>
        </w:rPr>
        <w:t>元。总报价（含税）不得高于公示的最高限价。</w:t>
      </w:r>
    </w:p>
    <w:p>
      <w:pPr>
        <w:pStyle w:val="2"/>
        <w:ind w:left="0" w:leftChars="0" w:firstLine="420" w:firstLineChars="200"/>
        <w:rPr>
          <w:rFonts w:hint="eastAsia" w:ascii="宋体" w:hAnsi="宋体" w:eastAsia="宋体" w:cs="宋体"/>
          <w:strike w:val="0"/>
          <w:kern w:val="0"/>
          <w:szCs w:val="21"/>
          <w:highlight w:val="none"/>
        </w:rPr>
      </w:pPr>
      <w:r>
        <w:rPr>
          <w:rFonts w:hint="eastAsia" w:ascii="宋体" w:hAnsi="宋体" w:eastAsia="宋体" w:cs="宋体"/>
          <w:strike w:val="0"/>
          <w:kern w:val="0"/>
          <w:szCs w:val="21"/>
          <w:highlight w:val="none"/>
        </w:rPr>
        <w:t>二、最高限价包含项目实施过程按相关法律政策征收的一切税费、管理费、保险费、利润以及其他一切与该项目实施有关的所有费用。</w:t>
      </w:r>
    </w:p>
    <w:p>
      <w:pPr>
        <w:pStyle w:val="2"/>
        <w:ind w:left="0" w:leftChars="0" w:firstLine="420" w:firstLineChars="200"/>
        <w:rPr>
          <w:rFonts w:hint="eastAsia" w:ascii="宋体" w:hAnsi="宋体" w:eastAsia="宋体" w:cs="宋体"/>
          <w:strike w:val="0"/>
          <w:kern w:val="0"/>
          <w:szCs w:val="21"/>
          <w:highlight w:val="none"/>
        </w:rPr>
      </w:pPr>
      <w:r>
        <w:rPr>
          <w:rFonts w:hint="eastAsia" w:ascii="宋体" w:hAnsi="宋体" w:eastAsia="宋体" w:cs="宋体"/>
          <w:strike w:val="0"/>
          <w:kern w:val="0"/>
          <w:szCs w:val="21"/>
          <w:highlight w:val="none"/>
        </w:rPr>
        <w:t>三、本项目具体工作内容以用户需求书为准，合同价格不随政府政策及市场物价上涨或回落等因素调整（税金除外）。请投标人依据用户需求书并充分考虑人工工资单价上涨因素自行考虑综合报价。</w:t>
      </w:r>
    </w:p>
    <w:p>
      <w:pPr>
        <w:rPr>
          <w:rFonts w:hint="eastAsia"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br w:type="page"/>
      </w:r>
    </w:p>
    <w:p>
      <w:pPr>
        <w:pStyle w:val="2"/>
        <w:rPr>
          <w:rFonts w:hint="eastAsia"/>
        </w:rPr>
      </w:pPr>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pPr>
      <w:bookmarkStart w:id="90" w:name="_Toc10575"/>
      <w:bookmarkStart w:id="91" w:name="_Toc8284"/>
      <w:r>
        <w:rPr>
          <w:rFonts w:hint="eastAsia" w:ascii="黑体" w:eastAsia="黑体"/>
          <w:b/>
          <w:color w:val="000000" w:themeColor="text1"/>
          <w:sz w:val="32"/>
          <w:szCs w:val="32"/>
          <w14:textFill>
            <w14:solidFill>
              <w14:schemeClr w14:val="tx1"/>
            </w14:solidFill>
          </w14:textFill>
        </w:rPr>
        <w:t>第</w:t>
      </w:r>
      <w:r>
        <w:rPr>
          <w:rFonts w:hint="eastAsia" w:ascii="黑体" w:eastAsia="黑体"/>
          <w:b/>
          <w:color w:val="000000" w:themeColor="text1"/>
          <w:sz w:val="32"/>
          <w:szCs w:val="32"/>
          <w:lang w:val="en-US" w:eastAsia="zh-CN"/>
          <w14:textFill>
            <w14:solidFill>
              <w14:schemeClr w14:val="tx1"/>
            </w14:solidFill>
          </w14:textFill>
        </w:rPr>
        <w:t>七</w:t>
      </w:r>
      <w:r>
        <w:rPr>
          <w:rFonts w:hint="eastAsia" w:ascii="黑体" w:eastAsia="黑体"/>
          <w:b/>
          <w:color w:val="000000" w:themeColor="text1"/>
          <w:sz w:val="32"/>
          <w:szCs w:val="32"/>
          <w14:textFill>
            <w14:solidFill>
              <w14:schemeClr w14:val="tx1"/>
            </w14:solidFill>
          </w14:textFill>
        </w:rPr>
        <w:t>章 响应文件格式</w:t>
      </w:r>
      <w:bookmarkEnd w:id="90"/>
      <w:bookmarkEnd w:id="91"/>
    </w:p>
    <w:p>
      <w:pPr>
        <w:pStyle w:val="2"/>
        <w:rPr>
          <w:rFonts w:ascii="宋体"/>
          <w:color w:val="000000" w:themeColor="text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14:textFill>
            <w14:solidFill>
              <w14:schemeClr w14:val="tx1"/>
            </w14:solidFill>
          </w14:textFill>
        </w:rPr>
      </w:pPr>
      <w:bookmarkStart w:id="92" w:name="_Toc24076"/>
      <w:bookmarkStart w:id="93" w:name="_Toc28138"/>
      <w:bookmarkStart w:id="94" w:name="_Toc2964"/>
      <w:bookmarkStart w:id="95" w:name="_Toc13293"/>
      <w:bookmarkStart w:id="96" w:name="_Toc19793"/>
      <w:r>
        <w:rPr>
          <w:rFonts w:hint="eastAsia" w:ascii="宋体" w:hAnsi="宋体"/>
          <w:b/>
          <w:bCs/>
          <w:color w:val="000000" w:themeColor="text1"/>
          <w:sz w:val="72"/>
          <w:szCs w:val="72"/>
          <w14:textFill>
            <w14:solidFill>
              <w14:schemeClr w14:val="tx1"/>
            </w14:solidFill>
          </w14:textFill>
        </w:rPr>
        <w:t>响应文件</w:t>
      </w:r>
      <w:bookmarkEnd w:id="92"/>
      <w:bookmarkEnd w:id="93"/>
      <w:bookmarkEnd w:id="94"/>
      <w:bookmarkEnd w:id="95"/>
      <w:bookmarkEnd w:id="96"/>
    </w:p>
    <w:p>
      <w:pPr>
        <w:spacing w:line="360" w:lineRule="auto"/>
        <w:rPr>
          <w:rFonts w:ascii="宋体" w:hAnsi="宋体" w:cs="宋体"/>
          <w:b/>
          <w:bCs/>
          <w:color w:val="000000" w:themeColor="text1"/>
          <w:szCs w:val="21"/>
          <w14:textFill>
            <w14:solidFill>
              <w14:schemeClr w14:val="tx1"/>
            </w14:solidFill>
          </w14:textFill>
        </w:rPr>
      </w:pPr>
    </w:p>
    <w:p>
      <w:pPr>
        <w:pStyle w:val="42"/>
        <w:ind w:firstLine="422"/>
        <w:rPr>
          <w:rFonts w:ascii="宋体" w:hAnsi="宋体" w:cs="宋体"/>
          <w:b/>
          <w:bCs/>
          <w:color w:val="000000" w:themeColor="text1"/>
          <w:szCs w:val="21"/>
          <w14:textFill>
            <w14:solidFill>
              <w14:schemeClr w14:val="tx1"/>
            </w14:solidFill>
          </w14:textFill>
        </w:rPr>
      </w:pPr>
    </w:p>
    <w:p>
      <w:pPr>
        <w:pStyle w:val="24"/>
        <w:spacing w:line="360" w:lineRule="auto"/>
        <w:rPr>
          <w:rFonts w:hAnsi="宋体"/>
          <w:b/>
          <w:bCs/>
          <w:color w:val="000000" w:themeColor="text1"/>
          <w:sz w:val="32"/>
          <w:szCs w:val="32"/>
          <w14:textFill>
            <w14:solidFill>
              <w14:schemeClr w14:val="tx1"/>
            </w14:solidFill>
          </w14:textFill>
        </w:rPr>
      </w:pPr>
    </w:p>
    <w:p>
      <w:pPr>
        <w:spacing w:line="360" w:lineRule="auto"/>
        <w:ind w:left="3529" w:leftChars="304" w:hanging="2891" w:hangingChars="900"/>
        <w:outlineLvl w:val="9"/>
        <w:rPr>
          <w:rFonts w:ascii="宋体" w:hAnsi="宋体" w:cs="Courier New"/>
          <w:b/>
          <w:color w:val="000000" w:themeColor="text1"/>
          <w:sz w:val="32"/>
          <w:szCs w:val="21"/>
          <w:u w:val="single"/>
          <w14:textFill>
            <w14:solidFill>
              <w14:schemeClr w14:val="tx1"/>
            </w14:solidFill>
          </w14:textFill>
        </w:rPr>
      </w:pPr>
      <w:bookmarkStart w:id="97" w:name="_Toc2676"/>
      <w:bookmarkStart w:id="98" w:name="_Toc1956"/>
      <w:bookmarkStart w:id="99" w:name="_Toc5446"/>
      <w:bookmarkStart w:id="100" w:name="_Toc12573"/>
      <w:bookmarkStart w:id="101" w:name="_Toc11829"/>
      <w:r>
        <w:rPr>
          <w:rFonts w:hint="eastAsia" w:ascii="宋体" w:hAnsi="宋体" w:cs="Courier New"/>
          <w:b/>
          <w:color w:val="000000" w:themeColor="text1"/>
          <w:sz w:val="32"/>
          <w:szCs w:val="21"/>
          <w14:textFill>
            <w14:solidFill>
              <w14:schemeClr w14:val="tx1"/>
            </w14:solidFill>
          </w14:textFill>
        </w:rPr>
        <w:t>项目名称：</w:t>
      </w:r>
      <w:bookmarkEnd w:id="97"/>
      <w:bookmarkEnd w:id="98"/>
      <w:bookmarkEnd w:id="99"/>
      <w:bookmarkEnd w:id="100"/>
      <w:bookmarkEnd w:id="101"/>
      <w:r>
        <w:rPr>
          <w:rFonts w:hint="eastAsia" w:ascii="宋体" w:hAnsi="宋体" w:cs="Courier New"/>
          <w:b/>
          <w:color w:val="000000" w:themeColor="text1"/>
          <w:sz w:val="32"/>
          <w:szCs w:val="21"/>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u w:val="single"/>
          <w14:textFill>
            <w14:solidFill>
              <w14:schemeClr w14:val="tx1"/>
            </w14:solidFill>
          </w14:textFill>
        </w:rPr>
      </w:pPr>
      <w:bookmarkStart w:id="102" w:name="_Toc20489"/>
      <w:bookmarkStart w:id="103" w:name="_Toc16"/>
      <w:r>
        <w:rPr>
          <w:rFonts w:hint="eastAsia" w:ascii="宋体" w:hAnsi="宋体" w:cs="Courier New"/>
          <w:b/>
          <w:color w:val="000000" w:themeColor="text1"/>
          <w:sz w:val="32"/>
          <w:szCs w:val="21"/>
          <w14:textFill>
            <w14:solidFill>
              <w14:schemeClr w14:val="tx1"/>
            </w14:solidFill>
          </w14:textFill>
        </w:rPr>
        <w:t>供应商名称：</w:t>
      </w:r>
      <w:bookmarkEnd w:id="102"/>
      <w:bookmarkEnd w:id="103"/>
      <w:r>
        <w:rPr>
          <w:rFonts w:hint="eastAsia" w:ascii="宋体" w:hAnsi="宋体" w:cs="Courier New"/>
          <w:b/>
          <w:color w:val="000000" w:themeColor="text1"/>
          <w:sz w:val="32"/>
          <w:szCs w:val="21"/>
          <w:u w:val="single"/>
          <w14:textFill>
            <w14:solidFill>
              <w14:schemeClr w14:val="tx1"/>
            </w14:solidFill>
          </w14:textFill>
        </w:rPr>
        <w:t xml:space="preserve">  </w:t>
      </w:r>
      <w:r>
        <w:rPr>
          <w:rFonts w:hint="eastAsia" w:hAnsi="宋体"/>
          <w:color w:val="000000" w:themeColor="text1"/>
          <w:sz w:val="32"/>
          <w:szCs w:val="32"/>
          <w:u w:val="single"/>
          <w14:textFill>
            <w14:solidFill>
              <w14:schemeClr w14:val="tx1"/>
            </w14:solidFill>
          </w14:textFill>
        </w:rPr>
        <w:t xml:space="preserve"> （加盖单位公章）</w:t>
      </w:r>
      <w:r>
        <w:rPr>
          <w:rFonts w:hint="eastAsia" w:ascii="宋体" w:hAnsi="宋体" w:cs="Courier New"/>
          <w:b/>
          <w:color w:val="000000" w:themeColor="text1"/>
          <w:sz w:val="32"/>
          <w:szCs w:val="21"/>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u w:val="single"/>
          <w14:textFill>
            <w14:solidFill>
              <w14:schemeClr w14:val="tx1"/>
            </w14:solidFill>
          </w14:textFill>
        </w:rPr>
      </w:pPr>
      <w:bookmarkStart w:id="104" w:name="_Toc27634"/>
      <w:bookmarkStart w:id="105" w:name="_Toc23784"/>
      <w:bookmarkStart w:id="106" w:name="_Toc3500"/>
      <w:bookmarkStart w:id="107" w:name="_Toc24096"/>
      <w:bookmarkStart w:id="108" w:name="_Toc28350"/>
      <w:r>
        <w:rPr>
          <w:rFonts w:hint="eastAsia" w:ascii="宋体" w:hAnsi="宋体" w:cs="Courier New"/>
          <w:b/>
          <w:color w:val="000000" w:themeColor="text1"/>
          <w:sz w:val="32"/>
          <w:szCs w:val="21"/>
          <w14:textFill>
            <w14:solidFill>
              <w14:schemeClr w14:val="tx1"/>
            </w14:solidFill>
          </w14:textFill>
        </w:rPr>
        <w:t>项目编号：</w:t>
      </w:r>
      <w:bookmarkEnd w:id="104"/>
      <w:bookmarkEnd w:id="105"/>
      <w:bookmarkEnd w:id="106"/>
      <w:bookmarkEnd w:id="107"/>
      <w:bookmarkEnd w:id="108"/>
      <w:r>
        <w:rPr>
          <w:rFonts w:hint="eastAsia" w:ascii="宋体" w:hAnsi="宋体" w:cs="Courier New"/>
          <w:b/>
          <w:color w:val="000000" w:themeColor="text1"/>
          <w:sz w:val="32"/>
          <w:szCs w:val="21"/>
          <w:u w:val="single"/>
          <w14:textFill>
            <w14:solidFill>
              <w14:schemeClr w14:val="tx1"/>
            </w14:solidFill>
          </w14:textFill>
        </w:rPr>
        <w:t xml:space="preserve">                           </w:t>
      </w:r>
    </w:p>
    <w:p>
      <w:pPr>
        <w:pStyle w:val="24"/>
        <w:spacing w:line="360" w:lineRule="auto"/>
        <w:outlineLvl w:val="9"/>
        <w:rPr>
          <w:rFonts w:hAnsi="宋体" w:cs="宋体"/>
          <w:b/>
          <w:bCs/>
          <w:color w:val="000000" w:themeColor="text1"/>
          <w:u w:val="single"/>
          <w14:textFill>
            <w14:solidFill>
              <w14:schemeClr w14:val="tx1"/>
            </w14:solidFill>
          </w14:textFill>
        </w:rPr>
      </w:pPr>
      <w:r>
        <w:rPr>
          <w:rFonts w:hint="eastAsia" w:hAnsi="宋体"/>
          <w:b/>
          <w:bCs/>
          <w:color w:val="000000" w:themeColor="text1"/>
          <w:sz w:val="32"/>
          <w:szCs w:val="32"/>
          <w14:textFill>
            <w14:solidFill>
              <w14:schemeClr w14:val="tx1"/>
            </w14:solidFill>
          </w14:textFill>
        </w:rPr>
        <w:t xml:space="preserve">                    </w:t>
      </w: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jc w:val="center"/>
        <w:outlineLvl w:val="9"/>
        <w:rPr>
          <w:rFonts w:hAnsi="宋体"/>
          <w:color w:val="000000" w:themeColor="text1"/>
          <w14:textFill>
            <w14:solidFill>
              <w14:schemeClr w14:val="tx1"/>
            </w14:solidFill>
          </w14:textFill>
        </w:rPr>
      </w:pPr>
      <w:bookmarkStart w:id="109" w:name="_Toc16781"/>
      <w:bookmarkStart w:id="110" w:name="_Toc4095"/>
      <w:bookmarkStart w:id="111" w:name="_Toc12352"/>
      <w:r>
        <w:rPr>
          <w:rFonts w:hint="eastAsia" w:hAnsi="宋体"/>
          <w:b/>
          <w:bCs/>
          <w:color w:val="000000" w:themeColor="text1"/>
          <w:sz w:val="32"/>
          <w:szCs w:val="32"/>
          <w14:textFill>
            <w14:solidFill>
              <w14:schemeClr w14:val="tx1"/>
            </w14:solidFill>
          </w14:textFill>
        </w:rPr>
        <w:t>日  期：</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年</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月</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日</w:t>
      </w:r>
      <w:bookmarkEnd w:id="109"/>
      <w:bookmarkEnd w:id="110"/>
      <w:bookmarkEnd w:id="111"/>
    </w:p>
    <w:p>
      <w:pPr>
        <w:widowControl/>
        <w:spacing w:line="360" w:lineRule="auto"/>
        <w:jc w:val="center"/>
        <w:rPr>
          <w:rFonts w:ascii="宋体" w:hAnsi="宋体"/>
          <w:b/>
          <w:color w:val="000000" w:themeColor="text1"/>
          <w:sz w:val="30"/>
          <w:szCs w:val="30"/>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目   录</w:t>
      </w:r>
    </w:p>
    <w:p>
      <w:pPr>
        <w:adjustRightInd w:val="0"/>
        <w:snapToGrid w:val="0"/>
        <w:spacing w:line="360" w:lineRule="auto"/>
        <w:jc w:val="center"/>
        <w:rPr>
          <w:rFonts w:ascii="宋体" w:hAnsi="宋体"/>
          <w:color w:val="000000" w:themeColor="text1"/>
          <w:sz w:val="24"/>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12" w:name="_Toc19789"/>
      <w:bookmarkStart w:id="113" w:name="_Toc15578"/>
      <w:r>
        <w:rPr>
          <w:rFonts w:hint="eastAsia" w:ascii="宋体" w:hAnsi="宋体"/>
          <w:color w:val="000000" w:themeColor="text1"/>
          <w:szCs w:val="21"/>
          <w:highlight w:val="none"/>
          <w14:textFill>
            <w14:solidFill>
              <w14:schemeClr w14:val="tx1"/>
            </w14:solidFill>
          </w14:textFill>
        </w:rPr>
        <w:t>一、</w:t>
      </w:r>
      <w:bookmarkEnd w:id="112"/>
      <w:bookmarkEnd w:id="113"/>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14" w:name="_Toc2906"/>
      <w:bookmarkStart w:id="115" w:name="_Toc27498"/>
      <w:r>
        <w:rPr>
          <w:rFonts w:hint="eastAsia" w:ascii="宋体" w:hAnsi="宋体"/>
          <w:color w:val="000000" w:themeColor="text1"/>
          <w:szCs w:val="21"/>
          <w:highlight w:val="none"/>
          <w14:textFill>
            <w14:solidFill>
              <w14:schemeClr w14:val="tx1"/>
            </w14:solidFill>
          </w14:textFill>
        </w:rPr>
        <w:t>二、</w:t>
      </w:r>
      <w:bookmarkEnd w:id="114"/>
      <w:bookmarkEnd w:id="115"/>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116" w:name="_Toc16965"/>
      <w:bookmarkStart w:id="117" w:name="_Toc2754"/>
      <w:r>
        <w:rPr>
          <w:rFonts w:hint="eastAsia" w:ascii="宋体" w:hAnsi="宋体"/>
          <w:color w:val="000000" w:themeColor="text1"/>
          <w:szCs w:val="21"/>
          <w:highlight w:val="none"/>
          <w14:textFill>
            <w14:solidFill>
              <w14:schemeClr w14:val="tx1"/>
            </w14:solidFill>
          </w14:textFill>
        </w:rPr>
        <w:t>三、授权委托书</w:t>
      </w:r>
      <w:bookmarkEnd w:id="116"/>
      <w:bookmarkEnd w:id="117"/>
      <w:bookmarkStart w:id="118" w:name="_Toc30780"/>
      <w:bookmarkStart w:id="119" w:name="_Toc1800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118"/>
      <w:bookmarkEnd w:id="119"/>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20" w:name="_Toc9870"/>
      <w:bookmarkStart w:id="121" w:name="_Toc9264"/>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、与评审办法相关的证明资料</w:t>
      </w:r>
      <w:bookmarkEnd w:id="120"/>
      <w:bookmarkEnd w:id="121"/>
    </w:p>
    <w:p>
      <w:pPr>
        <w:adjustRightInd w:val="0"/>
        <w:snapToGrid w:val="0"/>
        <w:spacing w:line="360" w:lineRule="auto"/>
        <w:ind w:firstLine="420" w:firstLineChars="200"/>
        <w:outlineLvl w:val="9"/>
        <w:rPr>
          <w:rFonts w:ascii="宋体" w:hAnsi="宋体"/>
          <w:color w:val="auto"/>
          <w:szCs w:val="21"/>
          <w:highlight w:val="none"/>
        </w:rPr>
      </w:pPr>
      <w:bookmarkStart w:id="122" w:name="_Toc24943"/>
      <w:bookmarkStart w:id="123" w:name="_Toc22705"/>
      <w:r>
        <w:rPr>
          <w:rFonts w:hint="eastAsia" w:ascii="宋体" w:hAnsi="宋体"/>
          <w:color w:val="auto"/>
          <w:szCs w:val="21"/>
          <w:highlight w:val="none"/>
          <w:lang w:val="en-US" w:eastAsia="zh-CN"/>
        </w:rPr>
        <w:t>六</w:t>
      </w:r>
      <w:r>
        <w:rPr>
          <w:rFonts w:hint="eastAsia" w:ascii="宋体" w:hAnsi="宋体"/>
          <w:color w:val="auto"/>
          <w:szCs w:val="21"/>
          <w:highlight w:val="none"/>
        </w:rPr>
        <w:t>、</w:t>
      </w:r>
      <w:bookmarkEnd w:id="122"/>
      <w:bookmarkEnd w:id="123"/>
      <w:r>
        <w:rPr>
          <w:rFonts w:hint="eastAsia" w:ascii="宋体" w:hAnsi="宋体"/>
          <w:color w:val="auto"/>
          <w:szCs w:val="21"/>
          <w:highlight w:val="none"/>
        </w:rPr>
        <w:t>服务方案</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24" w:name="_Toc18220"/>
      <w:bookmarkStart w:id="125" w:name="_Toc2718"/>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w:t>
      </w:r>
      <w:bookmarkEnd w:id="124"/>
      <w:bookmarkEnd w:id="125"/>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126" w:name="_Toc3578"/>
      <w:bookmarkStart w:id="127" w:name="_Toc6918"/>
      <w:r>
        <w:rPr>
          <w:rFonts w:hint="eastAsia" w:ascii="宋体" w:hAnsi="宋体"/>
          <w:color w:val="000000" w:themeColor="text1"/>
          <w:szCs w:val="21"/>
          <w:highlight w:val="none"/>
          <w:lang w:val="en-US" w:eastAsia="zh-CN"/>
          <w14:textFill>
            <w14:solidFill>
              <w14:schemeClr w14:val="tx1"/>
            </w14:solidFill>
          </w14:textFill>
        </w:rPr>
        <w:t>八</w:t>
      </w:r>
      <w:r>
        <w:rPr>
          <w:rFonts w:hint="eastAsia" w:ascii="宋体" w:hAnsi="宋体"/>
          <w:color w:val="000000" w:themeColor="text1"/>
          <w:szCs w:val="21"/>
          <w:highlight w:val="none"/>
          <w14:textFill>
            <w14:solidFill>
              <w14:schemeClr w14:val="tx1"/>
            </w14:solidFill>
          </w14:textFill>
        </w:rPr>
        <w:t>、分项报价表</w:t>
      </w:r>
      <w:bookmarkEnd w:id="126"/>
      <w:bookmarkEnd w:id="127"/>
      <w:bookmarkStart w:id="128" w:name="_Toc8243"/>
      <w:bookmarkStart w:id="129" w:name="_Toc14772"/>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九</w:t>
      </w:r>
      <w:r>
        <w:rPr>
          <w:rFonts w:hint="eastAsia" w:ascii="宋体" w:hAnsi="宋体"/>
          <w:color w:val="000000" w:themeColor="text1"/>
          <w:szCs w:val="21"/>
          <w:highlight w:val="none"/>
          <w14:textFill>
            <w14:solidFill>
              <w14:schemeClr w14:val="tx1"/>
            </w14:solidFill>
          </w14:textFill>
        </w:rPr>
        <w:t>、其他资料（如有）</w:t>
      </w:r>
      <w:bookmarkEnd w:id="128"/>
      <w:bookmarkEnd w:id="129"/>
    </w:p>
    <w:p>
      <w:pPr>
        <w:adjustRightInd w:val="0"/>
        <w:snapToGrid w:val="0"/>
        <w:spacing w:line="360" w:lineRule="auto"/>
        <w:ind w:firstLine="422" w:firstLineChars="200"/>
        <w:rPr>
          <w:rFonts w:ascii="宋体" w:hAnsi="宋体"/>
          <w:szCs w:val="21"/>
        </w:rPr>
      </w:pPr>
      <w:r>
        <w:rPr>
          <w:rFonts w:ascii="宋体" w:hAnsi="宋体"/>
          <w:b/>
          <w:color w:val="000000" w:themeColor="text1"/>
          <w:szCs w:val="2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s="宋体"/>
          <w:u w:val="single"/>
        </w:rPr>
        <w:t>长沙市轨道交通运营有限公司</w:t>
      </w:r>
      <w:r>
        <w:rPr>
          <w:rFonts w:hint="eastAsia" w:ascii="宋体" w:hAnsi="宋体"/>
          <w:color w:val="000000" w:themeColor="text1"/>
          <w:szCs w:val="21"/>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我方已仔细研究了</w:t>
      </w:r>
      <w:r>
        <w:rPr>
          <w:rFonts w:hint="eastAsia" w:ascii="宋体" w:hAnsi="宋体" w:cs="宋体"/>
          <w:u w:val="single"/>
        </w:rPr>
        <w:t>长沙市轨道交通西环线运营期2023年-2024年九华车辆基地食堂劳务委外服务项目</w:t>
      </w:r>
      <w:r>
        <w:rPr>
          <w:rFonts w:hint="eastAsia" w:ascii="宋体" w:hAnsi="宋体"/>
          <w:color w:val="000000" w:themeColor="text1"/>
          <w:szCs w:val="21"/>
          <w14:textFill>
            <w14:solidFill>
              <w14:schemeClr w14:val="tx1"/>
            </w14:solidFill>
          </w14:textFill>
        </w:rPr>
        <w:t>的采购文件（项目编号：</w:t>
      </w:r>
      <w:r>
        <w:rPr>
          <w:rStyle w:val="53"/>
          <w:rFonts w:hint="eastAsia"/>
          <w:color w:val="auto"/>
          <w:kern w:val="0"/>
          <w:highlight w:val="none"/>
          <w:shd w:val="clear" w:color="auto" w:fill="FFFFFF"/>
        </w:rPr>
        <w:t>长轨运服采【2023】</w:t>
      </w:r>
      <w:r>
        <w:rPr>
          <w:rStyle w:val="53"/>
          <w:rFonts w:hint="eastAsia"/>
          <w:color w:val="auto"/>
          <w:kern w:val="0"/>
          <w:highlight w:val="none"/>
          <w:shd w:val="clear" w:color="auto" w:fill="FFFFFF"/>
          <w:lang w:val="en-US" w:eastAsia="zh-CN"/>
        </w:rPr>
        <w:t>049</w:t>
      </w:r>
      <w:r>
        <w:rPr>
          <w:rStyle w:val="53"/>
          <w:rFonts w:hint="eastAsia"/>
          <w:color w:val="auto"/>
          <w:kern w:val="0"/>
          <w:highlight w:val="none"/>
          <w:shd w:val="clear" w:color="auto" w:fill="FFFFFF"/>
        </w:rPr>
        <w:t>号</w:t>
      </w:r>
      <w:r>
        <w:rPr>
          <w:rFonts w:hint="eastAsia" w:ascii="宋体" w:hAnsi="宋体"/>
          <w:szCs w:val="21"/>
          <w:highlight w:val="none"/>
        </w:rPr>
        <w:t>）</w:t>
      </w:r>
      <w:r>
        <w:rPr>
          <w:rFonts w:hint="eastAsia" w:ascii="宋体" w:hAnsi="宋体"/>
          <w:color w:val="000000" w:themeColor="text1"/>
          <w:szCs w:val="21"/>
          <w14:textFill>
            <w14:solidFill>
              <w14:schemeClr w14:val="tx1"/>
            </w14:solidFill>
          </w14:textFill>
        </w:rPr>
        <w:t>的全部内容，</w:t>
      </w:r>
      <w:r>
        <w:rPr>
          <w:rFonts w:hint="eastAsia" w:hAnsi="宋体"/>
          <w:color w:val="000000" w:themeColor="text1"/>
          <w:szCs w:val="21"/>
          <w14:textFill>
            <w14:solidFill>
              <w14:schemeClr w14:val="tx1"/>
            </w14:solidFill>
          </w14:textFill>
        </w:rPr>
        <w:t>知悉参加本项目</w:t>
      </w:r>
      <w:r>
        <w:rPr>
          <w:rFonts w:hint="eastAsia" w:ascii="宋体" w:hAnsi="宋体"/>
          <w:color w:val="000000" w:themeColor="text1"/>
          <w:szCs w:val="21"/>
          <w14:textFill>
            <w14:solidFill>
              <w14:schemeClr w14:val="tx1"/>
            </w14:solidFill>
          </w14:textFill>
        </w:rPr>
        <w:t>竞争性</w:t>
      </w:r>
      <w:r>
        <w:rPr>
          <w:rFonts w:hint="eastAsia" w:hAnsi="宋体"/>
          <w:color w:val="000000" w:themeColor="text1"/>
          <w:szCs w:val="21"/>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一、参与本项目竞争性采购活动系本公司自愿行为。</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w:t>
      </w:r>
      <w:r>
        <w:rPr>
          <w:rFonts w:hint="eastAsia" w:hAnsi="宋体"/>
          <w:color w:val="000000" w:themeColor="text1"/>
          <w14:textFill>
            <w14:solidFill>
              <w14:schemeClr w14:val="tx1"/>
            </w14:solidFill>
          </w14:textFill>
        </w:rPr>
        <w:t>我方承诺对本项目采购文件第</w:t>
      </w:r>
      <w:r>
        <w:rPr>
          <w:rFonts w:hint="eastAsia" w:hAnsi="宋体"/>
          <w:color w:val="000000" w:themeColor="text1"/>
          <w:highlight w:val="none"/>
          <w14:textFill>
            <w14:solidFill>
              <w14:schemeClr w14:val="tx1"/>
            </w14:solidFill>
          </w14:textFill>
        </w:rPr>
        <w:t>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w:t>
      </w:r>
      <w:r>
        <w:rPr>
          <w:rFonts w:hint="eastAsia" w:hAnsi="宋体" w:cs="宋体"/>
          <w:color w:val="000000" w:themeColor="text1"/>
          <w14:textFill>
            <w14:solidFill>
              <w14:schemeClr w14:val="tx1"/>
            </w14:solidFill>
          </w14:textFill>
        </w:rPr>
        <w:t>款完全响应，无偏离。</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采购，或者以其它方式弄虚作假骗取成交；（4）不在</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采购结束后进行虚假、恶意质疑和投诉。</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九、我方自愿遵守《</w:t>
      </w:r>
      <w:r>
        <w:rPr>
          <w:rFonts w:hint="eastAsia" w:hAnsi="宋体" w:cs="宋体"/>
          <w:color w:val="000000" w:themeColor="text1"/>
          <w:lang w:eastAsia="zh-CN"/>
          <w14:textFill>
            <w14:solidFill>
              <w14:schemeClr w14:val="tx1"/>
            </w14:solidFill>
          </w14:textFill>
        </w:rPr>
        <w:t>长沙市轨道交通运营有限公司采购管理办法（试行）</w:t>
      </w:r>
      <w:r>
        <w:rPr>
          <w:rFonts w:hint="eastAsia" w:hAnsi="宋体" w:cs="宋体"/>
          <w:color w:val="000000" w:themeColor="text1"/>
          <w14:textFill>
            <w14:solidFill>
              <w14:schemeClr w14:val="tx1"/>
            </w14:solidFill>
          </w14:textFill>
        </w:rPr>
        <w:t>》和恶意异议处罚的相关规定和要求，如有违反，我方自愿承担因我方违反相关规定所引起的一切后果。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十、遵守贵司各项管理制度和采购现场纪律，自觉维护贵司</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十二、我方如有违反本承诺书内容的行为，愿意承担由此产生的法律责任及后果。</w:t>
      </w:r>
    </w:p>
    <w:p>
      <w:pPr>
        <w:pStyle w:val="24"/>
        <w:numPr>
          <w:ilvl w:val="0"/>
          <w:numId w:val="0"/>
        </w:numPr>
        <w:adjustRightInd w:val="0"/>
        <w:snapToGrid w:val="0"/>
        <w:spacing w:line="360" w:lineRule="auto"/>
        <w:ind w:left="420" w:leftChars="0"/>
        <w:rPr>
          <w:rFonts w:hint="eastAsia"/>
          <w:b/>
          <w:bCs/>
        </w:rPr>
      </w:pP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360" w:lineRule="auto"/>
        <w:ind w:right="24"/>
        <w:jc w:val="left"/>
        <w:rPr>
          <w:rFonts w:hint="eastAsia" w:ascii="宋体" w:hAnsi="宋体" w:cs="宋体"/>
          <w:szCs w:val="21"/>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14:textFill>
            <w14:solidFill>
              <w14:schemeClr w14:val="tx1"/>
            </w14:solidFill>
          </w14:textFill>
        </w:rPr>
      </w:pPr>
      <w:bookmarkStart w:id="130" w:name="_Toc5828"/>
      <w:bookmarkStart w:id="131" w:name="_Toc22681"/>
      <w:bookmarkStart w:id="132" w:name="_Toc9473"/>
      <w:r>
        <w:rPr>
          <w:rFonts w:hint="eastAsia" w:ascii="黑体" w:hAnsi="宋体" w:eastAsia="黑体"/>
          <w:b/>
          <w:color w:val="000000" w:themeColor="text1"/>
          <w:sz w:val="32"/>
          <w:szCs w:val="32"/>
          <w14:textFill>
            <w14:solidFill>
              <w14:schemeClr w14:val="tx1"/>
            </w14:solidFill>
          </w14:textFill>
        </w:rPr>
        <w:t>法定代表人身份证明书</w:t>
      </w:r>
      <w:bookmarkEnd w:id="130"/>
      <w:bookmarkEnd w:id="131"/>
      <w:bookmarkEnd w:id="132"/>
    </w:p>
    <w:p>
      <w:pPr>
        <w:pStyle w:val="59"/>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成立日期：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营业期限：</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p>
    <w:p>
      <w:pPr>
        <w:pStyle w:val="59"/>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adjustRightInd w:val="0"/>
        <w:snapToGrid w:val="0"/>
        <w:spacing w:before="156" w:beforeLines="50" w:line="360" w:lineRule="auto"/>
        <w:rPr>
          <w:rFonts w:ascii="仿宋_GB2312" w:hAnsi="宋体" w:eastAsia="仿宋_GB2312"/>
          <w:color w:val="000000" w:themeColor="text1"/>
          <w:szCs w:val="21"/>
          <w14:textFill>
            <w14:solidFill>
              <w14:schemeClr w14:val="tx1"/>
            </w14:solidFill>
          </w14:textFill>
        </w:rPr>
      </w:pPr>
    </w:p>
    <w:p>
      <w:pPr>
        <w:pStyle w:val="43"/>
        <w:rPr>
          <w:color w:val="000000" w:themeColor="text1"/>
          <w14:textFill>
            <w14:solidFill>
              <w14:schemeClr w14:val="tx1"/>
            </w14:solidFill>
          </w14:textFill>
        </w:rPr>
      </w:pPr>
    </w:p>
    <w:p>
      <w:pPr>
        <w:adjustRightInd w:val="0"/>
        <w:snapToGrid w:val="0"/>
        <w:spacing w:before="156" w:beforeLines="50" w:line="360" w:lineRule="auto"/>
        <w:rPr>
          <w:rFonts w:ascii="仿宋_GB2312" w:hAnsi="宋体" w:eastAsia="仿宋_GB2312"/>
          <w:color w:val="000000" w:themeColor="text1"/>
          <w:szCs w:val="21"/>
          <w14:textFill>
            <w14:solidFill>
              <w14:schemeClr w14:val="tx1"/>
            </w14:solidFill>
          </w14:textFill>
        </w:rPr>
      </w:pPr>
    </w:p>
    <w:p>
      <w:pPr>
        <w:pStyle w:val="43"/>
        <w:rPr>
          <w:rFonts w:ascii="仿宋_GB2312" w:hAnsi="宋体" w:eastAsia="仿宋_GB2312"/>
          <w:color w:val="000000" w:themeColor="text1"/>
          <w:szCs w:val="21"/>
          <w14:textFill>
            <w14:solidFill>
              <w14:schemeClr w14:val="tx1"/>
            </w14:solidFill>
          </w14:textFill>
        </w:rPr>
      </w:pPr>
    </w:p>
    <w:p>
      <w:pPr>
        <w:adjustRightInd w:val="0"/>
        <w:snapToGrid w:val="0"/>
        <w:spacing w:before="156" w:beforeLines="50" w:line="360" w:lineRule="auto"/>
        <w:rPr>
          <w:rFonts w:ascii="仿宋_GB2312" w:hAnsi="宋体" w:eastAsia="仿宋_GB2312"/>
          <w:color w:val="000000" w:themeColor="text1"/>
          <w:szCs w:val="21"/>
          <w14:textFill>
            <w14:solidFill>
              <w14:schemeClr w14:val="tx1"/>
            </w14:solidFill>
          </w14:textFill>
        </w:rPr>
      </w:pPr>
    </w:p>
    <w:p>
      <w:pPr>
        <w:adjustRightInd w:val="0"/>
        <w:snapToGrid w:val="0"/>
        <w:spacing w:line="360" w:lineRule="auto"/>
        <w:ind w:right="24"/>
        <w:jc w:val="center"/>
        <w:outlineLvl w:val="9"/>
        <w:rPr>
          <w:rFonts w:ascii="黑体" w:hAnsi="宋体" w:eastAsia="黑体"/>
          <w:b/>
          <w:color w:val="000000" w:themeColor="text1"/>
          <w:sz w:val="32"/>
          <w:szCs w:val="32"/>
          <w14:textFill>
            <w14:solidFill>
              <w14:schemeClr w14:val="tx1"/>
            </w14:solidFill>
          </w14:textFill>
        </w:rPr>
      </w:pPr>
      <w:bookmarkStart w:id="133" w:name="_Toc4403"/>
      <w:bookmarkStart w:id="134" w:name="_Toc5064"/>
      <w:bookmarkStart w:id="135" w:name="_Toc3091"/>
      <w:r>
        <w:rPr>
          <w:rFonts w:hint="eastAsia" w:ascii="黑体" w:hAnsi="宋体" w:eastAsia="黑体"/>
          <w:b/>
          <w:color w:val="000000" w:themeColor="text1"/>
          <w:sz w:val="32"/>
          <w:szCs w:val="32"/>
          <w14:textFill>
            <w14:solidFill>
              <w14:schemeClr w14:val="tx1"/>
            </w14:solidFill>
          </w14:textFill>
        </w:rPr>
        <w:t>三、授权委托书</w:t>
      </w:r>
      <w:bookmarkEnd w:id="133"/>
      <w:bookmarkEnd w:id="134"/>
      <w:bookmarkEnd w:id="135"/>
    </w:p>
    <w:p>
      <w:pPr>
        <w:adjustRightInd w:val="0"/>
        <w:snapToGrid w:val="0"/>
        <w:spacing w:line="360" w:lineRule="auto"/>
        <w:jc w:val="center"/>
        <w:rPr>
          <w:rFonts w:ascii="黑体" w:hAnsi="华文中宋" w:eastAsia="黑体"/>
          <w:b/>
          <w:color w:val="000000" w:themeColor="text1"/>
          <w:sz w:val="28"/>
          <w:szCs w:val="28"/>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（姓名、职务）系</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w:t>
      </w:r>
      <w:r>
        <w:rPr>
          <w:rFonts w:hint="eastAsia" w:ascii="宋体" w:hAnsi="宋体" w:cs="宋体"/>
          <w:color w:val="000000" w:themeColor="text1"/>
          <w:kern w:val="0"/>
          <w:szCs w:val="21"/>
          <w14:textFill>
            <w14:solidFill>
              <w14:schemeClr w14:val="tx1"/>
            </w14:solidFill>
          </w14:textFill>
        </w:rPr>
        <w:t>编号）响应文件及与本</w:t>
      </w:r>
      <w:r>
        <w:rPr>
          <w:rFonts w:hint="eastAsia" w:ascii="宋体" w:hAnsi="宋体"/>
          <w:color w:val="000000" w:themeColor="text1"/>
          <w:szCs w:val="21"/>
          <w14:textFill>
            <w14:solidFill>
              <w14:schemeClr w14:val="tx1"/>
            </w14:solidFill>
          </w14:textFill>
        </w:rPr>
        <w:t>竞争性</w:t>
      </w:r>
      <w:r>
        <w:rPr>
          <w:rFonts w:hint="eastAsia" w:ascii="宋体" w:hAnsi="宋体" w:cs="宋体"/>
          <w:color w:val="000000" w:themeColor="text1"/>
          <w:kern w:val="0"/>
          <w:szCs w:val="21"/>
          <w14:textFill>
            <w14:solidFill>
              <w14:schemeClr w14:val="tx1"/>
            </w14:solidFill>
          </w14:textFill>
        </w:rPr>
        <w:t>采购项目的有关事宜，其法律后果由我方承担。</w:t>
      </w:r>
    </w:p>
    <w:p>
      <w:pPr>
        <w:pStyle w:val="2"/>
        <w:spacing w:line="360" w:lineRule="auto"/>
        <w:ind w:left="0" w:leftChars="0" w:firstLine="420" w:firstLineChars="200"/>
        <w:rPr>
          <w:rFonts w:hint="eastAsia" w:ascii="宋体" w:hAnsi="宋体"/>
          <w:szCs w:val="21"/>
        </w:rPr>
      </w:pPr>
    </w:p>
    <w:p>
      <w:pPr>
        <w:pStyle w:val="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3"/>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cs="宋体"/>
          <w:color w:val="000000" w:themeColor="text1"/>
          <w:kern w:val="0"/>
          <w:szCs w:val="21"/>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spacing w:line="360" w:lineRule="exact"/>
        <w:rPr>
          <w:rFonts w:ascii="宋体"/>
          <w:b/>
          <w:color w:val="000000" w:themeColor="text1"/>
          <w14:textFill>
            <w14:solidFill>
              <w14:schemeClr w14:val="tx1"/>
            </w14:solidFill>
          </w14:textFill>
        </w:rPr>
      </w:pPr>
    </w:p>
    <w:p>
      <w:pPr>
        <w:spacing w:line="480" w:lineRule="exact"/>
        <w:jc w:val="center"/>
        <w:outlineLvl w:val="9"/>
        <w:rPr>
          <w:rFonts w:ascii="黑体" w:eastAsia="黑体"/>
          <w:color w:val="000000" w:themeColor="text1"/>
          <w:sz w:val="24"/>
          <w:lang w:val="sq-AL"/>
          <w14:textFill>
            <w14:solidFill>
              <w14:schemeClr w14:val="tx1"/>
            </w14:solidFill>
          </w14:textFill>
        </w:rPr>
      </w:pPr>
      <w:r>
        <w:rPr>
          <w:rFonts w:ascii="黑体" w:eastAsia="黑体"/>
          <w:color w:val="000000" w:themeColor="text1"/>
          <w:sz w:val="24"/>
          <w14:textFill>
            <w14:solidFill>
              <w14:schemeClr w14:val="tx1"/>
            </w14:solidFill>
          </w14:textFill>
        </w:rPr>
        <w:br w:type="page"/>
      </w:r>
      <w:bookmarkStart w:id="136" w:name="_Toc17472"/>
      <w:bookmarkStart w:id="137" w:name="_Toc6384"/>
      <w:bookmarkStart w:id="138" w:name="_Toc10492"/>
      <w:bookmarkStart w:id="139" w:name="_Toc8471"/>
      <w:bookmarkStart w:id="140" w:name="_Toc17556"/>
      <w:bookmarkStart w:id="141" w:name="_Toc22346"/>
      <w:bookmarkStart w:id="142" w:name="_Toc18590"/>
      <w:bookmarkStart w:id="143" w:name="_Toc30307"/>
    </w:p>
    <w:p>
      <w:pPr>
        <w:spacing w:line="480" w:lineRule="exact"/>
        <w:jc w:val="center"/>
        <w:outlineLvl w:val="9"/>
        <w:rPr>
          <w:rFonts w:ascii="黑体" w:eastAsia="黑体"/>
          <w:color w:val="000000" w:themeColor="text1"/>
          <w:sz w:val="24"/>
          <w14:textFill>
            <w14:solidFill>
              <w14:schemeClr w14:val="tx1"/>
            </w14:solidFill>
          </w14:textFill>
        </w:rPr>
      </w:pPr>
      <w:r>
        <w:rPr>
          <w:rFonts w:hint="eastAsia" w:ascii="黑体" w:hAnsi="宋体" w:eastAsia="黑体"/>
          <w:b/>
          <w:color w:val="000000" w:themeColor="text1"/>
          <w:sz w:val="32"/>
          <w:szCs w:val="32"/>
          <w:lang w:val="en-US" w:eastAsia="zh-CN"/>
          <w14:textFill>
            <w14:solidFill>
              <w14:schemeClr w14:val="tx1"/>
            </w14:solidFill>
          </w14:textFill>
        </w:rPr>
        <w:t>四</w:t>
      </w:r>
      <w:r>
        <w:rPr>
          <w:rFonts w:hint="eastAsia" w:ascii="黑体" w:hAnsi="宋体" w:eastAsia="黑体"/>
          <w:b/>
          <w:color w:val="000000" w:themeColor="text1"/>
          <w:sz w:val="32"/>
          <w:szCs w:val="32"/>
          <w14:textFill>
            <w14:solidFill>
              <w14:schemeClr w14:val="tx1"/>
            </w14:solidFill>
          </w14:textFill>
        </w:rPr>
        <w:t>、供应商资格证明文件</w:t>
      </w:r>
      <w:bookmarkEnd w:id="136"/>
      <w:bookmarkEnd w:id="137"/>
    </w:p>
    <w:p>
      <w:pPr>
        <w:adjustRightInd w:val="0"/>
        <w:snapToGrid w:val="0"/>
        <w:spacing w:line="360" w:lineRule="auto"/>
        <w:rPr>
          <w:rFonts w:ascii="仿宋" w:hAnsi="仿宋" w:eastAsia="仿宋"/>
          <w:bCs/>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color w:val="000000" w:themeColor="text1"/>
          <w:szCs w:val="21"/>
          <w14:textFill>
            <w14:solidFill>
              <w14:schemeClr w14:val="tx1"/>
            </w14:solidFill>
          </w14:textFill>
        </w:rPr>
        <w:t>根据本项目采购文件资格要求，本章节须附下列证明文件：</w:t>
      </w:r>
    </w:p>
    <w:p>
      <w:pPr>
        <w:numPr>
          <w:ilvl w:val="0"/>
          <w:numId w:val="3"/>
        </w:numPr>
        <w:spacing w:line="360" w:lineRule="auto"/>
        <w:ind w:firstLine="420" w:firstLineChars="200"/>
        <w:rPr>
          <w:rFonts w:ascii="宋体" w:hAnsi="宋体" w:cs="宋体"/>
          <w:color w:val="000000"/>
        </w:rPr>
      </w:pPr>
      <w:r>
        <w:rPr>
          <w:rFonts w:hint="eastAsia" w:ascii="宋体" w:hAnsi="宋体" w:cs="宋体"/>
          <w:color w:val="000000"/>
        </w:rPr>
        <w:t>须提供供应商营业执照/事业单位法人证书，且在有效期内。</w:t>
      </w:r>
    </w:p>
    <w:p>
      <w:pPr>
        <w:spacing w:line="360" w:lineRule="auto"/>
        <w:ind w:firstLine="420" w:firstLineChars="200"/>
        <w:rPr>
          <w:rFonts w:ascii="宋体" w:hAnsi="宋体" w:cs="宋体"/>
          <w:color w:val="000000"/>
        </w:rPr>
      </w:pPr>
      <w:r>
        <w:rPr>
          <w:rFonts w:hint="eastAsia" w:ascii="宋体" w:hAnsi="宋体" w:cs="宋体"/>
          <w:color w:val="000000"/>
        </w:rPr>
        <w:t>2</w:t>
      </w:r>
      <w:r>
        <w:rPr>
          <w:rFonts w:ascii="宋体" w:hAnsi="宋体" w:cs="宋体"/>
          <w:color w:val="000000"/>
        </w:rPr>
        <w:t>.</w:t>
      </w:r>
      <w:r>
        <w:rPr>
          <w:rFonts w:hint="eastAsia" w:ascii="宋体" w:hAnsi="宋体" w:cs="宋体"/>
          <w:color w:val="000000"/>
        </w:rPr>
        <w:t>供应商须具有一个入围业绩，入围业绩是指供应商在提交响应文件截止之日前36个月内须具有餐饮服务业绩。不接受联合体业绩、港澳台或境外业绩。业绩证明材料以同时提供的合同原件扫描件和可查验的增值税发票原件扫描件为准（均须加盖供应商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spacing w:line="360" w:lineRule="auto"/>
        <w:ind w:firstLine="420" w:firstLineChars="200"/>
        <w:rPr>
          <w:rFonts w:ascii="宋体" w:hAnsi="宋体" w:cs="宋体"/>
        </w:rPr>
      </w:pPr>
      <w:r>
        <w:rPr>
          <w:rFonts w:ascii="宋体" w:hAnsi="宋体" w:cs="宋体"/>
        </w:rPr>
        <w:t>3</w:t>
      </w:r>
      <w:r>
        <w:rPr>
          <w:rFonts w:hint="eastAsia" w:ascii="宋体" w:hAnsi="宋体" w:cs="宋体"/>
        </w:rPr>
        <w:t>.供应商认为与本项目资格条件有关的其它证明文件（如有，格式自拟）。</w:t>
      </w:r>
    </w:p>
    <w:p>
      <w:pPr>
        <w:pStyle w:val="2"/>
        <w:spacing w:line="360" w:lineRule="auto"/>
        <w:ind w:left="0" w:leftChars="0"/>
      </w:pPr>
    </w:p>
    <w:p>
      <w:pPr>
        <w:pStyle w:val="277"/>
        <w:spacing w:before="312" w:after="312" w:line="360" w:lineRule="auto"/>
        <w:ind w:right="339"/>
        <w:outlineLvl w:val="9"/>
        <w:rPr>
          <w:bCs/>
          <w:color w:val="000000" w:themeColor="text1"/>
          <w:szCs w:val="2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jc w:val="center"/>
        <w:outlineLvl w:val="9"/>
        <w:rPr>
          <w:rFonts w:ascii="宋体" w:hAnsi="宋体"/>
          <w:b/>
          <w:color w:val="000000" w:themeColor="text1"/>
          <w:sz w:val="28"/>
          <w:szCs w:val="28"/>
          <w14:textFill>
            <w14:solidFill>
              <w14:schemeClr w14:val="tx1"/>
            </w14:solidFill>
          </w14:textFill>
        </w:rPr>
      </w:pPr>
      <w:bookmarkStart w:id="144" w:name="_Toc1343"/>
      <w:bookmarkStart w:id="145" w:name="_Toc23918"/>
      <w:r>
        <w:rPr>
          <w:rFonts w:hint="eastAsia" w:ascii="黑体" w:hAnsi="宋体" w:eastAsia="黑体"/>
          <w:b/>
          <w:color w:val="000000" w:themeColor="text1"/>
          <w:sz w:val="32"/>
          <w:szCs w:val="32"/>
          <w:lang w:val="en-US" w:eastAsia="zh-CN"/>
          <w14:textFill>
            <w14:solidFill>
              <w14:schemeClr w14:val="tx1"/>
            </w14:solidFill>
          </w14:textFill>
        </w:rPr>
        <w:t>五</w:t>
      </w:r>
      <w:r>
        <w:rPr>
          <w:rFonts w:hint="eastAsia" w:ascii="黑体" w:hAnsi="宋体" w:eastAsia="黑体"/>
          <w:b/>
          <w:color w:val="000000" w:themeColor="text1"/>
          <w:sz w:val="32"/>
          <w:szCs w:val="32"/>
          <w14:textFill>
            <w14:solidFill>
              <w14:schemeClr w14:val="tx1"/>
            </w14:solidFill>
          </w14:textFill>
        </w:rPr>
        <w:t>、与评审办法相关的证明资料</w:t>
      </w:r>
      <w:bookmarkEnd w:id="144"/>
      <w:bookmarkEnd w:id="145"/>
    </w:p>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adjustRightInd w:val="0"/>
        <w:snapToGrid w:val="0"/>
        <w:spacing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根据本项目采购文件第三章评审办法中 “表一：商务评审计分表”要求，本章节须附下列证明文件：</w:t>
      </w:r>
    </w:p>
    <w:p>
      <w:pPr>
        <w:numPr>
          <w:ilvl w:val="0"/>
          <w:numId w:val="4"/>
        </w:numPr>
        <w:spacing w:before="37" w:after="12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入围及计分业绩情况汇总表</w:t>
      </w:r>
    </w:p>
    <w:p>
      <w:pPr>
        <w:spacing w:before="9" w:line="110" w:lineRule="exact"/>
        <w:rPr>
          <w:color w:val="000000" w:themeColor="text1"/>
          <w:sz w:val="11"/>
          <w:szCs w:val="11"/>
          <w14:textFill>
            <w14:solidFill>
              <w14:schemeClr w14:val="tx1"/>
            </w14:solidFill>
          </w14:textFill>
        </w:rPr>
      </w:pPr>
    </w:p>
    <w:tbl>
      <w:tblPr>
        <w:tblStyle w:val="44"/>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800"/>
        <w:gridCol w:w="1362"/>
        <w:gridCol w:w="1915"/>
        <w:gridCol w:w="1335"/>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681"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lang w:val="en-US" w:eastAsia="zh-CN"/>
              </w:rPr>
              <w:t>供应商</w:t>
            </w:r>
            <w:r>
              <w:rPr>
                <w:rFonts w:hint="eastAsia" w:ascii="黑体" w:hAnsi="黑体" w:eastAsia="黑体" w:cs="黑体"/>
                <w:bCs/>
                <w:color w:val="auto"/>
                <w:sz w:val="28"/>
                <w:szCs w:val="28"/>
                <w:highlight w:val="none"/>
              </w:rPr>
              <w:t>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0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80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6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915" w:type="dxa"/>
            <w:tcBorders>
              <w:left w:val="single" w:color="auto" w:sz="8" w:space="0"/>
              <w:right w:val="single" w:color="auto" w:sz="8" w:space="0"/>
            </w:tcBorders>
            <w:vAlign w:val="center"/>
          </w:tcPr>
          <w:p>
            <w:pPr>
              <w:jc w:val="center"/>
              <w:rPr>
                <w:rFonts w:hint="eastAsia" w:hAnsi="宋体" w:cs="宋体"/>
                <w:b/>
                <w:bCs/>
                <w:color w:val="auto"/>
                <w:szCs w:val="21"/>
                <w:highlight w:val="none"/>
                <w:lang w:val="en-US" w:eastAsia="zh-CN"/>
              </w:rPr>
            </w:pPr>
            <w:r>
              <w:rPr>
                <w:rFonts w:hint="eastAsia" w:hAnsi="宋体" w:cs="宋体"/>
                <w:b/>
                <w:bCs/>
                <w:color w:val="auto"/>
                <w:szCs w:val="21"/>
                <w:highlight w:val="none"/>
              </w:rPr>
              <w:t>合同</w:t>
            </w:r>
            <w:r>
              <w:rPr>
                <w:rFonts w:hint="eastAsia" w:hAnsi="宋体" w:cs="宋体"/>
                <w:b/>
                <w:bCs/>
                <w:color w:val="auto"/>
                <w:szCs w:val="21"/>
                <w:highlight w:val="none"/>
                <w:lang w:val="en-US" w:eastAsia="zh-CN"/>
              </w:rPr>
              <w:t>就餐人数</w:t>
            </w:r>
          </w:p>
          <w:p>
            <w:pPr>
              <w:jc w:val="center"/>
              <w:rPr>
                <w:color w:val="auto"/>
                <w:highlight w:val="none"/>
              </w:rPr>
            </w:pPr>
            <w:r>
              <w:rPr>
                <w:rFonts w:hint="eastAsia" w:hAnsi="宋体" w:cs="宋体"/>
                <w:b/>
                <w:bCs/>
                <w:color w:val="auto"/>
                <w:szCs w:val="21"/>
                <w:highlight w:val="none"/>
                <w:lang w:val="en-US" w:eastAsia="zh-CN"/>
              </w:rPr>
              <w:t>（人/天）</w:t>
            </w:r>
          </w:p>
        </w:tc>
        <w:tc>
          <w:tcPr>
            <w:tcW w:w="133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0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0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43"/>
        <w:spacing w:after="0" w:line="360" w:lineRule="auto"/>
        <w:ind w:left="0" w:leftChars="0" w:firstLine="0"/>
        <w:jc w:val="both"/>
        <w:rPr>
          <w:rStyle w:val="53"/>
          <w:rFonts w:ascii="Times New Roman" w:hAnsi="Times New Roman" w:cs="Times New Roman"/>
          <w:color w:val="auto"/>
          <w:u w:val="none"/>
          <w:shd w:val="clear" w:color="auto" w:fill="FFFFFF"/>
        </w:rPr>
      </w:pPr>
    </w:p>
    <w:p>
      <w:r>
        <w:rPr>
          <w:rStyle w:val="53"/>
          <w:color w:val="auto"/>
          <w:u w:val="none"/>
          <w:shd w:val="clear" w:color="auto" w:fill="FFFFFF"/>
        </w:rPr>
        <w:t>业绩</w:t>
      </w:r>
      <w:r>
        <w:rPr>
          <w:rStyle w:val="53"/>
          <w:rFonts w:hint="eastAsia"/>
          <w:color w:val="auto"/>
          <w:u w:val="none"/>
          <w:shd w:val="clear" w:color="auto" w:fill="FFFFFF"/>
        </w:rPr>
        <w:t>合同</w:t>
      </w:r>
      <w:r>
        <w:rPr>
          <w:rStyle w:val="53"/>
          <w:color w:val="auto"/>
          <w:u w:val="none"/>
          <w:shd w:val="clear" w:color="auto" w:fill="FFFFFF"/>
        </w:rPr>
        <w:t>证明材料</w:t>
      </w:r>
      <w:r>
        <w:rPr>
          <w:rStyle w:val="53"/>
          <w:rFonts w:hint="eastAsia"/>
          <w:color w:val="auto"/>
          <w:u w:val="none"/>
          <w:shd w:val="clear" w:color="auto" w:fill="FFFFFF"/>
        </w:rPr>
        <w:t>须为</w:t>
      </w:r>
      <w:r>
        <w:rPr>
          <w:rStyle w:val="53"/>
          <w:color w:val="auto"/>
          <w:u w:val="none"/>
          <w:shd w:val="clear" w:color="auto" w:fill="FFFFFF"/>
        </w:rPr>
        <w:t>合同</w:t>
      </w:r>
      <w:r>
        <w:rPr>
          <w:rStyle w:val="53"/>
          <w:rFonts w:hint="eastAsia"/>
          <w:color w:val="auto"/>
          <w:u w:val="none"/>
          <w:shd w:val="clear" w:color="auto" w:fill="FFFFFF"/>
        </w:rPr>
        <w:t>原件</w:t>
      </w:r>
      <w:r>
        <w:rPr>
          <w:rStyle w:val="53"/>
          <w:rFonts w:hint="eastAsia"/>
          <w:color w:val="auto"/>
          <w:u w:val="none"/>
          <w:shd w:val="clear" w:color="auto" w:fill="FFFFFF"/>
          <w:lang w:eastAsia="zh-CN"/>
        </w:rPr>
        <w:t>复印件</w:t>
      </w:r>
      <w:r>
        <w:rPr>
          <w:rStyle w:val="53"/>
          <w:rFonts w:hint="eastAsia"/>
          <w:color w:val="auto"/>
          <w:u w:val="none"/>
          <w:shd w:val="clear" w:color="auto" w:fill="FFFFFF"/>
        </w:rPr>
        <w:t>，并按顺序附后。</w:t>
      </w:r>
    </w:p>
    <w:p>
      <w:pPr>
        <w:pStyle w:val="18"/>
        <w:spacing w:before="37" w:line="360" w:lineRule="auto"/>
        <w:ind w:left="2730" w:right="105"/>
        <w:rPr>
          <w:rFonts w:hint="eastAsia" w:ascii="宋体" w:hAnsi="宋体"/>
          <w:b/>
          <w:color w:val="000000" w:themeColor="text1"/>
          <w:szCs w:val="2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pStyle w:val="18"/>
        <w:spacing w:before="37" w:line="360" w:lineRule="auto"/>
        <w:ind w:left="2730" w:right="10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）供应商认为需提供的其它商务评审资料</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根据本</w:t>
      </w:r>
      <w:r>
        <w:rPr>
          <w:rFonts w:hint="eastAsia" w:ascii="宋体" w:hAnsi="宋体" w:eastAsia="宋体" w:cs="Times New Roman"/>
          <w:bCs/>
          <w:color w:val="000000"/>
          <w:szCs w:val="21"/>
          <w:lang w:val="en-US" w:eastAsia="zh-CN"/>
        </w:rPr>
        <w:t>采购文件第三章评审办法及标准中“附表1 商务技术评审计分表”的商务部分评审项要求，本章节须附下列证明文件复印件：</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1.商务评审计分表要求提供的评审资料复印件。</w:t>
      </w:r>
    </w:p>
    <w:p>
      <w:pPr>
        <w:ind w:firstLine="420" w:firstLineChars="200"/>
        <w:rPr>
          <w:rFonts w:ascii="宋体" w:hAnsi="宋体"/>
          <w:bCs/>
          <w:color w:val="000000"/>
          <w:szCs w:val="21"/>
        </w:rPr>
      </w:pPr>
      <w:r>
        <w:rPr>
          <w:rFonts w:hint="eastAsia" w:ascii="宋体" w:hAnsi="宋体"/>
          <w:bCs/>
          <w:color w:val="000000"/>
          <w:szCs w:val="21"/>
        </w:rPr>
        <w:t>2.</w:t>
      </w:r>
      <w:r>
        <w:rPr>
          <w:rFonts w:hint="eastAsia" w:ascii="宋体" w:hAnsi="宋体"/>
          <w:bCs/>
          <w:color w:val="000000"/>
          <w:szCs w:val="21"/>
          <w:lang w:val="en-US" w:eastAsia="zh-CN"/>
        </w:rPr>
        <w:t>供应商</w:t>
      </w:r>
      <w:r>
        <w:rPr>
          <w:rFonts w:hint="eastAsia" w:ascii="宋体" w:hAnsi="宋体"/>
          <w:bCs/>
          <w:color w:val="000000"/>
          <w:szCs w:val="21"/>
        </w:rPr>
        <w:t>认为与本项目评审有关的其它证明文件（如有，格式自拟）。</w:t>
      </w: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jc w:val="center"/>
        <w:outlineLvl w:val="9"/>
        <w:rPr>
          <w:rFonts w:ascii="黑体" w:hAnsi="宋体" w:eastAsia="黑体"/>
          <w:b/>
          <w:bCs/>
          <w:color w:val="000000" w:themeColor="text1"/>
          <w:sz w:val="32"/>
          <w:szCs w:val="32"/>
          <w14:textFill>
            <w14:solidFill>
              <w14:schemeClr w14:val="tx1"/>
            </w14:solidFill>
          </w14:textFill>
        </w:rPr>
      </w:pPr>
      <w:bookmarkStart w:id="146" w:name="_Toc14625"/>
      <w:bookmarkStart w:id="147" w:name="_Toc26102"/>
      <w:r>
        <w:rPr>
          <w:rFonts w:hint="eastAsia" w:ascii="黑体" w:hAnsi="宋体" w:eastAsia="黑体"/>
          <w:b/>
          <w:bCs/>
          <w:color w:val="000000" w:themeColor="text1"/>
          <w:sz w:val="32"/>
          <w:szCs w:val="32"/>
          <w:lang w:val="en-US" w:eastAsia="zh-CN"/>
          <w14:textFill>
            <w14:solidFill>
              <w14:schemeClr w14:val="tx1"/>
            </w14:solidFill>
          </w14:textFill>
        </w:rPr>
        <w:t>六</w:t>
      </w:r>
      <w:r>
        <w:rPr>
          <w:rFonts w:hint="eastAsia" w:ascii="黑体" w:hAnsi="宋体" w:eastAsia="黑体"/>
          <w:b/>
          <w:bCs/>
          <w:color w:val="000000" w:themeColor="text1"/>
          <w:sz w:val="32"/>
          <w:szCs w:val="32"/>
          <w14:textFill>
            <w14:solidFill>
              <w14:schemeClr w14:val="tx1"/>
            </w14:solidFill>
          </w14:textFill>
        </w:rPr>
        <w:t>、</w:t>
      </w:r>
      <w:bookmarkEnd w:id="146"/>
      <w:bookmarkEnd w:id="147"/>
      <w:r>
        <w:rPr>
          <w:rFonts w:hint="eastAsia" w:ascii="黑体" w:hAnsi="宋体" w:eastAsia="黑体"/>
          <w:b/>
          <w:bCs/>
          <w:color w:val="000000" w:themeColor="text1"/>
          <w:sz w:val="32"/>
          <w:szCs w:val="32"/>
          <w14:textFill>
            <w14:solidFill>
              <w14:schemeClr w14:val="tx1"/>
            </w14:solidFill>
          </w14:textFill>
        </w:rPr>
        <w:t>服务方案</w:t>
      </w:r>
    </w:p>
    <w:p>
      <w:pPr>
        <w:adjustRightInd w:val="0"/>
        <w:snapToGrid w:val="0"/>
        <w:spacing w:line="360" w:lineRule="auto"/>
        <w:ind w:firstLine="420" w:firstLineChars="200"/>
        <w:outlineLvl w:val="9"/>
        <w:rPr>
          <w:rFonts w:hint="eastAsia" w:ascii="宋体" w:hAnsi="宋体"/>
          <w:color w:val="000000"/>
          <w:szCs w:val="21"/>
        </w:rPr>
      </w:pPr>
    </w:p>
    <w:p>
      <w:pPr>
        <w:adjustRightInd w:val="0"/>
        <w:snapToGrid w:val="0"/>
        <w:spacing w:line="360" w:lineRule="auto"/>
        <w:ind w:firstLine="420" w:firstLineChars="200"/>
        <w:outlineLvl w:val="9"/>
      </w:pPr>
      <w:r>
        <w:rPr>
          <w:rFonts w:hint="eastAsia" w:ascii="宋体" w:hAnsi="宋体"/>
          <w:color w:val="000000"/>
          <w:szCs w:val="21"/>
        </w:rPr>
        <w:t>根据“用户需求书”及第三章评审办法及</w:t>
      </w:r>
      <w:r>
        <w:rPr>
          <w:rFonts w:hint="eastAsia" w:ascii="宋体" w:hAnsi="宋体" w:eastAsia="宋体" w:cs="Times New Roman"/>
          <w:color w:val="000000"/>
          <w:szCs w:val="21"/>
        </w:rPr>
        <w:t>标准中“表一：商务技术评审计分表”的技术部分评审项要求，编写本项目服务方案，包括但不限于：</w:t>
      </w:r>
    </w:p>
    <w:p>
      <w:pPr>
        <w:adjustRightInd w:val="0"/>
        <w:snapToGrid w:val="0"/>
        <w:spacing w:line="360" w:lineRule="auto"/>
        <w:ind w:firstLine="420" w:firstLineChars="200"/>
        <w:outlineLvl w:val="9"/>
        <w:rPr>
          <w:rFonts w:ascii="宋体" w:hAnsi="宋体"/>
          <w:color w:val="000000"/>
          <w:szCs w:val="21"/>
        </w:rPr>
      </w:pPr>
      <w:r>
        <w:rPr>
          <w:rFonts w:hint="eastAsia" w:ascii="宋体" w:hAnsi="宋体"/>
          <w:color w:val="000000"/>
          <w:szCs w:val="21"/>
        </w:rPr>
        <w:t>1.安全管理方案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2.服务管理方案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3.综合管理方案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4.卫生管理方案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5.应急管理方案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6.其他（如有）</w:t>
      </w:r>
    </w:p>
    <w:p>
      <w:pPr>
        <w:adjustRightInd w:val="0"/>
        <w:snapToGrid w:val="0"/>
        <w:spacing w:line="480" w:lineRule="exact"/>
        <w:ind w:firstLine="420" w:firstLineChars="200"/>
        <w:outlineLvl w:val="9"/>
        <w:rPr>
          <w:rFonts w:ascii="宋体" w:hAnsi="宋体"/>
          <w:bCs/>
          <w:color w:val="000000" w:themeColor="text1"/>
          <w:szCs w:val="21"/>
          <w14:textFill>
            <w14:solidFill>
              <w14:schemeClr w14:val="tx1"/>
            </w14:solidFill>
          </w14:textFill>
        </w:rPr>
      </w:pPr>
    </w:p>
    <w:p>
      <w:pPr>
        <w:spacing w:line="360" w:lineRule="auto"/>
        <w:jc w:val="center"/>
        <w:outlineLvl w:val="9"/>
        <w:rPr>
          <w:rFonts w:ascii="黑体" w:hAnsi="宋体" w:eastAsia="黑体"/>
          <w:b/>
          <w:bCs/>
          <w:color w:val="000000" w:themeColor="text1"/>
          <w:sz w:val="32"/>
          <w:szCs w:val="32"/>
          <w14:textFill>
            <w14:solidFill>
              <w14:schemeClr w14:val="tx1"/>
            </w14:solidFill>
          </w14:textFill>
        </w:rPr>
      </w:pPr>
    </w:p>
    <w:p>
      <w:pPr>
        <w:spacing w:line="360" w:lineRule="auto"/>
        <w:jc w:val="center"/>
        <w:outlineLvl w:val="9"/>
        <w:rPr>
          <w:rFonts w:ascii="黑体" w:hAnsi="宋体" w:eastAsia="黑体"/>
          <w:b/>
          <w:bCs/>
          <w:color w:val="000000" w:themeColor="text1"/>
          <w:sz w:val="32"/>
          <w:szCs w:val="32"/>
          <w14:textFill>
            <w14:solidFill>
              <w14:schemeClr w14:val="tx1"/>
            </w14:solidFill>
          </w14:textFill>
        </w:rPr>
      </w:pPr>
    </w:p>
    <w:p>
      <w:pPr>
        <w:adjustRightInd w:val="0"/>
        <w:snapToGrid w:val="0"/>
        <w:spacing w:line="360" w:lineRule="auto"/>
        <w:outlineLvl w:val="9"/>
        <w:rPr>
          <w:rFonts w:ascii="宋体" w:hAnsi="宋体"/>
          <w:szCs w:val="21"/>
        </w:rPr>
      </w:pPr>
    </w:p>
    <w:p>
      <w:pPr>
        <w:pStyle w:val="26"/>
        <w:adjustRightInd w:val="0"/>
        <w:snapToGrid w:val="0"/>
        <w:spacing w:line="360" w:lineRule="auto"/>
        <w:outlineLvl w:val="9"/>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outlineLvl w:val="9"/>
        <w:rPr>
          <w:rFonts w:ascii="黑体" w:hAnsi="宋体" w:eastAsia="黑体"/>
          <w:b/>
          <w:bCs/>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u w:val="single"/>
          <w14:textFill>
            <w14:solidFill>
              <w14:schemeClr w14:val="tx1"/>
            </w14:solidFill>
          </w14:textFill>
        </w:rPr>
      </w:pPr>
      <w:bookmarkStart w:id="148" w:name="_Toc29599"/>
      <w:r>
        <w:rPr>
          <w:rFonts w:hint="eastAsia" w:ascii="黑体" w:hAnsi="宋体" w:eastAsia="黑体"/>
          <w:b/>
          <w:bCs/>
          <w:color w:val="000000" w:themeColor="text1"/>
          <w:sz w:val="32"/>
          <w:szCs w:val="32"/>
          <w:lang w:val="en-US" w:eastAsia="zh-CN"/>
          <w14:textFill>
            <w14:solidFill>
              <w14:schemeClr w14:val="tx1"/>
            </w14:solidFill>
          </w14:textFill>
        </w:rPr>
        <w:t>七</w:t>
      </w:r>
      <w:r>
        <w:rPr>
          <w:rFonts w:hint="eastAsia" w:ascii="黑体" w:hAnsi="宋体" w:eastAsia="黑体"/>
          <w:b/>
          <w:bCs/>
          <w:color w:val="000000" w:themeColor="text1"/>
          <w:sz w:val="32"/>
          <w:szCs w:val="32"/>
          <w14:textFill>
            <w14:solidFill>
              <w14:schemeClr w14:val="tx1"/>
            </w14:solidFill>
          </w14:textFill>
        </w:rPr>
        <w:t>、</w:t>
      </w:r>
      <w:bookmarkEnd w:id="138"/>
      <w:bookmarkEnd w:id="139"/>
      <w:bookmarkEnd w:id="140"/>
      <w:bookmarkEnd w:id="141"/>
      <w:bookmarkEnd w:id="142"/>
      <w:bookmarkEnd w:id="143"/>
      <w:bookmarkEnd w:id="148"/>
      <w:r>
        <w:rPr>
          <w:rFonts w:hint="eastAsia" w:ascii="黑体" w:hAnsi="宋体" w:eastAsia="黑体" w:cs="Times New Roman"/>
          <w:b/>
          <w:bCs/>
          <w:color w:val="000000" w:themeColor="text1"/>
          <w:sz w:val="32"/>
          <w:szCs w:val="32"/>
          <w:lang w:val="en-US" w:eastAsia="zh-CN"/>
          <w14:textFill>
            <w14:solidFill>
              <w14:schemeClr w14:val="tx1"/>
            </w14:solidFill>
          </w14:textFill>
        </w:rPr>
        <w:t>报价一览表</w:t>
      </w:r>
    </w:p>
    <w:tbl>
      <w:tblPr>
        <w:tblStyle w:val="44"/>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297" w:type="dxa"/>
            <w:vAlign w:val="center"/>
          </w:tcPr>
          <w:p>
            <w:pPr>
              <w:rPr>
                <w:rFonts w:ascii="宋体" w:hAnsi="宋体"/>
                <w:szCs w:val="21"/>
              </w:rPr>
            </w:pPr>
            <w:r>
              <w:rPr>
                <w:rFonts w:hint="eastAsia" w:ascii="宋体" w:hAnsi="宋体" w:cs="宋体"/>
                <w:color w:val="000000"/>
              </w:rPr>
              <w:t>长沙市轨道交通西环线运营期2023年-2024年九华车辆基地食堂劳务委外服务项目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297" w:type="dxa"/>
            <w:vAlign w:val="center"/>
          </w:tcPr>
          <w:p>
            <w:pPr>
              <w:rPr>
                <w:rFonts w:ascii="宋体" w:hAnsi="宋体"/>
                <w:szCs w:val="21"/>
              </w:rPr>
            </w:pPr>
            <w:r>
              <w:rPr>
                <w:rFonts w:hint="eastAsia" w:ascii="宋体" w:hAnsi="宋体" w:eastAsia="宋体" w:cs="宋体"/>
                <w:color w:val="000000"/>
              </w:rPr>
              <w:t>长轨运服采【2023】</w:t>
            </w:r>
            <w:r>
              <w:rPr>
                <w:rFonts w:hint="eastAsia" w:ascii="宋体" w:hAnsi="宋体" w:eastAsia="宋体" w:cs="宋体"/>
                <w:color w:val="000000"/>
                <w:lang w:val="en-US" w:eastAsia="zh-CN"/>
              </w:rPr>
              <w:t>049</w:t>
            </w:r>
            <w:r>
              <w:rPr>
                <w:rFonts w:hint="eastAsia" w:ascii="宋体" w:hAnsi="宋体" w:eastAsia="宋体" w:cs="宋体"/>
                <w:color w:val="000000"/>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rPr>
            </w:pPr>
            <w:r>
              <w:rPr>
                <w:rFonts w:hint="eastAsia"/>
                <w:b/>
                <w:bCs/>
              </w:rPr>
              <w:t>服务期限</w:t>
            </w:r>
          </w:p>
        </w:tc>
        <w:tc>
          <w:tcPr>
            <w:tcW w:w="6297" w:type="dxa"/>
            <w:vAlign w:val="center"/>
          </w:tcPr>
          <w:p>
            <w:pPr>
              <w:rPr>
                <w:rFonts w:ascii="宋体" w:hAnsi="宋体"/>
                <w:szCs w:val="21"/>
              </w:rPr>
            </w:pPr>
            <w:r>
              <w:rPr>
                <w:rFonts w:hint="eastAsia" w:ascii="宋体" w:hAnsi="宋体" w:cs="宋体"/>
                <w:color w:val="000000"/>
                <w:szCs w:val="21"/>
              </w:rPr>
              <w:t>本项目实际服务时间以采购人发出的进场通知起算，总计12个月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竞争性采购不含增值税</w:t>
            </w:r>
            <w:r>
              <w:rPr>
                <w:rFonts w:ascii="宋体" w:hAnsi="宋体"/>
                <w:b/>
                <w:bCs/>
                <w:szCs w:val="21"/>
              </w:rPr>
              <w:t>总报价</w:t>
            </w:r>
          </w:p>
        </w:tc>
        <w:tc>
          <w:tcPr>
            <w:tcW w:w="6297"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297"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297"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竞争性采购</w:t>
            </w:r>
            <w:r>
              <w:rPr>
                <w:rFonts w:ascii="宋体" w:hAnsi="宋体"/>
                <w:b/>
                <w:bCs/>
                <w:szCs w:val="21"/>
              </w:rPr>
              <w:t>总报价</w:t>
            </w:r>
          </w:p>
        </w:tc>
        <w:tc>
          <w:tcPr>
            <w:tcW w:w="6297"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297" w:type="dxa"/>
            <w:vAlign w:val="center"/>
          </w:tcPr>
          <w:p>
            <w:pPr>
              <w:adjustRightInd w:val="0"/>
              <w:snapToGrid w:val="0"/>
              <w:spacing w:line="360" w:lineRule="auto"/>
              <w:rPr>
                <w:rFonts w:ascii="宋体" w:hAnsi="宋体"/>
                <w:szCs w:val="21"/>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26"/>
        <w:adjustRightInd w:val="0"/>
        <w:snapToGrid w:val="0"/>
        <w:spacing w:line="360" w:lineRule="auto"/>
        <w:rPr>
          <w:rFonts w:ascii="宋体" w:hAnsi="宋体"/>
          <w:sz w:val="21"/>
          <w:szCs w:val="21"/>
        </w:rPr>
      </w:pPr>
    </w:p>
    <w:p>
      <w:pPr>
        <w:pStyle w:val="26"/>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color w:val="000000" w:themeColor="text1"/>
          <w:szCs w:val="2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14:textFill>
            <w14:solidFill>
              <w14:schemeClr w14:val="tx1"/>
            </w14:solidFill>
          </w14:textFill>
        </w:rPr>
      </w:pPr>
      <w:bookmarkStart w:id="149" w:name="_Toc12974"/>
      <w:bookmarkStart w:id="150" w:name="_Toc15249"/>
      <w:bookmarkStart w:id="151" w:name="_Toc21834"/>
      <w:r>
        <w:rPr>
          <w:rFonts w:hint="eastAsia" w:ascii="黑体" w:hAnsi="宋体" w:eastAsia="黑体"/>
          <w:b/>
          <w:color w:val="000000" w:themeColor="text1"/>
          <w:sz w:val="32"/>
          <w:szCs w:val="32"/>
          <w:lang w:val="en-US" w:eastAsia="zh-CN"/>
          <w14:textFill>
            <w14:solidFill>
              <w14:schemeClr w14:val="tx1"/>
            </w14:solidFill>
          </w14:textFill>
        </w:rPr>
        <w:t>八、</w:t>
      </w:r>
      <w:r>
        <w:rPr>
          <w:rFonts w:hint="eastAsia" w:ascii="黑体" w:hAnsi="宋体" w:eastAsia="黑体"/>
          <w:b/>
          <w:color w:val="000000" w:themeColor="text1"/>
          <w:sz w:val="32"/>
          <w:szCs w:val="32"/>
          <w14:textFill>
            <w14:solidFill>
              <w14:schemeClr w14:val="tx1"/>
            </w14:solidFill>
          </w14:textFill>
        </w:rPr>
        <w:t>分项报价表</w:t>
      </w:r>
    </w:p>
    <w:p>
      <w:pPr>
        <w:numPr>
          <w:ilvl w:val="0"/>
          <w:numId w:val="0"/>
        </w:numPr>
      </w:pPr>
    </w:p>
    <w:tbl>
      <w:tblPr>
        <w:tblStyle w:val="44"/>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6"/>
        <w:gridCol w:w="1993"/>
        <w:gridCol w:w="1190"/>
        <w:gridCol w:w="1215"/>
        <w:gridCol w:w="1779"/>
        <w:gridCol w:w="2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196"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536"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长沙市轨道交通西环线运营期2023年-2024年九华车辆基地食堂劳务委外服务项目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53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color w:val="000000"/>
              </w:rPr>
              <w:t>长轨运服采【2023】</w:t>
            </w:r>
            <w:r>
              <w:rPr>
                <w:rFonts w:hint="eastAsia" w:ascii="宋体" w:hAnsi="宋体" w:eastAsia="宋体" w:cs="宋体"/>
                <w:color w:val="000000"/>
                <w:lang w:val="en-US" w:eastAsia="zh-CN"/>
              </w:rPr>
              <w:t>049</w:t>
            </w:r>
            <w:r>
              <w:rPr>
                <w:rFonts w:hint="eastAsia" w:ascii="宋体" w:hAnsi="宋体" w:eastAsia="宋体" w:cs="宋体"/>
                <w:color w:val="00000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196"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93"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岗位名称</w:t>
            </w:r>
          </w:p>
        </w:tc>
        <w:tc>
          <w:tcPr>
            <w:tcW w:w="119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人数</w:t>
            </w:r>
          </w:p>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服务期（月）</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合价</w:t>
            </w:r>
          </w:p>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9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99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主厨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（兼任食堂经理）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12</w:t>
            </w:r>
          </w:p>
        </w:tc>
        <w:tc>
          <w:tcPr>
            <w:tcW w:w="177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厨师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（中式烹调师）</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12</w:t>
            </w:r>
          </w:p>
        </w:tc>
        <w:tc>
          <w:tcPr>
            <w:tcW w:w="177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助厨</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12</w:t>
            </w:r>
          </w:p>
        </w:tc>
        <w:tc>
          <w:tcPr>
            <w:tcW w:w="177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税率B</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含增值税总计</w:t>
            </w:r>
            <w:r>
              <w:rPr>
                <w:rFonts w:hint="eastAsia" w:ascii="Times New Roman" w:hAnsi="宋体" w:eastAsia="宋体" w:cs="宋体"/>
                <w:b/>
                <w:bCs/>
                <w:color w:val="auto"/>
                <w:szCs w:val="21"/>
                <w:highlight w:val="none"/>
                <w:lang w:val="en-US" w:eastAsia="zh-CN"/>
              </w:rPr>
              <w:t>D（元）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pStyle w:val="43"/>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需满足不含增值税合价=不含增值税单价x数量；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A+税费C=</w:t>
      </w:r>
      <w:r>
        <w:rPr>
          <w:rFonts w:hint="default" w:ascii="Times New Roman" w:hAnsi="宋体" w:eastAsia="宋体" w:cs="宋体"/>
          <w:b/>
          <w:bCs/>
          <w:color w:val="auto"/>
          <w:szCs w:val="21"/>
          <w:highlight w:val="none"/>
          <w:lang w:val="en-US" w:eastAsia="zh-CN"/>
        </w:rPr>
        <w:t>含增值税总计</w:t>
      </w:r>
      <w:r>
        <w:rPr>
          <w:rFonts w:hint="eastAsia" w:ascii="Times New Roman" w:hAnsi="宋体" w:eastAsia="宋体" w:cs="宋体"/>
          <w:b/>
          <w:bCs/>
          <w:color w:val="auto"/>
          <w:szCs w:val="21"/>
          <w:highlight w:val="none"/>
          <w:lang w:val="en-US" w:eastAsia="zh-CN"/>
        </w:rPr>
        <w:t>D。</w:t>
      </w:r>
    </w:p>
    <w:p>
      <w:pPr>
        <w:pStyle w:val="43"/>
        <w:ind w:left="0" w:leftChars="0" w:firstLine="632" w:firstLineChars="300"/>
        <w:rPr>
          <w:rFonts w:hint="default" w:ascii="宋体" w:hAnsi="宋体" w:cs="宋体"/>
          <w:b/>
          <w:color w:val="auto"/>
          <w:sz w:val="32"/>
          <w:szCs w:val="32"/>
          <w:highlight w:val="none"/>
          <w:lang w:val="en-US" w:eastAsia="zh-CN"/>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cs="Times New Roman"/>
          <w:b/>
          <w:bCs/>
          <w:color w:val="auto"/>
          <w:szCs w:val="21"/>
          <w:highlight w:val="none"/>
        </w:rPr>
        <w:t>本表的增值税税率</w:t>
      </w:r>
      <w:r>
        <w:rPr>
          <w:rFonts w:hint="eastAsia" w:ascii="Times New Roman" w:hAnsi="Times New Roman" w:cs="Times New Roman"/>
          <w:b/>
          <w:bCs/>
          <w:color w:val="auto"/>
          <w:szCs w:val="21"/>
          <w:highlight w:val="none"/>
          <w:lang w:eastAsia="zh-CN"/>
        </w:rPr>
        <w:t>、</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含增值税总计</w:t>
      </w:r>
      <w:r>
        <w:rPr>
          <w:rFonts w:hint="default" w:ascii="Times New Roman" w:hAnsi="Times New Roman" w:cs="Times New Roman"/>
          <w:b/>
          <w:bCs/>
          <w:color w:val="auto"/>
          <w:szCs w:val="21"/>
          <w:highlight w:val="none"/>
        </w:rPr>
        <w:t>应与《报价一览表》</w:t>
      </w:r>
      <w:r>
        <w:rPr>
          <w:rFonts w:hint="eastAsia" w:ascii="Times New Roman" w:hAnsi="Times New Roman" w:cs="Times New Roman"/>
          <w:b/>
          <w:bCs/>
          <w:color w:val="auto"/>
          <w:szCs w:val="21"/>
          <w:highlight w:val="none"/>
          <w:lang w:eastAsia="zh-CN"/>
        </w:rPr>
        <w:t>内数据</w:t>
      </w:r>
      <w:r>
        <w:rPr>
          <w:rFonts w:hint="default" w:ascii="Times New Roman" w:hAnsi="Times New Roman" w:cs="Times New Roman"/>
          <w:b/>
          <w:bCs/>
          <w:color w:val="auto"/>
          <w:szCs w:val="21"/>
          <w:highlight w:val="none"/>
        </w:rPr>
        <w:t>一致。</w:t>
      </w:r>
    </w:p>
    <w:p>
      <w:pPr>
        <w:pStyle w:val="43"/>
        <w:rPr>
          <w:rFonts w:hint="eastAsia" w:ascii="宋体" w:hAnsi="宋体" w:cs="宋体"/>
          <w:b/>
          <w:color w:val="auto"/>
          <w:sz w:val="32"/>
          <w:szCs w:val="32"/>
          <w:highlight w:val="none"/>
          <w:lang w:eastAsia="zh-CN"/>
        </w:rPr>
      </w:pPr>
    </w:p>
    <w:p>
      <w:pPr>
        <w:pStyle w:val="26"/>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谈判单位名称：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43"/>
        <w:rPr>
          <w:rFonts w:ascii="黑体" w:hAnsi="宋体" w:eastAsia="黑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lang w:val="en-US" w:eastAsia="zh-CN"/>
          <w14:textFill>
            <w14:solidFill>
              <w14:schemeClr w14:val="tx1"/>
            </w14:solidFill>
          </w14:textFill>
        </w:rPr>
        <w:t>九、</w:t>
      </w:r>
      <w:r>
        <w:rPr>
          <w:rFonts w:hint="eastAsia" w:ascii="黑体" w:hAnsi="宋体" w:eastAsia="黑体"/>
          <w:b/>
          <w:color w:val="000000" w:themeColor="text1"/>
          <w:sz w:val="32"/>
          <w:szCs w:val="32"/>
          <w14:textFill>
            <w14:solidFill>
              <w14:schemeClr w14:val="tx1"/>
            </w14:solidFill>
          </w14:textFill>
        </w:rPr>
        <w:t>其他资料</w:t>
      </w:r>
      <w:bookmarkEnd w:id="18"/>
      <w:bookmarkEnd w:id="19"/>
      <w:bookmarkEnd w:id="20"/>
      <w:bookmarkEnd w:id="149"/>
      <w:bookmarkEnd w:id="150"/>
      <w:bookmarkEnd w:id="151"/>
    </w:p>
    <w:p>
      <w:pPr>
        <w:adjustRightInd w:val="0"/>
        <w:snapToGrid w:val="0"/>
        <w:spacing w:before="156" w:beforeLines="50" w:line="360" w:lineRule="auto"/>
        <w:ind w:firstLine="560" w:firstLineChars="200"/>
        <w:jc w:val="center"/>
        <w:rPr>
          <w:rFonts w:ascii="宋体" w:hAnsi="宋体"/>
          <w:color w:val="000000" w:themeColor="text1"/>
          <w:sz w:val="28"/>
          <w:szCs w:val="28"/>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rPr>
      </w:pPr>
      <w:bookmarkStart w:id="152" w:name="_Toc18188"/>
      <w:bookmarkStart w:id="153" w:name="_Toc10648"/>
      <w:bookmarkStart w:id="154" w:name="_Toc22084"/>
      <w:bookmarkStart w:id="155" w:name="_Toc5412"/>
      <w:r>
        <w:rPr>
          <w:rFonts w:hint="eastAsia" w:ascii="宋体" w:hAnsi="宋体"/>
          <w:szCs w:val="21"/>
        </w:rPr>
        <w:t>供应商认为需要提供的其他竞争性采购资料，格式自拟。</w:t>
      </w:r>
      <w:bookmarkEnd w:id="152"/>
      <w:bookmarkEnd w:id="153"/>
      <w:bookmarkEnd w:id="154"/>
      <w:bookmarkEnd w:id="155"/>
    </w:p>
    <w:p>
      <w:pPr>
        <w:pStyle w:val="42"/>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1</w:t>
    </w:r>
    <w:r>
      <w:fldChar w:fldCharType="end"/>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35</w:t>
                    </w:r>
                    <w:r>
                      <w:fldChar w:fldCharType="end"/>
                    </w:r>
                  </w:p>
                </w:txbxContent>
              </v:textbox>
            </v:shape>
          </w:pict>
        </mc:Fallback>
      </mc:AlternateContent>
    </w:r>
  </w:p>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D174DA3E"/>
    <w:multiLevelType w:val="singleLevel"/>
    <w:tmpl w:val="D174DA3E"/>
    <w:lvl w:ilvl="0" w:tentative="0">
      <w:start w:val="1"/>
      <w:numFmt w:val="chineseCounting"/>
      <w:suff w:val="nothing"/>
      <w:lvlText w:val="（%1）"/>
      <w:lvlJc w:val="left"/>
      <w:rPr>
        <w:rFonts w:hint="eastAsia"/>
      </w:rPr>
    </w:lvl>
  </w:abstractNum>
  <w:abstractNum w:abstractNumId="2">
    <w:nsid w:val="055B7BAD"/>
    <w:multiLevelType w:val="singleLevel"/>
    <w:tmpl w:val="055B7BAD"/>
    <w:lvl w:ilvl="0" w:tentative="0">
      <w:start w:val="2"/>
      <w:numFmt w:val="chineseCounting"/>
      <w:suff w:val="nothing"/>
      <w:lvlText w:val="%1、"/>
      <w:lvlJc w:val="left"/>
      <w:rPr>
        <w:rFonts w:hint="eastAsia"/>
      </w:rPr>
    </w:lvl>
  </w:abstractNum>
  <w:abstractNum w:abstractNumId="3">
    <w:nsid w:val="5B7454C8"/>
    <w:multiLevelType w:val="singleLevel"/>
    <w:tmpl w:val="5B7454C8"/>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8F5875"/>
    <w:rsid w:val="000226FA"/>
    <w:rsid w:val="00023327"/>
    <w:rsid w:val="0004276E"/>
    <w:rsid w:val="0006071D"/>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71D3B"/>
    <w:rsid w:val="00673EC0"/>
    <w:rsid w:val="00675292"/>
    <w:rsid w:val="00680D92"/>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35CD"/>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EC48C4"/>
    <w:rsid w:val="01F25D3F"/>
    <w:rsid w:val="030B27B4"/>
    <w:rsid w:val="0331363F"/>
    <w:rsid w:val="033C7949"/>
    <w:rsid w:val="037D6499"/>
    <w:rsid w:val="03E30F7F"/>
    <w:rsid w:val="04567CE7"/>
    <w:rsid w:val="04B75B22"/>
    <w:rsid w:val="04D91551"/>
    <w:rsid w:val="04DF2BB8"/>
    <w:rsid w:val="052A0790"/>
    <w:rsid w:val="05ED1D5C"/>
    <w:rsid w:val="05FB0548"/>
    <w:rsid w:val="0660677A"/>
    <w:rsid w:val="06A31671"/>
    <w:rsid w:val="076B2344"/>
    <w:rsid w:val="081D2278"/>
    <w:rsid w:val="082846E4"/>
    <w:rsid w:val="08602454"/>
    <w:rsid w:val="09073CCF"/>
    <w:rsid w:val="098D089A"/>
    <w:rsid w:val="09BB6192"/>
    <w:rsid w:val="09C92F93"/>
    <w:rsid w:val="09D04097"/>
    <w:rsid w:val="09F558AC"/>
    <w:rsid w:val="0A8F762F"/>
    <w:rsid w:val="0ABD3615"/>
    <w:rsid w:val="0B1227AF"/>
    <w:rsid w:val="0C310979"/>
    <w:rsid w:val="0C427E66"/>
    <w:rsid w:val="0C516EDE"/>
    <w:rsid w:val="0C6A6969"/>
    <w:rsid w:val="0CE71E24"/>
    <w:rsid w:val="0CF939CA"/>
    <w:rsid w:val="0D972117"/>
    <w:rsid w:val="0DC67D96"/>
    <w:rsid w:val="0DF87BB1"/>
    <w:rsid w:val="0E267459"/>
    <w:rsid w:val="0F060549"/>
    <w:rsid w:val="0F07037D"/>
    <w:rsid w:val="0F4F723E"/>
    <w:rsid w:val="0F662E78"/>
    <w:rsid w:val="0F786710"/>
    <w:rsid w:val="0F7C234B"/>
    <w:rsid w:val="10182CDD"/>
    <w:rsid w:val="103460AC"/>
    <w:rsid w:val="10366AD9"/>
    <w:rsid w:val="1058744B"/>
    <w:rsid w:val="109E6BE9"/>
    <w:rsid w:val="10C55145"/>
    <w:rsid w:val="10D26947"/>
    <w:rsid w:val="11487B02"/>
    <w:rsid w:val="11BD5413"/>
    <w:rsid w:val="127C6B6A"/>
    <w:rsid w:val="13045F1B"/>
    <w:rsid w:val="136D16FB"/>
    <w:rsid w:val="14485C8E"/>
    <w:rsid w:val="155E6DA8"/>
    <w:rsid w:val="158E0134"/>
    <w:rsid w:val="15A054D7"/>
    <w:rsid w:val="15AA1C40"/>
    <w:rsid w:val="15D35728"/>
    <w:rsid w:val="162B2AC3"/>
    <w:rsid w:val="167B2CE0"/>
    <w:rsid w:val="16EF5A51"/>
    <w:rsid w:val="17326590"/>
    <w:rsid w:val="17677C2F"/>
    <w:rsid w:val="176D5E03"/>
    <w:rsid w:val="17B86896"/>
    <w:rsid w:val="186073E5"/>
    <w:rsid w:val="18820C52"/>
    <w:rsid w:val="188E0351"/>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BF41E67"/>
    <w:rsid w:val="1C3E6079"/>
    <w:rsid w:val="1CB02280"/>
    <w:rsid w:val="1D1C40BA"/>
    <w:rsid w:val="1D5319AE"/>
    <w:rsid w:val="1D7A2848"/>
    <w:rsid w:val="1D9828ED"/>
    <w:rsid w:val="1DC046F7"/>
    <w:rsid w:val="1E2C3B3A"/>
    <w:rsid w:val="1EAD14C2"/>
    <w:rsid w:val="1F1545CE"/>
    <w:rsid w:val="1F3F16A4"/>
    <w:rsid w:val="1FCB7383"/>
    <w:rsid w:val="1FD0596B"/>
    <w:rsid w:val="20223C23"/>
    <w:rsid w:val="20227854"/>
    <w:rsid w:val="208A3636"/>
    <w:rsid w:val="20903C07"/>
    <w:rsid w:val="209B6D55"/>
    <w:rsid w:val="20BF39F0"/>
    <w:rsid w:val="20E24ED6"/>
    <w:rsid w:val="20E27723"/>
    <w:rsid w:val="21657670"/>
    <w:rsid w:val="22C55E3C"/>
    <w:rsid w:val="22C977AC"/>
    <w:rsid w:val="237B711D"/>
    <w:rsid w:val="23F17818"/>
    <w:rsid w:val="255A7EB4"/>
    <w:rsid w:val="25AB7A3A"/>
    <w:rsid w:val="25CE5FB4"/>
    <w:rsid w:val="25E57747"/>
    <w:rsid w:val="26072CE7"/>
    <w:rsid w:val="261C669C"/>
    <w:rsid w:val="26382098"/>
    <w:rsid w:val="268A7862"/>
    <w:rsid w:val="270F6E14"/>
    <w:rsid w:val="277246F6"/>
    <w:rsid w:val="27AC163D"/>
    <w:rsid w:val="27E4011C"/>
    <w:rsid w:val="283D6BE2"/>
    <w:rsid w:val="28F92927"/>
    <w:rsid w:val="29C260B1"/>
    <w:rsid w:val="2A447A2D"/>
    <w:rsid w:val="2A790107"/>
    <w:rsid w:val="2AD6263E"/>
    <w:rsid w:val="2B3C2072"/>
    <w:rsid w:val="2B590518"/>
    <w:rsid w:val="2B7060E0"/>
    <w:rsid w:val="2C591244"/>
    <w:rsid w:val="2D3D1686"/>
    <w:rsid w:val="2D4A7B39"/>
    <w:rsid w:val="2D7F749B"/>
    <w:rsid w:val="2F9E3139"/>
    <w:rsid w:val="3031382E"/>
    <w:rsid w:val="30385AFD"/>
    <w:rsid w:val="305F0FC2"/>
    <w:rsid w:val="30A91ED7"/>
    <w:rsid w:val="310C7A3F"/>
    <w:rsid w:val="312468F3"/>
    <w:rsid w:val="333A1A71"/>
    <w:rsid w:val="33ED5256"/>
    <w:rsid w:val="368220F2"/>
    <w:rsid w:val="369C2FBB"/>
    <w:rsid w:val="36AB3842"/>
    <w:rsid w:val="36CD1045"/>
    <w:rsid w:val="371A713B"/>
    <w:rsid w:val="38726948"/>
    <w:rsid w:val="39202C52"/>
    <w:rsid w:val="392E0867"/>
    <w:rsid w:val="3956044B"/>
    <w:rsid w:val="39775FC0"/>
    <w:rsid w:val="39B3514F"/>
    <w:rsid w:val="3A2C34BF"/>
    <w:rsid w:val="3A625371"/>
    <w:rsid w:val="3B234380"/>
    <w:rsid w:val="3C876996"/>
    <w:rsid w:val="3CD10CF6"/>
    <w:rsid w:val="3CFC4FCB"/>
    <w:rsid w:val="3D461FE9"/>
    <w:rsid w:val="3DA46DF1"/>
    <w:rsid w:val="3DE12A36"/>
    <w:rsid w:val="3DFE0BF8"/>
    <w:rsid w:val="3E1E7FD8"/>
    <w:rsid w:val="3E602B5C"/>
    <w:rsid w:val="3EF91090"/>
    <w:rsid w:val="3F2E5BE4"/>
    <w:rsid w:val="3F300ECA"/>
    <w:rsid w:val="3F506C1B"/>
    <w:rsid w:val="3F5347AD"/>
    <w:rsid w:val="3F690088"/>
    <w:rsid w:val="3F6F6BFE"/>
    <w:rsid w:val="3FA90294"/>
    <w:rsid w:val="403B1D17"/>
    <w:rsid w:val="40771850"/>
    <w:rsid w:val="4170505D"/>
    <w:rsid w:val="427D2184"/>
    <w:rsid w:val="42963E29"/>
    <w:rsid w:val="436E75F6"/>
    <w:rsid w:val="439324B3"/>
    <w:rsid w:val="43E03479"/>
    <w:rsid w:val="43E445C7"/>
    <w:rsid w:val="44253D83"/>
    <w:rsid w:val="44AD1D09"/>
    <w:rsid w:val="456F064C"/>
    <w:rsid w:val="45A3734C"/>
    <w:rsid w:val="45C00171"/>
    <w:rsid w:val="45D97854"/>
    <w:rsid w:val="468277A6"/>
    <w:rsid w:val="46E100CE"/>
    <w:rsid w:val="46EC7FE4"/>
    <w:rsid w:val="474B668E"/>
    <w:rsid w:val="47513D55"/>
    <w:rsid w:val="476D389D"/>
    <w:rsid w:val="48127A27"/>
    <w:rsid w:val="489A5724"/>
    <w:rsid w:val="49D404BD"/>
    <w:rsid w:val="49D56017"/>
    <w:rsid w:val="4A344080"/>
    <w:rsid w:val="4AD4683C"/>
    <w:rsid w:val="4AD82D68"/>
    <w:rsid w:val="4ADC7B71"/>
    <w:rsid w:val="4B8C5D00"/>
    <w:rsid w:val="4B8D43FD"/>
    <w:rsid w:val="4C220D30"/>
    <w:rsid w:val="4D124C43"/>
    <w:rsid w:val="4D2910C1"/>
    <w:rsid w:val="4D44381F"/>
    <w:rsid w:val="4DF842F9"/>
    <w:rsid w:val="4E56050F"/>
    <w:rsid w:val="4E6A7E03"/>
    <w:rsid w:val="4EBF72A0"/>
    <w:rsid w:val="4ECF324C"/>
    <w:rsid w:val="4F0A6EB0"/>
    <w:rsid w:val="4F0C54EA"/>
    <w:rsid w:val="4F757F77"/>
    <w:rsid w:val="4F812774"/>
    <w:rsid w:val="4FAF2FEB"/>
    <w:rsid w:val="50270332"/>
    <w:rsid w:val="502C43D7"/>
    <w:rsid w:val="511E2E66"/>
    <w:rsid w:val="524719CE"/>
    <w:rsid w:val="52800678"/>
    <w:rsid w:val="52BE51C9"/>
    <w:rsid w:val="53431C23"/>
    <w:rsid w:val="53627F46"/>
    <w:rsid w:val="536B75FD"/>
    <w:rsid w:val="539D2F78"/>
    <w:rsid w:val="5422686A"/>
    <w:rsid w:val="547C41CC"/>
    <w:rsid w:val="54B2462F"/>
    <w:rsid w:val="55045144"/>
    <w:rsid w:val="550C4C66"/>
    <w:rsid w:val="55594EB2"/>
    <w:rsid w:val="55B87A7F"/>
    <w:rsid w:val="56F03878"/>
    <w:rsid w:val="56F36AE0"/>
    <w:rsid w:val="57153957"/>
    <w:rsid w:val="57402C2A"/>
    <w:rsid w:val="580446CF"/>
    <w:rsid w:val="581971D9"/>
    <w:rsid w:val="582B07DD"/>
    <w:rsid w:val="58421C40"/>
    <w:rsid w:val="588A2BAD"/>
    <w:rsid w:val="589A33ED"/>
    <w:rsid w:val="58DC78DE"/>
    <w:rsid w:val="590669A7"/>
    <w:rsid w:val="59211E00"/>
    <w:rsid w:val="5954688A"/>
    <w:rsid w:val="59D47661"/>
    <w:rsid w:val="59D86987"/>
    <w:rsid w:val="59E3084A"/>
    <w:rsid w:val="5A160C1F"/>
    <w:rsid w:val="5A1A4674"/>
    <w:rsid w:val="5A2A24DF"/>
    <w:rsid w:val="5B850A4E"/>
    <w:rsid w:val="5C567C46"/>
    <w:rsid w:val="5C7775F7"/>
    <w:rsid w:val="5C7900C1"/>
    <w:rsid w:val="5D1464F0"/>
    <w:rsid w:val="5D181187"/>
    <w:rsid w:val="5E127BB5"/>
    <w:rsid w:val="5E323B4E"/>
    <w:rsid w:val="5E7662CF"/>
    <w:rsid w:val="5E816D45"/>
    <w:rsid w:val="5E9D79D9"/>
    <w:rsid w:val="5F5A79D9"/>
    <w:rsid w:val="607B7A2E"/>
    <w:rsid w:val="610A28DB"/>
    <w:rsid w:val="610B0C87"/>
    <w:rsid w:val="6110461A"/>
    <w:rsid w:val="61213F4D"/>
    <w:rsid w:val="61D23BFA"/>
    <w:rsid w:val="61EF472C"/>
    <w:rsid w:val="620D0AAD"/>
    <w:rsid w:val="63846BFA"/>
    <w:rsid w:val="63D95C29"/>
    <w:rsid w:val="63DE6C47"/>
    <w:rsid w:val="641E3D3F"/>
    <w:rsid w:val="644C622B"/>
    <w:rsid w:val="647C524D"/>
    <w:rsid w:val="648B471A"/>
    <w:rsid w:val="65566EDF"/>
    <w:rsid w:val="65963DE7"/>
    <w:rsid w:val="65A527FF"/>
    <w:rsid w:val="65DF15F8"/>
    <w:rsid w:val="663A6376"/>
    <w:rsid w:val="6652673A"/>
    <w:rsid w:val="66A0151D"/>
    <w:rsid w:val="66E81784"/>
    <w:rsid w:val="66F15393"/>
    <w:rsid w:val="67373CC7"/>
    <w:rsid w:val="67F45BE3"/>
    <w:rsid w:val="69944611"/>
    <w:rsid w:val="69BE15AE"/>
    <w:rsid w:val="6A854623"/>
    <w:rsid w:val="6B4D303F"/>
    <w:rsid w:val="6B6873C7"/>
    <w:rsid w:val="6B824366"/>
    <w:rsid w:val="6BB612E3"/>
    <w:rsid w:val="6C2067E8"/>
    <w:rsid w:val="6C3F36C6"/>
    <w:rsid w:val="6C9725C6"/>
    <w:rsid w:val="6CE801F9"/>
    <w:rsid w:val="6D430996"/>
    <w:rsid w:val="6D462990"/>
    <w:rsid w:val="6D952DD1"/>
    <w:rsid w:val="6DDF784E"/>
    <w:rsid w:val="6E3C5818"/>
    <w:rsid w:val="6ED80BC8"/>
    <w:rsid w:val="6F827E21"/>
    <w:rsid w:val="701E7D87"/>
    <w:rsid w:val="709C1C0D"/>
    <w:rsid w:val="7122081F"/>
    <w:rsid w:val="714869F9"/>
    <w:rsid w:val="71A93FA1"/>
    <w:rsid w:val="725D1CAC"/>
    <w:rsid w:val="727D7636"/>
    <w:rsid w:val="73042D7F"/>
    <w:rsid w:val="73671DCC"/>
    <w:rsid w:val="73781BAB"/>
    <w:rsid w:val="742B3070"/>
    <w:rsid w:val="74980BA6"/>
    <w:rsid w:val="75271228"/>
    <w:rsid w:val="753239AA"/>
    <w:rsid w:val="761B33ED"/>
    <w:rsid w:val="76BB279C"/>
    <w:rsid w:val="77404A94"/>
    <w:rsid w:val="7785374F"/>
    <w:rsid w:val="77AC55E5"/>
    <w:rsid w:val="781E639C"/>
    <w:rsid w:val="7896766E"/>
    <w:rsid w:val="78B13375"/>
    <w:rsid w:val="7926417C"/>
    <w:rsid w:val="795D5ACB"/>
    <w:rsid w:val="799D05BD"/>
    <w:rsid w:val="7B597D67"/>
    <w:rsid w:val="7B5D3170"/>
    <w:rsid w:val="7CF07B71"/>
    <w:rsid w:val="7D7131C1"/>
    <w:rsid w:val="7D9D1C4C"/>
    <w:rsid w:val="7E6E560C"/>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jc w:val="center"/>
      <w:outlineLvl w:val="0"/>
    </w:pPr>
    <w:rPr>
      <w:b/>
      <w:bCs/>
      <w:sz w:val="24"/>
      <w:szCs w:val="20"/>
    </w:rPr>
  </w:style>
  <w:style w:type="paragraph" w:styleId="4">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86"/>
    <w:qFormat/>
    <w:uiPriority w:val="99"/>
    <w:pPr>
      <w:widowControl/>
      <w:ind w:firstLine="420"/>
      <w:jc w:val="left"/>
    </w:pPr>
    <w:rPr>
      <w:kern w:val="0"/>
      <w:sz w:val="20"/>
      <w:szCs w:val="20"/>
    </w:rPr>
  </w:style>
  <w:style w:type="paragraph" w:styleId="14">
    <w:name w:val="Document Map"/>
    <w:basedOn w:val="1"/>
    <w:link w:val="71"/>
    <w:semiHidden/>
    <w:qFormat/>
    <w:uiPriority w:val="0"/>
    <w:pPr>
      <w:shd w:val="clear" w:color="auto" w:fill="000080"/>
    </w:pPr>
  </w:style>
  <w:style w:type="paragraph" w:styleId="15">
    <w:name w:val="annotation text"/>
    <w:basedOn w:val="1"/>
    <w:link w:val="72"/>
    <w:semiHidden/>
    <w:qFormat/>
    <w:uiPriority w:val="0"/>
    <w:pPr>
      <w:jc w:val="left"/>
    </w:pPr>
  </w:style>
  <w:style w:type="paragraph" w:styleId="16">
    <w:name w:val="Salutation"/>
    <w:basedOn w:val="1"/>
    <w:next w:val="1"/>
    <w:link w:val="73"/>
    <w:qFormat/>
    <w:uiPriority w:val="0"/>
    <w:rPr>
      <w:rFonts w:ascii="仿宋_GB2312" w:eastAsia="仿宋_GB2312"/>
      <w:sz w:val="24"/>
    </w:rPr>
  </w:style>
  <w:style w:type="paragraph" w:styleId="17">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5"/>
    <w:qFormat/>
    <w:uiPriority w:val="0"/>
    <w:pPr>
      <w:spacing w:after="120"/>
    </w:pPr>
  </w:style>
  <w:style w:type="paragraph" w:styleId="19">
    <w:name w:val="Body Text Indent"/>
    <w:basedOn w:val="1"/>
    <w:next w:val="20"/>
    <w:link w:val="69"/>
    <w:unhideWhenUsed/>
    <w:qFormat/>
    <w:uiPriority w:val="0"/>
    <w:pPr>
      <w:spacing w:after="120"/>
      <w:ind w:left="420" w:leftChars="200"/>
    </w:pPr>
  </w:style>
  <w:style w:type="paragraph" w:styleId="20">
    <w:name w:val="annotation subject"/>
    <w:basedOn w:val="15"/>
    <w:next w:val="1"/>
    <w:link w:val="86"/>
    <w:qFormat/>
    <w:uiPriority w:val="0"/>
    <w:rPr>
      <w:b/>
      <w:bCs/>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6"/>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7"/>
    <w:qFormat/>
    <w:uiPriority w:val="0"/>
    <w:rPr>
      <w:sz w:val="24"/>
      <w:szCs w:val="20"/>
    </w:rPr>
  </w:style>
  <w:style w:type="paragraph" w:styleId="27">
    <w:name w:val="Body Text Indent 2"/>
    <w:basedOn w:val="1"/>
    <w:link w:val="78"/>
    <w:qFormat/>
    <w:uiPriority w:val="0"/>
    <w:pPr>
      <w:spacing w:after="120" w:line="480" w:lineRule="auto"/>
      <w:ind w:left="420" w:leftChars="200"/>
    </w:pPr>
  </w:style>
  <w:style w:type="paragraph" w:styleId="28">
    <w:name w:val="Balloon Text"/>
    <w:basedOn w:val="1"/>
    <w:link w:val="79"/>
    <w:qFormat/>
    <w:uiPriority w:val="0"/>
    <w:rPr>
      <w:rFonts w:ascii="Calibri" w:hAnsi="Calibri"/>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82"/>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link w:val="83"/>
    <w:qFormat/>
    <w:uiPriority w:val="0"/>
    <w:pPr>
      <w:spacing w:after="120" w:line="480" w:lineRule="auto"/>
    </w:pPr>
  </w:style>
  <w:style w:type="paragraph" w:styleId="3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85"/>
    <w:qFormat/>
    <w:uiPriority w:val="0"/>
    <w:pPr>
      <w:spacing w:before="240" w:after="60"/>
      <w:jc w:val="center"/>
      <w:outlineLvl w:val="0"/>
    </w:pPr>
    <w:rPr>
      <w:rFonts w:ascii="Cambria" w:hAnsi="Cambria"/>
      <w:b/>
      <w:sz w:val="32"/>
    </w:rPr>
  </w:style>
  <w:style w:type="paragraph" w:styleId="42">
    <w:name w:val="Body Text First Indent"/>
    <w:basedOn w:val="18"/>
    <w:link w:val="87"/>
    <w:qFormat/>
    <w:uiPriority w:val="99"/>
    <w:pPr>
      <w:ind w:firstLine="420"/>
    </w:pPr>
  </w:style>
  <w:style w:type="paragraph" w:styleId="43">
    <w:name w:val="Body Text First Indent 2"/>
    <w:basedOn w:val="19"/>
    <w:link w:val="285"/>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3"/>
    <w:qFormat/>
    <w:uiPriority w:val="0"/>
    <w:rPr>
      <w:rFonts w:ascii="Times New Roman" w:hAnsi="Times New Roman" w:eastAsia="宋体" w:cs="Times New Roman"/>
      <w:b/>
      <w:bCs/>
      <w:sz w:val="24"/>
      <w:szCs w:val="20"/>
    </w:rPr>
  </w:style>
  <w:style w:type="character" w:customStyle="1" w:styleId="61">
    <w:name w:val="标题 2 Char1"/>
    <w:basedOn w:val="46"/>
    <w:link w:val="4"/>
    <w:qFormat/>
    <w:uiPriority w:val="0"/>
    <w:rPr>
      <w:rFonts w:ascii="Arial" w:hAnsi="Arial" w:eastAsia="宋体" w:cs="Times New Roman"/>
      <w:b/>
      <w:bCs/>
      <w:sz w:val="24"/>
      <w:szCs w:val="32"/>
    </w:rPr>
  </w:style>
  <w:style w:type="character" w:customStyle="1" w:styleId="62">
    <w:name w:val="标题 3 Char1"/>
    <w:basedOn w:val="46"/>
    <w:link w:val="5"/>
    <w:qFormat/>
    <w:uiPriority w:val="0"/>
    <w:rPr>
      <w:rFonts w:ascii="Times New Roman" w:hAnsi="Times New Roman" w:eastAsia="宋体" w:cs="Times New Roman"/>
      <w:b/>
      <w:bCs/>
      <w:sz w:val="32"/>
      <w:szCs w:val="32"/>
    </w:rPr>
  </w:style>
  <w:style w:type="character" w:customStyle="1" w:styleId="63">
    <w:name w:val="标题 4 Char1"/>
    <w:basedOn w:val="46"/>
    <w:link w:val="6"/>
    <w:qFormat/>
    <w:uiPriority w:val="0"/>
    <w:rPr>
      <w:rFonts w:ascii="Arial" w:hAnsi="Arial" w:eastAsia="黑体" w:cs="Times New Roman"/>
      <w:b/>
      <w:bCs/>
      <w:sz w:val="28"/>
      <w:szCs w:val="28"/>
    </w:rPr>
  </w:style>
  <w:style w:type="character" w:customStyle="1" w:styleId="64">
    <w:name w:val="标题 5 Char1"/>
    <w:basedOn w:val="46"/>
    <w:link w:val="7"/>
    <w:qFormat/>
    <w:uiPriority w:val="0"/>
    <w:rPr>
      <w:rFonts w:ascii="Times New Roman" w:hAnsi="Times New Roman" w:eastAsia="宋体" w:cs="Times New Roman"/>
      <w:b/>
      <w:bCs/>
      <w:kern w:val="0"/>
      <w:sz w:val="28"/>
      <w:szCs w:val="28"/>
    </w:rPr>
  </w:style>
  <w:style w:type="character" w:customStyle="1" w:styleId="65">
    <w:name w:val="标题 6 Char1"/>
    <w:basedOn w:val="46"/>
    <w:link w:val="8"/>
    <w:qFormat/>
    <w:uiPriority w:val="0"/>
    <w:rPr>
      <w:rFonts w:ascii="Arial" w:hAnsi="Arial" w:eastAsia="黑体" w:cs="Times New Roman"/>
      <w:b/>
      <w:bCs/>
      <w:kern w:val="0"/>
      <w:sz w:val="24"/>
      <w:szCs w:val="24"/>
    </w:rPr>
  </w:style>
  <w:style w:type="character" w:customStyle="1" w:styleId="66">
    <w:name w:val="标题 7 Char1"/>
    <w:basedOn w:val="46"/>
    <w:link w:val="9"/>
    <w:qFormat/>
    <w:uiPriority w:val="0"/>
    <w:rPr>
      <w:rFonts w:ascii="Times New Roman" w:hAnsi="Times New Roman" w:eastAsia="宋体" w:cs="Times New Roman"/>
      <w:b/>
      <w:bCs/>
      <w:kern w:val="0"/>
      <w:sz w:val="24"/>
      <w:szCs w:val="24"/>
    </w:rPr>
  </w:style>
  <w:style w:type="character" w:customStyle="1" w:styleId="67">
    <w:name w:val="标题 8 Char1"/>
    <w:basedOn w:val="46"/>
    <w:link w:val="10"/>
    <w:qFormat/>
    <w:uiPriority w:val="0"/>
    <w:rPr>
      <w:rFonts w:ascii="Arial" w:hAnsi="Arial" w:eastAsia="黑体" w:cs="Times New Roman"/>
      <w:kern w:val="0"/>
      <w:sz w:val="24"/>
      <w:szCs w:val="24"/>
    </w:rPr>
  </w:style>
  <w:style w:type="character" w:customStyle="1" w:styleId="68">
    <w:name w:val="标题 9 Char1"/>
    <w:basedOn w:val="46"/>
    <w:link w:val="11"/>
    <w:qFormat/>
    <w:uiPriority w:val="0"/>
    <w:rPr>
      <w:rFonts w:ascii="Arial" w:hAnsi="Arial" w:eastAsia="黑体" w:cs="Times New Roman"/>
      <w:kern w:val="0"/>
      <w:szCs w:val="21"/>
    </w:rPr>
  </w:style>
  <w:style w:type="character" w:customStyle="1" w:styleId="69">
    <w:name w:val="正文文本缩进 Char"/>
    <w:basedOn w:val="46"/>
    <w:link w:val="19"/>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4"/>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15"/>
    <w:semiHidden/>
    <w:qFormat/>
    <w:uiPriority w:val="0"/>
    <w:rPr>
      <w:rFonts w:ascii="Times New Roman" w:hAnsi="Times New Roman" w:eastAsia="宋体" w:cs="Times New Roman"/>
      <w:szCs w:val="24"/>
    </w:rPr>
  </w:style>
  <w:style w:type="character" w:customStyle="1" w:styleId="73">
    <w:name w:val="称呼 Char"/>
    <w:basedOn w:val="46"/>
    <w:link w:val="16"/>
    <w:qFormat/>
    <w:uiPriority w:val="0"/>
    <w:rPr>
      <w:rFonts w:ascii="仿宋_GB2312" w:hAnsi="Times New Roman" w:eastAsia="仿宋_GB2312" w:cs="Times New Roman"/>
      <w:sz w:val="24"/>
      <w:szCs w:val="24"/>
    </w:rPr>
  </w:style>
  <w:style w:type="character" w:customStyle="1" w:styleId="74">
    <w:name w:val="正文文本 3 Char"/>
    <w:basedOn w:val="46"/>
    <w:link w:val="17"/>
    <w:qFormat/>
    <w:uiPriority w:val="0"/>
    <w:rPr>
      <w:rFonts w:ascii="宋体" w:hAnsi="Times New Roman" w:eastAsia="宋体" w:cs="Times New Roman"/>
      <w:color w:val="000000"/>
      <w:kern w:val="0"/>
      <w:sz w:val="24"/>
      <w:szCs w:val="20"/>
    </w:rPr>
  </w:style>
  <w:style w:type="character" w:customStyle="1" w:styleId="75">
    <w:name w:val="正文文本 Char"/>
    <w:basedOn w:val="46"/>
    <w:link w:val="18"/>
    <w:qFormat/>
    <w:uiPriority w:val="0"/>
    <w:rPr>
      <w:rFonts w:ascii="Times New Roman" w:hAnsi="Times New Roman" w:eastAsia="宋体" w:cs="Times New Roman"/>
      <w:szCs w:val="24"/>
    </w:rPr>
  </w:style>
  <w:style w:type="character" w:customStyle="1" w:styleId="76">
    <w:name w:val="纯文本 Char"/>
    <w:basedOn w:val="46"/>
    <w:link w:val="24"/>
    <w:qFormat/>
    <w:uiPriority w:val="99"/>
    <w:rPr>
      <w:rFonts w:ascii="宋体" w:hAnsi="Courier New" w:eastAsia="宋体" w:cs="Courier New"/>
      <w:szCs w:val="21"/>
    </w:rPr>
  </w:style>
  <w:style w:type="character" w:customStyle="1" w:styleId="77">
    <w:name w:val="日期 Char1"/>
    <w:basedOn w:val="46"/>
    <w:link w:val="26"/>
    <w:qFormat/>
    <w:uiPriority w:val="0"/>
    <w:rPr>
      <w:rFonts w:ascii="Times New Roman" w:hAnsi="Times New Roman" w:eastAsia="宋体" w:cs="Times New Roman"/>
      <w:sz w:val="24"/>
      <w:szCs w:val="20"/>
    </w:rPr>
  </w:style>
  <w:style w:type="character" w:customStyle="1" w:styleId="78">
    <w:name w:val="正文文本缩进 2 Char"/>
    <w:basedOn w:val="46"/>
    <w:link w:val="27"/>
    <w:qFormat/>
    <w:uiPriority w:val="0"/>
    <w:rPr>
      <w:rFonts w:ascii="Times New Roman" w:hAnsi="Times New Roman" w:eastAsia="宋体" w:cs="Times New Roman"/>
      <w:szCs w:val="24"/>
    </w:rPr>
  </w:style>
  <w:style w:type="character" w:customStyle="1" w:styleId="79">
    <w:name w:val="批注框文本 Char1"/>
    <w:basedOn w:val="46"/>
    <w:link w:val="28"/>
    <w:qFormat/>
    <w:uiPriority w:val="0"/>
    <w:rPr>
      <w:rFonts w:ascii="Calibri" w:hAnsi="Calibri" w:eastAsia="宋体" w:cs="Times New Roman"/>
      <w:sz w:val="18"/>
      <w:szCs w:val="18"/>
    </w:rPr>
  </w:style>
  <w:style w:type="character" w:customStyle="1" w:styleId="80">
    <w:name w:val="页脚 Char1"/>
    <w:basedOn w:val="46"/>
    <w:link w:val="29"/>
    <w:qFormat/>
    <w:uiPriority w:val="0"/>
    <w:rPr>
      <w:rFonts w:ascii="Times New Roman" w:hAnsi="Times New Roman" w:eastAsia="宋体" w:cs="Times New Roman"/>
      <w:sz w:val="18"/>
      <w:szCs w:val="18"/>
    </w:rPr>
  </w:style>
  <w:style w:type="character" w:customStyle="1" w:styleId="81">
    <w:name w:val="页眉 Char1"/>
    <w:basedOn w:val="46"/>
    <w:link w:val="30"/>
    <w:qFormat/>
    <w:uiPriority w:val="0"/>
    <w:rPr>
      <w:rFonts w:ascii="Times New Roman" w:hAnsi="Times New Roman" w:eastAsia="宋体" w:cs="Times New Roman"/>
      <w:sz w:val="18"/>
      <w:szCs w:val="18"/>
    </w:rPr>
  </w:style>
  <w:style w:type="character" w:customStyle="1" w:styleId="82">
    <w:name w:val="正文文本缩进 3 Char1"/>
    <w:basedOn w:val="46"/>
    <w:link w:val="34"/>
    <w:qFormat/>
    <w:uiPriority w:val="0"/>
    <w:rPr>
      <w:rFonts w:ascii="Times New Roman" w:hAnsi="Times New Roman" w:eastAsia="宋体" w:cs="Times New Roman"/>
      <w:sz w:val="16"/>
      <w:szCs w:val="16"/>
    </w:rPr>
  </w:style>
  <w:style w:type="character" w:customStyle="1" w:styleId="83">
    <w:name w:val="正文文本 2 Char"/>
    <w:basedOn w:val="46"/>
    <w:link w:val="37"/>
    <w:qFormat/>
    <w:uiPriority w:val="0"/>
    <w:rPr>
      <w:rFonts w:ascii="Times New Roman" w:hAnsi="Times New Roman" w:eastAsia="宋体" w:cs="Times New Roman"/>
      <w:szCs w:val="24"/>
    </w:rPr>
  </w:style>
  <w:style w:type="character" w:customStyle="1" w:styleId="84">
    <w:name w:val="HTML 预设格式 Char"/>
    <w:basedOn w:val="46"/>
    <w:link w:val="38"/>
    <w:qFormat/>
    <w:uiPriority w:val="0"/>
    <w:rPr>
      <w:rFonts w:ascii="Arial" w:hAnsi="Arial" w:eastAsia="宋体" w:cs="Arial"/>
      <w:kern w:val="0"/>
      <w:sz w:val="24"/>
      <w:szCs w:val="24"/>
    </w:rPr>
  </w:style>
  <w:style w:type="character" w:customStyle="1" w:styleId="85">
    <w:name w:val="标题 Char2"/>
    <w:basedOn w:val="46"/>
    <w:link w:val="41"/>
    <w:qFormat/>
    <w:uiPriority w:val="0"/>
    <w:rPr>
      <w:rFonts w:ascii="Cambria" w:hAnsi="Cambria" w:eastAsia="宋体" w:cs="Times New Roman"/>
      <w:b/>
      <w:sz w:val="32"/>
      <w:szCs w:val="24"/>
    </w:rPr>
  </w:style>
  <w:style w:type="character" w:customStyle="1" w:styleId="86">
    <w:name w:val="批注主题 Char1"/>
    <w:basedOn w:val="72"/>
    <w:link w:val="20"/>
    <w:qFormat/>
    <w:uiPriority w:val="0"/>
    <w:rPr>
      <w:rFonts w:ascii="Times New Roman" w:hAnsi="Times New Roman" w:eastAsia="宋体" w:cs="Times New Roman"/>
      <w:b/>
      <w:bCs/>
      <w:szCs w:val="24"/>
    </w:rPr>
  </w:style>
  <w:style w:type="character" w:customStyle="1" w:styleId="87">
    <w:name w:val="正文首行缩进 Char"/>
    <w:basedOn w:val="75"/>
    <w:link w:val="42"/>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3"/>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3"/>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3"/>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4"/>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1"/>
    <w:qFormat/>
    <w:uiPriority w:val="0"/>
    <w:pPr>
      <w:spacing w:after="240"/>
      <w:jc w:val="left"/>
    </w:pPr>
    <w:rPr>
      <w:sz w:val="30"/>
    </w:rPr>
  </w:style>
  <w:style w:type="paragraph" w:customStyle="1" w:styleId="219">
    <w:name w:val="TOC 标题11"/>
    <w:basedOn w:val="3"/>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18"/>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15"/>
    <w:next w:val="15"/>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43"/>
    <w:qFormat/>
    <w:uiPriority w:val="0"/>
    <w:rPr>
      <w:kern w:val="2"/>
      <w:sz w:val="21"/>
    </w:rPr>
  </w:style>
  <w:style w:type="character" w:customStyle="1" w:styleId="286">
    <w:name w:val="正文缩进 Char"/>
    <w:link w:val="13"/>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34250</Words>
  <Characters>35894</Characters>
  <Lines>186</Lines>
  <Paragraphs>52</Paragraphs>
  <TotalTime>19</TotalTime>
  <ScaleCrop>false</ScaleCrop>
  <LinksUpToDate>false</LinksUpToDate>
  <CharactersWithSpaces>37659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杨喜笑</cp:lastModifiedBy>
  <cp:lastPrinted>2023-06-07T06:23:00Z</cp:lastPrinted>
  <dcterms:modified xsi:type="dcterms:W3CDTF">2023-08-10T00:50:31Z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337C1F2CF42A47648C4C850F9C5ECD74</vt:lpwstr>
  </property>
</Properties>
</file>