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jc w:val="center"/>
        <w:rPr>
          <w:rFonts w:hAnsi="宋体"/>
          <w:b/>
          <w:bCs/>
          <w:sz w:val="52"/>
          <w:szCs w:val="52"/>
        </w:rPr>
      </w:pPr>
      <w:r>
        <w:rPr>
          <w:rFonts w:hint="eastAsia" w:hAnsi="宋体"/>
          <w:b/>
          <w:sz w:val="52"/>
          <w:szCs w:val="52"/>
        </w:rPr>
        <w:t>长沙市轨道交通运营有限公司</w:t>
      </w:r>
    </w:p>
    <w:p>
      <w:pPr>
        <w:pStyle w:val="28"/>
        <w:adjustRightInd w:val="0"/>
        <w:snapToGrid w:val="0"/>
        <w:spacing w:line="360" w:lineRule="auto"/>
        <w:jc w:val="center"/>
        <w:rPr>
          <w:rFonts w:hAnsi="宋体"/>
          <w:b/>
          <w:sz w:val="52"/>
          <w:szCs w:val="52"/>
        </w:rPr>
      </w:pPr>
      <w:r>
        <w:rPr>
          <w:rFonts w:hint="eastAsia" w:hAnsi="宋体"/>
          <w:b/>
          <w:sz w:val="52"/>
          <w:szCs w:val="52"/>
        </w:rPr>
        <w:t>竞争性采购文件</w:t>
      </w:r>
    </w:p>
    <w:p>
      <w:pPr>
        <w:pStyle w:val="28"/>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ascii="宋体" w:hAnsi="宋体" w:cs="Courier New"/>
          <w:b/>
          <w:sz w:val="32"/>
          <w:szCs w:val="21"/>
          <w:u w:val="single"/>
        </w:rPr>
      </w:pPr>
      <w:r>
        <w:rPr>
          <w:rFonts w:hint="eastAsia" w:ascii="宋体" w:hAnsi="宋体" w:eastAsia="宋体" w:cs="Courier New"/>
          <w:b/>
          <w:kern w:val="2"/>
          <w:sz w:val="32"/>
          <w:szCs w:val="21"/>
          <w:lang w:val="en-US" w:eastAsia="zh-CN" w:bidi="ar-SA"/>
        </w:rPr>
        <w:t>竞争性采购项目名称：</w:t>
      </w:r>
      <w:r>
        <w:rPr>
          <w:rFonts w:hint="eastAsia" w:ascii="宋体" w:hAnsi="宋体" w:cs="Courier New"/>
          <w:b/>
          <w:sz w:val="32"/>
          <w:szCs w:val="21"/>
          <w:u w:val="single"/>
        </w:rPr>
        <w:t>长沙市轨道交通1（含北延线）、2、3、4、5号线、西环线运营期2023年</w:t>
      </w:r>
      <w:r>
        <w:rPr>
          <w:rFonts w:hint="eastAsia" w:ascii="宋体" w:hAnsi="宋体" w:cs="Courier New"/>
          <w:b/>
          <w:sz w:val="32"/>
          <w:szCs w:val="21"/>
          <w:u w:val="single"/>
          <w:lang w:eastAsia="zh-CN"/>
        </w:rPr>
        <w:t>—</w:t>
      </w:r>
      <w:r>
        <w:rPr>
          <w:rFonts w:hint="eastAsia" w:ascii="宋体" w:hAnsi="宋体" w:cs="Courier New"/>
          <w:b/>
          <w:sz w:val="32"/>
          <w:szCs w:val="21"/>
          <w:u w:val="single"/>
        </w:rPr>
        <w:t>2025年公共场所卫生检测服务项目</w:t>
      </w:r>
      <w:r>
        <w:rPr>
          <w:rFonts w:hint="eastAsia" w:ascii="宋体" w:hAnsi="宋体" w:cs="Courier New"/>
          <w:b/>
          <w:sz w:val="32"/>
          <w:szCs w:val="21"/>
          <w:u w:val="single"/>
          <w:lang w:eastAsia="zh-CN"/>
        </w:rPr>
        <w:t>（</w:t>
      </w:r>
      <w:r>
        <w:rPr>
          <w:rFonts w:hint="eastAsia" w:ascii="宋体" w:hAnsi="宋体" w:cs="Courier New"/>
          <w:b/>
          <w:sz w:val="32"/>
          <w:szCs w:val="21"/>
          <w:u w:val="single"/>
          <w:lang w:val="en-US" w:eastAsia="zh-CN"/>
        </w:rPr>
        <w:t>第二次</w:t>
      </w:r>
      <w:r>
        <w:rPr>
          <w:rFonts w:hint="eastAsia" w:ascii="宋体" w:hAnsi="宋体" w:cs="Courier New"/>
          <w:b/>
          <w:sz w:val="32"/>
          <w:szCs w:val="21"/>
          <w:u w:val="single"/>
          <w:lang w:eastAsia="zh-CN"/>
        </w:rPr>
        <w:t>）</w:t>
      </w:r>
    </w:p>
    <w:p>
      <w:pPr>
        <w:spacing w:line="360" w:lineRule="auto"/>
        <w:ind w:firstLine="321" w:firstLineChars="100"/>
        <w:jc w:val="left"/>
        <w:rPr>
          <w:rFonts w:ascii="宋体" w:hAnsi="宋体" w:cs="Courier New"/>
          <w:b/>
          <w:sz w:val="32"/>
          <w:szCs w:val="21"/>
        </w:rPr>
      </w:pPr>
    </w:p>
    <w:p>
      <w:pPr>
        <w:pStyle w:val="28"/>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8"/>
        <w:adjustRightInd w:val="0"/>
        <w:snapToGrid w:val="0"/>
        <w:spacing w:line="360" w:lineRule="auto"/>
        <w:ind w:left="2554" w:leftChars="1216"/>
        <w:rPr>
          <w:rFonts w:hAnsi="宋体"/>
          <w:b/>
          <w:sz w:val="32"/>
        </w:rPr>
      </w:pPr>
      <w:r>
        <w:rPr>
          <w:rFonts w:hint="eastAsia" w:hAnsi="宋体"/>
          <w:b/>
          <w:sz w:val="32"/>
          <w:u w:val="single"/>
        </w:rPr>
        <w:t>长沙市轨道交通运营有限公司</w:t>
      </w:r>
      <w:r>
        <w:rPr>
          <w:rFonts w:hint="eastAsia" w:hAnsi="宋体"/>
          <w:b/>
          <w:sz w:val="32"/>
          <w:u w:val="single"/>
        </w:rPr>
        <w:br w:type="textWrapping"/>
      </w:r>
      <w:r>
        <w:rPr>
          <w:rFonts w:hint="eastAsia" w:hAnsi="宋体"/>
          <w:b/>
          <w:sz w:val="32"/>
          <w:u w:val="single"/>
        </w:rPr>
        <w:t>长沙市轨道交通三号线建设发展有限公司</w:t>
      </w:r>
      <w:r>
        <w:rPr>
          <w:rFonts w:hint="eastAsia" w:hAnsi="宋体"/>
          <w:b/>
          <w:sz w:val="32"/>
          <w:u w:val="single"/>
        </w:rPr>
        <w:br w:type="textWrapping"/>
      </w:r>
      <w:r>
        <w:rPr>
          <w:rFonts w:hint="eastAsia" w:hAnsi="宋体"/>
          <w:b/>
          <w:sz w:val="32"/>
          <w:u w:val="single"/>
        </w:rPr>
        <w:t>长沙市轨道交通四号线建设发展有限公司</w:t>
      </w:r>
      <w:r>
        <w:rPr>
          <w:rFonts w:hint="eastAsia" w:hAnsi="宋体"/>
          <w:b/>
          <w:sz w:val="32"/>
          <w:u w:val="single"/>
        </w:rPr>
        <w:br w:type="textWrapping"/>
      </w:r>
      <w:r>
        <w:rPr>
          <w:rFonts w:hint="eastAsia" w:hAnsi="宋体"/>
          <w:b/>
          <w:sz w:val="32"/>
          <w:u w:val="single"/>
        </w:rPr>
        <w:t>长沙市轨道交通五号线建设发展有限公司</w:t>
      </w:r>
    </w:p>
    <w:p>
      <w:pPr>
        <w:pStyle w:val="28"/>
        <w:adjustRightInd w:val="0"/>
        <w:snapToGrid w:val="0"/>
        <w:spacing w:line="360" w:lineRule="auto"/>
        <w:jc w:val="left"/>
        <w:rPr>
          <w:rFonts w:hAnsi="宋体"/>
          <w:b/>
          <w:sz w:val="32"/>
          <w:u w:val="single"/>
        </w:rPr>
      </w:pPr>
    </w:p>
    <w:p>
      <w:pPr>
        <w:pStyle w:val="28"/>
        <w:adjustRightInd w:val="0"/>
        <w:snapToGrid w:val="0"/>
        <w:spacing w:line="360" w:lineRule="auto"/>
        <w:ind w:firstLine="643" w:firstLineChars="200"/>
        <w:jc w:val="left"/>
        <w:rPr>
          <w:rFonts w:hAnsi="宋体"/>
          <w:b/>
          <w:color w:val="FF0000"/>
          <w:sz w:val="32"/>
          <w:u w:val="single"/>
        </w:rPr>
      </w:pPr>
      <w:r>
        <w:rPr>
          <w:rFonts w:hint="eastAsia" w:hAnsi="宋体"/>
          <w:b/>
          <w:sz w:val="32"/>
        </w:rPr>
        <w:t>竞争性采购项目编号：</w:t>
      </w:r>
      <w:r>
        <w:rPr>
          <w:rFonts w:hint="eastAsia" w:hAnsi="宋体"/>
          <w:b/>
          <w:sz w:val="32"/>
          <w:u w:val="single"/>
        </w:rPr>
        <w:t>长轨运服采【2023】0</w:t>
      </w:r>
      <w:r>
        <w:rPr>
          <w:rFonts w:hint="eastAsia" w:hAnsi="宋体"/>
          <w:b/>
          <w:sz w:val="32"/>
          <w:u w:val="single"/>
          <w:lang w:val="en-US" w:eastAsia="zh-CN"/>
        </w:rPr>
        <w:t>24</w:t>
      </w:r>
      <w:r>
        <w:rPr>
          <w:rFonts w:hint="eastAsia" w:hAnsi="宋体"/>
          <w:b/>
          <w:sz w:val="32"/>
          <w:u w:val="single"/>
        </w:rPr>
        <w:t>号</w:t>
      </w: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七</w:t>
      </w:r>
      <w:r>
        <w:rPr>
          <w:rFonts w:hint="eastAsia" w:hAnsi="宋体"/>
          <w:b/>
          <w:sz w:val="32"/>
        </w:rPr>
        <w:t>月</w:t>
      </w:r>
    </w:p>
    <w:p>
      <w:pPr>
        <w:pStyle w:val="28"/>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_Toc18206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_Toc18206 \h </w:instrText>
      </w:r>
      <w:r>
        <w:fldChar w:fldCharType="separate"/>
      </w:r>
      <w:r>
        <w:t>1</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_Toc23969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_Toc23969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_Toc13687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_Toc13687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_Toc9475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_Toc9475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_Toc21926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_Toc21926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_Toc22686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_Toc22686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_Toc6401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_Toc6401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_Toc9251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_Toc9251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_Toc25931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_Toc25931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_Toc25558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_Toc25558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_Toc9498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_Toc9498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_Toc25044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_Toc25044 \h </w:instrText>
      </w:r>
      <w:r>
        <w:fldChar w:fldCharType="separate"/>
      </w:r>
      <w:r>
        <w:t>12</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_Toc17546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_Toc17546 \h </w:instrText>
      </w:r>
      <w:r>
        <w:fldChar w:fldCharType="separate"/>
      </w:r>
      <w:r>
        <w:t>14</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_Toc17003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_Toc17003 \h </w:instrText>
      </w:r>
      <w:r>
        <w:fldChar w:fldCharType="separate"/>
      </w:r>
      <w:r>
        <w:t>16</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_Toc17583 </w:instrText>
      </w:r>
      <w:r>
        <w:rPr>
          <w:rFonts w:hint="eastAsia" w:ascii="宋体" w:hAnsi="宋体" w:cs="宋体"/>
        </w:rPr>
        <w:fldChar w:fldCharType="separate"/>
      </w:r>
      <w:r>
        <w:rPr>
          <w:rFonts w:hint="eastAsia" w:ascii="宋体" w:hAnsi="宋体" w:cs="宋体"/>
          <w:bCs w:val="0"/>
          <w:szCs w:val="32"/>
        </w:rPr>
        <w:t>第五章 竞争性采购最高限价（另册）</w:t>
      </w:r>
      <w:r>
        <w:tab/>
      </w:r>
      <w:r>
        <w:fldChar w:fldCharType="begin"/>
      </w:r>
      <w:r>
        <w:instrText xml:space="preserve"> PAGEREF _Toc17583 \h </w:instrText>
      </w:r>
      <w:r>
        <w:fldChar w:fldCharType="separate"/>
      </w:r>
      <w:r>
        <w:t>17</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_Toc16476 </w:instrText>
      </w:r>
      <w:r>
        <w:rPr>
          <w:rFonts w:hint="eastAsia" w:ascii="宋体" w:hAnsi="宋体" w:cs="宋体"/>
        </w:rPr>
        <w:fldChar w:fldCharType="separate"/>
      </w:r>
      <w:r>
        <w:rPr>
          <w:rFonts w:hint="eastAsia" w:ascii="宋体" w:hAnsi="宋体" w:cs="宋体"/>
          <w:bCs w:val="0"/>
          <w:szCs w:val="32"/>
        </w:rPr>
        <w:t>第六章 合同格式条款（另册）</w:t>
      </w:r>
      <w:r>
        <w:tab/>
      </w:r>
      <w:r>
        <w:fldChar w:fldCharType="begin"/>
      </w:r>
      <w:r>
        <w:instrText xml:space="preserve"> PAGEREF _Toc16476 \h </w:instrText>
      </w:r>
      <w:r>
        <w:fldChar w:fldCharType="separate"/>
      </w:r>
      <w:r>
        <w:t>18</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_Toc9050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_Toc9050 \h </w:instrText>
      </w:r>
      <w:r>
        <w:fldChar w:fldCharType="separate"/>
      </w:r>
      <w:r>
        <w:t>19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_Toc551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_Toc551 \h </w:instrText>
      </w:r>
      <w:r>
        <w:fldChar w:fldCharType="separate"/>
      </w:r>
      <w:r>
        <w:t>21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_Toc14488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_Toc14488 \h </w:instrText>
      </w:r>
      <w:r>
        <w:fldChar w:fldCharType="separate"/>
      </w:r>
      <w:r>
        <w:t>23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_Toc3833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_Toc3833 \h </w:instrText>
      </w:r>
      <w:r>
        <w:fldChar w:fldCharType="separate"/>
      </w:r>
      <w:r>
        <w:t>24</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_Toc11627 </w:instrText>
      </w:r>
      <w:r>
        <w:rPr>
          <w:rFonts w:hint="eastAsia" w:ascii="宋体" w:hAnsi="宋体" w:cs="宋体"/>
        </w:rPr>
        <w:fldChar w:fldCharType="separate"/>
      </w:r>
      <w:r>
        <w:rPr>
          <w:rFonts w:hint="eastAsia" w:ascii="宋体" w:hAnsi="宋体" w:cs="宋体"/>
          <w:szCs w:val="32"/>
        </w:rPr>
        <w:t>四、供应商资格证明文件</w:t>
      </w:r>
      <w:r>
        <w:tab/>
      </w:r>
      <w:r>
        <w:fldChar w:fldCharType="begin"/>
      </w:r>
      <w:r>
        <w:instrText xml:space="preserve"> PAGEREF _Toc11627 \h </w:instrText>
      </w:r>
      <w:r>
        <w:fldChar w:fldCharType="separate"/>
      </w:r>
      <w:r>
        <w:t>25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_Toc326 </w:instrText>
      </w:r>
      <w:r>
        <w:rPr>
          <w:rFonts w:hint="eastAsia" w:ascii="宋体" w:hAnsi="宋体" w:cs="宋体"/>
        </w:rPr>
        <w:fldChar w:fldCharType="separate"/>
      </w:r>
      <w:r>
        <w:rPr>
          <w:rFonts w:hint="eastAsia" w:ascii="宋体" w:hAnsi="宋体" w:cs="宋体"/>
          <w:szCs w:val="32"/>
          <w:lang w:val="en-US" w:eastAsia="zh-CN"/>
        </w:rPr>
        <w:t>五</w:t>
      </w:r>
      <w:r>
        <w:rPr>
          <w:rFonts w:hint="eastAsia" w:ascii="宋体" w:hAnsi="宋体" w:cs="宋体"/>
          <w:szCs w:val="32"/>
        </w:rPr>
        <w:t>、报价一览表</w:t>
      </w:r>
      <w:r>
        <w:tab/>
      </w:r>
      <w:r>
        <w:fldChar w:fldCharType="begin"/>
      </w:r>
      <w:r>
        <w:instrText xml:space="preserve"> PAGEREF _Toc326 \h </w:instrText>
      </w:r>
      <w:r>
        <w:fldChar w:fldCharType="separate"/>
      </w:r>
      <w:r>
        <w:t>27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_Toc31819 </w:instrText>
      </w:r>
      <w:r>
        <w:rPr>
          <w:rFonts w:hint="eastAsia" w:ascii="宋体" w:hAnsi="宋体" w:cs="宋体"/>
        </w:rPr>
        <w:fldChar w:fldCharType="separate"/>
      </w:r>
      <w:r>
        <w:rPr>
          <w:rFonts w:hint="eastAsia" w:ascii="宋体" w:hAnsi="宋体" w:cs="宋体"/>
          <w:szCs w:val="32"/>
          <w:highlight w:val="none"/>
          <w:lang w:val="en-US" w:eastAsia="zh-CN"/>
        </w:rPr>
        <w:t>六、</w:t>
      </w:r>
      <w:r>
        <w:rPr>
          <w:rFonts w:hint="eastAsia" w:ascii="宋体" w:hAnsi="宋体" w:cs="宋体"/>
          <w:szCs w:val="32"/>
          <w:highlight w:val="none"/>
        </w:rPr>
        <w:t>分项</w:t>
      </w:r>
      <w:r>
        <w:rPr>
          <w:rFonts w:hint="eastAsia" w:ascii="宋体" w:hAnsi="宋体" w:cs="宋体"/>
          <w:szCs w:val="32"/>
          <w:highlight w:val="none"/>
          <w:lang w:eastAsia="zh-CN"/>
        </w:rPr>
        <w:t>报价表</w:t>
      </w:r>
      <w:r>
        <w:tab/>
      </w:r>
      <w:r>
        <w:fldChar w:fldCharType="begin"/>
      </w:r>
      <w:r>
        <w:instrText xml:space="preserve"> PAGEREF _Toc31819 \h </w:instrText>
      </w:r>
      <w:r>
        <w:fldChar w:fldCharType="separate"/>
      </w:r>
      <w:r>
        <w:t>28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_Toc23274 </w:instrText>
      </w:r>
      <w:r>
        <w:rPr>
          <w:rFonts w:hint="eastAsia" w:ascii="宋体" w:hAnsi="宋体" w:cs="宋体"/>
        </w:rPr>
        <w:fldChar w:fldCharType="separate"/>
      </w:r>
      <w:r>
        <w:rPr>
          <w:rFonts w:hint="eastAsia" w:ascii="宋体" w:hAnsi="宋体" w:cs="宋体"/>
          <w:szCs w:val="32"/>
          <w:lang w:val="en-US" w:eastAsia="zh-CN"/>
        </w:rPr>
        <w:t>七</w:t>
      </w:r>
      <w:r>
        <w:rPr>
          <w:rFonts w:hint="eastAsia" w:ascii="宋体" w:hAnsi="宋体" w:cs="宋体"/>
          <w:szCs w:val="32"/>
        </w:rPr>
        <w:t>、其他资料（如有）</w:t>
      </w:r>
      <w:r>
        <w:tab/>
      </w:r>
      <w:r>
        <w:fldChar w:fldCharType="begin"/>
      </w:r>
      <w:r>
        <w:instrText xml:space="preserve"> PAGEREF _Toc23274 \h </w:instrText>
      </w:r>
      <w:r>
        <w:fldChar w:fldCharType="separate"/>
      </w:r>
      <w:r>
        <w:t>29</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5016"/>
      <w:bookmarkStart w:id="2" w:name="_Toc29614"/>
    </w:p>
    <w:p>
      <w:pPr>
        <w:pStyle w:val="6"/>
        <w:keepNext w:val="0"/>
        <w:spacing w:line="360" w:lineRule="auto"/>
        <w:rPr>
          <w:rFonts w:hint="eastAsia" w:ascii="宋体" w:hAnsi="宋体" w:eastAsia="宋体" w:cs="宋体"/>
          <w:sz w:val="32"/>
          <w:szCs w:val="32"/>
        </w:rPr>
      </w:pPr>
      <w:bookmarkStart w:id="3" w:name="_Toc13376"/>
      <w:bookmarkStart w:id="4" w:name="_Toc18206"/>
      <w:bookmarkStart w:id="5" w:name="_Toc3621"/>
      <w:r>
        <w:rPr>
          <w:rFonts w:hint="eastAsia" w:ascii="宋体" w:hAnsi="宋体" w:eastAsia="宋体" w:cs="宋体"/>
          <w:sz w:val="32"/>
          <w:szCs w:val="32"/>
        </w:rPr>
        <w:t>第一章  竞争性采购公告</w:t>
      </w:r>
      <w:bookmarkEnd w:id="0"/>
      <w:bookmarkEnd w:id="1"/>
      <w:bookmarkEnd w:id="2"/>
      <w:bookmarkEnd w:id="3"/>
      <w:bookmarkEnd w:id="4"/>
      <w:bookmarkEnd w:id="5"/>
    </w:p>
    <w:p>
      <w:pPr>
        <w:spacing w:line="360" w:lineRule="auto"/>
      </w:pPr>
    </w:p>
    <w:p>
      <w:pPr>
        <w:pStyle w:val="28"/>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7"/>
          <w:rFonts w:hint="eastAsia"/>
          <w:color w:val="auto"/>
          <w:kern w:val="0"/>
          <w:u w:val="none"/>
          <w:shd w:val="clear" w:color="auto" w:fill="FFFFFF"/>
        </w:rPr>
        <w:t>对</w:t>
      </w:r>
      <w:r>
        <w:rPr>
          <w:rFonts w:hint="eastAsia" w:hAnsi="宋体" w:cs="宋体"/>
          <w:u w:val="single"/>
        </w:rPr>
        <w:t>长沙市轨道交通1（含北延线）、2、3、4、5号线、西环线运营期2023年</w:t>
      </w:r>
      <w:r>
        <w:rPr>
          <w:rFonts w:hint="eastAsia" w:hAnsi="宋体" w:cs="宋体"/>
          <w:u w:val="single"/>
          <w:lang w:eastAsia="zh-CN"/>
        </w:rPr>
        <w:t>—</w:t>
      </w:r>
      <w:r>
        <w:rPr>
          <w:rFonts w:hint="eastAsia" w:hAnsi="宋体" w:cs="宋体"/>
          <w:u w:val="single"/>
        </w:rPr>
        <w:t>2025年公共场所卫生检测服务项目</w:t>
      </w:r>
      <w:r>
        <w:rPr>
          <w:rFonts w:hint="eastAsia" w:hAnsi="宋体" w:cs="宋体"/>
          <w:u w:val="single"/>
          <w:lang w:eastAsia="zh-CN"/>
        </w:rPr>
        <w:t>（</w:t>
      </w:r>
      <w:r>
        <w:rPr>
          <w:rFonts w:hint="eastAsia" w:hAnsi="宋体" w:cs="宋体"/>
          <w:u w:val="single"/>
          <w:lang w:val="en-US" w:eastAsia="zh-CN"/>
        </w:rPr>
        <w:t>第二次</w:t>
      </w:r>
      <w:r>
        <w:rPr>
          <w:rFonts w:hint="eastAsia" w:hAnsi="宋体" w:cs="宋体"/>
          <w:u w:val="single"/>
          <w:lang w:eastAsia="zh-CN"/>
        </w:rPr>
        <w:t>）</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eastAsia" w:ascii="宋体" w:hAnsi="宋体" w:cs="宋体"/>
        </w:rPr>
        <w:t>长沙市轨道交通1（含北延线）、2、3、4、5号线、西环线运营期2023年-2025</w:t>
      </w:r>
      <w:r>
        <w:rPr>
          <w:rFonts w:hint="eastAsia" w:ascii="宋体" w:hAnsi="宋体" w:cs="宋体"/>
          <w:lang w:val="en-US" w:eastAsia="zh-CN"/>
        </w:rPr>
        <w:t xml:space="preserve">  </w:t>
      </w:r>
      <w:r>
        <w:rPr>
          <w:rFonts w:hint="eastAsia" w:ascii="宋体" w:hAnsi="宋体" w:cs="宋体"/>
        </w:rPr>
        <w:t>年公共场所卫生检测服务项目</w:t>
      </w:r>
      <w:r>
        <w:rPr>
          <w:rFonts w:hint="eastAsia" w:ascii="宋体" w:hAnsi="宋体" w:cs="宋体"/>
          <w:bCs/>
          <w:color w:val="auto"/>
          <w:sz w:val="21"/>
          <w:szCs w:val="21"/>
          <w:highlight w:val="none"/>
          <w:lang w:val="en-US" w:eastAsia="zh-CN"/>
        </w:rPr>
        <w:t>（第二次）</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p>
      <w:pPr>
        <w:numPr>
          <w:ilvl w:val="0"/>
          <w:numId w:val="7"/>
        </w:numPr>
        <w:spacing w:line="360" w:lineRule="auto"/>
        <w:ind w:firstLine="420" w:firstLineChars="200"/>
        <w:rPr>
          <w:rStyle w:val="57"/>
          <w:color w:val="auto"/>
          <w:kern w:val="0"/>
          <w:u w:val="none"/>
          <w:shd w:val="clear" w:color="auto" w:fill="FFFFFF"/>
        </w:rPr>
      </w:pPr>
      <w:r>
        <w:rPr>
          <w:rFonts w:hint="eastAsia" w:ascii="宋体" w:hAnsi="宋体" w:cs="宋体"/>
        </w:rPr>
        <w:t>最高限价：</w:t>
      </w:r>
      <w:r>
        <w:rPr>
          <w:rStyle w:val="57"/>
          <w:rFonts w:hint="default" w:ascii="Times New Roman" w:hAnsi="Times New Roman" w:eastAsia="宋体" w:cs="Times New Roman"/>
          <w:color w:val="auto"/>
          <w:kern w:val="0"/>
          <w:u w:val="none"/>
          <w:shd w:val="clear" w:color="auto" w:fill="FFFFFF"/>
          <w:lang w:val="en-US" w:eastAsia="zh-CN"/>
        </w:rPr>
        <w:t>504562.75</w:t>
      </w:r>
      <w:r>
        <w:rPr>
          <w:rStyle w:val="57"/>
          <w:rFonts w:hint="eastAsia" w:ascii="Times New Roman" w:hAnsi="Times New Roman" w:eastAsia="宋体" w:cs="Times New Roman"/>
          <w:color w:val="auto"/>
          <w:kern w:val="0"/>
          <w:u w:val="none"/>
          <w:shd w:val="clear" w:color="auto" w:fill="FFFFFF"/>
        </w:rPr>
        <w:t>元</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 1 个标段</w:t>
      </w:r>
    </w:p>
    <w:p>
      <w:pPr>
        <w:numPr>
          <w:ilvl w:val="0"/>
          <w:numId w:val="7"/>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rPr>
        <w:t>服务期限：</w:t>
      </w:r>
      <w:r>
        <w:rPr>
          <w:rStyle w:val="57"/>
          <w:rFonts w:hint="eastAsia" w:ascii="Times New Roman" w:hAnsi="Times New Roman" w:eastAsia="宋体" w:cs="Times New Roman"/>
          <w:color w:val="auto"/>
          <w:kern w:val="0"/>
          <w:u w:val="none"/>
          <w:shd w:val="clear" w:color="auto" w:fill="FFFFFF"/>
          <w:lang w:val="en-US" w:eastAsia="zh-CN"/>
        </w:rPr>
        <w:t>本项目服务期限暂定为2023年10月1日至2025年12月31日，总计27个月（实际服务时间以采购人发出的进场通知起算，总计27个月）。（具体详见用户需求书）</w:t>
      </w:r>
    </w:p>
    <w:p>
      <w:pPr>
        <w:numPr>
          <w:ilvl w:val="0"/>
          <w:numId w:val="7"/>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rPr>
        <w:t>采购范围：</w:t>
      </w:r>
      <w:r>
        <w:rPr>
          <w:rStyle w:val="57"/>
          <w:rFonts w:hint="eastAsia" w:ascii="Times New Roman" w:hAnsi="Times New Roman" w:eastAsia="宋体" w:cs="Times New Roman"/>
          <w:color w:val="auto"/>
          <w:kern w:val="0"/>
          <w:u w:val="none"/>
          <w:shd w:val="clear" w:color="auto" w:fill="FFFFFF"/>
          <w:lang w:val="en-US" w:eastAsia="zh-CN"/>
        </w:rPr>
        <w:t>本项目主要为长沙市轨道交通1（含北延线）、2、3、4、5号线、西环线车站站厅、站台提供集中空调通风系统和空气卫生检测服务，并</w:t>
      </w:r>
      <w:r>
        <w:rPr>
          <w:rStyle w:val="57"/>
          <w:rFonts w:hint="default" w:ascii="Times New Roman" w:hAnsi="Times New Roman" w:eastAsia="宋体" w:cs="Times New Roman"/>
          <w:color w:val="auto"/>
          <w:kern w:val="0"/>
          <w:u w:val="none"/>
          <w:shd w:val="clear" w:color="auto" w:fill="FFFFFF"/>
          <w:lang w:val="en-US" w:eastAsia="zh-CN"/>
        </w:rPr>
        <w:t>出具检测报告</w:t>
      </w:r>
      <w:r>
        <w:rPr>
          <w:rStyle w:val="57"/>
          <w:rFonts w:hint="eastAsia" w:ascii="Times New Roman" w:hAnsi="Times New Roman" w:eastAsia="宋体" w:cs="Times New Roman"/>
          <w:color w:val="auto"/>
          <w:kern w:val="0"/>
          <w:u w:val="none"/>
          <w:shd w:val="clear" w:color="auto" w:fill="FFFFFF"/>
          <w:lang w:val="en-US" w:eastAsia="zh-CN"/>
        </w:rPr>
        <w:t>。</w:t>
      </w:r>
      <w:r>
        <w:rPr>
          <w:rStyle w:val="57"/>
          <w:rFonts w:hint="eastAsia" w:ascii="Times New Roman" w:hAnsi="Times New Roman" w:eastAsia="宋体" w:cs="Times New Roman"/>
          <w:color w:val="auto"/>
          <w:kern w:val="0"/>
          <w:u w:val="none"/>
          <w:shd w:val="clear" w:color="auto" w:fill="FFFFFF"/>
        </w:rPr>
        <w:t>（具体详见用户需求书）</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供应商须为具有独立法人资格、自主经营、独立核算的企业/事业单位，且营业执照/事业单位法人证书处于有效期内。</w:t>
      </w:r>
    </w:p>
    <w:p>
      <w:pPr>
        <w:numPr>
          <w:ilvl w:val="0"/>
          <w:numId w:val="8"/>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 xml:space="preserve">供应商须具有质量技术监督部门颁发的CMA计量认证证书（CMA认证范围须涵盖本项目所有的检测内容），资质证书处于有效期内。 </w:t>
      </w:r>
    </w:p>
    <w:p>
      <w:pPr>
        <w:numPr>
          <w:ilvl w:val="0"/>
          <w:numId w:val="8"/>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供应商须具有一项入围业绩，入围业绩是指在本项目报价截止之日前36个月内须具有公共区域卫生检测项目业绩。</w:t>
      </w:r>
      <w:r>
        <w:rPr>
          <w:rStyle w:val="57"/>
          <w:rFonts w:hint="default" w:ascii="Times New Roman" w:hAnsi="Times New Roman" w:eastAsia="宋体" w:cs="Times New Roman"/>
          <w:color w:val="auto"/>
          <w:kern w:val="0"/>
          <w:u w:val="none"/>
          <w:shd w:val="clear" w:color="auto" w:fill="FFFFFF"/>
          <w:lang w:val="en-US" w:eastAsia="zh-CN"/>
        </w:rPr>
        <w:t>不接受联合体业绩、港澳台或境外业绩。</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本次采购不接受联合体。</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被长沙市轨道交通集团有限公司或长沙市轨道交通运营有限公司函告禁止在一定期限内参与投标的单位按函告内容执行。</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8</w:t>
      </w:r>
      <w:r>
        <w:rPr>
          <w:rStyle w:val="57"/>
          <w:rFonts w:hint="eastAsia" w:ascii="Times New Roman" w:hAnsi="Times New Roman" w:cs="Times New Roman"/>
          <w:color w:val="auto"/>
          <w:sz w:val="21"/>
          <w:u w:val="none"/>
          <w:shd w:val="clear" w:color="auto" w:fill="FFFFFF"/>
        </w:rPr>
        <w:t>月</w:t>
      </w:r>
      <w:r>
        <w:rPr>
          <w:rStyle w:val="57"/>
          <w:rFonts w:hint="eastAsia" w:ascii="Times New Roman" w:hAnsi="Times New Roman" w:cs="Times New Roman"/>
          <w:color w:val="auto"/>
          <w:sz w:val="21"/>
          <w:u w:val="none"/>
          <w:shd w:val="clear" w:color="auto" w:fill="FFFFFF"/>
          <w:lang w:val="en-US" w:eastAsia="zh-CN"/>
        </w:rPr>
        <w:t>14</w:t>
      </w:r>
      <w:r>
        <w:rPr>
          <w:rStyle w:val="57"/>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壹万</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10</w:t>
      </w:r>
      <w:r>
        <w:rPr>
          <w:color w:val="auto"/>
          <w:sz w:val="21"/>
          <w:szCs w:val="21"/>
          <w:u w:val="single"/>
          <w:shd w:val="clear" w:color="auto" w:fill="FFFFFF"/>
          <w:lang w:bidi="ar"/>
        </w:rPr>
        <w:t>000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8月21日</w:t>
      </w:r>
      <w:r>
        <w:rPr>
          <w:rStyle w:val="57"/>
          <w:rFonts w:hint="eastAsia" w:ascii="Times New Roman" w:hAnsi="Times New Roman" w:cs="Times New Roman"/>
          <w:color w:val="auto"/>
          <w:sz w:val="21"/>
          <w:u w:val="none"/>
          <w:shd w:val="clear" w:color="auto" w:fill="FFFFFF"/>
        </w:rPr>
        <w:t>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8月21日</w:t>
      </w:r>
      <w:r>
        <w:rPr>
          <w:rStyle w:val="57"/>
          <w:rFonts w:hint="eastAsia" w:ascii="Times New Roman" w:hAnsi="Times New Roman" w:cs="Times New Roman"/>
          <w:color w:val="auto"/>
          <w:sz w:val="21"/>
          <w:u w:val="none"/>
          <w:shd w:val="clear" w:color="auto" w:fill="FFFFFF"/>
        </w:rPr>
        <w:t>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4"/>
        <w:widowControl w:val="0"/>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4"/>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长沙市轨道交通运营有限公司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长沙市轨道交通三号线建设发展有限公司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长沙市轨道交通四号线建设发展有限公司</w:t>
      </w:r>
    </w:p>
    <w:p>
      <w:pPr>
        <w:pStyle w:val="44"/>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长沙市轨道交通五号线建设发展有限公司</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4"/>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bookmarkStart w:id="6" w:name="_Toc10483"/>
      <w:bookmarkStart w:id="7" w:name="_Toc6753"/>
      <w:bookmarkStart w:id="8" w:name="_Toc8914"/>
      <w:bookmarkStart w:id="9" w:name="_Toc5145"/>
      <w:bookmarkStart w:id="10" w:name="_Toc14891065"/>
      <w:bookmarkStart w:id="11" w:name="_Toc23969"/>
      <w:r>
        <w:rPr>
          <w:rFonts w:hint="eastAsia"/>
          <w:sz w:val="21"/>
          <w:szCs w:val="21"/>
        </w:rPr>
        <w:t>2023年</w:t>
      </w:r>
      <w:r>
        <w:rPr>
          <w:rFonts w:hint="eastAsia"/>
          <w:sz w:val="21"/>
          <w:szCs w:val="21"/>
          <w:lang w:val="en-US" w:eastAsia="zh-CN"/>
        </w:rPr>
        <w:t>8月7</w:t>
      </w:r>
      <w:r>
        <w:rPr>
          <w:rFonts w:hint="eastAsia"/>
          <w:sz w:val="21"/>
          <w:szCs w:val="21"/>
        </w:rPr>
        <w:t>日</w:t>
      </w:r>
    </w:p>
    <w:p>
      <w:pPr>
        <w:pStyle w:val="6"/>
        <w:keepNext w:val="0"/>
        <w:spacing w:after="240"/>
        <w:rPr>
          <w:rFonts w:ascii="黑体" w:hAnsi="黑体" w:eastAsia="黑体"/>
          <w:bCs w:val="0"/>
          <w:sz w:val="32"/>
          <w:szCs w:val="32"/>
        </w:rPr>
      </w:pPr>
      <w:r>
        <w:rPr>
          <w:rFonts w:hint="eastAsia" w:ascii="宋体" w:hAnsi="宋体" w:cs="宋体"/>
          <w:bCs w:val="0"/>
          <w:sz w:val="32"/>
          <w:szCs w:val="32"/>
        </w:rPr>
        <w:t>第二章  竞争性采购须知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5430"/>
      <w:bookmarkStart w:id="13" w:name="_Toc13687"/>
      <w:bookmarkStart w:id="14" w:name="_Toc6617"/>
      <w:bookmarkStart w:id="15" w:name="_Toc28089"/>
      <w:bookmarkStart w:id="16" w:name="_Toc9591"/>
      <w:bookmarkStart w:id="17" w:name="_Toc14891066"/>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lang w:eastAsia="zh-CN"/>
              </w:rPr>
            </w:pPr>
            <w:r>
              <w:rPr>
                <w:rFonts w:hint="eastAsia" w:ascii="宋体" w:hAnsi="宋体" w:eastAsia="宋体" w:cs="宋体"/>
                <w:color w:val="000000"/>
              </w:rPr>
              <w:t>长沙市轨道交通1（含北延线）、2、3、4、5号线、西环线运营期2023年</w:t>
            </w:r>
            <w:r>
              <w:rPr>
                <w:rFonts w:hint="eastAsia" w:ascii="宋体" w:hAnsi="宋体" w:eastAsia="宋体" w:cs="宋体"/>
                <w:color w:val="000000"/>
                <w:lang w:eastAsia="zh-CN"/>
              </w:rPr>
              <w:t>—</w:t>
            </w:r>
            <w:r>
              <w:rPr>
                <w:rFonts w:hint="eastAsia" w:ascii="宋体" w:hAnsi="宋体" w:eastAsia="宋体" w:cs="宋体"/>
                <w:color w:val="000000"/>
              </w:rPr>
              <w:t>2025年公共场所卫生检测服务项目</w:t>
            </w:r>
            <w:r>
              <w:rPr>
                <w:rFonts w:hint="eastAsia" w:ascii="宋体" w:hAnsi="宋体" w:cs="宋体"/>
                <w:color w:val="000000"/>
                <w:lang w:eastAsia="zh-CN"/>
              </w:rPr>
              <w:t>（</w:t>
            </w:r>
            <w:r>
              <w:rPr>
                <w:rFonts w:hint="eastAsia" w:ascii="宋体" w:hAnsi="宋体" w:cs="宋体"/>
                <w:color w:val="000000"/>
                <w:lang w:val="en-US" w:eastAsia="zh-CN"/>
              </w:rPr>
              <w:t>第二次</w:t>
            </w:r>
            <w:r>
              <w:rPr>
                <w:rFonts w:hint="eastAsia" w:ascii="宋体" w:hAnsi="宋体" w:cs="宋体"/>
                <w:color w:val="00000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长沙市轨道交通运营有限公司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长沙市轨道交通三号线建设发展有限公司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长沙市轨道交通四号线建设发展有限公司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adjustRightInd w:val="0"/>
              <w:snapToGrid w:val="0"/>
              <w:jc w:val="left"/>
              <w:rPr>
                <w:rFonts w:ascii="宋体" w:hAnsi="宋体" w:cs="宋体"/>
                <w:iCs/>
                <w:color w:val="FF0000"/>
                <w:szCs w:val="21"/>
              </w:rPr>
            </w:pPr>
            <w:r>
              <w:rPr>
                <w:rFonts w:hint="default" w:ascii="宋体" w:hAnsi="宋体" w:eastAsia="宋体" w:cs="宋体"/>
                <w:szCs w:val="21"/>
                <w:lang w:val="en-US" w:eastAsia="zh-CN"/>
              </w:rPr>
              <w:t>504562.75</w:t>
            </w:r>
            <w:r>
              <w:rPr>
                <w:rFonts w:hint="eastAsia" w:ascii="宋体" w:hAnsi="宋体" w:eastAsia="宋体" w:cs="宋体"/>
                <w:szCs w:val="21"/>
              </w:rPr>
              <w:t>元，</w:t>
            </w:r>
            <w:r>
              <w:rPr>
                <w:rFonts w:hint="eastAsia" w:ascii="宋体" w:hAnsi="宋体" w:cs="宋体"/>
                <w:szCs w:val="21"/>
              </w:rPr>
              <w:t>不超过最高限价的竞争性采购总报价为有效报价。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numPr>
                <w:ilvl w:val="0"/>
                <w:numId w:val="0"/>
              </w:numPr>
              <w:spacing w:line="360" w:lineRule="auto"/>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1.供应商须为具有独立法人资格、自主经营、独立核算的企业/事业单位，且营业执照/事业单位法人证书处于有效期内。</w:t>
            </w:r>
          </w:p>
          <w:p>
            <w:pPr>
              <w:numPr>
                <w:ilvl w:val="0"/>
                <w:numId w:val="0"/>
              </w:numPr>
              <w:spacing w:line="360" w:lineRule="auto"/>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 xml:space="preserve">2.供应商须具有质量技术监督部门颁发的CMA计量认证证书（CMA认证范围须涵盖本项目所有的检测内容），资质证书处于有效期内。 </w:t>
            </w:r>
          </w:p>
          <w:p>
            <w:pPr>
              <w:numPr>
                <w:ilvl w:val="0"/>
                <w:numId w:val="0"/>
              </w:numPr>
              <w:spacing w:line="360" w:lineRule="auto"/>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3.供应商须具有一项入围业绩，入围业绩是指在本项目报价截止之日前36个月内须具有公共区域卫生检测项目业绩。</w:t>
            </w:r>
            <w:r>
              <w:rPr>
                <w:rStyle w:val="57"/>
                <w:rFonts w:hint="default" w:ascii="Times New Roman" w:hAnsi="Times New Roman" w:eastAsia="宋体" w:cs="Times New Roman"/>
                <w:color w:val="auto"/>
                <w:kern w:val="0"/>
                <w:u w:val="none"/>
                <w:shd w:val="clear" w:color="auto" w:fill="FFFFFF"/>
                <w:lang w:val="en-US" w:eastAsia="zh-CN"/>
              </w:rPr>
              <w:t>不接受联合体业绩、港澳台或境外业绩。</w:t>
            </w:r>
          </w:p>
          <w:p>
            <w:pPr>
              <w:numPr>
                <w:ilvl w:val="0"/>
                <w:numId w:val="0"/>
              </w:numPr>
              <w:spacing w:line="360" w:lineRule="auto"/>
              <w:rPr>
                <w:rStyle w:val="57"/>
                <w:color w:val="auto"/>
                <w:kern w:val="0"/>
                <w:u w:val="none"/>
                <w:shd w:val="clear" w:color="auto" w:fill="FFFFFF"/>
              </w:rPr>
            </w:pPr>
            <w:r>
              <w:rPr>
                <w:rStyle w:val="57"/>
                <w:rFonts w:hint="eastAsia"/>
                <w:color w:val="auto"/>
                <w:kern w:val="0"/>
                <w:u w:val="none"/>
                <w:shd w:val="clear" w:color="auto" w:fill="FFFFFF"/>
                <w:lang w:val="en-US" w:eastAsia="zh-CN"/>
              </w:rPr>
              <w:t>4.</w:t>
            </w:r>
            <w:r>
              <w:rPr>
                <w:rStyle w:val="57"/>
                <w:rFonts w:hint="eastAsia"/>
                <w:color w:val="auto"/>
                <w:kern w:val="0"/>
                <w:u w:val="none"/>
                <w:shd w:val="clear" w:color="auto" w:fill="FFFFFF"/>
              </w:rPr>
              <w:t>本次采购不接受联合体。</w:t>
            </w:r>
          </w:p>
          <w:p>
            <w:pPr>
              <w:numPr>
                <w:ilvl w:val="0"/>
                <w:numId w:val="0"/>
              </w:numPr>
              <w:spacing w:line="360" w:lineRule="auto"/>
              <w:rPr>
                <w:rFonts w:ascii="宋体" w:hAnsi="宋体" w:cs="宋体"/>
                <w:color w:val="000000"/>
                <w:szCs w:val="21"/>
              </w:rPr>
            </w:pPr>
            <w:r>
              <w:rPr>
                <w:rStyle w:val="57"/>
                <w:rFonts w:hint="eastAsia"/>
                <w:color w:val="auto"/>
                <w:kern w:val="0"/>
                <w:u w:val="none"/>
                <w:shd w:val="clear" w:color="auto" w:fill="FFFFFF"/>
                <w:lang w:val="en-US" w:eastAsia="zh-CN"/>
              </w:rPr>
              <w:t>5.</w:t>
            </w:r>
            <w:r>
              <w:rPr>
                <w:rStyle w:val="57"/>
                <w:rFonts w:hint="eastAsia"/>
                <w:color w:val="auto"/>
                <w:kern w:val="0"/>
                <w:u w:val="none"/>
                <w:shd w:val="clear" w:color="auto" w:fill="FFFFFF"/>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8"/>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8月14日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olor w:val="auto"/>
                <w:u w:val="none"/>
                <w:shd w:val="clear" w:color="auto" w:fill="FFFFFF"/>
                <w:lang w:val="en-US" w:eastAsia="zh-CN"/>
              </w:rPr>
              <w:t>8月21日</w:t>
            </w:r>
            <w:r>
              <w:rPr>
                <w:rStyle w:val="57"/>
                <w:rFonts w:hint="eastAsia"/>
                <w:color w:val="auto"/>
                <w:u w:val="none"/>
                <w:shd w:val="clear" w:color="auto" w:fill="FFFFFF"/>
              </w:rPr>
              <w:t>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lightGray"/>
              </w:rPr>
            </w:pPr>
            <w:r>
              <w:rPr>
                <w:rFonts w:hint="eastAsia" w:ascii="宋体" w:hAnsi="宋体" w:eastAsia="宋体" w:cs="宋体"/>
                <w:bCs/>
                <w:color w:val="auto"/>
                <w:sz w:val="21"/>
                <w:szCs w:val="21"/>
                <w:highlight w:val="none"/>
              </w:rPr>
              <w:t>单价合同（合同执行过程中，合同单价在合同执行过程中固定不变，不受政策、法规变化以及汇率浮动、物价指数浮动等因素的影响。）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预付款：本项目不支付预付款。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付款周期：每年度支付一次，乙方在每个付款周期内按合同规定完成履约，且收到乙方提交经甲方审批同意的支付申请及增值税专用发票等相关资料并证实完整无误后28个工作日内，由甲方向乙方支付。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3.每次支付金额为当期计量金额并综合当期考核结果后的金额。最后一个付款周期的款项需在履约验收完成后支付。</w:t>
            </w:r>
          </w:p>
          <w:p>
            <w:pPr>
              <w:adjustRightInd w:val="0"/>
              <w:snapToGrid w:val="0"/>
              <w:spacing w:line="360" w:lineRule="auto"/>
              <w:jc w:val="left"/>
              <w:rPr>
                <w:rFonts w:ascii="宋体" w:hAnsi="宋体" w:cs="宋体"/>
                <w:szCs w:val="21"/>
                <w:highlight w:val="lightGray"/>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履约验收完成付款：乙方按合同规定完成履约验收，且收到乙方提交经甲方审批同意的支付申请及增值税专用发票等相关资料并证实完整无误后28个工作日内，支付至合同价格的 100%。项目履约验收按甲方相关规定执行。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7"/>
        <w:keepNext w:val="0"/>
        <w:keepLines w:val="0"/>
        <w:jc w:val="center"/>
        <w:rPr>
          <w:rFonts w:ascii="宋体" w:hAnsi="宋体" w:cs="宋体"/>
          <w:sz w:val="32"/>
        </w:rPr>
      </w:pPr>
      <w:bookmarkStart w:id="19" w:name="_Toc26157"/>
      <w:bookmarkStart w:id="20" w:name="_Toc9475"/>
      <w:bookmarkStart w:id="21" w:name="_Toc30640"/>
      <w:bookmarkStart w:id="22" w:name="_Toc16939"/>
      <w:bookmarkStart w:id="23" w:name="_Toc31558"/>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7"/>
        <w:keepNext w:val="0"/>
        <w:keepLines w:val="0"/>
        <w:rPr>
          <w:rFonts w:ascii="宋体" w:hAnsi="宋体" w:cs="宋体"/>
          <w:sz w:val="21"/>
          <w:szCs w:val="21"/>
        </w:rPr>
      </w:pPr>
      <w:bookmarkStart w:id="25" w:name="_Toc21926"/>
      <w:bookmarkStart w:id="26" w:name="_Toc14891068"/>
      <w:bookmarkStart w:id="27" w:name="_Toc11440"/>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8"/>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8"/>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8"/>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rPr>
          <w:rFonts w:ascii="宋体" w:hAnsi="宋体" w:cs="宋体"/>
          <w:sz w:val="21"/>
          <w:szCs w:val="21"/>
        </w:rPr>
      </w:pPr>
      <w:bookmarkStart w:id="28" w:name="_Toc22686"/>
      <w:bookmarkStart w:id="29" w:name="_Toc14891069"/>
      <w:bookmarkStart w:id="30" w:name="_Toc303"/>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8"/>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8"/>
        <w:adjustRightInd w:val="0"/>
        <w:snapToGrid w:val="0"/>
        <w:spacing w:line="360" w:lineRule="auto"/>
        <w:ind w:firstLine="420" w:firstLineChars="200"/>
        <w:rPr>
          <w:rFonts w:hAnsi="宋体" w:cs="宋体"/>
        </w:rPr>
      </w:pPr>
      <w:r>
        <w:rPr>
          <w:rFonts w:hint="eastAsia" w:hAnsi="宋体" w:cs="宋体"/>
        </w:rPr>
        <w:t>第一章 竞争性采购公告</w:t>
      </w:r>
    </w:p>
    <w:p>
      <w:pPr>
        <w:pStyle w:val="28"/>
        <w:adjustRightInd w:val="0"/>
        <w:snapToGrid w:val="0"/>
        <w:spacing w:line="360" w:lineRule="auto"/>
        <w:ind w:firstLine="420" w:firstLineChars="200"/>
        <w:rPr>
          <w:rFonts w:hAnsi="宋体" w:cs="宋体"/>
        </w:rPr>
      </w:pPr>
      <w:r>
        <w:rPr>
          <w:rFonts w:hint="eastAsia" w:hAnsi="宋体" w:cs="宋体"/>
        </w:rPr>
        <w:t>第二章 竞争性采购须知</w:t>
      </w:r>
    </w:p>
    <w:p>
      <w:pPr>
        <w:pStyle w:val="28"/>
        <w:adjustRightInd w:val="0"/>
        <w:snapToGrid w:val="0"/>
        <w:spacing w:line="360" w:lineRule="auto"/>
        <w:ind w:firstLine="420" w:firstLineChars="200"/>
        <w:rPr>
          <w:rFonts w:hAnsi="宋体" w:cs="宋体"/>
        </w:rPr>
      </w:pPr>
      <w:r>
        <w:rPr>
          <w:rFonts w:hint="eastAsia" w:hAnsi="宋体" w:cs="宋体"/>
        </w:rPr>
        <w:t>第三章 评审办法及标准</w:t>
      </w:r>
    </w:p>
    <w:p>
      <w:pPr>
        <w:pStyle w:val="28"/>
        <w:adjustRightInd w:val="0"/>
        <w:snapToGrid w:val="0"/>
        <w:spacing w:line="360" w:lineRule="auto"/>
        <w:ind w:firstLine="420" w:firstLineChars="200"/>
        <w:rPr>
          <w:rFonts w:hAnsi="宋体" w:cs="宋体"/>
        </w:rPr>
      </w:pPr>
      <w:r>
        <w:rPr>
          <w:rFonts w:hint="eastAsia" w:hAnsi="宋体" w:cs="宋体"/>
        </w:rPr>
        <w:t>第四章 用户需求书（另册）</w:t>
      </w:r>
    </w:p>
    <w:p>
      <w:pPr>
        <w:pStyle w:val="28"/>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8"/>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8"/>
        <w:adjustRightInd w:val="0"/>
        <w:snapToGrid w:val="0"/>
        <w:spacing w:line="360" w:lineRule="auto"/>
        <w:ind w:firstLine="420" w:firstLineChars="200"/>
        <w:rPr>
          <w:rFonts w:hAnsi="宋体" w:cs="宋体"/>
        </w:rPr>
      </w:pPr>
      <w:r>
        <w:rPr>
          <w:rFonts w:hint="eastAsia" w:hAnsi="宋体" w:cs="宋体"/>
        </w:rPr>
        <w:t>第七章 响应文件组成</w:t>
      </w:r>
    </w:p>
    <w:p>
      <w:pPr>
        <w:pStyle w:val="28"/>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8"/>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7"/>
        <w:keepNext w:val="0"/>
        <w:keepLines w:val="0"/>
        <w:rPr>
          <w:rFonts w:ascii="宋体" w:hAnsi="宋体" w:cs="宋体"/>
          <w:sz w:val="21"/>
          <w:szCs w:val="21"/>
        </w:rPr>
      </w:pPr>
      <w:bookmarkStart w:id="31" w:name="_Toc14891070"/>
      <w:bookmarkStart w:id="32" w:name="_Toc6401"/>
      <w:bookmarkStart w:id="33" w:name="_Toc9387"/>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8"/>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8"/>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8"/>
        <w:adjustRightInd w:val="0"/>
        <w:snapToGrid w:val="0"/>
        <w:spacing w:line="360" w:lineRule="auto"/>
        <w:ind w:firstLine="420" w:firstLineChars="200"/>
        <w:rPr>
          <w:rFonts w:hAnsi="宋体" w:cs="宋体"/>
        </w:rPr>
      </w:pPr>
      <w:r>
        <w:rPr>
          <w:rFonts w:hint="eastAsia" w:hAnsi="宋体" w:cs="宋体"/>
        </w:rPr>
        <w:t>（1）竞争性采购承诺书</w:t>
      </w:r>
    </w:p>
    <w:p>
      <w:pPr>
        <w:pStyle w:val="28"/>
        <w:adjustRightInd w:val="0"/>
        <w:snapToGrid w:val="0"/>
        <w:spacing w:line="360" w:lineRule="auto"/>
        <w:ind w:firstLine="420" w:firstLineChars="200"/>
        <w:rPr>
          <w:rFonts w:hAnsi="宋体" w:cs="宋体"/>
        </w:rPr>
      </w:pPr>
      <w:r>
        <w:rPr>
          <w:rFonts w:hint="eastAsia" w:hAnsi="宋体" w:cs="宋体"/>
        </w:rPr>
        <w:t>（2）法定代表人身份证明书</w:t>
      </w:r>
    </w:p>
    <w:p>
      <w:pPr>
        <w:pStyle w:val="28"/>
        <w:adjustRightInd w:val="0"/>
        <w:snapToGrid w:val="0"/>
        <w:spacing w:line="360" w:lineRule="auto"/>
        <w:ind w:firstLine="420" w:firstLineChars="200"/>
        <w:rPr>
          <w:rFonts w:hAnsi="宋体" w:cs="宋体"/>
        </w:rPr>
      </w:pPr>
      <w:r>
        <w:rPr>
          <w:rFonts w:hint="eastAsia" w:hAnsi="宋体" w:cs="宋体"/>
        </w:rPr>
        <w:t>（3）授权委托书</w:t>
      </w:r>
    </w:p>
    <w:p>
      <w:pPr>
        <w:pStyle w:val="28"/>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8"/>
        <w:adjustRightInd w:val="0"/>
        <w:snapToGrid w:val="0"/>
        <w:spacing w:line="360" w:lineRule="auto"/>
        <w:ind w:firstLine="420" w:firstLineChars="200"/>
        <w:rPr>
          <w:rFonts w:hAnsi="宋体" w:cs="宋体"/>
        </w:rPr>
      </w:pPr>
      <w:r>
        <w:rPr>
          <w:rFonts w:hint="eastAsia" w:hAnsi="宋体" w:cs="宋体"/>
        </w:rPr>
        <w:t>（5）报价一览表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）其他资料（如有）</w:t>
      </w:r>
    </w:p>
    <w:p>
      <w:pPr>
        <w:pStyle w:val="28"/>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8"/>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12.10本项目为单价合同（合同执行过程中，合同单价在合同执行过程中固定不变，不受政策、法规变化以及汇率浮动、物价指数浮动等因素的影响。）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8"/>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8"/>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8"/>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7"/>
        <w:keepNext w:val="0"/>
        <w:keepLines w:val="0"/>
        <w:rPr>
          <w:rFonts w:ascii="宋体" w:hAnsi="宋体" w:cs="宋体"/>
          <w:sz w:val="21"/>
          <w:szCs w:val="21"/>
        </w:rPr>
      </w:pPr>
      <w:bookmarkStart w:id="35" w:name="_Toc1468"/>
      <w:bookmarkStart w:id="36" w:name="_Toc14891071"/>
      <w:bookmarkStart w:id="37" w:name="_Toc9251"/>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7"/>
        <w:keepNext w:val="0"/>
        <w:keepLines w:val="0"/>
        <w:rPr>
          <w:rFonts w:ascii="宋体" w:hAnsi="宋体" w:cs="宋体"/>
          <w:sz w:val="21"/>
          <w:szCs w:val="21"/>
        </w:rPr>
      </w:pPr>
      <w:bookmarkStart w:id="38" w:name="_Toc14891072"/>
      <w:bookmarkStart w:id="39" w:name="_Toc25931"/>
      <w:bookmarkStart w:id="40" w:name="_Toc13483"/>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rPr>
          <w:rFonts w:ascii="宋体" w:hAnsi="宋体" w:cs="宋体"/>
          <w:sz w:val="21"/>
          <w:szCs w:val="21"/>
        </w:rPr>
      </w:pPr>
      <w:bookmarkStart w:id="41" w:name="_Toc21358"/>
      <w:bookmarkStart w:id="42" w:name="_Toc14891073"/>
      <w:bookmarkStart w:id="43" w:name="_Toc25558"/>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7"/>
        <w:keepNext w:val="0"/>
        <w:keepLines w:val="0"/>
        <w:rPr>
          <w:rFonts w:ascii="宋体" w:hAnsi="宋体" w:cs="宋体"/>
          <w:sz w:val="21"/>
          <w:szCs w:val="21"/>
        </w:rPr>
      </w:pPr>
      <w:bookmarkStart w:id="44" w:name="_Toc20130"/>
      <w:bookmarkStart w:id="45" w:name="_Toc9498"/>
      <w:bookmarkStart w:id="46" w:name="_Toc14891074"/>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8"/>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8"/>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8"/>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8"/>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8"/>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8"/>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8"/>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8"/>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rPr>
          <w:rFonts w:ascii="宋体" w:hAnsi="宋体" w:cs="宋体"/>
          <w:sz w:val="21"/>
          <w:szCs w:val="21"/>
        </w:rPr>
      </w:pPr>
      <w:bookmarkStart w:id="48" w:name="_Toc25044"/>
      <w:bookmarkStart w:id="49" w:name="_Toc14891075"/>
      <w:bookmarkStart w:id="50" w:name="_Toc2045"/>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8"/>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8"/>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8"/>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6"/>
        <w:rPr>
          <w:rFonts w:ascii="宋体" w:hAnsi="宋体" w:cs="宋体"/>
          <w:szCs w:val="21"/>
        </w:rPr>
      </w:pPr>
    </w:p>
    <w:p>
      <w:pPr>
        <w:sectPr>
          <w:footerReference r:id="rId6" w:type="default"/>
          <w:pgSz w:w="11906" w:h="16838"/>
          <w:pgMar w:top="2098" w:right="1474" w:bottom="1984" w:left="1587" w:header="851" w:footer="992" w:gutter="0"/>
          <w:cols w:space="0" w:num="1"/>
          <w:docGrid w:type="lines" w:linePitch="319" w:charSpace="0"/>
        </w:sectPr>
      </w:pPr>
    </w:p>
    <w:p>
      <w:pPr>
        <w:pStyle w:val="6"/>
        <w:keepNext w:val="0"/>
        <w:spacing w:line="360" w:lineRule="auto"/>
        <w:rPr>
          <w:rFonts w:ascii="宋体" w:hAnsi="宋体" w:cs="宋体"/>
          <w:bCs w:val="0"/>
          <w:sz w:val="32"/>
          <w:szCs w:val="32"/>
        </w:rPr>
      </w:pPr>
      <w:bookmarkStart w:id="51" w:name="_Toc1719"/>
      <w:bookmarkStart w:id="52" w:name="_Toc5567"/>
      <w:bookmarkStart w:id="53" w:name="_Toc28427"/>
      <w:bookmarkStart w:id="54" w:name="_Toc17546"/>
      <w:bookmarkStart w:id="55" w:name="_Toc4275"/>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bookmarkStart w:id="119" w:name="_GoBack"/>
      <w:bookmarkEnd w:id="119"/>
      <w:r>
        <w:rPr>
          <w:rFonts w:hint="eastAsia" w:ascii="宋体" w:hAnsi="宋体"/>
          <w:b/>
          <w:bCs/>
          <w:szCs w:val="21"/>
        </w:rPr>
        <w:t>原件扫描件</w:t>
      </w:r>
      <w:r>
        <w:rPr>
          <w:rFonts w:hint="eastAsia" w:ascii="宋体" w:hAnsi="宋体"/>
          <w:b/>
          <w:szCs w:val="21"/>
        </w:rPr>
        <w:t>打印版</w:t>
      </w:r>
      <w:r>
        <w:rPr>
          <w:rFonts w:hint="eastAsia" w:ascii="宋体" w:hAnsi="宋体"/>
          <w:szCs w:val="21"/>
        </w:rPr>
        <w:t>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6"/>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17997"/>
      <w:bookmarkStart w:id="58" w:name="_Toc17562"/>
      <w:bookmarkStart w:id="59" w:name="_Toc23442"/>
      <w:bookmarkStart w:id="60" w:name="_Toc14891077"/>
      <w:bookmarkStart w:id="61" w:name="_Toc18202"/>
    </w:p>
    <w:p>
      <w:pPr>
        <w:pStyle w:val="6"/>
        <w:keepNext w:val="0"/>
        <w:spacing w:line="360" w:lineRule="auto"/>
        <w:rPr>
          <w:rFonts w:ascii="宋体" w:hAnsi="宋体" w:cs="宋体"/>
          <w:bCs w:val="0"/>
          <w:sz w:val="32"/>
          <w:szCs w:val="32"/>
        </w:rPr>
      </w:pPr>
      <w:bookmarkStart w:id="62" w:name="_Toc17003"/>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6"/>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default" w:ascii="宋体" w:hAnsi="宋体" w:eastAsia="宋体" w:cs="宋体"/>
          <w:u w:val="single"/>
          <w:lang w:val="en-US" w:eastAsia="zh-CN"/>
        </w:rPr>
        <w:t>长沙市轨道交通1（含北延线）、2、3、4、5号线、西环线运营期2023年</w:t>
      </w:r>
      <w:r>
        <w:rPr>
          <w:rFonts w:hint="eastAsia" w:ascii="宋体" w:hAnsi="宋体" w:eastAsia="宋体" w:cs="宋体"/>
          <w:u w:val="single"/>
          <w:lang w:val="en-US" w:eastAsia="zh-CN"/>
        </w:rPr>
        <w:t>—</w:t>
      </w:r>
      <w:r>
        <w:rPr>
          <w:rFonts w:hint="default" w:ascii="宋体" w:hAnsi="宋体" w:eastAsia="宋体" w:cs="宋体"/>
          <w:u w:val="single"/>
          <w:lang w:val="en-US" w:eastAsia="zh-CN"/>
        </w:rPr>
        <w:t>2025年公共场所卫生检测服务项目</w:t>
      </w:r>
      <w:r>
        <w:rPr>
          <w:rFonts w:hint="eastAsia" w:ascii="宋体" w:hAnsi="宋体" w:cs="宋体"/>
          <w:u w:val="single"/>
          <w:lang w:val="en-US" w:eastAsia="zh-CN"/>
        </w:rPr>
        <w:t>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6"/>
        <w:keepNext w:val="0"/>
        <w:numPr>
          <w:ilvl w:val="0"/>
          <w:numId w:val="16"/>
        </w:numPr>
        <w:spacing w:line="360" w:lineRule="auto"/>
        <w:rPr>
          <w:rFonts w:hint="eastAsia" w:ascii="宋体" w:hAnsi="宋体" w:cs="宋体"/>
          <w:bCs w:val="0"/>
          <w:sz w:val="32"/>
          <w:szCs w:val="32"/>
        </w:rPr>
      </w:pPr>
      <w:bookmarkStart w:id="63" w:name="_Toc31851"/>
      <w:bookmarkStart w:id="64" w:name="_Toc17441"/>
      <w:bookmarkStart w:id="65" w:name="_Toc14891078"/>
      <w:bookmarkStart w:id="66" w:name="_Toc22262"/>
      <w:bookmarkStart w:id="67" w:name="_Toc13521"/>
      <w:bookmarkStart w:id="68" w:name="_Toc19554"/>
      <w:r>
        <w:rPr>
          <w:rFonts w:hint="eastAsia" w:ascii="宋体" w:hAnsi="宋体" w:cs="宋体"/>
          <w:bCs w:val="0"/>
          <w:sz w:val="32"/>
          <w:szCs w:val="32"/>
        </w:rPr>
        <w:t xml:space="preserve"> </w:t>
      </w:r>
      <w:bookmarkStart w:id="69" w:name="_Toc17583"/>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ind w:firstLine="420" w:firstLineChars="200"/>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关于长沙市轨道交通1（含北延线）、2、3、4、</w:t>
      </w:r>
    </w:p>
    <w:p>
      <w:pPr>
        <w:spacing w:line="360" w:lineRule="auto"/>
        <w:rPr>
          <w:rFonts w:hint="eastAsia" w:ascii="Times New Roman" w:hAnsi="Times New Roman" w:eastAsia="宋体" w:cs="Times New Roman"/>
          <w:u w:val="single"/>
        </w:rPr>
      </w:pPr>
      <w:r>
        <w:rPr>
          <w:rFonts w:hint="eastAsia" w:ascii="Times New Roman" w:hAnsi="Times New Roman" w:eastAsia="宋体" w:cs="Times New Roman"/>
          <w:u w:val="single"/>
        </w:rPr>
        <w:t>5号线、西环线运营期2023年-2025年公共场所卫生检测服务项目最高限价的公示说明</w:t>
      </w:r>
    </w:p>
    <w:p>
      <w:pPr>
        <w:pStyle w:val="16"/>
        <w:spacing w:line="360" w:lineRule="auto"/>
        <w:ind w:left="0" w:leftChars="0" w:firstLine="420" w:firstLineChars="200"/>
        <w:rPr>
          <w:rFonts w:hint="default" w:ascii="宋体" w:hAnsi="宋体" w:cs="宋体"/>
          <w:lang w:val="en-US"/>
        </w:rPr>
      </w:pPr>
    </w:p>
    <w:p>
      <w:pPr>
        <w:pStyle w:val="2"/>
        <w:spacing w:after="0" w:line="360" w:lineRule="auto"/>
        <w:ind w:left="0" w:leftChars="0"/>
        <w:rPr>
          <w:highlight w:val="yellow"/>
        </w:rPr>
      </w:pPr>
    </w:p>
    <w:p>
      <w:pPr>
        <w:pStyle w:val="2"/>
        <w:spacing w:after="0" w:line="360" w:lineRule="auto"/>
        <w:ind w:left="0" w:leftChars="0"/>
      </w:pPr>
    </w:p>
    <w:p>
      <w:pPr>
        <w:pStyle w:val="2"/>
        <w:spacing w:after="0" w:line="360" w:lineRule="auto"/>
        <w:ind w:left="0" w:leftChars="0"/>
        <w:sectPr>
          <w:pgSz w:w="11906" w:h="16838"/>
          <w:pgMar w:top="2098" w:right="1474" w:bottom="1984" w:left="1587" w:header="851" w:footer="992" w:gutter="0"/>
          <w:cols w:space="0" w:num="1"/>
          <w:docGrid w:type="lines" w:linePitch="319" w:charSpace="0"/>
        </w:sectPr>
      </w:pPr>
    </w:p>
    <w:p>
      <w:pPr>
        <w:pStyle w:val="6"/>
        <w:keepNext w:val="0"/>
        <w:numPr>
          <w:ilvl w:val="0"/>
          <w:numId w:val="17"/>
        </w:numPr>
        <w:rPr>
          <w:rFonts w:hint="eastAsia" w:ascii="宋体" w:hAnsi="宋体" w:cs="宋体"/>
          <w:bCs w:val="0"/>
          <w:sz w:val="32"/>
          <w:szCs w:val="32"/>
        </w:rPr>
      </w:pPr>
      <w:r>
        <w:rPr>
          <w:rFonts w:hint="eastAsia" w:ascii="宋体" w:hAnsi="宋体" w:cs="宋体"/>
          <w:bCs w:val="0"/>
          <w:sz w:val="32"/>
          <w:szCs w:val="32"/>
        </w:rPr>
        <w:t xml:space="preserve"> </w:t>
      </w:r>
      <w:bookmarkStart w:id="70" w:name="_Toc16476"/>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6"/>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default" w:ascii="宋体" w:hAnsi="宋体" w:eastAsia="宋体" w:cs="宋体"/>
          <w:u w:val="single"/>
          <w:lang w:val="en-US" w:eastAsia="zh-CN"/>
        </w:rPr>
        <w:t>长沙市轨道交通1（含北延线）、2、3、4、5号线、西环线运营期2023年</w:t>
      </w:r>
      <w:r>
        <w:rPr>
          <w:rFonts w:hint="eastAsia" w:ascii="宋体" w:hAnsi="宋体" w:eastAsia="宋体" w:cs="宋体"/>
          <w:u w:val="single"/>
          <w:lang w:val="en-US" w:eastAsia="zh-CN"/>
        </w:rPr>
        <w:t>—</w:t>
      </w:r>
      <w:r>
        <w:rPr>
          <w:rFonts w:hint="default" w:ascii="宋体" w:hAnsi="宋体" w:eastAsia="宋体" w:cs="宋体"/>
          <w:u w:val="single"/>
          <w:lang w:val="en-US" w:eastAsia="zh-CN"/>
        </w:rPr>
        <w:t>2025年公共场所卫生检测服务项目</w:t>
      </w:r>
      <w:r>
        <w:rPr>
          <w:rFonts w:hint="eastAsia" w:ascii="宋体" w:hAnsi="宋体" w:eastAsia="宋体" w:cs="宋体"/>
          <w:u w:val="single"/>
          <w:lang w:val="en-US" w:eastAsia="zh-CN"/>
        </w:rPr>
        <w:t>合同</w:t>
      </w:r>
    </w:p>
    <w:p>
      <w:pPr>
        <w:pStyle w:val="47"/>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9050"/>
      <w:bookmarkStart w:id="72" w:name="_Toc18525"/>
      <w:bookmarkStart w:id="73" w:name="_Toc5097"/>
      <w:bookmarkStart w:id="74" w:name="_Toc132361369"/>
      <w:bookmarkStart w:id="75" w:name="_Toc29654"/>
      <w:bookmarkStart w:id="76" w:name="_Toc20891"/>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8"/>
        <w:spacing w:line="360" w:lineRule="auto"/>
        <w:rPr>
          <w:rFonts w:hAnsi="宋体"/>
          <w:b/>
          <w:bCs/>
          <w:sz w:val="32"/>
          <w:szCs w:val="32"/>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供应商名称：</w:t>
      </w:r>
      <w:r>
        <w:rPr>
          <w:rFonts w:hint="eastAsia" w:hAnsi="宋体"/>
          <w:b/>
          <w:bCs/>
          <w:sz w:val="32"/>
          <w:szCs w:val="32"/>
          <w:u w:val="single"/>
        </w:rPr>
        <w:t xml:space="preserve">      （加盖单位公章）</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六、分项价格表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32600"/>
      <w:bookmarkStart w:id="79" w:name="_Toc132361370"/>
      <w:bookmarkStart w:id="80" w:name="_Toc7657"/>
      <w:bookmarkStart w:id="81" w:name="_Toc551"/>
      <w:bookmarkStart w:id="82" w:name="_Toc14530"/>
      <w:bookmarkStart w:id="83" w:name="_Toc32569"/>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default" w:ascii="Times New Roman" w:hAnsi="Times New Roman" w:eastAsia="宋体" w:cs="Times New Roman"/>
          <w:color w:val="auto"/>
          <w:kern w:val="0"/>
          <w:shd w:val="clear" w:color="auto" w:fill="FFFFFF"/>
          <w:lang w:val="en-US" w:eastAsia="zh-CN"/>
        </w:rPr>
        <w:t>长沙市轨道交通1（含北延线）、2、3、4、5号线、西环线运营期2023年</w:t>
      </w:r>
      <w:r>
        <w:rPr>
          <w:rStyle w:val="57"/>
          <w:rFonts w:hint="eastAsia" w:ascii="Times New Roman" w:hAnsi="Times New Roman" w:eastAsia="宋体" w:cs="Times New Roman"/>
          <w:color w:val="auto"/>
          <w:kern w:val="0"/>
          <w:shd w:val="clear" w:color="auto" w:fill="FFFFFF"/>
          <w:lang w:val="en-US" w:eastAsia="zh-CN"/>
        </w:rPr>
        <w:t>—</w:t>
      </w:r>
      <w:r>
        <w:rPr>
          <w:rStyle w:val="57"/>
          <w:rFonts w:hint="default" w:ascii="Times New Roman" w:hAnsi="Times New Roman" w:eastAsia="宋体" w:cs="Times New Roman"/>
          <w:color w:val="auto"/>
          <w:kern w:val="0"/>
          <w:shd w:val="clear" w:color="auto" w:fill="FFFFFF"/>
          <w:lang w:val="en-US" w:eastAsia="zh-CN"/>
        </w:rPr>
        <w:t>2025年公共场所卫生检测服务项目</w:t>
      </w:r>
      <w:r>
        <w:rPr>
          <w:rStyle w:val="57"/>
          <w:rFonts w:hint="eastAsia" w:cs="Times New Roman"/>
          <w:color w:val="auto"/>
          <w:kern w:val="0"/>
          <w:shd w:val="clear" w:color="auto" w:fill="FFFFFF"/>
          <w:lang w:val="en-US" w:eastAsia="zh-CN"/>
        </w:rPr>
        <w:t>（第二次）</w:t>
      </w:r>
      <w:r>
        <w:rPr>
          <w:rFonts w:hint="eastAsia" w:ascii="宋体" w:hAnsi="宋体"/>
          <w:szCs w:val="21"/>
        </w:rPr>
        <w:t>的竞争性采购文件（竞争性采购项目编号：</w:t>
      </w:r>
      <w:r>
        <w:rPr>
          <w:rStyle w:val="57"/>
          <w:rFonts w:hint="eastAsia"/>
          <w:color w:val="auto"/>
          <w:kern w:val="0"/>
          <w:shd w:val="clear" w:color="auto" w:fill="FFFFFF"/>
        </w:rPr>
        <w:t>长轨运服采【2023】0</w:t>
      </w:r>
      <w:r>
        <w:rPr>
          <w:rStyle w:val="57"/>
          <w:rFonts w:hint="eastAsia"/>
          <w:color w:val="auto"/>
          <w:kern w:val="0"/>
          <w:shd w:val="clear" w:color="auto" w:fill="FFFFFF"/>
          <w:lang w:val="en-US" w:eastAsia="zh-CN"/>
        </w:rPr>
        <w:t>24</w:t>
      </w:r>
      <w:r>
        <w:rPr>
          <w:rStyle w:val="57"/>
          <w:rFonts w:hint="eastAsia"/>
          <w:color w:val="auto"/>
          <w:kern w:val="0"/>
          <w:shd w:val="clear" w:color="auto" w:fill="FFFFFF"/>
        </w:rPr>
        <w:t>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8"/>
        <w:numPr>
          <w:ilvl w:val="0"/>
          <w:numId w:val="18"/>
        </w:numPr>
        <w:adjustRightInd w:val="0"/>
        <w:snapToGrid w:val="0"/>
        <w:spacing w:line="360" w:lineRule="auto"/>
        <w:rPr>
          <w:rFonts w:hAnsi="宋体"/>
        </w:rPr>
      </w:pPr>
      <w:r>
        <w:rPr>
          <w:rFonts w:hint="eastAsia"/>
        </w:rPr>
        <w:t>参与本项目竞争性采购活动系本公司自愿行为。</w:t>
      </w:r>
    </w:p>
    <w:p>
      <w:pPr>
        <w:pStyle w:val="28"/>
        <w:numPr>
          <w:ilvl w:val="0"/>
          <w:numId w:val="18"/>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8"/>
        <w:numPr>
          <w:ilvl w:val="0"/>
          <w:numId w:val="18"/>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8"/>
        <w:numPr>
          <w:ilvl w:val="0"/>
          <w:numId w:val="18"/>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8"/>
        <w:numPr>
          <w:ilvl w:val="0"/>
          <w:numId w:val="18"/>
        </w:numPr>
        <w:adjustRightInd w:val="0"/>
        <w:snapToGrid w:val="0"/>
        <w:spacing w:line="360" w:lineRule="auto"/>
      </w:pPr>
      <w:r>
        <w:rPr>
          <w:rFonts w:hint="eastAsia"/>
        </w:rPr>
        <w:t>保证没有组织、参与围标、串标行为。</w:t>
      </w:r>
    </w:p>
    <w:p>
      <w:pPr>
        <w:pStyle w:val="28"/>
        <w:numPr>
          <w:ilvl w:val="0"/>
          <w:numId w:val="18"/>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8"/>
        <w:numPr>
          <w:ilvl w:val="0"/>
          <w:numId w:val="18"/>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8"/>
        <w:numPr>
          <w:ilvl w:val="0"/>
          <w:numId w:val="18"/>
        </w:numPr>
        <w:adjustRightInd w:val="0"/>
        <w:snapToGrid w:val="0"/>
        <w:spacing w:line="360" w:lineRule="auto"/>
      </w:pPr>
      <w:r>
        <w:rPr>
          <w:rFonts w:hint="eastAsia"/>
        </w:rPr>
        <w:t>我方承诺，若贵方需要，我方愿意提供任何与本次竞争性采购有关的数据、情况和技术资料。</w:t>
      </w:r>
    </w:p>
    <w:p>
      <w:pPr>
        <w:pStyle w:val="28"/>
        <w:numPr>
          <w:ilvl w:val="0"/>
          <w:numId w:val="18"/>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8"/>
        <w:numPr>
          <w:ilvl w:val="0"/>
          <w:numId w:val="18"/>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8"/>
        <w:numPr>
          <w:ilvl w:val="0"/>
          <w:numId w:val="18"/>
        </w:numPr>
        <w:adjustRightInd w:val="0"/>
        <w:snapToGrid w:val="0"/>
        <w:spacing w:line="360" w:lineRule="auto"/>
      </w:pPr>
      <w:r>
        <w:rPr>
          <w:rFonts w:hint="eastAsia"/>
        </w:rPr>
        <w:t>我方承诺完全响应本文件第四章“用户需求书”及第六章“合同格式条款”内的全部内容。</w:t>
      </w:r>
    </w:p>
    <w:p>
      <w:pPr>
        <w:pStyle w:val="28"/>
        <w:numPr>
          <w:ilvl w:val="0"/>
          <w:numId w:val="18"/>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30"/>
        <w:adjustRightInd w:val="0"/>
        <w:snapToGrid w:val="0"/>
        <w:spacing w:line="480" w:lineRule="auto"/>
        <w:rPr>
          <w:rFonts w:hint="eastAsia" w:ascii="宋体" w:hAnsi="宋体"/>
          <w:sz w:val="21"/>
          <w:szCs w:val="21"/>
        </w:rPr>
      </w:pPr>
    </w:p>
    <w:p>
      <w:pPr>
        <w:pStyle w:val="30"/>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84" w:name="_Toc10496"/>
      <w:bookmarkStart w:id="85" w:name="_Toc1313"/>
      <w:bookmarkStart w:id="86" w:name="_Toc31277"/>
      <w:bookmarkStart w:id="87" w:name="_Toc132361371"/>
      <w:bookmarkStart w:id="88" w:name="_Toc3026"/>
      <w:bookmarkStart w:id="89" w:name="_Toc14488"/>
      <w:r>
        <w:rPr>
          <w:rFonts w:hint="eastAsia" w:ascii="宋体" w:hAnsi="宋体" w:cs="宋体"/>
          <w:b/>
          <w:sz w:val="32"/>
          <w:szCs w:val="32"/>
        </w:rPr>
        <w:t>二、法定代表人身份证明书</w:t>
      </w:r>
      <w:bookmarkEnd w:id="84"/>
      <w:bookmarkEnd w:id="85"/>
      <w:bookmarkEnd w:id="86"/>
      <w:bookmarkEnd w:id="87"/>
      <w:bookmarkEnd w:id="88"/>
      <w:bookmarkEnd w:id="89"/>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供应商</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90" w:name="_Toc14170"/>
      <w:bookmarkStart w:id="91" w:name="_Toc761"/>
      <w:bookmarkStart w:id="92" w:name="_Toc132361372"/>
      <w:bookmarkStart w:id="93" w:name="_Toc21066"/>
      <w:bookmarkStart w:id="94" w:name="_Toc27642"/>
      <w:bookmarkStart w:id="95" w:name="_Toc3833"/>
      <w:r>
        <w:rPr>
          <w:rFonts w:hint="eastAsia" w:ascii="宋体" w:hAnsi="宋体" w:cs="宋体"/>
          <w:b/>
          <w:sz w:val="32"/>
          <w:szCs w:val="32"/>
        </w:rPr>
        <w:t>三、授权委托书</w:t>
      </w:r>
      <w:bookmarkEnd w:id="90"/>
      <w:bookmarkEnd w:id="91"/>
      <w:bookmarkEnd w:id="92"/>
      <w:bookmarkEnd w:id="93"/>
      <w:bookmarkEnd w:id="94"/>
      <w:bookmarkEnd w:id="95"/>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供应商</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响应文件及与本竞争性采购项目的有关事宜，其法律后果由我方承担。</w:t>
      </w:r>
    </w:p>
    <w:p>
      <w:pPr>
        <w:spacing w:line="360" w:lineRule="auto"/>
        <w:ind w:firstLine="420" w:firstLineChars="200"/>
        <w:rPr>
          <w:rFonts w:ascii="宋体" w:hAnsi="宋体" w:cs="宋体"/>
          <w:kern w:val="0"/>
          <w:szCs w:val="21"/>
        </w:rPr>
      </w:pPr>
    </w:p>
    <w:p>
      <w:pPr>
        <w:pStyle w:val="16"/>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2"/>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2336;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6192;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6"/>
        <w:ind w:left="0" w:leftChars="0"/>
      </w:pPr>
    </w:p>
    <w:p>
      <w:pPr>
        <w:adjustRightInd w:val="0"/>
        <w:snapToGrid w:val="0"/>
        <w:spacing w:line="360" w:lineRule="auto"/>
        <w:ind w:right="420"/>
        <w:rPr>
          <w:rFonts w:hint="default" w:ascii="宋体" w:hAnsi="宋体" w:eastAsia="宋体"/>
          <w:szCs w:val="21"/>
          <w:lang w:val="en-US" w:eastAsia="zh-CN"/>
        </w:rPr>
      </w:pPr>
      <w:r>
        <w:rPr>
          <w:rFonts w:hint="eastAsia" w:ascii="宋体" w:hAnsi="宋体"/>
          <w:szCs w:val="21"/>
        </w:rPr>
        <w:t>供应商名称（盖单位章）：</w:t>
      </w:r>
      <w:r>
        <w:rPr>
          <w:rFonts w:hint="eastAsia" w:ascii="宋体" w:hAnsi="宋体" w:cs="宋体"/>
          <w:u w:val="single"/>
        </w:rPr>
        <w:t xml:space="preserve">                    </w:t>
      </w:r>
      <w:r>
        <w:rPr>
          <w:rFonts w:hint="eastAsia" w:ascii="宋体" w:hAnsi="宋体" w:cs="宋体"/>
          <w:u w:val="single"/>
          <w:lang w:val="en-US" w:eastAsia="zh-CN"/>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96" w:name="_Toc8191"/>
      <w:bookmarkStart w:id="97" w:name="_Toc11627"/>
      <w:bookmarkStart w:id="98" w:name="_Toc11357"/>
      <w:bookmarkStart w:id="99" w:name="_Toc18944"/>
      <w:bookmarkStart w:id="100" w:name="_Toc132361373"/>
      <w:bookmarkStart w:id="101" w:name="_Toc2295"/>
      <w:r>
        <w:rPr>
          <w:rFonts w:hint="eastAsia" w:ascii="宋体" w:hAnsi="宋体" w:cs="宋体"/>
          <w:b/>
          <w:sz w:val="32"/>
          <w:szCs w:val="32"/>
        </w:rPr>
        <w:t>四、供应商资格证明文件</w:t>
      </w:r>
      <w:bookmarkEnd w:id="96"/>
      <w:bookmarkEnd w:id="97"/>
      <w:bookmarkEnd w:id="98"/>
      <w:bookmarkEnd w:id="99"/>
      <w:bookmarkEnd w:id="100"/>
      <w:bookmarkEnd w:id="101"/>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numPr>
          <w:ilvl w:val="0"/>
          <w:numId w:val="19"/>
        </w:numPr>
        <w:spacing w:line="360" w:lineRule="auto"/>
        <w:ind w:firstLine="420" w:firstLineChars="200"/>
        <w:rPr>
          <w:rFonts w:ascii="宋体" w:hAnsi="宋体" w:cs="宋体"/>
          <w:color w:val="000000"/>
        </w:rPr>
      </w:pPr>
      <w:r>
        <w:rPr>
          <w:rFonts w:hint="eastAsia" w:ascii="宋体" w:hAnsi="宋体" w:cs="宋体"/>
          <w:color w:val="000000"/>
        </w:rPr>
        <w:t>须提供营业执照/事业单位法人证书，且在有效期内。</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须提供</w:t>
      </w:r>
      <w:r>
        <w:rPr>
          <w:rFonts w:hint="eastAsia" w:ascii="宋体" w:hAnsi="宋体" w:eastAsia="宋体" w:cs="宋体"/>
          <w:color w:val="000000"/>
          <w:lang w:val="en-US" w:eastAsia="zh-CN"/>
        </w:rPr>
        <w:t>质量技术监督部门颁发的CMA计量认证证书（CMA认证范围须涵盖本项目所有的检测内容），资质证书处于有效期内。</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bCs/>
          <w:color w:val="auto"/>
          <w:szCs w:val="21"/>
          <w:highlight w:val="none"/>
        </w:rPr>
        <w:t>提供</w:t>
      </w:r>
      <w:r>
        <w:rPr>
          <w:rFonts w:hint="eastAsia" w:ascii="宋体" w:hAnsi="宋体"/>
          <w:bCs/>
          <w:color w:val="auto"/>
          <w:szCs w:val="21"/>
          <w:highlight w:val="none"/>
          <w:lang w:val="en-US" w:eastAsia="zh-CN"/>
        </w:rPr>
        <w:t>在本项目投标截止之日</w:t>
      </w:r>
      <w:r>
        <w:rPr>
          <w:rFonts w:hint="eastAsia" w:ascii="Times New Roman" w:hAnsi="Times New Roman" w:eastAsia="宋体" w:cs="Times New Roman"/>
          <w:lang w:val="en-US" w:eastAsia="zh-CN"/>
        </w:rPr>
        <w:t>前36个月内</w:t>
      </w:r>
      <w:r>
        <w:rPr>
          <w:rFonts w:hint="eastAsia" w:ascii="宋体" w:hAnsi="宋体" w:eastAsia="宋体" w:cs="宋体"/>
          <w:color w:val="000000"/>
          <w:lang w:val="en-US" w:eastAsia="zh-CN"/>
        </w:rPr>
        <w:t>公共区域卫生检测项目</w:t>
      </w:r>
      <w:r>
        <w:rPr>
          <w:rFonts w:hint="eastAsia" w:ascii="Times New Roman" w:hAnsi="Times New Roman" w:eastAsia="宋体" w:cs="Times New Roman"/>
          <w:lang w:val="en-US" w:eastAsia="zh-CN"/>
        </w:rPr>
        <w:t>业绩</w:t>
      </w:r>
      <w:r>
        <w:rPr>
          <w:rFonts w:hint="eastAsia" w:ascii="宋体" w:hAnsi="宋体"/>
          <w:bCs/>
          <w:color w:val="auto"/>
          <w:szCs w:val="21"/>
          <w:highlight w:val="none"/>
          <w:lang w:val="en-US" w:eastAsia="zh-CN"/>
        </w:rPr>
        <w:t>证明资料。不接受联合体业绩、港澳台或境外业绩。</w:t>
      </w:r>
    </w:p>
    <w:p>
      <w:pPr>
        <w:spacing w:line="360" w:lineRule="auto"/>
        <w:ind w:firstLine="420" w:firstLineChars="200"/>
        <w:rPr>
          <w:rFonts w:ascii="宋体" w:hAnsi="宋体" w:cs="宋体"/>
          <w:color w:val="000000"/>
        </w:rPr>
      </w:pPr>
      <w:r>
        <w:rPr>
          <w:rFonts w:hint="eastAsia" w:ascii="宋体" w:hAnsi="宋体" w:cs="宋体"/>
          <w:color w:val="000000"/>
        </w:rPr>
        <w:t>业绩证明材料以同时提供的合同原件扫描件和可查验的增值税发票（开票金额不少于合同金额的10%）原件扫描件为准（均须加盖供应商公章），时间以合同中甲方签订时间为准。</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供应商认为与本项目资格条件有关</w:t>
      </w:r>
      <w:r>
        <w:rPr>
          <w:rFonts w:hint="eastAsia" w:ascii="宋体" w:hAnsi="宋体" w:eastAsia="宋体" w:cs="宋体"/>
          <w:color w:val="000000"/>
          <w:lang w:eastAsia="zh-CN"/>
        </w:rPr>
        <w:t>的其他</w:t>
      </w:r>
      <w:r>
        <w:rPr>
          <w:rFonts w:hint="eastAsia" w:ascii="宋体" w:hAnsi="宋体" w:eastAsia="宋体" w:cs="宋体"/>
          <w:color w:val="000000"/>
        </w:rPr>
        <w:t>证明文件（如有，格式自拟）。</w:t>
      </w:r>
    </w:p>
    <w:p>
      <w:pPr>
        <w:pStyle w:val="16"/>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备注：上述证明文件扫描件打印版均须加盖供应商公章。</w:t>
      </w:r>
    </w:p>
    <w:p>
      <w:pPr>
        <w:pStyle w:val="16"/>
        <w:spacing w:line="360" w:lineRule="auto"/>
        <w:ind w:left="0" w:leftChars="0"/>
      </w:pPr>
    </w:p>
    <w:p/>
    <w:p>
      <w:pPr>
        <w:pStyle w:val="2"/>
      </w:pPr>
    </w:p>
    <w:p>
      <w:pPr>
        <w:pStyle w:val="2"/>
      </w:pPr>
    </w:p>
    <w:p>
      <w:pPr>
        <w:pStyle w:val="2"/>
        <w:sectPr>
          <w:pgSz w:w="11906" w:h="16838"/>
          <w:pgMar w:top="2098" w:right="1474" w:bottom="1984" w:left="1587" w:header="851" w:footer="992" w:gutter="0"/>
          <w:cols w:space="720" w:num="1"/>
          <w:docGrid w:type="lines" w:linePitch="319"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业绩合同扫描件</w:t>
      </w:r>
    </w:p>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tbl>
      <w:tblPr>
        <w:tblStyle w:val="48"/>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6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4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合同金额</w:t>
            </w:r>
          </w:p>
          <w:p>
            <w:pPr>
              <w:jc w:val="center"/>
              <w:rPr>
                <w:rFonts w:hAnsi="宋体" w:cs="宋体"/>
                <w:b/>
                <w:bCs/>
                <w:szCs w:val="21"/>
              </w:rPr>
            </w:pPr>
            <w:r>
              <w:rPr>
                <w:rFonts w:hint="eastAsia" w:hAnsi="宋体" w:cs="宋体"/>
                <w:b/>
                <w:bCs/>
                <w:szCs w:val="21"/>
              </w:rPr>
              <w:t>（总金额）</w:t>
            </w:r>
          </w:p>
        </w:tc>
        <w:tc>
          <w:tcPr>
            <w:tcW w:w="13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服务期限</w:t>
            </w:r>
          </w:p>
        </w:tc>
        <w:tc>
          <w:tcPr>
            <w:tcW w:w="15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p>
      <w:r>
        <w:rPr>
          <w:rStyle w:val="57"/>
          <w:color w:val="auto"/>
          <w:u w:val="none"/>
          <w:shd w:val="clear" w:color="auto" w:fill="FFFFFF"/>
        </w:rPr>
        <w:t>业绩</w:t>
      </w:r>
      <w:r>
        <w:rPr>
          <w:rStyle w:val="57"/>
          <w:rFonts w:hint="eastAsia"/>
          <w:color w:val="auto"/>
          <w:u w:val="none"/>
          <w:shd w:val="clear" w:color="auto" w:fill="FFFFFF"/>
        </w:rPr>
        <w:t>合同</w:t>
      </w:r>
      <w:r>
        <w:rPr>
          <w:rStyle w:val="57"/>
          <w:color w:val="auto"/>
          <w:u w:val="none"/>
          <w:shd w:val="clear" w:color="auto" w:fill="FFFFFF"/>
        </w:rPr>
        <w:t>证明材料</w:t>
      </w:r>
      <w:r>
        <w:rPr>
          <w:rStyle w:val="57"/>
          <w:rFonts w:hint="eastAsia"/>
          <w:color w:val="auto"/>
          <w:u w:val="none"/>
          <w:shd w:val="clear" w:color="auto" w:fill="FFFFFF"/>
        </w:rPr>
        <w:t>须为</w:t>
      </w:r>
      <w:r>
        <w:rPr>
          <w:rStyle w:val="57"/>
          <w:color w:val="auto"/>
          <w:u w:val="none"/>
          <w:shd w:val="clear" w:color="auto" w:fill="FFFFFF"/>
        </w:rPr>
        <w:t>合同</w:t>
      </w:r>
      <w:r>
        <w:rPr>
          <w:rStyle w:val="57"/>
          <w:rFonts w:hint="eastAsia"/>
          <w:color w:val="auto"/>
          <w:u w:val="none"/>
          <w:shd w:val="clear" w:color="auto" w:fill="FFFFFF"/>
        </w:rPr>
        <w:t>原件扫描件打印版，并按顺序附后。</w:t>
      </w:r>
    </w:p>
    <w:p/>
    <w:p>
      <w:pPr>
        <w:pStyle w:val="2"/>
        <w:ind w:left="0" w:leftChars="0" w:firstLine="0"/>
      </w:pPr>
    </w:p>
    <w:p>
      <w:pPr>
        <w:pStyle w:val="2"/>
        <w:ind w:left="0" w:leftChars="0" w:firstLine="0"/>
      </w:pPr>
    </w:p>
    <w:p>
      <w:pPr>
        <w:pStyle w:val="16"/>
        <w:rPr>
          <w:color w:val="FF0000"/>
          <w:highlight w:val="cyan"/>
        </w:rPr>
        <w:sectPr>
          <w:pgSz w:w="11906" w:h="16838"/>
          <w:pgMar w:top="2098" w:right="1474" w:bottom="1984" w:left="1587"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2" w:name="_Toc132361375"/>
      <w:bookmarkStart w:id="103" w:name="_Toc15835"/>
      <w:bookmarkStart w:id="104" w:name="_Toc326"/>
      <w:bookmarkStart w:id="105" w:name="_Toc25553"/>
      <w:bookmarkStart w:id="106" w:name="_Toc5387"/>
      <w:bookmarkStart w:id="107" w:name="_Toc21225"/>
      <w:r>
        <w:rPr>
          <w:rFonts w:hint="eastAsia" w:ascii="宋体" w:hAnsi="宋体" w:cs="宋体"/>
          <w:b/>
          <w:sz w:val="32"/>
          <w:szCs w:val="32"/>
          <w:lang w:val="en-US" w:eastAsia="zh-CN"/>
        </w:rPr>
        <w:t>五</w:t>
      </w:r>
      <w:r>
        <w:rPr>
          <w:rFonts w:hint="eastAsia" w:ascii="宋体" w:hAnsi="宋体" w:cs="宋体"/>
          <w:b/>
          <w:sz w:val="32"/>
          <w:szCs w:val="32"/>
        </w:rPr>
        <w:t>、报价一览表</w:t>
      </w:r>
      <w:bookmarkEnd w:id="102"/>
      <w:bookmarkEnd w:id="103"/>
      <w:bookmarkEnd w:id="104"/>
      <w:bookmarkEnd w:id="105"/>
      <w:bookmarkEnd w:id="106"/>
      <w:bookmarkEnd w:id="107"/>
    </w:p>
    <w:tbl>
      <w:tblPr>
        <w:tblStyle w:val="48"/>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297" w:type="dxa"/>
            <w:vAlign w:val="center"/>
          </w:tcPr>
          <w:p>
            <w:pPr>
              <w:jc w:val="center"/>
              <w:rPr>
                <w:rFonts w:ascii="宋体" w:hAnsi="宋体"/>
                <w:szCs w:val="21"/>
              </w:rPr>
            </w:pPr>
            <w:r>
              <w:rPr>
                <w:rStyle w:val="57"/>
                <w:rFonts w:hint="default" w:ascii="Times New Roman" w:hAnsi="Times New Roman" w:eastAsia="宋体" w:cs="Times New Roman"/>
                <w:color w:val="auto"/>
                <w:kern w:val="0"/>
                <w:u w:val="none"/>
                <w:shd w:val="clear" w:color="auto" w:fill="FFFFFF"/>
                <w:lang w:val="en-US" w:eastAsia="zh-CN"/>
              </w:rPr>
              <w:t>长沙市轨道交通1（含北延线）、2、3、4、5号线、西环线运营期2023年</w:t>
            </w:r>
            <w:r>
              <w:rPr>
                <w:rStyle w:val="57"/>
                <w:rFonts w:hint="eastAsia" w:ascii="Times New Roman" w:hAnsi="Times New Roman" w:eastAsia="宋体" w:cs="Times New Roman"/>
                <w:color w:val="auto"/>
                <w:kern w:val="0"/>
                <w:u w:val="none"/>
                <w:shd w:val="clear" w:color="auto" w:fill="FFFFFF"/>
                <w:lang w:val="en-US" w:eastAsia="zh-CN"/>
              </w:rPr>
              <w:t>—</w:t>
            </w:r>
            <w:r>
              <w:rPr>
                <w:rStyle w:val="57"/>
                <w:rFonts w:hint="default" w:ascii="Times New Roman" w:hAnsi="Times New Roman" w:eastAsia="宋体" w:cs="Times New Roman"/>
                <w:color w:val="auto"/>
                <w:kern w:val="0"/>
                <w:u w:val="none"/>
                <w:shd w:val="clear" w:color="auto" w:fill="FFFFFF"/>
                <w:lang w:val="en-US" w:eastAsia="zh-CN"/>
              </w:rPr>
              <w:t>2025年公共场所卫生检测服务项目</w:t>
            </w:r>
            <w:r>
              <w:rPr>
                <w:rStyle w:val="57"/>
                <w:rFonts w:hint="eastAsia" w:cs="Times New Roman"/>
                <w:color w:val="auto"/>
                <w:kern w:val="0"/>
                <w:u w:val="none"/>
                <w:shd w:val="clear" w:color="auto" w:fill="FFFFFF"/>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297" w:type="dxa"/>
            <w:vAlign w:val="center"/>
          </w:tcPr>
          <w:p>
            <w:pPr>
              <w:jc w:val="center"/>
              <w:rPr>
                <w:rFonts w:ascii="宋体" w:hAnsi="宋体"/>
                <w:szCs w:val="21"/>
              </w:rPr>
            </w:pPr>
            <w:r>
              <w:rPr>
                <w:rStyle w:val="57"/>
                <w:rFonts w:hint="eastAsia"/>
                <w:color w:val="auto"/>
                <w:kern w:val="0"/>
                <w:u w:val="none"/>
                <w:shd w:val="clear" w:color="auto" w:fill="FFFFFF"/>
              </w:rPr>
              <w:t>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297" w:type="dxa"/>
            <w:vAlign w:val="center"/>
          </w:tcPr>
          <w:p>
            <w:pPr>
              <w:rPr>
                <w:rFonts w:hint="default" w:ascii="宋体" w:hAnsi="宋体"/>
                <w:szCs w:val="21"/>
                <w:lang w:val="en-US"/>
              </w:rPr>
            </w:pPr>
            <w:r>
              <w:rPr>
                <w:rStyle w:val="57"/>
                <w:rFonts w:hint="eastAsia" w:ascii="Times New Roman" w:hAnsi="Times New Roman" w:eastAsia="宋体" w:cs="Times New Roman"/>
                <w:color w:val="auto"/>
                <w:kern w:val="0"/>
                <w:u w:val="none"/>
                <w:shd w:val="clear" w:color="auto" w:fill="FFFFFF"/>
                <w:lang w:val="en-US" w:eastAsia="zh-CN"/>
              </w:rPr>
              <w:t>本项目实际服务时间以采购人发出的进场通知起算，总计27个月。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不含增值税</w:t>
            </w:r>
            <w:r>
              <w:rPr>
                <w:rFonts w:ascii="宋体" w:hAnsi="宋体"/>
                <w:b/>
                <w:bCs/>
                <w:szCs w:val="21"/>
              </w:rPr>
              <w:t>总报价</w:t>
            </w:r>
          </w:p>
        </w:tc>
        <w:tc>
          <w:tcPr>
            <w:tcW w:w="6297"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297"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297"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增值税</w:t>
            </w:r>
            <w:r>
              <w:rPr>
                <w:rFonts w:ascii="宋体" w:hAnsi="宋体"/>
                <w:b/>
                <w:bCs/>
                <w:szCs w:val="21"/>
              </w:rPr>
              <w:t>总报价</w:t>
            </w:r>
          </w:p>
        </w:tc>
        <w:tc>
          <w:tcPr>
            <w:tcW w:w="6297"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297"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30"/>
        <w:adjustRightInd w:val="0"/>
        <w:snapToGrid w:val="0"/>
        <w:spacing w:line="360" w:lineRule="auto"/>
        <w:outlineLvl w:val="9"/>
        <w:rPr>
          <w:rFonts w:ascii="宋体" w:hAnsi="宋体"/>
          <w:sz w:val="21"/>
          <w:szCs w:val="21"/>
        </w:rPr>
      </w:pPr>
    </w:p>
    <w:p>
      <w:pPr>
        <w:pStyle w:val="30"/>
        <w:adjustRightInd w:val="0"/>
        <w:snapToGrid w:val="0"/>
        <w:spacing w:line="480" w:lineRule="auto"/>
        <w:outlineLvl w:val="9"/>
        <w:rPr>
          <w:rFonts w:hint="eastAsia" w:ascii="宋体" w:hAnsi="宋体"/>
          <w:bCs/>
          <w:color w:val="auto"/>
          <w:sz w:val="21"/>
          <w:szCs w:val="21"/>
        </w:rPr>
      </w:pPr>
      <w:r>
        <w:rPr>
          <w:rFonts w:hint="eastAsia" w:ascii="宋体" w:hAnsi="宋体"/>
          <w:sz w:val="21"/>
          <w:szCs w:val="21"/>
        </w:rPr>
        <w:t>供应</w:t>
      </w:r>
      <w:r>
        <w:rPr>
          <w:rFonts w:hint="eastAsia" w:ascii="宋体" w:hAnsi="宋体"/>
          <w:color w:val="auto"/>
          <w:sz w:val="21"/>
          <w:szCs w:val="21"/>
        </w:rPr>
        <w:t>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08" w:name="_Toc31819"/>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08"/>
    </w:p>
    <w:tbl>
      <w:tblPr>
        <w:tblStyle w:val="48"/>
        <w:tblpPr w:leftFromText="180" w:rightFromText="180" w:vertAnchor="text" w:horzAnchor="page" w:tblpX="1134" w:tblpY="346"/>
        <w:tblOverlap w:val="never"/>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904"/>
        <w:gridCol w:w="646"/>
        <w:gridCol w:w="666"/>
        <w:gridCol w:w="1547"/>
        <w:gridCol w:w="1891"/>
        <w:gridCol w:w="1332"/>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8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54" w:type="dxa"/>
            <w:gridSpan w:val="7"/>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Style w:val="57"/>
                <w:rFonts w:hint="eastAsia"/>
                <w:color w:val="auto"/>
                <w:kern w:val="0"/>
                <w:u w:val="none"/>
                <w:shd w:val="clear" w:color="auto" w:fill="FFFFFF"/>
                <w:lang w:val="en-US" w:eastAsia="zh-CN"/>
              </w:rPr>
              <w:t>长沙市轨道交通1（含北延线）、2、3、4、5号线、西环线运营期2023年-2025年公共场所卫生检测服务项目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18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54" w:type="dxa"/>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Style w:val="57"/>
                <w:rFonts w:hint="eastAsia"/>
                <w:color w:val="auto"/>
                <w:kern w:val="0"/>
                <w:u w:val="none"/>
                <w:shd w:val="clear" w:color="auto" w:fill="FFFFFF"/>
              </w:rPr>
              <w:t>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85"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04"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6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r>
              <w:rPr>
                <w:rFonts w:hint="eastAsia" w:ascii="宋体" w:hAnsi="宋体" w:cs="宋体"/>
                <w:b/>
                <w:bCs/>
                <w:i w:val="0"/>
                <w:iCs w:val="0"/>
                <w:color w:val="auto"/>
                <w:kern w:val="0"/>
                <w:sz w:val="21"/>
                <w:szCs w:val="21"/>
                <w:highlight w:val="none"/>
                <w:u w:val="none"/>
                <w:lang w:val="en-US" w:eastAsia="zh-CN" w:bidi="ar"/>
              </w:rPr>
              <w:t>（A）</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不含税单价（B）（元）</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不含</w:t>
            </w:r>
            <w:r>
              <w:rPr>
                <w:rFonts w:hint="eastAsia" w:ascii="Times New Roman" w:hAnsi="宋体" w:cs="宋体"/>
                <w:b/>
                <w:bCs/>
                <w:color w:val="auto"/>
                <w:szCs w:val="21"/>
                <w:highlight w:val="none"/>
                <w:lang w:val="en-US" w:eastAsia="zh-CN"/>
              </w:rPr>
              <w:t>税总价（C）</w:t>
            </w:r>
            <w:r>
              <w:rPr>
                <w:rFonts w:hint="eastAsia" w:ascii="Times New Roman" w:hAnsi="宋体" w:eastAsia="宋体" w:cs="宋体"/>
                <w:b/>
                <w:bCs/>
                <w:color w:val="auto"/>
                <w:szCs w:val="21"/>
                <w:highlight w:val="none"/>
                <w:lang w:val="en-US" w:eastAsia="zh-CN"/>
              </w:rPr>
              <w:t>（元）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cs="宋体"/>
                <w:b/>
                <w:bCs/>
                <w:color w:val="auto"/>
                <w:szCs w:val="21"/>
                <w:highlight w:val="none"/>
                <w:lang w:val="en-US" w:eastAsia="zh-CN"/>
              </w:rPr>
              <w:t>税金（D）</w:t>
            </w:r>
          </w:p>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（元）</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含税</w:t>
            </w:r>
            <w:r>
              <w:rPr>
                <w:rFonts w:hint="eastAsia" w:ascii="Times New Roman" w:hAnsi="宋体" w:cs="宋体"/>
                <w:b/>
                <w:bCs/>
                <w:color w:val="auto"/>
                <w:szCs w:val="21"/>
                <w:highlight w:val="none"/>
                <w:lang w:val="en-US" w:eastAsia="zh-CN"/>
              </w:rPr>
              <w:t>总</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（E）</w:t>
            </w:r>
          </w:p>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9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1号线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2号线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3号线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4号线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5号线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1号线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北延</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西环线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项目</w:t>
            </w:r>
            <w:r>
              <w:rPr>
                <w:rFonts w:hint="default" w:ascii="Times New Roman" w:hAnsi="Times New Roman" w:cs="Times New Roman"/>
                <w:b w:val="0"/>
                <w:bCs w:val="0"/>
                <w:i w:val="0"/>
                <w:iCs w:val="0"/>
                <w:color w:val="auto"/>
                <w:kern w:val="0"/>
                <w:sz w:val="21"/>
                <w:szCs w:val="21"/>
                <w:highlight w:val="none"/>
                <w:u w:val="none"/>
                <w:lang w:val="en-US" w:eastAsia="zh-CN" w:bidi="ar"/>
              </w:rPr>
              <w:t>总计</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738" w:leftChars="0" w:right="0" w:hanging="738" w:hangingChars="350"/>
        <w:jc w:val="left"/>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w:t>
      </w:r>
      <w:r>
        <w:rPr>
          <w:rFonts w:hint="eastAsia" w:ascii="Times New Roman" w:hAnsi="Times New Roman" w:cs="Times New Roman"/>
          <w:b/>
          <w:bCs/>
          <w:color w:val="auto"/>
          <w:szCs w:val="21"/>
          <w:highlight w:val="none"/>
        </w:rPr>
        <w:t>本项目服务期限暂定为2</w:t>
      </w:r>
      <w:r>
        <w:rPr>
          <w:rFonts w:hint="default" w:ascii="Times New Roman" w:hAnsi="Times New Roman" w:cs="Times New Roman"/>
          <w:b/>
          <w:bCs/>
          <w:color w:val="auto"/>
          <w:szCs w:val="21"/>
          <w:highlight w:val="none"/>
        </w:rPr>
        <w:t>02</w:t>
      </w:r>
      <w:r>
        <w:rPr>
          <w:rFonts w:hint="eastAsia" w:ascii="Times New Roman" w:hAnsi="Times New Roman" w:cs="Times New Roman"/>
          <w:b/>
          <w:bCs/>
          <w:color w:val="auto"/>
          <w:szCs w:val="21"/>
          <w:highlight w:val="none"/>
          <w:lang w:val="en-US" w:eastAsia="zh-CN"/>
        </w:rPr>
        <w:t>3</w:t>
      </w:r>
      <w:r>
        <w:rPr>
          <w:rFonts w:hint="eastAsia" w:ascii="Times New Roman" w:hAnsi="Times New Roman" w:cs="Times New Roman"/>
          <w:b/>
          <w:bCs/>
          <w:color w:val="auto"/>
          <w:szCs w:val="21"/>
          <w:highlight w:val="none"/>
        </w:rPr>
        <w:t>年</w:t>
      </w:r>
      <w:r>
        <w:rPr>
          <w:rFonts w:hint="eastAsia" w:ascii="Times New Roman" w:hAnsi="Times New Roman" w:cs="Times New Roman"/>
          <w:b/>
          <w:bCs/>
          <w:color w:val="auto"/>
          <w:szCs w:val="21"/>
          <w:highlight w:val="none"/>
          <w:lang w:val="en-US" w:eastAsia="zh-CN"/>
        </w:rPr>
        <w:t>10</w:t>
      </w:r>
      <w:r>
        <w:rPr>
          <w:rFonts w:hint="eastAsia" w:ascii="Times New Roman" w:hAnsi="Times New Roman" w:cs="Times New Roman"/>
          <w:b/>
          <w:bCs/>
          <w:color w:val="auto"/>
          <w:szCs w:val="21"/>
          <w:highlight w:val="none"/>
        </w:rPr>
        <w:t>月</w:t>
      </w:r>
      <w:r>
        <w:rPr>
          <w:rFonts w:hint="default" w:ascii="Times New Roman" w:hAnsi="Times New Roman" w:cs="Times New Roman"/>
          <w:b/>
          <w:bCs/>
          <w:color w:val="auto"/>
          <w:szCs w:val="21"/>
          <w:highlight w:val="none"/>
        </w:rPr>
        <w:t>1</w:t>
      </w:r>
      <w:r>
        <w:rPr>
          <w:rFonts w:hint="eastAsia" w:ascii="Times New Roman" w:hAnsi="Times New Roman" w:cs="Times New Roman"/>
          <w:b/>
          <w:bCs/>
          <w:color w:val="auto"/>
          <w:szCs w:val="21"/>
          <w:highlight w:val="none"/>
        </w:rPr>
        <w:t>日至20</w:t>
      </w:r>
      <w:r>
        <w:rPr>
          <w:rFonts w:hint="default" w:ascii="Times New Roman" w:hAnsi="Times New Roman" w:cs="Times New Roman"/>
          <w:b/>
          <w:bCs/>
          <w:color w:val="auto"/>
          <w:szCs w:val="21"/>
          <w:highlight w:val="none"/>
        </w:rPr>
        <w:t>2</w:t>
      </w:r>
      <w:r>
        <w:rPr>
          <w:rFonts w:hint="eastAsia" w:ascii="Times New Roman" w:hAnsi="Times New Roman" w:cs="Times New Roman"/>
          <w:b/>
          <w:bCs/>
          <w:color w:val="auto"/>
          <w:szCs w:val="21"/>
          <w:highlight w:val="none"/>
          <w:lang w:val="en-US" w:eastAsia="zh-CN"/>
        </w:rPr>
        <w:t>5</w:t>
      </w:r>
      <w:r>
        <w:rPr>
          <w:rFonts w:hint="eastAsia" w:ascii="Times New Roman" w:hAnsi="Times New Roman" w:cs="Times New Roman"/>
          <w:b/>
          <w:bCs/>
          <w:color w:val="auto"/>
          <w:szCs w:val="21"/>
          <w:highlight w:val="none"/>
        </w:rPr>
        <w:t>年</w:t>
      </w:r>
      <w:r>
        <w:rPr>
          <w:rFonts w:hint="eastAsia" w:ascii="Times New Roman" w:hAnsi="Times New Roman" w:cs="Times New Roman"/>
          <w:b/>
          <w:bCs/>
          <w:color w:val="auto"/>
          <w:szCs w:val="21"/>
          <w:highlight w:val="none"/>
          <w:lang w:val="en-US" w:eastAsia="zh-CN"/>
        </w:rPr>
        <w:t>12</w:t>
      </w:r>
      <w:r>
        <w:rPr>
          <w:rFonts w:hint="eastAsia" w:ascii="Times New Roman" w:hAnsi="Times New Roman" w:cs="Times New Roman"/>
          <w:b/>
          <w:bCs/>
          <w:color w:val="auto"/>
          <w:szCs w:val="21"/>
          <w:highlight w:val="none"/>
        </w:rPr>
        <w:t>月3</w:t>
      </w:r>
      <w:r>
        <w:rPr>
          <w:rFonts w:hint="default" w:ascii="Times New Roman" w:hAnsi="Times New Roman" w:cs="Times New Roman"/>
          <w:b/>
          <w:bCs/>
          <w:color w:val="auto"/>
          <w:szCs w:val="21"/>
          <w:highlight w:val="none"/>
        </w:rPr>
        <w:t>1</w:t>
      </w:r>
      <w:r>
        <w:rPr>
          <w:rFonts w:hint="eastAsia" w:ascii="Times New Roman" w:hAnsi="Times New Roman" w:cs="Times New Roman"/>
          <w:b/>
          <w:bCs/>
          <w:color w:val="auto"/>
          <w:szCs w:val="21"/>
          <w:highlight w:val="none"/>
        </w:rPr>
        <w:t>日，总计</w:t>
      </w:r>
      <w:r>
        <w:rPr>
          <w:rFonts w:hint="eastAsia" w:ascii="Times New Roman" w:hAnsi="Times New Roman" w:cs="Times New Roman"/>
          <w:b/>
          <w:bCs/>
          <w:color w:val="auto"/>
          <w:szCs w:val="21"/>
          <w:highlight w:val="none"/>
          <w:lang w:val="en-US" w:eastAsia="zh-CN"/>
        </w:rPr>
        <w:t>27</w:t>
      </w:r>
      <w:r>
        <w:rPr>
          <w:rFonts w:hint="eastAsia" w:ascii="Times New Roman" w:hAnsi="Times New Roman" w:cs="Times New Roman"/>
          <w:b/>
          <w:bCs/>
          <w:color w:val="auto"/>
          <w:szCs w:val="21"/>
          <w:highlight w:val="none"/>
        </w:rPr>
        <w:t>个月（实际服务时间以采购单位发出的进场通知起算，总计</w:t>
      </w:r>
      <w:r>
        <w:rPr>
          <w:rFonts w:hint="eastAsia" w:ascii="Times New Roman" w:hAnsi="Times New Roman" w:cs="Times New Roman"/>
          <w:b/>
          <w:bCs/>
          <w:color w:val="auto"/>
          <w:szCs w:val="21"/>
          <w:highlight w:val="none"/>
          <w:lang w:val="en-US" w:eastAsia="zh-CN"/>
        </w:rPr>
        <w:t>27</w:t>
      </w:r>
      <w:r>
        <w:rPr>
          <w:rFonts w:hint="eastAsia" w:ascii="Times New Roman" w:hAnsi="Times New Roman" w:cs="Times New Roman"/>
          <w:b/>
          <w:bCs/>
          <w:color w:val="auto"/>
          <w:szCs w:val="21"/>
          <w:highlight w:val="none"/>
        </w:rPr>
        <w:t>个月）</w:t>
      </w:r>
      <w:r>
        <w:rPr>
          <w:rFonts w:hint="eastAsia" w:ascii="Times New Roman" w:hAnsi="Times New Roman" w:cs="Times New Roman"/>
          <w:b/>
          <w:bCs/>
          <w:color w:val="auto"/>
          <w:szCs w:val="21"/>
          <w:highlight w:val="none"/>
          <w:lang w:eastAsia="zh-CN"/>
        </w:rPr>
        <w:t>，其中除西环线合同周期</w:t>
      </w:r>
      <w:r>
        <w:rPr>
          <w:rFonts w:hint="eastAsia" w:ascii="Times New Roman" w:hAnsi="Times New Roman" w:cs="Times New Roman"/>
          <w:b/>
          <w:bCs/>
          <w:color w:val="auto"/>
          <w:szCs w:val="21"/>
          <w:highlight w:val="none"/>
          <w:lang w:val="en-US" w:eastAsia="zh-CN"/>
        </w:rPr>
        <w:t>内需</w:t>
      </w:r>
      <w:r>
        <w:rPr>
          <w:rFonts w:hint="eastAsia" w:ascii="Times New Roman" w:hAnsi="Times New Roman" w:cs="Times New Roman"/>
          <w:b/>
          <w:bCs/>
          <w:color w:val="auto"/>
          <w:szCs w:val="21"/>
          <w:highlight w:val="none"/>
          <w:lang w:eastAsia="zh-CN"/>
        </w:rPr>
        <w:t>检测</w:t>
      </w:r>
      <w:r>
        <w:rPr>
          <w:rFonts w:hint="eastAsia" w:ascii="Times New Roman" w:hAnsi="Times New Roman" w:cs="Times New Roman"/>
          <w:b/>
          <w:bCs/>
          <w:color w:val="auto"/>
          <w:szCs w:val="21"/>
          <w:highlight w:val="none"/>
          <w:lang w:val="en-US" w:eastAsia="zh-CN"/>
        </w:rPr>
        <w:t>2次外，其余均检测3次。</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jc w:val="left"/>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需满足C=B*A、E</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cs="Times New Roman"/>
          <w:b/>
          <w:bCs/>
          <w:color w:val="auto"/>
          <w:szCs w:val="21"/>
          <w:highlight w:val="none"/>
          <w:lang w:val="en-US" w:eastAsia="zh-CN"/>
        </w:rPr>
        <w:t>C＋D</w:t>
      </w:r>
      <w:r>
        <w:rPr>
          <w:rFonts w:hint="default" w:ascii="Times New Roman" w:hAnsi="Times New Roman" w:eastAsia="宋体" w:cs="Times New Roman"/>
          <w:b/>
          <w:bCs/>
          <w:color w:val="auto"/>
          <w:szCs w:val="21"/>
          <w:highlight w:val="none"/>
        </w:rPr>
        <w:t>。</w:t>
      </w: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
      <w:pPr>
        <w:adjustRightInd w:val="0"/>
        <w:snapToGrid w:val="0"/>
        <w:spacing w:line="360" w:lineRule="auto"/>
        <w:ind w:right="24"/>
        <w:jc w:val="center"/>
        <w:outlineLvl w:val="1"/>
        <w:rPr>
          <w:rFonts w:ascii="宋体" w:hAnsi="宋体" w:cs="宋体"/>
          <w:b/>
          <w:sz w:val="32"/>
          <w:szCs w:val="32"/>
        </w:rPr>
      </w:pPr>
      <w:bookmarkStart w:id="109" w:name="_Toc9077"/>
      <w:bookmarkStart w:id="110" w:name="_Toc27585"/>
      <w:bookmarkStart w:id="111" w:name="_Toc22739"/>
      <w:bookmarkStart w:id="112" w:name="_Toc23274"/>
      <w:bookmarkStart w:id="113" w:name="_Toc132361376"/>
      <w:bookmarkStart w:id="114" w:name="_Toc27918"/>
      <w:r>
        <w:rPr>
          <w:rFonts w:hint="eastAsia" w:ascii="宋体" w:hAnsi="宋体" w:cs="宋体"/>
          <w:b/>
          <w:sz w:val="32"/>
          <w:szCs w:val="32"/>
          <w:lang w:val="en-US" w:eastAsia="zh-CN"/>
        </w:rPr>
        <w:t>七</w:t>
      </w:r>
      <w:r>
        <w:rPr>
          <w:rFonts w:hint="eastAsia" w:ascii="宋体" w:hAnsi="宋体" w:cs="宋体"/>
          <w:b/>
          <w:sz w:val="32"/>
          <w:szCs w:val="32"/>
        </w:rPr>
        <w:t>、其他资料</w:t>
      </w:r>
      <w:bookmarkEnd w:id="109"/>
      <w:bookmarkEnd w:id="110"/>
      <w:bookmarkEnd w:id="111"/>
      <w:r>
        <w:rPr>
          <w:rFonts w:hint="eastAsia" w:ascii="宋体" w:hAnsi="宋体" w:cs="宋体"/>
          <w:b/>
          <w:sz w:val="32"/>
          <w:szCs w:val="32"/>
        </w:rPr>
        <w:t>（如有）</w:t>
      </w:r>
      <w:bookmarkEnd w:id="112"/>
      <w:bookmarkEnd w:id="113"/>
      <w:bookmarkEnd w:id="114"/>
    </w:p>
    <w:p>
      <w:pPr>
        <w:adjustRightInd w:val="0"/>
        <w:snapToGrid w:val="0"/>
        <w:spacing w:before="159" w:beforeLines="50" w:line="360" w:lineRule="auto"/>
        <w:ind w:firstLine="420" w:firstLineChars="200"/>
        <w:jc w:val="left"/>
        <w:rPr>
          <w:rFonts w:ascii="宋体" w:hAnsi="宋体"/>
          <w:szCs w:val="21"/>
        </w:rPr>
      </w:pPr>
      <w:bookmarkStart w:id="115" w:name="_Toc18188"/>
      <w:bookmarkStart w:id="116" w:name="_Toc5412"/>
      <w:bookmarkStart w:id="117" w:name="_Toc10648"/>
      <w:bookmarkStart w:id="118" w:name="_Toc22084"/>
      <w:r>
        <w:rPr>
          <w:rFonts w:hint="eastAsia" w:ascii="宋体" w:hAnsi="宋体"/>
          <w:szCs w:val="21"/>
        </w:rPr>
        <w:t>供应商认为需要提供的其他竞争性采购资料，格式自拟。</w:t>
      </w:r>
      <w:bookmarkEnd w:id="115"/>
      <w:bookmarkEnd w:id="116"/>
      <w:bookmarkEnd w:id="117"/>
      <w:bookmarkEnd w:id="118"/>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6">
    <w:nsid w:val="FE293A88"/>
    <w:multiLevelType w:val="singleLevel"/>
    <w:tmpl w:val="FE293A88"/>
    <w:lvl w:ilvl="0" w:tentative="0">
      <w:start w:val="3"/>
      <w:numFmt w:val="chineseCounting"/>
      <w:pStyle w:val="360"/>
      <w:suff w:val="nothing"/>
      <w:lvlText w:val="%1、"/>
      <w:lvlJc w:val="left"/>
      <w:rPr>
        <w:rFonts w:hint="eastAsia"/>
      </w:rPr>
    </w:lvl>
  </w:abstractNum>
  <w:abstractNum w:abstractNumId="7">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8">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9">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0">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12CAFF"/>
    <w:multiLevelType w:val="singleLevel"/>
    <w:tmpl w:val="1C12CAFF"/>
    <w:lvl w:ilvl="0" w:tentative="0">
      <w:start w:val="1"/>
      <w:numFmt w:val="decimal"/>
      <w:suff w:val="nothing"/>
      <w:lvlText w:val="%1．"/>
      <w:lvlJc w:val="left"/>
      <w:pPr>
        <w:ind w:left="0" w:firstLine="400"/>
      </w:pPr>
      <w:rPr>
        <w:rFonts w:hint="default"/>
      </w:r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B30530B"/>
    <w:multiLevelType w:val="singleLevel"/>
    <w:tmpl w:val="3B30530B"/>
    <w:lvl w:ilvl="0" w:tentative="0">
      <w:start w:val="6"/>
      <w:numFmt w:val="chineseCounting"/>
      <w:suff w:val="space"/>
      <w:lvlText w:val="第%1章"/>
      <w:lvlJc w:val="left"/>
      <w:rPr>
        <w:rFonts w:hint="eastAsia"/>
      </w:rPr>
    </w:lvl>
  </w:abstractNum>
  <w:abstractNum w:abstractNumId="17">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8"/>
  </w:num>
  <w:num w:numId="6">
    <w:abstractNumId w:val="14"/>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3"/>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jY2MxODBhZmE1NTVhYTU0NDFmYTdjNzdjMzRhZTcifQ=="/>
    <w:docVar w:name="KGWebUrl" w:val="https://office.hncsmtr.com/sys/attachment/sys_att_main/jg_service.jsp"/>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255CED"/>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45AA7"/>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8D72CB8"/>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1D5888"/>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993E3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96133A"/>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qFormat/>
    <w:uiPriority w:val="0"/>
    <w:pPr>
      <w:keepNext/>
      <w:jc w:val="center"/>
      <w:outlineLvl w:val="0"/>
    </w:pPr>
    <w:rPr>
      <w:b/>
      <w:bCs/>
      <w:kern w:val="0"/>
      <w:sz w:val="24"/>
      <w:szCs w:val="20"/>
    </w:rPr>
  </w:style>
  <w:style w:type="paragraph" w:styleId="7">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9"/>
    <w:qFormat/>
    <w:uiPriority w:val="0"/>
    <w:pPr>
      <w:spacing w:after="120"/>
      <w:ind w:left="420" w:leftChars="200"/>
    </w:pPr>
    <w:rPr>
      <w:rFonts w:ascii="Calibri" w:hAnsi="Calibri" w:cs="黑体"/>
    </w:rPr>
  </w:style>
  <w:style w:type="paragraph" w:styleId="4">
    <w:name w:val="annotation subject"/>
    <w:basedOn w:val="5"/>
    <w:next w:val="1"/>
    <w:link w:val="88"/>
    <w:qFormat/>
    <w:uiPriority w:val="0"/>
    <w:rPr>
      <w:rFonts w:ascii="Calibri" w:hAnsi="Calibri" w:cs="黑体"/>
      <w:b/>
      <w:bCs/>
    </w:rPr>
  </w:style>
  <w:style w:type="paragraph" w:styleId="5">
    <w:name w:val="annotation text"/>
    <w:basedOn w:val="1"/>
    <w:link w:val="111"/>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5"/>
    <w:qFormat/>
    <w:uiPriority w:val="0"/>
    <w:pPr>
      <w:widowControl/>
      <w:ind w:firstLine="420"/>
      <w:jc w:val="left"/>
    </w:pPr>
    <w:rPr>
      <w:kern w:val="0"/>
      <w:sz w:val="20"/>
      <w:szCs w:val="20"/>
    </w:rPr>
  </w:style>
  <w:style w:type="paragraph" w:styleId="18">
    <w:name w:val="Document Map"/>
    <w:basedOn w:val="1"/>
    <w:link w:val="129"/>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6"/>
    <w:qFormat/>
    <w:uiPriority w:val="0"/>
    <w:rPr>
      <w:rFonts w:ascii="仿宋_GB2312" w:eastAsia="仿宋_GB2312"/>
      <w:sz w:val="24"/>
    </w:rPr>
  </w:style>
  <w:style w:type="paragraph" w:styleId="21">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23"/>
    <w:link w:val="119"/>
    <w:qFormat/>
    <w:uiPriority w:val="99"/>
    <w:pPr>
      <w:spacing w:after="120"/>
    </w:pPr>
  </w:style>
  <w:style w:type="paragraph" w:customStyle="1" w:styleId="23">
    <w:name w:val="正文首行缩进1"/>
    <w:basedOn w:val="1"/>
    <w:qFormat/>
    <w:uiPriority w:val="99"/>
    <w:pPr>
      <w:spacing w:after="120"/>
      <w:ind w:firstLine="420" w:firstLineChars="100"/>
    </w:pPr>
  </w:style>
  <w:style w:type="paragraph" w:styleId="24">
    <w:name w:val="List 2"/>
    <w:qFormat/>
    <w:uiPriority w:val="0"/>
    <w:pPr>
      <w:spacing w:line="400" w:lineRule="exact"/>
      <w:jc w:val="center"/>
    </w:pPr>
    <w:rPr>
      <w:rFonts w:ascii="Arial" w:hAnsi="Arial" w:eastAsia="宋体" w:cs="Times New Roman"/>
      <w:sz w:val="24"/>
      <w:lang w:val="en-US" w:eastAsia="zh-CN" w:bidi="ar-SA"/>
    </w:rPr>
  </w:style>
  <w:style w:type="paragraph" w:styleId="25">
    <w:name w:val="Block Text"/>
    <w:basedOn w:val="1"/>
    <w:qFormat/>
    <w:uiPriority w:val="0"/>
    <w:pPr>
      <w:ind w:left="1171" w:right="91" w:hanging="1080"/>
    </w:pPr>
    <w:rPr>
      <w:rFonts w:eastAsia="楷体_GB2312"/>
      <w:szCs w:val="20"/>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108"/>
    <w:qFormat/>
    <w:uiPriority w:val="0"/>
    <w:rPr>
      <w:rFonts w:ascii="宋体" w:hAnsi="Courier New" w:cs="Courier New"/>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41"/>
    <w:qFormat/>
    <w:uiPriority w:val="0"/>
    <w:rPr>
      <w:rFonts w:ascii="Calibri" w:hAnsi="Calibri" w:cs="黑体"/>
      <w:sz w:val="24"/>
      <w:szCs w:val="22"/>
    </w:rPr>
  </w:style>
  <w:style w:type="paragraph" w:styleId="31">
    <w:name w:val="Body Text Indent 2"/>
    <w:basedOn w:val="1"/>
    <w:link w:val="103"/>
    <w:qFormat/>
    <w:uiPriority w:val="0"/>
    <w:pPr>
      <w:spacing w:after="120" w:line="480" w:lineRule="auto"/>
      <w:ind w:left="420" w:leftChars="200"/>
    </w:pPr>
  </w:style>
  <w:style w:type="paragraph" w:styleId="32">
    <w:name w:val="Balloon Text"/>
    <w:basedOn w:val="1"/>
    <w:link w:val="98"/>
    <w:qFormat/>
    <w:uiPriority w:val="0"/>
    <w:rPr>
      <w:rFonts w:ascii="Calibri" w:hAnsi="Calibri" w:cs="黑体"/>
      <w:sz w:val="18"/>
      <w:szCs w:val="18"/>
    </w:rPr>
  </w:style>
  <w:style w:type="paragraph" w:styleId="33">
    <w:name w:val="footer"/>
    <w:basedOn w:val="1"/>
    <w:link w:val="64"/>
    <w:unhideWhenUsed/>
    <w:qFormat/>
    <w:uiPriority w:val="99"/>
    <w:pPr>
      <w:tabs>
        <w:tab w:val="center" w:pos="4153"/>
        <w:tab w:val="right" w:pos="8306"/>
      </w:tabs>
      <w:snapToGrid w:val="0"/>
      <w:jc w:val="left"/>
    </w:pPr>
    <w:rPr>
      <w:sz w:val="18"/>
      <w:szCs w:val="18"/>
    </w:rPr>
  </w:style>
  <w:style w:type="paragraph" w:styleId="3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9"/>
    <w:unhideWhenUsed/>
    <w:qFormat/>
    <w:uiPriority w:val="39"/>
  </w:style>
  <w:style w:type="paragraph" w:styleId="36">
    <w:name w:val="toc 4"/>
    <w:basedOn w:val="1"/>
    <w:next w:val="1"/>
    <w:qFormat/>
    <w:uiPriority w:val="0"/>
    <w:pPr>
      <w:ind w:left="1260" w:leftChars="600"/>
    </w:pPr>
  </w:style>
  <w:style w:type="paragraph" w:styleId="37">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26"/>
    <w:qFormat/>
    <w:uiPriority w:val="0"/>
    <w:pPr>
      <w:spacing w:after="120"/>
      <w:ind w:left="420" w:leftChars="200"/>
    </w:pPr>
    <w:rPr>
      <w:rFonts w:ascii="Calibri" w:hAnsi="Calibri" w:cs="黑体"/>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74"/>
    <w:qFormat/>
    <w:uiPriority w:val="0"/>
    <w:pPr>
      <w:spacing w:after="120" w:line="480" w:lineRule="auto"/>
    </w:pPr>
  </w:style>
  <w:style w:type="paragraph" w:styleId="4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link w:val="102"/>
    <w:qFormat/>
    <w:uiPriority w:val="0"/>
    <w:pPr>
      <w:spacing w:before="240" w:after="60"/>
      <w:jc w:val="center"/>
      <w:outlineLvl w:val="0"/>
    </w:pPr>
    <w:rPr>
      <w:rFonts w:ascii="Cambria" w:hAnsi="Cambria"/>
      <w:b/>
      <w:sz w:val="32"/>
    </w:rPr>
  </w:style>
  <w:style w:type="paragraph" w:styleId="47">
    <w:name w:val="Body Text First Indent"/>
    <w:basedOn w:val="22"/>
    <w:link w:val="177"/>
    <w:unhideWhenUsed/>
    <w:qFormat/>
    <w:uiPriority w:val="0"/>
    <w:pPr>
      <w:spacing w:line="500" w:lineRule="exact"/>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4"/>
    <w:qFormat/>
    <w:uiPriority w:val="99"/>
    <w:rPr>
      <w:sz w:val="18"/>
      <w:szCs w:val="18"/>
    </w:rPr>
  </w:style>
  <w:style w:type="character" w:customStyle="1" w:styleId="64">
    <w:name w:val="页脚 字符"/>
    <w:basedOn w:val="50"/>
    <w:link w:val="33"/>
    <w:qFormat/>
    <w:uiPriority w:val="99"/>
    <w:rPr>
      <w:sz w:val="18"/>
      <w:szCs w:val="18"/>
    </w:rPr>
  </w:style>
  <w:style w:type="character" w:customStyle="1" w:styleId="65">
    <w:name w:val="标题 1 字符"/>
    <w:basedOn w:val="50"/>
    <w:link w:val="6"/>
    <w:qFormat/>
    <w:uiPriority w:val="0"/>
    <w:rPr>
      <w:rFonts w:ascii="Times New Roman" w:hAnsi="Times New Roman" w:eastAsia="宋体" w:cs="Times New Roman"/>
      <w:b/>
      <w:bCs/>
      <w:kern w:val="0"/>
      <w:sz w:val="24"/>
      <w:szCs w:val="20"/>
    </w:rPr>
  </w:style>
  <w:style w:type="character" w:customStyle="1" w:styleId="66">
    <w:name w:val="标题 2 字符"/>
    <w:basedOn w:val="50"/>
    <w:link w:val="7"/>
    <w:qFormat/>
    <w:uiPriority w:val="0"/>
    <w:rPr>
      <w:rFonts w:ascii="Arial" w:hAnsi="Arial" w:eastAsia="宋体" w:cs="Times New Roman"/>
      <w:b/>
      <w:bCs/>
      <w:kern w:val="0"/>
      <w:sz w:val="24"/>
      <w:szCs w:val="32"/>
    </w:rPr>
  </w:style>
  <w:style w:type="character" w:customStyle="1" w:styleId="67">
    <w:name w:val="标题 3 字符"/>
    <w:basedOn w:val="50"/>
    <w:link w:val="8"/>
    <w:qFormat/>
    <w:uiPriority w:val="0"/>
    <w:rPr>
      <w:rFonts w:ascii="Times New Roman" w:hAnsi="Times New Roman" w:eastAsia="宋体" w:cs="Times New Roman"/>
      <w:b/>
      <w:bCs/>
      <w:kern w:val="0"/>
      <w:sz w:val="32"/>
      <w:szCs w:val="32"/>
    </w:rPr>
  </w:style>
  <w:style w:type="character" w:customStyle="1" w:styleId="68">
    <w:name w:val="标题 4 字符"/>
    <w:basedOn w:val="50"/>
    <w:link w:val="9"/>
    <w:qFormat/>
    <w:uiPriority w:val="0"/>
    <w:rPr>
      <w:rFonts w:ascii="Arial" w:hAnsi="Arial" w:eastAsia="黑体" w:cs="Times New Roman"/>
      <w:b/>
      <w:bCs/>
      <w:kern w:val="0"/>
      <w:sz w:val="28"/>
      <w:szCs w:val="28"/>
    </w:rPr>
  </w:style>
  <w:style w:type="character" w:customStyle="1" w:styleId="69">
    <w:name w:val="标题 5 字符"/>
    <w:basedOn w:val="50"/>
    <w:link w:val="10"/>
    <w:qFormat/>
    <w:uiPriority w:val="0"/>
    <w:rPr>
      <w:rFonts w:ascii="Times New Roman" w:hAnsi="Times New Roman" w:eastAsia="宋体" w:cs="Times New Roman"/>
      <w:b/>
      <w:bCs/>
      <w:kern w:val="0"/>
      <w:sz w:val="28"/>
      <w:szCs w:val="28"/>
    </w:rPr>
  </w:style>
  <w:style w:type="character" w:customStyle="1" w:styleId="70">
    <w:name w:val="标题 6 字符"/>
    <w:basedOn w:val="50"/>
    <w:link w:val="11"/>
    <w:qFormat/>
    <w:uiPriority w:val="0"/>
    <w:rPr>
      <w:rFonts w:ascii="Arial" w:hAnsi="Arial" w:eastAsia="黑体" w:cs="Times New Roman"/>
      <w:b/>
      <w:bCs/>
      <w:kern w:val="0"/>
      <w:sz w:val="24"/>
      <w:szCs w:val="24"/>
    </w:rPr>
  </w:style>
  <w:style w:type="character" w:customStyle="1" w:styleId="71">
    <w:name w:val="标题 7 字符"/>
    <w:basedOn w:val="50"/>
    <w:link w:val="12"/>
    <w:qFormat/>
    <w:uiPriority w:val="0"/>
    <w:rPr>
      <w:rFonts w:ascii="Times New Roman" w:hAnsi="Times New Roman" w:eastAsia="宋体" w:cs="Times New Roman"/>
      <w:b/>
      <w:bCs/>
      <w:kern w:val="0"/>
      <w:sz w:val="24"/>
      <w:szCs w:val="24"/>
    </w:rPr>
  </w:style>
  <w:style w:type="character" w:customStyle="1" w:styleId="72">
    <w:name w:val="标题 8 字符"/>
    <w:basedOn w:val="50"/>
    <w:link w:val="13"/>
    <w:qFormat/>
    <w:uiPriority w:val="0"/>
    <w:rPr>
      <w:rFonts w:ascii="Arial" w:hAnsi="Arial" w:eastAsia="黑体" w:cs="Times New Roman"/>
      <w:kern w:val="0"/>
      <w:sz w:val="24"/>
      <w:szCs w:val="24"/>
    </w:rPr>
  </w:style>
  <w:style w:type="character" w:customStyle="1" w:styleId="73">
    <w:name w:val="标题 9 字符"/>
    <w:basedOn w:val="50"/>
    <w:link w:val="14"/>
    <w:qFormat/>
    <w:uiPriority w:val="0"/>
    <w:rPr>
      <w:rFonts w:ascii="Arial" w:hAnsi="Arial" w:eastAsia="黑体" w:cs="Times New Roman"/>
      <w:kern w:val="0"/>
      <w:sz w:val="20"/>
      <w:szCs w:val="21"/>
    </w:rPr>
  </w:style>
  <w:style w:type="character" w:customStyle="1" w:styleId="74">
    <w:name w:val="正文文本 2 字符"/>
    <w:basedOn w:val="50"/>
    <w:link w:val="42"/>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2"/>
    <w:qFormat/>
    <w:locked/>
    <w:uiPriority w:val="0"/>
    <w:rPr>
      <w:rFonts w:ascii="Calibri" w:hAnsi="Calibri" w:eastAsia="宋体" w:cs="黑体"/>
      <w:sz w:val="18"/>
      <w:szCs w:val="18"/>
    </w:rPr>
  </w:style>
  <w:style w:type="character" w:customStyle="1" w:styleId="99">
    <w:name w:val="正文文本缩进 字符"/>
    <w:basedOn w:val="50"/>
    <w:link w:val="3"/>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6"/>
    <w:qFormat/>
    <w:uiPriority w:val="0"/>
    <w:rPr>
      <w:rFonts w:ascii="Cambria" w:hAnsi="Cambria" w:eastAsia="宋体" w:cs="Times New Roman"/>
      <w:b/>
      <w:sz w:val="32"/>
      <w:szCs w:val="24"/>
    </w:rPr>
  </w:style>
  <w:style w:type="character" w:customStyle="1" w:styleId="103">
    <w:name w:val="正文文本缩进 2 字符"/>
    <w:basedOn w:val="50"/>
    <w:link w:val="31"/>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8"/>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5"/>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3"/>
    <w:qFormat/>
    <w:uiPriority w:val="0"/>
    <w:rPr>
      <w:rFonts w:ascii="Arial" w:hAnsi="Arial" w:eastAsia="宋体" w:cs="Arial"/>
      <w:kern w:val="0"/>
      <w:sz w:val="24"/>
      <w:szCs w:val="24"/>
    </w:rPr>
  </w:style>
  <w:style w:type="character" w:customStyle="1" w:styleId="116">
    <w:name w:val="称呼 字符"/>
    <w:basedOn w:val="50"/>
    <w:link w:val="20"/>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22"/>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9"/>
    <w:qFormat/>
    <w:uiPriority w:val="0"/>
    <w:rPr>
      <w:rFonts w:ascii="Calibri" w:hAnsi="Calibri" w:eastAsia="宋体" w:cs="黑体"/>
      <w:sz w:val="16"/>
      <w:szCs w:val="16"/>
    </w:rPr>
  </w:style>
  <w:style w:type="character" w:customStyle="1" w:styleId="127">
    <w:name w:val="副标题 字符"/>
    <w:basedOn w:val="50"/>
    <w:link w:val="37"/>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8"/>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30"/>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1"/>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47"/>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22"/>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8"/>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6"/>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6"/>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6"/>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7"/>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7"/>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6"/>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9"/>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8"/>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8"/>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13973</Words>
  <Characters>14676</Characters>
  <Lines>206</Lines>
  <Paragraphs>58</Paragraphs>
  <TotalTime>5</TotalTime>
  <ScaleCrop>false</ScaleCrop>
  <LinksUpToDate>false</LinksUpToDate>
  <CharactersWithSpaces>15546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运营公司运维管理员</cp:lastModifiedBy>
  <cp:lastPrinted>2023-07-04T06:03:00Z</cp:lastPrinted>
  <dcterms:modified xsi:type="dcterms:W3CDTF">2023-08-02T01:08:31Z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0C3045FF807B4519859616362578C956</vt:lpwstr>
  </property>
</Properties>
</file>