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52"/>
          <w:szCs w:val="52"/>
        </w:rPr>
      </w:pPr>
    </w:p>
    <w:p>
      <w:pPr>
        <w:spacing w:line="360" w:lineRule="auto"/>
        <w:jc w:val="both"/>
        <w:rPr>
          <w:rFonts w:hint="eastAsia" w:ascii="宋体" w:hAnsi="宋体" w:cs="宋体"/>
          <w:b/>
          <w:kern w:val="0"/>
          <w:sz w:val="52"/>
          <w:szCs w:val="52"/>
        </w:rPr>
      </w:pPr>
    </w:p>
    <w:p>
      <w:pPr>
        <w:keepNext w:val="0"/>
        <w:keepLines w:val="0"/>
        <w:widowControl/>
        <w:suppressLineNumbers w:val="0"/>
        <w:jc w:val="center"/>
        <w:rPr>
          <w:rFonts w:hint="eastAsia" w:ascii="宋体" w:hAnsi="宋体" w:cs="宋体"/>
          <w:b/>
          <w:spacing w:val="-20"/>
          <w:kern w:val="0"/>
          <w:sz w:val="52"/>
          <w:szCs w:val="52"/>
          <w:lang w:val="en-US" w:eastAsia="zh-CN"/>
        </w:rPr>
      </w:pPr>
      <w:r>
        <w:rPr>
          <w:rFonts w:hint="eastAsia" w:ascii="宋体" w:hAnsi="宋体" w:cs="宋体"/>
          <w:b/>
          <w:spacing w:val="-20"/>
          <w:kern w:val="0"/>
          <w:sz w:val="52"/>
          <w:szCs w:val="52"/>
          <w:lang w:val="en-US" w:eastAsia="zh-CN"/>
        </w:rPr>
        <w:t>长沙市轨道交通1号线北延线、第二控制中心运营期2023年—2025年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kern w:val="0"/>
          <w:sz w:val="52"/>
          <w:szCs w:val="52"/>
          <w:lang w:eastAsia="zh-CN"/>
        </w:rPr>
      </w:pPr>
      <w:r>
        <w:rPr>
          <w:rFonts w:hint="eastAsia" w:ascii="宋体" w:hAnsi="宋体" w:cs="宋体"/>
          <w:b/>
          <w:spacing w:val="-20"/>
          <w:kern w:val="0"/>
          <w:sz w:val="52"/>
          <w:szCs w:val="52"/>
          <w:lang w:val="en-US" w:eastAsia="zh-CN"/>
        </w:rPr>
        <w:t>保险服务项目</w:t>
      </w:r>
      <w:r>
        <w:rPr>
          <w:rFonts w:hint="eastAsia" w:ascii="宋体" w:hAnsi="宋体" w:cs="宋体"/>
          <w:b/>
          <w:kern w:val="0"/>
          <w:sz w:val="52"/>
          <w:szCs w:val="52"/>
          <w:lang w:val="en-US" w:eastAsia="zh-CN"/>
        </w:rPr>
        <w:t>用户</w:t>
      </w:r>
      <w:r>
        <w:rPr>
          <w:rFonts w:ascii="宋体" w:hAnsi="宋体" w:cs="宋体"/>
          <w:b/>
          <w:kern w:val="0"/>
          <w:sz w:val="52"/>
          <w:szCs w:val="52"/>
        </w:rPr>
        <w:t>需求</w:t>
      </w:r>
      <w:r>
        <w:rPr>
          <w:rFonts w:hint="eastAsia" w:ascii="宋体" w:hAnsi="宋体" w:cs="宋体"/>
          <w:b/>
          <w:kern w:val="0"/>
          <w:sz w:val="52"/>
          <w:szCs w:val="52"/>
          <w:lang w:eastAsia="zh-CN"/>
        </w:rPr>
        <w:t>书</w:t>
      </w:r>
      <w:bookmarkStart w:id="38" w:name="_GoBack"/>
      <w:bookmarkEnd w:id="38"/>
    </w:p>
    <w:p>
      <w:pPr>
        <w:spacing w:line="360" w:lineRule="auto"/>
        <w:ind w:firstLine="880" w:firstLineChars="200"/>
        <w:jc w:val="center"/>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pStyle w:val="2"/>
        <w:rPr>
          <w:rFonts w:ascii="宋体" w:hAnsi="宋体"/>
          <w:kern w:val="0"/>
          <w:sz w:val="44"/>
        </w:rPr>
      </w:pPr>
    </w:p>
    <w:p>
      <w:pPr>
        <w:spacing w:line="360" w:lineRule="auto"/>
        <w:ind w:firstLine="880" w:firstLineChars="200"/>
        <w:jc w:val="center"/>
        <w:rPr>
          <w:rFonts w:ascii="宋体" w:hAnsi="宋体"/>
          <w:kern w:val="0"/>
          <w:sz w:val="44"/>
        </w:rPr>
      </w:pPr>
    </w:p>
    <w:p>
      <w:pPr>
        <w:spacing w:line="360" w:lineRule="auto"/>
        <w:jc w:val="center"/>
        <w:rPr>
          <w:rFonts w:ascii="宋体" w:hAnsi="宋体" w:cs="宋体"/>
          <w:b/>
          <w:kern w:val="0"/>
          <w:sz w:val="48"/>
          <w:szCs w:val="48"/>
        </w:rPr>
      </w:pPr>
      <w:r>
        <w:rPr>
          <w:rFonts w:hint="eastAsia" w:ascii="宋体" w:hAnsi="宋体"/>
          <w:kern w:val="0"/>
          <w:sz w:val="44"/>
        </w:rPr>
        <w:t>编制时间：</w:t>
      </w:r>
      <w:r>
        <w:rPr>
          <w:rFonts w:hint="eastAsia" w:ascii="宋体" w:hAnsi="宋体"/>
          <w:kern w:val="0"/>
          <w:sz w:val="48"/>
          <w:szCs w:val="48"/>
        </w:rPr>
        <w:t>20</w:t>
      </w:r>
      <w:r>
        <w:rPr>
          <w:rFonts w:hint="eastAsia" w:ascii="宋体" w:hAnsi="宋体"/>
          <w:kern w:val="0"/>
          <w:sz w:val="48"/>
          <w:szCs w:val="48"/>
          <w:lang w:val="en-US" w:eastAsia="zh-CN"/>
        </w:rPr>
        <w:t>23</w:t>
      </w:r>
      <w:r>
        <w:rPr>
          <w:rFonts w:hint="eastAsia" w:ascii="宋体" w:hAnsi="宋体"/>
          <w:kern w:val="0"/>
          <w:sz w:val="48"/>
          <w:szCs w:val="48"/>
        </w:rPr>
        <w:t>年</w:t>
      </w:r>
      <w:r>
        <w:rPr>
          <w:rFonts w:hint="eastAsia" w:ascii="宋体" w:hAnsi="宋体"/>
          <w:kern w:val="0"/>
          <w:sz w:val="48"/>
          <w:szCs w:val="48"/>
          <w:lang w:val="en-US" w:eastAsia="zh-CN"/>
        </w:rPr>
        <w:t>6</w:t>
      </w:r>
      <w:r>
        <w:rPr>
          <w:rFonts w:hint="eastAsia" w:ascii="宋体" w:hAnsi="宋体"/>
          <w:kern w:val="0"/>
          <w:sz w:val="48"/>
          <w:szCs w:val="48"/>
        </w:rPr>
        <w:t>月</w:t>
      </w:r>
    </w:p>
    <w:p>
      <w:pPr>
        <w:spacing w:line="360" w:lineRule="auto"/>
        <w:jc w:val="center"/>
        <w:rPr>
          <w:rFonts w:hint="eastAsia" w:asciiTheme="minorEastAsia" w:hAnsiTheme="minorEastAsia" w:eastAsiaTheme="minorEastAsia" w:cstheme="minorEastAsia"/>
          <w:b/>
          <w:bCs/>
          <w:w w:val="90"/>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459200613"/>
      <w:bookmarkStart w:id="1" w:name="_Toc440962585"/>
      <w:bookmarkStart w:id="2" w:name="_Toc13881"/>
    </w:p>
    <w:p>
      <w:pPr>
        <w:spacing w:line="360" w:lineRule="auto"/>
        <w:jc w:val="center"/>
        <w:rPr>
          <w:rFonts w:hint="eastAsia" w:asciiTheme="minorEastAsia" w:hAnsiTheme="minorEastAsia" w:eastAsiaTheme="minorEastAsia" w:cstheme="minorEastAsia"/>
          <w:b/>
          <w:bCs/>
          <w:w w:val="90"/>
          <w:sz w:val="28"/>
          <w:szCs w:val="28"/>
        </w:rPr>
      </w:pPr>
      <w:r>
        <w:rPr>
          <w:rFonts w:hint="eastAsia" w:asciiTheme="minorEastAsia" w:hAnsiTheme="minorEastAsia" w:eastAsiaTheme="minorEastAsia" w:cstheme="minorEastAsia"/>
          <w:b/>
          <w:bCs/>
          <w:w w:val="90"/>
          <w:sz w:val="28"/>
          <w:szCs w:val="28"/>
        </w:rPr>
        <w:t>目 录</w:t>
      </w:r>
      <w:bookmarkEnd w:id="0"/>
    </w:p>
    <w:p>
      <w:pPr>
        <w:pStyle w:val="13"/>
        <w:tabs>
          <w:tab w:val="right" w:leader="dot" w:pos="8306"/>
        </w:tabs>
        <w:rPr>
          <w:rFonts w:hint="eastAsia" w:ascii="宋体" w:hAnsi="宋体" w:eastAsia="宋体" w:cs="宋体"/>
          <w:sz w:val="28"/>
          <w:szCs w:val="28"/>
        </w:rPr>
      </w:pPr>
      <w:bookmarkStart w:id="3" w:name="_Toc459200614"/>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TOC \o "1-2" \h \z \u </w:instrText>
      </w:r>
      <w:r>
        <w:rPr>
          <w:rFonts w:hint="eastAsia" w:ascii="宋体" w:hAnsi="宋体" w:eastAsia="宋体" w:cs="宋体"/>
          <w:b/>
          <w:bCs/>
          <w:sz w:val="28"/>
          <w:szCs w:val="28"/>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_Toc20628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一、 项目概况及招标范围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_Toc20628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_Toc30636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 项目概况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_Toc30636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_Toc20368 </w:instrText>
      </w:r>
      <w:r>
        <w:rPr>
          <w:rFonts w:hint="eastAsia" w:ascii="宋体" w:hAnsi="宋体" w:eastAsia="宋体" w:cs="宋体"/>
          <w:bCs/>
          <w:sz w:val="28"/>
          <w:szCs w:val="28"/>
        </w:rPr>
        <w:fldChar w:fldCharType="separate"/>
      </w:r>
      <w:r>
        <w:rPr>
          <w:rFonts w:hint="eastAsia" w:ascii="宋体" w:hAnsi="宋体" w:eastAsia="宋体" w:cs="宋体"/>
          <w:sz w:val="28"/>
          <w:szCs w:val="28"/>
          <w:highlight w:val="none"/>
        </w:rPr>
        <w:t>（二）招标范围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_Toc20368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_Toc31629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二、 项目服务期限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_Toc31629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_Toc19210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三、 相关技术标准及规范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_Toc19210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_Toc22244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四、 项目管控要求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_Toc22244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_Toc9814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五、 项目实施要求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_Toc9814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_Toc11917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六、 项目验收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_Toc11917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_Toc28779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(一) 项目验收的组织机构、验收程序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_Toc28779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_Toc466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(二) 验收标准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_Toc466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_Toc4555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(三) 验收成果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_Toc4555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_Toc31173 </w:instrText>
      </w:r>
      <w:r>
        <w:rPr>
          <w:rFonts w:hint="eastAsia" w:ascii="宋体" w:hAnsi="宋体" w:eastAsia="宋体" w:cs="宋体"/>
          <w:bCs/>
          <w:sz w:val="28"/>
          <w:szCs w:val="28"/>
        </w:rPr>
        <w:fldChar w:fldCharType="separate"/>
      </w:r>
      <w:r>
        <w:rPr>
          <w:rFonts w:hint="eastAsia" w:ascii="宋体" w:hAnsi="宋体" w:eastAsia="宋体" w:cs="宋体"/>
          <w:bCs w:val="0"/>
          <w:i w:val="0"/>
          <w:iCs w:val="0"/>
          <w:sz w:val="28"/>
          <w:szCs w:val="28"/>
          <w:lang w:eastAsia="zh-CN"/>
        </w:rPr>
        <w:t>七、考核标准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_Toc31173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spacing w:line="360" w:lineRule="auto"/>
        <w:rPr>
          <w:rFonts w:hint="eastAsia" w:ascii="宋体" w:hAnsi="宋体" w:eastAsia="宋体" w:cs="宋体"/>
          <w:bCs/>
          <w:sz w:val="28"/>
          <w:szCs w:val="28"/>
        </w:rPr>
      </w:pPr>
      <w:r>
        <w:rPr>
          <w:rFonts w:hint="eastAsia" w:ascii="宋体" w:hAnsi="宋体" w:eastAsia="宋体" w:cs="宋体"/>
          <w:bCs/>
          <w:sz w:val="28"/>
          <w:szCs w:val="28"/>
        </w:rPr>
        <w:fldChar w:fldCharType="end"/>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3037"/>
        </w:tabs>
        <w:bidi w:val="0"/>
        <w:jc w:val="left"/>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ab/>
      </w:r>
    </w:p>
    <w:p>
      <w:pPr>
        <w:pStyle w:val="13"/>
        <w:numPr>
          <w:ilvl w:val="0"/>
          <w:numId w:val="2"/>
        </w:numPr>
        <w:tabs>
          <w:tab w:val="right" w:leader="dot" w:pos="8306"/>
        </w:tabs>
        <w:adjustRightInd w:val="0"/>
        <w:snapToGrid w:val="0"/>
        <w:spacing w:line="560" w:lineRule="exact"/>
        <w:ind w:left="0" w:leftChars="0" w:firstLine="420" w:firstLineChars="0"/>
        <w:outlineLvl w:val="0"/>
        <w:rPr>
          <w:rFonts w:ascii="黑体" w:hAnsi="黑体" w:eastAsia="黑体" w:cs="黑体"/>
          <w:bCs/>
          <w:sz w:val="32"/>
          <w:szCs w:val="32"/>
        </w:rPr>
      </w:pPr>
      <w:bookmarkStart w:id="4" w:name="_Toc20628"/>
      <w:r>
        <w:rPr>
          <w:rFonts w:hint="eastAsia" w:ascii="黑体" w:hAnsi="黑体" w:eastAsia="黑体" w:cs="黑体"/>
          <w:bCs/>
          <w:sz w:val="32"/>
          <w:szCs w:val="32"/>
        </w:rPr>
        <w:t>项目概况及招标范围</w:t>
      </w:r>
      <w:bookmarkEnd w:id="1"/>
      <w:bookmarkEnd w:id="2"/>
      <w:bookmarkEnd w:id="3"/>
      <w:bookmarkEnd w:id="4"/>
    </w:p>
    <w:p>
      <w:pPr>
        <w:pStyle w:val="28"/>
        <w:numPr>
          <w:ilvl w:val="0"/>
          <w:numId w:val="3"/>
        </w:numPr>
        <w:spacing w:line="560" w:lineRule="exact"/>
        <w:ind w:firstLine="640" w:firstLineChars="200"/>
        <w:jc w:val="both"/>
        <w:outlineLvl w:val="1"/>
        <w:rPr>
          <w:rFonts w:hint="eastAsia" w:ascii="楷体_GB2312" w:hAnsi="宋体" w:eastAsia="楷体_GB2312" w:cs="宋体"/>
          <w:sz w:val="32"/>
          <w:szCs w:val="32"/>
        </w:rPr>
      </w:pPr>
      <w:bookmarkStart w:id="5" w:name="_Toc30636"/>
      <w:bookmarkStart w:id="6" w:name="_Toc23676"/>
      <w:bookmarkStart w:id="7" w:name="OLE_LINK3"/>
      <w:bookmarkStart w:id="8" w:name="OLE_LINK4"/>
      <w:bookmarkStart w:id="9" w:name="_Toc326847763"/>
      <w:r>
        <w:rPr>
          <w:rFonts w:hint="eastAsia" w:ascii="楷体_GB2312" w:hAnsi="宋体" w:eastAsia="楷体_GB2312" w:cs="宋体"/>
          <w:sz w:val="32"/>
          <w:szCs w:val="32"/>
        </w:rPr>
        <w:t>项目概况</w:t>
      </w:r>
      <w:bookmarkEnd w:id="5"/>
      <w:bookmarkEnd w:id="6"/>
    </w:p>
    <w:p>
      <w:pPr>
        <w:keepNext w:val="0"/>
        <w:keepLines w:val="0"/>
        <w:widowControl/>
        <w:suppressLineNumbers w:val="0"/>
        <w:ind w:firstLine="640" w:firstLineChars="200"/>
        <w:jc w:val="left"/>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lang w:val="en-US" w:eastAsia="zh-CN" w:bidi="ar-SA"/>
        </w:rPr>
        <w:t>长沙市轨道交</w:t>
      </w:r>
      <w:r>
        <w:rPr>
          <w:rFonts w:hint="eastAsia" w:ascii="仿宋_GB2312" w:hAnsi="仿宋_GB2312" w:eastAsia="仿宋_GB2312" w:cs="仿宋_GB2312"/>
          <w:bCs/>
          <w:kern w:val="2"/>
          <w:sz w:val="32"/>
          <w:szCs w:val="32"/>
          <w:highlight w:val="none"/>
          <w:lang w:val="en-US" w:eastAsia="zh-CN" w:bidi="ar-SA"/>
        </w:rPr>
        <w:t>通1号线北延线</w:t>
      </w:r>
      <w:r>
        <w:rPr>
          <w:rFonts w:hint="eastAsia" w:ascii="仿宋_GB2312" w:hAnsi="仿宋_GB2312" w:eastAsia="仿宋_GB2312" w:cs="仿宋_GB2312"/>
          <w:bCs/>
          <w:color w:val="auto"/>
          <w:kern w:val="2"/>
          <w:sz w:val="32"/>
          <w:szCs w:val="32"/>
          <w:highlight w:val="none"/>
          <w:lang w:val="en-US" w:eastAsia="zh-CN" w:bidi="ar-SA"/>
        </w:rPr>
        <w:t>一期</w:t>
      </w:r>
      <w:r>
        <w:rPr>
          <w:rFonts w:hint="eastAsia" w:ascii="仿宋_GB2312" w:hAnsi="仿宋_GB2312" w:eastAsia="仿宋_GB2312" w:cs="仿宋_GB2312"/>
          <w:bCs/>
          <w:kern w:val="2"/>
          <w:sz w:val="32"/>
          <w:szCs w:val="32"/>
          <w:highlight w:val="none"/>
          <w:lang w:val="en-US" w:eastAsia="zh-CN" w:bidi="ar-SA"/>
        </w:rPr>
        <w:t>工程范围为开福区彩霞路站至开福区湘绣城站，线路全长9.839公里，共设车站5座，高架车站2座，地下车站3座。其中彩霞路站、青竹湖路站为高架站，冯蔡路站、周南中学站、湘绣城站为地下站，工程设沙河停车场1座，与既有1号线一期工程共享盛世主变、杜花路控制中心；与1至5 号线共用 2号线杜花路控制中心。车站名称分别为彩霞路、青竹湖路、冯蔡路、周南中学、湘绣城。</w:t>
      </w:r>
    </w:p>
    <w:p>
      <w:pPr>
        <w:keepNext w:val="0"/>
        <w:keepLines w:val="0"/>
        <w:widowControl/>
        <w:suppressLineNumbers w:val="0"/>
        <w:ind w:firstLine="640" w:firstLineChars="200"/>
        <w:jc w:val="left"/>
        <w:rPr>
          <w:rFonts w:hint="default"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长沙市轨道交通第二控制中心位于长沙市</w:t>
      </w:r>
      <w:r>
        <w:rPr>
          <w:rFonts w:hint="eastAsia" w:ascii="仿宋_GB2312" w:hAnsi="仿宋_GB2312" w:eastAsia="仿宋_GB2312" w:cs="仿宋_GB2312"/>
          <w:bCs/>
          <w:color w:val="auto"/>
          <w:kern w:val="2"/>
          <w:sz w:val="32"/>
          <w:szCs w:val="32"/>
          <w:highlight w:val="none"/>
          <w:lang w:val="en-US" w:eastAsia="zh-CN" w:bidi="ar-SA"/>
        </w:rPr>
        <w:t>高铁会展新城片区，杜花路与黎托路交汇处西北地块。设置全市轨道交通线网级指挥中心（20 条线，含第一控制中心已规划的5条线和2条预留线）、清分中心等针对全线网系统的相关功能。项目总建筑面积为94957.69</w:t>
      </w:r>
      <w:r>
        <w:rPr>
          <w:rFonts w:hint="default" w:ascii="Arial" w:hAnsi="Arial" w:eastAsia="仿宋_GB2312" w:cs="Arial"/>
          <w:bCs/>
          <w:color w:val="auto"/>
          <w:kern w:val="2"/>
          <w:sz w:val="32"/>
          <w:szCs w:val="32"/>
          <w:highlight w:val="none"/>
          <w:lang w:val="en-US" w:eastAsia="zh-CN" w:bidi="ar-SA"/>
        </w:rPr>
        <w:t>㎡</w:t>
      </w:r>
      <w:r>
        <w:rPr>
          <w:rFonts w:hint="eastAsia" w:ascii="仿宋_GB2312" w:hAnsi="仿宋_GB2312" w:eastAsia="仿宋_GB2312" w:cs="仿宋_GB2312"/>
          <w:bCs/>
          <w:color w:val="auto"/>
          <w:kern w:val="2"/>
          <w:sz w:val="32"/>
          <w:szCs w:val="32"/>
          <w:highlight w:val="none"/>
          <w:lang w:val="en-US" w:eastAsia="zh-CN" w:bidi="ar-SA"/>
        </w:rPr>
        <w:t>，建筑高度为72.0m。主要由16层的轨道交通控制中心和4层地下室组成，轨道交通控制中心的使用功能为设备用房及办公，地下室使用功能为车库及设备机房。</w:t>
      </w:r>
    </w:p>
    <w:bookmarkEnd w:id="7"/>
    <w:bookmarkEnd w:id="8"/>
    <w:bookmarkEnd w:id="9"/>
    <w:p>
      <w:pPr>
        <w:pStyle w:val="28"/>
        <w:spacing w:line="560" w:lineRule="exact"/>
        <w:ind w:firstLine="640" w:firstLineChars="200"/>
        <w:jc w:val="both"/>
        <w:outlineLvl w:val="1"/>
        <w:rPr>
          <w:rFonts w:ascii="楷体_GB2312" w:hAnsi="宋体" w:eastAsia="楷体_GB2312" w:cs="宋体"/>
          <w:color w:val="auto"/>
          <w:sz w:val="32"/>
          <w:szCs w:val="32"/>
          <w:highlight w:val="none"/>
        </w:rPr>
      </w:pPr>
      <w:bookmarkStart w:id="10" w:name="_Toc20368"/>
      <w:bookmarkStart w:id="11" w:name="_Toc13827"/>
      <w:r>
        <w:rPr>
          <w:rFonts w:hint="eastAsia" w:ascii="楷体_GB2312" w:hAnsi="宋体" w:eastAsia="楷体_GB2312" w:cs="宋体"/>
          <w:color w:val="auto"/>
          <w:sz w:val="32"/>
          <w:szCs w:val="32"/>
          <w:highlight w:val="none"/>
        </w:rPr>
        <w:t>（二）招标范围</w:t>
      </w:r>
      <w:bookmarkEnd w:id="10"/>
      <w:bookmarkEnd w:id="11"/>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highlight w:val="none"/>
          <w:lang w:eastAsia="zh-CN"/>
        </w:rPr>
        <w:t>本次采购主要为</w:t>
      </w:r>
      <w:r>
        <w:rPr>
          <w:rFonts w:hint="eastAsia" w:ascii="仿宋_GB2312" w:hAnsi="仿宋_GB2312" w:eastAsia="仿宋_GB2312" w:cs="仿宋_GB2312"/>
          <w:bCs/>
          <w:color w:val="auto"/>
          <w:sz w:val="32"/>
          <w:szCs w:val="32"/>
          <w:highlight w:val="none"/>
          <w:lang w:val="en-US" w:eastAsia="zh-CN"/>
        </w:rPr>
        <w:t>长沙市轨道交通1号线北延线一期运营</w:t>
      </w:r>
      <w:r>
        <w:rPr>
          <w:rFonts w:hint="eastAsia" w:ascii="仿宋_GB2312" w:hAnsi="仿宋_GB2312" w:eastAsia="仿宋_GB2312" w:cs="仿宋_GB2312"/>
          <w:bCs/>
          <w:color w:val="auto"/>
          <w:sz w:val="32"/>
          <w:szCs w:val="32"/>
          <w:lang w:val="en-US" w:eastAsia="zh-CN"/>
        </w:rPr>
        <w:t>期</w:t>
      </w:r>
      <w:r>
        <w:rPr>
          <w:rFonts w:hint="eastAsia" w:ascii="仿宋_GB2312" w:hAnsi="仿宋_GB2312" w:eastAsia="仿宋_GB2312" w:cs="仿宋_GB2312"/>
          <w:bCs/>
          <w:color w:val="auto"/>
          <w:sz w:val="32"/>
          <w:szCs w:val="32"/>
        </w:rPr>
        <w:t>财产一切险附加机器损坏险</w:t>
      </w:r>
      <w:r>
        <w:rPr>
          <w:rFonts w:hint="eastAsia" w:ascii="仿宋_GB2312" w:hAnsi="仿宋_GB2312" w:eastAsia="仿宋_GB2312" w:cs="仿宋_GB2312"/>
          <w:bCs/>
          <w:color w:val="auto"/>
          <w:sz w:val="32"/>
          <w:szCs w:val="32"/>
          <w:lang w:eastAsia="zh-CN"/>
        </w:rPr>
        <w:t>、</w:t>
      </w:r>
      <w:r>
        <w:rPr>
          <w:rFonts w:hint="eastAsia" w:ascii="仿宋_GB2312" w:hAnsi="宋体" w:eastAsia="仿宋_GB2312" w:cs="宋体"/>
          <w:color w:val="auto"/>
          <w:sz w:val="32"/>
          <w:szCs w:val="32"/>
          <w:lang w:eastAsia="zh-CN"/>
        </w:rPr>
        <w:t>安全生产责任保险，第二控制中心</w:t>
      </w:r>
      <w:r>
        <w:rPr>
          <w:rFonts w:hint="eastAsia" w:ascii="仿宋_GB2312" w:hAnsi="仿宋_GB2312" w:eastAsia="仿宋_GB2312" w:cs="仿宋_GB2312"/>
          <w:bCs/>
          <w:color w:val="auto"/>
          <w:sz w:val="32"/>
          <w:szCs w:val="32"/>
          <w:lang w:val="en-US" w:eastAsia="zh-CN"/>
        </w:rPr>
        <w:t>运营期</w:t>
      </w:r>
      <w:r>
        <w:rPr>
          <w:rFonts w:hint="eastAsia" w:ascii="仿宋_GB2312" w:hAnsi="仿宋_GB2312" w:eastAsia="仿宋_GB2312" w:cs="仿宋_GB2312"/>
          <w:bCs/>
          <w:color w:val="auto"/>
          <w:sz w:val="32"/>
          <w:szCs w:val="32"/>
        </w:rPr>
        <w:t>财产一切险附加机器损坏险。</w:t>
      </w:r>
    </w:p>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12" w:name="_Toc459200615"/>
      <w:bookmarkStart w:id="13" w:name="_Toc31629"/>
      <w:r>
        <w:rPr>
          <w:rFonts w:hint="eastAsia" w:ascii="黑体" w:hAnsi="黑体" w:eastAsia="黑体" w:cs="黑体"/>
          <w:bCs/>
          <w:color w:val="auto"/>
          <w:sz w:val="32"/>
          <w:szCs w:val="32"/>
        </w:rPr>
        <w:t>项目</w:t>
      </w:r>
      <w:bookmarkEnd w:id="12"/>
      <w:r>
        <w:rPr>
          <w:rFonts w:hint="eastAsia" w:ascii="黑体" w:hAnsi="黑体" w:eastAsia="黑体" w:cs="黑体"/>
          <w:bCs/>
          <w:color w:val="auto"/>
          <w:sz w:val="32"/>
          <w:szCs w:val="32"/>
        </w:rPr>
        <w:t>服务期限</w:t>
      </w:r>
      <w:bookmarkEnd w:id="1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1号线北延线一期</w:t>
      </w:r>
      <w:r>
        <w:rPr>
          <w:rFonts w:hint="eastAsia" w:ascii="仿宋_GB2312" w:hAnsi="宋体" w:eastAsia="仿宋_GB2312" w:cs="宋体"/>
          <w:color w:val="auto"/>
          <w:sz w:val="32"/>
          <w:szCs w:val="32"/>
          <w:highlight w:val="none"/>
        </w:rPr>
        <w:t>服务期限</w:t>
      </w:r>
      <w:r>
        <w:rPr>
          <w:rFonts w:hint="eastAsia" w:ascii="仿宋_GB2312" w:hAnsi="宋体" w:eastAsia="仿宋_GB2312" w:cs="宋体"/>
          <w:color w:val="auto"/>
          <w:sz w:val="32"/>
          <w:szCs w:val="32"/>
          <w:highlight w:val="none"/>
          <w:lang w:val="en-US" w:eastAsia="zh-CN"/>
        </w:rPr>
        <w:t>为一年</w:t>
      </w:r>
      <w:r>
        <w:rPr>
          <w:rFonts w:hint="eastAsia" w:ascii="仿宋_GB2312" w:hAnsi="宋体" w:eastAsia="仿宋_GB2312" w:cs="宋体"/>
          <w:color w:val="auto"/>
          <w:sz w:val="32"/>
          <w:szCs w:val="32"/>
          <w:highlight w:val="none"/>
          <w:lang w:eastAsia="zh-CN"/>
        </w:rPr>
        <w:t>，</w:t>
      </w:r>
      <w:r>
        <w:rPr>
          <w:rFonts w:hint="eastAsia" w:ascii="仿宋_GB2312" w:hAnsi="仿宋_GB2312" w:eastAsia="仿宋_GB2312" w:cs="仿宋_GB2312"/>
          <w:bCs/>
          <w:color w:val="auto"/>
          <w:sz w:val="32"/>
          <w:szCs w:val="32"/>
          <w:u w:val="none"/>
          <w:lang w:val="en-US" w:eastAsia="zh-CN"/>
        </w:rPr>
        <w:t>从2024年起至2025年止</w:t>
      </w:r>
      <w:r>
        <w:rPr>
          <w:rFonts w:hint="eastAsia" w:ascii="仿宋_GB2312" w:hAnsi="仿宋_GB2312" w:eastAsia="仿宋_GB2312" w:cs="仿宋_GB2312"/>
          <w:bCs/>
          <w:color w:val="auto"/>
          <w:sz w:val="32"/>
          <w:szCs w:val="32"/>
          <w:u w:val="none"/>
        </w:rPr>
        <w:t>总计</w:t>
      </w:r>
      <w:r>
        <w:rPr>
          <w:rFonts w:hint="eastAsia" w:ascii="仿宋_GB2312" w:hAnsi="仿宋_GB2312" w:eastAsia="仿宋_GB2312" w:cs="仿宋_GB2312"/>
          <w:bCs/>
          <w:color w:val="auto"/>
          <w:sz w:val="32"/>
          <w:szCs w:val="32"/>
          <w:lang w:val="en-US" w:eastAsia="zh-CN"/>
        </w:rPr>
        <w:t>12个月（</w:t>
      </w:r>
      <w:r>
        <w:rPr>
          <w:rFonts w:hint="eastAsia" w:ascii="仿宋_GB2312" w:hAnsi="仿宋_GB2312" w:eastAsia="仿宋_GB2312" w:cs="仿宋_GB2312"/>
          <w:bCs/>
          <w:color w:val="auto"/>
          <w:sz w:val="32"/>
          <w:szCs w:val="32"/>
          <w:u w:val="none"/>
          <w:lang w:val="en-US" w:eastAsia="zh-CN"/>
        </w:rPr>
        <w:t>具体服务时间按实际出单日期起保，实际出单日需满足采购人的起保要求</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第二控制中心</w:t>
      </w:r>
      <w:r>
        <w:rPr>
          <w:rFonts w:hint="eastAsia" w:ascii="仿宋_GB2312" w:hAnsi="仿宋_GB2312" w:eastAsia="仿宋_GB2312" w:cs="仿宋_GB2312"/>
          <w:bCs/>
          <w:color w:val="auto"/>
          <w:sz w:val="32"/>
          <w:szCs w:val="32"/>
          <w:u w:val="none"/>
        </w:rPr>
        <w:t>服务期为</w:t>
      </w:r>
      <w:r>
        <w:rPr>
          <w:rFonts w:hint="eastAsia" w:ascii="仿宋_GB2312" w:hAnsi="仿宋_GB2312" w:eastAsia="仿宋_GB2312" w:cs="仿宋_GB2312"/>
          <w:bCs/>
          <w:color w:val="auto"/>
          <w:sz w:val="32"/>
          <w:szCs w:val="32"/>
          <w:u w:val="none"/>
          <w:lang w:val="en-US" w:eastAsia="zh-CN"/>
        </w:rPr>
        <w:t>一</w:t>
      </w:r>
      <w:r>
        <w:rPr>
          <w:rFonts w:hint="eastAsia" w:ascii="仿宋_GB2312" w:hAnsi="仿宋_GB2312" w:eastAsia="仿宋_GB2312" w:cs="仿宋_GB2312"/>
          <w:bCs/>
          <w:color w:val="auto"/>
          <w:sz w:val="32"/>
          <w:szCs w:val="32"/>
          <w:u w:val="none"/>
          <w:lang w:eastAsia="zh-CN"/>
        </w:rPr>
        <w:t>年</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从2023年起至2024年止</w:t>
      </w:r>
      <w:r>
        <w:rPr>
          <w:rFonts w:hint="eastAsia" w:ascii="仿宋_GB2312" w:hAnsi="仿宋_GB2312" w:eastAsia="仿宋_GB2312" w:cs="仿宋_GB2312"/>
          <w:bCs/>
          <w:color w:val="auto"/>
          <w:sz w:val="32"/>
          <w:szCs w:val="32"/>
          <w:u w:val="none"/>
        </w:rPr>
        <w:t>总计</w:t>
      </w:r>
      <w:r>
        <w:rPr>
          <w:rFonts w:hint="eastAsia" w:ascii="仿宋_GB2312" w:hAnsi="仿宋_GB2312" w:eastAsia="仿宋_GB2312" w:cs="仿宋_GB2312"/>
          <w:bCs/>
          <w:color w:val="auto"/>
          <w:sz w:val="32"/>
          <w:szCs w:val="32"/>
          <w:lang w:val="en-US" w:eastAsia="zh-CN"/>
        </w:rPr>
        <w:t>12个月（</w:t>
      </w:r>
      <w:r>
        <w:rPr>
          <w:rFonts w:hint="eastAsia" w:ascii="仿宋_GB2312" w:hAnsi="仿宋_GB2312" w:eastAsia="仿宋_GB2312" w:cs="仿宋_GB2312"/>
          <w:bCs/>
          <w:color w:val="auto"/>
          <w:sz w:val="32"/>
          <w:szCs w:val="32"/>
          <w:u w:val="none"/>
          <w:lang w:val="en-US" w:eastAsia="zh-CN"/>
        </w:rPr>
        <w:t>具体服务时间按实际出单日期起保，实际出单日需满足采购人的起保要求</w:t>
      </w:r>
      <w:r>
        <w:rPr>
          <w:rFonts w:hint="eastAsia" w:ascii="仿宋_GB2312" w:hAnsi="仿宋_GB2312" w:eastAsia="仿宋_GB2312" w:cs="仿宋_GB2312"/>
          <w:bCs/>
          <w:color w:val="auto"/>
          <w:sz w:val="32"/>
          <w:szCs w:val="32"/>
          <w:lang w:val="en-US" w:eastAsia="zh-CN"/>
        </w:rPr>
        <w:t>）。</w:t>
      </w:r>
    </w:p>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14" w:name="_Toc2670"/>
      <w:bookmarkStart w:id="15" w:name="_Toc3805"/>
      <w:bookmarkStart w:id="16" w:name="_Toc19210"/>
      <w:r>
        <w:rPr>
          <w:rFonts w:hint="eastAsia" w:ascii="黑体" w:hAnsi="黑体" w:eastAsia="黑体" w:cs="黑体"/>
          <w:bCs/>
          <w:color w:val="auto"/>
          <w:sz w:val="32"/>
          <w:szCs w:val="32"/>
        </w:rPr>
        <w:t>相关技术标准及规范</w:t>
      </w:r>
      <w:bookmarkEnd w:id="14"/>
      <w:bookmarkEnd w:id="15"/>
      <w:bookmarkEnd w:id="16"/>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供应商</w:t>
      </w:r>
      <w:r>
        <w:rPr>
          <w:rFonts w:hint="eastAsia" w:ascii="仿宋_GB2312" w:hAnsi="仿宋_GB2312" w:eastAsia="仿宋_GB2312" w:cs="仿宋_GB2312"/>
          <w:bCs/>
          <w:color w:val="auto"/>
          <w:sz w:val="32"/>
          <w:szCs w:val="32"/>
        </w:rPr>
        <w:t>应严格按照下列法律法规执行，以下标准如有更新，须按最新标准执行：</w:t>
      </w:r>
    </w:p>
    <w:tbl>
      <w:tblPr>
        <w:tblStyle w:val="16"/>
        <w:tblW w:w="9278" w:type="dxa"/>
        <w:jc w:val="center"/>
        <w:tblLayout w:type="fixed"/>
        <w:tblCellMar>
          <w:top w:w="15" w:type="dxa"/>
          <w:left w:w="15" w:type="dxa"/>
          <w:bottom w:w="15" w:type="dxa"/>
          <w:right w:w="15" w:type="dxa"/>
        </w:tblCellMar>
      </w:tblPr>
      <w:tblGrid>
        <w:gridCol w:w="1166"/>
        <w:gridCol w:w="2434"/>
        <w:gridCol w:w="5678"/>
      </w:tblGrid>
      <w:tr>
        <w:tblPrEx>
          <w:tblCellMar>
            <w:top w:w="15" w:type="dxa"/>
            <w:left w:w="15" w:type="dxa"/>
            <w:bottom w:w="15" w:type="dxa"/>
            <w:right w:w="15" w:type="dxa"/>
          </w:tblCellMar>
        </w:tblPrEx>
        <w:trPr>
          <w:trHeight w:val="420" w:hRule="atLeast"/>
          <w:jc w:val="center"/>
        </w:trPr>
        <w:tc>
          <w:tcPr>
            <w:tcW w:w="927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firstLineChars="20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表一</w:t>
            </w:r>
            <w:r>
              <w:rPr>
                <w:rFonts w:hint="eastAsia" w:ascii="宋体" w:hAnsi="宋体" w:cs="宋体"/>
                <w:b/>
                <w:color w:val="auto"/>
                <w:kern w:val="0"/>
                <w:sz w:val="21"/>
                <w:szCs w:val="21"/>
                <w:lang w:eastAsia="zh-CN" w:bidi="ar"/>
              </w:rPr>
              <w:t>：</w:t>
            </w:r>
            <w:r>
              <w:rPr>
                <w:rFonts w:hint="eastAsia" w:ascii="宋体" w:hAnsi="宋体" w:cs="宋体"/>
                <w:b/>
                <w:color w:val="auto"/>
                <w:kern w:val="0"/>
                <w:sz w:val="21"/>
                <w:szCs w:val="21"/>
                <w:lang w:bidi="ar"/>
              </w:rPr>
              <w:t>标准汇总表</w:t>
            </w:r>
          </w:p>
        </w:tc>
      </w:tr>
      <w:tr>
        <w:tblPrEx>
          <w:tblCellMar>
            <w:top w:w="15" w:type="dxa"/>
            <w:left w:w="15" w:type="dxa"/>
            <w:bottom w:w="15" w:type="dxa"/>
            <w:right w:w="15" w:type="dxa"/>
          </w:tblCellMar>
        </w:tblPrEx>
        <w:trPr>
          <w:trHeight w:val="123" w:hRule="atLeast"/>
          <w:jc w:val="center"/>
        </w:trPr>
        <w:tc>
          <w:tcPr>
            <w:tcW w:w="1166"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序号</w:t>
            </w:r>
          </w:p>
        </w:tc>
        <w:tc>
          <w:tcPr>
            <w:tcW w:w="2434"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标准代号</w:t>
            </w:r>
          </w:p>
        </w:tc>
        <w:tc>
          <w:tcPr>
            <w:tcW w:w="567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标准名称</w:t>
            </w:r>
          </w:p>
        </w:tc>
      </w:tr>
      <w:tr>
        <w:tblPrEx>
          <w:tblCellMar>
            <w:top w:w="15" w:type="dxa"/>
            <w:left w:w="15" w:type="dxa"/>
            <w:bottom w:w="15" w:type="dxa"/>
            <w:right w:w="15" w:type="dxa"/>
          </w:tblCellMar>
        </w:tblPrEx>
        <w:trPr>
          <w:trHeight w:val="497" w:hRule="atLeast"/>
          <w:jc w:val="center"/>
        </w:trPr>
        <w:tc>
          <w:tcPr>
            <w:tcW w:w="1166" w:type="dxa"/>
            <w:tcBorders>
              <w:top w:val="single" w:color="auto"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2434" w:type="dxa"/>
            <w:tcBorders>
              <w:top w:val="single" w:color="auto"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auto"/>
                <w:sz w:val="21"/>
                <w:szCs w:val="21"/>
              </w:rPr>
            </w:pPr>
            <w:r>
              <w:rPr>
                <w:rFonts w:hint="eastAsia" w:ascii="宋体" w:hAnsi="宋体" w:cs="宋体"/>
                <w:color w:val="auto"/>
                <w:w w:val="90"/>
                <w:sz w:val="21"/>
                <w:szCs w:val="21"/>
                <w:u w:val="none"/>
              </w:rPr>
              <w:t>主席令第26号</w:t>
            </w:r>
          </w:p>
        </w:tc>
        <w:tc>
          <w:tcPr>
            <w:tcW w:w="5678" w:type="dxa"/>
            <w:tcBorders>
              <w:top w:val="single" w:color="auto" w:sz="4" w:space="0"/>
              <w:left w:val="single" w:color="000000" w:sz="4" w:space="0"/>
              <w:bottom w:val="single" w:color="000000" w:sz="4" w:space="0"/>
              <w:right w:val="single" w:color="000000" w:sz="4" w:space="0"/>
            </w:tcBorders>
            <w:vAlign w:val="center"/>
          </w:tcPr>
          <w:p>
            <w:pPr>
              <w:ind w:left="0" w:leftChars="0" w:right="0" w:rightChars="0" w:firstLine="0" w:firstLineChars="0"/>
              <w:jc w:val="center"/>
              <w:rPr>
                <w:rFonts w:ascii="宋体" w:hAnsi="宋体" w:cs="宋体"/>
                <w:color w:val="auto"/>
                <w:sz w:val="21"/>
                <w:szCs w:val="21"/>
              </w:rPr>
            </w:pPr>
            <w:r>
              <w:rPr>
                <w:rFonts w:hint="eastAsia" w:ascii="宋体" w:hAnsi="宋体" w:cs="宋体"/>
                <w:color w:val="auto"/>
                <w:w w:val="90"/>
                <w:sz w:val="21"/>
                <w:szCs w:val="21"/>
                <w:u w:val="none"/>
              </w:rPr>
              <w:t>《中华人民共和国保险法》</w:t>
            </w:r>
          </w:p>
        </w:tc>
      </w:tr>
    </w:tbl>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17" w:name="_Toc17239"/>
      <w:bookmarkStart w:id="18" w:name="_Toc24938"/>
      <w:bookmarkStart w:id="19" w:name="_Toc22244"/>
      <w:bookmarkStart w:id="20" w:name="_Toc10554"/>
      <w:r>
        <w:rPr>
          <w:rFonts w:hint="eastAsia" w:ascii="黑体" w:hAnsi="黑体" w:eastAsia="黑体" w:cs="黑体"/>
          <w:bCs/>
          <w:color w:val="auto"/>
          <w:sz w:val="32"/>
          <w:szCs w:val="32"/>
        </w:rPr>
        <w:t>项目管控要求</w:t>
      </w:r>
      <w:bookmarkEnd w:id="17"/>
      <w:bookmarkEnd w:id="18"/>
      <w:bookmarkEnd w:id="19"/>
      <w:bookmarkEnd w:id="20"/>
    </w:p>
    <w:p>
      <w:pPr>
        <w:spacing w:line="56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供应商</w:t>
      </w:r>
      <w:r>
        <w:rPr>
          <w:rFonts w:hint="eastAsia" w:ascii="仿宋_GB2312" w:hAnsi="仿宋_GB2312" w:eastAsia="仿宋_GB2312" w:cs="仿宋_GB2312"/>
          <w:bCs/>
          <w:color w:val="auto"/>
          <w:sz w:val="32"/>
          <w:szCs w:val="32"/>
          <w:u w:val="none"/>
        </w:rPr>
        <w:t>须设立项目服务小组</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成员组成为：专项组长1名，专项副组长3名，日常联系专员3名，防损防灾服务专员1名，核保服务专员1名，核赔服务专员1名，现场理赔服务专员2名，数据统计专员1名。</w:t>
      </w:r>
    </w:p>
    <w:p>
      <w:pPr>
        <w:spacing w:line="360" w:lineRule="auto"/>
        <w:ind w:firstLine="640" w:firstLineChars="200"/>
        <w:rPr>
          <w:rFonts w:ascii="宋体" w:hAnsi="宋体" w:eastAsia="宋体" w:cs="宋体"/>
          <w:bCs/>
          <w:color w:val="auto"/>
          <w:w w:val="90"/>
          <w:sz w:val="28"/>
          <w:szCs w:val="28"/>
          <w:highlight w:val="none"/>
        </w:rPr>
      </w:pPr>
      <w:bookmarkStart w:id="21" w:name="_Toc459200618"/>
      <w:r>
        <w:rPr>
          <w:rFonts w:hint="eastAsia" w:ascii="仿宋_GB2312" w:hAnsi="宋体" w:eastAsia="仿宋_GB2312" w:cs="宋体"/>
          <w:color w:val="auto"/>
          <w:sz w:val="32"/>
          <w:szCs w:val="32"/>
          <w:highlight w:val="none"/>
        </w:rPr>
        <w:t>上述项目服务小组成员未经</w:t>
      </w:r>
      <w:r>
        <w:rPr>
          <w:rFonts w:hint="eastAsia" w:ascii="仿宋_GB2312" w:hAnsi="宋体" w:eastAsia="仿宋_GB2312" w:cs="宋体"/>
          <w:color w:val="auto"/>
          <w:sz w:val="32"/>
          <w:szCs w:val="32"/>
          <w:highlight w:val="none"/>
          <w:lang w:val="en-US" w:eastAsia="zh-CN"/>
        </w:rPr>
        <w:t>采购人</w:t>
      </w:r>
      <w:r>
        <w:rPr>
          <w:rFonts w:hint="eastAsia" w:ascii="仿宋_GB2312" w:hAnsi="宋体" w:eastAsia="仿宋_GB2312" w:cs="宋体"/>
          <w:color w:val="auto"/>
          <w:sz w:val="32"/>
          <w:szCs w:val="32"/>
          <w:highlight w:val="none"/>
        </w:rPr>
        <w:t>同意不得随意更换。</w:t>
      </w:r>
    </w:p>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22" w:name="_Toc9814"/>
      <w:r>
        <w:rPr>
          <w:rFonts w:hint="eastAsia" w:ascii="黑体" w:hAnsi="黑体" w:eastAsia="黑体" w:cs="黑体"/>
          <w:bCs/>
          <w:color w:val="auto"/>
          <w:sz w:val="32"/>
          <w:szCs w:val="32"/>
        </w:rPr>
        <w:t>项目实施要求</w:t>
      </w:r>
      <w:bookmarkEnd w:id="21"/>
      <w:bookmarkEnd w:id="22"/>
    </w:p>
    <w:p>
      <w:pPr>
        <w:pStyle w:val="13"/>
        <w:numPr>
          <w:ilvl w:val="0"/>
          <w:numId w:val="0"/>
        </w:numPr>
        <w:tabs>
          <w:tab w:val="right" w:leader="dot" w:pos="8306"/>
        </w:tabs>
        <w:adjustRightInd w:val="0"/>
        <w:snapToGrid w:val="0"/>
        <w:spacing w:line="560" w:lineRule="exact"/>
        <w:ind w:left="0" w:leftChars="0" w:firstLine="640" w:firstLineChars="200"/>
        <w:outlineLvl w:val="0"/>
        <w:rPr>
          <w:rFonts w:hint="eastAsia" w:ascii="仿宋_GB2312" w:hAnsi="仿宋_GB2312" w:eastAsia="仿宋_GB2312" w:cs="仿宋_GB2312"/>
          <w:bCs/>
          <w:color w:val="auto"/>
          <w:sz w:val="32"/>
          <w:szCs w:val="32"/>
          <w:u w:val="none"/>
        </w:rPr>
      </w:pPr>
      <w:bookmarkStart w:id="23" w:name="_Toc8847"/>
      <w:bookmarkStart w:id="24" w:name="_Toc31022"/>
      <w:r>
        <w:rPr>
          <w:rFonts w:hint="eastAsia" w:ascii="仿宋_GB2312" w:hAnsi="仿宋_GB2312" w:eastAsia="仿宋_GB2312" w:cs="仿宋_GB2312"/>
          <w:bCs/>
          <w:color w:val="auto"/>
          <w:sz w:val="32"/>
          <w:szCs w:val="32"/>
          <w:u w:val="none"/>
          <w:lang w:eastAsia="zh-CN"/>
        </w:rPr>
        <w:t>供应商须</w:t>
      </w:r>
      <w:r>
        <w:rPr>
          <w:rFonts w:hint="eastAsia" w:ascii="仿宋_GB2312" w:hAnsi="仿宋_GB2312" w:eastAsia="仿宋_GB2312" w:cs="仿宋_GB2312"/>
          <w:bCs/>
          <w:color w:val="auto"/>
          <w:sz w:val="32"/>
          <w:szCs w:val="32"/>
          <w:u w:val="none"/>
        </w:rPr>
        <w:t>对下列明细中所列明的条款全部响应，条款具体内容以各</w:t>
      </w:r>
      <w:r>
        <w:rPr>
          <w:rFonts w:hint="eastAsia" w:ascii="仿宋_GB2312" w:hAnsi="仿宋_GB2312" w:eastAsia="仿宋_GB2312" w:cs="仿宋_GB2312"/>
          <w:bCs/>
          <w:color w:val="auto"/>
          <w:sz w:val="32"/>
          <w:szCs w:val="32"/>
          <w:u w:val="none"/>
          <w:lang w:eastAsia="zh-CN"/>
        </w:rPr>
        <w:t>供应商</w:t>
      </w:r>
      <w:r>
        <w:rPr>
          <w:rFonts w:hint="eastAsia" w:ascii="仿宋_GB2312" w:hAnsi="仿宋_GB2312" w:eastAsia="仿宋_GB2312" w:cs="仿宋_GB2312"/>
          <w:bCs/>
          <w:color w:val="auto"/>
          <w:sz w:val="32"/>
          <w:szCs w:val="32"/>
          <w:u w:val="none"/>
        </w:rPr>
        <w:t>向监管部门报备的条款内容为准，但须满足</w:t>
      </w:r>
      <w:r>
        <w:rPr>
          <w:rFonts w:hint="eastAsia" w:ascii="仿宋_GB2312" w:hAnsi="仿宋_GB2312" w:eastAsia="仿宋_GB2312" w:cs="仿宋_GB2312"/>
          <w:bCs/>
          <w:color w:val="auto"/>
          <w:sz w:val="32"/>
          <w:szCs w:val="32"/>
          <w:u w:val="none"/>
          <w:lang w:eastAsia="zh-CN"/>
        </w:rPr>
        <w:t>采购人</w:t>
      </w:r>
      <w:r>
        <w:rPr>
          <w:rFonts w:hint="eastAsia" w:ascii="仿宋_GB2312" w:hAnsi="仿宋_GB2312" w:eastAsia="仿宋_GB2312" w:cs="仿宋_GB2312"/>
          <w:bCs/>
          <w:color w:val="auto"/>
          <w:sz w:val="32"/>
          <w:szCs w:val="32"/>
          <w:u w:val="none"/>
        </w:rPr>
        <w:t>的服务需求。</w:t>
      </w:r>
      <w:bookmarkEnd w:id="23"/>
      <w:bookmarkEnd w:id="24"/>
    </w:p>
    <w:tbl>
      <w:tblPr>
        <w:tblStyle w:val="16"/>
        <w:tblW w:w="8973"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ind w:firstLine="2319" w:firstLineChars="1100"/>
              <w:jc w:val="both"/>
              <w:textAlignment w:val="auto"/>
              <w:rPr>
                <w:rFonts w:hint="eastAsia" w:ascii="宋体" w:hAnsi="宋体" w:eastAsia="宋体" w:cs="宋体"/>
                <w:color w:val="auto"/>
                <w:sz w:val="21"/>
                <w:szCs w:val="21"/>
              </w:rPr>
            </w:pPr>
            <w:r>
              <w:rPr>
                <w:rFonts w:hint="eastAsia" w:ascii="宋体" w:hAnsi="宋体" w:cs="宋体"/>
                <w:b/>
                <w:bCs/>
                <w:color w:val="auto"/>
                <w:sz w:val="21"/>
                <w:szCs w:val="21"/>
                <w:lang w:eastAsia="zh-CN"/>
              </w:rPr>
              <w:t>险种一</w:t>
            </w:r>
            <w:r>
              <w:rPr>
                <w:rFonts w:hint="eastAsia" w:ascii="宋体" w:hAnsi="宋体" w:eastAsia="宋体" w:cs="宋体"/>
                <w:b/>
                <w:bCs/>
                <w:color w:val="auto"/>
                <w:sz w:val="21"/>
                <w:szCs w:val="21"/>
              </w:rPr>
              <w:t>：</w:t>
            </w:r>
            <w:r>
              <w:rPr>
                <w:rFonts w:hint="eastAsia" w:ascii="宋体" w:hAnsi="宋体" w:eastAsia="宋体" w:cs="宋体"/>
                <w:b/>
                <w:color w:val="auto"/>
                <w:sz w:val="21"/>
                <w:szCs w:val="21"/>
              </w:rPr>
              <w:t>财产一切险附加机器损坏险保险单明细表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 保 人</w:t>
            </w:r>
          </w:p>
        </w:tc>
        <w:tc>
          <w:tcPr>
            <w:tcW w:w="788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长沙市轨道交通</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号线建设发展有限公司、长沙市轨道交通</w:t>
            </w:r>
            <w:r>
              <w:rPr>
                <w:rFonts w:hint="eastAsia" w:ascii="宋体" w:hAnsi="宋体" w:cs="宋体"/>
                <w:color w:val="auto"/>
                <w:sz w:val="21"/>
                <w:szCs w:val="21"/>
                <w:lang w:val="en-US" w:eastAsia="zh-CN"/>
              </w:rPr>
              <w:t>六</w:t>
            </w:r>
            <w:r>
              <w:rPr>
                <w:rFonts w:hint="eastAsia" w:ascii="宋体" w:hAnsi="宋体" w:cs="宋体"/>
                <w:color w:val="auto"/>
                <w:sz w:val="21"/>
                <w:szCs w:val="21"/>
                <w:lang w:eastAsia="zh-CN"/>
              </w:rPr>
              <w:t>号线建设发展有限公司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被保险人</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长沙市轨道交通运营有限公司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保险项目</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长沙市轨道交通1号线北延线、第二控制中心运营期2023年—2025年保险服务项目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保险期限</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1号线北延线</w:t>
            </w:r>
            <w:r>
              <w:rPr>
                <w:rFonts w:hint="eastAsia" w:ascii="宋体" w:hAnsi="宋体" w:cs="宋体"/>
                <w:color w:val="auto"/>
                <w:sz w:val="21"/>
                <w:szCs w:val="21"/>
                <w:lang w:val="en-US" w:eastAsia="zh-CN"/>
              </w:rPr>
              <w:t>一期</w:t>
            </w:r>
            <w:r>
              <w:rPr>
                <w:rFonts w:hint="eastAsia" w:ascii="宋体" w:hAnsi="宋体" w:eastAsia="宋体" w:cs="宋体"/>
                <w:color w:val="auto"/>
                <w:sz w:val="21"/>
                <w:szCs w:val="21"/>
              </w:rPr>
              <w:t>服务期限为一年，从2024年起至2025年止总计12个月（具体服务时间按实际出单日期起保，实际出单日需满足</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的起保要求）。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第二控制中心服务期为一年，从2023年起至2024年止总计12个月（具体服务时间按实际出单日期起保，实际出单日需满足</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的起保要求）。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项目基本情况</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长沙市轨道交通1号线北延</w:t>
            </w:r>
            <w:r>
              <w:rPr>
                <w:rFonts w:hint="eastAsia" w:ascii="宋体" w:hAnsi="宋体" w:cs="宋体"/>
                <w:color w:val="auto"/>
                <w:sz w:val="21"/>
                <w:szCs w:val="21"/>
                <w:highlight w:val="none"/>
                <w:lang w:val="en-US" w:eastAsia="zh-CN"/>
              </w:rPr>
              <w:t>线</w:t>
            </w:r>
            <w:r>
              <w:rPr>
                <w:rFonts w:hint="default" w:ascii="宋体" w:hAnsi="宋体" w:eastAsia="宋体" w:cs="宋体"/>
                <w:color w:val="auto"/>
                <w:sz w:val="21"/>
                <w:szCs w:val="21"/>
                <w:highlight w:val="none"/>
                <w:lang w:val="en-US" w:eastAsia="zh-CN"/>
              </w:rPr>
              <w:t>一期工程范围为开福区彩霞路站至开福区湘绣城站，线路全长9.839公里，共设车站5座，高架车站2座，地下车站3座。其中彩霞路站、青竹湖路站为高架站，冯蔡路站、周南中学站、湘绣城站为地下站，工程设沙河停车场1座，与既有1号线一期工程共享盛世主变、杜花路控制中心；与1至5号线共用2号线杜花路控制中心。车站名称分别为彩霞路、青竹湖路、冯蔡路、周南中学、湘绣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eastAsia="zh-CN"/>
              </w:rPr>
              <w:t>长沙市轨道交通第二控制中心位于长沙市高铁会展新城片区，杜花路与黎托路交汇处西北地块。设置全市轨道交通线网级指挥中心（20条线，含第一控制中心已规划的5 条线和2条预留线）、清分中心等针对全线网系统的相关功能。项目总建筑面积为 94957.69㎡，建筑高度为72.0m。主要由16层的轨道交通控制中心和4层地下室组成，轨道交通控制中心的使用功能为设备用房及办公，地下室使用功能为车库及设备机房。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w w:val="90"/>
                <w:sz w:val="21"/>
                <w:szCs w:val="21"/>
                <w:u w:val="single"/>
              </w:rPr>
            </w:pPr>
            <w:r>
              <w:rPr>
                <w:rFonts w:hint="eastAsia" w:ascii="宋体" w:hAnsi="宋体" w:eastAsia="宋体" w:cs="宋体"/>
                <w:color w:val="auto"/>
                <w:sz w:val="21"/>
                <w:szCs w:val="21"/>
                <w:u w:val="none"/>
              </w:rPr>
              <w:t>保险范围</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长沙</w:t>
            </w:r>
            <w:r>
              <w:rPr>
                <w:rFonts w:hint="eastAsia" w:ascii="宋体" w:hAnsi="宋体" w:cs="宋体"/>
                <w:color w:val="auto"/>
                <w:sz w:val="21"/>
                <w:szCs w:val="21"/>
                <w:highlight w:val="none"/>
                <w:u w:val="none"/>
                <w:lang w:val="en-US" w:eastAsia="zh-CN"/>
              </w:rPr>
              <w:t>市轨道交通1号线北延线</w:t>
            </w:r>
            <w:r>
              <w:rPr>
                <w:rFonts w:hint="eastAsia" w:ascii="宋体" w:hAnsi="宋体" w:eastAsia="宋体" w:cs="宋体"/>
                <w:color w:val="auto"/>
                <w:sz w:val="21"/>
                <w:szCs w:val="21"/>
                <w:highlight w:val="none"/>
                <w:u w:val="none"/>
                <w:lang w:val="en-US" w:eastAsia="zh-CN"/>
              </w:rPr>
              <w:t>一期工程</w:t>
            </w:r>
            <w:r>
              <w:rPr>
                <w:rFonts w:hint="eastAsia" w:ascii="宋体" w:hAnsi="宋体" w:cs="宋体"/>
                <w:color w:val="auto"/>
                <w:sz w:val="21"/>
                <w:szCs w:val="21"/>
                <w:highlight w:val="none"/>
                <w:u w:val="none"/>
                <w:lang w:val="en-US" w:eastAsia="zh-CN"/>
              </w:rPr>
              <w:t>、第二控制中心工程</w:t>
            </w:r>
            <w:r>
              <w:rPr>
                <w:rFonts w:hint="eastAsia" w:ascii="宋体" w:hAnsi="宋体" w:eastAsia="宋体" w:cs="宋体"/>
                <w:color w:val="auto"/>
                <w:sz w:val="21"/>
                <w:szCs w:val="21"/>
                <w:highlight w:val="none"/>
                <w:u w:val="none"/>
              </w:rPr>
              <w:t>，属于被保险人或由其负责的或在发生损失前有投保利益的固定资产、在建工程及其它财产，包括在保险期限内被保险人获得可保利益的财产（</w:t>
            </w:r>
            <w:r>
              <w:rPr>
                <w:rFonts w:hint="eastAsia" w:ascii="宋体" w:hAnsi="宋体" w:eastAsia="宋体" w:cs="宋体"/>
                <w:color w:val="auto"/>
                <w:sz w:val="21"/>
                <w:szCs w:val="21"/>
                <w:highlight w:val="none"/>
                <w:u w:val="none"/>
                <w:lang w:val="en-US" w:eastAsia="zh-CN"/>
              </w:rPr>
              <w:t>长沙市轨道交通</w:t>
            </w:r>
            <w:r>
              <w:rPr>
                <w:rFonts w:hint="eastAsia" w:ascii="宋体" w:hAnsi="宋体" w:cs="宋体"/>
                <w:color w:val="auto"/>
                <w:sz w:val="21"/>
                <w:szCs w:val="21"/>
                <w:highlight w:val="none"/>
                <w:u w:val="none"/>
                <w:lang w:val="en-US" w:eastAsia="zh-CN"/>
              </w:rPr>
              <w:t>1号线北延线</w:t>
            </w:r>
            <w:r>
              <w:rPr>
                <w:rFonts w:hint="eastAsia" w:ascii="宋体" w:hAnsi="宋体" w:eastAsia="宋体" w:cs="宋体"/>
                <w:color w:val="auto"/>
                <w:sz w:val="21"/>
                <w:szCs w:val="21"/>
                <w:highlight w:val="none"/>
                <w:u w:val="none"/>
                <w:lang w:val="en-US" w:eastAsia="zh-CN"/>
              </w:rPr>
              <w:t>一期工程</w:t>
            </w:r>
            <w:r>
              <w:rPr>
                <w:rFonts w:hint="eastAsia" w:ascii="宋体" w:hAnsi="宋体" w:eastAsia="宋体" w:cs="宋体"/>
                <w:color w:val="auto"/>
                <w:sz w:val="21"/>
                <w:szCs w:val="21"/>
                <w:highlight w:val="none"/>
                <w:u w:val="none"/>
              </w:rPr>
              <w:t>所拥有的全部地铁车辆和工程车辆）。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保险地点</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长沙市轨道交通</w:t>
            </w:r>
            <w:r>
              <w:rPr>
                <w:rFonts w:hint="eastAsia" w:ascii="宋体" w:hAnsi="宋体" w:cs="宋体"/>
                <w:color w:val="auto"/>
                <w:sz w:val="21"/>
                <w:szCs w:val="21"/>
                <w:highlight w:val="none"/>
                <w:u w:val="none"/>
                <w:lang w:val="en-US" w:eastAsia="zh-CN"/>
              </w:rPr>
              <w:t>1号线北延线</w:t>
            </w:r>
            <w:r>
              <w:rPr>
                <w:rFonts w:hint="eastAsia" w:ascii="宋体" w:hAnsi="宋体" w:eastAsia="宋体" w:cs="宋体"/>
                <w:color w:val="auto"/>
                <w:sz w:val="21"/>
                <w:szCs w:val="21"/>
                <w:highlight w:val="none"/>
                <w:u w:val="none"/>
                <w:lang w:val="en-US" w:eastAsia="zh-CN"/>
              </w:rPr>
              <w:t>一期工程</w:t>
            </w:r>
            <w:r>
              <w:rPr>
                <w:rFonts w:hint="eastAsia" w:ascii="宋体" w:hAnsi="宋体" w:cs="宋体"/>
                <w:color w:val="auto"/>
                <w:sz w:val="21"/>
                <w:szCs w:val="21"/>
                <w:highlight w:val="none"/>
                <w:u w:val="none"/>
                <w:lang w:val="en-US" w:eastAsia="zh-CN"/>
              </w:rPr>
              <w:t>、第二控制中心工程</w:t>
            </w:r>
            <w:r>
              <w:rPr>
                <w:rFonts w:hint="eastAsia" w:ascii="宋体" w:hAnsi="宋体" w:eastAsia="宋体" w:cs="宋体"/>
                <w:color w:val="auto"/>
                <w:sz w:val="21"/>
                <w:szCs w:val="21"/>
                <w:highlight w:val="none"/>
                <w:u w:val="none"/>
              </w:rPr>
              <w:t>所有经营、活动、调试、运输所涉及的区域，包括但不限于运营区域，调试区域，以及地铁车辆存放、检修等场所。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保险金额</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总保险金额：</w:t>
            </w:r>
            <w:r>
              <w:rPr>
                <w:rFonts w:hint="eastAsia"/>
                <w:color w:val="auto"/>
                <w:lang w:val="en-US" w:eastAsia="zh-CN"/>
              </w:rPr>
              <w:t>1号线北延线一期</w:t>
            </w:r>
            <w:r>
              <w:rPr>
                <w:rFonts w:hint="eastAsia"/>
                <w:color w:val="auto"/>
              </w:rPr>
              <w:t>人民币</w:t>
            </w:r>
            <w:r>
              <w:rPr>
                <w:rFonts w:hint="eastAsia" w:ascii="宋体" w:hAnsi="宋体" w:cs="宋体"/>
                <w:b/>
                <w:bCs/>
                <w:color w:val="auto"/>
                <w:highlight w:val="none"/>
                <w:lang w:val="en-US" w:eastAsia="zh-CN"/>
              </w:rPr>
              <w:t>344146.32</w:t>
            </w:r>
            <w:r>
              <w:rPr>
                <w:rFonts w:hint="eastAsia"/>
                <w:color w:val="auto"/>
              </w:rPr>
              <w:t>万元（计费保额，财产与机损各自的保额明细表见</w:t>
            </w:r>
            <w:r>
              <w:rPr>
                <w:rFonts w:hint="eastAsia"/>
                <w:color w:val="auto"/>
                <w:lang w:eastAsia="zh-CN"/>
              </w:rPr>
              <w:t>附表</w:t>
            </w:r>
            <w:r>
              <w:rPr>
                <w:rFonts w:hint="eastAsia"/>
                <w:color w:val="auto"/>
                <w:lang w:val="en-US" w:eastAsia="zh-CN"/>
              </w:rPr>
              <w:t>二</w:t>
            </w:r>
            <w:r>
              <w:rPr>
                <w:rFonts w:hint="eastAsia"/>
                <w:color w:val="auto"/>
              </w:rPr>
              <w:t>）</w:t>
            </w:r>
            <w:r>
              <w:rPr>
                <w:rFonts w:hint="eastAsia"/>
                <w:color w:val="auto"/>
                <w:lang w:eastAsia="zh-CN"/>
              </w:rPr>
              <w:t>；</w:t>
            </w:r>
            <w:r>
              <w:rPr>
                <w:rFonts w:hint="eastAsia" w:ascii="宋体" w:hAnsi="宋体" w:cs="宋体"/>
                <w:color w:val="auto"/>
                <w:sz w:val="21"/>
                <w:szCs w:val="21"/>
                <w:u w:val="none"/>
                <w:lang w:val="en-US" w:eastAsia="zh-CN"/>
              </w:rPr>
              <w:t>第二控制中心</w:t>
            </w:r>
            <w:r>
              <w:rPr>
                <w:rFonts w:hint="eastAsia" w:ascii="宋体" w:hAnsi="宋体" w:eastAsia="宋体" w:cs="宋体"/>
                <w:color w:val="auto"/>
                <w:sz w:val="21"/>
                <w:szCs w:val="21"/>
                <w:u w:val="none"/>
              </w:rPr>
              <w:t>人民币</w:t>
            </w:r>
            <w:r>
              <w:rPr>
                <w:rFonts w:hint="eastAsia" w:ascii="宋体" w:hAnsi="宋体" w:eastAsia="宋体" w:cs="宋体"/>
                <w:b/>
                <w:bCs/>
                <w:color w:val="auto"/>
                <w:highlight w:val="none"/>
                <w:lang w:val="en-US" w:eastAsia="zh-CN"/>
              </w:rPr>
              <w:t>75174.44</w:t>
            </w:r>
            <w:r>
              <w:rPr>
                <w:rFonts w:hint="eastAsia" w:ascii="宋体" w:hAnsi="宋体" w:eastAsia="宋体" w:cs="宋体"/>
                <w:color w:val="auto"/>
                <w:sz w:val="21"/>
                <w:szCs w:val="21"/>
                <w:u w:val="none"/>
              </w:rPr>
              <w:t>万元（计费保额，财产与机损各自的保额明细表见</w:t>
            </w:r>
            <w:r>
              <w:rPr>
                <w:rFonts w:hint="eastAsia" w:ascii="宋体" w:hAnsi="宋体" w:cs="宋体"/>
                <w:color w:val="auto"/>
                <w:sz w:val="21"/>
                <w:szCs w:val="21"/>
                <w:u w:val="none"/>
                <w:lang w:eastAsia="zh-CN"/>
              </w:rPr>
              <w:t>附表</w:t>
            </w:r>
            <w:r>
              <w:rPr>
                <w:rFonts w:hint="eastAsia" w:ascii="宋体" w:hAnsi="宋体" w:cs="宋体"/>
                <w:color w:val="auto"/>
                <w:sz w:val="21"/>
                <w:szCs w:val="21"/>
                <w:u w:val="none"/>
                <w:lang w:val="en-US" w:eastAsia="zh-CN"/>
              </w:rPr>
              <w:t>三</w:t>
            </w:r>
            <w:r>
              <w:rPr>
                <w:rFonts w:hint="eastAsia" w:ascii="宋体" w:hAnsi="宋体" w:eastAsia="宋体" w:cs="宋体"/>
                <w:color w:val="auto"/>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每次事故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免赔额</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1.地震：RMB 40万元；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rPr>
              <w:t>2.其他财产：RMB 2万元</w:t>
            </w:r>
            <w:r>
              <w:rPr>
                <w:rFonts w:hint="eastAsia" w:ascii="宋体" w:hAnsi="宋体" w:cs="宋体"/>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保险费率</w:t>
            </w:r>
          </w:p>
        </w:tc>
        <w:tc>
          <w:tcPr>
            <w:tcW w:w="78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待报价（年费率）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 险 费</w:t>
            </w:r>
          </w:p>
        </w:tc>
        <w:tc>
          <w:tcPr>
            <w:tcW w:w="78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总保险金额×保险费率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附加条款</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1、机器损坏险条款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2、错误和遗漏条款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3、不受控制条款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4、不使失效条款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5、指定公估人条款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6、预付赔款条款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7、违反条件条款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8、重置价值条款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9、自动恢复保险金额条款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10、保单终止条款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11、放弃代位追偿扩展条款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12、72小时条款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13、财产防护及保存条款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14、灭火费用扩展条款（限额：RMB1000万元）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15、清理费用条款（限额：明细表所属项保险金额的10%）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16、额外费用条款（限额：损失金额的30%）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17、专业费用条款（限额：明细表所属项保险金额的5%）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18、锅炉及压力容器爆炸扩展条款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19、场所外财产条款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20、临时移动条款（限额：明细表所属项保险金额的15%）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21、公共当局扩展条款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22、罢工、暴乱及民众骚乱扩展条款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23、地震扩展条款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24、内陆运输条款（限额：每次事故RMB 550万元）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25、资产增加条款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26、重新安装条款（每次事故及累计赔偿限额：保险金额的10%）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27、重新安装费用条款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28、露堆财产保险条款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29、成对或成套设备条款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30、恶意破坏扩展条款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31、清除污染费用扩展条款（限额：明细表所属项保险金额的10%）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32、地铁车辆试车条款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33、铁路机车车辆保险条款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34、陆地运动条款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35、洪水条款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36、公用设施故障条款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37、盗窃险条款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38、自动喷淋损失条款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39、玻璃破碎扩展条款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40、碰撞条款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41、恐怖主义活动条款（每次事故赔偿限额为RMB2000万元）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42、共同被保险人条款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43、车辆跨线调配条款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44、租赁财产条款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45、配套设施条款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46、阻止损失条款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47、内部移动条款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48、先于责任方理赔条款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49、现场保护条款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50、自动升值条款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51、指明财产条款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52、委托加工条款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53、损失通知条款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54、叉车责任条款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特别约定</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1、关于被保险财产的说明：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本保单下财产包括：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（1）被保险人已办理产权的；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（2）以被保险人名义建成但尚未办理产权的；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（3）产权虽不属于被保险人但实质上由被保险人管理或使用的财产。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shd w:val="pct10" w:color="auto" w:fill="FFFFFF"/>
              </w:rPr>
            </w:pPr>
            <w:r>
              <w:rPr>
                <w:rFonts w:hint="eastAsia" w:ascii="宋体" w:hAnsi="宋体" w:eastAsia="宋体" w:cs="宋体"/>
                <w:color w:val="auto"/>
                <w:sz w:val="21"/>
                <w:szCs w:val="21"/>
                <w:u w:val="none"/>
              </w:rPr>
              <w:t>2、投保明细表</w:t>
            </w:r>
            <w:r>
              <w:rPr>
                <w:rFonts w:hint="eastAsia" w:ascii="宋体" w:hAnsi="宋体" w:cs="宋体"/>
                <w:color w:val="auto"/>
                <w:sz w:val="21"/>
                <w:szCs w:val="21"/>
                <w:u w:val="none"/>
                <w:lang w:eastAsia="zh-CN"/>
              </w:rPr>
              <w:t>（表</w:t>
            </w:r>
            <w:r>
              <w:rPr>
                <w:rFonts w:hint="eastAsia" w:ascii="宋体" w:hAnsi="宋体" w:cs="宋体"/>
                <w:color w:val="auto"/>
                <w:sz w:val="21"/>
                <w:szCs w:val="21"/>
                <w:u w:val="none"/>
                <w:lang w:val="en-US" w:eastAsia="zh-CN"/>
              </w:rPr>
              <w:t>二、表三</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rPr>
              <w:t>中的各类别保险财产的保险金额按重置价值确定。前述类别财产如由组件构成，当组件发生损失时如果不能恢复（包括置换）至与其受损前基本相同的使用状况，或修理后的功能不能达到与其受损前基本相同的使用状况，保险人同意按该类别财产的重置价值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3、如果在地铁运营期间发生保险事故，能及时修复的，可由被保险人及其代表自行录像或拍照、取证后及时抢修，同时保留有关的实物证据。但被保险人及时恢复运营后需第一时间内通知保险人，进行报案。</w:t>
            </w:r>
          </w:p>
        </w:tc>
      </w:tr>
    </w:tbl>
    <w:tbl>
      <w:tblPr>
        <w:tblStyle w:val="16"/>
        <w:tblpPr w:leftFromText="180" w:rightFromText="180" w:vertAnchor="text" w:horzAnchor="page" w:tblpX="1393" w:tblpY="417"/>
        <w:tblOverlap w:val="never"/>
        <w:tblW w:w="9024" w:type="dxa"/>
        <w:tblInd w:w="0" w:type="dxa"/>
        <w:tblLayout w:type="fixed"/>
        <w:tblCellMar>
          <w:top w:w="0" w:type="dxa"/>
          <w:left w:w="0" w:type="dxa"/>
          <w:bottom w:w="0" w:type="dxa"/>
          <w:right w:w="0" w:type="dxa"/>
        </w:tblCellMar>
      </w:tblPr>
      <w:tblGrid>
        <w:gridCol w:w="676"/>
        <w:gridCol w:w="2869"/>
        <w:gridCol w:w="2835"/>
        <w:gridCol w:w="2644"/>
      </w:tblGrid>
      <w:tr>
        <w:tblPrEx>
          <w:tblCellMar>
            <w:top w:w="0" w:type="dxa"/>
            <w:left w:w="0" w:type="dxa"/>
            <w:bottom w:w="0" w:type="dxa"/>
            <w:right w:w="0" w:type="dxa"/>
          </w:tblCellMar>
        </w:tblPrEx>
        <w:trPr>
          <w:cantSplit/>
          <w:trHeight w:val="490" w:hRule="atLeast"/>
        </w:trPr>
        <w:tc>
          <w:tcPr>
            <w:tcW w:w="9024" w:type="dxa"/>
            <w:gridSpan w:val="4"/>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ascii="仿宋" w:hAnsi="仿宋" w:eastAsia="仿宋" w:cs="仿宋"/>
                <w:color w:val="auto"/>
              </w:rPr>
            </w:pPr>
            <w:r>
              <w:rPr>
                <w:rFonts w:hint="eastAsia" w:ascii="宋体" w:hAnsi="宋体" w:cs="宋体"/>
                <w:b/>
                <w:bCs/>
                <w:color w:val="auto"/>
                <w:sz w:val="21"/>
                <w:szCs w:val="21"/>
                <w:lang w:val="en-US" w:eastAsia="zh-CN"/>
              </w:rPr>
              <w:t>表二</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1号线北延线一期</w:t>
            </w:r>
            <w:r>
              <w:rPr>
                <w:rFonts w:hint="eastAsia" w:ascii="宋体" w:hAnsi="宋体" w:eastAsia="宋体" w:cs="宋体"/>
                <w:b/>
                <w:bCs/>
                <w:color w:val="auto"/>
                <w:sz w:val="21"/>
                <w:szCs w:val="21"/>
              </w:rPr>
              <w:t>财产一切险附加机器损坏险投保明细表</w:t>
            </w:r>
          </w:p>
        </w:tc>
      </w:tr>
      <w:tr>
        <w:tblPrEx>
          <w:tblCellMar>
            <w:top w:w="0" w:type="dxa"/>
            <w:left w:w="0" w:type="dxa"/>
            <w:bottom w:w="0" w:type="dxa"/>
            <w:right w:w="0" w:type="dxa"/>
          </w:tblCellMar>
        </w:tblPrEx>
        <w:trPr>
          <w:cantSplit/>
          <w:trHeight w:val="890"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仿宋" w:hAnsi="仿宋" w:eastAsia="仿宋" w:cs="仿宋"/>
                <w:color w:val="auto"/>
              </w:rPr>
            </w:pPr>
            <w:r>
              <w:rPr>
                <w:rFonts w:hint="eastAsia" w:ascii="宋体" w:hAnsi="宋体" w:eastAsia="宋体" w:cs="宋体"/>
                <w:b/>
                <w:bCs/>
                <w:color w:val="auto"/>
              </w:rPr>
              <w:t>序号</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仿宋" w:hAnsi="仿宋" w:eastAsia="仿宋" w:cs="仿宋"/>
                <w:color w:val="auto"/>
              </w:rPr>
            </w:pPr>
            <w:r>
              <w:rPr>
                <w:rFonts w:hint="eastAsia" w:ascii="宋体" w:hAnsi="宋体" w:eastAsia="宋体" w:cs="宋体"/>
                <w:b/>
                <w:bCs/>
                <w:color w:val="auto"/>
              </w:rPr>
              <w:t>保险标的</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b/>
                <w:bCs/>
                <w:color w:val="auto"/>
              </w:rPr>
            </w:pPr>
            <w:r>
              <w:rPr>
                <w:rFonts w:hint="eastAsia" w:ascii="宋体" w:hAnsi="宋体" w:eastAsia="宋体" w:cs="宋体"/>
                <w:b/>
                <w:bCs/>
                <w:color w:val="auto"/>
              </w:rPr>
              <w:t>“财产一切险”金额</w:t>
            </w:r>
          </w:p>
          <w:p>
            <w:pPr>
              <w:jc w:val="center"/>
              <w:rPr>
                <w:rFonts w:hint="eastAsia" w:ascii="仿宋" w:hAnsi="仿宋" w:eastAsia="仿宋" w:cs="仿宋"/>
                <w:color w:val="auto"/>
              </w:rPr>
            </w:pPr>
            <w:r>
              <w:rPr>
                <w:rFonts w:hint="eastAsia" w:ascii="宋体" w:hAnsi="宋体" w:eastAsia="宋体" w:cs="宋体"/>
                <w:b/>
                <w:bCs/>
                <w:color w:val="auto"/>
              </w:rPr>
              <w:t>（万元）</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仿宋" w:hAnsi="仿宋" w:eastAsia="仿宋" w:cs="仿宋"/>
                <w:color w:val="auto"/>
              </w:rPr>
            </w:pPr>
            <w:r>
              <w:rPr>
                <w:rFonts w:hint="eastAsia" w:ascii="宋体" w:hAnsi="宋体" w:eastAsia="宋体" w:cs="宋体"/>
                <w:b/>
                <w:bCs/>
                <w:color w:val="auto"/>
              </w:rPr>
              <w:t>附加“机损险”的项目及金额（万元）</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土建（车站工程）</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76935.00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区间</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121153.68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轨道</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17326.50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17326.50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四</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通信</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17572.28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17572.28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五</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信号</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12946.62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12946.62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六</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供电</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32602.72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32602.72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七</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综合监控</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2742.38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2742.38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八</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防灾报警系统及设备监控系统</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4220.82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4220.82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九</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安防及门禁</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1312.96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1312.96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通风、空调与采暖</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6342.60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6342.60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十一</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给排水及消防</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3928.29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3928.29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十二</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自动售检票</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5504.85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5504.85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十三</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车站辅助设备（自动扶梯及电梯、屏蔽门）</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7548.38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7548.38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十四</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运营控制中心</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十五</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车辆段及综合基地</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78436.85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78436.85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十六</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人防</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1858.27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1858.27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七</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生产办公及生活家具用具购置费</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500.47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500.47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八</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工器具购置费</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250.24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250.24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九</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车辆购置费</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39000.00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39000.00 </w:t>
            </w:r>
          </w:p>
        </w:tc>
      </w:tr>
      <w:tr>
        <w:tblPrEx>
          <w:tblCellMar>
            <w:top w:w="0" w:type="dxa"/>
            <w:left w:w="0" w:type="dxa"/>
            <w:bottom w:w="0" w:type="dxa"/>
            <w:right w:w="0" w:type="dxa"/>
          </w:tblCellMar>
        </w:tblPrEx>
        <w:trPr>
          <w:trHeight w:val="454" w:hRule="atLeast"/>
        </w:trPr>
        <w:tc>
          <w:tcPr>
            <w:tcW w:w="3545" w:type="dxa"/>
            <w:gridSpan w:val="2"/>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投保总金额</w:t>
            </w:r>
            <w:r>
              <w:rPr>
                <w:rFonts w:hint="eastAsia" w:ascii="宋体" w:hAnsi="宋体" w:eastAsia="宋体" w:cs="宋体"/>
                <w:b/>
                <w:bCs/>
                <w:color w:val="auto"/>
                <w:highlight w:val="none"/>
                <w:lang w:val="en-US" w:eastAsia="zh-CN"/>
              </w:rPr>
              <w:t>(合计*0.8）</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430182.89</w:t>
            </w:r>
            <w:r>
              <w:rPr>
                <w:rFonts w:hint="eastAsia" w:ascii="宋体" w:hAnsi="宋体" w:eastAsia="宋体" w:cs="宋体"/>
                <w:b/>
                <w:bCs/>
                <w:color w:val="auto"/>
                <w:highlight w:val="none"/>
              </w:rPr>
              <w:t>*0.</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344146.32</w:t>
            </w:r>
          </w:p>
        </w:tc>
        <w:tc>
          <w:tcPr>
            <w:tcW w:w="2644" w:type="dxa"/>
            <w:tcBorders>
              <w:top w:val="single" w:color="auto" w:sz="8" w:space="0"/>
              <w:left w:val="single" w:color="auto" w:sz="8" w:space="0"/>
              <w:bottom w:val="single" w:color="auto" w:sz="8" w:space="0"/>
              <w:right w:val="single" w:color="auto" w:sz="4" w:space="0"/>
              <w:tl2br w:val="nil"/>
              <w:tr2bl w:val="nil"/>
            </w:tcBorders>
            <w:tcMar>
              <w:top w:w="15" w:type="dxa"/>
              <w:left w:w="15" w:type="dxa"/>
              <w:bottom w:w="0" w:type="dxa"/>
              <w:right w:w="15" w:type="dxa"/>
            </w:tcMar>
            <w:vAlign w:val="center"/>
          </w:tcPr>
          <w:p>
            <w:pPr>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232094.22</w:t>
            </w:r>
            <w:r>
              <w:rPr>
                <w:rFonts w:hint="eastAsia" w:ascii="宋体" w:hAnsi="宋体" w:eastAsia="宋体" w:cs="宋体"/>
                <w:b/>
                <w:bCs/>
                <w:color w:val="auto"/>
                <w:highlight w:val="none"/>
              </w:rPr>
              <w:t>*0.</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185675.37</w:t>
            </w:r>
          </w:p>
        </w:tc>
      </w:tr>
      <w:tr>
        <w:tblPrEx>
          <w:tblCellMar>
            <w:top w:w="0" w:type="dxa"/>
            <w:left w:w="0" w:type="dxa"/>
            <w:bottom w:w="0" w:type="dxa"/>
            <w:right w:w="0" w:type="dxa"/>
          </w:tblCellMar>
        </w:tblPrEx>
        <w:trPr>
          <w:trHeight w:val="961" w:hRule="atLeast"/>
        </w:trPr>
        <w:tc>
          <w:tcPr>
            <w:tcW w:w="9024" w:type="dxa"/>
            <w:gridSpan w:val="4"/>
            <w:tcBorders>
              <w:top w:val="single" w:color="auto" w:sz="8" w:space="0"/>
              <w:left w:val="single" w:color="auto" w:sz="8" w:space="0"/>
              <w:bottom w:val="single" w:color="auto" w:sz="4" w:space="0"/>
              <w:right w:val="single" w:color="auto" w:sz="4" w:space="0"/>
              <w:tl2br w:val="nil"/>
              <w:tr2bl w:val="nil"/>
            </w:tcBorders>
            <w:tcMar>
              <w:top w:w="15" w:type="dxa"/>
              <w:left w:w="15" w:type="dxa"/>
              <w:bottom w:w="0" w:type="dxa"/>
              <w:right w:w="15" w:type="dxa"/>
            </w:tcMar>
          </w:tcPr>
          <w:p>
            <w:pPr>
              <w:rPr>
                <w:rFonts w:ascii="仿宋" w:hAnsi="仿宋" w:eastAsia="仿宋" w:cs="仿宋"/>
                <w:color w:val="auto"/>
              </w:rPr>
            </w:pPr>
            <w:r>
              <w:rPr>
                <w:rFonts w:hint="eastAsia" w:ascii="宋体" w:hAnsi="宋体" w:eastAsia="宋体" w:cs="宋体"/>
                <w:color w:val="auto"/>
              </w:rPr>
              <w:t>1.财产一切险的投保价值为车站工程，以及设备成本、运输、保险、安装、调试及技术服务费在内的一切费用。2.“机损险”应定义为“机器设备系统损坏险”，投保金额包含出厂价、运保费、安装、安装材料、调试、开通、技术联络等服务费。</w:t>
            </w:r>
            <w:r>
              <w:rPr>
                <w:rFonts w:hint="eastAsia" w:ascii="宋体" w:hAnsi="宋体" w:cs="宋体"/>
                <w:color w:val="auto"/>
                <w:lang w:val="en-US" w:eastAsia="zh-CN"/>
              </w:rPr>
              <w:t>3.投保人为</w:t>
            </w:r>
            <w:r>
              <w:rPr>
                <w:rFonts w:hint="eastAsia" w:ascii="宋体" w:hAnsi="宋体" w:cs="宋体"/>
                <w:color w:val="auto"/>
                <w:sz w:val="21"/>
                <w:szCs w:val="21"/>
                <w:lang w:eastAsia="zh-CN"/>
              </w:rPr>
              <w:t>长沙市轨道交通</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号线建设发展有限公司。</w:t>
            </w:r>
          </w:p>
        </w:tc>
      </w:tr>
    </w:tbl>
    <w:p>
      <w:pPr>
        <w:pStyle w:val="2"/>
        <w:ind w:left="0" w:leftChars="0" w:firstLine="0" w:firstLineChars="0"/>
        <w:rPr>
          <w:rFonts w:ascii="仿宋" w:hAnsi="仿宋" w:eastAsia="仿宋" w:cs="仿宋"/>
          <w:color w:val="auto"/>
          <w:sz w:val="24"/>
        </w:rPr>
      </w:pPr>
    </w:p>
    <w:p>
      <w:pPr>
        <w:widowControl/>
        <w:jc w:val="both"/>
        <w:rPr>
          <w:rFonts w:hint="eastAsia" w:ascii="仿宋" w:hAnsi="仿宋" w:eastAsia="仿宋" w:cs="仿宋"/>
          <w:b/>
          <w:color w:val="auto"/>
          <w:sz w:val="24"/>
        </w:rPr>
      </w:pPr>
    </w:p>
    <w:p>
      <w:pPr>
        <w:widowControl/>
        <w:jc w:val="both"/>
        <w:rPr>
          <w:rFonts w:hint="eastAsia" w:ascii="仿宋" w:hAnsi="仿宋" w:eastAsia="仿宋" w:cs="仿宋"/>
          <w:b/>
          <w:color w:val="auto"/>
          <w:sz w:val="24"/>
        </w:rPr>
      </w:pPr>
    </w:p>
    <w:tbl>
      <w:tblPr>
        <w:tblStyle w:val="16"/>
        <w:tblpPr w:leftFromText="180" w:rightFromText="180" w:vertAnchor="text" w:horzAnchor="page" w:tblpX="1377" w:tblpY="235"/>
        <w:tblOverlap w:val="never"/>
        <w:tblW w:w="4677" w:type="pct"/>
        <w:tblInd w:w="0" w:type="dxa"/>
        <w:shd w:val="clear" w:color="auto" w:fill="auto"/>
        <w:tblLayout w:type="autofit"/>
        <w:tblCellMar>
          <w:top w:w="0" w:type="dxa"/>
          <w:left w:w="0" w:type="dxa"/>
          <w:bottom w:w="0" w:type="dxa"/>
          <w:right w:w="0" w:type="dxa"/>
        </w:tblCellMar>
      </w:tblPr>
      <w:tblGrid>
        <w:gridCol w:w="503"/>
        <w:gridCol w:w="2765"/>
        <w:gridCol w:w="2637"/>
        <w:gridCol w:w="3138"/>
      </w:tblGrid>
      <w:tr>
        <w:tblPrEx>
          <w:shd w:val="clear" w:color="auto" w:fill="auto"/>
          <w:tblCellMar>
            <w:top w:w="0" w:type="dxa"/>
            <w:left w:w="0" w:type="dxa"/>
            <w:bottom w:w="0" w:type="dxa"/>
            <w:right w:w="0" w:type="dxa"/>
          </w:tblCellMar>
        </w:tblPrEx>
        <w:trPr>
          <w:trHeight w:val="47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8"/>
                <w:szCs w:val="28"/>
                <w:u w:val="none"/>
              </w:rPr>
            </w:pPr>
            <w:r>
              <w:rPr>
                <w:rFonts w:hint="eastAsia" w:ascii="宋体" w:hAnsi="宋体" w:cs="宋体"/>
                <w:b/>
                <w:bCs/>
                <w:color w:val="auto"/>
                <w:sz w:val="21"/>
                <w:szCs w:val="21"/>
                <w:lang w:val="en-US" w:eastAsia="zh-CN"/>
              </w:rPr>
              <w:t>表三</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第二控制中心</w:t>
            </w:r>
            <w:r>
              <w:rPr>
                <w:rFonts w:hint="eastAsia" w:ascii="宋体" w:hAnsi="宋体" w:eastAsia="宋体" w:cs="宋体"/>
                <w:b/>
                <w:bCs/>
                <w:color w:val="auto"/>
                <w:sz w:val="21"/>
                <w:szCs w:val="21"/>
              </w:rPr>
              <w:t>财产一切险附加机器损坏险投保明细表</w:t>
            </w:r>
          </w:p>
        </w:tc>
      </w:tr>
      <w:tr>
        <w:tblPrEx>
          <w:shd w:val="clear" w:color="auto" w:fill="auto"/>
          <w:tblCellMar>
            <w:top w:w="0" w:type="dxa"/>
            <w:left w:w="0" w:type="dxa"/>
            <w:bottom w:w="0" w:type="dxa"/>
            <w:right w:w="0" w:type="dxa"/>
          </w:tblCellMar>
        </w:tblPrEx>
        <w:trPr>
          <w:trHeight w:val="6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一、财产一切险附加机损险</w:t>
            </w:r>
          </w:p>
        </w:tc>
      </w:tr>
      <w:tr>
        <w:tblPrEx>
          <w:shd w:val="clear" w:color="auto" w:fill="auto"/>
          <w:tblCellMar>
            <w:top w:w="0" w:type="dxa"/>
            <w:left w:w="0" w:type="dxa"/>
            <w:bottom w:w="0" w:type="dxa"/>
            <w:right w:w="0"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保险标的</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“财产一切险”金额（万元）</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附加“机损险”的项目及金额</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（万元）</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地上建筑</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23696.67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地下车库及设备用房</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14406.92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设备及安装工程</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11679.38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11679.38 </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室外工程及专项工程</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775.48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775.48 </w:t>
            </w:r>
          </w:p>
        </w:tc>
      </w:tr>
      <w:tr>
        <w:tblPrEx>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综合管廊</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1777.55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1777.55 </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线网平台</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38740.18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38740.18 </w:t>
            </w:r>
          </w:p>
        </w:tc>
      </w:tr>
      <w:tr>
        <w:tblPrEx>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外线供电引入</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2891.87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2891.87 </w:t>
            </w:r>
          </w:p>
        </w:tc>
      </w:tr>
      <w:tr>
        <w:tblPrEx>
          <w:shd w:val="clear" w:color="auto" w:fill="auto"/>
          <w:tblCellMar>
            <w:top w:w="0" w:type="dxa"/>
            <w:left w:w="0" w:type="dxa"/>
            <w:bottom w:w="0" w:type="dxa"/>
            <w:right w:w="0" w:type="dxa"/>
          </w:tblCellMar>
        </w:tblPrEx>
        <w:trPr>
          <w:trHeight w:val="400" w:hRule="atLeast"/>
        </w:trPr>
        <w:tc>
          <w:tcPr>
            <w:tcW w:w="18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投保总金额(合计*0.8）</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93968.05*0.8=75174.44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55864.46*0.8=44691.57 </w:t>
            </w:r>
          </w:p>
        </w:tc>
      </w:tr>
      <w:tr>
        <w:tblPrEx>
          <w:tblCellMar>
            <w:top w:w="0" w:type="dxa"/>
            <w:left w:w="0" w:type="dxa"/>
            <w:bottom w:w="0" w:type="dxa"/>
            <w:right w:w="0" w:type="dxa"/>
          </w:tblCellMar>
        </w:tblPrEx>
        <w:trPr>
          <w:trHeight w:val="95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 w:hAnsi="仿宋" w:eastAsia="宋体" w:cs="仿宋"/>
                <w:b/>
                <w:i w:val="0"/>
                <w:color w:val="auto"/>
                <w:sz w:val="21"/>
                <w:szCs w:val="21"/>
                <w:u w:val="none"/>
                <w:lang w:val="en-US" w:eastAsia="zh-CN"/>
              </w:rPr>
            </w:pPr>
            <w:r>
              <w:rPr>
                <w:rFonts w:hint="eastAsia" w:ascii="宋体" w:hAnsi="宋体" w:eastAsia="宋体" w:cs="宋体"/>
                <w:color w:val="auto"/>
              </w:rPr>
              <w:t>1.财产一切险的投保价值为</w:t>
            </w:r>
            <w:r>
              <w:rPr>
                <w:rFonts w:hint="eastAsia" w:ascii="宋体" w:hAnsi="宋体" w:cs="宋体"/>
                <w:color w:val="auto"/>
                <w:lang w:val="en-US" w:eastAsia="zh-CN"/>
              </w:rPr>
              <w:t>建筑</w:t>
            </w:r>
            <w:r>
              <w:rPr>
                <w:rFonts w:hint="eastAsia" w:ascii="宋体" w:hAnsi="宋体" w:eastAsia="宋体" w:cs="宋体"/>
                <w:color w:val="auto"/>
              </w:rPr>
              <w:t>工程，以及设备成本、运输、保险、安装、调试及技术服务费在内的一切费用。2.“机损险”应定义为“机器设备系统损坏险”，投保金额包含出厂价、运保费、安装、安装材料、调试、开通、技术联络等服务费。</w:t>
            </w:r>
            <w:r>
              <w:rPr>
                <w:rFonts w:hint="eastAsia" w:ascii="宋体" w:hAnsi="宋体" w:cs="宋体"/>
                <w:color w:val="auto"/>
                <w:lang w:val="en-US" w:eastAsia="zh-CN"/>
              </w:rPr>
              <w:t>3.投保人为</w:t>
            </w:r>
            <w:r>
              <w:rPr>
                <w:rFonts w:hint="eastAsia" w:ascii="宋体" w:hAnsi="宋体" w:cs="宋体"/>
                <w:color w:val="auto"/>
                <w:sz w:val="21"/>
                <w:szCs w:val="21"/>
                <w:lang w:eastAsia="zh-CN"/>
              </w:rPr>
              <w:t>长沙市轨道交通</w:t>
            </w:r>
            <w:r>
              <w:rPr>
                <w:rFonts w:hint="eastAsia" w:ascii="宋体" w:hAnsi="宋体" w:cs="宋体"/>
                <w:color w:val="auto"/>
                <w:sz w:val="21"/>
                <w:szCs w:val="21"/>
                <w:lang w:val="en-US" w:eastAsia="zh-CN"/>
              </w:rPr>
              <w:t>六</w:t>
            </w:r>
            <w:r>
              <w:rPr>
                <w:rFonts w:hint="eastAsia" w:ascii="宋体" w:hAnsi="宋体" w:cs="宋体"/>
                <w:color w:val="auto"/>
                <w:sz w:val="21"/>
                <w:szCs w:val="21"/>
                <w:lang w:eastAsia="zh-CN"/>
              </w:rPr>
              <w:t>号线建设发展有限公司。</w:t>
            </w:r>
          </w:p>
        </w:tc>
      </w:tr>
    </w:tbl>
    <w:p>
      <w:pPr>
        <w:widowControl/>
        <w:jc w:val="both"/>
        <w:rPr>
          <w:rFonts w:hint="eastAsia" w:ascii="仿宋" w:hAnsi="仿宋" w:eastAsia="仿宋" w:cs="仿宋"/>
          <w:b/>
          <w:color w:val="auto"/>
          <w:sz w:val="24"/>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tbl>
      <w:tblPr>
        <w:tblStyle w:val="1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cs="仿宋" w:asciiTheme="minorEastAsia" w:hAnsiTheme="minorEastAsia" w:eastAsiaTheme="minorEastAsia"/>
                <w:b/>
                <w:sz w:val="21"/>
                <w:szCs w:val="21"/>
                <w:lang w:eastAsia="zh-CN"/>
              </w:rPr>
              <w:t>险种二：</w:t>
            </w:r>
            <w:r>
              <w:rPr>
                <w:rFonts w:hint="eastAsia" w:cs="仿宋" w:asciiTheme="minorEastAsia" w:hAnsiTheme="minorEastAsia" w:eastAsiaTheme="minorEastAsia"/>
                <w:b/>
                <w:sz w:val="21"/>
                <w:szCs w:val="21"/>
              </w:rPr>
              <w:t>安全生产责任保险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投 保 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color w:val="auto"/>
                <w:sz w:val="21"/>
                <w:szCs w:val="21"/>
                <w:u w:val="none"/>
                <w:lang w:val="en-US" w:eastAsia="zh-CN"/>
              </w:rPr>
              <w:t>长沙市轨道交通</w:t>
            </w:r>
            <w:r>
              <w:rPr>
                <w:rFonts w:hint="eastAsia" w:ascii="宋体" w:hAnsi="宋体" w:cs="宋体"/>
                <w:color w:val="auto"/>
                <w:sz w:val="21"/>
                <w:szCs w:val="21"/>
                <w:u w:val="none"/>
                <w:lang w:val="en-US" w:eastAsia="zh-CN"/>
              </w:rPr>
              <w:t>一</w:t>
            </w:r>
            <w:r>
              <w:rPr>
                <w:rFonts w:hint="eastAsia" w:ascii="宋体" w:hAnsi="宋体" w:eastAsia="宋体" w:cs="宋体"/>
                <w:color w:val="auto"/>
                <w:sz w:val="21"/>
                <w:szCs w:val="21"/>
                <w:u w:val="none"/>
                <w:lang w:val="en-US" w:eastAsia="zh-CN"/>
              </w:rPr>
              <w:t>号线建设发展有限公司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被保险人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长沙市轨道交通运营有限公司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u w:val="none"/>
              </w:rPr>
              <w:t>保险期限</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本项目服务期为一年，从2024年起至2025年止</w:t>
            </w:r>
            <w:r>
              <w:rPr>
                <w:rFonts w:hint="eastAsia" w:ascii="宋体" w:hAnsi="宋体" w:cs="宋体"/>
                <w:sz w:val="21"/>
                <w:szCs w:val="21"/>
                <w:lang w:eastAsia="zh-CN"/>
              </w:rPr>
              <w:t>，</w:t>
            </w:r>
            <w:r>
              <w:rPr>
                <w:rFonts w:hint="eastAsia" w:ascii="宋体" w:hAnsi="宋体" w:eastAsia="宋体" w:cs="宋体"/>
                <w:sz w:val="21"/>
                <w:szCs w:val="21"/>
              </w:rPr>
              <w:t>总计12个月（具体服务时间按实际出单日期起保，实际出单日需满足</w:t>
            </w:r>
            <w:r>
              <w:rPr>
                <w:rFonts w:hint="eastAsia" w:ascii="宋体" w:hAnsi="宋体" w:cs="宋体"/>
                <w:sz w:val="21"/>
                <w:szCs w:val="21"/>
                <w:lang w:eastAsia="zh-CN"/>
              </w:rPr>
              <w:t>采购人</w:t>
            </w:r>
            <w:r>
              <w:rPr>
                <w:rFonts w:hint="eastAsia" w:ascii="宋体" w:hAnsi="宋体" w:eastAsia="宋体" w:cs="宋体"/>
                <w:sz w:val="21"/>
                <w:szCs w:val="21"/>
              </w:rPr>
              <w:t>的起保要求）。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项目概况</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u w:val="none"/>
                <w:lang w:val="en-US" w:eastAsia="zh-CN"/>
              </w:rPr>
            </w:pPr>
            <w:r>
              <w:rPr>
                <w:rFonts w:hint="default" w:ascii="宋体" w:hAnsi="宋体" w:eastAsia="宋体" w:cs="宋体"/>
                <w:sz w:val="21"/>
                <w:szCs w:val="21"/>
                <w:highlight w:val="none"/>
                <w:lang w:val="en-US" w:eastAsia="zh-CN"/>
              </w:rPr>
              <w:t>长沙市轨道交通</w:t>
            </w:r>
            <w:r>
              <w:rPr>
                <w:rFonts w:hint="eastAsia" w:ascii="宋体" w:hAnsi="宋体" w:cs="宋体"/>
                <w:sz w:val="21"/>
                <w:szCs w:val="21"/>
                <w:highlight w:val="none"/>
                <w:u w:val="none"/>
                <w:lang w:val="en-US" w:eastAsia="zh-CN"/>
              </w:rPr>
              <w:t>1号线北延线</w:t>
            </w:r>
            <w:r>
              <w:rPr>
                <w:rFonts w:hint="eastAsia" w:ascii="宋体" w:hAnsi="宋体" w:eastAsia="宋体" w:cs="宋体"/>
                <w:sz w:val="21"/>
                <w:szCs w:val="21"/>
                <w:highlight w:val="none"/>
                <w:u w:val="none"/>
                <w:lang w:val="en-US" w:eastAsia="zh-CN"/>
              </w:rPr>
              <w:t>一期工程</w:t>
            </w:r>
            <w:r>
              <w:rPr>
                <w:rFonts w:hint="default" w:ascii="宋体" w:hAnsi="宋体" w:eastAsia="宋体" w:cs="宋体"/>
                <w:sz w:val="21"/>
                <w:szCs w:val="21"/>
                <w:highlight w:val="none"/>
                <w:lang w:val="en-US" w:eastAsia="zh-CN"/>
              </w:rPr>
              <w:t>范围为开福区彩霞路站至开福区湘绣城站，线路全长9.839公里，共设车站5座，高架车站2座，地下车站3座。其中彩霞路站、青竹湖路站为高架站，冯蔡路站、周南中学站、湘绣城站为地下站，工程设沙河停车场1座，与既有1号线一期工程共享盛世主变、杜花路控制中心；与1至5号线共用2号线杜花路控制中心。车站名称分别为彩霞路、青竹湖路、冯蔡路、周南中学、湘绣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投保场所地址（承保区域）</w:t>
            </w:r>
          </w:p>
        </w:tc>
        <w:tc>
          <w:tcPr>
            <w:tcW w:w="749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本保单的投保场所地址（承保区域）为：长沙市轨道交通</w:t>
            </w:r>
            <w:r>
              <w:rPr>
                <w:rFonts w:hint="eastAsia" w:ascii="宋体" w:hAnsi="宋体" w:cs="宋体"/>
                <w:sz w:val="21"/>
                <w:szCs w:val="21"/>
                <w:highlight w:val="none"/>
                <w:u w:val="none"/>
                <w:lang w:val="en-US" w:eastAsia="zh-CN"/>
              </w:rPr>
              <w:t>1号线北延线</w:t>
            </w:r>
            <w:r>
              <w:rPr>
                <w:rFonts w:hint="eastAsia" w:ascii="宋体" w:hAnsi="宋体" w:eastAsia="宋体" w:cs="宋体"/>
                <w:sz w:val="21"/>
                <w:szCs w:val="21"/>
                <w:highlight w:val="none"/>
                <w:u w:val="none"/>
                <w:lang w:val="en-US" w:eastAsia="zh-CN"/>
              </w:rPr>
              <w:t>一期工程</w:t>
            </w:r>
            <w:r>
              <w:rPr>
                <w:rFonts w:hint="eastAsia" w:ascii="宋体" w:hAnsi="宋体" w:eastAsia="宋体" w:cs="宋体"/>
                <w:color w:val="auto"/>
                <w:sz w:val="21"/>
                <w:szCs w:val="21"/>
                <w:highlight w:val="none"/>
                <w:u w:val="none"/>
                <w:lang w:val="en-US" w:eastAsia="zh-CN"/>
              </w:rPr>
              <w:t>所有车场、车站、车辆内、线路沿线，以及根据长沙市政府</w:t>
            </w:r>
            <w:r>
              <w:rPr>
                <w:rFonts w:hint="eastAsia"/>
                <w:color w:val="auto"/>
                <w:highlight w:val="none"/>
              </w:rPr>
              <w:t>202</w:t>
            </w:r>
            <w:r>
              <w:rPr>
                <w:rFonts w:hint="eastAsia"/>
                <w:color w:val="auto"/>
                <w:highlight w:val="none"/>
                <w:lang w:val="en-US" w:eastAsia="zh-CN"/>
              </w:rPr>
              <w:t>3</w:t>
            </w:r>
            <w:r>
              <w:rPr>
                <w:rFonts w:hint="eastAsia"/>
                <w:color w:val="auto"/>
                <w:highlight w:val="none"/>
              </w:rPr>
              <w:t>年发布的</w:t>
            </w:r>
            <w:r>
              <w:rPr>
                <w:rFonts w:hint="eastAsia"/>
                <w:color w:val="auto"/>
                <w:highlight w:val="none"/>
                <w:lang w:val="en-US" w:eastAsia="zh-CN"/>
              </w:rPr>
              <w:t>《长沙市轨道交通条例》</w:t>
            </w:r>
            <w:r>
              <w:rPr>
                <w:rFonts w:hint="eastAsia" w:ascii="宋体" w:hAnsi="宋体" w:eastAsia="宋体" w:cs="宋体"/>
                <w:color w:val="auto"/>
                <w:sz w:val="21"/>
                <w:szCs w:val="21"/>
                <w:highlight w:val="none"/>
                <w:u w:val="none"/>
                <w:lang w:val="en-US" w:eastAsia="zh-CN"/>
              </w:rPr>
              <w:t>规定的属于长沙轨道交通</w:t>
            </w:r>
            <w:r>
              <w:rPr>
                <w:rFonts w:hint="eastAsia" w:ascii="宋体" w:hAnsi="宋体" w:cs="宋体"/>
                <w:sz w:val="21"/>
                <w:szCs w:val="21"/>
                <w:highlight w:val="none"/>
                <w:u w:val="none"/>
                <w:lang w:val="en-US" w:eastAsia="zh-CN"/>
              </w:rPr>
              <w:t>1号线北延线</w:t>
            </w:r>
            <w:r>
              <w:rPr>
                <w:rFonts w:hint="eastAsia" w:ascii="宋体" w:hAnsi="宋体" w:eastAsia="宋体" w:cs="宋体"/>
                <w:sz w:val="21"/>
                <w:szCs w:val="21"/>
                <w:highlight w:val="none"/>
                <w:u w:val="none"/>
                <w:lang w:val="en-US" w:eastAsia="zh-CN"/>
              </w:rPr>
              <w:t>一期工程</w:t>
            </w:r>
            <w:r>
              <w:rPr>
                <w:rFonts w:hint="eastAsia" w:ascii="宋体" w:hAnsi="宋体" w:eastAsia="宋体" w:cs="宋体"/>
                <w:color w:val="auto"/>
                <w:sz w:val="21"/>
                <w:szCs w:val="21"/>
                <w:highlight w:val="none"/>
                <w:u w:val="none"/>
                <w:lang w:val="en-US" w:eastAsia="zh-CN"/>
              </w:rPr>
              <w:t>的安全保护区域。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保险范围和保险责任</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第三者人身伤亡和财产损失。在保险期间内，被保险人在保险合同载明的经营场所内和运营车辆在行驶、运输过程中，因发生以下生产安全事故或意外事故造成的第三者（含乘客）人身伤亡和财产损失，根据中华人民共和国法律（不包括港澳台地区法律）应由被保险人承担的经济赔偿责任，保险人依据本保险方案的约定予以赔偿。保险责任主要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（1）火灾、爆炸事故；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（2）高空坠物、意外摔伤等事故；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（3）被保险人所有或管理的电梯发生事故；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（4）发生保险事故时，第三者因见义勇为发生的人身伤亡，经政府部门认定属于见义勇为行为的，保险人参照第三者人身伤亡赔付方式赔偿；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（5）恐怖袭击、刑事治安案件；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（6）其它依法应由被保险人承担经济赔偿责任的第三者人身伤亡或财产损失。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从业人员的人身伤亡。在保险期间内，被保险人的从业人员在从业过程中（含上下班途中、出差途中、营业性运输中）因意外事故（含恐袭、刑事治安案件）造成人身伤亡，根据中华人民共和国法律（不包括港澳台地区法律）应由被保险人承担的经济赔偿责任，保险人依据本保险合同的约定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在保险期间内，被保险人的从业人员在从事生产、经营过程中，雇员因突发疾病死亡，或因突发疾病在48小时之内经抢救无效死亡，依法应由被保险人承担的经济赔偿责任，保险人按照保险合同约定负责赔偿。发生保险事故时，被保险人的从业人员在抢险过程中受到伤害导致伤亡的，依法应由被保险人承担的经济赔偿责任，保险人按照保险合同约定负责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抢险救援费用。被保险人在本保险合同载明的区域范围内发生保险责任事故，应由被保险人承担的因釆取紧急抢险救援措施而支出的必要、合理的救援费用，包括施工单位按照项目部制定的应急救援预案开展抢险救援所产生的费用，参与救援人员劳务费用，救援器材、设备的租赁、使用费用，救援工具购置费用，事故现场发生的医疗救援费用（以下简称</w:t>
            </w:r>
            <w:r>
              <w:rPr>
                <w:rFonts w:hint="eastAsia" w:ascii="宋体" w:hAnsi="宋体" w:eastAsia="宋体" w:cs="宋体"/>
                <w:sz w:val="21"/>
                <w:szCs w:val="21"/>
                <w:u w:val="none"/>
                <w:lang w:val="zh-CN" w:eastAsia="zh-CN"/>
              </w:rPr>
              <w:t>“抢</w:t>
            </w:r>
            <w:r>
              <w:rPr>
                <w:rFonts w:hint="eastAsia" w:ascii="宋体" w:hAnsi="宋体" w:eastAsia="宋体" w:cs="宋体"/>
                <w:sz w:val="21"/>
                <w:szCs w:val="21"/>
                <w:u w:val="none"/>
                <w:lang w:val="en-US" w:eastAsia="zh-CN"/>
              </w:rPr>
              <w:t>险救援费用”）等，保险人根据本保险方案的约定予以赔偿。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5</w:t>
            </w:r>
            <w:r>
              <w:rPr>
                <w:rFonts w:hint="eastAsia" w:ascii="宋体" w:hAnsi="宋体" w:eastAsia="宋体" w:cs="宋体"/>
                <w:sz w:val="21"/>
                <w:szCs w:val="21"/>
                <w:u w:val="none"/>
                <w:lang w:val="en-US" w:eastAsia="zh-CN"/>
              </w:rPr>
              <w:t>.</w:t>
            </w:r>
            <w:r>
              <w:rPr>
                <w:rFonts w:hint="default" w:ascii="宋体" w:hAnsi="宋体" w:eastAsia="宋体" w:cs="宋体"/>
                <w:sz w:val="21"/>
                <w:szCs w:val="21"/>
                <w:u w:val="none"/>
                <w:lang w:val="en-US" w:eastAsia="zh-CN"/>
              </w:rPr>
              <w:t>在前述营业场所及安全保护区范围内，由于发生意外事故或者安全生产事故造成第三者（包含乘客）遭受人身及财产损失，承保人按照本保险方案的赔偿限额予以赔偿。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6</w:t>
            </w:r>
            <w:r>
              <w:rPr>
                <w:rFonts w:hint="eastAsia" w:ascii="宋体" w:hAnsi="宋体" w:eastAsia="宋体" w:cs="宋体"/>
                <w:sz w:val="21"/>
                <w:szCs w:val="21"/>
                <w:u w:val="none"/>
                <w:lang w:val="en-US" w:eastAsia="zh-CN"/>
              </w:rPr>
              <w:t>.</w:t>
            </w:r>
            <w:r>
              <w:rPr>
                <w:rFonts w:hint="default" w:ascii="宋体" w:hAnsi="宋体" w:eastAsia="宋体" w:cs="宋体"/>
                <w:sz w:val="21"/>
                <w:szCs w:val="21"/>
                <w:u w:val="none"/>
                <w:lang w:val="en-US" w:eastAsia="zh-CN"/>
              </w:rPr>
              <w:t>法律服务费用。在保险期间内，发生生产安全或意外事故，导致被保险人的施工人员或第三者人身伤亡，被保险人因此被提起仲裁或者诉讼的，对应由被保险人支付的仲裁或诉讼费用以及事先经保险人书面同意支付的其它必要的、合理的费用（以下简称“法律服务费用”），保险人按照保险方案的赔偿限额的约定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7</w:t>
            </w:r>
            <w:r>
              <w:rPr>
                <w:rFonts w:hint="eastAsia" w:ascii="宋体" w:hAnsi="宋体" w:eastAsia="宋体" w:cs="宋体"/>
                <w:sz w:val="21"/>
                <w:szCs w:val="21"/>
                <w:u w:val="none"/>
                <w:lang w:val="en-US" w:eastAsia="zh-CN"/>
              </w:rPr>
              <w:t>.</w:t>
            </w:r>
            <w:r>
              <w:rPr>
                <w:rFonts w:hint="default" w:ascii="宋体" w:hAnsi="宋体" w:eastAsia="宋体" w:cs="宋体"/>
                <w:sz w:val="21"/>
                <w:szCs w:val="21"/>
                <w:u w:val="none"/>
                <w:lang w:val="en-US" w:eastAsia="zh-CN"/>
              </w:rPr>
              <w:t>事故鉴定费用。保险事故发生后，为査明事故原因和责任而聘请具备资质的专业机构（部门）进行检测、评估（评价）、鉴定，并出具有法定证明效力的鉴定报告所发生的应由被保险人承担的费用（以下简称“事故鉴定费用”）,包括但不限于法医鉴定、公安DNA鉴定、职能部门形成的事故责任报告所需的保险事故有关鉴定费用，保险人依据保险方案的赔偿限额的约定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赔偿限额</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第三者责任累计赔偿限额：40，000，000.00元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第三者每次事故赔偿责任限额：20，000，000.00元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第三者每人死亡伤残赔偿责任限额：800，000.00元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每人每次事故医疗费用赔偿限额均为：50，000.00元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每次第三者财产损失赔偿限额为：200，000.00元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事故处置费用：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每次事故抢险救援费用赔偿限额为：100，000.00元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每次事故法律服务费用赔偿限额为：50，000.00元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每次事故鉴定费用赔偿限额为：50，000.00元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从业人员责任：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每人死亡伤残赔偿责任限额为：500，000.00元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每人每次事故医疗费用赔偿限额均为：50，000.00元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免赔额</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无免赔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保险费</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GB" w:eastAsia="zh-CN"/>
              </w:rPr>
            </w:pPr>
            <w:r>
              <w:rPr>
                <w:rFonts w:hint="eastAsia" w:eastAsia="宋体"/>
                <w:lang w:val="en-GB" w:eastAsia="zh-CN"/>
              </w:rPr>
              <w:t>保险费=第三者保险费</w:t>
            </w:r>
            <w:r>
              <w:rPr>
                <w:rFonts w:hint="eastAsia" w:eastAsia="宋体"/>
                <w:lang w:val="en-US" w:eastAsia="zh-CN"/>
              </w:rPr>
              <w:t>+</w:t>
            </w:r>
            <w:r>
              <w:rPr>
                <w:rFonts w:hint="eastAsia" w:eastAsia="宋体"/>
                <w:lang w:val="en-GB" w:eastAsia="zh-CN"/>
              </w:rPr>
              <w:t>从业人员保险费（</w:t>
            </w:r>
            <w:r>
              <w:rPr>
                <w:rFonts w:hint="eastAsia" w:eastAsia="宋体"/>
                <w:lang w:val="en-US" w:eastAsia="zh-CN"/>
              </w:rPr>
              <w:t>采取不记名投保，以出保单前提供最新数据为准</w:t>
            </w:r>
            <w:r>
              <w:rPr>
                <w:rFonts w:hint="eastAsia" w:eastAsia="宋体"/>
                <w:lang w:val="en-GB" w:eastAsia="zh-CN"/>
              </w:rPr>
              <w:t>），其中第三者保险费=列车运营期间车上乘客责任保险费+固定场所责任保险费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default" w:ascii="宋体" w:hAnsi="宋体" w:eastAsia="宋体" w:cs="宋体"/>
                <w:sz w:val="21"/>
                <w:szCs w:val="21"/>
                <w:lang w:val="en-US" w:eastAsia="zh-CN"/>
              </w:rPr>
              <w:t>1号线北延</w:t>
            </w:r>
            <w:r>
              <w:rPr>
                <w:rFonts w:hint="eastAsia" w:ascii="宋体" w:hAnsi="宋体" w:cs="宋体"/>
                <w:sz w:val="21"/>
                <w:szCs w:val="21"/>
                <w:lang w:val="en-US" w:eastAsia="zh-CN"/>
              </w:rPr>
              <w:t>线</w:t>
            </w:r>
            <w:r>
              <w:rPr>
                <w:rFonts w:hint="eastAsia" w:ascii="宋体" w:hAnsi="宋体" w:eastAsia="宋体" w:cs="宋体"/>
                <w:sz w:val="21"/>
                <w:szCs w:val="21"/>
                <w:u w:val="none"/>
                <w:lang w:val="en-GB" w:eastAsia="zh-CN"/>
              </w:rPr>
              <w:t>从业人员</w:t>
            </w:r>
            <w:r>
              <w:rPr>
                <w:rFonts w:hint="eastAsia" w:ascii="宋体" w:hAnsi="宋体" w:eastAsia="宋体" w:cs="宋体"/>
                <w:sz w:val="21"/>
                <w:szCs w:val="21"/>
                <w:u w:val="none"/>
                <w:lang w:val="en-US" w:eastAsia="zh-CN"/>
              </w:rPr>
              <w:t>650</w:t>
            </w:r>
            <w:r>
              <w:rPr>
                <w:rFonts w:hint="eastAsia" w:ascii="宋体" w:hAnsi="宋体" w:eastAsia="宋体" w:cs="宋体"/>
                <w:sz w:val="21"/>
                <w:szCs w:val="21"/>
                <w:u w:val="none"/>
                <w:lang w:val="en-GB" w:eastAsia="zh-CN"/>
              </w:rPr>
              <w:t>人，</w:t>
            </w:r>
            <w:r>
              <w:rPr>
                <w:rFonts w:hint="default" w:ascii="宋体" w:hAnsi="宋体" w:eastAsia="宋体" w:cs="宋体"/>
                <w:sz w:val="21"/>
                <w:szCs w:val="21"/>
                <w:lang w:val="en-US" w:eastAsia="zh-CN"/>
              </w:rPr>
              <w:t>1号线北延</w:t>
            </w:r>
            <w:r>
              <w:rPr>
                <w:rFonts w:hint="eastAsia" w:ascii="宋体" w:hAnsi="宋体" w:cs="宋体"/>
                <w:sz w:val="21"/>
                <w:szCs w:val="21"/>
                <w:lang w:val="en-US" w:eastAsia="zh-CN"/>
              </w:rPr>
              <w:t>线</w:t>
            </w:r>
            <w:r>
              <w:rPr>
                <w:rFonts w:hint="eastAsia" w:ascii="宋体" w:hAnsi="宋体" w:eastAsia="宋体" w:cs="宋体"/>
                <w:sz w:val="21"/>
                <w:szCs w:val="21"/>
                <w:u w:val="none"/>
                <w:lang w:val="en-US" w:eastAsia="zh-CN"/>
              </w:rPr>
              <w:t>列车乘客人数为24</w:t>
            </w:r>
            <w:r>
              <w:rPr>
                <w:rFonts w:hint="eastAsia" w:ascii="宋体" w:hAnsi="宋体" w:cs="宋体"/>
                <w:sz w:val="21"/>
                <w:szCs w:val="21"/>
                <w:u w:val="none"/>
                <w:lang w:val="en-US" w:eastAsia="zh-CN"/>
              </w:rPr>
              <w:t>4</w:t>
            </w:r>
            <w:r>
              <w:rPr>
                <w:rFonts w:hint="eastAsia" w:ascii="宋体" w:hAnsi="宋体" w:eastAsia="宋体" w:cs="宋体"/>
                <w:sz w:val="21"/>
                <w:szCs w:val="21"/>
                <w:u w:val="none"/>
                <w:lang w:val="en-US" w:eastAsia="zh-CN"/>
              </w:rPr>
              <w:t>个</w:t>
            </w:r>
            <w:r>
              <w:rPr>
                <w:rFonts w:hint="eastAsia" w:ascii="宋体" w:hAnsi="宋体" w:eastAsia="宋体" w:cs="宋体"/>
                <w:sz w:val="21"/>
                <w:szCs w:val="21"/>
                <w:u w:val="none"/>
                <w:lang w:val="en-GB" w:eastAsia="zh-CN"/>
              </w:rPr>
              <w:t>，同一时间段同时运行的</w:t>
            </w:r>
            <w:r>
              <w:rPr>
                <w:rFonts w:hint="eastAsia" w:ascii="宋体" w:hAnsi="宋体" w:eastAsia="宋体" w:cs="宋体"/>
                <w:sz w:val="21"/>
                <w:szCs w:val="21"/>
                <w:u w:val="none"/>
                <w:lang w:val="en-US" w:eastAsia="zh-CN"/>
              </w:rPr>
              <w:t>平均</w:t>
            </w:r>
            <w:r>
              <w:rPr>
                <w:rFonts w:hint="eastAsia" w:ascii="宋体" w:hAnsi="宋体" w:eastAsia="宋体" w:cs="宋体"/>
                <w:sz w:val="21"/>
                <w:szCs w:val="21"/>
                <w:u w:val="none"/>
                <w:lang w:val="en-GB" w:eastAsia="zh-CN"/>
              </w:rPr>
              <w:t>列车数</w:t>
            </w:r>
            <w:r>
              <w:rPr>
                <w:rFonts w:hint="eastAsia" w:ascii="宋体" w:hAnsi="宋体" w:cs="宋体"/>
                <w:sz w:val="21"/>
                <w:szCs w:val="21"/>
                <w:u w:val="none"/>
                <w:lang w:val="en-US" w:eastAsia="zh-CN"/>
              </w:rPr>
              <w:t>6</w:t>
            </w:r>
            <w:r>
              <w:rPr>
                <w:rFonts w:hint="eastAsia" w:ascii="宋体" w:hAnsi="宋体" w:eastAsia="宋体" w:cs="宋体"/>
                <w:sz w:val="21"/>
                <w:szCs w:val="21"/>
                <w:u w:val="none"/>
                <w:lang w:val="en-GB"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kern w:val="2"/>
                <w:sz w:val="21"/>
                <w:szCs w:val="21"/>
                <w:u w:val="none"/>
                <w:lang w:val="en-US" w:eastAsia="zh-CN" w:bidi="ar-SA"/>
              </w:rPr>
            </w:pPr>
            <w:r>
              <w:rPr>
                <w:rFonts w:hint="eastAsia" w:ascii="宋体" w:hAnsi="宋体" w:cs="宋体"/>
                <w:sz w:val="21"/>
                <w:szCs w:val="21"/>
                <w:u w:val="none"/>
                <w:lang w:val="en-US" w:eastAsia="zh-CN"/>
              </w:rPr>
              <w:t>特别约定</w:t>
            </w:r>
          </w:p>
        </w:tc>
        <w:tc>
          <w:tcPr>
            <w:tcW w:w="749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1.兹经双方同意，如发生下列情况，保险双方本着实事求是的原则，妥善处理、解决与理赔要求不一致之问题及争议：</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（1）特殊原因导致未能及时报案和现场保留，但提供相关事故证明、证据的；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（2）因事故现场保护而不能进入的；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（3）损失原因不能确定或有争议的；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（4）其他特殊情况与理赔规定不一致的。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兹经双方同意，承保人授予被保险人每次事故人民币1万元限额的现场快速处理权限，即被保险人的现场处理人员可以根据实际情况，迅速与受伤/受损第三方达成一次性赔偿协议，每次事故赔偿限额1万元。除了双方签字的赔偿协议、第三方身份证复印件和被保险人盖章的案情说明外，不需要提供其他单证。在保险期限内被保险人将所有该类赔案按上述约定的三项文件整理后递交承保人。承保人在收到各赔案材料后，十五个工作日内结案并支付相应赔款。但被保险人应严格控制有权代表其行使该权限的人员数量，且该类赔案的累计赔偿限额为人民币10万元/年。</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3.兹经双方同意，被保险人的自动售货机提供的不洁或有害的食品或饮料导致第三者人身伤害的，承保人负责对被保险人承担的赔偿责任，并在责任限额内进行赔偿。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4.兹经双方同意，对于事故中的治疗费和医药费，只需审核其发生的合理性和必要性。对于合理、必要发生的治疗费、医药费等费用，承保人在赔偿计算中不根据医保用药标准进行任何项目的扣减和任何形式的比例赔付，须在约定的赔偿限额内按实际发生的费用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5.兹经双方同意，物品折旧按照下列比例执行：</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（1）服装衣饰类：按每年折旧比例15%计算，超过五年上按35%剩余价值赔偿；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（2）电子产品类：按每年折旧比例20%计算，超过四年以上按30%剩余价值赔偿；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（3）其他物品类：按每年折旧比例15%计算，超过五年以上按30%剩余价值赔偿；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如以上物品可修复，其维修费用不得超过其全损赔偿价值的50%。</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6.兹经双方同意，被保险人如果有工伤保险或其他类似保障的，本保险单的伤残和死亡赔偿责任不因此而受影响。</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7.兹经双方同意，发生保险事故后承保人履行赔付时，被保险人出具保险事故证明即可，无需提供由安全主管部门出具的有关保险事故性质等证明文件。</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8.兹经双方同意，特别约定中的条款名称可以根据承保人在保监会备案的名称调整，但条款保障内容必须符合被保险人实际需求。</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9.在保险期限内，如因上级政策调整造成承保人资质受到影响或其他由承保人原因，给被保险人造成损失的，承保人需根据实际损失进行赔偿。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10.在保险期限内，如因法律法规或相关政策调整造成保险内容调整变更的，承保人按照调整后的实际保险内容进行承保，合同结算金额按照实际保险内容进行结算。</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11.被保险人在理赔时，与承保人签署的相关理赔文件，承保人禁止使用格式条款或强制性条款，相关理赔文件必须符合被保险人利益并与保险人达成一致意见方能签署，如因使用格式条款或强制性条款造成理赔不及时或其他原因给被保险人带来损失，承保人需根据实际损失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kern w:val="2"/>
                <w:sz w:val="21"/>
                <w:szCs w:val="21"/>
                <w:u w:val="none"/>
                <w:lang w:val="en-US" w:eastAsia="zh-CN" w:bidi="ar-SA"/>
              </w:rPr>
            </w:pPr>
            <w:r>
              <w:rPr>
                <w:rFonts w:hint="eastAsia" w:ascii="宋体" w:hAnsi="宋体" w:eastAsia="宋体" w:cs="宋体"/>
                <w:sz w:val="21"/>
                <w:szCs w:val="21"/>
                <w:u w:val="none"/>
                <w:lang w:val="en-US" w:eastAsia="zh-CN"/>
              </w:rPr>
              <w:t>解释说明</w:t>
            </w:r>
          </w:p>
        </w:tc>
        <w:tc>
          <w:tcPr>
            <w:tcW w:w="749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1.</w:t>
            </w:r>
            <w:r>
              <w:rPr>
                <w:rFonts w:hint="eastAsia" w:ascii="宋体" w:hAnsi="宋体" w:eastAsia="宋体" w:cs="宋体"/>
                <w:sz w:val="21"/>
                <w:szCs w:val="21"/>
                <w:u w:val="none"/>
                <w:lang w:val="en-US" w:eastAsia="zh-CN"/>
              </w:rPr>
              <w:t>承保人每年根据投保人提供的出单前实际在岗从业人员人数签发保险单，年度保险单不再对实际在岗从业人员人数进行增减。保险合同期内结算的最终保险费不得超过</w:t>
            </w:r>
            <w:r>
              <w:rPr>
                <w:rFonts w:hint="eastAsia" w:ascii="宋体" w:hAnsi="宋体" w:cs="宋体"/>
                <w:sz w:val="21"/>
                <w:szCs w:val="21"/>
                <w:u w:val="none"/>
                <w:lang w:val="en-US" w:eastAsia="zh-CN"/>
              </w:rPr>
              <w:t>中</w:t>
            </w:r>
            <w:r>
              <w:rPr>
                <w:rFonts w:hint="eastAsia" w:ascii="宋体" w:hAnsi="宋体" w:eastAsia="宋体" w:cs="宋体"/>
                <w:sz w:val="21"/>
                <w:szCs w:val="21"/>
                <w:u w:val="none"/>
                <w:lang w:val="en-US" w:eastAsia="zh-CN"/>
              </w:rPr>
              <w:t>标时确定的暂定保险费。从业人员是指与被保险人存在劳动关系（包括事实劳动关系）的各种用工形式、各种用工期限劳动者。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第三者责任包含除从业人员人身伤亡和医疗费用之外的所有责任，保险人对每次事故第三者责任赔偿不超过保单约定的第三者责任每次事故责任限额，保险人对第三者责任多次赔偿金额之和不超过保单约定的第三者责任累计责任限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在保险期限内，如因法律法规或相关政策调整，造成承保人资质受到影响或由承保人其他原因，投保人有权解除合同。保险人按照保险责任开始之日起至合同解除之日止期间以保险期间的日比例计收保险费，并退还剩余保险费。如给投保人及被保险人造成损失的，承保人还需根据实际损失进行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4.发生保险事故时，若损失金额超过每次事故责任限额，各项损失的赔付顺序为第三者人身伤亡（含医疗费用）、应急救援费用、第三者财产损失、事故鉴定费用、法律服务费用。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5.在保险期限内，如因法律法规或相关政策调整造成保险内容调整变更的，承保人按照调整后的实际保险内容进行承保，承保人应提前书面告知投保人，合同范围内的按照实际保险内容进行结算。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6.第三者人身伤害及从业人员人身伤害的伤残鉴定标准，按《劳动能力鉴定职工工伤与职业病致残等级》（GB/T16180-2014）确定伤残等级。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7.受害人遭受人身损害，因就医治疗支出的各项费用以及因误工减少的收入，包括医疗费、误工费、护理费、交通费、住宿费、住院伙食补助费、必要的营养费，赔偿义务人应当予以赔偿。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受害人因伤致残的，其因增加生活上需要所支出的必要费用以及因丧失劳动能力导致的收入损失，包括残疾赔偿金、残疾辅助器具费、被扶养人生活费，以及因康复护理、继续治疗实际发生的必要的康复费、护理费、后续治疗费，赔偿义务人也应当予以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受害人死亡的，赔偿义务人除应当根据抢救治疗情况赔偿本条规定的相关费用外，还应当赔偿丧葬费、被扶养人生活费、死亡补偿费以及受害人亲属办理丧葬事宜支出的交通费、住宿费和误工损失等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8.被保险人承担的诊疗项目、药品、住院服务及辅助器具配置费用，保险人均依据本款下列第（1）条-第（4）条计算的基础上，在每人医疗费用责任限额内据实全部赔偿。除另有约定外，医疗费用具体项目包括:</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（1）挂号费、治疗费、手术费、检查费、医药费；</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（2）住院期间的床位费、陪护费、伙食费、取暖费、空调费；</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（3）就(转)诊交通费、急救车费；</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（4）安装假肢、假牙、假眼和残疾用具费用。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除紧急抢救外，保险人均应在二级以上(含)或保险人认可的医疗机构就诊。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9.第三者和从业人员人身伤亡和残疾赔偿标准按照下表进行赔偿。</w:t>
            </w:r>
          </w:p>
          <w:tbl>
            <w:tblPr>
              <w:tblStyle w:val="17"/>
              <w:tblW w:w="7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人身伤害的死亡和残疾程度</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赔偿限额比例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死亡</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永久丧失工作能力或一级残疾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二级残疾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三级残疾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四级残疾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五级残疾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六级残疾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七级残疾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八级残疾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九级残疾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十级残疾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p>
        </w:tc>
      </w:tr>
    </w:tbl>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sz w:val="32"/>
          <w:szCs w:val="32"/>
        </w:rPr>
      </w:pPr>
      <w:bookmarkStart w:id="25" w:name="_Toc11917"/>
      <w:r>
        <w:rPr>
          <w:rFonts w:hint="eastAsia" w:ascii="黑体" w:hAnsi="黑体" w:eastAsia="黑体" w:cs="黑体"/>
          <w:bCs/>
          <w:sz w:val="32"/>
          <w:szCs w:val="32"/>
        </w:rPr>
        <w:t>项目验收</w:t>
      </w:r>
      <w:bookmarkEnd w:id="25"/>
    </w:p>
    <w:p>
      <w:pPr>
        <w:keepNext w:val="0"/>
        <w:keepLines w:val="0"/>
        <w:pageBreakBefore w:val="0"/>
        <w:widowControl w:val="0"/>
        <w:numPr>
          <w:ilvl w:val="0"/>
          <w:numId w:val="4"/>
        </w:numPr>
        <w:kinsoku/>
        <w:wordWrap/>
        <w:overflowPunct/>
        <w:topLinePunct w:val="0"/>
        <w:autoSpaceDE/>
        <w:autoSpaceDN/>
        <w:bidi w:val="0"/>
        <w:adjustRightInd w:val="0"/>
        <w:spacing w:line="560" w:lineRule="exact"/>
        <w:ind w:left="0" w:firstLine="640" w:firstLineChars="200"/>
        <w:textAlignment w:val="auto"/>
        <w:outlineLvl w:val="1"/>
        <w:rPr>
          <w:rFonts w:hint="eastAsia" w:ascii="楷体_GB2312" w:hAnsi="宋体" w:eastAsia="楷体_GB2312" w:cs="宋体"/>
          <w:sz w:val="32"/>
          <w:szCs w:val="32"/>
          <w:lang w:val="en-US" w:eastAsia="zh-CN"/>
        </w:rPr>
      </w:pPr>
      <w:bookmarkStart w:id="26" w:name="_Toc28779"/>
      <w:r>
        <w:rPr>
          <w:rFonts w:hint="eastAsia" w:ascii="楷体_GB2312" w:hAnsi="宋体" w:eastAsia="楷体_GB2312" w:cs="宋体"/>
          <w:sz w:val="32"/>
          <w:szCs w:val="32"/>
          <w:lang w:val="en-US" w:eastAsia="zh-CN"/>
        </w:rPr>
        <w:t>项目验收的组织机构、验收程序</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sz w:val="32"/>
          <w:szCs w:val="32"/>
        </w:rPr>
      </w:pPr>
      <w:bookmarkStart w:id="27" w:name="_Toc31789"/>
      <w:bookmarkStart w:id="28" w:name="_Toc26461"/>
      <w:r>
        <w:rPr>
          <w:rFonts w:hint="eastAsia" w:ascii="仿宋_GB2312" w:hAnsi="仿宋_GB2312" w:eastAsia="仿宋_GB2312" w:cs="仿宋_GB2312"/>
          <w:bCs/>
          <w:sz w:val="32"/>
          <w:szCs w:val="32"/>
        </w:rPr>
        <w:t>项目验收的组织机构、验收程序，参照</w:t>
      </w:r>
      <w:r>
        <w:rPr>
          <w:rFonts w:hint="eastAsia" w:ascii="仿宋_GB2312" w:hAnsi="仿宋_GB2312" w:eastAsia="仿宋_GB2312" w:cs="仿宋_GB2312"/>
          <w:bCs/>
          <w:sz w:val="32"/>
          <w:szCs w:val="32"/>
          <w:lang w:eastAsia="zh-CN"/>
        </w:rPr>
        <w:t>采购人</w:t>
      </w:r>
      <w:r>
        <w:rPr>
          <w:rFonts w:hint="eastAsia" w:ascii="仿宋_GB2312" w:hAnsi="仿宋_GB2312" w:eastAsia="仿宋_GB2312" w:cs="仿宋_GB2312"/>
          <w:bCs/>
          <w:sz w:val="32"/>
          <w:szCs w:val="32"/>
        </w:rPr>
        <w:t>相关制度执行。</w:t>
      </w:r>
    </w:p>
    <w:bookmarkEnd w:id="27"/>
    <w:bookmarkEnd w:id="28"/>
    <w:p>
      <w:pPr>
        <w:keepNext w:val="0"/>
        <w:keepLines w:val="0"/>
        <w:pageBreakBefore w:val="0"/>
        <w:widowControl w:val="0"/>
        <w:numPr>
          <w:ilvl w:val="0"/>
          <w:numId w:val="4"/>
        </w:numPr>
        <w:kinsoku/>
        <w:wordWrap/>
        <w:overflowPunct/>
        <w:topLinePunct w:val="0"/>
        <w:autoSpaceDE/>
        <w:autoSpaceDN/>
        <w:bidi w:val="0"/>
        <w:adjustRightInd w:val="0"/>
        <w:spacing w:line="560" w:lineRule="exact"/>
        <w:ind w:left="0" w:firstLine="640" w:firstLineChars="200"/>
        <w:textAlignment w:val="auto"/>
        <w:outlineLvl w:val="1"/>
        <w:rPr>
          <w:rFonts w:hint="eastAsia" w:ascii="楷体_GB2312" w:hAnsi="宋体" w:eastAsia="楷体_GB2312" w:cs="宋体"/>
          <w:color w:val="auto"/>
          <w:sz w:val="32"/>
          <w:szCs w:val="32"/>
          <w:lang w:val="en-US" w:eastAsia="zh-CN"/>
        </w:rPr>
      </w:pPr>
      <w:bookmarkStart w:id="29" w:name="_Toc466"/>
      <w:bookmarkStart w:id="30" w:name="_Toc24995"/>
      <w:bookmarkStart w:id="31" w:name="_Toc12014"/>
      <w:r>
        <w:rPr>
          <w:rFonts w:hint="eastAsia" w:ascii="楷体_GB2312" w:hAnsi="宋体" w:eastAsia="楷体_GB2312" w:cs="宋体"/>
          <w:color w:val="auto"/>
          <w:sz w:val="32"/>
          <w:szCs w:val="32"/>
          <w:lang w:val="en-US" w:eastAsia="zh-CN"/>
        </w:rPr>
        <w:t>验收标准</w:t>
      </w:r>
      <w:bookmarkEnd w:id="29"/>
      <w:bookmarkEnd w:id="30"/>
      <w:bookmarkEnd w:id="31"/>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供应商</w:t>
      </w:r>
      <w:r>
        <w:rPr>
          <w:rFonts w:hint="eastAsia" w:ascii="仿宋_GB2312" w:hAnsi="仿宋_GB2312" w:eastAsia="仿宋_GB2312" w:cs="仿宋_GB2312"/>
          <w:bCs/>
          <w:color w:val="auto"/>
          <w:sz w:val="32"/>
          <w:szCs w:val="32"/>
        </w:rPr>
        <w:t>按用户需求书约定提交年度财产一切险附加机器损坏险</w:t>
      </w:r>
      <w:r>
        <w:rPr>
          <w:rFonts w:hint="eastAsia" w:ascii="仿宋_GB2312" w:hAnsi="仿宋_GB2312" w:eastAsia="仿宋_GB2312" w:cs="仿宋_GB2312"/>
          <w:bCs/>
          <w:color w:val="auto"/>
          <w:sz w:val="32"/>
          <w:szCs w:val="32"/>
          <w:lang w:eastAsia="zh-CN"/>
        </w:rPr>
        <w:t>、安全生产责任险</w:t>
      </w:r>
      <w:r>
        <w:rPr>
          <w:rFonts w:hint="eastAsia" w:ascii="仿宋_GB2312" w:hAnsi="仿宋_GB2312" w:eastAsia="仿宋_GB2312" w:cs="仿宋_GB2312"/>
          <w:bCs/>
          <w:color w:val="auto"/>
          <w:sz w:val="32"/>
          <w:szCs w:val="32"/>
        </w:rPr>
        <w:t>相应保险单，</w:t>
      </w:r>
      <w:r>
        <w:rPr>
          <w:rFonts w:hint="eastAsia" w:ascii="仿宋_GB2312" w:hAnsi="仿宋_GB2312" w:eastAsia="仿宋_GB2312" w:cs="仿宋_GB2312"/>
          <w:bCs/>
          <w:color w:val="auto"/>
          <w:sz w:val="32"/>
          <w:szCs w:val="32"/>
          <w:lang w:eastAsia="zh-CN"/>
        </w:rPr>
        <w:t>其中</w:t>
      </w:r>
      <w:r>
        <w:rPr>
          <w:rFonts w:hint="eastAsia" w:ascii="仿宋_GB2312" w:hAnsi="仿宋_GB2312" w:eastAsia="仿宋_GB2312" w:cs="仿宋_GB2312"/>
          <w:bCs/>
          <w:color w:val="auto"/>
          <w:sz w:val="32"/>
          <w:szCs w:val="32"/>
        </w:rPr>
        <w:t>保险单达到</w:t>
      </w:r>
      <w:r>
        <w:rPr>
          <w:rFonts w:hint="eastAsia" w:ascii="仿宋_GB2312" w:hAnsi="仿宋_GB2312" w:eastAsia="仿宋_GB2312" w:cs="仿宋_GB2312"/>
          <w:bCs/>
          <w:color w:val="auto"/>
          <w:sz w:val="32"/>
          <w:szCs w:val="32"/>
          <w:lang w:val="en-US" w:eastAsia="zh-CN"/>
        </w:rPr>
        <w:t>采购人</w:t>
      </w:r>
      <w:r>
        <w:rPr>
          <w:rFonts w:hint="eastAsia" w:ascii="仿宋_GB2312" w:hAnsi="仿宋_GB2312" w:eastAsia="仿宋_GB2312" w:cs="仿宋_GB2312"/>
          <w:bCs/>
          <w:color w:val="auto"/>
          <w:sz w:val="32"/>
          <w:szCs w:val="32"/>
        </w:rPr>
        <w:t>用户需求书要求并获得</w:t>
      </w:r>
      <w:r>
        <w:rPr>
          <w:rFonts w:hint="eastAsia" w:ascii="仿宋_GB2312" w:hAnsi="仿宋_GB2312" w:eastAsia="仿宋_GB2312" w:cs="仿宋_GB2312"/>
          <w:bCs/>
          <w:color w:val="auto"/>
          <w:sz w:val="32"/>
          <w:szCs w:val="32"/>
          <w:lang w:val="en-US" w:eastAsia="zh-CN"/>
        </w:rPr>
        <w:t>采购人</w:t>
      </w:r>
      <w:r>
        <w:rPr>
          <w:rFonts w:hint="eastAsia" w:ascii="仿宋_GB2312" w:hAnsi="仿宋_GB2312" w:eastAsia="仿宋_GB2312" w:cs="仿宋_GB2312"/>
          <w:bCs/>
          <w:color w:val="auto"/>
          <w:sz w:val="32"/>
          <w:szCs w:val="32"/>
        </w:rPr>
        <w:t>认可，方满足阶段验收条件。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供应商</w:t>
      </w:r>
      <w:r>
        <w:rPr>
          <w:rFonts w:hint="eastAsia" w:ascii="仿宋_GB2312" w:hAnsi="仿宋_GB2312" w:eastAsia="仿宋_GB2312" w:cs="仿宋_GB2312"/>
          <w:bCs/>
          <w:color w:val="auto"/>
          <w:sz w:val="32"/>
          <w:szCs w:val="32"/>
        </w:rPr>
        <w:t>按用户需求书完成全部工作并</w:t>
      </w:r>
      <w:r>
        <w:rPr>
          <w:rFonts w:hint="eastAsia" w:ascii="仿宋_GB2312" w:hAnsi="仿宋_GB2312" w:eastAsia="仿宋_GB2312" w:cs="仿宋_GB2312"/>
          <w:bCs/>
          <w:color w:val="auto"/>
          <w:sz w:val="32"/>
          <w:szCs w:val="32"/>
          <w:lang w:val="en-US" w:eastAsia="zh-CN"/>
        </w:rPr>
        <w:t>提交项</w:t>
      </w:r>
      <w:r>
        <w:rPr>
          <w:rFonts w:hint="eastAsia" w:ascii="仿宋_GB2312" w:hAnsi="仿宋_GB2312" w:eastAsia="仿宋_GB2312" w:cs="仿宋_GB2312"/>
          <w:bCs/>
          <w:color w:val="auto"/>
          <w:sz w:val="32"/>
          <w:szCs w:val="32"/>
        </w:rPr>
        <w:t>目完工服务报告，项目完工服务报告达到</w:t>
      </w:r>
      <w:r>
        <w:rPr>
          <w:rFonts w:hint="eastAsia" w:ascii="仿宋_GB2312" w:hAnsi="仿宋_GB2312" w:eastAsia="仿宋_GB2312" w:cs="仿宋_GB2312"/>
          <w:bCs/>
          <w:color w:val="auto"/>
          <w:sz w:val="32"/>
          <w:szCs w:val="32"/>
          <w:lang w:val="en-US" w:eastAsia="zh-CN"/>
        </w:rPr>
        <w:t>采购人</w:t>
      </w:r>
      <w:r>
        <w:rPr>
          <w:rFonts w:hint="eastAsia" w:ascii="仿宋_GB2312" w:hAnsi="仿宋_GB2312" w:eastAsia="仿宋_GB2312" w:cs="仿宋_GB2312"/>
          <w:bCs/>
          <w:color w:val="auto"/>
          <w:sz w:val="32"/>
          <w:szCs w:val="32"/>
        </w:rPr>
        <w:t>用户需求书要求，方可进行项目完工验收。</w:t>
      </w:r>
    </w:p>
    <w:p>
      <w:pPr>
        <w:keepNext w:val="0"/>
        <w:keepLines w:val="0"/>
        <w:pageBreakBefore w:val="0"/>
        <w:widowControl w:val="0"/>
        <w:numPr>
          <w:ilvl w:val="0"/>
          <w:numId w:val="4"/>
        </w:numPr>
        <w:kinsoku/>
        <w:wordWrap/>
        <w:overflowPunct/>
        <w:topLinePunct w:val="0"/>
        <w:autoSpaceDE/>
        <w:autoSpaceDN/>
        <w:bidi w:val="0"/>
        <w:adjustRightInd w:val="0"/>
        <w:spacing w:line="560" w:lineRule="exact"/>
        <w:ind w:left="0" w:firstLine="640" w:firstLineChars="200"/>
        <w:textAlignment w:val="auto"/>
        <w:outlineLvl w:val="1"/>
        <w:rPr>
          <w:rFonts w:hint="eastAsia" w:ascii="楷体_GB2312" w:hAnsi="宋体" w:eastAsia="楷体_GB2312" w:cs="宋体"/>
          <w:color w:val="auto"/>
          <w:sz w:val="32"/>
          <w:szCs w:val="32"/>
          <w:lang w:val="en-US" w:eastAsia="zh-CN"/>
        </w:rPr>
      </w:pPr>
      <w:bookmarkStart w:id="32" w:name="_Toc20717"/>
      <w:bookmarkStart w:id="33" w:name="_Toc9988"/>
      <w:bookmarkStart w:id="34" w:name="_Toc4555"/>
      <w:r>
        <w:rPr>
          <w:rFonts w:hint="eastAsia" w:ascii="楷体_GB2312" w:hAnsi="宋体" w:eastAsia="楷体_GB2312" w:cs="宋体"/>
          <w:color w:val="auto"/>
          <w:sz w:val="32"/>
          <w:szCs w:val="32"/>
          <w:lang w:val="en-US" w:eastAsia="zh-CN"/>
        </w:rPr>
        <w:t>验收成果</w:t>
      </w:r>
      <w:bookmarkEnd w:id="32"/>
      <w:bookmarkEnd w:id="33"/>
      <w:bookmarkEnd w:id="34"/>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1.承保人及时向被保险人签发有效保险单或其他保险凭证。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2.承保人及时完成现场查勘、定责定损、保险金赔付等。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3.承保人应组织对本项目至少进行两次风险查勘并提交风险查勘报告，提出有针对性的防灾防损建议。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4.承保人应组织开展至少两次培训或交流会议、两次保险宣传活动，以提高被保险人风险管理和防灾防损技能。</w:t>
      </w:r>
    </w:p>
    <w:p>
      <w:pPr>
        <w:pStyle w:val="13"/>
        <w:keepNext w:val="0"/>
        <w:keepLines w:val="0"/>
        <w:pageBreakBefore w:val="0"/>
        <w:widowControl w:val="0"/>
        <w:numPr>
          <w:ilvl w:val="0"/>
          <w:numId w:val="0"/>
        </w:numPr>
        <w:tabs>
          <w:tab w:val="right" w:leader="dot" w:pos="8306"/>
        </w:tabs>
        <w:kinsoku/>
        <w:wordWrap/>
        <w:overflowPunct/>
        <w:topLinePunct w:val="0"/>
        <w:autoSpaceDE/>
        <w:autoSpaceDN/>
        <w:bidi w:val="0"/>
        <w:adjustRightInd w:val="0"/>
        <w:snapToGrid w:val="0"/>
        <w:spacing w:line="560" w:lineRule="exact"/>
        <w:textAlignment w:val="auto"/>
        <w:outlineLvl w:val="0"/>
        <w:rPr>
          <w:rFonts w:hint="eastAsia" w:ascii="黑体" w:hAnsi="黑体" w:eastAsia="黑体" w:cs="楷体"/>
          <w:b w:val="0"/>
          <w:bCs w:val="0"/>
          <w:i w:val="0"/>
          <w:iCs w:val="0"/>
          <w:color w:val="auto"/>
          <w:sz w:val="32"/>
          <w:szCs w:val="32"/>
          <w:lang w:eastAsia="zh-CN"/>
        </w:rPr>
      </w:pPr>
      <w:bookmarkStart w:id="35" w:name="_Toc8773"/>
      <w:bookmarkStart w:id="36" w:name="_Toc31173"/>
      <w:bookmarkStart w:id="37" w:name="_Toc13321"/>
      <w:r>
        <w:rPr>
          <w:rFonts w:hint="eastAsia" w:ascii="黑体" w:hAnsi="黑体" w:eastAsia="黑体" w:cs="楷体"/>
          <w:b w:val="0"/>
          <w:bCs w:val="0"/>
          <w:i w:val="0"/>
          <w:iCs w:val="0"/>
          <w:color w:val="auto"/>
          <w:sz w:val="32"/>
          <w:szCs w:val="32"/>
          <w:lang w:eastAsia="zh-CN"/>
        </w:rPr>
        <w:t>七、考核标准</w:t>
      </w:r>
      <w:bookmarkEnd w:id="35"/>
      <w:bookmarkEnd w:id="36"/>
      <w:bookmarkEnd w:id="37"/>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color w:val="auto"/>
          <w:sz w:val="32"/>
          <w:szCs w:val="32"/>
          <w:lang w:val="en-US" w:eastAsia="zh-CN"/>
        </w:rPr>
        <w:t>根据用户需求书中的相关条款，由被保险人对承保人进行考核评分，并按分值等级进行相关考核。当有考核项目重复发生时以最高程度考核项为考核标准。因承保人原因造成设备故障、</w:t>
      </w:r>
      <w:r>
        <w:rPr>
          <w:rFonts w:hint="eastAsia" w:ascii="仿宋_GB2312" w:hAnsi="宋体" w:eastAsia="仿宋_GB2312" w:cs="宋体"/>
          <w:sz w:val="32"/>
          <w:szCs w:val="32"/>
          <w:lang w:val="en-US" w:eastAsia="zh-CN"/>
        </w:rPr>
        <w:t>客伤、被保险人或第三方人身财产损害的，除负责赔偿责任外，还需向被保险人赔付由被保险人依据安全事故的性质、受伤人员数量、受伤害的程度、采购人的名誉、形象受损的范围和程度等确定的金额，并承担被保险人因此发生的诉讼费、律师费等一切费用及相应的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承保人违反被保险人相关规定、制度，按照表四质量考核标准、表五考核支付表执行（包括但不限于）：</w:t>
      </w:r>
    </w:p>
    <w:tbl>
      <w:tblPr>
        <w:tblStyle w:val="16"/>
        <w:tblW w:w="0" w:type="auto"/>
        <w:tblInd w:w="0" w:type="dxa"/>
        <w:tblLayout w:type="fixed"/>
        <w:tblCellMar>
          <w:top w:w="15" w:type="dxa"/>
          <w:left w:w="15" w:type="dxa"/>
          <w:bottom w:w="15" w:type="dxa"/>
          <w:right w:w="15" w:type="dxa"/>
        </w:tblCellMar>
      </w:tblPr>
      <w:tblGrid>
        <w:gridCol w:w="675"/>
        <w:gridCol w:w="5446"/>
        <w:gridCol w:w="2442"/>
        <w:gridCol w:w="1020"/>
      </w:tblGrid>
      <w:tr>
        <w:tblPrEx>
          <w:tblCellMar>
            <w:top w:w="15" w:type="dxa"/>
            <w:left w:w="15" w:type="dxa"/>
            <w:bottom w:w="15" w:type="dxa"/>
            <w:right w:w="15" w:type="dxa"/>
          </w:tblCellMar>
        </w:tblPrEx>
        <w:trPr>
          <w:trHeight w:val="186" w:hRule="atLeast"/>
        </w:trPr>
        <w:tc>
          <w:tcPr>
            <w:tcW w:w="95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ind w:firstLine="482" w:firstLineChars="20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表</w:t>
            </w:r>
            <w:r>
              <w:rPr>
                <w:rFonts w:hint="eastAsia" w:ascii="宋体" w:hAnsi="宋体" w:cs="宋体"/>
                <w:b/>
                <w:color w:val="000000"/>
                <w:kern w:val="0"/>
                <w:sz w:val="24"/>
                <w:szCs w:val="24"/>
                <w:lang w:val="en-US" w:eastAsia="zh-CN"/>
              </w:rPr>
              <w:t>四</w:t>
            </w:r>
            <w:r>
              <w:rPr>
                <w:rFonts w:hint="eastAsia" w:ascii="宋体" w:hAnsi="宋体" w:cs="宋体"/>
                <w:b/>
                <w:color w:val="000000"/>
                <w:kern w:val="0"/>
                <w:sz w:val="24"/>
                <w:szCs w:val="24"/>
              </w:rPr>
              <w:t xml:space="preserve"> 质量考核标准表</w:t>
            </w:r>
          </w:p>
        </w:tc>
      </w:tr>
      <w:tr>
        <w:tblPrEx>
          <w:tblCellMar>
            <w:top w:w="15" w:type="dxa"/>
            <w:left w:w="15" w:type="dxa"/>
            <w:bottom w:w="15" w:type="dxa"/>
            <w:right w:w="15" w:type="dxa"/>
          </w:tblCellMar>
        </w:tblPrEx>
        <w:trPr>
          <w:trHeight w:val="283"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序号</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考核内容</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处罚结果</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备注</w:t>
            </w: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color w:val="000000"/>
                <w:szCs w:val="21"/>
              </w:rPr>
              <w:t>1</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报案渠道不通畅，承保人未按时接报案。</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baseline"/>
              <w:rPr>
                <w:rFonts w:hint="default" w:ascii="宋体" w:hAnsi="宋体" w:eastAsia="宋体" w:cs="宋体"/>
                <w:bCs/>
                <w:szCs w:val="21"/>
                <w:lang w:val="en-US" w:eastAsia="zh-CN"/>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2</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查勘人员未按照约定时间到达现场处理事故。</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3</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eastAsia="宋体" w:cs="宋体"/>
                <w:bCs/>
                <w:szCs w:val="21"/>
                <w:lang w:eastAsia="zh-CN"/>
              </w:rPr>
            </w:pPr>
            <w:r>
              <w:rPr>
                <w:rFonts w:hint="eastAsia" w:ascii="宋体" w:hAnsi="宋体" w:cs="宋体"/>
                <w:bCs/>
                <w:szCs w:val="21"/>
                <w:lang w:eastAsia="zh-CN"/>
              </w:rPr>
              <w:t>因定损人员工作疏漏，导致损失核定出现问题。</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4</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s="宋体"/>
                <w:bCs/>
                <w:color w:val="auto"/>
                <w:szCs w:val="21"/>
                <w:lang w:eastAsia="zh-CN"/>
              </w:rPr>
            </w:pPr>
            <w:r>
              <w:rPr>
                <w:rFonts w:hint="eastAsia" w:ascii="宋体" w:hAnsi="宋体" w:cs="宋体"/>
                <w:bCs/>
                <w:color w:val="auto"/>
                <w:szCs w:val="21"/>
                <w:lang w:eastAsia="zh-CN"/>
              </w:rPr>
              <w:t>因处理人员工作不到位，导致乘客投诉。</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5</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因承保人工作人员态度恶劣，导致被保险人声誉受影响。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20</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6</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赔款在索赔资料齐全的条件下未在约定时间内支付到位。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ind w:firstLine="0"/>
              <w:jc w:val="center"/>
              <w:rPr>
                <w:rFonts w:ascii="宋体" w:hAnsi="宋体" w:cs="宋体"/>
                <w:color w:val="000000"/>
                <w:szCs w:val="21"/>
              </w:rPr>
            </w:pPr>
            <w:r>
              <w:rPr>
                <w:rFonts w:hint="eastAsia" w:ascii="宋体" w:hAnsi="宋体" w:cs="宋体"/>
                <w:color w:val="000000"/>
                <w:szCs w:val="21"/>
              </w:rPr>
              <w:t>7</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未</w:t>
            </w:r>
            <w:r>
              <w:rPr>
                <w:rFonts w:hint="eastAsia" w:ascii="宋体" w:hAnsi="宋体" w:cs="宋体"/>
                <w:bCs/>
                <w:color w:val="auto"/>
                <w:szCs w:val="21"/>
              </w:rPr>
              <w:t>对</w:t>
            </w:r>
            <w:r>
              <w:rPr>
                <w:rFonts w:hint="eastAsia" w:ascii="宋体" w:hAnsi="宋体" w:cs="宋体"/>
                <w:bCs/>
                <w:color w:val="auto"/>
                <w:szCs w:val="21"/>
                <w:lang w:eastAsia="zh-CN"/>
              </w:rPr>
              <w:t>本项目</w:t>
            </w:r>
            <w:r>
              <w:rPr>
                <w:rFonts w:hint="eastAsia" w:ascii="宋体" w:hAnsi="宋体" w:cs="宋体"/>
                <w:bCs/>
                <w:color w:val="auto"/>
                <w:szCs w:val="21"/>
              </w:rPr>
              <w:t>至少进行</w:t>
            </w:r>
            <w:r>
              <w:rPr>
                <w:rFonts w:hint="eastAsia" w:ascii="宋体" w:hAnsi="宋体" w:cs="宋体"/>
                <w:bCs/>
                <w:color w:val="auto"/>
                <w:szCs w:val="21"/>
                <w:lang w:val="en-US" w:eastAsia="zh-CN"/>
              </w:rPr>
              <w:t>两次</w:t>
            </w:r>
            <w:r>
              <w:rPr>
                <w:rFonts w:hint="eastAsia" w:ascii="宋体" w:hAnsi="宋体" w:cs="宋体"/>
                <w:bCs/>
                <w:color w:val="auto"/>
                <w:szCs w:val="21"/>
              </w:rPr>
              <w:t>风险查勘并提交风险查勘报告</w:t>
            </w:r>
            <w:r>
              <w:rPr>
                <w:rFonts w:hint="eastAsia" w:ascii="宋体" w:hAnsi="宋体" w:cs="宋体"/>
                <w:bCs/>
                <w:color w:val="auto"/>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ind w:firstLine="0"/>
              <w:jc w:val="center"/>
              <w:rPr>
                <w:rFonts w:ascii="宋体" w:hAnsi="宋体" w:cs="宋体"/>
                <w:color w:val="000000"/>
                <w:szCs w:val="21"/>
              </w:rPr>
            </w:pPr>
            <w:r>
              <w:rPr>
                <w:rFonts w:hint="eastAsia" w:ascii="宋体" w:hAnsi="宋体" w:cs="宋体"/>
                <w:color w:val="000000"/>
                <w:szCs w:val="21"/>
              </w:rPr>
              <w:t>8</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未</w:t>
            </w:r>
            <w:r>
              <w:rPr>
                <w:rFonts w:hint="eastAsia" w:ascii="宋体" w:hAnsi="宋体" w:cs="宋体"/>
                <w:bCs/>
                <w:color w:val="auto"/>
                <w:szCs w:val="21"/>
              </w:rPr>
              <w:t>组织</w:t>
            </w:r>
            <w:r>
              <w:rPr>
                <w:rFonts w:hint="eastAsia" w:ascii="宋体" w:hAnsi="宋体" w:cs="宋体"/>
                <w:bCs/>
                <w:color w:val="auto"/>
                <w:szCs w:val="21"/>
                <w:lang w:eastAsia="zh-CN"/>
              </w:rPr>
              <w:t>至少两次</w:t>
            </w:r>
            <w:r>
              <w:rPr>
                <w:rFonts w:hint="eastAsia" w:ascii="宋体" w:hAnsi="宋体" w:cs="宋体"/>
                <w:bCs/>
                <w:color w:val="auto"/>
                <w:szCs w:val="21"/>
              </w:rPr>
              <w:t>保险培训服务或交流会议、</w:t>
            </w:r>
            <w:r>
              <w:rPr>
                <w:rFonts w:hint="eastAsia" w:ascii="宋体" w:hAnsi="宋体" w:cs="宋体"/>
                <w:bCs/>
                <w:color w:val="auto"/>
                <w:szCs w:val="21"/>
                <w:lang w:val="en-US" w:eastAsia="zh-CN"/>
              </w:rPr>
              <w:t>两次</w:t>
            </w:r>
            <w:r>
              <w:rPr>
                <w:rFonts w:hint="eastAsia" w:ascii="宋体" w:hAnsi="宋体" w:cs="宋体"/>
                <w:bCs/>
                <w:color w:val="auto"/>
                <w:szCs w:val="21"/>
              </w:rPr>
              <w:t>保险宣传活动</w:t>
            </w:r>
            <w:r>
              <w:rPr>
                <w:rFonts w:hint="eastAsia" w:ascii="宋体" w:hAnsi="宋体" w:cs="宋体"/>
                <w:bCs/>
                <w:color w:val="auto"/>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bl>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当</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的行为给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造成一定影响，发生影响运营安全的一般及以上的事故，直接扣20分，且</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以上同一内容频繁出现3次及以上，或累计扣分项超过20分，</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tbl>
      <w:tblPr>
        <w:tblStyle w:val="16"/>
        <w:tblW w:w="0" w:type="auto"/>
        <w:tblInd w:w="0" w:type="dxa"/>
        <w:tblLayout w:type="fixed"/>
        <w:tblCellMar>
          <w:top w:w="0" w:type="dxa"/>
          <w:left w:w="0" w:type="dxa"/>
          <w:bottom w:w="0" w:type="dxa"/>
          <w:right w:w="0" w:type="dxa"/>
        </w:tblCellMar>
      </w:tblPr>
      <w:tblGrid>
        <w:gridCol w:w="1942"/>
        <w:gridCol w:w="4192"/>
        <w:gridCol w:w="3389"/>
      </w:tblGrid>
      <w:tr>
        <w:tblPrEx>
          <w:tblCellMar>
            <w:top w:w="0" w:type="dxa"/>
            <w:left w:w="0" w:type="dxa"/>
            <w:bottom w:w="0" w:type="dxa"/>
            <w:right w:w="0" w:type="dxa"/>
          </w:tblCellMar>
        </w:tblPrEx>
        <w:trPr>
          <w:trHeight w:val="197"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表</w:t>
            </w:r>
            <w:r>
              <w:rPr>
                <w:rFonts w:hint="eastAsia" w:ascii="宋体" w:hAnsi="宋体" w:cs="宋体"/>
                <w:b/>
                <w:color w:val="000000"/>
                <w:kern w:val="0"/>
                <w:sz w:val="24"/>
                <w:lang w:val="en-US" w:eastAsia="zh-CN"/>
              </w:rPr>
              <w:t>五</w:t>
            </w:r>
            <w:r>
              <w:rPr>
                <w:rFonts w:hint="eastAsia" w:ascii="宋体" w:hAnsi="宋体" w:cs="宋体"/>
                <w:b/>
                <w:color w:val="000000"/>
                <w:kern w:val="0"/>
                <w:sz w:val="24"/>
              </w:rPr>
              <w:t xml:space="preserve">  考核支付表</w:t>
            </w:r>
          </w:p>
        </w:tc>
      </w:tr>
      <w:tr>
        <w:tblPrEx>
          <w:tblCellMar>
            <w:top w:w="0" w:type="dxa"/>
            <w:left w:w="0" w:type="dxa"/>
            <w:bottom w:w="0" w:type="dxa"/>
            <w:right w:w="0" w:type="dxa"/>
          </w:tblCellMar>
        </w:tblPrEx>
        <w:trPr>
          <w:trHeight w:val="20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考评等级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考评标准（基础分100分）</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A级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综合考评分≥90分,支付比例100%。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0元</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B级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80分≤综合考评分&lt;90分，支付比例90%。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扣除10%合同价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C级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70分≤综合考评分&lt;80分，支付比例80%。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扣除20%合同价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D级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综合考评分&lt;70分，支付比例70%。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扣除30%合同价，赔偿相关损失，</w:t>
            </w:r>
            <w:r>
              <w:rPr>
                <w:rFonts w:hint="eastAsia" w:ascii="宋体" w:hAnsi="宋体" w:cs="宋体"/>
                <w:bCs/>
                <w:szCs w:val="21"/>
                <w:lang w:eastAsia="zh-CN"/>
              </w:rPr>
              <w:t>被保险人</w:t>
            </w:r>
            <w:r>
              <w:rPr>
                <w:rFonts w:hint="eastAsia" w:ascii="宋体" w:hAnsi="宋体" w:cs="宋体"/>
                <w:bCs/>
                <w:szCs w:val="21"/>
              </w:rPr>
              <w:t>有权解除合同。</w:t>
            </w:r>
          </w:p>
        </w:tc>
      </w:tr>
      <w:tr>
        <w:tblPrEx>
          <w:tblCellMar>
            <w:top w:w="0" w:type="dxa"/>
            <w:left w:w="0" w:type="dxa"/>
            <w:bottom w:w="0" w:type="dxa"/>
            <w:right w:w="0" w:type="dxa"/>
          </w:tblCellMar>
        </w:tblPrEx>
        <w:trPr>
          <w:trHeight w:val="358"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rPr>
                <w:rFonts w:hint="eastAsia" w:ascii="宋体" w:hAnsi="宋体" w:cs="宋体"/>
                <w:bCs/>
                <w:szCs w:val="21"/>
              </w:rPr>
            </w:pPr>
            <w:r>
              <w:rPr>
                <w:rFonts w:hint="eastAsia" w:ascii="宋体" w:hAnsi="宋体" w:cs="宋体"/>
                <w:bCs/>
                <w:szCs w:val="21"/>
                <w:highlight w:val="none"/>
              </w:rPr>
              <w:t>当综合考评分90分以上（含90分）时，按照《运营公司承包商安全管理办法》进行考核，当综合考评分数在90分以下时，按照此表扣除相对应的服务费，扣除费用不再支付。同时，</w:t>
            </w:r>
            <w:r>
              <w:rPr>
                <w:rFonts w:hint="eastAsia" w:ascii="宋体" w:hAnsi="宋体" w:cs="宋体"/>
                <w:bCs/>
                <w:szCs w:val="21"/>
                <w:highlight w:val="none"/>
                <w:lang w:eastAsia="zh-CN"/>
              </w:rPr>
              <w:t>供应商</w:t>
            </w:r>
            <w:r>
              <w:rPr>
                <w:rFonts w:hint="eastAsia" w:ascii="宋体" w:hAnsi="宋体" w:cs="宋体"/>
                <w:bCs/>
                <w:szCs w:val="21"/>
                <w:highlight w:val="none"/>
              </w:rPr>
              <w:t xml:space="preserve">应遵守《运营公司生产安全事件（故障）调查处理办法（试行）》《运营公司承包商安全文明施工管理办法》（以最新文件为准）相关规定。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Cs/>
          <w:sz w:val="32"/>
          <w:szCs w:val="32"/>
        </w:rPr>
        <w:sectPr>
          <w:footerReference r:id="rId5" w:type="default"/>
          <w:pgSz w:w="11906" w:h="16838"/>
          <w:pgMar w:top="1418" w:right="1134" w:bottom="1134" w:left="1134" w:header="851" w:footer="992" w:gutter="0"/>
          <w:pgNumType w:fmt="decimal" w:start="1"/>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Cs/>
          <w:sz w:val="32"/>
          <w:szCs w:val="32"/>
        </w:rPr>
      </w:pPr>
    </w:p>
    <w:sectPr>
      <w:footerReference r:id="rId6" w:type="default"/>
      <w:pgSz w:w="11906" w:h="16838"/>
      <w:pgMar w:top="1418"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5565" w:firstLineChars="265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5565" w:firstLineChars="265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11"/>
      <w:ind w:firstLine="5565" w:firstLineChars="265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5565" w:firstLineChars="265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18E1"/>
    <w:multiLevelType w:val="multilevel"/>
    <w:tmpl w:val="D30618E1"/>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EB30BF80"/>
    <w:multiLevelType w:val="singleLevel"/>
    <w:tmpl w:val="EB30BF80"/>
    <w:lvl w:ilvl="0" w:tentative="0">
      <w:start w:val="1"/>
      <w:numFmt w:val="chineseCounting"/>
      <w:suff w:val="nothing"/>
      <w:lvlText w:val="（%1）"/>
      <w:lvlJc w:val="left"/>
      <w:rPr>
        <w:rFonts w:hint="eastAsia"/>
      </w:rPr>
    </w:lvl>
  </w:abstractNum>
  <w:abstractNum w:abstractNumId="2">
    <w:nsid w:val="EE0CDC83"/>
    <w:multiLevelType w:val="singleLevel"/>
    <w:tmpl w:val="EE0CDC83"/>
    <w:lvl w:ilvl="0" w:tentative="0">
      <w:start w:val="1"/>
      <w:numFmt w:val="chineseCounting"/>
      <w:suff w:val="nothing"/>
      <w:lvlText w:val="%1、"/>
      <w:lvlJc w:val="left"/>
      <w:pPr>
        <w:ind w:left="0" w:firstLine="420"/>
      </w:pPr>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0"/>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05B63C9"/>
    <w:multiLevelType w:val="singleLevel"/>
    <w:tmpl w:val="205B63C9"/>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 w:name="KGWebUrl" w:val="https://office.hncsmtr.com/sys/attachment/sys_att_main/jg_service.jsp"/>
  </w:docVars>
  <w:rsids>
    <w:rsidRoot w:val="00F97727"/>
    <w:rsid w:val="00073365"/>
    <w:rsid w:val="00074960"/>
    <w:rsid w:val="000B28C5"/>
    <w:rsid w:val="000C51EC"/>
    <w:rsid w:val="00144110"/>
    <w:rsid w:val="00145F22"/>
    <w:rsid w:val="001616B6"/>
    <w:rsid w:val="00165772"/>
    <w:rsid w:val="001D2876"/>
    <w:rsid w:val="001E078E"/>
    <w:rsid w:val="002041D0"/>
    <w:rsid w:val="002B03A4"/>
    <w:rsid w:val="002F0D3D"/>
    <w:rsid w:val="00333D17"/>
    <w:rsid w:val="00376A32"/>
    <w:rsid w:val="00493764"/>
    <w:rsid w:val="0049552D"/>
    <w:rsid w:val="004A27E8"/>
    <w:rsid w:val="004C3D97"/>
    <w:rsid w:val="005A1C25"/>
    <w:rsid w:val="005A285C"/>
    <w:rsid w:val="005C452E"/>
    <w:rsid w:val="005E2B84"/>
    <w:rsid w:val="005F56EC"/>
    <w:rsid w:val="00660B33"/>
    <w:rsid w:val="0076039C"/>
    <w:rsid w:val="007C3765"/>
    <w:rsid w:val="007F0565"/>
    <w:rsid w:val="008A43CE"/>
    <w:rsid w:val="008A7040"/>
    <w:rsid w:val="008E6A1E"/>
    <w:rsid w:val="009811D1"/>
    <w:rsid w:val="00982622"/>
    <w:rsid w:val="00A06C5A"/>
    <w:rsid w:val="00A20759"/>
    <w:rsid w:val="00A84679"/>
    <w:rsid w:val="00AA23DA"/>
    <w:rsid w:val="00B0460C"/>
    <w:rsid w:val="00B54BEE"/>
    <w:rsid w:val="00B96ECE"/>
    <w:rsid w:val="00BA4E7F"/>
    <w:rsid w:val="00BE2E0C"/>
    <w:rsid w:val="00C1448F"/>
    <w:rsid w:val="00C3011B"/>
    <w:rsid w:val="00C514AC"/>
    <w:rsid w:val="00C7721F"/>
    <w:rsid w:val="00D419B0"/>
    <w:rsid w:val="00D84078"/>
    <w:rsid w:val="00DC767D"/>
    <w:rsid w:val="00DD5026"/>
    <w:rsid w:val="00DF1511"/>
    <w:rsid w:val="00E14764"/>
    <w:rsid w:val="00E40514"/>
    <w:rsid w:val="00E467D3"/>
    <w:rsid w:val="00EC77C0"/>
    <w:rsid w:val="00ED2F02"/>
    <w:rsid w:val="00F97727"/>
    <w:rsid w:val="011D3824"/>
    <w:rsid w:val="01377A38"/>
    <w:rsid w:val="01A330E8"/>
    <w:rsid w:val="01A5344B"/>
    <w:rsid w:val="01C1607E"/>
    <w:rsid w:val="01F97ED4"/>
    <w:rsid w:val="02307C65"/>
    <w:rsid w:val="02BB5FE0"/>
    <w:rsid w:val="02D02D43"/>
    <w:rsid w:val="02DA0501"/>
    <w:rsid w:val="03254C61"/>
    <w:rsid w:val="03451A26"/>
    <w:rsid w:val="036A7E90"/>
    <w:rsid w:val="0381095F"/>
    <w:rsid w:val="03B86859"/>
    <w:rsid w:val="03BE3BC2"/>
    <w:rsid w:val="0418521C"/>
    <w:rsid w:val="045C02EB"/>
    <w:rsid w:val="04A0622D"/>
    <w:rsid w:val="04AB4B55"/>
    <w:rsid w:val="04C542F7"/>
    <w:rsid w:val="04C611D0"/>
    <w:rsid w:val="04D66D0E"/>
    <w:rsid w:val="04D733B7"/>
    <w:rsid w:val="04DA6103"/>
    <w:rsid w:val="04E63E02"/>
    <w:rsid w:val="04ED133F"/>
    <w:rsid w:val="04EE56F9"/>
    <w:rsid w:val="0513654D"/>
    <w:rsid w:val="053E0BEF"/>
    <w:rsid w:val="05646583"/>
    <w:rsid w:val="057125B5"/>
    <w:rsid w:val="059D62D5"/>
    <w:rsid w:val="05AC0920"/>
    <w:rsid w:val="05CF0D51"/>
    <w:rsid w:val="064140C8"/>
    <w:rsid w:val="06461281"/>
    <w:rsid w:val="065D0C98"/>
    <w:rsid w:val="066153C3"/>
    <w:rsid w:val="06BB6DF2"/>
    <w:rsid w:val="06E10DBC"/>
    <w:rsid w:val="072D54EF"/>
    <w:rsid w:val="073E1CE3"/>
    <w:rsid w:val="076D32DD"/>
    <w:rsid w:val="07A53F1E"/>
    <w:rsid w:val="07B547CD"/>
    <w:rsid w:val="081F05EF"/>
    <w:rsid w:val="082A328A"/>
    <w:rsid w:val="08504AC5"/>
    <w:rsid w:val="08633344"/>
    <w:rsid w:val="08B75CA7"/>
    <w:rsid w:val="08C953BF"/>
    <w:rsid w:val="08D43AC3"/>
    <w:rsid w:val="090C1830"/>
    <w:rsid w:val="09450B9D"/>
    <w:rsid w:val="096A4028"/>
    <w:rsid w:val="09D477A8"/>
    <w:rsid w:val="09EB28A1"/>
    <w:rsid w:val="0A317292"/>
    <w:rsid w:val="0A5C66D9"/>
    <w:rsid w:val="0A9C0030"/>
    <w:rsid w:val="0AA15CCF"/>
    <w:rsid w:val="0AC87DE5"/>
    <w:rsid w:val="0AE52926"/>
    <w:rsid w:val="0AF24671"/>
    <w:rsid w:val="0B1C653D"/>
    <w:rsid w:val="0B1E4695"/>
    <w:rsid w:val="0B8E57E1"/>
    <w:rsid w:val="0BA37261"/>
    <w:rsid w:val="0BCC6C61"/>
    <w:rsid w:val="0BDA2D67"/>
    <w:rsid w:val="0BF040CD"/>
    <w:rsid w:val="0BF2380D"/>
    <w:rsid w:val="0C2449C8"/>
    <w:rsid w:val="0C880BA0"/>
    <w:rsid w:val="0CAB17EC"/>
    <w:rsid w:val="0D0D66B9"/>
    <w:rsid w:val="0D212A69"/>
    <w:rsid w:val="0D2A6219"/>
    <w:rsid w:val="0D3E4B7E"/>
    <w:rsid w:val="0D5B4CE4"/>
    <w:rsid w:val="0D6410E6"/>
    <w:rsid w:val="0D9E1BF9"/>
    <w:rsid w:val="0DAE4995"/>
    <w:rsid w:val="0DFE4147"/>
    <w:rsid w:val="0E1D7630"/>
    <w:rsid w:val="0E4E24C7"/>
    <w:rsid w:val="0E7807EA"/>
    <w:rsid w:val="0E891407"/>
    <w:rsid w:val="0EA21857"/>
    <w:rsid w:val="0EB90492"/>
    <w:rsid w:val="0EC10F4B"/>
    <w:rsid w:val="0F3219AD"/>
    <w:rsid w:val="0F674FC1"/>
    <w:rsid w:val="0F993A87"/>
    <w:rsid w:val="0FB57851"/>
    <w:rsid w:val="0FFA520D"/>
    <w:rsid w:val="0FFB3E98"/>
    <w:rsid w:val="10243135"/>
    <w:rsid w:val="10477685"/>
    <w:rsid w:val="10676F2A"/>
    <w:rsid w:val="111119AC"/>
    <w:rsid w:val="1135068D"/>
    <w:rsid w:val="113D6FD6"/>
    <w:rsid w:val="117669F0"/>
    <w:rsid w:val="11862EAF"/>
    <w:rsid w:val="11D1155B"/>
    <w:rsid w:val="11D55BEA"/>
    <w:rsid w:val="11EA2F9D"/>
    <w:rsid w:val="123A7874"/>
    <w:rsid w:val="124B6500"/>
    <w:rsid w:val="12547DCB"/>
    <w:rsid w:val="126F7DC1"/>
    <w:rsid w:val="12985080"/>
    <w:rsid w:val="12FB1844"/>
    <w:rsid w:val="13053647"/>
    <w:rsid w:val="133406F6"/>
    <w:rsid w:val="133C1702"/>
    <w:rsid w:val="133E4F0A"/>
    <w:rsid w:val="13532276"/>
    <w:rsid w:val="135B222B"/>
    <w:rsid w:val="139B1BB5"/>
    <w:rsid w:val="13CB32CC"/>
    <w:rsid w:val="13E33B84"/>
    <w:rsid w:val="13EC6B3D"/>
    <w:rsid w:val="14001CCC"/>
    <w:rsid w:val="14250ACC"/>
    <w:rsid w:val="14383ED4"/>
    <w:rsid w:val="143F673F"/>
    <w:rsid w:val="145F0E22"/>
    <w:rsid w:val="14780966"/>
    <w:rsid w:val="14A0693D"/>
    <w:rsid w:val="14F13F43"/>
    <w:rsid w:val="151F1FF0"/>
    <w:rsid w:val="1524665A"/>
    <w:rsid w:val="15594AC8"/>
    <w:rsid w:val="155D0DFF"/>
    <w:rsid w:val="15984704"/>
    <w:rsid w:val="159F6889"/>
    <w:rsid w:val="15AB6760"/>
    <w:rsid w:val="15E50ABD"/>
    <w:rsid w:val="15F86C35"/>
    <w:rsid w:val="16181E21"/>
    <w:rsid w:val="16382F74"/>
    <w:rsid w:val="166C3862"/>
    <w:rsid w:val="167E041D"/>
    <w:rsid w:val="16E333FD"/>
    <w:rsid w:val="16F46A64"/>
    <w:rsid w:val="16F759D3"/>
    <w:rsid w:val="17083774"/>
    <w:rsid w:val="171A7742"/>
    <w:rsid w:val="173F2B97"/>
    <w:rsid w:val="17476F1B"/>
    <w:rsid w:val="17571232"/>
    <w:rsid w:val="17677677"/>
    <w:rsid w:val="17AF77ED"/>
    <w:rsid w:val="17B24F43"/>
    <w:rsid w:val="17C44286"/>
    <w:rsid w:val="17FD59EA"/>
    <w:rsid w:val="1800163F"/>
    <w:rsid w:val="185775F5"/>
    <w:rsid w:val="185D62F6"/>
    <w:rsid w:val="18F86741"/>
    <w:rsid w:val="18F9239E"/>
    <w:rsid w:val="191A3D60"/>
    <w:rsid w:val="191F3EB3"/>
    <w:rsid w:val="192D66EC"/>
    <w:rsid w:val="19902EBE"/>
    <w:rsid w:val="19E02067"/>
    <w:rsid w:val="19E44E8B"/>
    <w:rsid w:val="1A305D35"/>
    <w:rsid w:val="1A531359"/>
    <w:rsid w:val="1A667215"/>
    <w:rsid w:val="1A73364E"/>
    <w:rsid w:val="1A8175B8"/>
    <w:rsid w:val="1ACD2840"/>
    <w:rsid w:val="1ADE773D"/>
    <w:rsid w:val="1B8575B5"/>
    <w:rsid w:val="1C184346"/>
    <w:rsid w:val="1C362240"/>
    <w:rsid w:val="1C855229"/>
    <w:rsid w:val="1C870A90"/>
    <w:rsid w:val="1CBA5E8A"/>
    <w:rsid w:val="1D3873F5"/>
    <w:rsid w:val="1D3A3872"/>
    <w:rsid w:val="1D485C24"/>
    <w:rsid w:val="1D971851"/>
    <w:rsid w:val="1DA544AC"/>
    <w:rsid w:val="1DCA029F"/>
    <w:rsid w:val="1E170944"/>
    <w:rsid w:val="1E5D696C"/>
    <w:rsid w:val="1E6677EF"/>
    <w:rsid w:val="1E802B84"/>
    <w:rsid w:val="1EA51975"/>
    <w:rsid w:val="1ECC2CA1"/>
    <w:rsid w:val="1EDE2639"/>
    <w:rsid w:val="1F65214A"/>
    <w:rsid w:val="1FA43C47"/>
    <w:rsid w:val="1FBA383C"/>
    <w:rsid w:val="20044C9D"/>
    <w:rsid w:val="203D5474"/>
    <w:rsid w:val="204A115E"/>
    <w:rsid w:val="205242A0"/>
    <w:rsid w:val="208930AB"/>
    <w:rsid w:val="20926387"/>
    <w:rsid w:val="20A17273"/>
    <w:rsid w:val="20D07406"/>
    <w:rsid w:val="211C7CC6"/>
    <w:rsid w:val="21311F94"/>
    <w:rsid w:val="216F2BA1"/>
    <w:rsid w:val="219E5996"/>
    <w:rsid w:val="21BF226C"/>
    <w:rsid w:val="221C2D39"/>
    <w:rsid w:val="225D4805"/>
    <w:rsid w:val="225E7D16"/>
    <w:rsid w:val="2271058E"/>
    <w:rsid w:val="22A5587A"/>
    <w:rsid w:val="22F337B3"/>
    <w:rsid w:val="232A23B4"/>
    <w:rsid w:val="237A7416"/>
    <w:rsid w:val="237E1E86"/>
    <w:rsid w:val="239F41B2"/>
    <w:rsid w:val="23AB1856"/>
    <w:rsid w:val="23BF162E"/>
    <w:rsid w:val="23C10403"/>
    <w:rsid w:val="23E27C97"/>
    <w:rsid w:val="23F96B55"/>
    <w:rsid w:val="241A4F26"/>
    <w:rsid w:val="241D3C97"/>
    <w:rsid w:val="2452747C"/>
    <w:rsid w:val="248049FF"/>
    <w:rsid w:val="248E0112"/>
    <w:rsid w:val="24B56371"/>
    <w:rsid w:val="24C529C0"/>
    <w:rsid w:val="24F57BA6"/>
    <w:rsid w:val="24FB4AED"/>
    <w:rsid w:val="25495F6A"/>
    <w:rsid w:val="254E2E06"/>
    <w:rsid w:val="2566090C"/>
    <w:rsid w:val="25730473"/>
    <w:rsid w:val="25C16668"/>
    <w:rsid w:val="25C7306F"/>
    <w:rsid w:val="25EC5A71"/>
    <w:rsid w:val="25FC0296"/>
    <w:rsid w:val="26293CDC"/>
    <w:rsid w:val="262E0E71"/>
    <w:rsid w:val="26496B37"/>
    <w:rsid w:val="265A248A"/>
    <w:rsid w:val="26780160"/>
    <w:rsid w:val="26D833A4"/>
    <w:rsid w:val="27254DBB"/>
    <w:rsid w:val="27594245"/>
    <w:rsid w:val="276D7CD5"/>
    <w:rsid w:val="27B27E0A"/>
    <w:rsid w:val="281954D5"/>
    <w:rsid w:val="28BD7A0E"/>
    <w:rsid w:val="28C61AEE"/>
    <w:rsid w:val="290128A7"/>
    <w:rsid w:val="29364328"/>
    <w:rsid w:val="297D72EB"/>
    <w:rsid w:val="29E50CD3"/>
    <w:rsid w:val="29F03DCB"/>
    <w:rsid w:val="2A2C045B"/>
    <w:rsid w:val="2A4C6E93"/>
    <w:rsid w:val="2A5704B3"/>
    <w:rsid w:val="2A580427"/>
    <w:rsid w:val="2AC40405"/>
    <w:rsid w:val="2B0E5E67"/>
    <w:rsid w:val="2B270277"/>
    <w:rsid w:val="2B4E35F0"/>
    <w:rsid w:val="2B550C2B"/>
    <w:rsid w:val="2BC51A2D"/>
    <w:rsid w:val="2BE04D2A"/>
    <w:rsid w:val="2BF211EA"/>
    <w:rsid w:val="2C25055D"/>
    <w:rsid w:val="2C6408C5"/>
    <w:rsid w:val="2CB66690"/>
    <w:rsid w:val="2CCC0563"/>
    <w:rsid w:val="2CD109C3"/>
    <w:rsid w:val="2CDE2D8A"/>
    <w:rsid w:val="2CFD00DE"/>
    <w:rsid w:val="2D1041BF"/>
    <w:rsid w:val="2DAA23F9"/>
    <w:rsid w:val="2DBD73FD"/>
    <w:rsid w:val="2E0025B7"/>
    <w:rsid w:val="2E5B34B7"/>
    <w:rsid w:val="2EEF621D"/>
    <w:rsid w:val="2F367242"/>
    <w:rsid w:val="2FB648D3"/>
    <w:rsid w:val="2FCE12FE"/>
    <w:rsid w:val="2FF2729C"/>
    <w:rsid w:val="2FFC196E"/>
    <w:rsid w:val="300D2006"/>
    <w:rsid w:val="301E3E41"/>
    <w:rsid w:val="30324E51"/>
    <w:rsid w:val="307C7839"/>
    <w:rsid w:val="30815098"/>
    <w:rsid w:val="30A20B8D"/>
    <w:rsid w:val="30BD38BF"/>
    <w:rsid w:val="30C562A8"/>
    <w:rsid w:val="30D51C81"/>
    <w:rsid w:val="30DD2A39"/>
    <w:rsid w:val="31037870"/>
    <w:rsid w:val="310912E1"/>
    <w:rsid w:val="31486CC1"/>
    <w:rsid w:val="319F73D5"/>
    <w:rsid w:val="31B41025"/>
    <w:rsid w:val="32053735"/>
    <w:rsid w:val="322820BD"/>
    <w:rsid w:val="3238453E"/>
    <w:rsid w:val="32421233"/>
    <w:rsid w:val="32DE3277"/>
    <w:rsid w:val="3351294D"/>
    <w:rsid w:val="335C58C6"/>
    <w:rsid w:val="337A18F0"/>
    <w:rsid w:val="337B597C"/>
    <w:rsid w:val="339414D2"/>
    <w:rsid w:val="33956C08"/>
    <w:rsid w:val="339B2250"/>
    <w:rsid w:val="33AB1956"/>
    <w:rsid w:val="33D443F0"/>
    <w:rsid w:val="343770BA"/>
    <w:rsid w:val="34491710"/>
    <w:rsid w:val="34B53604"/>
    <w:rsid w:val="34FC7A93"/>
    <w:rsid w:val="35132056"/>
    <w:rsid w:val="35406F57"/>
    <w:rsid w:val="35442278"/>
    <w:rsid w:val="35542198"/>
    <w:rsid w:val="35564B31"/>
    <w:rsid w:val="358433EE"/>
    <w:rsid w:val="358D49BE"/>
    <w:rsid w:val="35AE02CB"/>
    <w:rsid w:val="35D32E79"/>
    <w:rsid w:val="35D67476"/>
    <w:rsid w:val="35D7029E"/>
    <w:rsid w:val="35FB365D"/>
    <w:rsid w:val="360F346C"/>
    <w:rsid w:val="365F3CF0"/>
    <w:rsid w:val="36642EAD"/>
    <w:rsid w:val="367C42F6"/>
    <w:rsid w:val="367C4319"/>
    <w:rsid w:val="36A214F6"/>
    <w:rsid w:val="36A936AC"/>
    <w:rsid w:val="36AE1EFB"/>
    <w:rsid w:val="36F346E6"/>
    <w:rsid w:val="372D40D3"/>
    <w:rsid w:val="37476FA9"/>
    <w:rsid w:val="37593B8B"/>
    <w:rsid w:val="37631E84"/>
    <w:rsid w:val="377F7D2F"/>
    <w:rsid w:val="378E63D0"/>
    <w:rsid w:val="37A755B4"/>
    <w:rsid w:val="37BE0B5B"/>
    <w:rsid w:val="37D820E0"/>
    <w:rsid w:val="37E6447E"/>
    <w:rsid w:val="3822262D"/>
    <w:rsid w:val="382C037A"/>
    <w:rsid w:val="3865203A"/>
    <w:rsid w:val="38770E17"/>
    <w:rsid w:val="3890651C"/>
    <w:rsid w:val="38A863BA"/>
    <w:rsid w:val="39033173"/>
    <w:rsid w:val="39351C22"/>
    <w:rsid w:val="394A5440"/>
    <w:rsid w:val="397E0BDB"/>
    <w:rsid w:val="39A6253C"/>
    <w:rsid w:val="3A025DAC"/>
    <w:rsid w:val="3A0F3D2F"/>
    <w:rsid w:val="3A2F2778"/>
    <w:rsid w:val="3AB17520"/>
    <w:rsid w:val="3ABA0F99"/>
    <w:rsid w:val="3B34009B"/>
    <w:rsid w:val="3B501654"/>
    <w:rsid w:val="3B9573D4"/>
    <w:rsid w:val="3BA75915"/>
    <w:rsid w:val="3C383619"/>
    <w:rsid w:val="3C47659F"/>
    <w:rsid w:val="3C500BAD"/>
    <w:rsid w:val="3C504F08"/>
    <w:rsid w:val="3C60092E"/>
    <w:rsid w:val="3CBB6FA3"/>
    <w:rsid w:val="3CDB0EDC"/>
    <w:rsid w:val="3D040CDA"/>
    <w:rsid w:val="3D1112A3"/>
    <w:rsid w:val="3D1732E5"/>
    <w:rsid w:val="3D2C512C"/>
    <w:rsid w:val="3D570C4C"/>
    <w:rsid w:val="3DB27E4D"/>
    <w:rsid w:val="3DEF4AFF"/>
    <w:rsid w:val="3E4B0C08"/>
    <w:rsid w:val="3E8B4C14"/>
    <w:rsid w:val="3ECF7ACE"/>
    <w:rsid w:val="3ED14262"/>
    <w:rsid w:val="3EED7FFC"/>
    <w:rsid w:val="3F1F1B49"/>
    <w:rsid w:val="3F2E28E3"/>
    <w:rsid w:val="3F3467CC"/>
    <w:rsid w:val="3F4D4BF9"/>
    <w:rsid w:val="3F5C3E49"/>
    <w:rsid w:val="3F5E0E11"/>
    <w:rsid w:val="40425568"/>
    <w:rsid w:val="404B1EE4"/>
    <w:rsid w:val="40887CA0"/>
    <w:rsid w:val="40F17EE9"/>
    <w:rsid w:val="40F3327D"/>
    <w:rsid w:val="40FB327F"/>
    <w:rsid w:val="4106775C"/>
    <w:rsid w:val="412B5E67"/>
    <w:rsid w:val="413878ED"/>
    <w:rsid w:val="41412C24"/>
    <w:rsid w:val="419031DB"/>
    <w:rsid w:val="41DC2F67"/>
    <w:rsid w:val="4204633D"/>
    <w:rsid w:val="423C3799"/>
    <w:rsid w:val="423D0BFA"/>
    <w:rsid w:val="425B5012"/>
    <w:rsid w:val="426C2096"/>
    <w:rsid w:val="4280285B"/>
    <w:rsid w:val="42897B4E"/>
    <w:rsid w:val="42964617"/>
    <w:rsid w:val="42A31AC3"/>
    <w:rsid w:val="42C451B6"/>
    <w:rsid w:val="42D26FBA"/>
    <w:rsid w:val="432727B9"/>
    <w:rsid w:val="43697F5F"/>
    <w:rsid w:val="436E2BF3"/>
    <w:rsid w:val="437E24F6"/>
    <w:rsid w:val="43B40E86"/>
    <w:rsid w:val="43EA4BF8"/>
    <w:rsid w:val="43F11C88"/>
    <w:rsid w:val="442F6E6F"/>
    <w:rsid w:val="4457110A"/>
    <w:rsid w:val="4504720F"/>
    <w:rsid w:val="451710FE"/>
    <w:rsid w:val="45226174"/>
    <w:rsid w:val="453A563E"/>
    <w:rsid w:val="454025A2"/>
    <w:rsid w:val="45E76B23"/>
    <w:rsid w:val="45E92DE4"/>
    <w:rsid w:val="45F02A71"/>
    <w:rsid w:val="46195C5A"/>
    <w:rsid w:val="4675498D"/>
    <w:rsid w:val="46F43E02"/>
    <w:rsid w:val="4719292D"/>
    <w:rsid w:val="47346F69"/>
    <w:rsid w:val="47785652"/>
    <w:rsid w:val="47AE53CB"/>
    <w:rsid w:val="47C15101"/>
    <w:rsid w:val="47E25E0C"/>
    <w:rsid w:val="47F1411A"/>
    <w:rsid w:val="48035D9C"/>
    <w:rsid w:val="481E3746"/>
    <w:rsid w:val="488F07D0"/>
    <w:rsid w:val="48A51915"/>
    <w:rsid w:val="48AA2599"/>
    <w:rsid w:val="48B576DB"/>
    <w:rsid w:val="48D700E8"/>
    <w:rsid w:val="48E22B5C"/>
    <w:rsid w:val="48F404C5"/>
    <w:rsid w:val="49362EAA"/>
    <w:rsid w:val="49637560"/>
    <w:rsid w:val="49663A4E"/>
    <w:rsid w:val="496857C4"/>
    <w:rsid w:val="4982569D"/>
    <w:rsid w:val="49AF2109"/>
    <w:rsid w:val="49D943E2"/>
    <w:rsid w:val="4A584382"/>
    <w:rsid w:val="4A973F9C"/>
    <w:rsid w:val="4AB477CA"/>
    <w:rsid w:val="4ABF6941"/>
    <w:rsid w:val="4ACA0BB4"/>
    <w:rsid w:val="4AF44242"/>
    <w:rsid w:val="4B16102F"/>
    <w:rsid w:val="4B2C1050"/>
    <w:rsid w:val="4B4F73AD"/>
    <w:rsid w:val="4B721D9A"/>
    <w:rsid w:val="4BD24D2C"/>
    <w:rsid w:val="4C1F23ED"/>
    <w:rsid w:val="4C374C9B"/>
    <w:rsid w:val="4C466682"/>
    <w:rsid w:val="4C613CA9"/>
    <w:rsid w:val="4C776DC2"/>
    <w:rsid w:val="4C9C7545"/>
    <w:rsid w:val="4CA5325B"/>
    <w:rsid w:val="4D077511"/>
    <w:rsid w:val="4D2A5FC4"/>
    <w:rsid w:val="4D456C2B"/>
    <w:rsid w:val="4D493070"/>
    <w:rsid w:val="4D5B517B"/>
    <w:rsid w:val="4D5E5A63"/>
    <w:rsid w:val="4D8868B6"/>
    <w:rsid w:val="4DA77422"/>
    <w:rsid w:val="4DE1096B"/>
    <w:rsid w:val="4E0912A1"/>
    <w:rsid w:val="4E3D4943"/>
    <w:rsid w:val="4E4C31DB"/>
    <w:rsid w:val="4E520E56"/>
    <w:rsid w:val="4E7E7D46"/>
    <w:rsid w:val="4ED745E8"/>
    <w:rsid w:val="4EF75C5D"/>
    <w:rsid w:val="4F597C48"/>
    <w:rsid w:val="4FA13CD5"/>
    <w:rsid w:val="4FCD4229"/>
    <w:rsid w:val="4FE13884"/>
    <w:rsid w:val="4FE36592"/>
    <w:rsid w:val="4FE472D6"/>
    <w:rsid w:val="4FFA0B79"/>
    <w:rsid w:val="50457F20"/>
    <w:rsid w:val="504F5F34"/>
    <w:rsid w:val="505A2472"/>
    <w:rsid w:val="507716C5"/>
    <w:rsid w:val="508064A9"/>
    <w:rsid w:val="50AF5EF2"/>
    <w:rsid w:val="50C65723"/>
    <w:rsid w:val="51066AF9"/>
    <w:rsid w:val="510B76C8"/>
    <w:rsid w:val="51674BB4"/>
    <w:rsid w:val="51696F58"/>
    <w:rsid w:val="516A06FE"/>
    <w:rsid w:val="51706697"/>
    <w:rsid w:val="518564EB"/>
    <w:rsid w:val="51C85064"/>
    <w:rsid w:val="51CB5FB2"/>
    <w:rsid w:val="51D12F3D"/>
    <w:rsid w:val="520B7DA4"/>
    <w:rsid w:val="520D2372"/>
    <w:rsid w:val="524C6481"/>
    <w:rsid w:val="5251778F"/>
    <w:rsid w:val="528678B1"/>
    <w:rsid w:val="528F4E21"/>
    <w:rsid w:val="52CC3426"/>
    <w:rsid w:val="52CE4C84"/>
    <w:rsid w:val="52F9396E"/>
    <w:rsid w:val="5312562C"/>
    <w:rsid w:val="53D71F1B"/>
    <w:rsid w:val="53DF0DAF"/>
    <w:rsid w:val="5400479B"/>
    <w:rsid w:val="54115387"/>
    <w:rsid w:val="543B4E86"/>
    <w:rsid w:val="5457607E"/>
    <w:rsid w:val="546578E3"/>
    <w:rsid w:val="548712CA"/>
    <w:rsid w:val="54905667"/>
    <w:rsid w:val="54A44A46"/>
    <w:rsid w:val="54B14179"/>
    <w:rsid w:val="54B606E1"/>
    <w:rsid w:val="54DC1A5E"/>
    <w:rsid w:val="550F45E8"/>
    <w:rsid w:val="551230CA"/>
    <w:rsid w:val="552A78E6"/>
    <w:rsid w:val="5553398A"/>
    <w:rsid w:val="555D53DC"/>
    <w:rsid w:val="55B8660B"/>
    <w:rsid w:val="55D67E81"/>
    <w:rsid w:val="55DC3577"/>
    <w:rsid w:val="561A74BC"/>
    <w:rsid w:val="56356467"/>
    <w:rsid w:val="563F30EA"/>
    <w:rsid w:val="56520750"/>
    <w:rsid w:val="56817B25"/>
    <w:rsid w:val="56965C14"/>
    <w:rsid w:val="56AA2122"/>
    <w:rsid w:val="56BA2DE3"/>
    <w:rsid w:val="56D1293B"/>
    <w:rsid w:val="574D206B"/>
    <w:rsid w:val="577E777A"/>
    <w:rsid w:val="57865956"/>
    <w:rsid w:val="578B558F"/>
    <w:rsid w:val="582A4ABB"/>
    <w:rsid w:val="58356C5E"/>
    <w:rsid w:val="58AA0A84"/>
    <w:rsid w:val="59274F8D"/>
    <w:rsid w:val="592B6AEA"/>
    <w:rsid w:val="593C3567"/>
    <w:rsid w:val="595363D4"/>
    <w:rsid w:val="596C14E7"/>
    <w:rsid w:val="597E04EE"/>
    <w:rsid w:val="598A39F6"/>
    <w:rsid w:val="59AE73C0"/>
    <w:rsid w:val="59FD0816"/>
    <w:rsid w:val="5A045947"/>
    <w:rsid w:val="5A330A81"/>
    <w:rsid w:val="5A595661"/>
    <w:rsid w:val="5A663D30"/>
    <w:rsid w:val="5AAA34A2"/>
    <w:rsid w:val="5ADD4BF3"/>
    <w:rsid w:val="5B131433"/>
    <w:rsid w:val="5B7139A2"/>
    <w:rsid w:val="5B8442AC"/>
    <w:rsid w:val="5B937CC4"/>
    <w:rsid w:val="5BB3540B"/>
    <w:rsid w:val="5BE06141"/>
    <w:rsid w:val="5C705937"/>
    <w:rsid w:val="5C7419DB"/>
    <w:rsid w:val="5C7870E8"/>
    <w:rsid w:val="5C7E31D7"/>
    <w:rsid w:val="5CC478D6"/>
    <w:rsid w:val="5CC719BA"/>
    <w:rsid w:val="5D1C1491"/>
    <w:rsid w:val="5D2C60F4"/>
    <w:rsid w:val="5D48702D"/>
    <w:rsid w:val="5DD94FC3"/>
    <w:rsid w:val="5E0505DC"/>
    <w:rsid w:val="5E094B29"/>
    <w:rsid w:val="5E19754C"/>
    <w:rsid w:val="5E306F9C"/>
    <w:rsid w:val="5EC50B04"/>
    <w:rsid w:val="5EE77B92"/>
    <w:rsid w:val="5F0C18E2"/>
    <w:rsid w:val="5FB0265A"/>
    <w:rsid w:val="5FBB5C28"/>
    <w:rsid w:val="5FC47A71"/>
    <w:rsid w:val="5FED1347"/>
    <w:rsid w:val="5FF01B4D"/>
    <w:rsid w:val="5FF1523C"/>
    <w:rsid w:val="5FF522DF"/>
    <w:rsid w:val="6034754D"/>
    <w:rsid w:val="604626CA"/>
    <w:rsid w:val="60CD7F53"/>
    <w:rsid w:val="60D57F99"/>
    <w:rsid w:val="60DE116A"/>
    <w:rsid w:val="61030277"/>
    <w:rsid w:val="613B2646"/>
    <w:rsid w:val="613E1A0B"/>
    <w:rsid w:val="6173619D"/>
    <w:rsid w:val="61B94616"/>
    <w:rsid w:val="621E2AF8"/>
    <w:rsid w:val="626961AE"/>
    <w:rsid w:val="62CC638E"/>
    <w:rsid w:val="62D36AC3"/>
    <w:rsid w:val="635809F0"/>
    <w:rsid w:val="639F4C21"/>
    <w:rsid w:val="64050BB7"/>
    <w:rsid w:val="642022A2"/>
    <w:rsid w:val="644D1B53"/>
    <w:rsid w:val="646702D2"/>
    <w:rsid w:val="64B0311C"/>
    <w:rsid w:val="64CC66ED"/>
    <w:rsid w:val="64DA7BB5"/>
    <w:rsid w:val="65563E54"/>
    <w:rsid w:val="656B5282"/>
    <w:rsid w:val="6570537B"/>
    <w:rsid w:val="65966D25"/>
    <w:rsid w:val="65A72DE1"/>
    <w:rsid w:val="66077809"/>
    <w:rsid w:val="662507FC"/>
    <w:rsid w:val="662609EA"/>
    <w:rsid w:val="666909FA"/>
    <w:rsid w:val="66696441"/>
    <w:rsid w:val="668A7680"/>
    <w:rsid w:val="66974F6A"/>
    <w:rsid w:val="670F0A2D"/>
    <w:rsid w:val="67761197"/>
    <w:rsid w:val="677C5774"/>
    <w:rsid w:val="67C62342"/>
    <w:rsid w:val="68283E04"/>
    <w:rsid w:val="687173B8"/>
    <w:rsid w:val="68C73207"/>
    <w:rsid w:val="694567DC"/>
    <w:rsid w:val="695C4489"/>
    <w:rsid w:val="69831748"/>
    <w:rsid w:val="69CD43EE"/>
    <w:rsid w:val="69E36FB2"/>
    <w:rsid w:val="6A0F0E8C"/>
    <w:rsid w:val="6A2E5D0A"/>
    <w:rsid w:val="6A59734A"/>
    <w:rsid w:val="6A9B7ACC"/>
    <w:rsid w:val="6AF63EBD"/>
    <w:rsid w:val="6AFC118B"/>
    <w:rsid w:val="6B081FF5"/>
    <w:rsid w:val="6B384A56"/>
    <w:rsid w:val="6B405CE3"/>
    <w:rsid w:val="6B610326"/>
    <w:rsid w:val="6BE8251D"/>
    <w:rsid w:val="6BEE1E7E"/>
    <w:rsid w:val="6BF67F65"/>
    <w:rsid w:val="6C77554D"/>
    <w:rsid w:val="6CDE386C"/>
    <w:rsid w:val="6D327A7A"/>
    <w:rsid w:val="6D3E3768"/>
    <w:rsid w:val="6DB21B51"/>
    <w:rsid w:val="6DCD7A52"/>
    <w:rsid w:val="6E194ADF"/>
    <w:rsid w:val="6E26280A"/>
    <w:rsid w:val="6E5D1FA9"/>
    <w:rsid w:val="6F0649EE"/>
    <w:rsid w:val="6F211DF3"/>
    <w:rsid w:val="6F5E7AED"/>
    <w:rsid w:val="6F740D92"/>
    <w:rsid w:val="6F984A86"/>
    <w:rsid w:val="6FAB197A"/>
    <w:rsid w:val="6FD10860"/>
    <w:rsid w:val="6FF00DB7"/>
    <w:rsid w:val="7043721F"/>
    <w:rsid w:val="70541253"/>
    <w:rsid w:val="706561BF"/>
    <w:rsid w:val="7071020E"/>
    <w:rsid w:val="708A2DB1"/>
    <w:rsid w:val="709033E9"/>
    <w:rsid w:val="709D458D"/>
    <w:rsid w:val="70A347A6"/>
    <w:rsid w:val="70B32F13"/>
    <w:rsid w:val="70B83030"/>
    <w:rsid w:val="70CE22F9"/>
    <w:rsid w:val="70F441BC"/>
    <w:rsid w:val="70F501D0"/>
    <w:rsid w:val="71643BFB"/>
    <w:rsid w:val="71770940"/>
    <w:rsid w:val="71D95463"/>
    <w:rsid w:val="721F7604"/>
    <w:rsid w:val="722D17A1"/>
    <w:rsid w:val="722F6214"/>
    <w:rsid w:val="725175E4"/>
    <w:rsid w:val="7270015F"/>
    <w:rsid w:val="72733F96"/>
    <w:rsid w:val="7297468D"/>
    <w:rsid w:val="729E01C9"/>
    <w:rsid w:val="72A33176"/>
    <w:rsid w:val="72EB73C4"/>
    <w:rsid w:val="72F101F0"/>
    <w:rsid w:val="733B1BD3"/>
    <w:rsid w:val="73403821"/>
    <w:rsid w:val="73522E25"/>
    <w:rsid w:val="73641C11"/>
    <w:rsid w:val="73AA5EFF"/>
    <w:rsid w:val="73AD3255"/>
    <w:rsid w:val="73BC2AE2"/>
    <w:rsid w:val="73C152E8"/>
    <w:rsid w:val="73EE70A7"/>
    <w:rsid w:val="7423580B"/>
    <w:rsid w:val="742700D9"/>
    <w:rsid w:val="74291D26"/>
    <w:rsid w:val="744D1C62"/>
    <w:rsid w:val="74C96611"/>
    <w:rsid w:val="74F27A26"/>
    <w:rsid w:val="74F8749A"/>
    <w:rsid w:val="756669E6"/>
    <w:rsid w:val="75963A31"/>
    <w:rsid w:val="75D53EB1"/>
    <w:rsid w:val="7656600A"/>
    <w:rsid w:val="7657517F"/>
    <w:rsid w:val="7678221C"/>
    <w:rsid w:val="76E0610B"/>
    <w:rsid w:val="77093919"/>
    <w:rsid w:val="770E4C5A"/>
    <w:rsid w:val="771E0696"/>
    <w:rsid w:val="772327DB"/>
    <w:rsid w:val="774B1F62"/>
    <w:rsid w:val="77E15781"/>
    <w:rsid w:val="782A0710"/>
    <w:rsid w:val="784E5265"/>
    <w:rsid w:val="787F53F8"/>
    <w:rsid w:val="78BB0DB7"/>
    <w:rsid w:val="78CC4740"/>
    <w:rsid w:val="78EA11B2"/>
    <w:rsid w:val="792D193F"/>
    <w:rsid w:val="79344CBB"/>
    <w:rsid w:val="7953212F"/>
    <w:rsid w:val="7968147E"/>
    <w:rsid w:val="79873C7B"/>
    <w:rsid w:val="79A745BE"/>
    <w:rsid w:val="79C34747"/>
    <w:rsid w:val="79D43D96"/>
    <w:rsid w:val="7A1128F5"/>
    <w:rsid w:val="7A1759F4"/>
    <w:rsid w:val="7A3E244D"/>
    <w:rsid w:val="7A95235D"/>
    <w:rsid w:val="7AFF2B54"/>
    <w:rsid w:val="7B294FD9"/>
    <w:rsid w:val="7B3B3DC4"/>
    <w:rsid w:val="7B627DE6"/>
    <w:rsid w:val="7B666FE4"/>
    <w:rsid w:val="7BB21B5D"/>
    <w:rsid w:val="7BB9407E"/>
    <w:rsid w:val="7C530EB3"/>
    <w:rsid w:val="7C57567A"/>
    <w:rsid w:val="7C696AA9"/>
    <w:rsid w:val="7C770785"/>
    <w:rsid w:val="7C8D5BCE"/>
    <w:rsid w:val="7C9361F3"/>
    <w:rsid w:val="7D403602"/>
    <w:rsid w:val="7D5D009D"/>
    <w:rsid w:val="7D9E3AA1"/>
    <w:rsid w:val="7DAE0C15"/>
    <w:rsid w:val="7DD805F2"/>
    <w:rsid w:val="7DF40323"/>
    <w:rsid w:val="7E135457"/>
    <w:rsid w:val="7E3013A8"/>
    <w:rsid w:val="7E52118D"/>
    <w:rsid w:val="7E5D338D"/>
    <w:rsid w:val="7E67047C"/>
    <w:rsid w:val="7E7B2C16"/>
    <w:rsid w:val="7E866B7A"/>
    <w:rsid w:val="7EBE700F"/>
    <w:rsid w:val="7EE721FD"/>
    <w:rsid w:val="7F0F4915"/>
    <w:rsid w:val="7F4F0C77"/>
    <w:rsid w:val="7F7832D1"/>
    <w:rsid w:val="7F79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unhideWhenUsed/>
    <w:qFormat/>
    <w:uiPriority w:val="0"/>
    <w:pPr>
      <w:adjustRightInd w:val="0"/>
      <w:snapToGrid w:val="0"/>
      <w:spacing w:line="360" w:lineRule="auto"/>
      <w:jc w:val="center"/>
      <w:outlineLvl w:val="1"/>
    </w:pPr>
    <w:rPr>
      <w:rFonts w:ascii="宋体" w:hAnsi="Arial"/>
      <w:b/>
      <w:bCs/>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unhideWhenUsed/>
    <w:qFormat/>
    <w:uiPriority w:val="99"/>
    <w:pPr>
      <w:jc w:val="left"/>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spacing w:line="300" w:lineRule="auto"/>
      <w:ind w:firstLine="200" w:firstLineChars="200"/>
    </w:pPr>
    <w:rPr>
      <w:kern w:val="0"/>
      <w:sz w:val="24"/>
      <w:szCs w:val="20"/>
    </w:rPr>
  </w:style>
  <w:style w:type="paragraph" w:styleId="9">
    <w:name w:val="Body Text"/>
    <w:basedOn w:val="1"/>
    <w:qFormat/>
    <w:uiPriority w:val="0"/>
    <w:pPr>
      <w:spacing w:after="120"/>
    </w:p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First Indent"/>
    <w:basedOn w:val="9"/>
    <w:qFormat/>
    <w:uiPriority w:val="0"/>
    <w:pPr>
      <w:ind w:firstLine="42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页眉 字符"/>
    <w:basedOn w:val="18"/>
    <w:link w:val="12"/>
    <w:qFormat/>
    <w:uiPriority w:val="99"/>
    <w:rPr>
      <w:rFonts w:ascii="Times New Roman" w:hAnsi="Times New Roman" w:eastAsia="宋体" w:cs="Times New Roman"/>
      <w:sz w:val="18"/>
      <w:szCs w:val="18"/>
    </w:rPr>
  </w:style>
  <w:style w:type="character" w:customStyle="1" w:styleId="22">
    <w:name w:val="页脚 字符"/>
    <w:basedOn w:val="18"/>
    <w:link w:val="11"/>
    <w:qFormat/>
    <w:uiPriority w:val="99"/>
    <w:rPr>
      <w:rFonts w:ascii="Times New Roman" w:hAnsi="Times New Roman" w:eastAsia="宋体" w:cs="Times New Roman"/>
      <w:sz w:val="18"/>
      <w:szCs w:val="18"/>
    </w:rPr>
  </w:style>
  <w:style w:type="paragraph" w:customStyle="1" w:styleId="23">
    <w:name w:val="Char Char14"/>
    <w:basedOn w:val="1"/>
    <w:qFormat/>
    <w:uiPriority w:val="0"/>
    <w:rPr>
      <w:sz w:val="24"/>
    </w:rPr>
  </w:style>
  <w:style w:type="paragraph" w:customStyle="1" w:styleId="24">
    <w:name w:val="无间隔1"/>
    <w:link w:val="25"/>
    <w:qFormat/>
    <w:uiPriority w:val="1"/>
    <w:rPr>
      <w:rFonts w:asciiTheme="minorHAnsi" w:hAnsiTheme="minorHAnsi" w:eastAsiaTheme="minorEastAsia" w:cstheme="minorBidi"/>
      <w:sz w:val="22"/>
      <w:szCs w:val="22"/>
      <w:lang w:val="en-US" w:eastAsia="zh-CN" w:bidi="ar-SA"/>
    </w:rPr>
  </w:style>
  <w:style w:type="character" w:customStyle="1" w:styleId="25">
    <w:name w:val="无间隔 Char"/>
    <w:basedOn w:val="18"/>
    <w:link w:val="24"/>
    <w:qFormat/>
    <w:uiPriority w:val="1"/>
    <w:rPr>
      <w:kern w:val="0"/>
      <w:sz w:val="22"/>
    </w:rPr>
  </w:style>
  <w:style w:type="character" w:customStyle="1" w:styleId="26">
    <w:name w:val="批注框文本 字符"/>
    <w:basedOn w:val="18"/>
    <w:link w:val="10"/>
    <w:semiHidden/>
    <w:qFormat/>
    <w:uiPriority w:val="99"/>
    <w:rPr>
      <w:rFonts w:ascii="Times New Roman" w:hAnsi="Times New Roman" w:eastAsia="宋体" w:cs="Times New Roman"/>
      <w:sz w:val="18"/>
      <w:szCs w:val="18"/>
    </w:rPr>
  </w:style>
  <w:style w:type="character" w:customStyle="1" w:styleId="27">
    <w:name w:val="font11"/>
    <w:basedOn w:val="18"/>
    <w:qFormat/>
    <w:uiPriority w:val="0"/>
    <w:rPr>
      <w:rFonts w:hint="eastAsia" w:ascii="仿宋" w:hAnsi="仿宋" w:eastAsia="仿宋" w:cs="仿宋"/>
      <w:color w:val="000000"/>
      <w:sz w:val="21"/>
      <w:szCs w:val="21"/>
      <w:u w:val="none"/>
    </w:rPr>
  </w:style>
  <w:style w:type="paragraph" w:customStyle="1" w:styleId="28">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9">
    <w:name w:val="二级无"/>
    <w:basedOn w:val="30"/>
    <w:qFormat/>
    <w:uiPriority w:val="0"/>
    <w:pPr>
      <w:spacing w:before="0" w:beforeLines="0" w:after="0" w:afterLines="0"/>
    </w:pPr>
    <w:rPr>
      <w:rFonts w:ascii="宋体" w:eastAsia="宋体"/>
    </w:rPr>
  </w:style>
  <w:style w:type="paragraph" w:customStyle="1" w:styleId="30">
    <w:name w:val="二级条标题"/>
    <w:basedOn w:val="31"/>
    <w:next w:val="32"/>
    <w:qFormat/>
    <w:uiPriority w:val="0"/>
    <w:pPr>
      <w:numPr>
        <w:ilvl w:val="2"/>
        <w:numId w:val="1"/>
      </w:numPr>
      <w:spacing w:before="50" w:after="50"/>
      <w:outlineLvl w:val="3"/>
    </w:pPr>
  </w:style>
  <w:style w:type="paragraph" w:customStyle="1" w:styleId="31">
    <w:name w:val="一级条标题"/>
    <w:next w:val="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其他"/>
    <w:basedOn w:val="1"/>
    <w:qFormat/>
    <w:uiPriority w:val="0"/>
    <w:pPr>
      <w:shd w:val="clear" w:color="auto" w:fill="FFFFFF"/>
      <w:spacing w:line="430" w:lineRule="auto"/>
      <w:ind w:firstLine="400"/>
      <w:jc w:val="left"/>
    </w:pPr>
    <w:rPr>
      <w:rFonts w:ascii="MingLiU" w:hAnsi="MingLiU" w:eastAsia="MingLiU" w:cs="MingLiU"/>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208D9-897A-4A9D-A9AA-A3D7F19DC2BB}">
  <ds:schemaRefs/>
</ds:datastoreItem>
</file>

<file path=docProps/app.xml><?xml version="1.0" encoding="utf-8"?>
<Properties xmlns="http://schemas.openxmlformats.org/officeDocument/2006/extended-properties" xmlns:vt="http://schemas.openxmlformats.org/officeDocument/2006/docPropsVTypes">
  <Template>Normal</Template>
  <Pages>18</Pages>
  <Words>9234</Words>
  <Characters>10004</Characters>
  <Lines>30</Lines>
  <Paragraphs>8</Paragraphs>
  <TotalTime>55</TotalTime>
  <ScaleCrop>false</ScaleCrop>
  <LinksUpToDate>false</LinksUpToDate>
  <CharactersWithSpaces>10174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2017-07-24T06:47:00Z</dcterms:created>
  <dc:creator>zc</dc:creator>
  <cp:lastModifiedBy>奉翔</cp:lastModifiedBy>
  <cp:lastPrinted>2023-06-27T02:51:00Z</cp:lastPrinted>
  <dcterms:modified xsi:type="dcterms:W3CDTF">2023-07-12T02:10:02Z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E546DBD7312D40E6B29AF7E00BA8EA3F</vt:lpwstr>
  </property>
</Properties>
</file>