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/>
        <w:jc w:val="center"/>
      </w:pPr>
      <w:r>
        <w:rPr>
          <w:rFonts w:hint="eastAsia" w:ascii="宋体" w:hAnsi="宋体" w:cs="宋体"/>
          <w:b/>
          <w:kern w:val="0"/>
          <w:sz w:val="52"/>
          <w:szCs w:val="52"/>
        </w:rPr>
        <w:t>长沙市轨道交通1（含北延线）、2、3、4、5号线运营期2023年-2024年突发环境事件应急预案回顾性评估服务项目用户需求书</w:t>
      </w:r>
    </w:p>
    <w:p>
      <w:pPr>
        <w:spacing w:line="360" w:lineRule="auto"/>
        <w:jc w:val="center"/>
        <w:rPr>
          <w:kern w:val="0"/>
          <w:sz w:val="44"/>
        </w:rPr>
      </w:pPr>
    </w:p>
    <w:p>
      <w:pPr>
        <w:spacing w:line="360" w:lineRule="auto"/>
        <w:rPr>
          <w:kern w:val="0"/>
          <w:sz w:val="44"/>
        </w:rPr>
      </w:pPr>
    </w:p>
    <w:p>
      <w:pPr>
        <w:spacing w:line="360" w:lineRule="auto"/>
        <w:rPr>
          <w:kern w:val="0"/>
          <w:sz w:val="44"/>
        </w:rPr>
      </w:pPr>
    </w:p>
    <w:p>
      <w:pPr>
        <w:spacing w:line="360" w:lineRule="auto"/>
        <w:rPr>
          <w:kern w:val="0"/>
          <w:sz w:val="44"/>
        </w:rPr>
      </w:pPr>
    </w:p>
    <w:p>
      <w:pPr>
        <w:spacing w:line="360" w:lineRule="auto"/>
        <w:rPr>
          <w:kern w:val="0"/>
          <w:sz w:val="44"/>
        </w:rPr>
      </w:pPr>
    </w:p>
    <w:p>
      <w:pPr>
        <w:spacing w:line="360" w:lineRule="auto"/>
        <w:rPr>
          <w:kern w:val="0"/>
          <w:sz w:val="44"/>
        </w:rPr>
      </w:pPr>
    </w:p>
    <w:p>
      <w:pPr>
        <w:spacing w:line="360" w:lineRule="auto"/>
        <w:rPr>
          <w:kern w:val="0"/>
          <w:sz w:val="44"/>
        </w:rPr>
      </w:pPr>
    </w:p>
    <w:p>
      <w:pPr>
        <w:spacing w:line="360" w:lineRule="auto"/>
        <w:rPr>
          <w:kern w:val="0"/>
          <w:sz w:val="44"/>
        </w:rPr>
      </w:pPr>
    </w:p>
    <w:p>
      <w:pPr>
        <w:spacing w:line="360" w:lineRule="auto"/>
        <w:rPr>
          <w:kern w:val="0"/>
          <w:sz w:val="44"/>
        </w:rPr>
      </w:pPr>
    </w:p>
    <w:p>
      <w:pPr>
        <w:spacing w:line="360" w:lineRule="auto"/>
        <w:rPr>
          <w:kern w:val="0"/>
          <w:sz w:val="44"/>
        </w:rPr>
      </w:pPr>
    </w:p>
    <w:p>
      <w:pPr>
        <w:spacing w:line="360" w:lineRule="auto"/>
        <w:jc w:val="center"/>
        <w:rPr>
          <w:kern w:val="0"/>
          <w:sz w:val="44"/>
        </w:rPr>
      </w:pPr>
      <w:r>
        <w:rPr>
          <w:kern w:val="0"/>
          <w:sz w:val="44"/>
        </w:rPr>
        <w:t>修编时间：</w:t>
      </w:r>
      <w:r>
        <w:rPr>
          <w:rFonts w:hint="eastAsia"/>
          <w:kern w:val="0"/>
          <w:sz w:val="44"/>
        </w:rPr>
        <w:t>202</w:t>
      </w:r>
      <w:r>
        <w:rPr>
          <w:rFonts w:hint="eastAsia"/>
          <w:kern w:val="0"/>
          <w:sz w:val="44"/>
          <w:lang w:val="en-US" w:eastAsia="zh-CN"/>
        </w:rPr>
        <w:t>3</w:t>
      </w:r>
      <w:r>
        <w:rPr>
          <w:kern w:val="0"/>
          <w:sz w:val="44"/>
        </w:rPr>
        <w:t>年</w:t>
      </w:r>
      <w:r>
        <w:rPr>
          <w:rFonts w:hint="eastAsia"/>
          <w:kern w:val="0"/>
          <w:sz w:val="44"/>
          <w:lang w:val="en-US" w:eastAsia="zh-CN"/>
        </w:rPr>
        <w:t>4</w:t>
      </w:r>
      <w:bookmarkStart w:id="39" w:name="_GoBack"/>
      <w:bookmarkEnd w:id="39"/>
      <w:r>
        <w:rPr>
          <w:kern w:val="0"/>
          <w:sz w:val="44"/>
        </w:rPr>
        <w:t>月</w:t>
      </w:r>
    </w:p>
    <w:p>
      <w:pPr>
        <w:spacing w:line="360" w:lineRule="auto"/>
        <w:jc w:val="center"/>
        <w:rPr>
          <w:kern w:val="0"/>
          <w:sz w:val="44"/>
        </w:rPr>
      </w:pPr>
    </w:p>
    <w:p>
      <w:pPr>
        <w:spacing w:line="600" w:lineRule="exact"/>
        <w:jc w:val="center"/>
        <w:rPr>
          <w:rFonts w:hint="eastAsia" w:ascii="宋体" w:hAnsi="宋体" w:cs="宋体"/>
          <w:b/>
          <w:sz w:val="28"/>
          <w:szCs w:val="28"/>
        </w:rPr>
        <w:sectPr>
          <w:pgSz w:w="11906" w:h="16838"/>
          <w:pgMar w:top="2098" w:right="1474" w:bottom="1984" w:left="1588" w:header="851" w:footer="1587" w:gutter="0"/>
          <w:cols w:space="720" w:num="1"/>
          <w:docGrid w:type="lines" w:linePitch="312" w:charSpace="0"/>
        </w:sectPr>
      </w:pPr>
    </w:p>
    <w:p>
      <w:pPr>
        <w:jc w:val="center"/>
        <w:rPr>
          <w:sz w:val="36"/>
          <w:szCs w:val="44"/>
        </w:rPr>
      </w:pPr>
      <w:r>
        <w:rPr>
          <w:rFonts w:ascii="宋体" w:hAnsi="宋体"/>
          <w:sz w:val="36"/>
          <w:szCs w:val="44"/>
        </w:rPr>
        <w:t>目</w:t>
      </w:r>
      <w:r>
        <w:rPr>
          <w:rFonts w:hint="eastAsia" w:ascii="宋体" w:hAnsi="宋体"/>
          <w:sz w:val="36"/>
          <w:szCs w:val="44"/>
          <w:lang w:val="en-US" w:eastAsia="zh-CN"/>
        </w:rPr>
        <w:t xml:space="preserve">  </w:t>
      </w:r>
      <w:r>
        <w:rPr>
          <w:rFonts w:ascii="宋体" w:hAnsi="宋体"/>
          <w:sz w:val="36"/>
          <w:szCs w:val="44"/>
        </w:rPr>
        <w:t>录</w:t>
      </w:r>
    </w:p>
    <w:p>
      <w:pPr>
        <w:pStyle w:val="10"/>
        <w:keepNext w:val="0"/>
        <w:keepLines w:val="0"/>
        <w:pageBreakBefore w:val="0"/>
        <w:widowControl w:val="0"/>
        <w:tabs>
          <w:tab w:val="right" w:leader="dot" w:pos="8844"/>
          <w:tab w:val="clear" w:pos="840"/>
          <w:tab w:val="clear" w:pos="8270"/>
        </w:tabs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instrText xml:space="preserve">TOC \o "1-2" \h \u </w:instrTex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instrText xml:space="preserve"> HYPERLINK \l _Toc23364 </w:instrTex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t>一、项目概况及招标范围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instrText xml:space="preserve"> PAGEREF _Toc23364 \h </w:instrTex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t>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fldChar w:fldCharType="end"/>
      </w:r>
    </w:p>
    <w:p>
      <w:pPr>
        <w:pStyle w:val="11"/>
        <w:keepNext w:val="0"/>
        <w:keepLines w:val="0"/>
        <w:pageBreakBefore w:val="0"/>
        <w:widowControl w:val="0"/>
        <w:tabs>
          <w:tab w:val="right" w:leader="dot" w:pos="8844"/>
        </w:tabs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instrText xml:space="preserve"> HYPERLINK \l _Toc1516 </w:instrTex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t>(一) 项目概况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instrText xml:space="preserve"> PAGEREF _Toc1516 \h </w:instrTex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t>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fldChar w:fldCharType="end"/>
      </w:r>
    </w:p>
    <w:p>
      <w:pPr>
        <w:pStyle w:val="11"/>
        <w:keepNext w:val="0"/>
        <w:keepLines w:val="0"/>
        <w:pageBreakBefore w:val="0"/>
        <w:widowControl w:val="0"/>
        <w:tabs>
          <w:tab w:val="right" w:leader="dot" w:pos="8844"/>
        </w:tabs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instrText xml:space="preserve"> HYPERLINK \l _Toc9672 </w:instrTex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t>(二) 招标范围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instrText xml:space="preserve"> PAGEREF _Toc9672 \h </w:instrTex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t>3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fldChar w:fldCharType="end"/>
      </w:r>
    </w:p>
    <w:p>
      <w:pPr>
        <w:pStyle w:val="10"/>
        <w:keepNext w:val="0"/>
        <w:keepLines w:val="0"/>
        <w:pageBreakBefore w:val="0"/>
        <w:widowControl w:val="0"/>
        <w:tabs>
          <w:tab w:val="right" w:leader="dot" w:pos="8844"/>
          <w:tab w:val="clear" w:pos="840"/>
          <w:tab w:val="clear" w:pos="8270"/>
        </w:tabs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instrText xml:space="preserve"> HYPERLINK \l _Toc4650 </w:instrTex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t>二、项目计划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instrText xml:space="preserve"> PAGEREF _Toc4650 \h </w:instrTex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t>3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fldChar w:fldCharType="end"/>
      </w:r>
    </w:p>
    <w:p>
      <w:pPr>
        <w:pStyle w:val="10"/>
        <w:keepNext w:val="0"/>
        <w:keepLines w:val="0"/>
        <w:pageBreakBefore w:val="0"/>
        <w:widowControl w:val="0"/>
        <w:tabs>
          <w:tab w:val="right" w:leader="dot" w:pos="8844"/>
          <w:tab w:val="clear" w:pos="840"/>
          <w:tab w:val="clear" w:pos="8270"/>
        </w:tabs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instrText xml:space="preserve"> HYPERLINK \l _Toc9944 </w:instrTex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t>三、相关技术标准及规范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instrText xml:space="preserve"> PAGEREF _Toc9944 \h </w:instrTex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t>4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fldChar w:fldCharType="end"/>
      </w:r>
    </w:p>
    <w:p>
      <w:pPr>
        <w:pStyle w:val="10"/>
        <w:keepNext w:val="0"/>
        <w:keepLines w:val="0"/>
        <w:pageBreakBefore w:val="0"/>
        <w:widowControl w:val="0"/>
        <w:tabs>
          <w:tab w:val="right" w:leader="dot" w:pos="8844"/>
          <w:tab w:val="clear" w:pos="840"/>
          <w:tab w:val="clear" w:pos="8270"/>
        </w:tabs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instrText xml:space="preserve"> HYPERLINK \l _Toc25149 </w:instrTex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t>四、项目管控要求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instrText xml:space="preserve"> PAGEREF _Toc25149 \h </w:instrTex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t>4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fldChar w:fldCharType="end"/>
      </w:r>
    </w:p>
    <w:p>
      <w:pPr>
        <w:pStyle w:val="11"/>
        <w:keepNext w:val="0"/>
        <w:keepLines w:val="0"/>
        <w:pageBreakBefore w:val="0"/>
        <w:widowControl w:val="0"/>
        <w:tabs>
          <w:tab w:val="right" w:leader="dot" w:pos="8844"/>
        </w:tabs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instrText xml:space="preserve"> HYPERLINK \l _Toc28395 </w:instrTex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t>(一) 人员配备要求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instrText xml:space="preserve"> PAGEREF _Toc28395 \h </w:instrTex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t>4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fldChar w:fldCharType="end"/>
      </w:r>
    </w:p>
    <w:p>
      <w:pPr>
        <w:pStyle w:val="11"/>
        <w:keepNext w:val="0"/>
        <w:keepLines w:val="0"/>
        <w:pageBreakBefore w:val="0"/>
        <w:widowControl w:val="0"/>
        <w:tabs>
          <w:tab w:val="right" w:leader="dot" w:pos="8844"/>
        </w:tabs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instrText xml:space="preserve"> HYPERLINK \l _Toc19131 </w:instrTex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t>(二) 安全管理规定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instrText xml:space="preserve"> PAGEREF _Toc19131 \h </w:instrTex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t>5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fldChar w:fldCharType="end"/>
      </w:r>
    </w:p>
    <w:p>
      <w:pPr>
        <w:pStyle w:val="11"/>
        <w:keepNext w:val="0"/>
        <w:keepLines w:val="0"/>
        <w:pageBreakBefore w:val="0"/>
        <w:widowControl w:val="0"/>
        <w:tabs>
          <w:tab w:val="right" w:leader="dot" w:pos="8844"/>
        </w:tabs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instrText xml:space="preserve"> HYPERLINK \l _Toc13936 </w:instrTex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t>(三) 其他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instrText xml:space="preserve"> PAGEREF _Toc13936 \h </w:instrTex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t>6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fldChar w:fldCharType="end"/>
      </w:r>
    </w:p>
    <w:p>
      <w:pPr>
        <w:pStyle w:val="10"/>
        <w:keepNext w:val="0"/>
        <w:keepLines w:val="0"/>
        <w:pageBreakBefore w:val="0"/>
        <w:widowControl w:val="0"/>
        <w:tabs>
          <w:tab w:val="right" w:leader="dot" w:pos="8844"/>
          <w:tab w:val="clear" w:pos="840"/>
          <w:tab w:val="clear" w:pos="8270"/>
        </w:tabs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instrText xml:space="preserve"> HYPERLINK \l _Toc10198 </w:instrTex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t>五、项目实施要求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instrText xml:space="preserve"> PAGEREF _Toc10198 \h </w:instrTex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t>6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fldChar w:fldCharType="end"/>
      </w:r>
    </w:p>
    <w:p>
      <w:pPr>
        <w:pStyle w:val="11"/>
        <w:keepNext w:val="0"/>
        <w:keepLines w:val="0"/>
        <w:pageBreakBefore w:val="0"/>
        <w:widowControl w:val="0"/>
        <w:tabs>
          <w:tab w:val="right" w:leader="dot" w:pos="8844"/>
        </w:tabs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instrText xml:space="preserve"> HYPERLINK \l _Toc24645 </w:instrTex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t>(一) 工作时间和范围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instrText xml:space="preserve"> PAGEREF _Toc24645 \h </w:instrTex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t>6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fldChar w:fldCharType="end"/>
      </w:r>
    </w:p>
    <w:p>
      <w:pPr>
        <w:pStyle w:val="11"/>
        <w:keepNext w:val="0"/>
        <w:keepLines w:val="0"/>
        <w:pageBreakBefore w:val="0"/>
        <w:widowControl w:val="0"/>
        <w:tabs>
          <w:tab w:val="right" w:leader="dot" w:pos="8844"/>
        </w:tabs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instrText xml:space="preserve"> HYPERLINK \l _Toc21123 </w:instrTex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t>(二) 服务标准、流程及操作要求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instrText xml:space="preserve"> PAGEREF _Toc21123 \h </w:instrTex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t>6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fldChar w:fldCharType="end"/>
      </w:r>
    </w:p>
    <w:p>
      <w:pPr>
        <w:pStyle w:val="10"/>
        <w:keepNext w:val="0"/>
        <w:keepLines w:val="0"/>
        <w:pageBreakBefore w:val="0"/>
        <w:widowControl w:val="0"/>
        <w:tabs>
          <w:tab w:val="right" w:leader="dot" w:pos="8844"/>
          <w:tab w:val="clear" w:pos="840"/>
          <w:tab w:val="clear" w:pos="8270"/>
        </w:tabs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instrText xml:space="preserve"> HYPERLINK \l _Toc9432 </w:instrTex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t>六、项目验收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instrText xml:space="preserve"> PAGEREF _Toc9432 \h </w:instrTex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t>7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fldChar w:fldCharType="end"/>
      </w:r>
    </w:p>
    <w:p>
      <w:pPr>
        <w:pStyle w:val="11"/>
        <w:keepNext w:val="0"/>
        <w:keepLines w:val="0"/>
        <w:pageBreakBefore w:val="0"/>
        <w:widowControl w:val="0"/>
        <w:tabs>
          <w:tab w:val="right" w:leader="dot" w:pos="8844"/>
        </w:tabs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instrText xml:space="preserve"> HYPERLINK \l _Toc32668 </w:instrTex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t>(一) 验收小组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instrText xml:space="preserve"> PAGEREF _Toc32668 \h </w:instrTex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t>7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fldChar w:fldCharType="end"/>
      </w:r>
    </w:p>
    <w:p>
      <w:pPr>
        <w:pStyle w:val="11"/>
        <w:keepNext w:val="0"/>
        <w:keepLines w:val="0"/>
        <w:pageBreakBefore w:val="0"/>
        <w:widowControl w:val="0"/>
        <w:tabs>
          <w:tab w:val="right" w:leader="dot" w:pos="8844"/>
        </w:tabs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instrText xml:space="preserve"> HYPERLINK \l _Toc21300 </w:instrTex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t>(二) 验收周期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instrText xml:space="preserve"> PAGEREF _Toc21300 \h </w:instrTex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t>7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fldChar w:fldCharType="end"/>
      </w:r>
    </w:p>
    <w:p>
      <w:pPr>
        <w:pStyle w:val="11"/>
        <w:keepNext w:val="0"/>
        <w:keepLines w:val="0"/>
        <w:pageBreakBefore w:val="0"/>
        <w:widowControl w:val="0"/>
        <w:tabs>
          <w:tab w:val="right" w:leader="dot" w:pos="8844"/>
        </w:tabs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instrText xml:space="preserve"> HYPERLINK \l _Toc24885 </w:instrTex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t>(三) 验收标准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instrText xml:space="preserve"> PAGEREF _Toc24885 \h </w:instrTex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t>7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fldChar w:fldCharType="end"/>
      </w:r>
    </w:p>
    <w:p>
      <w:pPr>
        <w:pStyle w:val="11"/>
        <w:keepNext w:val="0"/>
        <w:keepLines w:val="0"/>
        <w:pageBreakBefore w:val="0"/>
        <w:widowControl w:val="0"/>
        <w:tabs>
          <w:tab w:val="right" w:leader="dot" w:pos="8844"/>
        </w:tabs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instrText xml:space="preserve"> HYPERLINK \l _Toc16263 </w:instrTex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t>(四) 验收成果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instrText xml:space="preserve"> PAGEREF _Toc16263 \h </w:instrTex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t>7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fldChar w:fldCharType="end"/>
      </w:r>
    </w:p>
    <w:p>
      <w:pPr>
        <w:pStyle w:val="10"/>
        <w:keepNext w:val="0"/>
        <w:keepLines w:val="0"/>
        <w:pageBreakBefore w:val="0"/>
        <w:widowControl w:val="0"/>
        <w:tabs>
          <w:tab w:val="right" w:leader="dot" w:pos="8844"/>
          <w:tab w:val="clear" w:pos="840"/>
          <w:tab w:val="clear" w:pos="8270"/>
        </w:tabs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instrText xml:space="preserve"> HYPERLINK \l _Toc25474 </w:instrTex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t>七、考核标准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instrText xml:space="preserve"> PAGEREF _Toc25474 \h </w:instrTex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t>8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fldChar w:fldCharType="end"/>
      </w:r>
    </w:p>
    <w:p>
      <w:pPr>
        <w:pStyle w:val="10"/>
        <w:keepNext w:val="0"/>
        <w:keepLines w:val="0"/>
        <w:pageBreakBefore w:val="0"/>
        <w:widowControl w:val="0"/>
        <w:tabs>
          <w:tab w:val="right" w:leader="dot" w:pos="8306"/>
          <w:tab w:val="right" w:leader="dot" w:pos="8789"/>
          <w:tab w:val="clear" w:pos="840"/>
          <w:tab w:val="clear" w:pos="8270"/>
        </w:tabs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firstLine="560" w:firstLineChars="200"/>
        <w:textAlignment w:val="auto"/>
        <w:outlineLvl w:val="0"/>
        <w:rPr>
          <w:rFonts w:hint="eastAsia" w:ascii="黑体" w:hAnsi="黑体" w:eastAsia="黑体" w:cs="楷体"/>
          <w:b w:val="0"/>
          <w:i w:val="0"/>
          <w:i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fldChar w:fldCharType="end"/>
      </w:r>
      <w:bookmarkStart w:id="0" w:name="_Toc23364"/>
      <w:r>
        <w:rPr>
          <w:rFonts w:hint="eastAsia" w:ascii="仿宋_GB2312" w:hAnsi="宋体" w:eastAsia="仿宋_GB2312" w:cs="宋体"/>
          <w:b w:val="0"/>
          <w:bCs w:val="0"/>
          <w:i w:val="0"/>
          <w:iCs w:val="0"/>
          <w:sz w:val="28"/>
          <w:szCs w:val="28"/>
          <w:highlight w:val="yellow"/>
        </w:rPr>
        <w:br w:type="page"/>
      </w:r>
      <w:r>
        <w:rPr>
          <w:rFonts w:hint="eastAsia" w:ascii="黑体" w:hAnsi="黑体" w:eastAsia="黑体" w:cs="楷体"/>
          <w:b w:val="0"/>
          <w:i w:val="0"/>
          <w:iCs w:val="0"/>
          <w:sz w:val="32"/>
          <w:szCs w:val="32"/>
        </w:rPr>
        <w:t>一、</w:t>
      </w:r>
      <w:r>
        <w:rPr>
          <w:rFonts w:hint="eastAsia" w:ascii="黑体" w:hAnsi="黑体" w:eastAsia="黑体" w:cs="楷体"/>
          <w:b w:val="0"/>
          <w:i w:val="0"/>
          <w:iCs w:val="0"/>
          <w:sz w:val="32"/>
          <w:szCs w:val="32"/>
        </w:rPr>
        <w:fldChar w:fldCharType="begin"/>
      </w:r>
      <w:r>
        <w:rPr>
          <w:rFonts w:hint="eastAsia" w:ascii="黑体" w:hAnsi="黑体" w:eastAsia="黑体" w:cs="楷体"/>
          <w:b w:val="0"/>
          <w:i w:val="0"/>
          <w:iCs w:val="0"/>
          <w:sz w:val="32"/>
          <w:szCs w:val="32"/>
        </w:rPr>
        <w:instrText xml:space="preserve"> HYPERLINK \l _Toc28139 </w:instrText>
      </w:r>
      <w:r>
        <w:rPr>
          <w:rFonts w:hint="eastAsia" w:ascii="黑体" w:hAnsi="黑体" w:eastAsia="黑体" w:cs="楷体"/>
          <w:b w:val="0"/>
          <w:i w:val="0"/>
          <w:iCs w:val="0"/>
          <w:sz w:val="32"/>
          <w:szCs w:val="32"/>
        </w:rPr>
        <w:fldChar w:fldCharType="separate"/>
      </w:r>
      <w:r>
        <w:rPr>
          <w:rFonts w:hint="eastAsia" w:ascii="黑体" w:hAnsi="黑体" w:eastAsia="黑体" w:cs="楷体"/>
          <w:b w:val="0"/>
          <w:i w:val="0"/>
          <w:iCs w:val="0"/>
          <w:sz w:val="32"/>
          <w:szCs w:val="32"/>
        </w:rPr>
        <w:t>项目概况及招标范围</w:t>
      </w:r>
      <w:r>
        <w:rPr>
          <w:rFonts w:hint="eastAsia" w:ascii="黑体" w:hAnsi="黑体" w:eastAsia="黑体" w:cs="楷体"/>
          <w:b w:val="0"/>
          <w:i w:val="0"/>
          <w:iCs w:val="0"/>
          <w:sz w:val="32"/>
          <w:szCs w:val="32"/>
        </w:rPr>
        <w:fldChar w:fldCharType="end"/>
      </w:r>
      <w:bookmarkEnd w:id="0"/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ind w:left="0" w:firstLine="640" w:firstLineChars="200"/>
        <w:outlineLvl w:val="1"/>
        <w:rPr>
          <w:rFonts w:hint="eastAsia" w:ascii="仿宋_GB2312" w:hAnsi="宋体" w:eastAsia="仿宋_GB2312" w:cs="宋体"/>
          <w:sz w:val="28"/>
          <w:szCs w:val="28"/>
        </w:rPr>
      </w:pPr>
      <w:bookmarkStart w:id="1" w:name="_Toc13323"/>
      <w:bookmarkStart w:id="2" w:name="_Toc1516"/>
      <w:r>
        <w:rPr>
          <w:rFonts w:hint="eastAsia" w:ascii="楷体_GB2312" w:hAnsi="宋体" w:eastAsia="楷体_GB2312" w:cs="宋体"/>
          <w:sz w:val="32"/>
          <w:szCs w:val="32"/>
        </w:rPr>
        <w:t>项目概况</w:t>
      </w:r>
      <w:bookmarkEnd w:id="1"/>
      <w:bookmarkEnd w:id="2"/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left"/>
        <w:textAlignment w:val="auto"/>
        <w:rPr>
          <w:rFonts w:hint="default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长沙市轨道交通1号线（含北延一期）一期工程：包含1 号线一期工程（运营线路）和1号线北延一期工程（未运营），途经开福区、芙蓉区、天心区。1号线一期工程全长23.6km，共设20座车站，其中地下站19座，高架站1座，终点站附近设置尚双塘车辆段；于2021年9月完成了长沙市突发环境事件应急预案备案工作。1号线北延一期工程设5座车站，其中2座高架站，3座地下站，全长约9.93km，在线路北端设沙河停车场，预计2024年6月载客运营。</w:t>
      </w:r>
    </w:p>
    <w:p>
      <w:pPr>
        <w:pStyle w:val="2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长沙市轨道交通2号线一期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工程：</w:t>
      </w:r>
      <w:r>
        <w:rPr>
          <w:rFonts w:hint="eastAsia" w:ascii="仿宋_GB2312" w:hAnsi="宋体" w:eastAsia="仿宋_GB2312"/>
          <w:sz w:val="32"/>
          <w:szCs w:val="32"/>
        </w:rPr>
        <w:t>途经</w:t>
      </w:r>
      <w:r>
        <w:rPr>
          <w:rFonts w:ascii="仿宋_GB2312" w:hAnsi="宋体" w:eastAsia="仿宋_GB2312"/>
          <w:sz w:val="32"/>
          <w:szCs w:val="32"/>
        </w:rPr>
        <w:fldChar w:fldCharType="begin"/>
      </w:r>
      <w:r>
        <w:rPr>
          <w:rFonts w:ascii="仿宋_GB2312" w:hAnsi="宋体" w:eastAsia="仿宋_GB2312"/>
          <w:sz w:val="32"/>
          <w:szCs w:val="32"/>
        </w:rPr>
        <w:instrText xml:space="preserve"> HYPERLINK "https://baike.so.com/doc/5614816-5827426.html" \t "_blank" </w:instrText>
      </w:r>
      <w:r>
        <w:rPr>
          <w:rFonts w:ascii="仿宋_GB2312" w:hAnsi="宋体" w:eastAsia="仿宋_GB2312"/>
          <w:sz w:val="32"/>
          <w:szCs w:val="32"/>
        </w:rPr>
        <w:fldChar w:fldCharType="separate"/>
      </w:r>
      <w:r>
        <w:rPr>
          <w:rFonts w:ascii="仿宋_GB2312" w:hAnsi="宋体" w:eastAsia="仿宋_GB2312"/>
          <w:sz w:val="32"/>
          <w:szCs w:val="32"/>
        </w:rPr>
        <w:t>岳麓区</w:t>
      </w:r>
      <w:r>
        <w:rPr>
          <w:rFonts w:ascii="仿宋_GB2312" w:hAnsi="宋体" w:eastAsia="仿宋_GB2312"/>
          <w:sz w:val="32"/>
          <w:szCs w:val="32"/>
        </w:rPr>
        <w:fldChar w:fldCharType="end"/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ascii="仿宋_GB2312" w:hAnsi="宋体" w:eastAsia="仿宋_GB2312"/>
          <w:sz w:val="32"/>
          <w:szCs w:val="32"/>
        </w:rPr>
        <w:fldChar w:fldCharType="begin"/>
      </w:r>
      <w:r>
        <w:rPr>
          <w:rFonts w:ascii="仿宋_GB2312" w:hAnsi="宋体" w:eastAsia="仿宋_GB2312"/>
          <w:sz w:val="32"/>
          <w:szCs w:val="32"/>
        </w:rPr>
        <w:instrText xml:space="preserve"> HYPERLINK "https://baike.so.com/doc/5614673-5827283.html" \t "_blank" </w:instrText>
      </w:r>
      <w:r>
        <w:rPr>
          <w:rFonts w:ascii="仿宋_GB2312" w:hAnsi="宋体" w:eastAsia="仿宋_GB2312"/>
          <w:sz w:val="32"/>
          <w:szCs w:val="32"/>
        </w:rPr>
        <w:fldChar w:fldCharType="separate"/>
      </w:r>
      <w:r>
        <w:rPr>
          <w:rFonts w:ascii="仿宋_GB2312" w:hAnsi="宋体" w:eastAsia="仿宋_GB2312"/>
          <w:sz w:val="32"/>
          <w:szCs w:val="32"/>
        </w:rPr>
        <w:t>天心区</w:t>
      </w:r>
      <w:r>
        <w:rPr>
          <w:rFonts w:ascii="仿宋_GB2312" w:hAnsi="宋体" w:eastAsia="仿宋_GB2312"/>
          <w:sz w:val="32"/>
          <w:szCs w:val="32"/>
        </w:rPr>
        <w:fldChar w:fldCharType="end"/>
      </w:r>
      <w:r>
        <w:rPr>
          <w:rFonts w:ascii="仿宋_GB2312" w:hAnsi="宋体" w:eastAsia="仿宋_GB2312"/>
          <w:sz w:val="32"/>
          <w:szCs w:val="32"/>
        </w:rPr>
        <w:t>、开福区、</w:t>
      </w:r>
      <w:r>
        <w:rPr>
          <w:rFonts w:ascii="仿宋_GB2312" w:hAnsi="宋体" w:eastAsia="仿宋_GB2312"/>
          <w:sz w:val="32"/>
          <w:szCs w:val="32"/>
        </w:rPr>
        <w:fldChar w:fldCharType="begin"/>
      </w:r>
      <w:r>
        <w:rPr>
          <w:rFonts w:ascii="仿宋_GB2312" w:hAnsi="宋体" w:eastAsia="仿宋_GB2312"/>
          <w:sz w:val="32"/>
          <w:szCs w:val="32"/>
        </w:rPr>
        <w:instrText xml:space="preserve"> HYPERLINK "https://baike.so.com/doc/5616015-5828628.html" \t "_blank" </w:instrText>
      </w:r>
      <w:r>
        <w:rPr>
          <w:rFonts w:ascii="仿宋_GB2312" w:hAnsi="宋体" w:eastAsia="仿宋_GB2312"/>
          <w:sz w:val="32"/>
          <w:szCs w:val="32"/>
        </w:rPr>
        <w:fldChar w:fldCharType="separate"/>
      </w:r>
      <w:r>
        <w:rPr>
          <w:rFonts w:ascii="仿宋_GB2312" w:hAnsi="宋体" w:eastAsia="仿宋_GB2312"/>
          <w:sz w:val="32"/>
          <w:szCs w:val="32"/>
        </w:rPr>
        <w:t>芙蓉区</w:t>
      </w:r>
      <w:r>
        <w:rPr>
          <w:rFonts w:ascii="仿宋_GB2312" w:hAnsi="宋体" w:eastAsia="仿宋_GB2312"/>
          <w:sz w:val="32"/>
          <w:szCs w:val="32"/>
        </w:rPr>
        <w:fldChar w:fldCharType="end"/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ascii="仿宋_GB2312" w:hAnsi="宋体" w:eastAsia="仿宋_GB2312"/>
          <w:sz w:val="32"/>
          <w:szCs w:val="32"/>
        </w:rPr>
        <w:fldChar w:fldCharType="begin"/>
      </w:r>
      <w:r>
        <w:rPr>
          <w:rFonts w:ascii="仿宋_GB2312" w:hAnsi="宋体" w:eastAsia="仿宋_GB2312"/>
          <w:sz w:val="32"/>
          <w:szCs w:val="32"/>
        </w:rPr>
        <w:instrText xml:space="preserve"> HYPERLINK "https://baike.so.com/doc/5338194-5573633.html" \t "_blank" </w:instrText>
      </w:r>
      <w:r>
        <w:rPr>
          <w:rFonts w:ascii="仿宋_GB2312" w:hAnsi="宋体" w:eastAsia="仿宋_GB2312"/>
          <w:sz w:val="32"/>
          <w:szCs w:val="32"/>
        </w:rPr>
        <w:fldChar w:fldCharType="separate"/>
      </w:r>
      <w:r>
        <w:rPr>
          <w:rFonts w:ascii="仿宋_GB2312" w:hAnsi="宋体" w:eastAsia="仿宋_GB2312"/>
          <w:sz w:val="32"/>
          <w:szCs w:val="32"/>
        </w:rPr>
        <w:t>雨花区</w:t>
      </w:r>
      <w:r>
        <w:rPr>
          <w:rFonts w:ascii="仿宋_GB2312" w:hAnsi="宋体" w:eastAsia="仿宋_GB2312"/>
          <w:sz w:val="32"/>
          <w:szCs w:val="32"/>
        </w:rPr>
        <w:fldChar w:fldCharType="end"/>
      </w:r>
      <w:r>
        <w:rPr>
          <w:rFonts w:ascii="仿宋_GB2312" w:hAnsi="宋体" w:eastAsia="仿宋_GB2312"/>
          <w:sz w:val="32"/>
          <w:szCs w:val="32"/>
        </w:rPr>
        <w:t>及</w:t>
      </w:r>
      <w:r>
        <w:rPr>
          <w:rFonts w:ascii="仿宋_GB2312" w:hAnsi="宋体" w:eastAsia="仿宋_GB2312"/>
          <w:sz w:val="32"/>
          <w:szCs w:val="32"/>
        </w:rPr>
        <w:fldChar w:fldCharType="begin"/>
      </w:r>
      <w:r>
        <w:rPr>
          <w:rFonts w:ascii="仿宋_GB2312" w:hAnsi="宋体" w:eastAsia="仿宋_GB2312"/>
          <w:sz w:val="32"/>
          <w:szCs w:val="32"/>
        </w:rPr>
        <w:instrText xml:space="preserve"> HYPERLINK "https://baike.so.com/doc/5614484-5827094.html" \t "_blank" </w:instrText>
      </w:r>
      <w:r>
        <w:rPr>
          <w:rFonts w:ascii="仿宋_GB2312" w:hAnsi="宋体" w:eastAsia="仿宋_GB2312"/>
          <w:sz w:val="32"/>
          <w:szCs w:val="32"/>
        </w:rPr>
        <w:fldChar w:fldCharType="separate"/>
      </w:r>
      <w:r>
        <w:rPr>
          <w:rFonts w:ascii="仿宋_GB2312" w:hAnsi="宋体" w:eastAsia="仿宋_GB2312"/>
          <w:sz w:val="32"/>
          <w:szCs w:val="32"/>
        </w:rPr>
        <w:t>长沙县</w:t>
      </w:r>
      <w:r>
        <w:rPr>
          <w:rFonts w:ascii="仿宋_GB2312" w:hAnsi="宋体" w:eastAsia="仿宋_GB2312"/>
          <w:sz w:val="32"/>
          <w:szCs w:val="32"/>
        </w:rPr>
        <w:fldChar w:fldCharType="end"/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全长23.6km，</w:t>
      </w:r>
      <w:r>
        <w:rPr>
          <w:rFonts w:hint="eastAsia" w:ascii="仿宋_GB2312" w:hAnsi="宋体" w:eastAsia="仿宋_GB2312"/>
          <w:sz w:val="32"/>
          <w:szCs w:val="32"/>
        </w:rPr>
        <w:t>共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设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宋体" w:eastAsia="仿宋_GB2312"/>
          <w:sz w:val="32"/>
          <w:szCs w:val="32"/>
        </w:rPr>
        <w:t>个车站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均为地下站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在长沙县黄兴镇</w:t>
      </w:r>
      <w:r>
        <w:rPr>
          <w:rFonts w:hint="eastAsia" w:ascii="仿宋_GB2312" w:hAnsi="宋体" w:eastAsia="仿宋_GB2312" w:cs="Times New Roman"/>
          <w:sz w:val="32"/>
          <w:szCs w:val="32"/>
        </w:rPr>
        <w:t>设置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黄兴车辆段；线路于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2021年9月</w:t>
      </w:r>
      <w:r>
        <w:rPr>
          <w:rFonts w:hint="eastAsia" w:ascii="仿宋_GB2312" w:hAnsi="宋体" w:eastAsia="仿宋_GB2312" w:cs="Times New Roman"/>
          <w:sz w:val="32"/>
          <w:szCs w:val="32"/>
        </w:rPr>
        <w:t>完成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了长沙市突发环境事件应急预案备案工作。</w:t>
      </w:r>
    </w:p>
    <w:p>
      <w:pPr>
        <w:pStyle w:val="2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kern w:val="2"/>
          <w:sz w:val="32"/>
          <w:szCs w:val="32"/>
          <w:highlight w:val="none"/>
          <w:lang w:val="en-US" w:eastAsia="zh-CN" w:bidi="ar-SA"/>
        </w:rPr>
        <w:t>长沙市轨道交通3号线一期工程：</w:t>
      </w:r>
      <w:r>
        <w:rPr>
          <w:rFonts w:hint="eastAsia" w:ascii="仿宋_GB2312" w:hAnsi="宋体" w:eastAsia="仿宋_GB2312"/>
          <w:sz w:val="32"/>
          <w:szCs w:val="32"/>
        </w:rPr>
        <w:t>途经</w:t>
      </w:r>
      <w:r>
        <w:rPr>
          <w:rFonts w:hint="default" w:ascii="仿宋_GB2312" w:hAnsi="宋体" w:eastAsia="仿宋_GB2312"/>
          <w:kern w:val="2"/>
          <w:sz w:val="32"/>
          <w:szCs w:val="32"/>
          <w:highlight w:val="none"/>
          <w:lang w:val="en-US" w:eastAsia="zh-CN" w:bidi="ar-SA"/>
        </w:rPr>
        <w:fldChar w:fldCharType="begin"/>
      </w:r>
      <w:r>
        <w:rPr>
          <w:rFonts w:hint="default" w:ascii="仿宋_GB2312" w:hAnsi="宋体" w:eastAsia="仿宋_GB2312"/>
          <w:kern w:val="2"/>
          <w:sz w:val="32"/>
          <w:szCs w:val="32"/>
          <w:highlight w:val="none"/>
          <w:lang w:val="en-US" w:eastAsia="zh-CN" w:bidi="ar-SA"/>
        </w:rPr>
        <w:instrText xml:space="preserve"> HYPERLINK "https://baike.so.com/doc/5614816-5827426.html" \t "https://baike.so.com/doc/_blank" </w:instrText>
      </w:r>
      <w:r>
        <w:rPr>
          <w:rFonts w:hint="default" w:ascii="仿宋_GB2312" w:hAnsi="宋体" w:eastAsia="仿宋_GB2312"/>
          <w:kern w:val="2"/>
          <w:sz w:val="32"/>
          <w:szCs w:val="32"/>
          <w:highlight w:val="none"/>
          <w:lang w:val="en-US" w:eastAsia="zh-CN" w:bidi="ar-SA"/>
        </w:rPr>
        <w:fldChar w:fldCharType="separate"/>
      </w:r>
      <w:r>
        <w:rPr>
          <w:rFonts w:hint="default" w:ascii="仿宋_GB2312" w:hAnsi="宋体" w:eastAsia="仿宋_GB2312"/>
          <w:kern w:val="2"/>
          <w:sz w:val="32"/>
          <w:szCs w:val="32"/>
          <w:highlight w:val="none"/>
          <w:lang w:val="en-US" w:eastAsia="zh-CN" w:bidi="ar-SA"/>
        </w:rPr>
        <w:t>岳麓区</w:t>
      </w:r>
      <w:r>
        <w:rPr>
          <w:rFonts w:hint="default" w:ascii="仿宋_GB2312" w:hAnsi="宋体" w:eastAsia="仿宋_GB2312"/>
          <w:kern w:val="2"/>
          <w:sz w:val="32"/>
          <w:szCs w:val="32"/>
          <w:highlight w:val="none"/>
          <w:lang w:val="en-US" w:eastAsia="zh-CN" w:bidi="ar-SA"/>
        </w:rPr>
        <w:fldChar w:fldCharType="end"/>
      </w:r>
      <w:r>
        <w:rPr>
          <w:rFonts w:hint="default" w:ascii="仿宋_GB2312" w:hAnsi="宋体" w:eastAsia="仿宋_GB2312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仿宋_GB2312" w:hAnsi="宋体" w:eastAsia="仿宋_GB2312"/>
          <w:kern w:val="2"/>
          <w:sz w:val="32"/>
          <w:szCs w:val="32"/>
          <w:highlight w:val="none"/>
          <w:lang w:val="en-US" w:eastAsia="zh-CN" w:bidi="ar-SA"/>
        </w:rPr>
        <w:fldChar w:fldCharType="begin"/>
      </w:r>
      <w:r>
        <w:rPr>
          <w:rFonts w:hint="default" w:ascii="仿宋_GB2312" w:hAnsi="宋体" w:eastAsia="仿宋_GB2312"/>
          <w:kern w:val="2"/>
          <w:sz w:val="32"/>
          <w:szCs w:val="32"/>
          <w:highlight w:val="none"/>
          <w:lang w:val="en-US" w:eastAsia="zh-CN" w:bidi="ar-SA"/>
        </w:rPr>
        <w:instrText xml:space="preserve"> HYPERLINK "https://baike.so.com/doc/5614673-5827283.html" \t "https://baike.so.com/doc/_blank" </w:instrText>
      </w:r>
      <w:r>
        <w:rPr>
          <w:rFonts w:hint="default" w:ascii="仿宋_GB2312" w:hAnsi="宋体" w:eastAsia="仿宋_GB2312"/>
          <w:kern w:val="2"/>
          <w:sz w:val="32"/>
          <w:szCs w:val="32"/>
          <w:highlight w:val="none"/>
          <w:lang w:val="en-US" w:eastAsia="zh-CN" w:bidi="ar-SA"/>
        </w:rPr>
        <w:fldChar w:fldCharType="separate"/>
      </w:r>
      <w:r>
        <w:rPr>
          <w:rFonts w:hint="default" w:ascii="仿宋_GB2312" w:hAnsi="宋体" w:eastAsia="仿宋_GB2312"/>
          <w:kern w:val="2"/>
          <w:sz w:val="32"/>
          <w:szCs w:val="32"/>
          <w:highlight w:val="none"/>
          <w:lang w:val="en-US" w:eastAsia="zh-CN" w:bidi="ar-SA"/>
        </w:rPr>
        <w:t>天心区</w:t>
      </w:r>
      <w:r>
        <w:rPr>
          <w:rFonts w:hint="default" w:ascii="仿宋_GB2312" w:hAnsi="宋体" w:eastAsia="仿宋_GB2312"/>
          <w:kern w:val="2"/>
          <w:sz w:val="32"/>
          <w:szCs w:val="32"/>
          <w:highlight w:val="none"/>
          <w:lang w:val="en-US" w:eastAsia="zh-CN" w:bidi="ar-SA"/>
        </w:rPr>
        <w:fldChar w:fldCharType="end"/>
      </w:r>
      <w:r>
        <w:rPr>
          <w:rFonts w:hint="default" w:ascii="仿宋_GB2312" w:hAnsi="宋体" w:eastAsia="仿宋_GB2312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仿宋_GB2312" w:hAnsi="宋体" w:eastAsia="仿宋_GB2312"/>
          <w:kern w:val="2"/>
          <w:sz w:val="32"/>
          <w:szCs w:val="32"/>
          <w:highlight w:val="none"/>
          <w:lang w:val="en-US" w:eastAsia="zh-CN" w:bidi="ar-SA"/>
        </w:rPr>
        <w:fldChar w:fldCharType="begin"/>
      </w:r>
      <w:r>
        <w:rPr>
          <w:rFonts w:hint="default" w:ascii="仿宋_GB2312" w:hAnsi="宋体" w:eastAsia="仿宋_GB2312"/>
          <w:kern w:val="2"/>
          <w:sz w:val="32"/>
          <w:szCs w:val="32"/>
          <w:highlight w:val="none"/>
          <w:lang w:val="en-US" w:eastAsia="zh-CN" w:bidi="ar-SA"/>
        </w:rPr>
        <w:instrText xml:space="preserve"> HYPERLINK "https://baike.so.com/doc/5338194-5573633.html" \t "https://baike.so.com/doc/_blank" </w:instrText>
      </w:r>
      <w:r>
        <w:rPr>
          <w:rFonts w:hint="default" w:ascii="仿宋_GB2312" w:hAnsi="宋体" w:eastAsia="仿宋_GB2312"/>
          <w:kern w:val="2"/>
          <w:sz w:val="32"/>
          <w:szCs w:val="32"/>
          <w:highlight w:val="none"/>
          <w:lang w:val="en-US" w:eastAsia="zh-CN" w:bidi="ar-SA"/>
        </w:rPr>
        <w:fldChar w:fldCharType="separate"/>
      </w:r>
      <w:r>
        <w:rPr>
          <w:rFonts w:hint="default" w:ascii="仿宋_GB2312" w:hAnsi="宋体" w:eastAsia="仿宋_GB2312"/>
          <w:kern w:val="2"/>
          <w:sz w:val="32"/>
          <w:szCs w:val="32"/>
          <w:highlight w:val="none"/>
          <w:lang w:val="en-US" w:eastAsia="zh-CN" w:bidi="ar-SA"/>
        </w:rPr>
        <w:t>雨花区</w:t>
      </w:r>
      <w:r>
        <w:rPr>
          <w:rFonts w:hint="default" w:ascii="仿宋_GB2312" w:hAnsi="宋体" w:eastAsia="仿宋_GB2312"/>
          <w:kern w:val="2"/>
          <w:sz w:val="32"/>
          <w:szCs w:val="32"/>
          <w:highlight w:val="none"/>
          <w:lang w:val="en-US" w:eastAsia="zh-CN" w:bidi="ar-SA"/>
        </w:rPr>
        <w:fldChar w:fldCharType="end"/>
      </w:r>
      <w:r>
        <w:rPr>
          <w:rFonts w:hint="default" w:ascii="仿宋_GB2312" w:hAnsi="宋体" w:eastAsia="仿宋_GB2312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仿宋_GB2312" w:hAnsi="宋体" w:eastAsia="仿宋_GB2312"/>
          <w:kern w:val="2"/>
          <w:sz w:val="32"/>
          <w:szCs w:val="32"/>
          <w:highlight w:val="none"/>
          <w:lang w:val="en-US" w:eastAsia="zh-CN" w:bidi="ar-SA"/>
        </w:rPr>
        <w:fldChar w:fldCharType="begin"/>
      </w:r>
      <w:r>
        <w:rPr>
          <w:rFonts w:hint="default" w:ascii="仿宋_GB2312" w:hAnsi="宋体" w:eastAsia="仿宋_GB2312"/>
          <w:kern w:val="2"/>
          <w:sz w:val="32"/>
          <w:szCs w:val="32"/>
          <w:highlight w:val="none"/>
          <w:lang w:val="en-US" w:eastAsia="zh-CN" w:bidi="ar-SA"/>
        </w:rPr>
        <w:instrText xml:space="preserve"> HYPERLINK "https://baike.so.com/doc/5616015-5828628.html" \t "https://baike.so.com/doc/_blank" </w:instrText>
      </w:r>
      <w:r>
        <w:rPr>
          <w:rFonts w:hint="default" w:ascii="仿宋_GB2312" w:hAnsi="宋体" w:eastAsia="仿宋_GB2312"/>
          <w:kern w:val="2"/>
          <w:sz w:val="32"/>
          <w:szCs w:val="32"/>
          <w:highlight w:val="none"/>
          <w:lang w:val="en-US" w:eastAsia="zh-CN" w:bidi="ar-SA"/>
        </w:rPr>
        <w:fldChar w:fldCharType="separate"/>
      </w:r>
      <w:r>
        <w:rPr>
          <w:rFonts w:hint="default" w:ascii="仿宋_GB2312" w:hAnsi="宋体" w:eastAsia="仿宋_GB2312"/>
          <w:kern w:val="2"/>
          <w:sz w:val="32"/>
          <w:szCs w:val="32"/>
          <w:highlight w:val="none"/>
          <w:lang w:val="en-US" w:eastAsia="zh-CN" w:bidi="ar-SA"/>
        </w:rPr>
        <w:t>芙蓉区</w:t>
      </w:r>
      <w:r>
        <w:rPr>
          <w:rFonts w:hint="default" w:ascii="仿宋_GB2312" w:hAnsi="宋体" w:eastAsia="仿宋_GB2312"/>
          <w:kern w:val="2"/>
          <w:sz w:val="32"/>
          <w:szCs w:val="32"/>
          <w:highlight w:val="none"/>
          <w:lang w:val="en-US" w:eastAsia="zh-CN" w:bidi="ar-SA"/>
        </w:rPr>
        <w:fldChar w:fldCharType="end"/>
      </w:r>
      <w:r>
        <w:rPr>
          <w:rFonts w:hint="default" w:ascii="仿宋_GB2312" w:hAnsi="宋体" w:eastAsia="仿宋_GB2312"/>
          <w:kern w:val="2"/>
          <w:sz w:val="32"/>
          <w:szCs w:val="32"/>
          <w:highlight w:val="none"/>
          <w:lang w:val="en-US" w:eastAsia="zh-CN" w:bidi="ar-SA"/>
        </w:rPr>
        <w:t>、开福区和</w:t>
      </w:r>
      <w:r>
        <w:rPr>
          <w:rFonts w:hint="default" w:ascii="仿宋_GB2312" w:hAnsi="宋体" w:eastAsia="仿宋_GB2312"/>
          <w:kern w:val="2"/>
          <w:sz w:val="32"/>
          <w:szCs w:val="32"/>
          <w:highlight w:val="none"/>
          <w:lang w:val="en-US" w:eastAsia="zh-CN" w:bidi="ar-SA"/>
        </w:rPr>
        <w:fldChar w:fldCharType="begin"/>
      </w:r>
      <w:r>
        <w:rPr>
          <w:rFonts w:hint="default" w:ascii="仿宋_GB2312" w:hAnsi="宋体" w:eastAsia="仿宋_GB2312"/>
          <w:kern w:val="2"/>
          <w:sz w:val="32"/>
          <w:szCs w:val="32"/>
          <w:highlight w:val="none"/>
          <w:lang w:val="en-US" w:eastAsia="zh-CN" w:bidi="ar-SA"/>
        </w:rPr>
        <w:instrText xml:space="preserve"> HYPERLINK "https://baike.so.com/doc/5614484-5827094.html" \t "https://baike.so.com/doc/_blank" </w:instrText>
      </w:r>
      <w:r>
        <w:rPr>
          <w:rFonts w:hint="default" w:ascii="仿宋_GB2312" w:hAnsi="宋体" w:eastAsia="仿宋_GB2312"/>
          <w:kern w:val="2"/>
          <w:sz w:val="32"/>
          <w:szCs w:val="32"/>
          <w:highlight w:val="none"/>
          <w:lang w:val="en-US" w:eastAsia="zh-CN" w:bidi="ar-SA"/>
        </w:rPr>
        <w:fldChar w:fldCharType="separate"/>
      </w:r>
      <w:r>
        <w:rPr>
          <w:rFonts w:hint="default" w:ascii="仿宋_GB2312" w:hAnsi="宋体" w:eastAsia="仿宋_GB2312"/>
          <w:kern w:val="2"/>
          <w:sz w:val="32"/>
          <w:szCs w:val="32"/>
          <w:highlight w:val="none"/>
          <w:lang w:val="en-US" w:eastAsia="zh-CN" w:bidi="ar-SA"/>
        </w:rPr>
        <w:t>长沙县</w:t>
      </w:r>
      <w:r>
        <w:rPr>
          <w:rFonts w:hint="default" w:ascii="仿宋_GB2312" w:hAnsi="宋体" w:eastAsia="仿宋_GB2312"/>
          <w:kern w:val="2"/>
          <w:sz w:val="32"/>
          <w:szCs w:val="32"/>
          <w:highlight w:val="none"/>
          <w:lang w:val="en-US" w:eastAsia="zh-CN" w:bidi="ar-SA"/>
        </w:rPr>
        <w:fldChar w:fldCharType="end"/>
      </w:r>
      <w:r>
        <w:rPr>
          <w:rFonts w:hint="eastAsia" w:ascii="仿宋_GB2312" w:hAnsi="宋体" w:eastAsia="仿宋_GB2312"/>
          <w:kern w:val="2"/>
          <w:sz w:val="32"/>
          <w:szCs w:val="32"/>
          <w:highlight w:val="none"/>
          <w:lang w:val="en-US" w:eastAsia="zh-CN" w:bidi="ar-SA"/>
        </w:rPr>
        <w:t>，全长36.4公里，设车站25座，全为地下站，线路两端设置洋湖垸车辆段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仿宋_GB2312" w:hAnsi="宋体" w:eastAsia="仿宋_GB2312"/>
          <w:kern w:val="2"/>
          <w:sz w:val="32"/>
          <w:szCs w:val="32"/>
          <w:highlight w:val="none"/>
          <w:lang w:val="en-US" w:eastAsia="zh-CN" w:bidi="ar-SA"/>
        </w:rPr>
        <w:t>龙湘停车场</w:t>
      </w:r>
      <w:r>
        <w:rPr>
          <w:rFonts w:hint="default" w:ascii="仿宋_GB2312" w:hAnsi="宋体" w:eastAsia="仿宋_GB2312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2020年5月</w:t>
      </w:r>
      <w:r>
        <w:rPr>
          <w:rFonts w:hint="eastAsia" w:ascii="仿宋_GB2312" w:hAnsi="宋体" w:eastAsia="仿宋_GB2312" w:cs="Times New Roman"/>
          <w:sz w:val="32"/>
          <w:szCs w:val="32"/>
        </w:rPr>
        <w:t>完成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了长沙市突发环境事件应急预案备案工作。</w:t>
      </w:r>
    </w:p>
    <w:p>
      <w:pPr>
        <w:pStyle w:val="2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kern w:val="2"/>
          <w:sz w:val="32"/>
          <w:szCs w:val="32"/>
          <w:highlight w:val="none"/>
          <w:lang w:val="en-US" w:eastAsia="zh-CN" w:bidi="ar-SA"/>
        </w:rPr>
        <w:t>长沙市轨道交通</w:t>
      </w:r>
      <w:r>
        <w:rPr>
          <w:rFonts w:hint="default" w:ascii="仿宋_GB2312" w:hAnsi="宋体" w:eastAsia="仿宋_GB2312"/>
          <w:sz w:val="32"/>
          <w:szCs w:val="32"/>
          <w:highlight w:val="none"/>
        </w:rPr>
        <w:t>4号线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一期工程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宋体" w:eastAsia="仿宋_GB2312"/>
          <w:sz w:val="32"/>
          <w:szCs w:val="32"/>
        </w:rPr>
        <w:t>途经</w:t>
      </w:r>
      <w:r>
        <w:rPr>
          <w:rFonts w:hint="default" w:ascii="仿宋_GB2312" w:hAnsi="宋体" w:eastAsia="仿宋_GB2312"/>
          <w:sz w:val="32"/>
          <w:szCs w:val="32"/>
          <w:highlight w:val="none"/>
        </w:rPr>
        <w:t>望城区、岳麓区、天心区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/>
          <w:sz w:val="32"/>
          <w:szCs w:val="32"/>
          <w:highlight w:val="none"/>
        </w:rPr>
        <w:t>雨花区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和长沙县，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全长共33.7公里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共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设25座地下车站，</w:t>
      </w:r>
      <w:r>
        <w:rPr>
          <w:rFonts w:hint="eastAsia" w:ascii="仿宋_GB2312" w:hAnsi="宋体" w:eastAsia="仿宋_GB2312"/>
          <w:kern w:val="2"/>
          <w:sz w:val="32"/>
          <w:szCs w:val="32"/>
          <w:highlight w:val="none"/>
          <w:lang w:val="en-US" w:eastAsia="zh-CN" w:bidi="ar-SA"/>
        </w:rPr>
        <w:t>线路两端设置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星城车辆段和黄榔停车场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于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2020年7月</w:t>
      </w:r>
      <w:r>
        <w:rPr>
          <w:rFonts w:hint="eastAsia" w:ascii="仿宋_GB2312" w:hAnsi="宋体" w:eastAsia="仿宋_GB2312" w:cs="Times New Roman"/>
          <w:sz w:val="32"/>
          <w:szCs w:val="32"/>
        </w:rPr>
        <w:t>完成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了长沙市突发环境事件应急预案备案工作。</w:t>
      </w:r>
    </w:p>
    <w:p>
      <w:pPr>
        <w:pStyle w:val="2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kern w:val="2"/>
          <w:sz w:val="32"/>
          <w:szCs w:val="32"/>
          <w:highlight w:val="none"/>
          <w:lang w:val="en-US" w:eastAsia="zh-CN" w:bidi="ar-SA"/>
        </w:rPr>
        <w:t>长沙市轨道交通</w:t>
      </w:r>
      <w:r>
        <w:rPr>
          <w:rFonts w:hint="default" w:ascii="仿宋_GB2312" w:hAnsi="宋体" w:eastAsia="仿宋_GB2312"/>
          <w:kern w:val="2"/>
          <w:sz w:val="32"/>
          <w:szCs w:val="32"/>
          <w:highlight w:val="none"/>
          <w:lang w:val="en-US" w:eastAsia="zh-CN" w:bidi="ar-SA"/>
        </w:rPr>
        <w:t>5号线一期工程</w:t>
      </w:r>
      <w:r>
        <w:rPr>
          <w:rFonts w:hint="eastAsia" w:ascii="仿宋_GB2312" w:hAnsi="宋体" w:eastAsia="仿宋_GB2312"/>
          <w:kern w:val="2"/>
          <w:sz w:val="32"/>
          <w:szCs w:val="32"/>
          <w:highlight w:val="none"/>
          <w:lang w:val="en-US" w:eastAsia="zh-CN" w:bidi="ar-SA"/>
        </w:rPr>
        <w:t>：</w:t>
      </w:r>
      <w:r>
        <w:rPr>
          <w:rFonts w:hint="eastAsia" w:ascii="仿宋_GB2312" w:hAnsi="宋体" w:eastAsia="仿宋_GB2312"/>
          <w:sz w:val="32"/>
          <w:szCs w:val="32"/>
        </w:rPr>
        <w:t>途经</w:t>
      </w:r>
      <w:r>
        <w:rPr>
          <w:rFonts w:hint="default" w:ascii="仿宋_GB2312" w:hAnsi="宋体" w:eastAsia="仿宋_GB2312"/>
          <w:kern w:val="2"/>
          <w:sz w:val="32"/>
          <w:szCs w:val="32"/>
          <w:highlight w:val="none"/>
          <w:lang w:val="en-US" w:eastAsia="zh-CN" w:bidi="ar-SA"/>
        </w:rPr>
        <w:t>雨花区、芙蓉区、开福区、长沙县，全长22.5公里，共设置车站18座，全部为地下站</w:t>
      </w:r>
      <w:r>
        <w:rPr>
          <w:rFonts w:hint="eastAsia" w:ascii="仿宋_GB2312" w:hAnsi="宋体" w:eastAsia="仿宋_GB2312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仿宋_GB2312" w:hAnsi="宋体" w:eastAsia="仿宋_GB2312"/>
          <w:kern w:val="2"/>
          <w:sz w:val="32"/>
          <w:szCs w:val="32"/>
          <w:highlight w:val="none"/>
          <w:lang w:val="en-US" w:eastAsia="zh-CN" w:bidi="ar-SA"/>
        </w:rPr>
        <w:t>设</w:t>
      </w:r>
      <w:r>
        <w:rPr>
          <w:rFonts w:hint="eastAsia" w:ascii="仿宋_GB2312" w:hAnsi="宋体" w:eastAsia="仿宋_GB2312"/>
          <w:kern w:val="2"/>
          <w:sz w:val="32"/>
          <w:szCs w:val="32"/>
          <w:highlight w:val="none"/>
          <w:lang w:val="en-US" w:eastAsia="zh-CN" w:bidi="ar-SA"/>
        </w:rPr>
        <w:t>水渡河</w:t>
      </w:r>
      <w:r>
        <w:rPr>
          <w:rFonts w:hint="default" w:ascii="仿宋_GB2312" w:hAnsi="宋体" w:eastAsia="仿宋_GB2312"/>
          <w:kern w:val="2"/>
          <w:sz w:val="32"/>
          <w:szCs w:val="32"/>
          <w:highlight w:val="none"/>
          <w:lang w:val="en-US" w:eastAsia="zh-CN" w:bidi="ar-SA"/>
        </w:rPr>
        <w:t>车辆段1座</w:t>
      </w:r>
      <w:r>
        <w:rPr>
          <w:rFonts w:hint="eastAsia" w:ascii="仿宋_GB2312" w:hAnsi="宋体" w:eastAsia="仿宋_GB2312"/>
          <w:kern w:val="2"/>
          <w:sz w:val="32"/>
          <w:szCs w:val="32"/>
          <w:highlight w:val="none"/>
          <w:lang w:val="en-US" w:eastAsia="zh-CN" w:bidi="ar-SA"/>
        </w:rPr>
        <w:t>；于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2020年5月</w:t>
      </w:r>
      <w:r>
        <w:rPr>
          <w:rFonts w:hint="eastAsia" w:ascii="仿宋_GB2312" w:hAnsi="宋体" w:eastAsia="仿宋_GB2312" w:cs="Times New Roman"/>
          <w:sz w:val="32"/>
          <w:szCs w:val="32"/>
        </w:rPr>
        <w:t>完成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了长沙市突发环境事件应急预案备案工作。</w:t>
      </w:r>
    </w:p>
    <w:p>
      <w:pPr>
        <w:pStyle w:val="2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default" w:ascii="仿宋_GB2312" w:hAnsi="宋体" w:eastAsia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宋体" w:eastAsia="仿宋_GB2312"/>
          <w:kern w:val="2"/>
          <w:sz w:val="32"/>
          <w:szCs w:val="32"/>
          <w:highlight w:val="none"/>
          <w:lang w:val="en-US" w:eastAsia="zh-CN" w:bidi="ar-SA"/>
        </w:rPr>
        <w:t>1、2、3、4</w:t>
      </w:r>
      <w:r>
        <w:rPr>
          <w:rFonts w:hint="eastAsia" w:ascii="仿宋_GB2312" w:hAnsi="宋体" w:eastAsia="仿宋_GB2312"/>
          <w:kern w:val="2"/>
          <w:sz w:val="32"/>
          <w:szCs w:val="32"/>
          <w:highlight w:val="none"/>
          <w:lang w:val="en-US" w:eastAsia="zh-CN" w:bidi="ar-SA"/>
        </w:rPr>
        <w:t>、5</w:t>
      </w:r>
      <w:r>
        <w:rPr>
          <w:rFonts w:hint="default" w:ascii="仿宋_GB2312" w:hAnsi="宋体" w:eastAsia="仿宋_GB2312"/>
          <w:kern w:val="2"/>
          <w:sz w:val="32"/>
          <w:szCs w:val="32"/>
          <w:highlight w:val="none"/>
          <w:lang w:val="en-US" w:eastAsia="zh-CN" w:bidi="ar-SA"/>
        </w:rPr>
        <w:t>号线共用杜花路控制中心。</w:t>
      </w:r>
      <w:r>
        <w:rPr>
          <w:rFonts w:hint="eastAsia" w:ascii="仿宋_GB2312" w:hAnsi="宋体" w:eastAsia="仿宋_GB2312"/>
          <w:kern w:val="2"/>
          <w:sz w:val="32"/>
          <w:szCs w:val="32"/>
          <w:highlight w:val="none"/>
          <w:lang w:val="en-US" w:eastAsia="zh-CN" w:bidi="ar-SA"/>
        </w:rPr>
        <w:t>主变电所共7座，其中游泳中心主变电所为2、4号线共享主所；咸嘉湖主变电所为2、4号线共享主所，铁院主变电所为1、3号线共享主所，双拥主变电所为3、5号线共享主所，盛世主变电所为1号线主所，天际岭主变电所为5号线主所，长善路主变电所为5号线主所（暂未启用）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ind w:left="0" w:firstLine="640" w:firstLineChars="200"/>
        <w:outlineLvl w:val="1"/>
        <w:rPr>
          <w:rFonts w:hint="eastAsia" w:ascii="仿宋_GB2312" w:hAnsi="宋体" w:eastAsia="仿宋_GB2312" w:cs="宋体"/>
          <w:sz w:val="28"/>
          <w:szCs w:val="28"/>
        </w:rPr>
      </w:pPr>
      <w:bookmarkStart w:id="3" w:name="_Toc9672"/>
      <w:bookmarkStart w:id="4" w:name="_Toc26008"/>
      <w:r>
        <w:rPr>
          <w:rFonts w:hint="eastAsia" w:ascii="楷体_GB2312" w:hAnsi="宋体" w:eastAsia="楷体_GB2312" w:cs="宋体"/>
          <w:sz w:val="32"/>
          <w:szCs w:val="32"/>
        </w:rPr>
        <w:t>招标范围</w:t>
      </w:r>
      <w:bookmarkEnd w:id="3"/>
      <w:bookmarkEnd w:id="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</w:pPr>
      <w:bookmarkStart w:id="5" w:name="_Toc22659"/>
      <w:r>
        <w:rPr>
          <w:rFonts w:hint="eastAsia" w:ascii="仿宋_GB2312" w:hAnsi="宋体" w:eastAsia="仿宋_GB2312"/>
          <w:sz w:val="32"/>
          <w:szCs w:val="32"/>
          <w:highlight w:val="none"/>
        </w:rPr>
        <w:t>根据《突发环境事件应急管理办法》《企业事业单位突发环境事件应急预案管理办法（试行）》及《湖南省突发环境事件应急预案管理办法》等</w:t>
      </w:r>
      <w:r>
        <w:rPr>
          <w:rFonts w:ascii="仿宋_GB2312" w:hAnsi="宋体" w:eastAsia="仿宋_GB2312"/>
          <w:sz w:val="32"/>
          <w:szCs w:val="32"/>
          <w:highlight w:val="none"/>
        </w:rPr>
        <w:t>现行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法规、</w:t>
      </w:r>
      <w:r>
        <w:rPr>
          <w:rFonts w:ascii="仿宋_GB2312" w:hAnsi="宋体" w:eastAsia="仿宋_GB2312"/>
          <w:sz w:val="32"/>
          <w:szCs w:val="32"/>
          <w:highlight w:val="none"/>
        </w:rPr>
        <w:t>标准及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文件规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</w:rPr>
        <w:t>定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  <w:lang w:val="en-US" w:eastAsia="zh-CN"/>
        </w:rPr>
        <w:t>对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</w:rPr>
        <w:t>2、3、4、5号线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  <w:lang w:val="en-US" w:eastAsia="zh-CN"/>
        </w:rPr>
        <w:t>一期工程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</w:rPr>
        <w:t>突发环境事件应急预案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  <w:lang w:val="en-US" w:eastAsia="zh-CN"/>
        </w:rPr>
        <w:t>进行回顾性评估，对1号线（含北延一期工程）进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行修订，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完成长沙市及线路途经区县生态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环境部门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相关负责机构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的备案工作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如长沙市生态环境部门相关负责机构有其他要求或建议，则按其意见执行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textAlignment w:val="auto"/>
        <w:rPr>
          <w:rFonts w:hint="default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原则上每条线路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突发环境事件应急预案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评估/修订开展一次。因采购单位原因需将线路回顾性评估调整为修订，或者由修订调整为回顾性评估的，采购单位在项目备案时间节点前两个月将具体情况反馈供应商，由供应商根据法规规定免费调整预案评估/修订方式。</w:t>
      </w:r>
    </w:p>
    <w:p>
      <w:pPr>
        <w:pStyle w:val="10"/>
        <w:keepNext w:val="0"/>
        <w:keepLines w:val="0"/>
        <w:pageBreakBefore w:val="0"/>
        <w:tabs>
          <w:tab w:val="right" w:leader="dot" w:pos="8306"/>
          <w:tab w:val="clear" w:pos="840"/>
          <w:tab w:val="clear" w:pos="8270"/>
        </w:tabs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outlineLvl w:val="0"/>
        <w:rPr>
          <w:rFonts w:hint="eastAsia" w:ascii="黑体" w:hAnsi="黑体" w:eastAsia="黑体" w:cs="楷体"/>
          <w:b w:val="0"/>
          <w:i w:val="0"/>
          <w:iCs w:val="0"/>
          <w:sz w:val="32"/>
          <w:szCs w:val="32"/>
        </w:rPr>
      </w:pPr>
      <w:bookmarkStart w:id="6" w:name="_Toc4650"/>
      <w:r>
        <w:rPr>
          <w:rFonts w:hint="eastAsia" w:ascii="黑体" w:hAnsi="黑体" w:eastAsia="黑体" w:cs="楷体"/>
          <w:b w:val="0"/>
          <w:i w:val="0"/>
          <w:iCs w:val="0"/>
          <w:sz w:val="32"/>
          <w:szCs w:val="32"/>
        </w:rPr>
        <w:fldChar w:fldCharType="begin"/>
      </w:r>
      <w:r>
        <w:rPr>
          <w:rFonts w:hint="eastAsia" w:ascii="黑体" w:hAnsi="黑体" w:eastAsia="黑体" w:cs="楷体"/>
          <w:b w:val="0"/>
          <w:i w:val="0"/>
          <w:iCs w:val="0"/>
          <w:sz w:val="32"/>
          <w:szCs w:val="32"/>
        </w:rPr>
        <w:instrText xml:space="preserve"> HYPERLINK \l _Toc11191 </w:instrText>
      </w:r>
      <w:r>
        <w:rPr>
          <w:rFonts w:hint="eastAsia" w:ascii="黑体" w:hAnsi="黑体" w:eastAsia="黑体" w:cs="楷体"/>
          <w:b w:val="0"/>
          <w:i w:val="0"/>
          <w:iCs w:val="0"/>
          <w:sz w:val="32"/>
          <w:szCs w:val="32"/>
        </w:rPr>
        <w:fldChar w:fldCharType="separate"/>
      </w:r>
      <w:r>
        <w:rPr>
          <w:rFonts w:hint="eastAsia" w:ascii="黑体" w:hAnsi="黑体" w:eastAsia="黑体" w:cs="楷体"/>
          <w:b w:val="0"/>
          <w:i w:val="0"/>
          <w:iCs w:val="0"/>
          <w:sz w:val="32"/>
          <w:szCs w:val="32"/>
        </w:rPr>
        <w:t>二、项目计划</w:t>
      </w:r>
      <w:r>
        <w:rPr>
          <w:rFonts w:hint="eastAsia" w:ascii="黑体" w:hAnsi="黑体" w:eastAsia="黑体" w:cs="楷体"/>
          <w:b w:val="0"/>
          <w:i w:val="0"/>
          <w:iCs w:val="0"/>
          <w:sz w:val="32"/>
          <w:szCs w:val="32"/>
        </w:rPr>
        <w:fldChar w:fldCharType="end"/>
      </w:r>
      <w:bookmarkEnd w:id="5"/>
      <w:bookmarkEnd w:id="6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项目服务期暂定为2023年6月1日至2024年9月30日，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总服务期限为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16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个月（实际服务时间以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供应商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接到采购单位发出的进场通知起算，共计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16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个月</w:t>
      </w:r>
      <w:r>
        <w:rPr>
          <w:rFonts w:hint="eastAsia" w:ascii="仿宋_GB2312" w:hAnsi="宋体" w:eastAsia="仿宋_GB2312"/>
          <w:sz w:val="32"/>
          <w:szCs w:val="32"/>
        </w:rPr>
        <w:t>）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sz w:val="32"/>
          <w:szCs w:val="32"/>
        </w:rPr>
        <w:t>项目实施过程中，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采购单位有权根据实际情况对项目实施时间进行调整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sz w:val="32"/>
          <w:szCs w:val="32"/>
        </w:rPr>
        <w:t>如因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采购单位</w:t>
      </w:r>
      <w:r>
        <w:rPr>
          <w:rFonts w:hint="eastAsia" w:ascii="仿宋_GB2312" w:hAnsi="宋体" w:eastAsia="仿宋_GB2312"/>
          <w:sz w:val="32"/>
          <w:szCs w:val="32"/>
        </w:rPr>
        <w:t>自身原因导致延时的，由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供应商</w:t>
      </w:r>
      <w:r>
        <w:rPr>
          <w:rFonts w:hint="eastAsia" w:ascii="仿宋_GB2312" w:hAnsi="宋体" w:eastAsia="仿宋_GB2312"/>
          <w:sz w:val="32"/>
          <w:szCs w:val="32"/>
        </w:rPr>
        <w:t>提出申请，经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采购单位</w:t>
      </w:r>
      <w:r>
        <w:rPr>
          <w:rFonts w:hint="eastAsia" w:ascii="仿宋_GB2312" w:hAnsi="宋体" w:eastAsia="仿宋_GB2312"/>
          <w:sz w:val="32"/>
          <w:szCs w:val="32"/>
        </w:rPr>
        <w:t>同意后，总服务期限顺延，顺延的时间不计入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供应商</w:t>
      </w:r>
      <w:r>
        <w:rPr>
          <w:rFonts w:hint="eastAsia" w:ascii="仿宋_GB2312" w:hAnsi="宋体" w:eastAsia="仿宋_GB2312"/>
          <w:sz w:val="32"/>
          <w:szCs w:val="32"/>
        </w:rPr>
        <w:t>总服务期限内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。</w:t>
      </w:r>
    </w:p>
    <w:p>
      <w:pPr>
        <w:pStyle w:val="10"/>
        <w:keepNext w:val="0"/>
        <w:keepLines w:val="0"/>
        <w:pageBreakBefore w:val="0"/>
        <w:tabs>
          <w:tab w:val="right" w:leader="dot" w:pos="8306"/>
          <w:tab w:val="clear" w:pos="840"/>
          <w:tab w:val="clear" w:pos="8270"/>
        </w:tabs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outlineLvl w:val="0"/>
        <w:rPr>
          <w:rFonts w:hint="eastAsia" w:ascii="黑体" w:hAnsi="黑体" w:eastAsia="黑体" w:cs="楷体"/>
          <w:b w:val="0"/>
          <w:i w:val="0"/>
          <w:iCs w:val="0"/>
          <w:sz w:val="32"/>
          <w:szCs w:val="32"/>
        </w:rPr>
      </w:pPr>
      <w:bookmarkStart w:id="7" w:name="_Toc21889"/>
      <w:bookmarkStart w:id="8" w:name="_Toc9944"/>
      <w:r>
        <w:rPr>
          <w:rFonts w:hint="eastAsia" w:ascii="黑体" w:hAnsi="黑体" w:eastAsia="黑体" w:cs="楷体"/>
          <w:b w:val="0"/>
          <w:i w:val="0"/>
          <w:iCs w:val="0"/>
          <w:sz w:val="32"/>
          <w:szCs w:val="32"/>
        </w:rPr>
        <w:t>三、相关技术标准及规范</w:t>
      </w:r>
      <w:bookmarkEnd w:id="7"/>
      <w:bookmarkEnd w:id="8"/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jc w:val="both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供应商</w:t>
      </w:r>
      <w:r>
        <w:rPr>
          <w:rFonts w:hint="eastAsia" w:ascii="仿宋_GB2312" w:hAnsi="宋体" w:eastAsia="仿宋_GB2312" w:cs="Times New Roman"/>
          <w:sz w:val="32"/>
          <w:szCs w:val="32"/>
        </w:rPr>
        <w:t>须严格按照下列技术标准及规范等相关标准（包括但不限于以下国内技术标准、规范及同行业相关经验）执行，以下标准如有更新，须按最新标准执行：</w:t>
      </w:r>
    </w:p>
    <w:p>
      <w:pPr>
        <w:pStyle w:val="21"/>
        <w:ind w:firstLine="196" w:firstLineChars="82"/>
        <w:jc w:val="center"/>
        <w:rPr>
          <w:rFonts w:hint="default" w:hAnsi="宋体" w:eastAsia="宋体" w:cs="宋体"/>
          <w:bCs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hAnsi="宋体" w:eastAsia="宋体" w:cs="宋体"/>
          <w:bCs/>
          <w:color w:val="auto"/>
          <w:kern w:val="0"/>
          <w:sz w:val="24"/>
          <w:szCs w:val="24"/>
          <w:lang w:val="en-US" w:eastAsia="zh-CN" w:bidi="ar"/>
        </w:rPr>
        <w:t xml:space="preserve">表1 </w:t>
      </w:r>
      <w:r>
        <w:rPr>
          <w:rFonts w:hint="eastAsia" w:hAnsi="宋体" w:eastAsia="宋体" w:cs="宋体"/>
          <w:bCs/>
          <w:color w:val="auto"/>
          <w:kern w:val="0"/>
          <w:sz w:val="24"/>
          <w:szCs w:val="24"/>
          <w:lang w:bidi="ar"/>
        </w:rPr>
        <w:t>标准汇总表</w:t>
      </w:r>
    </w:p>
    <w:tbl>
      <w:tblPr>
        <w:tblStyle w:val="12"/>
        <w:tblW w:w="929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5"/>
        <w:gridCol w:w="2906"/>
        <w:gridCol w:w="555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标准代号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标准名称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9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TW" w:eastAsia="zh-TW" w:bidi="ar"/>
              </w:rPr>
              <w:t>中华人民共和国主席令第九号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中华人民共和国环境保护法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国办发〔2013〕101号</w:t>
            </w:r>
          </w:p>
        </w:tc>
        <w:tc>
          <w:tcPr>
            <w:tcW w:w="55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突发环境事件应急预案管理办法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TW" w:eastAsia="zh-TW" w:bidi="ar"/>
              </w:rPr>
              <w:t>环境保护部令第17号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TW" w:eastAsia="zh-TW" w:bidi="ar"/>
              </w:rPr>
              <w:t>突发环境事件信息报告办法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环境保护部令第32号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突发环境事件调查处理办法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环境保护部令第34号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突发环境事件应急管理办法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环办应急［2018］ 8 号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企业事业单位突发环境事件应急预案评审工作指南（试行）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湘环函〔2017〕107号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关于进一步加强突发环境事件应急预案管理工作的通知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湘环发[2013]20号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湖南省突发环境事件应急预案管理办法</w:t>
            </w:r>
          </w:p>
        </w:tc>
      </w:tr>
    </w:tbl>
    <w:p>
      <w:pPr>
        <w:pStyle w:val="10"/>
        <w:keepNext w:val="0"/>
        <w:keepLines w:val="0"/>
        <w:pageBreakBefore w:val="0"/>
        <w:tabs>
          <w:tab w:val="right" w:leader="dot" w:pos="8306"/>
          <w:tab w:val="clear" w:pos="840"/>
          <w:tab w:val="clear" w:pos="8270"/>
        </w:tabs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outlineLvl w:val="0"/>
        <w:rPr>
          <w:rFonts w:hint="eastAsia" w:ascii="黑体" w:hAnsi="黑体" w:eastAsia="黑体" w:cs="楷体"/>
          <w:b w:val="0"/>
          <w:i w:val="0"/>
          <w:iCs w:val="0"/>
          <w:sz w:val="32"/>
          <w:szCs w:val="32"/>
        </w:rPr>
      </w:pPr>
      <w:bookmarkStart w:id="9" w:name="_Toc22520"/>
      <w:bookmarkStart w:id="10" w:name="_Toc25149"/>
      <w:r>
        <w:rPr>
          <w:rFonts w:hint="eastAsia" w:ascii="黑体" w:hAnsi="黑体" w:eastAsia="黑体" w:cs="楷体"/>
          <w:b w:val="0"/>
          <w:i w:val="0"/>
          <w:iCs w:val="0"/>
          <w:sz w:val="32"/>
          <w:szCs w:val="32"/>
        </w:rPr>
        <w:t>四、项目管控要求</w:t>
      </w:r>
      <w:bookmarkEnd w:id="9"/>
      <w:bookmarkEnd w:id="10"/>
    </w:p>
    <w:p>
      <w:pPr>
        <w:pStyle w:val="21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jc w:val="both"/>
        <w:outlineLvl w:val="1"/>
        <w:rPr>
          <w:rFonts w:hint="eastAsia" w:ascii="仿宋_GB2312" w:hAnsi="宋体" w:eastAsia="仿宋_GB2312" w:cs="宋体"/>
          <w:sz w:val="32"/>
          <w:szCs w:val="32"/>
        </w:rPr>
      </w:pPr>
      <w:bookmarkStart w:id="11" w:name="_Toc13355"/>
      <w:bookmarkStart w:id="12" w:name="_Toc28395"/>
      <w:r>
        <w:rPr>
          <w:rFonts w:hint="eastAsia" w:ascii="楷体_GB2312" w:hAnsi="宋体" w:eastAsia="楷体_GB2312" w:cs="宋体"/>
          <w:sz w:val="32"/>
          <w:szCs w:val="32"/>
        </w:rPr>
        <w:t>人员配备要求</w:t>
      </w:r>
      <w:bookmarkEnd w:id="11"/>
      <w:bookmarkEnd w:id="12"/>
    </w:p>
    <w:p>
      <w:pPr>
        <w:pStyle w:val="21"/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left="0" w:leftChars="0" w:firstLine="640" w:firstLineChars="200"/>
        <w:rPr>
          <w:rFonts w:hint="eastAsia" w:ascii="仿宋_GB2312" w:hAnsi="宋体" w:eastAsia="仿宋_GB2312" w:cs="宋体"/>
          <w:color w:val="auto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供应商</w:t>
      </w:r>
      <w:r>
        <w:rPr>
          <w:rFonts w:hint="eastAsia" w:ascii="仿宋_GB2312" w:hAnsi="宋体" w:eastAsia="仿宋_GB2312" w:cs="Times New Roman"/>
          <w:sz w:val="32"/>
          <w:szCs w:val="32"/>
        </w:rPr>
        <w:t>须为本项目配备项目负责人1名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Times New Roman"/>
          <w:sz w:val="32"/>
          <w:szCs w:val="32"/>
        </w:rPr>
        <w:t>负责项目实施全过程的技术、安全和实施管理，全面协调指导本项目各项工作的开展，中途不得随意换人，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遇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特殊情况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须变更项目负责人的，供应商安排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资质、技术能力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/>
        </w:rPr>
        <w:t>和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服务经验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/>
        </w:rPr>
        <w:t>均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等同于或优于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/>
        </w:rPr>
        <w:t>原项目负责人的人员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接替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，并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/>
        </w:rPr>
        <w:t>书面报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采购单位审批同意后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/>
        </w:rPr>
        <w:t>方可更换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left="0" w:leftChars="0" w:firstLine="640" w:firstLineChars="200"/>
        <w:rPr>
          <w:rFonts w:hint="eastAsia" w:ascii="仿宋_GB2312" w:hAnsi="宋体" w:eastAsia="仿宋_GB2312" w:cs="Times New Roman"/>
          <w:color w:val="auto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项目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服务期间，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eastAsia="zh-CN"/>
        </w:rPr>
        <w:t>供应商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应严格按照《劳动法》《劳动合同法》及相关法律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法规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的规定，合法用工并全面保障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eastAsia="zh-CN"/>
        </w:rPr>
        <w:t>供应商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员工的合法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eastAsia="zh-CN"/>
        </w:rPr>
        <w:t>权益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。因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eastAsia="zh-CN"/>
        </w:rPr>
        <w:t>供应商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原因（包括但不限于拖欠员工工资、未购买/足额购买社会保险、发生工伤/非工伤纠纷等）给采购单位或第三方造成损失的，由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eastAsia="zh-CN"/>
        </w:rPr>
        <w:t>供应商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负责处理并承担全部赔偿责任。</w:t>
      </w:r>
    </w:p>
    <w:p>
      <w:pPr>
        <w:pStyle w:val="21"/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left="0" w:leftChars="0" w:firstLine="640" w:firstLineChars="200"/>
        <w:rPr>
          <w:rFonts w:hint="eastAsia" w:ascii="仿宋_GB2312" w:hAnsi="宋体" w:eastAsia="仿宋_GB2312"/>
          <w:color w:val="auto"/>
          <w:sz w:val="32"/>
          <w:szCs w:val="32"/>
        </w:rPr>
      </w:pPr>
      <w:bookmarkStart w:id="13" w:name="_Toc29099"/>
      <w:r>
        <w:rPr>
          <w:rFonts w:hint="eastAsia" w:ascii="仿宋_GB2312" w:hAnsi="宋体" w:eastAsia="仿宋_GB2312" w:cs="Times New Roman"/>
          <w:color w:val="auto"/>
          <w:kern w:val="2"/>
          <w:sz w:val="32"/>
          <w:szCs w:val="32"/>
          <w:lang w:val="en-US" w:eastAsia="zh-CN" w:bidi="ar-SA"/>
        </w:rPr>
        <w:t>供应商应遵守中国的法律、法规和采购单位的工作制度和管理规定，接受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采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eastAsia="zh-CN"/>
        </w:rPr>
        <w:t>购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单位对本项目相关工作安排、业务指导、检查和评估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不干预采购单位内部事务。</w:t>
      </w:r>
    </w:p>
    <w:p>
      <w:pPr>
        <w:pStyle w:val="21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jc w:val="both"/>
        <w:outlineLvl w:val="1"/>
        <w:rPr>
          <w:rFonts w:hint="eastAsia" w:ascii="仿宋_GB2312" w:hAnsi="宋体" w:eastAsia="仿宋_GB2312" w:cs="宋体"/>
          <w:sz w:val="32"/>
          <w:szCs w:val="32"/>
        </w:rPr>
      </w:pPr>
      <w:bookmarkStart w:id="14" w:name="_Toc19131"/>
      <w:r>
        <w:rPr>
          <w:rFonts w:hint="eastAsia" w:ascii="楷体_GB2312" w:hAnsi="宋体" w:eastAsia="楷体_GB2312" w:cs="宋体"/>
          <w:sz w:val="32"/>
          <w:szCs w:val="32"/>
        </w:rPr>
        <w:t>安全管理规定</w:t>
      </w:r>
      <w:bookmarkEnd w:id="13"/>
      <w:bookmarkEnd w:id="14"/>
    </w:p>
    <w:p>
      <w:pPr>
        <w:pStyle w:val="21"/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firstLine="640" w:firstLineChars="200"/>
        <w:rPr>
          <w:rFonts w:ascii="仿宋_GB2312" w:hAnsi="宋体" w:eastAsia="仿宋_GB2312" w:cs="Times New Roman"/>
          <w:color w:val="auto"/>
          <w:sz w:val="32"/>
          <w:szCs w:val="32"/>
        </w:rPr>
      </w:pPr>
      <w:bookmarkStart w:id="15" w:name="_Toc8159"/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供应商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须服从采购单位的管理，严格遵守采购单位制定的各项安全管理规定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不携带和使用易燃、易爆物品进入采购单位属地范围，未经允许不得私自触碰设备，严禁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/>
        </w:rPr>
        <w:t>私拉乱接电气设备及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电线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服务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场所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/>
        </w:rPr>
        <w:t>严禁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吸烟。</w:t>
      </w:r>
    </w:p>
    <w:p>
      <w:pPr>
        <w:pStyle w:val="21"/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firstLine="640" w:firstLineChars="200"/>
        <w:rPr>
          <w:rFonts w:ascii="仿宋_GB2312" w:hAnsi="宋体" w:eastAsia="仿宋_GB2312" w:cs="Times New Roman"/>
          <w:color w:val="auto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lang w:eastAsia="zh-CN"/>
        </w:rPr>
        <w:t>供应商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进入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服务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场所需自备安全帽、荧光衣和劳保鞋等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个体防护装备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，并按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国家要求和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采购单位规章制度的规定正确穿戴。</w:t>
      </w:r>
    </w:p>
    <w:p>
      <w:pPr>
        <w:pStyle w:val="21"/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firstLine="640" w:firstLineChars="200"/>
        <w:rPr>
          <w:rFonts w:ascii="仿宋_GB2312" w:hAnsi="宋体" w:eastAsia="仿宋_GB2312" w:cs="Times New Roman"/>
          <w:color w:val="auto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进入车站、轨行区、设备房等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服务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场所，采购单位根据实际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需要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办理请点后，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eastAsia="zh-CN"/>
        </w:rPr>
        <w:t>供应商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在采购单位的带领下进入服务现场，未经允许，不得私自进入服务场所。</w:t>
      </w:r>
    </w:p>
    <w:p>
      <w:pPr>
        <w:pStyle w:val="21"/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firstLine="640" w:firstLineChars="200"/>
        <w:rPr>
          <w:rFonts w:ascii="仿宋_GB2312" w:hAnsi="宋体" w:eastAsia="仿宋_GB2312" w:cs="宋体"/>
          <w:color w:val="auto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供应商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不得对采购单位正常运营造成影响，否则按照采购单位规章制度承担相应的责任。</w:t>
      </w:r>
    </w:p>
    <w:p>
      <w:pPr>
        <w:pStyle w:val="21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jc w:val="both"/>
        <w:outlineLvl w:val="1"/>
        <w:rPr>
          <w:rFonts w:hint="eastAsia" w:ascii="楷体_GB2312" w:hAnsi="宋体" w:eastAsia="楷体_GB2312" w:cs="宋体"/>
          <w:sz w:val="32"/>
          <w:szCs w:val="32"/>
        </w:rPr>
      </w:pPr>
      <w:bookmarkStart w:id="16" w:name="_Toc13936"/>
      <w:r>
        <w:rPr>
          <w:rFonts w:hint="eastAsia" w:ascii="楷体_GB2312" w:hAnsi="宋体" w:eastAsia="楷体_GB2312" w:cs="宋体"/>
          <w:sz w:val="32"/>
          <w:szCs w:val="32"/>
        </w:rPr>
        <w:t>其他</w:t>
      </w:r>
      <w:bookmarkEnd w:id="15"/>
      <w:bookmarkEnd w:id="16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供应商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评估/</w:t>
      </w:r>
      <w:r>
        <w:rPr>
          <w:rFonts w:hint="eastAsia" w:ascii="仿宋_GB2312" w:hAnsi="宋体" w:eastAsia="仿宋_GB2312"/>
          <w:sz w:val="32"/>
          <w:szCs w:val="32"/>
        </w:rPr>
        <w:t>修订的突发环境事件应急预案必须符合《突发环境事件应急管理办法》《企业事业单位突发环境事件应急预案管理办法（试行）》及《湖南省突发环境事件应急预案管理办法》等国家现行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法规、</w:t>
      </w:r>
      <w:r>
        <w:rPr>
          <w:rFonts w:hint="eastAsia" w:ascii="仿宋_GB2312" w:hAnsi="宋体" w:eastAsia="仿宋_GB2312"/>
          <w:sz w:val="32"/>
          <w:szCs w:val="32"/>
        </w:rPr>
        <w:t>标准及文件规定，完成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本次</w:t>
      </w:r>
      <w:r>
        <w:rPr>
          <w:rFonts w:hint="eastAsia" w:ascii="仿宋_GB2312" w:hAnsi="宋体" w:eastAsia="仿宋_GB2312"/>
          <w:sz w:val="32"/>
          <w:szCs w:val="32"/>
        </w:rPr>
        <w:t>备案工作。</w:t>
      </w:r>
    </w:p>
    <w:p>
      <w:pPr>
        <w:pStyle w:val="10"/>
        <w:keepNext w:val="0"/>
        <w:keepLines w:val="0"/>
        <w:pageBreakBefore w:val="0"/>
        <w:tabs>
          <w:tab w:val="right" w:leader="dot" w:pos="8306"/>
          <w:tab w:val="clear" w:pos="840"/>
          <w:tab w:val="clear" w:pos="8270"/>
        </w:tabs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outlineLvl w:val="0"/>
        <w:rPr>
          <w:rFonts w:hint="eastAsia" w:ascii="黑体" w:hAnsi="黑体" w:eastAsia="黑体" w:cs="楷体"/>
          <w:b w:val="0"/>
          <w:i w:val="0"/>
          <w:iCs w:val="0"/>
          <w:sz w:val="32"/>
          <w:szCs w:val="32"/>
        </w:rPr>
      </w:pPr>
      <w:bookmarkStart w:id="17" w:name="_Toc17296"/>
      <w:bookmarkStart w:id="18" w:name="_Toc10198"/>
      <w:r>
        <w:rPr>
          <w:rFonts w:hint="eastAsia" w:ascii="黑体" w:hAnsi="黑体" w:eastAsia="黑体" w:cs="楷体"/>
          <w:b w:val="0"/>
          <w:i w:val="0"/>
          <w:iCs w:val="0"/>
          <w:sz w:val="32"/>
          <w:szCs w:val="32"/>
        </w:rPr>
        <w:t>五、项</w:t>
      </w:r>
      <w:bookmarkStart w:id="19" w:name="_Hlt2066523"/>
      <w:bookmarkStart w:id="20" w:name="_Hlt2066522"/>
      <w:r>
        <w:rPr>
          <w:rFonts w:hint="eastAsia" w:ascii="黑体" w:hAnsi="黑体" w:eastAsia="黑体" w:cs="楷体"/>
          <w:b w:val="0"/>
          <w:i w:val="0"/>
          <w:iCs w:val="0"/>
          <w:sz w:val="32"/>
          <w:szCs w:val="32"/>
        </w:rPr>
        <w:t>目</w:t>
      </w:r>
      <w:bookmarkEnd w:id="19"/>
      <w:bookmarkEnd w:id="20"/>
      <w:r>
        <w:rPr>
          <w:rFonts w:hint="eastAsia" w:ascii="黑体" w:hAnsi="黑体" w:eastAsia="黑体" w:cs="楷体"/>
          <w:b w:val="0"/>
          <w:i w:val="0"/>
          <w:iCs w:val="0"/>
          <w:sz w:val="32"/>
          <w:szCs w:val="32"/>
        </w:rPr>
        <w:t>实施要求</w:t>
      </w:r>
      <w:bookmarkEnd w:id="17"/>
      <w:bookmarkEnd w:id="18"/>
    </w:p>
    <w:p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outlineLvl w:val="1"/>
        <w:rPr>
          <w:rFonts w:hint="eastAsia" w:ascii="楷体_GB2312" w:eastAsia="楷体_GB2312"/>
          <w:sz w:val="32"/>
          <w:szCs w:val="32"/>
        </w:rPr>
      </w:pPr>
      <w:bookmarkStart w:id="21" w:name="_Toc24645"/>
      <w:bookmarkStart w:id="22" w:name="_Toc11458"/>
      <w:r>
        <w:rPr>
          <w:rFonts w:hint="eastAsia" w:ascii="楷体_GB2312" w:eastAsia="楷体_GB2312"/>
          <w:sz w:val="32"/>
          <w:szCs w:val="32"/>
        </w:rPr>
        <w:t>工作时间和范围</w:t>
      </w:r>
      <w:bookmarkEnd w:id="21"/>
      <w:bookmarkEnd w:id="22"/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宋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供应商</w:t>
      </w:r>
      <w:r>
        <w:rPr>
          <w:rFonts w:hint="eastAsia" w:ascii="仿宋_GB2312" w:hAnsi="宋体" w:eastAsia="仿宋_GB2312"/>
          <w:sz w:val="32"/>
          <w:szCs w:val="32"/>
        </w:rPr>
        <w:t>项目实施时间，以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采购单位</w:t>
      </w:r>
      <w:r>
        <w:rPr>
          <w:rFonts w:hint="eastAsia" w:ascii="仿宋_GB2312" w:hAnsi="宋体" w:eastAsia="仿宋_GB2312"/>
          <w:sz w:val="32"/>
          <w:szCs w:val="32"/>
        </w:rPr>
        <w:t>通知为准，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供应商</w:t>
      </w:r>
      <w:r>
        <w:rPr>
          <w:rFonts w:hint="eastAsia" w:ascii="仿宋_GB2312" w:hAnsi="宋体" w:eastAsia="仿宋_GB2312"/>
          <w:sz w:val="32"/>
          <w:szCs w:val="32"/>
        </w:rPr>
        <w:t>不得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随意变更或延期。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因特殊情况须延期的，供应商须向采购单位发出书面申请，采购单位对供应商申请事项进行确认，并报采购单位领导审批同意后方可延期。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非紧急情况下，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项目响应时间以2个工作日为准，采购单位发出通知后，2个工作日内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不能做出有效的响应，采购单位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根据《质量考核标准表》对供应商进行考核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。紧急情况下，项目响应时间不得超过2小时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采购单位保留终止合同的权利。</w:t>
      </w:r>
    </w:p>
    <w:p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outlineLvl w:val="1"/>
        <w:rPr>
          <w:rFonts w:hint="eastAsia" w:ascii="楷体_GB2312" w:eastAsia="楷体_GB2312"/>
          <w:sz w:val="32"/>
          <w:szCs w:val="32"/>
        </w:rPr>
      </w:pPr>
      <w:bookmarkStart w:id="23" w:name="_Toc21123"/>
      <w:bookmarkStart w:id="24" w:name="_Toc5834"/>
      <w:r>
        <w:rPr>
          <w:rFonts w:hint="eastAsia" w:ascii="楷体_GB2312" w:eastAsia="楷体_GB2312"/>
          <w:sz w:val="32"/>
          <w:szCs w:val="32"/>
        </w:rPr>
        <w:t>服务标准、流程及操作要求</w:t>
      </w:r>
      <w:bookmarkEnd w:id="23"/>
      <w:bookmarkEnd w:id="24"/>
    </w:p>
    <w:p>
      <w:pPr>
        <w:keepNext w:val="0"/>
        <w:keepLines w:val="0"/>
        <w:pageBreakBefore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firstLine="640" w:firstLineChars="200"/>
        <w:rPr>
          <w:rFonts w:hint="eastAsia" w:ascii="仿宋_GB2312" w:hAnsi="宋体" w:eastAsia="仿宋_GB2312" w:cs="Times New Roman"/>
          <w:color w:val="auto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符合国家、省市及行业规定的突发环境事件应急预案相关规定。</w:t>
      </w:r>
    </w:p>
    <w:p>
      <w:pPr>
        <w:keepNext w:val="0"/>
        <w:keepLines w:val="0"/>
        <w:pageBreakBefore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firstLine="640" w:firstLineChars="200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环境应急预案应体现自救互救、信息报告和先期处置特点，侧重明确现场组织指挥机制、应急队伍分工、信息报告、监测预警、不同情景下的应对流程和措施、应急资源保障等内容。</w:t>
      </w:r>
    </w:p>
    <w:p>
      <w:pPr>
        <w:keepNext w:val="0"/>
        <w:keepLines w:val="0"/>
        <w:pageBreakBefore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firstLine="640" w:firstLineChars="200"/>
        <w:rPr>
          <w:rFonts w:hint="eastAsia" w:ascii="仿宋_GB2312" w:hAnsi="宋体" w:eastAsia="仿宋_GB2312" w:cs="Times New Roman"/>
          <w:color w:val="auto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经过评估确定项目具有较大以上环境风险时，应按照环境应急综合预案、专项预案和现场处置预案的模式建立环境应急预案体系。环境应急综合预案体现战略性，环境应急专项预案体现战术性，环境应急现场处置预案体现操作性。</w:t>
      </w:r>
    </w:p>
    <w:p>
      <w:pPr>
        <w:pStyle w:val="10"/>
        <w:keepNext w:val="0"/>
        <w:keepLines w:val="0"/>
        <w:pageBreakBefore w:val="0"/>
        <w:tabs>
          <w:tab w:val="right" w:leader="dot" w:pos="8306"/>
          <w:tab w:val="clear" w:pos="840"/>
          <w:tab w:val="clear" w:pos="8270"/>
        </w:tabs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outlineLvl w:val="0"/>
        <w:rPr>
          <w:rFonts w:hint="eastAsia" w:ascii="黑体" w:hAnsi="黑体" w:eastAsia="黑体" w:cs="楷体"/>
          <w:b w:val="0"/>
          <w:i w:val="0"/>
          <w:iCs w:val="0"/>
          <w:sz w:val="32"/>
          <w:szCs w:val="32"/>
        </w:rPr>
      </w:pPr>
      <w:bookmarkStart w:id="25" w:name="_Toc16519"/>
      <w:bookmarkStart w:id="26" w:name="_Toc9432"/>
      <w:r>
        <w:rPr>
          <w:rFonts w:hint="eastAsia" w:ascii="黑体" w:hAnsi="黑体" w:eastAsia="黑体" w:cs="楷体"/>
          <w:b w:val="0"/>
          <w:i w:val="0"/>
          <w:iCs w:val="0"/>
          <w:sz w:val="32"/>
          <w:szCs w:val="32"/>
        </w:rPr>
        <w:fldChar w:fldCharType="begin"/>
      </w:r>
      <w:r>
        <w:rPr>
          <w:rFonts w:hint="eastAsia" w:ascii="黑体" w:hAnsi="黑体" w:eastAsia="黑体" w:cs="楷体"/>
          <w:b w:val="0"/>
          <w:i w:val="0"/>
          <w:iCs w:val="0"/>
          <w:sz w:val="32"/>
          <w:szCs w:val="32"/>
        </w:rPr>
        <w:instrText xml:space="preserve"> HYPERLINK \l _Toc28783 </w:instrText>
      </w:r>
      <w:r>
        <w:rPr>
          <w:rFonts w:hint="eastAsia" w:ascii="黑体" w:hAnsi="黑体" w:eastAsia="黑体" w:cs="楷体"/>
          <w:b w:val="0"/>
          <w:i w:val="0"/>
          <w:iCs w:val="0"/>
          <w:sz w:val="32"/>
          <w:szCs w:val="32"/>
        </w:rPr>
        <w:fldChar w:fldCharType="separate"/>
      </w:r>
      <w:r>
        <w:rPr>
          <w:rFonts w:hint="eastAsia" w:ascii="黑体" w:hAnsi="黑体" w:eastAsia="黑体" w:cs="楷体"/>
          <w:b w:val="0"/>
          <w:i w:val="0"/>
          <w:iCs w:val="0"/>
          <w:sz w:val="32"/>
          <w:szCs w:val="32"/>
        </w:rPr>
        <w:t>六、项目验收</w:t>
      </w:r>
      <w:r>
        <w:rPr>
          <w:rFonts w:hint="eastAsia" w:ascii="黑体" w:hAnsi="黑体" w:eastAsia="黑体" w:cs="楷体"/>
          <w:b w:val="0"/>
          <w:i w:val="0"/>
          <w:iCs w:val="0"/>
          <w:sz w:val="32"/>
          <w:szCs w:val="32"/>
        </w:rPr>
        <w:fldChar w:fldCharType="end"/>
      </w:r>
      <w:bookmarkEnd w:id="25"/>
      <w:bookmarkEnd w:id="26"/>
    </w:p>
    <w:p>
      <w:pPr>
        <w:keepNext w:val="0"/>
        <w:keepLines w:val="0"/>
        <w:pageBreakBefore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outlineLvl w:val="1"/>
        <w:rPr>
          <w:rFonts w:hint="eastAsia" w:ascii="仿宋_GB2312" w:hAnsi="宋体" w:eastAsia="仿宋_GB2312" w:cs="宋体"/>
          <w:bCs/>
          <w:sz w:val="28"/>
          <w:szCs w:val="28"/>
        </w:rPr>
      </w:pPr>
      <w:bookmarkStart w:id="27" w:name="_Toc32668"/>
      <w:bookmarkStart w:id="28" w:name="_Toc16835"/>
      <w:r>
        <w:rPr>
          <w:rFonts w:hint="eastAsia" w:ascii="楷体_GB2312" w:hAnsi="宋体" w:eastAsia="楷体_GB2312" w:cs="宋体"/>
          <w:bCs/>
          <w:sz w:val="32"/>
          <w:szCs w:val="32"/>
        </w:rPr>
        <w:t>验收小组</w:t>
      </w:r>
      <w:bookmarkEnd w:id="27"/>
      <w:bookmarkEnd w:id="28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验收小组由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采购单位</w:t>
      </w:r>
      <w:r>
        <w:rPr>
          <w:rFonts w:hint="eastAsia" w:ascii="仿宋_GB2312" w:hAnsi="宋体" w:eastAsia="仿宋_GB2312"/>
          <w:sz w:val="32"/>
          <w:szCs w:val="32"/>
        </w:rPr>
        <w:t>相关人员组成。</w:t>
      </w:r>
    </w:p>
    <w:p>
      <w:pPr>
        <w:keepNext w:val="0"/>
        <w:keepLines w:val="0"/>
        <w:pageBreakBefore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outlineLvl w:val="1"/>
        <w:rPr>
          <w:rFonts w:hint="eastAsia" w:ascii="仿宋_GB2312" w:hAnsi="宋体" w:eastAsia="仿宋_GB2312" w:cs="宋体"/>
          <w:bCs/>
          <w:sz w:val="28"/>
          <w:szCs w:val="28"/>
        </w:rPr>
      </w:pPr>
      <w:bookmarkStart w:id="29" w:name="_Toc21300"/>
      <w:bookmarkStart w:id="30" w:name="_Toc24809"/>
      <w:r>
        <w:rPr>
          <w:rFonts w:hint="eastAsia" w:ascii="楷体_GB2312" w:hAnsi="宋体" w:eastAsia="楷体_GB2312" w:cs="宋体"/>
          <w:bCs/>
          <w:sz w:val="32"/>
          <w:szCs w:val="32"/>
        </w:rPr>
        <w:t>验收周期</w:t>
      </w:r>
      <w:bookmarkEnd w:id="29"/>
      <w:bookmarkEnd w:id="3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rPr>
          <w:rFonts w:ascii="仿宋_GB2312" w:hAnsi="宋体" w:eastAsia="仿宋_GB2312" w:cs="宋体"/>
          <w:bCs/>
          <w:color w:val="auto"/>
          <w:sz w:val="32"/>
          <w:szCs w:val="32"/>
        </w:rPr>
      </w:pPr>
      <w:bookmarkStart w:id="31" w:name="_Toc88"/>
      <w:r>
        <w:rPr>
          <w:rFonts w:hint="eastAsia" w:ascii="仿宋_GB2312" w:hAnsi="宋体" w:eastAsia="仿宋_GB2312" w:cs="宋体"/>
          <w:bCs/>
          <w:color w:val="auto"/>
          <w:sz w:val="32"/>
          <w:szCs w:val="32"/>
        </w:rPr>
        <w:t>本项目按照合同要求进行验收，共验收一次。</w:t>
      </w:r>
    </w:p>
    <w:p>
      <w:pPr>
        <w:keepNext w:val="0"/>
        <w:keepLines w:val="0"/>
        <w:pageBreakBefore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outlineLvl w:val="1"/>
        <w:rPr>
          <w:rFonts w:hint="eastAsia" w:ascii="楷体_GB2312" w:hAnsi="宋体" w:eastAsia="楷体_GB2312" w:cs="宋体"/>
          <w:bCs/>
          <w:sz w:val="32"/>
          <w:szCs w:val="32"/>
        </w:rPr>
      </w:pPr>
      <w:bookmarkStart w:id="32" w:name="_Toc24885"/>
      <w:r>
        <w:rPr>
          <w:rFonts w:hint="eastAsia" w:ascii="楷体_GB2312" w:hAnsi="宋体" w:eastAsia="楷体_GB2312" w:cs="宋体"/>
          <w:bCs/>
          <w:sz w:val="32"/>
          <w:szCs w:val="32"/>
        </w:rPr>
        <w:t>验收标准</w:t>
      </w:r>
      <w:bookmarkEnd w:id="31"/>
      <w:bookmarkEnd w:id="32"/>
    </w:p>
    <w:p>
      <w:pPr>
        <w:keepNext w:val="0"/>
        <w:keepLines w:val="0"/>
        <w:pageBreakBefore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服务</w:t>
      </w:r>
      <w:r>
        <w:rPr>
          <w:rFonts w:hint="eastAsia" w:ascii="仿宋_GB2312" w:hAnsi="宋体" w:eastAsia="仿宋_GB2312"/>
          <w:sz w:val="32"/>
          <w:szCs w:val="32"/>
        </w:rPr>
        <w:t>过程未出现影响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采购单位</w:t>
      </w:r>
      <w:r>
        <w:rPr>
          <w:rFonts w:hint="eastAsia" w:ascii="仿宋_GB2312" w:hAnsi="宋体" w:eastAsia="仿宋_GB2312"/>
          <w:sz w:val="32"/>
          <w:szCs w:val="32"/>
        </w:rPr>
        <w:t>安全质量及地铁运营的因素。</w:t>
      </w:r>
    </w:p>
    <w:p>
      <w:pPr>
        <w:keepNext w:val="0"/>
        <w:keepLines w:val="0"/>
        <w:pageBreakBefore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供应商</w:t>
      </w:r>
      <w:r>
        <w:rPr>
          <w:rFonts w:hint="eastAsia" w:ascii="仿宋_GB2312" w:hAnsi="宋体" w:eastAsia="仿宋_GB2312"/>
          <w:sz w:val="32"/>
          <w:szCs w:val="32"/>
        </w:rPr>
        <w:t>在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采购单位</w:t>
      </w:r>
      <w:r>
        <w:rPr>
          <w:rFonts w:hint="eastAsia" w:ascii="仿宋_GB2312" w:hAnsi="宋体" w:eastAsia="仿宋_GB2312"/>
          <w:sz w:val="32"/>
          <w:szCs w:val="32"/>
        </w:rPr>
        <w:t>约定的时间内，按要求完成本项目计划表所列工作内容，获得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长沙市生态环境部门相关负责机构，以及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采购单位的认可，取得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生态环境部门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相关负责机构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出具备案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凭证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3.验收周期内，发生的考核情况、现场检查问题均已按要求进行闭环处理。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以上内容全部符合要求即认为项目完成，通过验收。</w:t>
      </w:r>
    </w:p>
    <w:p>
      <w:pPr>
        <w:keepNext w:val="0"/>
        <w:keepLines w:val="0"/>
        <w:pageBreakBefore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outlineLvl w:val="1"/>
        <w:rPr>
          <w:rFonts w:hint="eastAsia" w:ascii="仿宋_GB2312" w:hAnsi="宋体" w:eastAsia="仿宋_GB2312" w:cs="宋体"/>
          <w:bCs/>
          <w:sz w:val="28"/>
          <w:szCs w:val="28"/>
        </w:rPr>
      </w:pPr>
      <w:bookmarkStart w:id="33" w:name="_Toc15129"/>
      <w:bookmarkStart w:id="34" w:name="_Toc16263"/>
      <w:r>
        <w:rPr>
          <w:rFonts w:hint="eastAsia" w:ascii="楷体_GB2312" w:hAnsi="宋体" w:eastAsia="楷体_GB2312" w:cs="宋体"/>
          <w:bCs/>
          <w:sz w:val="32"/>
          <w:szCs w:val="32"/>
        </w:rPr>
        <w:t>验收成果</w:t>
      </w:r>
      <w:bookmarkEnd w:id="33"/>
      <w:bookmarkEnd w:id="34"/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供应商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在规定时间内提供完整齐全有效的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符合长沙市生态环境局相关负责机构要求的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突发环境事件应急预案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专家验收意见、专家签到表、专家个人意见表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和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长沙市相关区县生态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环境部门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相关负责机构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的备案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文件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如长沙市生态环境部门相关负责机构有其他要求或建议，则按其意见执行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宋体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lang w:eastAsia="zh-CN"/>
        </w:rPr>
        <w:t>突发环境事件应急预案一式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eastAsia="zh-CN"/>
        </w:rPr>
        <w:t>份，电子版，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专家验收意见表、专家签到、专家个人意见表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eastAsia="zh-CN"/>
        </w:rPr>
        <w:t>和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应急预案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eastAsia="zh-CN"/>
        </w:rPr>
        <w:t>备案书等均须提供纸质版原件。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供应商</w:t>
      </w:r>
      <w:r>
        <w:rPr>
          <w:rFonts w:hint="eastAsia" w:ascii="仿宋_GB2312" w:hAnsi="宋体" w:eastAsia="仿宋_GB2312"/>
          <w:sz w:val="32"/>
          <w:szCs w:val="32"/>
        </w:rPr>
        <w:t>应对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采购单位</w:t>
      </w:r>
      <w:r>
        <w:rPr>
          <w:rFonts w:hint="eastAsia" w:ascii="仿宋_GB2312" w:hAnsi="宋体" w:eastAsia="仿宋_GB2312"/>
          <w:sz w:val="32"/>
          <w:szCs w:val="32"/>
        </w:rPr>
        <w:t>提供的相关资料、图纸及工艺技术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文件，供应商为采购单位编制的预案、工作方案</w:t>
      </w:r>
      <w:r>
        <w:rPr>
          <w:rFonts w:hint="eastAsia" w:ascii="仿宋_GB2312" w:hAnsi="宋体" w:eastAsia="仿宋_GB2312"/>
          <w:sz w:val="32"/>
          <w:szCs w:val="32"/>
        </w:rPr>
        <w:t>（不包括向政府监管部门备案的文本）等内容进行永久保密，不得外泄。</w:t>
      </w:r>
    </w:p>
    <w:p>
      <w:pPr>
        <w:pStyle w:val="10"/>
        <w:keepNext w:val="0"/>
        <w:keepLines w:val="0"/>
        <w:pageBreakBefore w:val="0"/>
        <w:tabs>
          <w:tab w:val="right" w:leader="dot" w:pos="8306"/>
          <w:tab w:val="clear" w:pos="840"/>
          <w:tab w:val="clear" w:pos="8270"/>
        </w:tabs>
        <w:kinsoku/>
        <w:wordWrap/>
        <w:overflowPunct/>
        <w:topLinePunct w:val="0"/>
        <w:autoSpaceDE/>
        <w:autoSpaceDN/>
        <w:bidi w:val="0"/>
        <w:spacing w:line="540" w:lineRule="exact"/>
        <w:ind w:firstLine="643" w:firstLineChars="200"/>
        <w:outlineLvl w:val="0"/>
        <w:rPr>
          <w:rFonts w:hint="eastAsia" w:ascii="黑体" w:hAnsi="黑体" w:eastAsia="黑体" w:cs="楷体"/>
          <w:i w:val="0"/>
          <w:iCs w:val="0"/>
          <w:sz w:val="32"/>
          <w:szCs w:val="32"/>
        </w:rPr>
      </w:pPr>
      <w:bookmarkStart w:id="35" w:name="_Toc25474"/>
      <w:r>
        <w:rPr>
          <w:rFonts w:hint="eastAsia" w:ascii="黑体" w:hAnsi="黑体" w:eastAsia="黑体" w:cs="楷体"/>
          <w:i w:val="0"/>
          <w:iCs w:val="0"/>
          <w:sz w:val="32"/>
          <w:szCs w:val="32"/>
        </w:rPr>
        <w:t>七、考核标准</w:t>
      </w:r>
      <w:bookmarkEnd w:id="35"/>
    </w:p>
    <w:p>
      <w:pPr>
        <w:keepNext w:val="0"/>
        <w:keepLines w:val="0"/>
        <w:pageBreakBefore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rPr>
          <w:rFonts w:hint="eastAsia" w:ascii="楷体_GB2312" w:hAnsi="宋体" w:eastAsia="楷体_GB2312" w:cs="宋体"/>
          <w:bCs/>
          <w:sz w:val="32"/>
          <w:szCs w:val="32"/>
        </w:rPr>
      </w:pPr>
      <w:r>
        <w:rPr>
          <w:rFonts w:hint="eastAsia" w:ascii="楷体_GB2312" w:hAnsi="宋体" w:eastAsia="楷体_GB2312" w:cs="宋体"/>
          <w:bCs/>
          <w:sz w:val="32"/>
          <w:szCs w:val="32"/>
        </w:rPr>
        <w:t>质量考核标准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根据用户需求书中的相关条款，由采购单位对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供应商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进行考核评分，并按分值等级进行相关考核，考核分数不累计。当考核项目发生重复时以最高程度考核项为考核标准。因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供应商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原因造成设备故障、客伤、采购单位或第三方财产或人身损害的，除负责赔偿责任外，还需向采购单位赔付由采购单位依据安全事故的性质、受伤人员数量、受伤害的程度、采购单位的名誉、形象受损的范围和程度等确定的金额，并承担采购单位因此发生的诉讼费、律师费等一切费用及相应的法律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供应商</w:t>
      </w:r>
      <w:r>
        <w:rPr>
          <w:rFonts w:hint="eastAsia" w:ascii="仿宋_GB2312" w:hAnsi="宋体" w:eastAsia="仿宋_GB2312"/>
          <w:sz w:val="32"/>
          <w:szCs w:val="32"/>
        </w:rPr>
        <w:t>违反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采购单位</w:t>
      </w:r>
      <w:r>
        <w:rPr>
          <w:rFonts w:hint="eastAsia" w:ascii="仿宋_GB2312" w:hAnsi="宋体" w:eastAsia="仿宋_GB2312"/>
          <w:sz w:val="32"/>
          <w:szCs w:val="32"/>
        </w:rPr>
        <w:t>相关规定、制度，按照表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sz w:val="32"/>
          <w:szCs w:val="32"/>
        </w:rPr>
        <w:t>质量考核标准、表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/>
          <w:sz w:val="32"/>
          <w:szCs w:val="32"/>
        </w:rPr>
        <w:t>考核支付（单次）表执行（包括但不限于）：</w:t>
      </w:r>
    </w:p>
    <w:p>
      <w:pPr>
        <w:pStyle w:val="21"/>
        <w:spacing w:line="560" w:lineRule="exact"/>
        <w:ind w:firstLine="196" w:firstLineChars="82"/>
        <w:jc w:val="center"/>
        <w:rPr>
          <w:rFonts w:hint="eastAsia" w:hAnsi="宋体" w:cs="宋体"/>
          <w:bCs/>
          <w:color w:val="auto"/>
          <w:kern w:val="0"/>
          <w:sz w:val="24"/>
          <w:szCs w:val="24"/>
          <w:lang w:bidi="ar"/>
        </w:rPr>
      </w:pPr>
      <w:r>
        <w:rPr>
          <w:rFonts w:hint="eastAsia" w:hAnsi="宋体" w:cs="宋体"/>
          <w:bCs/>
          <w:color w:val="auto"/>
          <w:kern w:val="0"/>
          <w:sz w:val="24"/>
          <w:szCs w:val="24"/>
          <w:lang w:bidi="ar"/>
        </w:rPr>
        <w:t>表</w:t>
      </w:r>
      <w:r>
        <w:rPr>
          <w:rFonts w:hint="eastAsia" w:hAnsi="宋体" w:cs="宋体"/>
          <w:bCs/>
          <w:color w:val="auto"/>
          <w:kern w:val="0"/>
          <w:sz w:val="24"/>
          <w:szCs w:val="24"/>
          <w:lang w:val="en-US" w:eastAsia="zh-CN" w:bidi="ar"/>
        </w:rPr>
        <w:t>2</w:t>
      </w:r>
      <w:r>
        <w:rPr>
          <w:rFonts w:hint="eastAsia" w:hAnsi="宋体" w:cs="宋体"/>
          <w:bCs/>
          <w:color w:val="auto"/>
          <w:kern w:val="0"/>
          <w:sz w:val="24"/>
          <w:szCs w:val="24"/>
          <w:lang w:bidi="ar"/>
        </w:rPr>
        <w:t xml:space="preserve">  质量考核标准表</w:t>
      </w:r>
    </w:p>
    <w:tbl>
      <w:tblPr>
        <w:tblStyle w:val="12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5"/>
        <w:gridCol w:w="3914"/>
        <w:gridCol w:w="3294"/>
        <w:gridCol w:w="87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atLeast"/>
          <w:tblHeader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考核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内容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处罚结果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1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突发环境事件应急预案未能一次通过专家评审，需要再次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进行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专家评审的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首次未通过专家评审会议，扣10分；会后次日起计时，每延迟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天，扣2分，累计推迟X天，扣2*X分。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突发环境事件应急预案和备案书不能在规定时间内提交的。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每推迟1天扣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分，累计推迟X天，扣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X分。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非紧急情况下，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收到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t>采购单位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以电话、信息或邮件等方式告知的开展本项目相关工作后，两个工作日内不能及时做出有效的响应，且无正当理由延缓或拖延项目开展的。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每推迟1个工作日扣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分，累计推迟X天，扣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*X分。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未经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t>采购单位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同意，随意更换项目负责人的，或经过采购单位同意，更换人员次数超过1次的（允许更换1次）。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每更换1次扣5分，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累计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更换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X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次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，扣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*X分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紧急情况下，项目响应时间超过2小时。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每推迟1个小时扣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分，累计推迟X小时，扣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*X分。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在采购单位作业范围内吸烟。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每次扣3分。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未经允许私自触碰采购单位设备、乱拉乱接电线。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每次扣3分。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在采购单位作业范围未按要求正确穿戴安全帽、荧光衣和劳保鞋等劳动防护用品。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每次扣3分。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numPr>
                <w:ilvl w:val="0"/>
                <w:numId w:val="14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携带或使用易燃、易爆物品进入车站或其他作业场所。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每次扣3分。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numPr>
                <w:ilvl w:val="0"/>
                <w:numId w:val="14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服务过程出现其他违反采购单位其他制度，未造成影响的。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每次扣3分。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</w:trPr>
        <w:tc>
          <w:tcPr>
            <w:tcW w:w="87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bookmarkStart w:id="36" w:name="_Toc111474469"/>
            <w:bookmarkStart w:id="37" w:name="_Toc29644"/>
            <w:bookmarkStart w:id="38" w:name="_Toc110418893"/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当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行为给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t>采购单位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造成一定影响，发生影响运营安全的一般及以上的事故，直接扣20分，且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t>采购单位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有权解除合同，并由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承担解除服务合同给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t>采购单位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造成的经济损失和法律责任。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以上同一内容频繁出现3次及以上，或累计扣分项超过20分，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t>采购单位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有权解除合同，并由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承担解除服务合同给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t>采购单位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造成的经济损失和法律责任。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楷体_GB2312" w:hAnsi="宋体" w:eastAsia="楷体_GB2312" w:cs="宋体"/>
          <w:bCs/>
          <w:sz w:val="32"/>
          <w:szCs w:val="32"/>
        </w:rPr>
      </w:pPr>
      <w:r>
        <w:rPr>
          <w:rFonts w:hint="eastAsia" w:ascii="楷体_GB2312" w:hAnsi="宋体" w:eastAsia="楷体_GB2312" w:cs="宋体"/>
          <w:bCs/>
          <w:sz w:val="32"/>
          <w:szCs w:val="32"/>
        </w:rPr>
        <w:t>考核支付标准</w:t>
      </w:r>
      <w:bookmarkEnd w:id="36"/>
      <w:bookmarkEnd w:id="37"/>
      <w:bookmarkEnd w:id="38"/>
    </w:p>
    <w:p>
      <w:pPr>
        <w:pStyle w:val="21"/>
        <w:ind w:firstLine="196" w:firstLineChars="82"/>
        <w:jc w:val="center"/>
        <w:rPr>
          <w:rFonts w:hint="eastAsia" w:hAnsi="宋体" w:cs="宋体"/>
          <w:bCs/>
          <w:color w:val="auto"/>
          <w:kern w:val="0"/>
          <w:sz w:val="24"/>
          <w:szCs w:val="24"/>
          <w:lang w:bidi="ar"/>
        </w:rPr>
      </w:pPr>
      <w:r>
        <w:rPr>
          <w:rFonts w:hint="eastAsia" w:hAnsi="宋体" w:cs="宋体"/>
          <w:bCs/>
          <w:color w:val="auto"/>
          <w:kern w:val="0"/>
          <w:sz w:val="24"/>
          <w:szCs w:val="24"/>
          <w:lang w:bidi="ar"/>
        </w:rPr>
        <w:t>表</w:t>
      </w:r>
      <w:r>
        <w:rPr>
          <w:rFonts w:hint="eastAsia" w:hAnsi="宋体" w:cs="宋体"/>
          <w:bCs/>
          <w:color w:val="auto"/>
          <w:kern w:val="0"/>
          <w:sz w:val="24"/>
          <w:szCs w:val="24"/>
          <w:lang w:val="en-US" w:eastAsia="zh-CN" w:bidi="ar"/>
        </w:rPr>
        <w:t>3</w:t>
      </w:r>
      <w:r>
        <w:rPr>
          <w:rFonts w:hint="eastAsia" w:hAnsi="宋体" w:cs="宋体"/>
          <w:bCs/>
          <w:color w:val="auto"/>
          <w:kern w:val="0"/>
          <w:sz w:val="24"/>
          <w:szCs w:val="24"/>
          <w:lang w:bidi="ar"/>
        </w:rPr>
        <w:t xml:space="preserve">  考核支付表</w:t>
      </w:r>
    </w:p>
    <w:tbl>
      <w:tblPr>
        <w:tblStyle w:val="12"/>
        <w:tblW w:w="913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4"/>
        <w:gridCol w:w="4577"/>
        <w:gridCol w:w="289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tblHeader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考评等级</w:t>
            </w:r>
          </w:p>
        </w:tc>
        <w:tc>
          <w:tcPr>
            <w:tcW w:w="4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考评标准（基础分100分）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备注（对应扣款）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A级</w:t>
            </w:r>
          </w:p>
        </w:tc>
        <w:tc>
          <w:tcPr>
            <w:tcW w:w="4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综合考评分≥90分,支付比例100%。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B级</w:t>
            </w:r>
          </w:p>
        </w:tc>
        <w:tc>
          <w:tcPr>
            <w:tcW w:w="4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80分≤综合考评分&lt;90分，支付比例90%。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扣除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10%合同价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C级</w:t>
            </w:r>
          </w:p>
        </w:tc>
        <w:tc>
          <w:tcPr>
            <w:tcW w:w="4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70分≤综合考评分&lt;80分，支付比例80%。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扣除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20%合同价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1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D级</w:t>
            </w:r>
          </w:p>
        </w:tc>
        <w:tc>
          <w:tcPr>
            <w:tcW w:w="4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综合考评分&lt;70分，支付比例70%。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扣除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30%合同价，赔偿相关损失，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采购单位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有权解除合同。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</w:trPr>
        <w:tc>
          <w:tcPr>
            <w:tcW w:w="9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供应商</w:t>
            </w:r>
            <w:r>
              <w:rPr>
                <w:rFonts w:ascii="宋体" w:hAnsi="宋体" w:cs="宋体"/>
                <w:bCs/>
                <w:color w:val="auto"/>
                <w:sz w:val="24"/>
                <w:szCs w:val="24"/>
              </w:rPr>
              <w:t>应遵守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US" w:eastAsia="zh-CN"/>
              </w:rPr>
              <w:t>《运营公司生产安全事件（故障）调查处理办法（试行）》</w:t>
            </w:r>
            <w:r>
              <w:rPr>
                <w:rFonts w:ascii="宋体" w:hAnsi="宋体" w:cs="宋体"/>
                <w:bCs/>
                <w:color w:val="auto"/>
                <w:sz w:val="24"/>
                <w:szCs w:val="24"/>
              </w:rPr>
              <w:t>《运营公司承包商安全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US" w:eastAsia="zh-CN"/>
              </w:rPr>
              <w:t>文明施工</w:t>
            </w:r>
            <w:r>
              <w:rPr>
                <w:rFonts w:ascii="宋体" w:hAnsi="宋体" w:cs="宋体"/>
                <w:bCs/>
                <w:color w:val="auto"/>
                <w:sz w:val="24"/>
                <w:szCs w:val="24"/>
              </w:rPr>
              <w:t>管理办法》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US" w:eastAsia="zh-CN"/>
              </w:rPr>
              <w:t>（以最新文件为准）</w:t>
            </w:r>
            <w:r>
              <w:rPr>
                <w:rFonts w:ascii="宋体" w:hAnsi="宋体" w:cs="宋体"/>
                <w:bCs/>
                <w:color w:val="auto"/>
                <w:sz w:val="24"/>
                <w:szCs w:val="24"/>
              </w:rPr>
              <w:t>相关规定。如有违反，将按照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US" w:eastAsia="zh-CN"/>
              </w:rPr>
              <w:t>《运营公司生产安全事件（故障）调查处理办法（试行）》</w:t>
            </w:r>
            <w:r>
              <w:rPr>
                <w:rFonts w:ascii="宋体" w:hAnsi="宋体" w:cs="宋体"/>
                <w:bCs/>
                <w:color w:val="auto"/>
                <w:sz w:val="24"/>
                <w:szCs w:val="24"/>
              </w:rPr>
              <w:t>《运营公司承包商安全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US" w:eastAsia="zh-CN"/>
              </w:rPr>
              <w:t>文明施工</w:t>
            </w:r>
            <w:r>
              <w:rPr>
                <w:rFonts w:ascii="宋体" w:hAnsi="宋体" w:cs="宋体"/>
                <w:bCs/>
                <w:color w:val="auto"/>
                <w:sz w:val="24"/>
                <w:szCs w:val="24"/>
              </w:rPr>
              <w:t>管理办法》中对应条款扣款标</w:t>
            </w:r>
            <w:r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  <w:t>准和本</w:t>
            </w:r>
            <w:r>
              <w:rPr>
                <w:rFonts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用户需求</w:t>
            </w:r>
            <w:r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  <w:t>中扣款扣分标准两者中较高标准执行，相对应的服务费将从项目合同款中扣除，扣除费用不再支付</w:t>
            </w:r>
            <w:r>
              <w:rPr>
                <w:rFonts w:ascii="宋体" w:hAnsi="宋体" w:cs="宋体"/>
                <w:bCs/>
                <w:color w:val="auto"/>
                <w:sz w:val="24"/>
                <w:szCs w:val="24"/>
              </w:rPr>
              <w:t>。</w:t>
            </w:r>
          </w:p>
        </w:tc>
      </w:tr>
    </w:tbl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</w:p>
    <w:sectPr>
      <w:footerReference r:id="rId3" w:type="default"/>
      <w:pgSz w:w="11906" w:h="16838"/>
      <w:pgMar w:top="2098" w:right="1474" w:bottom="1984" w:left="1588" w:header="0" w:footer="1587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20L4sgBAACZ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mUOG5x4Ocf388/f59/fSPL&#10;LE8foMasx4B5abjxQ06d/IDOzHpQ0eYv8iEYR3FPF3HlkIjIj1bL1arCkMDYfEEc9vQ8REh30luS&#10;jYZGnF4RlR/vIY2pc0qu5vytNgb9vDbuLwdiZg/LvY89ZisNu2FqfOfbE/LpcfANdbjnlJiPDnXN&#10;OzIbcTZ2s3EIUe+7skS5HoQPh4RNlN5yhRF2KowTK+ym7cor8fxesp7+qM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dtC+L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D072EE"/>
    <w:multiLevelType w:val="singleLevel"/>
    <w:tmpl w:val="80D072E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8F17ED81"/>
    <w:multiLevelType w:val="singleLevel"/>
    <w:tmpl w:val="8F17ED8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E556C547"/>
    <w:multiLevelType w:val="singleLevel"/>
    <w:tmpl w:val="E556C547"/>
    <w:lvl w:ilvl="0" w:tentative="0">
      <w:start w:val="1"/>
      <w:numFmt w:val="decimal"/>
      <w:suff w:val="nothing"/>
      <w:lvlText w:val="%1"/>
      <w:lvlJc w:val="left"/>
      <w:pPr>
        <w:ind w:left="425" w:leftChars="0" w:hanging="425" w:firstLineChars="0"/>
      </w:pPr>
      <w:rPr>
        <w:rFonts w:hint="default"/>
      </w:rPr>
    </w:lvl>
  </w:abstractNum>
  <w:abstractNum w:abstractNumId="3">
    <w:nsid w:val="0B6E38A9"/>
    <w:multiLevelType w:val="multilevel"/>
    <w:tmpl w:val="0B6E38A9"/>
    <w:lvl w:ilvl="0" w:tentative="0">
      <w:start w:val="1"/>
      <w:numFmt w:val="chineseCountingThousand"/>
      <w:suff w:val="space"/>
      <w:lvlText w:val="(%1)"/>
      <w:lvlJc w:val="left"/>
      <w:pPr>
        <w:ind w:left="0" w:firstLine="0"/>
      </w:pPr>
      <w:rPr>
        <w:rFonts w:hint="eastAsia" w:ascii="楷体_GB2312" w:eastAsia="楷体_GB2312"/>
        <w:sz w:val="32"/>
        <w:szCs w:val="3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CD45507"/>
    <w:multiLevelType w:val="multilevel"/>
    <w:tmpl w:val="0CD45507"/>
    <w:lvl w:ilvl="0" w:tentative="0">
      <w:start w:val="1"/>
      <w:numFmt w:val="decimal"/>
      <w:lvlText w:val="%1."/>
      <w:lvlJc w:val="left"/>
      <w:pPr>
        <w:ind w:left="2320" w:hanging="420"/>
      </w:pPr>
    </w:lvl>
    <w:lvl w:ilvl="1" w:tentative="0">
      <w:start w:val="1"/>
      <w:numFmt w:val="lowerLetter"/>
      <w:lvlText w:val="%2)"/>
      <w:lvlJc w:val="left"/>
      <w:pPr>
        <w:ind w:left="2740" w:hanging="420"/>
      </w:pPr>
    </w:lvl>
    <w:lvl w:ilvl="2" w:tentative="0">
      <w:start w:val="1"/>
      <w:numFmt w:val="lowerRoman"/>
      <w:lvlText w:val="%3."/>
      <w:lvlJc w:val="right"/>
      <w:pPr>
        <w:ind w:left="3160" w:hanging="420"/>
      </w:pPr>
    </w:lvl>
    <w:lvl w:ilvl="3" w:tentative="0">
      <w:start w:val="1"/>
      <w:numFmt w:val="decimal"/>
      <w:lvlText w:val="%4."/>
      <w:lvlJc w:val="left"/>
      <w:pPr>
        <w:ind w:left="3580" w:hanging="420"/>
      </w:pPr>
    </w:lvl>
    <w:lvl w:ilvl="4" w:tentative="0">
      <w:start w:val="1"/>
      <w:numFmt w:val="lowerLetter"/>
      <w:lvlText w:val="%5)"/>
      <w:lvlJc w:val="left"/>
      <w:pPr>
        <w:ind w:left="4000" w:hanging="420"/>
      </w:pPr>
    </w:lvl>
    <w:lvl w:ilvl="5" w:tentative="0">
      <w:start w:val="1"/>
      <w:numFmt w:val="lowerRoman"/>
      <w:lvlText w:val="%6."/>
      <w:lvlJc w:val="right"/>
      <w:pPr>
        <w:ind w:left="4420" w:hanging="420"/>
      </w:pPr>
    </w:lvl>
    <w:lvl w:ilvl="6" w:tentative="0">
      <w:start w:val="1"/>
      <w:numFmt w:val="decimal"/>
      <w:lvlText w:val="%7."/>
      <w:lvlJc w:val="left"/>
      <w:pPr>
        <w:ind w:left="4840" w:hanging="420"/>
      </w:pPr>
    </w:lvl>
    <w:lvl w:ilvl="7" w:tentative="0">
      <w:start w:val="1"/>
      <w:numFmt w:val="lowerLetter"/>
      <w:lvlText w:val="%8)"/>
      <w:lvlJc w:val="left"/>
      <w:pPr>
        <w:ind w:left="5260" w:hanging="420"/>
      </w:pPr>
    </w:lvl>
    <w:lvl w:ilvl="8" w:tentative="0">
      <w:start w:val="1"/>
      <w:numFmt w:val="lowerRoman"/>
      <w:lvlText w:val="%9."/>
      <w:lvlJc w:val="right"/>
      <w:pPr>
        <w:ind w:left="5680" w:hanging="420"/>
      </w:pPr>
    </w:lvl>
  </w:abstractNum>
  <w:abstractNum w:abstractNumId="5">
    <w:nsid w:val="0D1516BE"/>
    <w:multiLevelType w:val="multilevel"/>
    <w:tmpl w:val="0D1516BE"/>
    <w:lvl w:ilvl="0" w:tentative="0">
      <w:start w:val="1"/>
      <w:numFmt w:val="chineseCountingThousand"/>
      <w:suff w:val="space"/>
      <w:lvlText w:val="(%1)"/>
      <w:lvlJc w:val="left"/>
      <w:pPr>
        <w:ind w:left="640" w:firstLine="0"/>
      </w:pPr>
      <w:rPr>
        <w:rFonts w:hint="eastAsia" w:ascii="楷体_GB2312" w:eastAsia="楷体_GB2312"/>
        <w:sz w:val="32"/>
        <w:szCs w:val="32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16516015"/>
    <w:multiLevelType w:val="multilevel"/>
    <w:tmpl w:val="16516015"/>
    <w:lvl w:ilvl="0" w:tentative="0">
      <w:start w:val="1"/>
      <w:numFmt w:val="chineseCountingThousand"/>
      <w:suff w:val="space"/>
      <w:lvlText w:val="(%1)"/>
      <w:lvlJc w:val="left"/>
      <w:pPr>
        <w:ind w:left="0" w:firstLine="0"/>
      </w:pPr>
      <w:rPr>
        <w:rFonts w:hint="eastAsia" w:ascii="楷体_GB2312" w:eastAsia="楷体_GB2312"/>
        <w:sz w:val="32"/>
        <w:szCs w:val="3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6C1A699"/>
    <w:multiLevelType w:val="singleLevel"/>
    <w:tmpl w:val="16C1A69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8">
    <w:nsid w:val="3C107EE2"/>
    <w:multiLevelType w:val="singleLevel"/>
    <w:tmpl w:val="3C107EE2"/>
    <w:lvl w:ilvl="0" w:tentative="0">
      <w:start w:val="1"/>
      <w:numFmt w:val="chineseCountingThousand"/>
      <w:suff w:val="space"/>
      <w:lvlText w:val="(%1)"/>
      <w:lvlJc w:val="left"/>
      <w:pPr>
        <w:ind w:left="0" w:firstLine="0"/>
      </w:pPr>
      <w:rPr>
        <w:rFonts w:hint="eastAsia" w:ascii="楷体_GB2312" w:eastAsia="楷体_GB2312"/>
        <w:color w:val="auto"/>
        <w:sz w:val="32"/>
        <w:szCs w:val="32"/>
      </w:rPr>
    </w:lvl>
  </w:abstractNum>
  <w:abstractNum w:abstractNumId="9">
    <w:nsid w:val="48326ECE"/>
    <w:multiLevelType w:val="singleLevel"/>
    <w:tmpl w:val="48326ECE"/>
    <w:lvl w:ilvl="0" w:tentative="0">
      <w:start w:val="1"/>
      <w:numFmt w:val="decimal"/>
      <w:lvlText w:val="%1"/>
      <w:lvlJc w:val="left"/>
      <w:pPr>
        <w:tabs>
          <w:tab w:val="left" w:pos="0"/>
        </w:tabs>
        <w:ind w:left="0" w:firstLine="0"/>
      </w:pPr>
      <w:rPr>
        <w:rFonts w:hint="default"/>
      </w:rPr>
    </w:lvl>
  </w:abstractNum>
  <w:abstractNum w:abstractNumId="10">
    <w:nsid w:val="4D785395"/>
    <w:multiLevelType w:val="singleLevel"/>
    <w:tmpl w:val="4D78539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1">
    <w:nsid w:val="525E2671"/>
    <w:multiLevelType w:val="multilevel"/>
    <w:tmpl w:val="525E2671"/>
    <w:lvl w:ilvl="0" w:tentative="0">
      <w:start w:val="1"/>
      <w:numFmt w:val="chineseCountingThousand"/>
      <w:suff w:val="space"/>
      <w:lvlText w:val="(%1)"/>
      <w:lvlJc w:val="left"/>
      <w:pPr>
        <w:ind w:left="0" w:firstLine="0"/>
      </w:pPr>
      <w:rPr>
        <w:rFonts w:hint="eastAsia" w:ascii="楷体_GB2312" w:eastAsia="楷体_GB2312"/>
        <w:sz w:val="32"/>
        <w:szCs w:val="32"/>
      </w:rPr>
    </w:lvl>
    <w:lvl w:ilvl="1" w:tentative="0">
      <w:start w:val="1"/>
      <w:numFmt w:val="lowerLetter"/>
      <w:lvlText w:val="%2)"/>
      <w:lvlJc w:val="left"/>
      <w:pPr>
        <w:ind w:left="1549" w:hanging="420"/>
      </w:pPr>
    </w:lvl>
    <w:lvl w:ilvl="2" w:tentative="0">
      <w:start w:val="1"/>
      <w:numFmt w:val="lowerRoman"/>
      <w:lvlText w:val="%3."/>
      <w:lvlJc w:val="right"/>
      <w:pPr>
        <w:ind w:left="1969" w:hanging="420"/>
      </w:pPr>
    </w:lvl>
    <w:lvl w:ilvl="3" w:tentative="0">
      <w:start w:val="1"/>
      <w:numFmt w:val="decimal"/>
      <w:lvlText w:val="%4."/>
      <w:lvlJc w:val="left"/>
      <w:pPr>
        <w:ind w:left="2389" w:hanging="420"/>
      </w:pPr>
    </w:lvl>
    <w:lvl w:ilvl="4" w:tentative="0">
      <w:start w:val="1"/>
      <w:numFmt w:val="lowerLetter"/>
      <w:lvlText w:val="%5)"/>
      <w:lvlJc w:val="left"/>
      <w:pPr>
        <w:ind w:left="2809" w:hanging="420"/>
      </w:pPr>
    </w:lvl>
    <w:lvl w:ilvl="5" w:tentative="0">
      <w:start w:val="1"/>
      <w:numFmt w:val="lowerRoman"/>
      <w:lvlText w:val="%6."/>
      <w:lvlJc w:val="right"/>
      <w:pPr>
        <w:ind w:left="3229" w:hanging="420"/>
      </w:pPr>
    </w:lvl>
    <w:lvl w:ilvl="6" w:tentative="0">
      <w:start w:val="1"/>
      <w:numFmt w:val="decimal"/>
      <w:lvlText w:val="%7."/>
      <w:lvlJc w:val="left"/>
      <w:pPr>
        <w:ind w:left="3649" w:hanging="420"/>
      </w:pPr>
    </w:lvl>
    <w:lvl w:ilvl="7" w:tentative="0">
      <w:start w:val="1"/>
      <w:numFmt w:val="lowerLetter"/>
      <w:lvlText w:val="%8)"/>
      <w:lvlJc w:val="left"/>
      <w:pPr>
        <w:ind w:left="4069" w:hanging="420"/>
      </w:pPr>
    </w:lvl>
    <w:lvl w:ilvl="8" w:tentative="0">
      <w:start w:val="1"/>
      <w:numFmt w:val="lowerRoman"/>
      <w:lvlText w:val="%9."/>
      <w:lvlJc w:val="right"/>
      <w:pPr>
        <w:ind w:left="4489" w:hanging="420"/>
      </w:pPr>
    </w:lvl>
  </w:abstractNum>
  <w:abstractNum w:abstractNumId="12">
    <w:nsid w:val="57BDCD0B"/>
    <w:multiLevelType w:val="singleLevel"/>
    <w:tmpl w:val="57BDCD0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3">
    <w:nsid w:val="6D662532"/>
    <w:multiLevelType w:val="singleLevel"/>
    <w:tmpl w:val="6D66253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4"/>
  </w:num>
  <w:num w:numId="7">
    <w:abstractNumId w:val="6"/>
  </w:num>
  <w:num w:numId="8">
    <w:abstractNumId w:val="12"/>
  </w:num>
  <w:num w:numId="9">
    <w:abstractNumId w:val="0"/>
  </w:num>
  <w:num w:numId="10">
    <w:abstractNumId w:val="11"/>
  </w:num>
  <w:num w:numId="11">
    <w:abstractNumId w:val="13"/>
  </w:num>
  <w:num w:numId="12">
    <w:abstractNumId w:val="1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wMDc2NDE1MTQwZDZjODNiMWE0ZTgzMzE4YTM0MDIifQ=="/>
  </w:docVars>
  <w:rsids>
    <w:rsidRoot w:val="0011718F"/>
    <w:rsid w:val="0002772A"/>
    <w:rsid w:val="00041809"/>
    <w:rsid w:val="000B5DE9"/>
    <w:rsid w:val="000D4F3E"/>
    <w:rsid w:val="000E7E16"/>
    <w:rsid w:val="00113153"/>
    <w:rsid w:val="0011718F"/>
    <w:rsid w:val="0016106D"/>
    <w:rsid w:val="001D141F"/>
    <w:rsid w:val="002228E8"/>
    <w:rsid w:val="002431B7"/>
    <w:rsid w:val="00243436"/>
    <w:rsid w:val="002C5180"/>
    <w:rsid w:val="002E37DF"/>
    <w:rsid w:val="00305DEE"/>
    <w:rsid w:val="00367492"/>
    <w:rsid w:val="0039217D"/>
    <w:rsid w:val="003A5348"/>
    <w:rsid w:val="003D30E9"/>
    <w:rsid w:val="004052DA"/>
    <w:rsid w:val="004E282C"/>
    <w:rsid w:val="00511543"/>
    <w:rsid w:val="00571B8C"/>
    <w:rsid w:val="00583BDD"/>
    <w:rsid w:val="005C5C84"/>
    <w:rsid w:val="005D52E6"/>
    <w:rsid w:val="006A0909"/>
    <w:rsid w:val="006C347C"/>
    <w:rsid w:val="006C7A0C"/>
    <w:rsid w:val="00702BDB"/>
    <w:rsid w:val="00713610"/>
    <w:rsid w:val="00722734"/>
    <w:rsid w:val="0078120E"/>
    <w:rsid w:val="00790295"/>
    <w:rsid w:val="00796CC4"/>
    <w:rsid w:val="007B2BB9"/>
    <w:rsid w:val="008147AA"/>
    <w:rsid w:val="00825A52"/>
    <w:rsid w:val="00853692"/>
    <w:rsid w:val="00863088"/>
    <w:rsid w:val="009051B8"/>
    <w:rsid w:val="0091530C"/>
    <w:rsid w:val="00923AB2"/>
    <w:rsid w:val="00966337"/>
    <w:rsid w:val="009D763A"/>
    <w:rsid w:val="009E2DCF"/>
    <w:rsid w:val="009F62CE"/>
    <w:rsid w:val="009F7583"/>
    <w:rsid w:val="00A874D7"/>
    <w:rsid w:val="00AB5E02"/>
    <w:rsid w:val="00AF231C"/>
    <w:rsid w:val="00B274DA"/>
    <w:rsid w:val="00B32452"/>
    <w:rsid w:val="00B43D61"/>
    <w:rsid w:val="00B450AE"/>
    <w:rsid w:val="00B811F4"/>
    <w:rsid w:val="00BC2821"/>
    <w:rsid w:val="00BC4DBA"/>
    <w:rsid w:val="00BD553F"/>
    <w:rsid w:val="00BF6F5A"/>
    <w:rsid w:val="00C54E05"/>
    <w:rsid w:val="00C56E10"/>
    <w:rsid w:val="00CB49E4"/>
    <w:rsid w:val="00CC029D"/>
    <w:rsid w:val="00D376FC"/>
    <w:rsid w:val="00D405CD"/>
    <w:rsid w:val="00D84159"/>
    <w:rsid w:val="00D87AF8"/>
    <w:rsid w:val="00DB2C8C"/>
    <w:rsid w:val="00E241FB"/>
    <w:rsid w:val="00E30D8C"/>
    <w:rsid w:val="00E54BC9"/>
    <w:rsid w:val="00E81B9A"/>
    <w:rsid w:val="00E92D68"/>
    <w:rsid w:val="00EF2424"/>
    <w:rsid w:val="00F079EB"/>
    <w:rsid w:val="00F23467"/>
    <w:rsid w:val="00F309DA"/>
    <w:rsid w:val="00F56045"/>
    <w:rsid w:val="00F97309"/>
    <w:rsid w:val="00FA5A04"/>
    <w:rsid w:val="01003490"/>
    <w:rsid w:val="023B4FF2"/>
    <w:rsid w:val="03DD370C"/>
    <w:rsid w:val="040773A1"/>
    <w:rsid w:val="059D7DE6"/>
    <w:rsid w:val="05C24D00"/>
    <w:rsid w:val="05C9031E"/>
    <w:rsid w:val="065E3530"/>
    <w:rsid w:val="065E5E68"/>
    <w:rsid w:val="069B16DE"/>
    <w:rsid w:val="06E82B3B"/>
    <w:rsid w:val="0795278D"/>
    <w:rsid w:val="07A43C0D"/>
    <w:rsid w:val="08173E32"/>
    <w:rsid w:val="0A4F40A7"/>
    <w:rsid w:val="0AD27876"/>
    <w:rsid w:val="0B764879"/>
    <w:rsid w:val="0C175F80"/>
    <w:rsid w:val="0C2D114E"/>
    <w:rsid w:val="0E4B14A2"/>
    <w:rsid w:val="0F8E0A85"/>
    <w:rsid w:val="109021F6"/>
    <w:rsid w:val="10F51753"/>
    <w:rsid w:val="116C2CC9"/>
    <w:rsid w:val="13C55005"/>
    <w:rsid w:val="141052B6"/>
    <w:rsid w:val="15C246AF"/>
    <w:rsid w:val="160146F4"/>
    <w:rsid w:val="16AD79A0"/>
    <w:rsid w:val="16EF3F52"/>
    <w:rsid w:val="17322522"/>
    <w:rsid w:val="187D7D7E"/>
    <w:rsid w:val="18C50BAD"/>
    <w:rsid w:val="19831A3F"/>
    <w:rsid w:val="1AF63270"/>
    <w:rsid w:val="1BEE5D6B"/>
    <w:rsid w:val="1C7A5CE4"/>
    <w:rsid w:val="1D0C3B48"/>
    <w:rsid w:val="1DBE0159"/>
    <w:rsid w:val="1E666D1D"/>
    <w:rsid w:val="1ED6056E"/>
    <w:rsid w:val="1F006B32"/>
    <w:rsid w:val="1FBC214E"/>
    <w:rsid w:val="1FEB4222"/>
    <w:rsid w:val="203C00D8"/>
    <w:rsid w:val="20832D6C"/>
    <w:rsid w:val="209403DA"/>
    <w:rsid w:val="20A154F8"/>
    <w:rsid w:val="21D739E1"/>
    <w:rsid w:val="22B3695E"/>
    <w:rsid w:val="23297A72"/>
    <w:rsid w:val="250C32D4"/>
    <w:rsid w:val="25E54772"/>
    <w:rsid w:val="26AA787D"/>
    <w:rsid w:val="26D03080"/>
    <w:rsid w:val="27082347"/>
    <w:rsid w:val="27F133F3"/>
    <w:rsid w:val="29AF6E15"/>
    <w:rsid w:val="29C07398"/>
    <w:rsid w:val="2A2A0D82"/>
    <w:rsid w:val="2A5A34FD"/>
    <w:rsid w:val="2B8D5882"/>
    <w:rsid w:val="2BAB327A"/>
    <w:rsid w:val="2BB07620"/>
    <w:rsid w:val="2BB67747"/>
    <w:rsid w:val="2CFF7BFD"/>
    <w:rsid w:val="2D81674D"/>
    <w:rsid w:val="2E9B6104"/>
    <w:rsid w:val="2EF97BEC"/>
    <w:rsid w:val="2FAF7583"/>
    <w:rsid w:val="2FE70FCD"/>
    <w:rsid w:val="305F02F0"/>
    <w:rsid w:val="30E043C4"/>
    <w:rsid w:val="315A245A"/>
    <w:rsid w:val="31F374D2"/>
    <w:rsid w:val="323A0BF8"/>
    <w:rsid w:val="33CA4261"/>
    <w:rsid w:val="33D72FE4"/>
    <w:rsid w:val="340A099B"/>
    <w:rsid w:val="35586BA2"/>
    <w:rsid w:val="3568687E"/>
    <w:rsid w:val="35E163B7"/>
    <w:rsid w:val="360473D3"/>
    <w:rsid w:val="36356BF3"/>
    <w:rsid w:val="36BE2B3D"/>
    <w:rsid w:val="3A3637B9"/>
    <w:rsid w:val="3A384FBB"/>
    <w:rsid w:val="3A4F56D2"/>
    <w:rsid w:val="3A911021"/>
    <w:rsid w:val="3B7D309D"/>
    <w:rsid w:val="3C961378"/>
    <w:rsid w:val="3D045CC2"/>
    <w:rsid w:val="3DE34878"/>
    <w:rsid w:val="3EBA3D56"/>
    <w:rsid w:val="3F020221"/>
    <w:rsid w:val="3F8B0AB8"/>
    <w:rsid w:val="3F973D84"/>
    <w:rsid w:val="409C7BD0"/>
    <w:rsid w:val="41E54E4D"/>
    <w:rsid w:val="42452428"/>
    <w:rsid w:val="42881CBF"/>
    <w:rsid w:val="43BF3841"/>
    <w:rsid w:val="43D7416E"/>
    <w:rsid w:val="44074A49"/>
    <w:rsid w:val="45CA6C5D"/>
    <w:rsid w:val="460B0201"/>
    <w:rsid w:val="462A7E9A"/>
    <w:rsid w:val="467211E0"/>
    <w:rsid w:val="47556C42"/>
    <w:rsid w:val="48394CEF"/>
    <w:rsid w:val="488F583C"/>
    <w:rsid w:val="48B72C4B"/>
    <w:rsid w:val="4A8A2DDA"/>
    <w:rsid w:val="4BC07C8A"/>
    <w:rsid w:val="4CCF4726"/>
    <w:rsid w:val="4CD6669B"/>
    <w:rsid w:val="4D3F6D91"/>
    <w:rsid w:val="4E70554A"/>
    <w:rsid w:val="4FEF5801"/>
    <w:rsid w:val="501A5CA7"/>
    <w:rsid w:val="50A03DBE"/>
    <w:rsid w:val="524A069D"/>
    <w:rsid w:val="52754BE1"/>
    <w:rsid w:val="52863788"/>
    <w:rsid w:val="53035A87"/>
    <w:rsid w:val="54F25F5D"/>
    <w:rsid w:val="56911BCD"/>
    <w:rsid w:val="57340C18"/>
    <w:rsid w:val="58AD37E2"/>
    <w:rsid w:val="59E940A8"/>
    <w:rsid w:val="5B2F6415"/>
    <w:rsid w:val="5C0923EF"/>
    <w:rsid w:val="5C3001EF"/>
    <w:rsid w:val="5E342103"/>
    <w:rsid w:val="5F497A08"/>
    <w:rsid w:val="5F6A3CD6"/>
    <w:rsid w:val="5F6F65A0"/>
    <w:rsid w:val="619637D2"/>
    <w:rsid w:val="62400020"/>
    <w:rsid w:val="62C955BA"/>
    <w:rsid w:val="63256F27"/>
    <w:rsid w:val="632E4ADC"/>
    <w:rsid w:val="634D556B"/>
    <w:rsid w:val="638156D1"/>
    <w:rsid w:val="63EC54A4"/>
    <w:rsid w:val="645E46F2"/>
    <w:rsid w:val="64A1353D"/>
    <w:rsid w:val="655D14FF"/>
    <w:rsid w:val="658A2FFA"/>
    <w:rsid w:val="65E11AB3"/>
    <w:rsid w:val="66D84064"/>
    <w:rsid w:val="682F5C1B"/>
    <w:rsid w:val="684932FF"/>
    <w:rsid w:val="6A3F593C"/>
    <w:rsid w:val="6AE975F6"/>
    <w:rsid w:val="6AFA1B8C"/>
    <w:rsid w:val="6B7C49CB"/>
    <w:rsid w:val="6B8A68B5"/>
    <w:rsid w:val="6CB64189"/>
    <w:rsid w:val="6DBF62C9"/>
    <w:rsid w:val="6E2D4AFC"/>
    <w:rsid w:val="6E3027AA"/>
    <w:rsid w:val="6EAD2679"/>
    <w:rsid w:val="6EBB23FE"/>
    <w:rsid w:val="6ECD4CE0"/>
    <w:rsid w:val="6F4C24FB"/>
    <w:rsid w:val="70231246"/>
    <w:rsid w:val="70854371"/>
    <w:rsid w:val="72707018"/>
    <w:rsid w:val="729406CF"/>
    <w:rsid w:val="73C56AF3"/>
    <w:rsid w:val="75747DE4"/>
    <w:rsid w:val="7634551B"/>
    <w:rsid w:val="76BD102D"/>
    <w:rsid w:val="78C54006"/>
    <w:rsid w:val="7B625DD6"/>
    <w:rsid w:val="7BDD79BF"/>
    <w:rsid w:val="7BDE03C5"/>
    <w:rsid w:val="7D0E57A0"/>
    <w:rsid w:val="7D664E85"/>
    <w:rsid w:val="7D85055E"/>
    <w:rsid w:val="7DAA4B82"/>
    <w:rsid w:val="7E19472B"/>
    <w:rsid w:val="7E5D472E"/>
    <w:rsid w:val="7EA53546"/>
    <w:rsid w:val="7EB64268"/>
    <w:rsid w:val="7F4C7B2F"/>
    <w:rsid w:val="7F6A3779"/>
    <w:rsid w:val="7F786E24"/>
    <w:rsid w:val="7FB71F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qFormat/>
    <w:uiPriority w:val="0"/>
    <w:pPr>
      <w:tabs>
        <w:tab w:val="left" w:pos="120"/>
        <w:tab w:val="left" w:pos="1200"/>
        <w:tab w:val="left" w:pos="2340"/>
      </w:tabs>
      <w:adjustRightInd w:val="0"/>
      <w:snapToGrid w:val="0"/>
      <w:spacing w:line="520" w:lineRule="exact"/>
      <w:ind w:firstLine="0" w:firstLineChars="0"/>
      <w:jc w:val="left"/>
      <w:outlineLvl w:val="1"/>
    </w:pPr>
    <w:rPr>
      <w:b/>
      <w:bCs/>
      <w:szCs w:val="32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/>
    </w:pPr>
    <w:rPr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6">
    <w:name w:val="toc 3"/>
    <w:basedOn w:val="1"/>
    <w:next w:val="1"/>
    <w:qFormat/>
    <w:uiPriority w:val="0"/>
    <w:pPr>
      <w:ind w:left="840" w:leftChars="400"/>
    </w:pPr>
    <w:rPr>
      <w:rFonts w:ascii="Calibri" w:hAnsi="Calibri"/>
    </w:rPr>
  </w:style>
  <w:style w:type="paragraph" w:styleId="7">
    <w:name w:val="Balloon Text"/>
    <w:basedOn w:val="1"/>
    <w:link w:val="16"/>
    <w:qFormat/>
    <w:uiPriority w:val="0"/>
    <w:rPr>
      <w:sz w:val="18"/>
      <w:szCs w:val="18"/>
    </w:rPr>
  </w:style>
  <w:style w:type="paragraph" w:styleId="8">
    <w:name w:val="footer"/>
    <w:basedOn w:val="1"/>
    <w:link w:val="1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39"/>
    <w:pPr>
      <w:tabs>
        <w:tab w:val="left" w:pos="840"/>
        <w:tab w:val="right" w:leader="dot" w:pos="8270"/>
      </w:tabs>
      <w:adjustRightInd w:val="0"/>
      <w:snapToGrid w:val="0"/>
      <w:spacing w:line="360" w:lineRule="auto"/>
    </w:pPr>
    <w:rPr>
      <w:b/>
      <w:bCs/>
      <w:i/>
      <w:iCs/>
      <w:sz w:val="24"/>
    </w:rPr>
  </w:style>
  <w:style w:type="paragraph" w:styleId="11">
    <w:name w:val="toc 2"/>
    <w:basedOn w:val="1"/>
    <w:next w:val="1"/>
    <w:qFormat/>
    <w:uiPriority w:val="39"/>
    <w:pPr>
      <w:ind w:left="420" w:leftChars="200"/>
    </w:pPr>
    <w:rPr>
      <w:rFonts w:ascii="Calibri" w:hAnsi="Calibri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qFormat/>
    <w:uiPriority w:val="99"/>
    <w:rPr>
      <w:color w:val="0000FF"/>
      <w:u w:val="single"/>
    </w:rPr>
  </w:style>
  <w:style w:type="character" w:customStyle="1" w:styleId="16">
    <w:name w:val="批注框文本 字符"/>
    <w:link w:val="7"/>
    <w:qFormat/>
    <w:uiPriority w:val="0"/>
    <w:rPr>
      <w:kern w:val="2"/>
      <w:sz w:val="18"/>
      <w:szCs w:val="18"/>
    </w:rPr>
  </w:style>
  <w:style w:type="character" w:customStyle="1" w:styleId="17">
    <w:name w:val="页脚 字符"/>
    <w:link w:val="8"/>
    <w:qFormat/>
    <w:uiPriority w:val="99"/>
    <w:rPr>
      <w:kern w:val="2"/>
      <w:sz w:val="18"/>
      <w:szCs w:val="18"/>
    </w:rPr>
  </w:style>
  <w:style w:type="character" w:customStyle="1" w:styleId="18">
    <w:name w:val="页眉 字符"/>
    <w:link w:val="9"/>
    <w:qFormat/>
    <w:uiPriority w:val="0"/>
    <w:rPr>
      <w:kern w:val="2"/>
      <w:sz w:val="18"/>
      <w:szCs w:val="18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paragraph" w:customStyle="1" w:styleId="20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1">
    <w:name w:val="纯文本1"/>
    <w:basedOn w:val="1"/>
    <w:qFormat/>
    <w:uiPriority w:val="99"/>
    <w:pPr>
      <w:widowControl/>
      <w:tabs>
        <w:tab w:val="left" w:pos="120"/>
      </w:tabs>
      <w:adjustRightInd w:val="0"/>
      <w:jc w:val="left"/>
      <w:textAlignment w:val="baseline"/>
    </w:pPr>
    <w:rPr>
      <w:rFonts w:ascii="宋体" w:hAnsi="Courier New" w:cs="Courier New"/>
      <w:szCs w:val="21"/>
    </w:rPr>
  </w:style>
  <w:style w:type="paragraph" w:customStyle="1" w:styleId="22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23">
    <w:name w:val="无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4669</Words>
  <Characters>4798</Characters>
  <Lines>52</Lines>
  <Paragraphs>14</Paragraphs>
  <TotalTime>87</TotalTime>
  <ScaleCrop>false</ScaleCrop>
  <LinksUpToDate>false</LinksUpToDate>
  <CharactersWithSpaces>4837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HYB-LJ</dc:creator>
  <cp:lastModifiedBy>SJ-Qin</cp:lastModifiedBy>
  <cp:lastPrinted>2023-05-04T06:40:50Z</cp:lastPrinted>
  <dcterms:modified xsi:type="dcterms:W3CDTF">2023-05-04T08:12:13Z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E79F17307D154EAAA33C18E5611B356E</vt:lpwstr>
  </property>
</Properties>
</file>