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367274929"/>
      <w:bookmarkEnd w:id="0"/>
      <w:bookmarkStart w:id="1" w:name="_Toc227520433"/>
      <w:bookmarkEnd w:id="1"/>
      <w:bookmarkStart w:id="2" w:name="OLE_LINK7"/>
      <w:bookmarkStart w:id="3" w:name="OLE_LINK8"/>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r>
        <w:rPr>
          <w:rFonts w:hint="eastAsia" w:ascii="仿宋_GB2312" w:hAnsi="仿宋_GB2312" w:eastAsia="仿宋_GB2312" w:cs="仿宋_GB2312"/>
          <w:b/>
          <w:sz w:val="28"/>
          <w:szCs w:val="28"/>
          <w:highlight w:val="none"/>
          <w:u w:val="dotted"/>
        </w:rPr>
        <w:t>长沙市轨道交通1、2、3号线运营期202</w:t>
      </w:r>
      <w:r>
        <w:rPr>
          <w:rFonts w:hint="eastAsia" w:ascii="仿宋_GB2312" w:hAnsi="仿宋_GB2312" w:eastAsia="仿宋_GB2312" w:cs="仿宋_GB2312"/>
          <w:b/>
          <w:sz w:val="28"/>
          <w:szCs w:val="28"/>
          <w:highlight w:val="none"/>
          <w:u w:val="dotted"/>
          <w:lang w:val="en-US" w:eastAsia="zh-CN"/>
        </w:rPr>
        <w:t>3</w:t>
      </w:r>
      <w:r>
        <w:rPr>
          <w:rFonts w:hint="eastAsia" w:ascii="仿宋_GB2312" w:hAnsi="仿宋_GB2312" w:eastAsia="仿宋_GB2312" w:cs="仿宋_GB2312"/>
          <w:b/>
          <w:sz w:val="28"/>
          <w:szCs w:val="28"/>
          <w:highlight w:val="none"/>
          <w:u w:val="dotted"/>
        </w:rPr>
        <w:t>年度电客车油过滤器采购项目</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kern w:val="2"/>
          <w:sz w:val="28"/>
          <w:szCs w:val="28"/>
          <w:highlight w:val="none"/>
          <w:u w:val="dotted"/>
          <w:shd w:val="clear" w:color="auto" w:fill="auto"/>
          <w:lang w:val="en-US" w:eastAsia="zh-CN" w:bidi="ar"/>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kern w:val="2"/>
          <w:sz w:val="28"/>
          <w:szCs w:val="28"/>
          <w:highlight w:val="none"/>
          <w:u w:val="dotted"/>
          <w:shd w:val="clear" w:color="auto" w:fill="auto"/>
          <w:lang w:val="en-US" w:eastAsia="zh-CN" w:bidi="ar"/>
        </w:rPr>
        <w:t>长沙市轨道交通一号线建设发展有限公司</w:t>
      </w:r>
    </w:p>
    <w:p>
      <w:pPr>
        <w:adjustRightInd w:val="0"/>
        <w:snapToGrid w:val="0"/>
        <w:spacing w:line="360" w:lineRule="auto"/>
        <w:ind w:firstLine="2238" w:firstLineChars="796"/>
        <w:rPr>
          <w:rFonts w:hint="eastAsia" w:ascii="仿宋_GB2312" w:hAnsi="仿宋_GB2312" w:eastAsia="仿宋_GB2312" w:cs="仿宋_GB2312"/>
          <w:b/>
          <w:kern w:val="2"/>
          <w:sz w:val="28"/>
          <w:szCs w:val="28"/>
          <w:highlight w:val="none"/>
          <w:u w:val="dotted"/>
          <w:shd w:val="clear" w:color="auto" w:fill="auto"/>
          <w:lang w:val="en-US" w:eastAsia="zh-CN" w:bidi="ar"/>
        </w:rPr>
      </w:pPr>
      <w:r>
        <w:rPr>
          <w:rFonts w:hint="eastAsia" w:ascii="仿宋_GB2312" w:hAnsi="仿宋_GB2312" w:eastAsia="仿宋_GB2312" w:cs="仿宋_GB2312"/>
          <w:b/>
          <w:kern w:val="2"/>
          <w:sz w:val="28"/>
          <w:szCs w:val="28"/>
          <w:highlight w:val="none"/>
          <w:u w:val="dotted"/>
          <w:shd w:val="clear" w:color="auto" w:fill="auto"/>
          <w:lang w:val="en-US" w:eastAsia="zh-CN" w:bidi="ar"/>
        </w:rPr>
        <w:t>长沙市轨道交通运营有限公司</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u w:val="none"/>
          <w:lang w:val="en-US" w:eastAsia="zh-CN"/>
        </w:rPr>
        <w:t xml:space="preserve">          </w:t>
      </w:r>
      <w:r>
        <w:rPr>
          <w:rFonts w:hint="eastAsia" w:ascii="仿宋_GB2312" w:hAnsi="仿宋_GB2312" w:eastAsia="仿宋_GB2312" w:cs="仿宋_GB2312"/>
          <w:b/>
          <w:kern w:val="2"/>
          <w:sz w:val="28"/>
          <w:szCs w:val="28"/>
          <w:highlight w:val="none"/>
          <w:u w:val="dotted"/>
          <w:shd w:val="clear" w:color="auto" w:fill="auto"/>
          <w:lang w:val="en-US" w:eastAsia="zh-CN" w:bidi="ar"/>
        </w:rPr>
        <w:t>长沙市轨道交通三号线建设发展有限公司</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napToGrid w:val="0"/>
        <w:spacing w:line="360" w:lineRule="auto"/>
        <w:jc w:val="left"/>
        <w:rPr>
          <w:rFonts w:hint="eastAsia" w:ascii="仿宋_GB2312" w:hAnsi="仿宋_GB2312" w:eastAsia="仿宋_GB2312" w:cs="仿宋_GB2312"/>
          <w:kern w:val="2"/>
          <w:sz w:val="24"/>
          <w:szCs w:val="24"/>
          <w:highlight w:val="none"/>
          <w:u w:val="single"/>
          <w:shd w:val="clear" w:color="auto" w:fill="auto"/>
          <w:lang w:val="en-US" w:eastAsia="zh-CN" w:bidi="ar"/>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长沙市轨道交通一号线建设发展有限公司</w:t>
      </w:r>
    </w:p>
    <w:p>
      <w:pPr>
        <w:snapToGrid w:val="0"/>
        <w:spacing w:line="360" w:lineRule="auto"/>
        <w:ind w:firstLine="2880" w:firstLineChars="1200"/>
        <w:jc w:val="left"/>
        <w:rPr>
          <w:rFonts w:hint="eastAsia" w:ascii="仿宋_GB2312" w:hAnsi="仿宋_GB2312" w:eastAsia="仿宋_GB2312" w:cs="仿宋_GB2312"/>
          <w:kern w:val="2"/>
          <w:sz w:val="24"/>
          <w:szCs w:val="24"/>
          <w:highlight w:val="none"/>
          <w:u w:val="single"/>
          <w:shd w:val="clear" w:color="auto" w:fill="auto"/>
          <w:lang w:val="en-US" w:eastAsia="zh-CN" w:bidi="ar"/>
        </w:rPr>
      </w:pP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长沙市轨道交通运营有限公司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2"/>
          <w:sz w:val="24"/>
          <w:szCs w:val="24"/>
          <w:highlight w:val="none"/>
          <w:u w:val="none"/>
          <w:shd w:val="clear" w:color="auto" w:fill="auto"/>
          <w:lang w:val="en-US" w:eastAsia="zh-CN" w:bidi="ar"/>
        </w:rPr>
        <w:t xml:space="preserve">                        </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长沙市轨道交通三号线建设发展有限公司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b w:val="0"/>
          <w:bCs w:val="0"/>
          <w:sz w:val="24"/>
          <w:szCs w:val="24"/>
          <w:highlight w:val="none"/>
          <w:u w:val="single"/>
          <w:lang w:bidi="ar"/>
        </w:rPr>
        <w:t>长沙市轨道交通1、2、3号线运营期202</w:t>
      </w:r>
      <w:r>
        <w:rPr>
          <w:rFonts w:hint="eastAsia" w:ascii="仿宋_GB2312" w:hAnsi="仿宋_GB2312" w:eastAsia="仿宋_GB2312" w:cs="仿宋_GB2312"/>
          <w:b w:val="0"/>
          <w:bCs w:val="0"/>
          <w:sz w:val="24"/>
          <w:szCs w:val="24"/>
          <w:highlight w:val="none"/>
          <w:u w:val="single"/>
          <w:lang w:val="en-US" w:eastAsia="zh-CN" w:bidi="ar"/>
        </w:rPr>
        <w:t>3</w:t>
      </w:r>
      <w:r>
        <w:rPr>
          <w:rFonts w:hint="eastAsia" w:ascii="仿宋_GB2312" w:hAnsi="仿宋_GB2312" w:eastAsia="仿宋_GB2312" w:cs="仿宋_GB2312"/>
          <w:b w:val="0"/>
          <w:bCs w:val="0"/>
          <w:sz w:val="24"/>
          <w:szCs w:val="24"/>
          <w:highlight w:val="none"/>
          <w:u w:val="single"/>
          <w:lang w:bidi="ar"/>
        </w:rPr>
        <w:t>年度电客车油过滤器采购项目</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），其中不含增值税价格为¥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、签约合同价中的增值税为¥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0"/>
      <w:bookmarkStart w:id="7" w:name="OLE_LINK11"/>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457826148"/>
      <w:bookmarkStart w:id="10" w:name="_Toc406150419"/>
      <w:bookmarkStart w:id="11" w:name="_Toc35120349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bookmarkStart w:id="71" w:name="_GoBack"/>
      <w:bookmarkEnd w:id="71"/>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337558825"/>
      <w:bookmarkEnd w:id="28"/>
      <w:bookmarkStart w:id="29" w:name="_Toc296346619"/>
      <w:bookmarkEnd w:id="29"/>
      <w:bookmarkStart w:id="30" w:name="_Toc296503118"/>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337558826"/>
      <w:bookmarkEnd w:id="32"/>
      <w:bookmarkStart w:id="33" w:name="_Toc296503119"/>
      <w:bookmarkEnd w:id="33"/>
      <w:bookmarkStart w:id="34" w:name="_Toc296346620"/>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pStyle w:val="9"/>
        <w:numPr>
          <w:ilvl w:val="0"/>
          <w:numId w:val="2"/>
        </w:numPr>
        <w:spacing w:after="0" w:line="360" w:lineRule="auto"/>
        <w:ind w:firstLine="482" w:firstLineChars="200"/>
        <w:outlineLvl w:val="1"/>
        <w:rPr>
          <w:rFonts w:hint="default" w:ascii="仿宋_GB2312" w:hAnsi="仿宋_GB2312" w:eastAsia="仿宋_GB2312" w:cs="仿宋_GB2312"/>
          <w:bCs/>
          <w:sz w:val="24"/>
          <w:highlight w:val="none"/>
          <w:u w:val="single"/>
          <w:lang w:val="en-US" w:eastAsia="zh-CN"/>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9260"/>
      <w:bookmarkStart w:id="41" w:name="_Toc43744497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lang w:val="en-US" w:eastAsia="zh-CN"/>
        </w:rPr>
        <w:t>18.</w:t>
      </w:r>
      <w:r>
        <w:rPr>
          <w:rFonts w:hint="eastAsia" w:ascii="仿宋_GB2312" w:hAnsi="仿宋_GB2312" w:eastAsia="仿宋_GB2312" w:cs="仿宋_GB2312"/>
          <w:bCs/>
          <w:sz w:val="24"/>
          <w:highlight w:val="none"/>
          <w:u w:val="none"/>
          <w:lang w:val="en-US" w:eastAsia="zh-CN"/>
        </w:rPr>
        <w:t>1</w:t>
      </w:r>
      <w:r>
        <w:rPr>
          <w:rFonts w:hint="eastAsia" w:ascii="仿宋_GB2312" w:hAnsi="仿宋_GB2312" w:eastAsia="仿宋_GB2312" w:cs="仿宋_GB2312"/>
          <w:bCs/>
          <w:sz w:val="24"/>
          <w:highlight w:val="none"/>
          <w:u w:val="single"/>
          <w:lang w:val="en-US" w:eastAsia="zh-CN"/>
        </w:rPr>
        <w:t>本合同中甲方涉及多个签约主体，则根据签约合同价清单各自承担资金的支付、发票的收讫，各甲方对应付乙方的合同款项互不承担连带责任。</w:t>
      </w:r>
    </w:p>
    <w:p>
      <w:pPr>
        <w:pStyle w:val="9"/>
        <w:numPr>
          <w:ilvl w:val="0"/>
          <w:numId w:val="0"/>
        </w:numPr>
        <w:spacing w:after="0" w:line="360" w:lineRule="auto"/>
        <w:ind w:firstLine="480" w:firstLineChars="200"/>
        <w:outlineLvl w:val="1"/>
        <w:rPr>
          <w:rFonts w:hint="default" w:ascii="仿宋_GB2312" w:hAnsi="仿宋_GB2312" w:eastAsia="仿宋_GB2312" w:cs="仿宋_GB2312"/>
          <w:bCs/>
          <w:sz w:val="24"/>
          <w:highlight w:val="none"/>
          <w:u w:val="single"/>
          <w:lang w:val="en-US" w:eastAsia="zh-CN"/>
        </w:rPr>
      </w:pPr>
      <w:r>
        <w:rPr>
          <w:rFonts w:hint="eastAsia" w:ascii="仿宋_GB2312" w:hAnsi="仿宋_GB2312" w:eastAsia="仿宋_GB2312" w:cs="仿宋_GB2312"/>
          <w:bCs/>
          <w:sz w:val="24"/>
          <w:highlight w:val="none"/>
          <w:u w:val="none"/>
          <w:lang w:val="en-US" w:eastAsia="zh-CN"/>
        </w:rPr>
        <w:t>18.2</w:t>
      </w:r>
      <w:r>
        <w:rPr>
          <w:rFonts w:hint="eastAsia" w:ascii="仿宋_GB2312" w:hAnsi="仿宋_GB2312" w:eastAsia="仿宋_GB2312" w:cs="仿宋_GB2312"/>
          <w:bCs/>
          <w:sz w:val="24"/>
          <w:highlight w:val="none"/>
          <w:u w:val="single"/>
          <w:lang w:val="en-US" w:eastAsia="zh-CN"/>
        </w:rPr>
        <w:t>删除合同第二部分第2.2条第（1）项，“（1）物资分批次运至项目现场且经甲方验收合格，在收到经甲方批复的支付申请、有效期内的履约担保复印件（如有）等资料证实其完整无误后28个工作日内，支付物资到货价格的70%”。</w:t>
      </w:r>
    </w:p>
    <w:p>
      <w:pPr>
        <w:pStyle w:val="9"/>
        <w:numPr>
          <w:ilvl w:val="0"/>
          <w:numId w:val="0"/>
        </w:numPr>
        <w:spacing w:after="0" w:line="360" w:lineRule="auto"/>
        <w:ind w:firstLine="480" w:firstLineChars="200"/>
        <w:outlineLvl w:val="1"/>
        <w:rPr>
          <w:rFonts w:hint="eastAsia" w:ascii="仿宋_GB2312" w:hAnsi="仿宋_GB2312" w:eastAsia="仿宋_GB2312" w:cs="仿宋_GB2312"/>
          <w:bCs/>
          <w:sz w:val="24"/>
          <w:highlight w:val="none"/>
          <w:u w:val="single"/>
          <w:lang w:val="en-US" w:eastAsia="zh-CN"/>
        </w:rPr>
      </w:pPr>
      <w:r>
        <w:rPr>
          <w:rFonts w:hint="eastAsia" w:ascii="仿宋_GB2312" w:hAnsi="仿宋_GB2312" w:eastAsia="仿宋_GB2312" w:cs="仿宋_GB2312"/>
          <w:bCs/>
          <w:sz w:val="24"/>
          <w:highlight w:val="none"/>
          <w:u w:val="none"/>
          <w:lang w:val="en-US" w:eastAsia="zh-CN"/>
        </w:rPr>
        <w:t>18.3</w:t>
      </w:r>
      <w:r>
        <w:rPr>
          <w:rFonts w:hint="eastAsia" w:ascii="仿宋_GB2312" w:hAnsi="仿宋_GB2312" w:eastAsia="仿宋_GB2312" w:cs="仿宋_GB2312"/>
          <w:bCs/>
          <w:sz w:val="24"/>
          <w:highlight w:val="none"/>
          <w:u w:val="single"/>
          <w:lang w:val="en-US" w:eastAsia="zh-CN"/>
        </w:rPr>
        <w:t>合同第二部分第 8.2.2 条第（1）、（2）项中，“供货、安装、调试”修改为“供货、安装、调试、验收”。</w:t>
      </w:r>
    </w:p>
    <w:p>
      <w:pPr>
        <w:pStyle w:val="9"/>
        <w:numPr>
          <w:ilvl w:val="0"/>
          <w:numId w:val="0"/>
        </w:numPr>
        <w:spacing w:after="0" w:line="360" w:lineRule="auto"/>
        <w:ind w:firstLine="480" w:firstLineChars="200"/>
        <w:outlineLvl w:val="1"/>
        <w:rPr>
          <w:rFonts w:hint="eastAsia" w:ascii="仿宋_GB2312" w:hAnsi="仿宋_GB2312" w:eastAsia="仿宋_GB2312" w:cs="仿宋_GB2312"/>
          <w:bCs/>
          <w:sz w:val="24"/>
          <w:highlight w:val="none"/>
          <w:u w:val="single"/>
          <w:lang w:val="en-US" w:eastAsia="zh-CN"/>
        </w:rPr>
      </w:pPr>
      <w:r>
        <w:rPr>
          <w:rFonts w:hint="eastAsia" w:ascii="仿宋_GB2312" w:hAnsi="仿宋_GB2312" w:eastAsia="仿宋_GB2312" w:cs="仿宋_GB2312"/>
          <w:bCs/>
          <w:sz w:val="24"/>
          <w:highlight w:val="none"/>
          <w:u w:val="none"/>
          <w:lang w:val="en-US" w:eastAsia="zh-CN"/>
        </w:rPr>
        <w:t>18.4</w:t>
      </w:r>
      <w:r>
        <w:rPr>
          <w:rFonts w:hint="eastAsia" w:ascii="仿宋_GB2312" w:hAnsi="仿宋_GB2312" w:eastAsia="仿宋_GB2312" w:cs="仿宋_GB2312"/>
          <w:bCs/>
          <w:sz w:val="24"/>
          <w:highlight w:val="none"/>
          <w:u w:val="single"/>
          <w:lang w:val="en-US" w:eastAsia="zh-CN"/>
        </w:rPr>
        <w:t>合同第二部分第 8.2.2 条第（2）项中，“</w:t>
      </w:r>
      <w:r>
        <w:rPr>
          <w:rFonts w:hint="eastAsia" w:ascii="仿宋_GB2312" w:hAnsi="仿宋_GB2312" w:eastAsia="仿宋_GB2312" w:cs="仿宋_GB2312"/>
          <w:sz w:val="24"/>
          <w:highlight w:val="none"/>
          <w:u w:val="single"/>
        </w:rPr>
        <w:t>乙方应从其基本账户通过转帐或电汇至甲方指定的账户</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bCs/>
          <w:sz w:val="24"/>
          <w:highlight w:val="none"/>
          <w:u w:val="single"/>
          <w:lang w:val="en-US" w:eastAsia="zh-CN"/>
        </w:rPr>
        <w:t>修改为“</w:t>
      </w:r>
      <w:r>
        <w:rPr>
          <w:rFonts w:hint="eastAsia" w:ascii="仿宋_GB2312" w:hAnsi="仿宋_GB2312" w:eastAsia="仿宋_GB2312" w:cs="仿宋_GB2312"/>
          <w:sz w:val="24"/>
          <w:highlight w:val="none"/>
          <w:u w:val="single"/>
        </w:rPr>
        <w:t>乙方应从其基本账户通过</w:t>
      </w:r>
      <w:r>
        <w:rPr>
          <w:rFonts w:hint="eastAsia" w:ascii="仿宋_GB2312" w:hAnsi="仿宋_GB2312" w:eastAsia="仿宋_GB2312" w:cs="仿宋_GB2312"/>
          <w:sz w:val="24"/>
          <w:highlight w:val="none"/>
          <w:u w:val="single"/>
          <w:lang w:eastAsia="zh-CN"/>
        </w:rPr>
        <w:t>转账</w:t>
      </w:r>
      <w:r>
        <w:rPr>
          <w:rFonts w:hint="eastAsia" w:ascii="仿宋_GB2312" w:hAnsi="仿宋_GB2312" w:eastAsia="仿宋_GB2312" w:cs="仿宋_GB2312"/>
          <w:sz w:val="24"/>
          <w:highlight w:val="none"/>
          <w:u w:val="single"/>
        </w:rPr>
        <w:t>或电汇至甲方指定的账户</w:t>
      </w:r>
      <w:r>
        <w:rPr>
          <w:rFonts w:hint="eastAsia" w:ascii="仿宋_GB2312" w:hAnsi="仿宋_GB2312" w:eastAsia="仿宋_GB2312" w:cs="仿宋_GB2312"/>
          <w:sz w:val="24"/>
          <w:highlight w:val="none"/>
          <w:u w:val="single"/>
          <w:lang w:eastAsia="zh-CN"/>
        </w:rPr>
        <w:t>”。</w:t>
      </w:r>
    </w:p>
    <w:p>
      <w:pPr>
        <w:pStyle w:val="9"/>
        <w:numPr>
          <w:ilvl w:val="0"/>
          <w:numId w:val="0"/>
        </w:numPr>
        <w:spacing w:after="0" w:line="360" w:lineRule="auto"/>
        <w:ind w:firstLine="480" w:firstLineChars="200"/>
        <w:outlineLvl w:val="1"/>
        <w:rPr>
          <w:rFonts w:hint="eastAsia" w:ascii="仿宋_GB2312" w:hAnsi="仿宋_GB2312" w:eastAsia="仿宋_GB2312" w:cs="仿宋_GB2312"/>
          <w:bCs/>
          <w:sz w:val="24"/>
          <w:highlight w:val="none"/>
          <w:u w:val="single"/>
          <w:lang w:val="en-US" w:eastAsia="zh-CN"/>
        </w:rPr>
      </w:pPr>
      <w:r>
        <w:rPr>
          <w:rFonts w:hint="eastAsia" w:ascii="仿宋_GB2312" w:hAnsi="仿宋_GB2312" w:eastAsia="仿宋_GB2312" w:cs="仿宋_GB2312"/>
          <w:bCs/>
          <w:sz w:val="24"/>
          <w:highlight w:val="none"/>
          <w:u w:val="none"/>
          <w:lang w:val="en-US" w:eastAsia="zh-CN"/>
        </w:rPr>
        <w:t>18.5</w:t>
      </w:r>
      <w:r>
        <w:rPr>
          <w:rFonts w:hint="eastAsia" w:ascii="仿宋_GB2312" w:hAnsi="仿宋_GB2312" w:eastAsia="仿宋_GB2312" w:cs="仿宋_GB2312"/>
          <w:bCs/>
          <w:sz w:val="24"/>
          <w:highlight w:val="none"/>
          <w:u w:val="single"/>
          <w:lang w:val="en-US" w:eastAsia="zh-CN"/>
        </w:rPr>
        <w:t>合同第二部分第 14.2 条第（4）项，修改为“因一方违约致使合同无法实际履行或实际履行已无必要，守约方有权解除合同”。</w:t>
      </w:r>
    </w:p>
    <w:p>
      <w:pPr>
        <w:pStyle w:val="9"/>
        <w:numPr>
          <w:ilvl w:val="0"/>
          <w:numId w:val="0"/>
        </w:numPr>
        <w:spacing w:after="0" w:line="360" w:lineRule="auto"/>
        <w:ind w:firstLine="480" w:firstLineChars="200"/>
        <w:outlineLvl w:val="1"/>
        <w:rPr>
          <w:rFonts w:hint="eastAsia" w:ascii="仿宋_GB2312" w:hAnsi="仿宋_GB2312" w:eastAsia="仿宋_GB2312" w:cs="仿宋_GB2312"/>
          <w:sz w:val="24"/>
          <w:highlight w:val="none"/>
          <w:u w:val="single"/>
          <w:lang w:eastAsia="zh-CN"/>
        </w:rPr>
      </w:pPr>
      <w:r>
        <w:rPr>
          <w:rFonts w:hint="eastAsia" w:ascii="仿宋_GB2312" w:hAnsi="仿宋_GB2312" w:eastAsia="仿宋_GB2312" w:cs="仿宋_GB2312"/>
          <w:bCs/>
          <w:sz w:val="24"/>
          <w:highlight w:val="none"/>
          <w:u w:val="none"/>
          <w:lang w:val="en-US" w:eastAsia="zh-CN"/>
        </w:rPr>
        <w:t>18.6</w:t>
      </w:r>
      <w:r>
        <w:rPr>
          <w:rFonts w:hint="eastAsia" w:ascii="仿宋_GB2312" w:hAnsi="仿宋_GB2312" w:eastAsia="仿宋_GB2312" w:cs="仿宋_GB2312"/>
          <w:bCs/>
          <w:sz w:val="24"/>
          <w:highlight w:val="none"/>
          <w:u w:val="single"/>
          <w:lang w:val="en-US" w:eastAsia="zh-CN"/>
        </w:rPr>
        <w:t>合同第三部分第5条第（二）项中，“</w:t>
      </w:r>
      <w:r>
        <w:rPr>
          <w:rFonts w:hint="eastAsia" w:ascii="仿宋_GB2312" w:hAnsi="仿宋_GB2312" w:eastAsia="仿宋_GB2312" w:cs="仿宋_GB2312"/>
          <w:sz w:val="24"/>
          <w:highlight w:val="none"/>
          <w:u w:val="single"/>
        </w:rPr>
        <w:t>并给予乙方三年内不得对甲方组织建设的工程项目进行投标的处罚</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bCs/>
          <w:sz w:val="24"/>
          <w:highlight w:val="none"/>
          <w:u w:val="single"/>
          <w:lang w:val="en-US" w:eastAsia="zh-CN"/>
        </w:rPr>
        <w:t>修改为“</w:t>
      </w:r>
      <w:r>
        <w:rPr>
          <w:rFonts w:hint="eastAsia" w:ascii="仿宋_GB2312" w:hAnsi="仿宋" w:eastAsia="仿宋_GB2312" w:cs="仿宋"/>
          <w:sz w:val="24"/>
          <w:highlight w:val="none"/>
          <w:u w:val="single"/>
        </w:rPr>
        <w:t>并给予乙方三年内不得</w:t>
      </w:r>
      <w:r>
        <w:rPr>
          <w:rFonts w:hint="eastAsia" w:ascii="仿宋_GB2312" w:hAnsi="仿宋" w:eastAsia="仿宋_GB2312" w:cs="仿宋"/>
          <w:sz w:val="24"/>
          <w:highlight w:val="none"/>
          <w:u w:val="single"/>
          <w:lang w:eastAsia="zh-CN"/>
        </w:rPr>
        <w:t>参与甲方项目的</w:t>
      </w:r>
      <w:r>
        <w:rPr>
          <w:rFonts w:hint="eastAsia" w:ascii="仿宋_GB2312" w:hAnsi="仿宋" w:eastAsia="仿宋_GB2312" w:cs="仿宋"/>
          <w:sz w:val="24"/>
          <w:highlight w:val="none"/>
          <w:u w:val="single"/>
        </w:rPr>
        <w:t>处罚</w:t>
      </w:r>
      <w:r>
        <w:rPr>
          <w:rFonts w:hint="eastAsia" w:ascii="仿宋_GB2312" w:hAnsi="仿宋_GB2312" w:eastAsia="仿宋_GB2312" w:cs="仿宋_GB2312"/>
          <w:sz w:val="24"/>
          <w:highlight w:val="none"/>
          <w:u w:val="single"/>
          <w:lang w:eastAsia="zh-CN"/>
        </w:rPr>
        <w:t>”。</w:t>
      </w:r>
    </w:p>
    <w:p>
      <w:pPr>
        <w:widowControl/>
        <w:tabs>
          <w:tab w:val="left" w:pos="1248"/>
        </w:tabs>
        <w:adjustRightInd w:val="0"/>
        <w:snapToGrid w:val="0"/>
        <w:spacing w:line="360" w:lineRule="auto"/>
        <w:ind w:firstLine="480" w:firstLineChars="200"/>
        <w:rPr>
          <w:rFonts w:hint="eastAsia" w:ascii="仿宋_GB2312" w:hAnsi="仿宋_GB2312" w:eastAsia="仿宋_GB2312" w:cs="仿宋_GB2312"/>
          <w:bCs/>
          <w:sz w:val="24"/>
          <w:highlight w:val="none"/>
        </w:rPr>
      </w:pP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2997"/>
      <w:bookmarkStart w:id="44" w:name="_Toc319826220"/>
      <w:bookmarkStart w:id="45" w:name="_Toc14554"/>
      <w:r>
        <w:rPr>
          <w:rFonts w:hint="eastAsia" w:ascii="仿宋_GB2312" w:hAnsi="仿宋_GB2312" w:eastAsia="仿宋_GB2312" w:cs="仿宋_GB2312"/>
          <w:b/>
          <w:sz w:val="32"/>
          <w:szCs w:val="32"/>
          <w:highlight w:val="none"/>
        </w:rPr>
        <w:t>合同附件</w:t>
      </w:r>
      <w:bookmarkEnd w:id="43"/>
      <w:bookmarkEnd w:id="44"/>
      <w:bookmarkEnd w:id="45"/>
      <w:bookmarkStart w:id="46" w:name="_Toc26723"/>
      <w:bookmarkStart w:id="47" w:name="_Toc411417798"/>
      <w:bookmarkStart w:id="48" w:name="_Toc437444971"/>
    </w:p>
    <w:p>
      <w:pPr>
        <w:adjustRightInd w:val="0"/>
        <w:snapToGrid w:val="0"/>
        <w:rPr>
          <w:rFonts w:hint="eastAsia" w:ascii="仿宋_GB2312" w:hAnsi="仿宋_GB2312" w:eastAsia="仿宋_GB2312" w:cs="仿宋_GB2312"/>
          <w:b/>
          <w:sz w:val="24"/>
          <w:highlight w:val="none"/>
        </w:rPr>
      </w:pPr>
      <w:bookmarkStart w:id="49" w:name="_Toc19384"/>
      <w:bookmarkStart w:id="50" w:name="_Toc17490"/>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shd w:val="clear" w:color="auto" w:fill="FFFFFF"/>
        <w:snapToGrid w:val="0"/>
        <w:spacing w:line="440" w:lineRule="exact"/>
        <w:ind w:firstLine="0"/>
        <w:rPr>
          <w:rFonts w:hint="eastAsia" w:ascii="仿宋_GB2312" w:hAnsi="仿宋_GB2312" w:eastAsia="仿宋_GB2312" w:cs="仿宋_GB2312"/>
          <w:kern w:val="2"/>
          <w:sz w:val="24"/>
          <w:szCs w:val="24"/>
          <w:highlight w:val="none"/>
          <w:u w:val="single"/>
          <w:shd w:val="clear" w:color="auto" w:fill="auto"/>
          <w:lang w:val="en-US" w:eastAsia="zh-CN" w:bidi="ar"/>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长沙市轨道交通一号线建设发展有限公司</w:t>
      </w:r>
    </w:p>
    <w:p>
      <w:pPr>
        <w:shd w:val="clear" w:color="auto" w:fill="FFFFFF"/>
        <w:snapToGrid w:val="0"/>
        <w:spacing w:line="440" w:lineRule="exact"/>
        <w:ind w:firstLine="720" w:firstLineChars="300"/>
        <w:rPr>
          <w:rFonts w:hint="eastAsia" w:ascii="仿宋_GB2312" w:hAnsi="仿宋_GB2312" w:eastAsia="仿宋_GB2312" w:cs="仿宋_GB2312"/>
          <w:kern w:val="2"/>
          <w:sz w:val="24"/>
          <w:szCs w:val="24"/>
          <w:highlight w:val="none"/>
          <w:u w:val="single"/>
          <w:shd w:val="clear" w:color="auto" w:fill="auto"/>
          <w:lang w:val="en-US" w:eastAsia="zh-CN" w:bidi="ar"/>
        </w:rPr>
      </w:pP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长沙市轨道交通运营有限公司</w:t>
      </w: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kern w:val="2"/>
          <w:sz w:val="24"/>
          <w:szCs w:val="24"/>
          <w:highlight w:val="none"/>
          <w:u w:val="none"/>
          <w:shd w:val="clear" w:color="auto" w:fill="auto"/>
          <w:lang w:val="en-US" w:eastAsia="zh-CN" w:bidi="ar"/>
        </w:rPr>
        <w:t xml:space="preserve">      </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长沙市轨道交通三号线建设发展有限公司</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896701"/>
      <w:bookmarkStart w:id="52" w:name="_Toc59900969"/>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b w:val="0"/>
          <w:bCs w:val="0"/>
          <w:sz w:val="24"/>
          <w:szCs w:val="24"/>
          <w:highlight w:val="none"/>
          <w:u w:val="single"/>
          <w:lang w:bidi="ar"/>
        </w:rPr>
        <w:t>长沙市轨道交通1、2、3号线运营期202</w:t>
      </w:r>
      <w:r>
        <w:rPr>
          <w:rFonts w:hint="eastAsia" w:ascii="仿宋_GB2312" w:hAnsi="仿宋_GB2312" w:eastAsia="仿宋_GB2312" w:cs="仿宋_GB2312"/>
          <w:b w:val="0"/>
          <w:bCs w:val="0"/>
          <w:sz w:val="24"/>
          <w:szCs w:val="24"/>
          <w:highlight w:val="none"/>
          <w:u w:val="single"/>
          <w:lang w:val="en-US" w:eastAsia="zh-CN" w:bidi="ar"/>
        </w:rPr>
        <w:t>3</w:t>
      </w:r>
      <w:r>
        <w:rPr>
          <w:rFonts w:hint="eastAsia" w:ascii="仿宋_GB2312" w:hAnsi="仿宋_GB2312" w:eastAsia="仿宋_GB2312" w:cs="仿宋_GB2312"/>
          <w:b w:val="0"/>
          <w:bCs w:val="0"/>
          <w:sz w:val="24"/>
          <w:szCs w:val="24"/>
          <w:highlight w:val="none"/>
          <w:u w:val="single"/>
          <w:lang w:bidi="ar"/>
        </w:rPr>
        <w:t>年度电客车油过滤器采购项目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896702"/>
      <w:bookmarkStart w:id="54" w:name="_Toc59900970"/>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900971"/>
      <w:bookmarkStart w:id="56" w:name="_Toc59896703"/>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Toc5299"/>
      <w:bookmarkStart w:id="58" w:name="_Hlk26087760"/>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2"/>
          <w:sz w:val="24"/>
          <w:szCs w:val="24"/>
          <w:highlight w:val="none"/>
          <w:u w:val="single"/>
          <w:shd w:val="clear" w:color="auto" w:fill="auto"/>
          <w:lang w:val="en-US" w:eastAsia="zh-CN" w:bidi="ar"/>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长沙市轨道交通一号线建设发展有限公司</w:t>
      </w:r>
    </w:p>
    <w:p>
      <w:pPr>
        <w:widowControl/>
        <w:snapToGrid w:val="0"/>
        <w:spacing w:line="360" w:lineRule="auto"/>
        <w:ind w:firstLine="1680" w:firstLineChars="700"/>
        <w:jc w:val="left"/>
        <w:rPr>
          <w:rFonts w:hint="eastAsia" w:ascii="仿宋_GB2312" w:hAnsi="仿宋_GB2312" w:eastAsia="仿宋_GB2312" w:cs="仿宋_GB2312"/>
          <w:kern w:val="2"/>
          <w:sz w:val="24"/>
          <w:szCs w:val="24"/>
          <w:highlight w:val="none"/>
          <w:u w:val="single"/>
          <w:shd w:val="clear" w:color="auto" w:fill="auto"/>
          <w:lang w:val="en-US" w:eastAsia="zh-CN" w:bidi="ar"/>
        </w:rPr>
      </w:pP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长沙市轨道交通运营有限公司</w:t>
      </w: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2"/>
          <w:sz w:val="24"/>
          <w:szCs w:val="24"/>
          <w:highlight w:val="none"/>
          <w:u w:val="none"/>
          <w:shd w:val="clear" w:color="auto" w:fill="auto"/>
          <w:lang w:val="en-US" w:eastAsia="zh-CN" w:bidi="ar"/>
        </w:rPr>
        <w:t xml:space="preserve">              </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长沙市轨道交通三号线建设发展有限公司</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b w:val="0"/>
          <w:bCs w:val="0"/>
          <w:sz w:val="24"/>
          <w:szCs w:val="24"/>
          <w:highlight w:val="none"/>
          <w:u w:val="single"/>
          <w:lang w:bidi="ar"/>
        </w:rPr>
        <w:t>长沙市轨道交通1、2、3号线运营期202</w:t>
      </w:r>
      <w:r>
        <w:rPr>
          <w:rFonts w:hint="eastAsia" w:ascii="仿宋_GB2312" w:hAnsi="仿宋_GB2312" w:eastAsia="仿宋_GB2312" w:cs="仿宋_GB2312"/>
          <w:b w:val="0"/>
          <w:bCs w:val="0"/>
          <w:sz w:val="24"/>
          <w:szCs w:val="24"/>
          <w:highlight w:val="none"/>
          <w:u w:val="single"/>
          <w:lang w:val="en-US" w:eastAsia="zh-CN" w:bidi="ar"/>
        </w:rPr>
        <w:t>3</w:t>
      </w:r>
      <w:r>
        <w:rPr>
          <w:rFonts w:hint="eastAsia" w:ascii="仿宋_GB2312" w:hAnsi="仿宋_GB2312" w:eastAsia="仿宋_GB2312" w:cs="仿宋_GB2312"/>
          <w:b w:val="0"/>
          <w:bCs w:val="0"/>
          <w:sz w:val="24"/>
          <w:szCs w:val="24"/>
          <w:highlight w:val="none"/>
          <w:u w:val="single"/>
          <w:lang w:bidi="ar"/>
        </w:rPr>
        <w:t>年度电客车油过滤器采购项目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17255"/>
      <w:bookmarkStart w:id="61" w:name="_Toc319826225"/>
      <w:bookmarkStart w:id="62" w:name="_Toc31412"/>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437444976"/>
      <w:bookmarkStart w:id="64" w:name="_Toc411417807"/>
      <w:bookmarkStart w:id="65" w:name="_Toc22409"/>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319826226"/>
      <w:bookmarkStart w:id="68" w:name="_Toc16781"/>
      <w:bookmarkStart w:id="69" w:name="_Toc437444977"/>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abstractNum w:abstractNumId="1">
    <w:nsid w:val="E34FE3F5"/>
    <w:multiLevelType w:val="singleLevel"/>
    <w:tmpl w:val="E34FE3F5"/>
    <w:lvl w:ilvl="0" w:tentative="0">
      <w:start w:val="18"/>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4BC5"/>
    <w:rsid w:val="081617E8"/>
    <w:rsid w:val="3CDF116D"/>
    <w:rsid w:val="4CDC4BC5"/>
    <w:rsid w:val="57051D81"/>
    <w:rsid w:val="5CB05A04"/>
    <w:rsid w:val="7081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uiPriority w:val="0"/>
    <w:pPr>
      <w:spacing w:after="12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2023-02-02T03:10:00Z</dcterms:created>
  <dc:creator>旷锡林</dc:creator>
  <cp:lastModifiedBy>张娜</cp:lastModifiedBy>
  <dcterms:modified xsi:type="dcterms:W3CDTF">2023-02-02T03:21:40Z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C5921F5494674451BEAA9AA2477B0253</vt:lpwstr>
  </property>
</Properties>
</file>