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kern w:val="0"/>
          <w:sz w:val="52"/>
          <w:szCs w:val="52"/>
          <w:lang w:eastAsia="zh-CN"/>
        </w:rPr>
        <w:t>长沙市轨道交通运营有限公司西环线2023-2024年保险服务项目</w:t>
      </w: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  <w:t>用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kern w:val="0"/>
          <w:sz w:val="52"/>
          <w:szCs w:val="52"/>
          <w:lang w:val="en-US" w:eastAsia="zh-CN"/>
        </w:rPr>
        <w:t>户</w:t>
      </w:r>
    </w:p>
    <w:p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/>
          <w:b/>
          <w:kern w:val="0"/>
          <w:sz w:val="52"/>
          <w:szCs w:val="52"/>
        </w:rPr>
        <w:t>需</w:t>
      </w:r>
    </w:p>
    <w:p>
      <w:pPr>
        <w:spacing w:line="360" w:lineRule="auto"/>
        <w:jc w:val="center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/>
          <w:b/>
          <w:kern w:val="0"/>
          <w:sz w:val="52"/>
          <w:szCs w:val="52"/>
        </w:rPr>
        <w:t>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kern w:val="0"/>
          <w:sz w:val="52"/>
          <w:szCs w:val="52"/>
          <w:lang w:eastAsia="zh-CN"/>
        </w:rPr>
        <w:t>书</w:t>
      </w:r>
    </w:p>
    <w:p>
      <w:pPr>
        <w:spacing w:line="360" w:lineRule="auto"/>
        <w:ind w:firstLine="880" w:firstLineChars="200"/>
        <w:jc w:val="center"/>
        <w:rPr>
          <w:rFonts w:ascii="宋体" w:hAnsi="宋体"/>
          <w:kern w:val="0"/>
          <w:sz w:val="44"/>
        </w:rPr>
      </w:pPr>
    </w:p>
    <w:p>
      <w:pPr>
        <w:spacing w:line="360" w:lineRule="auto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/>
          <w:kern w:val="0"/>
          <w:sz w:val="44"/>
        </w:rPr>
        <w:t>编制时间：</w:t>
      </w:r>
      <w:r>
        <w:rPr>
          <w:rFonts w:hint="eastAsia" w:ascii="宋体" w:hAnsi="宋体"/>
          <w:kern w:val="0"/>
          <w:sz w:val="48"/>
          <w:szCs w:val="48"/>
        </w:rPr>
        <w:t>202</w:t>
      </w:r>
      <w:r>
        <w:rPr>
          <w:rFonts w:hint="eastAsia" w:ascii="宋体" w:hAnsi="宋体"/>
          <w:kern w:val="0"/>
          <w:sz w:val="48"/>
          <w:szCs w:val="48"/>
          <w:lang w:val="en-US" w:eastAsia="zh-CN"/>
        </w:rPr>
        <w:t>2</w:t>
      </w:r>
      <w:r>
        <w:rPr>
          <w:rFonts w:hint="eastAsia" w:ascii="宋体" w:hAnsi="宋体"/>
          <w:kern w:val="0"/>
          <w:sz w:val="48"/>
          <w:szCs w:val="48"/>
        </w:rPr>
        <w:t>年</w:t>
      </w:r>
      <w:r>
        <w:rPr>
          <w:rFonts w:hint="eastAsia" w:ascii="宋体" w:hAnsi="宋体"/>
          <w:kern w:val="0"/>
          <w:sz w:val="48"/>
          <w:szCs w:val="48"/>
          <w:lang w:val="en-US" w:eastAsia="zh-CN"/>
        </w:rPr>
        <w:t>11</w:t>
      </w:r>
      <w:r>
        <w:rPr>
          <w:rFonts w:hint="eastAsia" w:ascii="宋体" w:hAnsi="宋体"/>
          <w:kern w:val="0"/>
          <w:sz w:val="48"/>
          <w:szCs w:val="48"/>
        </w:rPr>
        <w:t>月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9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Toc459200613"/>
      <w:bookmarkStart w:id="1" w:name="_Toc13881"/>
      <w:bookmarkStart w:id="2" w:name="_Toc440962585"/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9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w w:val="90"/>
          <w:sz w:val="28"/>
          <w:szCs w:val="28"/>
        </w:rPr>
        <w:t>目 录</w:t>
      </w:r>
      <w:bookmarkEnd w:id="0"/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3" w:name="_Toc459200614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instrText xml:space="preserve"> TOC \o "1-2" \h \z \u </w:instrTex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_Toc21500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一、 项目概况及招标范围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_Toc21500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_Toc18617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（一）项目概况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_Toc18617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_Toc8520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项目采购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_Toc8520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_Toc29627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二、 项目服务期限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_Toc29627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_Toc9905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三、 相关技术标准及规范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_Toc9905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_Toc4815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四、 项目管控要求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_Toc4815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_Toc29607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五、 项目实施要求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_Toc29607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_Toc1273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六、 项目验收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_Toc1273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_Toc2854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(一）项目验收的组织机构、验收程序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_Toc2854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instrText xml:space="preserve"> HYPERLINK \l _Toc2341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(二）验收标准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PAGEREF _Toc2341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fldChar w:fldCharType="end"/>
      </w:r>
    </w:p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4" w:name="_Toc21500"/>
      <w:r>
        <w:rPr>
          <w:rFonts w:hint="eastAsia" w:ascii="黑体" w:hAnsi="黑体" w:eastAsia="黑体" w:cs="黑体"/>
          <w:bCs/>
          <w:sz w:val="32"/>
          <w:szCs w:val="32"/>
        </w:rPr>
        <w:t>项目概况及招标范围</w:t>
      </w:r>
      <w:bookmarkEnd w:id="1"/>
      <w:bookmarkEnd w:id="2"/>
      <w:bookmarkEnd w:id="3"/>
      <w:bookmarkEnd w:id="4"/>
    </w:p>
    <w:p>
      <w:pPr>
        <w:pStyle w:val="21"/>
        <w:spacing w:line="560" w:lineRule="exact"/>
        <w:ind w:firstLine="640" w:firstLineChars="200"/>
        <w:jc w:val="both"/>
        <w:outlineLvl w:val="1"/>
        <w:rPr>
          <w:rFonts w:ascii="楷体_GB2312" w:hAnsi="宋体" w:eastAsia="楷体_GB2312" w:cs="宋体"/>
          <w:sz w:val="32"/>
          <w:szCs w:val="32"/>
        </w:rPr>
      </w:pPr>
      <w:bookmarkStart w:id="5" w:name="_Toc18617"/>
      <w:bookmarkStart w:id="6" w:name="_Toc23676"/>
      <w:bookmarkStart w:id="7" w:name="OLE_LINK4"/>
      <w:bookmarkStart w:id="8" w:name="_Toc326847763"/>
      <w:bookmarkStart w:id="9" w:name="OLE_LINK3"/>
      <w:r>
        <w:rPr>
          <w:rFonts w:hint="eastAsia" w:ascii="楷体_GB2312" w:hAnsi="宋体" w:eastAsia="楷体_GB2312" w:cs="宋体"/>
          <w:sz w:val="32"/>
          <w:szCs w:val="32"/>
        </w:rPr>
        <w:t>（一）项目概况</w:t>
      </w:r>
      <w:bookmarkEnd w:id="5"/>
      <w:bookmarkEnd w:id="6"/>
    </w:p>
    <w:bookmarkEnd w:id="7"/>
    <w:bookmarkEnd w:id="8"/>
    <w:bookmarkEnd w:id="9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10" w:name="_Toc13827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长株潭城际轨道交通西环线一期工程线路起于湘潭北站，止于长沙市轨道交通 3 号线一期工程起点站山塘站，线路全长约 17.29km，其中地下段长约7.29km，高架线长9.57km，过渡段长约 0.43km，设站8座，其中地下站 4 座，高架站 4 座。平均站间距 2. 16km，最大站间距4.57km，为黄家湾站至白泉站区间，最小站间距 1.21km，为北津站至黄家湾站区间。其中长沙段线路长度 10.17km，高架线长 4.54km，过渡段长 0.22km，地下段长5.41km， 设站5座，高架站 2座，地下站3座；湘潭段线路长度7.12km，高架线长 5.03km，过渡段长0.21km，地下段长1.88km，设站 3座，高架站 2座，地下站1座。一期工程设北津停车场1座，于北津站接轨，预留车辆基地规模。一期工程设主变电站2座，为北津主变和洋湖垸主变。</w:t>
      </w:r>
    </w:p>
    <w:p>
      <w:pPr>
        <w:pStyle w:val="21"/>
        <w:spacing w:line="560" w:lineRule="exact"/>
        <w:ind w:firstLine="640" w:firstLineChars="200"/>
        <w:jc w:val="both"/>
        <w:outlineLvl w:val="1"/>
        <w:rPr>
          <w:rFonts w:ascii="楷体_GB2312" w:hAnsi="宋体" w:eastAsia="楷体_GB2312" w:cs="宋体"/>
          <w:sz w:val="32"/>
          <w:szCs w:val="32"/>
        </w:rPr>
      </w:pPr>
      <w:bookmarkStart w:id="11" w:name="_Toc8520"/>
      <w:r>
        <w:rPr>
          <w:rFonts w:hint="eastAsia" w:ascii="楷体_GB2312" w:hAnsi="宋体" w:eastAsia="楷体_GB2312" w:cs="宋体"/>
          <w:sz w:val="32"/>
          <w:szCs w:val="32"/>
        </w:rPr>
        <w:t>（二）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项目采购</w:t>
      </w:r>
      <w:bookmarkStart w:id="25" w:name="_GoBack"/>
      <w:bookmarkEnd w:id="25"/>
      <w:r>
        <w:rPr>
          <w:rFonts w:hint="eastAsia" w:ascii="楷体_GB2312" w:hAnsi="宋体" w:eastAsia="楷体_GB2312" w:cs="宋体"/>
          <w:sz w:val="32"/>
          <w:szCs w:val="32"/>
        </w:rPr>
        <w:t>范围</w:t>
      </w:r>
      <w:bookmarkEnd w:id="10"/>
      <w:bookmarkEnd w:id="1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本次采购主要为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长株潭城际轨道交通西环线一期工程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财产一切险附加机器损坏险。</w:t>
      </w:r>
    </w:p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12" w:name="_Toc459200615"/>
      <w:bookmarkStart w:id="13" w:name="_Toc29627"/>
      <w:r>
        <w:rPr>
          <w:rFonts w:hint="eastAsia" w:ascii="黑体" w:hAnsi="黑体" w:eastAsia="黑体" w:cs="黑体"/>
          <w:bCs/>
          <w:sz w:val="32"/>
          <w:szCs w:val="32"/>
        </w:rPr>
        <w:t>项目</w:t>
      </w:r>
      <w:bookmarkEnd w:id="12"/>
      <w:r>
        <w:rPr>
          <w:rFonts w:hint="eastAsia" w:ascii="黑体" w:hAnsi="黑体" w:eastAsia="黑体" w:cs="黑体"/>
          <w:bCs/>
          <w:sz w:val="32"/>
          <w:szCs w:val="32"/>
        </w:rPr>
        <w:t>服务期限</w:t>
      </w:r>
      <w:bookmarkEnd w:id="13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本项目服务期为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一年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，总计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个月（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具体服务开始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长株潭城际轨道交通西环线一期工程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试运营开始时间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为准）。</w:t>
      </w:r>
    </w:p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14" w:name="_Toc2670"/>
      <w:bookmarkStart w:id="15" w:name="_Toc9905"/>
      <w:bookmarkStart w:id="16" w:name="_Toc3805"/>
      <w:r>
        <w:rPr>
          <w:rFonts w:hint="eastAsia" w:ascii="黑体" w:hAnsi="黑体" w:eastAsia="黑体" w:cs="黑体"/>
          <w:bCs/>
          <w:sz w:val="32"/>
          <w:szCs w:val="32"/>
        </w:rPr>
        <w:t>相关技术标准及规范</w:t>
      </w:r>
      <w:bookmarkEnd w:id="14"/>
      <w:bookmarkEnd w:id="15"/>
      <w:bookmarkEnd w:id="16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应严格按照下列法律法规执行，以下标准如有更新，须按最新标准执行：</w:t>
      </w:r>
    </w:p>
    <w:tbl>
      <w:tblPr>
        <w:tblStyle w:val="10"/>
        <w:tblW w:w="92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2434"/>
        <w:gridCol w:w="5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2" w:firstLineChars="2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表一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标准汇总表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标准代号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标准名称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90"/>
                <w:sz w:val="21"/>
                <w:szCs w:val="21"/>
                <w:u w:val="none"/>
              </w:rPr>
              <w:t>主席令第26号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90"/>
                <w:sz w:val="21"/>
                <w:szCs w:val="21"/>
                <w:u w:val="none"/>
              </w:rPr>
              <w:t>《中华人民共和国保险法》</w:t>
            </w:r>
          </w:p>
        </w:tc>
      </w:tr>
    </w:tbl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17" w:name="_Toc17239"/>
      <w:bookmarkStart w:id="18" w:name="_Toc4815"/>
      <w:bookmarkStart w:id="19" w:name="_Toc10554"/>
      <w:r>
        <w:rPr>
          <w:rFonts w:hint="eastAsia" w:ascii="黑体" w:hAnsi="黑体" w:eastAsia="黑体" w:cs="黑体"/>
          <w:bCs/>
          <w:sz w:val="32"/>
          <w:szCs w:val="32"/>
        </w:rPr>
        <w:t>项目管控要求</w:t>
      </w:r>
      <w:bookmarkEnd w:id="17"/>
      <w:bookmarkEnd w:id="18"/>
      <w:bookmarkEnd w:id="19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本项目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须设立项目服务小组，成员组成为：专项组长1名，专项副组长3名，日常联系专员3名，防损防灾服务专员1名，核保服务专员1名，核赔服务专员1名，现场理赔服务专员2名，数据统计专员1名。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项目实施进程中，上述项目服务小组成员未经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同意原则上不能更换，因人员离职、重大疾病、意外亡故等不可抗力等原因确需更换的，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替换人员的资质、技术能力、服务经验应等同于或优于原合同要求。如人员资质有要求的，需同时提供相应资质等级证书及证明，并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审批同意后，按照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单位相关规定办理变更手续。</w:t>
      </w:r>
    </w:p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20" w:name="_Toc29607"/>
      <w:bookmarkStart w:id="21" w:name="_Toc459200618"/>
      <w:r>
        <w:rPr>
          <w:rFonts w:hint="eastAsia" w:ascii="黑体" w:hAnsi="黑体" w:eastAsia="黑体" w:cs="黑体"/>
          <w:bCs/>
          <w:sz w:val="32"/>
          <w:szCs w:val="32"/>
        </w:rPr>
        <w:t>项目实施要求</w:t>
      </w:r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详见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长沙市轨道交通运营有限公司西环线2023-2024年保险服务项目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保险单明细表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（表二）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，各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谈判单位须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对下列明细中所列明的条款全部响应，条款具体内容以各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向监管部门报备的条款内容为准，但须满足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的服务需求。</w:t>
      </w:r>
    </w:p>
    <w:tbl>
      <w:tblPr>
        <w:tblStyle w:val="10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19" w:firstLineChars="1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财产一切险附加机器损坏险保险单明细表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 保 人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长沙市轨道交通运营有限公司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被保险人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长沙市轨道交通运营有限公司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保险项目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长沙市轨道交通运营有限公司西环线2023-2024年保险服务项目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保险期限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自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长株潭城际轨道交通西环线一期工程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试运营开始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之日起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项目基本情况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长株潭城际轨道交通西环线一期工程线路起于湘潭北站，止于长沙市轨道交通3号线一期工程起点站山塘站，线路全长约17.29km，其中地下段长约7.29km，高架线长9.57km，过渡段长约0.43km，设站8座，其中地下站4座，高架站4座。平均站间距2.16km，最大站间距4.57km，为黄家湾站至白泉站区间，最小站间距1.21km，为北津站至黄家湾站区间。其中长沙段线路长度10.17km，高架线长4.54km，过渡段长0.22km，地下段长5.41km，设站5座，高架站2座，地下站3座；湘潭段线路长度7.12km，高架线长5.03km，过渡段长0.21km，地下段长1.88km，设站3座，高架站2座，地下站1座。一期工程设北津停车场1座，于北津站接轨，预留车辆基地规模。一期工程设主变电站2座，为北津主变和洋湖垸主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保险范围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长株潭城际轨道交通西环线一期工程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，属于被保险人或由其负责的或在发生损失前有投保利益的固定资产、在建工程及其它财产，包括在保险期限内被保险人获得可保利益的财产（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长株潭城际轨道交通西环线一期工程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所拥有的全部地铁车辆和工程车辆）。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保险地点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长株潭城际轨道交通西环线一期工程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所有经营、活动、调试、运输所涉及的区域，包括但不限于运营区域，调试区域，以及地铁车辆存放、检修等场所。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保险金额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总保险金额：人民币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520769.8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万元（计费保额，财产与机损各自的保额明细表见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表三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每次事故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免赔额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1.地震：RMB 40万元；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2.其他财产：RMB 2万元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保险费率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待报价（年费率）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 险 费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总保险金额×保险费率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附加条款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1、机器损坏险条款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2、错误和遗漏条款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3、不受控制条款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4、不使失效条款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5、指定公估人条款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6、预付赔款条款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7、违反条件条款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8、重置价值条款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9、自动恢复保险金额条款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10、保单终止条款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11、放弃代位追偿扩展条款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12、72小时条款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13、财产防护及保存条款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14、灭火费用扩展条款（限额：RMB1000万元）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15、清理费用条款（限额：明细表所属项保险金额的10%）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16、额外费用条款（限额：损失金额的30%）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17、专业费用条款（限额：明细表所属项保险金额的5%）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18、锅炉及压力容器爆炸扩展条款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19、场所外财产条款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20、临时移动条款（限额：明细表所属项保险金额的15%）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21、公共当局扩展条款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22、罢工、暴乱及民众骚乱扩展条款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23、地震扩展条款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24、内陆运输条款（限额：每次事故RMB 550万元）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25、资产增加条款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26、重新安装条款（每次事故及累计赔偿限额：保险金额的10%）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27、重新安装费用条款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28、露堆财产保险条款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29、成对或成套设备条款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30、恶意破坏扩展条款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31、清除污染费用扩展条款（限额：明细表所属项保险金额的10%）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32、地铁车辆试车条款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33、铁路机车车辆保险条款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34、陆地运动条款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35、洪水条款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36、公用设施故障条款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37、盗窃险条款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38、自动喷淋损失条款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39、玻璃破碎扩展条款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40、碰撞条款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41、恐怖主义活动条款（每次事故赔偿限额为RMB2000万元）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42、共同被保险人条款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43、车辆跨线调配条款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44、租赁财产条款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45、配套设施条款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46、阻止损失条款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47、内部移动条款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48、先于责任方理赔条款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49、现场保护条款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50、自动升值条款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51、指明财产条款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52、委托加工条款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53、损失通知条款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54、叉车责任条款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特别约定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1、关于被保险财产的说明：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本保单下财产包括：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（1）被保险人已办理产权的；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（2）以被保险人名义建成但尚未办理产权的；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（3）产权虽不属于被保险人但实质上由被保险人管理或使用的财产。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2、投保明细表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（表三）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中的各类别保险财产的保险金额按重置价值确定。前述类别财产如由组件构成，当组件发生损失时如果不能恢复（包括置换）至与其受损前基本相同的使用状况，或修理后的功能不能达到与其受损前基本相同的使用状况，保险人同意按该类别财产的重置价值赔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3、如果在地铁运营期间发生保险事故，能及时修复的，可由被保险人及其代表自行录像或拍照、取证后及时抢修，同时保留有关的实物证据。但被保险人及时恢复运营后需第一时间内通知保险人，进行报案。</w:t>
            </w:r>
          </w:p>
        </w:tc>
      </w:tr>
    </w:tbl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18" w:right="1134" w:bottom="1134" w:left="1134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0"/>
        <w:tblW w:w="90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869"/>
        <w:gridCol w:w="2835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9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财产一切险附加机器损坏险投保明细表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保险标的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“财产一切险”金额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（万元）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附加“机损险”的项目及金额（万元）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一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土建（车站工程）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145058.32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二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区间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186761.85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三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轨道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29297.71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29297.71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四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21207.46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21207.46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五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信号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25874.13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25874.13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六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供电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79434.88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79434.88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七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综合监控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3604.86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3604.86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八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防灾报警系统及设备监控系统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5158.18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5158.18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九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安防及门禁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3718.36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3718.36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通风、空调与采暖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8977.85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8977.85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十一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给排水及消防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5437.57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5437.57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十二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自动售检票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5515.06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5515.06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十三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车站辅助设备（自动扶梯及电梯、屏蔽门）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13097.63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13097.63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十四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运营控制中心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十五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车辆段及综合基地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52230.03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52230.03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十六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人防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2021.30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2021.30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十七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生产办公及生活家具用具购置费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778.05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778.05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十八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工器具购置费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389.03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389.03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十九</w:t>
            </w:r>
          </w:p>
        </w:tc>
        <w:tc>
          <w:tcPr>
            <w:tcW w:w="2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车辆购置费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62400.00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62400.00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投保总金额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650962.27 *0.8=520769.8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319142.1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 xml:space="preserve">*0.8=255313.68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9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财产一切险的投保价值为车站工程，以及设备成本、运输、保险、安装、调试及技术服务费在内的一切费用。2.“机损险”应定义为“机器设备系统损坏险”，投保金额包含出厂价、运保费、安装、安装材料、调试、开通、技术联络等服务费。</w:t>
            </w:r>
          </w:p>
        </w:tc>
      </w:tr>
    </w:tbl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tabs>
          <w:tab w:val="right" w:leader="dot" w:pos="8306"/>
        </w:tabs>
        <w:adjustRightInd w:val="0"/>
        <w:snapToGrid w:val="0"/>
        <w:spacing w:line="560" w:lineRule="exact"/>
        <w:ind w:left="0" w:leftChars="0" w:firstLine="420" w:firstLineChars="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22" w:name="_Toc1273"/>
      <w:r>
        <w:rPr>
          <w:rFonts w:hint="eastAsia" w:ascii="黑体" w:hAnsi="黑体" w:eastAsia="黑体" w:cs="黑体"/>
          <w:bCs/>
          <w:sz w:val="32"/>
          <w:szCs w:val="32"/>
        </w:rPr>
        <w:t>项目验收</w:t>
      </w:r>
      <w:bookmarkEnd w:id="22"/>
    </w:p>
    <w:p>
      <w:pPr>
        <w:pStyle w:val="21"/>
        <w:spacing w:line="560" w:lineRule="exact"/>
        <w:ind w:firstLine="640" w:firstLineChars="200"/>
        <w:jc w:val="both"/>
        <w:outlineLvl w:val="1"/>
        <w:rPr>
          <w:rFonts w:hint="eastAsia" w:ascii="楷体_GB2312" w:hAnsi="宋体" w:eastAsia="楷体_GB2312" w:cs="宋体"/>
          <w:sz w:val="32"/>
          <w:szCs w:val="32"/>
        </w:rPr>
      </w:pPr>
      <w:bookmarkStart w:id="23" w:name="_Toc2854"/>
      <w:r>
        <w:rPr>
          <w:rFonts w:hint="eastAsia" w:ascii="楷体_GB2312" w:hAnsi="宋体" w:eastAsia="楷体_GB2312" w:cs="宋体"/>
          <w:sz w:val="32"/>
          <w:szCs w:val="32"/>
        </w:rPr>
        <w:t>(一）项目验收的组织机构、验收程序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项目验收的组织机构、验收程序，参照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相关制度执行。</w:t>
      </w:r>
    </w:p>
    <w:p>
      <w:pPr>
        <w:pStyle w:val="21"/>
        <w:spacing w:line="560" w:lineRule="exact"/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24" w:name="_Toc2341"/>
      <w:r>
        <w:rPr>
          <w:rFonts w:hint="eastAsia" w:ascii="楷体_GB2312" w:hAnsi="宋体" w:eastAsia="楷体_GB2312" w:cs="宋体"/>
          <w:sz w:val="32"/>
          <w:szCs w:val="32"/>
        </w:rPr>
        <w:t>(二）验收标准</w:t>
      </w:r>
      <w:bookmarkEnd w:id="24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按用户需求书约定提交财产一切险附加机器损坏险相应保险单，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保险单达到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用户需求书要求并获得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认可。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谈判单位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按用户需求书完成全部工作并提交项目完工服务报告，项目完工服务报告达到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用户需求书要求，方可进行项目完工验收。</w:t>
      </w:r>
    </w:p>
    <w:sectPr>
      <w:pgSz w:w="11906" w:h="16838"/>
      <w:pgMar w:top="1418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ind w:firstLine="5565" w:firstLineChars="265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ind w:firstLine="5565" w:firstLineChars="265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firstLine="5565" w:firstLineChars="2650"/>
      <w:rPr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CDC83"/>
    <w:multiLevelType w:val="singleLevel"/>
    <w:tmpl w:val="EE0CDC8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05B63C9"/>
    <w:multiLevelType w:val="singleLevel"/>
    <w:tmpl w:val="205B63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ZGNkYmVhZWRlMWI3ODFjZjk1NmQ3ZDdiZDE4NGYifQ=="/>
  </w:docVars>
  <w:rsids>
    <w:rsidRoot w:val="00F97727"/>
    <w:rsid w:val="00073365"/>
    <w:rsid w:val="00074960"/>
    <w:rsid w:val="000B28C5"/>
    <w:rsid w:val="000C51EC"/>
    <w:rsid w:val="00144110"/>
    <w:rsid w:val="00145F22"/>
    <w:rsid w:val="001616B6"/>
    <w:rsid w:val="00165772"/>
    <w:rsid w:val="001D2876"/>
    <w:rsid w:val="001E078E"/>
    <w:rsid w:val="002041D0"/>
    <w:rsid w:val="002B03A4"/>
    <w:rsid w:val="002F0D3D"/>
    <w:rsid w:val="00333D17"/>
    <w:rsid w:val="00376A32"/>
    <w:rsid w:val="00493764"/>
    <w:rsid w:val="0049552D"/>
    <w:rsid w:val="004A27E8"/>
    <w:rsid w:val="004C3D97"/>
    <w:rsid w:val="005A1C25"/>
    <w:rsid w:val="005A285C"/>
    <w:rsid w:val="005C452E"/>
    <w:rsid w:val="005E2B84"/>
    <w:rsid w:val="005F56EC"/>
    <w:rsid w:val="00660B33"/>
    <w:rsid w:val="0076039C"/>
    <w:rsid w:val="007C3765"/>
    <w:rsid w:val="007F0565"/>
    <w:rsid w:val="008A43CE"/>
    <w:rsid w:val="008A7040"/>
    <w:rsid w:val="008E6A1E"/>
    <w:rsid w:val="009811D1"/>
    <w:rsid w:val="00982622"/>
    <w:rsid w:val="00A06C5A"/>
    <w:rsid w:val="00A20759"/>
    <w:rsid w:val="00A84679"/>
    <w:rsid w:val="00AA23DA"/>
    <w:rsid w:val="00B0460C"/>
    <w:rsid w:val="00B54BEE"/>
    <w:rsid w:val="00B96ECE"/>
    <w:rsid w:val="00BA4E7F"/>
    <w:rsid w:val="00BE2E0C"/>
    <w:rsid w:val="00C1448F"/>
    <w:rsid w:val="00C3011B"/>
    <w:rsid w:val="00C514AC"/>
    <w:rsid w:val="00C7721F"/>
    <w:rsid w:val="00D419B0"/>
    <w:rsid w:val="00D84078"/>
    <w:rsid w:val="00DC767D"/>
    <w:rsid w:val="00DD5026"/>
    <w:rsid w:val="00DF1511"/>
    <w:rsid w:val="00E14764"/>
    <w:rsid w:val="00E40514"/>
    <w:rsid w:val="00E467D3"/>
    <w:rsid w:val="00EC77C0"/>
    <w:rsid w:val="00ED2F02"/>
    <w:rsid w:val="00F97727"/>
    <w:rsid w:val="01377A38"/>
    <w:rsid w:val="01A330E8"/>
    <w:rsid w:val="01A5344B"/>
    <w:rsid w:val="01C1607E"/>
    <w:rsid w:val="02307C65"/>
    <w:rsid w:val="02BB5FE0"/>
    <w:rsid w:val="02D02D43"/>
    <w:rsid w:val="02DA0501"/>
    <w:rsid w:val="03254C61"/>
    <w:rsid w:val="03451A26"/>
    <w:rsid w:val="036A7E90"/>
    <w:rsid w:val="0381095F"/>
    <w:rsid w:val="03B86859"/>
    <w:rsid w:val="03BE3BC2"/>
    <w:rsid w:val="0418521C"/>
    <w:rsid w:val="045C02EB"/>
    <w:rsid w:val="04A0622D"/>
    <w:rsid w:val="04AB4B55"/>
    <w:rsid w:val="04C542F7"/>
    <w:rsid w:val="04C611D0"/>
    <w:rsid w:val="04D66D0E"/>
    <w:rsid w:val="04D733B7"/>
    <w:rsid w:val="04ED133F"/>
    <w:rsid w:val="04EE56F9"/>
    <w:rsid w:val="0513654D"/>
    <w:rsid w:val="053E0BEF"/>
    <w:rsid w:val="05646583"/>
    <w:rsid w:val="057125B5"/>
    <w:rsid w:val="059D62D5"/>
    <w:rsid w:val="05AC0920"/>
    <w:rsid w:val="05CF0D51"/>
    <w:rsid w:val="064140C8"/>
    <w:rsid w:val="06461281"/>
    <w:rsid w:val="065D0C98"/>
    <w:rsid w:val="066153C3"/>
    <w:rsid w:val="06BB6DF2"/>
    <w:rsid w:val="06E10DBC"/>
    <w:rsid w:val="072D54EF"/>
    <w:rsid w:val="073E1CE3"/>
    <w:rsid w:val="076D32DD"/>
    <w:rsid w:val="07B547CD"/>
    <w:rsid w:val="081F05EF"/>
    <w:rsid w:val="082A328A"/>
    <w:rsid w:val="08504AC5"/>
    <w:rsid w:val="08633344"/>
    <w:rsid w:val="08B75CA7"/>
    <w:rsid w:val="08D43AC3"/>
    <w:rsid w:val="090C1830"/>
    <w:rsid w:val="09450B9D"/>
    <w:rsid w:val="096A4028"/>
    <w:rsid w:val="09D477A8"/>
    <w:rsid w:val="09EB28A1"/>
    <w:rsid w:val="0A317292"/>
    <w:rsid w:val="0A5C66D9"/>
    <w:rsid w:val="0A9C0030"/>
    <w:rsid w:val="0AA15CCF"/>
    <w:rsid w:val="0AC87DE5"/>
    <w:rsid w:val="0AE52926"/>
    <w:rsid w:val="0B1C653D"/>
    <w:rsid w:val="0B1E4695"/>
    <w:rsid w:val="0B8E57E1"/>
    <w:rsid w:val="0BA37261"/>
    <w:rsid w:val="0BCC6C61"/>
    <w:rsid w:val="0BDA2D67"/>
    <w:rsid w:val="0BF040CD"/>
    <w:rsid w:val="0BF2380D"/>
    <w:rsid w:val="0C2449C8"/>
    <w:rsid w:val="0C880BA0"/>
    <w:rsid w:val="0CAB17EC"/>
    <w:rsid w:val="0D0D66B9"/>
    <w:rsid w:val="0D212A69"/>
    <w:rsid w:val="0D2A6219"/>
    <w:rsid w:val="0D5B4CE4"/>
    <w:rsid w:val="0D6410E6"/>
    <w:rsid w:val="0D9E1BF9"/>
    <w:rsid w:val="0DAE4995"/>
    <w:rsid w:val="0DFE4147"/>
    <w:rsid w:val="0E1D7630"/>
    <w:rsid w:val="0E4E24C7"/>
    <w:rsid w:val="0E7807EA"/>
    <w:rsid w:val="0E891407"/>
    <w:rsid w:val="0EA21857"/>
    <w:rsid w:val="0EB90492"/>
    <w:rsid w:val="0EC10F4B"/>
    <w:rsid w:val="0F3219AD"/>
    <w:rsid w:val="0F674FC1"/>
    <w:rsid w:val="0F993A87"/>
    <w:rsid w:val="0FB57851"/>
    <w:rsid w:val="0FFA520D"/>
    <w:rsid w:val="0FFB3E98"/>
    <w:rsid w:val="10243135"/>
    <w:rsid w:val="10477685"/>
    <w:rsid w:val="10676F2A"/>
    <w:rsid w:val="111119AC"/>
    <w:rsid w:val="1135068D"/>
    <w:rsid w:val="113D6FD6"/>
    <w:rsid w:val="117669F0"/>
    <w:rsid w:val="11862EAF"/>
    <w:rsid w:val="11D1155B"/>
    <w:rsid w:val="11D55BEA"/>
    <w:rsid w:val="11EA2F9D"/>
    <w:rsid w:val="123A7874"/>
    <w:rsid w:val="124B6500"/>
    <w:rsid w:val="126F7DC1"/>
    <w:rsid w:val="12985080"/>
    <w:rsid w:val="12FB1844"/>
    <w:rsid w:val="13053647"/>
    <w:rsid w:val="133406F6"/>
    <w:rsid w:val="133C1702"/>
    <w:rsid w:val="133E4F0A"/>
    <w:rsid w:val="13532276"/>
    <w:rsid w:val="135B222B"/>
    <w:rsid w:val="139B1BB5"/>
    <w:rsid w:val="13CB32CC"/>
    <w:rsid w:val="13E33B84"/>
    <w:rsid w:val="13EC6B3D"/>
    <w:rsid w:val="14001CCC"/>
    <w:rsid w:val="14250ACC"/>
    <w:rsid w:val="14383ED4"/>
    <w:rsid w:val="143F673F"/>
    <w:rsid w:val="145F0E22"/>
    <w:rsid w:val="14780966"/>
    <w:rsid w:val="14A0693D"/>
    <w:rsid w:val="14F13F43"/>
    <w:rsid w:val="151F1FF0"/>
    <w:rsid w:val="1524665A"/>
    <w:rsid w:val="15594AC8"/>
    <w:rsid w:val="155D0DFF"/>
    <w:rsid w:val="15984704"/>
    <w:rsid w:val="159F6889"/>
    <w:rsid w:val="15AB6760"/>
    <w:rsid w:val="15E50ABD"/>
    <w:rsid w:val="15F86C35"/>
    <w:rsid w:val="16181E21"/>
    <w:rsid w:val="166C3862"/>
    <w:rsid w:val="167E041D"/>
    <w:rsid w:val="16E333FD"/>
    <w:rsid w:val="16F46A64"/>
    <w:rsid w:val="16F759D3"/>
    <w:rsid w:val="17083774"/>
    <w:rsid w:val="171A7742"/>
    <w:rsid w:val="173F2B97"/>
    <w:rsid w:val="17476F1B"/>
    <w:rsid w:val="17571232"/>
    <w:rsid w:val="17677677"/>
    <w:rsid w:val="17AF77ED"/>
    <w:rsid w:val="17B24F43"/>
    <w:rsid w:val="17C44286"/>
    <w:rsid w:val="17FD59EA"/>
    <w:rsid w:val="1800163F"/>
    <w:rsid w:val="185775F5"/>
    <w:rsid w:val="185D62F6"/>
    <w:rsid w:val="18F9239E"/>
    <w:rsid w:val="191A3D60"/>
    <w:rsid w:val="191F3EB3"/>
    <w:rsid w:val="192D66EC"/>
    <w:rsid w:val="19902EBE"/>
    <w:rsid w:val="19E02067"/>
    <w:rsid w:val="19E44E8B"/>
    <w:rsid w:val="1A305D35"/>
    <w:rsid w:val="1A531359"/>
    <w:rsid w:val="1A667215"/>
    <w:rsid w:val="1A73364E"/>
    <w:rsid w:val="1A8175B8"/>
    <w:rsid w:val="1ADE773D"/>
    <w:rsid w:val="1B8575B5"/>
    <w:rsid w:val="1C184346"/>
    <w:rsid w:val="1C362240"/>
    <w:rsid w:val="1C855229"/>
    <w:rsid w:val="1C870A90"/>
    <w:rsid w:val="1CBA5E8A"/>
    <w:rsid w:val="1D3A3872"/>
    <w:rsid w:val="1D485C24"/>
    <w:rsid w:val="1DA544AC"/>
    <w:rsid w:val="1DCA029F"/>
    <w:rsid w:val="1E170944"/>
    <w:rsid w:val="1E5D696C"/>
    <w:rsid w:val="1E6677EF"/>
    <w:rsid w:val="1E802B84"/>
    <w:rsid w:val="1ECC2CA1"/>
    <w:rsid w:val="1EDE2639"/>
    <w:rsid w:val="1F65214A"/>
    <w:rsid w:val="1FBA383C"/>
    <w:rsid w:val="20190227"/>
    <w:rsid w:val="203D5474"/>
    <w:rsid w:val="204A115E"/>
    <w:rsid w:val="208930AB"/>
    <w:rsid w:val="20926387"/>
    <w:rsid w:val="20A17273"/>
    <w:rsid w:val="20D07406"/>
    <w:rsid w:val="211C7CC6"/>
    <w:rsid w:val="21311F94"/>
    <w:rsid w:val="21BF226C"/>
    <w:rsid w:val="221C2D39"/>
    <w:rsid w:val="225D4805"/>
    <w:rsid w:val="225E7D16"/>
    <w:rsid w:val="2271058E"/>
    <w:rsid w:val="22A5587A"/>
    <w:rsid w:val="22F337B3"/>
    <w:rsid w:val="232A23B4"/>
    <w:rsid w:val="237A7416"/>
    <w:rsid w:val="237E1E86"/>
    <w:rsid w:val="239F41B2"/>
    <w:rsid w:val="23BF162E"/>
    <w:rsid w:val="23C10403"/>
    <w:rsid w:val="23E27C97"/>
    <w:rsid w:val="23F96B55"/>
    <w:rsid w:val="241A4F26"/>
    <w:rsid w:val="241D3C97"/>
    <w:rsid w:val="2452747C"/>
    <w:rsid w:val="248049FF"/>
    <w:rsid w:val="248E0112"/>
    <w:rsid w:val="24B56371"/>
    <w:rsid w:val="24C529C0"/>
    <w:rsid w:val="24FB4AED"/>
    <w:rsid w:val="25495F6A"/>
    <w:rsid w:val="2566090C"/>
    <w:rsid w:val="25730473"/>
    <w:rsid w:val="25C16668"/>
    <w:rsid w:val="25C7306F"/>
    <w:rsid w:val="26293CDC"/>
    <w:rsid w:val="262E0E71"/>
    <w:rsid w:val="265A248A"/>
    <w:rsid w:val="26780160"/>
    <w:rsid w:val="26D833A4"/>
    <w:rsid w:val="27254DBB"/>
    <w:rsid w:val="27594245"/>
    <w:rsid w:val="276D7CD5"/>
    <w:rsid w:val="27B27E0A"/>
    <w:rsid w:val="281954D5"/>
    <w:rsid w:val="28BD7A0E"/>
    <w:rsid w:val="28C61AEE"/>
    <w:rsid w:val="290128A7"/>
    <w:rsid w:val="29364328"/>
    <w:rsid w:val="297D72EB"/>
    <w:rsid w:val="29E50CD3"/>
    <w:rsid w:val="2A2C045B"/>
    <w:rsid w:val="2A4C6E93"/>
    <w:rsid w:val="2A5704B3"/>
    <w:rsid w:val="2A580427"/>
    <w:rsid w:val="2AC40405"/>
    <w:rsid w:val="2B0E5E67"/>
    <w:rsid w:val="2B270277"/>
    <w:rsid w:val="2B4E35F0"/>
    <w:rsid w:val="2B550C2B"/>
    <w:rsid w:val="2BC51A2D"/>
    <w:rsid w:val="2BE04D2A"/>
    <w:rsid w:val="2C25055D"/>
    <w:rsid w:val="2C6408C5"/>
    <w:rsid w:val="2CB66690"/>
    <w:rsid w:val="2CCC0563"/>
    <w:rsid w:val="2CD109C3"/>
    <w:rsid w:val="2CFD00DE"/>
    <w:rsid w:val="2D1041BF"/>
    <w:rsid w:val="2DBD73FD"/>
    <w:rsid w:val="2E0025B7"/>
    <w:rsid w:val="2E5B34B7"/>
    <w:rsid w:val="2F367242"/>
    <w:rsid w:val="2FB648D3"/>
    <w:rsid w:val="2FCE12FE"/>
    <w:rsid w:val="2FF2729C"/>
    <w:rsid w:val="2FFC196E"/>
    <w:rsid w:val="300D2006"/>
    <w:rsid w:val="301E3E41"/>
    <w:rsid w:val="30324E51"/>
    <w:rsid w:val="307C7839"/>
    <w:rsid w:val="30815098"/>
    <w:rsid w:val="30BD38BF"/>
    <w:rsid w:val="30C562A8"/>
    <w:rsid w:val="30D51C81"/>
    <w:rsid w:val="31037870"/>
    <w:rsid w:val="310912E1"/>
    <w:rsid w:val="31486CC1"/>
    <w:rsid w:val="31B41025"/>
    <w:rsid w:val="32053735"/>
    <w:rsid w:val="322820BD"/>
    <w:rsid w:val="3238453E"/>
    <w:rsid w:val="32421233"/>
    <w:rsid w:val="32DE3277"/>
    <w:rsid w:val="3351294D"/>
    <w:rsid w:val="335C58C6"/>
    <w:rsid w:val="337A18F0"/>
    <w:rsid w:val="337B597C"/>
    <w:rsid w:val="33956C08"/>
    <w:rsid w:val="339B2250"/>
    <w:rsid w:val="33AB1956"/>
    <w:rsid w:val="33D443F0"/>
    <w:rsid w:val="343770BA"/>
    <w:rsid w:val="34491710"/>
    <w:rsid w:val="34B53604"/>
    <w:rsid w:val="34FC7A93"/>
    <w:rsid w:val="35132056"/>
    <w:rsid w:val="35406F57"/>
    <w:rsid w:val="35442278"/>
    <w:rsid w:val="35542198"/>
    <w:rsid w:val="35564B31"/>
    <w:rsid w:val="358433EE"/>
    <w:rsid w:val="358D49BE"/>
    <w:rsid w:val="35D67476"/>
    <w:rsid w:val="35D7029E"/>
    <w:rsid w:val="35FB365D"/>
    <w:rsid w:val="365F3CF0"/>
    <w:rsid w:val="36642EAD"/>
    <w:rsid w:val="367C42F6"/>
    <w:rsid w:val="367C4319"/>
    <w:rsid w:val="36A214F6"/>
    <w:rsid w:val="36A936AC"/>
    <w:rsid w:val="36AE1EFB"/>
    <w:rsid w:val="36F346E6"/>
    <w:rsid w:val="372D40D3"/>
    <w:rsid w:val="37476FA9"/>
    <w:rsid w:val="37593B8B"/>
    <w:rsid w:val="37631E84"/>
    <w:rsid w:val="377F7D2F"/>
    <w:rsid w:val="378E63D0"/>
    <w:rsid w:val="37A755B4"/>
    <w:rsid w:val="37D820E0"/>
    <w:rsid w:val="37E6447E"/>
    <w:rsid w:val="3822262D"/>
    <w:rsid w:val="382C037A"/>
    <w:rsid w:val="3865203A"/>
    <w:rsid w:val="38770E17"/>
    <w:rsid w:val="3890651C"/>
    <w:rsid w:val="38A863BA"/>
    <w:rsid w:val="39033173"/>
    <w:rsid w:val="394A5440"/>
    <w:rsid w:val="397E0BDB"/>
    <w:rsid w:val="39A6253C"/>
    <w:rsid w:val="3A025DAC"/>
    <w:rsid w:val="3AB17520"/>
    <w:rsid w:val="3B501654"/>
    <w:rsid w:val="3BA75915"/>
    <w:rsid w:val="3C383619"/>
    <w:rsid w:val="3C47659F"/>
    <w:rsid w:val="3C500BAD"/>
    <w:rsid w:val="3C504F08"/>
    <w:rsid w:val="3C60092E"/>
    <w:rsid w:val="3CBB6FA3"/>
    <w:rsid w:val="3CDB0EDC"/>
    <w:rsid w:val="3D040CDA"/>
    <w:rsid w:val="3D1732E5"/>
    <w:rsid w:val="3D2C512C"/>
    <w:rsid w:val="3D570C4C"/>
    <w:rsid w:val="3DB27E4D"/>
    <w:rsid w:val="3E4B0C08"/>
    <w:rsid w:val="3E8B4C14"/>
    <w:rsid w:val="3ECF7ACE"/>
    <w:rsid w:val="3ED14262"/>
    <w:rsid w:val="3EED7FFC"/>
    <w:rsid w:val="3F1F1B49"/>
    <w:rsid w:val="3F2E28E3"/>
    <w:rsid w:val="3F3467CC"/>
    <w:rsid w:val="3F5C3E49"/>
    <w:rsid w:val="3F5E0E11"/>
    <w:rsid w:val="40425568"/>
    <w:rsid w:val="404B1EE4"/>
    <w:rsid w:val="40887CA0"/>
    <w:rsid w:val="40F17EE9"/>
    <w:rsid w:val="40F3327D"/>
    <w:rsid w:val="40FB327F"/>
    <w:rsid w:val="4106775C"/>
    <w:rsid w:val="412B5E67"/>
    <w:rsid w:val="413878ED"/>
    <w:rsid w:val="41412C24"/>
    <w:rsid w:val="419031DB"/>
    <w:rsid w:val="41DC2F67"/>
    <w:rsid w:val="4204633D"/>
    <w:rsid w:val="423C3799"/>
    <w:rsid w:val="423D0BFA"/>
    <w:rsid w:val="425B5012"/>
    <w:rsid w:val="426C2096"/>
    <w:rsid w:val="4280285B"/>
    <w:rsid w:val="42897B4E"/>
    <w:rsid w:val="42964617"/>
    <w:rsid w:val="42A31AC3"/>
    <w:rsid w:val="42C451B6"/>
    <w:rsid w:val="42CB1B88"/>
    <w:rsid w:val="42D26FBA"/>
    <w:rsid w:val="432727B9"/>
    <w:rsid w:val="43697F5F"/>
    <w:rsid w:val="436E2BF3"/>
    <w:rsid w:val="437E24F6"/>
    <w:rsid w:val="43B40E86"/>
    <w:rsid w:val="43EA4BF8"/>
    <w:rsid w:val="43F11C88"/>
    <w:rsid w:val="442F6E6F"/>
    <w:rsid w:val="4504720F"/>
    <w:rsid w:val="451710FE"/>
    <w:rsid w:val="45226174"/>
    <w:rsid w:val="454025A2"/>
    <w:rsid w:val="45E76B23"/>
    <w:rsid w:val="45E92DE4"/>
    <w:rsid w:val="45F02A71"/>
    <w:rsid w:val="46195C5A"/>
    <w:rsid w:val="4675498D"/>
    <w:rsid w:val="46F43E02"/>
    <w:rsid w:val="4719292D"/>
    <w:rsid w:val="47346F69"/>
    <w:rsid w:val="47785652"/>
    <w:rsid w:val="47AE53CB"/>
    <w:rsid w:val="47C15101"/>
    <w:rsid w:val="47E25E0C"/>
    <w:rsid w:val="47F1411A"/>
    <w:rsid w:val="48035D9C"/>
    <w:rsid w:val="481E3746"/>
    <w:rsid w:val="488F07D0"/>
    <w:rsid w:val="48A51915"/>
    <w:rsid w:val="48AA2599"/>
    <w:rsid w:val="48B576DB"/>
    <w:rsid w:val="48D700E8"/>
    <w:rsid w:val="48E22B5C"/>
    <w:rsid w:val="48F404C5"/>
    <w:rsid w:val="49362EAA"/>
    <w:rsid w:val="49637560"/>
    <w:rsid w:val="49663A4E"/>
    <w:rsid w:val="496857C4"/>
    <w:rsid w:val="4982569D"/>
    <w:rsid w:val="49AF2109"/>
    <w:rsid w:val="49D943E2"/>
    <w:rsid w:val="4A584382"/>
    <w:rsid w:val="4AB477CA"/>
    <w:rsid w:val="4ABF6941"/>
    <w:rsid w:val="4AF44242"/>
    <w:rsid w:val="4B16102F"/>
    <w:rsid w:val="4B4F73AD"/>
    <w:rsid w:val="4B721D9A"/>
    <w:rsid w:val="4BD24D2C"/>
    <w:rsid w:val="4C1F23ED"/>
    <w:rsid w:val="4C374C9B"/>
    <w:rsid w:val="4C466682"/>
    <w:rsid w:val="4C613CA9"/>
    <w:rsid w:val="4C776DC2"/>
    <w:rsid w:val="4C9C7545"/>
    <w:rsid w:val="4CA5325B"/>
    <w:rsid w:val="4D077511"/>
    <w:rsid w:val="4D2A5FC4"/>
    <w:rsid w:val="4D456C2B"/>
    <w:rsid w:val="4D493070"/>
    <w:rsid w:val="4D5B517B"/>
    <w:rsid w:val="4D5E5A63"/>
    <w:rsid w:val="4DA77422"/>
    <w:rsid w:val="4E0912A1"/>
    <w:rsid w:val="4E3D4943"/>
    <w:rsid w:val="4E4C31DB"/>
    <w:rsid w:val="4E520E56"/>
    <w:rsid w:val="4E7E7D46"/>
    <w:rsid w:val="4ED745E8"/>
    <w:rsid w:val="4EF75C5D"/>
    <w:rsid w:val="4F597C48"/>
    <w:rsid w:val="4FA13CD5"/>
    <w:rsid w:val="4FCD4229"/>
    <w:rsid w:val="4FE13884"/>
    <w:rsid w:val="4FE36592"/>
    <w:rsid w:val="4FE472D6"/>
    <w:rsid w:val="4FFA0B79"/>
    <w:rsid w:val="50457F20"/>
    <w:rsid w:val="504F5F34"/>
    <w:rsid w:val="505A2472"/>
    <w:rsid w:val="508064A9"/>
    <w:rsid w:val="50AF5EF2"/>
    <w:rsid w:val="50C65723"/>
    <w:rsid w:val="51066AF9"/>
    <w:rsid w:val="510B76C8"/>
    <w:rsid w:val="51674BB4"/>
    <w:rsid w:val="516A06FE"/>
    <w:rsid w:val="51706697"/>
    <w:rsid w:val="518564EB"/>
    <w:rsid w:val="51D12F3D"/>
    <w:rsid w:val="520D2372"/>
    <w:rsid w:val="524C6481"/>
    <w:rsid w:val="5251778F"/>
    <w:rsid w:val="528678B1"/>
    <w:rsid w:val="528F4E21"/>
    <w:rsid w:val="52CC3426"/>
    <w:rsid w:val="52CE4C84"/>
    <w:rsid w:val="52F9396E"/>
    <w:rsid w:val="5312562C"/>
    <w:rsid w:val="53D71F1B"/>
    <w:rsid w:val="53DF0DAF"/>
    <w:rsid w:val="5400479B"/>
    <w:rsid w:val="54115387"/>
    <w:rsid w:val="543B4E86"/>
    <w:rsid w:val="544A05C3"/>
    <w:rsid w:val="5457607E"/>
    <w:rsid w:val="546578E3"/>
    <w:rsid w:val="548712CA"/>
    <w:rsid w:val="54905667"/>
    <w:rsid w:val="54A44A46"/>
    <w:rsid w:val="54B14179"/>
    <w:rsid w:val="54B606E1"/>
    <w:rsid w:val="54DC1A5E"/>
    <w:rsid w:val="550F45E8"/>
    <w:rsid w:val="551230CA"/>
    <w:rsid w:val="552A78E6"/>
    <w:rsid w:val="5553398A"/>
    <w:rsid w:val="555D53DC"/>
    <w:rsid w:val="55D67E81"/>
    <w:rsid w:val="55DC3577"/>
    <w:rsid w:val="561A74BC"/>
    <w:rsid w:val="56356467"/>
    <w:rsid w:val="563F30EA"/>
    <w:rsid w:val="56520750"/>
    <w:rsid w:val="56817B25"/>
    <w:rsid w:val="56AA2122"/>
    <w:rsid w:val="56BA2DE3"/>
    <w:rsid w:val="56D1293B"/>
    <w:rsid w:val="574D206B"/>
    <w:rsid w:val="577E777A"/>
    <w:rsid w:val="57865956"/>
    <w:rsid w:val="578B558F"/>
    <w:rsid w:val="582A4ABB"/>
    <w:rsid w:val="58356C5E"/>
    <w:rsid w:val="58AA0A84"/>
    <w:rsid w:val="59274F8D"/>
    <w:rsid w:val="592B6AEA"/>
    <w:rsid w:val="593C3567"/>
    <w:rsid w:val="595363D4"/>
    <w:rsid w:val="596C14E7"/>
    <w:rsid w:val="598A39F6"/>
    <w:rsid w:val="59AE73C0"/>
    <w:rsid w:val="5A045947"/>
    <w:rsid w:val="5A102C5F"/>
    <w:rsid w:val="5A330A81"/>
    <w:rsid w:val="5A595661"/>
    <w:rsid w:val="5A663D30"/>
    <w:rsid w:val="5AAA34A2"/>
    <w:rsid w:val="5ADD4BF3"/>
    <w:rsid w:val="5B131433"/>
    <w:rsid w:val="5B7139A2"/>
    <w:rsid w:val="5B8442AC"/>
    <w:rsid w:val="5B937CC4"/>
    <w:rsid w:val="5BB3540B"/>
    <w:rsid w:val="5BE06141"/>
    <w:rsid w:val="5C705937"/>
    <w:rsid w:val="5C7419DB"/>
    <w:rsid w:val="5C7870E8"/>
    <w:rsid w:val="5C7E31D7"/>
    <w:rsid w:val="5CC478D6"/>
    <w:rsid w:val="5CC719BA"/>
    <w:rsid w:val="5D1C1491"/>
    <w:rsid w:val="5D2C60F4"/>
    <w:rsid w:val="5D48702D"/>
    <w:rsid w:val="5DD94FC3"/>
    <w:rsid w:val="5E094B29"/>
    <w:rsid w:val="5E19754C"/>
    <w:rsid w:val="5E306F9C"/>
    <w:rsid w:val="5EC50B04"/>
    <w:rsid w:val="5EE77B92"/>
    <w:rsid w:val="5F0C18E2"/>
    <w:rsid w:val="5FB0265A"/>
    <w:rsid w:val="5FBB5C28"/>
    <w:rsid w:val="5FC47A71"/>
    <w:rsid w:val="5FF01B4D"/>
    <w:rsid w:val="5FF1523C"/>
    <w:rsid w:val="5FF522DF"/>
    <w:rsid w:val="6034754D"/>
    <w:rsid w:val="604626CA"/>
    <w:rsid w:val="60CD7F53"/>
    <w:rsid w:val="60D57F99"/>
    <w:rsid w:val="60DE116A"/>
    <w:rsid w:val="61030277"/>
    <w:rsid w:val="613B2646"/>
    <w:rsid w:val="613E1A0B"/>
    <w:rsid w:val="6173619D"/>
    <w:rsid w:val="61B94616"/>
    <w:rsid w:val="621E2AF8"/>
    <w:rsid w:val="626961AE"/>
    <w:rsid w:val="62CC638E"/>
    <w:rsid w:val="64050BB7"/>
    <w:rsid w:val="642022A2"/>
    <w:rsid w:val="646702D2"/>
    <w:rsid w:val="64B0311C"/>
    <w:rsid w:val="64CC66ED"/>
    <w:rsid w:val="64DA7BB5"/>
    <w:rsid w:val="65563E54"/>
    <w:rsid w:val="656B5282"/>
    <w:rsid w:val="6570537B"/>
    <w:rsid w:val="65966D25"/>
    <w:rsid w:val="65A72DE1"/>
    <w:rsid w:val="66077809"/>
    <w:rsid w:val="662507FC"/>
    <w:rsid w:val="662609EA"/>
    <w:rsid w:val="66696441"/>
    <w:rsid w:val="668A7680"/>
    <w:rsid w:val="66974F6A"/>
    <w:rsid w:val="670F0A2D"/>
    <w:rsid w:val="67761197"/>
    <w:rsid w:val="677C5774"/>
    <w:rsid w:val="67C62342"/>
    <w:rsid w:val="68283E04"/>
    <w:rsid w:val="687173B8"/>
    <w:rsid w:val="68C73207"/>
    <w:rsid w:val="694567DC"/>
    <w:rsid w:val="695C4489"/>
    <w:rsid w:val="69831748"/>
    <w:rsid w:val="69CD43EE"/>
    <w:rsid w:val="69E36FB2"/>
    <w:rsid w:val="6A0F0E8C"/>
    <w:rsid w:val="6A2E5D0A"/>
    <w:rsid w:val="6A59734A"/>
    <w:rsid w:val="6A9B7ACC"/>
    <w:rsid w:val="6AF63EBD"/>
    <w:rsid w:val="6AFC118B"/>
    <w:rsid w:val="6B081FF5"/>
    <w:rsid w:val="6B384A56"/>
    <w:rsid w:val="6B610326"/>
    <w:rsid w:val="6BE8251D"/>
    <w:rsid w:val="6BEE1E7E"/>
    <w:rsid w:val="6BF67F65"/>
    <w:rsid w:val="6CDE386C"/>
    <w:rsid w:val="6D327A7A"/>
    <w:rsid w:val="6D3E3768"/>
    <w:rsid w:val="6DB21B51"/>
    <w:rsid w:val="6E194ADF"/>
    <w:rsid w:val="6E26280A"/>
    <w:rsid w:val="6E5D1FA9"/>
    <w:rsid w:val="6F0649EE"/>
    <w:rsid w:val="6F211DF3"/>
    <w:rsid w:val="6F5E7AED"/>
    <w:rsid w:val="6F740D92"/>
    <w:rsid w:val="6F984A86"/>
    <w:rsid w:val="6FD10860"/>
    <w:rsid w:val="6FF00DB7"/>
    <w:rsid w:val="7043721F"/>
    <w:rsid w:val="70541253"/>
    <w:rsid w:val="706561BF"/>
    <w:rsid w:val="7071020E"/>
    <w:rsid w:val="708A2DB1"/>
    <w:rsid w:val="709033E9"/>
    <w:rsid w:val="709D458D"/>
    <w:rsid w:val="70A347A6"/>
    <w:rsid w:val="70B32F13"/>
    <w:rsid w:val="70CE22F9"/>
    <w:rsid w:val="70F441BC"/>
    <w:rsid w:val="70F501D0"/>
    <w:rsid w:val="71643BFB"/>
    <w:rsid w:val="71770940"/>
    <w:rsid w:val="71D95463"/>
    <w:rsid w:val="721F7604"/>
    <w:rsid w:val="722D17A1"/>
    <w:rsid w:val="722F6214"/>
    <w:rsid w:val="725175E4"/>
    <w:rsid w:val="7270015F"/>
    <w:rsid w:val="72733F96"/>
    <w:rsid w:val="7297468D"/>
    <w:rsid w:val="729E01C9"/>
    <w:rsid w:val="72A33176"/>
    <w:rsid w:val="72EB73C4"/>
    <w:rsid w:val="72F101F0"/>
    <w:rsid w:val="733B1BD3"/>
    <w:rsid w:val="73403821"/>
    <w:rsid w:val="73522E25"/>
    <w:rsid w:val="73641C11"/>
    <w:rsid w:val="73AA5EFF"/>
    <w:rsid w:val="73AD3255"/>
    <w:rsid w:val="73BC2AE2"/>
    <w:rsid w:val="73C152E8"/>
    <w:rsid w:val="73EE70A7"/>
    <w:rsid w:val="7423580B"/>
    <w:rsid w:val="742700D9"/>
    <w:rsid w:val="744D1C62"/>
    <w:rsid w:val="74C96611"/>
    <w:rsid w:val="74F27A26"/>
    <w:rsid w:val="74F8749A"/>
    <w:rsid w:val="756669E6"/>
    <w:rsid w:val="75963A31"/>
    <w:rsid w:val="75D53EB1"/>
    <w:rsid w:val="7656600A"/>
    <w:rsid w:val="7657517F"/>
    <w:rsid w:val="7678221C"/>
    <w:rsid w:val="76E0610B"/>
    <w:rsid w:val="77093919"/>
    <w:rsid w:val="770E4C5A"/>
    <w:rsid w:val="771E0696"/>
    <w:rsid w:val="772327DB"/>
    <w:rsid w:val="774B1F62"/>
    <w:rsid w:val="77E15781"/>
    <w:rsid w:val="782A0710"/>
    <w:rsid w:val="784E5265"/>
    <w:rsid w:val="787F53F8"/>
    <w:rsid w:val="78BB0DB7"/>
    <w:rsid w:val="78CC4740"/>
    <w:rsid w:val="78EA11B2"/>
    <w:rsid w:val="792D193F"/>
    <w:rsid w:val="79344CBB"/>
    <w:rsid w:val="7953212F"/>
    <w:rsid w:val="7968147E"/>
    <w:rsid w:val="79A745BE"/>
    <w:rsid w:val="79C34747"/>
    <w:rsid w:val="79D43D96"/>
    <w:rsid w:val="7A3E244D"/>
    <w:rsid w:val="7A95235D"/>
    <w:rsid w:val="7AFF2B54"/>
    <w:rsid w:val="7B294FD9"/>
    <w:rsid w:val="7B3B3DC4"/>
    <w:rsid w:val="7B627DE6"/>
    <w:rsid w:val="7B666FE4"/>
    <w:rsid w:val="7BB21B5D"/>
    <w:rsid w:val="7BB9407E"/>
    <w:rsid w:val="7C57567A"/>
    <w:rsid w:val="7C696AA9"/>
    <w:rsid w:val="7C770785"/>
    <w:rsid w:val="7C8D5BCE"/>
    <w:rsid w:val="7C9361F3"/>
    <w:rsid w:val="7D403602"/>
    <w:rsid w:val="7D9E3AA1"/>
    <w:rsid w:val="7DAE0C15"/>
    <w:rsid w:val="7DF40323"/>
    <w:rsid w:val="7E135457"/>
    <w:rsid w:val="7E3013A8"/>
    <w:rsid w:val="7E52118D"/>
    <w:rsid w:val="7E5D338D"/>
    <w:rsid w:val="7E67047C"/>
    <w:rsid w:val="7E7B2C16"/>
    <w:rsid w:val="7E866B7A"/>
    <w:rsid w:val="7EBE700F"/>
    <w:rsid w:val="7EE721FD"/>
    <w:rsid w:val="7F4F0C77"/>
    <w:rsid w:val="7F7832D1"/>
    <w:rsid w:val="7F7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360" w:lineRule="auto"/>
      <w:jc w:val="center"/>
      <w:outlineLvl w:val="1"/>
    </w:pPr>
    <w:rPr>
      <w:rFonts w:ascii="宋体" w:hAnsi="Arial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200" w:firstLineChars="200"/>
    </w:pPr>
    <w:rPr>
      <w:kern w:val="0"/>
      <w:sz w:val="24"/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Char Char14"/>
    <w:basedOn w:val="1"/>
    <w:qFormat/>
    <w:uiPriority w:val="0"/>
    <w:rPr>
      <w:sz w:val="24"/>
    </w:rPr>
  </w:style>
  <w:style w:type="paragraph" w:customStyle="1" w:styleId="17">
    <w:name w:val="无间隔1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11"/>
    <w:link w:val="17"/>
    <w:qFormat/>
    <w:uiPriority w:val="1"/>
    <w:rPr>
      <w:kern w:val="0"/>
      <w:sz w:val="22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11"/>
    <w:basedOn w:val="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0208D9-897A-4A9D-A9AA-A3D7F19DC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3130</Words>
  <Characters>3657</Characters>
  <Lines>30</Lines>
  <Paragraphs>8</Paragraphs>
  <TotalTime>37</TotalTime>
  <ScaleCrop>false</ScaleCrop>
  <LinksUpToDate>false</LinksUpToDate>
  <CharactersWithSpaces>3737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2017-07-24T06:47:00Z</dcterms:created>
  <dc:creator>zc</dc:creator>
  <cp:lastModifiedBy>Administrator</cp:lastModifiedBy>
  <cp:lastPrinted>2021-09-09T01:46:00Z</cp:lastPrinted>
  <dcterms:modified xsi:type="dcterms:W3CDTF">2022-12-13T09:05:21Z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814DF4B5F4FB4639B02E4CF2B0F52B7A</vt:lpwstr>
  </property>
</Properties>
</file>