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jc w:val="center"/>
        <w:rPr>
          <w:rFonts w:hAnsi="宋体"/>
          <w:b/>
          <w:bCs/>
          <w:sz w:val="52"/>
          <w:szCs w:val="52"/>
          <w:highlight w:val="none"/>
        </w:rPr>
      </w:pPr>
      <w:r>
        <w:rPr>
          <w:rFonts w:hint="eastAsia" w:hAnsi="宋体"/>
          <w:b/>
          <w:sz w:val="52"/>
          <w:szCs w:val="52"/>
          <w:highlight w:val="none"/>
        </w:rPr>
        <w:t>长沙市轨道交通运营有限公司</w:t>
      </w:r>
    </w:p>
    <w:p>
      <w:pPr>
        <w:pStyle w:val="27"/>
        <w:adjustRightInd w:val="0"/>
        <w:snapToGrid w:val="0"/>
        <w:spacing w:line="360" w:lineRule="auto"/>
        <w:jc w:val="center"/>
        <w:rPr>
          <w:rFonts w:hAnsi="宋体"/>
          <w:b/>
          <w:sz w:val="52"/>
          <w:szCs w:val="52"/>
          <w:highlight w:val="none"/>
        </w:rPr>
      </w:pPr>
      <w:r>
        <w:rPr>
          <w:rFonts w:hint="eastAsia" w:hAnsi="宋体"/>
          <w:b/>
          <w:sz w:val="52"/>
          <w:szCs w:val="52"/>
          <w:highlight w:val="none"/>
        </w:rPr>
        <w:t>自主竞争性谈判文件</w:t>
      </w:r>
    </w:p>
    <w:p>
      <w:pPr>
        <w:pStyle w:val="27"/>
        <w:adjustRightInd w:val="0"/>
        <w:snapToGrid w:val="0"/>
        <w:spacing w:before="159" w:beforeLines="50" w:line="360" w:lineRule="auto"/>
        <w:rPr>
          <w:b/>
          <w:sz w:val="32"/>
          <w:szCs w:val="32"/>
          <w:highlight w:val="none"/>
        </w:rPr>
      </w:pPr>
    </w:p>
    <w:p>
      <w:pPr>
        <w:pStyle w:val="27"/>
        <w:adjustRightInd w:val="0"/>
        <w:snapToGrid w:val="0"/>
        <w:spacing w:line="360" w:lineRule="auto"/>
        <w:rPr>
          <w:rFonts w:ascii="华文中宋" w:hAnsi="华文中宋" w:eastAsia="华文中宋"/>
          <w:sz w:val="32"/>
          <w:szCs w:val="32"/>
          <w:highlight w:val="none"/>
        </w:rPr>
      </w:pPr>
    </w:p>
    <w:p>
      <w:pPr>
        <w:spacing w:line="360" w:lineRule="auto"/>
        <w:ind w:firstLine="321" w:firstLineChars="100"/>
        <w:jc w:val="left"/>
        <w:rPr>
          <w:rFonts w:hint="eastAsia" w:ascii="宋体" w:hAnsi="宋体" w:cs="Courier New"/>
          <w:b/>
          <w:sz w:val="32"/>
          <w:szCs w:val="21"/>
          <w:highlight w:val="none"/>
          <w:u w:val="single"/>
        </w:rPr>
      </w:pPr>
      <w:r>
        <w:rPr>
          <w:rFonts w:hint="eastAsia" w:ascii="宋体" w:hAnsi="宋体" w:cs="Courier New"/>
          <w:b/>
          <w:sz w:val="32"/>
          <w:szCs w:val="21"/>
          <w:highlight w:val="none"/>
        </w:rPr>
        <w:t>谈判项目名称：</w:t>
      </w:r>
      <w:r>
        <w:rPr>
          <w:rFonts w:hint="eastAsia" w:ascii="宋体" w:hAnsi="宋体" w:cs="Courier New"/>
          <w:b/>
          <w:sz w:val="32"/>
          <w:szCs w:val="21"/>
          <w:highlight w:val="none"/>
          <w:u w:val="single"/>
        </w:rPr>
        <w:t>长沙市轨道交通运营有限公司西环线</w:t>
      </w:r>
    </w:p>
    <w:p>
      <w:pPr>
        <w:spacing w:line="360" w:lineRule="auto"/>
        <w:ind w:left="0" w:leftChars="0" w:firstLine="2570" w:firstLineChars="800"/>
        <w:jc w:val="left"/>
        <w:rPr>
          <w:rFonts w:ascii="宋体" w:hAnsi="宋体" w:cs="Courier New"/>
          <w:b/>
          <w:sz w:val="32"/>
          <w:szCs w:val="21"/>
          <w:highlight w:val="none"/>
          <w:u w:val="single"/>
        </w:rPr>
      </w:pPr>
      <w:r>
        <w:rPr>
          <w:rFonts w:hint="eastAsia" w:ascii="宋体" w:hAnsi="宋体" w:cs="Courier New"/>
          <w:b/>
          <w:sz w:val="32"/>
          <w:szCs w:val="21"/>
          <w:highlight w:val="none"/>
          <w:u w:val="single"/>
        </w:rPr>
        <w:t>2023-2024年保险服务项目</w:t>
      </w:r>
    </w:p>
    <w:p>
      <w:pPr>
        <w:spacing w:line="360" w:lineRule="auto"/>
        <w:ind w:left="2240" w:firstLine="321" w:firstLineChars="100"/>
        <w:jc w:val="left"/>
        <w:rPr>
          <w:rFonts w:ascii="宋体" w:hAnsi="宋体" w:cs="Courier New"/>
          <w:b/>
          <w:sz w:val="32"/>
          <w:szCs w:val="21"/>
          <w:highlight w:val="none"/>
        </w:rPr>
      </w:pPr>
    </w:p>
    <w:p>
      <w:pPr>
        <w:pStyle w:val="27"/>
        <w:adjustRightInd w:val="0"/>
        <w:snapToGrid w:val="0"/>
        <w:spacing w:line="360" w:lineRule="auto"/>
        <w:ind w:firstLine="321" w:firstLineChars="100"/>
        <w:jc w:val="left"/>
        <w:rPr>
          <w:rFonts w:hAnsi="宋体" w:cs="宋体"/>
          <w:b/>
          <w:sz w:val="32"/>
          <w:highlight w:val="none"/>
        </w:rPr>
      </w:pPr>
      <w:r>
        <w:rPr>
          <w:rFonts w:hint="eastAsia" w:hAnsi="宋体"/>
          <w:b/>
          <w:sz w:val="32"/>
          <w:highlight w:val="none"/>
        </w:rPr>
        <w:t>采购单位名称：</w:t>
      </w:r>
      <w:r>
        <w:rPr>
          <w:rFonts w:hint="eastAsia" w:hAnsi="宋体"/>
          <w:b/>
          <w:sz w:val="32"/>
          <w:highlight w:val="none"/>
          <w:u w:val="single"/>
        </w:rPr>
        <w:t>长沙市轨道交通运营有限公司</w:t>
      </w:r>
    </w:p>
    <w:p>
      <w:pPr>
        <w:pStyle w:val="27"/>
        <w:adjustRightInd w:val="0"/>
        <w:snapToGrid w:val="0"/>
        <w:spacing w:line="360" w:lineRule="auto"/>
        <w:ind w:firstLine="321" w:firstLineChars="100"/>
        <w:jc w:val="left"/>
        <w:rPr>
          <w:rFonts w:hAnsi="宋体"/>
          <w:b/>
          <w:sz w:val="32"/>
          <w:highlight w:val="none"/>
        </w:rPr>
      </w:pPr>
    </w:p>
    <w:p>
      <w:pPr>
        <w:pStyle w:val="27"/>
        <w:adjustRightInd w:val="0"/>
        <w:snapToGrid w:val="0"/>
        <w:spacing w:line="360" w:lineRule="auto"/>
        <w:ind w:firstLine="321" w:firstLineChars="100"/>
        <w:jc w:val="left"/>
        <w:rPr>
          <w:rFonts w:hAnsi="宋体"/>
          <w:b/>
          <w:color w:val="FF0000"/>
          <w:sz w:val="32"/>
          <w:highlight w:val="none"/>
          <w:u w:val="single"/>
        </w:rPr>
      </w:pPr>
      <w:r>
        <w:rPr>
          <w:rFonts w:hint="eastAsia" w:hAnsi="宋体"/>
          <w:b/>
          <w:sz w:val="32"/>
          <w:highlight w:val="none"/>
        </w:rPr>
        <w:t>谈判项目编号：</w:t>
      </w:r>
      <w:r>
        <w:rPr>
          <w:rFonts w:hint="eastAsia" w:hAnsi="宋体"/>
          <w:b/>
          <w:sz w:val="32"/>
          <w:highlight w:val="none"/>
          <w:u w:val="single"/>
        </w:rPr>
        <w:t>长轨运服采【2022】</w:t>
      </w:r>
      <w:r>
        <w:rPr>
          <w:rFonts w:hint="eastAsia" w:hAnsi="宋体"/>
          <w:b/>
          <w:sz w:val="32"/>
          <w:highlight w:val="none"/>
          <w:u w:val="single"/>
          <w:lang w:val="en-US" w:eastAsia="zh-CN"/>
        </w:rPr>
        <w:t>43</w:t>
      </w:r>
      <w:r>
        <w:rPr>
          <w:rFonts w:hint="eastAsia" w:hAnsi="宋体"/>
          <w:b/>
          <w:sz w:val="32"/>
          <w:highlight w:val="none"/>
          <w:u w:val="single"/>
        </w:rPr>
        <w:t>号</w:t>
      </w:r>
    </w:p>
    <w:p>
      <w:pPr>
        <w:pStyle w:val="27"/>
        <w:adjustRightInd w:val="0"/>
        <w:snapToGrid w:val="0"/>
        <w:spacing w:before="159" w:beforeLines="50" w:line="360" w:lineRule="auto"/>
        <w:rPr>
          <w:b/>
          <w:sz w:val="32"/>
          <w:szCs w:val="32"/>
          <w:highlight w:val="none"/>
        </w:rPr>
      </w:pPr>
    </w:p>
    <w:p>
      <w:pPr>
        <w:pStyle w:val="27"/>
        <w:adjustRightInd w:val="0"/>
        <w:snapToGrid w:val="0"/>
        <w:spacing w:before="159" w:beforeLines="50" w:line="360" w:lineRule="auto"/>
        <w:rPr>
          <w:b/>
          <w:sz w:val="32"/>
          <w:szCs w:val="32"/>
          <w:highlight w:val="none"/>
        </w:rPr>
      </w:pPr>
    </w:p>
    <w:p>
      <w:pPr>
        <w:pStyle w:val="27"/>
        <w:adjustRightInd w:val="0"/>
        <w:snapToGrid w:val="0"/>
        <w:spacing w:line="360" w:lineRule="auto"/>
        <w:rPr>
          <w:rFonts w:ascii="仿宋_GB2312" w:hAnsi="宋体" w:eastAsia="仿宋_GB2312"/>
          <w:b/>
          <w:sz w:val="32"/>
          <w:highlight w:val="none"/>
        </w:rPr>
      </w:pPr>
    </w:p>
    <w:p>
      <w:pPr>
        <w:pStyle w:val="27"/>
        <w:adjustRightInd w:val="0"/>
        <w:snapToGrid w:val="0"/>
        <w:spacing w:line="360" w:lineRule="auto"/>
        <w:rPr>
          <w:rFonts w:ascii="仿宋_GB2312" w:hAnsi="宋体" w:eastAsia="仿宋_GB2312"/>
          <w:b/>
          <w:sz w:val="32"/>
          <w:highlight w:val="none"/>
        </w:rPr>
      </w:pPr>
    </w:p>
    <w:p>
      <w:pPr>
        <w:pStyle w:val="27"/>
        <w:adjustRightInd w:val="0"/>
        <w:snapToGrid w:val="0"/>
        <w:spacing w:line="360" w:lineRule="auto"/>
        <w:rPr>
          <w:rFonts w:ascii="仿宋_GB2312" w:hAnsi="宋体" w:eastAsia="仿宋_GB2312"/>
          <w:b/>
          <w:sz w:val="32"/>
          <w:highlight w:val="none"/>
        </w:rPr>
      </w:pPr>
    </w:p>
    <w:p>
      <w:pPr>
        <w:pStyle w:val="27"/>
        <w:adjustRightInd w:val="0"/>
        <w:snapToGrid w:val="0"/>
        <w:spacing w:line="360" w:lineRule="auto"/>
        <w:rPr>
          <w:rFonts w:ascii="仿宋_GB2312" w:hAnsi="宋体" w:eastAsia="仿宋_GB2312"/>
          <w:bCs/>
          <w:sz w:val="32"/>
          <w:highlight w:val="none"/>
        </w:rPr>
      </w:pPr>
    </w:p>
    <w:p>
      <w:pPr>
        <w:pStyle w:val="27"/>
        <w:adjustRightInd w:val="0"/>
        <w:snapToGrid w:val="0"/>
        <w:spacing w:line="360" w:lineRule="auto"/>
        <w:jc w:val="center"/>
        <w:rPr>
          <w:rFonts w:hAnsi="宋体"/>
          <w:b/>
          <w:color w:val="auto"/>
          <w:sz w:val="32"/>
          <w:highlight w:val="none"/>
        </w:rPr>
      </w:pPr>
      <w:r>
        <w:rPr>
          <w:rFonts w:hint="eastAsia" w:hAnsi="宋体"/>
          <w:b/>
          <w:sz w:val="32"/>
          <w:highlight w:val="none"/>
        </w:rPr>
        <w:t>二〇二</w:t>
      </w:r>
      <w:r>
        <w:rPr>
          <w:rFonts w:hint="eastAsia" w:hAnsi="宋体"/>
          <w:b/>
          <w:sz w:val="32"/>
          <w:highlight w:val="none"/>
          <w:lang w:val="en-US" w:eastAsia="zh-CN"/>
        </w:rPr>
        <w:t>三</w:t>
      </w:r>
      <w:r>
        <w:rPr>
          <w:rFonts w:hint="eastAsia" w:hAnsi="宋体"/>
          <w:b/>
          <w:sz w:val="32"/>
          <w:highlight w:val="none"/>
        </w:rPr>
        <w:t>年</w:t>
      </w:r>
      <w:r>
        <w:rPr>
          <w:rFonts w:hint="eastAsia" w:hAnsi="宋体"/>
          <w:b/>
          <w:color w:val="auto"/>
          <w:sz w:val="32"/>
          <w:highlight w:val="none"/>
          <w:lang w:val="en-US" w:eastAsia="zh-CN"/>
        </w:rPr>
        <w:t>一</w:t>
      </w:r>
      <w:r>
        <w:rPr>
          <w:rFonts w:hint="eastAsia" w:hAnsi="宋体"/>
          <w:b/>
          <w:color w:val="auto"/>
          <w:sz w:val="32"/>
          <w:highlight w:val="none"/>
        </w:rPr>
        <w:t>月</w:t>
      </w:r>
    </w:p>
    <w:p>
      <w:pPr>
        <w:pStyle w:val="27"/>
        <w:adjustRightInd w:val="0"/>
        <w:snapToGrid w:val="0"/>
        <w:spacing w:line="360" w:lineRule="auto"/>
        <w:jc w:val="center"/>
        <w:rPr>
          <w:rFonts w:hAnsi="宋体"/>
          <w:b/>
          <w:color w:val="FF0000"/>
          <w:sz w:val="32"/>
          <w:highlight w:val="none"/>
        </w:rPr>
        <w:sectPr>
          <w:footerReference r:id="rId3" w:type="default"/>
          <w:pgSz w:w="11906" w:h="16838"/>
          <w:pgMar w:top="2098" w:right="1474" w:bottom="1984" w:left="1587" w:header="851" w:footer="992" w:gutter="0"/>
          <w:pgNumType w:start="1"/>
          <w:cols w:space="0" w:num="1"/>
          <w:docGrid w:type="lines" w:linePitch="319" w:charSpace="0"/>
        </w:sectPr>
      </w:pPr>
    </w:p>
    <w:p>
      <w:pPr>
        <w:jc w:val="center"/>
        <w:rPr>
          <w:rFonts w:ascii="宋体" w:hAnsi="宋体" w:cs="宋体"/>
          <w:b/>
          <w:bCs/>
          <w:sz w:val="32"/>
          <w:szCs w:val="32"/>
          <w:highlight w:val="none"/>
        </w:rPr>
      </w:pPr>
      <w:bookmarkStart w:id="0" w:name="_Toc14891064"/>
      <w:r>
        <w:rPr>
          <w:rFonts w:hint="eastAsia" w:ascii="宋体" w:hAnsi="宋体" w:cs="宋体"/>
          <w:b/>
          <w:bCs/>
          <w:sz w:val="32"/>
          <w:szCs w:val="32"/>
          <w:highlight w:val="none"/>
        </w:rPr>
        <w:t>目   录</w:t>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TOC \o "1-2" \h \u </w:instrText>
      </w:r>
      <w:r>
        <w:rPr>
          <w:rFonts w:hint="eastAsia" w:ascii="宋体" w:hAnsi="宋体" w:cs="宋体"/>
          <w:sz w:val="21"/>
          <w:szCs w:val="24"/>
          <w:highlight w:val="none"/>
        </w:rPr>
        <w:fldChar w:fldCharType="separate"/>
      </w: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_Toc4322 </w:instrText>
      </w:r>
      <w:r>
        <w:rPr>
          <w:rFonts w:hint="eastAsia" w:ascii="宋体" w:hAnsi="宋体" w:cs="宋体"/>
          <w:sz w:val="21"/>
          <w:szCs w:val="24"/>
          <w:highlight w:val="none"/>
        </w:rPr>
        <w:fldChar w:fldCharType="separate"/>
      </w:r>
      <w:r>
        <w:rPr>
          <w:rFonts w:hint="eastAsia" w:ascii="宋体" w:hAnsi="宋体" w:cs="宋体"/>
          <w:sz w:val="21"/>
          <w:szCs w:val="32"/>
        </w:rPr>
        <w:t xml:space="preserve">第一章 </w:t>
      </w:r>
      <w:r>
        <w:rPr>
          <w:rFonts w:hint="eastAsia" w:ascii="宋体" w:hAnsi="宋体" w:cs="宋体"/>
          <w:sz w:val="21"/>
          <w:szCs w:val="32"/>
          <w:highlight w:val="none"/>
        </w:rPr>
        <w:t>谈判邀请公告</w:t>
      </w:r>
      <w:r>
        <w:rPr>
          <w:sz w:val="21"/>
          <w:szCs w:val="24"/>
        </w:rPr>
        <w:tab/>
      </w:r>
      <w:r>
        <w:rPr>
          <w:sz w:val="21"/>
          <w:szCs w:val="24"/>
        </w:rPr>
        <w:fldChar w:fldCharType="begin"/>
      </w:r>
      <w:r>
        <w:rPr>
          <w:sz w:val="21"/>
          <w:szCs w:val="24"/>
        </w:rPr>
        <w:instrText xml:space="preserve"> PAGEREF _Toc4322 \h </w:instrText>
      </w:r>
      <w:r>
        <w:rPr>
          <w:sz w:val="21"/>
          <w:szCs w:val="24"/>
        </w:rPr>
        <w:fldChar w:fldCharType="separate"/>
      </w:r>
      <w:r>
        <w:rPr>
          <w:sz w:val="21"/>
          <w:szCs w:val="24"/>
        </w:rPr>
        <w:t>1</w:t>
      </w:r>
      <w:r>
        <w:rPr>
          <w:sz w:val="21"/>
          <w:szCs w:val="24"/>
        </w:rPr>
        <w:fldChar w:fldCharType="end"/>
      </w:r>
      <w:r>
        <w:rPr>
          <w:rFonts w:hint="eastAsia" w:ascii="宋体" w:hAnsi="宋体" w:cs="宋体"/>
          <w:sz w:val="21"/>
          <w:szCs w:val="24"/>
          <w:highlight w:val="none"/>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_Toc7856 </w:instrText>
      </w:r>
      <w:r>
        <w:rPr>
          <w:rFonts w:hint="eastAsia" w:ascii="宋体" w:hAnsi="宋体" w:cs="宋体"/>
          <w:sz w:val="21"/>
          <w:szCs w:val="24"/>
          <w:highlight w:val="none"/>
        </w:rPr>
        <w:fldChar w:fldCharType="separate"/>
      </w:r>
      <w:r>
        <w:rPr>
          <w:rFonts w:hint="eastAsia" w:ascii="宋体" w:hAnsi="宋体" w:cs="宋体"/>
          <w:bCs w:val="0"/>
          <w:sz w:val="21"/>
          <w:szCs w:val="32"/>
          <w:highlight w:val="none"/>
        </w:rPr>
        <w:t>第二章  谈判须知</w:t>
      </w:r>
      <w:r>
        <w:rPr>
          <w:sz w:val="21"/>
          <w:szCs w:val="24"/>
        </w:rPr>
        <w:tab/>
      </w:r>
      <w:r>
        <w:rPr>
          <w:sz w:val="21"/>
          <w:szCs w:val="24"/>
        </w:rPr>
        <w:fldChar w:fldCharType="begin"/>
      </w:r>
      <w:r>
        <w:rPr>
          <w:sz w:val="21"/>
          <w:szCs w:val="24"/>
        </w:rPr>
        <w:instrText xml:space="preserve"> PAGEREF _Toc7856 \h </w:instrText>
      </w:r>
      <w:r>
        <w:rPr>
          <w:sz w:val="21"/>
          <w:szCs w:val="24"/>
        </w:rPr>
        <w:fldChar w:fldCharType="separate"/>
      </w:r>
      <w:r>
        <w:rPr>
          <w:sz w:val="21"/>
          <w:szCs w:val="24"/>
        </w:rPr>
        <w:t>1</w:t>
      </w:r>
      <w:r>
        <w:rPr>
          <w:sz w:val="21"/>
          <w:szCs w:val="24"/>
        </w:rPr>
        <w:fldChar w:fldCharType="end"/>
      </w:r>
      <w:r>
        <w:rPr>
          <w:rFonts w:hint="eastAsia" w:ascii="宋体" w:hAnsi="宋体" w:cs="宋体"/>
          <w:sz w:val="21"/>
          <w:szCs w:val="24"/>
          <w:highlight w:val="none"/>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_Toc26584 </w:instrText>
      </w:r>
      <w:r>
        <w:rPr>
          <w:rFonts w:hint="eastAsia" w:ascii="宋体" w:hAnsi="宋体" w:cs="宋体"/>
          <w:sz w:val="21"/>
          <w:szCs w:val="24"/>
          <w:highlight w:val="none"/>
        </w:rPr>
        <w:fldChar w:fldCharType="separate"/>
      </w:r>
      <w:r>
        <w:rPr>
          <w:rFonts w:hint="eastAsia" w:ascii="宋体" w:hAnsi="宋体" w:cs="宋体"/>
          <w:sz w:val="21"/>
          <w:szCs w:val="24"/>
          <w:highlight w:val="none"/>
        </w:rPr>
        <w:t>谈判须知前附表</w:t>
      </w:r>
      <w:r>
        <w:rPr>
          <w:sz w:val="21"/>
          <w:szCs w:val="24"/>
        </w:rPr>
        <w:tab/>
      </w:r>
      <w:r>
        <w:rPr>
          <w:sz w:val="21"/>
          <w:szCs w:val="24"/>
        </w:rPr>
        <w:fldChar w:fldCharType="begin"/>
      </w:r>
      <w:r>
        <w:rPr>
          <w:sz w:val="21"/>
          <w:szCs w:val="24"/>
        </w:rPr>
        <w:instrText xml:space="preserve"> PAGEREF _Toc26584 \h </w:instrText>
      </w:r>
      <w:r>
        <w:rPr>
          <w:sz w:val="21"/>
          <w:szCs w:val="24"/>
        </w:rPr>
        <w:fldChar w:fldCharType="separate"/>
      </w:r>
      <w:r>
        <w:rPr>
          <w:sz w:val="21"/>
          <w:szCs w:val="24"/>
        </w:rPr>
        <w:t>1</w:t>
      </w:r>
      <w:r>
        <w:rPr>
          <w:sz w:val="21"/>
          <w:szCs w:val="24"/>
        </w:rPr>
        <w:fldChar w:fldCharType="end"/>
      </w:r>
      <w:r>
        <w:rPr>
          <w:rFonts w:hint="eastAsia" w:ascii="宋体" w:hAnsi="宋体" w:cs="宋体"/>
          <w:sz w:val="21"/>
          <w:szCs w:val="24"/>
          <w:highlight w:val="none"/>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_Toc15193 </w:instrText>
      </w:r>
      <w:r>
        <w:rPr>
          <w:rFonts w:hint="eastAsia" w:ascii="宋体" w:hAnsi="宋体" w:cs="宋体"/>
          <w:sz w:val="21"/>
          <w:szCs w:val="24"/>
          <w:highlight w:val="none"/>
        </w:rPr>
        <w:fldChar w:fldCharType="separate"/>
      </w:r>
      <w:r>
        <w:rPr>
          <w:rFonts w:hint="eastAsia" w:ascii="宋体" w:hAnsi="宋体" w:cs="宋体"/>
          <w:sz w:val="21"/>
          <w:szCs w:val="24"/>
          <w:highlight w:val="none"/>
        </w:rPr>
        <w:t>谈判须知正文</w:t>
      </w:r>
      <w:r>
        <w:rPr>
          <w:sz w:val="21"/>
          <w:szCs w:val="24"/>
        </w:rPr>
        <w:tab/>
      </w:r>
      <w:r>
        <w:rPr>
          <w:sz w:val="21"/>
          <w:szCs w:val="24"/>
        </w:rPr>
        <w:fldChar w:fldCharType="begin"/>
      </w:r>
      <w:r>
        <w:rPr>
          <w:sz w:val="21"/>
          <w:szCs w:val="24"/>
        </w:rPr>
        <w:instrText xml:space="preserve"> PAGEREF _Toc15193 \h </w:instrText>
      </w:r>
      <w:r>
        <w:rPr>
          <w:sz w:val="21"/>
          <w:szCs w:val="24"/>
        </w:rPr>
        <w:fldChar w:fldCharType="separate"/>
      </w:r>
      <w:r>
        <w:rPr>
          <w:sz w:val="21"/>
          <w:szCs w:val="24"/>
        </w:rPr>
        <w:t>4</w:t>
      </w:r>
      <w:r>
        <w:rPr>
          <w:sz w:val="21"/>
          <w:szCs w:val="24"/>
        </w:rPr>
        <w:fldChar w:fldCharType="end"/>
      </w:r>
      <w:r>
        <w:rPr>
          <w:rFonts w:hint="eastAsia" w:ascii="宋体" w:hAnsi="宋体" w:cs="宋体"/>
          <w:sz w:val="21"/>
          <w:szCs w:val="24"/>
          <w:highlight w:val="none"/>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_Toc24537 </w:instrText>
      </w:r>
      <w:r>
        <w:rPr>
          <w:rFonts w:hint="eastAsia" w:ascii="宋体" w:hAnsi="宋体" w:cs="宋体"/>
          <w:sz w:val="21"/>
          <w:szCs w:val="24"/>
          <w:highlight w:val="none"/>
        </w:rPr>
        <w:fldChar w:fldCharType="separate"/>
      </w:r>
      <w:r>
        <w:rPr>
          <w:rFonts w:hint="eastAsia" w:ascii="宋体" w:hAnsi="宋体" w:cs="宋体"/>
          <w:bCs w:val="0"/>
          <w:sz w:val="21"/>
          <w:szCs w:val="32"/>
          <w:highlight w:val="none"/>
        </w:rPr>
        <w:t>第三章  评审办法及标准</w:t>
      </w:r>
      <w:r>
        <w:rPr>
          <w:sz w:val="21"/>
          <w:szCs w:val="24"/>
        </w:rPr>
        <w:tab/>
      </w:r>
      <w:r>
        <w:rPr>
          <w:sz w:val="21"/>
          <w:szCs w:val="24"/>
        </w:rPr>
        <w:fldChar w:fldCharType="begin"/>
      </w:r>
      <w:r>
        <w:rPr>
          <w:sz w:val="21"/>
          <w:szCs w:val="24"/>
        </w:rPr>
        <w:instrText xml:space="preserve"> PAGEREF _Toc24537 \h </w:instrText>
      </w:r>
      <w:r>
        <w:rPr>
          <w:sz w:val="21"/>
          <w:szCs w:val="24"/>
        </w:rPr>
        <w:fldChar w:fldCharType="separate"/>
      </w:r>
      <w:r>
        <w:rPr>
          <w:sz w:val="21"/>
          <w:szCs w:val="24"/>
        </w:rPr>
        <w:t>11</w:t>
      </w:r>
      <w:r>
        <w:rPr>
          <w:sz w:val="21"/>
          <w:szCs w:val="24"/>
        </w:rPr>
        <w:fldChar w:fldCharType="end"/>
      </w:r>
      <w:r>
        <w:rPr>
          <w:rFonts w:hint="eastAsia" w:ascii="宋体" w:hAnsi="宋体" w:cs="宋体"/>
          <w:sz w:val="21"/>
          <w:szCs w:val="24"/>
          <w:highlight w:val="none"/>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_Toc20868 </w:instrText>
      </w:r>
      <w:r>
        <w:rPr>
          <w:rFonts w:hint="eastAsia" w:ascii="宋体" w:hAnsi="宋体" w:cs="宋体"/>
          <w:sz w:val="21"/>
          <w:szCs w:val="24"/>
          <w:highlight w:val="none"/>
        </w:rPr>
        <w:fldChar w:fldCharType="separate"/>
      </w:r>
      <w:r>
        <w:rPr>
          <w:rFonts w:hint="eastAsia" w:ascii="宋体" w:hAnsi="宋体" w:cs="宋体"/>
          <w:bCs w:val="0"/>
          <w:sz w:val="21"/>
          <w:szCs w:val="32"/>
          <w:highlight w:val="none"/>
        </w:rPr>
        <w:t>第四章  用户需求书（另册）</w:t>
      </w:r>
      <w:r>
        <w:rPr>
          <w:sz w:val="21"/>
          <w:szCs w:val="24"/>
        </w:rPr>
        <w:tab/>
      </w:r>
      <w:r>
        <w:rPr>
          <w:sz w:val="21"/>
          <w:szCs w:val="24"/>
        </w:rPr>
        <w:fldChar w:fldCharType="begin"/>
      </w:r>
      <w:r>
        <w:rPr>
          <w:sz w:val="21"/>
          <w:szCs w:val="24"/>
        </w:rPr>
        <w:instrText xml:space="preserve"> PAGEREF _Toc20868 \h </w:instrText>
      </w:r>
      <w:r>
        <w:rPr>
          <w:sz w:val="21"/>
          <w:szCs w:val="24"/>
        </w:rPr>
        <w:fldChar w:fldCharType="separate"/>
      </w:r>
      <w:r>
        <w:rPr>
          <w:sz w:val="21"/>
          <w:szCs w:val="24"/>
        </w:rPr>
        <w:t>13</w:t>
      </w:r>
      <w:r>
        <w:rPr>
          <w:sz w:val="21"/>
          <w:szCs w:val="24"/>
        </w:rPr>
        <w:fldChar w:fldCharType="end"/>
      </w:r>
      <w:r>
        <w:rPr>
          <w:rFonts w:hint="eastAsia" w:ascii="宋体" w:hAnsi="宋体" w:cs="宋体"/>
          <w:sz w:val="21"/>
          <w:szCs w:val="24"/>
          <w:highlight w:val="none"/>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_Toc27246 </w:instrText>
      </w:r>
      <w:r>
        <w:rPr>
          <w:rFonts w:hint="eastAsia" w:ascii="宋体" w:hAnsi="宋体" w:cs="宋体"/>
          <w:sz w:val="21"/>
          <w:szCs w:val="24"/>
          <w:highlight w:val="none"/>
        </w:rPr>
        <w:fldChar w:fldCharType="separate"/>
      </w:r>
      <w:r>
        <w:rPr>
          <w:rFonts w:hint="eastAsia" w:ascii="宋体" w:hAnsi="宋体" w:cs="宋体"/>
          <w:bCs w:val="0"/>
          <w:sz w:val="21"/>
          <w:szCs w:val="32"/>
          <w:highlight w:val="none"/>
        </w:rPr>
        <w:t>第五章  谈判最高限价</w:t>
      </w:r>
      <w:r>
        <w:rPr>
          <w:sz w:val="21"/>
          <w:szCs w:val="24"/>
        </w:rPr>
        <w:tab/>
      </w:r>
      <w:r>
        <w:rPr>
          <w:sz w:val="21"/>
          <w:szCs w:val="24"/>
        </w:rPr>
        <w:fldChar w:fldCharType="begin"/>
      </w:r>
      <w:r>
        <w:rPr>
          <w:sz w:val="21"/>
          <w:szCs w:val="24"/>
        </w:rPr>
        <w:instrText xml:space="preserve"> PAGEREF _Toc27246 \h </w:instrText>
      </w:r>
      <w:r>
        <w:rPr>
          <w:sz w:val="21"/>
          <w:szCs w:val="24"/>
        </w:rPr>
        <w:fldChar w:fldCharType="separate"/>
      </w:r>
      <w:r>
        <w:rPr>
          <w:sz w:val="21"/>
          <w:szCs w:val="24"/>
        </w:rPr>
        <w:t>14</w:t>
      </w:r>
      <w:r>
        <w:rPr>
          <w:sz w:val="21"/>
          <w:szCs w:val="24"/>
        </w:rPr>
        <w:fldChar w:fldCharType="end"/>
      </w:r>
      <w:r>
        <w:rPr>
          <w:rFonts w:hint="eastAsia" w:ascii="宋体" w:hAnsi="宋体" w:cs="宋体"/>
          <w:sz w:val="21"/>
          <w:szCs w:val="24"/>
          <w:highlight w:val="none"/>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_Toc29598 </w:instrText>
      </w:r>
      <w:r>
        <w:rPr>
          <w:rFonts w:hint="eastAsia" w:ascii="宋体" w:hAnsi="宋体" w:cs="宋体"/>
          <w:sz w:val="21"/>
          <w:szCs w:val="24"/>
          <w:highlight w:val="none"/>
        </w:rPr>
        <w:fldChar w:fldCharType="separate"/>
      </w:r>
      <w:r>
        <w:rPr>
          <w:rFonts w:hint="eastAsia" w:ascii="宋体" w:hAnsi="宋体" w:cs="宋体"/>
          <w:bCs w:val="0"/>
          <w:sz w:val="21"/>
          <w:szCs w:val="32"/>
          <w:highlight w:val="none"/>
        </w:rPr>
        <w:t>第六章  合同格式条款</w:t>
      </w:r>
      <w:r>
        <w:rPr>
          <w:sz w:val="21"/>
          <w:szCs w:val="24"/>
        </w:rPr>
        <w:tab/>
      </w:r>
      <w:r>
        <w:rPr>
          <w:sz w:val="21"/>
          <w:szCs w:val="24"/>
        </w:rPr>
        <w:fldChar w:fldCharType="begin"/>
      </w:r>
      <w:r>
        <w:rPr>
          <w:sz w:val="21"/>
          <w:szCs w:val="24"/>
        </w:rPr>
        <w:instrText xml:space="preserve"> PAGEREF _Toc29598 \h </w:instrText>
      </w:r>
      <w:r>
        <w:rPr>
          <w:sz w:val="21"/>
          <w:szCs w:val="24"/>
        </w:rPr>
        <w:fldChar w:fldCharType="separate"/>
      </w:r>
      <w:r>
        <w:rPr>
          <w:sz w:val="21"/>
          <w:szCs w:val="24"/>
        </w:rPr>
        <w:t>1</w:t>
      </w:r>
      <w:r>
        <w:rPr>
          <w:sz w:val="21"/>
          <w:szCs w:val="24"/>
        </w:rPr>
        <w:fldChar w:fldCharType="end"/>
      </w:r>
      <w:r>
        <w:rPr>
          <w:rFonts w:hint="eastAsia" w:ascii="宋体" w:hAnsi="宋体" w:cs="宋体"/>
          <w:sz w:val="21"/>
          <w:szCs w:val="24"/>
          <w:highlight w:val="none"/>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_Toc17208 </w:instrText>
      </w:r>
      <w:r>
        <w:rPr>
          <w:rFonts w:hint="eastAsia" w:ascii="宋体" w:hAnsi="宋体" w:cs="宋体"/>
          <w:sz w:val="21"/>
          <w:szCs w:val="24"/>
          <w:highlight w:val="none"/>
        </w:rPr>
        <w:fldChar w:fldCharType="separate"/>
      </w:r>
      <w:r>
        <w:rPr>
          <w:rFonts w:hint="eastAsia" w:ascii="宋体" w:hAnsi="宋体" w:cs="宋体"/>
          <w:sz w:val="21"/>
          <w:szCs w:val="32"/>
          <w:highlight w:val="none"/>
        </w:rPr>
        <w:t xml:space="preserve">第七章  </w:t>
      </w:r>
      <w:r>
        <w:rPr>
          <w:rFonts w:hint="eastAsia" w:ascii="宋体" w:hAnsi="宋体" w:cs="宋体"/>
          <w:bCs/>
          <w:sz w:val="21"/>
          <w:szCs w:val="32"/>
          <w:highlight w:val="none"/>
        </w:rPr>
        <w:t>响应文件组成</w:t>
      </w:r>
      <w:r>
        <w:rPr>
          <w:sz w:val="21"/>
          <w:szCs w:val="24"/>
        </w:rPr>
        <w:tab/>
      </w:r>
      <w:r>
        <w:rPr>
          <w:sz w:val="21"/>
          <w:szCs w:val="24"/>
        </w:rPr>
        <w:fldChar w:fldCharType="begin"/>
      </w:r>
      <w:r>
        <w:rPr>
          <w:sz w:val="21"/>
          <w:szCs w:val="24"/>
        </w:rPr>
        <w:instrText xml:space="preserve"> PAGEREF _Toc17208 \h </w:instrText>
      </w:r>
      <w:r>
        <w:rPr>
          <w:sz w:val="21"/>
          <w:szCs w:val="24"/>
        </w:rPr>
        <w:fldChar w:fldCharType="separate"/>
      </w:r>
      <w:r>
        <w:rPr>
          <w:sz w:val="21"/>
          <w:szCs w:val="24"/>
        </w:rPr>
        <w:t>14</w:t>
      </w:r>
      <w:r>
        <w:rPr>
          <w:sz w:val="21"/>
          <w:szCs w:val="24"/>
        </w:rPr>
        <w:fldChar w:fldCharType="end"/>
      </w:r>
      <w:r>
        <w:rPr>
          <w:rFonts w:hint="eastAsia" w:ascii="宋体" w:hAnsi="宋体" w:cs="宋体"/>
          <w:sz w:val="21"/>
          <w:szCs w:val="24"/>
          <w:highlight w:val="none"/>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_Toc7711 </w:instrText>
      </w:r>
      <w:r>
        <w:rPr>
          <w:rFonts w:hint="eastAsia" w:ascii="宋体" w:hAnsi="宋体" w:cs="宋体"/>
          <w:sz w:val="21"/>
          <w:szCs w:val="24"/>
          <w:highlight w:val="none"/>
        </w:rPr>
        <w:fldChar w:fldCharType="separate"/>
      </w:r>
      <w:r>
        <w:rPr>
          <w:rFonts w:hint="eastAsia" w:ascii="宋体" w:hAnsi="宋体" w:cs="宋体"/>
          <w:sz w:val="21"/>
          <w:szCs w:val="32"/>
          <w:highlight w:val="none"/>
        </w:rPr>
        <w:t>一、谈判承诺书</w:t>
      </w:r>
      <w:r>
        <w:rPr>
          <w:sz w:val="21"/>
          <w:szCs w:val="24"/>
        </w:rPr>
        <w:tab/>
      </w:r>
      <w:r>
        <w:rPr>
          <w:sz w:val="21"/>
          <w:szCs w:val="24"/>
        </w:rPr>
        <w:fldChar w:fldCharType="begin"/>
      </w:r>
      <w:r>
        <w:rPr>
          <w:sz w:val="21"/>
          <w:szCs w:val="24"/>
        </w:rPr>
        <w:instrText xml:space="preserve"> PAGEREF _Toc7711 \h </w:instrText>
      </w:r>
      <w:r>
        <w:rPr>
          <w:sz w:val="21"/>
          <w:szCs w:val="24"/>
        </w:rPr>
        <w:fldChar w:fldCharType="separate"/>
      </w:r>
      <w:r>
        <w:rPr>
          <w:sz w:val="21"/>
          <w:szCs w:val="24"/>
        </w:rPr>
        <w:t>16</w:t>
      </w:r>
      <w:r>
        <w:rPr>
          <w:sz w:val="21"/>
          <w:szCs w:val="24"/>
        </w:rPr>
        <w:fldChar w:fldCharType="end"/>
      </w:r>
      <w:r>
        <w:rPr>
          <w:rFonts w:hint="eastAsia" w:ascii="宋体" w:hAnsi="宋体" w:cs="宋体"/>
          <w:sz w:val="21"/>
          <w:szCs w:val="24"/>
          <w:highlight w:val="none"/>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_Toc20154 </w:instrText>
      </w:r>
      <w:r>
        <w:rPr>
          <w:rFonts w:hint="eastAsia" w:ascii="宋体" w:hAnsi="宋体" w:cs="宋体"/>
          <w:sz w:val="21"/>
          <w:szCs w:val="24"/>
          <w:highlight w:val="none"/>
        </w:rPr>
        <w:fldChar w:fldCharType="separate"/>
      </w:r>
      <w:r>
        <w:rPr>
          <w:rFonts w:hint="eastAsia" w:ascii="宋体" w:hAnsi="宋体" w:cs="宋体"/>
          <w:sz w:val="21"/>
          <w:szCs w:val="32"/>
          <w:highlight w:val="none"/>
          <w:lang w:val="en-US" w:eastAsia="zh-CN"/>
        </w:rPr>
        <w:t>二</w:t>
      </w:r>
      <w:r>
        <w:rPr>
          <w:rFonts w:hint="eastAsia" w:ascii="宋体" w:hAnsi="宋体" w:cs="宋体"/>
          <w:sz w:val="21"/>
          <w:szCs w:val="32"/>
          <w:highlight w:val="none"/>
        </w:rPr>
        <w:t>、法定代表人身份证明</w:t>
      </w:r>
      <w:r>
        <w:rPr>
          <w:sz w:val="21"/>
          <w:szCs w:val="24"/>
        </w:rPr>
        <w:tab/>
      </w:r>
      <w:r>
        <w:rPr>
          <w:sz w:val="21"/>
          <w:szCs w:val="24"/>
        </w:rPr>
        <w:fldChar w:fldCharType="begin"/>
      </w:r>
      <w:r>
        <w:rPr>
          <w:sz w:val="21"/>
          <w:szCs w:val="24"/>
        </w:rPr>
        <w:instrText xml:space="preserve"> PAGEREF _Toc20154 \h </w:instrText>
      </w:r>
      <w:r>
        <w:rPr>
          <w:sz w:val="21"/>
          <w:szCs w:val="24"/>
        </w:rPr>
        <w:fldChar w:fldCharType="separate"/>
      </w:r>
      <w:r>
        <w:rPr>
          <w:sz w:val="21"/>
          <w:szCs w:val="24"/>
        </w:rPr>
        <w:t>17</w:t>
      </w:r>
      <w:r>
        <w:rPr>
          <w:sz w:val="21"/>
          <w:szCs w:val="24"/>
        </w:rPr>
        <w:fldChar w:fldCharType="end"/>
      </w:r>
      <w:r>
        <w:rPr>
          <w:rFonts w:hint="eastAsia" w:ascii="宋体" w:hAnsi="宋体" w:cs="宋体"/>
          <w:sz w:val="21"/>
          <w:szCs w:val="24"/>
          <w:highlight w:val="none"/>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_Toc23972 </w:instrText>
      </w:r>
      <w:r>
        <w:rPr>
          <w:rFonts w:hint="eastAsia" w:ascii="宋体" w:hAnsi="宋体" w:cs="宋体"/>
          <w:sz w:val="21"/>
          <w:szCs w:val="24"/>
          <w:highlight w:val="none"/>
        </w:rPr>
        <w:fldChar w:fldCharType="separate"/>
      </w:r>
      <w:r>
        <w:rPr>
          <w:rFonts w:hint="eastAsia" w:ascii="宋体" w:hAnsi="宋体" w:cs="宋体"/>
          <w:sz w:val="21"/>
          <w:szCs w:val="32"/>
          <w:highlight w:val="none"/>
          <w:lang w:val="en-US" w:eastAsia="zh-CN"/>
        </w:rPr>
        <w:t>三</w:t>
      </w:r>
      <w:r>
        <w:rPr>
          <w:rFonts w:hint="eastAsia" w:ascii="宋体" w:hAnsi="宋体" w:cs="宋体"/>
          <w:sz w:val="21"/>
          <w:szCs w:val="32"/>
          <w:highlight w:val="none"/>
        </w:rPr>
        <w:t>、授权委托书</w:t>
      </w:r>
      <w:r>
        <w:rPr>
          <w:sz w:val="21"/>
          <w:szCs w:val="24"/>
        </w:rPr>
        <w:tab/>
      </w:r>
      <w:r>
        <w:rPr>
          <w:sz w:val="21"/>
          <w:szCs w:val="24"/>
        </w:rPr>
        <w:fldChar w:fldCharType="begin"/>
      </w:r>
      <w:r>
        <w:rPr>
          <w:sz w:val="21"/>
          <w:szCs w:val="24"/>
        </w:rPr>
        <w:instrText xml:space="preserve"> PAGEREF _Toc23972 \h </w:instrText>
      </w:r>
      <w:r>
        <w:rPr>
          <w:sz w:val="21"/>
          <w:szCs w:val="24"/>
        </w:rPr>
        <w:fldChar w:fldCharType="separate"/>
      </w:r>
      <w:r>
        <w:rPr>
          <w:sz w:val="21"/>
          <w:szCs w:val="24"/>
        </w:rPr>
        <w:t>19</w:t>
      </w:r>
      <w:r>
        <w:rPr>
          <w:sz w:val="21"/>
          <w:szCs w:val="24"/>
        </w:rPr>
        <w:fldChar w:fldCharType="end"/>
      </w:r>
      <w:r>
        <w:rPr>
          <w:rFonts w:hint="eastAsia" w:ascii="宋体" w:hAnsi="宋体" w:cs="宋体"/>
          <w:sz w:val="21"/>
          <w:szCs w:val="24"/>
          <w:highlight w:val="none"/>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_Toc24738 </w:instrText>
      </w:r>
      <w:r>
        <w:rPr>
          <w:rFonts w:hint="eastAsia" w:ascii="宋体" w:hAnsi="宋体" w:cs="宋体"/>
          <w:sz w:val="21"/>
          <w:szCs w:val="24"/>
          <w:highlight w:val="none"/>
        </w:rPr>
        <w:fldChar w:fldCharType="separate"/>
      </w:r>
      <w:r>
        <w:rPr>
          <w:rFonts w:hint="eastAsia" w:ascii="宋体" w:hAnsi="宋体" w:cs="宋体"/>
          <w:sz w:val="21"/>
          <w:szCs w:val="32"/>
          <w:highlight w:val="none"/>
        </w:rPr>
        <w:t>四、谈判单位资格证明文件</w:t>
      </w:r>
      <w:r>
        <w:rPr>
          <w:sz w:val="21"/>
          <w:szCs w:val="24"/>
        </w:rPr>
        <w:tab/>
      </w:r>
      <w:r>
        <w:rPr>
          <w:sz w:val="21"/>
          <w:szCs w:val="24"/>
        </w:rPr>
        <w:fldChar w:fldCharType="begin"/>
      </w:r>
      <w:r>
        <w:rPr>
          <w:sz w:val="21"/>
          <w:szCs w:val="24"/>
        </w:rPr>
        <w:instrText xml:space="preserve"> PAGEREF _Toc24738 \h </w:instrText>
      </w:r>
      <w:r>
        <w:rPr>
          <w:sz w:val="21"/>
          <w:szCs w:val="24"/>
        </w:rPr>
        <w:fldChar w:fldCharType="separate"/>
      </w:r>
      <w:r>
        <w:rPr>
          <w:sz w:val="21"/>
          <w:szCs w:val="24"/>
        </w:rPr>
        <w:t>21</w:t>
      </w:r>
      <w:r>
        <w:rPr>
          <w:sz w:val="21"/>
          <w:szCs w:val="24"/>
        </w:rPr>
        <w:fldChar w:fldCharType="end"/>
      </w:r>
      <w:r>
        <w:rPr>
          <w:rFonts w:hint="eastAsia" w:ascii="宋体" w:hAnsi="宋体" w:cs="宋体"/>
          <w:sz w:val="21"/>
          <w:szCs w:val="24"/>
          <w:highlight w:val="none"/>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_Toc21154 </w:instrText>
      </w:r>
      <w:r>
        <w:rPr>
          <w:rFonts w:hint="eastAsia" w:ascii="宋体" w:hAnsi="宋体" w:cs="宋体"/>
          <w:sz w:val="21"/>
          <w:szCs w:val="24"/>
          <w:highlight w:val="none"/>
        </w:rPr>
        <w:fldChar w:fldCharType="separate"/>
      </w:r>
      <w:r>
        <w:rPr>
          <w:rFonts w:hint="eastAsia" w:ascii="宋体" w:hAnsi="宋体" w:cs="宋体"/>
          <w:sz w:val="21"/>
          <w:szCs w:val="32"/>
        </w:rPr>
        <w:t xml:space="preserve">五、 </w:t>
      </w:r>
      <w:r>
        <w:rPr>
          <w:rFonts w:hint="eastAsia" w:ascii="宋体" w:hAnsi="宋体" w:cs="宋体"/>
          <w:sz w:val="21"/>
          <w:szCs w:val="32"/>
          <w:highlight w:val="none"/>
        </w:rPr>
        <w:t>报价一览表</w:t>
      </w:r>
      <w:r>
        <w:rPr>
          <w:sz w:val="21"/>
          <w:szCs w:val="24"/>
        </w:rPr>
        <w:tab/>
      </w:r>
      <w:r>
        <w:rPr>
          <w:sz w:val="21"/>
          <w:szCs w:val="24"/>
        </w:rPr>
        <w:fldChar w:fldCharType="begin"/>
      </w:r>
      <w:r>
        <w:rPr>
          <w:sz w:val="21"/>
          <w:szCs w:val="24"/>
        </w:rPr>
        <w:instrText xml:space="preserve"> PAGEREF _Toc21154 \h </w:instrText>
      </w:r>
      <w:r>
        <w:rPr>
          <w:sz w:val="21"/>
          <w:szCs w:val="24"/>
        </w:rPr>
        <w:fldChar w:fldCharType="separate"/>
      </w:r>
      <w:r>
        <w:rPr>
          <w:sz w:val="21"/>
          <w:szCs w:val="24"/>
        </w:rPr>
        <w:t>22</w:t>
      </w:r>
      <w:r>
        <w:rPr>
          <w:sz w:val="21"/>
          <w:szCs w:val="24"/>
        </w:rPr>
        <w:fldChar w:fldCharType="end"/>
      </w:r>
      <w:r>
        <w:rPr>
          <w:rFonts w:hint="eastAsia" w:ascii="宋体" w:hAnsi="宋体" w:cs="宋体"/>
          <w:sz w:val="21"/>
          <w:szCs w:val="24"/>
          <w:highlight w:val="none"/>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_Toc11557 </w:instrText>
      </w:r>
      <w:r>
        <w:rPr>
          <w:rFonts w:hint="eastAsia" w:ascii="宋体" w:hAnsi="宋体" w:cs="宋体"/>
          <w:sz w:val="21"/>
          <w:szCs w:val="24"/>
          <w:highlight w:val="none"/>
        </w:rPr>
        <w:fldChar w:fldCharType="separate"/>
      </w:r>
      <w:r>
        <w:rPr>
          <w:rFonts w:hint="eastAsia" w:ascii="宋体" w:hAnsi="宋体" w:eastAsia="宋体" w:cs="宋体"/>
          <w:sz w:val="21"/>
          <w:szCs w:val="32"/>
          <w:highlight w:val="none"/>
          <w:lang w:val="en-US" w:eastAsia="zh-CN"/>
        </w:rPr>
        <w:t>六、分项报价表</w:t>
      </w:r>
      <w:r>
        <w:rPr>
          <w:sz w:val="21"/>
          <w:szCs w:val="24"/>
        </w:rPr>
        <w:tab/>
      </w:r>
      <w:r>
        <w:rPr>
          <w:sz w:val="21"/>
          <w:szCs w:val="24"/>
        </w:rPr>
        <w:fldChar w:fldCharType="begin"/>
      </w:r>
      <w:r>
        <w:rPr>
          <w:sz w:val="21"/>
          <w:szCs w:val="24"/>
        </w:rPr>
        <w:instrText xml:space="preserve"> PAGEREF _Toc11557 \h </w:instrText>
      </w:r>
      <w:r>
        <w:rPr>
          <w:sz w:val="21"/>
          <w:szCs w:val="24"/>
        </w:rPr>
        <w:fldChar w:fldCharType="separate"/>
      </w:r>
      <w:r>
        <w:rPr>
          <w:sz w:val="21"/>
          <w:szCs w:val="24"/>
        </w:rPr>
        <w:t>23</w:t>
      </w:r>
      <w:r>
        <w:rPr>
          <w:sz w:val="21"/>
          <w:szCs w:val="24"/>
        </w:rPr>
        <w:fldChar w:fldCharType="end"/>
      </w:r>
      <w:r>
        <w:rPr>
          <w:rFonts w:hint="eastAsia" w:ascii="宋体" w:hAnsi="宋体" w:cs="宋体"/>
          <w:sz w:val="21"/>
          <w:szCs w:val="24"/>
          <w:highlight w:val="none"/>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_Toc26563 </w:instrText>
      </w:r>
      <w:r>
        <w:rPr>
          <w:rFonts w:hint="eastAsia" w:ascii="宋体" w:hAnsi="宋体" w:cs="宋体"/>
          <w:sz w:val="21"/>
          <w:szCs w:val="24"/>
          <w:highlight w:val="none"/>
        </w:rPr>
        <w:fldChar w:fldCharType="separate"/>
      </w:r>
      <w:r>
        <w:rPr>
          <w:rFonts w:hint="eastAsia" w:ascii="宋体" w:hAnsi="宋体" w:cs="宋体"/>
          <w:sz w:val="21"/>
          <w:szCs w:val="32"/>
          <w:highlight w:val="none"/>
          <w:lang w:val="en-US" w:eastAsia="zh-CN"/>
        </w:rPr>
        <w:t>七</w:t>
      </w:r>
      <w:r>
        <w:rPr>
          <w:rFonts w:hint="eastAsia" w:ascii="宋体" w:hAnsi="宋体" w:cs="宋体"/>
          <w:sz w:val="21"/>
          <w:szCs w:val="32"/>
          <w:highlight w:val="none"/>
        </w:rPr>
        <w:t>、服务组织机构及人员设置方案</w:t>
      </w:r>
      <w:r>
        <w:rPr>
          <w:sz w:val="21"/>
          <w:szCs w:val="24"/>
        </w:rPr>
        <w:tab/>
      </w:r>
      <w:r>
        <w:rPr>
          <w:sz w:val="21"/>
          <w:szCs w:val="24"/>
        </w:rPr>
        <w:fldChar w:fldCharType="begin"/>
      </w:r>
      <w:r>
        <w:rPr>
          <w:sz w:val="21"/>
          <w:szCs w:val="24"/>
        </w:rPr>
        <w:instrText xml:space="preserve"> PAGEREF _Toc26563 \h </w:instrText>
      </w:r>
      <w:r>
        <w:rPr>
          <w:sz w:val="21"/>
          <w:szCs w:val="24"/>
        </w:rPr>
        <w:fldChar w:fldCharType="separate"/>
      </w:r>
      <w:r>
        <w:rPr>
          <w:sz w:val="21"/>
          <w:szCs w:val="24"/>
        </w:rPr>
        <w:t>24</w:t>
      </w:r>
      <w:r>
        <w:rPr>
          <w:sz w:val="21"/>
          <w:szCs w:val="24"/>
        </w:rPr>
        <w:fldChar w:fldCharType="end"/>
      </w:r>
      <w:r>
        <w:rPr>
          <w:rFonts w:hint="eastAsia" w:ascii="宋体" w:hAnsi="宋体" w:cs="宋体"/>
          <w:sz w:val="21"/>
          <w:szCs w:val="24"/>
          <w:highlight w:val="none"/>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sz w:val="21"/>
          <w:szCs w:val="24"/>
        </w:rPr>
      </w:pPr>
      <w:r>
        <w:rPr>
          <w:rFonts w:hint="eastAsia" w:ascii="宋体" w:hAnsi="宋体" w:cs="宋体"/>
          <w:sz w:val="21"/>
          <w:szCs w:val="24"/>
          <w:highlight w:val="none"/>
        </w:rPr>
        <w:fldChar w:fldCharType="begin"/>
      </w:r>
      <w:r>
        <w:rPr>
          <w:rFonts w:hint="eastAsia" w:ascii="宋体" w:hAnsi="宋体" w:cs="宋体"/>
          <w:sz w:val="21"/>
          <w:szCs w:val="24"/>
          <w:highlight w:val="none"/>
        </w:rPr>
        <w:instrText xml:space="preserve"> HYPERLINK \l _Toc1639 </w:instrText>
      </w:r>
      <w:r>
        <w:rPr>
          <w:rFonts w:hint="eastAsia" w:ascii="宋体" w:hAnsi="宋体" w:cs="宋体"/>
          <w:sz w:val="21"/>
          <w:szCs w:val="24"/>
          <w:highlight w:val="none"/>
        </w:rPr>
        <w:fldChar w:fldCharType="separate"/>
      </w:r>
      <w:r>
        <w:rPr>
          <w:rFonts w:hint="eastAsia" w:ascii="宋体" w:hAnsi="宋体" w:cs="宋体"/>
          <w:sz w:val="21"/>
          <w:szCs w:val="32"/>
          <w:highlight w:val="none"/>
          <w:lang w:val="en-US" w:eastAsia="zh-CN"/>
        </w:rPr>
        <w:t>八、</w:t>
      </w:r>
      <w:r>
        <w:rPr>
          <w:rFonts w:hint="eastAsia" w:ascii="宋体" w:hAnsi="宋体" w:cs="宋体"/>
          <w:sz w:val="21"/>
          <w:szCs w:val="32"/>
          <w:highlight w:val="none"/>
        </w:rPr>
        <w:t>其他资料（如有）</w:t>
      </w:r>
      <w:r>
        <w:rPr>
          <w:sz w:val="21"/>
          <w:szCs w:val="24"/>
        </w:rPr>
        <w:tab/>
      </w:r>
      <w:r>
        <w:rPr>
          <w:sz w:val="21"/>
          <w:szCs w:val="24"/>
        </w:rPr>
        <w:fldChar w:fldCharType="begin"/>
      </w:r>
      <w:r>
        <w:rPr>
          <w:sz w:val="21"/>
          <w:szCs w:val="24"/>
        </w:rPr>
        <w:instrText xml:space="preserve"> PAGEREF _Toc1639 \h </w:instrText>
      </w:r>
      <w:r>
        <w:rPr>
          <w:sz w:val="21"/>
          <w:szCs w:val="24"/>
        </w:rPr>
        <w:fldChar w:fldCharType="separate"/>
      </w:r>
      <w:r>
        <w:rPr>
          <w:sz w:val="21"/>
          <w:szCs w:val="24"/>
        </w:rPr>
        <w:t>25</w:t>
      </w:r>
      <w:r>
        <w:rPr>
          <w:sz w:val="21"/>
          <w:szCs w:val="24"/>
        </w:rPr>
        <w:fldChar w:fldCharType="end"/>
      </w:r>
      <w:r>
        <w:rPr>
          <w:rFonts w:hint="eastAsia" w:ascii="宋体" w:hAnsi="宋体" w:cs="宋体"/>
          <w:sz w:val="21"/>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b/>
          <w:bCs/>
          <w:szCs w:val="21"/>
          <w:highlight w:val="none"/>
        </w:rPr>
        <w:sectPr>
          <w:footerReference r:id="rId4" w:type="default"/>
          <w:pgSz w:w="11906" w:h="16838"/>
          <w:pgMar w:top="2098" w:right="1474" w:bottom="1984" w:left="1587" w:header="851" w:footer="992" w:gutter="0"/>
          <w:cols w:space="0" w:num="1"/>
          <w:docGrid w:type="lines" w:linePitch="319" w:charSpace="0"/>
        </w:sectPr>
      </w:pPr>
      <w:r>
        <w:rPr>
          <w:rFonts w:hint="eastAsia" w:ascii="宋体" w:hAnsi="宋体" w:cs="宋体"/>
          <w:sz w:val="21"/>
          <w:szCs w:val="24"/>
          <w:highlight w:val="none"/>
        </w:rPr>
        <w:fldChar w:fldCharType="end"/>
      </w:r>
      <w:bookmarkStart w:id="1" w:name="_Toc5016"/>
      <w:bookmarkStart w:id="2" w:name="_Toc29614"/>
    </w:p>
    <w:p>
      <w:pPr>
        <w:pStyle w:val="6"/>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ascii="宋体" w:hAnsi="宋体" w:cs="宋体"/>
          <w:sz w:val="32"/>
          <w:szCs w:val="32"/>
          <w:highlight w:val="none"/>
        </w:rPr>
      </w:pPr>
      <w:bookmarkStart w:id="3" w:name="_Toc3621"/>
      <w:bookmarkStart w:id="4" w:name="_Toc13376"/>
      <w:r>
        <w:rPr>
          <w:rFonts w:hint="eastAsia" w:ascii="宋体" w:hAnsi="宋体" w:cs="宋体"/>
          <w:sz w:val="32"/>
          <w:szCs w:val="32"/>
          <w:highlight w:val="none"/>
        </w:rPr>
        <w:t xml:space="preserve"> </w:t>
      </w:r>
      <w:bookmarkStart w:id="5" w:name="_Toc4322"/>
      <w:r>
        <w:rPr>
          <w:rFonts w:hint="eastAsia" w:ascii="宋体" w:hAnsi="宋体" w:cs="宋体"/>
          <w:sz w:val="32"/>
          <w:szCs w:val="32"/>
          <w:highlight w:val="none"/>
        </w:rPr>
        <w:t>谈判邀请公告</w:t>
      </w:r>
      <w:bookmarkEnd w:id="0"/>
      <w:bookmarkEnd w:id="1"/>
      <w:bookmarkEnd w:id="2"/>
      <w:bookmarkEnd w:id="3"/>
      <w:bookmarkEnd w:id="4"/>
      <w:bookmarkEnd w:id="5"/>
    </w:p>
    <w:p>
      <w:pPr>
        <w:keepNext w:val="0"/>
        <w:keepLines w:val="0"/>
        <w:pageBreakBefore w:val="0"/>
        <w:kinsoku/>
        <w:wordWrap/>
        <w:overflowPunct/>
        <w:topLinePunct w:val="0"/>
        <w:autoSpaceDE/>
        <w:autoSpaceDN/>
        <w:bidi w:val="0"/>
        <w:textAlignment w:val="auto"/>
        <w:rPr>
          <w:highlight w:val="none"/>
        </w:rPr>
      </w:pP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ascii="宋体" w:hAnsi="宋体" w:cs="宋体"/>
          <w:iCs/>
          <w:szCs w:val="21"/>
          <w:highlight w:val="none"/>
        </w:rPr>
      </w:pPr>
      <w:r>
        <w:rPr>
          <w:rStyle w:val="56"/>
          <w:rFonts w:hint="eastAsia"/>
          <w:color w:val="auto"/>
          <w:kern w:val="0"/>
          <w:highlight w:val="none"/>
          <w:shd w:val="clear" w:color="auto" w:fill="FFFFFF"/>
        </w:rPr>
        <w:t>长沙市轨道交通运营有限公司</w:t>
      </w:r>
      <w:r>
        <w:rPr>
          <w:rStyle w:val="56"/>
          <w:rFonts w:hint="eastAsia"/>
          <w:color w:val="auto"/>
          <w:kern w:val="0"/>
          <w:highlight w:val="none"/>
          <w:u w:val="none"/>
          <w:shd w:val="clear" w:color="auto" w:fill="FFFFFF"/>
        </w:rPr>
        <w:t>对</w:t>
      </w:r>
      <w:r>
        <w:rPr>
          <w:rFonts w:hint="eastAsia" w:ascii="宋体" w:hAnsi="宋体" w:cs="宋体"/>
          <w:highlight w:val="none"/>
          <w:u w:val="single"/>
        </w:rPr>
        <w:t>长沙市轨道交通运营有限公司西环线2023-2024年保险服务项目</w:t>
      </w:r>
      <w:r>
        <w:rPr>
          <w:rStyle w:val="56"/>
          <w:rFonts w:hint="eastAsia"/>
          <w:color w:val="auto"/>
          <w:kern w:val="0"/>
          <w:highlight w:val="none"/>
          <w:u w:val="none"/>
          <w:shd w:val="clear" w:color="auto" w:fill="FFFFFF"/>
        </w:rPr>
        <w:t>进行自主竞争性谈判采购，现发布公告，邀请符合条件的单位参与谈判采购活动，本项目为不含税报价。</w:t>
      </w:r>
    </w:p>
    <w:p>
      <w:pPr>
        <w:pStyle w:val="43"/>
        <w:keepNext w:val="0"/>
        <w:keepLines w:val="0"/>
        <w:pageBreakBefore w:val="0"/>
        <w:numPr>
          <w:ilvl w:val="0"/>
          <w:numId w:val="7"/>
        </w:numPr>
        <w:shd w:val="clear" w:color="auto" w:fill="FFFFFF"/>
        <w:kinsoku/>
        <w:wordWrap/>
        <w:overflowPunct/>
        <w:topLinePunct w:val="0"/>
        <w:autoSpaceDE/>
        <w:autoSpaceDN/>
        <w:bidi w:val="0"/>
        <w:spacing w:before="0" w:beforeAutospacing="0" w:after="0" w:afterAutospacing="0" w:line="360" w:lineRule="auto"/>
        <w:ind w:firstLine="422" w:firstLineChars="200"/>
        <w:jc w:val="both"/>
        <w:textAlignment w:val="auto"/>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项目概况</w:t>
      </w:r>
    </w:p>
    <w:p>
      <w:pPr>
        <w:keepNext w:val="0"/>
        <w:keepLines w:val="0"/>
        <w:pageBreakBefore w:val="0"/>
        <w:numPr>
          <w:ilvl w:val="0"/>
          <w:numId w:val="8"/>
        </w:numPr>
        <w:kinsoku/>
        <w:wordWrap/>
        <w:overflowPunct/>
        <w:topLinePunct w:val="0"/>
        <w:autoSpaceDE/>
        <w:autoSpaceDN/>
        <w:bidi w:val="0"/>
        <w:spacing w:line="360" w:lineRule="auto"/>
        <w:ind w:firstLine="420" w:firstLineChars="200"/>
        <w:textAlignment w:val="auto"/>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项目名称：长沙市轨道交通运营有限公司西环线2023-2024年保险服务项目</w:t>
      </w:r>
    </w:p>
    <w:p>
      <w:pPr>
        <w:keepNext w:val="0"/>
        <w:keepLines w:val="0"/>
        <w:pageBreakBefore w:val="0"/>
        <w:numPr>
          <w:ilvl w:val="0"/>
          <w:numId w:val="8"/>
        </w:numPr>
        <w:kinsoku/>
        <w:wordWrap/>
        <w:overflowPunct/>
        <w:topLinePunct w:val="0"/>
        <w:autoSpaceDE/>
        <w:autoSpaceDN/>
        <w:bidi w:val="0"/>
        <w:spacing w:line="360" w:lineRule="auto"/>
        <w:ind w:firstLine="420" w:firstLineChars="200"/>
        <w:textAlignment w:val="auto"/>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项目编号：长轨运服采【2022】</w:t>
      </w:r>
      <w:r>
        <w:rPr>
          <w:rStyle w:val="56"/>
          <w:rFonts w:hint="eastAsia"/>
          <w:color w:val="auto"/>
          <w:kern w:val="0"/>
          <w:highlight w:val="none"/>
          <w:u w:val="none"/>
          <w:shd w:val="clear" w:color="auto" w:fill="FFFFFF"/>
          <w:lang w:val="en-US" w:eastAsia="zh-CN"/>
        </w:rPr>
        <w:t>43</w:t>
      </w:r>
      <w:r>
        <w:rPr>
          <w:rStyle w:val="56"/>
          <w:rFonts w:hint="eastAsia"/>
          <w:color w:val="auto"/>
          <w:kern w:val="0"/>
          <w:highlight w:val="none"/>
          <w:u w:val="none"/>
          <w:shd w:val="clear" w:color="auto" w:fill="FFFFFF"/>
        </w:rPr>
        <w:t>号</w:t>
      </w:r>
    </w:p>
    <w:p>
      <w:pPr>
        <w:keepNext w:val="0"/>
        <w:keepLines w:val="0"/>
        <w:pageBreakBefore w:val="0"/>
        <w:numPr>
          <w:ilvl w:val="0"/>
          <w:numId w:val="8"/>
        </w:numPr>
        <w:kinsoku/>
        <w:wordWrap/>
        <w:overflowPunct/>
        <w:topLinePunct w:val="0"/>
        <w:autoSpaceDE/>
        <w:autoSpaceDN/>
        <w:bidi w:val="0"/>
        <w:spacing w:line="360" w:lineRule="auto"/>
        <w:ind w:firstLine="420" w:firstLineChars="200"/>
        <w:textAlignment w:val="auto"/>
        <w:rPr>
          <w:rFonts w:ascii="宋体" w:hAnsi="宋体" w:cs="宋体"/>
          <w:highlight w:val="none"/>
        </w:rPr>
      </w:pPr>
      <w:r>
        <w:rPr>
          <w:rFonts w:hint="eastAsia" w:ascii="宋体" w:hAnsi="宋体" w:cs="宋体"/>
          <w:highlight w:val="none"/>
        </w:rPr>
        <w:t>最高限价：</w:t>
      </w:r>
      <w:r>
        <w:rPr>
          <w:rFonts w:hint="eastAsia" w:ascii="宋体" w:hAnsi="宋体" w:cs="宋体"/>
          <w:highlight w:val="none"/>
          <w:lang w:val="en-US" w:eastAsia="zh-CN"/>
        </w:rPr>
        <w:t>432200</w:t>
      </w:r>
      <w:r>
        <w:rPr>
          <w:rFonts w:hint="eastAsia" w:ascii="宋体" w:hAnsi="宋体" w:cs="宋体"/>
          <w:highlight w:val="none"/>
        </w:rPr>
        <w:t>元</w:t>
      </w:r>
    </w:p>
    <w:p>
      <w:pPr>
        <w:keepNext w:val="0"/>
        <w:keepLines w:val="0"/>
        <w:pageBreakBefore w:val="0"/>
        <w:numPr>
          <w:ilvl w:val="0"/>
          <w:numId w:val="8"/>
        </w:numPr>
        <w:kinsoku/>
        <w:wordWrap/>
        <w:overflowPunct/>
        <w:topLinePunct w:val="0"/>
        <w:autoSpaceDE/>
        <w:autoSpaceDN/>
        <w:bidi w:val="0"/>
        <w:spacing w:line="360" w:lineRule="auto"/>
        <w:ind w:firstLine="420" w:firstLineChars="200"/>
        <w:textAlignment w:val="auto"/>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标段划分：共划分 1 个标段</w:t>
      </w:r>
    </w:p>
    <w:p>
      <w:pPr>
        <w:keepNext w:val="0"/>
        <w:keepLines w:val="0"/>
        <w:pageBreakBefore w:val="0"/>
        <w:numPr>
          <w:ilvl w:val="0"/>
          <w:numId w:val="8"/>
        </w:numPr>
        <w:kinsoku/>
        <w:wordWrap/>
        <w:overflowPunct/>
        <w:topLinePunct w:val="0"/>
        <w:autoSpaceDE/>
        <w:autoSpaceDN/>
        <w:bidi w:val="0"/>
        <w:spacing w:line="360" w:lineRule="auto"/>
        <w:ind w:firstLine="420" w:firstLineChars="200"/>
        <w:textAlignment w:val="auto"/>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服务期限：</w:t>
      </w:r>
      <w:r>
        <w:rPr>
          <w:rFonts w:hint="eastAsia" w:ascii="宋体" w:hAnsi="宋体" w:cs="宋体"/>
          <w:color w:val="000000"/>
          <w:highlight w:val="none"/>
        </w:rPr>
        <w:t>本项目服务期为</w:t>
      </w:r>
      <w:r>
        <w:rPr>
          <w:rFonts w:hint="eastAsia" w:ascii="宋体" w:hAnsi="宋体" w:cs="宋体"/>
          <w:color w:val="000000"/>
          <w:highlight w:val="none"/>
          <w:lang w:val="en-US" w:eastAsia="zh-CN"/>
        </w:rPr>
        <w:t>一年，总计12个月</w:t>
      </w:r>
      <w:r>
        <w:rPr>
          <w:rFonts w:hint="eastAsia" w:ascii="宋体" w:hAnsi="宋体" w:cs="宋体"/>
          <w:color w:val="000000"/>
          <w:highlight w:val="none"/>
        </w:rPr>
        <w:t>（具体服务开始时间以长株潭城际轨道交通西环线一期工程试运营开始时间为准）</w:t>
      </w:r>
      <w:r>
        <w:rPr>
          <w:rStyle w:val="56"/>
          <w:rFonts w:hint="eastAsia"/>
          <w:color w:val="auto"/>
          <w:kern w:val="0"/>
          <w:highlight w:val="none"/>
          <w:u w:val="none"/>
          <w:shd w:val="clear" w:color="auto" w:fill="FFFFFF"/>
        </w:rPr>
        <w:t>。（具体详见用户需求书）</w:t>
      </w:r>
    </w:p>
    <w:p>
      <w:pPr>
        <w:keepNext w:val="0"/>
        <w:keepLines w:val="0"/>
        <w:pageBreakBefore w:val="0"/>
        <w:numPr>
          <w:ilvl w:val="0"/>
          <w:numId w:val="8"/>
        </w:numPr>
        <w:kinsoku/>
        <w:wordWrap/>
        <w:overflowPunct/>
        <w:topLinePunct w:val="0"/>
        <w:autoSpaceDE/>
        <w:autoSpaceDN/>
        <w:bidi w:val="0"/>
        <w:spacing w:line="360" w:lineRule="auto"/>
        <w:ind w:firstLine="420" w:firstLineChars="200"/>
        <w:textAlignment w:val="auto"/>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采购范围：</w:t>
      </w:r>
      <w:r>
        <w:rPr>
          <w:rFonts w:hint="eastAsia" w:ascii="宋体" w:hAnsi="宋体" w:cs="宋体"/>
          <w:color w:val="000000"/>
          <w:highlight w:val="none"/>
        </w:rPr>
        <w:t>本项目主要</w:t>
      </w:r>
      <w:r>
        <w:rPr>
          <w:rFonts w:hint="eastAsia" w:ascii="宋体" w:hAnsi="宋体" w:cs="宋体"/>
          <w:color w:val="000000"/>
          <w:highlight w:val="none"/>
          <w:lang w:eastAsia="zh-CN"/>
        </w:rPr>
        <w:t>为</w:t>
      </w:r>
      <w:r>
        <w:rPr>
          <w:rFonts w:hint="eastAsia" w:ascii="宋体" w:hAnsi="宋体" w:cs="宋体"/>
          <w:color w:val="000000"/>
          <w:highlight w:val="none"/>
          <w:lang w:val="en-US" w:eastAsia="zh-CN"/>
        </w:rPr>
        <w:t>长株潭城际轨道交通西环线一期工程购买</w:t>
      </w:r>
      <w:r>
        <w:rPr>
          <w:rFonts w:hint="eastAsia" w:ascii="宋体" w:hAnsi="宋体" w:cs="宋体"/>
          <w:color w:val="000000"/>
          <w:highlight w:val="none"/>
        </w:rPr>
        <w:t>财产一切险附加机器损坏险</w:t>
      </w:r>
      <w:r>
        <w:rPr>
          <w:rFonts w:hint="eastAsia" w:ascii="宋体" w:hAnsi="宋体" w:cs="宋体"/>
          <w:highlight w:val="none"/>
        </w:rPr>
        <w:t>。</w:t>
      </w:r>
      <w:r>
        <w:rPr>
          <w:rStyle w:val="56"/>
          <w:rFonts w:hint="eastAsia"/>
          <w:color w:val="auto"/>
          <w:kern w:val="0"/>
          <w:highlight w:val="none"/>
          <w:u w:val="none"/>
          <w:shd w:val="clear" w:color="auto" w:fill="FFFFFF"/>
        </w:rPr>
        <w:t>（具体详见用户需求书）</w:t>
      </w:r>
    </w:p>
    <w:p>
      <w:pPr>
        <w:pStyle w:val="43"/>
        <w:keepNext w:val="0"/>
        <w:keepLines w:val="0"/>
        <w:pageBreakBefore w:val="0"/>
        <w:numPr>
          <w:ilvl w:val="0"/>
          <w:numId w:val="7"/>
        </w:numPr>
        <w:shd w:val="clear" w:color="auto" w:fill="FFFFFF"/>
        <w:kinsoku/>
        <w:wordWrap/>
        <w:overflowPunct/>
        <w:topLinePunct w:val="0"/>
        <w:autoSpaceDE/>
        <w:autoSpaceDN/>
        <w:bidi w:val="0"/>
        <w:spacing w:before="0" w:beforeAutospacing="0" w:after="0" w:afterAutospacing="0" w:line="360" w:lineRule="auto"/>
        <w:ind w:firstLine="422" w:firstLineChars="200"/>
        <w:jc w:val="both"/>
        <w:textAlignment w:val="auto"/>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资格要求</w:t>
      </w:r>
    </w:p>
    <w:p>
      <w:pPr>
        <w:keepNext w:val="0"/>
        <w:keepLines w:val="0"/>
        <w:pageBreakBefore w:val="0"/>
        <w:numPr>
          <w:ilvl w:val="0"/>
          <w:numId w:val="9"/>
        </w:numP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本项目接受总公司或由总公司授权的湖南省级分公司参与投标。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若为总公司（即法人机构）参与投标的，须提供国家保险监督管理部门颁发的总公司《保险许可证》；本项目的服务机构须为总公司下辖的在长沙市行政区域内注册的湖南省级分公司，须提供服务机构的由国家保险监督管理部门颁发的《保险许可证》及《营业执照》（副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56"/>
          <w:color w:val="auto"/>
          <w:kern w:val="0"/>
          <w:highlight w:val="none"/>
          <w:u w:val="none"/>
          <w:shd w:val="clear" w:color="auto" w:fill="FFFFFF"/>
        </w:rPr>
      </w:pPr>
      <w:r>
        <w:rPr>
          <w:rFonts w:hint="eastAsia" w:ascii="宋体" w:hAnsi="宋体" w:cs="宋体"/>
          <w:color w:val="000000"/>
          <w:highlight w:val="none"/>
        </w:rPr>
        <w:t>(2)若为湖南省级分公司（即本项目的服务机构）参与投标的，须提供其总公司授权委托书及其总公司《保险许可证》，且满足上述第（1）条中“本项目的服务机构”资格要求。</w:t>
      </w:r>
    </w:p>
    <w:p>
      <w:pPr>
        <w:keepNext w:val="0"/>
        <w:keepLines w:val="0"/>
        <w:pageBreakBefore w:val="0"/>
        <w:numPr>
          <w:ilvl w:val="0"/>
          <w:numId w:val="9"/>
        </w:numPr>
        <w:kinsoku/>
        <w:wordWrap/>
        <w:overflowPunct/>
        <w:topLinePunct w:val="0"/>
        <w:autoSpaceDE/>
        <w:autoSpaceDN/>
        <w:bidi w:val="0"/>
        <w:spacing w:line="360" w:lineRule="auto"/>
        <w:ind w:left="0" w:leftChars="0" w:firstLine="420" w:firstLineChars="200"/>
        <w:textAlignment w:val="auto"/>
        <w:rPr>
          <w:rStyle w:val="56"/>
          <w:color w:val="auto"/>
          <w:kern w:val="0"/>
          <w:highlight w:val="none"/>
          <w:u w:val="none"/>
          <w:shd w:val="clear" w:color="auto" w:fill="FFFFFF"/>
        </w:rPr>
      </w:pPr>
      <w:r>
        <w:rPr>
          <w:rFonts w:hint="eastAsia" w:ascii="宋体" w:hAnsi="宋体" w:cs="宋体"/>
          <w:color w:val="000000"/>
          <w:highlight w:val="none"/>
        </w:rPr>
        <w:t>拟任项目负责人须为湖南省级分公司副总经理（含）以上级别，须提供省级（含）以上保险监督管理部门对该项目负责人的任职资格核准文件及</w:t>
      </w:r>
      <w:r>
        <w:rPr>
          <w:rFonts w:hint="eastAsia" w:ascii="宋体" w:hAnsi="宋体" w:cs="宋体"/>
          <w:color w:val="000000"/>
          <w:highlight w:val="none"/>
          <w:lang w:val="en-US" w:eastAsia="zh-CN"/>
        </w:rPr>
        <w:t>谈判单位</w:t>
      </w:r>
      <w:r>
        <w:rPr>
          <w:rFonts w:hint="eastAsia" w:ascii="宋体" w:hAnsi="宋体" w:cs="宋体"/>
          <w:color w:val="000000"/>
          <w:highlight w:val="none"/>
        </w:rPr>
        <w:t>对该名项目负责人的任命文件</w:t>
      </w:r>
      <w:r>
        <w:rPr>
          <w:rStyle w:val="56"/>
          <w:rFonts w:hint="eastAsia" w:ascii="Times New Roman" w:hAnsi="Times New Roman" w:eastAsia="宋体" w:cs="Times New Roman"/>
          <w:color w:val="auto"/>
          <w:kern w:val="0"/>
          <w:highlight w:val="none"/>
          <w:u w:val="none"/>
          <w:shd w:val="clear" w:color="auto" w:fill="FFFFFF"/>
          <w:lang w:eastAsia="zh-CN"/>
        </w:rPr>
        <w:t>。</w:t>
      </w:r>
    </w:p>
    <w:p>
      <w:pPr>
        <w:keepNext w:val="0"/>
        <w:keepLines w:val="0"/>
        <w:pageBreakBefore w:val="0"/>
        <w:numPr>
          <w:ilvl w:val="0"/>
          <w:numId w:val="9"/>
        </w:numPr>
        <w:kinsoku/>
        <w:wordWrap/>
        <w:overflowPunct/>
        <w:topLinePunct w:val="0"/>
        <w:autoSpaceDE/>
        <w:autoSpaceDN/>
        <w:bidi w:val="0"/>
        <w:spacing w:line="360" w:lineRule="auto"/>
        <w:ind w:left="0" w:leftChars="0" w:firstLine="420" w:firstLineChars="200"/>
        <w:textAlignment w:val="auto"/>
        <w:rPr>
          <w:rStyle w:val="56"/>
          <w:color w:val="auto"/>
          <w:kern w:val="0"/>
          <w:highlight w:val="none"/>
          <w:u w:val="none"/>
          <w:shd w:val="clear" w:color="auto" w:fill="FFFFFF"/>
        </w:rPr>
      </w:pPr>
      <w:r>
        <w:rPr>
          <w:rStyle w:val="56"/>
          <w:color w:val="auto"/>
          <w:highlight w:val="none"/>
          <w:u w:val="none"/>
          <w:shd w:val="clear" w:color="auto" w:fill="FFFFFF"/>
        </w:rPr>
        <w:t>本</w:t>
      </w:r>
      <w:r>
        <w:rPr>
          <w:rStyle w:val="56"/>
          <w:rFonts w:hint="eastAsia"/>
          <w:color w:val="auto"/>
          <w:highlight w:val="none"/>
          <w:u w:val="none"/>
          <w:shd w:val="clear" w:color="auto" w:fill="FFFFFF"/>
        </w:rPr>
        <w:t>次采购</w:t>
      </w:r>
      <w:r>
        <w:rPr>
          <w:rStyle w:val="56"/>
          <w:color w:val="auto"/>
          <w:highlight w:val="none"/>
          <w:u w:val="none"/>
          <w:shd w:val="clear" w:color="auto" w:fill="FFFFFF"/>
        </w:rPr>
        <w:t>不接受联合体</w:t>
      </w:r>
      <w:r>
        <w:rPr>
          <w:rStyle w:val="56"/>
          <w:rFonts w:hint="eastAsia"/>
          <w:color w:val="auto"/>
          <w:kern w:val="0"/>
          <w:highlight w:val="none"/>
          <w:u w:val="none"/>
          <w:shd w:val="clear" w:color="auto" w:fill="FFFFFF"/>
        </w:rPr>
        <w:t>。</w:t>
      </w:r>
    </w:p>
    <w:p>
      <w:pPr>
        <w:keepNext w:val="0"/>
        <w:keepLines w:val="0"/>
        <w:pageBreakBefore w:val="0"/>
        <w:numPr>
          <w:ilvl w:val="0"/>
          <w:numId w:val="9"/>
        </w:numPr>
        <w:kinsoku/>
        <w:wordWrap/>
        <w:overflowPunct/>
        <w:topLinePunct w:val="0"/>
        <w:autoSpaceDE/>
        <w:autoSpaceDN/>
        <w:bidi w:val="0"/>
        <w:spacing w:line="360" w:lineRule="auto"/>
        <w:ind w:left="0" w:leftChars="0" w:firstLine="420" w:firstLineChars="200"/>
        <w:textAlignment w:val="auto"/>
        <w:rPr>
          <w:rStyle w:val="56"/>
          <w:color w:val="auto"/>
          <w:kern w:val="0"/>
          <w:highlight w:val="none"/>
          <w:u w:val="none"/>
          <w:shd w:val="clear" w:color="auto" w:fill="FFFFFF"/>
        </w:rPr>
      </w:pPr>
      <w:r>
        <w:rPr>
          <w:rFonts w:hint="eastAsia" w:ascii="宋体" w:hAnsi="宋体" w:cs="宋体"/>
          <w:color w:val="000000"/>
          <w:highlight w:val="none"/>
        </w:rPr>
        <w:t>被长沙市轨道交通集团有限公司</w:t>
      </w:r>
      <w:r>
        <w:rPr>
          <w:rFonts w:hint="eastAsia" w:ascii="宋体" w:hAnsi="宋体" w:cs="宋体"/>
          <w:color w:val="000000"/>
          <w:highlight w:val="none"/>
          <w:lang w:val="en-US" w:eastAsia="zh-CN"/>
        </w:rPr>
        <w:t>或</w:t>
      </w:r>
      <w:r>
        <w:rPr>
          <w:rFonts w:hint="eastAsia" w:ascii="宋体" w:hAnsi="宋体" w:cs="宋体"/>
          <w:color w:val="000000"/>
          <w:highlight w:val="none"/>
        </w:rPr>
        <w:t>长沙市轨道交通运营有限公司函告禁止在一定期限内参与投标的单位按函告内容执行</w:t>
      </w:r>
      <w:r>
        <w:rPr>
          <w:rStyle w:val="56"/>
          <w:rFonts w:hint="eastAsia"/>
          <w:color w:val="auto"/>
          <w:kern w:val="0"/>
          <w:highlight w:val="none"/>
          <w:u w:val="none"/>
          <w:shd w:val="clear" w:color="auto" w:fill="FFFFFF"/>
        </w:rPr>
        <w:t>。</w:t>
      </w:r>
    </w:p>
    <w:p>
      <w:pPr>
        <w:pStyle w:val="43"/>
        <w:keepNext w:val="0"/>
        <w:keepLines w:val="0"/>
        <w:pageBreakBefore w:val="0"/>
        <w:numPr>
          <w:ilvl w:val="0"/>
          <w:numId w:val="7"/>
        </w:numPr>
        <w:shd w:val="clear" w:color="auto" w:fill="FFFFFF"/>
        <w:kinsoku/>
        <w:wordWrap/>
        <w:overflowPunct/>
        <w:topLinePunct w:val="0"/>
        <w:autoSpaceDE/>
        <w:autoSpaceDN/>
        <w:bidi w:val="0"/>
        <w:spacing w:before="0" w:beforeAutospacing="0" w:after="0" w:afterAutospacing="0" w:line="360" w:lineRule="auto"/>
        <w:ind w:firstLine="422" w:firstLineChars="200"/>
        <w:jc w:val="both"/>
        <w:textAlignment w:val="auto"/>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评审办法</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eastAsia="zh-CN"/>
        </w:rPr>
      </w:pPr>
      <w:r>
        <w:rPr>
          <w:rStyle w:val="56"/>
          <w:rFonts w:hint="eastAsia"/>
          <w:color w:val="auto"/>
          <w:kern w:val="0"/>
          <w:highlight w:val="none"/>
          <w:u w:val="none"/>
          <w:shd w:val="clear" w:color="auto" w:fill="FFFFFF"/>
        </w:rPr>
        <w:t>本项目评审办法采用</w:t>
      </w:r>
      <w:r>
        <w:rPr>
          <w:rFonts w:hint="eastAsia" w:ascii="宋体" w:hAnsi="宋体" w:cs="宋体"/>
          <w:bCs/>
          <w:highlight w:val="none"/>
        </w:rPr>
        <w:t>经符合性审查合格后的最低价法</w:t>
      </w:r>
      <w:r>
        <w:rPr>
          <w:rFonts w:hint="eastAsia" w:ascii="宋体" w:hAnsi="宋体" w:cs="宋体"/>
          <w:bCs/>
          <w:highlight w:val="none"/>
          <w:lang w:eastAsia="zh-CN"/>
        </w:rPr>
        <w:t>。</w:t>
      </w:r>
    </w:p>
    <w:p>
      <w:pPr>
        <w:pStyle w:val="43"/>
        <w:keepNext w:val="0"/>
        <w:keepLines w:val="0"/>
        <w:pageBreakBefore w:val="0"/>
        <w:numPr>
          <w:ilvl w:val="0"/>
          <w:numId w:val="7"/>
        </w:numPr>
        <w:shd w:val="clear" w:color="auto" w:fill="FFFFFF"/>
        <w:kinsoku/>
        <w:wordWrap/>
        <w:overflowPunct/>
        <w:topLinePunct w:val="0"/>
        <w:autoSpaceDE/>
        <w:autoSpaceDN/>
        <w:bidi w:val="0"/>
        <w:spacing w:before="0" w:beforeAutospacing="0" w:after="0" w:afterAutospacing="0" w:line="360" w:lineRule="auto"/>
        <w:ind w:firstLine="422" w:firstLineChars="200"/>
        <w:jc w:val="both"/>
        <w:textAlignment w:val="auto"/>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自主竞争性谈判文件的获取</w:t>
      </w:r>
    </w:p>
    <w:p>
      <w:pPr>
        <w:keepNext w:val="0"/>
        <w:keepLines w:val="0"/>
        <w:pageBreakBefore w:val="0"/>
        <w:kinsoku/>
        <w:wordWrap/>
        <w:overflowPunct/>
        <w:topLinePunct w:val="0"/>
        <w:autoSpaceDE/>
        <w:autoSpaceDN/>
        <w:bidi w:val="0"/>
        <w:spacing w:line="360" w:lineRule="auto"/>
        <w:ind w:firstLine="420" w:firstLineChars="200"/>
        <w:textAlignment w:val="auto"/>
        <w:rPr>
          <w:rStyle w:val="56"/>
          <w:color w:val="auto"/>
          <w:kern w:val="0"/>
          <w:highlight w:val="none"/>
          <w:u w:val="none"/>
          <w:shd w:val="clear" w:color="auto" w:fill="FFFFFF"/>
        </w:rPr>
      </w:pPr>
      <w:r>
        <w:rPr>
          <w:rStyle w:val="56"/>
          <w:rFonts w:hint="eastAsia"/>
          <w:color w:val="auto"/>
          <w:kern w:val="0"/>
          <w:highlight w:val="none"/>
          <w:u w:val="none"/>
          <w:shd w:val="clear" w:color="auto" w:fill="FFFFFF"/>
        </w:rPr>
        <w:t>凡有意参加谈判的单位，自本公告发布之日起登录长沙市轨道交通集团有限公司官方网站（http://www.hncsmtr.com/）获取自主竞争性谈判文件。</w:t>
      </w:r>
    </w:p>
    <w:p>
      <w:pPr>
        <w:pStyle w:val="43"/>
        <w:keepNext w:val="0"/>
        <w:keepLines w:val="0"/>
        <w:pageBreakBefore w:val="0"/>
        <w:numPr>
          <w:ilvl w:val="0"/>
          <w:numId w:val="7"/>
        </w:numPr>
        <w:shd w:val="clear" w:color="auto" w:fill="FFFFFF"/>
        <w:kinsoku/>
        <w:wordWrap/>
        <w:overflowPunct/>
        <w:topLinePunct w:val="0"/>
        <w:autoSpaceDE/>
        <w:autoSpaceDN/>
        <w:bidi w:val="0"/>
        <w:spacing w:before="0" w:beforeAutospacing="0" w:after="0" w:afterAutospacing="0" w:line="360" w:lineRule="auto"/>
        <w:ind w:firstLine="422" w:firstLineChars="200"/>
        <w:jc w:val="both"/>
        <w:textAlignment w:val="auto"/>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谈判文件的澄清与答疑</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本项目不组织答疑会和现场踏勘。</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谈判单位若对谈判文件有任何疑问，应于</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 xml:space="preserve"> 2 </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 xml:space="preserve"> 3 </w:t>
      </w:r>
      <w:r>
        <w:rPr>
          <w:rStyle w:val="56"/>
          <w:rFonts w:hint="eastAsia" w:ascii="Times New Roman" w:hAnsi="Times New Roman" w:cs="Times New Roman"/>
          <w:color w:val="auto"/>
          <w:sz w:val="21"/>
          <w:highlight w:val="none"/>
          <w:u w:val="none"/>
          <w:shd w:val="clear" w:color="auto" w:fill="FFFFFF"/>
        </w:rPr>
        <w:t>日17：00时（含）前（节假日除外）以书面形式（经法定代表人签字或盖章，并加盖单位公章）递交至</w:t>
      </w:r>
      <w:r>
        <w:rPr>
          <w:rStyle w:val="56"/>
          <w:rFonts w:hint="eastAsia" w:ascii="Times New Roman" w:hAnsi="Times New Roman" w:cs="Times New Roman"/>
          <w:color w:val="auto"/>
          <w:sz w:val="21"/>
          <w:highlight w:val="none"/>
          <w:u w:val="none"/>
          <w:shd w:val="clear" w:color="auto" w:fill="FFFFFF"/>
          <w:lang w:val="en-US" w:eastAsia="zh-CN"/>
        </w:rPr>
        <w:t>采购单位</w:t>
      </w:r>
      <w:r>
        <w:rPr>
          <w:rStyle w:val="56"/>
          <w:rFonts w:hint="eastAsia" w:ascii="Times New Roman" w:hAnsi="Times New Roman" w:cs="Times New Roman"/>
          <w:color w:val="auto"/>
          <w:sz w:val="21"/>
          <w:highlight w:val="none"/>
          <w:u w:val="none"/>
          <w:shd w:val="clear" w:color="auto" w:fill="FFFFFF"/>
        </w:rPr>
        <w:t>。</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在谈判截止时间前，采购单位可主动地或在解答谈判单位提出的问题时对谈判文件进行澄清或修改。</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澄清或者修改的内容可能影响响应文件编制的，采购单位应当在提交响应文件截止之日3个工作日前，在长沙市轨道交通集团有限公司官方网站（http://www.hncsmtr.com/）发布澄清或答疑文件及顺延谈判时间，敬请获得谈判文件的所有谈判单位关注，恕不另行通知，如有遗漏，采购单位不负任何责任。</w:t>
      </w:r>
    </w:p>
    <w:p>
      <w:pPr>
        <w:pStyle w:val="43"/>
        <w:keepNext w:val="0"/>
        <w:keepLines w:val="0"/>
        <w:pageBreakBefore w:val="0"/>
        <w:numPr>
          <w:ilvl w:val="0"/>
          <w:numId w:val="7"/>
        </w:numPr>
        <w:shd w:val="clear" w:color="auto" w:fill="FFFFFF"/>
        <w:kinsoku/>
        <w:wordWrap/>
        <w:overflowPunct/>
        <w:topLinePunct w:val="0"/>
        <w:autoSpaceDE/>
        <w:autoSpaceDN/>
        <w:bidi w:val="0"/>
        <w:spacing w:before="0" w:beforeAutospacing="0" w:after="0" w:afterAutospacing="0" w:line="360" w:lineRule="auto"/>
        <w:ind w:firstLine="422" w:firstLineChars="200"/>
        <w:jc w:val="both"/>
        <w:textAlignment w:val="auto"/>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谈判保证金提交与退还</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lang w:val="en-US" w:eastAsia="zh-CN"/>
        </w:rPr>
        <w:t>所有</w:t>
      </w:r>
      <w:r>
        <w:rPr>
          <w:rStyle w:val="56"/>
          <w:rFonts w:hint="eastAsia" w:ascii="Times New Roman" w:hAnsi="Times New Roman" w:cs="Times New Roman"/>
          <w:color w:val="auto"/>
          <w:sz w:val="21"/>
          <w:highlight w:val="none"/>
          <w:u w:val="none"/>
          <w:shd w:val="clear" w:color="auto" w:fill="FFFFFF"/>
        </w:rPr>
        <w:t>谈判单位须在城轨采购网（网址：</w:t>
      </w:r>
      <w:r>
        <w:rPr>
          <w:highlight w:val="none"/>
        </w:rPr>
        <w:fldChar w:fldCharType="begin"/>
      </w:r>
      <w:r>
        <w:rPr>
          <w:highlight w:val="none"/>
        </w:rPr>
        <w:instrText xml:space="preserve"> HYPERLINK "http://www.mtrmart.com）注册参与并按要求提交投标保证金。本次投标保证金的金额为（人民币）" </w:instrText>
      </w:r>
      <w:r>
        <w:rPr>
          <w:highlight w:val="none"/>
        </w:rPr>
        <w:fldChar w:fldCharType="separate"/>
      </w:r>
      <w:r>
        <w:rPr>
          <w:rStyle w:val="56"/>
          <w:rFonts w:hint="eastAsia" w:ascii="Times New Roman" w:hAnsi="Times New Roman" w:cs="Times New Roman"/>
          <w:color w:val="auto"/>
          <w:sz w:val="21"/>
          <w:highlight w:val="none"/>
          <w:u w:val="none"/>
          <w:shd w:val="clear" w:color="auto" w:fill="FFFFFF"/>
        </w:rPr>
        <w:t>www.mtrmart.com）注册参与并按要求提交谈判保证金。本次谈判保证金的金额为（人民币）</w:t>
      </w:r>
      <w:r>
        <w:rPr>
          <w:rStyle w:val="56"/>
          <w:rFonts w:hint="eastAsia" w:ascii="Times New Roman" w:hAnsi="Times New Roman" w:cs="Times New Roman"/>
          <w:color w:val="auto"/>
          <w:sz w:val="21"/>
          <w:highlight w:val="none"/>
          <w:u w:val="none"/>
          <w:shd w:val="clear" w:color="auto" w:fill="FFFFFF"/>
        </w:rPr>
        <w:fldChar w:fldCharType="end"/>
      </w:r>
      <w:r>
        <w:rPr>
          <w:rStyle w:val="56"/>
          <w:rFonts w:hint="eastAsia" w:ascii="Times New Roman" w:hAnsi="Times New Roman" w:cs="Times New Roman"/>
          <w:color w:val="auto"/>
          <w:sz w:val="21"/>
          <w:highlight w:val="none"/>
          <w:shd w:val="clear" w:color="auto" w:fill="FFFFFF"/>
          <w:lang w:val="en-US" w:eastAsia="zh-CN"/>
        </w:rPr>
        <w:t>捌仟陆佰</w:t>
      </w:r>
      <w:r>
        <w:rPr>
          <w:rStyle w:val="56"/>
          <w:rFonts w:hint="eastAsia" w:ascii="Times New Roman" w:hAnsi="Times New Roman" w:cs="Times New Roman"/>
          <w:color w:val="auto"/>
          <w:sz w:val="21"/>
          <w:highlight w:val="none"/>
          <w:shd w:val="clear" w:color="auto" w:fill="FFFFFF"/>
        </w:rPr>
        <w:t>元整</w:t>
      </w:r>
      <w:r>
        <w:rPr>
          <w:rFonts w:hint="eastAsia"/>
          <w:color w:val="000000"/>
          <w:sz w:val="21"/>
          <w:szCs w:val="21"/>
          <w:highlight w:val="none"/>
          <w:shd w:val="clear" w:color="auto" w:fill="FFFFFF"/>
          <w:lang w:bidi="ar"/>
        </w:rPr>
        <w:t>（¥</w:t>
      </w:r>
      <w:r>
        <w:rPr>
          <w:rFonts w:hint="eastAsia"/>
          <w:color w:val="000000"/>
          <w:sz w:val="21"/>
          <w:szCs w:val="21"/>
          <w:highlight w:val="none"/>
          <w:u w:val="single"/>
          <w:shd w:val="clear" w:color="auto" w:fill="FFFFFF"/>
          <w:lang w:val="en-US" w:eastAsia="zh-CN" w:bidi="ar"/>
        </w:rPr>
        <w:t>8600</w:t>
      </w:r>
      <w:r>
        <w:rPr>
          <w:rFonts w:hint="eastAsia"/>
          <w:color w:val="000000"/>
          <w:sz w:val="21"/>
          <w:szCs w:val="21"/>
          <w:highlight w:val="none"/>
          <w:u w:val="single"/>
          <w:shd w:val="clear" w:color="auto" w:fill="FFFFFF"/>
          <w:lang w:bidi="ar"/>
        </w:rPr>
        <w:t>.00</w:t>
      </w:r>
      <w:r>
        <w:rPr>
          <w:rFonts w:hint="eastAsia"/>
          <w:color w:val="000000"/>
          <w:sz w:val="21"/>
          <w:szCs w:val="21"/>
          <w:highlight w:val="none"/>
          <w:shd w:val="clear" w:color="auto" w:fill="FFFFFF"/>
          <w:lang w:bidi="ar"/>
        </w:rPr>
        <w:t>元）</w:t>
      </w:r>
      <w:r>
        <w:rPr>
          <w:rStyle w:val="56"/>
          <w:rFonts w:hint="eastAsia" w:ascii="Times New Roman" w:hAnsi="Times New Roman" w:cs="Times New Roman"/>
          <w:color w:val="auto"/>
          <w:sz w:val="21"/>
          <w:highlight w:val="none"/>
          <w:u w:val="none"/>
          <w:shd w:val="clear" w:color="auto" w:fill="FFFFFF"/>
        </w:rPr>
        <w:t>，谈判保证金必须由谈判单位的银行对公账户一次性足额转出，提交谈判保证金的账户名称应与谈判单位的名称一致，不得以分支机构等其他名义提交。否则将无权限参加本次谈判。</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本次参与谈判单位的谈判保证金必须在</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 xml:space="preserve"> 2 </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 xml:space="preserve"> 9 </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shd w:val="clear" w:color="auto" w:fill="FFFFFF"/>
          <w:lang w:val="en-US" w:eastAsia="zh-CN"/>
        </w:rPr>
        <w:t>9:00</w:t>
      </w:r>
      <w:r>
        <w:rPr>
          <w:rStyle w:val="56"/>
          <w:rFonts w:hint="eastAsia" w:ascii="Times New Roman" w:hAnsi="Times New Roman" w:cs="Times New Roman"/>
          <w:color w:val="auto"/>
          <w:sz w:val="21"/>
          <w:highlight w:val="none"/>
          <w:u w:val="none"/>
          <w:shd w:val="clear" w:color="auto" w:fill="FFFFFF"/>
        </w:rPr>
        <w:t>前(含)到达专用账户（以托管银行到账的日期为准），逾期或未提交谈判保证金的谈判单位，将无权限参加本次谈判。</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谈判保证金的提交仅接受银行转账的方式，谈判保证金由广州地铁物资有限公司代收、代退。账户名为广州地铁物资有限公司（开户分行：平安银行广州分行营业部），城轨采购网（网址：www.mtrmart.com）系统会为本项目自动生成谈判保证金账户信息（虚拟子账户），相关账户信息以实际信息为准。</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保证金的退还：未中选单位的谈判保证金，将在其确定对本项目谈判采购过程及结果无异议，且在中选结果公示截止后予以退还谈判保证金；中选单位的谈判保证金将在签署合同并提交履约保证金后予以退还。如在退还谈判保证金时发生银行费用，则在谈判保证金金额内扣减后将余额退回。</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项目终止谈判保证金退还，已经收取谈判保证金的，将在终止采购活动后无息退还所收取的谈判保证金。重新组织采购时，谈判单位应当重新获取保证金账号，并提交谈判保证金。</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谈判单位在谈判截止时间前撤回已提交的响应文件的，将在收到供应商书面撤回通知后，退还已收取的谈判保证金。</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出现包括但不限于下列情况的，采购单位将按照长沙市轨道交通运营有限公司相关制度和合同条款等相关规定，视其情节轻重，给予没收部分或全部谈判保证金，并出具书面处理决定，除此之外，如谈判单位给采购单位造成的损失超过谈判保证金数额的，谈判单位应当对超过部分给予赔偿。</w:t>
      </w:r>
    </w:p>
    <w:p>
      <w:pPr>
        <w:pStyle w:val="43"/>
        <w:keepNext w:val="0"/>
        <w:keepLines w:val="0"/>
        <w:pageBreakBefore w:val="0"/>
        <w:numPr>
          <w:ilvl w:val="0"/>
          <w:numId w:val="12"/>
        </w:numPr>
        <w:shd w:val="clear" w:color="auto" w:fill="FFFFFF"/>
        <w:kinsoku/>
        <w:wordWrap/>
        <w:overflowPunct/>
        <w:topLinePunct w:val="0"/>
        <w:autoSpaceDE/>
        <w:autoSpaceDN/>
        <w:bidi w:val="0"/>
        <w:spacing w:before="0" w:beforeAutospacing="0" w:after="0" w:afterAutospacing="0" w:line="360" w:lineRule="auto"/>
        <w:ind w:left="0"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谈判单位提出撤回或撤销或放弃中选资格或对报价提出实质性修改；</w:t>
      </w:r>
    </w:p>
    <w:p>
      <w:pPr>
        <w:pStyle w:val="43"/>
        <w:keepNext w:val="0"/>
        <w:keepLines w:val="0"/>
        <w:pageBreakBefore w:val="0"/>
        <w:numPr>
          <w:ilvl w:val="0"/>
          <w:numId w:val="12"/>
        </w:numPr>
        <w:shd w:val="clear" w:color="auto" w:fill="FFFFFF"/>
        <w:kinsoku/>
        <w:wordWrap/>
        <w:overflowPunct/>
        <w:topLinePunct w:val="0"/>
        <w:autoSpaceDE/>
        <w:autoSpaceDN/>
        <w:bidi w:val="0"/>
        <w:spacing w:before="0" w:beforeAutospacing="0" w:after="0" w:afterAutospacing="0" w:line="360" w:lineRule="auto"/>
        <w:ind w:left="0"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中选单位未能在规定期限内签订合同或不按报价结果签订合同；</w:t>
      </w:r>
    </w:p>
    <w:p>
      <w:pPr>
        <w:pStyle w:val="43"/>
        <w:keepNext w:val="0"/>
        <w:keepLines w:val="0"/>
        <w:pageBreakBefore w:val="0"/>
        <w:numPr>
          <w:ilvl w:val="0"/>
          <w:numId w:val="12"/>
        </w:numPr>
        <w:shd w:val="clear" w:color="auto" w:fill="FFFFFF"/>
        <w:kinsoku/>
        <w:wordWrap/>
        <w:overflowPunct/>
        <w:topLinePunct w:val="0"/>
        <w:autoSpaceDE/>
        <w:autoSpaceDN/>
        <w:bidi w:val="0"/>
        <w:spacing w:before="0" w:beforeAutospacing="0" w:after="0" w:afterAutospacing="0" w:line="360" w:lineRule="auto"/>
        <w:ind w:left="0"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中选单位未能在规定期限内提交履约保证金；</w:t>
      </w:r>
    </w:p>
    <w:p>
      <w:pPr>
        <w:pStyle w:val="43"/>
        <w:keepNext w:val="0"/>
        <w:keepLines w:val="0"/>
        <w:pageBreakBefore w:val="0"/>
        <w:numPr>
          <w:ilvl w:val="0"/>
          <w:numId w:val="12"/>
        </w:numPr>
        <w:shd w:val="clear" w:color="auto" w:fill="FFFFFF"/>
        <w:kinsoku/>
        <w:wordWrap/>
        <w:overflowPunct/>
        <w:topLinePunct w:val="0"/>
        <w:autoSpaceDE/>
        <w:autoSpaceDN/>
        <w:bidi w:val="0"/>
        <w:spacing w:before="0" w:beforeAutospacing="0" w:after="0" w:afterAutospacing="0" w:line="360" w:lineRule="auto"/>
        <w:ind w:left="0"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中选单位在合同订立过程中未能完全响应采购文件、清单、附件、合同要求以致合同无法订立的；</w:t>
      </w:r>
    </w:p>
    <w:p>
      <w:pPr>
        <w:pStyle w:val="43"/>
        <w:keepNext w:val="0"/>
        <w:keepLines w:val="0"/>
        <w:pageBreakBefore w:val="0"/>
        <w:numPr>
          <w:ilvl w:val="0"/>
          <w:numId w:val="12"/>
        </w:numPr>
        <w:shd w:val="clear" w:color="auto" w:fill="FFFFFF"/>
        <w:kinsoku/>
        <w:wordWrap/>
        <w:overflowPunct/>
        <w:topLinePunct w:val="0"/>
        <w:autoSpaceDE/>
        <w:autoSpaceDN/>
        <w:bidi w:val="0"/>
        <w:spacing w:before="0" w:beforeAutospacing="0" w:after="0" w:afterAutospacing="0" w:line="360" w:lineRule="auto"/>
        <w:ind w:left="0"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经查实谈判单位报价资料弄虚作假的；</w:t>
      </w:r>
    </w:p>
    <w:p>
      <w:pPr>
        <w:pStyle w:val="43"/>
        <w:keepNext w:val="0"/>
        <w:keepLines w:val="0"/>
        <w:pageBreakBefore w:val="0"/>
        <w:numPr>
          <w:ilvl w:val="0"/>
          <w:numId w:val="12"/>
        </w:numPr>
        <w:shd w:val="clear" w:color="auto" w:fill="FFFFFF"/>
        <w:kinsoku/>
        <w:wordWrap/>
        <w:overflowPunct/>
        <w:topLinePunct w:val="0"/>
        <w:autoSpaceDE/>
        <w:autoSpaceDN/>
        <w:bidi w:val="0"/>
        <w:spacing w:before="0" w:beforeAutospacing="0" w:after="0" w:afterAutospacing="0" w:line="360" w:lineRule="auto"/>
        <w:ind w:left="0"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串通参与谈判相关行为的。如不同谈判单位的谈判保证金从同一账户转出。</w:t>
      </w:r>
    </w:p>
    <w:p>
      <w:pPr>
        <w:pStyle w:val="43"/>
        <w:keepNext w:val="0"/>
        <w:keepLines w:val="0"/>
        <w:pageBreakBefore w:val="0"/>
        <w:numPr>
          <w:ilvl w:val="0"/>
          <w:numId w:val="7"/>
        </w:numPr>
        <w:shd w:val="clear" w:color="auto" w:fill="FFFFFF"/>
        <w:kinsoku/>
        <w:wordWrap/>
        <w:overflowPunct/>
        <w:topLinePunct w:val="0"/>
        <w:autoSpaceDE/>
        <w:autoSpaceDN/>
        <w:bidi w:val="0"/>
        <w:spacing w:before="0" w:beforeAutospacing="0" w:after="0" w:afterAutospacing="0" w:line="360" w:lineRule="auto"/>
        <w:ind w:firstLine="422" w:firstLineChars="200"/>
        <w:jc w:val="both"/>
        <w:textAlignment w:val="auto"/>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响应文件的递交</w:t>
      </w:r>
    </w:p>
    <w:p>
      <w:pPr>
        <w:pStyle w:val="43"/>
        <w:keepNext w:val="0"/>
        <w:keepLines w:val="0"/>
        <w:pageBreakBefore w:val="0"/>
        <w:numPr>
          <w:ilvl w:val="0"/>
          <w:numId w:val="13"/>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响应文件递交的截止时间及谈判时间为</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 xml:space="preserve"> 2 </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 xml:space="preserve"> 9 </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shd w:val="clear" w:color="auto" w:fill="FFFFFF"/>
          <w:lang w:val="en-US" w:eastAsia="zh-CN"/>
        </w:rPr>
        <w:t>14</w:t>
      </w:r>
      <w:r>
        <w:rPr>
          <w:rStyle w:val="56"/>
          <w:rFonts w:hint="eastAsia" w:ascii="Times New Roman" w:hAnsi="Times New Roman" w:cs="Times New Roman"/>
          <w:color w:val="auto"/>
          <w:sz w:val="21"/>
          <w:highlight w:val="none"/>
          <w:u w:val="none"/>
          <w:shd w:val="clear" w:color="auto" w:fill="FFFFFF"/>
        </w:rPr>
        <w:t>时</w:t>
      </w:r>
      <w:r>
        <w:rPr>
          <w:rStyle w:val="56"/>
          <w:rFonts w:hint="eastAsia" w:ascii="Times New Roman" w:hAnsi="Times New Roman" w:cs="Times New Roman"/>
          <w:color w:val="auto"/>
          <w:sz w:val="21"/>
          <w:highlight w:val="none"/>
          <w:shd w:val="clear" w:color="auto" w:fill="FFFFFF"/>
          <w:lang w:val="en-US" w:eastAsia="zh-CN"/>
        </w:rPr>
        <w:t>30</w:t>
      </w:r>
      <w:r>
        <w:rPr>
          <w:rStyle w:val="56"/>
          <w:rFonts w:hint="eastAsia" w:ascii="Times New Roman" w:hAnsi="Times New Roman" w:cs="Times New Roman"/>
          <w:color w:val="auto"/>
          <w:sz w:val="21"/>
          <w:highlight w:val="none"/>
          <w:u w:val="none"/>
          <w:shd w:val="clear" w:color="auto" w:fill="FFFFFF"/>
        </w:rPr>
        <w:t>分，地点为长沙市劳动东路二段48号黄兴车辆段综合楼</w:t>
      </w:r>
      <w:r>
        <w:rPr>
          <w:rStyle w:val="56"/>
          <w:rFonts w:hint="eastAsia" w:ascii="Times New Roman" w:hAnsi="Times New Roman" w:cs="Times New Roman"/>
          <w:color w:val="auto"/>
          <w:sz w:val="21"/>
          <w:highlight w:val="none"/>
          <w:u w:val="none"/>
          <w:shd w:val="clear" w:color="auto" w:fill="FFFFFF"/>
          <w:lang w:val="en-US" w:eastAsia="zh-CN"/>
        </w:rPr>
        <w:t>9</w:t>
      </w:r>
      <w:r>
        <w:rPr>
          <w:rStyle w:val="56"/>
          <w:rFonts w:hint="eastAsia" w:ascii="Times New Roman" w:hAnsi="Times New Roman" w:cs="Times New Roman"/>
          <w:color w:val="auto"/>
          <w:sz w:val="21"/>
          <w:highlight w:val="none"/>
          <w:u w:val="none"/>
          <w:shd w:val="clear" w:color="auto" w:fill="FFFFFF"/>
        </w:rPr>
        <w:t>楼</w:t>
      </w:r>
      <w:r>
        <w:rPr>
          <w:rStyle w:val="56"/>
          <w:rFonts w:hint="eastAsia" w:ascii="Times New Roman" w:hAnsi="Times New Roman" w:cs="Times New Roman"/>
          <w:color w:val="auto"/>
          <w:sz w:val="21"/>
          <w:highlight w:val="none"/>
          <w:u w:val="none"/>
          <w:shd w:val="clear" w:color="auto" w:fill="FFFFFF"/>
          <w:lang w:val="en-US" w:eastAsia="zh-CN"/>
        </w:rPr>
        <w:t>910</w:t>
      </w:r>
      <w:r>
        <w:rPr>
          <w:rStyle w:val="56"/>
          <w:rFonts w:hint="eastAsia" w:ascii="Times New Roman" w:hAnsi="Times New Roman" w:cs="Times New Roman"/>
          <w:color w:val="auto"/>
          <w:sz w:val="21"/>
          <w:highlight w:val="none"/>
          <w:u w:val="none"/>
          <w:shd w:val="clear" w:color="auto" w:fill="FFFFFF"/>
        </w:rPr>
        <w:t>室。</w:t>
      </w:r>
    </w:p>
    <w:p>
      <w:pPr>
        <w:pStyle w:val="43"/>
        <w:keepNext w:val="0"/>
        <w:keepLines w:val="0"/>
        <w:pageBreakBefore w:val="0"/>
        <w:numPr>
          <w:ilvl w:val="0"/>
          <w:numId w:val="13"/>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逾期送达的或者未送达指定地点的或者未密封的响应文件（含电子文件），采购单位将予以拒收。</w:t>
      </w:r>
    </w:p>
    <w:p>
      <w:pPr>
        <w:pStyle w:val="43"/>
        <w:keepNext w:val="0"/>
        <w:keepLines w:val="0"/>
        <w:pageBreakBefore w:val="0"/>
        <w:widowControl w:val="0"/>
        <w:numPr>
          <w:ilvl w:val="0"/>
          <w:numId w:val="7"/>
        </w:numPr>
        <w:shd w:val="clear" w:color="auto" w:fill="FFFFFF"/>
        <w:kinsoku/>
        <w:wordWrap/>
        <w:overflowPunct/>
        <w:topLinePunct w:val="0"/>
        <w:autoSpaceDE/>
        <w:autoSpaceDN/>
        <w:bidi w:val="0"/>
        <w:spacing w:before="0" w:beforeAutospacing="0" w:after="0" w:afterAutospacing="0" w:line="360" w:lineRule="auto"/>
        <w:ind w:firstLine="422" w:firstLineChars="200"/>
        <w:jc w:val="both"/>
        <w:textAlignment w:val="auto"/>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中选原则</w:t>
      </w:r>
    </w:p>
    <w:p>
      <w:pPr>
        <w:pStyle w:val="43"/>
        <w:keepNext w:val="0"/>
        <w:keepLines w:val="0"/>
        <w:pageBreakBefore w:val="0"/>
        <w:numPr>
          <w:ilvl w:val="0"/>
          <w:numId w:val="14"/>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谈判评审小组按照综合得分由高到低的顺序推荐不超过3名中选候选人，并对排名第一的中选候选人进行公示。经公示无异议后，确定排名第一的中选候选人为中选人。</w:t>
      </w:r>
    </w:p>
    <w:p>
      <w:pPr>
        <w:pStyle w:val="43"/>
        <w:keepNext w:val="0"/>
        <w:keepLines w:val="0"/>
        <w:pageBreakBefore w:val="0"/>
        <w:numPr>
          <w:ilvl w:val="0"/>
          <w:numId w:val="14"/>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43"/>
        <w:keepNext w:val="0"/>
        <w:keepLines w:val="0"/>
        <w:pageBreakBefore w:val="0"/>
        <w:numPr>
          <w:ilvl w:val="0"/>
          <w:numId w:val="7"/>
        </w:numPr>
        <w:shd w:val="clear" w:color="auto" w:fill="FFFFFF"/>
        <w:kinsoku/>
        <w:wordWrap/>
        <w:overflowPunct/>
        <w:topLinePunct w:val="0"/>
        <w:autoSpaceDE/>
        <w:autoSpaceDN/>
        <w:bidi w:val="0"/>
        <w:spacing w:before="0" w:beforeAutospacing="0" w:after="0" w:afterAutospacing="0" w:line="360" w:lineRule="auto"/>
        <w:ind w:left="-2" w:firstLine="422"/>
        <w:jc w:val="both"/>
        <w:textAlignment w:val="auto"/>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异议与投诉</w:t>
      </w:r>
    </w:p>
    <w:p>
      <w:pPr>
        <w:pStyle w:val="43"/>
        <w:keepNext w:val="0"/>
        <w:keepLines w:val="0"/>
        <w:pageBreakBefore w:val="0"/>
        <w:numPr>
          <w:ilvl w:val="0"/>
          <w:numId w:val="15"/>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供应商或者其他利害关系人对评审结果有异议的，应当在结果公示规定的期限内向采购人提出。异议的提出与处理按《长沙市轨道交通运营有限公司服务类采购管理办法(试行）》执行。</w:t>
      </w:r>
    </w:p>
    <w:p>
      <w:pPr>
        <w:pStyle w:val="43"/>
        <w:keepNext w:val="0"/>
        <w:keepLines w:val="0"/>
        <w:pageBreakBefore w:val="0"/>
        <w:numPr>
          <w:ilvl w:val="0"/>
          <w:numId w:val="15"/>
        </w:numPr>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3"/>
        <w:keepNext w:val="0"/>
        <w:keepLines w:val="0"/>
        <w:pageBreakBefore w:val="0"/>
        <w:numPr>
          <w:ilvl w:val="0"/>
          <w:numId w:val="7"/>
        </w:numPr>
        <w:shd w:val="clear" w:color="auto" w:fill="FFFFFF"/>
        <w:kinsoku/>
        <w:wordWrap/>
        <w:overflowPunct/>
        <w:topLinePunct w:val="0"/>
        <w:autoSpaceDE/>
        <w:autoSpaceDN/>
        <w:bidi w:val="0"/>
        <w:spacing w:before="0" w:beforeAutospacing="0" w:after="0" w:afterAutospacing="0" w:line="360" w:lineRule="auto"/>
        <w:ind w:firstLine="422"/>
        <w:jc w:val="both"/>
        <w:textAlignment w:val="auto"/>
        <w:rPr>
          <w:rStyle w:val="56"/>
          <w:rFonts w:ascii="Times New Roman" w:hAnsi="Times New Roman" w:cs="Times New Roman"/>
          <w:b/>
          <w:bCs/>
          <w:color w:val="auto"/>
          <w:sz w:val="21"/>
          <w:highlight w:val="none"/>
          <w:u w:val="none"/>
          <w:shd w:val="clear" w:color="auto" w:fill="FFFFFF"/>
        </w:rPr>
      </w:pPr>
      <w:r>
        <w:rPr>
          <w:rStyle w:val="56"/>
          <w:rFonts w:ascii="Times New Roman" w:hAnsi="Times New Roman" w:cs="Times New Roman"/>
          <w:b/>
          <w:bCs/>
          <w:color w:val="auto"/>
          <w:sz w:val="21"/>
          <w:highlight w:val="none"/>
          <w:u w:val="none"/>
          <w:shd w:val="clear" w:color="auto" w:fill="FFFFFF"/>
        </w:rPr>
        <w:t>联系方式</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highlight w:val="none"/>
          <w:u w:val="none"/>
          <w:shd w:val="clear" w:color="auto" w:fill="FFFFFF"/>
        </w:rPr>
        <w:t>采购人：</w:t>
      </w:r>
      <w:r>
        <w:rPr>
          <w:rStyle w:val="56"/>
          <w:rFonts w:hint="eastAsia" w:ascii="Times New Roman" w:hAnsi="Times New Roman" w:cs="Times New Roman"/>
          <w:color w:val="auto"/>
          <w:sz w:val="21"/>
          <w:highlight w:val="none"/>
          <w:u w:val="none"/>
          <w:shd w:val="clear" w:color="auto" w:fill="FFFFFF"/>
        </w:rPr>
        <w:t>长沙市轨道交通运营有限公司</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highlight w:val="none"/>
          <w:u w:val="none"/>
          <w:shd w:val="clear" w:color="auto" w:fill="FFFFFF"/>
        </w:rPr>
        <w:t>地</w:t>
      </w:r>
      <w:r>
        <w:rPr>
          <w:rStyle w:val="56"/>
          <w:rFonts w:hint="eastAsia" w:ascii="Times New Roman" w:hAnsi="Times New Roman" w:cs="Times New Roman"/>
          <w:color w:val="auto"/>
          <w:sz w:val="21"/>
          <w:highlight w:val="none"/>
          <w:u w:val="none"/>
          <w:shd w:val="clear" w:color="auto" w:fill="FFFFFF"/>
        </w:rPr>
        <w:t xml:space="preserve">  </w:t>
      </w:r>
      <w:r>
        <w:rPr>
          <w:rStyle w:val="56"/>
          <w:rFonts w:ascii="Times New Roman" w:hAnsi="Times New Roman" w:cs="Times New Roman"/>
          <w:color w:val="auto"/>
          <w:sz w:val="21"/>
          <w:highlight w:val="none"/>
          <w:u w:val="none"/>
          <w:shd w:val="clear" w:color="auto" w:fill="FFFFFF"/>
        </w:rPr>
        <w:t>址：</w:t>
      </w:r>
      <w:r>
        <w:rPr>
          <w:rStyle w:val="56"/>
          <w:rFonts w:hint="eastAsia" w:ascii="Times New Roman" w:hAnsi="Times New Roman" w:cs="Times New Roman"/>
          <w:color w:val="auto"/>
          <w:sz w:val="21"/>
          <w:highlight w:val="none"/>
          <w:u w:val="none"/>
          <w:shd w:val="clear" w:color="auto" w:fill="FFFFFF"/>
        </w:rPr>
        <w:t>湖南省</w:t>
      </w:r>
      <w:r>
        <w:rPr>
          <w:rStyle w:val="56"/>
          <w:rFonts w:ascii="Times New Roman" w:hAnsi="Times New Roman" w:cs="Times New Roman"/>
          <w:color w:val="auto"/>
          <w:sz w:val="21"/>
          <w:highlight w:val="none"/>
          <w:u w:val="none"/>
          <w:shd w:val="clear" w:color="auto" w:fill="FFFFFF"/>
        </w:rPr>
        <w:t>长沙市劳动东路二段48号黄兴车辆段</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highlight w:val="none"/>
          <w:u w:val="none"/>
          <w:shd w:val="clear" w:color="auto" w:fill="FFFFFF"/>
        </w:rPr>
        <w:t>联系人：</w:t>
      </w:r>
      <w:r>
        <w:rPr>
          <w:rStyle w:val="56"/>
          <w:rFonts w:hint="eastAsia" w:ascii="Times New Roman" w:hAnsi="Times New Roman" w:cs="Times New Roman"/>
          <w:color w:val="auto"/>
          <w:sz w:val="21"/>
          <w:highlight w:val="none"/>
          <w:u w:val="none"/>
          <w:shd w:val="clear" w:color="auto" w:fill="FFFFFF"/>
          <w:lang w:val="en-US" w:eastAsia="zh-CN"/>
        </w:rPr>
        <w:t>黄</w:t>
      </w:r>
      <w:r>
        <w:rPr>
          <w:rStyle w:val="56"/>
          <w:rFonts w:hint="eastAsia" w:ascii="Times New Roman" w:hAnsi="Times New Roman" w:cs="Times New Roman"/>
          <w:color w:val="auto"/>
          <w:sz w:val="21"/>
          <w:highlight w:val="none"/>
          <w:u w:val="none"/>
          <w:shd w:val="clear" w:color="auto" w:fill="FFFFFF"/>
        </w:rPr>
        <w:t>工</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hint="default" w:ascii="Times New Roman" w:hAnsi="Times New Roman" w:eastAsia="宋体" w:cs="Times New Roman"/>
          <w:color w:val="auto"/>
          <w:sz w:val="21"/>
          <w:highlight w:val="none"/>
          <w:u w:val="none"/>
          <w:shd w:val="clear" w:color="auto" w:fill="FFFFFF"/>
          <w:lang w:val="en-US" w:eastAsia="zh-CN"/>
        </w:rPr>
      </w:pPr>
      <w:r>
        <w:rPr>
          <w:rStyle w:val="56"/>
          <w:rFonts w:ascii="Times New Roman" w:hAnsi="Times New Roman" w:cs="Times New Roman"/>
          <w:color w:val="auto"/>
          <w:sz w:val="21"/>
          <w:highlight w:val="none"/>
          <w:u w:val="none"/>
          <w:shd w:val="clear" w:color="auto" w:fill="FFFFFF"/>
        </w:rPr>
        <w:t>电</w:t>
      </w:r>
      <w:r>
        <w:rPr>
          <w:rStyle w:val="56"/>
          <w:rFonts w:hint="eastAsia" w:ascii="Times New Roman" w:hAnsi="Times New Roman" w:cs="Times New Roman"/>
          <w:color w:val="auto"/>
          <w:sz w:val="21"/>
          <w:highlight w:val="none"/>
          <w:u w:val="none"/>
          <w:shd w:val="clear" w:color="auto" w:fill="FFFFFF"/>
        </w:rPr>
        <w:t xml:space="preserve">  </w:t>
      </w:r>
      <w:r>
        <w:rPr>
          <w:rStyle w:val="56"/>
          <w:rFonts w:ascii="Times New Roman" w:hAnsi="Times New Roman" w:cs="Times New Roman"/>
          <w:color w:val="auto"/>
          <w:sz w:val="21"/>
          <w:highlight w:val="none"/>
          <w:u w:val="none"/>
          <w:shd w:val="clear" w:color="auto" w:fill="FFFFFF"/>
        </w:rPr>
        <w:t>话：0731-</w:t>
      </w:r>
      <w:r>
        <w:rPr>
          <w:rStyle w:val="56"/>
          <w:rFonts w:hint="eastAsia" w:ascii="Times New Roman" w:hAnsi="Times New Roman" w:cs="Times New Roman"/>
          <w:color w:val="auto"/>
          <w:sz w:val="21"/>
          <w:highlight w:val="none"/>
          <w:u w:val="none"/>
          <w:shd w:val="clear" w:color="auto" w:fill="FFFFFF"/>
        </w:rPr>
        <w:t>86852</w:t>
      </w:r>
      <w:r>
        <w:rPr>
          <w:rStyle w:val="56"/>
          <w:rFonts w:hint="eastAsia" w:ascii="Times New Roman" w:hAnsi="Times New Roman" w:cs="Times New Roman"/>
          <w:color w:val="auto"/>
          <w:sz w:val="21"/>
          <w:highlight w:val="none"/>
          <w:u w:val="none"/>
          <w:shd w:val="clear" w:color="auto" w:fill="FFFFFF"/>
          <w:lang w:val="en-US" w:eastAsia="zh-CN"/>
        </w:rPr>
        <w:t>462</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jc w:val="right"/>
        <w:textAlignment w:val="auto"/>
        <w:rPr>
          <w:rStyle w:val="56"/>
          <w:rFonts w:ascii="Times New Roman" w:hAnsi="Times New Roman" w:cs="Times New Roman"/>
          <w:color w:val="auto"/>
          <w:sz w:val="21"/>
          <w:highlight w:val="none"/>
          <w:u w:val="none"/>
          <w:shd w:val="clear" w:color="auto" w:fill="FFFFFF"/>
        </w:rPr>
      </w:pPr>
      <w:r>
        <w:rPr>
          <w:rFonts w:hint="eastAsia"/>
          <w:sz w:val="21"/>
          <w:szCs w:val="21"/>
          <w:highlight w:val="none"/>
        </w:rPr>
        <w:t>20</w:t>
      </w:r>
      <w:r>
        <w:rPr>
          <w:rFonts w:hint="eastAsia"/>
          <w:sz w:val="21"/>
          <w:szCs w:val="21"/>
          <w:highlight w:val="none"/>
          <w:lang w:val="en-US" w:eastAsia="zh-CN"/>
        </w:rPr>
        <w:t>23</w:t>
      </w:r>
      <w:r>
        <w:rPr>
          <w:rFonts w:hint="eastAsia"/>
          <w:sz w:val="21"/>
          <w:szCs w:val="21"/>
          <w:highlight w:val="none"/>
        </w:rPr>
        <w:t>年</w:t>
      </w:r>
      <w:r>
        <w:rPr>
          <w:rFonts w:hint="eastAsia"/>
          <w:sz w:val="21"/>
          <w:szCs w:val="21"/>
          <w:highlight w:val="none"/>
          <w:lang w:val="en-US" w:eastAsia="zh-CN"/>
        </w:rPr>
        <w:t xml:space="preserve"> 1 </w:t>
      </w:r>
      <w:r>
        <w:rPr>
          <w:rFonts w:hint="eastAsia"/>
          <w:sz w:val="21"/>
          <w:szCs w:val="21"/>
          <w:highlight w:val="none"/>
        </w:rPr>
        <w:t>月</w:t>
      </w:r>
      <w:r>
        <w:rPr>
          <w:rFonts w:hint="eastAsia"/>
          <w:sz w:val="21"/>
          <w:szCs w:val="21"/>
          <w:highlight w:val="none"/>
          <w:lang w:val="en-US" w:eastAsia="zh-CN"/>
        </w:rPr>
        <w:t xml:space="preserve"> 29 </w:t>
      </w:r>
      <w:r>
        <w:rPr>
          <w:rFonts w:hint="eastAsia"/>
          <w:sz w:val="21"/>
          <w:szCs w:val="21"/>
          <w:highlight w:val="none"/>
        </w:rPr>
        <w:t>日</w:t>
      </w:r>
    </w:p>
    <w:p>
      <w:pPr>
        <w:pStyle w:val="6"/>
        <w:keepNext w:val="0"/>
        <w:spacing w:after="240"/>
        <w:rPr>
          <w:rFonts w:ascii="黑体" w:hAnsi="黑体" w:eastAsia="黑体"/>
          <w:b w:val="0"/>
          <w:bCs w:val="0"/>
          <w:sz w:val="32"/>
          <w:szCs w:val="32"/>
          <w:highlight w:val="none"/>
        </w:rPr>
        <w:sectPr>
          <w:footerReference r:id="rId5" w:type="default"/>
          <w:pgSz w:w="11906" w:h="16838"/>
          <w:pgMar w:top="2098" w:right="1474" w:bottom="1984" w:left="1587" w:header="851" w:footer="992" w:gutter="0"/>
          <w:pgNumType w:start="1"/>
          <w:cols w:space="0" w:num="1"/>
          <w:docGrid w:type="lines" w:linePitch="319" w:charSpace="0"/>
        </w:sectPr>
      </w:pPr>
    </w:p>
    <w:p>
      <w:pPr>
        <w:ind w:firstLine="630" w:firstLineChars="30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附表：</w:t>
      </w:r>
    </w:p>
    <w:p>
      <w:pPr>
        <w:rPr>
          <w:rFonts w:hint="eastAsia" w:hAnsi="宋体" w:cs="宋体"/>
          <w:color w:val="auto"/>
          <w:sz w:val="21"/>
          <w:szCs w:val="21"/>
          <w:highlight w:val="none"/>
          <w:lang w:val="en-US" w:eastAsia="zh-CN"/>
        </w:rPr>
      </w:pPr>
    </w:p>
    <w:p>
      <w:pPr>
        <w:pStyle w:val="16"/>
        <w:spacing w:line="360" w:lineRule="auto"/>
        <w:jc w:val="center"/>
        <w:rPr>
          <w:rFonts w:hint="eastAsia" w:ascii="宋体" w:hAnsi="宋体" w:eastAsia="宋体" w:cs="宋体"/>
          <w:b/>
          <w:bCs/>
          <w:color w:val="auto"/>
          <w:kern w:val="0"/>
          <w:sz w:val="21"/>
          <w:szCs w:val="24"/>
          <w:highlight w:val="none"/>
          <w:lang w:val="en-US" w:eastAsia="zh-CN" w:bidi="ar"/>
        </w:rPr>
      </w:pPr>
    </w:p>
    <w:p>
      <w:pPr>
        <w:pStyle w:val="16"/>
        <w:spacing w:line="360" w:lineRule="auto"/>
        <w:jc w:val="center"/>
        <w:rPr>
          <w:rFonts w:hint="eastAsia"/>
          <w:color w:val="auto"/>
          <w:highlight w:val="none"/>
          <w:lang w:val="en-US" w:eastAsia="zh-CN"/>
        </w:rPr>
      </w:pPr>
      <w:r>
        <w:rPr>
          <w:rFonts w:hint="eastAsia" w:ascii="宋体" w:hAnsi="宋体" w:eastAsia="宋体" w:cs="宋体"/>
          <w:b/>
          <w:bCs/>
          <w:color w:val="auto"/>
          <w:kern w:val="0"/>
          <w:sz w:val="21"/>
          <w:szCs w:val="24"/>
          <w:highlight w:val="none"/>
          <w:lang w:val="en-US" w:eastAsia="zh-CN" w:bidi="ar"/>
        </w:rPr>
        <w:t>长沙市轨道交通运营有限公司西环线2023-2024年保险服务项目人员最低配备要求表</w:t>
      </w:r>
    </w:p>
    <w:tbl>
      <w:tblPr>
        <w:tblStyle w:val="47"/>
        <w:tblW w:w="7979" w:type="dxa"/>
        <w:tblInd w:w="57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137"/>
        <w:gridCol w:w="3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4137" w:type="dxa"/>
            <w:tcBorders>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b/>
                <w:bCs/>
                <w:color w:val="auto"/>
                <w:highlight w:val="none"/>
              </w:rPr>
            </w:pPr>
            <w:r>
              <w:rPr>
                <w:rFonts w:hint="eastAsia" w:ascii="宋体" w:hAnsi="宋体" w:cs="宋体"/>
                <w:b/>
                <w:bCs/>
                <w:color w:val="auto"/>
                <w:kern w:val="0"/>
                <w:highlight w:val="none"/>
                <w:lang w:bidi="ar"/>
              </w:rPr>
              <w:t>岗位名称</w:t>
            </w:r>
          </w:p>
        </w:tc>
        <w:tc>
          <w:tcPr>
            <w:tcW w:w="3842" w:type="dxa"/>
            <w:tcBorders>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b/>
                <w:bCs/>
                <w:color w:val="auto"/>
                <w:highlight w:val="none"/>
              </w:rPr>
            </w:pPr>
            <w:r>
              <w:rPr>
                <w:rFonts w:hint="eastAsia" w:ascii="宋体" w:hAnsi="宋体" w:cs="宋体"/>
                <w:b/>
                <w:bCs/>
                <w:color w:val="auto"/>
                <w:kern w:val="0"/>
                <w:highlight w:val="none"/>
                <w:lang w:bidi="ar"/>
              </w:rPr>
              <w:t>最低配备数量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413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highlight w:val="none"/>
              </w:rPr>
              <w:t>项目负责人（</w:t>
            </w:r>
            <w:r>
              <w:rPr>
                <w:rFonts w:hint="eastAsia" w:ascii="宋体" w:hAnsi="宋体" w:cs="宋体"/>
                <w:color w:val="auto"/>
                <w:kern w:val="0"/>
                <w:highlight w:val="none"/>
                <w:lang w:bidi="ar"/>
              </w:rPr>
              <w:t>专项组长</w:t>
            </w:r>
            <w:r>
              <w:rPr>
                <w:rFonts w:hint="eastAsia" w:ascii="宋体" w:hAnsi="宋体" w:cs="宋体"/>
                <w:color w:val="auto"/>
                <w:highlight w:val="none"/>
              </w:rPr>
              <w:t>）</w:t>
            </w:r>
          </w:p>
        </w:tc>
        <w:tc>
          <w:tcPr>
            <w:tcW w:w="3842"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413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专项副组长</w:t>
            </w:r>
          </w:p>
        </w:tc>
        <w:tc>
          <w:tcPr>
            <w:tcW w:w="3842"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13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日常联系专员</w:t>
            </w:r>
          </w:p>
        </w:tc>
        <w:tc>
          <w:tcPr>
            <w:tcW w:w="3842"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3</w:t>
            </w:r>
            <w:r>
              <w:rPr>
                <w:rFonts w:hint="eastAsia" w:ascii="宋体" w:hAnsi="宋体" w:cs="宋体"/>
                <w:color w:val="auto"/>
                <w:kern w:val="0"/>
                <w:highlight w:val="none"/>
                <w:lang w:val="en-US" w:eastAsia="zh-CN" w:bidi="ar"/>
              </w:rPr>
              <w:t>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13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防损防灾服务专员</w:t>
            </w:r>
          </w:p>
        </w:tc>
        <w:tc>
          <w:tcPr>
            <w:tcW w:w="3842"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13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核保服务专员</w:t>
            </w:r>
          </w:p>
        </w:tc>
        <w:tc>
          <w:tcPr>
            <w:tcW w:w="3842"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13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核赔服务专员</w:t>
            </w:r>
          </w:p>
        </w:tc>
        <w:tc>
          <w:tcPr>
            <w:tcW w:w="3842"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13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现场理赔服务专员</w:t>
            </w:r>
          </w:p>
        </w:tc>
        <w:tc>
          <w:tcPr>
            <w:tcW w:w="3842"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2</w:t>
            </w:r>
            <w:r>
              <w:rPr>
                <w:rFonts w:hint="eastAsia" w:ascii="宋体" w:hAnsi="宋体" w:cs="宋体"/>
                <w:color w:val="auto"/>
                <w:kern w:val="0"/>
                <w:highlight w:val="none"/>
                <w:lang w:val="en-US" w:eastAsia="zh-CN" w:bidi="ar"/>
              </w:rPr>
              <w:t>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137" w:type="dxa"/>
            <w:tcBorders>
              <w:top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数据统计专员</w:t>
            </w:r>
          </w:p>
        </w:tc>
        <w:tc>
          <w:tcPr>
            <w:tcW w:w="3842" w:type="dxa"/>
            <w:tcBorders>
              <w:top w:val="single" w:color="auto" w:sz="8" w:space="0"/>
              <w:left w:val="single" w:color="auto" w:sz="4"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lang w:val="en-US" w:eastAsia="zh-CN" w:bidi="ar"/>
              </w:rPr>
              <w:t>名</w:t>
            </w:r>
          </w:p>
        </w:tc>
      </w:tr>
    </w:tbl>
    <w:p>
      <w:pPr>
        <w:pStyle w:val="6"/>
        <w:keepNext w:val="0"/>
        <w:spacing w:after="240"/>
        <w:rPr>
          <w:rFonts w:ascii="黑体" w:hAnsi="黑体" w:eastAsia="黑体"/>
          <w:b w:val="0"/>
          <w:bCs w:val="0"/>
          <w:sz w:val="32"/>
          <w:szCs w:val="32"/>
          <w:highlight w:val="none"/>
        </w:rPr>
        <w:sectPr>
          <w:pgSz w:w="11906" w:h="16838"/>
          <w:pgMar w:top="2098" w:right="1474" w:bottom="1984" w:left="1587" w:header="851" w:footer="992" w:gutter="0"/>
          <w:pgNumType w:start="1"/>
          <w:cols w:space="0" w:num="1"/>
          <w:docGrid w:type="lines" w:linePitch="319" w:charSpace="0"/>
        </w:sectPr>
      </w:pPr>
      <w:r>
        <w:rPr>
          <w:rFonts w:ascii="黑体" w:hAnsi="黑体" w:eastAsia="黑体"/>
          <w:b w:val="0"/>
          <w:bCs w:val="0"/>
          <w:sz w:val="32"/>
          <w:szCs w:val="32"/>
          <w:highlight w:val="none"/>
        </w:rPr>
        <w:br w:type="page"/>
      </w:r>
      <w:bookmarkStart w:id="6" w:name="_Toc5145"/>
      <w:bookmarkStart w:id="7" w:name="_Toc6753"/>
      <w:bookmarkStart w:id="8" w:name="_Toc14891065"/>
      <w:bookmarkStart w:id="9" w:name="_Toc8914"/>
      <w:bookmarkStart w:id="10" w:name="_Toc10483"/>
    </w:p>
    <w:p>
      <w:pPr>
        <w:pStyle w:val="6"/>
        <w:keepNext w:val="0"/>
        <w:keepLines w:val="0"/>
        <w:pageBreakBefore w:val="0"/>
        <w:widowControl w:val="0"/>
        <w:kinsoku/>
        <w:wordWrap/>
        <w:overflowPunct/>
        <w:topLinePunct w:val="0"/>
        <w:autoSpaceDE/>
        <w:autoSpaceDN/>
        <w:bidi w:val="0"/>
        <w:adjustRightInd/>
        <w:snapToGrid/>
        <w:spacing w:after="240"/>
        <w:textAlignment w:val="auto"/>
        <w:rPr>
          <w:rFonts w:ascii="黑体" w:hAnsi="黑体" w:eastAsia="黑体"/>
          <w:bCs w:val="0"/>
          <w:sz w:val="32"/>
          <w:szCs w:val="32"/>
          <w:highlight w:val="none"/>
        </w:rPr>
      </w:pPr>
      <w:bookmarkStart w:id="11" w:name="_Toc7856"/>
      <w:r>
        <w:rPr>
          <w:rFonts w:hint="eastAsia" w:ascii="宋体" w:hAnsi="宋体" w:cs="宋体"/>
          <w:bCs w:val="0"/>
          <w:sz w:val="32"/>
          <w:szCs w:val="32"/>
          <w:highlight w:val="none"/>
        </w:rPr>
        <w:t>第二章  谈判须知</w:t>
      </w:r>
      <w:bookmarkEnd w:id="6"/>
      <w:bookmarkEnd w:id="7"/>
      <w:bookmarkEnd w:id="8"/>
      <w:bookmarkEnd w:id="9"/>
      <w:bookmarkEnd w:id="10"/>
      <w:bookmarkEnd w:id="11"/>
    </w:p>
    <w:p>
      <w:pPr>
        <w:pStyle w:val="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32"/>
          <w:highlight w:val="none"/>
        </w:rPr>
      </w:pPr>
      <w:bookmarkStart w:id="12" w:name="_Toc6617"/>
      <w:bookmarkStart w:id="13" w:name="_Toc14891066"/>
      <w:bookmarkStart w:id="14" w:name="_Toc5430"/>
      <w:bookmarkStart w:id="15" w:name="_Toc28089"/>
      <w:bookmarkStart w:id="16" w:name="_Toc9591"/>
      <w:bookmarkStart w:id="17" w:name="_Toc26584"/>
      <w:r>
        <w:rPr>
          <w:rFonts w:hint="eastAsia" w:ascii="宋体" w:hAnsi="宋体" w:cs="宋体"/>
          <w:sz w:val="32"/>
          <w:highlight w:val="none"/>
        </w:rPr>
        <w:t>谈判须知前附表</w:t>
      </w:r>
      <w:bookmarkEnd w:id="12"/>
      <w:bookmarkEnd w:id="13"/>
      <w:bookmarkEnd w:id="14"/>
      <w:bookmarkEnd w:id="15"/>
      <w:bookmarkEnd w:id="16"/>
      <w:bookmarkEnd w:id="17"/>
    </w:p>
    <w:tbl>
      <w:tblPr>
        <w:tblStyle w:val="47"/>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4"/>
        <w:gridCol w:w="73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名  称</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采购项目</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ascii="宋体" w:hAnsi="宋体" w:cs="宋体"/>
                <w:szCs w:val="21"/>
                <w:highlight w:val="none"/>
              </w:rPr>
            </w:pPr>
            <w:r>
              <w:rPr>
                <w:rStyle w:val="56"/>
                <w:rFonts w:hint="eastAsia"/>
                <w:color w:val="auto"/>
                <w:kern w:val="0"/>
                <w:highlight w:val="none"/>
                <w:u w:val="none"/>
                <w:shd w:val="clear" w:color="auto" w:fill="FFFFFF"/>
              </w:rPr>
              <w:t>长沙市轨道交通运营有限公司西环线2023-2024年保险服务项目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采购单位</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ascii="宋体" w:hAnsi="宋体" w:cs="宋体"/>
                <w:iCs/>
                <w:szCs w:val="21"/>
                <w:highlight w:val="none"/>
              </w:rPr>
            </w:pPr>
            <w:r>
              <w:rPr>
                <w:rStyle w:val="56"/>
                <w:rFonts w:hint="eastAsia"/>
                <w:color w:val="auto"/>
                <w:highlight w:val="none"/>
                <w:u w:val="none"/>
                <w:shd w:val="clear" w:color="auto" w:fill="FFFFFF"/>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color w:val="FF0000"/>
                <w:szCs w:val="21"/>
                <w:highlight w:val="none"/>
              </w:rPr>
            </w:pPr>
            <w:r>
              <w:rPr>
                <w:rFonts w:hint="eastAsia" w:ascii="宋体" w:hAnsi="宋体" w:cs="宋体"/>
                <w:b/>
                <w:szCs w:val="21"/>
                <w:highlight w:val="none"/>
              </w:rPr>
              <w:t>最高限价</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ascii="宋体" w:hAnsi="宋体" w:cs="宋体"/>
                <w:iCs/>
                <w:color w:val="FF0000"/>
                <w:szCs w:val="21"/>
                <w:highlight w:val="none"/>
              </w:rPr>
            </w:pPr>
            <w:r>
              <w:rPr>
                <w:rFonts w:hint="eastAsia" w:ascii="宋体" w:hAnsi="宋体" w:cs="宋体"/>
                <w:highlight w:val="none"/>
                <w:lang w:val="en-US" w:eastAsia="zh-CN"/>
              </w:rPr>
              <w:t>432200</w:t>
            </w:r>
            <w:r>
              <w:rPr>
                <w:rFonts w:hint="eastAsia" w:ascii="宋体" w:hAnsi="宋体" w:cs="宋体"/>
                <w:highlight w:val="none"/>
              </w:rPr>
              <w:t>元，</w:t>
            </w:r>
            <w:r>
              <w:rPr>
                <w:rFonts w:hint="eastAsia" w:ascii="宋体" w:hAnsi="宋体" w:cs="宋体"/>
                <w:szCs w:val="21"/>
                <w:highlight w:val="none"/>
              </w:rPr>
              <w:t>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评审办法</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ascii="宋体" w:hAnsi="宋体" w:cs="宋体"/>
                <w:iCs/>
                <w:color w:val="FF0000"/>
                <w:szCs w:val="21"/>
                <w:highlight w:val="none"/>
              </w:rPr>
            </w:pPr>
            <w:r>
              <w:rPr>
                <w:rStyle w:val="56"/>
                <w:rFonts w:hint="eastAsia"/>
                <w:color w:val="auto"/>
                <w:kern w:val="0"/>
                <w:highlight w:val="none"/>
                <w:u w:val="none"/>
                <w:shd w:val="clear" w:color="auto" w:fill="FFFFFF"/>
                <w:lang w:val="en-US" w:eastAsia="zh-CN"/>
              </w:rPr>
              <w:t>☑</w:t>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lang w:val="en-US" w:eastAsia="zh-CN"/>
              </w:rPr>
              <w:t>□</w:t>
            </w:r>
            <w:r>
              <w:rPr>
                <w:rStyle w:val="56"/>
                <w:rFonts w:hint="eastAsia"/>
                <w:color w:val="auto"/>
                <w:kern w:val="0"/>
                <w:highlight w:val="none"/>
                <w:u w:val="none"/>
                <w:shd w:val="clear" w:color="auto" w:fill="FFFFFF"/>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资格要求</w:t>
            </w:r>
          </w:p>
        </w:tc>
        <w:tc>
          <w:tcPr>
            <w:tcW w:w="7338" w:type="dxa"/>
            <w:vAlign w:val="center"/>
          </w:tcPr>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outlineLvl w:val="9"/>
              <w:rPr>
                <w:rStyle w:val="56"/>
                <w:rFonts w:hint="eastAsia"/>
                <w:color w:val="auto"/>
                <w:kern w:val="0"/>
                <w:highlight w:val="none"/>
                <w:u w:val="none"/>
                <w:shd w:val="clear" w:color="auto" w:fill="FFFFFF"/>
              </w:rPr>
            </w:pPr>
            <w:r>
              <w:rPr>
                <w:rStyle w:val="56"/>
                <w:rFonts w:hint="eastAsia"/>
                <w:color w:val="auto"/>
                <w:kern w:val="0"/>
                <w:highlight w:val="none"/>
                <w:u w:val="none"/>
                <w:shd w:val="clear" w:color="auto" w:fill="FFFFFF"/>
              </w:rPr>
              <w:t>本项目接受总公司或由总公司授权的湖南省级分公司参与投标。</w:t>
            </w:r>
          </w:p>
          <w:p>
            <w:pPr>
              <w:keepNext w:val="0"/>
              <w:keepLines w:val="0"/>
              <w:pageBreakBefore w:val="0"/>
              <w:widowControl w:val="0"/>
              <w:kinsoku/>
              <w:wordWrap/>
              <w:overflowPunct/>
              <w:topLinePunct w:val="0"/>
              <w:autoSpaceDE/>
              <w:autoSpaceDN/>
              <w:bidi w:val="0"/>
              <w:spacing w:line="360" w:lineRule="auto"/>
              <w:textAlignment w:val="auto"/>
              <w:outlineLvl w:val="9"/>
              <w:rPr>
                <w:rStyle w:val="56"/>
                <w:rFonts w:hint="eastAsia"/>
                <w:color w:val="auto"/>
                <w:kern w:val="0"/>
                <w:highlight w:val="none"/>
                <w:u w:val="none"/>
                <w:shd w:val="clear" w:color="auto" w:fill="FFFFFF"/>
              </w:rPr>
            </w:pPr>
            <w:r>
              <w:rPr>
                <w:rStyle w:val="56"/>
                <w:rFonts w:hint="eastAsia"/>
                <w:color w:val="auto"/>
                <w:kern w:val="0"/>
                <w:highlight w:val="none"/>
                <w:u w:val="none"/>
                <w:shd w:val="clear" w:color="auto" w:fill="FFFFFF"/>
              </w:rPr>
              <w:t>(1)若为总公司（即法人机构）参与投标的，须提供国家保险监督管理部门颁发的总公司《保险许可证》；本项目的服务机构须为总公司下辖的在长沙市行政区域内注册的湖南省级分公司，须提供服务机构的由国家保险监督管理部门颁发的《保险许可证》及《营业执照》（副本）。</w:t>
            </w:r>
          </w:p>
          <w:p>
            <w:pPr>
              <w:keepNext w:val="0"/>
              <w:keepLines w:val="0"/>
              <w:pageBreakBefore w:val="0"/>
              <w:widowControl w:val="0"/>
              <w:kinsoku/>
              <w:wordWrap/>
              <w:overflowPunct/>
              <w:topLinePunct w:val="0"/>
              <w:autoSpaceDE/>
              <w:autoSpaceDN/>
              <w:bidi w:val="0"/>
              <w:spacing w:line="360" w:lineRule="auto"/>
              <w:textAlignment w:val="auto"/>
              <w:outlineLvl w:val="9"/>
              <w:rPr>
                <w:rStyle w:val="56"/>
                <w:rFonts w:hint="eastAsia"/>
                <w:color w:val="auto"/>
                <w:kern w:val="0"/>
                <w:highlight w:val="none"/>
                <w:u w:val="none"/>
                <w:shd w:val="clear" w:color="auto" w:fill="FFFFFF"/>
              </w:rPr>
            </w:pPr>
            <w:r>
              <w:rPr>
                <w:rStyle w:val="56"/>
                <w:rFonts w:hint="eastAsia"/>
                <w:color w:val="auto"/>
                <w:kern w:val="0"/>
                <w:highlight w:val="none"/>
                <w:u w:val="none"/>
                <w:shd w:val="clear" w:color="auto" w:fill="FFFFFF"/>
              </w:rPr>
              <w:t>(2)若为湖南省级分公司（即本项目的服务机构）参与投标的，须提供其总公司授权委托书及其总公司《保险许可证》，且满足上述第（1）条中“本项目的服务机构”资格要求。</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outlineLvl w:val="9"/>
              <w:rPr>
                <w:rStyle w:val="56"/>
                <w:rFonts w:hint="eastAsia"/>
                <w:color w:val="auto"/>
                <w:kern w:val="0"/>
                <w:highlight w:val="none"/>
                <w:u w:val="none"/>
                <w:shd w:val="clear" w:color="auto" w:fill="FFFFFF"/>
              </w:rPr>
            </w:pPr>
            <w:r>
              <w:rPr>
                <w:rStyle w:val="56"/>
                <w:rFonts w:hint="eastAsia"/>
                <w:color w:val="auto"/>
                <w:kern w:val="0"/>
                <w:highlight w:val="none"/>
                <w:u w:val="none"/>
                <w:shd w:val="clear" w:color="auto" w:fill="FFFFFF"/>
              </w:rPr>
              <w:t>拟任项目负责人须为湖南省级分公司副总经理（含）以上级别，须提供省级（含）以上保险监督管理部门对该项目负责人的任职资格核准文件及</w:t>
            </w:r>
            <w:r>
              <w:rPr>
                <w:rStyle w:val="56"/>
                <w:rFonts w:hint="eastAsia"/>
                <w:color w:val="auto"/>
                <w:kern w:val="0"/>
                <w:highlight w:val="none"/>
                <w:u w:val="none"/>
                <w:shd w:val="clear" w:color="auto" w:fill="FFFFFF"/>
                <w:lang w:val="en-US" w:eastAsia="zh-CN"/>
              </w:rPr>
              <w:t>谈判单位</w:t>
            </w:r>
            <w:r>
              <w:rPr>
                <w:rStyle w:val="56"/>
                <w:rFonts w:hint="eastAsia"/>
                <w:color w:val="auto"/>
                <w:kern w:val="0"/>
                <w:highlight w:val="none"/>
                <w:u w:val="none"/>
                <w:shd w:val="clear" w:color="auto" w:fill="FFFFFF"/>
              </w:rPr>
              <w:t>对该名项目负责人的任命文件。</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outlineLvl w:val="9"/>
              <w:rPr>
                <w:rStyle w:val="56"/>
                <w:rFonts w:hint="eastAsia"/>
                <w:color w:val="auto"/>
                <w:kern w:val="0"/>
                <w:highlight w:val="none"/>
                <w:u w:val="none"/>
                <w:shd w:val="clear" w:color="auto" w:fill="FFFFFF"/>
              </w:rPr>
            </w:pPr>
            <w:r>
              <w:rPr>
                <w:rStyle w:val="56"/>
                <w:rFonts w:hint="eastAsia"/>
                <w:color w:val="auto"/>
                <w:kern w:val="0"/>
                <w:highlight w:val="none"/>
                <w:u w:val="none"/>
                <w:shd w:val="clear" w:color="auto" w:fill="FFFFFF"/>
              </w:rPr>
              <w:t>本次采购不接受联合体。</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outlineLvl w:val="9"/>
              <w:rPr>
                <w:rFonts w:ascii="宋体" w:hAnsi="宋体" w:cs="宋体"/>
                <w:color w:val="000000"/>
                <w:szCs w:val="21"/>
                <w:highlight w:val="none"/>
              </w:rPr>
            </w:pPr>
            <w:r>
              <w:rPr>
                <w:rStyle w:val="56"/>
                <w:rFonts w:hint="eastAsia"/>
                <w:color w:val="auto"/>
                <w:kern w:val="0"/>
                <w:highlight w:val="none"/>
                <w:u w:val="none"/>
                <w:shd w:val="clear" w:color="auto" w:fill="FFFFFF"/>
              </w:rPr>
              <w:t>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谈判答疑文件</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递交截止时间</w:t>
            </w:r>
          </w:p>
        </w:tc>
        <w:tc>
          <w:tcPr>
            <w:tcW w:w="7338" w:type="dxa"/>
            <w:vAlign w:val="center"/>
          </w:tcPr>
          <w:p>
            <w:pPr>
              <w:pStyle w:val="27"/>
              <w:keepNext w:val="0"/>
              <w:keepLines w:val="0"/>
              <w:pageBreakBefore w:val="0"/>
              <w:widowControl w:val="0"/>
              <w:kinsoku/>
              <w:wordWrap/>
              <w:overflowPunct/>
              <w:topLinePunct w:val="0"/>
              <w:autoSpaceDE/>
              <w:autoSpaceDN/>
              <w:bidi w:val="0"/>
              <w:adjustRightInd w:val="0"/>
              <w:snapToGrid w:val="0"/>
              <w:textAlignment w:val="auto"/>
              <w:outlineLvl w:val="9"/>
              <w:rPr>
                <w:rFonts w:hAnsi="宋体" w:cs="宋体"/>
                <w:color w:val="000000"/>
                <w:highlight w:val="none"/>
              </w:rPr>
            </w:pPr>
            <w:r>
              <w:rPr>
                <w:rFonts w:hint="eastAsia" w:hAnsi="宋体" w:cs="宋体"/>
                <w:highlight w:val="none"/>
              </w:rPr>
              <w:t>20</w:t>
            </w:r>
            <w:r>
              <w:rPr>
                <w:rFonts w:hint="eastAsia" w:hAnsi="宋体" w:cs="宋体"/>
                <w:highlight w:val="none"/>
                <w:lang w:val="en-US" w:eastAsia="zh-CN"/>
              </w:rPr>
              <w:t>23</w:t>
            </w:r>
            <w:r>
              <w:rPr>
                <w:rFonts w:hint="eastAsia" w:hAnsi="宋体" w:cs="宋体"/>
                <w:highlight w:val="none"/>
              </w:rPr>
              <w:t>年</w:t>
            </w:r>
            <w:r>
              <w:rPr>
                <w:rFonts w:hint="eastAsia" w:hAnsi="宋体" w:cs="宋体"/>
                <w:highlight w:val="none"/>
                <w:lang w:val="en-US" w:eastAsia="zh-CN"/>
              </w:rPr>
              <w:t>2</w:t>
            </w:r>
            <w:r>
              <w:rPr>
                <w:rFonts w:hint="eastAsia" w:hAnsi="宋体" w:cs="宋体"/>
                <w:highlight w:val="none"/>
              </w:rPr>
              <w:t>月</w:t>
            </w:r>
            <w:r>
              <w:rPr>
                <w:rFonts w:hint="eastAsia" w:hAnsi="宋体" w:cs="宋体"/>
                <w:highlight w:val="none"/>
                <w:lang w:val="en-US" w:eastAsia="zh-CN"/>
              </w:rPr>
              <w:t>3</w:t>
            </w:r>
            <w:r>
              <w:rPr>
                <w:rFonts w:hint="eastAsia" w:hAnsi="宋体" w:cs="宋体"/>
                <w:highlight w:val="none"/>
              </w:rPr>
              <w:t>日</w:t>
            </w:r>
            <w:r>
              <w:rPr>
                <w:rFonts w:hint="eastAsia" w:hAnsi="宋体" w:cs="宋体"/>
                <w:highlight w:val="none"/>
                <w:lang w:val="en-US" w:eastAsia="zh-CN"/>
              </w:rPr>
              <w:t>17</w:t>
            </w:r>
            <w:r>
              <w:rPr>
                <w:rFonts w:hint="eastAsia" w:hAnsi="宋体" w:cs="宋体"/>
                <w:highlight w:val="none"/>
              </w:rPr>
              <w:t>时</w:t>
            </w:r>
            <w:r>
              <w:rPr>
                <w:rFonts w:hint="eastAsia" w:hAnsi="宋体" w:cs="宋体"/>
                <w:highlight w:val="none"/>
                <w:lang w:val="en-US" w:eastAsia="zh-CN"/>
              </w:rPr>
              <w:t>00</w:t>
            </w:r>
            <w:r>
              <w:rPr>
                <w:rFonts w:hint="eastAsia" w:hAnsi="宋体" w:cs="宋体"/>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谈判答疑文件</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递交方式及地点</w:t>
            </w:r>
          </w:p>
        </w:tc>
        <w:tc>
          <w:tcPr>
            <w:tcW w:w="7338" w:type="dxa"/>
            <w:vAlign w:val="center"/>
          </w:tcPr>
          <w:p>
            <w:pPr>
              <w:pStyle w:val="27"/>
              <w:keepNext w:val="0"/>
              <w:keepLines w:val="0"/>
              <w:pageBreakBefore w:val="0"/>
              <w:widowControl w:val="0"/>
              <w:kinsoku/>
              <w:wordWrap/>
              <w:overflowPunct/>
              <w:topLinePunct w:val="0"/>
              <w:autoSpaceDE/>
              <w:autoSpaceDN/>
              <w:bidi w:val="0"/>
              <w:adjustRightInd w:val="0"/>
              <w:snapToGrid w:val="0"/>
              <w:textAlignment w:val="auto"/>
              <w:outlineLvl w:val="9"/>
              <w:rPr>
                <w:rFonts w:hAnsi="宋体" w:cs="宋体"/>
                <w:iCs/>
                <w:color w:val="FF0000"/>
                <w:highlight w:val="none"/>
              </w:rPr>
            </w:pPr>
            <w:r>
              <w:rPr>
                <w:rFonts w:hint="eastAsia" w:hAnsi="宋体" w:cs="宋体"/>
                <w:highlight w:val="none"/>
              </w:rPr>
              <w:t>谈判答疑文件应以书面形式递交至</w:t>
            </w:r>
            <w:r>
              <w:rPr>
                <w:rFonts w:hint="eastAsia" w:hAnsi="宋体" w:cs="宋体"/>
                <w:highlight w:val="none"/>
                <w:u w:val="single"/>
              </w:rPr>
              <w:t>长沙市劳动东路二段48号黄兴车辆段综合楼9楼909室。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响应文件的递交</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截止及谈判时间</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ascii="宋体" w:hAnsi="宋体" w:cs="宋体"/>
                <w:szCs w:val="21"/>
                <w:highlight w:val="none"/>
              </w:rPr>
            </w:pPr>
            <w:r>
              <w:rPr>
                <w:rFonts w:hint="eastAsia" w:ascii="宋体" w:hAnsi="宋体" w:cs="宋体"/>
                <w:szCs w:val="21"/>
                <w:highlight w:val="none"/>
              </w:rPr>
              <w:t>20</w:t>
            </w:r>
            <w:r>
              <w:rPr>
                <w:rFonts w:hint="eastAsia" w:ascii="宋体" w:hAnsi="宋体" w:cs="宋体"/>
                <w:szCs w:val="21"/>
                <w:highlight w:val="none"/>
                <w:lang w:val="en-US" w:eastAsia="zh-CN"/>
              </w:rPr>
              <w:t>23</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9</w:t>
            </w:r>
            <w:r>
              <w:rPr>
                <w:rFonts w:hint="eastAsia" w:ascii="宋体" w:hAnsi="宋体" w:cs="宋体"/>
                <w:szCs w:val="21"/>
                <w:highlight w:val="none"/>
              </w:rPr>
              <w:t>日</w:t>
            </w:r>
            <w:r>
              <w:rPr>
                <w:rFonts w:hint="eastAsia" w:ascii="宋体" w:hAnsi="宋体" w:cs="宋体"/>
                <w:szCs w:val="21"/>
                <w:highlight w:val="none"/>
                <w:lang w:val="en-US" w:eastAsia="zh-CN"/>
              </w:rPr>
              <w:t>14</w:t>
            </w:r>
            <w:r>
              <w:rPr>
                <w:rFonts w:hint="eastAsia" w:ascii="宋体" w:hAnsi="宋体" w:cs="宋体"/>
                <w:szCs w:val="21"/>
                <w:highlight w:val="none"/>
              </w:rPr>
              <w:t>时</w:t>
            </w:r>
            <w:r>
              <w:rPr>
                <w:rFonts w:hint="eastAsia" w:ascii="宋体" w:hAnsi="宋体" w:cs="宋体"/>
                <w:szCs w:val="21"/>
                <w:highlight w:val="none"/>
                <w:lang w:val="en-US" w:eastAsia="zh-CN"/>
              </w:rPr>
              <w:t>30</w:t>
            </w:r>
            <w:r>
              <w:rPr>
                <w:rFonts w:hint="eastAsia" w:ascii="宋体" w:hAnsi="宋体" w:cs="宋体"/>
                <w:szCs w:val="21"/>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响应文件的递交</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及谈判地点</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ascii="宋体" w:hAnsi="宋体" w:cs="宋体"/>
                <w:szCs w:val="21"/>
                <w:highlight w:val="none"/>
              </w:rPr>
            </w:pPr>
            <w:r>
              <w:rPr>
                <w:rFonts w:hint="eastAsia" w:ascii="宋体" w:hAnsi="宋体" w:cs="宋体"/>
                <w:bCs/>
                <w:szCs w:val="21"/>
                <w:highlight w:val="none"/>
                <w:u w:val="none"/>
              </w:rPr>
              <w:t>长沙市劳动东路二段48号黄兴车辆段综合楼9楼910</w:t>
            </w:r>
            <w:r>
              <w:rPr>
                <w:rStyle w:val="56"/>
                <w:rFonts w:hint="eastAsia"/>
                <w:color w:val="auto"/>
                <w:highlight w:val="none"/>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6"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谈判现场验证</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须提交的资料</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宋体" w:hAnsi="宋体" w:cs="宋体"/>
                <w:color w:val="FF0000"/>
                <w:szCs w:val="21"/>
                <w:highlight w:val="none"/>
              </w:rPr>
            </w:pPr>
            <w:r>
              <w:rPr>
                <w:rFonts w:hint="eastAsia" w:ascii="宋体" w:hAnsi="宋体" w:cs="宋体"/>
                <w:iCs/>
                <w:szCs w:val="21"/>
                <w:highlight w:val="none"/>
              </w:rPr>
              <w:t>1.谈判单位代表是谈判单位法定代表人参加的，法定代表人须提供法定代表人身份证明书原件</w:t>
            </w:r>
            <w:r>
              <w:rPr>
                <w:rFonts w:hint="eastAsia" w:ascii="宋体" w:hAnsi="宋体" w:cs="宋体"/>
                <w:b/>
                <w:bCs/>
                <w:iCs/>
                <w:szCs w:val="21"/>
                <w:highlight w:val="none"/>
              </w:rPr>
              <w:t>（格式详见本文件第七章）</w:t>
            </w:r>
            <w:r>
              <w:rPr>
                <w:rFonts w:hint="eastAsia" w:ascii="宋体" w:hAnsi="宋体" w:cs="宋体"/>
                <w:szCs w:val="21"/>
                <w:highlight w:val="none"/>
              </w:rPr>
              <w:t>及本人身份证原件。</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宋体" w:hAnsi="宋体" w:cs="宋体"/>
                <w:iCs/>
                <w:szCs w:val="21"/>
                <w:highlight w:val="none"/>
              </w:rPr>
            </w:pPr>
            <w:r>
              <w:rPr>
                <w:rFonts w:hint="eastAsia" w:ascii="宋体" w:hAnsi="宋体" w:cs="宋体"/>
                <w:szCs w:val="21"/>
                <w:highlight w:val="none"/>
              </w:rPr>
              <w:t>2.谈判单位代表是由谈判单位法定代表人授权的委托代理人参加的，其授权委托代理人须提供授权委托书原件</w:t>
            </w:r>
            <w:r>
              <w:rPr>
                <w:rFonts w:hint="eastAsia" w:ascii="宋体" w:hAnsi="宋体" w:cs="宋体"/>
                <w:b/>
                <w:szCs w:val="21"/>
                <w:highlight w:val="none"/>
              </w:rPr>
              <w:t>（格式详见本文件</w:t>
            </w:r>
            <w:r>
              <w:rPr>
                <w:rFonts w:hint="eastAsia" w:ascii="宋体" w:hAnsi="宋体" w:cs="宋体"/>
                <w:b/>
                <w:bCs/>
                <w:iCs/>
                <w:szCs w:val="21"/>
                <w:highlight w:val="none"/>
              </w:rPr>
              <w:t>第七章</w:t>
            </w:r>
            <w:r>
              <w:rPr>
                <w:rFonts w:hint="eastAsia" w:ascii="宋体" w:hAnsi="宋体" w:cs="宋体"/>
                <w:b/>
                <w:szCs w:val="21"/>
                <w:highlight w:val="none"/>
              </w:rPr>
              <w:t>）</w:t>
            </w:r>
            <w:r>
              <w:rPr>
                <w:rFonts w:hint="eastAsia" w:ascii="宋体" w:hAnsi="宋体" w:cs="宋体"/>
                <w:szCs w:val="21"/>
                <w:highlight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color w:val="auto"/>
                <w:szCs w:val="21"/>
                <w:highlight w:val="none"/>
              </w:rPr>
            </w:pPr>
            <w:r>
              <w:rPr>
                <w:rFonts w:hint="eastAsia" w:ascii="宋体" w:hAnsi="宋体" w:cs="宋体"/>
                <w:b/>
                <w:color w:val="auto"/>
                <w:szCs w:val="21"/>
                <w:highlight w:val="none"/>
              </w:rPr>
              <w:t>资格的符合性审查</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color w:val="auto"/>
                <w:highlight w:val="none"/>
              </w:rPr>
            </w:pPr>
            <w:r>
              <w:rPr>
                <w:rFonts w:hint="eastAsia" w:ascii="宋体" w:hAnsi="宋体" w:cs="宋体"/>
                <w:b/>
                <w:color w:val="auto"/>
                <w:szCs w:val="21"/>
                <w:highlight w:val="none"/>
              </w:rPr>
              <w:t>须单独提交的资料</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宋体" w:hAnsi="宋体" w:cs="宋体"/>
                <w:color w:val="auto"/>
                <w:szCs w:val="21"/>
                <w:highlight w:val="none"/>
              </w:rPr>
            </w:pPr>
            <w:r>
              <w:rPr>
                <w:rFonts w:hint="eastAsia" w:ascii="宋体" w:hAnsi="宋体" w:cs="宋体"/>
                <w:b w:val="0"/>
                <w:bCs w:val="0"/>
                <w:iCs/>
                <w:color w:val="auto"/>
                <w:szCs w:val="21"/>
                <w:highlight w:val="none"/>
              </w:rPr>
              <w:t>谈判单位应按照</w:t>
            </w:r>
            <w:r>
              <w:rPr>
                <w:rFonts w:hint="eastAsia" w:ascii="宋体" w:hAnsi="宋体" w:cs="宋体"/>
                <w:b w:val="0"/>
                <w:bCs w:val="0"/>
                <w:color w:val="auto"/>
                <w:szCs w:val="21"/>
                <w:highlight w:val="none"/>
              </w:rPr>
              <w:t>本前附表内规定的《资格要求》内容，单独提供一份资格</w:t>
            </w:r>
            <w:r>
              <w:rPr>
                <w:rFonts w:hint="eastAsia" w:ascii="宋体" w:hAnsi="宋体"/>
                <w:b w:val="0"/>
                <w:bCs w:val="0"/>
                <w:color w:val="auto"/>
                <w:szCs w:val="21"/>
                <w:highlight w:val="none"/>
              </w:rPr>
              <w:t>证明文件</w:t>
            </w:r>
            <w:r>
              <w:rPr>
                <w:rStyle w:val="56"/>
                <w:rFonts w:hint="eastAsia"/>
                <w:b w:val="0"/>
                <w:bCs w:val="0"/>
                <w:color w:val="auto"/>
                <w:highlight w:val="none"/>
                <w:u w:val="none"/>
                <w:shd w:val="clear" w:color="auto" w:fill="FFFFFF"/>
              </w:rPr>
              <w:t>原件扫描件打印版，且提供的文件内容应与</w:t>
            </w:r>
            <w:r>
              <w:rPr>
                <w:rStyle w:val="56"/>
                <w:rFonts w:hint="eastAsia"/>
                <w:b/>
                <w:bCs/>
                <w:color w:val="auto"/>
                <w:highlight w:val="none"/>
                <w:u w:val="none"/>
                <w:shd w:val="clear" w:color="auto" w:fill="FFFFFF"/>
              </w:rPr>
              <w:t>“</w:t>
            </w:r>
            <w:r>
              <w:rPr>
                <w:rFonts w:hint="eastAsia" w:ascii="宋体" w:hAnsi="宋体" w:cs="宋体"/>
                <w:b/>
                <w:bCs/>
                <w:iCs/>
                <w:color w:val="auto"/>
                <w:szCs w:val="21"/>
                <w:highlight w:val="none"/>
              </w:rPr>
              <w:t>本文件第七章第四节</w:t>
            </w:r>
            <w:r>
              <w:rPr>
                <w:rStyle w:val="56"/>
                <w:rFonts w:hint="eastAsia"/>
                <w:b/>
                <w:bCs/>
                <w:color w:val="auto"/>
                <w:highlight w:val="none"/>
                <w:u w:val="none"/>
                <w:shd w:val="clear" w:color="auto" w:fill="FFFFFF"/>
              </w:rPr>
              <w:t>”</w:t>
            </w:r>
            <w:r>
              <w:rPr>
                <w:rFonts w:hint="eastAsia" w:ascii="宋体" w:hAnsi="宋体" w:cs="宋体"/>
                <w:b/>
                <w:bCs/>
                <w:iCs/>
                <w:color w:val="auto"/>
                <w:szCs w:val="21"/>
                <w:highlight w:val="none"/>
              </w:rPr>
              <w:t>内容保持一致（格式详见本文件第七章第四节）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响应文件有效期</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ascii="宋体" w:hAnsi="宋体" w:cs="宋体"/>
                <w:szCs w:val="21"/>
                <w:highlight w:val="none"/>
              </w:rPr>
            </w:pPr>
            <w:r>
              <w:rPr>
                <w:rFonts w:hint="eastAsia" w:ascii="宋体" w:hAnsi="宋体" w:cs="宋体"/>
                <w:szCs w:val="21"/>
                <w:highlight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响应文件份数及要求</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cs="宋体"/>
                <w:szCs w:val="21"/>
                <w:highlight w:val="none"/>
              </w:rPr>
            </w:pPr>
            <w:r>
              <w:rPr>
                <w:rFonts w:hint="eastAsia" w:ascii="宋体" w:hAnsi="宋体" w:cs="宋体"/>
                <w:szCs w:val="21"/>
                <w:highlight w:val="none"/>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color w:val="FF0000"/>
                <w:szCs w:val="21"/>
                <w:highlight w:val="none"/>
              </w:rPr>
            </w:pPr>
            <w:r>
              <w:rPr>
                <w:rFonts w:hint="eastAsia" w:ascii="宋体" w:hAnsi="宋体" w:cs="宋体"/>
                <w:b/>
                <w:szCs w:val="21"/>
                <w:highlight w:val="none"/>
              </w:rPr>
              <w:t>项目支付方式</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中间支付：本项目保险单为一年一开，本合同签订生效且承保人每次签发保险单后，支付每次保单相应保险费的70%。</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结算支付：本合同保险期满，且最终保险费按照长沙市政府或其职能部门相关规定经长沙市政府相关职能部门或长沙市轨道交通集团有限公司授权的单位审定后，支付至最终保险费的100%。</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项目结算时，财产一切险（附加机器损坏险）最终保险费的计费基数为控制价公示说明中明确的计费基数</w:t>
            </w:r>
            <w:r>
              <w:rPr>
                <w:rFonts w:hint="eastAsia" w:ascii="宋体" w:hAnsi="宋体" w:eastAsia="宋体" w:cs="宋体"/>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上述付款，在承保人按投保人的支付程序办理请款手续并提供增值税专用发票、有效期内的履约担保复印件等相关资料后28个工作日内，由投保人向承保人支付。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信息发布</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指定媒体</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ascii="宋体" w:hAnsi="宋体" w:cs="宋体"/>
                <w:szCs w:val="21"/>
                <w:highlight w:val="none"/>
              </w:rPr>
            </w:pPr>
            <w:r>
              <w:rPr>
                <w:rFonts w:hint="eastAsia" w:ascii="宋体" w:hAnsi="宋体" w:cs="宋体"/>
                <w:szCs w:val="21"/>
                <w:highlight w:val="none"/>
              </w:rPr>
              <w:t>长沙市轨道交通集团有限公司</w:t>
            </w:r>
            <w:r>
              <w:rPr>
                <w:highlight w:val="none"/>
              </w:rPr>
              <w:fldChar w:fldCharType="begin"/>
            </w:r>
            <w:r>
              <w:rPr>
                <w:highlight w:val="none"/>
              </w:rPr>
              <w:instrText xml:space="preserve"> HYPERLINK "http://www.hncsmtr.com/" </w:instrText>
            </w:r>
            <w:r>
              <w:rPr>
                <w:highlight w:val="none"/>
              </w:rPr>
              <w:fldChar w:fldCharType="separate"/>
            </w:r>
            <w:r>
              <w:rPr>
                <w:rStyle w:val="56"/>
                <w:rFonts w:hint="eastAsia" w:ascii="宋体" w:hAnsi="宋体" w:cs="宋体"/>
                <w:color w:val="auto"/>
                <w:szCs w:val="21"/>
                <w:highlight w:val="none"/>
                <w:u w:val="none"/>
              </w:rPr>
              <w:t>http://www.hncsmtr.com/</w:t>
            </w:r>
            <w:r>
              <w:rPr>
                <w:rStyle w:val="56"/>
                <w:rFonts w:hint="eastAsia" w:ascii="宋体" w:hAnsi="宋体" w:cs="宋体"/>
                <w:color w:val="auto"/>
                <w:szCs w:val="21"/>
                <w:highlight w:val="none"/>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88"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谈判保证金</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提交渠道</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ascii="宋体" w:hAnsi="宋体" w:cs="宋体"/>
                <w:szCs w:val="21"/>
                <w:highlight w:val="none"/>
              </w:rPr>
            </w:pPr>
            <w:r>
              <w:rPr>
                <w:rFonts w:hint="eastAsia" w:ascii="宋体" w:hAnsi="宋体" w:cs="宋体"/>
                <w:szCs w:val="21"/>
                <w:highlight w:val="none"/>
              </w:rPr>
              <w:t>城轨采购网（网址：</w:t>
            </w:r>
            <w:r>
              <w:rPr>
                <w:highlight w:val="none"/>
              </w:rPr>
              <w:fldChar w:fldCharType="begin"/>
            </w:r>
            <w:r>
              <w:rPr>
                <w:highlight w:val="none"/>
              </w:rPr>
              <w:instrText xml:space="preserve"> HYPERLINK "http://www.mtrmart.com）注册参与并按要求提交投标保证金。本次投标保证金的金额为（人民币）" </w:instrText>
            </w:r>
            <w:r>
              <w:rPr>
                <w:highlight w:val="none"/>
              </w:rPr>
              <w:fldChar w:fldCharType="separate"/>
            </w:r>
            <w:r>
              <w:rPr>
                <w:rFonts w:hint="eastAsia" w:ascii="宋体" w:hAnsi="宋体" w:cs="宋体"/>
                <w:szCs w:val="21"/>
                <w:highlight w:val="none"/>
              </w:rPr>
              <w:t>www.mtrmart.com）</w:t>
            </w:r>
            <w:r>
              <w:rPr>
                <w:rFonts w:hint="eastAsia" w:ascii="宋体" w:hAnsi="宋体" w:cs="宋体"/>
                <w:szCs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bCs/>
                <w:szCs w:val="21"/>
                <w:highlight w:val="none"/>
              </w:rPr>
            </w:pPr>
            <w:r>
              <w:rPr>
                <w:rFonts w:hint="eastAsia" w:ascii="宋体" w:hAnsi="宋体" w:cs="宋体"/>
                <w:b/>
                <w:bCs/>
                <w:szCs w:val="21"/>
                <w:highlight w:val="none"/>
              </w:rPr>
              <w:t>自主竞争性谈判</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bCs/>
                <w:szCs w:val="21"/>
                <w:highlight w:val="none"/>
              </w:rPr>
              <w:t>文件的获取</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ascii="宋体" w:hAnsi="宋体" w:cs="宋体"/>
                <w:szCs w:val="21"/>
                <w:highlight w:val="none"/>
              </w:rPr>
            </w:pPr>
            <w:r>
              <w:rPr>
                <w:rFonts w:hint="eastAsia" w:ascii="宋体" w:hAnsi="宋体" w:cs="宋体"/>
                <w:szCs w:val="21"/>
                <w:highlight w:val="none"/>
              </w:rPr>
              <w:t>“信息发布指定媒体”中对应采购项目谈判邀请公告附件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23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ascii="宋体" w:hAnsi="宋体" w:cs="宋体"/>
                <w:b/>
                <w:szCs w:val="21"/>
                <w:highlight w:val="none"/>
              </w:rPr>
            </w:pPr>
            <w:r>
              <w:rPr>
                <w:rFonts w:hint="eastAsia" w:ascii="宋体" w:hAnsi="宋体" w:cs="宋体"/>
                <w:b/>
                <w:szCs w:val="21"/>
                <w:highlight w:val="none"/>
              </w:rPr>
              <w:t>其他规定</w:t>
            </w:r>
          </w:p>
        </w:tc>
        <w:tc>
          <w:tcPr>
            <w:tcW w:w="7338" w:type="dxa"/>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ascii="宋体" w:hAnsi="宋体" w:cs="宋体"/>
                <w:szCs w:val="21"/>
                <w:highlight w:val="none"/>
              </w:rPr>
            </w:pPr>
            <w:r>
              <w:rPr>
                <w:rFonts w:hint="eastAsia" w:ascii="宋体" w:hAnsi="宋体" w:cs="宋体"/>
                <w:szCs w:val="21"/>
                <w:highlight w:val="none"/>
              </w:rPr>
              <w:t>/</w:t>
            </w:r>
          </w:p>
        </w:tc>
      </w:tr>
    </w:tbl>
    <w:p>
      <w:pPr>
        <w:pStyle w:val="7"/>
        <w:keepNext w:val="0"/>
        <w:keepLines w:val="0"/>
        <w:jc w:val="center"/>
        <w:rPr>
          <w:rFonts w:ascii="黑体" w:hAnsi="黑体" w:eastAsia="黑体"/>
          <w:sz w:val="30"/>
          <w:szCs w:val="30"/>
          <w:highlight w:val="none"/>
        </w:rPr>
      </w:pPr>
      <w:bookmarkStart w:id="18" w:name="_Toc14891067"/>
    </w:p>
    <w:p>
      <w:pPr>
        <w:widowControl/>
        <w:jc w:val="left"/>
        <w:rPr>
          <w:highlight w:val="none"/>
        </w:rPr>
      </w:pPr>
      <w:r>
        <w:rPr>
          <w:highlight w:val="none"/>
        </w:rPr>
        <w:br w:type="page"/>
      </w:r>
    </w:p>
    <w:p>
      <w:pPr>
        <w:pStyle w:val="7"/>
        <w:keepNext w:val="0"/>
        <w:keepLines w:val="0"/>
        <w:jc w:val="center"/>
        <w:rPr>
          <w:rFonts w:ascii="宋体" w:hAnsi="宋体" w:cs="宋体"/>
          <w:sz w:val="32"/>
          <w:highlight w:val="none"/>
        </w:rPr>
      </w:pPr>
      <w:bookmarkStart w:id="19" w:name="_Toc30640"/>
      <w:bookmarkStart w:id="20" w:name="_Toc31558"/>
      <w:bookmarkStart w:id="21" w:name="_Toc16939"/>
      <w:bookmarkStart w:id="22" w:name="_Toc26157"/>
      <w:bookmarkStart w:id="23" w:name="_Toc15193"/>
      <w:bookmarkStart w:id="24" w:name="_Hlk71364110"/>
      <w:r>
        <w:rPr>
          <w:rFonts w:hint="eastAsia" w:ascii="宋体" w:hAnsi="宋体" w:cs="宋体"/>
          <w:sz w:val="32"/>
          <w:highlight w:val="none"/>
        </w:rPr>
        <w:t>谈判须知正文</w:t>
      </w:r>
      <w:bookmarkEnd w:id="18"/>
      <w:bookmarkEnd w:id="19"/>
      <w:bookmarkEnd w:id="20"/>
      <w:bookmarkEnd w:id="21"/>
      <w:bookmarkEnd w:id="22"/>
      <w:bookmarkEnd w:id="23"/>
    </w:p>
    <w:bookmarkEnd w:id="24"/>
    <w:p>
      <w:pPr>
        <w:keepNext w:val="0"/>
        <w:keepLines w:val="0"/>
        <w:pageBreakBefore w:val="0"/>
        <w:kinsoku/>
        <w:wordWrap/>
        <w:overflowPunct/>
        <w:topLinePunct w:val="0"/>
        <w:autoSpaceDE/>
        <w:autoSpaceDN/>
        <w:bidi w:val="0"/>
        <w:spacing w:line="360" w:lineRule="auto"/>
        <w:textAlignment w:val="auto"/>
        <w:outlineLvl w:val="9"/>
        <w:rPr>
          <w:rFonts w:ascii="宋体" w:hAnsi="宋体" w:cs="宋体"/>
          <w:sz w:val="21"/>
          <w:szCs w:val="21"/>
          <w:highlight w:val="none"/>
        </w:rPr>
      </w:pPr>
      <w:bookmarkStart w:id="25" w:name="_Toc11440"/>
      <w:bookmarkStart w:id="26" w:name="_Toc14891068"/>
      <w:r>
        <w:rPr>
          <w:rFonts w:hint="eastAsia" w:ascii="宋体" w:hAnsi="宋体" w:cs="宋体"/>
          <w:sz w:val="21"/>
          <w:szCs w:val="21"/>
          <w:highlight w:val="none"/>
        </w:rPr>
        <w:t>一、说明</w:t>
      </w:r>
      <w:bookmarkEnd w:id="25"/>
      <w:bookmarkEnd w:id="26"/>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szCs w:val="21"/>
          <w:highlight w:val="none"/>
        </w:rPr>
      </w:pPr>
      <w:r>
        <w:rPr>
          <w:rFonts w:hint="eastAsia" w:ascii="宋体" w:hAnsi="宋体" w:cs="宋体"/>
          <w:b/>
          <w:bCs/>
          <w:szCs w:val="21"/>
          <w:highlight w:val="none"/>
        </w:rPr>
        <w:t>1.</w:t>
      </w:r>
      <w:r>
        <w:rPr>
          <w:rFonts w:hint="eastAsia" w:ascii="宋体" w:hAnsi="宋体" w:cs="宋体"/>
          <w:b/>
          <w:szCs w:val="21"/>
          <w:highlight w:val="none"/>
        </w:rPr>
        <w:t>本《自主竞争性谈判文件》（以下简称“谈判文件”）仅适用于谈判须知前附表(以下简称前附表)中所叙述的采购项目。</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szCs w:val="21"/>
          <w:highlight w:val="none"/>
        </w:rPr>
      </w:pPr>
      <w:r>
        <w:rPr>
          <w:rFonts w:hint="eastAsia" w:ascii="宋体" w:hAnsi="宋体" w:cs="宋体"/>
          <w:b/>
          <w:szCs w:val="21"/>
          <w:highlight w:val="none"/>
        </w:rPr>
        <w:t>2.本谈判文件的解释权属于长沙市轨道交通运营有限公司。</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3.定义</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
          <w:szCs w:val="21"/>
          <w:highlight w:val="none"/>
        </w:rPr>
      </w:pPr>
      <w:r>
        <w:rPr>
          <w:rFonts w:hint="eastAsia" w:ascii="宋体" w:hAnsi="宋体" w:cs="宋体"/>
          <w:szCs w:val="21"/>
          <w:highlight w:val="none"/>
        </w:rPr>
        <w:t>3.1“采购单位”是指依法进行采购的法人组织。本项目的采购单位名称见</w:t>
      </w:r>
      <w:r>
        <w:rPr>
          <w:rFonts w:hint="eastAsia" w:ascii="宋体" w:hAnsi="宋体" w:cs="宋体"/>
          <w:b/>
          <w:szCs w:val="21"/>
          <w:highlight w:val="none"/>
        </w:rPr>
        <w:t>前附表</w:t>
      </w:r>
      <w:r>
        <w:rPr>
          <w:rFonts w:hint="eastAsia" w:ascii="宋体" w:hAnsi="宋体" w:cs="宋体"/>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3.2“谈判单位”是指响应本谈判文件要求、参加谈判的法人组织。</w:t>
      </w:r>
      <w:r>
        <w:rPr>
          <w:rFonts w:hint="eastAsia" w:ascii="宋体" w:hAnsi="宋体"/>
          <w:szCs w:val="21"/>
          <w:highlight w:val="none"/>
        </w:rPr>
        <w:t>参与本项目的谈判单位</w:t>
      </w:r>
      <w:r>
        <w:rPr>
          <w:rFonts w:hint="eastAsia" w:hAnsi="宋体"/>
          <w:highlight w:val="none"/>
        </w:rPr>
        <w:t>应按</w:t>
      </w:r>
      <w:r>
        <w:rPr>
          <w:rFonts w:hint="eastAsia" w:hAnsi="宋体"/>
          <w:b/>
          <w:highlight w:val="none"/>
        </w:rPr>
        <w:t>前附表</w:t>
      </w:r>
      <w:r>
        <w:rPr>
          <w:rFonts w:hint="eastAsia" w:hAnsi="宋体"/>
          <w:highlight w:val="none"/>
        </w:rPr>
        <w:t>规定的要求获取谈判文件。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3.3“谈判</w:t>
      </w:r>
      <w:r>
        <w:rPr>
          <w:rFonts w:hint="eastAsia" w:ascii="宋体" w:hAnsi="宋体" w:cs="宋体"/>
          <w:bCs/>
          <w:szCs w:val="21"/>
          <w:highlight w:val="none"/>
        </w:rPr>
        <w:t>评审</w:t>
      </w:r>
      <w:r>
        <w:rPr>
          <w:rFonts w:hint="eastAsia" w:ascii="宋体" w:hAnsi="宋体" w:cs="宋体"/>
          <w:szCs w:val="21"/>
          <w:highlight w:val="none"/>
        </w:rPr>
        <w:t>小组”是指采购单位按其规定组建，依法依规履行其职责和义务的机构。</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4.谈判单位资格要求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4.1参与谈判的单位应当符合</w:t>
      </w:r>
      <w:r>
        <w:rPr>
          <w:rFonts w:hint="eastAsia" w:ascii="宋体" w:hAnsi="宋体" w:cs="宋体"/>
          <w:b/>
          <w:szCs w:val="21"/>
          <w:highlight w:val="none"/>
        </w:rPr>
        <w:t>前附表</w:t>
      </w:r>
      <w:r>
        <w:rPr>
          <w:rFonts w:hint="eastAsia" w:ascii="宋体" w:hAnsi="宋体" w:cs="宋体"/>
          <w:szCs w:val="21"/>
          <w:highlight w:val="none"/>
        </w:rPr>
        <w:t>中规定的资格要求；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4.2参与谈判的单位存在下列情形之一的，其</w:t>
      </w:r>
      <w:r>
        <w:rPr>
          <w:rFonts w:hint="eastAsia" w:ascii="宋体" w:hAnsi="宋体" w:cs="宋体"/>
          <w:bCs/>
          <w:szCs w:val="21"/>
          <w:highlight w:val="none"/>
        </w:rPr>
        <w:t>谈判</w:t>
      </w:r>
      <w:r>
        <w:rPr>
          <w:rFonts w:hint="eastAsia" w:ascii="宋体" w:hAnsi="宋体" w:cs="宋体"/>
          <w:szCs w:val="21"/>
          <w:highlight w:val="none"/>
        </w:rPr>
        <w:t>将被</w:t>
      </w:r>
      <w:r>
        <w:rPr>
          <w:rFonts w:hint="eastAsia" w:ascii="宋体" w:hAnsi="宋体" w:cs="宋体"/>
          <w:b/>
          <w:bCs/>
          <w:szCs w:val="21"/>
          <w:highlight w:val="none"/>
        </w:rPr>
        <w:t>否决</w:t>
      </w:r>
      <w:r>
        <w:rPr>
          <w:rFonts w:hint="eastAsia" w:ascii="宋体" w:hAnsi="宋体" w:cs="宋体"/>
          <w:szCs w:val="21"/>
          <w:highlight w:val="none"/>
        </w:rPr>
        <w:t>：</w:t>
      </w:r>
    </w:p>
    <w:p>
      <w:pPr>
        <w:pStyle w:val="357"/>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highlight w:val="none"/>
        </w:rPr>
      </w:pPr>
      <w:r>
        <w:rPr>
          <w:rFonts w:hint="eastAsia" w:hAnsi="宋体" w:cs="宋体"/>
          <w:sz w:val="21"/>
          <w:szCs w:val="21"/>
          <w:highlight w:val="none"/>
        </w:rPr>
        <w:t>（1）与采购单位存在利害关系且可能影响采购公正性；</w:t>
      </w:r>
    </w:p>
    <w:p>
      <w:pPr>
        <w:pStyle w:val="357"/>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highlight w:val="none"/>
        </w:rPr>
      </w:pPr>
      <w:r>
        <w:rPr>
          <w:rFonts w:hint="eastAsia" w:hAnsi="宋体" w:cs="宋体"/>
          <w:sz w:val="21"/>
          <w:szCs w:val="21"/>
          <w:highlight w:val="none"/>
        </w:rPr>
        <w:t>（2）谈判单位法定代表人或负责人与其他谈判单位法定代表人或负责人为同一人；</w:t>
      </w:r>
    </w:p>
    <w:p>
      <w:pPr>
        <w:pStyle w:val="357"/>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highlight w:val="none"/>
        </w:rPr>
      </w:pPr>
      <w:r>
        <w:rPr>
          <w:rFonts w:hint="eastAsia" w:hAnsi="宋体" w:cs="宋体"/>
          <w:sz w:val="21"/>
          <w:szCs w:val="21"/>
          <w:highlight w:val="none"/>
        </w:rPr>
        <w:t>（3）与本采购项目的其他谈判单位存在控股、管理关系；</w:t>
      </w:r>
    </w:p>
    <w:p>
      <w:pPr>
        <w:pStyle w:val="357"/>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highlight w:val="none"/>
        </w:rPr>
      </w:pPr>
      <w:r>
        <w:rPr>
          <w:rFonts w:hint="eastAsia" w:hAnsi="宋体" w:cs="宋体"/>
          <w:sz w:val="21"/>
          <w:szCs w:val="21"/>
          <w:highlight w:val="none"/>
        </w:rPr>
        <w:t>（4）被责令停产停业、暂扣或者吊销许可证、暂扣或者吊销执照；</w:t>
      </w:r>
    </w:p>
    <w:p>
      <w:pPr>
        <w:pStyle w:val="357"/>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highlight w:val="none"/>
        </w:rPr>
      </w:pPr>
      <w:r>
        <w:rPr>
          <w:rFonts w:hint="eastAsia" w:hAnsi="宋体" w:cs="宋体"/>
          <w:sz w:val="21"/>
          <w:szCs w:val="21"/>
          <w:highlight w:val="none"/>
        </w:rPr>
        <w:t>（5）进入破产、清算、注销程序，或存在其他可能丧失履约能力的情形；</w:t>
      </w:r>
    </w:p>
    <w:p>
      <w:pPr>
        <w:pStyle w:val="357"/>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highlight w:val="none"/>
        </w:rPr>
      </w:pPr>
      <w:r>
        <w:rPr>
          <w:rFonts w:hint="eastAsia" w:hAnsi="宋体" w:cs="宋体"/>
          <w:sz w:val="21"/>
          <w:szCs w:val="21"/>
          <w:highlight w:val="none"/>
        </w:rPr>
        <w:t>（6）在国家企业信用信息公示系统中显示已被列入严重违法失信企业名单；</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（7）在“信用中国”网站（www.creditchina.gov.cn）或“信用湖南”网站（www.credithunan.gov.cn）中显示已被列入失信被执行人名单。</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（8）不同谈判单位的谈判保证金从同一账户转出的情形。</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5.参与谈判的费用</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5.1无论谈判的结果如何，谈判单位应自行承担所有与本次竞争性谈判活动有关的全部费用。</w:t>
      </w:r>
    </w:p>
    <w:p>
      <w:pPr>
        <w:pStyle w:val="27"/>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hAnsi="宋体" w:cs="宋体"/>
          <w:b/>
          <w:bCs/>
          <w:highlight w:val="none"/>
        </w:rPr>
      </w:pPr>
      <w:r>
        <w:rPr>
          <w:rFonts w:hint="eastAsia" w:hAnsi="宋体" w:cs="宋体"/>
          <w:b/>
          <w:highlight w:val="none"/>
        </w:rPr>
        <w:t>6．</w:t>
      </w:r>
      <w:r>
        <w:rPr>
          <w:rFonts w:hint="eastAsia" w:hAnsi="宋体"/>
          <w:b/>
          <w:bCs/>
          <w:highlight w:val="none"/>
        </w:rPr>
        <w:t>谈判现场验证资料</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6.1谈判单位代表为谈判单位法定代表人的：应提供法定代表人身份证明书</w:t>
      </w:r>
      <w:r>
        <w:rPr>
          <w:rFonts w:hint="eastAsia" w:hAnsi="宋体" w:cs="宋体"/>
          <w:b/>
          <w:bCs/>
          <w:highlight w:val="none"/>
        </w:rPr>
        <w:t>（见</w:t>
      </w:r>
      <w:r>
        <w:rPr>
          <w:rFonts w:hint="eastAsia" w:hAnsi="宋体" w:cs="宋体"/>
          <w:b/>
          <w:bCs/>
          <w:iCs/>
          <w:highlight w:val="none"/>
        </w:rPr>
        <w:t>第七章</w:t>
      </w:r>
      <w:r>
        <w:rPr>
          <w:rFonts w:hint="eastAsia" w:hAnsi="宋体" w:cs="宋体"/>
          <w:b/>
          <w:bCs/>
          <w:highlight w:val="none"/>
        </w:rPr>
        <w:t>响应文件格式）</w:t>
      </w:r>
      <w:r>
        <w:rPr>
          <w:rFonts w:hint="eastAsia" w:hAnsi="宋体" w:cs="宋体"/>
          <w:highlight w:val="none"/>
        </w:rPr>
        <w:t>原件及本人身份证原件。</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b/>
          <w:strike/>
          <w:highlight w:val="none"/>
        </w:rPr>
      </w:pPr>
      <w:r>
        <w:rPr>
          <w:rFonts w:hint="eastAsia" w:hAnsi="宋体" w:cs="宋体"/>
          <w:highlight w:val="none"/>
        </w:rPr>
        <w:t>6.2谈判单位代表不是谈判单位法定代表人的：应提供授权委托书</w:t>
      </w:r>
      <w:r>
        <w:rPr>
          <w:rFonts w:hint="eastAsia" w:hAnsi="宋体" w:cs="宋体"/>
          <w:b/>
          <w:bCs/>
          <w:highlight w:val="none"/>
        </w:rPr>
        <w:t>（见</w:t>
      </w:r>
      <w:r>
        <w:rPr>
          <w:rFonts w:hint="eastAsia" w:hAnsi="宋体" w:cs="宋体"/>
          <w:b/>
          <w:bCs/>
          <w:iCs/>
          <w:highlight w:val="none"/>
        </w:rPr>
        <w:t>第七章</w:t>
      </w:r>
      <w:r>
        <w:rPr>
          <w:rFonts w:hint="eastAsia" w:hAnsi="宋体" w:cs="宋体"/>
          <w:b/>
          <w:bCs/>
          <w:highlight w:val="none"/>
        </w:rPr>
        <w:t>响应文件格式）</w:t>
      </w:r>
      <w:r>
        <w:rPr>
          <w:rFonts w:hint="eastAsia" w:hAnsi="宋体" w:cs="宋体"/>
          <w:highlight w:val="none"/>
        </w:rPr>
        <w:t>原件及本人身份证原件。</w:t>
      </w:r>
    </w:p>
    <w:p>
      <w:pPr>
        <w:keepNext w:val="0"/>
        <w:keepLines w:val="0"/>
        <w:pageBreakBefore w:val="0"/>
        <w:kinsoku/>
        <w:wordWrap/>
        <w:overflowPunct/>
        <w:topLinePunct w:val="0"/>
        <w:autoSpaceDE/>
        <w:autoSpaceDN/>
        <w:bidi w:val="0"/>
        <w:spacing w:line="360" w:lineRule="auto"/>
        <w:textAlignment w:val="auto"/>
        <w:outlineLvl w:val="9"/>
        <w:rPr>
          <w:rFonts w:ascii="宋体" w:hAnsi="宋体" w:cs="宋体"/>
          <w:sz w:val="21"/>
          <w:szCs w:val="21"/>
          <w:highlight w:val="none"/>
        </w:rPr>
      </w:pPr>
      <w:bookmarkStart w:id="27" w:name="_Toc303"/>
      <w:bookmarkStart w:id="28" w:name="_Toc14891069"/>
      <w:r>
        <w:rPr>
          <w:rFonts w:hint="eastAsia" w:ascii="宋体" w:hAnsi="宋体" w:cs="宋体"/>
          <w:sz w:val="21"/>
          <w:szCs w:val="21"/>
          <w:highlight w:val="none"/>
        </w:rPr>
        <w:t>二、谈判文件</w:t>
      </w:r>
      <w:bookmarkEnd w:id="27"/>
      <w:bookmarkEnd w:id="28"/>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7．谈判文件的组成</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7.1谈判文件由下列文件组成：</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第一章 谈判邀请公告</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第二章 谈判须知</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第三章 评审办法及标准</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第四章 用户需求书（另册）</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第五章 最高限价</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第六章 合同格式条款</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第七章 响应文件组成</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7.2</w:t>
      </w:r>
      <w:r>
        <w:rPr>
          <w:rFonts w:hint="eastAsia" w:hAnsi="宋体" w:cs="宋体"/>
          <w:kern w:val="0"/>
          <w:highlight w:val="none"/>
        </w:rPr>
        <w:t>响应文件递交截止时间前对谈判文件澄清或者修改内容，均为谈判文件的组成部分。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7.3谈判单位应仔细阅读</w:t>
      </w:r>
      <w:r>
        <w:rPr>
          <w:rFonts w:hint="eastAsia" w:ascii="宋体" w:hAnsi="宋体" w:cs="宋体"/>
          <w:bCs/>
          <w:szCs w:val="21"/>
          <w:highlight w:val="none"/>
        </w:rPr>
        <w:t>谈判</w:t>
      </w:r>
      <w:r>
        <w:rPr>
          <w:rFonts w:hint="eastAsia" w:ascii="宋体" w:hAnsi="宋体" w:cs="宋体"/>
          <w:szCs w:val="21"/>
          <w:highlight w:val="none"/>
        </w:rPr>
        <w:t>文件的全部内容，按照</w:t>
      </w:r>
      <w:r>
        <w:rPr>
          <w:rFonts w:hint="eastAsia" w:ascii="宋体" w:hAnsi="宋体" w:cs="宋体"/>
          <w:bCs/>
          <w:szCs w:val="21"/>
          <w:highlight w:val="none"/>
        </w:rPr>
        <w:t>谈判</w:t>
      </w:r>
      <w:r>
        <w:rPr>
          <w:rFonts w:hint="eastAsia" w:ascii="宋体" w:hAnsi="宋体" w:cs="宋体"/>
          <w:szCs w:val="21"/>
          <w:highlight w:val="none"/>
        </w:rPr>
        <w:t>文件要求编制响应文件。任何对</w:t>
      </w:r>
      <w:r>
        <w:rPr>
          <w:rFonts w:hint="eastAsia" w:ascii="宋体" w:hAnsi="宋体" w:cs="宋体"/>
          <w:bCs/>
          <w:szCs w:val="21"/>
          <w:highlight w:val="none"/>
        </w:rPr>
        <w:t>谈判</w:t>
      </w:r>
      <w:r>
        <w:rPr>
          <w:rFonts w:hint="eastAsia" w:ascii="宋体" w:hAnsi="宋体" w:cs="宋体"/>
          <w:szCs w:val="21"/>
          <w:highlight w:val="none"/>
        </w:rPr>
        <w:t>文件的忽略或误解不能作为响应文件存在缺陷或瑕疵的理由，其风险由谈判单位承担。</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kern w:val="0"/>
          <w:szCs w:val="21"/>
          <w:highlight w:val="none"/>
        </w:rPr>
      </w:pPr>
      <w:r>
        <w:rPr>
          <w:rFonts w:hint="eastAsia" w:ascii="宋体" w:hAnsi="宋体" w:cs="宋体"/>
          <w:b/>
          <w:bCs/>
          <w:szCs w:val="21"/>
          <w:highlight w:val="none"/>
        </w:rPr>
        <w:t>8.</w:t>
      </w:r>
      <w:r>
        <w:rPr>
          <w:rFonts w:hint="eastAsia" w:ascii="宋体" w:hAnsi="宋体" w:cs="宋体"/>
          <w:b/>
          <w:kern w:val="0"/>
          <w:szCs w:val="21"/>
          <w:highlight w:val="none"/>
        </w:rPr>
        <w:t>谈判文件的澄清及答疑</w:t>
      </w:r>
    </w:p>
    <w:p>
      <w:pPr>
        <w:keepNext w:val="0"/>
        <w:keepLines w:val="0"/>
        <w:pageBreakBefore w:val="0"/>
        <w:kinsoku/>
        <w:wordWrap/>
        <w:overflowPunct/>
        <w:topLinePunct w:val="0"/>
        <w:autoSpaceDE/>
        <w:autoSpaceDN/>
        <w:bidi w:val="0"/>
        <w:spacing w:line="360" w:lineRule="auto"/>
        <w:ind w:firstLine="420" w:firstLineChars="200"/>
        <w:textAlignment w:val="auto"/>
        <w:outlineLvl w:val="9"/>
        <w:rPr>
          <w:rFonts w:ascii="宋体" w:hAnsi="宋体" w:cs="宋体"/>
          <w:iCs/>
          <w:szCs w:val="21"/>
          <w:highlight w:val="none"/>
        </w:rPr>
      </w:pPr>
      <w:r>
        <w:rPr>
          <w:rFonts w:hint="eastAsia" w:ascii="宋体" w:hAnsi="宋体" w:cs="宋体"/>
          <w:iCs/>
          <w:szCs w:val="21"/>
          <w:highlight w:val="none"/>
        </w:rPr>
        <w:t>8.1.谈判单位应仔细阅读和检查谈判文件的全部内容，如有疑问，</w:t>
      </w:r>
      <w:r>
        <w:rPr>
          <w:rFonts w:hint="eastAsia" w:ascii="宋体" w:hAnsi="宋体" w:cs="宋体"/>
          <w:szCs w:val="21"/>
          <w:highlight w:val="none"/>
        </w:rPr>
        <w:t>应按</w:t>
      </w:r>
      <w:r>
        <w:rPr>
          <w:rFonts w:hint="eastAsia" w:ascii="宋体" w:hAnsi="宋体" w:cs="宋体"/>
          <w:b/>
          <w:bCs/>
          <w:szCs w:val="21"/>
          <w:highlight w:val="none"/>
        </w:rPr>
        <w:t>前附表</w:t>
      </w:r>
      <w:r>
        <w:rPr>
          <w:rFonts w:hint="eastAsia" w:ascii="宋体" w:hAnsi="宋体" w:cs="宋体"/>
          <w:szCs w:val="21"/>
          <w:highlight w:val="none"/>
        </w:rPr>
        <w:t>规定的时间、方式及地点</w:t>
      </w:r>
      <w:r>
        <w:rPr>
          <w:rFonts w:hint="eastAsia" w:ascii="宋体" w:hAnsi="宋体" w:cs="宋体"/>
          <w:iCs/>
          <w:szCs w:val="21"/>
          <w:highlight w:val="none"/>
          <w:lang w:val="en-US" w:eastAsia="zh-CN"/>
        </w:rPr>
        <w:t>采购单位</w:t>
      </w:r>
      <w:r>
        <w:rPr>
          <w:rFonts w:hint="eastAsia" w:ascii="宋体" w:hAnsi="宋体" w:cs="宋体"/>
          <w:iCs/>
          <w:szCs w:val="21"/>
          <w:highlight w:val="none"/>
        </w:rPr>
        <w:t>提出，</w:t>
      </w:r>
      <w:r>
        <w:rPr>
          <w:rFonts w:hint="eastAsia" w:ascii="宋体" w:hAnsi="宋体" w:cs="宋体"/>
          <w:szCs w:val="21"/>
          <w:highlight w:val="none"/>
        </w:rPr>
        <w:t>否则，由此引起的损失由谈判单位自己承担。</w:t>
      </w:r>
    </w:p>
    <w:p>
      <w:pPr>
        <w:keepNext w:val="0"/>
        <w:keepLines w:val="0"/>
        <w:pageBreakBefore w:val="0"/>
        <w:kinsoku/>
        <w:wordWrap/>
        <w:overflowPunct/>
        <w:topLinePunct w:val="0"/>
        <w:autoSpaceDE/>
        <w:autoSpaceDN/>
        <w:bidi w:val="0"/>
        <w:spacing w:line="360" w:lineRule="auto"/>
        <w:ind w:firstLine="420" w:firstLineChars="200"/>
        <w:textAlignment w:val="auto"/>
        <w:outlineLvl w:val="9"/>
        <w:rPr>
          <w:rFonts w:ascii="宋体" w:hAnsi="宋体" w:cs="宋体"/>
          <w:iCs/>
          <w:szCs w:val="21"/>
          <w:highlight w:val="none"/>
        </w:rPr>
      </w:pPr>
      <w:r>
        <w:rPr>
          <w:rFonts w:hint="eastAsia" w:ascii="宋体" w:hAnsi="宋体" w:cs="宋体"/>
          <w:iCs/>
          <w:szCs w:val="21"/>
          <w:highlight w:val="none"/>
        </w:rPr>
        <w:t>8.2.在谈判截止时间前，采购单位可主动地或在解答谈判单位提出的问题时对谈判文件进行澄清或修改。</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highlight w:val="none"/>
        </w:rPr>
      </w:pPr>
      <w:r>
        <w:rPr>
          <w:rFonts w:hint="eastAsia" w:ascii="宋体" w:hAnsi="宋体" w:cs="宋体"/>
          <w:szCs w:val="21"/>
          <w:highlight w:val="none"/>
        </w:rPr>
        <w:t>8.3</w:t>
      </w:r>
      <w:r>
        <w:rPr>
          <w:rFonts w:hint="eastAsia" w:ascii="宋体" w:hAnsi="宋体" w:cs="宋体"/>
          <w:kern w:val="0"/>
          <w:szCs w:val="21"/>
          <w:highlight w:val="none"/>
        </w:rPr>
        <w:t>澄清或者修改的内容可能影响响应文件编制的，采购单位应当在提交响应文件截止之日3个工作日前，在长沙市轨道交通集团有限公司官网（http://www.hncsmtr.com/）发布澄清或答疑文件及顺延谈判时间，敬请获得谈判文件的所有谈判单位关注，恕不另行通知，如有遗漏采购单位不负任何责任。</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szCs w:val="21"/>
          <w:highlight w:val="none"/>
        </w:rPr>
      </w:pPr>
      <w:r>
        <w:rPr>
          <w:rFonts w:hint="eastAsia" w:ascii="宋体" w:hAnsi="宋体" w:cs="宋体"/>
          <w:b/>
          <w:bCs/>
          <w:szCs w:val="21"/>
          <w:highlight w:val="none"/>
        </w:rPr>
        <w:t>9.</w:t>
      </w:r>
      <w:r>
        <w:rPr>
          <w:rFonts w:hint="eastAsia" w:ascii="宋体" w:hAnsi="宋体" w:cs="宋体"/>
          <w:b/>
          <w:kern w:val="0"/>
          <w:szCs w:val="21"/>
          <w:highlight w:val="none"/>
        </w:rPr>
        <w:t>响应文件递交截止时间、谈判会议时间及地点</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9.1谈判单位递交响应文件截止时间、谈判会议时间及地点见</w:t>
      </w:r>
      <w:r>
        <w:rPr>
          <w:rFonts w:hint="eastAsia" w:hAnsi="宋体" w:cs="宋体"/>
          <w:b/>
          <w:bCs/>
          <w:highlight w:val="none"/>
        </w:rPr>
        <w:t>前附表</w:t>
      </w:r>
      <w:r>
        <w:rPr>
          <w:rFonts w:hint="eastAsia" w:hAnsi="宋体" w:cs="宋体"/>
          <w:highlight w:val="none"/>
        </w:rPr>
        <w:t>。</w:t>
      </w:r>
    </w:p>
    <w:p>
      <w:pPr>
        <w:keepNext w:val="0"/>
        <w:keepLines w:val="0"/>
        <w:pageBreakBefore w:val="0"/>
        <w:kinsoku/>
        <w:wordWrap/>
        <w:overflowPunct/>
        <w:topLinePunct w:val="0"/>
        <w:autoSpaceDE/>
        <w:autoSpaceDN/>
        <w:bidi w:val="0"/>
        <w:spacing w:line="360" w:lineRule="auto"/>
        <w:textAlignment w:val="auto"/>
        <w:outlineLvl w:val="9"/>
        <w:rPr>
          <w:rFonts w:ascii="宋体" w:hAnsi="宋体" w:cs="宋体"/>
          <w:sz w:val="21"/>
          <w:szCs w:val="21"/>
          <w:highlight w:val="none"/>
        </w:rPr>
      </w:pPr>
      <w:bookmarkStart w:id="29" w:name="_Toc14891070"/>
      <w:bookmarkStart w:id="30" w:name="_Toc9387"/>
      <w:r>
        <w:rPr>
          <w:rFonts w:hint="eastAsia" w:ascii="宋体" w:hAnsi="宋体" w:cs="宋体"/>
          <w:sz w:val="21"/>
          <w:szCs w:val="21"/>
          <w:highlight w:val="none"/>
        </w:rPr>
        <w:t>三、响应文件</w:t>
      </w:r>
      <w:bookmarkEnd w:id="29"/>
      <w:bookmarkEnd w:id="30"/>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10.一般要求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Cs/>
          <w:szCs w:val="21"/>
          <w:highlight w:val="none"/>
        </w:rPr>
      </w:pPr>
      <w:r>
        <w:rPr>
          <w:rFonts w:hint="eastAsia" w:ascii="宋体" w:hAnsi="宋体" w:cs="宋体"/>
          <w:bCs/>
          <w:szCs w:val="21"/>
          <w:highlight w:val="none"/>
        </w:rPr>
        <w:t>10.1</w:t>
      </w:r>
      <w:bookmarkStart w:id="31" w:name="_Hlk68706641"/>
      <w:r>
        <w:rPr>
          <w:rFonts w:hint="eastAsia" w:ascii="宋体" w:hAnsi="宋体" w:cs="宋体"/>
          <w:bCs/>
          <w:szCs w:val="21"/>
          <w:highlight w:val="none"/>
        </w:rPr>
        <w:t>谈判单位应仔细阅读谈判文件的所有内容，按谈判文件的要求编制响应文件，</w:t>
      </w:r>
      <w:r>
        <w:rPr>
          <w:rFonts w:hint="eastAsia" w:ascii="宋体" w:hAnsi="宋体" w:cs="宋体"/>
          <w:b/>
          <w:szCs w:val="21"/>
          <w:highlight w:val="none"/>
        </w:rPr>
        <w:t>严禁复制、粘贴，</w:t>
      </w:r>
      <w:r>
        <w:rPr>
          <w:rFonts w:hint="eastAsia" w:ascii="宋体" w:hAnsi="宋体" w:cs="宋体"/>
          <w:bCs/>
          <w:szCs w:val="21"/>
          <w:highlight w:val="none"/>
        </w:rPr>
        <w:t>并保证所提供的全部资料的真实性。</w:t>
      </w:r>
      <w:bookmarkEnd w:id="31"/>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Cs/>
          <w:szCs w:val="21"/>
          <w:highlight w:val="none"/>
        </w:rPr>
      </w:pPr>
      <w:r>
        <w:rPr>
          <w:rFonts w:hint="eastAsia" w:ascii="宋体" w:hAnsi="宋体" w:cs="宋体"/>
          <w:bCs/>
          <w:szCs w:val="21"/>
          <w:highlight w:val="none"/>
        </w:rPr>
        <w:t>10.2</w:t>
      </w:r>
      <w:r>
        <w:rPr>
          <w:rFonts w:hint="eastAsia" w:ascii="宋体" w:hAnsi="宋体" w:cs="宋体"/>
          <w:szCs w:val="21"/>
          <w:highlight w:val="none"/>
        </w:rPr>
        <w:t>谈判单位提交的响应文件、谈判单位与采购单位的所有来往函电均使用中文。</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bCs/>
          <w:highlight w:val="none"/>
        </w:rPr>
        <w:t>10.3</w:t>
      </w:r>
      <w:r>
        <w:rPr>
          <w:rFonts w:hint="eastAsia" w:hAnsi="宋体" w:cs="宋体"/>
          <w:highlight w:val="none"/>
        </w:rPr>
        <w:t>计量单位应使用我国法定计量单位，未列明时应默认为我国法定计量单位。</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10.4响应文件应采用书面形式，电报、传真、电子邮件形式的响应文件概不接受。</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10.5谈判单位提交的响应文件应按谈判文件中提供的响应文件格式编制。</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11.</w:t>
      </w:r>
      <w:r>
        <w:rPr>
          <w:rFonts w:hint="eastAsia" w:ascii="宋体" w:hAnsi="宋体" w:cs="宋体"/>
          <w:b/>
          <w:szCs w:val="21"/>
          <w:highlight w:val="none"/>
        </w:rPr>
        <w:t>响应文件</w:t>
      </w:r>
      <w:r>
        <w:rPr>
          <w:rFonts w:hint="eastAsia" w:ascii="宋体" w:hAnsi="宋体" w:cs="宋体"/>
          <w:b/>
          <w:bCs/>
          <w:szCs w:val="21"/>
          <w:highlight w:val="none"/>
        </w:rPr>
        <w:t>的组成</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11.1响应文件应包括下列内容：</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（1）谈判承诺书</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（2）</w:t>
      </w:r>
      <w:r>
        <w:rPr>
          <w:rFonts w:hint="eastAsia" w:ascii="宋体" w:hAnsi="宋体"/>
          <w:szCs w:val="21"/>
          <w:highlight w:val="none"/>
        </w:rPr>
        <w:t>法定代表人身份证明书</w:t>
      </w:r>
      <w:r>
        <w:rPr>
          <w:rFonts w:hint="eastAsia" w:ascii="宋体" w:hAnsi="宋体"/>
          <w:szCs w:val="21"/>
          <w:highlight w:val="none"/>
          <w:lang w:val="en-US" w:eastAsia="zh-CN"/>
        </w:rPr>
        <w:t>/企业负责人身份证明</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（3）授权委托书</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（4）</w:t>
      </w:r>
      <w:r>
        <w:rPr>
          <w:rFonts w:hint="eastAsia" w:hAnsi="宋体"/>
          <w:szCs w:val="21"/>
          <w:highlight w:val="none"/>
        </w:rPr>
        <w:t>谈判单位资格条件证明文件</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（5）</w:t>
      </w:r>
      <w:r>
        <w:rPr>
          <w:rFonts w:hint="eastAsia" w:ascii="宋体" w:hAnsi="宋体"/>
          <w:szCs w:val="21"/>
          <w:highlight w:val="none"/>
        </w:rPr>
        <w:t>报价一览表</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hAnsi="宋体" w:cs="宋体"/>
          <w:highlight w:val="none"/>
          <w:lang w:val="en-US" w:eastAsia="zh-CN"/>
        </w:rPr>
      </w:pPr>
      <w:r>
        <w:rPr>
          <w:rFonts w:hint="eastAsia" w:hAnsi="宋体" w:cs="宋体"/>
          <w:highlight w:val="none"/>
        </w:rPr>
        <w:t>（6）</w:t>
      </w:r>
      <w:r>
        <w:rPr>
          <w:rFonts w:hint="eastAsia" w:hAnsi="宋体" w:cs="宋体"/>
          <w:highlight w:val="none"/>
          <w:lang w:val="en-US" w:eastAsia="zh-CN"/>
        </w:rPr>
        <w:t>分项报价表</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hAnsi="宋体" w:cs="宋体"/>
          <w:highlight w:val="none"/>
        </w:rPr>
      </w:pPr>
      <w:r>
        <w:rPr>
          <w:rFonts w:hint="eastAsia" w:hAnsi="宋体" w:cs="宋体"/>
          <w:highlight w:val="none"/>
          <w:lang w:val="en-US" w:eastAsia="zh-CN"/>
        </w:rPr>
        <w:t>（7）</w:t>
      </w:r>
      <w:r>
        <w:rPr>
          <w:rFonts w:hint="eastAsia" w:ascii="宋体" w:hAnsi="宋体"/>
          <w:szCs w:val="21"/>
          <w:highlight w:val="none"/>
          <w:lang w:val="en-US" w:eastAsia="zh-CN"/>
        </w:rPr>
        <w:t>服务组织机构及人员设置方案</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hAnsi="宋体" w:cs="宋体"/>
          <w:highlight w:val="none"/>
        </w:rPr>
      </w:pPr>
      <w:r>
        <w:rPr>
          <w:rFonts w:hint="eastAsia" w:hAnsi="宋体" w:cs="宋体"/>
          <w:highlight w:val="none"/>
          <w:lang w:eastAsia="zh-CN"/>
        </w:rPr>
        <w:t>（</w:t>
      </w:r>
      <w:r>
        <w:rPr>
          <w:rFonts w:hint="eastAsia" w:hAnsi="宋体" w:cs="宋体"/>
          <w:highlight w:val="none"/>
          <w:lang w:val="en-US" w:eastAsia="zh-CN"/>
        </w:rPr>
        <w:t>8</w:t>
      </w:r>
      <w:r>
        <w:rPr>
          <w:rFonts w:hint="eastAsia" w:hAnsi="宋体" w:cs="宋体"/>
          <w:highlight w:val="none"/>
          <w:lang w:eastAsia="zh-CN"/>
        </w:rPr>
        <w:t>）</w:t>
      </w:r>
      <w:r>
        <w:rPr>
          <w:rFonts w:hint="eastAsia" w:ascii="宋体" w:hAnsi="宋体"/>
          <w:szCs w:val="21"/>
          <w:highlight w:val="none"/>
        </w:rPr>
        <w:t>其他资料（如有）</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11.2在谈判过程中，谈判单位根据</w:t>
      </w:r>
      <w:r>
        <w:rPr>
          <w:rFonts w:hint="eastAsia" w:hAnsi="宋体" w:cs="宋体"/>
          <w:kern w:val="0"/>
          <w:highlight w:val="none"/>
        </w:rPr>
        <w:t>谈判评审小组</w:t>
      </w:r>
      <w:r>
        <w:rPr>
          <w:rFonts w:hint="eastAsia" w:hAnsi="宋体" w:cs="宋体"/>
          <w:bCs/>
          <w:highlight w:val="none"/>
        </w:rPr>
        <w:t>要求</w:t>
      </w:r>
      <w:r>
        <w:rPr>
          <w:rFonts w:hint="eastAsia" w:hAnsi="宋体" w:cs="宋体"/>
          <w:kern w:val="0"/>
          <w:highlight w:val="none"/>
        </w:rPr>
        <w:t>提交的</w:t>
      </w:r>
      <w:r>
        <w:rPr>
          <w:rFonts w:hint="eastAsia" w:hAnsi="宋体" w:cs="宋体"/>
          <w:highlight w:val="none"/>
        </w:rPr>
        <w:t>书面承诺或其他文件是响应文件的有效组成部分。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11.3谈判单位无论成交与否，其递交的响应文件均不予退还。</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12.报价要求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12.1</w:t>
      </w:r>
      <w:r>
        <w:rPr>
          <w:rFonts w:hint="eastAsia" w:ascii="宋体" w:hAnsi="宋体" w:cs="宋体"/>
          <w:b/>
          <w:bCs/>
          <w:szCs w:val="21"/>
          <w:highlight w:val="none"/>
        </w:rPr>
        <w:t>本项目为一轮报价。</w:t>
      </w:r>
      <w:r>
        <w:rPr>
          <w:rFonts w:hint="eastAsia" w:ascii="宋体" w:hAnsi="宋体" w:cs="宋体"/>
          <w:szCs w:val="21"/>
          <w:highlight w:val="none"/>
        </w:rPr>
        <w:t>谈判单位应按第七章“响应文件格式”的要求在报价文件中进行报价。谈判单位所报的总价不得超过最高限价，不超过最高限价的谈判总报价为有效报价，谈判时需明确税费，税率必须符合国家政策法规规定，合同支付时服务单位需开具经</w:t>
      </w:r>
      <w:r>
        <w:rPr>
          <w:rFonts w:hint="eastAsia" w:ascii="宋体" w:hAnsi="宋体" w:cs="宋体"/>
          <w:b/>
          <w:szCs w:val="21"/>
          <w:highlight w:val="none"/>
        </w:rPr>
        <w:t>采购单位</w:t>
      </w:r>
      <w:r>
        <w:rPr>
          <w:rFonts w:hint="eastAsia" w:ascii="宋体" w:hAnsi="宋体" w:cs="宋体"/>
          <w:szCs w:val="21"/>
          <w:highlight w:val="none"/>
        </w:rPr>
        <w:t>认可的合法完税单据。</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12.2本项目以不含增值税总价进行评审。谈判单位报价须满足“谈判不含增值税总报价=谈判总报价/（1+增值税税率）”和“不含增值税单价=含税单价/（1+增值税税率）”，否则视为无效报价。</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12.3谈判单位应充分了解该项目的总体情况以及影响谈判报价的其他要素。</w:t>
      </w:r>
      <w:r>
        <w:rPr>
          <w:rFonts w:hint="eastAsia" w:ascii="宋体" w:hAnsi="宋体" w:cs="宋体"/>
          <w:b/>
          <w:szCs w:val="21"/>
          <w:highlight w:val="none"/>
        </w:rPr>
        <w:t>最终结算以长沙市轨道交通运营有限公司审核为准。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12.4谈判总报价为各分项报价金额之和，谈判总报价与分项报价的合价不一致的，应以各分项合价累计数为准，修正谈判总报价；如分项报价中存在缺漏项，则视为缺漏项价格已包含在其他分项报价之中。</w:t>
      </w:r>
      <w:r>
        <w:rPr>
          <w:rFonts w:hAnsi="宋体"/>
          <w:color w:val="000000" w:themeColor="text1"/>
          <w:szCs w:val="21"/>
          <w:highlight w:val="none"/>
          <w14:textFill>
            <w14:solidFill>
              <w14:schemeClr w14:val="tx1"/>
            </w14:solidFill>
          </w14:textFill>
        </w:rPr>
        <w:t>如分项报价中存在直接填写为零的情况，则视为其价格已包含在其他分项报价之中。</w:t>
      </w:r>
      <w:r>
        <w:rPr>
          <w:rFonts w:hint="eastAsia" w:ascii="宋体" w:hAnsi="宋体" w:cs="宋体"/>
          <w:szCs w:val="21"/>
          <w:highlight w:val="none"/>
        </w:rPr>
        <w:t>谈判单位在谈判截止时间前修改响应文件中的谈判总报价，应同时修改报价文件《报价一览表》和《分项价格表》中的相应报价。</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12.5本项目设置最高限价，谈判单位所报</w:t>
      </w:r>
      <w:r>
        <w:rPr>
          <w:rFonts w:hint="eastAsia" w:ascii="宋体" w:hAnsi="宋体" w:cs="宋体"/>
          <w:b/>
          <w:bCs/>
          <w:szCs w:val="21"/>
          <w:highlight w:val="none"/>
        </w:rPr>
        <w:t>含税总价不能超过最高限价，不超过最高限价的</w:t>
      </w:r>
      <w:r>
        <w:rPr>
          <w:rFonts w:hint="eastAsia" w:ascii="宋体" w:hAnsi="宋体" w:cs="宋体"/>
          <w:b/>
          <w:bCs/>
          <w:szCs w:val="21"/>
          <w:highlight w:val="none"/>
          <w:lang w:val="en-US" w:eastAsia="zh-CN"/>
        </w:rPr>
        <w:t>总</w:t>
      </w:r>
      <w:r>
        <w:rPr>
          <w:rFonts w:hint="eastAsia" w:ascii="宋体" w:hAnsi="宋体" w:cs="宋体"/>
          <w:b/>
          <w:bCs/>
          <w:szCs w:val="21"/>
          <w:highlight w:val="none"/>
        </w:rPr>
        <w:t>报价为有效报价</w:t>
      </w:r>
      <w:r>
        <w:rPr>
          <w:rFonts w:hint="eastAsia" w:ascii="宋体" w:hAnsi="宋体" w:cs="宋体"/>
          <w:szCs w:val="21"/>
          <w:highlight w:val="none"/>
        </w:rPr>
        <w:t>。本项目最高限价见</w:t>
      </w:r>
      <w:r>
        <w:rPr>
          <w:rFonts w:hint="eastAsia" w:ascii="宋体" w:hAnsi="宋体" w:cs="宋体"/>
          <w:b/>
          <w:szCs w:val="21"/>
          <w:highlight w:val="none"/>
        </w:rPr>
        <w:t>前附表</w:t>
      </w:r>
      <w:r>
        <w:rPr>
          <w:rFonts w:hint="eastAsia" w:ascii="宋体" w:hAnsi="宋体" w:cs="宋体"/>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12.6谈判单位应按谈判文件规定的要求、责任范围和合同条件，</w:t>
      </w:r>
      <w:r>
        <w:rPr>
          <w:rFonts w:hint="eastAsia" w:ascii="宋体" w:hAnsi="宋体" w:cs="宋体"/>
          <w:b/>
          <w:bCs/>
          <w:szCs w:val="21"/>
          <w:highlight w:val="none"/>
        </w:rPr>
        <w:t>以人民币报价，以元为单位，保留小数点后两位</w:t>
      </w:r>
      <w:r>
        <w:rPr>
          <w:rFonts w:hint="eastAsia" w:ascii="宋体" w:hAnsi="宋体" w:cs="宋体"/>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12.7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12.8谈判单位递交两份或多份内容不同的报价文件，或在一份报价文件中对同一项目报有两个或多个报价，且未声明哪一个有效的，将被认为是非实质响应被拒绝。</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Cs/>
          <w:szCs w:val="21"/>
          <w:highlight w:val="none"/>
        </w:rPr>
      </w:pPr>
      <w:r>
        <w:rPr>
          <w:rFonts w:hint="eastAsia" w:ascii="宋体" w:hAnsi="宋体" w:cs="宋体"/>
          <w:bCs/>
          <w:szCs w:val="21"/>
          <w:highlight w:val="none"/>
        </w:rPr>
        <w:t>12.9最低报价不能作为中选的保证。</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13.响应文件有效期</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13.1响应文件有效期见</w:t>
      </w:r>
      <w:r>
        <w:rPr>
          <w:rFonts w:hint="eastAsia" w:ascii="宋体" w:hAnsi="宋体" w:cs="宋体"/>
          <w:b/>
          <w:szCs w:val="21"/>
          <w:highlight w:val="none"/>
        </w:rPr>
        <w:t>前附表</w:t>
      </w:r>
      <w:r>
        <w:rPr>
          <w:rFonts w:hint="eastAsia" w:ascii="宋体" w:hAnsi="宋体" w:cs="宋体"/>
          <w:szCs w:val="21"/>
          <w:highlight w:val="none"/>
        </w:rPr>
        <w:t>，在此期间响应文件对谈判单位具有法律约束力，从</w:t>
      </w:r>
      <w:r>
        <w:rPr>
          <w:rFonts w:hint="eastAsia" w:ascii="宋体" w:hAnsi="宋体" w:cs="宋体"/>
          <w:b/>
          <w:szCs w:val="21"/>
          <w:highlight w:val="none"/>
        </w:rPr>
        <w:t>前附表</w:t>
      </w:r>
      <w:r>
        <w:rPr>
          <w:rFonts w:hint="eastAsia" w:ascii="宋体" w:hAnsi="宋体" w:cs="宋体"/>
          <w:szCs w:val="21"/>
          <w:highlight w:val="none"/>
        </w:rPr>
        <w:t>规定的</w:t>
      </w:r>
      <w:r>
        <w:rPr>
          <w:rFonts w:hint="eastAsia" w:ascii="宋体" w:hAnsi="宋体" w:cs="宋体"/>
          <w:kern w:val="0"/>
          <w:szCs w:val="21"/>
          <w:highlight w:val="none"/>
        </w:rPr>
        <w:t>响应文件递交截止时间</w:t>
      </w:r>
      <w:r>
        <w:rPr>
          <w:rFonts w:hint="eastAsia" w:ascii="宋体" w:hAnsi="宋体" w:cs="宋体"/>
          <w:szCs w:val="21"/>
          <w:highlight w:val="none"/>
        </w:rPr>
        <w:t>之日起计算。响应文件有效期不足的将被视为无效响应。</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14.响应文件的编制</w:t>
      </w:r>
    </w:p>
    <w:p>
      <w:pPr>
        <w:pStyle w:val="357"/>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highlight w:val="none"/>
        </w:rPr>
      </w:pPr>
      <w:r>
        <w:rPr>
          <w:rFonts w:hint="eastAsia" w:hAnsi="宋体" w:cs="宋体"/>
          <w:sz w:val="21"/>
          <w:szCs w:val="21"/>
          <w:highlight w:val="none"/>
        </w:rPr>
        <w:t>14.1响应文件应按</w:t>
      </w:r>
      <w:r>
        <w:rPr>
          <w:rFonts w:hint="eastAsia" w:hAnsi="宋体" w:cs="宋体"/>
          <w:b/>
          <w:bCs/>
          <w:sz w:val="21"/>
          <w:szCs w:val="21"/>
          <w:highlight w:val="none"/>
        </w:rPr>
        <w:t>第七章</w:t>
      </w:r>
      <w:r>
        <w:rPr>
          <w:rFonts w:hint="eastAsia" w:hAnsi="宋体" w:cs="宋体"/>
          <w:sz w:val="21"/>
          <w:szCs w:val="21"/>
          <w:highlight w:val="none"/>
        </w:rPr>
        <w:t>“响应文件格式”进行编写，如有必要，可以增加附页，作为响应文件的组成部分。</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14.2响应文件应用不褪色的材料书写或打印（建议双面打印），并按</w:t>
      </w:r>
      <w:r>
        <w:rPr>
          <w:rFonts w:hint="eastAsia" w:hAnsi="宋体" w:cs="宋体"/>
          <w:b/>
          <w:bCs/>
          <w:highlight w:val="none"/>
        </w:rPr>
        <w:t>第七章</w:t>
      </w:r>
      <w:r>
        <w:rPr>
          <w:rFonts w:hint="eastAsia" w:hAnsi="宋体" w:cs="宋体"/>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highlight w:val="none"/>
        </w:rPr>
        <w:t>第七章</w:t>
      </w:r>
      <w:r>
        <w:rPr>
          <w:rFonts w:hint="eastAsia" w:hAnsi="宋体" w:cs="宋体"/>
          <w:highlight w:val="none"/>
        </w:rPr>
        <w:t>“响应文件格式”的要求。</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14.3响应文件应尽量避免涂改、行间插字或删除。如果出现上述情况，改动之处应由谈判单位的法定代表人或其授权的代理人签字或盖单位公章。</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highlight w:val="none"/>
        </w:rPr>
        <w:t>“正本”</w:t>
      </w:r>
      <w:r>
        <w:rPr>
          <w:rFonts w:hint="eastAsia" w:hAnsi="宋体" w:cs="宋体"/>
          <w:highlight w:val="none"/>
        </w:rPr>
        <w:t>或</w:t>
      </w:r>
      <w:r>
        <w:rPr>
          <w:rFonts w:hint="eastAsia" w:hAnsi="宋体" w:cs="宋体"/>
          <w:b/>
          <w:bCs/>
          <w:highlight w:val="none"/>
        </w:rPr>
        <w:t>“副本”</w:t>
      </w:r>
      <w:r>
        <w:rPr>
          <w:rFonts w:hint="eastAsia" w:hAnsi="宋体" w:cs="宋体"/>
          <w:highlight w:val="none"/>
        </w:rPr>
        <w:t>的字样，若响应文件副本为正本的复印件，还需在谈判文件要求盖章处加盖单位公章。当正本和副本有差异时，以正本为准。</w:t>
      </w:r>
    </w:p>
    <w:p>
      <w:pPr>
        <w:keepNext w:val="0"/>
        <w:keepLines w:val="0"/>
        <w:pageBreakBefore w:val="0"/>
        <w:kinsoku/>
        <w:wordWrap/>
        <w:overflowPunct/>
        <w:topLinePunct w:val="0"/>
        <w:autoSpaceDE/>
        <w:autoSpaceDN/>
        <w:bidi w:val="0"/>
        <w:spacing w:line="360" w:lineRule="auto"/>
        <w:textAlignment w:val="auto"/>
        <w:outlineLvl w:val="9"/>
        <w:rPr>
          <w:rFonts w:ascii="宋体" w:hAnsi="宋体" w:cs="宋体"/>
          <w:sz w:val="21"/>
          <w:szCs w:val="21"/>
          <w:highlight w:val="none"/>
        </w:rPr>
      </w:pPr>
      <w:bookmarkStart w:id="32" w:name="_Toc14891071"/>
      <w:bookmarkStart w:id="33" w:name="_Toc1468"/>
      <w:r>
        <w:rPr>
          <w:rFonts w:hint="eastAsia" w:ascii="宋体" w:hAnsi="宋体" w:cs="宋体"/>
          <w:sz w:val="21"/>
          <w:szCs w:val="21"/>
          <w:highlight w:val="none"/>
        </w:rPr>
        <w:t>四、响应文件的递交</w:t>
      </w:r>
      <w:bookmarkEnd w:id="32"/>
      <w:bookmarkEnd w:id="33"/>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15.</w:t>
      </w:r>
      <w:r>
        <w:rPr>
          <w:rFonts w:hint="eastAsia" w:ascii="宋体" w:hAnsi="宋体" w:cs="宋体"/>
          <w:b/>
          <w:szCs w:val="21"/>
          <w:highlight w:val="none"/>
        </w:rPr>
        <w:t>响应文件</w:t>
      </w:r>
      <w:r>
        <w:rPr>
          <w:rFonts w:hint="eastAsia" w:ascii="宋体" w:hAnsi="宋体" w:cs="宋体"/>
          <w:b/>
          <w:bCs/>
          <w:szCs w:val="21"/>
          <w:highlight w:val="none"/>
        </w:rPr>
        <w:t>的密封</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
          <w:bCs/>
          <w:szCs w:val="21"/>
          <w:highlight w:val="none"/>
        </w:rPr>
      </w:pPr>
      <w:r>
        <w:rPr>
          <w:rFonts w:hint="eastAsia" w:ascii="宋体" w:hAnsi="宋体" w:cs="宋体"/>
          <w:szCs w:val="21"/>
          <w:highlight w:val="none"/>
        </w:rPr>
        <w:t>15.1谈判单位须将响应文件一正两副与电子文件一起密封包装。</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16.响应文件的标记</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
          <w:bCs/>
          <w:szCs w:val="21"/>
          <w:highlight w:val="none"/>
        </w:rPr>
      </w:pPr>
      <w:r>
        <w:rPr>
          <w:rFonts w:hint="eastAsia" w:ascii="宋体" w:hAnsi="宋体" w:cs="宋体"/>
          <w:szCs w:val="21"/>
          <w:highlight w:val="none"/>
        </w:rPr>
        <w:t>16.1</w:t>
      </w:r>
      <w:r>
        <w:rPr>
          <w:rFonts w:hint="eastAsia" w:ascii="宋体" w:hAnsi="宋体" w:cs="宋体"/>
          <w:bCs/>
          <w:szCs w:val="21"/>
          <w:highlight w:val="none"/>
        </w:rPr>
        <w:t>响应文件的密封封套上须写明如下内容</w:t>
      </w:r>
      <w:r>
        <w:rPr>
          <w:rFonts w:hint="eastAsia" w:ascii="宋体" w:hAnsi="宋体" w:cs="宋体"/>
          <w:szCs w:val="21"/>
          <w:highlight w:val="none"/>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keepNext w:val="0"/>
              <w:keepLines w:val="0"/>
              <w:pageBreakBefore w:val="0"/>
              <w:kinsoku/>
              <w:wordWrap/>
              <w:overflowPunct/>
              <w:topLinePunct w:val="0"/>
              <w:autoSpaceDE/>
              <w:autoSpaceDN/>
              <w:bidi w:val="0"/>
              <w:spacing w:line="360" w:lineRule="auto"/>
              <w:textAlignment w:val="auto"/>
              <w:outlineLvl w:val="9"/>
              <w:rPr>
                <w:rFonts w:ascii="宋体" w:hAnsi="宋体" w:cs="宋体"/>
                <w:szCs w:val="21"/>
                <w:highlight w:val="none"/>
                <w:u w:val="single"/>
              </w:rPr>
            </w:pPr>
            <w:r>
              <w:rPr>
                <w:rFonts w:hint="eastAsia" w:ascii="宋体" w:hAnsi="宋体" w:cs="宋体"/>
                <w:szCs w:val="21"/>
                <w:highlight w:val="none"/>
              </w:rPr>
              <w:t>采购单位：</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p>
          <w:p>
            <w:pPr>
              <w:keepNext w:val="0"/>
              <w:keepLines w:val="0"/>
              <w:pageBreakBefore w:val="0"/>
              <w:kinsoku/>
              <w:wordWrap/>
              <w:overflowPunct/>
              <w:topLinePunct w:val="0"/>
              <w:autoSpaceDE/>
              <w:autoSpaceDN/>
              <w:bidi w:val="0"/>
              <w:spacing w:line="360" w:lineRule="auto"/>
              <w:textAlignment w:val="auto"/>
              <w:outlineLvl w:val="9"/>
              <w:rPr>
                <w:rFonts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p>
          <w:p>
            <w:pPr>
              <w:keepNext w:val="0"/>
              <w:keepLines w:val="0"/>
              <w:pageBreakBefore w:val="0"/>
              <w:kinsoku/>
              <w:wordWrap/>
              <w:overflowPunct/>
              <w:topLinePunct w:val="0"/>
              <w:autoSpaceDE/>
              <w:autoSpaceDN/>
              <w:bidi w:val="0"/>
              <w:spacing w:line="360" w:lineRule="auto"/>
              <w:textAlignment w:val="auto"/>
              <w:outlineLvl w:val="9"/>
              <w:rPr>
                <w:rFonts w:ascii="宋体" w:hAnsi="宋体" w:cs="宋体"/>
                <w:szCs w:val="21"/>
                <w:highlight w:val="none"/>
                <w:u w:val="single"/>
              </w:rPr>
            </w:pPr>
            <w:r>
              <w:rPr>
                <w:rFonts w:hint="eastAsia" w:ascii="宋体" w:hAnsi="宋体" w:cs="宋体"/>
                <w:szCs w:val="21"/>
                <w:highlight w:val="none"/>
              </w:rPr>
              <w:t>谈判单位：</w:t>
            </w:r>
            <w:r>
              <w:rPr>
                <w:rFonts w:hint="eastAsia" w:ascii="宋体" w:hAnsi="宋体" w:cs="宋体"/>
                <w:szCs w:val="21"/>
                <w:highlight w:val="none"/>
                <w:u w:val="single"/>
              </w:rPr>
              <w:t xml:space="preserve">（填写单位名称并加盖单位公章）         </w:t>
            </w:r>
          </w:p>
          <w:p>
            <w:pPr>
              <w:keepNext w:val="0"/>
              <w:keepLines w:val="0"/>
              <w:pageBreakBefore w:val="0"/>
              <w:kinsoku/>
              <w:wordWrap/>
              <w:overflowPunct/>
              <w:topLinePunct w:val="0"/>
              <w:autoSpaceDE/>
              <w:autoSpaceDN/>
              <w:bidi w:val="0"/>
              <w:spacing w:line="360" w:lineRule="auto"/>
              <w:ind w:firstLine="840" w:firstLineChars="400"/>
              <w:textAlignment w:val="auto"/>
              <w:outlineLvl w:val="9"/>
              <w:rPr>
                <w:rFonts w:ascii="宋体" w:hAnsi="宋体" w:cs="宋体"/>
                <w:szCs w:val="21"/>
                <w:highlight w:val="none"/>
              </w:rPr>
            </w:pP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i/>
                <w:iCs/>
                <w:szCs w:val="21"/>
                <w:highlight w:val="none"/>
                <w:u w:val="single"/>
              </w:rPr>
              <w:t xml:space="preserve">    </w:t>
            </w:r>
            <w:r>
              <w:rPr>
                <w:rFonts w:hint="eastAsia" w:ascii="宋体" w:hAnsi="宋体"/>
                <w:bCs/>
                <w:szCs w:val="21"/>
                <w:highlight w:val="none"/>
              </w:rPr>
              <w:t>日</w:t>
            </w:r>
          </w:p>
        </w:tc>
      </w:tr>
    </w:tbl>
    <w:p>
      <w:pPr>
        <w:keepNext w:val="0"/>
        <w:keepLines w:val="0"/>
        <w:pageBreakBefore w:val="0"/>
        <w:kinsoku/>
        <w:wordWrap/>
        <w:overflowPunct/>
        <w:topLinePunct w:val="0"/>
        <w:autoSpaceDE/>
        <w:autoSpaceDN/>
        <w:bidi w:val="0"/>
        <w:adjustRightInd w:val="0"/>
        <w:snapToGrid w:val="0"/>
        <w:spacing w:line="360" w:lineRule="auto"/>
        <w:ind w:firstLine="413" w:firstLineChars="196"/>
        <w:textAlignment w:val="auto"/>
        <w:outlineLvl w:val="9"/>
        <w:rPr>
          <w:rFonts w:ascii="宋体" w:hAnsi="宋体" w:cs="宋体"/>
          <w:b/>
          <w:bCs/>
          <w:color w:val="FF0000"/>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17.响应文件的递交与接收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highlight w:val="none"/>
        </w:rPr>
      </w:pPr>
      <w:r>
        <w:rPr>
          <w:rFonts w:hint="eastAsia" w:ascii="宋体" w:hAnsi="宋体" w:cs="宋体"/>
          <w:szCs w:val="21"/>
          <w:highlight w:val="none"/>
        </w:rPr>
        <w:t>17.1谈判单位应按要求在</w:t>
      </w:r>
      <w:r>
        <w:rPr>
          <w:rFonts w:hint="eastAsia" w:ascii="宋体" w:hAnsi="宋体" w:cs="宋体"/>
          <w:kern w:val="0"/>
          <w:szCs w:val="21"/>
          <w:highlight w:val="none"/>
        </w:rPr>
        <w:t>响应文件递交截止时间</w:t>
      </w:r>
      <w:r>
        <w:rPr>
          <w:rFonts w:hint="eastAsia" w:ascii="宋体" w:hAnsi="宋体" w:cs="宋体"/>
          <w:szCs w:val="21"/>
          <w:highlight w:val="none"/>
        </w:rPr>
        <w:t>前，将响应文件送达指定地点，响应文件递交截止时间、地点及要求见</w:t>
      </w:r>
      <w:r>
        <w:rPr>
          <w:rFonts w:hint="eastAsia" w:ascii="宋体" w:hAnsi="宋体" w:cs="宋体"/>
          <w:b/>
          <w:szCs w:val="21"/>
          <w:highlight w:val="none"/>
        </w:rPr>
        <w:t>前附表</w:t>
      </w:r>
      <w:r>
        <w:rPr>
          <w:rFonts w:hint="eastAsia" w:ascii="宋体" w:hAnsi="宋体" w:cs="宋体"/>
          <w:szCs w:val="21"/>
          <w:highlight w:val="none"/>
        </w:rPr>
        <w:t>。</w:t>
      </w:r>
      <w:r>
        <w:rPr>
          <w:rFonts w:hint="eastAsia" w:ascii="宋体" w:hAnsi="宋体" w:cs="宋体"/>
          <w:kern w:val="0"/>
          <w:szCs w:val="21"/>
          <w:highlight w:val="none"/>
        </w:rPr>
        <w:t>在截止时间后送达的响应文件，</w:t>
      </w:r>
      <w:r>
        <w:rPr>
          <w:rFonts w:hint="eastAsia" w:hAnsi="宋体" w:cs="宋体"/>
          <w:kern w:val="0"/>
          <w:highlight w:val="none"/>
        </w:rPr>
        <w:t>采购单位应当拒收。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
          <w:szCs w:val="21"/>
          <w:highlight w:val="none"/>
        </w:rPr>
      </w:pPr>
      <w:r>
        <w:rPr>
          <w:rFonts w:hint="eastAsia" w:ascii="宋体" w:hAnsi="宋体" w:cs="宋体"/>
          <w:bCs/>
          <w:szCs w:val="21"/>
          <w:highlight w:val="none"/>
        </w:rPr>
        <w:t>17.2采购单位在</w:t>
      </w:r>
      <w:r>
        <w:rPr>
          <w:rFonts w:hint="eastAsia" w:ascii="宋体" w:hAnsi="宋体" w:cs="宋体"/>
          <w:b/>
          <w:bCs/>
          <w:szCs w:val="21"/>
          <w:highlight w:val="none"/>
        </w:rPr>
        <w:t>前附表</w:t>
      </w:r>
      <w:r>
        <w:rPr>
          <w:rFonts w:hint="eastAsia" w:ascii="宋体" w:hAnsi="宋体" w:cs="宋体"/>
          <w:bCs/>
          <w:szCs w:val="21"/>
          <w:highlight w:val="none"/>
        </w:rPr>
        <w:t>规定的谈判时间和地点，组织谈判单位签到并接收响应文件。</w:t>
      </w:r>
    </w:p>
    <w:p>
      <w:pPr>
        <w:keepNext w:val="0"/>
        <w:keepLines w:val="0"/>
        <w:pageBreakBefore w:val="0"/>
        <w:kinsoku/>
        <w:wordWrap/>
        <w:overflowPunct/>
        <w:topLinePunct w:val="0"/>
        <w:autoSpaceDE/>
        <w:autoSpaceDN/>
        <w:bidi w:val="0"/>
        <w:spacing w:line="360" w:lineRule="auto"/>
        <w:textAlignment w:val="auto"/>
        <w:outlineLvl w:val="9"/>
        <w:rPr>
          <w:rFonts w:ascii="宋体" w:hAnsi="宋体" w:cs="宋体"/>
          <w:sz w:val="21"/>
          <w:szCs w:val="21"/>
          <w:highlight w:val="none"/>
        </w:rPr>
      </w:pPr>
      <w:bookmarkStart w:id="34" w:name="_Toc13483"/>
      <w:bookmarkStart w:id="35" w:name="_Toc14891072"/>
      <w:r>
        <w:rPr>
          <w:rFonts w:hint="eastAsia" w:ascii="宋体" w:hAnsi="宋体" w:cs="宋体"/>
          <w:sz w:val="21"/>
          <w:szCs w:val="21"/>
          <w:highlight w:val="none"/>
        </w:rPr>
        <w:t>五、响应文件的评审</w:t>
      </w:r>
      <w:bookmarkEnd w:id="34"/>
      <w:bookmarkEnd w:id="35"/>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szCs w:val="21"/>
          <w:highlight w:val="none"/>
        </w:rPr>
      </w:pPr>
      <w:r>
        <w:rPr>
          <w:rFonts w:hint="eastAsia" w:ascii="宋体" w:hAnsi="宋体" w:cs="宋体"/>
          <w:b/>
          <w:szCs w:val="21"/>
          <w:highlight w:val="none"/>
        </w:rPr>
        <w:t>18.</w:t>
      </w:r>
      <w:r>
        <w:rPr>
          <w:rFonts w:hint="eastAsia" w:ascii="宋体" w:hAnsi="宋体" w:cs="宋体"/>
          <w:bCs/>
          <w:szCs w:val="21"/>
          <w:highlight w:val="none"/>
        </w:rPr>
        <w:t>评审由谈判评审小组负责，谈判评审小组应按照本谈判文件</w:t>
      </w:r>
      <w:r>
        <w:rPr>
          <w:rFonts w:hint="eastAsia" w:ascii="宋体" w:hAnsi="宋体" w:cs="宋体"/>
          <w:b/>
          <w:szCs w:val="21"/>
          <w:highlight w:val="none"/>
        </w:rPr>
        <w:t>第三章</w:t>
      </w:r>
      <w:r>
        <w:rPr>
          <w:rFonts w:hint="eastAsia" w:ascii="宋体" w:hAnsi="宋体" w:cs="宋体"/>
          <w:bCs/>
          <w:szCs w:val="21"/>
          <w:highlight w:val="none"/>
        </w:rPr>
        <w:t>“评审办法及标准”的内容和程序对响应文件进行评审。</w:t>
      </w:r>
    </w:p>
    <w:p>
      <w:pPr>
        <w:keepNext w:val="0"/>
        <w:keepLines w:val="0"/>
        <w:pageBreakBefore w:val="0"/>
        <w:kinsoku/>
        <w:wordWrap/>
        <w:overflowPunct/>
        <w:topLinePunct w:val="0"/>
        <w:autoSpaceDE/>
        <w:autoSpaceDN/>
        <w:bidi w:val="0"/>
        <w:spacing w:line="360" w:lineRule="auto"/>
        <w:textAlignment w:val="auto"/>
        <w:outlineLvl w:val="9"/>
        <w:rPr>
          <w:rFonts w:ascii="宋体" w:hAnsi="宋体" w:cs="宋体"/>
          <w:sz w:val="21"/>
          <w:szCs w:val="21"/>
          <w:highlight w:val="none"/>
        </w:rPr>
      </w:pPr>
      <w:bookmarkStart w:id="36" w:name="_Toc21358"/>
      <w:bookmarkStart w:id="37" w:name="_Toc14891073"/>
      <w:r>
        <w:rPr>
          <w:rFonts w:hint="eastAsia" w:ascii="宋体" w:hAnsi="宋体" w:cs="宋体"/>
          <w:sz w:val="21"/>
          <w:szCs w:val="21"/>
          <w:highlight w:val="none"/>
        </w:rPr>
        <w:t>六、响应文件的澄清、说明及补正</w:t>
      </w:r>
      <w:bookmarkEnd w:id="36"/>
      <w:bookmarkEnd w:id="37"/>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kern w:val="0"/>
          <w:szCs w:val="21"/>
          <w:highlight w:val="none"/>
        </w:rPr>
      </w:pPr>
      <w:r>
        <w:rPr>
          <w:rFonts w:hint="eastAsia" w:ascii="宋体" w:hAnsi="宋体" w:cs="宋体"/>
          <w:b/>
          <w:kern w:val="0"/>
          <w:szCs w:val="21"/>
          <w:highlight w:val="none"/>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highlight w:val="none"/>
        </w:rPr>
      </w:pPr>
      <w:r>
        <w:rPr>
          <w:rFonts w:hint="eastAsia" w:ascii="宋体" w:hAnsi="宋体" w:cs="宋体"/>
          <w:kern w:val="0"/>
          <w:szCs w:val="21"/>
          <w:highlight w:val="none"/>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kern w:val="0"/>
          <w:szCs w:val="21"/>
          <w:highlight w:val="none"/>
        </w:rPr>
      </w:pPr>
      <w:r>
        <w:rPr>
          <w:rFonts w:hint="eastAsia" w:ascii="宋体" w:hAnsi="宋体" w:cs="宋体"/>
          <w:b/>
          <w:kern w:val="0"/>
          <w:szCs w:val="21"/>
          <w:highlight w:val="none"/>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highlight w:val="none"/>
        </w:rPr>
      </w:pPr>
      <w:r>
        <w:rPr>
          <w:rFonts w:hint="eastAsia" w:ascii="宋体" w:hAnsi="宋体" w:cs="宋体"/>
          <w:kern w:val="0"/>
          <w:szCs w:val="21"/>
          <w:highlight w:val="none"/>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highlight w:val="none"/>
        </w:rPr>
      </w:pPr>
      <w:r>
        <w:rPr>
          <w:rFonts w:hint="eastAsia" w:ascii="宋体" w:hAnsi="宋体" w:cs="宋体"/>
          <w:kern w:val="0"/>
          <w:szCs w:val="21"/>
          <w:highlight w:val="none"/>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
          <w:szCs w:val="21"/>
          <w:highlight w:val="none"/>
        </w:rPr>
      </w:pPr>
      <w:r>
        <w:rPr>
          <w:rFonts w:hint="eastAsia" w:ascii="宋体" w:hAnsi="宋体" w:cs="宋体"/>
          <w:kern w:val="0"/>
          <w:szCs w:val="21"/>
          <w:highlight w:val="none"/>
        </w:rPr>
        <w:t>20.3与谈判文件有重大偏离的响应文件将被拒绝。重大偏离指谈判总报价、谈判不含增值税总报价、谈判有效期、服务期明显不能满足谈判文件的要求。这些偏离不允许在响应文件递交截止时间之后修正。</w:t>
      </w:r>
    </w:p>
    <w:p>
      <w:pPr>
        <w:keepNext w:val="0"/>
        <w:keepLines w:val="0"/>
        <w:pageBreakBefore w:val="0"/>
        <w:kinsoku/>
        <w:wordWrap/>
        <w:overflowPunct/>
        <w:topLinePunct w:val="0"/>
        <w:autoSpaceDE/>
        <w:autoSpaceDN/>
        <w:bidi w:val="0"/>
        <w:spacing w:line="360" w:lineRule="auto"/>
        <w:textAlignment w:val="auto"/>
        <w:outlineLvl w:val="9"/>
        <w:rPr>
          <w:rFonts w:ascii="宋体" w:hAnsi="宋体" w:cs="宋体"/>
          <w:sz w:val="21"/>
          <w:szCs w:val="21"/>
          <w:highlight w:val="none"/>
        </w:rPr>
      </w:pPr>
      <w:bookmarkStart w:id="38" w:name="_Toc14891074"/>
      <w:bookmarkStart w:id="39" w:name="_Toc20130"/>
      <w:r>
        <w:rPr>
          <w:rFonts w:hint="eastAsia" w:ascii="宋体" w:hAnsi="宋体" w:cs="宋体"/>
          <w:sz w:val="21"/>
          <w:szCs w:val="21"/>
          <w:highlight w:val="none"/>
        </w:rPr>
        <w:t>七、中选结果与授予合同</w:t>
      </w:r>
      <w:bookmarkEnd w:id="38"/>
      <w:bookmarkEnd w:id="39"/>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21.中选信息的公布</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21.1中选单位确定后，采购单位应将结果信息在</w:t>
      </w:r>
      <w:r>
        <w:rPr>
          <w:rFonts w:hint="eastAsia" w:hAnsi="宋体" w:cs="宋体"/>
          <w:b/>
          <w:highlight w:val="none"/>
        </w:rPr>
        <w:t>前附表</w:t>
      </w:r>
      <w:r>
        <w:rPr>
          <w:rFonts w:hint="eastAsia" w:hAnsi="宋体" w:cs="宋体"/>
          <w:highlight w:val="none"/>
        </w:rPr>
        <w:t>指定的媒体上公布，</w:t>
      </w:r>
      <w:r>
        <w:rPr>
          <w:rFonts w:hint="eastAsia" w:hAnsi="宋体" w:cs="宋体"/>
          <w:b/>
          <w:bCs/>
          <w:highlight w:val="none"/>
        </w:rPr>
        <w:t>公示期限为3个工作日</w:t>
      </w:r>
      <w:r>
        <w:rPr>
          <w:rFonts w:hint="eastAsia" w:hAnsi="宋体" w:cs="宋体"/>
          <w:highlight w:val="none"/>
        </w:rPr>
        <w:t>。</w:t>
      </w:r>
    </w:p>
    <w:p>
      <w:pPr>
        <w:pStyle w:val="27"/>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hAnsi="宋体" w:cs="宋体"/>
          <w:b/>
          <w:bCs/>
          <w:highlight w:val="none"/>
        </w:rPr>
      </w:pPr>
      <w:r>
        <w:rPr>
          <w:rFonts w:hint="eastAsia" w:hAnsi="宋体" w:cs="宋体"/>
          <w:b/>
          <w:bCs/>
          <w:highlight w:val="none"/>
        </w:rPr>
        <w:t>22.评审结果异议</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b/>
          <w:highlight w:val="none"/>
        </w:rPr>
      </w:pPr>
      <w:r>
        <w:rPr>
          <w:rFonts w:hint="eastAsia" w:hAnsi="宋体" w:cs="宋体"/>
          <w:kern w:val="0"/>
          <w:highlight w:val="none"/>
        </w:rPr>
        <w:t>22.1谈判单位对评审结果有异议的，应当在结果公示期间提出。</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23.中选通知</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23.1中选单位确定后，采购单位将以书面形式向中选单位发出中选通知书。中选通知书对采购单位和中选单位具有同等法律效力。</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24.签订合同</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24.1谈判文件、中选单位的响应文件及其补充的文件等均为签订合同的依据。</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24.2中选单位应当在中选通知书发出后及时与采购单位签订合同。</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24.3中选单位应当按照合同约定履行义务。</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25.纪律和监督</w:t>
      </w:r>
    </w:p>
    <w:p>
      <w:pPr>
        <w:keepNext w:val="0"/>
        <w:keepLines w:val="0"/>
        <w:pageBreakBefore w:val="0"/>
        <w:kinsoku/>
        <w:wordWrap/>
        <w:overflowPunct/>
        <w:topLinePunct w:val="0"/>
        <w:autoSpaceDE/>
        <w:autoSpaceDN/>
        <w:bidi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25.1对采购单位的纪律要求</w:t>
      </w:r>
    </w:p>
    <w:p>
      <w:pPr>
        <w:pStyle w:val="357"/>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highlight w:val="none"/>
        </w:rPr>
      </w:pPr>
      <w:r>
        <w:rPr>
          <w:rFonts w:hint="eastAsia" w:hAnsi="宋体" w:cs="宋体"/>
          <w:sz w:val="21"/>
          <w:szCs w:val="21"/>
          <w:highlight w:val="none"/>
        </w:rPr>
        <w:t>采购单位不得泄露谈判活动中应当保密的情况和资料，不得与谈判单位串通损害国家利益、社会公共利益或者他人合法权益。</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25.2对谈判单位的纪律要求</w:t>
      </w:r>
    </w:p>
    <w:p>
      <w:pPr>
        <w:pStyle w:val="357"/>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highlight w:val="none"/>
        </w:rPr>
      </w:pPr>
      <w:r>
        <w:rPr>
          <w:rFonts w:hint="eastAsia" w:hAnsi="宋体" w:cs="宋体"/>
          <w:sz w:val="21"/>
          <w:szCs w:val="21"/>
          <w:highlight w:val="none"/>
        </w:rPr>
        <w:t>谈判单位不得相互串通或者与采购单位串通，不得向采购单位或者谈判评审小组成员行贿谋取中选，不得以他人名义参与谈判或者以其他方式弄虚作假骗取中选；谈判单位不得以任何方式干扰、影响评审工作。</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25.3对</w:t>
      </w:r>
      <w:r>
        <w:rPr>
          <w:rFonts w:hint="eastAsia" w:ascii="宋体" w:hAnsi="宋体" w:cs="宋体"/>
          <w:b/>
          <w:szCs w:val="21"/>
          <w:highlight w:val="none"/>
        </w:rPr>
        <w:t>谈判评审小组</w:t>
      </w:r>
      <w:r>
        <w:rPr>
          <w:rFonts w:hint="eastAsia" w:ascii="宋体" w:hAnsi="宋体" w:cs="宋体"/>
          <w:b/>
          <w:bCs/>
          <w:szCs w:val="21"/>
          <w:highlight w:val="none"/>
        </w:rPr>
        <w:t>成员的纪律要求</w:t>
      </w:r>
    </w:p>
    <w:p>
      <w:pPr>
        <w:pStyle w:val="357"/>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highlight w:val="none"/>
        </w:rPr>
      </w:pPr>
      <w:r>
        <w:rPr>
          <w:rFonts w:hint="eastAsia" w:hAnsi="宋体" w:cs="宋体"/>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w:t>
      </w:r>
      <w:r>
        <w:rPr>
          <w:rFonts w:hint="eastAsia" w:hAnsi="宋体" w:cs="宋体"/>
          <w:b/>
          <w:bCs/>
          <w:sz w:val="21"/>
          <w:szCs w:val="21"/>
          <w:highlight w:val="none"/>
        </w:rPr>
        <w:t>第</w:t>
      </w:r>
      <w:bookmarkStart w:id="40" w:name="page32"/>
      <w:bookmarkEnd w:id="40"/>
      <w:r>
        <w:rPr>
          <w:rFonts w:hint="eastAsia" w:hAnsi="宋体" w:cs="宋体"/>
          <w:b/>
          <w:bCs/>
          <w:sz w:val="21"/>
          <w:szCs w:val="21"/>
          <w:highlight w:val="none"/>
        </w:rPr>
        <w:t>三章</w:t>
      </w:r>
      <w:r>
        <w:rPr>
          <w:rFonts w:hint="eastAsia" w:hAnsi="宋体" w:cs="宋体"/>
          <w:sz w:val="21"/>
          <w:szCs w:val="21"/>
          <w:highlight w:val="none"/>
        </w:rPr>
        <w:t>“评审办法及标准”没有规定的评审因素和标准进行评审。</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25.4对与评审活动有关的工作人员的纪律要求</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keepNext w:val="0"/>
        <w:keepLines w:val="0"/>
        <w:pageBreakBefore w:val="0"/>
        <w:kinsoku/>
        <w:wordWrap/>
        <w:overflowPunct/>
        <w:topLinePunct w:val="0"/>
        <w:autoSpaceDE/>
        <w:autoSpaceDN/>
        <w:bidi w:val="0"/>
        <w:spacing w:line="360" w:lineRule="auto"/>
        <w:textAlignment w:val="auto"/>
        <w:outlineLvl w:val="9"/>
        <w:rPr>
          <w:rFonts w:ascii="宋体" w:hAnsi="宋体" w:cs="宋体"/>
          <w:sz w:val="21"/>
          <w:szCs w:val="21"/>
          <w:highlight w:val="none"/>
        </w:rPr>
      </w:pPr>
      <w:bookmarkStart w:id="41" w:name="_Toc14891075"/>
      <w:bookmarkStart w:id="42" w:name="_Toc2045"/>
      <w:r>
        <w:rPr>
          <w:rFonts w:hint="eastAsia" w:ascii="宋体" w:hAnsi="宋体" w:cs="宋体"/>
          <w:sz w:val="21"/>
          <w:szCs w:val="21"/>
          <w:highlight w:val="none"/>
        </w:rPr>
        <w:t>八、其他</w:t>
      </w:r>
      <w:bookmarkEnd w:id="41"/>
      <w:bookmarkEnd w:id="42"/>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highlight w:val="none"/>
        </w:rPr>
      </w:pPr>
      <w:r>
        <w:rPr>
          <w:rFonts w:hint="eastAsia" w:ascii="宋体" w:hAnsi="宋体" w:cs="宋体"/>
          <w:b/>
          <w:bCs/>
          <w:szCs w:val="21"/>
          <w:highlight w:val="none"/>
        </w:rPr>
        <w:t>26.处罚规定</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26.1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给予没收部分或全部谈判保证金，或（和）禁止其一定期限内（最多三年）参与采购人项目招标采购活动，并出具书面处理决定。除此之外，如谈判单位给采购人造成的损失超过谈判保证金数额的，谈判单位应当对超过部分给予赔偿。包括但不限于下列情形：</w:t>
      </w:r>
    </w:p>
    <w:p>
      <w:pPr>
        <w:pStyle w:val="27"/>
        <w:keepNext w:val="0"/>
        <w:keepLines w:val="0"/>
        <w:pageBreakBefore w:val="0"/>
        <w:numPr>
          <w:ilvl w:val="0"/>
          <w:numId w:val="17"/>
        </w:numPr>
        <w:kinsoku/>
        <w:wordWrap/>
        <w:overflowPunct/>
        <w:topLinePunct w:val="0"/>
        <w:autoSpaceDE/>
        <w:autoSpaceDN/>
        <w:bidi w:val="0"/>
        <w:adjustRightInd w:val="0"/>
        <w:snapToGrid w:val="0"/>
        <w:spacing w:line="360" w:lineRule="auto"/>
        <w:ind w:left="0" w:firstLine="420" w:firstLineChars="200"/>
        <w:textAlignment w:val="auto"/>
        <w:outlineLvl w:val="9"/>
        <w:rPr>
          <w:rFonts w:hAnsi="宋体" w:cs="宋体"/>
          <w:highlight w:val="none"/>
        </w:rPr>
      </w:pPr>
      <w:r>
        <w:rPr>
          <w:rFonts w:hint="eastAsia" w:hAnsi="宋体" w:cs="宋体"/>
          <w:highlight w:val="none"/>
        </w:rPr>
        <w:t>谈判单位提出撤回或撤销或放弃中选资格或对报价提出实质性修改；</w:t>
      </w:r>
    </w:p>
    <w:p>
      <w:pPr>
        <w:pStyle w:val="27"/>
        <w:keepNext w:val="0"/>
        <w:keepLines w:val="0"/>
        <w:pageBreakBefore w:val="0"/>
        <w:numPr>
          <w:ilvl w:val="0"/>
          <w:numId w:val="17"/>
        </w:numPr>
        <w:kinsoku/>
        <w:wordWrap/>
        <w:overflowPunct/>
        <w:topLinePunct w:val="0"/>
        <w:autoSpaceDE/>
        <w:autoSpaceDN/>
        <w:bidi w:val="0"/>
        <w:adjustRightInd w:val="0"/>
        <w:snapToGrid w:val="0"/>
        <w:spacing w:line="360" w:lineRule="auto"/>
        <w:ind w:left="0" w:firstLine="420" w:firstLineChars="200"/>
        <w:textAlignment w:val="auto"/>
        <w:outlineLvl w:val="9"/>
        <w:rPr>
          <w:rFonts w:hAnsi="宋体" w:cs="宋体"/>
          <w:highlight w:val="none"/>
        </w:rPr>
      </w:pPr>
      <w:r>
        <w:rPr>
          <w:rFonts w:hint="eastAsia" w:hAnsi="宋体" w:cs="宋体"/>
          <w:highlight w:val="none"/>
        </w:rPr>
        <w:t>中选单位未能在规定期限内签订合同或不按报价结果签订合同；</w:t>
      </w:r>
    </w:p>
    <w:p>
      <w:pPr>
        <w:pStyle w:val="27"/>
        <w:keepNext w:val="0"/>
        <w:keepLines w:val="0"/>
        <w:pageBreakBefore w:val="0"/>
        <w:numPr>
          <w:ilvl w:val="0"/>
          <w:numId w:val="17"/>
        </w:numPr>
        <w:kinsoku/>
        <w:wordWrap/>
        <w:overflowPunct/>
        <w:topLinePunct w:val="0"/>
        <w:autoSpaceDE/>
        <w:autoSpaceDN/>
        <w:bidi w:val="0"/>
        <w:adjustRightInd w:val="0"/>
        <w:snapToGrid w:val="0"/>
        <w:spacing w:line="360" w:lineRule="auto"/>
        <w:ind w:left="0" w:firstLine="420" w:firstLineChars="200"/>
        <w:textAlignment w:val="auto"/>
        <w:outlineLvl w:val="9"/>
        <w:rPr>
          <w:rFonts w:hAnsi="宋体" w:cs="宋体"/>
          <w:highlight w:val="none"/>
        </w:rPr>
      </w:pPr>
      <w:r>
        <w:rPr>
          <w:rFonts w:hint="eastAsia" w:hAnsi="宋体" w:cs="宋体"/>
          <w:highlight w:val="none"/>
        </w:rPr>
        <w:t>中选单位未能在规定期限内提交履约保证金；</w:t>
      </w:r>
    </w:p>
    <w:p>
      <w:pPr>
        <w:pStyle w:val="27"/>
        <w:keepNext w:val="0"/>
        <w:keepLines w:val="0"/>
        <w:pageBreakBefore w:val="0"/>
        <w:numPr>
          <w:ilvl w:val="0"/>
          <w:numId w:val="17"/>
        </w:numPr>
        <w:kinsoku/>
        <w:wordWrap/>
        <w:overflowPunct/>
        <w:topLinePunct w:val="0"/>
        <w:autoSpaceDE/>
        <w:autoSpaceDN/>
        <w:bidi w:val="0"/>
        <w:adjustRightInd w:val="0"/>
        <w:snapToGrid w:val="0"/>
        <w:spacing w:line="360" w:lineRule="auto"/>
        <w:ind w:left="0" w:firstLine="420" w:firstLineChars="200"/>
        <w:textAlignment w:val="auto"/>
        <w:outlineLvl w:val="9"/>
        <w:rPr>
          <w:rFonts w:hAnsi="宋体" w:cs="宋体"/>
          <w:highlight w:val="none"/>
        </w:rPr>
      </w:pPr>
      <w:r>
        <w:rPr>
          <w:rFonts w:hint="eastAsia" w:hAnsi="宋体" w:cs="宋体"/>
          <w:highlight w:val="none"/>
        </w:rPr>
        <w:t>中选单位在合同订立过程中未能完全响应采购文件、清单、附件、合同要求以致合同无法订立的；</w:t>
      </w:r>
    </w:p>
    <w:p>
      <w:pPr>
        <w:pStyle w:val="27"/>
        <w:keepNext w:val="0"/>
        <w:keepLines w:val="0"/>
        <w:pageBreakBefore w:val="0"/>
        <w:numPr>
          <w:ilvl w:val="0"/>
          <w:numId w:val="17"/>
        </w:numPr>
        <w:kinsoku/>
        <w:wordWrap/>
        <w:overflowPunct/>
        <w:topLinePunct w:val="0"/>
        <w:autoSpaceDE/>
        <w:autoSpaceDN/>
        <w:bidi w:val="0"/>
        <w:adjustRightInd w:val="0"/>
        <w:snapToGrid w:val="0"/>
        <w:spacing w:line="360" w:lineRule="auto"/>
        <w:ind w:left="0" w:firstLine="420" w:firstLineChars="200"/>
        <w:textAlignment w:val="auto"/>
        <w:outlineLvl w:val="9"/>
        <w:rPr>
          <w:rFonts w:hAnsi="宋体" w:cs="宋体"/>
          <w:highlight w:val="none"/>
        </w:rPr>
      </w:pPr>
      <w:r>
        <w:rPr>
          <w:rFonts w:hint="eastAsia" w:hAnsi="宋体" w:cs="宋体"/>
          <w:highlight w:val="none"/>
        </w:rPr>
        <w:t>经查实谈判单位报价资料弄虚作假的；</w:t>
      </w:r>
    </w:p>
    <w:p>
      <w:pPr>
        <w:pStyle w:val="27"/>
        <w:keepNext w:val="0"/>
        <w:keepLines w:val="0"/>
        <w:pageBreakBefore w:val="0"/>
        <w:numPr>
          <w:ilvl w:val="0"/>
          <w:numId w:val="17"/>
        </w:numPr>
        <w:kinsoku/>
        <w:wordWrap/>
        <w:overflowPunct/>
        <w:topLinePunct w:val="0"/>
        <w:autoSpaceDE/>
        <w:autoSpaceDN/>
        <w:bidi w:val="0"/>
        <w:adjustRightInd w:val="0"/>
        <w:snapToGrid w:val="0"/>
        <w:spacing w:line="360" w:lineRule="auto"/>
        <w:ind w:left="0" w:firstLine="420" w:firstLineChars="200"/>
        <w:textAlignment w:val="auto"/>
        <w:outlineLvl w:val="9"/>
        <w:rPr>
          <w:rFonts w:hAnsi="宋体" w:cs="宋体"/>
          <w:highlight w:val="none"/>
        </w:rPr>
      </w:pPr>
      <w:r>
        <w:rPr>
          <w:rFonts w:hint="eastAsia" w:hAnsi="宋体" w:cs="宋体"/>
          <w:highlight w:val="none"/>
        </w:rPr>
        <w:t>串通参与谈判相关行为的。如不同谈判单位的谈判保证金从同一账户转出。</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26.2谈判单位不允许有挂靠或转包的行为，采购单位或评审小组在任何时候发现谈判单位是挂靠或转包的，该谈判单位按照不合格供应商处理，采购单位有权取消其中选资格或（和）没收谈判保证金，已签订合同的，终止合同，没收履约保证金，并追究该谈判单位的有关法律责任。</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highlight w:val="none"/>
        </w:rPr>
      </w:pPr>
      <w:r>
        <w:rPr>
          <w:rFonts w:hint="eastAsia" w:hAnsi="宋体" w:cs="宋体"/>
          <w:highlight w:val="none"/>
        </w:rPr>
        <w:t>26.3.法律法规中规定的其他情形。</w:t>
      </w:r>
    </w:p>
    <w:p>
      <w:pPr>
        <w:pStyle w:val="2"/>
        <w:ind w:left="0" w:leftChars="0" w:firstLine="0"/>
        <w:rPr>
          <w:b/>
          <w:bCs/>
          <w:color w:val="FF0000"/>
          <w:highlight w:val="none"/>
        </w:rPr>
        <w:sectPr>
          <w:pgSz w:w="11906" w:h="16838"/>
          <w:pgMar w:top="2098" w:right="1474" w:bottom="1984" w:left="1587" w:header="851" w:footer="992" w:gutter="0"/>
          <w:pgNumType w:start="1"/>
          <w:cols w:space="0" w:num="1"/>
          <w:docGrid w:type="lines" w:linePitch="319" w:charSpace="0"/>
        </w:sect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Cs w:val="0"/>
          <w:sz w:val="32"/>
          <w:szCs w:val="32"/>
          <w:highlight w:val="none"/>
        </w:rPr>
      </w:pPr>
      <w:bookmarkStart w:id="43" w:name="_Toc1719"/>
      <w:bookmarkStart w:id="44" w:name="_Toc5567"/>
      <w:bookmarkStart w:id="45" w:name="_Toc28427"/>
      <w:bookmarkStart w:id="46" w:name="_Toc4275"/>
      <w:bookmarkStart w:id="47" w:name="_Toc24537"/>
      <w:r>
        <w:rPr>
          <w:rFonts w:hint="eastAsia" w:ascii="宋体" w:hAnsi="宋体" w:cs="宋体"/>
          <w:bCs w:val="0"/>
          <w:sz w:val="32"/>
          <w:szCs w:val="32"/>
          <w:highlight w:val="none"/>
        </w:rPr>
        <w:t>第三章  评审办法及标准</w:t>
      </w:r>
      <w:bookmarkEnd w:id="43"/>
      <w:bookmarkEnd w:id="44"/>
      <w:bookmarkEnd w:id="45"/>
      <w:bookmarkEnd w:id="46"/>
      <w:bookmarkEnd w:id="47"/>
    </w:p>
    <w:p>
      <w:pPr>
        <w:keepNext w:val="0"/>
        <w:keepLines w:val="0"/>
        <w:pageBreakBefore w:val="0"/>
        <w:kinsoku/>
        <w:wordWrap/>
        <w:overflowPunct/>
        <w:topLinePunct w:val="0"/>
        <w:autoSpaceDE/>
        <w:autoSpaceDN/>
        <w:bidi w:val="0"/>
        <w:adjustRightInd w:val="0"/>
        <w:snapToGrid w:val="0"/>
        <w:spacing w:line="360" w:lineRule="auto"/>
        <w:ind w:left="632" w:hanging="632" w:hangingChars="300"/>
        <w:textAlignment w:val="auto"/>
        <w:rPr>
          <w:rFonts w:ascii="宋体" w:hAnsi="宋体" w:cs="宋体"/>
          <w:b/>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left="632" w:hanging="632" w:hangingChars="300"/>
        <w:textAlignment w:val="auto"/>
        <w:rPr>
          <w:rFonts w:ascii="宋体" w:hAnsi="宋体" w:cs="宋体"/>
          <w:b/>
          <w:szCs w:val="21"/>
          <w:highlight w:val="none"/>
        </w:rPr>
      </w:pPr>
      <w:r>
        <w:rPr>
          <w:rFonts w:hint="eastAsia" w:ascii="宋体" w:hAnsi="宋体" w:cs="宋体"/>
          <w:b/>
          <w:szCs w:val="21"/>
          <w:highlight w:val="none"/>
        </w:rPr>
        <w:t>一、评审办法</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highlight w:val="none"/>
        </w:rPr>
      </w:pPr>
      <w:r>
        <w:rPr>
          <w:rFonts w:hint="eastAsia" w:ascii="宋体" w:hAnsi="宋体" w:cs="宋体"/>
          <w:bCs/>
          <w:szCs w:val="21"/>
          <w:highlight w:val="none"/>
        </w:rPr>
        <w:t>1.1本项目采用经符合性审查合格后的</w:t>
      </w:r>
      <w:r>
        <w:rPr>
          <w:rFonts w:hint="eastAsia" w:ascii="宋体" w:hAnsi="宋体" w:cs="宋体"/>
          <w:b/>
          <w:bCs/>
          <w:szCs w:val="21"/>
          <w:highlight w:val="none"/>
        </w:rPr>
        <w:t>最低价法</w:t>
      </w:r>
      <w:r>
        <w:rPr>
          <w:rFonts w:hint="eastAsia" w:ascii="宋体" w:hAnsi="宋体" w:cs="宋体"/>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left="632" w:hanging="632" w:hangingChars="300"/>
        <w:textAlignment w:val="auto"/>
        <w:rPr>
          <w:rFonts w:ascii="宋体" w:hAnsi="宋体" w:cs="宋体"/>
          <w:b/>
          <w:szCs w:val="21"/>
          <w:highlight w:val="none"/>
        </w:rPr>
      </w:pPr>
      <w:r>
        <w:rPr>
          <w:rFonts w:hint="eastAsia" w:ascii="宋体" w:hAnsi="宋体" w:cs="宋体"/>
          <w:b/>
          <w:szCs w:val="21"/>
          <w:highlight w:val="none"/>
        </w:rPr>
        <w:t>二、谈判程序</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highlight w:val="none"/>
        </w:rPr>
      </w:pPr>
      <w:r>
        <w:rPr>
          <w:rFonts w:hint="eastAsia" w:ascii="宋体" w:hAnsi="宋体" w:cs="宋体"/>
          <w:bCs/>
          <w:szCs w:val="21"/>
          <w:highlight w:val="none"/>
        </w:rPr>
        <w:t>2.1采购单位在</w:t>
      </w:r>
      <w:r>
        <w:rPr>
          <w:rFonts w:hint="eastAsia" w:ascii="宋体" w:hAnsi="宋体" w:cs="宋体"/>
          <w:b/>
          <w:szCs w:val="21"/>
          <w:highlight w:val="none"/>
        </w:rPr>
        <w:t>前附表</w:t>
      </w:r>
      <w:r>
        <w:rPr>
          <w:rFonts w:hint="eastAsia" w:ascii="宋体" w:hAnsi="宋体" w:cs="宋体"/>
          <w:bCs/>
          <w:szCs w:val="21"/>
          <w:highlight w:val="none"/>
        </w:rPr>
        <w:t>内规定的谈判时间及地点组织谈判活动。谈判活动由采购单位、谈判单位代表参与。</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highlight w:val="none"/>
        </w:rPr>
      </w:pPr>
      <w:r>
        <w:rPr>
          <w:rFonts w:hint="eastAsia" w:ascii="宋体" w:hAnsi="宋体" w:cs="宋体"/>
          <w:bCs/>
          <w:szCs w:val="21"/>
          <w:highlight w:val="none"/>
        </w:rPr>
        <w:t>2.2谈判程序分为：</w:t>
      </w:r>
      <w:r>
        <w:rPr>
          <w:rFonts w:hint="eastAsia" w:ascii="宋体" w:hAnsi="宋体" w:cs="宋体"/>
          <w:b/>
          <w:szCs w:val="21"/>
          <w:highlight w:val="none"/>
        </w:rPr>
        <w:t>谈判验证阶段及谈判评审阶段。</w:t>
      </w:r>
    </w:p>
    <w:p>
      <w:pPr>
        <w:keepNext w:val="0"/>
        <w:keepLines w:val="0"/>
        <w:pageBreakBefore w:val="0"/>
        <w:kinsoku/>
        <w:wordWrap/>
        <w:overflowPunct/>
        <w:topLinePunct w:val="0"/>
        <w:autoSpaceDE/>
        <w:autoSpaceDN/>
        <w:bidi w:val="0"/>
        <w:adjustRightInd w:val="0"/>
        <w:snapToGrid w:val="0"/>
        <w:spacing w:line="360" w:lineRule="auto"/>
        <w:ind w:left="632" w:hanging="632" w:hangingChars="300"/>
        <w:textAlignment w:val="auto"/>
        <w:rPr>
          <w:rFonts w:ascii="宋体" w:hAnsi="宋体" w:cs="宋体"/>
          <w:b/>
          <w:szCs w:val="21"/>
          <w:highlight w:val="none"/>
        </w:rPr>
      </w:pPr>
      <w:r>
        <w:rPr>
          <w:rFonts w:hint="eastAsia" w:ascii="宋体" w:hAnsi="宋体" w:cs="宋体"/>
          <w:b/>
          <w:szCs w:val="21"/>
          <w:highlight w:val="none"/>
        </w:rPr>
        <w:t>三、谈判验证阶段</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highlight w:val="none"/>
        </w:rPr>
      </w:pPr>
      <w:r>
        <w:rPr>
          <w:rFonts w:hint="eastAsia" w:ascii="宋体" w:hAnsi="宋体" w:cs="宋体"/>
          <w:bCs/>
          <w:szCs w:val="21"/>
          <w:highlight w:val="none"/>
        </w:rPr>
        <w:t>谈判验证阶段分为身份验证和唱价。</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highlight w:val="none"/>
        </w:rPr>
      </w:pPr>
      <w:r>
        <w:rPr>
          <w:rFonts w:hint="eastAsia" w:ascii="宋体" w:hAnsi="宋体" w:cs="宋体"/>
          <w:bCs/>
          <w:szCs w:val="21"/>
          <w:highlight w:val="none"/>
        </w:rPr>
        <w:t>3.1身份验证阶段</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highlight w:val="none"/>
        </w:rPr>
      </w:pPr>
      <w:r>
        <w:rPr>
          <w:rFonts w:hint="eastAsia" w:ascii="宋体" w:hAnsi="宋体" w:cs="宋体"/>
          <w:bCs/>
          <w:szCs w:val="21"/>
          <w:highlight w:val="none"/>
        </w:rPr>
        <w:t>3.1.1采购单位按本文件</w:t>
      </w:r>
      <w:r>
        <w:rPr>
          <w:rFonts w:hint="eastAsia" w:ascii="宋体" w:hAnsi="宋体" w:cs="宋体"/>
          <w:b/>
          <w:szCs w:val="21"/>
          <w:highlight w:val="none"/>
        </w:rPr>
        <w:t>前附表</w:t>
      </w:r>
      <w:r>
        <w:rPr>
          <w:rFonts w:hint="eastAsia" w:ascii="宋体" w:hAnsi="宋体" w:cs="宋体"/>
          <w:bCs/>
          <w:szCs w:val="21"/>
          <w:highlight w:val="none"/>
        </w:rPr>
        <w:t>内规定的响应文件的谈判现场验证要求，对参与谈判的单位代表身份进行验证。</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highlight w:val="none"/>
        </w:rPr>
      </w:pPr>
      <w:r>
        <w:rPr>
          <w:rFonts w:hint="eastAsia" w:ascii="宋体" w:hAnsi="宋体" w:cs="宋体"/>
          <w:bCs/>
          <w:szCs w:val="21"/>
          <w:highlight w:val="none"/>
        </w:rPr>
        <w:t>3.1.2参与谈判的代表身份经验证不合格的，视为无效响应，</w:t>
      </w:r>
      <w:r>
        <w:rPr>
          <w:rFonts w:hint="eastAsia" w:ascii="宋体" w:hAnsi="宋体" w:cs="宋体"/>
          <w:szCs w:val="21"/>
          <w:highlight w:val="none"/>
        </w:rPr>
        <w:t>不得进入下一阶段。</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highlight w:val="none"/>
        </w:rPr>
      </w:pPr>
      <w:r>
        <w:rPr>
          <w:rFonts w:hint="eastAsia" w:ascii="宋体" w:hAnsi="宋体" w:cs="宋体"/>
          <w:bCs/>
          <w:szCs w:val="21"/>
          <w:highlight w:val="none"/>
        </w:rPr>
        <w:t>3.2.唱价阶段</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highlight w:val="none"/>
        </w:rPr>
      </w:pPr>
      <w:r>
        <w:rPr>
          <w:rFonts w:hint="eastAsia" w:ascii="宋体" w:hAnsi="宋体" w:cs="宋体"/>
          <w:bCs/>
          <w:szCs w:val="21"/>
          <w:highlight w:val="none"/>
        </w:rPr>
        <w:t>3.2.1身份验证结束后，由采购单位当众拆封经身份验证合格的谈判单位的谈判响应文件，宣读响应文件中《报价一览表》内容，并记录在案。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highlight w:val="none"/>
        </w:rPr>
      </w:pPr>
      <w:r>
        <w:rPr>
          <w:rFonts w:hint="eastAsia" w:ascii="宋体" w:hAnsi="宋体" w:cs="宋体"/>
          <w:bCs/>
          <w:szCs w:val="21"/>
          <w:highlight w:val="none"/>
        </w:rPr>
        <w:t>3.2.2谈判单位法定代表人或授权委托人、现场监督员、记录人等有关人员在唱价记录表上签字确认，谈判单位对本阶段有异议的应当场提出，采购单位人员当场作出答复，并记录在案，未提出的，视为无异议。</w:t>
      </w:r>
    </w:p>
    <w:p>
      <w:pPr>
        <w:keepNext w:val="0"/>
        <w:keepLines w:val="0"/>
        <w:pageBreakBefore w:val="0"/>
        <w:kinsoku/>
        <w:wordWrap/>
        <w:overflowPunct/>
        <w:topLinePunct w:val="0"/>
        <w:autoSpaceDE/>
        <w:autoSpaceDN/>
        <w:bidi w:val="0"/>
        <w:adjustRightInd w:val="0"/>
        <w:snapToGrid w:val="0"/>
        <w:spacing w:line="360" w:lineRule="auto"/>
        <w:ind w:left="632" w:hanging="632" w:hangingChars="300"/>
        <w:textAlignment w:val="auto"/>
        <w:rPr>
          <w:rFonts w:ascii="宋体" w:hAnsi="宋体" w:cs="宋体"/>
          <w:b/>
          <w:szCs w:val="21"/>
          <w:highlight w:val="none"/>
        </w:rPr>
      </w:pPr>
      <w:r>
        <w:rPr>
          <w:rFonts w:hint="eastAsia" w:ascii="宋体" w:hAnsi="宋体" w:cs="宋体"/>
          <w:b/>
          <w:szCs w:val="21"/>
          <w:highlight w:val="none"/>
        </w:rPr>
        <w:t>四、谈判评审阶段</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highlight w:val="none"/>
        </w:rPr>
      </w:pPr>
      <w:r>
        <w:rPr>
          <w:rFonts w:hint="eastAsia" w:ascii="宋体" w:hAnsi="宋体" w:cs="宋体"/>
          <w:bCs/>
          <w:szCs w:val="21"/>
          <w:highlight w:val="none"/>
        </w:rPr>
        <w:t>谈判评审阶段分为符合性审查、详细评审及推荐中选单位。</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highlight w:val="none"/>
        </w:rPr>
      </w:pPr>
      <w:r>
        <w:rPr>
          <w:rFonts w:hint="eastAsia" w:ascii="宋体" w:hAnsi="宋体" w:cs="宋体"/>
          <w:b/>
          <w:szCs w:val="21"/>
          <w:highlight w:val="none"/>
        </w:rPr>
        <w:t>4.1符合性审查阶段</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highlight w:val="none"/>
        </w:rPr>
      </w:pPr>
      <w:r>
        <w:rPr>
          <w:rFonts w:hint="eastAsia" w:ascii="宋体" w:hAnsi="宋体" w:cs="宋体"/>
          <w:szCs w:val="21"/>
          <w:u w:val="none"/>
        </w:rPr>
        <w:t>符合性审查分为对谈判单位资格的符合性审查及报价的符合性审查</w:t>
      </w:r>
      <w:r>
        <w:rPr>
          <w:rFonts w:hint="eastAsia" w:ascii="宋体" w:hAnsi="宋体" w:cs="宋体"/>
          <w:color w:val="auto"/>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4.1.1资格的符合性审查</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FF0000"/>
          <w:szCs w:val="21"/>
          <w:highlight w:val="none"/>
        </w:rPr>
      </w:pPr>
      <w:r>
        <w:rPr>
          <w:rFonts w:hint="eastAsia" w:ascii="宋体" w:hAnsi="宋体" w:cs="宋体"/>
          <w:color w:val="auto"/>
          <w:szCs w:val="21"/>
          <w:highlight w:val="none"/>
        </w:rPr>
        <w:t>谈判评审</w:t>
      </w:r>
      <w:r>
        <w:rPr>
          <w:rFonts w:hint="eastAsia" w:ascii="宋体" w:hAnsi="宋体" w:cs="宋体"/>
          <w:bCs/>
          <w:color w:val="auto"/>
          <w:szCs w:val="21"/>
          <w:highlight w:val="none"/>
        </w:rPr>
        <w:t>小组</w:t>
      </w:r>
      <w:r>
        <w:rPr>
          <w:rFonts w:hint="eastAsia" w:ascii="宋体" w:hAnsi="宋体" w:cs="宋体"/>
          <w:color w:val="auto"/>
          <w:szCs w:val="21"/>
          <w:highlight w:val="none"/>
        </w:rPr>
        <w:t>根据本谈判文件</w:t>
      </w:r>
      <w:r>
        <w:rPr>
          <w:rFonts w:hint="eastAsia" w:ascii="宋体" w:hAnsi="宋体" w:cs="宋体"/>
          <w:b/>
          <w:color w:val="auto"/>
          <w:szCs w:val="21"/>
          <w:highlight w:val="none"/>
        </w:rPr>
        <w:t>前附表</w:t>
      </w:r>
      <w:r>
        <w:rPr>
          <w:rFonts w:hint="eastAsia" w:ascii="宋体" w:hAnsi="宋体" w:cs="宋体"/>
          <w:color w:val="auto"/>
          <w:szCs w:val="21"/>
          <w:highlight w:val="none"/>
        </w:rPr>
        <w:t>内规定的谈判单位资格要求，对谈判单位进行符合性审查，资格审查以谈判单位递交的</w:t>
      </w:r>
      <w:r>
        <w:rPr>
          <w:rFonts w:hint="eastAsia" w:ascii="宋体" w:hAnsi="宋体" w:eastAsia="宋体" w:cs="宋体"/>
          <w:color w:val="auto"/>
          <w:szCs w:val="21"/>
          <w:highlight w:val="none"/>
        </w:rPr>
        <w:t>原件扫描件打印版资料为</w:t>
      </w:r>
      <w:r>
        <w:rPr>
          <w:rFonts w:hint="eastAsia" w:ascii="宋体" w:hAnsi="宋体" w:cs="宋体"/>
          <w:color w:val="auto"/>
          <w:szCs w:val="21"/>
          <w:highlight w:val="none"/>
        </w:rPr>
        <w:t>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4.1.2报价的符合性审查</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highlight w:val="none"/>
        </w:rPr>
      </w:pPr>
      <w:r>
        <w:rPr>
          <w:rFonts w:hint="eastAsia" w:ascii="宋体" w:hAnsi="宋体" w:cs="宋体"/>
          <w:color w:val="auto"/>
          <w:szCs w:val="21"/>
          <w:highlight w:val="none"/>
        </w:rPr>
        <w:t>谈判评审小组根据谈判文件的规定，对报价文件的有效性、完整性等进行符合性审查。</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4.1.3有下列情形之一的，为符合性审查不合格，视为无效响应，不进入下一阶段：</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b/>
          <w:bCs/>
          <w:szCs w:val="21"/>
          <w:highlight w:val="none"/>
        </w:rPr>
      </w:pPr>
      <w:r>
        <w:rPr>
          <w:rFonts w:hint="eastAsia" w:ascii="宋体" w:hAnsi="宋体"/>
          <w:szCs w:val="21"/>
          <w:highlight w:val="none"/>
        </w:rPr>
        <w:t>（1）未按照谈判文件规定要求签署盖章的。</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highlight w:val="none"/>
        </w:rPr>
      </w:pPr>
      <w:r>
        <w:rPr>
          <w:rFonts w:hint="eastAsia" w:ascii="宋体" w:hAnsi="宋体"/>
          <w:szCs w:val="21"/>
          <w:highlight w:val="none"/>
        </w:rPr>
        <w:t>（2）响应</w:t>
      </w:r>
      <w:r>
        <w:rPr>
          <w:rFonts w:hint="eastAsia" w:ascii="宋体" w:hAnsi="宋体" w:cs="宋体"/>
          <w:kern w:val="0"/>
          <w:szCs w:val="21"/>
          <w:highlight w:val="none"/>
        </w:rPr>
        <w:t>文件有效期不满足谈判文件规定的。</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highlight w:val="none"/>
        </w:rPr>
      </w:pPr>
      <w:r>
        <w:rPr>
          <w:rFonts w:hint="eastAsia" w:ascii="宋体" w:hAnsi="宋体"/>
          <w:szCs w:val="21"/>
          <w:highlight w:val="none"/>
        </w:rPr>
        <w:t>（3）不满足资格条件要求的。</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highlight w:val="none"/>
        </w:rPr>
      </w:pPr>
      <w:r>
        <w:rPr>
          <w:rFonts w:hint="eastAsia" w:ascii="宋体" w:hAnsi="宋体"/>
          <w:szCs w:val="21"/>
          <w:highlight w:val="none"/>
        </w:rPr>
        <w:t>（4）不满足用户需求书要求的。</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highlight w:val="none"/>
        </w:rPr>
      </w:pPr>
      <w:r>
        <w:rPr>
          <w:rFonts w:hint="eastAsia" w:ascii="宋体" w:hAnsi="宋体"/>
          <w:szCs w:val="21"/>
          <w:highlight w:val="none"/>
        </w:rPr>
        <w:t>（5）</w:t>
      </w:r>
      <w:r>
        <w:rPr>
          <w:rFonts w:hint="eastAsia" w:ascii="宋体" w:hAnsi="宋体" w:cs="宋体"/>
          <w:kern w:val="0"/>
          <w:szCs w:val="21"/>
          <w:highlight w:val="none"/>
        </w:rPr>
        <w:t>谈判总报价超过</w:t>
      </w:r>
      <w:r>
        <w:rPr>
          <w:rFonts w:hint="eastAsia" w:ascii="宋体" w:hAnsi="宋体"/>
          <w:szCs w:val="21"/>
          <w:highlight w:val="none"/>
        </w:rPr>
        <w:t>谈判最高限价的</w:t>
      </w:r>
      <w:r>
        <w:rPr>
          <w:rFonts w:hint="eastAsia" w:ascii="宋体" w:hAnsi="宋体" w:cs="宋体"/>
          <w:kern w:val="0"/>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highlight w:val="none"/>
        </w:rPr>
      </w:pPr>
      <w:r>
        <w:rPr>
          <w:rFonts w:hint="eastAsia" w:ascii="宋体" w:hAnsi="宋体" w:cs="宋体"/>
          <w:kern w:val="0"/>
          <w:szCs w:val="21"/>
          <w:highlight w:val="none"/>
        </w:rPr>
        <w:t>（6）</w:t>
      </w:r>
      <w:r>
        <w:rPr>
          <w:rFonts w:hint="eastAsia" w:ascii="宋体" w:hAnsi="宋体"/>
          <w:szCs w:val="21"/>
          <w:highlight w:val="none"/>
        </w:rPr>
        <w:t>递交两份或多份内容不同的报价文件，或在一份报价文件中对同一项目报有两个或多个报价，且未声明哪一个有效的，谈判文件另有要求的除外。</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4.1.4算术错误修正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谈判评审小组检查谈判单位的报价是否有算术错误，算术性错误分析和修正按以下原则进行，修正的价格经谈判单位进行确认后具有约束力。谈判单位不接受修正价格的，应当予以否决。</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（1）响应文件中的大写金额与小写金额不一致的，以大写金额为准。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（2）总价金额与依据单价计算出的结果不一致的，以单价金额为准修正总价，但单价金额小数点有明显错误的除外。</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（3）总报价为各分项报价金额之和，总报价与分项报价的合价不一致的，应以各分项合价累计数为准，修正总报价。</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（4）如果分项报价中存在缺漏项，则视为缺漏项价格已包含在其他分项报价之中。</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highlight w:val="none"/>
        </w:rPr>
      </w:pPr>
      <w:r>
        <w:rPr>
          <w:rFonts w:hint="eastAsia" w:ascii="宋体" w:hAnsi="宋体" w:cs="宋体"/>
          <w:b/>
          <w:szCs w:val="21"/>
          <w:highlight w:val="none"/>
        </w:rPr>
        <w:t>4.2</w:t>
      </w:r>
      <w:r>
        <w:rPr>
          <w:rFonts w:hint="eastAsia" w:ascii="宋体" w:hAnsi="宋体" w:cs="宋体"/>
          <w:b/>
          <w:bCs/>
          <w:szCs w:val="21"/>
          <w:highlight w:val="none"/>
        </w:rPr>
        <w:t>详细评审阶段</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4.2.1谈判评审小组应按以下要求对经符合性审查合格的谈判单位进行详细评审：</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highlight w:val="none"/>
        </w:rPr>
      </w:pPr>
      <w:r>
        <w:rPr>
          <w:rFonts w:hint="eastAsia" w:ascii="宋体" w:hAnsi="宋体" w:cs="宋体"/>
          <w:szCs w:val="21"/>
          <w:highlight w:val="none"/>
        </w:rPr>
        <w:t>（1）</w:t>
      </w:r>
      <w:r>
        <w:rPr>
          <w:rFonts w:hint="eastAsia" w:ascii="宋体" w:hAnsi="宋体" w:cs="宋体"/>
          <w:kern w:val="0"/>
          <w:szCs w:val="21"/>
          <w:highlight w:val="none"/>
        </w:rPr>
        <w:t>以经谈判评审小组一致认定满足《竞争性谈判文件》要求且</w:t>
      </w:r>
      <w:bookmarkStart w:id="48" w:name="_Hlk70673845"/>
      <w:r>
        <w:rPr>
          <w:rFonts w:hint="eastAsia" w:ascii="宋体" w:hAnsi="宋体" w:cs="宋体"/>
          <w:b/>
          <w:bCs/>
          <w:kern w:val="0"/>
          <w:szCs w:val="21"/>
          <w:highlight w:val="none"/>
        </w:rPr>
        <w:t>谈判不含增值税总报价</w:t>
      </w:r>
      <w:bookmarkEnd w:id="48"/>
      <w:r>
        <w:rPr>
          <w:rFonts w:hint="eastAsia" w:ascii="宋体" w:hAnsi="宋体" w:cs="宋体"/>
          <w:kern w:val="0"/>
          <w:szCs w:val="21"/>
          <w:highlight w:val="none"/>
        </w:rPr>
        <w:t>最低的报价为基准价，其得分为满分。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highlight w:val="none"/>
        </w:rPr>
      </w:pPr>
      <w:r>
        <w:rPr>
          <w:rFonts w:hint="eastAsia" w:ascii="宋体" w:hAnsi="宋体" w:cs="宋体"/>
          <w:szCs w:val="21"/>
          <w:highlight w:val="none"/>
        </w:rPr>
        <w:t>（2）</w:t>
      </w:r>
      <w:r>
        <w:rPr>
          <w:rFonts w:hint="eastAsia" w:ascii="宋体" w:hAnsi="宋体" w:cs="宋体"/>
          <w:kern w:val="0"/>
          <w:szCs w:val="21"/>
          <w:highlight w:val="none"/>
        </w:rPr>
        <w:t>其他有效单位的得分统一按下列公式计算（保留2位小数，第3位四舍五入）：谈判单位得分=(基准价／谈判不含增值税总报价)×100</w:t>
      </w:r>
    </w:p>
    <w:p>
      <w:pPr>
        <w:keepNext w:val="0"/>
        <w:keepLines w:val="0"/>
        <w:pageBreakBefore w:val="0"/>
        <w:kinsoku/>
        <w:wordWrap/>
        <w:overflowPunct/>
        <w:topLinePunct w:val="0"/>
        <w:autoSpaceDE/>
        <w:autoSpaceDN/>
        <w:bidi w:val="0"/>
        <w:adjustRightInd w:val="0"/>
        <w:snapToGrid w:val="0"/>
        <w:spacing w:line="360" w:lineRule="auto"/>
        <w:ind w:firstLine="413" w:firstLineChars="196"/>
        <w:textAlignment w:val="auto"/>
        <w:rPr>
          <w:rFonts w:ascii="宋体" w:hAnsi="宋体" w:cs="宋体"/>
          <w:b/>
          <w:bCs/>
          <w:szCs w:val="21"/>
          <w:highlight w:val="none"/>
        </w:rPr>
      </w:pPr>
      <w:r>
        <w:rPr>
          <w:rFonts w:hint="eastAsia" w:ascii="宋体" w:hAnsi="宋体" w:cs="宋体"/>
          <w:b/>
          <w:bCs/>
          <w:szCs w:val="21"/>
          <w:highlight w:val="none"/>
        </w:rPr>
        <w:t>5.推荐中选单位</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5.1谈判评审小组应当在全部评审结束后，按照综合得分由高到低的顺序推荐</w:t>
      </w:r>
      <w:r>
        <w:rPr>
          <w:rFonts w:hint="eastAsia" w:ascii="宋体" w:hAnsi="宋体" w:cs="宋体"/>
          <w:szCs w:val="21"/>
          <w:highlight w:val="none"/>
          <w:shd w:val="clear" w:color="auto" w:fill="FFFFFF"/>
        </w:rPr>
        <w:t>不超过</w:t>
      </w:r>
      <w:r>
        <w:rPr>
          <w:rFonts w:hint="eastAsia" w:ascii="宋体" w:hAnsi="宋体" w:cs="宋体"/>
          <w:kern w:val="0"/>
          <w:szCs w:val="21"/>
          <w:highlight w:val="none"/>
        </w:rPr>
        <w:t>3名中选候选人，并填写评审报告。经</w:t>
      </w:r>
      <w:r>
        <w:rPr>
          <w:rFonts w:hint="eastAsia" w:ascii="宋体" w:hAnsi="宋体" w:cs="宋体"/>
          <w:color w:val="auto"/>
          <w:highlight w:val="none"/>
        </w:rPr>
        <w:t>对排名第一的中选候选人进行公示，且</w:t>
      </w:r>
      <w:r>
        <w:rPr>
          <w:rFonts w:hint="eastAsia" w:ascii="宋体" w:hAnsi="宋体" w:cs="宋体"/>
          <w:kern w:val="0"/>
          <w:szCs w:val="21"/>
          <w:highlight w:val="none"/>
        </w:rPr>
        <w:t>公示无异议后，确定排名第一的中选候选人为中选人。</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5.2全部评审结束后，若出现报价得分相同的情形，则采用现场抽签方式确定中选候选人。</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5.3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16"/>
        <w:rPr>
          <w:rFonts w:ascii="宋体" w:hAnsi="宋体" w:cs="宋体"/>
          <w:kern w:val="0"/>
          <w:szCs w:val="21"/>
          <w:highlight w:val="none"/>
        </w:rPr>
      </w:pPr>
    </w:p>
    <w:p>
      <w:pPr>
        <w:pStyle w:val="6"/>
        <w:keepNext w:val="0"/>
        <w:spacing w:line="360" w:lineRule="auto"/>
        <w:rPr>
          <w:rFonts w:ascii="宋体" w:hAnsi="宋体" w:cs="宋体"/>
          <w:bCs w:val="0"/>
          <w:sz w:val="32"/>
          <w:szCs w:val="32"/>
          <w:highlight w:val="none"/>
        </w:rPr>
        <w:sectPr>
          <w:headerReference r:id="rId6" w:type="default"/>
          <w:footerReference r:id="rId7" w:type="default"/>
          <w:pgSz w:w="11906" w:h="16838"/>
          <w:pgMar w:top="2098" w:right="1474" w:bottom="1984" w:left="1587" w:header="851" w:footer="992" w:gutter="0"/>
          <w:cols w:space="0" w:num="1"/>
          <w:docGrid w:type="lines" w:linePitch="319" w:charSpace="0"/>
        </w:sectPr>
      </w:pPr>
      <w:bookmarkStart w:id="49" w:name="_Toc23442"/>
      <w:bookmarkStart w:id="50" w:name="_Toc17997"/>
      <w:bookmarkStart w:id="51" w:name="_Toc18202"/>
      <w:bookmarkStart w:id="52" w:name="_Toc17562"/>
      <w:bookmarkStart w:id="53" w:name="_Toc14891077"/>
    </w:p>
    <w:p>
      <w:pPr>
        <w:pStyle w:val="6"/>
        <w:keepNext w:val="0"/>
        <w:spacing w:line="360" w:lineRule="auto"/>
        <w:rPr>
          <w:rFonts w:ascii="宋体" w:hAnsi="宋体" w:cs="宋体"/>
          <w:bCs w:val="0"/>
          <w:sz w:val="32"/>
          <w:szCs w:val="32"/>
          <w:highlight w:val="none"/>
        </w:rPr>
      </w:pPr>
      <w:bookmarkStart w:id="54" w:name="_Toc20868"/>
      <w:r>
        <w:rPr>
          <w:rFonts w:hint="eastAsia" w:ascii="宋体" w:hAnsi="宋体" w:cs="宋体"/>
          <w:bCs w:val="0"/>
          <w:sz w:val="32"/>
          <w:szCs w:val="32"/>
          <w:highlight w:val="none"/>
        </w:rPr>
        <w:t>第四章  用户需求书</w:t>
      </w:r>
      <w:bookmarkEnd w:id="49"/>
      <w:bookmarkEnd w:id="50"/>
      <w:bookmarkEnd w:id="51"/>
      <w:bookmarkEnd w:id="52"/>
      <w:bookmarkEnd w:id="53"/>
      <w:r>
        <w:rPr>
          <w:rFonts w:hint="eastAsia" w:ascii="宋体" w:hAnsi="宋体" w:cs="宋体"/>
          <w:bCs w:val="0"/>
          <w:sz w:val="32"/>
          <w:szCs w:val="32"/>
          <w:highlight w:val="none"/>
        </w:rPr>
        <w:t>（另册）</w:t>
      </w:r>
      <w:bookmarkEnd w:id="54"/>
    </w:p>
    <w:p>
      <w:pPr>
        <w:spacing w:line="360" w:lineRule="auto"/>
        <w:rPr>
          <w:highlight w:val="none"/>
        </w:rPr>
      </w:pPr>
    </w:p>
    <w:p>
      <w:pPr>
        <w:pStyle w:val="16"/>
        <w:spacing w:line="360" w:lineRule="auto"/>
        <w:ind w:left="0" w:leftChars="0"/>
        <w:rPr>
          <w:rFonts w:ascii="宋体" w:hAnsi="宋体" w:cs="宋体"/>
          <w:highlight w:val="none"/>
        </w:rPr>
      </w:pPr>
      <w:r>
        <w:rPr>
          <w:rFonts w:hint="eastAsia" w:ascii="宋体" w:hAnsi="宋体" w:cs="宋体"/>
          <w:highlight w:val="none"/>
        </w:rPr>
        <w:t>用户需求书详见本项目谈判邀请公告附件：</w:t>
      </w:r>
      <w:r>
        <w:rPr>
          <w:rFonts w:hint="eastAsia" w:ascii="宋体" w:hAnsi="宋体" w:cs="宋体"/>
          <w:highlight w:val="none"/>
          <w:u w:val="single"/>
        </w:rPr>
        <w:t>长沙市轨道交通运营有限公司西环线2023-2024年保险服务项目</w:t>
      </w:r>
      <w:r>
        <w:rPr>
          <w:rFonts w:hint="eastAsia" w:ascii="宋体" w:hAnsi="宋体" w:cs="宋体"/>
          <w:highlight w:val="none"/>
        </w:rPr>
        <w:t>用户需求书。</w:t>
      </w:r>
    </w:p>
    <w:p>
      <w:pPr>
        <w:rPr>
          <w:highlight w:val="none"/>
        </w:rPr>
      </w:pPr>
    </w:p>
    <w:p>
      <w:pPr>
        <w:rPr>
          <w:highlight w:val="none"/>
        </w:rPr>
        <w:sectPr>
          <w:pgSz w:w="11906" w:h="16838"/>
          <w:pgMar w:top="2098" w:right="1474" w:bottom="1984" w:left="1587" w:header="851" w:footer="992" w:gutter="0"/>
          <w:cols w:space="0" w:num="1"/>
          <w:docGrid w:type="lines" w:linePitch="319" w:charSpace="0"/>
        </w:sect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Cs w:val="0"/>
          <w:sz w:val="32"/>
          <w:szCs w:val="32"/>
          <w:highlight w:val="none"/>
        </w:rPr>
      </w:pPr>
      <w:bookmarkStart w:id="55" w:name="_Toc27246"/>
      <w:bookmarkStart w:id="56" w:name="_Toc31851"/>
      <w:bookmarkStart w:id="57" w:name="_Toc17441"/>
      <w:bookmarkStart w:id="58" w:name="_Toc13521"/>
      <w:bookmarkStart w:id="59" w:name="_Toc19554"/>
      <w:bookmarkStart w:id="60" w:name="_Toc14891078"/>
      <w:bookmarkStart w:id="61" w:name="_Toc22262"/>
      <w:r>
        <w:rPr>
          <w:rFonts w:hint="eastAsia" w:ascii="宋体" w:hAnsi="宋体" w:cs="宋体"/>
          <w:bCs w:val="0"/>
          <w:sz w:val="32"/>
          <w:szCs w:val="32"/>
          <w:highlight w:val="none"/>
        </w:rPr>
        <w:t>第五章  谈判最高限价</w:t>
      </w:r>
      <w:bookmarkEnd w:id="55"/>
      <w:bookmarkEnd w:id="56"/>
    </w:p>
    <w:p>
      <w:pPr>
        <w:keepNext w:val="0"/>
        <w:keepLines w:val="0"/>
        <w:pageBreakBefore w:val="0"/>
        <w:widowControl w:val="0"/>
        <w:kinsoku/>
        <w:wordWrap/>
        <w:overflowPunct/>
        <w:topLinePunct w:val="0"/>
        <w:autoSpaceDE/>
        <w:autoSpaceDN/>
        <w:bidi w:val="0"/>
        <w:spacing w:line="360" w:lineRule="auto"/>
        <w:textAlignment w:val="auto"/>
        <w:rPr>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highlight w:val="none"/>
        </w:rPr>
      </w:pPr>
      <w:r>
        <w:rPr>
          <w:rFonts w:hint="eastAsia" w:ascii="宋体" w:hAnsi="宋体" w:cs="宋体"/>
          <w:highlight w:val="none"/>
        </w:rPr>
        <w:t>本项目谈判最高限价：</w:t>
      </w:r>
      <w:r>
        <w:rPr>
          <w:rFonts w:hint="eastAsia" w:ascii="宋体" w:hAnsi="宋体" w:cs="宋体"/>
          <w:highlight w:val="none"/>
          <w:lang w:val="en-US" w:eastAsia="zh-CN"/>
        </w:rPr>
        <w:t>432200</w:t>
      </w:r>
      <w:r>
        <w:rPr>
          <w:rFonts w:hint="eastAsia" w:ascii="宋体" w:hAnsi="宋体" w:cs="宋体"/>
          <w:highlight w:val="none"/>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highlight w:val="none"/>
        </w:rPr>
      </w:pPr>
      <w:r>
        <w:rPr>
          <w:rFonts w:hint="eastAsia" w:ascii="宋体" w:hAnsi="宋体" w:cs="宋体"/>
          <w:highlight w:val="none"/>
        </w:rPr>
        <w:t>小写：</w:t>
      </w:r>
      <w:r>
        <w:rPr>
          <w:rFonts w:hint="eastAsia" w:ascii="宋体" w:hAnsi="宋体" w:cs="宋体"/>
          <w:highlight w:val="none"/>
          <w:lang w:val="en-US" w:eastAsia="zh-CN"/>
        </w:rPr>
        <w:t>432200</w:t>
      </w:r>
      <w:r>
        <w:rPr>
          <w:rFonts w:hint="eastAsia" w:ascii="宋体" w:hAnsi="宋体" w:cs="宋体"/>
          <w:highlight w:val="none"/>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highlight w:val="none"/>
        </w:rPr>
      </w:pPr>
      <w:r>
        <w:rPr>
          <w:rFonts w:hint="eastAsia" w:ascii="宋体" w:hAnsi="宋体" w:cs="宋体"/>
          <w:highlight w:val="none"/>
        </w:rPr>
        <w:t>大写：</w:t>
      </w:r>
      <w:r>
        <w:rPr>
          <w:rFonts w:hint="eastAsia" w:ascii="宋体" w:hAnsi="宋体" w:cs="宋体"/>
          <w:highlight w:val="none"/>
          <w:lang w:val="en-US" w:eastAsia="zh-CN"/>
        </w:rPr>
        <w:t>肆拾叁万贰仟贰佰</w:t>
      </w:r>
      <w:r>
        <w:rPr>
          <w:rFonts w:hint="eastAsia" w:ascii="宋体" w:hAnsi="宋体" w:cs="宋体"/>
          <w:highlight w:val="none"/>
        </w:rPr>
        <w:t>元整</w:t>
      </w:r>
    </w:p>
    <w:p>
      <w:pPr>
        <w:rPr>
          <w:rFonts w:ascii="宋体" w:hAnsi="宋体" w:cs="宋体"/>
          <w:sz w:val="32"/>
          <w:szCs w:val="32"/>
          <w:highlight w:val="none"/>
        </w:rPr>
      </w:pPr>
    </w:p>
    <w:p>
      <w:pPr>
        <w:pStyle w:val="2"/>
        <w:rPr>
          <w:highlight w:val="none"/>
        </w:rPr>
        <w:sectPr>
          <w:pgSz w:w="11906" w:h="16838"/>
          <w:pgMar w:top="2098" w:right="1474" w:bottom="1984" w:left="1587" w:header="851" w:footer="992" w:gutter="0"/>
          <w:cols w:space="0" w:num="1"/>
          <w:docGrid w:type="lines" w:linePitch="319" w:charSpace="0"/>
        </w:sect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Cs w:val="0"/>
          <w:color w:val="FF0000"/>
          <w:sz w:val="32"/>
          <w:szCs w:val="32"/>
          <w:highlight w:val="none"/>
        </w:rPr>
      </w:pPr>
      <w:bookmarkStart w:id="62" w:name="_Toc29598"/>
      <w:r>
        <w:rPr>
          <w:rFonts w:hint="eastAsia" w:ascii="宋体" w:hAnsi="宋体" w:cs="宋体"/>
          <w:bCs w:val="0"/>
          <w:sz w:val="32"/>
          <w:szCs w:val="32"/>
          <w:highlight w:val="none"/>
        </w:rPr>
        <w:t>第六章  合同格式条款</w:t>
      </w:r>
      <w:bookmarkEnd w:id="57"/>
      <w:bookmarkEnd w:id="58"/>
      <w:bookmarkEnd w:id="59"/>
      <w:bookmarkEnd w:id="60"/>
      <w:bookmarkEnd w:id="61"/>
      <w:bookmarkEnd w:id="62"/>
    </w:p>
    <w:p>
      <w:pPr>
        <w:keepLines w:val="0"/>
        <w:kinsoku/>
        <w:overflowPunct/>
        <w:topLinePunct w:val="0"/>
        <w:bidi w:val="0"/>
        <w:spacing w:line="360" w:lineRule="auto"/>
        <w:jc w:val="left"/>
        <w:outlineLvl w:val="9"/>
        <w:rPr>
          <w:rFonts w:hint="eastAsia" w:ascii="仿宋_GB2312" w:hAnsi="仿宋_GB2312" w:eastAsia="仿宋_GB2312" w:cs="仿宋_GB2312"/>
          <w:b/>
          <w:sz w:val="24"/>
          <w:highlight w:val="none"/>
          <w:lang w:val="en-US" w:eastAsia="zh-CN"/>
        </w:rPr>
      </w:pPr>
      <w:bookmarkStart w:id="63" w:name="_Toc227520433"/>
      <w:bookmarkEnd w:id="63"/>
      <w:bookmarkStart w:id="64" w:name="_Toc367274929"/>
      <w:bookmarkEnd w:id="64"/>
      <w:bookmarkStart w:id="65" w:name="_Toc5097"/>
      <w:bookmarkStart w:id="66" w:name="_Toc29654"/>
      <w:bookmarkStart w:id="67" w:name="_Toc20891"/>
      <w:bookmarkStart w:id="68" w:name="_Toc18525"/>
      <w:r>
        <w:rPr>
          <w:rFonts w:hint="eastAsia" w:ascii="仿宋_GB2312" w:hAnsi="仿宋_GB2312" w:eastAsia="仿宋_GB2312" w:cs="仿宋_GB2312"/>
          <w:b/>
          <w:sz w:val="24"/>
          <w:highlight w:val="none"/>
        </w:rPr>
        <w:t>版本号：CSGDHT-YYBX2018-2020</w:t>
      </w:r>
      <w:r>
        <w:rPr>
          <w:rFonts w:hint="eastAsia" w:ascii="仿宋_GB2312" w:hAnsi="仿宋_GB2312" w:eastAsia="仿宋_GB2312" w:cs="仿宋_GB2312"/>
          <w:b/>
          <w:sz w:val="24"/>
          <w:highlight w:val="none"/>
          <w:lang w:val="en-US" w:eastAsia="zh-CN"/>
        </w:rPr>
        <w:t>1215</w:t>
      </w:r>
    </w:p>
    <w:p>
      <w:pPr>
        <w:keepLines w:val="0"/>
        <w:kinsoku/>
        <w:overflowPunct/>
        <w:topLinePunct w:val="0"/>
        <w:bidi w:val="0"/>
        <w:snapToGrid w:val="0"/>
        <w:spacing w:line="360" w:lineRule="auto"/>
        <w:jc w:val="center"/>
        <w:outlineLvl w:val="9"/>
        <w:rPr>
          <w:rFonts w:ascii="宋体" w:hAnsi="宋体" w:cs="宋体"/>
          <w:b/>
          <w:sz w:val="32"/>
          <w:szCs w:val="32"/>
          <w:highlight w:val="none"/>
        </w:rPr>
      </w:pPr>
    </w:p>
    <w:p>
      <w:pPr>
        <w:keepLines w:val="0"/>
        <w:tabs>
          <w:tab w:val="center" w:pos="4153"/>
          <w:tab w:val="right" w:pos="8306"/>
        </w:tabs>
        <w:kinsoku/>
        <w:wordWrap w:val="0"/>
        <w:overflowPunct/>
        <w:topLinePunct w:val="0"/>
        <w:bidi w:val="0"/>
        <w:adjustRightInd w:val="0"/>
        <w:snapToGrid w:val="0"/>
        <w:spacing w:line="360" w:lineRule="auto"/>
        <w:jc w:val="right"/>
        <w:outlineLvl w:val="9"/>
        <w:rPr>
          <w:rFonts w:hint="eastAsia" w:ascii="仿宋_GB2312" w:hAnsi="仿宋_GB2312" w:eastAsia="仿宋_GB2312" w:cs="仿宋_GB2312"/>
          <w:b/>
          <w:sz w:val="52"/>
          <w:szCs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合同【20  】  号</w:t>
      </w:r>
    </w:p>
    <w:p>
      <w:pPr>
        <w:keepLines w:val="0"/>
        <w:kinsoku/>
        <w:overflowPunct/>
        <w:topLinePunct w:val="0"/>
        <w:bidi w:val="0"/>
        <w:spacing w:line="360" w:lineRule="auto"/>
        <w:jc w:val="center"/>
        <w:outlineLvl w:val="9"/>
        <w:rPr>
          <w:rFonts w:hint="eastAsia" w:ascii="仿宋_GB2312" w:hAnsi="仿宋_GB2312" w:eastAsia="仿宋_GB2312" w:cs="仿宋_GB2312"/>
          <w:b/>
          <w:kern w:val="0"/>
          <w:sz w:val="28"/>
          <w:szCs w:val="28"/>
          <w:highlight w:val="none"/>
        </w:rPr>
      </w:pPr>
    </w:p>
    <w:p>
      <w:pPr>
        <w:keepLines w:val="0"/>
        <w:kinsoku/>
        <w:overflowPunct/>
        <w:topLinePunct w:val="0"/>
        <w:bidi w:val="0"/>
        <w:spacing w:line="360" w:lineRule="auto"/>
        <w:jc w:val="center"/>
        <w:outlineLvl w:val="9"/>
        <w:rPr>
          <w:rFonts w:hint="eastAsia" w:ascii="仿宋_GB2312" w:hAnsi="仿宋_GB2312" w:eastAsia="仿宋_GB2312" w:cs="仿宋_GB2312"/>
          <w:b/>
          <w:kern w:val="0"/>
          <w:sz w:val="28"/>
          <w:szCs w:val="28"/>
          <w:highlight w:val="none"/>
        </w:rPr>
      </w:pPr>
    </w:p>
    <w:p>
      <w:pPr>
        <w:keepLines w:val="0"/>
        <w:kinsoku/>
        <w:overflowPunct/>
        <w:topLinePunct w:val="0"/>
        <w:bidi w:val="0"/>
        <w:spacing w:line="360" w:lineRule="auto"/>
        <w:jc w:val="center"/>
        <w:outlineLvl w:val="9"/>
        <w:rPr>
          <w:rFonts w:hint="eastAsia" w:ascii="仿宋_GB2312" w:hAnsi="仿宋_GB2312" w:eastAsia="仿宋_GB2312" w:cs="仿宋_GB2312"/>
          <w:b/>
          <w:kern w:val="0"/>
          <w:sz w:val="28"/>
          <w:szCs w:val="28"/>
          <w:highlight w:val="none"/>
        </w:rPr>
      </w:pPr>
    </w:p>
    <w:p>
      <w:pPr>
        <w:keepLines w:val="0"/>
        <w:kinsoku/>
        <w:overflowPunct/>
        <w:topLinePunct w:val="0"/>
        <w:bidi w:val="0"/>
        <w:spacing w:line="360" w:lineRule="auto"/>
        <w:jc w:val="center"/>
        <w:outlineLvl w:val="9"/>
        <w:rPr>
          <w:rFonts w:hint="eastAsia" w:ascii="仿宋_GB2312" w:hAnsi="仿宋_GB2312" w:eastAsia="仿宋_GB2312" w:cs="仿宋_GB2312"/>
          <w:b/>
          <w:kern w:val="0"/>
          <w:sz w:val="28"/>
          <w:szCs w:val="28"/>
          <w:highlight w:val="none"/>
        </w:rPr>
      </w:pPr>
    </w:p>
    <w:p>
      <w:pPr>
        <w:keepLines w:val="0"/>
        <w:kinsoku/>
        <w:overflowPunct/>
        <w:topLinePunct w:val="0"/>
        <w:bidi w:val="0"/>
        <w:spacing w:line="360" w:lineRule="auto"/>
        <w:jc w:val="center"/>
        <w:outlineLvl w:val="9"/>
        <w:rPr>
          <w:rFonts w:hint="eastAsia" w:ascii="仿宋_GB2312" w:hAnsi="仿宋_GB2312" w:eastAsia="仿宋_GB2312" w:cs="仿宋_GB2312"/>
          <w:b/>
          <w:kern w:val="0"/>
          <w:sz w:val="52"/>
          <w:highlight w:val="none"/>
        </w:rPr>
      </w:pPr>
      <w:r>
        <w:rPr>
          <w:rFonts w:hint="eastAsia" w:ascii="仿宋_GB2312" w:hAnsi="仿宋_GB2312" w:eastAsia="仿宋_GB2312" w:cs="仿宋_GB2312"/>
          <w:b/>
          <w:kern w:val="0"/>
          <w:sz w:val="52"/>
          <w:highlight w:val="none"/>
        </w:rPr>
        <w:t>运营期保险合同</w:t>
      </w:r>
      <w:bookmarkStart w:id="69" w:name="_Toc461094745"/>
    </w:p>
    <w:p>
      <w:pPr>
        <w:keepLines w:val="0"/>
        <w:kinsoku/>
        <w:overflowPunct/>
        <w:topLinePunct w:val="0"/>
        <w:bidi w:val="0"/>
        <w:adjustRightInd w:val="0"/>
        <w:snapToGrid w:val="0"/>
        <w:spacing w:line="360" w:lineRule="auto"/>
        <w:outlineLvl w:val="9"/>
        <w:rPr>
          <w:rFonts w:hint="eastAsia" w:ascii="仿宋_GB2312" w:hAnsi="仿宋_GB2312" w:eastAsia="仿宋_GB2312" w:cs="仿宋_GB2312"/>
          <w:b/>
          <w:sz w:val="30"/>
          <w:szCs w:val="30"/>
          <w:highlight w:val="none"/>
        </w:rPr>
      </w:pPr>
    </w:p>
    <w:p>
      <w:pPr>
        <w:keepLines w:val="0"/>
        <w:kinsoku/>
        <w:overflowPunct/>
        <w:topLinePunct w:val="0"/>
        <w:bidi w:val="0"/>
        <w:adjustRightInd w:val="0"/>
        <w:snapToGrid w:val="0"/>
        <w:spacing w:line="360" w:lineRule="auto"/>
        <w:outlineLvl w:val="9"/>
        <w:rPr>
          <w:rFonts w:hint="eastAsia" w:ascii="仿宋_GB2312" w:hAnsi="仿宋_GB2312" w:eastAsia="仿宋_GB2312" w:cs="仿宋_GB2312"/>
          <w:b/>
          <w:sz w:val="30"/>
          <w:szCs w:val="30"/>
          <w:highlight w:val="none"/>
        </w:rPr>
      </w:pPr>
    </w:p>
    <w:p>
      <w:pPr>
        <w:keepLines w:val="0"/>
        <w:kinsoku/>
        <w:overflowPunct/>
        <w:topLinePunct w:val="0"/>
        <w:bidi w:val="0"/>
        <w:adjustRightInd w:val="0"/>
        <w:snapToGrid w:val="0"/>
        <w:spacing w:line="360" w:lineRule="auto"/>
        <w:outlineLvl w:val="9"/>
        <w:rPr>
          <w:rFonts w:hint="eastAsia" w:ascii="仿宋_GB2312" w:hAnsi="仿宋_GB2312" w:eastAsia="仿宋_GB2312" w:cs="仿宋_GB2312"/>
          <w:b/>
          <w:sz w:val="30"/>
          <w:szCs w:val="30"/>
          <w:highlight w:val="none"/>
        </w:rPr>
      </w:pPr>
    </w:p>
    <w:p>
      <w:pPr>
        <w:keepLines w:val="0"/>
        <w:kinsoku/>
        <w:overflowPunct/>
        <w:topLinePunct w:val="0"/>
        <w:bidi w:val="0"/>
        <w:adjustRightInd w:val="0"/>
        <w:snapToGrid w:val="0"/>
        <w:spacing w:line="360" w:lineRule="auto"/>
        <w:outlineLvl w:val="9"/>
        <w:rPr>
          <w:rFonts w:hint="eastAsia" w:ascii="仿宋_GB2312" w:hAnsi="仿宋_GB2312" w:eastAsia="仿宋_GB2312" w:cs="仿宋_GB2312"/>
          <w:b/>
          <w:sz w:val="30"/>
          <w:szCs w:val="30"/>
          <w:highlight w:val="none"/>
        </w:rPr>
      </w:pPr>
    </w:p>
    <w:p>
      <w:pPr>
        <w:keepLines w:val="0"/>
        <w:kinsoku/>
        <w:overflowPunct/>
        <w:topLinePunct w:val="0"/>
        <w:bidi w:val="0"/>
        <w:adjustRightInd w:val="0"/>
        <w:snapToGrid w:val="0"/>
        <w:spacing w:line="360" w:lineRule="auto"/>
        <w:ind w:firstLine="602" w:firstLineChars="200"/>
        <w:outlineLvl w:val="9"/>
        <w:rPr>
          <w:rFonts w:hint="eastAsia" w:ascii="仿宋_GB2312" w:hAnsi="仿宋_GB2312" w:eastAsia="仿宋_GB2312" w:cs="仿宋_GB2312"/>
          <w:sz w:val="24"/>
          <w:highlight w:val="none"/>
          <w:u w:val="dotted"/>
        </w:rPr>
      </w:pPr>
      <w:bookmarkStart w:id="70" w:name="_Toc433881077"/>
      <w:r>
        <w:rPr>
          <w:rFonts w:hint="eastAsia" w:ascii="仿宋_GB2312" w:hAnsi="仿宋_GB2312" w:eastAsia="仿宋_GB2312" w:cs="仿宋_GB2312"/>
          <w:b/>
          <w:sz w:val="30"/>
          <w:szCs w:val="30"/>
          <w:highlight w:val="none"/>
        </w:rPr>
        <w:t>项目名称：</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30"/>
          <w:szCs w:val="30"/>
          <w:highlight w:val="none"/>
          <w:u w:val="dotted"/>
          <w:lang w:eastAsia="zh-CN"/>
        </w:rPr>
        <w:t>长沙市轨道交通运营有限公司西环线202</w:t>
      </w:r>
      <w:r>
        <w:rPr>
          <w:rFonts w:hint="default" w:ascii="仿宋_GB2312" w:hAnsi="仿宋_GB2312" w:eastAsia="仿宋_GB2312" w:cs="仿宋_GB2312"/>
          <w:sz w:val="30"/>
          <w:szCs w:val="30"/>
          <w:highlight w:val="none"/>
          <w:u w:val="dotted"/>
          <w:lang w:val="en-US" w:eastAsia="zh-CN"/>
        </w:rPr>
        <w:t>3</w:t>
      </w:r>
      <w:r>
        <w:rPr>
          <w:rFonts w:hint="eastAsia" w:ascii="仿宋_GB2312" w:hAnsi="仿宋_GB2312" w:eastAsia="仿宋_GB2312" w:cs="仿宋_GB2312"/>
          <w:sz w:val="30"/>
          <w:szCs w:val="30"/>
          <w:highlight w:val="none"/>
          <w:u w:val="dotted"/>
          <w:lang w:eastAsia="zh-CN"/>
        </w:rPr>
        <w:t>—202</w:t>
      </w:r>
      <w:r>
        <w:rPr>
          <w:rFonts w:hint="default" w:ascii="仿宋_GB2312" w:hAnsi="仿宋_GB2312" w:eastAsia="仿宋_GB2312" w:cs="仿宋_GB2312"/>
          <w:sz w:val="30"/>
          <w:szCs w:val="30"/>
          <w:highlight w:val="none"/>
          <w:u w:val="dotted"/>
          <w:lang w:val="en-US" w:eastAsia="zh-CN"/>
        </w:rPr>
        <w:t>4</w:t>
      </w:r>
      <w:r>
        <w:rPr>
          <w:rFonts w:hint="eastAsia" w:ascii="仿宋_GB2312" w:hAnsi="仿宋_GB2312" w:eastAsia="仿宋_GB2312" w:cs="仿宋_GB2312"/>
          <w:sz w:val="30"/>
          <w:szCs w:val="30"/>
          <w:highlight w:val="none"/>
          <w:u w:val="dotted"/>
          <w:lang w:eastAsia="zh-CN"/>
        </w:rPr>
        <w:t>年保险服务项目</w:t>
      </w:r>
      <w:r>
        <w:rPr>
          <w:rFonts w:hint="eastAsia" w:ascii="仿宋_GB2312" w:hAnsi="仿宋_GB2312" w:eastAsia="仿宋_GB2312" w:cs="仿宋_GB2312"/>
          <w:sz w:val="24"/>
          <w:highlight w:val="none"/>
          <w:u w:val="dotted"/>
        </w:rPr>
        <w:t xml:space="preserve"> </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u w:val="dotted"/>
        </w:rPr>
      </w:pPr>
    </w:p>
    <w:p>
      <w:pPr>
        <w:keepLines w:val="0"/>
        <w:kinsoku/>
        <w:overflowPunct/>
        <w:topLinePunct w:val="0"/>
        <w:bidi w:val="0"/>
        <w:adjustRightInd w:val="0"/>
        <w:snapToGrid w:val="0"/>
        <w:spacing w:line="360" w:lineRule="auto"/>
        <w:ind w:firstLine="602" w:firstLineChars="200"/>
        <w:outlineLvl w:val="9"/>
        <w:rPr>
          <w:rFonts w:hint="eastAsia" w:ascii="仿宋_GB2312" w:hAnsi="仿宋_GB2312" w:eastAsia="仿宋_GB2312" w:cs="仿宋_GB2312"/>
          <w:sz w:val="30"/>
          <w:szCs w:val="30"/>
          <w:highlight w:val="none"/>
          <w:u w:val="dotted"/>
        </w:rPr>
      </w:pPr>
      <w:r>
        <w:rPr>
          <w:rFonts w:hint="eastAsia" w:ascii="仿宋_GB2312" w:hAnsi="仿宋_GB2312" w:eastAsia="仿宋_GB2312" w:cs="仿宋_GB2312"/>
          <w:b/>
          <w:sz w:val="30"/>
          <w:szCs w:val="30"/>
          <w:highlight w:val="none"/>
        </w:rPr>
        <w:t>项目地点：</w:t>
      </w:r>
      <w:r>
        <w:rPr>
          <w:rFonts w:hint="eastAsia" w:ascii="仿宋_GB2312" w:hAnsi="仿宋_GB2312" w:eastAsia="仿宋_GB2312" w:cs="仿宋_GB2312"/>
          <w:sz w:val="30"/>
          <w:szCs w:val="30"/>
          <w:highlight w:val="none"/>
          <w:u w:val="dotted"/>
        </w:rPr>
        <w:t xml:space="preserve">         湖南省长沙市                </w:t>
      </w:r>
    </w:p>
    <w:p>
      <w:pPr>
        <w:keepLines w:val="0"/>
        <w:kinsoku/>
        <w:overflowPunct/>
        <w:topLinePunct w:val="0"/>
        <w:bidi w:val="0"/>
        <w:adjustRightInd w:val="0"/>
        <w:snapToGrid w:val="0"/>
        <w:spacing w:line="360" w:lineRule="auto"/>
        <w:ind w:firstLine="600" w:firstLineChars="200"/>
        <w:outlineLvl w:val="9"/>
        <w:rPr>
          <w:rFonts w:hint="eastAsia" w:ascii="仿宋_GB2312" w:hAnsi="仿宋_GB2312" w:eastAsia="仿宋_GB2312" w:cs="仿宋_GB2312"/>
          <w:sz w:val="30"/>
          <w:szCs w:val="30"/>
          <w:highlight w:val="none"/>
          <w:u w:val="dotted"/>
        </w:rPr>
      </w:pPr>
    </w:p>
    <w:p>
      <w:pPr>
        <w:keepLines w:val="0"/>
        <w:kinsoku/>
        <w:overflowPunct/>
        <w:topLinePunct w:val="0"/>
        <w:bidi w:val="0"/>
        <w:adjustRightInd w:val="0"/>
        <w:snapToGrid w:val="0"/>
        <w:spacing w:line="360" w:lineRule="auto"/>
        <w:ind w:firstLine="602" w:firstLineChars="200"/>
        <w:outlineLvl w:val="9"/>
        <w:rPr>
          <w:rFonts w:hint="eastAsia" w:ascii="仿宋_GB2312" w:hAnsi="仿宋_GB2312" w:eastAsia="仿宋_GB2312" w:cs="仿宋_GB2312"/>
          <w:sz w:val="24"/>
          <w:highlight w:val="none"/>
          <w:u w:val="dotted"/>
        </w:rPr>
      </w:pPr>
      <w:r>
        <w:rPr>
          <w:rFonts w:hint="eastAsia" w:ascii="仿宋_GB2312" w:hAnsi="仿宋_GB2312" w:eastAsia="仿宋_GB2312" w:cs="仿宋_GB2312"/>
          <w:b/>
          <w:kern w:val="0"/>
          <w:sz w:val="30"/>
          <w:szCs w:val="30"/>
          <w:highlight w:val="none"/>
        </w:rPr>
        <w:t>投 保 人：</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30"/>
          <w:szCs w:val="30"/>
          <w:highlight w:val="none"/>
          <w:u w:val="dotted"/>
          <w:lang w:val="en-US" w:eastAsia="zh-CN"/>
        </w:rPr>
        <w:t>长沙市轨道交通运营有限公司</w:t>
      </w:r>
      <w:r>
        <w:rPr>
          <w:rFonts w:hint="eastAsia" w:ascii="仿宋_GB2312" w:hAnsi="仿宋_GB2312" w:eastAsia="仿宋_GB2312" w:cs="仿宋_GB2312"/>
          <w:sz w:val="24"/>
          <w:highlight w:val="none"/>
          <w:u w:val="dotted"/>
        </w:rPr>
        <w:t xml:space="preserve"> </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u w:val="dotted"/>
        </w:rPr>
      </w:pPr>
    </w:p>
    <w:p>
      <w:pPr>
        <w:keepLines w:val="0"/>
        <w:widowControl/>
        <w:kinsoku/>
        <w:overflowPunct/>
        <w:topLinePunct w:val="0"/>
        <w:bidi w:val="0"/>
        <w:snapToGrid w:val="0"/>
        <w:spacing w:line="360" w:lineRule="auto"/>
        <w:ind w:right="167" w:firstLine="602" w:firstLineChars="200"/>
        <w:outlineLvl w:val="9"/>
        <w:rPr>
          <w:rFonts w:hint="eastAsia" w:ascii="仿宋_GB2312" w:hAnsi="仿宋_GB2312" w:eastAsia="仿宋_GB2312" w:cs="仿宋_GB2312"/>
          <w:b/>
          <w:sz w:val="30"/>
          <w:szCs w:val="30"/>
          <w:highlight w:val="none"/>
          <w:u w:val="dotted"/>
        </w:rPr>
      </w:pPr>
      <w:r>
        <w:rPr>
          <w:rFonts w:hint="eastAsia" w:ascii="仿宋_GB2312" w:hAnsi="仿宋_GB2312" w:eastAsia="仿宋_GB2312" w:cs="仿宋_GB2312"/>
          <w:b/>
          <w:kern w:val="0"/>
          <w:sz w:val="30"/>
          <w:szCs w:val="30"/>
          <w:highlight w:val="none"/>
        </w:rPr>
        <w:t>承 保 人：</w:t>
      </w:r>
      <w:r>
        <w:rPr>
          <w:rFonts w:hint="eastAsia" w:ascii="仿宋_GB2312" w:hAnsi="仿宋_GB2312" w:eastAsia="仿宋_GB2312" w:cs="仿宋_GB2312"/>
          <w:sz w:val="24"/>
          <w:highlight w:val="none"/>
          <w:u w:val="dotted"/>
        </w:rPr>
        <w:t xml:space="preserve">                                              </w:t>
      </w:r>
    </w:p>
    <w:p>
      <w:pPr>
        <w:keepLines w:val="0"/>
        <w:widowControl/>
        <w:kinsoku/>
        <w:overflowPunct/>
        <w:topLinePunct w:val="0"/>
        <w:bidi w:val="0"/>
        <w:snapToGrid w:val="0"/>
        <w:spacing w:line="360" w:lineRule="auto"/>
        <w:ind w:right="167"/>
        <w:outlineLvl w:val="9"/>
        <w:rPr>
          <w:rFonts w:hint="eastAsia" w:ascii="仿宋_GB2312" w:hAnsi="仿宋_GB2312" w:eastAsia="仿宋_GB2312" w:cs="仿宋_GB2312"/>
          <w:b/>
          <w:sz w:val="30"/>
          <w:szCs w:val="30"/>
          <w:highlight w:val="none"/>
          <w:u w:val="dotted"/>
        </w:rPr>
        <w:sectPr>
          <w:footerReference r:id="rId8" w:type="first"/>
          <w:pgSz w:w="11906" w:h="16838"/>
          <w:pgMar w:top="1440" w:right="1800" w:bottom="1440" w:left="1800" w:header="851" w:footer="992" w:gutter="0"/>
          <w:pgNumType w:start="1"/>
          <w:cols w:space="720" w:num="1"/>
          <w:titlePg/>
          <w:docGrid w:type="lines" w:linePitch="312" w:charSpace="0"/>
        </w:sectPr>
      </w:pPr>
    </w:p>
    <w:bookmarkEnd w:id="70"/>
    <w:p>
      <w:pPr>
        <w:pStyle w:val="34"/>
        <w:keepLines w:val="0"/>
        <w:tabs>
          <w:tab w:val="right" w:leader="dot" w:pos="8296"/>
        </w:tabs>
        <w:kinsoku/>
        <w:overflowPunct/>
        <w:topLinePunct w:val="0"/>
        <w:bidi w:val="0"/>
        <w:spacing w:line="360" w:lineRule="auto"/>
        <w:ind w:firstLine="643" w:firstLineChars="200"/>
        <w:jc w:val="center"/>
        <w:outlineLvl w:val="9"/>
        <w:rPr>
          <w:rFonts w:hint="eastAsia" w:ascii="仿宋_GB2312" w:hAnsi="仿宋_GB2312" w:eastAsia="仿宋_GB2312" w:cs="仿宋_GB2312"/>
          <w:b/>
          <w:bCs/>
          <w:sz w:val="32"/>
          <w:highlight w:val="none"/>
        </w:rPr>
      </w:pPr>
      <w:bookmarkStart w:id="71" w:name="_Toc12892"/>
      <w:r>
        <w:rPr>
          <w:rFonts w:hint="eastAsia" w:ascii="仿宋_GB2312" w:hAnsi="仿宋_GB2312" w:eastAsia="仿宋_GB2312" w:cs="仿宋_GB2312"/>
          <w:b/>
          <w:sz w:val="32"/>
          <w:szCs w:val="32"/>
          <w:highlight w:val="none"/>
        </w:rPr>
        <w:t>第一部分 合同协议书</w:t>
      </w:r>
      <w:bookmarkEnd w:id="69"/>
      <w:bookmarkEnd w:id="71"/>
    </w:p>
    <w:p>
      <w:pPr>
        <w:keepLines w:val="0"/>
        <w:kinsoku/>
        <w:overflowPunct/>
        <w:topLinePunct w:val="0"/>
        <w:bidi w:val="0"/>
        <w:snapToGrid w:val="0"/>
        <w:spacing w:line="360" w:lineRule="auto"/>
        <w:ind w:firstLine="482" w:firstLineChars="200"/>
        <w:outlineLvl w:val="9"/>
        <w:rPr>
          <w:rFonts w:hint="eastAsia" w:ascii="仿宋_GB2312" w:hAnsi="仿宋_GB2312" w:eastAsia="仿宋_GB2312" w:cs="仿宋_GB2312"/>
          <w:b/>
          <w:sz w:val="24"/>
          <w:highlight w:val="none"/>
        </w:rPr>
      </w:pPr>
    </w:p>
    <w:p>
      <w:pPr>
        <w:keepLines w:val="0"/>
        <w:kinsoku/>
        <w:overflowPunct/>
        <w:topLinePunct w:val="0"/>
        <w:bidi w:val="0"/>
        <w:snapToGrid w:val="0"/>
        <w:spacing w:line="360" w:lineRule="auto"/>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投 保 人：</w:t>
      </w:r>
      <w:r>
        <w:rPr>
          <w:rFonts w:hint="eastAsia" w:ascii="仿宋_GB2312" w:hAnsi="仿宋_GB2312" w:eastAsia="仿宋_GB2312" w:cs="仿宋_GB2312"/>
          <w:b w:val="0"/>
          <w:sz w:val="24"/>
          <w:szCs w:val="20"/>
          <w:highlight w:val="none"/>
          <w:u w:val="single"/>
        </w:rPr>
        <w:t xml:space="preserve"> </w:t>
      </w:r>
      <w:r>
        <w:rPr>
          <w:rFonts w:hint="eastAsia" w:ascii="仿宋_GB2312" w:hAnsi="仿宋_GB2312" w:eastAsia="仿宋_GB2312" w:cs="仿宋_GB2312"/>
          <w:sz w:val="24"/>
          <w:szCs w:val="20"/>
          <w:highlight w:val="none"/>
          <w:u w:val="single"/>
          <w:lang w:val="en-US" w:eastAsia="zh-CN"/>
        </w:rPr>
        <w:t>长沙市轨道交通运营有限公司</w:t>
      </w:r>
      <w:r>
        <w:rPr>
          <w:rFonts w:hint="eastAsia" w:ascii="仿宋_GB2312" w:hAnsi="仿宋_GB2312" w:eastAsia="仿宋_GB2312" w:cs="仿宋_GB2312"/>
          <w:b/>
          <w:sz w:val="24"/>
          <w:szCs w:val="24"/>
          <w:highlight w:val="none"/>
          <w:u w:val="single"/>
        </w:rPr>
        <w:t xml:space="preserve"> </w:t>
      </w:r>
    </w:p>
    <w:p>
      <w:pPr>
        <w:keepLines w:val="0"/>
        <w:widowControl/>
        <w:kinsoku/>
        <w:overflowPunct/>
        <w:topLinePunct w:val="0"/>
        <w:bidi w:val="0"/>
        <w:snapToGrid w:val="0"/>
        <w:spacing w:line="360" w:lineRule="auto"/>
        <w:outlineLvl w:val="9"/>
        <w:rPr>
          <w:rFonts w:hint="eastAsia" w:ascii="仿宋_GB2312" w:hAnsi="仿宋_GB2312" w:eastAsia="仿宋_GB2312" w:cs="仿宋_GB2312"/>
          <w:kern w:val="0"/>
          <w:sz w:val="24"/>
          <w:szCs w:val="24"/>
          <w:highlight w:val="none"/>
          <w:u w:val="single"/>
        </w:rPr>
      </w:pPr>
      <w:r>
        <w:rPr>
          <w:rFonts w:hint="eastAsia" w:ascii="仿宋_GB2312" w:hAnsi="仿宋_GB2312" w:eastAsia="仿宋_GB2312" w:cs="仿宋_GB2312"/>
          <w:b/>
          <w:kern w:val="0"/>
          <w:sz w:val="24"/>
          <w:szCs w:val="24"/>
          <w:highlight w:val="none"/>
        </w:rPr>
        <w:t>承 保 人：</w:t>
      </w:r>
      <w:r>
        <w:rPr>
          <w:rFonts w:hint="eastAsia" w:ascii="仿宋_GB2312" w:hAnsi="仿宋_GB2312" w:eastAsia="仿宋_GB2312" w:cs="仿宋_GB2312"/>
          <w:b/>
          <w:sz w:val="24"/>
          <w:szCs w:val="24"/>
          <w:highlight w:val="none"/>
          <w:u w:val="single"/>
        </w:rPr>
        <w:t xml:space="preserve">                       </w:t>
      </w:r>
    </w:p>
    <w:p>
      <w:pPr>
        <w:keepLines w:val="0"/>
        <w:kinsoku/>
        <w:overflowPunct/>
        <w:topLinePunct w:val="0"/>
        <w:autoSpaceDE w:val="0"/>
        <w:autoSpaceDN w:val="0"/>
        <w:bidi w:val="0"/>
        <w:snapToGrid w:val="0"/>
        <w:spacing w:line="360" w:lineRule="auto"/>
        <w:ind w:firstLine="480" w:firstLineChars="200"/>
        <w:outlineLvl w:val="9"/>
        <w:rPr>
          <w:rFonts w:hint="eastAsia" w:ascii="仿宋_GB2312" w:hAnsi="仿宋_GB2312" w:eastAsia="仿宋_GB2312" w:cs="仿宋_GB2312"/>
          <w:position w:val="6"/>
          <w:sz w:val="24"/>
          <w:highlight w:val="none"/>
        </w:rPr>
      </w:pPr>
      <w:r>
        <w:rPr>
          <w:rFonts w:hint="eastAsia" w:ascii="仿宋_GB2312" w:hAnsi="仿宋_GB2312" w:eastAsia="仿宋_GB2312" w:cs="仿宋_GB2312"/>
          <w:sz w:val="24"/>
          <w:highlight w:val="none"/>
        </w:rPr>
        <w:t>根据《中华人民共和国</w:t>
      </w:r>
      <w:r>
        <w:rPr>
          <w:rFonts w:hint="eastAsia" w:ascii="仿宋_GB2312" w:hAnsi="仿宋_GB2312" w:eastAsia="仿宋_GB2312" w:cs="仿宋_GB2312"/>
          <w:sz w:val="24"/>
          <w:highlight w:val="none"/>
          <w:lang w:eastAsia="zh-CN"/>
        </w:rPr>
        <w:t>民法典</w:t>
      </w:r>
      <w:r>
        <w:rPr>
          <w:rFonts w:hint="eastAsia" w:ascii="仿宋_GB2312" w:hAnsi="仿宋_GB2312" w:eastAsia="仿宋_GB2312" w:cs="仿宋_GB2312"/>
          <w:sz w:val="24"/>
          <w:highlight w:val="none"/>
        </w:rPr>
        <w:t>》、《中华人民共和国保险法》及有关法律规定，遵循平等、自愿、公平和诚实信用的原则，双方按照“快处快赔、应赔尽赔”原则就下述投保项目的运营期保险及有关事项协商一致，共同签订本合同。</w:t>
      </w:r>
    </w:p>
    <w:p>
      <w:pPr>
        <w:keepLines w:val="0"/>
        <w:kinsoku/>
        <w:overflowPunct/>
        <w:topLinePunct w:val="0"/>
        <w:autoSpaceDE w:val="0"/>
        <w:autoSpaceDN w:val="0"/>
        <w:bidi w:val="0"/>
        <w:snapToGrid w:val="0"/>
        <w:spacing w:line="360" w:lineRule="auto"/>
        <w:ind w:firstLine="482" w:firstLineChars="200"/>
        <w:outlineLvl w:val="9"/>
        <w:rPr>
          <w:rFonts w:hint="eastAsia" w:ascii="仿宋_GB2312" w:hAnsi="仿宋_GB2312" w:eastAsia="仿宋_GB2312" w:cs="仿宋_GB2312"/>
          <w:b/>
          <w:position w:val="6"/>
          <w:sz w:val="24"/>
          <w:highlight w:val="none"/>
          <w:u w:val="single"/>
        </w:rPr>
      </w:pPr>
      <w:bookmarkStart w:id="72" w:name="_Toc4670"/>
      <w:r>
        <w:rPr>
          <w:rFonts w:hint="eastAsia" w:ascii="仿宋_GB2312" w:hAnsi="仿宋_GB2312" w:eastAsia="仿宋_GB2312" w:cs="仿宋_GB2312"/>
          <w:b/>
          <w:position w:val="6"/>
          <w:sz w:val="24"/>
          <w:highlight w:val="none"/>
        </w:rPr>
        <w:t>1、投保项目</w:t>
      </w:r>
      <w:bookmarkEnd w:id="72"/>
    </w:p>
    <w:p>
      <w:pPr>
        <w:keepLines w:val="0"/>
        <w:kinsoku/>
        <w:overflowPunct/>
        <w:topLinePunct w:val="0"/>
        <w:autoSpaceDE w:val="0"/>
        <w:autoSpaceDN w:val="0"/>
        <w:bidi w:val="0"/>
        <w:snapToGrid w:val="0"/>
        <w:spacing w:line="360" w:lineRule="auto"/>
        <w:ind w:firstLine="480" w:firstLineChars="200"/>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1.1项目名称：</w:t>
      </w:r>
      <w:r>
        <w:rPr>
          <w:rFonts w:hint="eastAsia" w:ascii="仿宋_GB2312" w:hAnsi="仿宋_GB2312" w:eastAsia="仿宋_GB2312" w:cs="仿宋_GB2312"/>
          <w:sz w:val="24"/>
          <w:szCs w:val="20"/>
          <w:highlight w:val="none"/>
          <w:u w:val="single"/>
          <w:lang w:eastAsia="zh-CN"/>
        </w:rPr>
        <w:t>长沙市轨道交通运营有限公司西环线202</w:t>
      </w:r>
      <w:r>
        <w:rPr>
          <w:rFonts w:hint="eastAsia" w:ascii="仿宋_GB2312" w:hAnsi="仿宋_GB2312" w:eastAsia="仿宋_GB2312" w:cs="仿宋_GB2312"/>
          <w:sz w:val="24"/>
          <w:szCs w:val="20"/>
          <w:highlight w:val="none"/>
          <w:u w:val="single"/>
          <w:lang w:val="en-US" w:eastAsia="zh-CN"/>
        </w:rPr>
        <w:t>3</w:t>
      </w:r>
      <w:r>
        <w:rPr>
          <w:rFonts w:hint="eastAsia" w:ascii="仿宋_GB2312" w:hAnsi="仿宋_GB2312" w:eastAsia="仿宋_GB2312" w:cs="仿宋_GB2312"/>
          <w:sz w:val="24"/>
          <w:szCs w:val="20"/>
          <w:highlight w:val="none"/>
          <w:u w:val="single"/>
          <w:lang w:eastAsia="zh-CN"/>
        </w:rPr>
        <w:t>—202</w:t>
      </w:r>
      <w:r>
        <w:rPr>
          <w:rFonts w:hint="eastAsia" w:ascii="仿宋_GB2312" w:hAnsi="仿宋_GB2312" w:eastAsia="仿宋_GB2312" w:cs="仿宋_GB2312"/>
          <w:sz w:val="24"/>
          <w:szCs w:val="20"/>
          <w:highlight w:val="none"/>
          <w:u w:val="single"/>
          <w:lang w:val="en-US" w:eastAsia="zh-CN"/>
        </w:rPr>
        <w:t>4</w:t>
      </w:r>
      <w:r>
        <w:rPr>
          <w:rFonts w:hint="eastAsia" w:ascii="仿宋_GB2312" w:hAnsi="仿宋_GB2312" w:eastAsia="仿宋_GB2312" w:cs="仿宋_GB2312"/>
          <w:sz w:val="24"/>
          <w:szCs w:val="20"/>
          <w:highlight w:val="none"/>
          <w:u w:val="single"/>
          <w:lang w:eastAsia="zh-CN"/>
        </w:rPr>
        <w:t>年保险服务项目</w:t>
      </w:r>
      <w:r>
        <w:rPr>
          <w:rFonts w:hint="eastAsia" w:ascii="仿宋_GB2312" w:hAnsi="仿宋_GB2312" w:eastAsia="仿宋_GB2312" w:cs="仿宋_GB2312"/>
          <w:sz w:val="24"/>
          <w:highlight w:val="none"/>
          <w:u w:val="single"/>
        </w:rPr>
        <w:t xml:space="preserve"> </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1.2项目概况：</w:t>
      </w:r>
      <w:r>
        <w:rPr>
          <w:rFonts w:hint="eastAsia" w:ascii="仿宋_GB2312" w:hAnsi="仿宋_GB2312" w:eastAsia="仿宋_GB2312" w:cs="仿宋_GB2312"/>
          <w:b w:val="0"/>
          <w:sz w:val="24"/>
          <w:highlight w:val="none"/>
          <w:u w:val="single"/>
        </w:rPr>
        <w:t xml:space="preserve"> </w:t>
      </w:r>
      <w:r>
        <w:rPr>
          <w:rFonts w:hint="eastAsia" w:ascii="仿宋_GB2312" w:hAnsi="仿宋_GB2312" w:eastAsia="仿宋_GB2312" w:cs="仿宋_GB2312"/>
          <w:b w:val="0"/>
          <w:sz w:val="24"/>
          <w:highlight w:val="none"/>
          <w:u w:val="single"/>
          <w:lang w:val="en-US" w:eastAsia="zh-CN"/>
        </w:rPr>
        <w:t>详见用户需求书</w:t>
      </w:r>
      <w:r>
        <w:rPr>
          <w:rFonts w:hint="eastAsia" w:ascii="仿宋_GB2312" w:hAnsi="仿宋_GB2312" w:eastAsia="仿宋_GB2312" w:cs="仿宋_GB2312"/>
          <w:b/>
          <w:sz w:val="24"/>
          <w:highlight w:val="none"/>
          <w:u w:val="single"/>
        </w:rPr>
        <w:t xml:space="preserve"> </w:t>
      </w:r>
    </w:p>
    <w:p>
      <w:pPr>
        <w:keepLines w:val="0"/>
        <w:kinsoku/>
        <w:overflowPunct/>
        <w:topLinePunct w:val="0"/>
        <w:bidi w:val="0"/>
        <w:adjustRightInd w:val="0"/>
        <w:snapToGrid w:val="0"/>
        <w:spacing w:line="360" w:lineRule="auto"/>
        <w:ind w:firstLine="482" w:firstLineChars="200"/>
        <w:outlineLvl w:val="9"/>
        <w:rPr>
          <w:rFonts w:hint="eastAsia" w:ascii="仿宋_GB2312" w:hAnsi="仿宋_GB2312" w:eastAsia="仿宋_GB2312" w:cs="仿宋_GB2312"/>
          <w:b/>
          <w:sz w:val="24"/>
          <w:highlight w:val="none"/>
        </w:rPr>
      </w:pPr>
      <w:bookmarkStart w:id="73" w:name="_Toc30694"/>
      <w:r>
        <w:rPr>
          <w:rFonts w:hint="eastAsia" w:ascii="仿宋_GB2312" w:hAnsi="仿宋_GB2312" w:eastAsia="仿宋_GB2312" w:cs="仿宋_GB2312"/>
          <w:b/>
          <w:sz w:val="24"/>
          <w:highlight w:val="none"/>
        </w:rPr>
        <w:t>2、保险险种</w:t>
      </w:r>
      <w:bookmarkEnd w:id="73"/>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保险险种为：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u w:val="single"/>
        </w:rPr>
        <w:t>财产一切险（附加机器损坏险）</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公众责任险</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雇主责任险</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团体责任险</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，具体详见“运营期保险需求”。</w:t>
      </w:r>
    </w:p>
    <w:p>
      <w:pPr>
        <w:keepLines w:val="0"/>
        <w:kinsoku/>
        <w:overflowPunct/>
        <w:topLinePunct w:val="0"/>
        <w:bidi w:val="0"/>
        <w:adjustRightInd w:val="0"/>
        <w:snapToGrid w:val="0"/>
        <w:spacing w:line="360" w:lineRule="auto"/>
        <w:ind w:firstLine="482" w:firstLineChars="200"/>
        <w:outlineLvl w:val="9"/>
        <w:rPr>
          <w:rFonts w:hint="eastAsia" w:ascii="仿宋_GB2312" w:hAnsi="仿宋_GB2312" w:eastAsia="仿宋_GB2312" w:cs="仿宋_GB2312"/>
          <w:b/>
          <w:sz w:val="24"/>
          <w:highlight w:val="none"/>
        </w:rPr>
      </w:pPr>
      <w:bookmarkStart w:id="74" w:name="_Toc13044"/>
      <w:r>
        <w:rPr>
          <w:rFonts w:hint="eastAsia" w:ascii="仿宋_GB2312" w:hAnsi="仿宋_GB2312" w:eastAsia="仿宋_GB2312" w:cs="仿宋_GB2312"/>
          <w:b/>
          <w:sz w:val="24"/>
          <w:highlight w:val="none"/>
        </w:rPr>
        <w:t>3、保险期限</w:t>
      </w:r>
      <w:bookmarkEnd w:id="74"/>
      <w:r>
        <w:rPr>
          <w:rFonts w:hint="eastAsia" w:ascii="仿宋_GB2312" w:hAnsi="仿宋_GB2312" w:eastAsia="仿宋_GB2312" w:cs="仿宋_GB2312"/>
          <w:b/>
          <w:sz w:val="24"/>
          <w:highlight w:val="none"/>
        </w:rPr>
        <w:t>及被保险人</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b/>
          <w:sz w:val="24"/>
          <w:highlight w:val="none"/>
          <w:u w:val="single"/>
        </w:rPr>
      </w:pPr>
      <w:r>
        <w:rPr>
          <w:rFonts w:hint="eastAsia" w:ascii="仿宋_GB2312" w:hAnsi="仿宋_GB2312" w:eastAsia="仿宋_GB2312" w:cs="仿宋_GB2312"/>
          <w:sz w:val="24"/>
          <w:highlight w:val="none"/>
        </w:rPr>
        <w:t>3.1保险期限为：</w:t>
      </w:r>
      <w:r>
        <w:rPr>
          <w:rFonts w:hint="eastAsia" w:ascii="仿宋_GB2312" w:hAnsi="仿宋_GB2312" w:eastAsia="仿宋_GB2312" w:cs="仿宋_GB2312"/>
          <w:b/>
          <w:sz w:val="24"/>
          <w:highlight w:val="none"/>
          <w:u w:val="single"/>
        </w:rPr>
        <w:t xml:space="preserve"> </w:t>
      </w:r>
      <w:r>
        <w:rPr>
          <w:rFonts w:hint="eastAsia" w:ascii="仿宋_GB2312" w:hAnsi="仿宋_GB2312" w:eastAsia="仿宋_GB2312" w:cs="仿宋_GB2312"/>
          <w:b w:val="0"/>
          <w:sz w:val="24"/>
          <w:highlight w:val="none"/>
          <w:u w:val="single"/>
          <w:lang w:val="en-US" w:eastAsia="zh-CN"/>
        </w:rPr>
        <w:t>与招采文件一致</w:t>
      </w:r>
      <w:r>
        <w:rPr>
          <w:rFonts w:hint="eastAsia" w:ascii="仿宋_GB2312" w:hAnsi="仿宋_GB2312" w:eastAsia="仿宋_GB2312" w:cs="仿宋_GB2312"/>
          <w:b/>
          <w:sz w:val="24"/>
          <w:highlight w:val="none"/>
          <w:u w:val="single"/>
        </w:rPr>
        <w:t xml:space="preserve"> </w:t>
      </w:r>
      <w:r>
        <w:rPr>
          <w:rFonts w:hint="eastAsia" w:ascii="仿宋_GB2312" w:hAnsi="仿宋_GB2312" w:eastAsia="仿宋_GB2312" w:cs="仿宋_GB2312"/>
          <w:sz w:val="24"/>
          <w:highlight w:val="none"/>
        </w:rPr>
        <w:t>，具体详见“运营期保险需求”。</w:t>
      </w:r>
      <w:r>
        <w:rPr>
          <w:rFonts w:hint="eastAsia" w:ascii="仿宋_GB2312" w:hAnsi="仿宋_GB2312" w:eastAsia="仿宋_GB2312" w:cs="仿宋_GB2312"/>
          <w:b/>
          <w:sz w:val="24"/>
          <w:highlight w:val="none"/>
          <w:u w:val="single"/>
        </w:rPr>
        <w:t xml:space="preserve">    </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b/>
          <w:sz w:val="24"/>
          <w:highlight w:val="none"/>
          <w:u w:val="single"/>
        </w:rPr>
      </w:pPr>
      <w:r>
        <w:rPr>
          <w:rFonts w:hint="eastAsia" w:ascii="仿宋_GB2312" w:hAnsi="仿宋_GB2312" w:eastAsia="仿宋_GB2312" w:cs="仿宋_GB2312"/>
          <w:sz w:val="24"/>
          <w:highlight w:val="none"/>
        </w:rPr>
        <w:t>3.2被保险人为：</w:t>
      </w:r>
      <w:r>
        <w:rPr>
          <w:rFonts w:hint="eastAsia" w:ascii="仿宋_GB2312" w:hAnsi="仿宋_GB2312" w:eastAsia="仿宋_GB2312" w:cs="仿宋_GB2312"/>
          <w:b/>
          <w:sz w:val="24"/>
          <w:highlight w:val="none"/>
          <w:u w:val="single"/>
        </w:rPr>
        <w:t xml:space="preserve"> </w:t>
      </w:r>
      <w:r>
        <w:rPr>
          <w:rFonts w:hint="eastAsia" w:ascii="仿宋_GB2312" w:hAnsi="仿宋_GB2312" w:eastAsia="仿宋_GB2312" w:cs="仿宋_GB2312"/>
          <w:b w:val="0"/>
          <w:sz w:val="24"/>
          <w:highlight w:val="none"/>
          <w:u w:val="single"/>
          <w:lang w:val="en-US" w:eastAsia="zh-CN"/>
        </w:rPr>
        <w:t>与招采文件一致</w:t>
      </w:r>
      <w:r>
        <w:rPr>
          <w:rFonts w:hint="eastAsia" w:ascii="仿宋_GB2312" w:hAnsi="仿宋_GB2312" w:eastAsia="仿宋_GB2312" w:cs="仿宋_GB2312"/>
          <w:sz w:val="24"/>
          <w:highlight w:val="none"/>
        </w:rPr>
        <w:t>，具体详见“运营期保险需求”。</w:t>
      </w:r>
      <w:r>
        <w:rPr>
          <w:rFonts w:hint="eastAsia" w:ascii="仿宋_GB2312" w:hAnsi="仿宋_GB2312" w:eastAsia="仿宋_GB2312" w:cs="仿宋_GB2312"/>
          <w:b/>
          <w:sz w:val="24"/>
          <w:highlight w:val="none"/>
          <w:u w:val="single"/>
        </w:rPr>
        <w:t xml:space="preserve">    </w:t>
      </w:r>
    </w:p>
    <w:p>
      <w:pPr>
        <w:keepLines w:val="0"/>
        <w:kinsoku/>
        <w:overflowPunct/>
        <w:topLinePunct w:val="0"/>
        <w:bidi w:val="0"/>
        <w:adjustRightInd w:val="0"/>
        <w:snapToGrid w:val="0"/>
        <w:spacing w:line="360" w:lineRule="auto"/>
        <w:ind w:firstLine="482" w:firstLineChars="200"/>
        <w:outlineLvl w:val="9"/>
        <w:rPr>
          <w:rFonts w:hint="eastAsia" w:ascii="仿宋_GB2312" w:hAnsi="仿宋_GB2312" w:eastAsia="仿宋_GB2312" w:cs="仿宋_GB2312"/>
          <w:sz w:val="24"/>
          <w:highlight w:val="none"/>
        </w:rPr>
      </w:pPr>
      <w:bookmarkStart w:id="75" w:name="_Toc2538"/>
      <w:r>
        <w:rPr>
          <w:rFonts w:hint="eastAsia" w:ascii="仿宋_GB2312" w:hAnsi="仿宋_GB2312" w:eastAsia="仿宋_GB2312" w:cs="仿宋_GB2312"/>
          <w:b/>
          <w:sz w:val="24"/>
          <w:highlight w:val="none"/>
        </w:rPr>
        <w:t>4、保险合同组成</w:t>
      </w:r>
      <w:bookmarkEnd w:id="75"/>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4.1本次招标所有招投标文件及附件作为保险合同的有效组成部分。包括：</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（1）合同协议书及其附件；</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（2）中标通知书；</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（3）运营期保险需求（其中的保险条款由特别约定、附加条款和基本条款构成，排序在前者效力优先）；</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（4）投保单</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（5）保险单（包括批单）（其中的保险条款由特别约定、附加条款和基本条款构成，排序在前者效力优先）；</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（6）招标文件及澄清补充文件及其它补充资料；</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（7）投标文件及澄清补充文件及其它补充资料；</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（8）经双方确认进入合同的其他文件。</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上述文件互为补充和解释，如有不清之处，以有利于投保人/被保险人的解释为准；如有相互矛盾之处，以上述文件先后顺序为准。</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在合同履行过程中形成的与合同有关的文件均构成合同文件组成部分，并根据其性质确定优先解释顺序。</w:t>
      </w:r>
    </w:p>
    <w:p>
      <w:pPr>
        <w:keepLines w:val="0"/>
        <w:kinsoku/>
        <w:overflowPunct/>
        <w:topLinePunct w:val="0"/>
        <w:bidi w:val="0"/>
        <w:adjustRightInd w:val="0"/>
        <w:snapToGrid w:val="0"/>
        <w:spacing w:line="360" w:lineRule="auto"/>
        <w:ind w:firstLine="482" w:firstLineChars="200"/>
        <w:outlineLvl w:val="9"/>
        <w:rPr>
          <w:rFonts w:hint="eastAsia" w:ascii="仿宋_GB2312" w:hAnsi="仿宋_GB2312" w:eastAsia="仿宋_GB2312" w:cs="仿宋_GB2312"/>
          <w:b/>
          <w:sz w:val="24"/>
          <w:highlight w:val="none"/>
        </w:rPr>
      </w:pPr>
      <w:bookmarkStart w:id="76" w:name="_Toc461094747"/>
      <w:bookmarkStart w:id="77" w:name="_Toc18455"/>
      <w:r>
        <w:rPr>
          <w:rFonts w:hint="eastAsia" w:ascii="仿宋_GB2312" w:hAnsi="仿宋_GB2312" w:eastAsia="仿宋_GB2312" w:cs="仿宋_GB2312"/>
          <w:b/>
          <w:sz w:val="24"/>
          <w:highlight w:val="none"/>
        </w:rPr>
        <w:t>5、</w:t>
      </w:r>
      <w:bookmarkEnd w:id="76"/>
      <w:bookmarkStart w:id="78" w:name="_Toc461094749"/>
      <w:r>
        <w:rPr>
          <w:rFonts w:hint="eastAsia" w:ascii="仿宋_GB2312" w:hAnsi="仿宋_GB2312" w:eastAsia="仿宋_GB2312" w:cs="仿宋_GB2312"/>
          <w:b/>
          <w:sz w:val="24"/>
          <w:highlight w:val="none"/>
        </w:rPr>
        <w:t>投保出单</w:t>
      </w:r>
      <w:bookmarkEnd w:id="77"/>
      <w:bookmarkEnd w:id="78"/>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5.1由承保人根据本合同约定出具保险单。</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bookmarkStart w:id="79" w:name="_Toc461094750"/>
      <w:r>
        <w:rPr>
          <w:rFonts w:hint="eastAsia" w:ascii="仿宋_GB2312" w:hAnsi="仿宋_GB2312" w:eastAsia="仿宋_GB2312" w:cs="仿宋_GB2312"/>
          <w:position w:val="6"/>
          <w:sz w:val="24"/>
          <w:highlight w:val="none"/>
        </w:rPr>
        <w:t>5.2承保人每年出具对应年度保险单，每一年度保单的保险期限为一年。</w:t>
      </w:r>
    </w:p>
    <w:p>
      <w:pPr>
        <w:keepLines w:val="0"/>
        <w:kinsoku/>
        <w:overflowPunct/>
        <w:topLinePunct w:val="0"/>
        <w:bidi w:val="0"/>
        <w:adjustRightInd w:val="0"/>
        <w:snapToGrid w:val="0"/>
        <w:spacing w:line="360" w:lineRule="auto"/>
        <w:ind w:firstLine="482" w:firstLineChars="200"/>
        <w:outlineLvl w:val="9"/>
        <w:rPr>
          <w:rFonts w:hint="eastAsia" w:ascii="仿宋_GB2312" w:hAnsi="仿宋_GB2312" w:eastAsia="仿宋_GB2312" w:cs="仿宋_GB2312"/>
          <w:b/>
          <w:sz w:val="24"/>
          <w:highlight w:val="none"/>
        </w:rPr>
      </w:pPr>
      <w:bookmarkStart w:id="80" w:name="_Toc29202"/>
      <w:r>
        <w:rPr>
          <w:rFonts w:hint="eastAsia" w:ascii="仿宋_GB2312" w:hAnsi="仿宋_GB2312" w:eastAsia="仿宋_GB2312" w:cs="仿宋_GB2312"/>
          <w:b/>
          <w:sz w:val="24"/>
          <w:highlight w:val="none"/>
        </w:rPr>
        <w:t>6、保险费及其支付方式</w:t>
      </w:r>
      <w:bookmarkEnd w:id="79"/>
      <w:bookmarkEnd w:id="80"/>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6.1 保险费</w:t>
      </w:r>
    </w:p>
    <w:p>
      <w:pPr>
        <w:keepLines w:val="0"/>
        <w:kinsoku/>
        <w:overflowPunct/>
        <w:topLinePunct w:val="0"/>
        <w:bidi w:val="0"/>
        <w:adjustRightInd w:val="0"/>
        <w:snapToGrid w:val="0"/>
        <w:spacing w:line="360" w:lineRule="auto"/>
        <w:ind w:firstLine="480" w:firstLineChars="200"/>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6.1.1暂定保险费</w:t>
      </w:r>
      <w:r>
        <w:rPr>
          <w:rFonts w:hint="eastAsia" w:ascii="仿宋_GB2312" w:hAnsi="仿宋_GB2312" w:eastAsia="仿宋_GB2312" w:cs="仿宋_GB2312"/>
          <w:sz w:val="24"/>
          <w:szCs w:val="24"/>
          <w:highlight w:val="none"/>
        </w:rPr>
        <w:t>为含增值税价</w:t>
      </w:r>
      <w:r>
        <w:rPr>
          <w:rFonts w:hint="default" w:ascii="Times New Roman" w:hAnsi="Times New Roman" w:eastAsia="仿宋_GB2312" w:cs="Times New Roman"/>
          <w:sz w:val="24"/>
          <w:szCs w:val="24"/>
          <w:highlight w:val="none"/>
        </w:rPr>
        <w:t>，金额为人民币（大写）</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），其中，不含增值税</w:t>
      </w:r>
      <w:r>
        <w:rPr>
          <w:rFonts w:hint="default" w:ascii="Times New Roman" w:hAnsi="Times New Roman" w:eastAsia="仿宋_GB2312" w:cs="Times New Roman"/>
          <w:sz w:val="24"/>
          <w:highlight w:val="none"/>
        </w:rPr>
        <w:t>暂定保险费</w:t>
      </w:r>
      <w:r>
        <w:rPr>
          <w:rFonts w:hint="default" w:ascii="Times New Roman" w:hAnsi="Times New Roman" w:eastAsia="仿宋_GB2312" w:cs="Times New Roman"/>
          <w:sz w:val="24"/>
          <w:szCs w:val="24"/>
          <w:highlight w:val="none"/>
        </w:rPr>
        <w:t>为</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highlight w:val="none"/>
        </w:rPr>
        <w:t>暂定保险费</w:t>
      </w:r>
      <w:r>
        <w:rPr>
          <w:rFonts w:hint="default" w:ascii="Times New Roman" w:hAnsi="Times New Roman" w:eastAsia="仿宋_GB2312" w:cs="Times New Roman"/>
          <w:sz w:val="24"/>
          <w:szCs w:val="24"/>
          <w:highlight w:val="none"/>
        </w:rPr>
        <w:t>中的增值税为</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w:t>
      </w:r>
      <w:r>
        <w:rPr>
          <w:rFonts w:hint="eastAsia" w:ascii="仿宋_GB2312" w:hAnsi="仿宋_GB2312" w:eastAsia="仿宋_GB2312" w:cs="仿宋_GB2312"/>
          <w:sz w:val="24"/>
          <w:szCs w:val="24"/>
          <w:highlight w:val="none"/>
        </w:rPr>
        <w:t>增值税根据承保人提供给投保人的增值税专用发票中的税额据实支付和结算</w:t>
      </w:r>
      <w:r>
        <w:rPr>
          <w:rFonts w:hint="eastAsia" w:ascii="仿宋_GB2312" w:hAnsi="仿宋_GB2312" w:eastAsia="仿宋_GB2312" w:cs="仿宋_GB2312"/>
          <w:sz w:val="24"/>
          <w:highlight w:val="none"/>
        </w:rPr>
        <w:t>。其中：</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年度财产一切险（附加机器损坏险）费率为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%，年度财产一切险保险费为人民币</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元；</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□年度公众责任险费率为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%，年度公众责任险保险费为人民币</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元；</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□年度雇主责任险费率为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%，年度雇主责任险保险费为人民币</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元；</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□年度团体责任险费率为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%，年度团体责任险保险费为人民币</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元；</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□年度</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险费率为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%，年度</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险保险费为人民币</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元。</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6.1.2后续年度</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u w:val="single"/>
        </w:rPr>
        <w:t>财产一切险（附加机器损坏险）</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公众责任险</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雇主责任险</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团体责任险</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的费率及保险费如需调整，参照本合同的“10、保险条件调整”执行，以最终商定的条件为准，但调整后的费率及总保险费均不得高于招标文件中规定的上限值。</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财产一切险（附加机器损坏险）在保险期限内资产如有增减，保险费按“运营期保险需求”调整支付。</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6.1.3</w:t>
      </w:r>
      <w:r>
        <w:rPr>
          <w:rFonts w:hint="eastAsia" w:ascii="仿宋_GB2312" w:hAnsi="仿宋_GB2312" w:eastAsia="仿宋_GB2312" w:cs="仿宋_GB2312"/>
          <w:bCs/>
          <w:sz w:val="24"/>
          <w:highlight w:val="none"/>
        </w:rPr>
        <w:t>按</w:t>
      </w:r>
      <w:r>
        <w:rPr>
          <w:rFonts w:hint="eastAsia" w:ascii="仿宋_GB2312" w:hAnsi="仿宋_GB2312" w:eastAsia="仿宋_GB2312" w:cs="仿宋_GB2312"/>
          <w:kern w:val="0"/>
          <w:sz w:val="24"/>
          <w:szCs w:val="22"/>
          <w:highlight w:val="none"/>
          <w:shd w:val="clear" w:color="auto" w:fill="FFFFFF"/>
        </w:rPr>
        <w:t>长沙市政府或其职能部门相关规定，本项目的</w:t>
      </w:r>
      <w:r>
        <w:rPr>
          <w:rFonts w:hint="eastAsia" w:ascii="仿宋_GB2312" w:hAnsi="仿宋_GB2312" w:eastAsia="仿宋_GB2312" w:cs="仿宋_GB2312"/>
          <w:sz w:val="24"/>
          <w:highlight w:val="none"/>
        </w:rPr>
        <w:t>保险费</w:t>
      </w:r>
      <w:r>
        <w:rPr>
          <w:rFonts w:hint="eastAsia" w:ascii="仿宋_GB2312" w:hAnsi="仿宋_GB2312" w:eastAsia="仿宋_GB2312" w:cs="仿宋_GB2312"/>
          <w:kern w:val="0"/>
          <w:sz w:val="24"/>
          <w:szCs w:val="22"/>
          <w:highlight w:val="none"/>
          <w:shd w:val="clear" w:color="auto" w:fill="FFFFFF"/>
        </w:rPr>
        <w:t>最终以长沙市政府相关职能部门或长沙市轨道交通集团有限公司授权的单位审定价款为准。</w:t>
      </w:r>
      <w:r>
        <w:rPr>
          <w:rFonts w:hint="eastAsia" w:ascii="仿宋_GB2312" w:hAnsi="仿宋_GB2312" w:eastAsia="仿宋_GB2312" w:cs="仿宋_GB2312"/>
          <w:sz w:val="24"/>
          <w:highlight w:val="none"/>
        </w:rPr>
        <w:t>最终保险费</w:t>
      </w:r>
      <w:r>
        <w:rPr>
          <w:rFonts w:hint="eastAsia" w:ascii="仿宋_GB2312" w:hAnsi="仿宋_GB2312" w:eastAsia="仿宋_GB2312" w:cs="仿宋_GB2312"/>
          <w:bCs/>
          <w:sz w:val="24"/>
          <w:highlight w:val="none"/>
        </w:rPr>
        <w:t>包括承保人履行合同且满足运营期保险需求的全部要求所产生的成本、费用、税金、利润、保险、专利、风险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keepLines w:val="0"/>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6.2共保比例（如有）</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rPr>
        <w:t xml:space="preserve">                                </w:t>
      </w:r>
    </w:p>
    <w:p>
      <w:pPr>
        <w:keepLines w:val="0"/>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6.3支付方式</w:t>
      </w:r>
    </w:p>
    <w:p>
      <w:pPr>
        <w:keepLines w:val="0"/>
        <w:tabs>
          <w:tab w:val="left" w:pos="851"/>
        </w:tabs>
        <w:kinsoku/>
        <w:overflowPunct/>
        <w:topLinePunct w:val="0"/>
        <w:bidi w:val="0"/>
        <w:adjustRightInd w:val="0"/>
        <w:snapToGrid w:val="0"/>
        <w:spacing w:line="360" w:lineRule="auto"/>
        <w:ind w:firstLine="480" w:firstLineChars="200"/>
        <w:textAlignment w:val="baseline"/>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6.3.1中间支付：本项目保险单为一年一开，本合同签订生效且承保人每次签发保险单后，支付每次保单相应保险费的70%。</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6.3.2结算支付：本合同保险期满，且最终保险费按照长沙市政府或其职能部门相关规定经长沙市政府相关职能部门或长沙市轨道交通集团有限公司授权的单位审定后，支付至最终保险费的100%。</w:t>
      </w:r>
    </w:p>
    <w:p>
      <w:pPr>
        <w:keepLines w:val="0"/>
        <w:kinsoku/>
        <w:overflowPunct/>
        <w:topLinePunct w:val="0"/>
        <w:autoSpaceDE w:val="0"/>
        <w:autoSpaceDN w:val="0"/>
        <w:bidi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项目结算时，财产一切险（附加机器损坏险）最终保险费的计费基数为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u w:val="single"/>
        </w:rPr>
        <w:t>控制价公示说明中明确的计费基数</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本合同投保工程初步设计概算中的工程费用的80%</w:t>
      </w:r>
      <w:r>
        <w:rPr>
          <w:rFonts w:hint="eastAsia" w:ascii="仿宋_GB2312" w:hAnsi="仿宋_GB2312" w:eastAsia="仿宋_GB2312" w:cs="仿宋_GB2312"/>
          <w:sz w:val="24"/>
          <w:highlight w:val="none"/>
        </w:rPr>
        <w:t>。</w:t>
      </w:r>
    </w:p>
    <w:p>
      <w:pPr>
        <w:keepLines w:val="0"/>
        <w:kinsoku/>
        <w:overflowPunct/>
        <w:topLinePunct w:val="0"/>
        <w:autoSpaceDE w:val="0"/>
        <w:autoSpaceDN w:val="0"/>
        <w:bidi w:val="0"/>
        <w:snapToGrid w:val="0"/>
        <w:spacing w:line="360" w:lineRule="auto"/>
        <w:ind w:firstLine="480" w:firstLineChars="200"/>
        <w:outlineLvl w:val="9"/>
        <w:rPr>
          <w:rFonts w:hint="eastAsia" w:ascii="仿宋_GB2312" w:hAnsi="仿宋_GB2312" w:eastAsia="仿宋_GB2312" w:cs="仿宋_GB2312"/>
          <w:b/>
          <w:kern w:val="0"/>
          <w:sz w:val="24"/>
          <w:highlight w:val="none"/>
        </w:rPr>
      </w:pPr>
      <w:r>
        <w:rPr>
          <w:rFonts w:hint="eastAsia" w:ascii="仿宋_GB2312" w:hAnsi="仿宋_GB2312" w:eastAsia="仿宋_GB2312" w:cs="仿宋_GB2312"/>
          <w:sz w:val="24"/>
          <w:highlight w:val="none"/>
        </w:rPr>
        <w:t>6.3.3 上述付款，在承保人按投保人的支付程序办理请款手续并</w:t>
      </w:r>
      <w:r>
        <w:rPr>
          <w:rFonts w:hint="eastAsia" w:ascii="仿宋_GB2312" w:hAnsi="仿宋_GB2312" w:eastAsia="仿宋_GB2312" w:cs="仿宋_GB2312"/>
          <w:sz w:val="24"/>
          <w:highlight w:val="none"/>
          <w:lang w:bidi="en-US"/>
        </w:rPr>
        <w:t>提供增值税专用发票</w:t>
      </w:r>
      <w:r>
        <w:rPr>
          <w:rStyle w:val="58"/>
          <w:rFonts w:hint="eastAsia" w:ascii="仿宋_GB2312" w:hAnsi="仿宋_GB2312" w:eastAsia="仿宋_GB2312" w:cs="仿宋_GB2312"/>
          <w:highlight w:val="none"/>
        </w:rPr>
        <w:t>、</w:t>
      </w:r>
      <w:r>
        <w:rPr>
          <w:rFonts w:hint="eastAsia" w:ascii="仿宋_GB2312" w:hAnsi="仿宋_GB2312" w:eastAsia="仿宋_GB2312" w:cs="仿宋_GB2312"/>
          <w:sz w:val="24"/>
          <w:highlight w:val="none"/>
        </w:rPr>
        <w:t>有效期内的履约担保复印件等相关资料后28个工作日内，由投保人向承保人支付。</w:t>
      </w:r>
    </w:p>
    <w:p>
      <w:pPr>
        <w:keepLines w:val="0"/>
        <w:kinsoku/>
        <w:overflowPunct/>
        <w:topLinePunct w:val="0"/>
        <w:bidi w:val="0"/>
        <w:snapToGrid w:val="0"/>
        <w:spacing w:line="360" w:lineRule="auto"/>
        <w:ind w:firstLine="482" w:firstLineChars="200"/>
        <w:outlineLvl w:val="9"/>
        <w:rPr>
          <w:rFonts w:hint="eastAsia" w:ascii="仿宋_GB2312" w:hAnsi="仿宋_GB2312" w:eastAsia="仿宋_GB2312" w:cs="仿宋_GB2312"/>
          <w:b/>
          <w:position w:val="6"/>
          <w:sz w:val="24"/>
          <w:highlight w:val="none"/>
        </w:rPr>
      </w:pPr>
      <w:bookmarkStart w:id="81" w:name="_Toc461094751"/>
      <w:bookmarkStart w:id="82" w:name="_Toc32143"/>
      <w:r>
        <w:rPr>
          <w:rFonts w:hint="eastAsia" w:ascii="仿宋_GB2312" w:hAnsi="仿宋_GB2312" w:eastAsia="仿宋_GB2312" w:cs="仿宋_GB2312"/>
          <w:b/>
          <w:position w:val="6"/>
          <w:sz w:val="24"/>
          <w:highlight w:val="none"/>
        </w:rPr>
        <w:t>7、承保人服务要求</w:t>
      </w:r>
      <w:bookmarkEnd w:id="81"/>
      <w:r>
        <w:rPr>
          <w:rFonts w:hint="eastAsia" w:ascii="仿宋_GB2312" w:hAnsi="仿宋_GB2312" w:eastAsia="仿宋_GB2312" w:cs="仿宋_GB2312"/>
          <w:b/>
          <w:position w:val="6"/>
          <w:sz w:val="24"/>
          <w:highlight w:val="none"/>
        </w:rPr>
        <w:t>（若为共保体，以下服务内容由首席承保人代表共保体负责执行和落实，共保人内部的职责，按共保协议执行。）</w:t>
      </w:r>
      <w:bookmarkEnd w:id="82"/>
    </w:p>
    <w:p>
      <w:pPr>
        <w:keepLines w:val="0"/>
        <w:kinsoku/>
        <w:overflowPunct/>
        <w:topLinePunct w:val="0"/>
        <w:bidi w:val="0"/>
        <w:snapToGrid w:val="0"/>
        <w:spacing w:line="360" w:lineRule="auto"/>
        <w:ind w:firstLine="482" w:firstLineChars="200"/>
        <w:outlineLvl w:val="9"/>
        <w:rPr>
          <w:rFonts w:hint="eastAsia" w:ascii="仿宋_GB2312" w:hAnsi="仿宋_GB2312" w:eastAsia="仿宋_GB2312" w:cs="仿宋_GB2312"/>
          <w:b/>
          <w:bCs/>
          <w:position w:val="6"/>
          <w:sz w:val="24"/>
          <w:highlight w:val="none"/>
        </w:rPr>
      </w:pPr>
      <w:r>
        <w:rPr>
          <w:rFonts w:hint="eastAsia" w:ascii="仿宋_GB2312" w:hAnsi="仿宋_GB2312" w:eastAsia="仿宋_GB2312" w:cs="仿宋_GB2312"/>
          <w:b/>
          <w:bCs/>
          <w:position w:val="6"/>
          <w:sz w:val="24"/>
          <w:highlight w:val="none"/>
        </w:rPr>
        <w:t>7.1专项服务小组</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highlight w:val="none"/>
        </w:rPr>
      </w:pPr>
      <w:r>
        <w:rPr>
          <w:rFonts w:hint="eastAsia" w:ascii="仿宋_GB2312" w:hAnsi="仿宋_GB2312" w:eastAsia="仿宋_GB2312" w:cs="仿宋_GB2312"/>
          <w:position w:val="6"/>
          <w:sz w:val="24"/>
          <w:highlight w:val="none"/>
        </w:rPr>
        <w:t>7.1.1承保人为本项目设立专项服务小组，具体人员组成及分工如下：</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823"/>
        <w:gridCol w:w="1789"/>
        <w:gridCol w:w="247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54" w:type="dxa"/>
            <w:shd w:val="clear" w:color="auto" w:fill="C0C0C0"/>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项目中职务</w:t>
            </w:r>
          </w:p>
        </w:tc>
        <w:tc>
          <w:tcPr>
            <w:tcW w:w="823" w:type="dxa"/>
            <w:shd w:val="clear" w:color="auto" w:fill="C0C0C0"/>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姓名</w:t>
            </w:r>
          </w:p>
        </w:tc>
        <w:tc>
          <w:tcPr>
            <w:tcW w:w="1789" w:type="dxa"/>
            <w:shd w:val="clear" w:color="auto" w:fill="C0C0C0"/>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负责内容或分工</w:t>
            </w:r>
          </w:p>
        </w:tc>
        <w:tc>
          <w:tcPr>
            <w:tcW w:w="2478" w:type="dxa"/>
            <w:shd w:val="clear" w:color="auto" w:fill="C0C0C0"/>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职务</w:t>
            </w:r>
          </w:p>
        </w:tc>
        <w:tc>
          <w:tcPr>
            <w:tcW w:w="1275" w:type="dxa"/>
            <w:shd w:val="clear" w:color="auto" w:fill="C0C0C0"/>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54" w:type="dxa"/>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p>
        </w:tc>
        <w:tc>
          <w:tcPr>
            <w:tcW w:w="823" w:type="dxa"/>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p>
        </w:tc>
        <w:tc>
          <w:tcPr>
            <w:tcW w:w="1789" w:type="dxa"/>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p>
        </w:tc>
        <w:tc>
          <w:tcPr>
            <w:tcW w:w="2478" w:type="dxa"/>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p>
        </w:tc>
        <w:tc>
          <w:tcPr>
            <w:tcW w:w="1275" w:type="dxa"/>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54" w:type="dxa"/>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p>
        </w:tc>
        <w:tc>
          <w:tcPr>
            <w:tcW w:w="823" w:type="dxa"/>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p>
        </w:tc>
        <w:tc>
          <w:tcPr>
            <w:tcW w:w="1789" w:type="dxa"/>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p>
        </w:tc>
        <w:tc>
          <w:tcPr>
            <w:tcW w:w="2478" w:type="dxa"/>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p>
        </w:tc>
        <w:tc>
          <w:tcPr>
            <w:tcW w:w="1275" w:type="dxa"/>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54" w:type="dxa"/>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p>
        </w:tc>
        <w:tc>
          <w:tcPr>
            <w:tcW w:w="823" w:type="dxa"/>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p>
        </w:tc>
        <w:tc>
          <w:tcPr>
            <w:tcW w:w="1789" w:type="dxa"/>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p>
        </w:tc>
        <w:tc>
          <w:tcPr>
            <w:tcW w:w="2478" w:type="dxa"/>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p>
        </w:tc>
        <w:tc>
          <w:tcPr>
            <w:tcW w:w="1275" w:type="dxa"/>
            <w:noWrap w:val="0"/>
            <w:vAlign w:val="center"/>
          </w:tcPr>
          <w:p>
            <w:pPr>
              <w:keepLines w:val="0"/>
              <w:kinsoku/>
              <w:overflowPunct/>
              <w:topLinePunct w:val="0"/>
              <w:bidi w:val="0"/>
              <w:spacing w:line="360" w:lineRule="auto"/>
              <w:jc w:val="center"/>
              <w:outlineLvl w:val="9"/>
              <w:rPr>
                <w:rFonts w:hint="eastAsia" w:ascii="仿宋_GB2312" w:hAnsi="仿宋_GB2312" w:eastAsia="仿宋_GB2312" w:cs="仿宋_GB2312"/>
                <w:szCs w:val="21"/>
                <w:highlight w:val="none"/>
              </w:rPr>
            </w:pPr>
          </w:p>
        </w:tc>
      </w:tr>
    </w:tbl>
    <w:p>
      <w:pPr>
        <w:keepLines w:val="0"/>
        <w:kinsoku/>
        <w:overflowPunct/>
        <w:topLinePunct w:val="0"/>
        <w:bidi w:val="0"/>
        <w:snapToGrid w:val="0"/>
        <w:spacing w:before="156" w:beforeLines="50"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highlight w:val="none"/>
        </w:rPr>
        <w:t>2</w:t>
      </w:r>
      <w:r>
        <w:rPr>
          <w:rFonts w:hint="eastAsia" w:ascii="仿宋_GB2312" w:hAnsi="仿宋_GB2312" w:eastAsia="仿宋_GB2312" w:cs="仿宋_GB2312"/>
          <w:position w:val="6"/>
          <w:sz w:val="24"/>
          <w:szCs w:val="24"/>
          <w:highlight w:val="none"/>
        </w:rPr>
        <w:t>4小时报案电话：</w:t>
      </w:r>
      <w:r>
        <w:rPr>
          <w:rFonts w:hint="eastAsia" w:ascii="仿宋_GB2312" w:hAnsi="仿宋_GB2312" w:eastAsia="仿宋_GB2312" w:cs="仿宋_GB2312"/>
          <w:position w:val="6"/>
          <w:sz w:val="24"/>
          <w:szCs w:val="24"/>
          <w:highlight w:val="none"/>
          <w:u w:val="single"/>
        </w:rPr>
        <w:t xml:space="preserve">             </w:t>
      </w:r>
      <w:r>
        <w:rPr>
          <w:rFonts w:hint="eastAsia" w:ascii="仿宋_GB2312" w:hAnsi="仿宋_GB2312" w:eastAsia="仿宋_GB2312" w:cs="仿宋_GB2312"/>
          <w:position w:val="6"/>
          <w:sz w:val="24"/>
          <w:szCs w:val="24"/>
          <w:highlight w:val="none"/>
        </w:rPr>
        <w:t>。        传真：</w:t>
      </w:r>
      <w:r>
        <w:rPr>
          <w:rFonts w:hint="eastAsia" w:ascii="仿宋_GB2312" w:hAnsi="仿宋_GB2312" w:eastAsia="仿宋_GB2312" w:cs="仿宋_GB2312"/>
          <w:position w:val="6"/>
          <w:sz w:val="24"/>
          <w:szCs w:val="24"/>
          <w:highlight w:val="none"/>
          <w:u w:val="single"/>
        </w:rPr>
        <w:t xml:space="preserve">             </w:t>
      </w:r>
      <w:r>
        <w:rPr>
          <w:rFonts w:hint="eastAsia" w:ascii="仿宋_GB2312" w:hAnsi="仿宋_GB2312" w:eastAsia="仿宋_GB2312" w:cs="仿宋_GB2312"/>
          <w:position w:val="6"/>
          <w:sz w:val="24"/>
          <w:szCs w:val="24"/>
          <w:highlight w:val="none"/>
        </w:rPr>
        <w:t xml:space="preserve">。 </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7.1.2原则不得随意更换专项服务小组成员、24小时报案电话和传真；如需更换，应书面报经投保人同意后方可更换。</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7.1.3 承保人应确保24小时报案电话和传真畅通，随时接受被保险人的出险报案。</w:t>
      </w:r>
    </w:p>
    <w:p>
      <w:pPr>
        <w:keepLines w:val="0"/>
        <w:kinsoku/>
        <w:overflowPunct/>
        <w:topLinePunct w:val="0"/>
        <w:autoSpaceDE w:val="0"/>
        <w:autoSpaceDN w:val="0"/>
        <w:bidi w:val="0"/>
        <w:snapToGrid w:val="0"/>
        <w:spacing w:line="360" w:lineRule="auto"/>
        <w:ind w:firstLine="482" w:firstLineChars="200"/>
        <w:outlineLvl w:val="9"/>
        <w:rPr>
          <w:rFonts w:hint="eastAsia" w:ascii="仿宋_GB2312" w:hAnsi="仿宋_GB2312" w:eastAsia="仿宋_GB2312" w:cs="仿宋_GB2312"/>
          <w:b/>
          <w:bCs/>
          <w:position w:val="6"/>
          <w:sz w:val="24"/>
          <w:szCs w:val="24"/>
          <w:highlight w:val="none"/>
        </w:rPr>
      </w:pPr>
      <w:r>
        <w:rPr>
          <w:rFonts w:hint="eastAsia" w:ascii="仿宋_GB2312" w:hAnsi="仿宋_GB2312" w:eastAsia="仿宋_GB2312" w:cs="仿宋_GB2312"/>
          <w:b/>
          <w:bCs/>
          <w:position w:val="6"/>
          <w:sz w:val="24"/>
          <w:szCs w:val="24"/>
          <w:highlight w:val="none"/>
        </w:rPr>
        <w:t>7.2理赔服务</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7.2.1受理报案</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7.2.1.1 被保险人报案时，可通过24小时报案电话或传真报案，也可直接与专项服务小组对口人员联系。</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7.2.1.2 承保人接到被保险人报案后，专项服务小组成员应在15分钟内给出处理意见，并回复是否前往现场查勘；如果没有回复，则表示专项服务小组不去现场查勘并同意以被保险人提供的索赔材料作为理赔依据</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7.2.2 现场查勘</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7.2.2.1 专项服务小组在报案回复中提出进行现场查勘的，应安排现场理赔服务人员/查勘人员在回复后2小时内到达现场，并由承保人、投保人、被保险人三方共同进行保险事故损失查勘。承保人未按上述规定及时到达现场，则视为承保人允许被保险人</w:t>
      </w:r>
      <w:r>
        <w:rPr>
          <w:rFonts w:hint="eastAsia" w:ascii="仿宋_GB2312" w:hAnsi="仿宋_GB2312" w:eastAsia="仿宋_GB2312" w:cs="仿宋_GB2312"/>
          <w:position w:val="6"/>
          <w:sz w:val="24"/>
          <w:szCs w:val="24"/>
          <w:highlight w:val="none"/>
          <w:lang w:val="zh-CN"/>
        </w:rPr>
        <w:t>及其委托人</w:t>
      </w:r>
      <w:r>
        <w:rPr>
          <w:rFonts w:hint="eastAsia" w:ascii="仿宋_GB2312" w:hAnsi="仿宋_GB2312" w:eastAsia="仿宋_GB2312" w:cs="仿宋_GB2312"/>
          <w:position w:val="6"/>
          <w:sz w:val="24"/>
          <w:szCs w:val="24"/>
          <w:highlight w:val="none"/>
        </w:rPr>
        <w:t>自行处理事故现场，但被保险人应保留事故现场的有关照片或实物证据。</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7.2.2.2承保人</w:t>
      </w:r>
      <w:r>
        <w:rPr>
          <w:rFonts w:hint="eastAsia" w:ascii="仿宋_GB2312" w:hAnsi="仿宋_GB2312" w:eastAsia="仿宋_GB2312" w:cs="仿宋_GB2312"/>
          <w:position w:val="6"/>
          <w:sz w:val="24"/>
          <w:szCs w:val="24"/>
          <w:highlight w:val="none"/>
          <w:lang w:val="zh-CN"/>
        </w:rPr>
        <w:t>在收到被保险人将采取施救措施的报告后，应立即安排理赔服务人员至施救现场进行现场响应式理赔服务，并承担保险责任事故施救所产生</w:t>
      </w:r>
      <w:r>
        <w:rPr>
          <w:rFonts w:hint="eastAsia" w:ascii="仿宋_GB2312" w:hAnsi="仿宋_GB2312" w:eastAsia="仿宋_GB2312" w:cs="仿宋_GB2312"/>
          <w:position w:val="6"/>
          <w:sz w:val="24"/>
          <w:szCs w:val="24"/>
          <w:highlight w:val="none"/>
        </w:rPr>
        <w:t>的全部合理费用。</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7.2.3 受理赔案</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7.2.3.1承保人应在收到被保险人及其代表的报案通知后3个工作日内，向被保险人提交《理赔工作安排日程表》；承保人应在收到被保险人预付赔款申请后5个工作日内，就预付时间、预付金额做出书面回复。</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7.2.3.2承保人若认为被保险人所提交的索赔证明和资料不完整，应在收到被保险人提交的索赔证明和资料后3个工作日内，以书面形式一次性通知被保险人补充提供。如承保人未按上述要求提出书面通知，则视为承保人认可索赔证明和资料的完整性。</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7.2.3.3 承保人若对被保险人所提交的索赔证明和资料有异议，应在收到被保险人提交的索赔证明和资料后5个工作日内，以书面形式一次性向被保险人提出异议；如承保人未按上述要求提出书面通知，则视为承保人认可了被保险人的索赔证明和资料。</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7.2.3.4 在被保险人按照上述7.2.3.2或7.2.3.3要求补充或澄清异议后</w:t>
      </w:r>
      <w:r>
        <w:rPr>
          <w:rFonts w:hint="eastAsia" w:ascii="仿宋_GB2312" w:hAnsi="仿宋_GB2312" w:eastAsia="仿宋_GB2312" w:cs="仿宋_GB2312"/>
          <w:iCs/>
          <w:position w:val="6"/>
          <w:sz w:val="24"/>
          <w:szCs w:val="24"/>
          <w:highlight w:val="none"/>
        </w:rPr>
        <w:t>10个工作日内</w:t>
      </w:r>
      <w:r>
        <w:rPr>
          <w:rFonts w:hint="eastAsia" w:ascii="仿宋_GB2312" w:hAnsi="仿宋_GB2312" w:eastAsia="仿宋_GB2312" w:cs="仿宋_GB2312"/>
          <w:position w:val="6"/>
          <w:sz w:val="24"/>
          <w:szCs w:val="24"/>
          <w:highlight w:val="none"/>
        </w:rPr>
        <w:t>，承保人、被保险人、投保人三方共同完成理赔定责定损工作。</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7.2.4办理结案</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7.2.4.1对于损失金额在人民币10万元（含）以内的保险事故，承保人在按7.2.3.4款约定完成理赔定责定损后3个工作日内办理结案并支付赔款。</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7.2.4.2对于损失金额在10万元（不含）至100万元（含）的保险事故，承保人在按7.2.3.4款约定完成理赔定责定损后5个工作日内办理结案并支付赔款。</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7.2.4.3对于损失金额在100万元（不含）以上的保险事故，承保人在按7.2.3.4款约定完成理赔定责定损后7个工作日内办理结案并支付赔款。</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7.2.4.4如承保人、被保险人、投保人三方不能按照7.2.3.4款约定完成理赔定责定损且符合7.2.5.5款约定的，承保人应在公估人出具各单项、各阶段《进度理算报告》后10个工作日内向投保人、被保险人提交对该报告的审查、核实书面意见，并与投保人、被保险人就保险责任、赔偿金额进行协商，并在三方就保险责任达成一致（或部分达成一致）后5个工作日内就达成一致的部分支付赔款。</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7.2.4.5 如为共保体，上述赔款由首席承保人先行全额垫付，各共保人按共保比例分担，具体操作按共保协议执行。</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7.2.5 其他</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7.2.5.1赔款处理原则</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发生保险事故后，承保人应以利于被保险人恢复地铁运营、重置设备及其它保险财产为前提，依照保单及本合同约定进行赔偿理算、支付赔款，并承担保险事故产生的一切合理费用和事故损失（不包括免赔额/免赔率）。</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7.2.5.2赔款支付原则</w:t>
      </w:r>
    </w:p>
    <w:p>
      <w:pPr>
        <w:keepLines w:val="0"/>
        <w:numPr>
          <w:ilvl w:val="0"/>
          <w:numId w:val="18"/>
        </w:numPr>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承保人对已确定保险责任但未能确定最终赔偿金额的赔案，应根据被保险人已提供的证明材料支付已确定部分的赔偿金额或支付预付赔款；承保人在最终确定赔偿金额和赔付处理意见后，应当支付相应的差额。</w:t>
      </w:r>
    </w:p>
    <w:p>
      <w:pPr>
        <w:keepLines w:val="0"/>
        <w:numPr>
          <w:ilvl w:val="0"/>
          <w:numId w:val="18"/>
        </w:numPr>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尽管本项目中财产一切险（附加机器损坏险）的计费基数以项目对应的工程概算相关费用下浮20%计取，但本项目保险单应视为足额投保，所有保险赔付均按合同约定百分之百进行赔付。</w:t>
      </w:r>
    </w:p>
    <w:p>
      <w:pPr>
        <w:keepLines w:val="0"/>
        <w:numPr>
          <w:ilvl w:val="0"/>
          <w:numId w:val="18"/>
        </w:numPr>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本项目办理结算前，年度保费按70%支付，但所有保险赔付须按理赔金额的百分之百赔付。</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7.2.5.3预付赔款</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lang w:val="zh-CN"/>
        </w:rPr>
      </w:pPr>
      <w:r>
        <w:rPr>
          <w:rFonts w:hint="eastAsia" w:ascii="仿宋_GB2312" w:hAnsi="仿宋_GB2312" w:eastAsia="仿宋_GB2312" w:cs="仿宋_GB2312"/>
          <w:position w:val="6"/>
          <w:sz w:val="24"/>
          <w:szCs w:val="24"/>
          <w:highlight w:val="none"/>
          <w:lang w:val="zh-CN"/>
        </w:rPr>
        <w:t>（</w:t>
      </w:r>
      <w:r>
        <w:rPr>
          <w:rFonts w:hint="eastAsia" w:ascii="仿宋_GB2312" w:hAnsi="仿宋_GB2312" w:eastAsia="仿宋_GB2312" w:cs="仿宋_GB2312"/>
          <w:position w:val="6"/>
          <w:sz w:val="24"/>
          <w:szCs w:val="24"/>
          <w:highlight w:val="none"/>
        </w:rPr>
        <w:t>1</w:t>
      </w:r>
      <w:r>
        <w:rPr>
          <w:rFonts w:hint="eastAsia" w:ascii="仿宋_GB2312" w:hAnsi="仿宋_GB2312" w:eastAsia="仿宋_GB2312" w:cs="仿宋_GB2312"/>
          <w:position w:val="6"/>
          <w:sz w:val="24"/>
          <w:szCs w:val="24"/>
          <w:highlight w:val="none"/>
          <w:lang w:val="zh-CN"/>
        </w:rPr>
        <w:t>）</w:t>
      </w:r>
      <w:r>
        <w:rPr>
          <w:rFonts w:hint="eastAsia" w:ascii="仿宋_GB2312" w:hAnsi="仿宋_GB2312" w:eastAsia="仿宋_GB2312" w:cs="仿宋_GB2312"/>
          <w:position w:val="6"/>
          <w:sz w:val="24"/>
          <w:szCs w:val="24"/>
          <w:highlight w:val="none"/>
        </w:rPr>
        <w:t>绿色通道服务救治：</w:t>
      </w:r>
      <w:r>
        <w:rPr>
          <w:rFonts w:hint="eastAsia" w:ascii="仿宋_GB2312" w:hAnsi="仿宋_GB2312" w:eastAsia="仿宋_GB2312" w:cs="仿宋_GB2312"/>
          <w:position w:val="6"/>
          <w:sz w:val="24"/>
          <w:szCs w:val="24"/>
          <w:highlight w:val="none"/>
          <w:lang w:val="zh-CN"/>
        </w:rPr>
        <w:t>针对涉及人员伤亡的案件，承保人需开通绿色通道救治服务，开通承保人与救治医院合理的医疗费用直赔服务，无需投保人先行垫付。</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lang w:val="zh-CN"/>
        </w:rPr>
      </w:pPr>
      <w:r>
        <w:rPr>
          <w:rFonts w:hint="eastAsia" w:ascii="仿宋_GB2312" w:hAnsi="仿宋_GB2312" w:eastAsia="仿宋_GB2312" w:cs="仿宋_GB2312"/>
          <w:position w:val="6"/>
          <w:sz w:val="24"/>
          <w:szCs w:val="24"/>
          <w:highlight w:val="none"/>
          <w:lang w:val="zh-CN"/>
        </w:rPr>
        <w:t>（</w:t>
      </w:r>
      <w:r>
        <w:rPr>
          <w:rFonts w:hint="eastAsia" w:ascii="仿宋_GB2312" w:hAnsi="仿宋_GB2312" w:eastAsia="仿宋_GB2312" w:cs="仿宋_GB2312"/>
          <w:position w:val="6"/>
          <w:sz w:val="24"/>
          <w:szCs w:val="24"/>
          <w:highlight w:val="none"/>
        </w:rPr>
        <w:t>2</w:t>
      </w:r>
      <w:r>
        <w:rPr>
          <w:rFonts w:hint="eastAsia" w:ascii="仿宋_GB2312" w:hAnsi="仿宋_GB2312" w:eastAsia="仿宋_GB2312" w:cs="仿宋_GB2312"/>
          <w:position w:val="6"/>
          <w:sz w:val="24"/>
          <w:szCs w:val="24"/>
          <w:highlight w:val="none"/>
          <w:lang w:val="zh-CN"/>
        </w:rPr>
        <w:t>）当发生保险责任范围内的损失事故（如为涉及人员伤亡案件，按合同条款</w:t>
      </w:r>
      <w:r>
        <w:rPr>
          <w:rFonts w:hint="eastAsia" w:ascii="仿宋_GB2312" w:hAnsi="仿宋_GB2312" w:eastAsia="仿宋_GB2312" w:cs="仿宋_GB2312"/>
          <w:position w:val="6"/>
          <w:sz w:val="24"/>
          <w:szCs w:val="24"/>
          <w:highlight w:val="none"/>
        </w:rPr>
        <w:t>7.2.5.3（1）执行</w:t>
      </w:r>
      <w:r>
        <w:rPr>
          <w:rFonts w:hint="eastAsia" w:ascii="仿宋_GB2312" w:hAnsi="仿宋_GB2312" w:eastAsia="仿宋_GB2312" w:cs="仿宋_GB2312"/>
          <w:position w:val="6"/>
          <w:sz w:val="24"/>
          <w:szCs w:val="24"/>
          <w:highlight w:val="none"/>
          <w:lang w:val="zh-CN"/>
        </w:rPr>
        <w:t>），在保险责任明确但损失金额尚不能准确确定的情况下，</w:t>
      </w:r>
      <w:r>
        <w:rPr>
          <w:rFonts w:hint="eastAsia" w:ascii="仿宋_GB2312" w:hAnsi="仿宋_GB2312" w:eastAsia="仿宋_GB2312" w:cs="仿宋_GB2312"/>
          <w:position w:val="6"/>
          <w:sz w:val="24"/>
          <w:szCs w:val="24"/>
          <w:highlight w:val="none"/>
        </w:rPr>
        <w:t>承保人应按7.2.3.1书面回复确认的预付时间、预付金额（预付金额不得少于</w:t>
      </w:r>
      <w:r>
        <w:rPr>
          <w:rFonts w:hint="eastAsia" w:ascii="仿宋_GB2312" w:hAnsi="仿宋_GB2312" w:eastAsia="仿宋_GB2312" w:cs="仿宋_GB2312"/>
          <w:position w:val="6"/>
          <w:sz w:val="24"/>
          <w:szCs w:val="24"/>
          <w:highlight w:val="none"/>
          <w:lang w:val="zh-CN"/>
        </w:rPr>
        <w:t>预估损失金额的75%</w:t>
      </w:r>
      <w:r>
        <w:rPr>
          <w:rFonts w:hint="eastAsia" w:ascii="仿宋_GB2312" w:hAnsi="仿宋_GB2312" w:eastAsia="仿宋_GB2312" w:cs="仿宋_GB2312"/>
          <w:position w:val="6"/>
          <w:sz w:val="24"/>
          <w:szCs w:val="24"/>
          <w:highlight w:val="none"/>
        </w:rPr>
        <w:t>）向被保险人办理预付赔款。</w:t>
      </w:r>
      <w:r>
        <w:rPr>
          <w:rFonts w:hint="eastAsia" w:ascii="仿宋_GB2312" w:hAnsi="仿宋_GB2312" w:eastAsia="仿宋_GB2312" w:cs="仿宋_GB2312"/>
          <w:position w:val="6"/>
          <w:sz w:val="24"/>
          <w:szCs w:val="24"/>
          <w:highlight w:val="none"/>
          <w:lang w:val="zh-CN"/>
        </w:rPr>
        <w:t>最终赔付金额确定后，再按最终赔付金额多退少补。</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lang w:val="zh-CN"/>
        </w:rPr>
      </w:pPr>
      <w:r>
        <w:rPr>
          <w:rFonts w:hint="eastAsia" w:ascii="仿宋_GB2312" w:hAnsi="仿宋_GB2312" w:eastAsia="仿宋_GB2312" w:cs="仿宋_GB2312"/>
          <w:position w:val="6"/>
          <w:sz w:val="24"/>
          <w:szCs w:val="24"/>
          <w:highlight w:val="none"/>
        </w:rPr>
        <w:t>上述赔款由首席承保人先行全额垫付，各共保人按共保比例分担，具体操作按共保协议执行。</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7.2.5.4拒赔时间要求</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如承保人认为收到的被保险人索赔申请不属于保险责任，承保人自签收被保险人索赔证明材料之日起10个工作日内，应向被保险人发出书面拒绝赔偿或拒付保险赔偿金的通知书，并载明拒赔依据。如承保人未在上述时间内提出拒赔，则认为承保人已接受被保险人的索赔申请，不得再提出拒赔。</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7.2.5.5 公估人</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发生预估损失金额超过人民币50万元的保险事故，且承保人和投保人对事故的保险责任和损失金额的认定及拒赔理由存在争议的，由承保人和投保人共同认可的公估公司（中国境内注册）作为公估人协助认定责任和金额，确定公估人的工作应在5个工作日内完成，聘请公估人的费用由承保人支付。</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如投保人和承保人无法就选定的公估人达成一致意见，则通过如下方式确定：由承保人自行选定三家备选公估公司，承保人在备选公估公司中随机抽选一家作为本项目的公估公司。</w:t>
      </w:r>
    </w:p>
    <w:p>
      <w:pPr>
        <w:keepLines w:val="0"/>
        <w:kinsoku/>
        <w:overflowPunct/>
        <w:topLinePunct w:val="0"/>
        <w:autoSpaceDE w:val="0"/>
        <w:autoSpaceDN w:val="0"/>
        <w:bidi w:val="0"/>
        <w:snapToGrid w:val="0"/>
        <w:spacing w:line="360" w:lineRule="auto"/>
        <w:ind w:firstLine="482" w:firstLineChars="200"/>
        <w:outlineLvl w:val="9"/>
        <w:rPr>
          <w:rFonts w:hint="eastAsia" w:ascii="仿宋_GB2312" w:hAnsi="仿宋_GB2312" w:eastAsia="仿宋_GB2312" w:cs="仿宋_GB2312"/>
          <w:b/>
          <w:bCs/>
          <w:position w:val="6"/>
          <w:sz w:val="24"/>
          <w:szCs w:val="24"/>
          <w:highlight w:val="none"/>
        </w:rPr>
      </w:pPr>
      <w:r>
        <w:rPr>
          <w:rFonts w:hint="eastAsia" w:ascii="仿宋_GB2312" w:hAnsi="仿宋_GB2312" w:eastAsia="仿宋_GB2312" w:cs="仿宋_GB2312"/>
          <w:b/>
          <w:bCs/>
          <w:position w:val="6"/>
          <w:sz w:val="24"/>
          <w:szCs w:val="24"/>
          <w:highlight w:val="none"/>
        </w:rPr>
        <w:t>7.3风险管理及防灾防损服务</w:t>
      </w:r>
    </w:p>
    <w:p>
      <w:pPr>
        <w:keepLines w:val="0"/>
        <w:kinsoku/>
        <w:overflowPunct/>
        <w:topLinePunct w:val="0"/>
        <w:autoSpaceDE w:val="0"/>
        <w:autoSpaceDN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7.3.1本协议有效期内，承保人应组织对本项目每年至少进行两次风险查勘并提交风险查勘报告，提出有针对性的防灾防损建议，并协助投保人建立风险管理档案，相关费用由承保人承担。</w:t>
      </w:r>
    </w:p>
    <w:p>
      <w:pPr>
        <w:keepLines w:val="0"/>
        <w:kinsoku/>
        <w:overflowPunct/>
        <w:topLinePunct w:val="0"/>
        <w:autoSpaceDE w:val="0"/>
        <w:autoSpaceDN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7.3.2承保人应协同国家气象、水文、地震等部门建立气象及地震灾害预警系统，定期或在被保险人需要时随时提供气象等自然灾害的年度趋势分析报告、汛期预报，火灾预警信息，并与投保人一起做好这些灾害的风险控制工作。在可能出现灾害的季节、时点，提前组织专家进行风险评估，提出风险管理建议。</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7.3.3承保人应根据季节及地段情况，深入现场查勘，提出合理、有效的防灾防损建议，并将不定期对现场风险管理情况通报，敦促投保人/被保险人完善安全管理。在事故易发的地点和时段，承保人应根据每个工作点可能会出现的自然灾害和意外事故发生的不同类型，以及类似项目出现的案例信息，及时与投保人/被保险人进行交流与沟通。</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7.3.4承保人应为被保险人建立承保、理赔、防灾防损档案；承保人专项服务小组应于每季度结束后5个工作日内向被保险人提供理赔统计报表，报表将包括损失发生的时间、地点、损失原因、估损金额、定损金额、赔款等与赔案处理有关的信息。</w:t>
      </w:r>
    </w:p>
    <w:p>
      <w:pPr>
        <w:keepLines w:val="0"/>
        <w:kinsoku/>
        <w:overflowPunct/>
        <w:topLinePunct w:val="0"/>
        <w:autoSpaceDE w:val="0"/>
        <w:autoSpaceDN w:val="0"/>
        <w:bidi w:val="0"/>
        <w:snapToGrid w:val="0"/>
        <w:spacing w:line="360" w:lineRule="auto"/>
        <w:ind w:firstLine="482" w:firstLineChars="200"/>
        <w:outlineLvl w:val="9"/>
        <w:rPr>
          <w:rFonts w:hint="eastAsia" w:ascii="仿宋_GB2312" w:hAnsi="仿宋_GB2312" w:eastAsia="仿宋_GB2312" w:cs="仿宋_GB2312"/>
          <w:b/>
          <w:bCs/>
          <w:position w:val="6"/>
          <w:sz w:val="24"/>
          <w:szCs w:val="24"/>
          <w:highlight w:val="none"/>
        </w:rPr>
      </w:pPr>
      <w:r>
        <w:rPr>
          <w:rFonts w:hint="eastAsia" w:ascii="仿宋_GB2312" w:hAnsi="仿宋_GB2312" w:eastAsia="仿宋_GB2312" w:cs="仿宋_GB2312"/>
          <w:b/>
          <w:bCs/>
          <w:position w:val="6"/>
          <w:sz w:val="24"/>
          <w:szCs w:val="24"/>
          <w:highlight w:val="none"/>
        </w:rPr>
        <w:t>7.4其他服务</w:t>
      </w:r>
    </w:p>
    <w:p>
      <w:pPr>
        <w:keepLines w:val="0"/>
        <w:kinsoku/>
        <w:overflowPunct/>
        <w:topLinePunct w:val="0"/>
        <w:autoSpaceDE w:val="0"/>
        <w:autoSpaceDN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7.4.1保险培训</w:t>
      </w:r>
    </w:p>
    <w:p>
      <w:pPr>
        <w:keepLines w:val="0"/>
        <w:kinsoku/>
        <w:overflowPunct/>
        <w:topLinePunct w:val="0"/>
        <w:autoSpaceDE w:val="0"/>
        <w:autoSpaceDN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本协议有效期内，承保人每年应组织保险培训服务或交流会议、保险宣传活动，以提高投保人、被保险人等的风险管理和防灾防损技能，有关费用由承保人承担。具体内容、次数、实施方案、举办时间和地点由投保人、承保人双方共同协商确定。</w:t>
      </w:r>
    </w:p>
    <w:p>
      <w:pPr>
        <w:keepLines w:val="0"/>
        <w:kinsoku/>
        <w:overflowPunct/>
        <w:topLinePunct w:val="0"/>
        <w:autoSpaceDE w:val="0"/>
        <w:autoSpaceDN w:val="0"/>
        <w:bidi w:val="0"/>
        <w:snapToGrid w:val="0"/>
        <w:spacing w:line="360" w:lineRule="auto"/>
        <w:ind w:firstLine="480" w:firstLineChars="200"/>
        <w:outlineLvl w:val="9"/>
        <w:rPr>
          <w:rFonts w:hint="eastAsia" w:ascii="仿宋_GB2312" w:hAnsi="仿宋_GB2312" w:eastAsia="仿宋_GB2312" w:cs="仿宋_GB2312"/>
          <w:bCs/>
          <w:position w:val="6"/>
          <w:sz w:val="24"/>
          <w:szCs w:val="24"/>
          <w:highlight w:val="none"/>
        </w:rPr>
      </w:pPr>
      <w:r>
        <w:rPr>
          <w:rFonts w:hint="eastAsia" w:ascii="仿宋_GB2312" w:hAnsi="仿宋_GB2312" w:eastAsia="仿宋_GB2312" w:cs="仿宋_GB2312"/>
          <w:bCs/>
          <w:position w:val="6"/>
          <w:sz w:val="24"/>
          <w:szCs w:val="24"/>
          <w:highlight w:val="none"/>
        </w:rPr>
        <w:t>7.4.2保险咨询</w:t>
      </w:r>
    </w:p>
    <w:p>
      <w:pPr>
        <w:keepLines w:val="0"/>
        <w:kinsoku/>
        <w:overflowPunct/>
        <w:topLinePunct w:val="0"/>
        <w:autoSpaceDE w:val="0"/>
        <w:autoSpaceDN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本协议有效期内，如投保人有需要，承保人应为投保人的其他项目提供保险咨询服务，并不收取任何费用。</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7.4.3承保人有义务向被保险人提供有关保险及民事损害赔偿的法律服务，包括法律咨询、代为聘请律师、代理诉讼行为、协助拟定有关保险法律的文件、文书、合同等。</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7.4.4发生事故时，专项服务小组应编制《理赔工作安排日程表》提交被保险人，与被保险人共同及时修订不合理的理算服务时间、理算服务流程。</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7.4.5由承保人牵头，每季度与投保人/被保险人召开联席会议，对前一阶段工作进行总结并明确下阶段服务计划。</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7.4.6如承保人未按本合同约定履行理赔义务或及时完成理赔事项，导致投保人/被保险人向承保人进行追偿（或委托他人代为追偿），由此产生的追偿费（包括但不限于诉讼费、财产保全费、律师费、交通费、通信费等与追偿有关的一切费用）和追偿款均由承保人承担。</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7.4.7第7条未约定的其他服务及特色服务按承保人的投标文件执行。</w:t>
      </w:r>
    </w:p>
    <w:p>
      <w:pPr>
        <w:keepLines w:val="0"/>
        <w:kinsoku/>
        <w:overflowPunct/>
        <w:topLinePunct w:val="0"/>
        <w:bidi w:val="0"/>
        <w:snapToGrid w:val="0"/>
        <w:spacing w:line="360" w:lineRule="auto"/>
        <w:ind w:firstLine="482" w:firstLineChars="200"/>
        <w:outlineLvl w:val="9"/>
        <w:rPr>
          <w:rFonts w:hint="eastAsia" w:ascii="仿宋_GB2312" w:hAnsi="仿宋_GB2312" w:eastAsia="仿宋_GB2312" w:cs="仿宋_GB2312"/>
          <w:b/>
          <w:position w:val="6"/>
          <w:sz w:val="24"/>
          <w:szCs w:val="24"/>
          <w:highlight w:val="none"/>
        </w:rPr>
      </w:pPr>
      <w:bookmarkStart w:id="83" w:name="_Toc23039"/>
      <w:r>
        <w:rPr>
          <w:rFonts w:hint="eastAsia" w:ascii="仿宋_GB2312" w:hAnsi="仿宋_GB2312" w:eastAsia="仿宋_GB2312" w:cs="仿宋_GB2312"/>
          <w:b/>
          <w:position w:val="6"/>
          <w:sz w:val="24"/>
          <w:szCs w:val="24"/>
          <w:highlight w:val="none"/>
        </w:rPr>
        <w:t>8、履约担保</w:t>
      </w:r>
      <w:bookmarkEnd w:id="83"/>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8.1</w:t>
      </w:r>
      <w:r>
        <w:rPr>
          <w:rFonts w:hint="eastAsia" w:ascii="仿宋_GB2312" w:hAnsi="仿宋_GB2312" w:eastAsia="仿宋_GB2312" w:cs="仿宋_GB2312"/>
          <w:position w:val="6"/>
          <w:sz w:val="24"/>
          <w:highlight w:val="none"/>
        </w:rPr>
        <w:t>履约担保用于补偿投保人因承保人不能完成其合同义务而蒙受的损失，是办理投标担保（如有）退还手续及合同价款支付手续的必要条件之一</w:t>
      </w:r>
      <w:r>
        <w:rPr>
          <w:rFonts w:hint="eastAsia" w:ascii="仿宋_GB2312" w:hAnsi="仿宋_GB2312" w:eastAsia="仿宋_GB2312" w:cs="仿宋_GB2312"/>
          <w:position w:val="6"/>
          <w:sz w:val="24"/>
          <w:szCs w:val="24"/>
          <w:highlight w:val="none"/>
        </w:rPr>
        <w:t>。</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8.2承保人提供履约担保的形式、金额及期限采用以下两种方式之一：</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1）采用银行履约保函形式，银行履约保函的担保额度为暂定保险费的10%。担保期限为自本合同生效之日起至合同约定的保险期限满之日止。银行履约保函应为在中国境内注册和营业的银行出具的、以投保人为受益人首次申请即作为无条件付款的保函，银行履约保函格式具体详见合同附录。</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2）采用现金形式，现金担保额度为暂定保险费的10%，担保期限为自本合同生效之日起至合同约定的保险期限满之日止。履约担保以现金形式提交的，承保人应从其基本账户通过转帐或电汇至投保人指定的账户。</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8.3承保人应确保提供的银行履约保函持续有效，在银行履约保函到期前1个月内办理好续保手续，并向发包人提供新的有效的银行履约保函。</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lang w:val="en-US" w:eastAsia="zh-CN"/>
        </w:rPr>
        <w:t>8.</w:t>
      </w:r>
      <w:r>
        <w:rPr>
          <w:rFonts w:hint="eastAsia" w:ascii="仿宋_GB2312" w:hAnsi="仿宋_GB2312" w:eastAsia="仿宋_GB2312" w:cs="仿宋_GB2312"/>
          <w:position w:val="6"/>
          <w:sz w:val="24"/>
          <w:szCs w:val="24"/>
          <w:highlight w:val="none"/>
        </w:rPr>
        <w:t>4合同履约未完成而履约担保到期的，承保人应在履约担保到期后的首次办理合同价款支付手续时提供有效的续保文件。</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position w:val="6"/>
          <w:sz w:val="24"/>
          <w:szCs w:val="24"/>
          <w:highlight w:val="none"/>
        </w:rPr>
        <w:t>8.</w:t>
      </w:r>
      <w:r>
        <w:rPr>
          <w:rFonts w:hint="eastAsia" w:ascii="仿宋_GB2312" w:hAnsi="仿宋_GB2312" w:eastAsia="仿宋_GB2312" w:cs="仿宋_GB2312"/>
          <w:position w:val="6"/>
          <w:sz w:val="24"/>
          <w:szCs w:val="24"/>
          <w:highlight w:val="none"/>
          <w:lang w:val="en-US" w:eastAsia="zh-CN"/>
        </w:rPr>
        <w:t>5</w:t>
      </w:r>
      <w:r>
        <w:rPr>
          <w:rFonts w:hint="eastAsia" w:ascii="仿宋_GB2312" w:hAnsi="仿宋_GB2312" w:eastAsia="仿宋_GB2312" w:cs="仿宋_GB2312"/>
          <w:position w:val="6"/>
          <w:sz w:val="24"/>
          <w:szCs w:val="24"/>
          <w:highlight w:val="none"/>
        </w:rPr>
        <w:t>在承保人完成其合同义务包括任何保证义务后，投保人将把履约担保无息退还承保人</w:t>
      </w:r>
      <w:r>
        <w:rPr>
          <w:rFonts w:hint="eastAsia" w:ascii="仿宋_GB2312" w:hAnsi="仿宋_GB2312" w:eastAsia="仿宋_GB2312" w:cs="仿宋_GB2312"/>
          <w:sz w:val="24"/>
          <w:szCs w:val="24"/>
          <w:highlight w:val="none"/>
        </w:rPr>
        <w:t>。</w:t>
      </w:r>
    </w:p>
    <w:p>
      <w:pPr>
        <w:keepLines w:val="0"/>
        <w:kinsoku/>
        <w:overflowPunct/>
        <w:topLinePunct w:val="0"/>
        <w:bidi w:val="0"/>
        <w:snapToGrid w:val="0"/>
        <w:spacing w:line="360" w:lineRule="auto"/>
        <w:ind w:firstLine="482" w:firstLineChars="200"/>
        <w:outlineLvl w:val="9"/>
        <w:rPr>
          <w:rFonts w:hint="eastAsia" w:ascii="仿宋_GB2312" w:hAnsi="仿宋_GB2312" w:eastAsia="仿宋_GB2312" w:cs="仿宋_GB2312"/>
          <w:b/>
          <w:position w:val="6"/>
          <w:sz w:val="24"/>
          <w:szCs w:val="24"/>
          <w:highlight w:val="none"/>
        </w:rPr>
      </w:pPr>
      <w:bookmarkStart w:id="84" w:name="_Toc13924"/>
      <w:r>
        <w:rPr>
          <w:rFonts w:hint="eastAsia" w:ascii="仿宋_GB2312" w:hAnsi="仿宋_GB2312" w:eastAsia="仿宋_GB2312" w:cs="仿宋_GB2312"/>
          <w:b/>
          <w:position w:val="6"/>
          <w:sz w:val="24"/>
          <w:szCs w:val="24"/>
          <w:highlight w:val="none"/>
        </w:rPr>
        <w:t>9、违约责任</w:t>
      </w:r>
      <w:bookmarkEnd w:id="84"/>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9.1为了维护本协议以及保险单的严肃性，投保人、承保人和被保险人各方应按保险单以及本协议内规定条款履行各自的义务，并承担相对应的责任。</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9.2承保人未按7.2.1、7.2.2款约定履行义务的，每发生一次，投保人有权要求承保人交纳2000元/次的违约金。</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9.3承保人未按7.2.3、7.3、7.4款约定履行义务的，每发生一次，投保人有权要求承保人交纳10000元/次的违约金。</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9.4承保人未按7.2.4、7.2.5.1、7.2.5.2、7.2.5.3款约定履行义务的，每发生一次，投保人有权要求承保人交纳100000元/次的违约金。</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9.5因承保人原因，致使被保险人不能按照本协议规定的时间获得赔偿金，承保人应支付违约金。违约金=应付赔款金额×实际违约天数×中国人民银行同期贷款基准利率。实际违约时间据实统计，并在各赔案结算中应用。</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9.6违约金总额超过合同暂定保险费的20%，投保人有权解除合同。</w:t>
      </w:r>
    </w:p>
    <w:p>
      <w:pPr>
        <w:pStyle w:val="46"/>
        <w:keepLines w:val="0"/>
        <w:kinsoku/>
        <w:overflowPunct/>
        <w:topLinePunct w:val="0"/>
        <w:bidi w:val="0"/>
        <w:snapToGrid w:val="0"/>
        <w:spacing w:after="0"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9.</w:t>
      </w:r>
      <w:r>
        <w:rPr>
          <w:rFonts w:hint="eastAsia" w:ascii="仿宋_GB2312" w:hAnsi="仿宋_GB2312" w:eastAsia="仿宋_GB2312" w:cs="仿宋_GB2312"/>
          <w:position w:val="6"/>
          <w:sz w:val="24"/>
          <w:szCs w:val="24"/>
          <w:highlight w:val="none"/>
          <w:lang w:val="en-US" w:eastAsia="zh-CN"/>
        </w:rPr>
        <w:t>7</w:t>
      </w:r>
      <w:r>
        <w:rPr>
          <w:rFonts w:hint="eastAsia" w:ascii="仿宋_GB2312" w:hAnsi="仿宋_GB2312" w:eastAsia="仿宋_GB2312" w:cs="仿宋_GB2312"/>
          <w:position w:val="6"/>
          <w:sz w:val="24"/>
          <w:szCs w:val="24"/>
          <w:highlight w:val="none"/>
        </w:rPr>
        <w:t>因乙方提供的发票导致甲方被税务部门追究相关法律责任的，乙方应承担由此给甲方造成的损失（包括但不限于未抵扣的税费、滞纳金）。</w:t>
      </w:r>
    </w:p>
    <w:p>
      <w:pPr>
        <w:pStyle w:val="46"/>
        <w:keepLines w:val="0"/>
        <w:kinsoku/>
        <w:overflowPunct/>
        <w:topLinePunct w:val="0"/>
        <w:bidi w:val="0"/>
        <w:snapToGrid w:val="0"/>
        <w:spacing w:after="0"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9.</w:t>
      </w:r>
      <w:r>
        <w:rPr>
          <w:rFonts w:hint="eastAsia" w:ascii="仿宋_GB2312" w:hAnsi="仿宋_GB2312" w:eastAsia="仿宋_GB2312" w:cs="仿宋_GB2312"/>
          <w:position w:val="6"/>
          <w:sz w:val="24"/>
          <w:szCs w:val="24"/>
          <w:highlight w:val="none"/>
          <w:lang w:val="en-US" w:eastAsia="zh-CN"/>
        </w:rPr>
        <w:t>8</w:t>
      </w:r>
      <w:r>
        <w:rPr>
          <w:rFonts w:hint="eastAsia" w:ascii="仿宋_GB2312" w:hAnsi="仿宋_GB2312" w:eastAsia="仿宋_GB2312" w:cs="仿宋_GB2312"/>
          <w:position w:val="6"/>
          <w:sz w:val="24"/>
          <w:szCs w:val="24"/>
          <w:highlight w:val="none"/>
        </w:rPr>
        <w:t>承保人应以现金或转账方式交纳违约金，投保人根据税法相关规定开具收款收据或增值税发票。</w:t>
      </w:r>
      <w:bookmarkStart w:id="85" w:name="_Toc461094753"/>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9.</w:t>
      </w:r>
      <w:r>
        <w:rPr>
          <w:rFonts w:hint="eastAsia" w:ascii="仿宋_GB2312" w:hAnsi="仿宋_GB2312" w:eastAsia="仿宋_GB2312" w:cs="仿宋_GB2312"/>
          <w:position w:val="6"/>
          <w:sz w:val="24"/>
          <w:szCs w:val="24"/>
          <w:highlight w:val="none"/>
          <w:lang w:val="en-US" w:eastAsia="zh-CN"/>
        </w:rPr>
        <w:t>9</w:t>
      </w:r>
      <w:r>
        <w:rPr>
          <w:rFonts w:hint="eastAsia" w:ascii="仿宋_GB2312" w:hAnsi="仿宋_GB2312" w:eastAsia="仿宋_GB2312" w:cs="仿宋_GB2312"/>
          <w:position w:val="6"/>
          <w:sz w:val="24"/>
          <w:szCs w:val="24"/>
          <w:highlight w:val="none"/>
        </w:rPr>
        <w:t>承保人在接到投保人发出的违约通知后，应按通知要求交纳违约金；否则，投保人有权暂停合同价款支付或从承保人的合同价款中扣除相应的违约金。</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9.1</w:t>
      </w:r>
      <w:r>
        <w:rPr>
          <w:rFonts w:hint="eastAsia" w:ascii="仿宋_GB2312" w:hAnsi="仿宋_GB2312" w:eastAsia="仿宋_GB2312" w:cs="仿宋_GB2312"/>
          <w:position w:val="6"/>
          <w:sz w:val="24"/>
          <w:szCs w:val="24"/>
          <w:highlight w:val="none"/>
          <w:lang w:val="en-US" w:eastAsia="zh-CN"/>
        </w:rPr>
        <w:t>0</w:t>
      </w:r>
      <w:r>
        <w:rPr>
          <w:rFonts w:hint="eastAsia" w:ascii="仿宋_GB2312" w:hAnsi="仿宋_GB2312" w:eastAsia="仿宋_GB2312" w:cs="仿宋_GB2312"/>
          <w:position w:val="6"/>
          <w:sz w:val="24"/>
          <w:szCs w:val="24"/>
          <w:highlight w:val="none"/>
        </w:rPr>
        <w:t>因承保人原因提前终止合同的，承保人应承担由此给投保人造成的损失，投保人有权没收承保人所交履约担保</w:t>
      </w:r>
      <w:r>
        <w:rPr>
          <w:rFonts w:hint="eastAsia" w:ascii="仿宋_GB2312" w:hAnsi="仿宋_GB2312" w:eastAsia="仿宋_GB2312" w:cs="仿宋_GB2312"/>
          <w:position w:val="6"/>
          <w:sz w:val="24"/>
          <w:highlight w:val="none"/>
        </w:rPr>
        <w:t>，同时投保人有权要求承保人按</w:t>
      </w:r>
      <w:r>
        <w:rPr>
          <w:rFonts w:hint="eastAsia" w:ascii="仿宋_GB2312" w:hAnsi="仿宋_GB2312" w:eastAsia="仿宋_GB2312" w:cs="仿宋_GB2312"/>
          <w:position w:val="6"/>
          <w:sz w:val="24"/>
          <w:szCs w:val="24"/>
          <w:highlight w:val="none"/>
        </w:rPr>
        <w:t>暂定保险费</w:t>
      </w:r>
      <w:r>
        <w:rPr>
          <w:rFonts w:hint="eastAsia" w:ascii="仿宋_GB2312" w:hAnsi="仿宋_GB2312" w:eastAsia="仿宋_GB2312" w:cs="仿宋_GB2312"/>
          <w:position w:val="6"/>
          <w:sz w:val="24"/>
          <w:highlight w:val="none"/>
        </w:rPr>
        <w:t>的20%交纳违约金。</w:t>
      </w:r>
    </w:p>
    <w:p>
      <w:pPr>
        <w:keepLines w:val="0"/>
        <w:kinsoku/>
        <w:overflowPunct/>
        <w:topLinePunct w:val="0"/>
        <w:bidi w:val="0"/>
        <w:snapToGrid w:val="0"/>
        <w:spacing w:line="360" w:lineRule="auto"/>
        <w:ind w:firstLine="482" w:firstLineChars="200"/>
        <w:outlineLvl w:val="9"/>
        <w:rPr>
          <w:rFonts w:hint="eastAsia" w:ascii="仿宋_GB2312" w:hAnsi="仿宋_GB2312" w:eastAsia="仿宋_GB2312" w:cs="仿宋_GB2312"/>
          <w:b/>
          <w:position w:val="6"/>
          <w:sz w:val="24"/>
          <w:szCs w:val="24"/>
          <w:highlight w:val="none"/>
        </w:rPr>
      </w:pPr>
      <w:bookmarkStart w:id="86" w:name="_Toc16581"/>
      <w:r>
        <w:rPr>
          <w:rFonts w:hint="eastAsia" w:ascii="仿宋_GB2312" w:hAnsi="仿宋_GB2312" w:eastAsia="仿宋_GB2312" w:cs="仿宋_GB2312"/>
          <w:b/>
          <w:position w:val="6"/>
          <w:sz w:val="24"/>
          <w:szCs w:val="24"/>
          <w:highlight w:val="none"/>
        </w:rPr>
        <w:t>10、保险条件调整</w:t>
      </w:r>
      <w:bookmarkEnd w:id="86"/>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10.1共保体调整</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本项目每一保险年度终结后，投保人将根据本协议、招标文件、投标文件及其他相关文件对首席承保人及共保人进行考核。若上一年度首席承保人及共保人在组织管理、专业技术、服务态度、服务质量、赔案处理等方面有明显缺陷或不作为，投保人可重新协商调整承保份额或共保体的组成。</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10.2保险金额调整</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本项目续保时，保险金额按照投保人申报的财产金额确定。</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10.3保险保障条件调整</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本项目续保时，保险保障条件可以根据投保人要求进行调整，如调整后的保险保障条件对现行费率产生重大影响时，费率调整另行协商。</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10.4保险费率调整</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本项目续保时，保险费率将根据往年每个险种的赔付情况进行协商调整。</w:t>
      </w:r>
    </w:p>
    <w:p>
      <w:pPr>
        <w:keepLines w:val="0"/>
        <w:kinsoku/>
        <w:overflowPunct/>
        <w:topLinePunct w:val="0"/>
        <w:bidi w:val="0"/>
        <w:snapToGrid w:val="0"/>
        <w:spacing w:line="360" w:lineRule="auto"/>
        <w:ind w:firstLine="482" w:firstLineChars="200"/>
        <w:outlineLvl w:val="9"/>
        <w:rPr>
          <w:rFonts w:hint="eastAsia" w:ascii="仿宋_GB2312" w:hAnsi="仿宋_GB2312" w:eastAsia="仿宋_GB2312" w:cs="仿宋_GB2312"/>
          <w:b/>
          <w:position w:val="6"/>
          <w:sz w:val="24"/>
          <w:szCs w:val="24"/>
          <w:highlight w:val="none"/>
        </w:rPr>
      </w:pPr>
      <w:bookmarkStart w:id="87" w:name="_Toc9442"/>
      <w:r>
        <w:rPr>
          <w:rFonts w:hint="eastAsia" w:ascii="仿宋_GB2312" w:hAnsi="仿宋_GB2312" w:eastAsia="仿宋_GB2312" w:cs="仿宋_GB2312"/>
          <w:b/>
          <w:position w:val="6"/>
          <w:sz w:val="24"/>
          <w:szCs w:val="24"/>
          <w:highlight w:val="none"/>
        </w:rPr>
        <w:t>11、其他</w:t>
      </w:r>
      <w:bookmarkEnd w:id="87"/>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11.1保密约定</w:t>
      </w:r>
      <w:bookmarkEnd w:id="85"/>
    </w:p>
    <w:p>
      <w:pPr>
        <w:pStyle w:val="43"/>
        <w:keepLines w:val="0"/>
        <w:kinsoku/>
        <w:overflowPunct/>
        <w:topLinePunct w:val="0"/>
        <w:bidi w:val="0"/>
        <w:snapToGrid w:val="0"/>
        <w:spacing w:before="0" w:beforeAutospacing="0" w:after="0" w:afterAutospacing="0" w:line="360" w:lineRule="auto"/>
        <w:ind w:firstLineChars="200"/>
        <w:outlineLvl w:val="9"/>
        <w:rPr>
          <w:rFonts w:hint="eastAsia" w:ascii="仿宋_GB2312" w:hAnsi="仿宋_GB2312" w:eastAsia="仿宋_GB2312" w:cs="仿宋_GB2312"/>
          <w:highlight w:val="none"/>
        </w:rPr>
      </w:pPr>
      <w:bookmarkStart w:id="88" w:name="_Toc461094754"/>
      <w:r>
        <w:rPr>
          <w:rFonts w:hint="eastAsia" w:ascii="仿宋_GB2312" w:hAnsi="仿宋_GB2312" w:eastAsia="仿宋_GB2312" w:cs="仿宋_GB2312"/>
          <w:highlight w:val="none"/>
        </w:rPr>
        <w:t>除法律法规规定或合同另有约定外，未经投保人同意，承保人不得将投保人提供的信息及资料（包括但不限于各方的往来书面文字文件、电子邮件及信息、软盘资料等）泄露给第三方。</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11.2争议</w:t>
      </w:r>
      <w:bookmarkEnd w:id="88"/>
      <w:r>
        <w:rPr>
          <w:rFonts w:hint="eastAsia" w:ascii="仿宋_GB2312" w:hAnsi="仿宋_GB2312" w:eastAsia="仿宋_GB2312" w:cs="仿宋_GB2312"/>
          <w:position w:val="6"/>
          <w:sz w:val="24"/>
          <w:szCs w:val="24"/>
          <w:highlight w:val="none"/>
        </w:rPr>
        <w:t>解决</w:t>
      </w:r>
    </w:p>
    <w:p>
      <w:pPr>
        <w:keepLines w:val="0"/>
        <w:kinsoku/>
        <w:overflowPunct/>
        <w:topLinePunct w:val="0"/>
        <w:bidi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bookmarkStart w:id="89" w:name="_Hlk25203019"/>
      <w:bookmarkStart w:id="90" w:name="_Toc461094755"/>
      <w:r>
        <w:rPr>
          <w:rFonts w:hint="eastAsia" w:ascii="仿宋_GB2312" w:hAnsi="仿宋_GB2312" w:eastAsia="仿宋_GB2312" w:cs="仿宋_GB2312"/>
          <w:kern w:val="0"/>
          <w:sz w:val="24"/>
          <w:highlight w:val="none"/>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仿宋_GB2312" w:hAnsi="仿宋_GB2312" w:eastAsia="仿宋_GB2312" w:cs="仿宋_GB2312"/>
          <w:kern w:val="0"/>
          <w:sz w:val="24"/>
          <w:highlight w:val="none"/>
          <w:u w:val="single"/>
        </w:rPr>
        <w:t>第（2）种</w:t>
      </w:r>
      <w:r>
        <w:rPr>
          <w:rFonts w:hint="eastAsia" w:ascii="仿宋_GB2312" w:hAnsi="仿宋_GB2312" w:eastAsia="仿宋_GB2312" w:cs="仿宋_GB2312"/>
          <w:kern w:val="0"/>
          <w:sz w:val="24"/>
          <w:highlight w:val="none"/>
        </w:rPr>
        <w:t>方式解决：</w:t>
      </w:r>
    </w:p>
    <w:p>
      <w:pPr>
        <w:keepLines w:val="0"/>
        <w:kinsoku/>
        <w:overflowPunct/>
        <w:topLinePunct w:val="0"/>
        <w:bidi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仲裁委员会提请仲裁；</w:t>
      </w:r>
    </w:p>
    <w:p>
      <w:pPr>
        <w:keepLines w:val="0"/>
        <w:tabs>
          <w:tab w:val="left" w:pos="1260"/>
        </w:tabs>
        <w:kinsoku/>
        <w:overflowPunct/>
        <w:topLinePunct w:val="0"/>
        <w:bidi w:val="0"/>
        <w:adjustRightInd w:val="0"/>
        <w:snapToGrid w:val="0"/>
        <w:spacing w:line="360" w:lineRule="auto"/>
        <w:ind w:firstLine="480" w:firstLineChars="200"/>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投保人所在地</w:t>
      </w:r>
      <w:r>
        <w:rPr>
          <w:rFonts w:hint="eastAsia" w:ascii="仿宋_GB2312" w:hAnsi="仿宋_GB2312" w:eastAsia="仿宋_GB2312" w:cs="仿宋_GB2312"/>
          <w:kern w:val="0"/>
          <w:sz w:val="24"/>
          <w:highlight w:val="none"/>
        </w:rPr>
        <w:t>人民法院提起诉讼。</w:t>
      </w:r>
      <w:bookmarkEnd w:id="89"/>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11.3合同生效及终止</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本合同自</w:t>
      </w:r>
      <w:r>
        <w:rPr>
          <w:rFonts w:hint="eastAsia" w:ascii="仿宋_GB2312" w:hAnsi="仿宋_GB2312" w:eastAsia="仿宋_GB2312" w:cs="仿宋_GB2312"/>
          <w:position w:val="6"/>
          <w:sz w:val="24"/>
          <w:szCs w:val="24"/>
          <w:highlight w:val="none"/>
          <w:u w:val="single"/>
        </w:rPr>
        <w:t>双方法定代表人或授权代表签字并加盖合同专用章后</w:t>
      </w:r>
      <w:r>
        <w:rPr>
          <w:rFonts w:hint="eastAsia" w:ascii="仿宋_GB2312" w:hAnsi="仿宋_GB2312" w:eastAsia="仿宋_GB2312" w:cs="仿宋_GB2312"/>
          <w:position w:val="6"/>
          <w:sz w:val="24"/>
          <w:szCs w:val="24"/>
          <w:highlight w:val="none"/>
        </w:rPr>
        <w:t>生效；在保险单有效期内持续有效，如果保险期限结束后仍存在遗留问题，本合同将继续有效，直至保单涉及的各项遗留事宜最终处理完毕后，本合同即行终止。</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11.4修改和补充</w:t>
      </w:r>
      <w:bookmarkEnd w:id="90"/>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szCs w:val="24"/>
          <w:highlight w:val="none"/>
        </w:rPr>
      </w:pPr>
      <w:r>
        <w:rPr>
          <w:rFonts w:hint="eastAsia" w:ascii="仿宋_GB2312" w:hAnsi="仿宋_GB2312" w:eastAsia="仿宋_GB2312" w:cs="仿宋_GB2312"/>
          <w:position w:val="6"/>
          <w:sz w:val="24"/>
          <w:szCs w:val="24"/>
          <w:highlight w:val="none"/>
        </w:rPr>
        <w:t>在本协议执行期内，如需对本协议进行修改和补充，应由投保人（代表被保险人）、承保人双方协商一致后，签订补充协议。</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11.5签订时间</w:t>
      </w:r>
    </w:p>
    <w:p>
      <w:pPr>
        <w:keepLines w:val="0"/>
        <w:kinsoku/>
        <w:overflowPunct/>
        <w:topLinePunct w:val="0"/>
        <w:bidi w:val="0"/>
        <w:spacing w:line="360" w:lineRule="auto"/>
        <w:ind w:firstLine="465"/>
        <w:outlineLvl w:val="9"/>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91" w:name="_Toc457826148"/>
      <w:bookmarkStart w:id="92" w:name="_Toc351203490"/>
      <w:bookmarkStart w:id="93" w:name="_Toc406150419"/>
    </w:p>
    <w:p>
      <w:pPr>
        <w:keepLines w:val="0"/>
        <w:kinsoku/>
        <w:overflowPunct/>
        <w:topLinePunct w:val="0"/>
        <w:bidi w:val="0"/>
        <w:spacing w:line="360" w:lineRule="auto"/>
        <w:ind w:firstLine="465"/>
        <w:outlineLvl w:val="9"/>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11.6签订地点</w:t>
      </w:r>
      <w:bookmarkEnd w:id="91"/>
      <w:bookmarkEnd w:id="92"/>
      <w:bookmarkEnd w:id="93"/>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highlight w:val="none"/>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highlight w:val="none"/>
        </w:rPr>
      </w:pPr>
      <w:r>
        <w:rPr>
          <w:rFonts w:hint="eastAsia" w:ascii="仿宋_GB2312" w:hAnsi="仿宋_GB2312" w:eastAsia="仿宋_GB2312" w:cs="仿宋_GB2312"/>
          <w:position w:val="6"/>
          <w:sz w:val="24"/>
          <w:highlight w:val="none"/>
        </w:rPr>
        <w:t>11.7本合同一式</w:t>
      </w:r>
      <w:r>
        <w:rPr>
          <w:rFonts w:hint="eastAsia" w:ascii="仿宋_GB2312" w:hAnsi="仿宋_GB2312" w:eastAsia="仿宋_GB2312" w:cs="仿宋_GB2312"/>
          <w:position w:val="6"/>
          <w:sz w:val="24"/>
          <w:highlight w:val="none"/>
          <w:u w:val="single"/>
          <w:lang w:val="en-US" w:eastAsia="zh-CN"/>
        </w:rPr>
        <w:t>十二</w:t>
      </w:r>
      <w:r>
        <w:rPr>
          <w:rFonts w:hint="eastAsia" w:ascii="仿宋_GB2312" w:hAnsi="仿宋_GB2312" w:eastAsia="仿宋_GB2312" w:cs="仿宋_GB2312"/>
          <w:position w:val="6"/>
          <w:sz w:val="24"/>
          <w:highlight w:val="none"/>
        </w:rPr>
        <w:t>份（其中正本</w:t>
      </w:r>
      <w:r>
        <w:rPr>
          <w:rFonts w:hint="eastAsia" w:ascii="仿宋_GB2312" w:hAnsi="仿宋_GB2312" w:eastAsia="仿宋_GB2312" w:cs="仿宋_GB2312"/>
          <w:position w:val="6"/>
          <w:sz w:val="24"/>
          <w:highlight w:val="none"/>
          <w:lang w:val="en-US" w:eastAsia="zh-CN"/>
        </w:rPr>
        <w:t xml:space="preserve"> </w:t>
      </w:r>
      <w:r>
        <w:rPr>
          <w:rFonts w:hint="eastAsia" w:ascii="仿宋_GB2312" w:hAnsi="仿宋_GB2312" w:eastAsia="仿宋_GB2312" w:cs="仿宋_GB2312"/>
          <w:position w:val="6"/>
          <w:sz w:val="24"/>
          <w:highlight w:val="none"/>
          <w:u w:val="single"/>
          <w:lang w:val="en-US" w:eastAsia="zh-CN"/>
        </w:rPr>
        <w:t xml:space="preserve">二 </w:t>
      </w:r>
      <w:r>
        <w:rPr>
          <w:rFonts w:hint="eastAsia" w:ascii="仿宋_GB2312" w:hAnsi="仿宋_GB2312" w:eastAsia="仿宋_GB2312" w:cs="仿宋_GB2312"/>
          <w:position w:val="6"/>
          <w:sz w:val="24"/>
          <w:highlight w:val="none"/>
        </w:rPr>
        <w:t>份、副本</w:t>
      </w:r>
      <w:r>
        <w:rPr>
          <w:rFonts w:hint="eastAsia" w:ascii="仿宋_GB2312" w:hAnsi="仿宋_GB2312" w:eastAsia="仿宋_GB2312" w:cs="仿宋_GB2312"/>
          <w:position w:val="6"/>
          <w:sz w:val="24"/>
          <w:highlight w:val="none"/>
          <w:u w:val="single"/>
        </w:rPr>
        <w:t xml:space="preserve"> </w:t>
      </w:r>
      <w:r>
        <w:rPr>
          <w:rFonts w:hint="eastAsia" w:ascii="仿宋_GB2312" w:hAnsi="仿宋_GB2312" w:eastAsia="仿宋_GB2312" w:cs="仿宋_GB2312"/>
          <w:position w:val="6"/>
          <w:sz w:val="24"/>
          <w:highlight w:val="none"/>
          <w:u w:val="single"/>
          <w:lang w:val="en-US" w:eastAsia="zh-CN"/>
        </w:rPr>
        <w:t xml:space="preserve">十  </w:t>
      </w:r>
      <w:r>
        <w:rPr>
          <w:rFonts w:hint="eastAsia" w:ascii="仿宋_GB2312" w:hAnsi="仿宋_GB2312" w:eastAsia="仿宋_GB2312" w:cs="仿宋_GB2312"/>
          <w:position w:val="6"/>
          <w:sz w:val="24"/>
          <w:highlight w:val="none"/>
        </w:rPr>
        <w:t>份），投保人执八份（一正七副）、承保人执</w:t>
      </w:r>
      <w:r>
        <w:rPr>
          <w:rFonts w:hint="eastAsia" w:ascii="仿宋_GB2312" w:hAnsi="仿宋_GB2312" w:eastAsia="仿宋_GB2312" w:cs="仿宋_GB2312"/>
          <w:position w:val="6"/>
          <w:sz w:val="24"/>
          <w:highlight w:val="none"/>
          <w:u w:val="single"/>
          <w:lang w:val="en-US" w:eastAsia="zh-CN"/>
        </w:rPr>
        <w:t xml:space="preserve">四 </w:t>
      </w:r>
      <w:r>
        <w:rPr>
          <w:rFonts w:hint="eastAsia" w:ascii="仿宋_GB2312" w:hAnsi="仿宋_GB2312" w:eastAsia="仿宋_GB2312" w:cs="仿宋_GB2312"/>
          <w:position w:val="6"/>
          <w:sz w:val="24"/>
          <w:highlight w:val="none"/>
        </w:rPr>
        <w:t>份（</w:t>
      </w:r>
      <w:r>
        <w:rPr>
          <w:rFonts w:hint="eastAsia" w:ascii="仿宋_GB2312" w:hAnsi="仿宋_GB2312" w:eastAsia="仿宋_GB2312" w:cs="仿宋_GB2312"/>
          <w:position w:val="6"/>
          <w:sz w:val="24"/>
          <w:highlight w:val="none"/>
          <w:u w:val="single"/>
          <w:lang w:val="en-US" w:eastAsia="zh-CN"/>
        </w:rPr>
        <w:t xml:space="preserve">一 </w:t>
      </w:r>
      <w:r>
        <w:rPr>
          <w:rFonts w:hint="eastAsia" w:ascii="仿宋_GB2312" w:hAnsi="仿宋_GB2312" w:eastAsia="仿宋_GB2312" w:cs="仿宋_GB2312"/>
          <w:position w:val="6"/>
          <w:sz w:val="24"/>
          <w:highlight w:val="none"/>
        </w:rPr>
        <w:t>正</w:t>
      </w:r>
      <w:r>
        <w:rPr>
          <w:rFonts w:hint="eastAsia" w:ascii="仿宋_GB2312" w:hAnsi="仿宋_GB2312" w:eastAsia="仿宋_GB2312" w:cs="仿宋_GB2312"/>
          <w:position w:val="6"/>
          <w:sz w:val="24"/>
          <w:highlight w:val="none"/>
          <w:u w:val="single"/>
        </w:rPr>
        <w:t xml:space="preserve"> </w:t>
      </w:r>
      <w:r>
        <w:rPr>
          <w:rFonts w:hint="eastAsia" w:ascii="仿宋_GB2312" w:hAnsi="仿宋_GB2312" w:eastAsia="仿宋_GB2312" w:cs="仿宋_GB2312"/>
          <w:position w:val="6"/>
          <w:sz w:val="24"/>
          <w:highlight w:val="none"/>
          <w:u w:val="single"/>
          <w:lang w:val="en-US" w:eastAsia="zh-CN"/>
        </w:rPr>
        <w:t xml:space="preserve">三  </w:t>
      </w:r>
      <w:r>
        <w:rPr>
          <w:rFonts w:hint="eastAsia" w:ascii="仿宋_GB2312" w:hAnsi="仿宋_GB2312" w:eastAsia="仿宋_GB2312" w:cs="仿宋_GB2312"/>
          <w:position w:val="6"/>
          <w:sz w:val="24"/>
          <w:highlight w:val="none"/>
        </w:rPr>
        <w:t>副）。合同正本和副本具有同等效力，当合同副本与正本之间存有差异时，以合同正本为准。</w:t>
      </w:r>
    </w:p>
    <w:p>
      <w:pPr>
        <w:keepLines w:val="0"/>
        <w:kinsoku/>
        <w:overflowPunct/>
        <w:topLinePunct w:val="0"/>
        <w:bidi w:val="0"/>
        <w:snapToGrid w:val="0"/>
        <w:spacing w:line="360" w:lineRule="auto"/>
        <w:ind w:firstLine="480" w:firstLineChars="200"/>
        <w:outlineLvl w:val="9"/>
        <w:rPr>
          <w:rFonts w:hint="eastAsia" w:ascii="仿宋_GB2312" w:hAnsi="仿宋_GB2312" w:eastAsia="仿宋_GB2312" w:cs="仿宋_GB2312"/>
          <w:position w:val="6"/>
          <w:sz w:val="24"/>
          <w:highlight w:val="none"/>
        </w:rPr>
      </w:pPr>
      <w:r>
        <w:rPr>
          <w:rFonts w:hint="eastAsia" w:ascii="仿宋_GB2312" w:hAnsi="仿宋_GB2312" w:eastAsia="仿宋_GB2312" w:cs="仿宋_GB2312"/>
          <w:position w:val="6"/>
          <w:sz w:val="24"/>
          <w:highlight w:val="none"/>
        </w:rPr>
        <w:t>11.8双方约定的其他事项（本条约定与合同条款中其他约定不一致时，以本条为准）：</w:t>
      </w:r>
      <w:r>
        <w:rPr>
          <w:rFonts w:hint="eastAsia" w:ascii="仿宋_GB2312" w:hAnsi="仿宋_GB2312" w:eastAsia="仿宋_GB2312" w:cs="仿宋_GB2312"/>
          <w:b/>
          <w:position w:val="6"/>
          <w:sz w:val="24"/>
          <w:highlight w:val="none"/>
          <w:u w:val="single"/>
        </w:rPr>
        <w:t xml:space="preserve"> </w:t>
      </w:r>
      <w:r>
        <w:rPr>
          <w:rFonts w:hint="eastAsia" w:ascii="仿宋_GB2312" w:hAnsi="仿宋_GB2312" w:eastAsia="仿宋_GB2312" w:cs="仿宋_GB2312"/>
          <w:position w:val="6"/>
          <w:sz w:val="24"/>
          <w:szCs w:val="24"/>
          <w:highlight w:val="none"/>
          <w:u w:val="single"/>
          <w:lang w:val="en-US" w:eastAsia="zh-CN"/>
        </w:rPr>
        <w:t>11.8.1</w:t>
      </w:r>
      <w:r>
        <w:rPr>
          <w:rFonts w:hint="eastAsia" w:ascii="仿宋_GB2312" w:hAnsi="仿宋_GB2312" w:eastAsia="仿宋_GB2312" w:cs="仿宋_GB2312"/>
          <w:position w:val="6"/>
          <w:sz w:val="24"/>
          <w:szCs w:val="24"/>
          <w:highlight w:val="none"/>
          <w:u w:val="single"/>
        </w:rPr>
        <w:t xml:space="preserve">  合同协议书9.</w:t>
      </w:r>
      <w:r>
        <w:rPr>
          <w:rFonts w:hint="eastAsia" w:ascii="仿宋_GB2312" w:hAnsi="仿宋_GB2312" w:eastAsia="仿宋_GB2312" w:cs="仿宋_GB2312"/>
          <w:position w:val="6"/>
          <w:sz w:val="24"/>
          <w:szCs w:val="24"/>
          <w:highlight w:val="none"/>
          <w:u w:val="single"/>
          <w:lang w:val="en-US" w:eastAsia="zh-CN"/>
        </w:rPr>
        <w:t>7修改为：9.7</w:t>
      </w:r>
      <w:r>
        <w:rPr>
          <w:rFonts w:hint="eastAsia" w:ascii="仿宋_GB2312" w:hAnsi="仿宋_GB2312" w:eastAsia="仿宋_GB2312" w:cs="仿宋_GB2312"/>
          <w:position w:val="6"/>
          <w:sz w:val="24"/>
          <w:szCs w:val="24"/>
          <w:highlight w:val="none"/>
          <w:u w:val="single"/>
        </w:rPr>
        <w:t>因</w:t>
      </w:r>
      <w:r>
        <w:rPr>
          <w:rFonts w:hint="eastAsia" w:ascii="仿宋_GB2312" w:hAnsi="仿宋_GB2312" w:eastAsia="仿宋_GB2312" w:cs="仿宋_GB2312"/>
          <w:position w:val="6"/>
          <w:sz w:val="24"/>
          <w:szCs w:val="24"/>
          <w:highlight w:val="none"/>
          <w:u w:val="single"/>
          <w:lang w:val="en-US" w:eastAsia="zh-CN"/>
        </w:rPr>
        <w:t>承保人</w:t>
      </w:r>
      <w:r>
        <w:rPr>
          <w:rFonts w:hint="eastAsia" w:ascii="仿宋_GB2312" w:hAnsi="仿宋_GB2312" w:eastAsia="仿宋_GB2312" w:cs="仿宋_GB2312"/>
          <w:position w:val="6"/>
          <w:sz w:val="24"/>
          <w:szCs w:val="24"/>
          <w:highlight w:val="none"/>
          <w:u w:val="single"/>
        </w:rPr>
        <w:t>提供的发票导致投保人被税务部门追究相关法律责任的，承保人应承担由此给投保人造成的损失（包括但不限于未抵扣的税费、滞纳金）</w:t>
      </w:r>
      <w:r>
        <w:rPr>
          <w:rFonts w:hint="eastAsia" w:ascii="仿宋_GB2312" w:hAnsi="仿宋_GB2312" w:eastAsia="仿宋_GB2312" w:cs="仿宋_GB2312"/>
          <w:position w:val="6"/>
          <w:sz w:val="24"/>
          <w:szCs w:val="24"/>
          <w:highlight w:val="none"/>
          <w:u w:val="single"/>
          <w:lang w:eastAsia="zh-CN"/>
        </w:rPr>
        <w:t>。</w:t>
      </w:r>
      <w:r>
        <w:rPr>
          <w:rFonts w:hint="eastAsia" w:ascii="仿宋_GB2312" w:hAnsi="仿宋_GB2312" w:eastAsia="仿宋_GB2312" w:cs="仿宋_GB2312"/>
          <w:b/>
          <w:position w:val="6"/>
          <w:sz w:val="24"/>
          <w:highlight w:val="none"/>
          <w:u w:val="single"/>
        </w:rPr>
        <w:t xml:space="preserve"> </w:t>
      </w:r>
    </w:p>
    <w:p>
      <w:pPr>
        <w:keepLines w:val="0"/>
        <w:kinsoku/>
        <w:overflowPunct/>
        <w:topLinePunct w:val="0"/>
        <w:bidi w:val="0"/>
        <w:snapToGrid w:val="0"/>
        <w:spacing w:line="360" w:lineRule="auto"/>
        <w:ind w:firstLine="482" w:firstLineChars="200"/>
        <w:outlineLvl w:val="9"/>
        <w:rPr>
          <w:rFonts w:hint="eastAsia" w:ascii="仿宋_GB2312" w:hAnsi="仿宋_GB2312" w:eastAsia="仿宋_GB2312" w:cs="仿宋_GB2312"/>
          <w:position w:val="6"/>
          <w:sz w:val="24"/>
          <w:highlight w:val="none"/>
        </w:rPr>
      </w:pPr>
      <w:r>
        <w:rPr>
          <w:rFonts w:hint="eastAsia" w:ascii="仿宋_GB2312" w:hAnsi="仿宋_GB2312" w:eastAsia="仿宋_GB2312" w:cs="仿宋_GB2312"/>
          <w:b/>
          <w:position w:val="6"/>
          <w:sz w:val="24"/>
          <w:highlight w:val="none"/>
          <w:u w:val="single"/>
        </w:rPr>
        <w:t xml:space="preserve">                           </w:t>
      </w:r>
    </w:p>
    <w:p>
      <w:pPr>
        <w:keepLines w:val="0"/>
        <w:pageBreakBefore/>
        <w:kinsoku/>
        <w:overflowPunct/>
        <w:topLinePunct w:val="0"/>
        <w:bidi w:val="0"/>
        <w:snapToGrid w:val="0"/>
        <w:spacing w:line="360" w:lineRule="auto"/>
        <w:outlineLvl w:val="9"/>
        <w:rPr>
          <w:rFonts w:hint="eastAsia" w:ascii="仿宋_GB2312" w:hAnsi="仿宋_GB2312" w:eastAsia="仿宋_GB2312" w:cs="仿宋_GB2312"/>
          <w:position w:val="6"/>
          <w:sz w:val="24"/>
          <w:highlight w:val="none"/>
        </w:rPr>
      </w:pPr>
      <w:r>
        <w:rPr>
          <w:rFonts w:hint="eastAsia" w:ascii="仿宋_GB2312" w:hAnsi="仿宋_GB2312" w:eastAsia="仿宋_GB2312" w:cs="仿宋_GB2312"/>
          <w:position w:val="6"/>
          <w:sz w:val="24"/>
          <w:highlight w:val="none"/>
        </w:rPr>
        <w:t>（本页无正文）</w:t>
      </w:r>
    </w:p>
    <w:p>
      <w:pPr>
        <w:keepLines w:val="0"/>
        <w:kinsoku/>
        <w:overflowPunct/>
        <w:topLinePunct w:val="0"/>
        <w:bidi w:val="0"/>
        <w:snapToGrid w:val="0"/>
        <w:spacing w:line="360" w:lineRule="auto"/>
        <w:outlineLvl w:val="9"/>
        <w:rPr>
          <w:rFonts w:hint="eastAsia" w:ascii="仿宋_GB2312" w:hAnsi="仿宋_GB2312" w:eastAsia="仿宋_GB2312" w:cs="仿宋_GB2312"/>
          <w:position w:val="6"/>
          <w:sz w:val="24"/>
          <w:highlight w:val="none"/>
        </w:rPr>
      </w:pPr>
    </w:p>
    <w:p>
      <w:pPr>
        <w:keepLines w:val="0"/>
        <w:kinsoku/>
        <w:overflowPunct/>
        <w:topLinePunct w:val="0"/>
        <w:bidi w:val="0"/>
        <w:snapToGrid w:val="0"/>
        <w:spacing w:line="360" w:lineRule="auto"/>
        <w:outlineLvl w:val="9"/>
        <w:rPr>
          <w:rFonts w:hint="eastAsia" w:ascii="仿宋_GB2312" w:hAnsi="仿宋_GB2312" w:eastAsia="仿宋_GB2312" w:cs="仿宋_GB2312"/>
          <w:position w:val="6"/>
          <w:sz w:val="24"/>
          <w:highlight w:val="none"/>
        </w:rPr>
      </w:pPr>
    </w:p>
    <w:p>
      <w:pPr>
        <w:keepLines w:val="0"/>
        <w:kinsoku/>
        <w:overflowPunct/>
        <w:topLinePunct w:val="0"/>
        <w:bidi w:val="0"/>
        <w:snapToGrid w:val="0"/>
        <w:spacing w:line="360" w:lineRule="auto"/>
        <w:outlineLvl w:val="9"/>
        <w:rPr>
          <w:rFonts w:hint="eastAsia" w:ascii="仿宋_GB2312" w:hAnsi="仿宋_GB2312" w:eastAsia="仿宋_GB2312" w:cs="仿宋_GB2312"/>
          <w:position w:val="6"/>
          <w:sz w:val="24"/>
          <w:highlight w:val="none"/>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7"/>
              <w:keepLines w:val="0"/>
              <w:kinsoku/>
              <w:overflowPunct/>
              <w:topLinePunct w:val="0"/>
              <w:bidi w:val="0"/>
              <w:snapToGrid w:val="0"/>
              <w:spacing w:line="360" w:lineRule="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投保人（代表被保险人）：(盖章)</w:t>
            </w:r>
          </w:p>
          <w:p>
            <w:pPr>
              <w:pStyle w:val="27"/>
              <w:keepLines w:val="0"/>
              <w:kinsoku/>
              <w:overflowPunct/>
              <w:topLinePunct w:val="0"/>
              <w:bidi w:val="0"/>
              <w:snapToGrid w:val="0"/>
              <w:spacing w:line="360" w:lineRule="auto"/>
              <w:outlineLvl w:val="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27"/>
              <w:keepLines w:val="0"/>
              <w:kinsoku/>
              <w:overflowPunct/>
              <w:topLinePunct w:val="0"/>
              <w:bidi w:val="0"/>
              <w:snapToGrid w:val="0"/>
              <w:spacing w:line="360" w:lineRule="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承保人：（盖章）</w:t>
            </w:r>
          </w:p>
          <w:p>
            <w:pPr>
              <w:pStyle w:val="27"/>
              <w:keepLines w:val="0"/>
              <w:kinsoku/>
              <w:overflowPunct/>
              <w:topLinePunct w:val="0"/>
              <w:bidi w:val="0"/>
              <w:snapToGrid w:val="0"/>
              <w:spacing w:line="360" w:lineRule="auto"/>
              <w:outlineLvl w:val="9"/>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27"/>
              <w:keepLines w:val="0"/>
              <w:kinsoku/>
              <w:overflowPunct/>
              <w:topLinePunct w:val="0"/>
              <w:bidi w:val="0"/>
              <w:snapToGrid w:val="0"/>
              <w:spacing w:line="360" w:lineRule="auto"/>
              <w:ind w:left="19" w:leftChars="9"/>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27"/>
              <w:keepLines w:val="0"/>
              <w:kinsoku/>
              <w:overflowPunct/>
              <w:topLinePunct w:val="0"/>
              <w:bidi w:val="0"/>
              <w:snapToGrid w:val="0"/>
              <w:spacing w:line="360" w:lineRule="auto"/>
              <w:ind w:left="19" w:leftChars="9"/>
              <w:outlineLvl w:val="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27"/>
              <w:keepLines w:val="0"/>
              <w:kinsoku/>
              <w:overflowPunct/>
              <w:topLinePunct w:val="0"/>
              <w:bidi w:val="0"/>
              <w:snapToGrid w:val="0"/>
              <w:spacing w:line="360" w:lineRule="auto"/>
              <w:ind w:left="34" w:leftChars="1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7"/>
              <w:keepLines w:val="0"/>
              <w:kinsoku/>
              <w:overflowPunct/>
              <w:topLinePunct w:val="0"/>
              <w:bidi w:val="0"/>
              <w:snapToGrid w:val="0"/>
              <w:spacing w:line="360" w:lineRule="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c>
          <w:tcPr>
            <w:tcW w:w="4252" w:type="dxa"/>
            <w:tcBorders>
              <w:top w:val="nil"/>
              <w:left w:val="nil"/>
              <w:bottom w:val="nil"/>
              <w:right w:val="nil"/>
            </w:tcBorders>
            <w:noWrap w:val="0"/>
            <w:vAlign w:val="top"/>
          </w:tcPr>
          <w:p>
            <w:pPr>
              <w:pStyle w:val="27"/>
              <w:keepLines w:val="0"/>
              <w:kinsoku/>
              <w:overflowPunct/>
              <w:topLinePunct w:val="0"/>
              <w:bidi w:val="0"/>
              <w:snapToGrid w:val="0"/>
              <w:spacing w:line="360" w:lineRule="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7"/>
              <w:keepLines w:val="0"/>
              <w:kinsoku/>
              <w:overflowPunct/>
              <w:topLinePunct w:val="0"/>
              <w:bidi w:val="0"/>
              <w:snapToGrid w:val="0"/>
              <w:spacing w:line="360" w:lineRule="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c>
          <w:tcPr>
            <w:tcW w:w="4252" w:type="dxa"/>
            <w:tcBorders>
              <w:top w:val="nil"/>
              <w:left w:val="nil"/>
              <w:bottom w:val="nil"/>
              <w:right w:val="nil"/>
            </w:tcBorders>
            <w:noWrap w:val="0"/>
            <w:vAlign w:val="top"/>
          </w:tcPr>
          <w:p>
            <w:pPr>
              <w:pStyle w:val="27"/>
              <w:keepLines w:val="0"/>
              <w:kinsoku/>
              <w:overflowPunct/>
              <w:topLinePunct w:val="0"/>
              <w:bidi w:val="0"/>
              <w:snapToGrid w:val="0"/>
              <w:spacing w:line="360" w:lineRule="auto"/>
              <w:ind w:left="34" w:leftChars="1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7"/>
              <w:keepLines w:val="0"/>
              <w:kinsoku/>
              <w:overflowPunct/>
              <w:topLinePunct w:val="0"/>
              <w:bidi w:val="0"/>
              <w:snapToGrid w:val="0"/>
              <w:spacing w:line="360" w:lineRule="auto"/>
              <w:ind w:left="19" w:leftChars="9"/>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4252" w:type="dxa"/>
            <w:tcBorders>
              <w:top w:val="nil"/>
              <w:left w:val="nil"/>
              <w:bottom w:val="nil"/>
              <w:right w:val="nil"/>
            </w:tcBorders>
            <w:noWrap w:val="0"/>
            <w:vAlign w:val="top"/>
          </w:tcPr>
          <w:p>
            <w:pPr>
              <w:pStyle w:val="27"/>
              <w:keepLines w:val="0"/>
              <w:kinsoku/>
              <w:overflowPunct/>
              <w:topLinePunct w:val="0"/>
              <w:bidi w:val="0"/>
              <w:snapToGrid w:val="0"/>
              <w:spacing w:line="360" w:lineRule="auto"/>
              <w:ind w:left="34" w:leftChars="1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7"/>
              <w:keepLines w:val="0"/>
              <w:kinsoku/>
              <w:overflowPunct/>
              <w:topLinePunct w:val="0"/>
              <w:bidi w:val="0"/>
              <w:snapToGrid w:val="0"/>
              <w:spacing w:line="360" w:lineRule="auto"/>
              <w:ind w:left="19" w:leftChars="9"/>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c>
          <w:tcPr>
            <w:tcW w:w="4252" w:type="dxa"/>
            <w:tcBorders>
              <w:top w:val="nil"/>
              <w:left w:val="nil"/>
              <w:bottom w:val="nil"/>
              <w:right w:val="nil"/>
            </w:tcBorders>
            <w:noWrap w:val="0"/>
            <w:vAlign w:val="top"/>
          </w:tcPr>
          <w:p>
            <w:pPr>
              <w:pStyle w:val="27"/>
              <w:keepLines w:val="0"/>
              <w:kinsoku/>
              <w:overflowPunct/>
              <w:topLinePunct w:val="0"/>
              <w:bidi w:val="0"/>
              <w:snapToGrid w:val="0"/>
              <w:spacing w:line="360" w:lineRule="auto"/>
              <w:ind w:left="34" w:leftChars="1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7"/>
              <w:keepLines w:val="0"/>
              <w:kinsoku/>
              <w:overflowPunct/>
              <w:topLinePunct w:val="0"/>
              <w:bidi w:val="0"/>
              <w:snapToGrid w:val="0"/>
              <w:spacing w:line="360" w:lineRule="auto"/>
              <w:ind w:left="19" w:leftChars="9"/>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27"/>
              <w:keepLines w:val="0"/>
              <w:kinsoku/>
              <w:overflowPunct/>
              <w:topLinePunct w:val="0"/>
              <w:bidi w:val="0"/>
              <w:snapToGrid w:val="0"/>
              <w:spacing w:line="360" w:lineRule="auto"/>
              <w:ind w:left="34" w:leftChars="1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7"/>
              <w:keepLines w:val="0"/>
              <w:kinsoku/>
              <w:overflowPunct/>
              <w:topLinePunct w:val="0"/>
              <w:bidi w:val="0"/>
              <w:snapToGrid w:val="0"/>
              <w:spacing w:line="360" w:lineRule="auto"/>
              <w:ind w:left="19" w:leftChars="9"/>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p>
            <w:pPr>
              <w:pStyle w:val="27"/>
              <w:keepLines w:val="0"/>
              <w:kinsoku/>
              <w:overflowPunct/>
              <w:topLinePunct w:val="0"/>
              <w:bidi w:val="0"/>
              <w:snapToGrid w:val="0"/>
              <w:spacing w:line="360" w:lineRule="auto"/>
              <w:ind w:left="19" w:leftChars="9"/>
              <w:outlineLvl w:val="9"/>
              <w:rPr>
                <w:rFonts w:hint="eastAsia" w:ascii="仿宋_GB2312" w:hAnsi="仿宋_GB2312" w:eastAsia="仿宋_GB2312" w:cs="仿宋_GB2312"/>
                <w:sz w:val="24"/>
                <w:highlight w:val="none"/>
              </w:rPr>
            </w:pPr>
          </w:p>
          <w:p>
            <w:pPr>
              <w:pStyle w:val="27"/>
              <w:keepLines w:val="0"/>
              <w:kinsoku/>
              <w:overflowPunct/>
              <w:topLinePunct w:val="0"/>
              <w:bidi w:val="0"/>
              <w:snapToGrid w:val="0"/>
              <w:spacing w:line="360" w:lineRule="auto"/>
              <w:ind w:left="19" w:leftChars="9"/>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27"/>
              <w:keepLines w:val="0"/>
              <w:kinsoku/>
              <w:overflowPunct/>
              <w:topLinePunct w:val="0"/>
              <w:bidi w:val="0"/>
              <w:snapToGrid w:val="0"/>
              <w:spacing w:line="360" w:lineRule="auto"/>
              <w:ind w:left="34" w:leftChars="1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p>
            <w:pPr>
              <w:pStyle w:val="27"/>
              <w:keepLines w:val="0"/>
              <w:kinsoku/>
              <w:overflowPunct/>
              <w:topLinePunct w:val="0"/>
              <w:bidi w:val="0"/>
              <w:snapToGrid w:val="0"/>
              <w:spacing w:line="360" w:lineRule="auto"/>
              <w:ind w:left="34" w:leftChars="16"/>
              <w:outlineLvl w:val="9"/>
              <w:rPr>
                <w:rFonts w:hint="eastAsia" w:ascii="仿宋_GB2312" w:hAnsi="仿宋_GB2312" w:eastAsia="仿宋_GB2312" w:cs="仿宋_GB2312"/>
                <w:sz w:val="24"/>
                <w:highlight w:val="none"/>
              </w:rPr>
            </w:pPr>
          </w:p>
          <w:p>
            <w:pPr>
              <w:pStyle w:val="27"/>
              <w:keepLines w:val="0"/>
              <w:kinsoku/>
              <w:overflowPunct/>
              <w:topLinePunct w:val="0"/>
              <w:bidi w:val="0"/>
              <w:snapToGrid w:val="0"/>
              <w:spacing w:line="360" w:lineRule="auto"/>
              <w:ind w:left="34" w:leftChars="1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keepLines w:val="0"/>
        <w:numPr>
          <w:ilvl w:val="0"/>
          <w:numId w:val="19"/>
        </w:numPr>
        <w:kinsoku/>
        <w:overflowPunct/>
        <w:topLinePunct w:val="0"/>
        <w:bidi w:val="0"/>
        <w:snapToGrid w:val="0"/>
        <w:spacing w:line="360" w:lineRule="auto"/>
        <w:outlineLvl w:val="9"/>
        <w:rPr>
          <w:rFonts w:hint="eastAsia" w:ascii="仿宋_GB2312" w:hAnsi="仿宋_GB2312" w:eastAsia="仿宋_GB2312" w:cs="仿宋_GB2312"/>
          <w:sz w:val="32"/>
          <w:szCs w:val="48"/>
          <w:highlight w:val="none"/>
        </w:rPr>
      </w:pPr>
      <w:r>
        <w:rPr>
          <w:rFonts w:hint="eastAsia" w:ascii="仿宋_GB2312" w:hAnsi="仿宋_GB2312" w:eastAsia="仿宋_GB2312" w:cs="仿宋_GB2312"/>
          <w:b w:val="0"/>
          <w:sz w:val="36"/>
          <w:highlight w:val="none"/>
        </w:rPr>
        <w:br w:type="page"/>
      </w:r>
      <w:bookmarkStart w:id="94" w:name="_Toc2298"/>
      <w:r>
        <w:rPr>
          <w:rFonts w:hint="eastAsia" w:ascii="仿宋_GB2312" w:hAnsi="仿宋_GB2312" w:eastAsia="仿宋_GB2312" w:cs="仿宋_GB2312"/>
          <w:sz w:val="32"/>
          <w:szCs w:val="48"/>
          <w:highlight w:val="none"/>
        </w:rPr>
        <w:t>运营期保险需求</w:t>
      </w:r>
      <w:bookmarkEnd w:id="94"/>
    </w:p>
    <w:p>
      <w:pPr>
        <w:keepLines w:val="0"/>
        <w:kinsoku/>
        <w:overflowPunct/>
        <w:topLinePunct w:val="0"/>
        <w:bidi w:val="0"/>
        <w:snapToGrid w:val="0"/>
        <w:spacing w:line="360" w:lineRule="auto"/>
        <w:jc w:val="left"/>
        <w:outlineLvl w:val="9"/>
        <w:rPr>
          <w:rFonts w:hint="eastAsia" w:ascii="仿宋_GB2312" w:hAnsi="仿宋_GB2312" w:eastAsia="仿宋_GB2312" w:cs="仿宋_GB2312"/>
          <w:highlight w:val="none"/>
        </w:rPr>
      </w:pPr>
    </w:p>
    <w:p>
      <w:pPr>
        <w:keepLines w:val="0"/>
        <w:kinsoku/>
        <w:overflowPunct/>
        <w:topLinePunct w:val="0"/>
        <w:bidi w:val="0"/>
        <w:spacing w:line="360" w:lineRule="auto"/>
        <w:outlineLvl w:val="9"/>
        <w:rPr>
          <w:rFonts w:hint="eastAsia" w:ascii="仿宋_GB2312" w:hAnsi="仿宋_GB2312" w:eastAsia="仿宋_GB2312" w:cs="仿宋_GB2312"/>
          <w:sz w:val="24"/>
          <w:szCs w:val="24"/>
          <w:highlight w:val="none"/>
        </w:rPr>
        <w:sectPr>
          <w:footerReference r:id="rId9" w:type="default"/>
          <w:pgSz w:w="11906" w:h="16838"/>
          <w:pgMar w:top="1440" w:right="1800" w:bottom="1440" w:left="1800" w:header="851" w:footer="992" w:gutter="0"/>
          <w:pgNumType w:start="1"/>
          <w:cols w:space="720" w:num="1"/>
          <w:docGrid w:type="lines" w:linePitch="312" w:charSpace="0"/>
        </w:sectPr>
      </w:pPr>
    </w:p>
    <w:p>
      <w:pPr>
        <w:keepLines w:val="0"/>
        <w:kinsoku/>
        <w:overflowPunct/>
        <w:topLinePunct w:val="0"/>
        <w:bidi w:val="0"/>
        <w:snapToGrid w:val="0"/>
        <w:spacing w:line="360" w:lineRule="auto"/>
        <w:outlineLvl w:val="9"/>
        <w:rPr>
          <w:rFonts w:hint="eastAsia" w:ascii="仿宋_GB2312" w:hAnsi="仿宋_GB2312" w:eastAsia="仿宋_GB2312" w:cs="仿宋_GB2312"/>
          <w:highlight w:val="none"/>
        </w:rPr>
      </w:pPr>
      <w:r>
        <w:rPr>
          <w:rFonts w:hint="eastAsia" w:ascii="仿宋_GB2312" w:hAnsi="仿宋_GB2312" w:eastAsia="仿宋_GB2312" w:cs="仿宋_GB2312"/>
          <w:sz w:val="32"/>
          <w:szCs w:val="48"/>
          <w:highlight w:val="none"/>
        </w:rPr>
        <w:t>第三部分 合同附件</w:t>
      </w:r>
    </w:p>
    <w:p>
      <w:pPr>
        <w:keepLines w:val="0"/>
        <w:kinsoku/>
        <w:overflowPunct/>
        <w:topLinePunct w:val="0"/>
        <w:bidi w:val="0"/>
        <w:adjustRightInd w:val="0"/>
        <w:snapToGrid w:val="0"/>
        <w:spacing w:line="360" w:lineRule="auto"/>
        <w:outlineLvl w:val="9"/>
        <w:rPr>
          <w:rFonts w:hint="eastAsia" w:ascii="仿宋_GB2312" w:hAnsi="仿宋_GB2312" w:eastAsia="仿宋_GB2312" w:cs="仿宋_GB2312"/>
          <w:b/>
          <w:sz w:val="24"/>
          <w:szCs w:val="24"/>
          <w:highlight w:val="none"/>
        </w:rPr>
      </w:pPr>
      <w:bookmarkStart w:id="95" w:name="_Toc501718838"/>
      <w:r>
        <w:rPr>
          <w:rFonts w:hint="eastAsia" w:ascii="仿宋_GB2312" w:hAnsi="仿宋_GB2312" w:eastAsia="仿宋_GB2312" w:cs="仿宋_GB2312"/>
          <w:b/>
          <w:sz w:val="24"/>
          <w:highlight w:val="none"/>
        </w:rPr>
        <w:t>附件1 廉政协议</w:t>
      </w:r>
    </w:p>
    <w:p>
      <w:pPr>
        <w:keepLines w:val="0"/>
        <w:kinsoku/>
        <w:overflowPunct/>
        <w:topLinePunct w:val="0"/>
        <w:bidi w:val="0"/>
        <w:adjustRightInd w:val="0"/>
        <w:snapToGrid w:val="0"/>
        <w:spacing w:line="360" w:lineRule="auto"/>
        <w:jc w:val="center"/>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keepLines w:val="0"/>
        <w:widowControl/>
        <w:kinsoku/>
        <w:overflowPunct/>
        <w:topLinePunct w:val="0"/>
        <w:bidi w:val="0"/>
        <w:snapToGrid w:val="0"/>
        <w:spacing w:line="360" w:lineRule="auto"/>
        <w:jc w:val="left"/>
        <w:outlineLvl w:val="9"/>
        <w:rPr>
          <w:rFonts w:hint="eastAsia" w:ascii="仿宋_GB2312" w:hAnsi="仿宋_GB2312" w:eastAsia="仿宋_GB2312" w:cs="仿宋_GB2312"/>
          <w:kern w:val="0"/>
          <w:sz w:val="24"/>
          <w:szCs w:val="24"/>
          <w:highlight w:val="none"/>
          <w:lang w:bidi="en-US"/>
        </w:rPr>
      </w:pPr>
    </w:p>
    <w:p>
      <w:pPr>
        <w:keepLines w:val="0"/>
        <w:widowControl/>
        <w:kinsoku/>
        <w:overflowPunct/>
        <w:topLinePunct w:val="0"/>
        <w:bidi w:val="0"/>
        <w:snapToGrid w:val="0"/>
        <w:spacing w:line="360" w:lineRule="auto"/>
        <w:jc w:val="left"/>
        <w:outlineLvl w:val="9"/>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甲方：</w:t>
      </w:r>
      <w:r>
        <w:rPr>
          <w:rFonts w:hint="eastAsia" w:ascii="仿宋_GB2312" w:hAnsi="仿宋_GB2312" w:eastAsia="仿宋_GB2312" w:cs="仿宋_GB2312"/>
          <w:sz w:val="24"/>
          <w:highlight w:val="none"/>
          <w:u w:val="single"/>
          <w:lang w:val="en-US" w:eastAsia="zh-CN"/>
        </w:rPr>
        <w:t>长沙市轨道交通运营有限公司</w:t>
      </w:r>
      <w:r>
        <w:rPr>
          <w:rFonts w:hint="eastAsia" w:ascii="仿宋_GB2312" w:hAnsi="仿宋_GB2312" w:eastAsia="仿宋_GB2312" w:cs="仿宋_GB2312"/>
          <w:kern w:val="0"/>
          <w:sz w:val="24"/>
          <w:highlight w:val="none"/>
          <w:u w:val="single"/>
        </w:rPr>
        <w:t xml:space="preserve"> </w:t>
      </w:r>
    </w:p>
    <w:p>
      <w:pPr>
        <w:keepLines w:val="0"/>
        <w:widowControl/>
        <w:kinsoku/>
        <w:overflowPunct/>
        <w:topLinePunct w:val="0"/>
        <w:bidi w:val="0"/>
        <w:snapToGrid w:val="0"/>
        <w:spacing w:line="360" w:lineRule="auto"/>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rPr>
        <w:t xml:space="preserve">                        </w:t>
      </w:r>
    </w:p>
    <w:p>
      <w:pPr>
        <w:keepLines w:val="0"/>
        <w:kinsoku/>
        <w:overflowPunct/>
        <w:topLinePunct w:val="0"/>
        <w:bidi w:val="0"/>
        <w:adjustRightInd w:val="0"/>
        <w:snapToGrid w:val="0"/>
        <w:spacing w:line="360" w:lineRule="auto"/>
        <w:ind w:firstLine="480"/>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根据国家法律、法规以及有关廉政建设的规定，为做好合同执行过程中党风廉政建设，保证建设及运营资金的安全和有效使用以及投资效益，甲、乙双方特订立如下廉政协议：</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b/>
          <w:sz w:val="24"/>
          <w:szCs w:val="24"/>
          <w:highlight w:val="none"/>
        </w:rPr>
      </w:pPr>
      <w:bookmarkStart w:id="96" w:name="_Toc59900969"/>
      <w:bookmarkStart w:id="97" w:name="_Toc59896701"/>
      <w:r>
        <w:rPr>
          <w:rFonts w:hint="eastAsia" w:ascii="仿宋_GB2312" w:hAnsi="仿宋_GB2312" w:eastAsia="仿宋_GB2312" w:cs="仿宋_GB2312"/>
          <w:b/>
          <w:sz w:val="24"/>
          <w:szCs w:val="24"/>
          <w:highlight w:val="none"/>
        </w:rPr>
        <w:t xml:space="preserve">第一条 </w:t>
      </w:r>
      <w:bookmarkEnd w:id="96"/>
      <w:bookmarkEnd w:id="97"/>
      <w:r>
        <w:rPr>
          <w:rFonts w:hint="eastAsia" w:ascii="仿宋_GB2312" w:hAnsi="仿宋_GB2312" w:eastAsia="仿宋_GB2312" w:cs="仿宋_GB2312"/>
          <w:b/>
          <w:sz w:val="24"/>
          <w:szCs w:val="24"/>
          <w:highlight w:val="none"/>
        </w:rPr>
        <w:t>共同责任</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（一）严格遵守党和国家有关法律法规及湖南省、长沙市的相关规定。</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（二）严格执行</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0"/>
          <w:highlight w:val="none"/>
          <w:u w:val="single"/>
          <w:lang w:eastAsia="zh-CN"/>
        </w:rPr>
        <w:t>长沙市轨道交通运营有限公司西环线202</w:t>
      </w:r>
      <w:r>
        <w:rPr>
          <w:rFonts w:hint="eastAsia" w:ascii="仿宋_GB2312" w:hAnsi="仿宋_GB2312" w:eastAsia="仿宋_GB2312" w:cs="仿宋_GB2312"/>
          <w:sz w:val="24"/>
          <w:szCs w:val="20"/>
          <w:highlight w:val="none"/>
          <w:u w:val="single"/>
          <w:lang w:val="en-US" w:eastAsia="zh-CN"/>
        </w:rPr>
        <w:t>3</w:t>
      </w:r>
      <w:r>
        <w:rPr>
          <w:rFonts w:hint="eastAsia" w:ascii="仿宋_GB2312" w:hAnsi="仿宋_GB2312" w:eastAsia="仿宋_GB2312" w:cs="仿宋_GB2312"/>
          <w:sz w:val="24"/>
          <w:szCs w:val="20"/>
          <w:highlight w:val="none"/>
          <w:u w:val="single"/>
          <w:lang w:eastAsia="zh-CN"/>
        </w:rPr>
        <w:t>—202</w:t>
      </w:r>
      <w:r>
        <w:rPr>
          <w:rFonts w:hint="eastAsia" w:ascii="仿宋_GB2312" w:hAnsi="仿宋_GB2312" w:eastAsia="仿宋_GB2312" w:cs="仿宋_GB2312"/>
          <w:sz w:val="24"/>
          <w:szCs w:val="20"/>
          <w:highlight w:val="none"/>
          <w:u w:val="single"/>
          <w:lang w:val="en-US" w:eastAsia="zh-CN"/>
        </w:rPr>
        <w:t>4</w:t>
      </w:r>
      <w:r>
        <w:rPr>
          <w:rFonts w:hint="eastAsia" w:ascii="仿宋_GB2312" w:hAnsi="仿宋_GB2312" w:eastAsia="仿宋_GB2312" w:cs="仿宋_GB2312"/>
          <w:sz w:val="24"/>
          <w:szCs w:val="20"/>
          <w:highlight w:val="none"/>
          <w:u w:val="single"/>
          <w:lang w:eastAsia="zh-CN"/>
        </w:rPr>
        <w:t>年保险服务项目</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（以下称主合同）的合同文件，自觉按合同办事。</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（三）双方的业务活动坚持公开、公正、诚信、透明的原则（除法律认定的商业秘密和合同文件另有规定之外），不得损害国家和集体利益，违反工程建设规章制度。</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（四）建立健全廉政制度，开展廉政教育，设立廉政告示牌，公布举报电话，监督并认真查处违纪违法行为。</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（五）发现对方在业务活动中有违反廉政规定的行为，有及时提醒对方纠正的权利和义务。</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第二条 共同权利</w:t>
      </w:r>
    </w:p>
    <w:p>
      <w:pPr>
        <w:keepLines w:val="0"/>
        <w:kinsoku/>
        <w:overflowPunct/>
        <w:topLinePunct w:val="0"/>
        <w:bidi w:val="0"/>
        <w:adjustRightInd w:val="0"/>
        <w:snapToGrid w:val="0"/>
        <w:spacing w:line="360" w:lineRule="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发现对方严重违反本协议义务条款的行为，有向其上级有关部门举报、建议给予处理并要求告知处理结果的权利。</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b/>
          <w:sz w:val="24"/>
          <w:szCs w:val="24"/>
          <w:highlight w:val="none"/>
        </w:rPr>
      </w:pPr>
      <w:bookmarkStart w:id="98" w:name="_Toc59900970"/>
      <w:bookmarkStart w:id="99" w:name="_Toc59896702"/>
      <w:r>
        <w:rPr>
          <w:rFonts w:hint="eastAsia" w:ascii="仿宋_GB2312" w:hAnsi="仿宋_GB2312" w:eastAsia="仿宋_GB2312" w:cs="仿宋_GB2312"/>
          <w:b/>
          <w:sz w:val="24"/>
          <w:szCs w:val="24"/>
          <w:highlight w:val="none"/>
        </w:rPr>
        <w:t>第三条 甲方的义务</w:t>
      </w:r>
      <w:bookmarkEnd w:id="98"/>
      <w:bookmarkEnd w:id="99"/>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（一）甲方及其工作人员不得索要或接受乙方的礼金、有价证券和贵重物品。</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（二）甲方及其工作人员不得在乙方报销任何应由甲方或个人支付的费用等。</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（三）甲方及其工作人员不得参加乙方安排的超标准宴请和娱乐活动。</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（四）甲方及其工作人员不得接受乙方提供的通讯工具、交通工具和高档办公用品等。</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（五）甲方及其工作人员不得要求或者接受乙方为其住房装修、婚丧嫁娶活动、配偶子女的工作安排以及出国出境、旅游等提供方便等。</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（六）甲方及其工作人员不得有违反法律、法规、廉洁从业规定的其他行为。</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b/>
          <w:sz w:val="24"/>
          <w:szCs w:val="24"/>
          <w:highlight w:val="none"/>
        </w:rPr>
      </w:pPr>
      <w:bookmarkStart w:id="100" w:name="_Toc59900971"/>
      <w:bookmarkStart w:id="101" w:name="_Toc59896703"/>
      <w:r>
        <w:rPr>
          <w:rFonts w:hint="eastAsia" w:ascii="仿宋_GB2312" w:hAnsi="仿宋_GB2312" w:eastAsia="仿宋_GB2312" w:cs="仿宋_GB2312"/>
          <w:b/>
          <w:sz w:val="24"/>
          <w:szCs w:val="24"/>
          <w:highlight w:val="none"/>
        </w:rPr>
        <w:t>第四条 乙方义务</w:t>
      </w:r>
      <w:bookmarkEnd w:id="100"/>
      <w:bookmarkEnd w:id="101"/>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（一）乙方不得以任何理由向甲方及其工作人员行贿或馈赠礼金、有价证券、贵重物品。</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（二）乙方不得以任何名义为甲方及其工作人员报销应由甲方单位或个人支付的任何费用。</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（三）乙方不得以任何理由安排甲方工作人员参加超标准宴请、健身及娱乐活动。</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（四）乙方不得为甲方及其工作人员购置或提供通讯工具、交通工具和高档办公用品等。</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（五）乙方不得为甲方及其工作人员住房装修、婚丧嫁娶活动、配偶子女的工作安排以及出国出境、旅游等提供方便等。</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（六）乙方不得有违反法律、法规、廉洁从业规定的其他行为。</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第五条 违约责任</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第七条 本协议有效期为甲乙双方签署之日起至主合同完全履行完毕之日止。</w:t>
      </w:r>
    </w:p>
    <w:p>
      <w:pPr>
        <w:keepLines w:val="0"/>
        <w:kinsoku/>
        <w:overflowPunct/>
        <w:topLinePunct w:val="0"/>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第八条 本协议作为主合同的附件，与主合同具有同等的法律效力，经合同双方签署立即生效。</w:t>
      </w:r>
    </w:p>
    <w:p>
      <w:pPr>
        <w:keepLines w:val="0"/>
        <w:kinsoku/>
        <w:overflowPunct/>
        <w:topLinePunct w:val="0"/>
        <w:bidi w:val="0"/>
        <w:snapToGrid w:val="0"/>
        <w:spacing w:line="360" w:lineRule="auto"/>
        <w:outlineLvl w:val="9"/>
        <w:rPr>
          <w:rFonts w:hint="eastAsia" w:ascii="仿宋_GB2312" w:hAnsi="仿宋_GB2312" w:eastAsia="仿宋_GB2312" w:cs="仿宋_GB2312"/>
          <w:sz w:val="24"/>
          <w:szCs w:val="24"/>
          <w:highlight w:val="none"/>
        </w:rPr>
        <w:sectPr>
          <w:pgSz w:w="11906" w:h="16838"/>
          <w:pgMar w:top="1440" w:right="1800" w:bottom="1440" w:left="1800" w:header="851" w:footer="992" w:gutter="0"/>
          <w:pgNumType w:start="1"/>
          <w:cols w:space="720" w:num="1"/>
          <w:docGrid w:type="lines" w:linePitch="312" w:charSpace="0"/>
        </w:sectPr>
      </w:pPr>
    </w:p>
    <w:p>
      <w:pPr>
        <w:keepLines w:val="0"/>
        <w:kinsoku/>
        <w:overflowPunct/>
        <w:topLinePunct w:val="0"/>
        <w:bidi w:val="0"/>
        <w:spacing w:line="360" w:lineRule="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（本页无正文）</w:t>
      </w:r>
    </w:p>
    <w:p>
      <w:pPr>
        <w:keepLines w:val="0"/>
        <w:kinsoku/>
        <w:overflowPunct/>
        <w:topLinePunct w:val="0"/>
        <w:bidi w:val="0"/>
        <w:spacing w:line="360" w:lineRule="auto"/>
        <w:ind w:left="420" w:leftChars="200"/>
        <w:outlineLvl w:val="9"/>
        <w:rPr>
          <w:rFonts w:hint="eastAsia" w:ascii="仿宋_GB2312" w:hAnsi="仿宋_GB2312" w:eastAsia="仿宋_GB2312" w:cs="仿宋_GB2312"/>
          <w:szCs w:val="24"/>
          <w:highlight w:val="none"/>
        </w:rPr>
      </w:pPr>
    </w:p>
    <w:p>
      <w:pPr>
        <w:keepLines w:val="0"/>
        <w:kinsoku/>
        <w:overflowPunct/>
        <w:topLinePunct w:val="0"/>
        <w:bidi w:val="0"/>
        <w:spacing w:line="360" w:lineRule="auto"/>
        <w:outlineLvl w:val="9"/>
        <w:rPr>
          <w:rFonts w:hint="eastAsia" w:ascii="仿宋_GB2312" w:hAnsi="仿宋_GB2312" w:eastAsia="仿宋_GB2312" w:cs="仿宋_GB2312"/>
          <w:szCs w:val="24"/>
          <w:highlight w:val="none"/>
        </w:rPr>
      </w:pPr>
    </w:p>
    <w:p>
      <w:pPr>
        <w:keepLines w:val="0"/>
        <w:kinsoku/>
        <w:overflowPunct/>
        <w:topLinePunct w:val="0"/>
        <w:bidi w:val="0"/>
        <w:spacing w:line="360" w:lineRule="auto"/>
        <w:ind w:left="420" w:leftChars="200"/>
        <w:outlineLvl w:val="9"/>
        <w:rPr>
          <w:rFonts w:hint="eastAsia" w:ascii="仿宋_GB2312" w:hAnsi="仿宋_GB2312" w:eastAsia="仿宋_GB2312" w:cs="仿宋_GB2312"/>
          <w:szCs w:val="24"/>
          <w:highlight w:val="none"/>
        </w:rPr>
      </w:pPr>
    </w:p>
    <w:p>
      <w:pPr>
        <w:keepLines w:val="0"/>
        <w:kinsoku/>
        <w:overflowPunct/>
        <w:topLinePunct w:val="0"/>
        <w:bidi w:val="0"/>
        <w:spacing w:line="360" w:lineRule="auto"/>
        <w:outlineLvl w:val="9"/>
        <w:rPr>
          <w:rFonts w:hint="eastAsia" w:ascii="仿宋_GB2312" w:hAnsi="仿宋_GB2312" w:eastAsia="仿宋_GB2312" w:cs="仿宋_GB2312"/>
          <w:szCs w:val="24"/>
          <w:highlight w:val="none"/>
        </w:rPr>
      </w:pPr>
    </w:p>
    <w:p>
      <w:pPr>
        <w:keepLines w:val="0"/>
        <w:kinsoku/>
        <w:overflowPunct/>
        <w:topLinePunct w:val="0"/>
        <w:bidi w:val="0"/>
        <w:spacing w:line="360" w:lineRule="auto"/>
        <w:outlineLvl w:val="9"/>
        <w:rPr>
          <w:rFonts w:hint="eastAsia" w:ascii="仿宋_GB2312" w:hAnsi="仿宋_GB2312" w:eastAsia="仿宋_GB2312" w:cs="仿宋_GB2312"/>
          <w:szCs w:val="24"/>
          <w:highlight w:val="none"/>
        </w:rPr>
      </w:pPr>
    </w:p>
    <w:p>
      <w:pPr>
        <w:keepLines w:val="0"/>
        <w:kinsoku/>
        <w:overflowPunct/>
        <w:topLinePunct w:val="0"/>
        <w:bidi w:val="0"/>
        <w:spacing w:line="360" w:lineRule="auto"/>
        <w:outlineLvl w:val="9"/>
        <w:rPr>
          <w:rFonts w:hint="eastAsia" w:ascii="仿宋_GB2312" w:hAnsi="仿宋_GB2312" w:eastAsia="仿宋_GB2312" w:cs="仿宋_GB2312"/>
          <w:szCs w:val="24"/>
          <w:highlight w:val="none"/>
        </w:rPr>
      </w:pPr>
    </w:p>
    <w:p>
      <w:pPr>
        <w:keepLines w:val="0"/>
        <w:kinsoku/>
        <w:overflowPunct/>
        <w:topLinePunct w:val="0"/>
        <w:bidi w:val="0"/>
        <w:snapToGrid w:val="0"/>
        <w:spacing w:line="360" w:lineRule="auto"/>
        <w:outlineLvl w:val="9"/>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甲方：</w:t>
      </w:r>
      <w:r>
        <w:rPr>
          <w:rFonts w:hint="eastAsia" w:ascii="仿宋_GB2312" w:hAnsi="仿宋_GB2312" w:eastAsia="仿宋_GB2312" w:cs="仿宋_GB2312"/>
          <w:sz w:val="24"/>
          <w:szCs w:val="24"/>
          <w:highlight w:val="none"/>
          <w:u w:val="single"/>
        </w:rPr>
        <w:t xml:space="preserve"> （盖章）            </w:t>
      </w:r>
      <w:r>
        <w:rPr>
          <w:rFonts w:hint="eastAsia" w:ascii="仿宋_GB2312" w:hAnsi="仿宋_GB2312" w:eastAsia="仿宋_GB2312" w:cs="仿宋_GB2312"/>
          <w:sz w:val="24"/>
          <w:szCs w:val="24"/>
          <w:highlight w:val="none"/>
        </w:rPr>
        <w:t xml:space="preserve">             乙方：</w:t>
      </w:r>
      <w:r>
        <w:rPr>
          <w:rFonts w:hint="eastAsia" w:ascii="仿宋_GB2312" w:hAnsi="仿宋_GB2312" w:eastAsia="仿宋_GB2312" w:cs="仿宋_GB2312"/>
          <w:sz w:val="24"/>
          <w:szCs w:val="24"/>
          <w:highlight w:val="none"/>
          <w:u w:val="single"/>
        </w:rPr>
        <w:t xml:space="preserve"> （盖章）                 </w:t>
      </w:r>
    </w:p>
    <w:p>
      <w:pPr>
        <w:keepLines w:val="0"/>
        <w:kinsoku/>
        <w:overflowPunct/>
        <w:topLinePunct w:val="0"/>
        <w:bidi w:val="0"/>
        <w:snapToGrid w:val="0"/>
        <w:spacing w:line="360" w:lineRule="auto"/>
        <w:outlineLvl w:val="9"/>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法定代表人：</w:t>
      </w:r>
      <w:r>
        <w:rPr>
          <w:rFonts w:hint="eastAsia" w:ascii="仿宋_GB2312" w:hAnsi="仿宋_GB2312" w:eastAsia="仿宋_GB2312" w:cs="仿宋_GB2312"/>
          <w:sz w:val="24"/>
          <w:szCs w:val="24"/>
          <w:highlight w:val="none"/>
          <w:u w:val="single"/>
        </w:rPr>
        <w:t xml:space="preserve">（签字）        </w:t>
      </w:r>
      <w:r>
        <w:rPr>
          <w:rFonts w:hint="eastAsia" w:ascii="仿宋_GB2312" w:hAnsi="仿宋_GB2312" w:eastAsia="仿宋_GB2312" w:cs="仿宋_GB2312"/>
          <w:sz w:val="24"/>
          <w:szCs w:val="24"/>
          <w:highlight w:val="none"/>
        </w:rPr>
        <w:t xml:space="preserve">             法定代表人：</w:t>
      </w:r>
      <w:r>
        <w:rPr>
          <w:rFonts w:hint="eastAsia" w:ascii="仿宋_GB2312" w:hAnsi="仿宋_GB2312" w:eastAsia="仿宋_GB2312" w:cs="仿宋_GB2312"/>
          <w:sz w:val="24"/>
          <w:szCs w:val="24"/>
          <w:highlight w:val="none"/>
          <w:u w:val="single"/>
        </w:rPr>
        <w:t xml:space="preserve"> （签字）           </w:t>
      </w:r>
    </w:p>
    <w:p>
      <w:pPr>
        <w:keepLines w:val="0"/>
        <w:kinsoku/>
        <w:overflowPunct/>
        <w:topLinePunct w:val="0"/>
        <w:bidi w:val="0"/>
        <w:snapToGrid w:val="0"/>
        <w:spacing w:line="360" w:lineRule="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或授权代理人：</w:t>
      </w:r>
      <w:r>
        <w:rPr>
          <w:rFonts w:hint="eastAsia" w:ascii="仿宋_GB2312" w:hAnsi="仿宋_GB2312" w:eastAsia="仿宋_GB2312" w:cs="仿宋_GB2312"/>
          <w:sz w:val="24"/>
          <w:szCs w:val="24"/>
          <w:highlight w:val="none"/>
          <w:u w:val="single"/>
        </w:rPr>
        <w:t xml:space="preserve">（签字）      </w:t>
      </w:r>
      <w:r>
        <w:rPr>
          <w:rFonts w:hint="eastAsia" w:ascii="仿宋_GB2312" w:hAnsi="仿宋_GB2312" w:eastAsia="仿宋_GB2312" w:cs="仿宋_GB2312"/>
          <w:sz w:val="24"/>
          <w:szCs w:val="24"/>
          <w:highlight w:val="none"/>
        </w:rPr>
        <w:t xml:space="preserve">             或授权代理人：</w:t>
      </w:r>
      <w:r>
        <w:rPr>
          <w:rFonts w:hint="eastAsia" w:ascii="仿宋_GB2312" w:hAnsi="仿宋_GB2312" w:eastAsia="仿宋_GB2312" w:cs="仿宋_GB2312"/>
          <w:sz w:val="24"/>
          <w:szCs w:val="24"/>
          <w:highlight w:val="none"/>
          <w:u w:val="single"/>
        </w:rPr>
        <w:t xml:space="preserve">（签字）           </w:t>
      </w:r>
    </w:p>
    <w:p>
      <w:pPr>
        <w:keepLines w:val="0"/>
        <w:kinsoku/>
        <w:overflowPunct/>
        <w:topLinePunct w:val="0"/>
        <w:bidi w:val="0"/>
        <w:snapToGrid w:val="0"/>
        <w:spacing w:line="360" w:lineRule="auto"/>
        <w:outlineLvl w:val="9"/>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电话：</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 xml:space="preserve">             电话：</w:t>
      </w:r>
      <w:r>
        <w:rPr>
          <w:rFonts w:hint="eastAsia" w:ascii="仿宋_GB2312" w:hAnsi="仿宋_GB2312" w:eastAsia="仿宋_GB2312" w:cs="仿宋_GB2312"/>
          <w:sz w:val="24"/>
          <w:szCs w:val="24"/>
          <w:highlight w:val="none"/>
          <w:u w:val="single"/>
        </w:rPr>
        <w:t xml:space="preserve">                          </w:t>
      </w:r>
    </w:p>
    <w:p>
      <w:pPr>
        <w:keepLines w:val="0"/>
        <w:kinsoku/>
        <w:overflowPunct/>
        <w:topLinePunct w:val="0"/>
        <w:bidi w:val="0"/>
        <w:snapToGrid w:val="0"/>
        <w:spacing w:line="360" w:lineRule="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 xml:space="preserve">日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p>
    <w:p>
      <w:pPr>
        <w:pStyle w:val="17"/>
        <w:keepLines w:val="0"/>
        <w:kinsoku/>
        <w:overflowPunct/>
        <w:topLinePunct w:val="0"/>
        <w:bidi w:val="0"/>
        <w:snapToGrid w:val="0"/>
        <w:spacing w:line="360" w:lineRule="auto"/>
        <w:ind w:firstLine="0"/>
        <w:outlineLvl w:val="9"/>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甲方监督单位：</w:t>
      </w:r>
      <w:r>
        <w:rPr>
          <w:rFonts w:hint="eastAsia" w:ascii="仿宋_GB2312" w:hAnsi="仿宋_GB2312" w:eastAsia="仿宋_GB2312" w:cs="仿宋_GB2312"/>
          <w:kern w:val="0"/>
          <w:sz w:val="24"/>
          <w:highlight w:val="none"/>
          <w:u w:val="single"/>
        </w:rPr>
        <w:t xml:space="preserve">（盖章）      </w:t>
      </w:r>
      <w:r>
        <w:rPr>
          <w:rFonts w:hint="eastAsia" w:ascii="仿宋_GB2312" w:hAnsi="仿宋_GB2312" w:eastAsia="仿宋_GB2312" w:cs="仿宋_GB2312"/>
          <w:kern w:val="0"/>
          <w:sz w:val="24"/>
          <w:highlight w:val="none"/>
        </w:rPr>
        <w:t xml:space="preserve">             乙方监督单位：</w:t>
      </w:r>
      <w:r>
        <w:rPr>
          <w:rFonts w:hint="eastAsia" w:ascii="仿宋_GB2312" w:hAnsi="仿宋_GB2312" w:eastAsia="仿宋_GB2312" w:cs="仿宋_GB2312"/>
          <w:kern w:val="0"/>
          <w:sz w:val="24"/>
          <w:highlight w:val="none"/>
          <w:u w:val="single"/>
        </w:rPr>
        <w:t xml:space="preserve">（盖章）       </w:t>
      </w:r>
      <w:bookmarkEnd w:id="95"/>
    </w:p>
    <w:p>
      <w:pPr>
        <w:keepLines w:val="0"/>
        <w:widowControl/>
        <w:kinsoku/>
        <w:overflowPunct/>
        <w:topLinePunct w:val="0"/>
        <w:bidi w:val="0"/>
        <w:spacing w:line="360" w:lineRule="auto"/>
        <w:jc w:val="left"/>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kern w:val="0"/>
          <w:sz w:val="24"/>
          <w:highlight w:val="none"/>
          <w:u w:val="single"/>
        </w:rPr>
        <w:br w:type="page"/>
      </w:r>
      <w:bookmarkStart w:id="102" w:name="_Hlk25208132"/>
      <w:r>
        <w:rPr>
          <w:rFonts w:hint="eastAsia" w:ascii="仿宋_GB2312" w:hAnsi="仿宋_GB2312" w:eastAsia="仿宋_GB2312" w:cs="仿宋_GB2312"/>
          <w:b/>
          <w:sz w:val="24"/>
          <w:highlight w:val="none"/>
        </w:rPr>
        <w:t>附件2 保密协议</w:t>
      </w:r>
    </w:p>
    <w:p>
      <w:pPr>
        <w:keepLines w:val="0"/>
        <w:widowControl/>
        <w:kinsoku/>
        <w:overflowPunct/>
        <w:topLinePunct w:val="0"/>
        <w:bidi w:val="0"/>
        <w:snapToGrid w:val="0"/>
        <w:spacing w:line="360" w:lineRule="auto"/>
        <w:jc w:val="center"/>
        <w:outlineLvl w:val="9"/>
        <w:rPr>
          <w:rFonts w:hint="eastAsia"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keepLines w:val="0"/>
        <w:widowControl/>
        <w:kinsoku/>
        <w:overflowPunct/>
        <w:topLinePunct w:val="0"/>
        <w:bidi w:val="0"/>
        <w:snapToGrid w:val="0"/>
        <w:spacing w:line="360" w:lineRule="auto"/>
        <w:jc w:val="left"/>
        <w:outlineLvl w:val="9"/>
        <w:rPr>
          <w:rFonts w:hint="eastAsia" w:ascii="仿宋_GB2312" w:hAnsi="仿宋_GB2312" w:eastAsia="仿宋_GB2312" w:cs="仿宋_GB2312"/>
          <w:kern w:val="0"/>
          <w:sz w:val="24"/>
          <w:highlight w:val="none"/>
          <w:lang w:bidi="en-US"/>
        </w:rPr>
      </w:pPr>
    </w:p>
    <w:p>
      <w:pPr>
        <w:keepLines w:val="0"/>
        <w:widowControl/>
        <w:kinsoku/>
        <w:overflowPunct/>
        <w:topLinePunct w:val="0"/>
        <w:bidi w:val="0"/>
        <w:snapToGrid w:val="0"/>
        <w:spacing w:line="360" w:lineRule="auto"/>
        <w:jc w:val="left"/>
        <w:outlineLvl w:val="9"/>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sz w:val="24"/>
          <w:highlight w:val="none"/>
          <w:u w:val="single"/>
          <w:lang w:val="en-US" w:eastAsia="zh-CN"/>
        </w:rPr>
        <w:t>长沙市轨道交通运营有限公司</w:t>
      </w:r>
    </w:p>
    <w:p>
      <w:pPr>
        <w:keepLines w:val="0"/>
        <w:widowControl/>
        <w:kinsoku/>
        <w:overflowPunct/>
        <w:topLinePunct w:val="0"/>
        <w:bidi w:val="0"/>
        <w:snapToGrid w:val="0"/>
        <w:spacing w:line="360" w:lineRule="auto"/>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keepLines w:val="0"/>
        <w:widowControl/>
        <w:kinsoku/>
        <w:overflowPunct/>
        <w:topLinePunct w:val="0"/>
        <w:bidi w:val="0"/>
        <w:snapToGrid w:val="0"/>
        <w:spacing w:line="360" w:lineRule="auto"/>
        <w:ind w:firstLine="480" w:firstLineChars="200"/>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sz w:val="24"/>
          <w:szCs w:val="20"/>
          <w:highlight w:val="none"/>
          <w:u w:val="single"/>
          <w:lang w:eastAsia="zh-CN"/>
        </w:rPr>
        <w:t>长沙市轨道交通运营有限公司西环线202</w:t>
      </w:r>
      <w:r>
        <w:rPr>
          <w:rFonts w:hint="eastAsia" w:ascii="仿宋_GB2312" w:hAnsi="仿宋_GB2312" w:eastAsia="仿宋_GB2312" w:cs="仿宋_GB2312"/>
          <w:sz w:val="24"/>
          <w:szCs w:val="20"/>
          <w:highlight w:val="none"/>
          <w:u w:val="single"/>
          <w:lang w:val="en-US" w:eastAsia="zh-CN"/>
        </w:rPr>
        <w:t>3</w:t>
      </w:r>
      <w:r>
        <w:rPr>
          <w:rFonts w:hint="eastAsia" w:ascii="仿宋_GB2312" w:hAnsi="仿宋_GB2312" w:eastAsia="仿宋_GB2312" w:cs="仿宋_GB2312"/>
          <w:sz w:val="24"/>
          <w:szCs w:val="20"/>
          <w:highlight w:val="none"/>
          <w:u w:val="single"/>
          <w:lang w:eastAsia="zh-CN"/>
        </w:rPr>
        <w:t>—202</w:t>
      </w:r>
      <w:r>
        <w:rPr>
          <w:rFonts w:hint="eastAsia" w:ascii="仿宋_GB2312" w:hAnsi="仿宋_GB2312" w:eastAsia="仿宋_GB2312" w:cs="仿宋_GB2312"/>
          <w:sz w:val="24"/>
          <w:szCs w:val="20"/>
          <w:highlight w:val="none"/>
          <w:u w:val="single"/>
          <w:lang w:val="en-US" w:eastAsia="zh-CN"/>
        </w:rPr>
        <w:t>4</w:t>
      </w:r>
      <w:r>
        <w:rPr>
          <w:rFonts w:hint="eastAsia" w:ascii="仿宋_GB2312" w:hAnsi="仿宋_GB2312" w:eastAsia="仿宋_GB2312" w:cs="仿宋_GB2312"/>
          <w:sz w:val="24"/>
          <w:szCs w:val="20"/>
          <w:highlight w:val="none"/>
          <w:u w:val="single"/>
          <w:lang w:eastAsia="zh-CN"/>
        </w:rPr>
        <w:t>年保险服务项目</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keepLines w:val="0"/>
        <w:widowControl/>
        <w:kinsoku/>
        <w:overflowPunct/>
        <w:topLinePunct w:val="0"/>
        <w:bidi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keepLines w:val="0"/>
        <w:widowControl/>
        <w:kinsoku/>
        <w:overflowPunct/>
        <w:topLinePunct w:val="0"/>
        <w:bidi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keepLines w:val="0"/>
        <w:widowControl/>
        <w:kinsoku/>
        <w:overflowPunct/>
        <w:topLinePunct w:val="0"/>
        <w:bidi w:val="0"/>
        <w:snapToGrid w:val="0"/>
        <w:spacing w:line="360" w:lineRule="auto"/>
        <w:ind w:firstLine="480" w:firstLineChars="200"/>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keepLines w:val="0"/>
        <w:widowControl/>
        <w:kinsoku/>
        <w:overflowPunct/>
        <w:topLinePunct w:val="0"/>
        <w:bidi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keepLines w:val="0"/>
        <w:widowControl/>
        <w:kinsoku/>
        <w:overflowPunct/>
        <w:topLinePunct w:val="0"/>
        <w:bidi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keepLines w:val="0"/>
        <w:widowControl/>
        <w:kinsoku/>
        <w:overflowPunct/>
        <w:topLinePunct w:val="0"/>
        <w:bidi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主合同暂定保险费的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keepLines w:val="0"/>
        <w:widowControl/>
        <w:kinsoku/>
        <w:overflowPunct/>
        <w:topLinePunct w:val="0"/>
        <w:bidi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keepLines w:val="0"/>
        <w:widowControl/>
        <w:kinsoku/>
        <w:overflowPunct/>
        <w:topLinePunct w:val="0"/>
        <w:bidi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p>
    <w:p>
      <w:pPr>
        <w:keepLines w:val="0"/>
        <w:widowControl/>
        <w:kinsoku/>
        <w:overflowPunct/>
        <w:topLinePunct w:val="0"/>
        <w:bidi w:val="0"/>
        <w:snapToGrid w:val="0"/>
        <w:spacing w:line="360" w:lineRule="auto"/>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p>
    <w:p>
      <w:pPr>
        <w:keepLines w:val="0"/>
        <w:widowControl/>
        <w:kinsoku/>
        <w:overflowPunct/>
        <w:topLinePunct w:val="0"/>
        <w:bidi w:val="0"/>
        <w:snapToGrid w:val="0"/>
        <w:spacing w:line="360" w:lineRule="auto"/>
        <w:ind w:firstLine="480" w:firstLineChars="200"/>
        <w:jc w:val="left"/>
        <w:outlineLvl w:val="9"/>
        <w:rPr>
          <w:rFonts w:hint="eastAsia" w:ascii="仿宋_GB2312" w:hAnsi="仿宋_GB2312" w:eastAsia="仿宋_GB2312" w:cs="仿宋_GB2312"/>
          <w:kern w:val="0"/>
          <w:sz w:val="24"/>
          <w:highlight w:val="none"/>
          <w:lang w:bidi="en-US"/>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keepLines w:val="0"/>
              <w:kinsoku/>
              <w:overflowPunct/>
              <w:topLinePunct w:val="0"/>
              <w:bidi w:val="0"/>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bookmarkStart w:id="103" w:name="3"/>
            <w:bookmarkEnd w:id="103"/>
            <w:r>
              <w:rPr>
                <w:rFonts w:hint="eastAsia" w:ascii="仿宋_GB2312" w:hAnsi="仿宋_GB2312" w:eastAsia="仿宋_GB2312" w:cs="仿宋_GB2312"/>
                <w:kern w:val="0"/>
                <w:sz w:val="24"/>
                <w:highlight w:val="none"/>
              </w:rPr>
              <w:t>甲方：(盖章)</w:t>
            </w:r>
          </w:p>
        </w:tc>
        <w:tc>
          <w:tcPr>
            <w:tcW w:w="4252" w:type="dxa"/>
            <w:noWrap w:val="0"/>
            <w:vAlign w:val="top"/>
          </w:tcPr>
          <w:p>
            <w:pPr>
              <w:keepLines w:val="0"/>
              <w:kinsoku/>
              <w:overflowPunct/>
              <w:topLinePunct w:val="0"/>
              <w:bidi w:val="0"/>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keepLines w:val="0"/>
              <w:kinsoku/>
              <w:overflowPunct/>
              <w:topLinePunct w:val="0"/>
              <w:bidi w:val="0"/>
              <w:adjustRightInd w:val="0"/>
              <w:snapToGrid w:val="0"/>
              <w:spacing w:line="360" w:lineRule="auto"/>
              <w:ind w:left="19" w:leftChars="9"/>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keepLines w:val="0"/>
              <w:kinsoku/>
              <w:overflowPunct/>
              <w:topLinePunct w:val="0"/>
              <w:bidi w:val="0"/>
              <w:adjustRightInd w:val="0"/>
              <w:snapToGrid w:val="0"/>
              <w:spacing w:line="360" w:lineRule="auto"/>
              <w:ind w:left="19" w:leftChars="9"/>
              <w:textAlignment w:val="baseline"/>
              <w:outlineLvl w:val="9"/>
              <w:rPr>
                <w:rFonts w:hint="eastAsia" w:ascii="仿宋_GB2312" w:hAnsi="仿宋_GB2312" w:eastAsia="仿宋_GB2312" w:cs="仿宋_GB2312"/>
                <w:kern w:val="0"/>
                <w:sz w:val="24"/>
                <w:highlight w:val="none"/>
              </w:rPr>
            </w:pPr>
          </w:p>
        </w:tc>
        <w:tc>
          <w:tcPr>
            <w:tcW w:w="4252" w:type="dxa"/>
            <w:noWrap w:val="0"/>
            <w:vAlign w:val="top"/>
          </w:tcPr>
          <w:p>
            <w:pPr>
              <w:keepLines w:val="0"/>
              <w:kinsoku/>
              <w:overflowPunct/>
              <w:topLinePunct w:val="0"/>
              <w:bidi w:val="0"/>
              <w:adjustRightInd w:val="0"/>
              <w:snapToGrid w:val="0"/>
              <w:spacing w:line="360" w:lineRule="auto"/>
              <w:ind w:left="34" w:leftChars="16"/>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keepLines w:val="0"/>
              <w:kinsoku/>
              <w:overflowPunct/>
              <w:topLinePunct w:val="0"/>
              <w:bidi w:val="0"/>
              <w:adjustRightInd w:val="0"/>
              <w:snapToGrid w:val="0"/>
              <w:spacing w:line="360" w:lineRule="auto"/>
              <w:ind w:left="19" w:leftChars="9"/>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keepLines w:val="0"/>
              <w:kinsoku/>
              <w:overflowPunct/>
              <w:topLinePunct w:val="0"/>
              <w:bidi w:val="0"/>
              <w:adjustRightInd w:val="0"/>
              <w:snapToGrid w:val="0"/>
              <w:spacing w:line="360" w:lineRule="auto"/>
              <w:ind w:left="34" w:leftChars="16"/>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keepLines w:val="0"/>
        <w:widowControl/>
        <w:kinsoku/>
        <w:overflowPunct/>
        <w:topLinePunct w:val="0"/>
        <w:bidi w:val="0"/>
        <w:snapToGrid w:val="0"/>
        <w:spacing w:line="360" w:lineRule="auto"/>
        <w:jc w:val="left"/>
        <w:outlineLvl w:val="9"/>
        <w:rPr>
          <w:rFonts w:hint="eastAsia" w:ascii="仿宋_GB2312" w:hAnsi="仿宋_GB2312" w:eastAsia="仿宋_GB2312" w:cs="仿宋_GB2312"/>
          <w:kern w:val="0"/>
          <w:sz w:val="24"/>
          <w:highlight w:val="none"/>
          <w:lang w:bidi="en-US"/>
        </w:rPr>
      </w:pPr>
    </w:p>
    <w:p>
      <w:pPr>
        <w:pStyle w:val="17"/>
        <w:keepLines w:val="0"/>
        <w:kinsoku/>
        <w:overflowPunct/>
        <w:topLinePunct w:val="0"/>
        <w:bidi w:val="0"/>
        <w:snapToGrid w:val="0"/>
        <w:spacing w:line="360" w:lineRule="auto"/>
        <w:ind w:firstLine="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w:t>
      </w:r>
    </w:p>
    <w:p>
      <w:pPr>
        <w:pStyle w:val="17"/>
        <w:keepLines w:val="0"/>
        <w:kinsoku/>
        <w:overflowPunct/>
        <w:topLinePunct w:val="0"/>
        <w:bidi w:val="0"/>
        <w:snapToGrid w:val="0"/>
        <w:spacing w:line="360" w:lineRule="auto"/>
        <w:ind w:firstLine="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暂定保险费清单</w:t>
      </w:r>
    </w:p>
    <w:p>
      <w:pPr>
        <w:pStyle w:val="17"/>
        <w:keepLines w:val="0"/>
        <w:kinsoku/>
        <w:overflowPunct/>
        <w:topLinePunct w:val="0"/>
        <w:bidi w:val="0"/>
        <w:snapToGrid w:val="0"/>
        <w:spacing w:line="360" w:lineRule="auto"/>
        <w:ind w:firstLine="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最高投标限价公示说明</w:t>
      </w:r>
    </w:p>
    <w:p>
      <w:pPr>
        <w:pStyle w:val="17"/>
        <w:keepLines w:val="0"/>
        <w:kinsoku/>
        <w:overflowPunct/>
        <w:topLinePunct w:val="0"/>
        <w:bidi w:val="0"/>
        <w:snapToGrid w:val="0"/>
        <w:spacing w:line="360" w:lineRule="auto"/>
        <w:ind w:firstLine="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澄清与答疑文件</w:t>
      </w:r>
      <w:bookmarkEnd w:id="102"/>
    </w:p>
    <w:p>
      <w:pPr>
        <w:pStyle w:val="17"/>
        <w:keepLines w:val="0"/>
        <w:kinsoku/>
        <w:overflowPunct/>
        <w:topLinePunct w:val="0"/>
        <w:bidi w:val="0"/>
        <w:snapToGrid w:val="0"/>
        <w:spacing w:line="360" w:lineRule="auto"/>
        <w:ind w:firstLine="0"/>
        <w:outlineLvl w:val="9"/>
        <w:rPr>
          <w:rFonts w:hint="eastAsia" w:ascii="仿宋_GB2312" w:hAnsi="仿宋_GB2312" w:eastAsia="仿宋_GB2312" w:cs="仿宋_GB2312"/>
          <w:sz w:val="24"/>
          <w:highlight w:val="none"/>
        </w:rPr>
        <w:sectPr>
          <w:footerReference r:id="rId11" w:type="first"/>
          <w:footerReference r:id="rId10" w:type="default"/>
          <w:pgSz w:w="11850" w:h="16783"/>
          <w:pgMar w:top="1440" w:right="1440" w:bottom="1440" w:left="1797" w:header="851" w:footer="992" w:gutter="0"/>
          <w:cols w:space="720" w:num="1"/>
          <w:titlePg/>
          <w:docGrid w:type="lines" w:linePitch="312" w:charSpace="0"/>
        </w:sectPr>
      </w:pPr>
      <w:r>
        <w:rPr>
          <w:rFonts w:hint="eastAsia" w:ascii="仿宋_GB2312" w:hAnsi="仿宋_GB2312" w:eastAsia="仿宋_GB2312" w:cs="仿宋_GB2312"/>
          <w:sz w:val="24"/>
          <w:highlight w:val="none"/>
        </w:rPr>
        <w:t xml:space="preserve"> </w:t>
      </w:r>
    </w:p>
    <w:p>
      <w:pPr>
        <w:pStyle w:val="17"/>
        <w:keepLines w:val="0"/>
        <w:kinsoku/>
        <w:overflowPunct/>
        <w:topLinePunct w:val="0"/>
        <w:bidi w:val="0"/>
        <w:snapToGrid w:val="0"/>
        <w:spacing w:line="360" w:lineRule="auto"/>
        <w:ind w:firstLine="0"/>
        <w:jc w:val="center"/>
        <w:outlineLvl w:val="9"/>
        <w:rPr>
          <w:rFonts w:hint="eastAsia" w:ascii="仿宋_GB2312" w:hAnsi="仿宋_GB2312" w:eastAsia="仿宋_GB2312" w:cs="仿宋_GB2312"/>
          <w:b/>
          <w:bCs/>
          <w:highlight w:val="none"/>
        </w:rPr>
      </w:pPr>
      <w:r>
        <w:rPr>
          <w:rFonts w:hint="eastAsia" w:ascii="仿宋_GB2312" w:hAnsi="仿宋_GB2312" w:eastAsia="仿宋_GB2312" w:cs="仿宋_GB2312"/>
          <w:b/>
          <w:bCs/>
          <w:sz w:val="32"/>
          <w:szCs w:val="48"/>
          <w:highlight w:val="none"/>
        </w:rPr>
        <w:t>第四部分 合同附录</w:t>
      </w:r>
    </w:p>
    <w:p>
      <w:pPr>
        <w:keepLines w:val="0"/>
        <w:kinsoku/>
        <w:overflowPunct/>
        <w:topLinePunct w:val="0"/>
        <w:bidi w:val="0"/>
        <w:snapToGrid w:val="0"/>
        <w:spacing w:line="360" w:lineRule="auto"/>
        <w:ind w:right="-20"/>
        <w:outlineLvl w:val="9"/>
        <w:rPr>
          <w:rFonts w:hint="eastAsia" w:ascii="仿宋_GB2312" w:hAnsi="仿宋_GB2312" w:eastAsia="仿宋_GB2312" w:cs="仿宋_GB2312"/>
          <w:b/>
          <w:sz w:val="24"/>
          <w:highlight w:val="none"/>
        </w:rPr>
      </w:pPr>
    </w:p>
    <w:p>
      <w:pPr>
        <w:keepLines w:val="0"/>
        <w:kinsoku/>
        <w:overflowPunct/>
        <w:topLinePunct w:val="0"/>
        <w:bidi w:val="0"/>
        <w:snapToGrid w:val="0"/>
        <w:spacing w:line="360" w:lineRule="auto"/>
        <w:ind w:right="-2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附录1 银行履约保函（格式）</w:t>
      </w:r>
    </w:p>
    <w:p>
      <w:pPr>
        <w:keepLines w:val="0"/>
        <w:kinsoku/>
        <w:overflowPunct/>
        <w:topLinePunct w:val="0"/>
        <w:bidi w:val="0"/>
        <w:spacing w:line="360" w:lineRule="auto"/>
        <w:jc w:val="center"/>
        <w:outlineLvl w:val="9"/>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 xml:space="preserve">                            保函编号：</w:t>
      </w:r>
    </w:p>
    <w:p>
      <w:pPr>
        <w:keepLines w:val="0"/>
        <w:kinsoku/>
        <w:overflowPunct/>
        <w:topLinePunct w:val="0"/>
        <w:bidi w:val="0"/>
        <w:spacing w:line="360" w:lineRule="auto"/>
        <w:jc w:val="center"/>
        <w:outlineLvl w:val="9"/>
        <w:rPr>
          <w:rFonts w:hint="eastAsia" w:ascii="仿宋_GB2312" w:hAnsi="仿宋_GB2312" w:eastAsia="仿宋_GB2312" w:cs="仿宋_GB2312"/>
          <w:b/>
          <w:sz w:val="24"/>
          <w:highlight w:val="none"/>
        </w:rPr>
      </w:pPr>
    </w:p>
    <w:p>
      <w:pPr>
        <w:keepLines w:val="0"/>
        <w:kinsoku/>
        <w:overflowPunct/>
        <w:topLinePunct w:val="0"/>
        <w:bidi w:val="0"/>
        <w:spacing w:line="360" w:lineRule="auto"/>
        <w:jc w:val="center"/>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keepLines w:val="0"/>
        <w:kinsoku/>
        <w:overflowPunct/>
        <w:topLinePunct w:val="0"/>
        <w:bidi w:val="0"/>
        <w:spacing w:line="360" w:lineRule="auto"/>
        <w:jc w:val="center"/>
        <w:outlineLvl w:val="9"/>
        <w:rPr>
          <w:rFonts w:hint="eastAsia" w:ascii="仿宋_GB2312" w:hAnsi="仿宋_GB2312" w:eastAsia="仿宋_GB2312" w:cs="仿宋_GB2312"/>
          <w:b/>
          <w:sz w:val="24"/>
          <w:highlight w:val="none"/>
        </w:rPr>
      </w:pPr>
    </w:p>
    <w:p>
      <w:pPr>
        <w:keepLines w:val="0"/>
        <w:kinsoku/>
        <w:overflowPunct/>
        <w:topLinePunct w:val="0"/>
        <w:bidi w:val="0"/>
        <w:adjustRightInd w:val="0"/>
        <w:snapToGrid w:val="0"/>
        <w:spacing w:line="360" w:lineRule="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keepLines w:val="0"/>
        <w:kinsoku/>
        <w:overflowPunct/>
        <w:topLinePunct w:val="0"/>
        <w:bidi w:val="0"/>
        <w:adjustRightInd w:val="0"/>
        <w:snapToGrid w:val="0"/>
        <w:spacing w:line="360" w:lineRule="auto"/>
        <w:ind w:left="15" w:leftChars="7"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keepLines w:val="0"/>
        <w:kinsoku/>
        <w:overflowPunct/>
        <w:topLinePunct w:val="0"/>
        <w:bidi w:val="0"/>
        <w:adjustRightInd w:val="0"/>
        <w:snapToGrid w:val="0"/>
        <w:spacing w:line="360" w:lineRule="auto"/>
        <w:ind w:left="15" w:leftChars="7"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1、担保金额为人民币（大写）</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元（小写：¥</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w:t>
      </w:r>
    </w:p>
    <w:p>
      <w:pPr>
        <w:keepLines w:val="0"/>
        <w:kinsoku/>
        <w:overflowPunct/>
        <w:topLinePunct w:val="0"/>
        <w:bidi w:val="0"/>
        <w:adjustRightInd w:val="0"/>
        <w:snapToGrid w:val="0"/>
        <w:spacing w:line="360" w:lineRule="auto"/>
        <w:ind w:left="15" w:leftChars="7"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2、担保期限为自本保函生效之日起至</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之日止。</w:t>
      </w:r>
    </w:p>
    <w:p>
      <w:pPr>
        <w:keepLines w:val="0"/>
        <w:kinsoku/>
        <w:overflowPunct/>
        <w:topLinePunct w:val="0"/>
        <w:bidi w:val="0"/>
        <w:adjustRightInd w:val="0"/>
        <w:snapToGrid w:val="0"/>
        <w:spacing w:line="360" w:lineRule="auto"/>
        <w:ind w:left="15" w:leftChars="7"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3、在本担保有效期内，因乙方违反合同约定的义务给你方造成经济损失时，我方在收到你方以书面形式提出的在担保金额内的赔偿要求后，在 7 个工作日内无条件支付。</w:t>
      </w:r>
    </w:p>
    <w:p>
      <w:pPr>
        <w:keepLines w:val="0"/>
        <w:kinsoku/>
        <w:overflowPunct/>
        <w:topLinePunct w:val="0"/>
        <w:bidi w:val="0"/>
        <w:adjustRightInd w:val="0"/>
        <w:snapToGrid w:val="0"/>
        <w:spacing w:line="360" w:lineRule="auto"/>
        <w:ind w:left="15" w:leftChars="7"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4、你方和乙方按合同约定变更合同时，我方承担本担保规定的义务不变。</w:t>
      </w:r>
    </w:p>
    <w:p>
      <w:pPr>
        <w:keepLines w:val="0"/>
        <w:kinsoku/>
        <w:overflowPunct/>
        <w:topLinePunct w:val="0"/>
        <w:bidi w:val="0"/>
        <w:adjustRightInd w:val="0"/>
        <w:snapToGrid w:val="0"/>
        <w:spacing w:line="360" w:lineRule="auto"/>
        <w:ind w:left="15" w:leftChars="7"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keepLines w:val="0"/>
        <w:kinsoku/>
        <w:overflowPunct/>
        <w:topLinePunct w:val="0"/>
        <w:bidi w:val="0"/>
        <w:adjustRightInd w:val="0"/>
        <w:snapToGrid w:val="0"/>
        <w:spacing w:line="360" w:lineRule="auto"/>
        <w:ind w:left="15" w:leftChars="7"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本保函自我方加盖公章之日起生效。</w:t>
      </w:r>
    </w:p>
    <w:p>
      <w:pPr>
        <w:keepLines w:val="0"/>
        <w:kinsoku/>
        <w:overflowPunct/>
        <w:topLinePunct w:val="0"/>
        <w:bidi w:val="0"/>
        <w:adjustRightInd w:val="0"/>
        <w:snapToGrid w:val="0"/>
        <w:spacing w:line="360" w:lineRule="auto"/>
        <w:ind w:left="15" w:leftChars="7" w:firstLine="403" w:firstLineChars="168"/>
        <w:outlineLvl w:val="9"/>
        <w:rPr>
          <w:rFonts w:hint="eastAsia" w:ascii="仿宋_GB2312" w:hAnsi="仿宋_GB2312" w:eastAsia="仿宋_GB2312" w:cs="仿宋_GB2312"/>
          <w:sz w:val="24"/>
          <w:highlight w:val="none"/>
        </w:rPr>
      </w:pPr>
    </w:p>
    <w:p>
      <w:pPr>
        <w:keepLines w:val="0"/>
        <w:kinsoku/>
        <w:overflowPunct/>
        <w:topLinePunct w:val="0"/>
        <w:bidi w:val="0"/>
        <w:adjustRightInd w:val="0"/>
        <w:snapToGrid w:val="0"/>
        <w:spacing w:line="360" w:lineRule="auto"/>
        <w:ind w:left="15" w:leftChars="7" w:firstLine="403" w:firstLineChars="168"/>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担保人（盖公章）：</w:t>
      </w:r>
    </w:p>
    <w:p>
      <w:pPr>
        <w:keepLines w:val="0"/>
        <w:kinsoku/>
        <w:overflowPunct/>
        <w:topLinePunct w:val="0"/>
        <w:bidi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签字：</w:t>
      </w:r>
    </w:p>
    <w:p>
      <w:pPr>
        <w:keepLines w:val="0"/>
        <w:kinsoku/>
        <w:overflowPunct/>
        <w:topLinePunct w:val="0"/>
        <w:bidi w:val="0"/>
        <w:adjustRightInd w:val="0"/>
        <w:snapToGrid w:val="0"/>
        <w:spacing w:line="360" w:lineRule="auto"/>
        <w:ind w:left="15" w:leftChars="7" w:firstLine="403" w:firstLineChars="168"/>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地址：</w:t>
      </w:r>
    </w:p>
    <w:p>
      <w:pPr>
        <w:keepLines w:val="0"/>
        <w:kinsoku/>
        <w:overflowPunct/>
        <w:topLinePunct w:val="0"/>
        <w:bidi w:val="0"/>
        <w:adjustRightInd w:val="0"/>
        <w:snapToGrid w:val="0"/>
        <w:spacing w:line="360" w:lineRule="auto"/>
        <w:ind w:left="15" w:leftChars="7" w:firstLine="403" w:firstLineChars="168"/>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邮政编码：</w:t>
      </w:r>
    </w:p>
    <w:p>
      <w:pPr>
        <w:keepLines w:val="0"/>
        <w:kinsoku/>
        <w:overflowPunct/>
        <w:topLinePunct w:val="0"/>
        <w:bidi w:val="0"/>
        <w:adjustRightInd w:val="0"/>
        <w:snapToGrid w:val="0"/>
        <w:spacing w:line="360" w:lineRule="auto"/>
        <w:ind w:left="15" w:leftChars="7" w:firstLine="403" w:firstLineChars="168"/>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p>
    <w:p>
      <w:pPr>
        <w:keepLines w:val="0"/>
        <w:kinsoku/>
        <w:overflowPunct/>
        <w:topLinePunct w:val="0"/>
        <w:bidi w:val="0"/>
        <w:adjustRightInd w:val="0"/>
        <w:snapToGrid w:val="0"/>
        <w:spacing w:line="360" w:lineRule="auto"/>
        <w:ind w:left="15" w:leftChars="7" w:firstLine="403" w:firstLineChars="168"/>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p>
      <w:pPr>
        <w:keepLines w:val="0"/>
        <w:kinsoku/>
        <w:overflowPunct/>
        <w:topLinePunct w:val="0"/>
        <w:bidi w:val="0"/>
        <w:adjustRightInd w:val="0"/>
        <w:snapToGrid w:val="0"/>
        <w:spacing w:line="360" w:lineRule="auto"/>
        <w:ind w:left="15" w:leftChars="7" w:firstLine="403" w:firstLineChars="168"/>
        <w:outlineLvl w:val="9"/>
        <w:rPr>
          <w:rFonts w:hint="eastAsia" w:ascii="仿宋_GB2312" w:hAnsi="仿宋_GB2312" w:eastAsia="仿宋_GB2312" w:cs="仿宋_GB2312"/>
          <w:highlight w:val="none"/>
        </w:rPr>
      </w:pPr>
      <w:r>
        <w:rPr>
          <w:rFonts w:hint="eastAsia" w:ascii="仿宋_GB2312" w:hAnsi="仿宋_GB2312" w:eastAsia="仿宋_GB2312" w:cs="仿宋_GB2312"/>
          <w:sz w:val="24"/>
          <w:highlight w:val="none"/>
        </w:rPr>
        <w:t>时间：</w:t>
      </w:r>
    </w:p>
    <w:p>
      <w:pPr>
        <w:keepLines w:val="0"/>
        <w:kinsoku/>
        <w:overflowPunct/>
        <w:topLinePunct w:val="0"/>
        <w:bidi w:val="0"/>
        <w:spacing w:line="360" w:lineRule="auto"/>
        <w:outlineLvl w:val="9"/>
        <w:rPr>
          <w:rFonts w:hint="eastAsia" w:ascii="仿宋_GB2312" w:hAnsi="仿宋_GB2312" w:eastAsia="仿宋_GB2312" w:cs="仿宋_GB2312"/>
          <w:highlight w:val="none"/>
        </w:rPr>
      </w:pPr>
    </w:p>
    <w:p>
      <w:pPr>
        <w:pStyle w:val="17"/>
        <w:keepLines w:val="0"/>
        <w:kinsoku/>
        <w:overflowPunct/>
        <w:topLinePunct w:val="0"/>
        <w:bidi w:val="0"/>
        <w:snapToGrid w:val="0"/>
        <w:spacing w:line="360" w:lineRule="auto"/>
        <w:ind w:firstLine="0"/>
        <w:jc w:val="center"/>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17"/>
        <w:keepLines w:val="0"/>
        <w:kinsoku/>
        <w:overflowPunct/>
        <w:topLinePunct w:val="0"/>
        <w:bidi w:val="0"/>
        <w:snapToGrid w:val="0"/>
        <w:spacing w:line="360" w:lineRule="auto"/>
        <w:ind w:firstLine="0"/>
        <w:jc w:val="center"/>
        <w:outlineLvl w:val="9"/>
        <w:rPr>
          <w:rFonts w:hint="eastAsia" w:ascii="仿宋_GB2312" w:hAnsi="仿宋_GB2312" w:eastAsia="仿宋_GB2312" w:cs="仿宋_GB2312"/>
          <w:kern w:val="0"/>
          <w:highlight w:val="none"/>
        </w:rPr>
      </w:pPr>
    </w:p>
    <w:p>
      <w:pPr>
        <w:keepLines w:val="0"/>
        <w:widowControl/>
        <w:kinsoku/>
        <w:overflowPunct/>
        <w:topLinePunct w:val="0"/>
        <w:bidi w:val="0"/>
        <w:snapToGrid w:val="0"/>
        <w:spacing w:line="360" w:lineRule="auto"/>
        <w:jc w:val="center"/>
        <w:outlineLvl w:val="9"/>
        <w:rPr>
          <w:rFonts w:hint="eastAsia" w:ascii="仿宋_GB2312" w:hAnsi="仿宋_GB2312" w:eastAsia="仿宋_GB2312" w:cs="仿宋_GB2312"/>
          <w:kern w:val="0"/>
          <w:sz w:val="20"/>
          <w:highlight w:val="none"/>
        </w:rPr>
      </w:pPr>
    </w:p>
    <w:p>
      <w:pPr>
        <w:keepLines w:val="0"/>
        <w:widowControl/>
        <w:kinsoku/>
        <w:overflowPunct/>
        <w:topLinePunct w:val="0"/>
        <w:bidi w:val="0"/>
        <w:snapToGrid w:val="0"/>
        <w:spacing w:line="360" w:lineRule="auto"/>
        <w:jc w:val="center"/>
        <w:outlineLvl w:val="9"/>
        <w:rPr>
          <w:rFonts w:hint="eastAsia" w:ascii="仿宋_GB2312" w:hAnsi="仿宋_GB2312" w:eastAsia="仿宋_GB2312" w:cs="仿宋_GB2312"/>
          <w:kern w:val="0"/>
          <w:sz w:val="20"/>
          <w:highlight w:val="none"/>
        </w:rPr>
      </w:pPr>
    </w:p>
    <w:p>
      <w:pPr>
        <w:keepLines w:val="0"/>
        <w:widowControl/>
        <w:kinsoku/>
        <w:overflowPunct/>
        <w:topLinePunct w:val="0"/>
        <w:bidi w:val="0"/>
        <w:snapToGrid w:val="0"/>
        <w:spacing w:line="360" w:lineRule="auto"/>
        <w:jc w:val="center"/>
        <w:outlineLvl w:val="9"/>
        <w:rPr>
          <w:rFonts w:hint="eastAsia" w:ascii="仿宋_GB2312" w:hAnsi="仿宋_GB2312" w:eastAsia="仿宋_GB2312" w:cs="仿宋_GB2312"/>
          <w:kern w:val="0"/>
          <w:sz w:val="20"/>
          <w:highlight w:val="none"/>
        </w:rPr>
      </w:pPr>
    </w:p>
    <w:p>
      <w:pPr>
        <w:keepLines w:val="0"/>
        <w:widowControl/>
        <w:kinsoku/>
        <w:overflowPunct/>
        <w:topLinePunct w:val="0"/>
        <w:bidi w:val="0"/>
        <w:snapToGrid w:val="0"/>
        <w:spacing w:line="360" w:lineRule="auto"/>
        <w:jc w:val="center"/>
        <w:outlineLvl w:val="9"/>
        <w:rPr>
          <w:rFonts w:hint="eastAsia" w:ascii="仿宋_GB2312" w:hAnsi="仿宋_GB2312" w:eastAsia="仿宋_GB2312" w:cs="仿宋_GB2312"/>
          <w:kern w:val="0"/>
          <w:sz w:val="20"/>
          <w:highlight w:val="none"/>
        </w:rPr>
      </w:pPr>
    </w:p>
    <w:p>
      <w:pPr>
        <w:keepLines w:val="0"/>
        <w:widowControl/>
        <w:kinsoku/>
        <w:overflowPunct/>
        <w:topLinePunct w:val="0"/>
        <w:bidi w:val="0"/>
        <w:snapToGrid w:val="0"/>
        <w:spacing w:line="360" w:lineRule="auto"/>
        <w:jc w:val="left"/>
        <w:outlineLvl w:val="9"/>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第五部分 招标文件、澄清与答疑文件及其他补充资料（另册）</w:t>
      </w:r>
    </w:p>
    <w:p>
      <w:pPr>
        <w:keepLines w:val="0"/>
        <w:widowControl/>
        <w:kinsoku/>
        <w:overflowPunct/>
        <w:topLinePunct w:val="0"/>
        <w:bidi w:val="0"/>
        <w:snapToGrid w:val="0"/>
        <w:spacing w:line="360" w:lineRule="auto"/>
        <w:jc w:val="center"/>
        <w:outlineLvl w:val="9"/>
        <w:rPr>
          <w:rFonts w:hint="eastAsia" w:ascii="仿宋_GB2312" w:hAnsi="仿宋_GB2312" w:eastAsia="仿宋_GB2312" w:cs="仿宋_GB2312"/>
          <w:b/>
          <w:kern w:val="0"/>
          <w:sz w:val="32"/>
          <w:szCs w:val="32"/>
          <w:highlight w:val="none"/>
        </w:rPr>
      </w:pPr>
    </w:p>
    <w:p>
      <w:pPr>
        <w:keepLines w:val="0"/>
        <w:widowControl/>
        <w:kinsoku/>
        <w:overflowPunct/>
        <w:topLinePunct w:val="0"/>
        <w:bidi w:val="0"/>
        <w:snapToGrid w:val="0"/>
        <w:spacing w:line="360" w:lineRule="auto"/>
        <w:jc w:val="center"/>
        <w:outlineLvl w:val="9"/>
        <w:rPr>
          <w:rFonts w:hint="eastAsia" w:ascii="仿宋_GB2312" w:hAnsi="仿宋_GB2312" w:eastAsia="仿宋_GB2312" w:cs="仿宋_GB2312"/>
          <w:b/>
          <w:kern w:val="0"/>
          <w:sz w:val="32"/>
          <w:szCs w:val="32"/>
          <w:highlight w:val="none"/>
        </w:rPr>
      </w:pPr>
    </w:p>
    <w:p>
      <w:pPr>
        <w:keepLines w:val="0"/>
        <w:widowControl/>
        <w:kinsoku/>
        <w:overflowPunct/>
        <w:topLinePunct w:val="0"/>
        <w:bidi w:val="0"/>
        <w:snapToGrid w:val="0"/>
        <w:spacing w:line="360" w:lineRule="auto"/>
        <w:jc w:val="center"/>
        <w:outlineLvl w:val="9"/>
        <w:rPr>
          <w:rFonts w:hint="eastAsia" w:ascii="仿宋_GB2312" w:hAnsi="仿宋_GB2312" w:eastAsia="仿宋_GB2312" w:cs="仿宋_GB2312"/>
          <w:b/>
          <w:kern w:val="0"/>
          <w:sz w:val="32"/>
          <w:szCs w:val="32"/>
          <w:highlight w:val="none"/>
        </w:rPr>
      </w:pPr>
    </w:p>
    <w:p>
      <w:pPr>
        <w:keepLines w:val="0"/>
        <w:widowControl/>
        <w:kinsoku/>
        <w:overflowPunct/>
        <w:topLinePunct w:val="0"/>
        <w:bidi w:val="0"/>
        <w:snapToGrid w:val="0"/>
        <w:spacing w:line="360" w:lineRule="auto"/>
        <w:jc w:val="center"/>
        <w:outlineLvl w:val="9"/>
        <w:rPr>
          <w:rFonts w:hint="eastAsia" w:ascii="仿宋_GB2312" w:hAnsi="仿宋_GB2312" w:eastAsia="仿宋_GB2312" w:cs="仿宋_GB2312"/>
          <w:b/>
          <w:kern w:val="0"/>
          <w:sz w:val="32"/>
          <w:szCs w:val="32"/>
          <w:highlight w:val="none"/>
        </w:rPr>
      </w:pPr>
    </w:p>
    <w:p>
      <w:pPr>
        <w:keepLines w:val="0"/>
        <w:kinsoku/>
        <w:overflowPunct/>
        <w:topLinePunct w:val="0"/>
        <w:bidi w:val="0"/>
        <w:snapToGrid w:val="0"/>
        <w:spacing w:line="360" w:lineRule="auto"/>
        <w:jc w:val="center"/>
        <w:outlineLvl w:val="9"/>
        <w:rPr>
          <w:rFonts w:hint="eastAsia" w:ascii="宋体" w:hAnsi="宋体" w:cs="宋体"/>
          <w:b/>
          <w:sz w:val="32"/>
          <w:szCs w:val="32"/>
          <w:highlight w:val="none"/>
        </w:rPr>
        <w:sectPr>
          <w:footerReference r:id="rId12" w:type="default"/>
          <w:pgSz w:w="11906" w:h="16838"/>
          <w:pgMar w:top="2098" w:right="1474" w:bottom="1984" w:left="1587" w:header="851" w:footer="992" w:gutter="0"/>
          <w:cols w:space="0" w:num="1"/>
          <w:docGrid w:type="lines" w:linePitch="319" w:charSpace="0"/>
        </w:sectPr>
      </w:pPr>
      <w:r>
        <w:rPr>
          <w:rFonts w:hint="eastAsia" w:ascii="仿宋_GB2312" w:hAnsi="仿宋_GB2312" w:eastAsia="仿宋_GB2312" w:cs="仿宋_GB2312"/>
          <w:b/>
          <w:kern w:val="0"/>
          <w:sz w:val="32"/>
          <w:szCs w:val="32"/>
          <w:highlight w:val="none"/>
        </w:rPr>
        <w:t>第六部分 投标文件、澄清文件及其他补充资料（另册）</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ascii="宋体" w:hAnsi="宋体" w:cs="宋体"/>
          <w:bCs/>
          <w:sz w:val="32"/>
          <w:szCs w:val="32"/>
          <w:highlight w:val="none"/>
        </w:rPr>
      </w:pPr>
      <w:bookmarkStart w:id="104" w:name="_Toc17208"/>
      <w:r>
        <w:rPr>
          <w:rFonts w:hint="eastAsia" w:ascii="宋体" w:hAnsi="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0288;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highlight w:val="none"/>
        </w:rPr>
        <w:t>第七章</w:t>
      </w:r>
      <w:bookmarkStart w:id="105" w:name="_Toc14891079"/>
      <w:r>
        <w:rPr>
          <w:rFonts w:hint="eastAsia" w:ascii="宋体" w:hAnsi="宋体" w:cs="宋体"/>
          <w:b/>
          <w:sz w:val="32"/>
          <w:szCs w:val="32"/>
          <w:highlight w:val="none"/>
        </w:rPr>
        <w:t xml:space="preserve">  </w:t>
      </w:r>
      <w:r>
        <w:rPr>
          <w:rFonts w:hint="eastAsia" w:ascii="宋体" w:hAnsi="宋体" w:cs="宋体"/>
          <w:b/>
          <w:bCs/>
          <w:sz w:val="32"/>
          <w:szCs w:val="32"/>
          <w:highlight w:val="none"/>
        </w:rPr>
        <w:t>响应文件组成</w:t>
      </w:r>
      <w:bookmarkEnd w:id="65"/>
      <w:bookmarkEnd w:id="66"/>
      <w:bookmarkEnd w:id="67"/>
      <w:bookmarkEnd w:id="68"/>
      <w:bookmarkEnd w:id="104"/>
      <w:bookmarkEnd w:id="105"/>
    </w:p>
    <w:p>
      <w:pPr>
        <w:keepNext w:val="0"/>
        <w:keepLines w:val="0"/>
        <w:pageBreakBefore w:val="0"/>
        <w:kinsoku/>
        <w:wordWrap/>
        <w:overflowPunct/>
        <w:topLinePunct w:val="0"/>
        <w:autoSpaceDE/>
        <w:autoSpaceDN/>
        <w:bidi w:val="0"/>
        <w:spacing w:line="360" w:lineRule="auto"/>
        <w:textAlignment w:val="auto"/>
        <w:outlineLvl w:val="9"/>
        <w:rPr>
          <w:rFonts w:ascii="宋体" w:hAnsi="宋体"/>
          <w:b/>
          <w:bCs/>
          <w:sz w:val="52"/>
          <w:szCs w:val="52"/>
          <w:highlight w:val="none"/>
        </w:rPr>
      </w:pPr>
    </w:p>
    <w:p>
      <w:pPr>
        <w:keepNext w:val="0"/>
        <w:keepLines w:val="0"/>
        <w:pageBreakBefore w:val="0"/>
        <w:kinsoku/>
        <w:wordWrap/>
        <w:overflowPunct/>
        <w:topLinePunct w:val="0"/>
        <w:autoSpaceDE/>
        <w:autoSpaceDN/>
        <w:bidi w:val="0"/>
        <w:spacing w:line="360" w:lineRule="auto"/>
        <w:jc w:val="center"/>
        <w:textAlignment w:val="auto"/>
        <w:outlineLvl w:val="9"/>
        <w:rPr>
          <w:rFonts w:ascii="宋体" w:hAnsi="宋体"/>
          <w:b/>
          <w:bCs/>
          <w:sz w:val="52"/>
          <w:szCs w:val="52"/>
          <w:highlight w:val="none"/>
        </w:rPr>
      </w:pPr>
      <w:r>
        <w:rPr>
          <w:rFonts w:hint="eastAsia" w:ascii="宋体" w:hAnsi="宋体"/>
          <w:b/>
          <w:bCs/>
          <w:sz w:val="52"/>
          <w:szCs w:val="52"/>
          <w:highlight w:val="none"/>
        </w:rPr>
        <w:t>自主竞争性谈判</w:t>
      </w:r>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ascii="宋体" w:hAnsi="宋体"/>
          <w:b/>
          <w:bCs/>
          <w:sz w:val="52"/>
          <w:szCs w:val="52"/>
          <w:highlight w:val="none"/>
        </w:rPr>
      </w:pPr>
      <w:r>
        <w:rPr>
          <w:rFonts w:hint="eastAsia" w:ascii="宋体" w:hAnsi="宋体"/>
          <w:b/>
          <w:bCs/>
          <w:sz w:val="52"/>
          <w:szCs w:val="52"/>
          <w:highlight w:val="none"/>
        </w:rPr>
        <w:t>响应文件</w:t>
      </w:r>
    </w:p>
    <w:p>
      <w:pPr>
        <w:keepNext w:val="0"/>
        <w:keepLines w:val="0"/>
        <w:pageBreakBefore w:val="0"/>
        <w:kinsoku/>
        <w:wordWrap/>
        <w:overflowPunct/>
        <w:topLinePunct w:val="0"/>
        <w:autoSpaceDE/>
        <w:autoSpaceDN/>
        <w:bidi w:val="0"/>
        <w:spacing w:line="360" w:lineRule="auto"/>
        <w:textAlignment w:val="auto"/>
        <w:outlineLvl w:val="9"/>
        <w:rPr>
          <w:rFonts w:ascii="宋体" w:hAnsi="宋体"/>
          <w:b/>
          <w:bCs/>
          <w:sz w:val="28"/>
          <w:szCs w:val="28"/>
          <w:highlight w:val="none"/>
        </w:rPr>
      </w:pPr>
    </w:p>
    <w:p>
      <w:pPr>
        <w:pStyle w:val="27"/>
        <w:keepNext w:val="0"/>
        <w:keepLines w:val="0"/>
        <w:pageBreakBefore w:val="0"/>
        <w:kinsoku/>
        <w:wordWrap/>
        <w:overflowPunct/>
        <w:topLinePunct w:val="0"/>
        <w:autoSpaceDE/>
        <w:autoSpaceDN/>
        <w:bidi w:val="0"/>
        <w:spacing w:line="360" w:lineRule="auto"/>
        <w:textAlignment w:val="auto"/>
        <w:outlineLvl w:val="9"/>
        <w:rPr>
          <w:rFonts w:hAnsi="宋体"/>
          <w:b/>
          <w:bCs/>
          <w:sz w:val="32"/>
          <w:szCs w:val="32"/>
          <w:highlight w:val="none"/>
        </w:rPr>
      </w:pPr>
    </w:p>
    <w:p>
      <w:pPr>
        <w:pStyle w:val="27"/>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b/>
          <w:bCs/>
          <w:sz w:val="32"/>
          <w:szCs w:val="32"/>
          <w:highlight w:val="none"/>
          <w:u w:val="single"/>
        </w:rPr>
      </w:pPr>
      <w:r>
        <w:rPr>
          <w:rFonts w:hint="eastAsia" w:hAnsi="宋体"/>
          <w:b/>
          <w:bCs/>
          <w:sz w:val="32"/>
          <w:szCs w:val="32"/>
          <w:highlight w:val="none"/>
        </w:rPr>
        <w:t>谈判项目名称：</w:t>
      </w:r>
      <w:r>
        <w:rPr>
          <w:rFonts w:hint="eastAsia" w:hAnsi="宋体"/>
          <w:b/>
          <w:bCs/>
          <w:sz w:val="32"/>
          <w:szCs w:val="32"/>
          <w:highlight w:val="none"/>
          <w:u w:val="single"/>
        </w:rPr>
        <w:t xml:space="preserve">                      </w:t>
      </w:r>
    </w:p>
    <w:p>
      <w:pPr>
        <w:pStyle w:val="27"/>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b/>
          <w:bCs/>
          <w:sz w:val="32"/>
          <w:szCs w:val="32"/>
          <w:highlight w:val="none"/>
          <w:u w:val="single"/>
        </w:rPr>
      </w:pPr>
    </w:p>
    <w:p>
      <w:pPr>
        <w:pStyle w:val="27"/>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b/>
          <w:bCs/>
          <w:sz w:val="32"/>
          <w:szCs w:val="32"/>
          <w:highlight w:val="none"/>
          <w:u w:val="single"/>
        </w:rPr>
      </w:pPr>
      <w:r>
        <w:rPr>
          <w:rFonts w:hint="eastAsia" w:hAnsi="宋体"/>
          <w:b/>
          <w:bCs/>
          <w:sz w:val="32"/>
          <w:szCs w:val="32"/>
          <w:highlight w:val="none"/>
        </w:rPr>
        <w:t>谈判单位名称：</w:t>
      </w:r>
      <w:r>
        <w:rPr>
          <w:rFonts w:hint="eastAsia" w:hAnsi="宋体"/>
          <w:b/>
          <w:bCs/>
          <w:sz w:val="32"/>
          <w:szCs w:val="32"/>
          <w:highlight w:val="none"/>
          <w:u w:val="single"/>
        </w:rPr>
        <w:t xml:space="preserve">      （加盖单位公章）</w:t>
      </w:r>
    </w:p>
    <w:p>
      <w:pPr>
        <w:pStyle w:val="27"/>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b/>
          <w:bCs/>
          <w:sz w:val="32"/>
          <w:szCs w:val="32"/>
          <w:highlight w:val="none"/>
          <w:u w:val="single"/>
        </w:rPr>
      </w:pPr>
    </w:p>
    <w:p>
      <w:pPr>
        <w:pStyle w:val="27"/>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b/>
          <w:bCs/>
          <w:sz w:val="32"/>
          <w:szCs w:val="32"/>
          <w:highlight w:val="none"/>
          <w:u w:val="single"/>
        </w:rPr>
      </w:pPr>
      <w:r>
        <w:rPr>
          <w:rFonts w:hint="eastAsia" w:hAnsi="宋体"/>
          <w:b/>
          <w:bCs/>
          <w:sz w:val="32"/>
          <w:szCs w:val="32"/>
          <w:highlight w:val="none"/>
        </w:rPr>
        <w:t>谈判项目编号：</w:t>
      </w:r>
      <w:r>
        <w:rPr>
          <w:rFonts w:hint="eastAsia" w:hAnsi="宋体"/>
          <w:b/>
          <w:bCs/>
          <w:sz w:val="32"/>
          <w:szCs w:val="32"/>
          <w:highlight w:val="none"/>
          <w:u w:val="single"/>
        </w:rPr>
        <w:t xml:space="preserve">                      </w:t>
      </w:r>
    </w:p>
    <w:p>
      <w:pPr>
        <w:pStyle w:val="27"/>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b/>
          <w:bCs/>
          <w:sz w:val="32"/>
          <w:szCs w:val="32"/>
          <w:highlight w:val="none"/>
          <w:u w:val="single"/>
        </w:rPr>
      </w:pPr>
    </w:p>
    <w:p>
      <w:pPr>
        <w:pStyle w:val="27"/>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b/>
          <w:bCs/>
          <w:sz w:val="32"/>
          <w:szCs w:val="32"/>
          <w:highlight w:val="none"/>
          <w:u w:val="single"/>
        </w:rPr>
      </w:pPr>
    </w:p>
    <w:p>
      <w:pPr>
        <w:pStyle w:val="27"/>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b/>
          <w:bCs/>
          <w:sz w:val="32"/>
          <w:szCs w:val="32"/>
          <w:highlight w:val="none"/>
          <w:u w:val="single"/>
        </w:rPr>
      </w:pPr>
    </w:p>
    <w:p>
      <w:pPr>
        <w:pStyle w:val="27"/>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b/>
          <w:bCs/>
          <w:sz w:val="32"/>
          <w:szCs w:val="32"/>
          <w:highlight w:val="none"/>
          <w:u w:val="single"/>
        </w:rPr>
      </w:pPr>
    </w:p>
    <w:p>
      <w:pPr>
        <w:pStyle w:val="27"/>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b/>
          <w:bCs/>
          <w:sz w:val="32"/>
          <w:szCs w:val="32"/>
          <w:highlight w:val="none"/>
          <w:u w:val="single"/>
        </w:rPr>
      </w:pPr>
    </w:p>
    <w:p>
      <w:pPr>
        <w:pStyle w:val="27"/>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b/>
          <w:bCs/>
          <w:sz w:val="32"/>
          <w:szCs w:val="32"/>
          <w:highlight w:val="none"/>
          <w:u w:val="single"/>
        </w:rPr>
      </w:pPr>
    </w:p>
    <w:p>
      <w:pPr>
        <w:pStyle w:val="27"/>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Ansi="宋体"/>
          <w:b/>
          <w:bCs/>
          <w:sz w:val="32"/>
          <w:szCs w:val="32"/>
          <w:highlight w:val="none"/>
        </w:rPr>
      </w:pPr>
      <w:r>
        <w:rPr>
          <w:rFonts w:hint="eastAsia" w:hAnsi="宋体"/>
          <w:b/>
          <w:bCs/>
          <w:sz w:val="32"/>
          <w:szCs w:val="32"/>
          <w:highlight w:val="none"/>
        </w:rPr>
        <w:t>日  期：</w:t>
      </w:r>
      <w:r>
        <w:rPr>
          <w:rFonts w:hint="eastAsia" w:hAnsi="宋体"/>
          <w:b/>
          <w:bCs/>
          <w:sz w:val="32"/>
          <w:szCs w:val="32"/>
          <w:highlight w:val="none"/>
          <w:u w:val="single"/>
        </w:rPr>
        <w:t xml:space="preserve">   </w:t>
      </w:r>
      <w:r>
        <w:rPr>
          <w:rFonts w:hint="eastAsia" w:hAnsi="宋体"/>
          <w:b/>
          <w:bCs/>
          <w:sz w:val="32"/>
          <w:szCs w:val="32"/>
          <w:highlight w:val="none"/>
        </w:rPr>
        <w:t>年</w:t>
      </w:r>
      <w:r>
        <w:rPr>
          <w:rFonts w:hint="eastAsia" w:hAnsi="宋体"/>
          <w:b/>
          <w:bCs/>
          <w:sz w:val="32"/>
          <w:szCs w:val="32"/>
          <w:highlight w:val="none"/>
          <w:u w:val="single"/>
        </w:rPr>
        <w:t xml:space="preserve">   </w:t>
      </w:r>
      <w:r>
        <w:rPr>
          <w:rFonts w:hint="eastAsia" w:hAnsi="宋体"/>
          <w:b/>
          <w:bCs/>
          <w:sz w:val="32"/>
          <w:szCs w:val="32"/>
          <w:highlight w:val="none"/>
        </w:rPr>
        <w:t>月</w:t>
      </w:r>
      <w:r>
        <w:rPr>
          <w:rFonts w:hint="eastAsia" w:hAnsi="宋体"/>
          <w:b/>
          <w:bCs/>
          <w:sz w:val="32"/>
          <w:szCs w:val="32"/>
          <w:highlight w:val="none"/>
          <w:u w:val="single"/>
        </w:rPr>
        <w:t xml:space="preserve">   </w:t>
      </w:r>
      <w:r>
        <w:rPr>
          <w:rFonts w:hint="eastAsia" w:hAnsi="宋体"/>
          <w:b/>
          <w:bCs/>
          <w:sz w:val="32"/>
          <w:szCs w:val="32"/>
          <w:highlight w:val="none"/>
        </w:rPr>
        <w:t>日</w:t>
      </w:r>
    </w:p>
    <w:p>
      <w:pPr>
        <w:keepNext w:val="0"/>
        <w:keepLines w:val="0"/>
        <w:pageBreakBefore w:val="0"/>
        <w:kinsoku/>
        <w:wordWrap/>
        <w:overflowPunct/>
        <w:topLinePunct w:val="0"/>
        <w:autoSpaceDE/>
        <w:autoSpaceDN/>
        <w:bidi w:val="0"/>
        <w:spacing w:line="360" w:lineRule="exact"/>
        <w:textAlignment w:val="auto"/>
        <w:outlineLvl w:val="9"/>
        <w:rPr>
          <w:rFonts w:ascii="宋体" w:hAnsi="宋体"/>
          <w:b/>
          <w:highlight w:val="none"/>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ascii="黑体" w:eastAsia="黑体"/>
          <w:b/>
          <w:sz w:val="32"/>
          <w:szCs w:val="32"/>
          <w:highlight w:val="none"/>
        </w:rPr>
        <w:sectPr>
          <w:pgSz w:w="11906" w:h="16838"/>
          <w:pgMar w:top="2098" w:right="1474" w:bottom="1984" w:left="1587" w:header="851" w:footer="992" w:gutter="0"/>
          <w:cols w:space="0" w:num="1"/>
          <w:docGrid w:type="lines" w:linePitch="319" w:charSpace="0"/>
        </w:sectPr>
      </w:pPr>
    </w:p>
    <w:p>
      <w:pPr>
        <w:keepNext w:val="0"/>
        <w:keepLines w:val="0"/>
        <w:pageBreakBefore w:val="0"/>
        <w:widowControl/>
        <w:kinsoku/>
        <w:wordWrap/>
        <w:overflowPunct/>
        <w:topLinePunct w:val="0"/>
        <w:autoSpaceDE/>
        <w:autoSpaceDN/>
        <w:bidi w:val="0"/>
        <w:spacing w:line="360" w:lineRule="auto"/>
        <w:jc w:val="center"/>
        <w:textAlignment w:val="auto"/>
        <w:outlineLvl w:val="9"/>
        <w:rPr>
          <w:rFonts w:hAnsi="宋体" w:cs="宋体"/>
          <w:b/>
          <w:bCs/>
          <w:sz w:val="32"/>
          <w:szCs w:val="32"/>
          <w:highlight w:val="none"/>
        </w:rPr>
      </w:pPr>
      <w:r>
        <w:rPr>
          <w:rFonts w:hint="eastAsia" w:ascii="宋体" w:hAnsi="宋体"/>
          <w:b/>
          <w:sz w:val="32"/>
          <w:szCs w:val="32"/>
          <w:highlight w:val="none"/>
        </w:rPr>
        <w:t>目   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ascii="宋体" w:hAnsi="宋体"/>
          <w:sz w:val="24"/>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ascii="宋体" w:hAnsi="宋体"/>
          <w:szCs w:val="21"/>
          <w:highlight w:val="none"/>
        </w:rPr>
      </w:pPr>
      <w:r>
        <w:rPr>
          <w:rFonts w:hint="eastAsia" w:ascii="宋体" w:hAnsi="宋体"/>
          <w:szCs w:val="21"/>
          <w:highlight w:val="none"/>
        </w:rPr>
        <w:t>一、谈判承诺书</w:t>
      </w:r>
    </w:p>
    <w:p>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szCs w:val="21"/>
          <w:highlight w:val="none"/>
          <w:lang w:val="en-US" w:eastAsia="zh-CN"/>
        </w:rPr>
      </w:pPr>
      <w:r>
        <w:rPr>
          <w:rFonts w:hint="eastAsia" w:ascii="宋体" w:hAnsi="宋体"/>
          <w:szCs w:val="21"/>
          <w:highlight w:val="none"/>
        </w:rPr>
        <w:t>二、法定代表人身份证明书</w:t>
      </w:r>
      <w:r>
        <w:rPr>
          <w:rFonts w:hint="eastAsia" w:ascii="宋体" w:hAnsi="宋体"/>
          <w:szCs w:val="21"/>
          <w:highlight w:val="none"/>
          <w:lang w:val="en-US" w:eastAsia="zh-CN"/>
        </w:rPr>
        <w:t>/企业负责人身份证明</w:t>
      </w:r>
    </w:p>
    <w:p>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ascii="宋体" w:hAnsi="宋体"/>
          <w:szCs w:val="21"/>
          <w:highlight w:val="none"/>
        </w:rPr>
      </w:pPr>
      <w:r>
        <w:rPr>
          <w:rFonts w:hint="eastAsia" w:ascii="宋体" w:hAnsi="宋体"/>
          <w:szCs w:val="21"/>
          <w:highlight w:val="none"/>
        </w:rPr>
        <w:t>三、授权委托书</w:t>
      </w:r>
    </w:p>
    <w:p>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Ansi="宋体"/>
          <w:szCs w:val="21"/>
          <w:highlight w:val="none"/>
        </w:rPr>
      </w:pPr>
      <w:r>
        <w:rPr>
          <w:rFonts w:hint="eastAsia" w:ascii="宋体" w:hAnsi="宋体"/>
          <w:szCs w:val="21"/>
          <w:highlight w:val="none"/>
        </w:rPr>
        <w:t>四、</w:t>
      </w:r>
      <w:r>
        <w:rPr>
          <w:rFonts w:hint="eastAsia" w:hAnsi="宋体"/>
          <w:szCs w:val="21"/>
          <w:highlight w:val="none"/>
        </w:rPr>
        <w:t>谈判单位资格条件证明文件</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ascii="宋体" w:hAnsi="宋体"/>
          <w:szCs w:val="21"/>
          <w:highlight w:val="none"/>
        </w:rPr>
      </w:pPr>
      <w:r>
        <w:rPr>
          <w:rFonts w:hint="eastAsia" w:ascii="宋体" w:hAnsi="宋体"/>
          <w:szCs w:val="21"/>
          <w:highlight w:val="none"/>
        </w:rPr>
        <w:t>五、报价一览表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szCs w:val="21"/>
          <w:highlight w:val="none"/>
          <w:lang w:val="en-US" w:eastAsia="zh-CN"/>
        </w:rPr>
      </w:pPr>
      <w:r>
        <w:rPr>
          <w:rFonts w:hint="eastAsia" w:ascii="宋体" w:hAnsi="宋体"/>
          <w:szCs w:val="21"/>
          <w:highlight w:val="none"/>
        </w:rPr>
        <w:t>六、</w:t>
      </w:r>
      <w:r>
        <w:rPr>
          <w:rFonts w:hint="eastAsia" w:ascii="宋体" w:hAnsi="宋体"/>
          <w:szCs w:val="21"/>
          <w:highlight w:val="none"/>
          <w:lang w:val="en-US" w:eastAsia="zh-CN"/>
        </w:rPr>
        <w:t>分项报价表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ascii="宋体" w:hAnsi="宋体"/>
          <w:szCs w:val="21"/>
          <w:highlight w:val="none"/>
          <w:lang w:val="en-US" w:eastAsia="zh-CN"/>
        </w:rPr>
      </w:pPr>
      <w:r>
        <w:rPr>
          <w:rFonts w:hint="eastAsia" w:ascii="宋体" w:hAnsi="宋体"/>
          <w:szCs w:val="21"/>
          <w:highlight w:val="none"/>
          <w:lang w:val="en-US" w:eastAsia="zh-CN"/>
        </w:rPr>
        <w:t>七、服务组织机构及人员设置方案</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szCs w:val="21"/>
          <w:highlight w:val="none"/>
        </w:rPr>
      </w:pPr>
      <w:r>
        <w:rPr>
          <w:rFonts w:hint="eastAsia" w:ascii="宋体" w:hAnsi="宋体"/>
          <w:szCs w:val="21"/>
          <w:highlight w:val="none"/>
          <w:lang w:val="en-US" w:eastAsia="zh-CN"/>
        </w:rPr>
        <w:t>八</w:t>
      </w:r>
      <w:r>
        <w:rPr>
          <w:rFonts w:hint="eastAsia" w:ascii="宋体" w:hAnsi="宋体"/>
          <w:szCs w:val="21"/>
          <w:highlight w:val="none"/>
        </w:rPr>
        <w:t>、其他资料（如有）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1"/>
        <w:rPr>
          <w:rFonts w:ascii="黑体" w:hAnsi="黑体" w:eastAsia="黑体"/>
          <w:b/>
          <w:sz w:val="32"/>
          <w:szCs w:val="32"/>
          <w:highlight w:val="none"/>
        </w:rPr>
      </w:pPr>
      <w:r>
        <w:rPr>
          <w:rFonts w:hint="eastAsia" w:ascii="宋体" w:hAnsi="宋体"/>
          <w:sz w:val="24"/>
          <w:highlight w:val="none"/>
        </w:rPr>
        <w:br w:type="page"/>
      </w:r>
      <w:bookmarkStart w:id="106" w:name="_Toc7657"/>
      <w:bookmarkStart w:id="107" w:name="_Toc32600"/>
      <w:bookmarkStart w:id="108" w:name="_Toc14530"/>
      <w:bookmarkStart w:id="109" w:name="_Toc7711"/>
      <w:bookmarkStart w:id="110" w:name="_Toc32569"/>
      <w:r>
        <w:rPr>
          <w:rFonts w:hint="eastAsia" w:ascii="宋体" w:hAnsi="宋体" w:cs="宋体"/>
          <w:b/>
          <w:sz w:val="32"/>
          <w:szCs w:val="32"/>
          <w:highlight w:val="none"/>
        </w:rPr>
        <w:t>一、谈判承诺书</w:t>
      </w:r>
      <w:bookmarkEnd w:id="106"/>
      <w:bookmarkEnd w:id="107"/>
      <w:bookmarkEnd w:id="108"/>
      <w:bookmarkEnd w:id="109"/>
      <w:bookmarkEnd w:id="110"/>
    </w:p>
    <w:p>
      <w:pPr>
        <w:adjustRightInd w:val="0"/>
        <w:snapToGrid w:val="0"/>
        <w:spacing w:line="400" w:lineRule="exact"/>
        <w:rPr>
          <w:rFonts w:ascii="仿宋_GB2312" w:hAnsi="宋体" w:eastAsia="仿宋_GB2312"/>
          <w:szCs w:val="21"/>
          <w:highlight w:val="none"/>
        </w:rPr>
      </w:pPr>
    </w:p>
    <w:p>
      <w:pPr>
        <w:adjustRightInd w:val="0"/>
        <w:snapToGrid w:val="0"/>
        <w:spacing w:line="400" w:lineRule="exact"/>
        <w:rPr>
          <w:rFonts w:ascii="宋体" w:hAnsi="宋体"/>
          <w:szCs w:val="21"/>
          <w:highlight w:val="none"/>
        </w:rPr>
      </w:pPr>
      <w:r>
        <w:rPr>
          <w:rFonts w:hint="eastAsia" w:ascii="宋体" w:hAnsi="宋体"/>
          <w:szCs w:val="21"/>
          <w:highlight w:val="none"/>
        </w:rPr>
        <w:t>致</w:t>
      </w:r>
      <w:r>
        <w:rPr>
          <w:rFonts w:hint="eastAsia" w:ascii="宋体" w:hAnsi="宋体" w:cs="宋体"/>
          <w:szCs w:val="21"/>
          <w:highlight w:val="none"/>
          <w:u w:val="single"/>
        </w:rPr>
        <w:t xml:space="preserve">      (采购单位)      </w:t>
      </w:r>
      <w:r>
        <w:rPr>
          <w:rFonts w:hint="eastAsia" w:ascii="宋体" w:hAnsi="宋体" w:cs="宋体"/>
          <w:szCs w:val="21"/>
          <w:highlight w:val="none"/>
        </w:rPr>
        <w:t>：</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我方已仔细研究了</w:t>
      </w:r>
      <w:r>
        <w:rPr>
          <w:rFonts w:hint="eastAsia" w:ascii="宋体" w:hAnsi="宋体"/>
          <w:szCs w:val="21"/>
          <w:highlight w:val="none"/>
          <w:u w:val="single"/>
        </w:rPr>
        <w:t xml:space="preserve">     (项目名称)        </w:t>
      </w:r>
      <w:r>
        <w:rPr>
          <w:rFonts w:hint="eastAsia" w:ascii="宋体" w:hAnsi="宋体"/>
          <w:szCs w:val="21"/>
          <w:highlight w:val="none"/>
        </w:rPr>
        <w:t>的竞争性谈判文件（谈判项目编号：</w:t>
      </w:r>
      <w:r>
        <w:rPr>
          <w:rFonts w:hint="eastAsia" w:ascii="宋体" w:hAnsi="宋体"/>
          <w:szCs w:val="21"/>
          <w:highlight w:val="none"/>
          <w:u w:val="single"/>
        </w:rPr>
        <w:t xml:space="preserve">         </w:t>
      </w:r>
      <w:r>
        <w:rPr>
          <w:rFonts w:hint="eastAsia" w:ascii="宋体" w:hAnsi="宋体"/>
          <w:szCs w:val="21"/>
          <w:highlight w:val="none"/>
        </w:rPr>
        <w:t>）的全部内容，</w:t>
      </w:r>
      <w:r>
        <w:rPr>
          <w:rFonts w:hint="eastAsia" w:hAnsi="宋体"/>
          <w:szCs w:val="21"/>
          <w:highlight w:val="none"/>
        </w:rPr>
        <w:t>知悉参加竞争性谈判的风险，我方承诺接受谈判文件的全部条款且无任何异议。</w:t>
      </w:r>
    </w:p>
    <w:p>
      <w:pPr>
        <w:pStyle w:val="27"/>
        <w:numPr>
          <w:ilvl w:val="0"/>
          <w:numId w:val="20"/>
        </w:numPr>
        <w:adjustRightInd w:val="0"/>
        <w:snapToGrid w:val="0"/>
        <w:spacing w:line="400" w:lineRule="exact"/>
        <w:rPr>
          <w:rFonts w:hAnsi="宋体"/>
          <w:highlight w:val="none"/>
        </w:rPr>
      </w:pPr>
      <w:r>
        <w:rPr>
          <w:rFonts w:hint="eastAsia"/>
          <w:highlight w:val="none"/>
        </w:rPr>
        <w:t>参与本项目竞争性谈判活动系本公司自愿行为。</w:t>
      </w:r>
    </w:p>
    <w:p>
      <w:pPr>
        <w:pStyle w:val="27"/>
        <w:numPr>
          <w:ilvl w:val="0"/>
          <w:numId w:val="20"/>
        </w:numPr>
        <w:adjustRightInd w:val="0"/>
        <w:snapToGrid w:val="0"/>
        <w:spacing w:line="400" w:lineRule="exact"/>
        <w:rPr>
          <w:highlight w:val="none"/>
        </w:rPr>
      </w:pPr>
      <w:r>
        <w:rPr>
          <w:rFonts w:hint="eastAsia"/>
          <w:highlight w:val="none"/>
        </w:rPr>
        <w:t>我方同意在谈判文件中规定的提交响应文件截止时间起</w:t>
      </w:r>
      <w:r>
        <w:rPr>
          <w:rFonts w:hint="eastAsia"/>
          <w:highlight w:val="none"/>
          <w:u w:val="single"/>
        </w:rPr>
        <w:t>180</w:t>
      </w:r>
      <w:r>
        <w:rPr>
          <w:rFonts w:hint="eastAsia"/>
          <w:highlight w:val="none"/>
        </w:rPr>
        <w:t>日历天内(响应文件有效期)遵守本响应文件中的承诺且在此期限期满之前均具有法律约束力。</w:t>
      </w:r>
    </w:p>
    <w:p>
      <w:pPr>
        <w:pStyle w:val="27"/>
        <w:numPr>
          <w:ilvl w:val="0"/>
          <w:numId w:val="20"/>
        </w:numPr>
        <w:adjustRightInd w:val="0"/>
        <w:snapToGrid w:val="0"/>
        <w:spacing w:line="400" w:lineRule="exact"/>
        <w:rPr>
          <w:highlight w:val="none"/>
        </w:rPr>
      </w:pPr>
      <w:r>
        <w:rPr>
          <w:rFonts w:hint="eastAsia"/>
          <w:highlight w:val="none"/>
        </w:rPr>
        <w:t>我方提交的响应文件均为</w:t>
      </w:r>
      <w:r>
        <w:rPr>
          <w:rFonts w:hint="eastAsia"/>
          <w:b/>
          <w:bCs/>
          <w:highlight w:val="none"/>
        </w:rPr>
        <w:t>正本一份和副本两份</w:t>
      </w:r>
      <w:r>
        <w:rPr>
          <w:rFonts w:hint="eastAsia"/>
          <w:highlight w:val="none"/>
        </w:rPr>
        <w:t>，电子文件（包括响应文件全部内容）一份，并保证响应文件提供的数据和材料是真实、准确的，</w:t>
      </w:r>
      <w:r>
        <w:rPr>
          <w:rFonts w:hint="eastAsia"/>
          <w:b/>
          <w:bCs/>
          <w:highlight w:val="none"/>
        </w:rPr>
        <w:t>均无复制、粘贴之情形，且无低于成本的恶意报价行为</w:t>
      </w:r>
      <w:r>
        <w:rPr>
          <w:rFonts w:hint="eastAsia"/>
          <w:highlight w:val="none"/>
        </w:rPr>
        <w:t>。否则，愿承担由此引起的一切法律责任。</w:t>
      </w:r>
    </w:p>
    <w:p>
      <w:pPr>
        <w:pStyle w:val="27"/>
        <w:numPr>
          <w:ilvl w:val="0"/>
          <w:numId w:val="20"/>
        </w:numPr>
        <w:adjustRightInd w:val="0"/>
        <w:snapToGrid w:val="0"/>
        <w:spacing w:line="400" w:lineRule="exact"/>
        <w:rPr>
          <w:highlight w:val="none"/>
        </w:rPr>
      </w:pPr>
      <w:r>
        <w:rPr>
          <w:rFonts w:hint="eastAsia"/>
          <w:highlight w:val="none"/>
        </w:rPr>
        <w:t>遵守贵司各项管理制度和谈判现场纪律，服从现场工作人员管理，自觉维护贵司谈判活动秩序。</w:t>
      </w:r>
    </w:p>
    <w:p>
      <w:pPr>
        <w:pStyle w:val="27"/>
        <w:numPr>
          <w:ilvl w:val="0"/>
          <w:numId w:val="20"/>
        </w:numPr>
        <w:adjustRightInd w:val="0"/>
        <w:snapToGrid w:val="0"/>
        <w:spacing w:line="400" w:lineRule="exact"/>
        <w:rPr>
          <w:highlight w:val="none"/>
        </w:rPr>
      </w:pPr>
      <w:r>
        <w:rPr>
          <w:rFonts w:hint="eastAsia"/>
          <w:highlight w:val="none"/>
        </w:rPr>
        <w:t>保证没有组织、参与围标、串标行为。</w:t>
      </w:r>
    </w:p>
    <w:p>
      <w:pPr>
        <w:pStyle w:val="27"/>
        <w:numPr>
          <w:ilvl w:val="0"/>
          <w:numId w:val="20"/>
        </w:numPr>
        <w:adjustRightInd w:val="0"/>
        <w:snapToGrid w:val="0"/>
        <w:spacing w:line="400" w:lineRule="exact"/>
        <w:rPr>
          <w:highlight w:val="none"/>
        </w:rPr>
      </w:pPr>
      <w:r>
        <w:rPr>
          <w:rFonts w:hint="eastAsia"/>
          <w:highlight w:val="none"/>
        </w:rPr>
        <w:t>不与采购单位或谈判评审小组成员私下联络和串通以牟取中选；不以他人名义参与谈判或者以其他方式弄虚作假骗取中选；不在谈判结束后进行虚假、恶意质疑和投诉。</w:t>
      </w:r>
    </w:p>
    <w:p>
      <w:pPr>
        <w:pStyle w:val="27"/>
        <w:numPr>
          <w:ilvl w:val="0"/>
          <w:numId w:val="20"/>
        </w:numPr>
        <w:adjustRightInd w:val="0"/>
        <w:snapToGrid w:val="0"/>
        <w:spacing w:line="400" w:lineRule="exact"/>
        <w:rPr>
          <w:highlight w:val="none"/>
        </w:rPr>
      </w:pPr>
      <w:r>
        <w:rPr>
          <w:rFonts w:hint="eastAsia"/>
          <w:highlight w:val="none"/>
        </w:rPr>
        <w:t>我方承诺为本项目拟配备人员均满足技术标准及要求且均为我方正式在职人员。若拟配备人员不满足技术标准及要求或证件造假或非我方正式在职人员，视为虚假响应，贵方有权取消我方谈判资格；如已中选，贵方有权取消我方中选供应商资格。</w:t>
      </w:r>
    </w:p>
    <w:p>
      <w:pPr>
        <w:pStyle w:val="27"/>
        <w:numPr>
          <w:ilvl w:val="0"/>
          <w:numId w:val="20"/>
        </w:numPr>
        <w:adjustRightInd w:val="0"/>
        <w:snapToGrid w:val="0"/>
        <w:spacing w:line="400" w:lineRule="exact"/>
        <w:rPr>
          <w:highlight w:val="none"/>
        </w:rPr>
      </w:pPr>
      <w:r>
        <w:rPr>
          <w:rFonts w:hint="eastAsia"/>
          <w:highlight w:val="none"/>
        </w:rPr>
        <w:t>我方承诺，若贵方需要，我方愿意提供任何与本次谈判有关的数据、情况和技术资料。</w:t>
      </w:r>
    </w:p>
    <w:p>
      <w:pPr>
        <w:pStyle w:val="27"/>
        <w:numPr>
          <w:ilvl w:val="0"/>
          <w:numId w:val="20"/>
        </w:numPr>
        <w:adjustRightInd w:val="0"/>
        <w:snapToGrid w:val="0"/>
        <w:spacing w:line="400" w:lineRule="exact"/>
        <w:rPr>
          <w:highlight w:val="none"/>
        </w:rPr>
      </w:pPr>
      <w:r>
        <w:rPr>
          <w:rFonts w:hint="eastAsia"/>
          <w:highlight w:val="none"/>
        </w:rPr>
        <w:t>我方承诺遵守相关法律法规及贵司的有关规定，保证在获得成交资格后，按照谈判文件确定的事项签订合同，履行双方所签订的合同，并承担合同规定的责任和义务。</w:t>
      </w:r>
    </w:p>
    <w:p>
      <w:pPr>
        <w:pStyle w:val="27"/>
        <w:numPr>
          <w:ilvl w:val="0"/>
          <w:numId w:val="20"/>
        </w:numPr>
        <w:adjustRightInd w:val="0"/>
        <w:snapToGrid w:val="0"/>
        <w:spacing w:line="400" w:lineRule="exact"/>
        <w:rPr>
          <w:highlight w:val="none"/>
        </w:rPr>
      </w:pPr>
      <w:r>
        <w:rPr>
          <w:rFonts w:hint="eastAsia"/>
          <w:highlight w:val="none"/>
        </w:rPr>
        <w:t>我方承诺在参与本次竞争性谈判过程中，若出现本文件</w:t>
      </w:r>
      <w:r>
        <w:rPr>
          <w:rFonts w:hint="eastAsia"/>
          <w:b/>
          <w:bCs/>
          <w:highlight w:val="none"/>
        </w:rPr>
        <w:t>谈判须知正文</w:t>
      </w:r>
      <w:r>
        <w:rPr>
          <w:rFonts w:hint="eastAsia"/>
          <w:highlight w:val="none"/>
        </w:rPr>
        <w:t>第26条规定之情形，我方无条件接受条款规定作出的处罚。</w:t>
      </w:r>
    </w:p>
    <w:p>
      <w:pPr>
        <w:pStyle w:val="27"/>
        <w:numPr>
          <w:ilvl w:val="0"/>
          <w:numId w:val="20"/>
        </w:numPr>
        <w:adjustRightInd w:val="0"/>
        <w:snapToGrid w:val="0"/>
        <w:spacing w:line="400" w:lineRule="exact"/>
        <w:rPr>
          <w:highlight w:val="none"/>
        </w:rPr>
      </w:pPr>
      <w:r>
        <w:rPr>
          <w:rFonts w:hint="eastAsia"/>
          <w:highlight w:val="none"/>
        </w:rPr>
        <w:t>我方承诺完全响应本文件第四章“用户需求书”及第六章“合同格式条款”内的全部内容。</w:t>
      </w:r>
    </w:p>
    <w:p>
      <w:pPr>
        <w:pStyle w:val="27"/>
        <w:numPr>
          <w:ilvl w:val="0"/>
          <w:numId w:val="20"/>
        </w:numPr>
        <w:adjustRightInd w:val="0"/>
        <w:snapToGrid w:val="0"/>
        <w:spacing w:line="400" w:lineRule="exact"/>
        <w:rPr>
          <w:highlight w:val="none"/>
        </w:rPr>
      </w:pPr>
      <w:r>
        <w:rPr>
          <w:rFonts w:hint="eastAsia"/>
          <w:highlight w:val="none"/>
        </w:rPr>
        <w:t>如有违反本承诺书内容的行为，愿意承担由此产生的法律责任及后果。</w:t>
      </w:r>
    </w:p>
    <w:p>
      <w:pPr>
        <w:spacing w:line="400" w:lineRule="exact"/>
        <w:rPr>
          <w:rFonts w:ascii="宋体" w:hAnsi="宋体" w:cs="宋体"/>
          <w:szCs w:val="21"/>
          <w:highlight w:val="none"/>
        </w:rPr>
      </w:pPr>
    </w:p>
    <w:p>
      <w:pPr>
        <w:spacing w:line="400" w:lineRule="exact"/>
        <w:rPr>
          <w:rFonts w:ascii="宋体" w:hAnsi="宋体" w:cs="宋体"/>
          <w:szCs w:val="21"/>
          <w:highlight w:val="none"/>
          <w:u w:val="single"/>
        </w:rPr>
      </w:pPr>
      <w:r>
        <w:rPr>
          <w:rFonts w:hint="eastAsia" w:ascii="宋体" w:hAnsi="宋体" w:cs="宋体"/>
          <w:szCs w:val="21"/>
          <w:highlight w:val="none"/>
        </w:rPr>
        <w:t>谈判单位名称：</w:t>
      </w:r>
      <w:r>
        <w:rPr>
          <w:rFonts w:hint="eastAsia" w:ascii="宋体" w:hAnsi="宋体" w:cs="宋体"/>
          <w:szCs w:val="21"/>
          <w:highlight w:val="none"/>
          <w:u w:val="single"/>
        </w:rPr>
        <w:t xml:space="preserve">    （盖单位章）         </w:t>
      </w:r>
    </w:p>
    <w:p>
      <w:pPr>
        <w:spacing w:line="400" w:lineRule="exact"/>
        <w:rPr>
          <w:rFonts w:ascii="宋体" w:hAnsi="宋体" w:cs="宋体"/>
          <w:szCs w:val="21"/>
          <w:highlight w:val="none"/>
        </w:rPr>
      </w:pPr>
      <w:r>
        <w:rPr>
          <w:rFonts w:hint="eastAsia" w:ascii="宋体" w:hAnsi="宋体" w:cs="宋体"/>
          <w:szCs w:val="21"/>
          <w:highlight w:val="none"/>
        </w:rPr>
        <w:t>法定代表人(签字或盖章)：</w:t>
      </w:r>
      <w:r>
        <w:rPr>
          <w:rFonts w:hint="eastAsia" w:ascii="宋体" w:hAnsi="宋体" w:cs="宋体"/>
          <w:szCs w:val="21"/>
          <w:highlight w:val="none"/>
          <w:u w:val="single"/>
        </w:rPr>
        <w:t xml:space="preserve">               </w:t>
      </w:r>
    </w:p>
    <w:p>
      <w:pPr>
        <w:spacing w:line="400" w:lineRule="exact"/>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rPr>
          <w:rFonts w:ascii="宋体" w:hAnsi="宋体"/>
          <w:szCs w:val="21"/>
          <w:highlight w:val="none"/>
        </w:rPr>
      </w:pPr>
      <w:r>
        <w:rPr>
          <w:rFonts w:hint="eastAsia" w:ascii="宋体" w:hAnsi="宋体"/>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1"/>
        <w:rPr>
          <w:rFonts w:hint="eastAsia" w:ascii="宋体" w:hAnsi="宋体" w:cs="宋体"/>
          <w:b/>
          <w:sz w:val="32"/>
          <w:szCs w:val="32"/>
          <w:highlight w:val="none"/>
        </w:rPr>
      </w:pPr>
      <w:bookmarkStart w:id="111" w:name="_Toc20154"/>
      <w:r>
        <w:rPr>
          <w:rFonts w:hint="eastAsia" w:ascii="宋体" w:hAnsi="宋体" w:cs="宋体"/>
          <w:b/>
          <w:sz w:val="32"/>
          <w:szCs w:val="32"/>
          <w:highlight w:val="none"/>
          <w:lang w:val="en-US" w:eastAsia="zh-CN"/>
        </w:rPr>
        <w:t>二</w:t>
      </w:r>
      <w:r>
        <w:rPr>
          <w:rFonts w:hint="eastAsia" w:ascii="宋体" w:hAnsi="宋体" w:cs="宋体"/>
          <w:b/>
          <w:sz w:val="32"/>
          <w:szCs w:val="32"/>
          <w:highlight w:val="none"/>
        </w:rPr>
        <w:t>、法定代表人身份证明</w:t>
      </w:r>
      <w:bookmarkEnd w:id="111"/>
    </w:p>
    <w:p>
      <w:pPr>
        <w:pStyle w:val="241"/>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（总公司参与投标的须提供）</w:t>
      </w:r>
    </w:p>
    <w:p>
      <w:pPr>
        <w:autoSpaceDE w:val="0"/>
        <w:autoSpaceDN w:val="0"/>
        <w:adjustRightInd w:val="0"/>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法人单位名称：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utoSpaceDE w:val="0"/>
        <w:autoSpaceDN w:val="0"/>
        <w:adjustRightInd w:val="0"/>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 xml:space="preserve">成立日期：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pPr>
        <w:autoSpaceDE w:val="0"/>
        <w:autoSpaceDN w:val="0"/>
        <w:adjustRightInd w:val="0"/>
        <w:snapToGrid w:val="0"/>
        <w:spacing w:line="440" w:lineRule="exact"/>
        <w:jc w:val="left"/>
        <w:rPr>
          <w:rFonts w:ascii="宋体" w:hAnsi="宋体" w:cs="宋体"/>
          <w:kern w:val="0"/>
          <w:szCs w:val="21"/>
          <w:highlight w:val="none"/>
          <w:u w:val="single"/>
        </w:rPr>
      </w:pPr>
      <w:r>
        <w:rPr>
          <w:rFonts w:hint="eastAsia" w:ascii="宋体" w:hAnsi="宋体" w:cs="宋体"/>
          <w:kern w:val="0"/>
          <w:szCs w:val="21"/>
          <w:highlight w:val="none"/>
        </w:rPr>
        <w:t>营业期限：</w:t>
      </w:r>
      <w:r>
        <w:rPr>
          <w:rFonts w:hint="eastAsia" w:ascii="宋体" w:hAnsi="宋体" w:cs="宋体"/>
          <w:kern w:val="0"/>
          <w:szCs w:val="21"/>
          <w:highlight w:val="none"/>
          <w:u w:val="single"/>
        </w:rPr>
        <w:t xml:space="preserve">                          </w:t>
      </w:r>
    </w:p>
    <w:p>
      <w:pPr>
        <w:autoSpaceDE w:val="0"/>
        <w:autoSpaceDN w:val="0"/>
        <w:adjustRightInd w:val="0"/>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职务：</w:t>
      </w:r>
      <w:r>
        <w:rPr>
          <w:rFonts w:hint="eastAsia" w:ascii="宋体" w:hAnsi="宋体" w:cs="宋体"/>
          <w:kern w:val="0"/>
          <w:szCs w:val="21"/>
          <w:highlight w:val="none"/>
          <w:u w:val="single"/>
        </w:rPr>
        <w:t xml:space="preserve">      </w:t>
      </w:r>
    </w:p>
    <w:p>
      <w:pPr>
        <w:autoSpaceDE w:val="0"/>
        <w:autoSpaceDN w:val="0"/>
        <w:adjustRightInd w:val="0"/>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lang w:val="en-US" w:eastAsia="zh-CN"/>
        </w:rPr>
        <w:t>谈判单位</w:t>
      </w:r>
      <w:r>
        <w:rPr>
          <w:rFonts w:hint="eastAsia" w:ascii="宋体" w:hAnsi="宋体" w:cs="宋体"/>
          <w:kern w:val="0"/>
          <w:szCs w:val="21"/>
          <w:highlight w:val="none"/>
        </w:rPr>
        <w:t>名称）的法定代表人。</w:t>
      </w:r>
    </w:p>
    <w:p>
      <w:pPr>
        <w:autoSpaceDE w:val="0"/>
        <w:autoSpaceDN w:val="0"/>
        <w:adjustRightInd w:val="0"/>
        <w:snapToGrid w:val="0"/>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特此证明。</w:t>
      </w:r>
    </w:p>
    <w:p>
      <w:pPr>
        <w:topLinePunct/>
        <w:spacing w:line="440" w:lineRule="exact"/>
        <w:ind w:firstLine="420" w:firstLineChars="200"/>
        <w:rPr>
          <w:rFonts w:ascii="宋体" w:hAnsi="宋体"/>
          <w:kern w:val="0"/>
          <w:highlight w:val="none"/>
        </w:rPr>
      </w:pPr>
      <w:r>
        <w:rPr>
          <w:rFonts w:ascii="宋体" w:hAnsi="宋体"/>
          <w:kern w:val="0"/>
          <w:highlight w:val="none"/>
        </w:rPr>
        <w:t>附：法定代表人身份证</w:t>
      </w:r>
      <w:r>
        <w:rPr>
          <w:rFonts w:hint="eastAsia" w:ascii="宋体" w:hAnsi="宋体"/>
          <w:kern w:val="0"/>
          <w:highlight w:val="none"/>
        </w:rPr>
        <w:t>及</w:t>
      </w:r>
      <w:r>
        <w:rPr>
          <w:rFonts w:hint="eastAsia" w:ascii="宋体" w:hAnsi="宋体"/>
          <w:kern w:val="0"/>
          <w:highlight w:val="none"/>
          <w:lang w:val="en-US" w:eastAsia="zh-CN"/>
        </w:rPr>
        <w:t>谈判单位</w:t>
      </w:r>
      <w:r>
        <w:rPr>
          <w:rFonts w:hint="eastAsia" w:ascii="宋体" w:hAnsi="宋体"/>
          <w:kern w:val="0"/>
          <w:highlight w:val="none"/>
        </w:rPr>
        <w:t>营业执照</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4177" w:type="dxa"/>
            <w:vAlign w:val="center"/>
          </w:tcPr>
          <w:p>
            <w:pPr>
              <w:snapToGrid w:val="0"/>
              <w:spacing w:line="440" w:lineRule="exact"/>
              <w:jc w:val="center"/>
              <w:rPr>
                <w:rFonts w:ascii="宋体" w:hAnsi="宋体"/>
                <w:highlight w:val="none"/>
              </w:rPr>
            </w:pPr>
            <w:r>
              <w:rPr>
                <w:rFonts w:ascii="宋体" w:hAnsi="宋体"/>
                <w:highlight w:val="none"/>
              </w:rPr>
              <w:t>法定代表人二代身份证复印件（正面）</w:t>
            </w:r>
          </w:p>
        </w:tc>
        <w:tc>
          <w:tcPr>
            <w:tcW w:w="4162" w:type="dxa"/>
            <w:vAlign w:val="center"/>
          </w:tcPr>
          <w:p>
            <w:pPr>
              <w:snapToGrid w:val="0"/>
              <w:spacing w:line="440" w:lineRule="exact"/>
              <w:jc w:val="center"/>
              <w:rPr>
                <w:rFonts w:ascii="宋体" w:hAnsi="宋体"/>
                <w:highlight w:val="none"/>
              </w:rPr>
            </w:pPr>
            <w:r>
              <w:rPr>
                <w:rFonts w:ascii="宋体" w:hAnsi="宋体"/>
                <w:highlight w:val="none"/>
              </w:rPr>
              <w:t>法定代表人二代身份证复印件（反面）</w:t>
            </w:r>
          </w:p>
        </w:tc>
      </w:tr>
    </w:tbl>
    <w:p>
      <w:pPr>
        <w:pStyle w:val="241"/>
        <w:spacing w:line="440" w:lineRule="exact"/>
        <w:rPr>
          <w:rFonts w:ascii="宋体" w:hAnsi="宋体" w:cs="宋体"/>
          <w:color w:val="auto"/>
          <w:szCs w:val="21"/>
          <w:highlight w:val="none"/>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4240" w:type="dxa"/>
            <w:vAlign w:val="center"/>
          </w:tcPr>
          <w:p>
            <w:pPr>
              <w:snapToGrid w:val="0"/>
              <w:spacing w:line="440" w:lineRule="exact"/>
              <w:ind w:firstLine="1050" w:firstLineChars="500"/>
              <w:rPr>
                <w:rFonts w:ascii="宋体" w:hAnsi="宋体"/>
                <w:highlight w:val="none"/>
              </w:rPr>
            </w:pPr>
            <w:r>
              <w:rPr>
                <w:rFonts w:hint="eastAsia" w:ascii="宋体" w:hAnsi="宋体"/>
                <w:highlight w:val="none"/>
              </w:rPr>
              <w:t>营业执照副本复印件</w:t>
            </w:r>
          </w:p>
        </w:tc>
      </w:tr>
    </w:tbl>
    <w:p>
      <w:pPr>
        <w:autoSpaceDE w:val="0"/>
        <w:autoSpaceDN w:val="0"/>
        <w:adjustRightInd w:val="0"/>
        <w:snapToGrid w:val="0"/>
        <w:spacing w:line="440" w:lineRule="exact"/>
        <w:ind w:firstLine="422" w:firstLineChars="200"/>
        <w:jc w:val="left"/>
        <w:rPr>
          <w:rFonts w:ascii="宋体" w:hAnsi="宋体"/>
          <w:b/>
          <w:szCs w:val="21"/>
          <w:highlight w:val="none"/>
        </w:rPr>
      </w:pPr>
    </w:p>
    <w:p>
      <w:pPr>
        <w:autoSpaceDE w:val="0"/>
        <w:autoSpaceDN w:val="0"/>
        <w:adjustRightInd w:val="0"/>
        <w:snapToGrid w:val="0"/>
        <w:spacing w:line="440" w:lineRule="exact"/>
        <w:jc w:val="left"/>
        <w:rPr>
          <w:rFonts w:ascii="宋体" w:hAnsi="宋体"/>
          <w:bCs/>
          <w:szCs w:val="21"/>
          <w:highlight w:val="none"/>
        </w:rPr>
      </w:pPr>
      <w:r>
        <w:rPr>
          <w:rFonts w:hint="eastAsia" w:ascii="宋体" w:hAnsi="宋体"/>
          <w:b/>
          <w:szCs w:val="21"/>
          <w:highlight w:val="none"/>
        </w:rPr>
        <w:t>备注：</w:t>
      </w:r>
      <w:r>
        <w:rPr>
          <w:rFonts w:hint="eastAsia" w:ascii="宋体" w:hAnsi="宋体"/>
          <w:bCs/>
          <w:szCs w:val="21"/>
          <w:highlight w:val="none"/>
        </w:rPr>
        <w:t xml:space="preserve">上述证件复印件可另附页，另附页时，证件复印件均须加盖单位公章。 </w:t>
      </w:r>
    </w:p>
    <w:p>
      <w:pPr>
        <w:pStyle w:val="241"/>
        <w:spacing w:line="440" w:lineRule="exact"/>
        <w:ind w:left="630" w:hanging="630" w:hangingChars="300"/>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 xml:space="preserve"> </w:t>
      </w:r>
      <w:r>
        <w:rPr>
          <w:rFonts w:ascii="宋体" w:hAnsi="宋体" w:eastAsia="宋体"/>
          <w:bCs/>
          <w:color w:val="auto"/>
          <w:kern w:val="2"/>
          <w:sz w:val="21"/>
          <w:szCs w:val="21"/>
          <w:highlight w:val="none"/>
        </w:rPr>
        <w:t xml:space="preserve">     </w:t>
      </w:r>
    </w:p>
    <w:p>
      <w:pPr>
        <w:snapToGrid w:val="0"/>
        <w:spacing w:line="440" w:lineRule="exact"/>
        <w:rPr>
          <w:rFonts w:ascii="宋体" w:hAnsi="宋体"/>
          <w:szCs w:val="21"/>
          <w:highlight w:val="none"/>
        </w:rPr>
      </w:pPr>
    </w:p>
    <w:p>
      <w:pPr>
        <w:spacing w:line="360" w:lineRule="exact"/>
        <w:rPr>
          <w:highlight w:val="none"/>
        </w:rPr>
      </w:pPr>
      <w:r>
        <w:rPr>
          <w:rFonts w:hint="eastAsia"/>
          <w:highlight w:val="none"/>
        </w:rPr>
        <w:t>法人单位名称：</w:t>
      </w:r>
      <w:r>
        <w:rPr>
          <w:rFonts w:hint="eastAsia"/>
          <w:highlight w:val="none"/>
          <w:u w:val="single"/>
        </w:rPr>
        <w:t xml:space="preserve">   </w:t>
      </w:r>
      <w:r>
        <w:rPr>
          <w:highlight w:val="none"/>
          <w:u w:val="single"/>
        </w:rPr>
        <w:t xml:space="preserve">       </w:t>
      </w:r>
      <w:r>
        <w:rPr>
          <w:rFonts w:hint="eastAsia"/>
          <w:highlight w:val="none"/>
          <w:u w:val="single"/>
        </w:rPr>
        <w:t>（盖单位章）</w:t>
      </w:r>
    </w:p>
    <w:p>
      <w:pPr>
        <w:spacing w:line="360" w:lineRule="exact"/>
        <w:rPr>
          <w:highlight w:val="none"/>
        </w:rPr>
      </w:pPr>
      <w:r>
        <w:rPr>
          <w:rFonts w:hint="eastAsia"/>
          <w:highlight w:val="none"/>
        </w:rPr>
        <w:t>日期：</w:t>
      </w:r>
      <w:r>
        <w:rPr>
          <w:rFonts w:hint="eastAsia"/>
          <w:highlight w:val="none"/>
          <w:u w:val="single"/>
        </w:rPr>
        <w:t xml:space="preserve">      年       月        日</w:t>
      </w:r>
    </w:p>
    <w:p>
      <w:pPr>
        <w:spacing w:line="360" w:lineRule="exact"/>
        <w:rPr>
          <w:highlight w:val="none"/>
        </w:rPr>
      </w:pPr>
    </w:p>
    <w:p>
      <w:pPr>
        <w:rPr>
          <w:highlight w:val="none"/>
        </w:rPr>
      </w:pPr>
      <w:r>
        <w:rPr>
          <w:highlight w:val="none"/>
        </w:rPr>
        <w:br w:type="page"/>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9"/>
        <w:rPr>
          <w:rFonts w:hint="eastAsia" w:ascii="宋体" w:hAnsi="宋体" w:cs="宋体"/>
          <w:b/>
          <w:sz w:val="32"/>
          <w:szCs w:val="32"/>
          <w:highlight w:val="none"/>
        </w:rPr>
      </w:pPr>
      <w:bookmarkStart w:id="112" w:name="_Toc15890"/>
      <w:r>
        <w:rPr>
          <w:rFonts w:hint="eastAsia" w:ascii="宋体" w:hAnsi="宋体" w:cs="宋体"/>
          <w:b/>
          <w:sz w:val="32"/>
          <w:szCs w:val="32"/>
          <w:highlight w:val="none"/>
          <w:lang w:val="en-US" w:eastAsia="zh-CN"/>
        </w:rPr>
        <w:t>二、</w:t>
      </w:r>
      <w:r>
        <w:rPr>
          <w:rFonts w:hint="eastAsia" w:ascii="宋体" w:hAnsi="宋体" w:cs="宋体"/>
          <w:b/>
          <w:sz w:val="32"/>
          <w:szCs w:val="32"/>
          <w:highlight w:val="none"/>
        </w:rPr>
        <w:t>企业负责人身份证明</w:t>
      </w:r>
      <w:bookmarkEnd w:id="112"/>
    </w:p>
    <w:p>
      <w:pPr>
        <w:snapToGrid w:val="0"/>
        <w:spacing w:line="560" w:lineRule="exact"/>
        <w:jc w:val="center"/>
        <w:rPr>
          <w:rFonts w:ascii="宋体" w:hAnsi="宋体" w:cs="宋体"/>
          <w:szCs w:val="21"/>
          <w:highlight w:val="none"/>
        </w:rPr>
      </w:pPr>
      <w:r>
        <w:rPr>
          <w:rFonts w:hint="eastAsia" w:ascii="宋体" w:hAnsi="宋体" w:cs="宋体"/>
          <w:szCs w:val="21"/>
          <w:highlight w:val="none"/>
        </w:rPr>
        <w:t>（如为湖南省分公司参与投标的提供）</w:t>
      </w:r>
    </w:p>
    <w:p>
      <w:pPr>
        <w:autoSpaceDE w:val="0"/>
        <w:autoSpaceDN w:val="0"/>
        <w:adjustRightInd w:val="0"/>
        <w:snapToGrid w:val="0"/>
        <w:spacing w:before="120" w:beforeLines="50" w:line="360" w:lineRule="auto"/>
        <w:rPr>
          <w:rFonts w:ascii="宋体" w:hAnsi="宋体" w:cs="宋体"/>
          <w:szCs w:val="21"/>
          <w:highlight w:val="none"/>
          <w:u w:val="single"/>
        </w:rPr>
      </w:pPr>
      <w:r>
        <w:rPr>
          <w:rFonts w:hint="eastAsia" w:ascii="宋体" w:hAnsi="宋体" w:cs="宋体"/>
          <w:szCs w:val="21"/>
          <w:highlight w:val="none"/>
          <w:lang w:val="en-US" w:eastAsia="zh-CN"/>
        </w:rPr>
        <w:t>谈判单位</w:t>
      </w:r>
      <w:r>
        <w:rPr>
          <w:rFonts w:hint="eastAsia" w:ascii="宋体" w:hAnsi="宋体" w:cs="宋体"/>
          <w:szCs w:val="21"/>
          <w:highlight w:val="none"/>
        </w:rPr>
        <w:t>名称：</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成立日期：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utoSpaceDE w:val="0"/>
        <w:autoSpaceDN w:val="0"/>
        <w:adjustRightInd w:val="0"/>
        <w:snapToGrid w:val="0"/>
        <w:spacing w:before="120" w:beforeLines="50" w:line="360" w:lineRule="auto"/>
        <w:rPr>
          <w:rFonts w:ascii="宋体" w:hAnsi="宋体" w:cs="宋体"/>
          <w:szCs w:val="21"/>
          <w:highlight w:val="none"/>
          <w:u w:val="single"/>
        </w:rPr>
      </w:pPr>
      <w:r>
        <w:rPr>
          <w:rFonts w:hint="eastAsia" w:ascii="宋体" w:hAnsi="宋体" w:cs="宋体"/>
          <w:szCs w:val="21"/>
          <w:highlight w:val="none"/>
        </w:rPr>
        <w:t>营业期限：</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谈判单位</w:t>
      </w:r>
      <w:r>
        <w:rPr>
          <w:rFonts w:hint="eastAsia" w:ascii="宋体" w:hAnsi="宋体" w:cs="宋体"/>
          <w:szCs w:val="21"/>
          <w:highlight w:val="none"/>
        </w:rPr>
        <w:t>名称）的企业负责人。</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特此证明。</w:t>
      </w:r>
    </w:p>
    <w:p>
      <w:pPr>
        <w:topLinePunct/>
        <w:spacing w:line="440" w:lineRule="exact"/>
        <w:ind w:firstLine="420" w:firstLineChars="200"/>
        <w:rPr>
          <w:rFonts w:ascii="宋体" w:hAnsi="宋体"/>
          <w:kern w:val="0"/>
          <w:highlight w:val="none"/>
        </w:rPr>
      </w:pPr>
      <w:r>
        <w:rPr>
          <w:rFonts w:ascii="宋体" w:hAnsi="宋体"/>
          <w:kern w:val="0"/>
          <w:highlight w:val="none"/>
        </w:rPr>
        <w:t>附：</w:t>
      </w:r>
      <w:r>
        <w:rPr>
          <w:rFonts w:hint="eastAsia" w:ascii="宋体" w:hAnsi="宋体"/>
          <w:kern w:val="0"/>
          <w:highlight w:val="none"/>
        </w:rPr>
        <w:t>企业负责人</w:t>
      </w:r>
      <w:r>
        <w:rPr>
          <w:rFonts w:ascii="宋体" w:hAnsi="宋体"/>
          <w:kern w:val="0"/>
          <w:highlight w:val="none"/>
        </w:rPr>
        <w:t>身份证</w:t>
      </w:r>
      <w:r>
        <w:rPr>
          <w:rFonts w:hint="eastAsia" w:ascii="宋体" w:hAnsi="宋体"/>
          <w:kern w:val="0"/>
          <w:highlight w:val="none"/>
        </w:rPr>
        <w:t>及湖南省分公司营业执照</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4177" w:type="dxa"/>
            <w:vAlign w:val="center"/>
          </w:tcPr>
          <w:p>
            <w:pPr>
              <w:snapToGrid w:val="0"/>
              <w:spacing w:line="440" w:lineRule="exact"/>
              <w:jc w:val="center"/>
              <w:rPr>
                <w:rFonts w:ascii="宋体" w:hAnsi="宋体"/>
                <w:highlight w:val="none"/>
              </w:rPr>
            </w:pPr>
            <w:r>
              <w:rPr>
                <w:rFonts w:hint="eastAsia" w:ascii="宋体" w:hAnsi="宋体"/>
                <w:highlight w:val="none"/>
              </w:rPr>
              <w:t>企业负责人</w:t>
            </w:r>
            <w:r>
              <w:rPr>
                <w:rFonts w:ascii="宋体" w:hAnsi="宋体"/>
                <w:highlight w:val="none"/>
              </w:rPr>
              <w:t>二代身份证复印件（正面）</w:t>
            </w:r>
          </w:p>
        </w:tc>
        <w:tc>
          <w:tcPr>
            <w:tcW w:w="4162" w:type="dxa"/>
            <w:vAlign w:val="center"/>
          </w:tcPr>
          <w:p>
            <w:pPr>
              <w:snapToGrid w:val="0"/>
              <w:spacing w:line="440" w:lineRule="exact"/>
              <w:jc w:val="center"/>
              <w:rPr>
                <w:rFonts w:ascii="宋体" w:hAnsi="宋体"/>
                <w:highlight w:val="none"/>
              </w:rPr>
            </w:pPr>
            <w:r>
              <w:rPr>
                <w:rFonts w:hint="eastAsia" w:ascii="宋体" w:hAnsi="宋体"/>
                <w:highlight w:val="none"/>
              </w:rPr>
              <w:t>企业负责人</w:t>
            </w:r>
            <w:r>
              <w:rPr>
                <w:rFonts w:ascii="宋体" w:hAnsi="宋体"/>
                <w:highlight w:val="none"/>
              </w:rPr>
              <w:t>二代身份证复印件（反面）</w:t>
            </w:r>
          </w:p>
        </w:tc>
      </w:tr>
    </w:tbl>
    <w:p>
      <w:pPr>
        <w:pStyle w:val="241"/>
        <w:spacing w:line="440" w:lineRule="exact"/>
        <w:rPr>
          <w:rFonts w:ascii="宋体" w:hAnsi="宋体" w:cs="宋体"/>
          <w:color w:val="auto"/>
          <w:szCs w:val="21"/>
          <w:highlight w:val="none"/>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4240" w:type="dxa"/>
            <w:vAlign w:val="center"/>
          </w:tcPr>
          <w:p>
            <w:pPr>
              <w:snapToGrid w:val="0"/>
              <w:spacing w:line="440" w:lineRule="exact"/>
              <w:ind w:firstLine="1050" w:firstLineChars="500"/>
              <w:rPr>
                <w:rFonts w:ascii="宋体" w:hAnsi="宋体"/>
                <w:highlight w:val="none"/>
              </w:rPr>
            </w:pPr>
            <w:r>
              <w:rPr>
                <w:rFonts w:hint="eastAsia" w:ascii="宋体" w:hAnsi="宋体"/>
                <w:highlight w:val="none"/>
              </w:rPr>
              <w:t>营业执照副本复印件</w:t>
            </w:r>
          </w:p>
        </w:tc>
      </w:tr>
    </w:tbl>
    <w:p>
      <w:pPr>
        <w:autoSpaceDE w:val="0"/>
        <w:autoSpaceDN w:val="0"/>
        <w:adjustRightInd w:val="0"/>
        <w:snapToGrid w:val="0"/>
        <w:spacing w:line="440" w:lineRule="exact"/>
        <w:jc w:val="left"/>
        <w:rPr>
          <w:rFonts w:ascii="宋体" w:hAnsi="宋体"/>
          <w:bCs/>
          <w:szCs w:val="21"/>
          <w:highlight w:val="none"/>
        </w:rPr>
      </w:pPr>
      <w:r>
        <w:rPr>
          <w:rFonts w:hint="eastAsia" w:ascii="宋体" w:hAnsi="宋体"/>
          <w:b/>
          <w:szCs w:val="21"/>
          <w:highlight w:val="none"/>
        </w:rPr>
        <w:t>备注：</w:t>
      </w:r>
      <w:r>
        <w:rPr>
          <w:rFonts w:hint="eastAsia" w:ascii="宋体" w:hAnsi="宋体"/>
          <w:bCs/>
          <w:szCs w:val="21"/>
          <w:highlight w:val="none"/>
        </w:rPr>
        <w:t xml:space="preserve">上述证件复印件可另附页，另附页时，证件复印件均须加盖单位公章。 </w:t>
      </w:r>
    </w:p>
    <w:p>
      <w:pPr>
        <w:pStyle w:val="241"/>
        <w:spacing w:line="440" w:lineRule="exact"/>
        <w:ind w:left="630" w:hanging="630" w:hangingChars="300"/>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 xml:space="preserve"> </w:t>
      </w:r>
      <w:r>
        <w:rPr>
          <w:rFonts w:ascii="宋体" w:hAnsi="宋体" w:eastAsia="宋体"/>
          <w:bCs/>
          <w:color w:val="auto"/>
          <w:kern w:val="2"/>
          <w:sz w:val="21"/>
          <w:szCs w:val="21"/>
          <w:highlight w:val="none"/>
        </w:rPr>
        <w:t xml:space="preserve">     </w:t>
      </w:r>
    </w:p>
    <w:p>
      <w:pPr>
        <w:spacing w:line="360" w:lineRule="exact"/>
        <w:rPr>
          <w:highlight w:val="none"/>
        </w:rPr>
      </w:pPr>
      <w:r>
        <w:rPr>
          <w:rFonts w:hint="eastAsia"/>
          <w:highlight w:val="none"/>
          <w:lang w:val="en-US" w:eastAsia="zh-CN"/>
        </w:rPr>
        <w:t>谈判单位</w:t>
      </w:r>
      <w:r>
        <w:rPr>
          <w:rFonts w:hint="eastAsia"/>
          <w:highlight w:val="none"/>
        </w:rPr>
        <w:t>：</w:t>
      </w:r>
      <w:r>
        <w:rPr>
          <w:rFonts w:hint="eastAsia"/>
          <w:highlight w:val="none"/>
          <w:u w:val="single"/>
        </w:rPr>
        <w:t xml:space="preserve">   </w:t>
      </w:r>
      <w:r>
        <w:rPr>
          <w:highlight w:val="none"/>
          <w:u w:val="single"/>
        </w:rPr>
        <w:t xml:space="preserve">       </w:t>
      </w:r>
      <w:r>
        <w:rPr>
          <w:rFonts w:hint="eastAsia"/>
          <w:highlight w:val="none"/>
          <w:u w:val="single"/>
        </w:rPr>
        <w:t>（盖单位章）</w:t>
      </w:r>
    </w:p>
    <w:p>
      <w:pPr>
        <w:adjustRightInd w:val="0"/>
        <w:snapToGrid w:val="0"/>
        <w:spacing w:line="360" w:lineRule="exact"/>
        <w:ind w:right="24"/>
        <w:jc w:val="both"/>
        <w:rPr>
          <w:rFonts w:hint="eastAsia"/>
          <w:highlight w:val="none"/>
          <w:u w:val="single"/>
        </w:rPr>
      </w:pPr>
      <w:r>
        <w:rPr>
          <w:rFonts w:hint="eastAsia"/>
          <w:highlight w:val="none"/>
        </w:rPr>
        <w:t>日期：</w:t>
      </w:r>
      <w:r>
        <w:rPr>
          <w:rFonts w:hint="eastAsia"/>
          <w:highlight w:val="none"/>
          <w:u w:val="single"/>
        </w:rPr>
        <w:t xml:space="preserve">      年       月        日</w:t>
      </w:r>
    </w:p>
    <w:p>
      <w:pPr>
        <w:keepNext w:val="0"/>
        <w:keepLines w:val="0"/>
        <w:pageBreakBefore w:val="0"/>
        <w:widowControl w:val="0"/>
        <w:kinsoku/>
        <w:wordWrap/>
        <w:overflowPunct/>
        <w:topLinePunct w:val="0"/>
        <w:autoSpaceDE/>
        <w:autoSpaceDN/>
        <w:bidi w:val="0"/>
        <w:adjustRightInd w:val="0"/>
        <w:snapToGrid w:val="0"/>
        <w:spacing w:line="360" w:lineRule="exact"/>
        <w:ind w:right="23"/>
        <w:jc w:val="center"/>
        <w:textAlignment w:val="auto"/>
        <w:outlineLvl w:val="1"/>
        <w:rPr>
          <w:rFonts w:hint="eastAsia" w:ascii="宋体" w:hAnsi="宋体" w:cs="宋体"/>
          <w:b/>
          <w:sz w:val="32"/>
          <w:szCs w:val="32"/>
          <w:highlight w:val="none"/>
        </w:rPr>
      </w:pPr>
      <w:r>
        <w:rPr>
          <w:rFonts w:ascii="黑体" w:hAnsi="华文中宋" w:eastAsia="黑体"/>
          <w:bCs/>
          <w:sz w:val="24"/>
          <w:highlight w:val="none"/>
        </w:rPr>
        <w:br w:type="page"/>
      </w:r>
      <w:bookmarkStart w:id="113" w:name="_Hlk75348122"/>
      <w:bookmarkStart w:id="114" w:name="_Toc23972"/>
      <w:r>
        <w:rPr>
          <w:rFonts w:hint="eastAsia" w:ascii="宋体" w:hAnsi="宋体" w:cs="宋体"/>
          <w:b/>
          <w:sz w:val="32"/>
          <w:szCs w:val="32"/>
          <w:highlight w:val="none"/>
          <w:lang w:val="en-US" w:eastAsia="zh-CN"/>
        </w:rPr>
        <w:t>三</w:t>
      </w:r>
      <w:r>
        <w:rPr>
          <w:rFonts w:hint="eastAsia" w:ascii="宋体" w:hAnsi="宋体" w:cs="宋体"/>
          <w:b/>
          <w:sz w:val="32"/>
          <w:szCs w:val="32"/>
          <w:highlight w:val="none"/>
        </w:rPr>
        <w:t>、授权委托书</w:t>
      </w:r>
      <w:bookmarkEnd w:id="113"/>
      <w:bookmarkEnd w:id="114"/>
    </w:p>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szCs w:val="21"/>
          <w:highlight w:val="none"/>
        </w:rPr>
      </w:pPr>
      <w:r>
        <w:rPr>
          <w:rFonts w:hint="eastAsia" w:ascii="宋体" w:hAnsi="宋体" w:cs="宋体"/>
          <w:szCs w:val="21"/>
          <w:highlight w:val="none"/>
        </w:rPr>
        <w:t>（总公司参与投标的须提供）</w:t>
      </w:r>
    </w:p>
    <w:p>
      <w:pPr>
        <w:keepNext w:val="0"/>
        <w:keepLines w:val="0"/>
        <w:pageBreakBefore w:val="0"/>
        <w:widowControl w:val="0"/>
        <w:kinsoku/>
        <w:wordWrap/>
        <w:overflowPunct/>
        <w:autoSpaceDE/>
        <w:autoSpaceDN/>
        <w:bidi w:val="0"/>
        <w:adjustRightInd/>
        <w:snapToGrid/>
        <w:spacing w:line="560" w:lineRule="exact"/>
        <w:ind w:left="0" w:leftChars="0" w:right="0" w:firstLine="420" w:firstLineChars="200"/>
        <w:textAlignment w:val="auto"/>
        <w:rPr>
          <w:rFonts w:ascii="宋体" w:hAnsi="宋体" w:cs="宋体"/>
          <w:szCs w:val="21"/>
          <w:highlight w:val="none"/>
        </w:rPr>
      </w:pPr>
      <w:r>
        <w:rPr>
          <w:rFonts w:hint="eastAsia" w:ascii="宋体" w:hAnsi="宋体" w:cs="宋体"/>
          <w:szCs w:val="21"/>
          <w:highlight w:val="none"/>
        </w:rPr>
        <w:t>本授权委托书声明：我</w:t>
      </w:r>
      <w:r>
        <w:rPr>
          <w:rFonts w:hint="eastAsia" w:ascii="宋体" w:hAnsi="宋体" w:cs="宋体"/>
          <w:szCs w:val="21"/>
          <w:highlight w:val="none"/>
          <w:u w:val="single"/>
        </w:rPr>
        <w:t xml:space="preserve">         （姓名） </w:t>
      </w:r>
      <w:r>
        <w:rPr>
          <w:rFonts w:hint="eastAsia" w:ascii="宋体" w:hAnsi="宋体" w:cs="宋体"/>
          <w:szCs w:val="21"/>
          <w:highlight w:val="none"/>
        </w:rPr>
        <w:t xml:space="preserve">系 </w:t>
      </w:r>
      <w:r>
        <w:rPr>
          <w:rFonts w:hint="eastAsia" w:ascii="宋体" w:hAnsi="宋体" w:cs="宋体"/>
          <w:szCs w:val="21"/>
          <w:highlight w:val="none"/>
          <w:u w:val="single"/>
        </w:rPr>
        <w:t xml:space="preserve">         （法人单位名称）</w:t>
      </w:r>
      <w:r>
        <w:rPr>
          <w:rFonts w:hint="eastAsia" w:ascii="宋体" w:hAnsi="宋体" w:cs="宋体"/>
          <w:szCs w:val="21"/>
          <w:highlight w:val="none"/>
        </w:rPr>
        <w:t xml:space="preserve">的法定代表人，现授权委托 </w:t>
      </w:r>
      <w:r>
        <w:rPr>
          <w:rFonts w:hint="eastAsia" w:ascii="宋体" w:hAnsi="宋体" w:cs="宋体"/>
          <w:szCs w:val="21"/>
          <w:highlight w:val="none"/>
          <w:u w:val="single"/>
        </w:rPr>
        <w:t xml:space="preserve">            （单位名称）</w:t>
      </w:r>
      <w:r>
        <w:rPr>
          <w:rFonts w:hint="eastAsia" w:ascii="宋体" w:hAnsi="宋体" w:cs="宋体"/>
          <w:szCs w:val="21"/>
          <w:highlight w:val="none"/>
        </w:rPr>
        <w:t>的</w:t>
      </w:r>
      <w:r>
        <w:rPr>
          <w:rFonts w:hint="eastAsia" w:ascii="宋体" w:hAnsi="宋体" w:cs="宋体"/>
          <w:szCs w:val="21"/>
          <w:highlight w:val="none"/>
          <w:u w:val="single"/>
        </w:rPr>
        <w:t xml:space="preserve">          (被授权人姓名)</w:t>
      </w:r>
      <w:r>
        <w:rPr>
          <w:rFonts w:hint="eastAsia" w:ascii="宋体" w:hAnsi="宋体" w:cs="宋体"/>
          <w:szCs w:val="21"/>
          <w:highlight w:val="none"/>
        </w:rPr>
        <w:t>为我公司代理人，以我公司的名义参加</w:t>
      </w:r>
      <w:r>
        <w:rPr>
          <w:rFonts w:hint="eastAsia" w:ascii="宋体" w:hAnsi="宋体" w:cs="宋体"/>
          <w:szCs w:val="21"/>
          <w:highlight w:val="none"/>
          <w:u w:val="single"/>
        </w:rPr>
        <w:t>长沙市轨道交通运营有限公司西环线2023-2024年保险服务项目</w:t>
      </w:r>
      <w:r>
        <w:rPr>
          <w:rFonts w:hint="eastAsia" w:ascii="宋体" w:hAnsi="宋体" w:cs="宋体"/>
          <w:szCs w:val="21"/>
          <w:highlight w:val="none"/>
        </w:rPr>
        <w:t xml:space="preserve">的投标活动；并授权委托 </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负责处理合同谈判、合同签订、投保、保险理赔等保险期间服务等相关事宜。</w:t>
      </w:r>
      <w:r>
        <w:rPr>
          <w:rFonts w:hint="eastAsia" w:ascii="宋体" w:hAnsi="宋体" w:cs="宋体"/>
          <w:szCs w:val="21"/>
          <w:highlight w:val="none"/>
          <w:u w:val="single"/>
        </w:rPr>
        <w:t xml:space="preserve">              (被授权人姓名)      </w:t>
      </w:r>
      <w:r>
        <w:rPr>
          <w:rFonts w:hint="eastAsia" w:ascii="宋体" w:hAnsi="宋体" w:cs="宋体"/>
          <w:szCs w:val="21"/>
          <w:highlight w:val="none"/>
        </w:rPr>
        <w:t>及</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在投标、开标、评标、合同谈判、合同签订、投保、保险理赔等过程中所签署的一切文件和处理与之有关的一切事务，我均予以承认。</w:t>
      </w:r>
    </w:p>
    <w:p>
      <w:pPr>
        <w:keepNext w:val="0"/>
        <w:keepLines w:val="0"/>
        <w:pageBreakBefore w:val="0"/>
        <w:widowControl w:val="0"/>
        <w:kinsoku/>
        <w:wordWrap/>
        <w:overflowPunct/>
        <w:autoSpaceDE/>
        <w:autoSpaceDN/>
        <w:bidi w:val="0"/>
        <w:adjustRightInd/>
        <w:snapToGrid/>
        <w:spacing w:line="560" w:lineRule="exact"/>
        <w:ind w:left="0" w:leftChars="0" w:right="0" w:firstLine="420" w:firstLineChars="200"/>
        <w:textAlignment w:val="auto"/>
        <w:rPr>
          <w:rFonts w:ascii="宋体" w:hAnsi="宋体" w:cs="宋体"/>
          <w:szCs w:val="21"/>
          <w:highlight w:val="none"/>
        </w:rPr>
      </w:pPr>
      <w:r>
        <w:rPr>
          <w:rFonts w:hint="eastAsia" w:ascii="宋体" w:hAnsi="宋体" w:cs="宋体"/>
          <w:szCs w:val="21"/>
          <w:highlight w:val="none"/>
        </w:rPr>
        <w:t>委托期限：自本委托书签发之日起，至委托书内委托事项全部完成止 。</w:t>
      </w:r>
    </w:p>
    <w:p>
      <w:pPr>
        <w:keepNext w:val="0"/>
        <w:keepLines w:val="0"/>
        <w:pageBreakBefore w:val="0"/>
        <w:widowControl w:val="0"/>
        <w:kinsoku/>
        <w:wordWrap/>
        <w:overflowPunct/>
        <w:autoSpaceDE/>
        <w:autoSpaceDN/>
        <w:bidi w:val="0"/>
        <w:adjustRightInd/>
        <w:snapToGrid/>
        <w:spacing w:line="560" w:lineRule="exact"/>
        <w:ind w:left="0" w:leftChars="0" w:right="0" w:firstLine="420" w:firstLineChars="200"/>
        <w:textAlignment w:val="auto"/>
        <w:rPr>
          <w:rFonts w:ascii="宋体" w:hAnsi="宋体" w:cs="宋体"/>
          <w:szCs w:val="21"/>
          <w:highlight w:val="none"/>
        </w:rPr>
      </w:pPr>
      <w:r>
        <w:rPr>
          <w:rFonts w:hint="eastAsia" w:ascii="宋体" w:hAnsi="宋体" w:cs="宋体"/>
          <w:szCs w:val="21"/>
          <w:highlight w:val="none"/>
        </w:rPr>
        <w:t>代理人无转委托权。</w:t>
      </w:r>
    </w:p>
    <w:p>
      <w:pPr>
        <w:keepNext w:val="0"/>
        <w:keepLines w:val="0"/>
        <w:pageBreakBefore w:val="0"/>
        <w:widowControl w:val="0"/>
        <w:kinsoku/>
        <w:wordWrap/>
        <w:overflowPunct/>
        <w:autoSpaceDE/>
        <w:autoSpaceDN/>
        <w:bidi w:val="0"/>
        <w:adjustRightInd/>
        <w:snapToGrid/>
        <w:spacing w:line="560" w:lineRule="exact"/>
        <w:ind w:left="0" w:leftChars="0" w:right="0" w:firstLine="420" w:firstLineChars="200"/>
        <w:textAlignment w:val="auto"/>
        <w:rPr>
          <w:rFonts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日签字生效，特此声明。</w:t>
      </w:r>
    </w:p>
    <w:p>
      <w:pPr>
        <w:keepNext w:val="0"/>
        <w:keepLines w:val="0"/>
        <w:pageBreakBefore w:val="0"/>
        <w:widowControl w:val="0"/>
        <w:kinsoku/>
        <w:wordWrap/>
        <w:overflowPunct/>
        <w:topLinePunct/>
        <w:autoSpaceDE/>
        <w:autoSpaceDN/>
        <w:bidi w:val="0"/>
        <w:adjustRightInd/>
        <w:snapToGrid/>
        <w:spacing w:line="560" w:lineRule="exact"/>
        <w:ind w:left="0" w:leftChars="0" w:right="0" w:firstLine="420" w:firstLineChars="200"/>
        <w:textAlignment w:val="auto"/>
        <w:rPr>
          <w:rFonts w:ascii="宋体" w:hAnsi="宋体" w:cs="宋体"/>
          <w:kern w:val="0"/>
          <w:highlight w:val="none"/>
        </w:rPr>
      </w:pPr>
      <w:r>
        <w:rPr>
          <w:rFonts w:hint="eastAsia" w:ascii="宋体" w:hAnsi="宋体" w:cs="宋体"/>
          <w:kern w:val="0"/>
          <w:highlight w:val="none"/>
        </w:rPr>
        <w:t>附：法定代表人及委托代理人身份证复印件</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5"/>
        <w:gridCol w:w="4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4255"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法定代表人二代身份证复印件（正面）</w:t>
            </w:r>
          </w:p>
        </w:tc>
        <w:tc>
          <w:tcPr>
            <w:tcW w:w="4044"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法定代表人二代身份证复印件（反面）</w:t>
            </w:r>
          </w:p>
        </w:tc>
      </w:tr>
    </w:tbl>
    <w:p>
      <w:pPr>
        <w:rPr>
          <w:rFonts w:ascii="宋体" w:hAnsi="宋体" w:cs="宋体"/>
          <w:vanish/>
          <w:kern w:val="0"/>
          <w:sz w:val="20"/>
          <w:highlight w:val="none"/>
        </w:rPr>
      </w:pPr>
    </w:p>
    <w:tbl>
      <w:tblPr>
        <w:tblStyle w:val="47"/>
        <w:tblpPr w:leftFromText="180" w:rightFromText="180" w:vertAnchor="text" w:horzAnchor="page" w:tblpX="1929" w:tblpY="1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6"/>
        <w:gridCol w:w="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4256"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委托代理人二代身份证复印件（正面）</w:t>
            </w:r>
          </w:p>
        </w:tc>
        <w:tc>
          <w:tcPr>
            <w:tcW w:w="4043"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委托代理人二代身份证复印件（反面）</w:t>
            </w:r>
          </w:p>
        </w:tc>
      </w:tr>
    </w:tbl>
    <w:p>
      <w:pPr>
        <w:autoSpaceDE w:val="0"/>
        <w:autoSpaceDN w:val="0"/>
        <w:adjustRightInd w:val="0"/>
        <w:snapToGrid w:val="0"/>
        <w:spacing w:line="440" w:lineRule="exact"/>
        <w:jc w:val="left"/>
        <w:rPr>
          <w:rFonts w:ascii="宋体" w:hAnsi="宋体" w:cs="宋体"/>
          <w:bCs/>
          <w:szCs w:val="21"/>
          <w:highlight w:val="none"/>
        </w:rPr>
      </w:pPr>
      <w:r>
        <w:rPr>
          <w:rFonts w:hint="eastAsia" w:ascii="宋体" w:hAnsi="宋体" w:cs="宋体"/>
          <w:b/>
          <w:szCs w:val="21"/>
          <w:highlight w:val="none"/>
        </w:rPr>
        <w:t>备注：</w:t>
      </w:r>
      <w:r>
        <w:rPr>
          <w:rFonts w:hint="eastAsia" w:ascii="宋体" w:hAnsi="宋体" w:cs="宋体"/>
          <w:bCs/>
          <w:szCs w:val="21"/>
          <w:highlight w:val="none"/>
        </w:rPr>
        <w:t xml:space="preserve">上述证件复印件可另附页，另附页时，证件复印件均须加盖单位公章。 </w:t>
      </w:r>
    </w:p>
    <w:p>
      <w:pPr>
        <w:spacing w:line="360" w:lineRule="exact"/>
        <w:rPr>
          <w:rFonts w:ascii="宋体" w:hAnsi="宋体" w:cs="宋体"/>
          <w:highlight w:val="none"/>
        </w:rPr>
      </w:pPr>
      <w:r>
        <w:rPr>
          <w:rFonts w:hint="eastAsia" w:ascii="宋体" w:hAnsi="宋体" w:cs="宋体"/>
          <w:highlight w:val="none"/>
        </w:rPr>
        <w:t>法人单位名称：</w:t>
      </w:r>
      <w:r>
        <w:rPr>
          <w:rFonts w:hint="eastAsia" w:ascii="宋体" w:hAnsi="宋体" w:cs="宋体"/>
          <w:highlight w:val="none"/>
          <w:u w:val="single"/>
        </w:rPr>
        <w:t xml:space="preserve">           （盖单位章）</w:t>
      </w:r>
    </w:p>
    <w:p>
      <w:pPr>
        <w:spacing w:line="360" w:lineRule="exact"/>
        <w:rPr>
          <w:rFonts w:ascii="宋体" w:hAnsi="宋体" w:cs="宋体"/>
          <w:highlight w:val="none"/>
        </w:rPr>
      </w:pPr>
      <w:r>
        <w:rPr>
          <w:rFonts w:hint="eastAsia" w:ascii="宋体" w:hAnsi="宋体" w:cs="宋体"/>
          <w:highlight w:val="none"/>
        </w:rPr>
        <w:t>法定代表人：</w:t>
      </w:r>
      <w:r>
        <w:rPr>
          <w:rFonts w:hint="eastAsia" w:ascii="宋体" w:hAnsi="宋体" w:cs="宋体"/>
          <w:highlight w:val="none"/>
          <w:u w:val="single"/>
        </w:rPr>
        <w:t xml:space="preserve">            (签字或盖章)</w:t>
      </w:r>
    </w:p>
    <w:p>
      <w:pPr>
        <w:spacing w:line="360" w:lineRule="exact"/>
        <w:rPr>
          <w:rFonts w:ascii="宋体" w:hAnsi="宋体" w:cs="宋体"/>
          <w:highlight w:val="none"/>
        </w:rPr>
      </w:pPr>
      <w:r>
        <w:rPr>
          <w:rFonts w:hint="eastAsia" w:ascii="宋体" w:hAnsi="宋体" w:cs="宋体"/>
          <w:highlight w:val="none"/>
        </w:rPr>
        <w:t>委托代理人：</w:t>
      </w:r>
      <w:r>
        <w:rPr>
          <w:rFonts w:hint="eastAsia" w:ascii="宋体" w:hAnsi="宋体" w:cs="宋体"/>
          <w:highlight w:val="none"/>
          <w:u w:val="single"/>
        </w:rPr>
        <w:t xml:space="preserve">            (签字或盖章)</w:t>
      </w:r>
    </w:p>
    <w:p>
      <w:pPr>
        <w:spacing w:line="360" w:lineRule="exact"/>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u w:val="none"/>
        </w:rPr>
        <w:t>年</w:t>
      </w:r>
      <w:r>
        <w:rPr>
          <w:rFonts w:hint="eastAsia" w:ascii="宋体" w:hAnsi="宋体" w:cs="宋体"/>
          <w:highlight w:val="none"/>
          <w:u w:val="single"/>
        </w:rPr>
        <w:t xml:space="preserve">       </w:t>
      </w:r>
      <w:r>
        <w:rPr>
          <w:rFonts w:hint="eastAsia" w:ascii="宋体" w:hAnsi="宋体" w:cs="宋体"/>
          <w:highlight w:val="none"/>
          <w:u w:val="none"/>
        </w:rPr>
        <w:t>月</w:t>
      </w:r>
      <w:r>
        <w:rPr>
          <w:rFonts w:hint="eastAsia" w:ascii="宋体" w:hAnsi="宋体" w:cs="宋体"/>
          <w:highlight w:val="none"/>
          <w:u w:val="single"/>
        </w:rPr>
        <w:t xml:space="preserve">        </w:t>
      </w:r>
      <w:r>
        <w:rPr>
          <w:rFonts w:hint="eastAsia" w:ascii="宋体" w:hAnsi="宋体" w:cs="宋体"/>
          <w:highlight w:val="none"/>
          <w:u w:val="none"/>
        </w:rPr>
        <w:t>日</w:t>
      </w:r>
    </w:p>
    <w:p>
      <w:pPr>
        <w:rPr>
          <w:rFonts w:ascii="宋体" w:hAnsi="宋体" w:cs="宋体"/>
          <w:b/>
          <w:kern w:val="44"/>
          <w:sz w:val="32"/>
          <w:szCs w:val="32"/>
          <w:highlight w:val="none"/>
        </w:rPr>
      </w:pPr>
      <w:r>
        <w:rPr>
          <w:rFonts w:hint="eastAsia" w:ascii="宋体" w:hAnsi="宋体" w:cs="宋体"/>
          <w:b/>
          <w:kern w:val="44"/>
          <w:sz w:val="32"/>
          <w:szCs w:val="32"/>
          <w:highlight w:val="none"/>
        </w:rPr>
        <w:br w:type="page"/>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9"/>
        <w:rPr>
          <w:rFonts w:hint="eastAsia" w:ascii="宋体" w:hAnsi="宋体" w:cs="宋体"/>
          <w:b/>
          <w:sz w:val="32"/>
          <w:szCs w:val="32"/>
          <w:highlight w:val="none"/>
        </w:rPr>
      </w:pPr>
      <w:bookmarkStart w:id="115" w:name="_Toc14788"/>
      <w:r>
        <w:rPr>
          <w:rFonts w:hint="eastAsia" w:ascii="宋体" w:hAnsi="宋体" w:cs="宋体"/>
          <w:b/>
          <w:sz w:val="32"/>
          <w:szCs w:val="32"/>
          <w:highlight w:val="none"/>
          <w:lang w:val="en-US" w:eastAsia="zh-CN"/>
        </w:rPr>
        <w:t>三</w:t>
      </w:r>
      <w:r>
        <w:rPr>
          <w:rFonts w:hint="eastAsia" w:ascii="宋体" w:hAnsi="宋体" w:cs="宋体"/>
          <w:b/>
          <w:sz w:val="32"/>
          <w:szCs w:val="32"/>
          <w:highlight w:val="none"/>
        </w:rPr>
        <w:t>、授权委托书</w:t>
      </w:r>
      <w:bookmarkEnd w:id="115"/>
    </w:p>
    <w:p>
      <w:pPr>
        <w:spacing w:line="360" w:lineRule="auto"/>
        <w:ind w:firstLine="480"/>
        <w:jc w:val="center"/>
        <w:rPr>
          <w:rFonts w:ascii="宋体" w:hAnsi="宋体" w:cs="宋体"/>
          <w:szCs w:val="21"/>
          <w:highlight w:val="none"/>
        </w:rPr>
      </w:pPr>
      <w:bookmarkStart w:id="116" w:name="_Toc2778598"/>
      <w:r>
        <w:rPr>
          <w:rFonts w:hint="eastAsia" w:ascii="宋体" w:hAnsi="宋体" w:cs="宋体"/>
          <w:szCs w:val="21"/>
          <w:highlight w:val="none"/>
        </w:rPr>
        <w:t>（湖南省分公司参与投标的须提供）</w:t>
      </w:r>
      <w:bookmarkEnd w:id="116"/>
    </w:p>
    <w:p>
      <w:pPr>
        <w:keepNext w:val="0"/>
        <w:keepLines w:val="0"/>
        <w:pageBreakBefore w:val="0"/>
        <w:widowControl w:val="0"/>
        <w:kinsoku/>
        <w:wordWrap/>
        <w:overflowPunct/>
        <w:autoSpaceDE/>
        <w:autoSpaceDN/>
        <w:bidi w:val="0"/>
        <w:adjustRightInd/>
        <w:snapToGrid/>
        <w:spacing w:line="520" w:lineRule="exact"/>
        <w:ind w:right="0" w:firstLine="420" w:firstLineChars="200"/>
        <w:textAlignment w:val="auto"/>
        <w:rPr>
          <w:rFonts w:ascii="宋体" w:hAnsi="宋体" w:cs="宋体"/>
          <w:szCs w:val="21"/>
          <w:highlight w:val="none"/>
        </w:rPr>
      </w:pPr>
      <w:r>
        <w:rPr>
          <w:rFonts w:hint="eastAsia" w:ascii="宋体" w:hAnsi="宋体" w:cs="宋体"/>
          <w:szCs w:val="21"/>
          <w:highlight w:val="none"/>
        </w:rPr>
        <w:t>本授权委托书声明：我</w:t>
      </w:r>
      <w:r>
        <w:rPr>
          <w:rFonts w:hint="eastAsia" w:ascii="宋体" w:hAnsi="宋体" w:cs="宋体"/>
          <w:szCs w:val="21"/>
          <w:highlight w:val="none"/>
          <w:u w:val="single"/>
        </w:rPr>
        <w:t xml:space="preserve">          （姓名）</w:t>
      </w:r>
      <w:r>
        <w:rPr>
          <w:rFonts w:hint="eastAsia" w:ascii="宋体" w:hAnsi="宋体" w:cs="宋体"/>
          <w:szCs w:val="21"/>
          <w:highlight w:val="none"/>
        </w:rPr>
        <w:t xml:space="preserve">系 </w:t>
      </w:r>
      <w:r>
        <w:rPr>
          <w:rFonts w:hint="eastAsia" w:ascii="宋体" w:hAnsi="宋体" w:cs="宋体"/>
          <w:szCs w:val="21"/>
          <w:highlight w:val="none"/>
          <w:u w:val="single"/>
        </w:rPr>
        <w:t xml:space="preserve">            （法人单位名称）</w:t>
      </w:r>
      <w:r>
        <w:rPr>
          <w:rFonts w:hint="eastAsia" w:ascii="宋体" w:hAnsi="宋体" w:cs="宋体"/>
          <w:szCs w:val="21"/>
          <w:highlight w:val="none"/>
        </w:rPr>
        <w:t>的法定代表人，现授权委托</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的</w:t>
      </w:r>
      <w:r>
        <w:rPr>
          <w:rFonts w:hint="eastAsia" w:ascii="宋体" w:hAnsi="宋体" w:cs="宋体"/>
          <w:szCs w:val="21"/>
          <w:highlight w:val="none"/>
          <w:u w:val="single"/>
        </w:rPr>
        <w:t xml:space="preserve">              (被授权人姓名)</w:t>
      </w:r>
      <w:r>
        <w:rPr>
          <w:rFonts w:hint="eastAsia" w:ascii="宋体" w:hAnsi="宋体" w:cs="宋体"/>
          <w:szCs w:val="21"/>
          <w:highlight w:val="none"/>
        </w:rPr>
        <w:t>为我公司代理人，以我公司的名义参加</w:t>
      </w:r>
      <w:r>
        <w:rPr>
          <w:rFonts w:hint="eastAsia" w:ascii="宋体" w:hAnsi="宋体" w:cs="宋体"/>
          <w:szCs w:val="21"/>
          <w:highlight w:val="none"/>
          <w:u w:val="single"/>
        </w:rPr>
        <w:t>长沙市轨道交通运营有限公司西环线2023-2024年保险服务项目</w:t>
      </w:r>
      <w:r>
        <w:rPr>
          <w:rFonts w:hint="eastAsia" w:ascii="宋体" w:hAnsi="宋体" w:cs="宋体"/>
          <w:szCs w:val="21"/>
          <w:highlight w:val="none"/>
        </w:rPr>
        <w:t xml:space="preserve">的投标活动；并授权委托  </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负责处理合同谈判、合同签订、投保、保险理赔等保险期间服务等相关事宜。</w:t>
      </w:r>
      <w:r>
        <w:rPr>
          <w:rFonts w:hint="eastAsia" w:ascii="宋体" w:hAnsi="宋体" w:cs="宋体"/>
          <w:szCs w:val="21"/>
          <w:highlight w:val="none"/>
          <w:u w:val="single"/>
        </w:rPr>
        <w:t xml:space="preserve">             (被授权人姓名)</w:t>
      </w:r>
      <w:r>
        <w:rPr>
          <w:rFonts w:hint="eastAsia" w:ascii="宋体" w:hAnsi="宋体" w:cs="宋体"/>
          <w:szCs w:val="21"/>
          <w:highlight w:val="none"/>
        </w:rPr>
        <w:t>及</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在投标、开标、评标、合同谈判、合同签订、投保、保险理赔等过程中所签署的一切文件和处理与之有关的一切事务，我均予以承认。</w:t>
      </w:r>
    </w:p>
    <w:p>
      <w:pPr>
        <w:keepNext w:val="0"/>
        <w:keepLines w:val="0"/>
        <w:pageBreakBefore w:val="0"/>
        <w:widowControl w:val="0"/>
        <w:kinsoku/>
        <w:wordWrap/>
        <w:overflowPunct/>
        <w:autoSpaceDE/>
        <w:autoSpaceDN/>
        <w:bidi w:val="0"/>
        <w:adjustRightInd/>
        <w:snapToGrid/>
        <w:spacing w:line="520" w:lineRule="exact"/>
        <w:ind w:right="0" w:firstLine="420" w:firstLineChars="200"/>
        <w:textAlignment w:val="auto"/>
        <w:rPr>
          <w:rFonts w:ascii="宋体" w:hAnsi="宋体" w:cs="宋体"/>
          <w:szCs w:val="21"/>
          <w:highlight w:val="none"/>
        </w:rPr>
      </w:pPr>
      <w:r>
        <w:rPr>
          <w:rFonts w:hint="eastAsia" w:ascii="宋体" w:hAnsi="宋体" w:cs="宋体"/>
          <w:szCs w:val="21"/>
          <w:highlight w:val="none"/>
        </w:rPr>
        <w:t>委托期限：自本委托书签发之日起，至委托书内委托事项全部完成止 。</w:t>
      </w:r>
    </w:p>
    <w:p>
      <w:pPr>
        <w:keepNext w:val="0"/>
        <w:keepLines w:val="0"/>
        <w:pageBreakBefore w:val="0"/>
        <w:widowControl w:val="0"/>
        <w:kinsoku/>
        <w:wordWrap/>
        <w:overflowPunct/>
        <w:autoSpaceDE/>
        <w:autoSpaceDN/>
        <w:bidi w:val="0"/>
        <w:adjustRightInd/>
        <w:snapToGrid/>
        <w:spacing w:line="520" w:lineRule="exact"/>
        <w:ind w:right="0" w:firstLine="420" w:firstLineChars="200"/>
        <w:textAlignment w:val="auto"/>
        <w:rPr>
          <w:rFonts w:ascii="宋体" w:hAnsi="宋体" w:cs="宋体"/>
          <w:szCs w:val="21"/>
          <w:highlight w:val="none"/>
        </w:rPr>
      </w:pPr>
      <w:r>
        <w:rPr>
          <w:rFonts w:hint="eastAsia" w:ascii="宋体" w:hAnsi="宋体" w:cs="宋体"/>
          <w:szCs w:val="21"/>
          <w:highlight w:val="none"/>
        </w:rPr>
        <w:t>代理人无转委托权。</w:t>
      </w:r>
    </w:p>
    <w:p>
      <w:pPr>
        <w:keepNext w:val="0"/>
        <w:keepLines w:val="0"/>
        <w:pageBreakBefore w:val="0"/>
        <w:widowControl w:val="0"/>
        <w:kinsoku/>
        <w:wordWrap/>
        <w:overflowPunct/>
        <w:autoSpaceDE/>
        <w:autoSpaceDN/>
        <w:bidi w:val="0"/>
        <w:adjustRightInd/>
        <w:snapToGrid/>
        <w:spacing w:line="520" w:lineRule="exact"/>
        <w:ind w:right="0" w:firstLine="420" w:firstLineChars="200"/>
        <w:textAlignment w:val="auto"/>
        <w:rPr>
          <w:rFonts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日签字生效，特此声明。</w:t>
      </w:r>
    </w:p>
    <w:p>
      <w:pPr>
        <w:keepNext w:val="0"/>
        <w:keepLines w:val="0"/>
        <w:pageBreakBefore w:val="0"/>
        <w:widowControl w:val="0"/>
        <w:kinsoku/>
        <w:wordWrap/>
        <w:overflowPunct/>
        <w:topLinePunct/>
        <w:autoSpaceDE/>
        <w:autoSpaceDN/>
        <w:bidi w:val="0"/>
        <w:adjustRightInd/>
        <w:snapToGrid/>
        <w:spacing w:line="520" w:lineRule="exact"/>
        <w:ind w:right="0" w:firstLine="420" w:firstLineChars="200"/>
        <w:textAlignment w:val="auto"/>
        <w:rPr>
          <w:rFonts w:ascii="宋体" w:hAnsi="宋体" w:cs="宋体"/>
          <w:kern w:val="0"/>
          <w:highlight w:val="none"/>
        </w:rPr>
      </w:pPr>
      <w:r>
        <w:rPr>
          <w:rFonts w:hint="eastAsia" w:ascii="宋体" w:hAnsi="宋体" w:cs="宋体"/>
          <w:kern w:val="0"/>
          <w:highlight w:val="none"/>
        </w:rPr>
        <w:t>附：法定代表人及委托代理人身份证复印件</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5"/>
        <w:gridCol w:w="4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4255"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法定代表人二代身份证复印件（正面）</w:t>
            </w:r>
          </w:p>
        </w:tc>
        <w:tc>
          <w:tcPr>
            <w:tcW w:w="4044"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法定代表人二代身份证复印件（反面）</w:t>
            </w:r>
          </w:p>
        </w:tc>
      </w:tr>
    </w:tbl>
    <w:p>
      <w:pPr>
        <w:rPr>
          <w:rFonts w:ascii="宋体" w:hAnsi="宋体" w:cs="宋体"/>
          <w:vanish/>
          <w:kern w:val="0"/>
          <w:sz w:val="20"/>
          <w:highlight w:val="none"/>
        </w:rPr>
      </w:pPr>
    </w:p>
    <w:tbl>
      <w:tblPr>
        <w:tblStyle w:val="47"/>
        <w:tblpPr w:leftFromText="180" w:rightFromText="180" w:vertAnchor="text" w:horzAnchor="page" w:tblpX="1929" w:tblpY="1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6"/>
        <w:gridCol w:w="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4256"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委托代理人二代身份证复印件（正面）</w:t>
            </w:r>
          </w:p>
        </w:tc>
        <w:tc>
          <w:tcPr>
            <w:tcW w:w="4043"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委托代理人二代身份证复印件（反面）</w:t>
            </w:r>
          </w:p>
        </w:tc>
      </w:tr>
    </w:tbl>
    <w:p>
      <w:pPr>
        <w:rPr>
          <w:rFonts w:ascii="宋体" w:hAnsi="宋体" w:cs="宋体"/>
          <w:vanish/>
          <w:highlight w:val="none"/>
        </w:rPr>
      </w:pPr>
    </w:p>
    <w:p>
      <w:pPr>
        <w:autoSpaceDE w:val="0"/>
        <w:autoSpaceDN w:val="0"/>
        <w:adjustRightInd w:val="0"/>
        <w:snapToGrid w:val="0"/>
        <w:spacing w:line="440" w:lineRule="exact"/>
        <w:jc w:val="left"/>
        <w:rPr>
          <w:rFonts w:ascii="宋体" w:hAnsi="宋体" w:cs="宋体"/>
          <w:bCs/>
          <w:szCs w:val="21"/>
          <w:highlight w:val="none"/>
        </w:rPr>
      </w:pPr>
      <w:r>
        <w:rPr>
          <w:rFonts w:hint="eastAsia" w:ascii="宋体" w:hAnsi="宋体" w:cs="宋体"/>
          <w:b/>
          <w:szCs w:val="21"/>
          <w:highlight w:val="none"/>
        </w:rPr>
        <w:t>备注：</w:t>
      </w:r>
      <w:r>
        <w:rPr>
          <w:rFonts w:hint="eastAsia" w:ascii="宋体" w:hAnsi="宋体" w:cs="宋体"/>
          <w:bCs/>
          <w:szCs w:val="21"/>
          <w:highlight w:val="none"/>
        </w:rPr>
        <w:t xml:space="preserve">.上述证件复印件可另附页，另附页时，证件复印件均须加盖单位公章。 </w:t>
      </w:r>
    </w:p>
    <w:p>
      <w:pPr>
        <w:spacing w:line="360" w:lineRule="exact"/>
        <w:rPr>
          <w:rFonts w:ascii="宋体" w:hAnsi="宋体" w:cs="宋体"/>
          <w:highlight w:val="none"/>
        </w:rPr>
      </w:pPr>
      <w:r>
        <w:rPr>
          <w:rFonts w:hint="eastAsia" w:ascii="宋体" w:hAnsi="宋体" w:cs="宋体"/>
          <w:highlight w:val="none"/>
        </w:rPr>
        <w:t>法人单位名称：</w:t>
      </w:r>
      <w:r>
        <w:rPr>
          <w:rFonts w:hint="eastAsia" w:ascii="宋体" w:hAnsi="宋体" w:cs="宋体"/>
          <w:highlight w:val="none"/>
          <w:u w:val="single"/>
        </w:rPr>
        <w:t xml:space="preserve">           （盖单位章）</w:t>
      </w:r>
    </w:p>
    <w:p>
      <w:pPr>
        <w:spacing w:line="360" w:lineRule="exact"/>
        <w:rPr>
          <w:rFonts w:ascii="宋体" w:hAnsi="宋体" w:cs="宋体"/>
          <w:highlight w:val="none"/>
        </w:rPr>
      </w:pPr>
      <w:r>
        <w:rPr>
          <w:rFonts w:hint="eastAsia" w:ascii="宋体" w:hAnsi="宋体" w:cs="宋体"/>
          <w:highlight w:val="none"/>
        </w:rPr>
        <w:t>法定代表人：</w:t>
      </w:r>
      <w:r>
        <w:rPr>
          <w:rFonts w:hint="eastAsia" w:ascii="宋体" w:hAnsi="宋体" w:cs="宋体"/>
          <w:highlight w:val="none"/>
          <w:u w:val="single"/>
        </w:rPr>
        <w:t xml:space="preserve">            (签字或盖章)</w:t>
      </w:r>
    </w:p>
    <w:p>
      <w:pPr>
        <w:spacing w:line="360" w:lineRule="exact"/>
        <w:rPr>
          <w:rFonts w:ascii="宋体" w:hAnsi="宋体" w:cs="宋体"/>
          <w:highlight w:val="none"/>
        </w:rPr>
      </w:pPr>
      <w:r>
        <w:rPr>
          <w:rFonts w:hint="eastAsia" w:ascii="宋体" w:hAnsi="宋体" w:cs="宋体"/>
          <w:highlight w:val="none"/>
        </w:rPr>
        <w:t>委托代理人：</w:t>
      </w:r>
      <w:r>
        <w:rPr>
          <w:rFonts w:hint="eastAsia" w:ascii="宋体" w:hAnsi="宋体" w:cs="宋体"/>
          <w:highlight w:val="none"/>
          <w:u w:val="single"/>
        </w:rPr>
        <w:t xml:space="preserve">            (签字或盖章)</w:t>
      </w:r>
    </w:p>
    <w:p>
      <w:pPr>
        <w:spacing w:line="360" w:lineRule="auto"/>
        <w:rPr>
          <w:rFonts w:ascii="宋体" w:hAnsi="宋体"/>
          <w:szCs w:val="21"/>
          <w:highlight w:val="none"/>
        </w:rPr>
        <w:sectPr>
          <w:pgSz w:w="11906" w:h="16838"/>
          <w:pgMar w:top="2098" w:right="1474" w:bottom="1984" w:left="1587" w:header="851" w:footer="992" w:gutter="0"/>
          <w:cols w:space="0" w:num="1"/>
          <w:docGrid w:type="lines" w:linePitch="319" w:charSpace="0"/>
        </w:sect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u w:val="none"/>
        </w:rPr>
        <w:t>年</w:t>
      </w:r>
      <w:r>
        <w:rPr>
          <w:rFonts w:hint="eastAsia" w:ascii="宋体" w:hAnsi="宋体" w:cs="宋体"/>
          <w:highlight w:val="none"/>
          <w:u w:val="single"/>
        </w:rPr>
        <w:t xml:space="preserve">       </w:t>
      </w:r>
      <w:r>
        <w:rPr>
          <w:rFonts w:hint="eastAsia" w:ascii="宋体" w:hAnsi="宋体" w:cs="宋体"/>
          <w:highlight w:val="none"/>
          <w:u w:val="none"/>
        </w:rPr>
        <w:t>月</w:t>
      </w:r>
      <w:r>
        <w:rPr>
          <w:rFonts w:hint="eastAsia" w:ascii="宋体" w:hAnsi="宋体" w:cs="宋体"/>
          <w:highlight w:val="none"/>
          <w:u w:val="single"/>
        </w:rPr>
        <w:t xml:space="preserve">        </w:t>
      </w:r>
      <w:r>
        <w:rPr>
          <w:rFonts w:hint="eastAsia" w:ascii="宋体" w:hAnsi="宋体" w:cs="宋体"/>
          <w:highlight w:val="none"/>
          <w:u w:val="none"/>
        </w:rPr>
        <w:t>日</w:t>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宋体" w:hAnsi="宋体" w:cs="宋体"/>
          <w:b/>
          <w:sz w:val="32"/>
          <w:szCs w:val="32"/>
          <w:highlight w:val="none"/>
        </w:rPr>
      </w:pPr>
      <w:bookmarkStart w:id="117" w:name="_Toc24738"/>
      <w:bookmarkStart w:id="118" w:name="_Toc18944"/>
      <w:bookmarkStart w:id="119" w:name="_Toc11357"/>
      <w:bookmarkStart w:id="120" w:name="_Toc8191"/>
      <w:bookmarkStart w:id="121" w:name="_Toc2295"/>
      <w:r>
        <w:rPr>
          <w:rFonts w:hint="eastAsia" w:ascii="宋体" w:hAnsi="宋体" w:cs="宋体"/>
          <w:b/>
          <w:sz w:val="32"/>
          <w:szCs w:val="32"/>
          <w:highlight w:val="none"/>
        </w:rPr>
        <w:t>四、谈判单位资格证明文件</w:t>
      </w:r>
      <w:bookmarkEnd w:id="117"/>
      <w:bookmarkEnd w:id="118"/>
      <w:bookmarkEnd w:id="119"/>
      <w:bookmarkEnd w:id="120"/>
      <w:bookmarkEnd w:id="121"/>
    </w:p>
    <w:p>
      <w:pPr>
        <w:adjustRightInd w:val="0"/>
        <w:snapToGrid w:val="0"/>
        <w:spacing w:line="360" w:lineRule="auto"/>
        <w:rPr>
          <w:rFonts w:ascii="仿宋" w:hAnsi="仿宋" w:eastAsia="仿宋"/>
          <w:bCs/>
          <w:szCs w:val="21"/>
          <w:highlight w:val="none"/>
        </w:rPr>
      </w:pP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根据本谈判文件</w:t>
      </w:r>
      <w:r>
        <w:rPr>
          <w:rFonts w:hint="eastAsia" w:ascii="宋体" w:hAnsi="宋体"/>
          <w:b/>
          <w:bCs/>
          <w:szCs w:val="21"/>
          <w:highlight w:val="none"/>
        </w:rPr>
        <w:t>前附表</w:t>
      </w:r>
      <w:r>
        <w:rPr>
          <w:rFonts w:hint="eastAsia" w:ascii="宋体" w:hAnsi="宋体"/>
          <w:bCs/>
          <w:szCs w:val="21"/>
          <w:highlight w:val="none"/>
        </w:rPr>
        <w:t>内的资格要求，本章节须附下列证明文件</w:t>
      </w:r>
      <w:r>
        <w:rPr>
          <w:rStyle w:val="56"/>
          <w:rFonts w:hint="eastAsia"/>
          <w:b/>
          <w:bCs/>
          <w:color w:val="auto"/>
          <w:highlight w:val="none"/>
          <w:u w:val="none"/>
          <w:shd w:val="clear" w:color="auto" w:fill="FFFFFF"/>
        </w:rPr>
        <w:t>原件扫描件打印版</w:t>
      </w:r>
      <w:r>
        <w:rPr>
          <w:rFonts w:hint="eastAsia" w:ascii="宋体" w:hAnsi="宋体"/>
          <w:bCs/>
          <w:szCs w:val="21"/>
          <w:highlight w:val="none"/>
        </w:rPr>
        <w:t>：</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（1）本项目接受总公司或由总公司授权的湖南省级分公司参与投标。</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1.1若为总公司（即法人机构）参与投标的，须提供国家保险监督管理部门颁发的总公司《保险许可证》（须提供保险公司保险许可证原件的扫描件）；本项目的服务机构须为总公司下辖的在长沙市行政区域内注册的湖南省级分公司，须提供服务机构的由国家保险监督管理部门颁发的《保险许可证》及《营业执照》（副本）。</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1.2若为湖南省级分公司（即本项目的服务机构）参与投标的，须提供其总公司授权委托书及其总公司《保险许可证》（须提供授权委托书及保险公司保险许可证原件的扫描件），且满足上述第（1）条中“本项目的服务机构”资格要求。</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（2）拟任项目负责人须为湖南省级分公司副总经理（含）以上级别，须提供省级(含）以上保险监督管理部门对该项目负责人的任职资格核准文件及</w:t>
      </w:r>
      <w:r>
        <w:rPr>
          <w:rFonts w:hint="eastAsia" w:ascii="宋体" w:hAnsi="宋体" w:cs="宋体"/>
          <w:szCs w:val="21"/>
          <w:highlight w:val="none"/>
          <w:lang w:val="en-US" w:eastAsia="zh-CN"/>
        </w:rPr>
        <w:t>谈判单位</w:t>
      </w:r>
      <w:r>
        <w:rPr>
          <w:rFonts w:hint="eastAsia" w:ascii="宋体" w:hAnsi="宋体" w:cs="宋体"/>
          <w:szCs w:val="21"/>
          <w:highlight w:val="none"/>
        </w:rPr>
        <w:t>对该名项目负责人的任命文件。</w:t>
      </w:r>
    </w:p>
    <w:p>
      <w:pPr>
        <w:tabs>
          <w:tab w:val="left" w:pos="7350"/>
        </w:tabs>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（3）法定代表人身份证明、企业负责人身份证明（如有）或授权委托书原件扫描件（法定代表人及委托代理人亲笔签字）。法定代表人身份证明、企业负责人身份证明（如有）或授权委托书应符合第</w:t>
      </w:r>
      <w:r>
        <w:rPr>
          <w:rFonts w:hint="eastAsia" w:ascii="宋体" w:hAnsi="宋体" w:cs="宋体"/>
          <w:szCs w:val="21"/>
          <w:highlight w:val="none"/>
          <w:lang w:val="en-US" w:eastAsia="zh-CN"/>
        </w:rPr>
        <w:t>七</w:t>
      </w:r>
      <w:r>
        <w:rPr>
          <w:rFonts w:hint="eastAsia" w:ascii="宋体" w:hAnsi="宋体" w:cs="宋体"/>
          <w:szCs w:val="21"/>
          <w:highlight w:val="none"/>
        </w:rPr>
        <w:t>章“</w:t>
      </w:r>
      <w:r>
        <w:rPr>
          <w:rFonts w:hint="eastAsia" w:ascii="宋体" w:hAnsi="宋体" w:cs="宋体"/>
          <w:szCs w:val="21"/>
          <w:highlight w:val="none"/>
          <w:lang w:val="en-US" w:eastAsia="zh-CN"/>
        </w:rPr>
        <w:t>响应</w:t>
      </w:r>
      <w:r>
        <w:rPr>
          <w:rFonts w:hint="eastAsia" w:ascii="宋体" w:hAnsi="宋体" w:cs="宋体"/>
          <w:szCs w:val="21"/>
          <w:highlight w:val="none"/>
        </w:rPr>
        <w:t>文件格式”的要求。</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420" w:firstLineChars="200"/>
        <w:textAlignment w:val="auto"/>
        <w:rPr>
          <w:rFonts w:hint="eastAsia"/>
          <w:highlight w:val="none"/>
        </w:rPr>
      </w:pPr>
    </w:p>
    <w:p>
      <w:pPr>
        <w:pStyle w:val="16"/>
        <w:rPr>
          <w:highlight w:val="none"/>
        </w:rPr>
      </w:pPr>
    </w:p>
    <w:p>
      <w:pPr>
        <w:adjustRightInd w:val="0"/>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备注：上述证明文件扫描件打印版均须加盖谈判单位公章。</w:t>
      </w:r>
    </w:p>
    <w:p>
      <w:pPr>
        <w:pStyle w:val="2"/>
        <w:ind w:left="0" w:leftChars="0" w:firstLine="0" w:firstLineChars="0"/>
        <w:rPr>
          <w:highlight w:val="none"/>
        </w:rPr>
        <w:sectPr>
          <w:pgSz w:w="11906" w:h="16838"/>
          <w:pgMar w:top="2098" w:right="1474" w:bottom="1984" w:left="1587" w:header="851" w:footer="992" w:gutter="0"/>
          <w:cols w:space="720" w:num="1"/>
          <w:docGrid w:type="lines" w:linePitch="319" w:charSpace="0"/>
        </w:sectPr>
      </w:pPr>
    </w:p>
    <w:p>
      <w:pPr>
        <w:keepNext w:val="0"/>
        <w:keepLines w:val="0"/>
        <w:pageBreakBefore w:val="0"/>
        <w:widowControl w:val="0"/>
        <w:numPr>
          <w:ilvl w:val="0"/>
          <w:numId w:val="21"/>
        </w:numPr>
        <w:kinsoku/>
        <w:wordWrap/>
        <w:overflowPunct/>
        <w:topLinePunct w:val="0"/>
        <w:autoSpaceDE/>
        <w:autoSpaceDN/>
        <w:bidi w:val="0"/>
        <w:adjustRightInd/>
        <w:snapToGrid/>
        <w:ind w:firstLine="643" w:firstLineChars="200"/>
        <w:jc w:val="center"/>
        <w:textAlignment w:val="auto"/>
        <w:outlineLvl w:val="1"/>
        <w:rPr>
          <w:rFonts w:hint="eastAsia" w:ascii="宋体" w:hAnsi="宋体" w:cs="宋体"/>
          <w:b/>
          <w:sz w:val="32"/>
          <w:szCs w:val="32"/>
          <w:highlight w:val="none"/>
        </w:rPr>
      </w:pPr>
      <w:bookmarkStart w:id="122" w:name="_Toc21225"/>
      <w:bookmarkStart w:id="123" w:name="_Toc15835"/>
      <w:bookmarkStart w:id="124" w:name="_Toc21154"/>
      <w:bookmarkStart w:id="125" w:name="_Toc5387"/>
      <w:bookmarkStart w:id="126" w:name="_Toc25553"/>
      <w:r>
        <w:rPr>
          <w:rFonts w:hint="eastAsia" w:ascii="宋体" w:hAnsi="宋体" w:cs="宋体"/>
          <w:b/>
          <w:sz w:val="32"/>
          <w:szCs w:val="32"/>
          <w:highlight w:val="none"/>
        </w:rPr>
        <w:t>报价一览表</w:t>
      </w:r>
      <w:bookmarkEnd w:id="122"/>
      <w:bookmarkEnd w:id="123"/>
      <w:bookmarkEnd w:id="124"/>
      <w:bookmarkEnd w:id="125"/>
      <w:bookmarkEnd w:id="126"/>
    </w:p>
    <w:tbl>
      <w:tblPr>
        <w:tblStyle w:val="47"/>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color w:val="auto"/>
                <w:highlight w:val="none"/>
              </w:rPr>
            </w:pPr>
            <w:r>
              <w:rPr>
                <w:rFonts w:hint="eastAsia" w:ascii="宋体" w:hAnsi="宋体" w:cs="宋体"/>
                <w:b/>
                <w:bCs/>
                <w:color w:val="auto"/>
                <w:szCs w:val="21"/>
                <w:highlight w:val="none"/>
              </w:rPr>
              <w:t>项目名称</w:t>
            </w:r>
          </w:p>
        </w:tc>
        <w:tc>
          <w:tcPr>
            <w:tcW w:w="6297" w:type="dxa"/>
            <w:noWrap w:val="0"/>
            <w:vAlign w:val="center"/>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color w:val="auto"/>
                <w:highlight w:val="none"/>
              </w:rPr>
            </w:pPr>
            <w:r>
              <w:rPr>
                <w:rFonts w:hint="eastAsia" w:ascii="宋体" w:hAnsi="宋体" w:cs="宋体"/>
                <w:b/>
                <w:bCs/>
                <w:color w:val="auto"/>
                <w:szCs w:val="21"/>
                <w:highlight w:val="none"/>
              </w:rPr>
              <w:t>项目编号</w:t>
            </w:r>
          </w:p>
        </w:tc>
        <w:tc>
          <w:tcPr>
            <w:tcW w:w="6297" w:type="dxa"/>
            <w:noWrap w:val="0"/>
            <w:vAlign w:val="center"/>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color w:val="auto"/>
                <w:highlight w:val="none"/>
              </w:rPr>
            </w:pPr>
            <w:r>
              <w:rPr>
                <w:rFonts w:hint="eastAsia"/>
                <w:b/>
                <w:bCs/>
                <w:color w:val="auto"/>
                <w:highlight w:val="none"/>
              </w:rPr>
              <w:t>服务期限</w:t>
            </w:r>
          </w:p>
        </w:tc>
        <w:tc>
          <w:tcPr>
            <w:tcW w:w="6297" w:type="dxa"/>
            <w:noWrap w:val="0"/>
            <w:vAlign w:val="center"/>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谈判不含增值税</w:t>
            </w:r>
            <w:r>
              <w:rPr>
                <w:rFonts w:ascii="宋体" w:hAnsi="宋体"/>
                <w:b/>
                <w:bCs/>
                <w:color w:val="auto"/>
                <w:szCs w:val="21"/>
                <w:highlight w:val="none"/>
              </w:rPr>
              <w:t>总报价</w:t>
            </w:r>
          </w:p>
        </w:tc>
        <w:tc>
          <w:tcPr>
            <w:tcW w:w="6297" w:type="dxa"/>
            <w:noWrap w:val="0"/>
            <w:vAlign w:val="center"/>
          </w:tcPr>
          <w:p>
            <w:pPr>
              <w:spacing w:line="420" w:lineRule="exact"/>
              <w:jc w:val="left"/>
              <w:rPr>
                <w:rFonts w:ascii="宋体" w:hAnsi="宋体"/>
                <w:color w:val="auto"/>
                <w:szCs w:val="21"/>
                <w:highlight w:val="none"/>
                <w:u w:val="single"/>
              </w:rPr>
            </w:pPr>
            <w:r>
              <w:rPr>
                <w:rFonts w:hint="eastAsia" w:ascii="宋体" w:hAnsi="宋体"/>
                <w:color w:val="auto"/>
                <w:szCs w:val="21"/>
                <w:highlight w:val="none"/>
              </w:rPr>
              <w:t>大写：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noWrap w:val="0"/>
            <w:vAlign w:val="center"/>
          </w:tcPr>
          <w:p>
            <w:pPr>
              <w:spacing w:line="420" w:lineRule="exact"/>
              <w:jc w:val="center"/>
              <w:rPr>
                <w:rFonts w:ascii="宋体" w:hAnsi="宋体"/>
                <w:b/>
                <w:bCs/>
                <w:color w:val="auto"/>
                <w:szCs w:val="21"/>
                <w:highlight w:val="none"/>
              </w:rPr>
            </w:pPr>
          </w:p>
        </w:tc>
        <w:tc>
          <w:tcPr>
            <w:tcW w:w="6297" w:type="dxa"/>
            <w:noWrap w:val="0"/>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rFonts w:ascii="宋体" w:hAnsi="宋体" w:eastAsia="宋体" w:cs="Times New Roman"/>
                <w:b/>
                <w:bCs/>
                <w:color w:val="auto"/>
                <w:kern w:val="2"/>
                <w:sz w:val="21"/>
                <w:szCs w:val="21"/>
                <w:highlight w:val="none"/>
                <w:lang w:val="en-US" w:eastAsia="zh-CN" w:bidi="ar-SA"/>
              </w:rPr>
            </w:pPr>
            <w:r>
              <w:rPr>
                <w:rFonts w:hint="eastAsia" w:ascii="宋体" w:hAnsi="宋体"/>
                <w:b/>
                <w:bCs/>
                <w:color w:val="auto"/>
                <w:szCs w:val="21"/>
                <w:highlight w:val="none"/>
              </w:rPr>
              <w:t>税费</w:t>
            </w:r>
          </w:p>
        </w:tc>
        <w:tc>
          <w:tcPr>
            <w:tcW w:w="6297" w:type="dxa"/>
            <w:noWrap w:val="0"/>
            <w:vAlign w:val="center"/>
          </w:tcPr>
          <w:p>
            <w:pPr>
              <w:spacing w:line="42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noWrap w:val="0"/>
            <w:vAlign w:val="center"/>
          </w:tcPr>
          <w:p>
            <w:pPr>
              <w:spacing w:line="420" w:lineRule="exact"/>
              <w:jc w:val="center"/>
              <w:rPr>
                <w:rFonts w:ascii="宋体" w:hAnsi="宋体"/>
                <w:b/>
                <w:bCs/>
                <w:color w:val="auto"/>
                <w:szCs w:val="21"/>
                <w:highlight w:val="none"/>
              </w:rPr>
            </w:pPr>
            <w:r>
              <w:rPr>
                <w:rFonts w:hint="eastAsia" w:ascii="Times New Roman" w:hAnsi="Times New Roman" w:eastAsia="宋体" w:cs="Times New Roman"/>
                <w:b/>
                <w:bCs/>
                <w:i w:val="0"/>
                <w:iCs w:val="0"/>
                <w:color w:val="auto"/>
                <w:kern w:val="0"/>
                <w:sz w:val="21"/>
                <w:szCs w:val="21"/>
                <w:highlight w:val="none"/>
                <w:u w:val="none"/>
                <w:lang w:val="en-US" w:eastAsia="zh-CN" w:bidi="ar"/>
              </w:rPr>
              <w:t>年保险费率（含税）%</w:t>
            </w:r>
          </w:p>
        </w:tc>
        <w:tc>
          <w:tcPr>
            <w:tcW w:w="6297" w:type="dxa"/>
            <w:noWrap w:val="0"/>
            <w:vAlign w:val="center"/>
          </w:tcPr>
          <w:p>
            <w:pPr>
              <w:spacing w:line="420" w:lineRule="exact"/>
              <w:jc w:val="lef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增值税税率</w:t>
            </w:r>
          </w:p>
        </w:tc>
        <w:tc>
          <w:tcPr>
            <w:tcW w:w="6297" w:type="dxa"/>
            <w:noWrap w:val="0"/>
            <w:vAlign w:val="center"/>
          </w:tcPr>
          <w:p>
            <w:pPr>
              <w:spacing w:line="42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谈判</w:t>
            </w:r>
            <w:r>
              <w:rPr>
                <w:rFonts w:ascii="宋体" w:hAnsi="宋体"/>
                <w:b/>
                <w:bCs/>
                <w:color w:val="auto"/>
                <w:szCs w:val="21"/>
                <w:highlight w:val="none"/>
              </w:rPr>
              <w:t>总报价</w:t>
            </w:r>
          </w:p>
        </w:tc>
        <w:tc>
          <w:tcPr>
            <w:tcW w:w="6297" w:type="dxa"/>
            <w:noWrap w:val="0"/>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noWrap w:val="0"/>
            <w:vAlign w:val="center"/>
          </w:tcPr>
          <w:p>
            <w:pPr>
              <w:spacing w:line="420" w:lineRule="exact"/>
              <w:jc w:val="center"/>
              <w:rPr>
                <w:rFonts w:ascii="宋体" w:hAnsi="宋体"/>
                <w:b/>
                <w:bCs/>
                <w:color w:val="auto"/>
                <w:szCs w:val="21"/>
                <w:highlight w:val="none"/>
              </w:rPr>
            </w:pPr>
          </w:p>
        </w:tc>
        <w:tc>
          <w:tcPr>
            <w:tcW w:w="6297" w:type="dxa"/>
            <w:noWrap w:val="0"/>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noWrap w:val="0"/>
            <w:vAlign w:val="center"/>
          </w:tcPr>
          <w:p>
            <w:pPr>
              <w:spacing w:line="420" w:lineRule="exact"/>
              <w:jc w:val="center"/>
              <w:rPr>
                <w:rFonts w:ascii="宋体" w:hAnsi="宋体"/>
                <w:b/>
                <w:bCs/>
                <w:color w:val="auto"/>
                <w:szCs w:val="21"/>
                <w:highlight w:val="none"/>
              </w:rPr>
            </w:pPr>
            <w:r>
              <w:rPr>
                <w:rFonts w:ascii="宋体" w:hAnsi="宋体"/>
                <w:b/>
                <w:bCs/>
                <w:color w:val="auto"/>
                <w:szCs w:val="21"/>
                <w:highlight w:val="none"/>
              </w:rPr>
              <w:t>备  注</w:t>
            </w:r>
          </w:p>
        </w:tc>
        <w:tc>
          <w:tcPr>
            <w:tcW w:w="6297" w:type="dxa"/>
            <w:noWrap w:val="0"/>
            <w:vAlign w:val="center"/>
          </w:tcPr>
          <w:p>
            <w:pPr>
              <w:spacing w:line="420" w:lineRule="exact"/>
              <w:rPr>
                <w:rFonts w:ascii="宋体" w:hAnsi="宋体"/>
                <w:color w:val="auto"/>
                <w:szCs w:val="21"/>
                <w:highlight w:val="none"/>
              </w:rPr>
            </w:pPr>
            <w:r>
              <w:rPr>
                <w:rFonts w:hint="eastAsia" w:ascii="宋体" w:hAnsi="宋体"/>
                <w:b/>
                <w:color w:val="auto"/>
                <w:szCs w:val="21"/>
                <w:highlight w:val="none"/>
                <w:lang w:val="en-US" w:eastAsia="zh-CN"/>
              </w:rPr>
              <w:t>*</w:t>
            </w:r>
            <w:r>
              <w:rPr>
                <w:rFonts w:hint="eastAsia" w:ascii="宋体" w:hAnsi="宋体"/>
                <w:b/>
                <w:color w:val="auto"/>
                <w:szCs w:val="21"/>
                <w:highlight w:val="none"/>
              </w:rPr>
              <w:t>本项目报价须满足</w:t>
            </w:r>
            <w:bookmarkStart w:id="140" w:name="_GoBack"/>
            <w:bookmarkEnd w:id="140"/>
            <w:r>
              <w:rPr>
                <w:rFonts w:hint="eastAsia" w:ascii="宋体" w:hAnsi="宋体"/>
                <w:b/>
                <w:color w:val="auto"/>
                <w:szCs w:val="21"/>
                <w:highlight w:val="none"/>
              </w:rPr>
              <w:t>“谈判不含增值税总报价=谈判总报价/（1+增值税税率）”</w:t>
            </w:r>
          </w:p>
        </w:tc>
      </w:tr>
    </w:tbl>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2.本表内“谈判总报价”是包含了所有隐含的管理费、税金和利润等其他费用的报价。</w:t>
      </w:r>
    </w:p>
    <w:p>
      <w:pPr>
        <w:pStyle w:val="16"/>
        <w:ind w:left="0" w:leftChars="0" w:firstLine="422" w:firstLineChars="200"/>
        <w:rPr>
          <w:rFonts w:ascii="宋体" w:hAnsi="宋体" w:cs="宋体"/>
          <w:b/>
          <w:color w:val="auto"/>
          <w:szCs w:val="21"/>
          <w:highlight w:val="none"/>
        </w:rPr>
      </w:pPr>
      <w:r>
        <w:rPr>
          <w:rFonts w:hint="eastAsia" w:ascii="宋体" w:hAnsi="宋体" w:cs="宋体"/>
          <w:b/>
          <w:color w:val="auto"/>
          <w:szCs w:val="21"/>
          <w:highlight w:val="none"/>
        </w:rPr>
        <w:t>3.本项目设置最高限价，谈判单位所报总价不能超过最高限价，不超过最高限价的谈判总报价为有效报价。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4.本项目谈判报价评审时，以“谈判不含增值税总报价”进行评审。</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5.本项目谈判总报价为含税总价（即谈判不含税增值税总报价与税费之和）。谈判单位在填写谈判报价时应当注意区分“谈判不含增值税总价”“税费”“谈判总报价”。</w:t>
      </w:r>
    </w:p>
    <w:p>
      <w:pPr>
        <w:pStyle w:val="2"/>
        <w:rPr>
          <w:rFonts w:ascii="宋体" w:hAnsi="宋体"/>
          <w:b/>
          <w:color w:val="auto"/>
          <w:szCs w:val="21"/>
          <w:highlight w:val="none"/>
        </w:rPr>
      </w:pPr>
    </w:p>
    <w:p>
      <w:pPr>
        <w:pStyle w:val="2"/>
        <w:rPr>
          <w:rFonts w:ascii="宋体" w:hAnsi="宋体"/>
          <w:b/>
          <w:color w:val="auto"/>
          <w:szCs w:val="21"/>
          <w:highlight w:val="none"/>
        </w:rPr>
      </w:pPr>
    </w:p>
    <w:p>
      <w:pPr>
        <w:pStyle w:val="2"/>
        <w:rPr>
          <w:rFonts w:ascii="宋体" w:hAnsi="宋体"/>
          <w:b/>
          <w:color w:val="auto"/>
          <w:szCs w:val="21"/>
          <w:highlight w:val="none"/>
        </w:rPr>
      </w:pPr>
    </w:p>
    <w:p>
      <w:pPr>
        <w:pStyle w:val="29"/>
        <w:adjustRightInd w:val="0"/>
        <w:snapToGrid w:val="0"/>
        <w:spacing w:line="360" w:lineRule="auto"/>
        <w:rPr>
          <w:rFonts w:ascii="宋体" w:hAnsi="宋体"/>
          <w:bCs/>
          <w:color w:val="auto"/>
          <w:sz w:val="21"/>
          <w:szCs w:val="21"/>
          <w:highlight w:val="none"/>
        </w:rPr>
      </w:pPr>
      <w:bookmarkStart w:id="127" w:name="_Toc5231"/>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w:t>
      </w:r>
      <w:bookmarkEnd w:id="127"/>
      <w:r>
        <w:rPr>
          <w:rFonts w:hint="eastAsia" w:ascii="宋体" w:hAnsi="宋体"/>
          <w:color w:val="auto"/>
          <w:sz w:val="21"/>
          <w:szCs w:val="21"/>
          <w:highlight w:val="none"/>
          <w:u w:val="single"/>
        </w:rPr>
        <w:t xml:space="preserve">    </w:t>
      </w:r>
    </w:p>
    <w:p>
      <w:pPr>
        <w:adjustRightInd w:val="0"/>
        <w:snapToGrid w:val="0"/>
        <w:spacing w:line="360" w:lineRule="auto"/>
        <w:rPr>
          <w:rFonts w:ascii="宋体" w:hAnsi="宋体"/>
          <w:color w:val="auto"/>
          <w:szCs w:val="21"/>
          <w:highlight w:val="none"/>
        </w:rPr>
      </w:pPr>
      <w:bookmarkStart w:id="128" w:name="_Toc28605"/>
      <w:r>
        <w:rPr>
          <w:rFonts w:hint="eastAsia" w:ascii="宋体" w:hAnsi="宋体"/>
          <w:color w:val="auto"/>
          <w:szCs w:val="21"/>
          <w:highlight w:val="none"/>
        </w:rPr>
        <w:t>法定代表人或其委托代理人(签字或盖章)：</w:t>
      </w:r>
      <w:bookmarkEnd w:id="128"/>
      <w:r>
        <w:rPr>
          <w:rFonts w:hint="eastAsia" w:ascii="宋体" w:hAnsi="宋体"/>
          <w:color w:val="auto"/>
          <w:szCs w:val="21"/>
          <w:highlight w:val="none"/>
          <w:u w:val="single"/>
        </w:rPr>
        <w:t xml:space="preserve">               </w:t>
      </w:r>
    </w:p>
    <w:p>
      <w:pPr>
        <w:pStyle w:val="2"/>
        <w:numPr>
          <w:ilvl w:val="0"/>
          <w:numId w:val="0"/>
        </w:numPr>
        <w:rPr>
          <w:rFonts w:hint="eastAsia"/>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jc w:val="right"/>
        <w:rPr>
          <w:rFonts w:ascii="黑体" w:hAnsi="宋体" w:eastAsia="黑体"/>
          <w:sz w:val="24"/>
          <w:highlight w:val="none"/>
        </w:rPr>
        <w:sectPr>
          <w:pgSz w:w="11906" w:h="16838"/>
          <w:pgMar w:top="2098" w:right="1474" w:bottom="1984" w:left="1587" w:header="851" w:footer="992" w:gutter="0"/>
          <w:cols w:space="0" w:num="1"/>
          <w:docGrid w:type="lines" w:linePitch="319" w:charSpace="0"/>
        </w:sectPr>
      </w:pP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default" w:ascii="宋体" w:hAnsi="宋体" w:eastAsia="宋体" w:cs="宋体"/>
          <w:b/>
          <w:sz w:val="32"/>
          <w:szCs w:val="32"/>
          <w:highlight w:val="none"/>
          <w:lang w:val="en-US" w:eastAsia="zh-CN"/>
        </w:rPr>
      </w:pPr>
      <w:bookmarkStart w:id="129" w:name="_Toc11557"/>
      <w:r>
        <w:rPr>
          <w:rFonts w:hint="eastAsia" w:ascii="宋体" w:hAnsi="宋体" w:eastAsia="宋体" w:cs="宋体"/>
          <w:b/>
          <w:sz w:val="32"/>
          <w:szCs w:val="32"/>
          <w:highlight w:val="none"/>
          <w:lang w:val="en-US" w:eastAsia="zh-CN"/>
        </w:rPr>
        <w:t>六、分项报价表</w:t>
      </w:r>
      <w:bookmarkEnd w:id="129"/>
    </w:p>
    <w:tbl>
      <w:tblPr>
        <w:tblStyle w:val="47"/>
        <w:tblW w:w="106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0"/>
        <w:gridCol w:w="1368"/>
        <w:gridCol w:w="1167"/>
        <w:gridCol w:w="781"/>
        <w:gridCol w:w="1224"/>
        <w:gridCol w:w="1202"/>
        <w:gridCol w:w="1248"/>
        <w:gridCol w:w="1236"/>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140"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9464" w:type="dxa"/>
            <w:gridSpan w:val="8"/>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1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项目编号</w:t>
            </w:r>
          </w:p>
        </w:tc>
        <w:tc>
          <w:tcPr>
            <w:tcW w:w="9464" w:type="dxa"/>
            <w:gridSpan w:val="8"/>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1140"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368"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b/>
                <w:bCs/>
                <w:color w:val="auto"/>
                <w:highlight w:val="none"/>
                <w:lang w:val="en-US" w:eastAsia="zh-CN"/>
              </w:rPr>
              <w:t>投保险种</w:t>
            </w:r>
          </w:p>
        </w:tc>
        <w:tc>
          <w:tcPr>
            <w:tcW w:w="1167"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ascii="宋体" w:hAnsi="宋体" w:eastAsia="宋体" w:cs="宋体"/>
                <w:b/>
                <w:bCs/>
                <w:i w:val="0"/>
                <w:iCs w:val="0"/>
                <w:color w:val="auto"/>
                <w:kern w:val="0"/>
                <w:sz w:val="21"/>
                <w:szCs w:val="21"/>
                <w:highlight w:val="none"/>
                <w:u w:val="none"/>
                <w:lang w:val="en-US" w:eastAsia="zh-CN" w:bidi="ar"/>
              </w:rPr>
              <w:t>投保金额（万元）</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服务年限（年）</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bCs/>
                <w:i w:val="0"/>
                <w:iCs w:val="0"/>
                <w:color w:val="auto"/>
                <w:kern w:val="0"/>
                <w:sz w:val="21"/>
                <w:szCs w:val="21"/>
                <w:highlight w:val="none"/>
                <w:u w:val="none"/>
                <w:lang w:val="en-US" w:eastAsia="zh-CN" w:bidi="ar"/>
              </w:rPr>
              <w:t>年保险费率（含税）%</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税率</w:t>
            </w:r>
            <w:r>
              <w:rPr>
                <w:rFonts w:hint="eastAsia" w:ascii="宋体" w:hAnsi="宋体" w:cs="宋体"/>
                <w:b/>
                <w:bCs/>
                <w:i w:val="0"/>
                <w:iCs w:val="0"/>
                <w:color w:val="auto"/>
                <w:kern w:val="0"/>
                <w:sz w:val="21"/>
                <w:szCs w:val="21"/>
                <w:highlight w:val="none"/>
                <w:u w:val="none"/>
                <w:lang w:val="en-US" w:eastAsia="zh-CN" w:bidi="ar"/>
              </w:rPr>
              <w:t>（A）</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税费(B)</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不含增值税</w:t>
            </w:r>
            <w:r>
              <w:rPr>
                <w:rFonts w:hint="eastAsia" w:ascii="Times New Roman" w:hAnsi="宋体" w:cs="宋体"/>
                <w:b/>
                <w:bCs/>
                <w:color w:val="auto"/>
                <w:szCs w:val="21"/>
                <w:highlight w:val="none"/>
                <w:lang w:val="en-US" w:eastAsia="zh-CN"/>
              </w:rPr>
              <w:t>报</w:t>
            </w:r>
            <w:r>
              <w:rPr>
                <w:rFonts w:hint="eastAsia" w:ascii="Times New Roman" w:hAnsi="宋体" w:eastAsia="宋体" w:cs="宋体"/>
                <w:b/>
                <w:bCs/>
                <w:color w:val="auto"/>
                <w:szCs w:val="21"/>
                <w:highlight w:val="none"/>
                <w:lang w:val="en-US" w:eastAsia="zh-CN"/>
              </w:rPr>
              <w:t>价</w:t>
            </w:r>
            <w:r>
              <w:rPr>
                <w:rFonts w:hint="eastAsia" w:ascii="Times New Roman" w:hAnsi="宋体" w:cs="宋体"/>
                <w:b/>
                <w:bCs/>
                <w:color w:val="auto"/>
                <w:szCs w:val="21"/>
                <w:highlight w:val="none"/>
                <w:lang w:val="en-US" w:eastAsia="zh-CN"/>
              </w:rPr>
              <w:t>（C）</w:t>
            </w:r>
            <w:r>
              <w:rPr>
                <w:rFonts w:hint="eastAsia" w:ascii="Times New Roman" w:hAnsi="宋体" w:eastAsia="宋体" w:cs="宋体"/>
                <w:b/>
                <w:bCs/>
                <w:color w:val="auto"/>
                <w:szCs w:val="21"/>
                <w:highlight w:val="none"/>
                <w:lang w:val="en-US" w:eastAsia="zh-CN"/>
              </w:rPr>
              <w:t>（元）</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含增值税</w:t>
            </w:r>
            <w:r>
              <w:rPr>
                <w:rFonts w:hint="eastAsia" w:ascii="Times New Roman" w:hAnsi="宋体" w:cs="宋体"/>
                <w:b/>
                <w:bCs/>
                <w:color w:val="auto"/>
                <w:szCs w:val="21"/>
                <w:highlight w:val="none"/>
                <w:lang w:val="en-US" w:eastAsia="zh-CN"/>
              </w:rPr>
              <w:t>报</w:t>
            </w:r>
            <w:r>
              <w:rPr>
                <w:rFonts w:hint="eastAsia" w:ascii="Times New Roman" w:hAnsi="宋体" w:eastAsia="宋体" w:cs="宋体"/>
                <w:b/>
                <w:bCs/>
                <w:color w:val="auto"/>
                <w:szCs w:val="21"/>
                <w:highlight w:val="none"/>
                <w:lang w:val="en-US" w:eastAsia="zh-CN"/>
              </w:rPr>
              <w:t>价</w:t>
            </w:r>
            <w:r>
              <w:rPr>
                <w:rFonts w:hint="eastAsia" w:ascii="Times New Roman" w:hAnsi="宋体" w:cs="宋体"/>
                <w:b/>
                <w:bCs/>
                <w:color w:val="auto"/>
                <w:szCs w:val="21"/>
                <w:highlight w:val="none"/>
                <w:lang w:val="en-US" w:eastAsia="zh-CN"/>
              </w:rPr>
              <w:t>（D）</w:t>
            </w:r>
          </w:p>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4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36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财产一切险加机器损坏险</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520769.82</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2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02"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48"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56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总计</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备注：1.所有报价保留小数点后两位，小数点后第三位“四舍五入”。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240" w:lineRule="auto"/>
        <w:ind w:left="630" w:leftChars="300" w:right="0" w:firstLine="0" w:firstLineChars="0"/>
        <w:textAlignment w:val="auto"/>
        <w:rPr>
          <w:rFonts w:hint="default" w:ascii="Times New Roman" w:hAnsi="Times New Roman" w:eastAsia="宋体" w:cs="Times New Roman"/>
          <w:b/>
          <w:bCs/>
          <w:color w:val="auto"/>
          <w:szCs w:val="21"/>
          <w:highlight w:val="none"/>
        </w:rPr>
      </w:pPr>
      <w:r>
        <w:rPr>
          <w:rFonts w:hint="default" w:ascii="Times New Roman" w:hAnsi="Times New Roman" w:cs="Times New Roman"/>
          <w:b/>
          <w:bCs/>
          <w:color w:val="auto"/>
          <w:szCs w:val="21"/>
          <w:highlight w:val="none"/>
        </w:rPr>
        <w:t>2.</w:t>
      </w:r>
      <w:r>
        <w:rPr>
          <w:rFonts w:hint="eastAsia" w:ascii="Times New Roman" w:hAnsi="Times New Roman" w:eastAsia="宋体" w:cs="Times New Roman"/>
          <w:b/>
          <w:bCs/>
          <w:color w:val="auto"/>
          <w:szCs w:val="21"/>
          <w:highlight w:val="none"/>
          <w:lang w:val="en-US" w:eastAsia="zh-CN"/>
        </w:rPr>
        <w:t>报价</w:t>
      </w:r>
      <w:r>
        <w:rPr>
          <w:rFonts w:hint="eastAsia" w:ascii="Times New Roman" w:hAnsi="Times New Roman" w:cs="Times New Roman"/>
          <w:b/>
          <w:bCs/>
          <w:color w:val="auto"/>
          <w:szCs w:val="21"/>
          <w:highlight w:val="none"/>
          <w:lang w:val="en-US" w:eastAsia="zh-CN"/>
        </w:rPr>
        <w:t>需满足B=C*A、D</w:t>
      </w:r>
      <w:r>
        <w:rPr>
          <w:rFonts w:hint="default" w:ascii="Times New Roman" w:hAnsi="Times New Roman" w:eastAsia="宋体" w:cs="Times New Roman"/>
          <w:b/>
          <w:bCs/>
          <w:color w:val="auto"/>
          <w:szCs w:val="21"/>
          <w:highlight w:val="none"/>
          <w:lang w:val="en-US" w:eastAsia="zh-CN"/>
        </w:rPr>
        <w:t>=</w:t>
      </w:r>
      <w:r>
        <w:rPr>
          <w:rFonts w:hint="eastAsia" w:ascii="Times New Roman" w:hAnsi="Times New Roman" w:cs="Times New Roman"/>
          <w:b/>
          <w:bCs/>
          <w:color w:val="auto"/>
          <w:szCs w:val="21"/>
          <w:highlight w:val="none"/>
          <w:lang w:val="en-US" w:eastAsia="zh-CN"/>
        </w:rPr>
        <w:t>B＋C</w:t>
      </w:r>
      <w:r>
        <w:rPr>
          <w:rFonts w:hint="default" w:ascii="Times New Roman" w:hAnsi="Times New Roman" w:eastAsia="宋体" w:cs="Times New Roman"/>
          <w:b/>
          <w:bCs/>
          <w:color w:val="auto"/>
          <w:szCs w:val="21"/>
          <w:highlight w:val="none"/>
        </w:rPr>
        <w:t>。</w:t>
      </w:r>
    </w:p>
    <w:p>
      <w:pPr>
        <w:pStyle w:val="29"/>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p>
    <w:p>
      <w:pPr>
        <w:pStyle w:val="29"/>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谈判单位名称：</w:t>
      </w:r>
      <w:r>
        <w:rPr>
          <w:rFonts w:hint="default" w:ascii="Times New Roman" w:hAnsi="Times New Roman" w:cs="Times New Roman"/>
          <w:b w:val="0"/>
          <w:bCs w:val="0"/>
          <w:color w:val="auto"/>
          <w:sz w:val="21"/>
          <w:szCs w:val="21"/>
          <w:highlight w:val="none"/>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法定代表人或其委托代理人(签字或盖章)：</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560" w:lineRule="exact"/>
        <w:ind w:firstLine="420" w:firstLineChars="200"/>
        <w:textAlignment w:val="auto"/>
        <w:rPr>
          <w:rFonts w:ascii="黑体" w:eastAsia="黑体"/>
          <w:b/>
          <w:bCs/>
          <w:sz w:val="32"/>
          <w:szCs w:val="32"/>
          <w:highlight w:val="none"/>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Pr>
        <w:adjustRightInd w:val="0"/>
        <w:snapToGrid w:val="0"/>
        <w:jc w:val="center"/>
        <w:rPr>
          <w:rFonts w:ascii="黑体" w:eastAsia="黑体"/>
          <w:b/>
          <w:bCs/>
          <w:sz w:val="32"/>
          <w:szCs w:val="32"/>
          <w:highlight w:val="none"/>
        </w:rPr>
      </w:pPr>
    </w:p>
    <w:p>
      <w:pPr>
        <w:pStyle w:val="27"/>
        <w:jc w:val="center"/>
        <w:outlineLvl w:val="1"/>
        <w:rPr>
          <w:rFonts w:hint="eastAsia" w:hAnsi="宋体" w:cs="宋体"/>
          <w:b/>
          <w:bCs/>
          <w:sz w:val="32"/>
          <w:szCs w:val="32"/>
          <w:highlight w:val="none"/>
          <w:lang w:val="en-US" w:eastAsia="zh-CN"/>
        </w:rPr>
        <w:sectPr>
          <w:pgSz w:w="11906" w:h="16838"/>
          <w:pgMar w:top="2098" w:right="1474" w:bottom="1984" w:left="1587" w:header="851" w:footer="992" w:gutter="0"/>
          <w:cols w:space="0" w:num="1"/>
          <w:docGrid w:type="lines" w:linePitch="319" w:charSpace="0"/>
        </w:sectPr>
      </w:pPr>
    </w:p>
    <w:p>
      <w:pPr>
        <w:rPr>
          <w:highlight w:val="none"/>
        </w:rPr>
      </w:pP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宋体" w:hAnsi="宋体" w:cs="宋体"/>
          <w:b/>
          <w:sz w:val="32"/>
          <w:szCs w:val="32"/>
          <w:highlight w:val="none"/>
        </w:rPr>
      </w:pPr>
      <w:bookmarkStart w:id="130" w:name="_Toc26563"/>
      <w:bookmarkStart w:id="131" w:name="_Toc9077"/>
      <w:bookmarkStart w:id="132" w:name="_Toc22739"/>
      <w:bookmarkStart w:id="133" w:name="_Toc27585"/>
      <w:bookmarkStart w:id="134" w:name="_Toc27918"/>
      <w:r>
        <w:rPr>
          <w:rFonts w:hint="eastAsia" w:ascii="宋体" w:hAnsi="宋体" w:cs="宋体"/>
          <w:b/>
          <w:sz w:val="32"/>
          <w:szCs w:val="32"/>
          <w:highlight w:val="none"/>
          <w:lang w:val="en-US" w:eastAsia="zh-CN"/>
        </w:rPr>
        <w:t>七</w:t>
      </w:r>
      <w:r>
        <w:rPr>
          <w:rFonts w:hint="eastAsia" w:ascii="宋体" w:hAnsi="宋体" w:cs="宋体"/>
          <w:b/>
          <w:sz w:val="32"/>
          <w:szCs w:val="32"/>
          <w:highlight w:val="none"/>
        </w:rPr>
        <w:t>、服务组织机构及人员设置方案</w:t>
      </w:r>
      <w:bookmarkEnd w:id="130"/>
    </w:p>
    <w:p>
      <w:pPr>
        <w:spacing w:line="360" w:lineRule="exact"/>
        <w:jc w:val="center"/>
        <w:rPr>
          <w:rFonts w:ascii="宋体" w:hAnsi="宋体" w:cs="宋体"/>
          <w:b/>
          <w:sz w:val="24"/>
          <w:highlight w:val="none"/>
        </w:rPr>
      </w:pPr>
      <w:r>
        <w:rPr>
          <w:rFonts w:hint="eastAsia" w:ascii="宋体" w:hAnsi="宋体" w:cs="宋体"/>
          <w:sz w:val="24"/>
          <w:highlight w:val="none"/>
        </w:rPr>
        <w:t>（文字格式自拟，并附下表）</w:t>
      </w:r>
    </w:p>
    <w:p>
      <w:pPr>
        <w:spacing w:line="360" w:lineRule="exact"/>
        <w:jc w:val="left"/>
        <w:rPr>
          <w:rFonts w:ascii="宋体" w:hAnsi="宋体"/>
          <w:szCs w:val="21"/>
          <w:highlight w:val="none"/>
        </w:rPr>
      </w:pPr>
    </w:p>
    <w:p>
      <w:pPr>
        <w:pStyle w:val="2"/>
      </w:pPr>
    </w:p>
    <w:tbl>
      <w:tblPr>
        <w:tblStyle w:val="47"/>
        <w:tblW w:w="89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1"/>
        <w:gridCol w:w="1459"/>
        <w:gridCol w:w="1496"/>
        <w:gridCol w:w="1020"/>
        <w:gridCol w:w="1027"/>
        <w:gridCol w:w="847"/>
        <w:gridCol w:w="12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941"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姓名</w:t>
            </w:r>
          </w:p>
        </w:tc>
        <w:tc>
          <w:tcPr>
            <w:tcW w:w="1459"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拟在本项目中职位</w:t>
            </w:r>
          </w:p>
        </w:tc>
        <w:tc>
          <w:tcPr>
            <w:tcW w:w="1496"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现任职务</w:t>
            </w:r>
          </w:p>
        </w:tc>
        <w:tc>
          <w:tcPr>
            <w:tcW w:w="1020"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学历</w:t>
            </w:r>
          </w:p>
        </w:tc>
        <w:tc>
          <w:tcPr>
            <w:tcW w:w="1027"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专业</w:t>
            </w:r>
          </w:p>
        </w:tc>
        <w:tc>
          <w:tcPr>
            <w:tcW w:w="847"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职称</w:t>
            </w:r>
          </w:p>
        </w:tc>
        <w:tc>
          <w:tcPr>
            <w:tcW w:w="1207" w:type="dxa"/>
            <w:vAlign w:val="center"/>
          </w:tcPr>
          <w:p>
            <w:pPr>
              <w:snapToGrid w:val="0"/>
              <w:spacing w:line="360" w:lineRule="exact"/>
              <w:jc w:val="center"/>
              <w:rPr>
                <w:rFonts w:hint="eastAsia" w:ascii="宋体" w:hAnsi="宋体" w:eastAsia="宋体" w:cs="宋体"/>
                <w:b/>
                <w:szCs w:val="21"/>
                <w:highlight w:val="none"/>
                <w:lang w:val="en-US" w:eastAsia="zh-CN"/>
              </w:rPr>
            </w:pPr>
            <w:r>
              <w:rPr>
                <w:rFonts w:hint="eastAsia" w:ascii="宋体" w:hAnsi="宋体" w:cs="宋体"/>
                <w:b/>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1941" w:type="dxa"/>
          </w:tcPr>
          <w:p>
            <w:pPr>
              <w:spacing w:line="360" w:lineRule="exact"/>
              <w:rPr>
                <w:rFonts w:ascii="宋体" w:hAnsi="宋体" w:cs="宋体"/>
                <w:szCs w:val="21"/>
                <w:highlight w:val="none"/>
              </w:rPr>
            </w:pPr>
          </w:p>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bl>
    <w:p>
      <w:pPr>
        <w:keepNext w:val="0"/>
        <w:keepLines w:val="0"/>
        <w:pageBreakBefore w:val="0"/>
        <w:widowControl w:val="0"/>
        <w:kinsoku/>
        <w:wordWrap/>
        <w:overflowPunct/>
        <w:topLinePunct w:val="0"/>
        <w:autoSpaceDE/>
        <w:autoSpaceDN/>
        <w:bidi w:val="0"/>
        <w:snapToGrid w:val="0"/>
        <w:spacing w:line="560" w:lineRule="exact"/>
        <w:ind w:right="0" w:firstLine="420" w:firstLineChars="200"/>
        <w:textAlignment w:val="auto"/>
        <w:outlineLvl w:val="9"/>
        <w:rPr>
          <w:rFonts w:ascii="宋体" w:hAnsi="宋体" w:cs="宋体"/>
          <w:szCs w:val="21"/>
          <w:highlight w:val="none"/>
        </w:rPr>
      </w:pPr>
      <w:r>
        <w:rPr>
          <w:rFonts w:hint="eastAsia" w:ascii="宋体" w:hAnsi="宋体" w:cs="宋体"/>
          <w:szCs w:val="21"/>
          <w:highlight w:val="none"/>
        </w:rPr>
        <w:t>表后须附资料：</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420" w:firstLineChars="200"/>
        <w:jc w:val="center"/>
        <w:textAlignment w:val="auto"/>
        <w:outlineLvl w:val="9"/>
        <w:rPr>
          <w:rFonts w:hint="eastAsia" w:ascii="宋体" w:hAnsi="宋体" w:cs="宋体"/>
          <w:b/>
          <w:sz w:val="32"/>
          <w:szCs w:val="32"/>
          <w:highlight w:val="none"/>
        </w:rPr>
      </w:pPr>
      <w:r>
        <w:rPr>
          <w:rFonts w:hint="eastAsia" w:ascii="宋体" w:hAnsi="宋体" w:cs="宋体"/>
          <w:szCs w:val="21"/>
          <w:highlight w:val="none"/>
        </w:rPr>
        <w:t>1、所列人员相关证件原件的扫描件、及参保经验证明文件原件的扫描件；中标</w:t>
      </w:r>
      <w:r>
        <w:rPr>
          <w:rFonts w:hint="eastAsia" w:ascii="宋体" w:hAnsi="宋体" w:cs="宋体"/>
          <w:szCs w:val="21"/>
          <w:highlight w:val="none"/>
          <w:lang w:val="en-US" w:eastAsia="zh-CN"/>
        </w:rPr>
        <w:t>单位</w:t>
      </w:r>
      <w:r>
        <w:rPr>
          <w:rFonts w:hint="eastAsia" w:ascii="宋体" w:hAnsi="宋体" w:cs="宋体"/>
          <w:szCs w:val="21"/>
          <w:highlight w:val="none"/>
        </w:rPr>
        <w:t>必须按以上承诺，为</w:t>
      </w:r>
      <w:r>
        <w:rPr>
          <w:rFonts w:hint="eastAsia" w:ascii="宋体" w:hAnsi="宋体" w:cs="宋体"/>
          <w:szCs w:val="21"/>
          <w:highlight w:val="none"/>
          <w:lang w:val="en-US" w:eastAsia="zh-CN"/>
        </w:rPr>
        <w:t>采购单位</w:t>
      </w:r>
      <w:r>
        <w:rPr>
          <w:rFonts w:hint="eastAsia" w:ascii="宋体" w:hAnsi="宋体" w:cs="宋体"/>
          <w:szCs w:val="21"/>
          <w:highlight w:val="none"/>
        </w:rPr>
        <w:t>提供本项目的服务，否则将被视为违约，并承担由此而产生的一切损失。</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jc w:val="center"/>
        <w:textAlignment w:val="auto"/>
        <w:outlineLvl w:val="1"/>
        <w:rPr>
          <w:rFonts w:hint="eastAsia" w:ascii="宋体" w:hAnsi="宋体" w:cs="宋体"/>
          <w:b/>
          <w:sz w:val="32"/>
          <w:szCs w:val="32"/>
          <w:highlight w:val="none"/>
        </w:rPr>
      </w:pPr>
    </w:p>
    <w:p>
      <w:pPr>
        <w:adjustRightInd w:val="0"/>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备注：上述证明文件扫描件打印版均须加盖谈判单位公章。</w:t>
      </w:r>
    </w:p>
    <w:p>
      <w:pPr>
        <w:pStyle w:val="2"/>
        <w:rPr>
          <w:rFonts w:hint="eastAsia"/>
        </w:rPr>
        <w:sectPr>
          <w:pgSz w:w="11906" w:h="16838"/>
          <w:pgMar w:top="2098" w:right="1474" w:bottom="1984" w:left="1587" w:header="851" w:footer="992" w:gutter="0"/>
          <w:cols w:space="0" w:num="1"/>
          <w:docGrid w:type="lines" w:linePitch="319" w:charSpace="0"/>
        </w:sectPr>
      </w:pP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宋体" w:hAnsi="宋体" w:cs="宋体"/>
          <w:b/>
          <w:sz w:val="32"/>
          <w:szCs w:val="32"/>
          <w:highlight w:val="none"/>
        </w:rPr>
      </w:pPr>
      <w:bookmarkStart w:id="135" w:name="_Toc1639"/>
      <w:r>
        <w:rPr>
          <w:rFonts w:hint="eastAsia" w:ascii="宋体" w:hAnsi="宋体" w:cs="宋体"/>
          <w:b/>
          <w:sz w:val="32"/>
          <w:szCs w:val="32"/>
          <w:highlight w:val="none"/>
          <w:lang w:val="en-US" w:eastAsia="zh-CN"/>
        </w:rPr>
        <w:t>八、</w:t>
      </w:r>
      <w:r>
        <w:rPr>
          <w:rFonts w:hint="eastAsia" w:ascii="宋体" w:hAnsi="宋体" w:cs="宋体"/>
          <w:b/>
          <w:sz w:val="32"/>
          <w:szCs w:val="32"/>
          <w:highlight w:val="none"/>
        </w:rPr>
        <w:t>其他资料</w:t>
      </w:r>
      <w:bookmarkEnd w:id="131"/>
      <w:bookmarkEnd w:id="132"/>
      <w:bookmarkEnd w:id="133"/>
      <w:r>
        <w:rPr>
          <w:rFonts w:hint="eastAsia" w:ascii="宋体" w:hAnsi="宋体" w:cs="宋体"/>
          <w:b/>
          <w:sz w:val="32"/>
          <w:szCs w:val="32"/>
          <w:highlight w:val="none"/>
        </w:rPr>
        <w:t>（如有）</w:t>
      </w:r>
      <w:bookmarkEnd w:id="134"/>
      <w:bookmarkEnd w:id="135"/>
    </w:p>
    <w:p>
      <w:pPr>
        <w:adjustRightInd w:val="0"/>
        <w:snapToGrid w:val="0"/>
        <w:spacing w:before="159" w:beforeLines="50" w:line="360" w:lineRule="auto"/>
        <w:ind w:firstLine="420" w:firstLineChars="200"/>
        <w:jc w:val="left"/>
        <w:rPr>
          <w:rFonts w:ascii="宋体" w:hAnsi="宋体"/>
          <w:szCs w:val="21"/>
          <w:highlight w:val="none"/>
        </w:rPr>
      </w:pPr>
      <w:bookmarkStart w:id="136" w:name="_Toc18188"/>
      <w:bookmarkStart w:id="137" w:name="_Toc22084"/>
      <w:bookmarkStart w:id="138" w:name="_Toc5412"/>
      <w:bookmarkStart w:id="139" w:name="_Toc10648"/>
      <w:r>
        <w:rPr>
          <w:rFonts w:hint="eastAsia" w:ascii="宋体" w:hAnsi="宋体"/>
          <w:szCs w:val="21"/>
          <w:highlight w:val="none"/>
        </w:rPr>
        <w:t>谈判单位认为需要提供的其他</w:t>
      </w:r>
      <w:r>
        <w:rPr>
          <w:rFonts w:hint="eastAsia" w:ascii="宋体" w:hAnsi="宋体"/>
          <w:color w:val="auto"/>
          <w:szCs w:val="21"/>
          <w:highlight w:val="none"/>
        </w:rPr>
        <w:t>谈判</w:t>
      </w:r>
      <w:r>
        <w:rPr>
          <w:rFonts w:hint="eastAsia" w:ascii="宋体" w:hAnsi="宋体"/>
          <w:szCs w:val="21"/>
          <w:highlight w:val="none"/>
        </w:rPr>
        <w:t>资料，格式自拟。</w:t>
      </w:r>
      <w:bookmarkEnd w:id="136"/>
      <w:bookmarkEnd w:id="137"/>
      <w:bookmarkEnd w:id="138"/>
      <w:bookmarkEnd w:id="139"/>
    </w:p>
    <w:sectPr>
      <w:pgSz w:w="11906" w:h="16838"/>
      <w:pgMar w:top="2098" w:right="1474" w:bottom="1984" w:left="158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2"/>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2"/>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5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jc w:val="center"/>
                          </w:pPr>
                          <w:r>
                            <w:fldChar w:fldCharType="begin"/>
                          </w:r>
                          <w:r>
                            <w:instrText xml:space="preserve"> PAGE   \* MERGEFORMAT </w:instrText>
                          </w:r>
                          <w:r>
                            <w:fldChar w:fldCharType="separate"/>
                          </w:r>
                          <w:r>
                            <w:rPr>
                              <w:lang w:val="zh-CN"/>
                            </w:rPr>
                            <w:t>5</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32"/>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p>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5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G99ME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k5FrQLg9Jixc+smoI9RUDOdUGE07lRfh8b1kPfxH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5EG99MEBAACPAwAADgAAAAAAAAABACAAAAAeAQAAZHJzL2Uyb0RvYy54bWxQSwUG&#10;AAAAAAYABgBZAQAAUQUAAAAA&#10;">
              <v:fill on="f" focussize="0,0"/>
              <v:stroke on="f"/>
              <v:imagedata o:title=""/>
              <o:lock v:ext="edit" aspectratio="f"/>
              <v:textbox inset="0mm,0mm,0mm,0mm" style="mso-fit-shape-to-text:t;">
                <w:txbxContent>
                  <w:p>
                    <w:pPr>
                      <w:pStyle w:val="3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AC4CA"/>
    <w:multiLevelType w:val="singleLevel"/>
    <w:tmpl w:val="8EBAC4CA"/>
    <w:lvl w:ilvl="0" w:tentative="0">
      <w:start w:val="1"/>
      <w:numFmt w:val="chineseCounting"/>
      <w:suff w:val="space"/>
      <w:lvlText w:val="第%1章"/>
      <w:lvlJc w:val="left"/>
      <w:rPr>
        <w:rFonts w:hint="eastAsia"/>
      </w:rPr>
    </w:lvl>
  </w:abstractNum>
  <w:abstractNum w:abstractNumId="1">
    <w:nsid w:val="A7F69D74"/>
    <w:multiLevelType w:val="singleLevel"/>
    <w:tmpl w:val="A7F69D74"/>
    <w:lvl w:ilvl="0" w:tentative="0">
      <w:start w:val="1"/>
      <w:numFmt w:val="decimal"/>
      <w:suff w:val="nothing"/>
      <w:lvlText w:val="%1．"/>
      <w:lvlJc w:val="left"/>
      <w:pPr>
        <w:ind w:left="0" w:firstLine="400"/>
      </w:pPr>
      <w:rPr>
        <w:rFonts w:hint="default"/>
      </w:rPr>
    </w:lvl>
  </w:abstractNum>
  <w:abstractNum w:abstractNumId="2">
    <w:nsid w:val="AF42D0C1"/>
    <w:multiLevelType w:val="singleLevel"/>
    <w:tmpl w:val="AF42D0C1"/>
    <w:lvl w:ilvl="0" w:tentative="0">
      <w:start w:val="1"/>
      <w:numFmt w:val="decimal"/>
      <w:lvlText w:val="(%1)"/>
      <w:lvlJc w:val="left"/>
      <w:pPr>
        <w:ind w:left="425" w:hanging="425"/>
      </w:pPr>
      <w:rPr>
        <w:rFonts w:hint="default"/>
      </w:rPr>
    </w:lvl>
  </w:abstractNum>
  <w:abstractNum w:abstractNumId="3">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4">
    <w:nsid w:val="B2DC6A82"/>
    <w:multiLevelType w:val="singleLevel"/>
    <w:tmpl w:val="B2DC6A82"/>
    <w:lvl w:ilvl="0" w:tentative="0">
      <w:start w:val="1"/>
      <w:numFmt w:val="decimal"/>
      <w:suff w:val="nothing"/>
      <w:lvlText w:val="%1．"/>
      <w:lvlJc w:val="left"/>
      <w:pPr>
        <w:ind w:left="0" w:firstLine="400"/>
      </w:pPr>
      <w:rPr>
        <w:rFonts w:hint="default"/>
      </w:rPr>
    </w:lvl>
  </w:abstractNum>
  <w:abstractNum w:abstractNumId="5">
    <w:nsid w:val="BDE36502"/>
    <w:multiLevelType w:val="singleLevel"/>
    <w:tmpl w:val="BDE36502"/>
    <w:lvl w:ilvl="0" w:tentative="0">
      <w:start w:val="2"/>
      <w:numFmt w:val="chineseCounting"/>
      <w:suff w:val="space"/>
      <w:lvlText w:val="第%1部分"/>
      <w:lvlJc w:val="left"/>
      <w:rPr>
        <w:rFonts w:hint="eastAsia"/>
      </w:rPr>
    </w:lvl>
  </w:abstractNum>
  <w:abstractNum w:abstractNumId="6">
    <w:nsid w:val="C29E6077"/>
    <w:multiLevelType w:val="singleLevel"/>
    <w:tmpl w:val="C29E6077"/>
    <w:lvl w:ilvl="0" w:tentative="0">
      <w:start w:val="1"/>
      <w:numFmt w:val="decimal"/>
      <w:lvlText w:val="(%1)"/>
      <w:lvlJc w:val="left"/>
      <w:pPr>
        <w:ind w:left="425" w:hanging="425"/>
      </w:pPr>
      <w:rPr>
        <w:rFonts w:hint="default"/>
      </w:rPr>
    </w:lvl>
  </w:abstractNum>
  <w:abstractNum w:abstractNumId="7">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8">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9">
    <w:nsid w:val="F90AF49E"/>
    <w:multiLevelType w:val="singleLevel"/>
    <w:tmpl w:val="F90AF49E"/>
    <w:lvl w:ilvl="0" w:tentative="0">
      <w:start w:val="1"/>
      <w:numFmt w:val="decimal"/>
      <w:suff w:val="nothing"/>
      <w:lvlText w:val="%1．"/>
      <w:lvlJc w:val="left"/>
      <w:pPr>
        <w:ind w:left="0" w:firstLine="400"/>
      </w:pPr>
      <w:rPr>
        <w:rFonts w:hint="default"/>
      </w:rPr>
    </w:lvl>
  </w:abstractNum>
  <w:abstractNum w:abstractNumId="10">
    <w:nsid w:val="FE293A88"/>
    <w:multiLevelType w:val="singleLevel"/>
    <w:tmpl w:val="FE293A88"/>
    <w:lvl w:ilvl="0" w:tentative="0">
      <w:start w:val="3"/>
      <w:numFmt w:val="chineseCounting"/>
      <w:pStyle w:val="359"/>
      <w:suff w:val="nothing"/>
      <w:lvlText w:val="%1、"/>
      <w:lvlJc w:val="left"/>
      <w:rPr>
        <w:rFonts w:hint="eastAsia"/>
      </w:rPr>
    </w:lvl>
  </w:abstractNum>
  <w:abstractNum w:abstractNumId="11">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2">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3">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4">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5">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7">
    <w:nsid w:val="27A79326"/>
    <w:multiLevelType w:val="singleLevel"/>
    <w:tmpl w:val="27A79326"/>
    <w:lvl w:ilvl="0" w:tentative="0">
      <w:start w:val="1"/>
      <w:numFmt w:val="decimal"/>
      <w:suff w:val="nothing"/>
      <w:lvlText w:val="（%1）"/>
      <w:lvlJc w:val="left"/>
    </w:lvl>
  </w:abstractNum>
  <w:abstractNum w:abstractNumId="18">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9">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abstractNum w:abstractNumId="20">
    <w:nsid w:val="68CB7FDE"/>
    <w:multiLevelType w:val="singleLevel"/>
    <w:tmpl w:val="68CB7FDE"/>
    <w:lvl w:ilvl="0" w:tentative="0">
      <w:start w:val="5"/>
      <w:numFmt w:val="chineseCounting"/>
      <w:suff w:val="nothing"/>
      <w:lvlText w:val="%1、"/>
      <w:lvlJc w:val="left"/>
      <w:rPr>
        <w:rFonts w:hint="eastAsia"/>
      </w:rPr>
    </w:lvl>
  </w:abstractNum>
  <w:num w:numId="1">
    <w:abstractNumId w:val="11"/>
  </w:num>
  <w:num w:numId="2">
    <w:abstractNumId w:val="14"/>
  </w:num>
  <w:num w:numId="3">
    <w:abstractNumId w:val="10"/>
  </w:num>
  <w:num w:numId="4">
    <w:abstractNumId w:val="15"/>
  </w:num>
  <w:num w:numId="5">
    <w:abstractNumId w:val="19"/>
  </w:num>
  <w:num w:numId="6">
    <w:abstractNumId w:val="0"/>
  </w:num>
  <w:num w:numId="7">
    <w:abstractNumId w:val="16"/>
  </w:num>
  <w:num w:numId="8">
    <w:abstractNumId w:val="3"/>
  </w:num>
  <w:num w:numId="9">
    <w:abstractNumId w:val="9"/>
  </w:num>
  <w:num w:numId="10">
    <w:abstractNumId w:val="12"/>
  </w:num>
  <w:num w:numId="11">
    <w:abstractNumId w:val="13"/>
  </w:num>
  <w:num w:numId="12">
    <w:abstractNumId w:val="2"/>
  </w:num>
  <w:num w:numId="13">
    <w:abstractNumId w:val="8"/>
  </w:num>
  <w:num w:numId="14">
    <w:abstractNumId w:val="1"/>
  </w:num>
  <w:num w:numId="15">
    <w:abstractNumId w:val="7"/>
  </w:num>
  <w:num w:numId="16">
    <w:abstractNumId w:val="4"/>
  </w:num>
  <w:num w:numId="17">
    <w:abstractNumId w:val="6"/>
  </w:num>
  <w:num w:numId="18">
    <w:abstractNumId w:val="17"/>
  </w:num>
  <w:num w:numId="19">
    <w:abstractNumId w:val="5"/>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1NTAwN2E4MjAwNzRhMGY2N2M5ZjVhOTdiZmFlMGMifQ=="/>
  </w:docVars>
  <w:rsids>
    <w:rsidRoot w:val="00172A27"/>
    <w:rsid w:val="00005EC9"/>
    <w:rsid w:val="00006D21"/>
    <w:rsid w:val="00016902"/>
    <w:rsid w:val="000274C6"/>
    <w:rsid w:val="00052640"/>
    <w:rsid w:val="00063D15"/>
    <w:rsid w:val="00074928"/>
    <w:rsid w:val="00091C9D"/>
    <w:rsid w:val="000C106E"/>
    <w:rsid w:val="000C21C5"/>
    <w:rsid w:val="000E0193"/>
    <w:rsid w:val="000E7968"/>
    <w:rsid w:val="000F4DE1"/>
    <w:rsid w:val="00115FE6"/>
    <w:rsid w:val="00116BAE"/>
    <w:rsid w:val="001453A1"/>
    <w:rsid w:val="00162D59"/>
    <w:rsid w:val="00172A27"/>
    <w:rsid w:val="00186162"/>
    <w:rsid w:val="0019086A"/>
    <w:rsid w:val="001C23BF"/>
    <w:rsid w:val="001D6D72"/>
    <w:rsid w:val="001E02FE"/>
    <w:rsid w:val="002067E8"/>
    <w:rsid w:val="002069C8"/>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68C0"/>
    <w:rsid w:val="00331810"/>
    <w:rsid w:val="003469C0"/>
    <w:rsid w:val="00372ECC"/>
    <w:rsid w:val="00375CC4"/>
    <w:rsid w:val="00380064"/>
    <w:rsid w:val="00381105"/>
    <w:rsid w:val="00381BB4"/>
    <w:rsid w:val="003958B2"/>
    <w:rsid w:val="0039632C"/>
    <w:rsid w:val="003B1109"/>
    <w:rsid w:val="003D080C"/>
    <w:rsid w:val="003D6204"/>
    <w:rsid w:val="003F46A7"/>
    <w:rsid w:val="004014FD"/>
    <w:rsid w:val="004129B9"/>
    <w:rsid w:val="00423B85"/>
    <w:rsid w:val="004263EB"/>
    <w:rsid w:val="00426543"/>
    <w:rsid w:val="00453EE9"/>
    <w:rsid w:val="0045503A"/>
    <w:rsid w:val="0046304B"/>
    <w:rsid w:val="00473865"/>
    <w:rsid w:val="0048093D"/>
    <w:rsid w:val="00495DBC"/>
    <w:rsid w:val="00495F57"/>
    <w:rsid w:val="004978CA"/>
    <w:rsid w:val="004B3D80"/>
    <w:rsid w:val="004B41B1"/>
    <w:rsid w:val="00500B91"/>
    <w:rsid w:val="00504DED"/>
    <w:rsid w:val="00526589"/>
    <w:rsid w:val="00545140"/>
    <w:rsid w:val="0055214F"/>
    <w:rsid w:val="005556A5"/>
    <w:rsid w:val="0056117D"/>
    <w:rsid w:val="0056143E"/>
    <w:rsid w:val="005837A3"/>
    <w:rsid w:val="0058523E"/>
    <w:rsid w:val="0058754B"/>
    <w:rsid w:val="005C688B"/>
    <w:rsid w:val="005E6BBB"/>
    <w:rsid w:val="005F037B"/>
    <w:rsid w:val="005F4513"/>
    <w:rsid w:val="00607C42"/>
    <w:rsid w:val="00641E72"/>
    <w:rsid w:val="00642B10"/>
    <w:rsid w:val="00654D1D"/>
    <w:rsid w:val="0066697A"/>
    <w:rsid w:val="00677C6C"/>
    <w:rsid w:val="0068504A"/>
    <w:rsid w:val="0068515F"/>
    <w:rsid w:val="00687C87"/>
    <w:rsid w:val="006B467A"/>
    <w:rsid w:val="006B6300"/>
    <w:rsid w:val="006D0A13"/>
    <w:rsid w:val="006E025D"/>
    <w:rsid w:val="006F5FAC"/>
    <w:rsid w:val="00707592"/>
    <w:rsid w:val="0070784A"/>
    <w:rsid w:val="00730CC6"/>
    <w:rsid w:val="00740D0D"/>
    <w:rsid w:val="007656DC"/>
    <w:rsid w:val="007821C6"/>
    <w:rsid w:val="0078370F"/>
    <w:rsid w:val="00787C0E"/>
    <w:rsid w:val="00793ABB"/>
    <w:rsid w:val="0079784E"/>
    <w:rsid w:val="007D0446"/>
    <w:rsid w:val="007F3811"/>
    <w:rsid w:val="00802770"/>
    <w:rsid w:val="0081382B"/>
    <w:rsid w:val="00820369"/>
    <w:rsid w:val="0084147A"/>
    <w:rsid w:val="00842E06"/>
    <w:rsid w:val="0084367C"/>
    <w:rsid w:val="008511F3"/>
    <w:rsid w:val="00864C78"/>
    <w:rsid w:val="008B6242"/>
    <w:rsid w:val="008C7C9F"/>
    <w:rsid w:val="008D7CB4"/>
    <w:rsid w:val="00901FFA"/>
    <w:rsid w:val="00915948"/>
    <w:rsid w:val="00923E97"/>
    <w:rsid w:val="009407F4"/>
    <w:rsid w:val="009955C7"/>
    <w:rsid w:val="009A0679"/>
    <w:rsid w:val="009A5642"/>
    <w:rsid w:val="009B5270"/>
    <w:rsid w:val="009C10AF"/>
    <w:rsid w:val="009D41D7"/>
    <w:rsid w:val="009D7D4A"/>
    <w:rsid w:val="009E03FD"/>
    <w:rsid w:val="009E2384"/>
    <w:rsid w:val="00A34DC1"/>
    <w:rsid w:val="00A41E73"/>
    <w:rsid w:val="00A46FA2"/>
    <w:rsid w:val="00A618F2"/>
    <w:rsid w:val="00A61CCE"/>
    <w:rsid w:val="00A92B7C"/>
    <w:rsid w:val="00AA1709"/>
    <w:rsid w:val="00AA21B6"/>
    <w:rsid w:val="00AB013C"/>
    <w:rsid w:val="00AC26D2"/>
    <w:rsid w:val="00AD758B"/>
    <w:rsid w:val="00AF11ED"/>
    <w:rsid w:val="00B01BA0"/>
    <w:rsid w:val="00B2613B"/>
    <w:rsid w:val="00B32406"/>
    <w:rsid w:val="00B74689"/>
    <w:rsid w:val="00B82298"/>
    <w:rsid w:val="00B832A9"/>
    <w:rsid w:val="00B92FA2"/>
    <w:rsid w:val="00BD47EB"/>
    <w:rsid w:val="00BD51DE"/>
    <w:rsid w:val="00BE15B5"/>
    <w:rsid w:val="00C0069B"/>
    <w:rsid w:val="00C1468A"/>
    <w:rsid w:val="00C20479"/>
    <w:rsid w:val="00C21D69"/>
    <w:rsid w:val="00C24579"/>
    <w:rsid w:val="00C26D33"/>
    <w:rsid w:val="00C34E11"/>
    <w:rsid w:val="00C532E5"/>
    <w:rsid w:val="00C57914"/>
    <w:rsid w:val="00C6008B"/>
    <w:rsid w:val="00C668B4"/>
    <w:rsid w:val="00C758E3"/>
    <w:rsid w:val="00C84172"/>
    <w:rsid w:val="00CB534B"/>
    <w:rsid w:val="00CE51F2"/>
    <w:rsid w:val="00CE631C"/>
    <w:rsid w:val="00CE703D"/>
    <w:rsid w:val="00CF0192"/>
    <w:rsid w:val="00CF040C"/>
    <w:rsid w:val="00D069C6"/>
    <w:rsid w:val="00D164FE"/>
    <w:rsid w:val="00D31733"/>
    <w:rsid w:val="00D40D79"/>
    <w:rsid w:val="00D43330"/>
    <w:rsid w:val="00D45708"/>
    <w:rsid w:val="00D6362F"/>
    <w:rsid w:val="00D84A7F"/>
    <w:rsid w:val="00D95761"/>
    <w:rsid w:val="00D958E3"/>
    <w:rsid w:val="00DA51BD"/>
    <w:rsid w:val="00DE5673"/>
    <w:rsid w:val="00DF363F"/>
    <w:rsid w:val="00E24889"/>
    <w:rsid w:val="00E32EEF"/>
    <w:rsid w:val="00E342DB"/>
    <w:rsid w:val="00E5084D"/>
    <w:rsid w:val="00E74692"/>
    <w:rsid w:val="00E761DC"/>
    <w:rsid w:val="00E77817"/>
    <w:rsid w:val="00E944EE"/>
    <w:rsid w:val="00EC7F43"/>
    <w:rsid w:val="00EF6911"/>
    <w:rsid w:val="00F00894"/>
    <w:rsid w:val="00F02213"/>
    <w:rsid w:val="00F175B5"/>
    <w:rsid w:val="00F338DB"/>
    <w:rsid w:val="00F37996"/>
    <w:rsid w:val="00F410E0"/>
    <w:rsid w:val="00F52B22"/>
    <w:rsid w:val="00F579E9"/>
    <w:rsid w:val="00FA17B5"/>
    <w:rsid w:val="00FA6734"/>
    <w:rsid w:val="00FE331E"/>
    <w:rsid w:val="00FE3699"/>
    <w:rsid w:val="00FE6AFF"/>
    <w:rsid w:val="011E3D92"/>
    <w:rsid w:val="0123584C"/>
    <w:rsid w:val="01375331"/>
    <w:rsid w:val="01403F6F"/>
    <w:rsid w:val="014D6F55"/>
    <w:rsid w:val="01791910"/>
    <w:rsid w:val="01873122"/>
    <w:rsid w:val="01932790"/>
    <w:rsid w:val="01D94140"/>
    <w:rsid w:val="01EA6EEC"/>
    <w:rsid w:val="01F95304"/>
    <w:rsid w:val="01FA47FF"/>
    <w:rsid w:val="021B19D1"/>
    <w:rsid w:val="02263AD9"/>
    <w:rsid w:val="023870D5"/>
    <w:rsid w:val="024C0DC0"/>
    <w:rsid w:val="02787973"/>
    <w:rsid w:val="02787D91"/>
    <w:rsid w:val="029749D1"/>
    <w:rsid w:val="029A1968"/>
    <w:rsid w:val="02A84E4A"/>
    <w:rsid w:val="02AB7973"/>
    <w:rsid w:val="02BF5617"/>
    <w:rsid w:val="02DF0C01"/>
    <w:rsid w:val="02FB4FEB"/>
    <w:rsid w:val="03190CB5"/>
    <w:rsid w:val="036A7762"/>
    <w:rsid w:val="03727DAF"/>
    <w:rsid w:val="037C1244"/>
    <w:rsid w:val="03C055D4"/>
    <w:rsid w:val="03D41287"/>
    <w:rsid w:val="03F31A5E"/>
    <w:rsid w:val="03F91117"/>
    <w:rsid w:val="03FC0CEA"/>
    <w:rsid w:val="04107C23"/>
    <w:rsid w:val="04240981"/>
    <w:rsid w:val="042B3AFB"/>
    <w:rsid w:val="04EE0D07"/>
    <w:rsid w:val="05031B6B"/>
    <w:rsid w:val="054E6891"/>
    <w:rsid w:val="055967E4"/>
    <w:rsid w:val="057228FE"/>
    <w:rsid w:val="05B01562"/>
    <w:rsid w:val="05BA17D7"/>
    <w:rsid w:val="05CA44E8"/>
    <w:rsid w:val="05D6279A"/>
    <w:rsid w:val="05DC14A7"/>
    <w:rsid w:val="05E36661"/>
    <w:rsid w:val="05EB6762"/>
    <w:rsid w:val="05F607BC"/>
    <w:rsid w:val="05F777CC"/>
    <w:rsid w:val="061842D1"/>
    <w:rsid w:val="062F07EF"/>
    <w:rsid w:val="067362CB"/>
    <w:rsid w:val="067428EB"/>
    <w:rsid w:val="0676319E"/>
    <w:rsid w:val="067B6F39"/>
    <w:rsid w:val="069C40D7"/>
    <w:rsid w:val="06A765D7"/>
    <w:rsid w:val="06C96275"/>
    <w:rsid w:val="06D118A6"/>
    <w:rsid w:val="06D605B3"/>
    <w:rsid w:val="06F105E4"/>
    <w:rsid w:val="06FA0280"/>
    <w:rsid w:val="07076C16"/>
    <w:rsid w:val="070C68F7"/>
    <w:rsid w:val="071C6A43"/>
    <w:rsid w:val="071F0B70"/>
    <w:rsid w:val="072B22BC"/>
    <w:rsid w:val="074C43F1"/>
    <w:rsid w:val="07650D5D"/>
    <w:rsid w:val="076619FA"/>
    <w:rsid w:val="07A76048"/>
    <w:rsid w:val="07B16F85"/>
    <w:rsid w:val="07C94578"/>
    <w:rsid w:val="07F615C4"/>
    <w:rsid w:val="08232382"/>
    <w:rsid w:val="08246E93"/>
    <w:rsid w:val="082F5114"/>
    <w:rsid w:val="083D23B2"/>
    <w:rsid w:val="08534C69"/>
    <w:rsid w:val="086136BB"/>
    <w:rsid w:val="08786792"/>
    <w:rsid w:val="08807627"/>
    <w:rsid w:val="08832554"/>
    <w:rsid w:val="0896057A"/>
    <w:rsid w:val="089F6734"/>
    <w:rsid w:val="08D54CEA"/>
    <w:rsid w:val="08FC61FE"/>
    <w:rsid w:val="093252EE"/>
    <w:rsid w:val="09422E59"/>
    <w:rsid w:val="094A4EE7"/>
    <w:rsid w:val="0959407C"/>
    <w:rsid w:val="095E38C5"/>
    <w:rsid w:val="097D1C20"/>
    <w:rsid w:val="098552EA"/>
    <w:rsid w:val="098A3350"/>
    <w:rsid w:val="09A23D38"/>
    <w:rsid w:val="09AB154E"/>
    <w:rsid w:val="09B259BF"/>
    <w:rsid w:val="0A0A57FB"/>
    <w:rsid w:val="0A0F1CA7"/>
    <w:rsid w:val="0A2948BE"/>
    <w:rsid w:val="0A316A36"/>
    <w:rsid w:val="0A451CA7"/>
    <w:rsid w:val="0A57416B"/>
    <w:rsid w:val="0A5B6057"/>
    <w:rsid w:val="0A6F1B02"/>
    <w:rsid w:val="0A8258AD"/>
    <w:rsid w:val="0AA7304A"/>
    <w:rsid w:val="0AE15667"/>
    <w:rsid w:val="0AE24958"/>
    <w:rsid w:val="0AF46E84"/>
    <w:rsid w:val="0AF74A1D"/>
    <w:rsid w:val="0B254E0F"/>
    <w:rsid w:val="0B2D2864"/>
    <w:rsid w:val="0B4432D5"/>
    <w:rsid w:val="0B590F4A"/>
    <w:rsid w:val="0B8511E8"/>
    <w:rsid w:val="0B8E420A"/>
    <w:rsid w:val="0BA81653"/>
    <w:rsid w:val="0BAA700E"/>
    <w:rsid w:val="0BD7795F"/>
    <w:rsid w:val="0BEB10E2"/>
    <w:rsid w:val="0C1A66D1"/>
    <w:rsid w:val="0C411CD0"/>
    <w:rsid w:val="0C596A1F"/>
    <w:rsid w:val="0C5B1FA9"/>
    <w:rsid w:val="0C8E4136"/>
    <w:rsid w:val="0CA062F8"/>
    <w:rsid w:val="0CED2457"/>
    <w:rsid w:val="0D165872"/>
    <w:rsid w:val="0D232FE9"/>
    <w:rsid w:val="0D2C1377"/>
    <w:rsid w:val="0D301CA7"/>
    <w:rsid w:val="0D5C5AB2"/>
    <w:rsid w:val="0D614F04"/>
    <w:rsid w:val="0D691927"/>
    <w:rsid w:val="0D6A4C3D"/>
    <w:rsid w:val="0D6B79A8"/>
    <w:rsid w:val="0D894C89"/>
    <w:rsid w:val="0D904269"/>
    <w:rsid w:val="0DB37F58"/>
    <w:rsid w:val="0DBD7268"/>
    <w:rsid w:val="0DCC335E"/>
    <w:rsid w:val="0DF87606"/>
    <w:rsid w:val="0E04554D"/>
    <w:rsid w:val="0E0C0187"/>
    <w:rsid w:val="0E197CD6"/>
    <w:rsid w:val="0E3C619F"/>
    <w:rsid w:val="0E4137B5"/>
    <w:rsid w:val="0E720AFA"/>
    <w:rsid w:val="0E760DED"/>
    <w:rsid w:val="0E94477A"/>
    <w:rsid w:val="0EA93835"/>
    <w:rsid w:val="0EBC2000"/>
    <w:rsid w:val="0EE07C71"/>
    <w:rsid w:val="0F143C2E"/>
    <w:rsid w:val="0F340DCE"/>
    <w:rsid w:val="0F3918CC"/>
    <w:rsid w:val="0F397095"/>
    <w:rsid w:val="0F4006B3"/>
    <w:rsid w:val="0F904BE6"/>
    <w:rsid w:val="0FB64C56"/>
    <w:rsid w:val="0FD663C6"/>
    <w:rsid w:val="0FEA3549"/>
    <w:rsid w:val="0FED06EC"/>
    <w:rsid w:val="0FF52AA9"/>
    <w:rsid w:val="10044A9B"/>
    <w:rsid w:val="1008523D"/>
    <w:rsid w:val="10190CBD"/>
    <w:rsid w:val="102D14D1"/>
    <w:rsid w:val="103A56ED"/>
    <w:rsid w:val="105F6F02"/>
    <w:rsid w:val="106119F9"/>
    <w:rsid w:val="108711C7"/>
    <w:rsid w:val="10A05079"/>
    <w:rsid w:val="10A34515"/>
    <w:rsid w:val="10BB784F"/>
    <w:rsid w:val="10D355A2"/>
    <w:rsid w:val="1102722C"/>
    <w:rsid w:val="113118BF"/>
    <w:rsid w:val="11342822"/>
    <w:rsid w:val="11627CCB"/>
    <w:rsid w:val="1165541F"/>
    <w:rsid w:val="117935E0"/>
    <w:rsid w:val="118640B3"/>
    <w:rsid w:val="11FB35F8"/>
    <w:rsid w:val="121F52D5"/>
    <w:rsid w:val="12321665"/>
    <w:rsid w:val="123C49C0"/>
    <w:rsid w:val="124273CB"/>
    <w:rsid w:val="12440908"/>
    <w:rsid w:val="12492C39"/>
    <w:rsid w:val="125862DF"/>
    <w:rsid w:val="126741BF"/>
    <w:rsid w:val="126C7EC0"/>
    <w:rsid w:val="1277417D"/>
    <w:rsid w:val="12BE7F96"/>
    <w:rsid w:val="12E70400"/>
    <w:rsid w:val="12F068F7"/>
    <w:rsid w:val="12F745E0"/>
    <w:rsid w:val="12F96D8F"/>
    <w:rsid w:val="1319085D"/>
    <w:rsid w:val="13286CF2"/>
    <w:rsid w:val="13294F44"/>
    <w:rsid w:val="133B07D3"/>
    <w:rsid w:val="1342515B"/>
    <w:rsid w:val="1356443E"/>
    <w:rsid w:val="135A4326"/>
    <w:rsid w:val="1360694E"/>
    <w:rsid w:val="136253A7"/>
    <w:rsid w:val="136544CD"/>
    <w:rsid w:val="13A72C3B"/>
    <w:rsid w:val="13A934D3"/>
    <w:rsid w:val="13B4150B"/>
    <w:rsid w:val="13C0328F"/>
    <w:rsid w:val="13C719E1"/>
    <w:rsid w:val="13DC2553"/>
    <w:rsid w:val="14215CAB"/>
    <w:rsid w:val="142F3F7D"/>
    <w:rsid w:val="143E367B"/>
    <w:rsid w:val="14760CCE"/>
    <w:rsid w:val="148B001C"/>
    <w:rsid w:val="149B2B25"/>
    <w:rsid w:val="149C34F4"/>
    <w:rsid w:val="15007F26"/>
    <w:rsid w:val="15127621"/>
    <w:rsid w:val="15684FD5"/>
    <w:rsid w:val="157939BE"/>
    <w:rsid w:val="158076D1"/>
    <w:rsid w:val="15836462"/>
    <w:rsid w:val="158B1288"/>
    <w:rsid w:val="15B360ED"/>
    <w:rsid w:val="15CA4090"/>
    <w:rsid w:val="15E46AEA"/>
    <w:rsid w:val="15E5196C"/>
    <w:rsid w:val="15F25C65"/>
    <w:rsid w:val="161C194F"/>
    <w:rsid w:val="165805AA"/>
    <w:rsid w:val="167D6633"/>
    <w:rsid w:val="1695644C"/>
    <w:rsid w:val="16A6065A"/>
    <w:rsid w:val="16C7330C"/>
    <w:rsid w:val="16CE41FA"/>
    <w:rsid w:val="16E77616"/>
    <w:rsid w:val="16E80C72"/>
    <w:rsid w:val="16F862E2"/>
    <w:rsid w:val="170B4961"/>
    <w:rsid w:val="172D2B29"/>
    <w:rsid w:val="17374F68"/>
    <w:rsid w:val="176159C8"/>
    <w:rsid w:val="17762075"/>
    <w:rsid w:val="17C50F2C"/>
    <w:rsid w:val="17C57205"/>
    <w:rsid w:val="17CB2366"/>
    <w:rsid w:val="181F4751"/>
    <w:rsid w:val="182E1E5C"/>
    <w:rsid w:val="186407CC"/>
    <w:rsid w:val="1871686D"/>
    <w:rsid w:val="187F73B4"/>
    <w:rsid w:val="188416DE"/>
    <w:rsid w:val="188542AB"/>
    <w:rsid w:val="1888103C"/>
    <w:rsid w:val="18940F06"/>
    <w:rsid w:val="189E1726"/>
    <w:rsid w:val="18AE213F"/>
    <w:rsid w:val="18EF3A7F"/>
    <w:rsid w:val="19024447"/>
    <w:rsid w:val="19160AEA"/>
    <w:rsid w:val="19202945"/>
    <w:rsid w:val="19266EAE"/>
    <w:rsid w:val="193E61A9"/>
    <w:rsid w:val="1977008B"/>
    <w:rsid w:val="19A52E4A"/>
    <w:rsid w:val="19AC41D9"/>
    <w:rsid w:val="19B175FE"/>
    <w:rsid w:val="19BA2DA6"/>
    <w:rsid w:val="19CB3F91"/>
    <w:rsid w:val="19D43730"/>
    <w:rsid w:val="19DE29A1"/>
    <w:rsid w:val="19E17184"/>
    <w:rsid w:val="19E716B5"/>
    <w:rsid w:val="19FB2C3C"/>
    <w:rsid w:val="1A1B5EE6"/>
    <w:rsid w:val="1A351A94"/>
    <w:rsid w:val="1A3B188F"/>
    <w:rsid w:val="1A416618"/>
    <w:rsid w:val="1A4F4961"/>
    <w:rsid w:val="1A527E86"/>
    <w:rsid w:val="1A5F0DA7"/>
    <w:rsid w:val="1A8011C2"/>
    <w:rsid w:val="1A864FC7"/>
    <w:rsid w:val="1A967D50"/>
    <w:rsid w:val="1A970FB3"/>
    <w:rsid w:val="1AAB45F6"/>
    <w:rsid w:val="1AC35813"/>
    <w:rsid w:val="1AC402FB"/>
    <w:rsid w:val="1AC83294"/>
    <w:rsid w:val="1ADC4BA2"/>
    <w:rsid w:val="1AF205C1"/>
    <w:rsid w:val="1AFA5418"/>
    <w:rsid w:val="1B106349"/>
    <w:rsid w:val="1B133EBD"/>
    <w:rsid w:val="1B3F107D"/>
    <w:rsid w:val="1B4628AD"/>
    <w:rsid w:val="1B4A3CA9"/>
    <w:rsid w:val="1B524AC2"/>
    <w:rsid w:val="1B59326E"/>
    <w:rsid w:val="1B791B76"/>
    <w:rsid w:val="1BA82FED"/>
    <w:rsid w:val="1BB6133F"/>
    <w:rsid w:val="1BBD3D34"/>
    <w:rsid w:val="1BBE13E9"/>
    <w:rsid w:val="1BC54211"/>
    <w:rsid w:val="1BCC07FF"/>
    <w:rsid w:val="1BED31A7"/>
    <w:rsid w:val="1C2416AE"/>
    <w:rsid w:val="1C2D03AA"/>
    <w:rsid w:val="1C60574F"/>
    <w:rsid w:val="1C694603"/>
    <w:rsid w:val="1C8A3204"/>
    <w:rsid w:val="1CB3587E"/>
    <w:rsid w:val="1CD56934"/>
    <w:rsid w:val="1CE400B3"/>
    <w:rsid w:val="1CE442E3"/>
    <w:rsid w:val="1D012A8E"/>
    <w:rsid w:val="1D0B7468"/>
    <w:rsid w:val="1D10120A"/>
    <w:rsid w:val="1D1736BA"/>
    <w:rsid w:val="1D2119DA"/>
    <w:rsid w:val="1D2530AE"/>
    <w:rsid w:val="1D383045"/>
    <w:rsid w:val="1D481945"/>
    <w:rsid w:val="1D497F91"/>
    <w:rsid w:val="1D4E6BA1"/>
    <w:rsid w:val="1D6651E0"/>
    <w:rsid w:val="1D7F1E81"/>
    <w:rsid w:val="1D9F6122"/>
    <w:rsid w:val="1DE63A32"/>
    <w:rsid w:val="1DEB189E"/>
    <w:rsid w:val="1E2B1E83"/>
    <w:rsid w:val="1E453774"/>
    <w:rsid w:val="1E58492F"/>
    <w:rsid w:val="1E5B7F7C"/>
    <w:rsid w:val="1E5E5C12"/>
    <w:rsid w:val="1E7277E4"/>
    <w:rsid w:val="1E8D7EC4"/>
    <w:rsid w:val="1E9811D0"/>
    <w:rsid w:val="1EB05FC3"/>
    <w:rsid w:val="1EB06519"/>
    <w:rsid w:val="1EB57C64"/>
    <w:rsid w:val="1EB75293"/>
    <w:rsid w:val="1EDA17E8"/>
    <w:rsid w:val="1EDD61C5"/>
    <w:rsid w:val="1EDE506D"/>
    <w:rsid w:val="1EE456C8"/>
    <w:rsid w:val="1EF442CB"/>
    <w:rsid w:val="1EFA23B0"/>
    <w:rsid w:val="1F1C3BAF"/>
    <w:rsid w:val="1F2F00D5"/>
    <w:rsid w:val="1F3031B6"/>
    <w:rsid w:val="1F375C0D"/>
    <w:rsid w:val="1F3D0CE1"/>
    <w:rsid w:val="1F444EB4"/>
    <w:rsid w:val="1F541C2F"/>
    <w:rsid w:val="1FA00F50"/>
    <w:rsid w:val="1FA7260B"/>
    <w:rsid w:val="1FCC5AE8"/>
    <w:rsid w:val="1FE0333B"/>
    <w:rsid w:val="1FEE3736"/>
    <w:rsid w:val="2034266D"/>
    <w:rsid w:val="20441BF7"/>
    <w:rsid w:val="20567811"/>
    <w:rsid w:val="206472BB"/>
    <w:rsid w:val="207B20B8"/>
    <w:rsid w:val="208F3298"/>
    <w:rsid w:val="20AE2C72"/>
    <w:rsid w:val="20B47E17"/>
    <w:rsid w:val="20C87EE6"/>
    <w:rsid w:val="20DF6696"/>
    <w:rsid w:val="21156537"/>
    <w:rsid w:val="21584C46"/>
    <w:rsid w:val="218469C1"/>
    <w:rsid w:val="21FB6487"/>
    <w:rsid w:val="22511F8F"/>
    <w:rsid w:val="22590C76"/>
    <w:rsid w:val="225B5552"/>
    <w:rsid w:val="22620C72"/>
    <w:rsid w:val="226811CD"/>
    <w:rsid w:val="22753215"/>
    <w:rsid w:val="22754B37"/>
    <w:rsid w:val="22A91E57"/>
    <w:rsid w:val="22AE5F02"/>
    <w:rsid w:val="22B71369"/>
    <w:rsid w:val="22C70E9C"/>
    <w:rsid w:val="22E54FD6"/>
    <w:rsid w:val="23156267"/>
    <w:rsid w:val="231F3C6E"/>
    <w:rsid w:val="23305E7B"/>
    <w:rsid w:val="23641680"/>
    <w:rsid w:val="23B24AE2"/>
    <w:rsid w:val="23BA37D0"/>
    <w:rsid w:val="23D26F32"/>
    <w:rsid w:val="23F724F4"/>
    <w:rsid w:val="24207C9D"/>
    <w:rsid w:val="2432177F"/>
    <w:rsid w:val="243A6885"/>
    <w:rsid w:val="244A7E06"/>
    <w:rsid w:val="24552B00"/>
    <w:rsid w:val="24582CE4"/>
    <w:rsid w:val="246C3202"/>
    <w:rsid w:val="2483022C"/>
    <w:rsid w:val="24CD7C86"/>
    <w:rsid w:val="250462EA"/>
    <w:rsid w:val="252D7657"/>
    <w:rsid w:val="25355DF2"/>
    <w:rsid w:val="25390605"/>
    <w:rsid w:val="253A3746"/>
    <w:rsid w:val="25671777"/>
    <w:rsid w:val="256C29A0"/>
    <w:rsid w:val="25716113"/>
    <w:rsid w:val="25752417"/>
    <w:rsid w:val="25933BDB"/>
    <w:rsid w:val="25B66BA8"/>
    <w:rsid w:val="25C37B84"/>
    <w:rsid w:val="25E70ABF"/>
    <w:rsid w:val="262732E8"/>
    <w:rsid w:val="266E4660"/>
    <w:rsid w:val="26A45747"/>
    <w:rsid w:val="26B20955"/>
    <w:rsid w:val="26CF4594"/>
    <w:rsid w:val="271E4DAB"/>
    <w:rsid w:val="27255727"/>
    <w:rsid w:val="274759C4"/>
    <w:rsid w:val="274B7559"/>
    <w:rsid w:val="278E4F1E"/>
    <w:rsid w:val="27944F81"/>
    <w:rsid w:val="27BF157B"/>
    <w:rsid w:val="27FA6A57"/>
    <w:rsid w:val="28166B73"/>
    <w:rsid w:val="282442D9"/>
    <w:rsid w:val="284367B5"/>
    <w:rsid w:val="285718A5"/>
    <w:rsid w:val="28D42DB2"/>
    <w:rsid w:val="28EB4C69"/>
    <w:rsid w:val="28F865CB"/>
    <w:rsid w:val="29053276"/>
    <w:rsid w:val="29250E1B"/>
    <w:rsid w:val="292A336C"/>
    <w:rsid w:val="295A53EB"/>
    <w:rsid w:val="297665B1"/>
    <w:rsid w:val="29802F8C"/>
    <w:rsid w:val="29803AA3"/>
    <w:rsid w:val="29884B07"/>
    <w:rsid w:val="298957C4"/>
    <w:rsid w:val="29BD5F8E"/>
    <w:rsid w:val="29CF1324"/>
    <w:rsid w:val="29DF4E52"/>
    <w:rsid w:val="2A1D6A45"/>
    <w:rsid w:val="2A2102CB"/>
    <w:rsid w:val="2A6F6EBA"/>
    <w:rsid w:val="2A774E1D"/>
    <w:rsid w:val="2A780C4F"/>
    <w:rsid w:val="2A830C79"/>
    <w:rsid w:val="2A8D5961"/>
    <w:rsid w:val="2AD11736"/>
    <w:rsid w:val="2AE65071"/>
    <w:rsid w:val="2B0E0405"/>
    <w:rsid w:val="2B1029CF"/>
    <w:rsid w:val="2B1D6E88"/>
    <w:rsid w:val="2B1F7D54"/>
    <w:rsid w:val="2B2032D9"/>
    <w:rsid w:val="2B4D51E4"/>
    <w:rsid w:val="2B5F0E77"/>
    <w:rsid w:val="2B720245"/>
    <w:rsid w:val="2B7F64C1"/>
    <w:rsid w:val="2BA3212D"/>
    <w:rsid w:val="2BE7007A"/>
    <w:rsid w:val="2BEE09B1"/>
    <w:rsid w:val="2BFE408A"/>
    <w:rsid w:val="2C234403"/>
    <w:rsid w:val="2C2A1060"/>
    <w:rsid w:val="2C916010"/>
    <w:rsid w:val="2CA927FA"/>
    <w:rsid w:val="2CC9059D"/>
    <w:rsid w:val="2CDF0482"/>
    <w:rsid w:val="2D22640D"/>
    <w:rsid w:val="2D464D5F"/>
    <w:rsid w:val="2D4E5097"/>
    <w:rsid w:val="2D592D22"/>
    <w:rsid w:val="2D8C0151"/>
    <w:rsid w:val="2DA27975"/>
    <w:rsid w:val="2DB5450D"/>
    <w:rsid w:val="2DFB00B5"/>
    <w:rsid w:val="2E474078"/>
    <w:rsid w:val="2E556795"/>
    <w:rsid w:val="2E681342"/>
    <w:rsid w:val="2E697CA3"/>
    <w:rsid w:val="2E6D4E98"/>
    <w:rsid w:val="2E7931EC"/>
    <w:rsid w:val="2E7B0389"/>
    <w:rsid w:val="2E944745"/>
    <w:rsid w:val="2E9705D3"/>
    <w:rsid w:val="2E9C3022"/>
    <w:rsid w:val="2E9F2106"/>
    <w:rsid w:val="2EBC6814"/>
    <w:rsid w:val="2EBE0475"/>
    <w:rsid w:val="2EC1790D"/>
    <w:rsid w:val="2ED718A0"/>
    <w:rsid w:val="2EE23871"/>
    <w:rsid w:val="2EE71A9D"/>
    <w:rsid w:val="2EEF6BEA"/>
    <w:rsid w:val="2EFF1CE5"/>
    <w:rsid w:val="2F1D1D68"/>
    <w:rsid w:val="2F2A65B2"/>
    <w:rsid w:val="2F6C2DFA"/>
    <w:rsid w:val="2F7F39E1"/>
    <w:rsid w:val="2FAD2438"/>
    <w:rsid w:val="2FAF4DFB"/>
    <w:rsid w:val="2FC811E9"/>
    <w:rsid w:val="3022617D"/>
    <w:rsid w:val="303A1CAD"/>
    <w:rsid w:val="303E6666"/>
    <w:rsid w:val="30464B56"/>
    <w:rsid w:val="30473068"/>
    <w:rsid w:val="307C2C0D"/>
    <w:rsid w:val="30896BCA"/>
    <w:rsid w:val="308C66BA"/>
    <w:rsid w:val="30965B9C"/>
    <w:rsid w:val="30967620"/>
    <w:rsid w:val="30BD1FE5"/>
    <w:rsid w:val="30F36C74"/>
    <w:rsid w:val="30F90CD1"/>
    <w:rsid w:val="30F9318B"/>
    <w:rsid w:val="31272F44"/>
    <w:rsid w:val="31362C1F"/>
    <w:rsid w:val="31605B7D"/>
    <w:rsid w:val="31662A68"/>
    <w:rsid w:val="316B62D0"/>
    <w:rsid w:val="31936105"/>
    <w:rsid w:val="319475D5"/>
    <w:rsid w:val="31A57A34"/>
    <w:rsid w:val="31AE740B"/>
    <w:rsid w:val="31B658D4"/>
    <w:rsid w:val="31B9385A"/>
    <w:rsid w:val="32316E69"/>
    <w:rsid w:val="325B404D"/>
    <w:rsid w:val="3264576A"/>
    <w:rsid w:val="32742ADC"/>
    <w:rsid w:val="32887E5F"/>
    <w:rsid w:val="329A50AF"/>
    <w:rsid w:val="329E5AD1"/>
    <w:rsid w:val="329E6A56"/>
    <w:rsid w:val="32C02899"/>
    <w:rsid w:val="32CC51E5"/>
    <w:rsid w:val="32E6051A"/>
    <w:rsid w:val="32F02F31"/>
    <w:rsid w:val="32F33B15"/>
    <w:rsid w:val="330B7D6A"/>
    <w:rsid w:val="332A2B6E"/>
    <w:rsid w:val="332B5568"/>
    <w:rsid w:val="335A3660"/>
    <w:rsid w:val="337176F8"/>
    <w:rsid w:val="33753436"/>
    <w:rsid w:val="33A40443"/>
    <w:rsid w:val="33A718ED"/>
    <w:rsid w:val="33AA3E3F"/>
    <w:rsid w:val="33C61EE3"/>
    <w:rsid w:val="33EF143A"/>
    <w:rsid w:val="3402290E"/>
    <w:rsid w:val="341D5FA7"/>
    <w:rsid w:val="344A35D0"/>
    <w:rsid w:val="34873182"/>
    <w:rsid w:val="34AC6BE3"/>
    <w:rsid w:val="34EB329F"/>
    <w:rsid w:val="34F942C8"/>
    <w:rsid w:val="34FE1F7D"/>
    <w:rsid w:val="35064D89"/>
    <w:rsid w:val="35266C07"/>
    <w:rsid w:val="35270865"/>
    <w:rsid w:val="356F6C4A"/>
    <w:rsid w:val="3594762C"/>
    <w:rsid w:val="35A87AF3"/>
    <w:rsid w:val="35C42A65"/>
    <w:rsid w:val="36041B6D"/>
    <w:rsid w:val="3609516B"/>
    <w:rsid w:val="361B7BDC"/>
    <w:rsid w:val="364221AD"/>
    <w:rsid w:val="36627D01"/>
    <w:rsid w:val="36AC6FD2"/>
    <w:rsid w:val="36AE45FE"/>
    <w:rsid w:val="36D4159F"/>
    <w:rsid w:val="36E67798"/>
    <w:rsid w:val="36E7289C"/>
    <w:rsid w:val="36FF0DB1"/>
    <w:rsid w:val="37067020"/>
    <w:rsid w:val="372649E2"/>
    <w:rsid w:val="372C02AF"/>
    <w:rsid w:val="372C59AA"/>
    <w:rsid w:val="372E2279"/>
    <w:rsid w:val="373000B7"/>
    <w:rsid w:val="37412D8C"/>
    <w:rsid w:val="37424DCB"/>
    <w:rsid w:val="377A54BF"/>
    <w:rsid w:val="37824D2F"/>
    <w:rsid w:val="37963F54"/>
    <w:rsid w:val="379A6B89"/>
    <w:rsid w:val="37B7401D"/>
    <w:rsid w:val="37BF2E3D"/>
    <w:rsid w:val="37D107AA"/>
    <w:rsid w:val="37FD7E74"/>
    <w:rsid w:val="380A6843"/>
    <w:rsid w:val="38617BEC"/>
    <w:rsid w:val="38926D93"/>
    <w:rsid w:val="38B04B0E"/>
    <w:rsid w:val="38E54BBA"/>
    <w:rsid w:val="38FD54AF"/>
    <w:rsid w:val="390741E5"/>
    <w:rsid w:val="391F264A"/>
    <w:rsid w:val="39243472"/>
    <w:rsid w:val="392B2144"/>
    <w:rsid w:val="394205BC"/>
    <w:rsid w:val="3997588E"/>
    <w:rsid w:val="39B46D56"/>
    <w:rsid w:val="39C828E7"/>
    <w:rsid w:val="39DD557C"/>
    <w:rsid w:val="39F552D0"/>
    <w:rsid w:val="39FC4298"/>
    <w:rsid w:val="3A4536A9"/>
    <w:rsid w:val="3A552184"/>
    <w:rsid w:val="3A60099C"/>
    <w:rsid w:val="3A672F16"/>
    <w:rsid w:val="3A7900EF"/>
    <w:rsid w:val="3A800711"/>
    <w:rsid w:val="3A810CA0"/>
    <w:rsid w:val="3A9446EC"/>
    <w:rsid w:val="3A96496C"/>
    <w:rsid w:val="3A9F3479"/>
    <w:rsid w:val="3ABC7EEE"/>
    <w:rsid w:val="3AC0768C"/>
    <w:rsid w:val="3AED2009"/>
    <w:rsid w:val="3B1771AB"/>
    <w:rsid w:val="3B1939D0"/>
    <w:rsid w:val="3B581890"/>
    <w:rsid w:val="3BA96372"/>
    <w:rsid w:val="3BAB1C70"/>
    <w:rsid w:val="3BAB26D3"/>
    <w:rsid w:val="3BD009CC"/>
    <w:rsid w:val="3BDE0A34"/>
    <w:rsid w:val="3BF45BDB"/>
    <w:rsid w:val="3C0812EB"/>
    <w:rsid w:val="3C2B1FE6"/>
    <w:rsid w:val="3C541C9F"/>
    <w:rsid w:val="3C8779B9"/>
    <w:rsid w:val="3C8B2C2B"/>
    <w:rsid w:val="3C940215"/>
    <w:rsid w:val="3C9F058C"/>
    <w:rsid w:val="3CA60B04"/>
    <w:rsid w:val="3CB74ABF"/>
    <w:rsid w:val="3CC97C4F"/>
    <w:rsid w:val="3CCA29EB"/>
    <w:rsid w:val="3CCC5DBF"/>
    <w:rsid w:val="3CD74C46"/>
    <w:rsid w:val="3D3B124C"/>
    <w:rsid w:val="3D481758"/>
    <w:rsid w:val="3D497E6A"/>
    <w:rsid w:val="3D567E34"/>
    <w:rsid w:val="3D634958"/>
    <w:rsid w:val="3D6C6B53"/>
    <w:rsid w:val="3D8A01C7"/>
    <w:rsid w:val="3D8C6BB2"/>
    <w:rsid w:val="3D987150"/>
    <w:rsid w:val="3D9D71C0"/>
    <w:rsid w:val="3D9E333B"/>
    <w:rsid w:val="3DBC00BF"/>
    <w:rsid w:val="3DCB1A6B"/>
    <w:rsid w:val="3DED30AA"/>
    <w:rsid w:val="3DEE3528"/>
    <w:rsid w:val="3DFF671E"/>
    <w:rsid w:val="3E3102BB"/>
    <w:rsid w:val="3E614AA5"/>
    <w:rsid w:val="3E704F26"/>
    <w:rsid w:val="3EB02545"/>
    <w:rsid w:val="3EB21D54"/>
    <w:rsid w:val="3EF93562"/>
    <w:rsid w:val="3F12422F"/>
    <w:rsid w:val="3F18661A"/>
    <w:rsid w:val="3F6D4287"/>
    <w:rsid w:val="3F7512EA"/>
    <w:rsid w:val="3F850EA5"/>
    <w:rsid w:val="3F9730B9"/>
    <w:rsid w:val="3FBD58AF"/>
    <w:rsid w:val="3FC15168"/>
    <w:rsid w:val="3FC55901"/>
    <w:rsid w:val="3FC92B3F"/>
    <w:rsid w:val="3FC9458D"/>
    <w:rsid w:val="3FD033AD"/>
    <w:rsid w:val="3FE12547"/>
    <w:rsid w:val="3FE23C01"/>
    <w:rsid w:val="401924B3"/>
    <w:rsid w:val="401F021A"/>
    <w:rsid w:val="403D0C6D"/>
    <w:rsid w:val="404148A6"/>
    <w:rsid w:val="40572AB6"/>
    <w:rsid w:val="405D3459"/>
    <w:rsid w:val="4068264C"/>
    <w:rsid w:val="407728FD"/>
    <w:rsid w:val="40983992"/>
    <w:rsid w:val="40CA0DB3"/>
    <w:rsid w:val="40D64B0A"/>
    <w:rsid w:val="40DB2B57"/>
    <w:rsid w:val="40DC5CDB"/>
    <w:rsid w:val="410603FC"/>
    <w:rsid w:val="410D06B8"/>
    <w:rsid w:val="4156426C"/>
    <w:rsid w:val="415D2E43"/>
    <w:rsid w:val="41A274B6"/>
    <w:rsid w:val="41C034AF"/>
    <w:rsid w:val="41C061C4"/>
    <w:rsid w:val="42107DDD"/>
    <w:rsid w:val="42311D52"/>
    <w:rsid w:val="424A712C"/>
    <w:rsid w:val="42563698"/>
    <w:rsid w:val="4263268C"/>
    <w:rsid w:val="426C12DA"/>
    <w:rsid w:val="428C44AE"/>
    <w:rsid w:val="429F7E60"/>
    <w:rsid w:val="42A66B85"/>
    <w:rsid w:val="42B615E6"/>
    <w:rsid w:val="42CB2D35"/>
    <w:rsid w:val="42D21256"/>
    <w:rsid w:val="42F42EB4"/>
    <w:rsid w:val="42F759C4"/>
    <w:rsid w:val="43023463"/>
    <w:rsid w:val="43144A19"/>
    <w:rsid w:val="431C38CE"/>
    <w:rsid w:val="433F0A06"/>
    <w:rsid w:val="434660D0"/>
    <w:rsid w:val="43554BAC"/>
    <w:rsid w:val="435D3A52"/>
    <w:rsid w:val="43770B04"/>
    <w:rsid w:val="438751EB"/>
    <w:rsid w:val="43A027A3"/>
    <w:rsid w:val="43AA1E91"/>
    <w:rsid w:val="43AF27CC"/>
    <w:rsid w:val="43BA343C"/>
    <w:rsid w:val="43DD4C6D"/>
    <w:rsid w:val="43F8127E"/>
    <w:rsid w:val="4428525F"/>
    <w:rsid w:val="444A0170"/>
    <w:rsid w:val="44621887"/>
    <w:rsid w:val="44667276"/>
    <w:rsid w:val="448259B3"/>
    <w:rsid w:val="44A37922"/>
    <w:rsid w:val="44B63420"/>
    <w:rsid w:val="44B71DE6"/>
    <w:rsid w:val="44BE70AA"/>
    <w:rsid w:val="44D7718A"/>
    <w:rsid w:val="44DB6B8D"/>
    <w:rsid w:val="45561319"/>
    <w:rsid w:val="45DE130F"/>
    <w:rsid w:val="45F8252B"/>
    <w:rsid w:val="46153B79"/>
    <w:rsid w:val="4625595A"/>
    <w:rsid w:val="4655670F"/>
    <w:rsid w:val="46690BD8"/>
    <w:rsid w:val="469236DF"/>
    <w:rsid w:val="46CD6A3D"/>
    <w:rsid w:val="46D23AA8"/>
    <w:rsid w:val="46D446A7"/>
    <w:rsid w:val="46ED7A5B"/>
    <w:rsid w:val="47165D61"/>
    <w:rsid w:val="475D1752"/>
    <w:rsid w:val="476E2F0C"/>
    <w:rsid w:val="47767BD4"/>
    <w:rsid w:val="477737C9"/>
    <w:rsid w:val="477766D9"/>
    <w:rsid w:val="477D0471"/>
    <w:rsid w:val="47E250E6"/>
    <w:rsid w:val="47E31939"/>
    <w:rsid w:val="47FB44E3"/>
    <w:rsid w:val="4804332F"/>
    <w:rsid w:val="48117779"/>
    <w:rsid w:val="482374AD"/>
    <w:rsid w:val="48523ECB"/>
    <w:rsid w:val="48527D6A"/>
    <w:rsid w:val="48594C7C"/>
    <w:rsid w:val="48677399"/>
    <w:rsid w:val="48767191"/>
    <w:rsid w:val="48855CB8"/>
    <w:rsid w:val="488A747A"/>
    <w:rsid w:val="489640A7"/>
    <w:rsid w:val="489E300A"/>
    <w:rsid w:val="4909055C"/>
    <w:rsid w:val="492152AE"/>
    <w:rsid w:val="4955748F"/>
    <w:rsid w:val="49634005"/>
    <w:rsid w:val="49694B92"/>
    <w:rsid w:val="496D4E83"/>
    <w:rsid w:val="49737357"/>
    <w:rsid w:val="49E36EF3"/>
    <w:rsid w:val="4A0366CF"/>
    <w:rsid w:val="4A256483"/>
    <w:rsid w:val="4A38641F"/>
    <w:rsid w:val="4A4E6A63"/>
    <w:rsid w:val="4A800E57"/>
    <w:rsid w:val="4A9F5D83"/>
    <w:rsid w:val="4AB5099E"/>
    <w:rsid w:val="4AB52052"/>
    <w:rsid w:val="4AF859CC"/>
    <w:rsid w:val="4B5E5853"/>
    <w:rsid w:val="4B657DEC"/>
    <w:rsid w:val="4B683B54"/>
    <w:rsid w:val="4B6B5BFE"/>
    <w:rsid w:val="4B6F63D5"/>
    <w:rsid w:val="4B8152D3"/>
    <w:rsid w:val="4B83273C"/>
    <w:rsid w:val="4B965649"/>
    <w:rsid w:val="4B9A1834"/>
    <w:rsid w:val="4BAF2CE6"/>
    <w:rsid w:val="4BB30958"/>
    <w:rsid w:val="4BBA0F4B"/>
    <w:rsid w:val="4BC03621"/>
    <w:rsid w:val="4BC22F72"/>
    <w:rsid w:val="4BEC1DA9"/>
    <w:rsid w:val="4C431ECB"/>
    <w:rsid w:val="4C454D9D"/>
    <w:rsid w:val="4C6D4FD8"/>
    <w:rsid w:val="4C956109"/>
    <w:rsid w:val="4CB12B2C"/>
    <w:rsid w:val="4CBC2827"/>
    <w:rsid w:val="4CC312B6"/>
    <w:rsid w:val="4CC748AA"/>
    <w:rsid w:val="4CCE79E7"/>
    <w:rsid w:val="4CDD2221"/>
    <w:rsid w:val="4CEC7C13"/>
    <w:rsid w:val="4D1737DC"/>
    <w:rsid w:val="4D225F85"/>
    <w:rsid w:val="4D297313"/>
    <w:rsid w:val="4D2E5116"/>
    <w:rsid w:val="4D4946C3"/>
    <w:rsid w:val="4D553C64"/>
    <w:rsid w:val="4D6215E1"/>
    <w:rsid w:val="4D667D39"/>
    <w:rsid w:val="4D6A6CFA"/>
    <w:rsid w:val="4D6F53B7"/>
    <w:rsid w:val="4D8C427F"/>
    <w:rsid w:val="4D9739B2"/>
    <w:rsid w:val="4D973F59"/>
    <w:rsid w:val="4D97704E"/>
    <w:rsid w:val="4DB579D1"/>
    <w:rsid w:val="4DBD70EB"/>
    <w:rsid w:val="4DD51249"/>
    <w:rsid w:val="4DD76CA3"/>
    <w:rsid w:val="4E5B174E"/>
    <w:rsid w:val="4E6E459C"/>
    <w:rsid w:val="4E817FEA"/>
    <w:rsid w:val="4E98618A"/>
    <w:rsid w:val="4E9D352C"/>
    <w:rsid w:val="4EA009F8"/>
    <w:rsid w:val="4EB95E17"/>
    <w:rsid w:val="4EB96475"/>
    <w:rsid w:val="4EF253F4"/>
    <w:rsid w:val="4EFB4CDF"/>
    <w:rsid w:val="4F0A4F22"/>
    <w:rsid w:val="4F500538"/>
    <w:rsid w:val="4F6B02B8"/>
    <w:rsid w:val="4F7156E6"/>
    <w:rsid w:val="4FA43165"/>
    <w:rsid w:val="4FB6214D"/>
    <w:rsid w:val="4FF82FCD"/>
    <w:rsid w:val="4FFA116E"/>
    <w:rsid w:val="4FFA2095"/>
    <w:rsid w:val="50151DD1"/>
    <w:rsid w:val="502A1801"/>
    <w:rsid w:val="504C7A9D"/>
    <w:rsid w:val="509E6F0D"/>
    <w:rsid w:val="50AA42C7"/>
    <w:rsid w:val="50D41344"/>
    <w:rsid w:val="50D47596"/>
    <w:rsid w:val="50E2544B"/>
    <w:rsid w:val="50E65CE2"/>
    <w:rsid w:val="511E0033"/>
    <w:rsid w:val="51202751"/>
    <w:rsid w:val="51366F1E"/>
    <w:rsid w:val="5143280B"/>
    <w:rsid w:val="51546F21"/>
    <w:rsid w:val="515D758B"/>
    <w:rsid w:val="517A638F"/>
    <w:rsid w:val="517F2D8F"/>
    <w:rsid w:val="51826FF2"/>
    <w:rsid w:val="518A1586"/>
    <w:rsid w:val="519C4558"/>
    <w:rsid w:val="51A86476"/>
    <w:rsid w:val="51C8534D"/>
    <w:rsid w:val="51D05FAF"/>
    <w:rsid w:val="51D51C1A"/>
    <w:rsid w:val="51DD620D"/>
    <w:rsid w:val="51F83F85"/>
    <w:rsid w:val="52051862"/>
    <w:rsid w:val="52100AA2"/>
    <w:rsid w:val="52245275"/>
    <w:rsid w:val="52262073"/>
    <w:rsid w:val="522A5D40"/>
    <w:rsid w:val="52535651"/>
    <w:rsid w:val="5278011C"/>
    <w:rsid w:val="52AB2578"/>
    <w:rsid w:val="52E972F6"/>
    <w:rsid w:val="53043BBE"/>
    <w:rsid w:val="53163533"/>
    <w:rsid w:val="53274B28"/>
    <w:rsid w:val="535C0EA9"/>
    <w:rsid w:val="537F1DE8"/>
    <w:rsid w:val="53876B42"/>
    <w:rsid w:val="53E43F94"/>
    <w:rsid w:val="53EC2A4F"/>
    <w:rsid w:val="541E4FD7"/>
    <w:rsid w:val="54333B92"/>
    <w:rsid w:val="5444354A"/>
    <w:rsid w:val="544D7D8B"/>
    <w:rsid w:val="545F7AE6"/>
    <w:rsid w:val="547A6B2A"/>
    <w:rsid w:val="54905ECA"/>
    <w:rsid w:val="54C51909"/>
    <w:rsid w:val="54D049E4"/>
    <w:rsid w:val="54F16968"/>
    <w:rsid w:val="54F75F49"/>
    <w:rsid w:val="551D6AF9"/>
    <w:rsid w:val="554D7917"/>
    <w:rsid w:val="556324F2"/>
    <w:rsid w:val="55A60ADC"/>
    <w:rsid w:val="55D857C5"/>
    <w:rsid w:val="56253A26"/>
    <w:rsid w:val="56257414"/>
    <w:rsid w:val="5638334C"/>
    <w:rsid w:val="56725887"/>
    <w:rsid w:val="56780FF9"/>
    <w:rsid w:val="567A0BDF"/>
    <w:rsid w:val="56870578"/>
    <w:rsid w:val="568F259A"/>
    <w:rsid w:val="569241C0"/>
    <w:rsid w:val="56973027"/>
    <w:rsid w:val="56A1616C"/>
    <w:rsid w:val="56A33B67"/>
    <w:rsid w:val="56A40E03"/>
    <w:rsid w:val="56C45A8D"/>
    <w:rsid w:val="56E20A0E"/>
    <w:rsid w:val="57034731"/>
    <w:rsid w:val="5737516A"/>
    <w:rsid w:val="57431AE0"/>
    <w:rsid w:val="576A2A02"/>
    <w:rsid w:val="57730A91"/>
    <w:rsid w:val="57A27BD5"/>
    <w:rsid w:val="57C762A2"/>
    <w:rsid w:val="57DE6F4C"/>
    <w:rsid w:val="58005114"/>
    <w:rsid w:val="5812512F"/>
    <w:rsid w:val="58207565"/>
    <w:rsid w:val="58402143"/>
    <w:rsid w:val="588C140C"/>
    <w:rsid w:val="58A00649"/>
    <w:rsid w:val="58B21650"/>
    <w:rsid w:val="58C00F3E"/>
    <w:rsid w:val="58C21630"/>
    <w:rsid w:val="58C919AA"/>
    <w:rsid w:val="59103E6F"/>
    <w:rsid w:val="59373C72"/>
    <w:rsid w:val="5945207E"/>
    <w:rsid w:val="595B4F2E"/>
    <w:rsid w:val="596C42A4"/>
    <w:rsid w:val="596D221D"/>
    <w:rsid w:val="59A237B5"/>
    <w:rsid w:val="59A77712"/>
    <w:rsid w:val="59B02759"/>
    <w:rsid w:val="59D32AE1"/>
    <w:rsid w:val="5A144EA7"/>
    <w:rsid w:val="5A706348"/>
    <w:rsid w:val="5A72604D"/>
    <w:rsid w:val="5A743572"/>
    <w:rsid w:val="5A7F77CE"/>
    <w:rsid w:val="5AA20C09"/>
    <w:rsid w:val="5ABC5F71"/>
    <w:rsid w:val="5AF81EC0"/>
    <w:rsid w:val="5AF8422D"/>
    <w:rsid w:val="5B0E4DAE"/>
    <w:rsid w:val="5B0E6862"/>
    <w:rsid w:val="5B58464F"/>
    <w:rsid w:val="5B8509D1"/>
    <w:rsid w:val="5B90297B"/>
    <w:rsid w:val="5BC70423"/>
    <w:rsid w:val="5BF154A0"/>
    <w:rsid w:val="5C076A71"/>
    <w:rsid w:val="5C11606C"/>
    <w:rsid w:val="5C4E0A2D"/>
    <w:rsid w:val="5C524815"/>
    <w:rsid w:val="5C64452B"/>
    <w:rsid w:val="5C7719CE"/>
    <w:rsid w:val="5C8E79BD"/>
    <w:rsid w:val="5C9407AC"/>
    <w:rsid w:val="5C981DBF"/>
    <w:rsid w:val="5CE96177"/>
    <w:rsid w:val="5D23703E"/>
    <w:rsid w:val="5D2719C9"/>
    <w:rsid w:val="5D2773E7"/>
    <w:rsid w:val="5D285026"/>
    <w:rsid w:val="5D373386"/>
    <w:rsid w:val="5D5C0E3F"/>
    <w:rsid w:val="5D5D2953"/>
    <w:rsid w:val="5D5E619D"/>
    <w:rsid w:val="5D697358"/>
    <w:rsid w:val="5D747A99"/>
    <w:rsid w:val="5D9249ED"/>
    <w:rsid w:val="5DA1646B"/>
    <w:rsid w:val="5DB03139"/>
    <w:rsid w:val="5DC32A29"/>
    <w:rsid w:val="5DDB1F64"/>
    <w:rsid w:val="5DDC5DDB"/>
    <w:rsid w:val="5DE55498"/>
    <w:rsid w:val="5DF04FFA"/>
    <w:rsid w:val="5DF905DA"/>
    <w:rsid w:val="5E063C72"/>
    <w:rsid w:val="5E19167C"/>
    <w:rsid w:val="5E2E51B3"/>
    <w:rsid w:val="5E3653EC"/>
    <w:rsid w:val="5E3C01D4"/>
    <w:rsid w:val="5E5166CA"/>
    <w:rsid w:val="5E6F443D"/>
    <w:rsid w:val="5E70354F"/>
    <w:rsid w:val="5E781EA8"/>
    <w:rsid w:val="5E802B0B"/>
    <w:rsid w:val="5E8C7523"/>
    <w:rsid w:val="5E94632E"/>
    <w:rsid w:val="5E9C2B92"/>
    <w:rsid w:val="5EA762EA"/>
    <w:rsid w:val="5ED9429A"/>
    <w:rsid w:val="5F111534"/>
    <w:rsid w:val="5F3A0F0C"/>
    <w:rsid w:val="5F5E606D"/>
    <w:rsid w:val="5F9A0CFC"/>
    <w:rsid w:val="5FA840C8"/>
    <w:rsid w:val="5FB20DDC"/>
    <w:rsid w:val="5FBC6FFC"/>
    <w:rsid w:val="5FD91B32"/>
    <w:rsid w:val="5FDE3D1C"/>
    <w:rsid w:val="5FEB36B0"/>
    <w:rsid w:val="600037C3"/>
    <w:rsid w:val="60070235"/>
    <w:rsid w:val="600B76B1"/>
    <w:rsid w:val="60117D06"/>
    <w:rsid w:val="60247960"/>
    <w:rsid w:val="60337FBD"/>
    <w:rsid w:val="60433332"/>
    <w:rsid w:val="604A33D1"/>
    <w:rsid w:val="60557909"/>
    <w:rsid w:val="60600E46"/>
    <w:rsid w:val="608A1A1F"/>
    <w:rsid w:val="608B596D"/>
    <w:rsid w:val="608E7CA1"/>
    <w:rsid w:val="60B20DDE"/>
    <w:rsid w:val="60B53DBD"/>
    <w:rsid w:val="60B86965"/>
    <w:rsid w:val="60C43183"/>
    <w:rsid w:val="60CF6017"/>
    <w:rsid w:val="60E84D86"/>
    <w:rsid w:val="60EC58A1"/>
    <w:rsid w:val="60F765D6"/>
    <w:rsid w:val="61194815"/>
    <w:rsid w:val="61273959"/>
    <w:rsid w:val="61402D8F"/>
    <w:rsid w:val="616D02E8"/>
    <w:rsid w:val="619B0A4D"/>
    <w:rsid w:val="619E6915"/>
    <w:rsid w:val="619F45F8"/>
    <w:rsid w:val="61BC5698"/>
    <w:rsid w:val="61C05E29"/>
    <w:rsid w:val="61C4413E"/>
    <w:rsid w:val="61E220CA"/>
    <w:rsid w:val="620B4DE2"/>
    <w:rsid w:val="620F48D2"/>
    <w:rsid w:val="621F3A28"/>
    <w:rsid w:val="622D4D58"/>
    <w:rsid w:val="623817CD"/>
    <w:rsid w:val="623D05EF"/>
    <w:rsid w:val="625671C6"/>
    <w:rsid w:val="626D5F1F"/>
    <w:rsid w:val="62774225"/>
    <w:rsid w:val="627E2DFB"/>
    <w:rsid w:val="628D5A05"/>
    <w:rsid w:val="629635F2"/>
    <w:rsid w:val="62A757FE"/>
    <w:rsid w:val="62B9713E"/>
    <w:rsid w:val="62DB156F"/>
    <w:rsid w:val="62E35C5C"/>
    <w:rsid w:val="62EA49F7"/>
    <w:rsid w:val="6308602C"/>
    <w:rsid w:val="631B2082"/>
    <w:rsid w:val="6324615B"/>
    <w:rsid w:val="63655BF1"/>
    <w:rsid w:val="6381414F"/>
    <w:rsid w:val="639869FA"/>
    <w:rsid w:val="63A6496D"/>
    <w:rsid w:val="63A83FEC"/>
    <w:rsid w:val="63D92053"/>
    <w:rsid w:val="63E37B79"/>
    <w:rsid w:val="63FC1B88"/>
    <w:rsid w:val="63FF5094"/>
    <w:rsid w:val="64035403"/>
    <w:rsid w:val="642B1E03"/>
    <w:rsid w:val="64334D4A"/>
    <w:rsid w:val="644D4301"/>
    <w:rsid w:val="6477289B"/>
    <w:rsid w:val="649176C0"/>
    <w:rsid w:val="64987293"/>
    <w:rsid w:val="649B2A1E"/>
    <w:rsid w:val="649E57C1"/>
    <w:rsid w:val="64A11F98"/>
    <w:rsid w:val="64B0249D"/>
    <w:rsid w:val="64D179F6"/>
    <w:rsid w:val="64D442AC"/>
    <w:rsid w:val="64FD012C"/>
    <w:rsid w:val="650401CF"/>
    <w:rsid w:val="65040F88"/>
    <w:rsid w:val="65256ED5"/>
    <w:rsid w:val="653D52DC"/>
    <w:rsid w:val="655373D5"/>
    <w:rsid w:val="657A0FFC"/>
    <w:rsid w:val="6593581A"/>
    <w:rsid w:val="659F7D1B"/>
    <w:rsid w:val="65A300A1"/>
    <w:rsid w:val="65DB5C3D"/>
    <w:rsid w:val="65DC330D"/>
    <w:rsid w:val="65ED11DD"/>
    <w:rsid w:val="65F00576"/>
    <w:rsid w:val="66126967"/>
    <w:rsid w:val="66383CCB"/>
    <w:rsid w:val="66780DEE"/>
    <w:rsid w:val="668E1E21"/>
    <w:rsid w:val="66926F8C"/>
    <w:rsid w:val="66966882"/>
    <w:rsid w:val="66A7157D"/>
    <w:rsid w:val="66B703DE"/>
    <w:rsid w:val="66D51A3C"/>
    <w:rsid w:val="66F269C9"/>
    <w:rsid w:val="67285BDC"/>
    <w:rsid w:val="673D5663"/>
    <w:rsid w:val="67C1521F"/>
    <w:rsid w:val="67C541F4"/>
    <w:rsid w:val="67D41EE5"/>
    <w:rsid w:val="67E1461B"/>
    <w:rsid w:val="67FB2FC2"/>
    <w:rsid w:val="67FB3202"/>
    <w:rsid w:val="67FC180B"/>
    <w:rsid w:val="6838125F"/>
    <w:rsid w:val="684E7153"/>
    <w:rsid w:val="68572B2F"/>
    <w:rsid w:val="689070BF"/>
    <w:rsid w:val="68942469"/>
    <w:rsid w:val="68996F46"/>
    <w:rsid w:val="68A270B1"/>
    <w:rsid w:val="68E63EB3"/>
    <w:rsid w:val="69180510"/>
    <w:rsid w:val="69522C18"/>
    <w:rsid w:val="6975567D"/>
    <w:rsid w:val="699D0A15"/>
    <w:rsid w:val="69A41F02"/>
    <w:rsid w:val="69A85914"/>
    <w:rsid w:val="69B54893"/>
    <w:rsid w:val="69D4612E"/>
    <w:rsid w:val="69F0666F"/>
    <w:rsid w:val="69FA018D"/>
    <w:rsid w:val="6A25465E"/>
    <w:rsid w:val="6A31115D"/>
    <w:rsid w:val="6A530131"/>
    <w:rsid w:val="6A572716"/>
    <w:rsid w:val="6A732B1A"/>
    <w:rsid w:val="6A87076D"/>
    <w:rsid w:val="6A9454E3"/>
    <w:rsid w:val="6A945F72"/>
    <w:rsid w:val="6AA3205B"/>
    <w:rsid w:val="6AA47B81"/>
    <w:rsid w:val="6ACF2D0F"/>
    <w:rsid w:val="6ADD27C8"/>
    <w:rsid w:val="6AFC23BD"/>
    <w:rsid w:val="6AFF188E"/>
    <w:rsid w:val="6B030F7C"/>
    <w:rsid w:val="6B1F5D43"/>
    <w:rsid w:val="6B287CCA"/>
    <w:rsid w:val="6B37191E"/>
    <w:rsid w:val="6B3724F2"/>
    <w:rsid w:val="6B3B6738"/>
    <w:rsid w:val="6B447D73"/>
    <w:rsid w:val="6B4D0219"/>
    <w:rsid w:val="6B607F4C"/>
    <w:rsid w:val="6B67752D"/>
    <w:rsid w:val="6B6F1752"/>
    <w:rsid w:val="6B756B33"/>
    <w:rsid w:val="6BA33D44"/>
    <w:rsid w:val="6BDD77EF"/>
    <w:rsid w:val="6C3A4C18"/>
    <w:rsid w:val="6C4068D5"/>
    <w:rsid w:val="6C8568B5"/>
    <w:rsid w:val="6CAB51F7"/>
    <w:rsid w:val="6CB00C5D"/>
    <w:rsid w:val="6CCB7647"/>
    <w:rsid w:val="6D0441AB"/>
    <w:rsid w:val="6D481945"/>
    <w:rsid w:val="6D524B22"/>
    <w:rsid w:val="6D6650F6"/>
    <w:rsid w:val="6D6D32A5"/>
    <w:rsid w:val="6D96704E"/>
    <w:rsid w:val="6E6A491D"/>
    <w:rsid w:val="6ECD14C3"/>
    <w:rsid w:val="6ED609B9"/>
    <w:rsid w:val="6EF06A3A"/>
    <w:rsid w:val="6F231086"/>
    <w:rsid w:val="6F2C1077"/>
    <w:rsid w:val="6F4412DE"/>
    <w:rsid w:val="6F4831D1"/>
    <w:rsid w:val="6F525DFE"/>
    <w:rsid w:val="6F6649B1"/>
    <w:rsid w:val="6FB01FF6"/>
    <w:rsid w:val="6FEC5DB0"/>
    <w:rsid w:val="6FFA5FC3"/>
    <w:rsid w:val="700E441B"/>
    <w:rsid w:val="702D3037"/>
    <w:rsid w:val="703379DD"/>
    <w:rsid w:val="705624B2"/>
    <w:rsid w:val="70774D12"/>
    <w:rsid w:val="70854008"/>
    <w:rsid w:val="70A00296"/>
    <w:rsid w:val="70D07922"/>
    <w:rsid w:val="70D32F6E"/>
    <w:rsid w:val="70F21646"/>
    <w:rsid w:val="71170489"/>
    <w:rsid w:val="71902C0D"/>
    <w:rsid w:val="71945132"/>
    <w:rsid w:val="71E84DCD"/>
    <w:rsid w:val="72511D57"/>
    <w:rsid w:val="72525910"/>
    <w:rsid w:val="7272141E"/>
    <w:rsid w:val="72920575"/>
    <w:rsid w:val="729A51BF"/>
    <w:rsid w:val="72C267D6"/>
    <w:rsid w:val="72C31F67"/>
    <w:rsid w:val="73075151"/>
    <w:rsid w:val="730D7B4F"/>
    <w:rsid w:val="730F2443"/>
    <w:rsid w:val="73487C44"/>
    <w:rsid w:val="738A19B2"/>
    <w:rsid w:val="73906864"/>
    <w:rsid w:val="73986D48"/>
    <w:rsid w:val="73E3664B"/>
    <w:rsid w:val="74221866"/>
    <w:rsid w:val="74460C31"/>
    <w:rsid w:val="745948C9"/>
    <w:rsid w:val="74782083"/>
    <w:rsid w:val="74786307"/>
    <w:rsid w:val="74933140"/>
    <w:rsid w:val="74B36971"/>
    <w:rsid w:val="74F00783"/>
    <w:rsid w:val="74F21A8E"/>
    <w:rsid w:val="74F23FC5"/>
    <w:rsid w:val="75092D2E"/>
    <w:rsid w:val="751F35C6"/>
    <w:rsid w:val="7521074C"/>
    <w:rsid w:val="752124FA"/>
    <w:rsid w:val="752673FA"/>
    <w:rsid w:val="75445278"/>
    <w:rsid w:val="75616D9B"/>
    <w:rsid w:val="756D2420"/>
    <w:rsid w:val="757A60AE"/>
    <w:rsid w:val="75842A89"/>
    <w:rsid w:val="75D33B60"/>
    <w:rsid w:val="75EB0030"/>
    <w:rsid w:val="75FB2A78"/>
    <w:rsid w:val="7608635A"/>
    <w:rsid w:val="761E2EDE"/>
    <w:rsid w:val="764346F2"/>
    <w:rsid w:val="767A1884"/>
    <w:rsid w:val="767A70FF"/>
    <w:rsid w:val="7681376B"/>
    <w:rsid w:val="76CE66B2"/>
    <w:rsid w:val="76E7048B"/>
    <w:rsid w:val="76F679B7"/>
    <w:rsid w:val="771405C6"/>
    <w:rsid w:val="77186802"/>
    <w:rsid w:val="77244002"/>
    <w:rsid w:val="774626EC"/>
    <w:rsid w:val="7759121E"/>
    <w:rsid w:val="77844FC2"/>
    <w:rsid w:val="778C19C1"/>
    <w:rsid w:val="77BA4E88"/>
    <w:rsid w:val="77DE7388"/>
    <w:rsid w:val="77E617D9"/>
    <w:rsid w:val="78123276"/>
    <w:rsid w:val="781B6350"/>
    <w:rsid w:val="782A528E"/>
    <w:rsid w:val="784234F5"/>
    <w:rsid w:val="78606B54"/>
    <w:rsid w:val="78661D77"/>
    <w:rsid w:val="787542C9"/>
    <w:rsid w:val="787C4A52"/>
    <w:rsid w:val="787D1A38"/>
    <w:rsid w:val="78833D88"/>
    <w:rsid w:val="78970D25"/>
    <w:rsid w:val="78C70562"/>
    <w:rsid w:val="78F148D9"/>
    <w:rsid w:val="7908482C"/>
    <w:rsid w:val="792279DB"/>
    <w:rsid w:val="7948489C"/>
    <w:rsid w:val="797C1AA1"/>
    <w:rsid w:val="79A731EA"/>
    <w:rsid w:val="79AB2C72"/>
    <w:rsid w:val="79B25E17"/>
    <w:rsid w:val="7A224071"/>
    <w:rsid w:val="7A2E4173"/>
    <w:rsid w:val="7A6A2399"/>
    <w:rsid w:val="7A6F26A9"/>
    <w:rsid w:val="7A934CC7"/>
    <w:rsid w:val="7AAD65DE"/>
    <w:rsid w:val="7AAD7251"/>
    <w:rsid w:val="7AB93CAD"/>
    <w:rsid w:val="7AC027B5"/>
    <w:rsid w:val="7ACC2F08"/>
    <w:rsid w:val="7AD43747"/>
    <w:rsid w:val="7ADD5745"/>
    <w:rsid w:val="7AFB7263"/>
    <w:rsid w:val="7B062FF2"/>
    <w:rsid w:val="7B4771D3"/>
    <w:rsid w:val="7B4969DA"/>
    <w:rsid w:val="7B4B57FE"/>
    <w:rsid w:val="7BBA7BC4"/>
    <w:rsid w:val="7BF444AB"/>
    <w:rsid w:val="7BFE0356"/>
    <w:rsid w:val="7C050FEE"/>
    <w:rsid w:val="7C152DB6"/>
    <w:rsid w:val="7C1F696C"/>
    <w:rsid w:val="7C241FA4"/>
    <w:rsid w:val="7C2F7F24"/>
    <w:rsid w:val="7C4F6127"/>
    <w:rsid w:val="7C557027"/>
    <w:rsid w:val="7C705B15"/>
    <w:rsid w:val="7C743857"/>
    <w:rsid w:val="7C774202"/>
    <w:rsid w:val="7CF32D47"/>
    <w:rsid w:val="7CF47DC4"/>
    <w:rsid w:val="7D2D7E4F"/>
    <w:rsid w:val="7D3D1C6F"/>
    <w:rsid w:val="7D7D2444"/>
    <w:rsid w:val="7DC17AA5"/>
    <w:rsid w:val="7DC225BC"/>
    <w:rsid w:val="7DD947CA"/>
    <w:rsid w:val="7DD949C1"/>
    <w:rsid w:val="7E3F400C"/>
    <w:rsid w:val="7E3F5C67"/>
    <w:rsid w:val="7E485A8B"/>
    <w:rsid w:val="7E710432"/>
    <w:rsid w:val="7E723DC7"/>
    <w:rsid w:val="7E784FFE"/>
    <w:rsid w:val="7E985A2E"/>
    <w:rsid w:val="7EAF56A8"/>
    <w:rsid w:val="7EBF2EFE"/>
    <w:rsid w:val="7F0D36A8"/>
    <w:rsid w:val="7F0D6F9B"/>
    <w:rsid w:val="7F267E5E"/>
    <w:rsid w:val="7F315A30"/>
    <w:rsid w:val="7F511034"/>
    <w:rsid w:val="7F531E4A"/>
    <w:rsid w:val="7F5C1736"/>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4"/>
    <w:qFormat/>
    <w:uiPriority w:val="0"/>
    <w:pPr>
      <w:keepNext/>
      <w:jc w:val="center"/>
      <w:outlineLvl w:val="0"/>
    </w:pPr>
    <w:rPr>
      <w:b/>
      <w:bCs/>
      <w:kern w:val="0"/>
      <w:sz w:val="24"/>
      <w:szCs w:val="20"/>
    </w:rPr>
  </w:style>
  <w:style w:type="paragraph" w:styleId="7">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8">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9">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10">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1">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3">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next w:val="4"/>
    <w:link w:val="98"/>
    <w:qFormat/>
    <w:uiPriority w:val="0"/>
    <w:pPr>
      <w:spacing w:after="120"/>
      <w:ind w:left="420" w:leftChars="200"/>
    </w:pPr>
    <w:rPr>
      <w:rFonts w:ascii="Calibri" w:hAnsi="Calibri" w:cs="黑体"/>
    </w:rPr>
  </w:style>
  <w:style w:type="paragraph" w:styleId="4">
    <w:name w:val="annotation subject"/>
    <w:basedOn w:val="5"/>
    <w:next w:val="1"/>
    <w:link w:val="87"/>
    <w:qFormat/>
    <w:uiPriority w:val="0"/>
    <w:rPr>
      <w:rFonts w:ascii="Calibri" w:hAnsi="Calibri" w:cs="黑体"/>
      <w:b/>
      <w:bCs/>
    </w:rPr>
  </w:style>
  <w:style w:type="paragraph" w:styleId="5">
    <w:name w:val="annotation text"/>
    <w:basedOn w:val="1"/>
    <w:link w:val="110"/>
    <w:unhideWhenUsed/>
    <w:qFormat/>
    <w:uiPriority w:val="99"/>
    <w:pPr>
      <w:jc w:val="left"/>
    </w:pPr>
  </w:style>
  <w:style w:type="paragraph" w:styleId="15">
    <w:name w:val="toc 7"/>
    <w:basedOn w:val="1"/>
    <w:next w:val="1"/>
    <w:qFormat/>
    <w:uiPriority w:val="0"/>
    <w:pPr>
      <w:ind w:left="2520" w:leftChars="1200"/>
    </w:pPr>
    <w:rPr>
      <w:rFonts w:ascii="Calibri" w:hAnsi="Calibri"/>
      <w:szCs w:val="22"/>
    </w:rPr>
  </w:style>
  <w:style w:type="paragraph" w:styleId="16">
    <w:name w:val="table of authorities"/>
    <w:basedOn w:val="1"/>
    <w:next w:val="1"/>
    <w:qFormat/>
    <w:uiPriority w:val="99"/>
    <w:pPr>
      <w:ind w:left="420" w:leftChars="200"/>
    </w:pPr>
  </w:style>
  <w:style w:type="paragraph" w:styleId="17">
    <w:name w:val="Normal Indent"/>
    <w:basedOn w:val="1"/>
    <w:link w:val="294"/>
    <w:qFormat/>
    <w:uiPriority w:val="99"/>
    <w:pPr>
      <w:widowControl/>
      <w:ind w:firstLine="420"/>
      <w:jc w:val="left"/>
    </w:pPr>
    <w:rPr>
      <w:kern w:val="0"/>
      <w:sz w:val="20"/>
      <w:szCs w:val="20"/>
    </w:rPr>
  </w:style>
  <w:style w:type="paragraph" w:styleId="18">
    <w:name w:val="Document Map"/>
    <w:basedOn w:val="1"/>
    <w:link w:val="128"/>
    <w:qFormat/>
    <w:uiPriority w:val="0"/>
    <w:pPr>
      <w:shd w:val="clear" w:color="auto" w:fill="000080"/>
    </w:pPr>
  </w:style>
  <w:style w:type="paragraph" w:styleId="19">
    <w:name w:val="toa heading"/>
    <w:basedOn w:val="1"/>
    <w:next w:val="1"/>
    <w:unhideWhenUsed/>
    <w:qFormat/>
    <w:uiPriority w:val="0"/>
    <w:pPr>
      <w:spacing w:before="120"/>
    </w:pPr>
    <w:rPr>
      <w:rFonts w:hint="eastAsia" w:ascii="Arial" w:hAnsi="Arial"/>
    </w:rPr>
  </w:style>
  <w:style w:type="paragraph" w:styleId="20">
    <w:name w:val="Salutation"/>
    <w:basedOn w:val="1"/>
    <w:next w:val="1"/>
    <w:link w:val="115"/>
    <w:qFormat/>
    <w:uiPriority w:val="0"/>
    <w:rPr>
      <w:rFonts w:ascii="仿宋_GB2312" w:eastAsia="仿宋_GB2312"/>
      <w:sz w:val="24"/>
    </w:rPr>
  </w:style>
  <w:style w:type="paragraph" w:styleId="21">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22">
    <w:name w:val="Body Text"/>
    <w:basedOn w:val="1"/>
    <w:next w:val="1"/>
    <w:link w:val="118"/>
    <w:qFormat/>
    <w:uiPriority w:val="99"/>
    <w:pPr>
      <w:spacing w:after="120"/>
    </w:pPr>
  </w:style>
  <w:style w:type="paragraph" w:styleId="23">
    <w:name w:val="List 2"/>
    <w:qFormat/>
    <w:uiPriority w:val="0"/>
    <w:pPr>
      <w:spacing w:line="400" w:lineRule="exact"/>
      <w:jc w:val="center"/>
    </w:pPr>
    <w:rPr>
      <w:rFonts w:ascii="Arial" w:hAnsi="Arial" w:eastAsia="宋体" w:cs="Times New Roman"/>
      <w:sz w:val="24"/>
      <w:lang w:val="en-US" w:eastAsia="zh-CN" w:bidi="ar-SA"/>
    </w:rPr>
  </w:style>
  <w:style w:type="paragraph" w:styleId="24">
    <w:name w:val="Block Text"/>
    <w:basedOn w:val="1"/>
    <w:qFormat/>
    <w:uiPriority w:val="0"/>
    <w:pPr>
      <w:ind w:left="1171" w:right="91" w:hanging="1080"/>
    </w:pPr>
    <w:rPr>
      <w:rFonts w:eastAsia="楷体_GB2312"/>
      <w:szCs w:val="20"/>
    </w:rPr>
  </w:style>
  <w:style w:type="paragraph" w:styleId="25">
    <w:name w:val="toc 5"/>
    <w:basedOn w:val="1"/>
    <w:next w:val="1"/>
    <w:qFormat/>
    <w:uiPriority w:val="0"/>
    <w:pPr>
      <w:ind w:left="1680" w:leftChars="800"/>
    </w:pPr>
    <w:rPr>
      <w:rFonts w:ascii="Calibri" w:hAnsi="Calibri"/>
      <w:szCs w:val="22"/>
    </w:rPr>
  </w:style>
  <w:style w:type="paragraph" w:styleId="26">
    <w:name w:val="toc 3"/>
    <w:basedOn w:val="1"/>
    <w:next w:val="1"/>
    <w:qFormat/>
    <w:uiPriority w:val="39"/>
    <w:pPr>
      <w:ind w:left="840" w:leftChars="400"/>
    </w:pPr>
  </w:style>
  <w:style w:type="paragraph" w:styleId="27">
    <w:name w:val="Plain Text"/>
    <w:basedOn w:val="1"/>
    <w:link w:val="107"/>
    <w:qFormat/>
    <w:uiPriority w:val="0"/>
    <w:rPr>
      <w:rFonts w:ascii="宋体" w:hAnsi="Courier New" w:cs="Courier New"/>
      <w:szCs w:val="21"/>
    </w:rPr>
  </w:style>
  <w:style w:type="paragraph" w:styleId="28">
    <w:name w:val="toc 8"/>
    <w:basedOn w:val="1"/>
    <w:next w:val="1"/>
    <w:qFormat/>
    <w:uiPriority w:val="0"/>
    <w:pPr>
      <w:ind w:left="2940" w:leftChars="1400"/>
    </w:pPr>
    <w:rPr>
      <w:rFonts w:ascii="Calibri" w:hAnsi="Calibri"/>
      <w:szCs w:val="22"/>
    </w:rPr>
  </w:style>
  <w:style w:type="paragraph" w:styleId="29">
    <w:name w:val="Date"/>
    <w:basedOn w:val="1"/>
    <w:next w:val="1"/>
    <w:link w:val="140"/>
    <w:qFormat/>
    <w:uiPriority w:val="0"/>
    <w:rPr>
      <w:rFonts w:ascii="Calibri" w:hAnsi="Calibri" w:cs="黑体"/>
      <w:sz w:val="24"/>
      <w:szCs w:val="22"/>
    </w:rPr>
  </w:style>
  <w:style w:type="paragraph" w:styleId="30">
    <w:name w:val="Body Text Indent 2"/>
    <w:basedOn w:val="1"/>
    <w:link w:val="102"/>
    <w:qFormat/>
    <w:uiPriority w:val="0"/>
    <w:pPr>
      <w:spacing w:after="120" w:line="480" w:lineRule="auto"/>
      <w:ind w:left="420" w:leftChars="200"/>
    </w:pPr>
  </w:style>
  <w:style w:type="paragraph" w:styleId="31">
    <w:name w:val="Balloon Text"/>
    <w:basedOn w:val="1"/>
    <w:link w:val="97"/>
    <w:qFormat/>
    <w:uiPriority w:val="0"/>
    <w:rPr>
      <w:rFonts w:ascii="Calibri" w:hAnsi="Calibri" w:cs="黑体"/>
      <w:sz w:val="18"/>
      <w:szCs w:val="18"/>
    </w:rPr>
  </w:style>
  <w:style w:type="paragraph" w:styleId="32">
    <w:name w:val="footer"/>
    <w:basedOn w:val="1"/>
    <w:link w:val="63"/>
    <w:unhideWhenUsed/>
    <w:qFormat/>
    <w:uiPriority w:val="0"/>
    <w:pPr>
      <w:tabs>
        <w:tab w:val="center" w:pos="4153"/>
        <w:tab w:val="right" w:pos="8306"/>
      </w:tabs>
      <w:snapToGrid w:val="0"/>
      <w:jc w:val="left"/>
    </w:pPr>
    <w:rPr>
      <w:sz w:val="18"/>
      <w:szCs w:val="18"/>
    </w:rPr>
  </w:style>
  <w:style w:type="paragraph" w:styleId="33">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unhideWhenUsed/>
    <w:qFormat/>
    <w:uiPriority w:val="39"/>
  </w:style>
  <w:style w:type="paragraph" w:styleId="35">
    <w:name w:val="toc 4"/>
    <w:basedOn w:val="1"/>
    <w:next w:val="1"/>
    <w:qFormat/>
    <w:uiPriority w:val="0"/>
    <w:pPr>
      <w:ind w:left="1260" w:leftChars="600"/>
    </w:pPr>
  </w:style>
  <w:style w:type="paragraph" w:styleId="36">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7">
    <w:name w:val="toc 6"/>
    <w:basedOn w:val="1"/>
    <w:next w:val="1"/>
    <w:qFormat/>
    <w:uiPriority w:val="0"/>
    <w:pPr>
      <w:ind w:left="2100" w:leftChars="1000"/>
    </w:pPr>
    <w:rPr>
      <w:rFonts w:ascii="Calibri" w:hAnsi="Calibri"/>
      <w:szCs w:val="22"/>
    </w:rPr>
  </w:style>
  <w:style w:type="paragraph" w:styleId="38">
    <w:name w:val="Body Text Indent 3"/>
    <w:basedOn w:val="1"/>
    <w:link w:val="125"/>
    <w:qFormat/>
    <w:uiPriority w:val="0"/>
    <w:pPr>
      <w:spacing w:after="120"/>
      <w:ind w:left="420" w:leftChars="200"/>
    </w:pPr>
    <w:rPr>
      <w:rFonts w:ascii="Calibri" w:hAnsi="Calibri" w:cs="黑体"/>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ind w:left="3360" w:leftChars="1600"/>
    </w:pPr>
    <w:rPr>
      <w:rFonts w:ascii="Calibri" w:hAnsi="Calibri"/>
      <w:szCs w:val="22"/>
    </w:rPr>
  </w:style>
  <w:style w:type="paragraph" w:styleId="41">
    <w:name w:val="Body Text 2"/>
    <w:basedOn w:val="1"/>
    <w:link w:val="73"/>
    <w:qFormat/>
    <w:uiPriority w:val="0"/>
    <w:pPr>
      <w:spacing w:after="120" w:line="480" w:lineRule="auto"/>
    </w:pPr>
  </w:style>
  <w:style w:type="paragraph" w:styleId="42">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仿宋_GB2312" w:eastAsia="仿宋_GB2312"/>
      <w:szCs w:val="20"/>
    </w:rPr>
  </w:style>
  <w:style w:type="paragraph" w:styleId="45">
    <w:name w:val="Title"/>
    <w:basedOn w:val="1"/>
    <w:next w:val="1"/>
    <w:link w:val="101"/>
    <w:qFormat/>
    <w:uiPriority w:val="0"/>
    <w:pPr>
      <w:spacing w:before="240" w:after="60"/>
      <w:jc w:val="center"/>
      <w:outlineLvl w:val="0"/>
    </w:pPr>
    <w:rPr>
      <w:rFonts w:ascii="Cambria" w:hAnsi="Cambria"/>
      <w:b/>
      <w:sz w:val="32"/>
    </w:rPr>
  </w:style>
  <w:style w:type="paragraph" w:styleId="46">
    <w:name w:val="Body Text First Indent"/>
    <w:basedOn w:val="22"/>
    <w:link w:val="176"/>
    <w:unhideWhenUsed/>
    <w:qFormat/>
    <w:uiPriority w:val="0"/>
    <w:pPr>
      <w:spacing w:line="500" w:lineRule="exact"/>
      <w:ind w:firstLine="420" w:firstLineChars="200"/>
    </w:p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3"/>
    <w:qFormat/>
    <w:uiPriority w:val="0"/>
    <w:rPr>
      <w:sz w:val="18"/>
      <w:szCs w:val="18"/>
    </w:rPr>
  </w:style>
  <w:style w:type="character" w:customStyle="1" w:styleId="63">
    <w:name w:val="页脚 字符"/>
    <w:basedOn w:val="49"/>
    <w:link w:val="32"/>
    <w:qFormat/>
    <w:uiPriority w:val="0"/>
    <w:rPr>
      <w:sz w:val="18"/>
      <w:szCs w:val="18"/>
    </w:rPr>
  </w:style>
  <w:style w:type="character" w:customStyle="1" w:styleId="64">
    <w:name w:val="标题 1 字符"/>
    <w:basedOn w:val="49"/>
    <w:link w:val="6"/>
    <w:qFormat/>
    <w:uiPriority w:val="0"/>
    <w:rPr>
      <w:rFonts w:ascii="Times New Roman" w:hAnsi="Times New Roman" w:eastAsia="宋体" w:cs="Times New Roman"/>
      <w:b/>
      <w:bCs/>
      <w:kern w:val="0"/>
      <w:sz w:val="24"/>
      <w:szCs w:val="20"/>
    </w:rPr>
  </w:style>
  <w:style w:type="character" w:customStyle="1" w:styleId="65">
    <w:name w:val="标题 2 字符"/>
    <w:basedOn w:val="49"/>
    <w:link w:val="7"/>
    <w:qFormat/>
    <w:uiPriority w:val="0"/>
    <w:rPr>
      <w:rFonts w:ascii="Arial" w:hAnsi="Arial" w:eastAsia="宋体" w:cs="Times New Roman"/>
      <w:b/>
      <w:bCs/>
      <w:kern w:val="0"/>
      <w:sz w:val="24"/>
      <w:szCs w:val="32"/>
    </w:rPr>
  </w:style>
  <w:style w:type="character" w:customStyle="1" w:styleId="66">
    <w:name w:val="标题 3 字符"/>
    <w:basedOn w:val="49"/>
    <w:link w:val="8"/>
    <w:qFormat/>
    <w:uiPriority w:val="0"/>
    <w:rPr>
      <w:rFonts w:ascii="Times New Roman" w:hAnsi="Times New Roman" w:eastAsia="宋体" w:cs="Times New Roman"/>
      <w:b/>
      <w:bCs/>
      <w:kern w:val="0"/>
      <w:sz w:val="32"/>
      <w:szCs w:val="32"/>
    </w:rPr>
  </w:style>
  <w:style w:type="character" w:customStyle="1" w:styleId="67">
    <w:name w:val="标题 4 字符"/>
    <w:basedOn w:val="49"/>
    <w:link w:val="9"/>
    <w:qFormat/>
    <w:uiPriority w:val="0"/>
    <w:rPr>
      <w:rFonts w:ascii="Arial" w:hAnsi="Arial" w:eastAsia="黑体" w:cs="Times New Roman"/>
      <w:b/>
      <w:bCs/>
      <w:kern w:val="0"/>
      <w:sz w:val="28"/>
      <w:szCs w:val="28"/>
    </w:rPr>
  </w:style>
  <w:style w:type="character" w:customStyle="1" w:styleId="68">
    <w:name w:val="标题 5 字符"/>
    <w:basedOn w:val="49"/>
    <w:link w:val="10"/>
    <w:qFormat/>
    <w:uiPriority w:val="0"/>
    <w:rPr>
      <w:rFonts w:ascii="Times New Roman" w:hAnsi="Times New Roman" w:eastAsia="宋体" w:cs="Times New Roman"/>
      <w:b/>
      <w:bCs/>
      <w:kern w:val="0"/>
      <w:sz w:val="28"/>
      <w:szCs w:val="28"/>
    </w:rPr>
  </w:style>
  <w:style w:type="character" w:customStyle="1" w:styleId="69">
    <w:name w:val="标题 6 字符"/>
    <w:basedOn w:val="49"/>
    <w:link w:val="11"/>
    <w:qFormat/>
    <w:uiPriority w:val="0"/>
    <w:rPr>
      <w:rFonts w:ascii="Arial" w:hAnsi="Arial" w:eastAsia="黑体" w:cs="Times New Roman"/>
      <w:b/>
      <w:bCs/>
      <w:kern w:val="0"/>
      <w:sz w:val="24"/>
      <w:szCs w:val="24"/>
    </w:rPr>
  </w:style>
  <w:style w:type="character" w:customStyle="1" w:styleId="70">
    <w:name w:val="标题 7 字符"/>
    <w:basedOn w:val="49"/>
    <w:link w:val="12"/>
    <w:qFormat/>
    <w:uiPriority w:val="0"/>
    <w:rPr>
      <w:rFonts w:ascii="Times New Roman" w:hAnsi="Times New Roman" w:eastAsia="宋体" w:cs="Times New Roman"/>
      <w:b/>
      <w:bCs/>
      <w:kern w:val="0"/>
      <w:sz w:val="24"/>
      <w:szCs w:val="24"/>
    </w:rPr>
  </w:style>
  <w:style w:type="character" w:customStyle="1" w:styleId="71">
    <w:name w:val="标题 8 字符"/>
    <w:basedOn w:val="49"/>
    <w:link w:val="13"/>
    <w:qFormat/>
    <w:uiPriority w:val="0"/>
    <w:rPr>
      <w:rFonts w:ascii="Arial" w:hAnsi="Arial" w:eastAsia="黑体" w:cs="Times New Roman"/>
      <w:kern w:val="0"/>
      <w:sz w:val="24"/>
      <w:szCs w:val="24"/>
    </w:rPr>
  </w:style>
  <w:style w:type="character" w:customStyle="1" w:styleId="72">
    <w:name w:val="标题 9 字符"/>
    <w:basedOn w:val="49"/>
    <w:link w:val="14"/>
    <w:qFormat/>
    <w:uiPriority w:val="0"/>
    <w:rPr>
      <w:rFonts w:ascii="Arial" w:hAnsi="Arial" w:eastAsia="黑体" w:cs="Times New Roman"/>
      <w:kern w:val="0"/>
      <w:sz w:val="20"/>
      <w:szCs w:val="21"/>
    </w:rPr>
  </w:style>
  <w:style w:type="character" w:customStyle="1" w:styleId="73">
    <w:name w:val="正文文本 2 字符"/>
    <w:basedOn w:val="49"/>
    <w:link w:val="41"/>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31"/>
    <w:qFormat/>
    <w:locked/>
    <w:uiPriority w:val="0"/>
    <w:rPr>
      <w:rFonts w:ascii="Calibri" w:hAnsi="Calibri" w:eastAsia="宋体" w:cs="黑体"/>
      <w:sz w:val="18"/>
      <w:szCs w:val="18"/>
    </w:rPr>
  </w:style>
  <w:style w:type="character" w:customStyle="1" w:styleId="98">
    <w:name w:val="正文文本缩进 字符"/>
    <w:basedOn w:val="49"/>
    <w:link w:val="3"/>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5"/>
    <w:qFormat/>
    <w:uiPriority w:val="0"/>
    <w:rPr>
      <w:rFonts w:ascii="Cambria" w:hAnsi="Cambria" w:eastAsia="宋体" w:cs="Times New Roman"/>
      <w:b/>
      <w:sz w:val="32"/>
      <w:szCs w:val="24"/>
    </w:rPr>
  </w:style>
  <w:style w:type="character" w:customStyle="1" w:styleId="102">
    <w:name w:val="正文文本缩进 2 字符"/>
    <w:basedOn w:val="49"/>
    <w:link w:val="30"/>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7"/>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5"/>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2"/>
    <w:qFormat/>
    <w:uiPriority w:val="0"/>
    <w:rPr>
      <w:rFonts w:ascii="Arial" w:hAnsi="Arial" w:eastAsia="宋体" w:cs="Arial"/>
      <w:kern w:val="0"/>
      <w:sz w:val="24"/>
      <w:szCs w:val="24"/>
    </w:rPr>
  </w:style>
  <w:style w:type="character" w:customStyle="1" w:styleId="115">
    <w:name w:val="称呼 字符"/>
    <w:basedOn w:val="49"/>
    <w:link w:val="20"/>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22"/>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8"/>
    <w:qFormat/>
    <w:uiPriority w:val="0"/>
    <w:rPr>
      <w:rFonts w:ascii="Calibri" w:hAnsi="Calibri" w:eastAsia="宋体" w:cs="黑体"/>
      <w:sz w:val="16"/>
      <w:szCs w:val="16"/>
    </w:rPr>
  </w:style>
  <w:style w:type="character" w:customStyle="1" w:styleId="126">
    <w:name w:val="副标题 字符"/>
    <w:basedOn w:val="49"/>
    <w:link w:val="36"/>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8"/>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9"/>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21"/>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link w:val="46"/>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22"/>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7"/>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8"/>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5"/>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6"/>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6"/>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7"/>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7"/>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7"/>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6"/>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9"/>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8"/>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8"/>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6"/>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6"/>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6"/>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7CA47-0283-4058-B383-FCC9AD4C6B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59</Pages>
  <Words>24238</Words>
  <Characters>25400</Characters>
  <Lines>42</Lines>
  <Paragraphs>57</Paragraphs>
  <TotalTime>0</TotalTime>
  <ScaleCrop>false</ScaleCrop>
  <LinksUpToDate>false</LinksUpToDate>
  <CharactersWithSpaces>27316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HMZ</cp:lastModifiedBy>
  <cp:lastPrinted>2023-01-16T09:10:00Z</cp:lastPrinted>
  <dcterms:modified xsi:type="dcterms:W3CDTF">2023-01-20T02:30:54Z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7C874A77AA8D4DEBB146A54206B9C58F</vt:lpwstr>
  </property>
</Properties>
</file>