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5"/>
        <w:adjustRightInd w:val="0"/>
        <w:snapToGrid w:val="0"/>
        <w:spacing w:before="159"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360" w:lineRule="auto"/>
        <w:ind w:left="2889" w:leftChars="152" w:hanging="2570" w:hangingChars="800"/>
        <w:rPr>
          <w:rFonts w:ascii="宋体" w:hAnsi="宋体" w:cs="Courier New"/>
          <w:b/>
          <w:sz w:val="32"/>
          <w:szCs w:val="21"/>
          <w:u w:val="single"/>
        </w:rPr>
      </w:pPr>
      <w:r>
        <w:rPr>
          <w:rFonts w:hint="eastAsia" w:ascii="宋体" w:hAnsi="宋体" w:cs="Courier New"/>
          <w:b/>
          <w:sz w:val="32"/>
          <w:szCs w:val="21"/>
        </w:rPr>
        <w:t>谈判项目名称：</w:t>
      </w:r>
      <w:r>
        <w:rPr>
          <w:rFonts w:ascii="宋体" w:hAnsi="宋体" w:cs="Courier New"/>
          <w:b/>
          <w:sz w:val="32"/>
          <w:szCs w:val="21"/>
          <w:u w:val="single"/>
        </w:rPr>
        <w:t>长沙市轨道交通5号线、西环线运营</w:t>
      </w:r>
      <w:r>
        <w:rPr>
          <w:rFonts w:hint="eastAsia" w:ascii="宋体" w:hAnsi="宋体" w:cs="Courier New"/>
          <w:b/>
          <w:sz w:val="32"/>
          <w:szCs w:val="21"/>
          <w:u w:val="single"/>
        </w:rPr>
        <w:t>期</w:t>
      </w:r>
    </w:p>
    <w:p>
      <w:pPr>
        <w:spacing w:line="360" w:lineRule="auto"/>
        <w:ind w:left="1999" w:leftChars="952" w:firstLine="643" w:firstLineChars="200"/>
        <w:rPr>
          <w:rFonts w:ascii="宋体" w:hAnsi="宋体" w:cs="Courier New"/>
          <w:b/>
          <w:sz w:val="32"/>
          <w:szCs w:val="21"/>
          <w:u w:val="single"/>
        </w:rPr>
      </w:pPr>
      <w:r>
        <w:rPr>
          <w:rFonts w:ascii="宋体" w:hAnsi="宋体" w:cs="Courier New"/>
          <w:b/>
          <w:sz w:val="32"/>
          <w:szCs w:val="21"/>
          <w:u w:val="single"/>
        </w:rPr>
        <w:t>2023-2025年水渡河车辆段、九华车辆基</w:t>
      </w:r>
    </w:p>
    <w:p>
      <w:pPr>
        <w:spacing w:line="360" w:lineRule="auto"/>
        <w:ind w:left="1999" w:leftChars="952" w:firstLine="643" w:firstLineChars="200"/>
        <w:rPr>
          <w:rFonts w:hint="eastAsia" w:ascii="宋体" w:hAnsi="宋体" w:eastAsia="宋体" w:cs="Courier New"/>
          <w:b/>
          <w:sz w:val="32"/>
          <w:szCs w:val="21"/>
          <w:u w:val="single"/>
          <w:lang w:eastAsia="zh-CN"/>
        </w:rPr>
      </w:pPr>
      <w:r>
        <w:rPr>
          <w:rFonts w:ascii="宋体" w:hAnsi="宋体" w:cs="Courier New"/>
          <w:b/>
          <w:sz w:val="32"/>
          <w:szCs w:val="21"/>
          <w:u w:val="single"/>
        </w:rPr>
        <w:t>地食堂委外经营服务项目</w:t>
      </w:r>
      <w:r>
        <w:rPr>
          <w:rFonts w:hint="eastAsia" w:ascii="宋体" w:hAnsi="宋体" w:cs="Courier New"/>
          <w:b/>
          <w:sz w:val="32"/>
          <w:szCs w:val="21"/>
          <w:u w:val="single"/>
          <w:lang w:val="en-US" w:eastAsia="zh-CN"/>
        </w:rPr>
        <w:t>二标段（第二次）</w:t>
      </w:r>
    </w:p>
    <w:p>
      <w:pPr>
        <w:pStyle w:val="2"/>
      </w:pPr>
    </w:p>
    <w:p/>
    <w:p>
      <w:pPr>
        <w:pStyle w:val="2"/>
      </w:pPr>
    </w:p>
    <w:p/>
    <w:p>
      <w:pPr>
        <w:pStyle w:val="25"/>
        <w:adjustRightInd w:val="0"/>
        <w:snapToGrid w:val="0"/>
        <w:spacing w:line="240" w:lineRule="atLeast"/>
        <w:ind w:firstLine="321" w:firstLineChars="100"/>
        <w:rPr>
          <w:rFonts w:hAnsi="宋体"/>
          <w:b/>
          <w:sz w:val="32"/>
          <w:highlight w:val="none"/>
          <w:u w:val="single"/>
        </w:rPr>
      </w:pPr>
      <w:r>
        <w:rPr>
          <w:rFonts w:hint="eastAsia" w:hAnsi="宋体"/>
          <w:b/>
          <w:sz w:val="32"/>
          <w:highlight w:val="none"/>
        </w:rPr>
        <w:t>采购单位名称：</w:t>
      </w:r>
      <w:r>
        <w:rPr>
          <w:rFonts w:hint="eastAsia" w:hAnsi="宋体"/>
          <w:b/>
          <w:sz w:val="32"/>
          <w:highlight w:val="none"/>
          <w:u w:val="single"/>
        </w:rPr>
        <w:t>长沙市轨道交通运营有限公司</w:t>
      </w:r>
    </w:p>
    <w:p>
      <w:pPr>
        <w:pStyle w:val="25"/>
        <w:adjustRightInd w:val="0"/>
        <w:snapToGrid w:val="0"/>
        <w:spacing w:line="360" w:lineRule="auto"/>
        <w:ind w:firstLine="321" w:firstLineChars="100"/>
        <w:jc w:val="left"/>
        <w:rPr>
          <w:rFonts w:hAnsi="宋体"/>
          <w:b/>
          <w:sz w:val="32"/>
          <w:u w:val="single"/>
        </w:rPr>
      </w:pPr>
    </w:p>
    <w:p>
      <w:pPr>
        <w:pStyle w:val="25"/>
        <w:adjustRightInd w:val="0"/>
        <w:snapToGrid w:val="0"/>
        <w:spacing w:line="360" w:lineRule="auto"/>
        <w:ind w:firstLine="321" w:firstLineChars="100"/>
        <w:jc w:val="left"/>
        <w:rPr>
          <w:rFonts w:hAnsi="宋体" w:cs="宋体"/>
          <w:b/>
          <w:sz w:val="32"/>
        </w:rPr>
      </w:pPr>
    </w:p>
    <w:p>
      <w:pPr>
        <w:pStyle w:val="25"/>
        <w:adjustRightInd w:val="0"/>
        <w:snapToGrid w:val="0"/>
        <w:spacing w:line="360" w:lineRule="auto"/>
        <w:ind w:firstLine="321" w:firstLineChars="100"/>
        <w:jc w:val="left"/>
        <w:rPr>
          <w:rFonts w:hAnsi="宋体"/>
          <w:b/>
          <w:sz w:val="32"/>
        </w:rPr>
      </w:pPr>
    </w:p>
    <w:p>
      <w:pPr>
        <w:pStyle w:val="25"/>
        <w:adjustRightInd w:val="0"/>
        <w:snapToGrid w:val="0"/>
        <w:spacing w:line="360" w:lineRule="auto"/>
        <w:ind w:firstLine="321" w:firstLineChars="100"/>
        <w:jc w:val="left"/>
        <w:rPr>
          <w:rFonts w:hAnsi="宋体"/>
          <w:b/>
          <w:color w:val="FF0000"/>
          <w:sz w:val="32"/>
          <w:u w:val="single"/>
        </w:rPr>
      </w:pPr>
      <w:r>
        <w:rPr>
          <w:rFonts w:hint="eastAsia" w:hAnsi="宋体"/>
          <w:b/>
          <w:sz w:val="32"/>
        </w:rPr>
        <w:t>谈判项目编号：</w:t>
      </w:r>
      <w:r>
        <w:rPr>
          <w:rFonts w:hint="eastAsia" w:hAnsi="宋体"/>
          <w:b/>
          <w:sz w:val="32"/>
          <w:u w:val="single"/>
        </w:rPr>
        <w:t>长轨运服采【2022】</w:t>
      </w:r>
      <w:r>
        <w:rPr>
          <w:rFonts w:hAnsi="宋体"/>
          <w:b/>
          <w:sz w:val="32"/>
          <w:u w:val="single"/>
        </w:rPr>
        <w:t>53</w:t>
      </w:r>
      <w:r>
        <w:rPr>
          <w:rFonts w:hint="eastAsia" w:hAnsi="宋体"/>
          <w:b/>
          <w:sz w:val="32"/>
          <w:u w:val="single"/>
        </w:rPr>
        <w:t>号</w:t>
      </w:r>
    </w:p>
    <w:p>
      <w:pPr>
        <w:pStyle w:val="25"/>
        <w:adjustRightInd w:val="0"/>
        <w:snapToGrid w:val="0"/>
        <w:spacing w:line="360" w:lineRule="auto"/>
        <w:rPr>
          <w:rFonts w:ascii="仿宋_GB2312" w:hAnsi="宋体" w:eastAsia="仿宋_GB2312"/>
          <w:bCs/>
          <w:sz w:val="32"/>
        </w:rPr>
      </w:pPr>
    </w:p>
    <w:p>
      <w:pPr>
        <w:pStyle w:val="25"/>
        <w:adjustRightInd w:val="0"/>
        <w:snapToGrid w:val="0"/>
        <w:spacing w:line="360" w:lineRule="auto"/>
        <w:jc w:val="center"/>
        <w:rPr>
          <w:rFonts w:hAnsi="宋体"/>
          <w:b/>
          <w:sz w:val="32"/>
          <w:highlight w:val="none"/>
        </w:rPr>
      </w:pPr>
      <w:r>
        <w:rPr>
          <w:rFonts w:hint="eastAsia" w:hAnsi="宋体"/>
          <w:b/>
          <w:sz w:val="32"/>
          <w:highlight w:val="none"/>
        </w:rPr>
        <w:t>二〇二</w:t>
      </w:r>
      <w:r>
        <w:rPr>
          <w:rFonts w:hint="eastAsia" w:hAnsi="宋体"/>
          <w:b/>
          <w:sz w:val="32"/>
          <w:highlight w:val="none"/>
          <w:lang w:val="en-US" w:eastAsia="zh-CN"/>
        </w:rPr>
        <w:t>三</w:t>
      </w:r>
      <w:r>
        <w:rPr>
          <w:rFonts w:hint="eastAsia" w:hAnsi="宋体"/>
          <w:b/>
          <w:sz w:val="32"/>
          <w:highlight w:val="none"/>
        </w:rPr>
        <w:t>年</w:t>
      </w:r>
      <w:r>
        <w:rPr>
          <w:rFonts w:hint="eastAsia" w:hAnsi="宋体"/>
          <w:b/>
          <w:sz w:val="32"/>
          <w:highlight w:val="none"/>
          <w:lang w:val="en-US" w:eastAsia="zh-CN"/>
        </w:rPr>
        <w:t>一</w:t>
      </w:r>
      <w:r>
        <w:rPr>
          <w:rFonts w:hint="eastAsia" w:hAnsi="宋体"/>
          <w:b/>
          <w:sz w:val="32"/>
          <w:highlight w:val="none"/>
        </w:rPr>
        <w:t>月</w:t>
      </w:r>
    </w:p>
    <w:p>
      <w:pPr>
        <w:pStyle w:val="25"/>
        <w:adjustRightInd w:val="0"/>
        <w:snapToGrid w:val="0"/>
        <w:spacing w:line="360" w:lineRule="auto"/>
        <w:jc w:val="center"/>
        <w:rPr>
          <w:rFonts w:hAnsi="宋体"/>
          <w:b/>
          <w:color w:val="FF0000"/>
          <w:sz w:val="32"/>
        </w:rPr>
      </w:pPr>
    </w:p>
    <w:p>
      <w:pPr>
        <w:pStyle w:val="25"/>
        <w:adjustRightInd w:val="0"/>
        <w:snapToGrid w:val="0"/>
        <w:spacing w:line="360" w:lineRule="auto"/>
        <w:jc w:val="center"/>
        <w:rPr>
          <w:rFonts w:hAnsi="宋体"/>
          <w:b/>
          <w:color w:val="FF0000"/>
          <w:sz w:val="32"/>
        </w:rPr>
      </w:pPr>
    </w:p>
    <w:p>
      <w:pPr>
        <w:pStyle w:val="25"/>
        <w:adjustRightInd w:val="0"/>
        <w:snapToGrid w:val="0"/>
        <w:spacing w:line="360" w:lineRule="auto"/>
        <w:jc w:val="center"/>
        <w:rPr>
          <w:rFonts w:hAnsi="宋体"/>
          <w:b/>
          <w:color w:val="FF0000"/>
          <w:sz w:val="32"/>
        </w:rPr>
        <w:sectPr>
          <w:footerReference r:id="rId3" w:type="default"/>
          <w:pgSz w:w="11906" w:h="16838"/>
          <w:pgMar w:top="2098" w:right="1474" w:bottom="1984" w:left="1587" w:header="851" w:footer="992" w:gutter="0"/>
          <w:pgNumType w:fmt="decimal" w:start="1"/>
          <w:cols w:space="0" w:num="1"/>
          <w:docGrid w:type="lines" w:linePitch="319" w:charSpace="0"/>
        </w:sectPr>
      </w:pPr>
    </w:p>
    <w:p>
      <w:pPr>
        <w:pStyle w:val="25"/>
        <w:adjustRightInd w:val="0"/>
        <w:snapToGrid w:val="0"/>
        <w:spacing w:line="360" w:lineRule="auto"/>
        <w:jc w:val="center"/>
        <w:rPr>
          <w:rFonts w:hAnsi="宋体"/>
          <w:b/>
          <w:color w:val="FF0000"/>
          <w:sz w:val="32"/>
        </w:rPr>
      </w:pPr>
    </w:p>
    <w:p>
      <w:pPr>
        <w:pStyle w:val="25"/>
        <w:adjustRightInd w:val="0"/>
        <w:snapToGrid w:val="0"/>
        <w:spacing w:line="360" w:lineRule="auto"/>
        <w:jc w:val="center"/>
        <w:rPr>
          <w:rFonts w:hAnsi="宋体"/>
          <w:b/>
          <w:color w:val="FF0000"/>
          <w:sz w:val="32"/>
        </w:rPr>
        <w:sectPr>
          <w:footerReference r:id="rId4" w:type="default"/>
          <w:pgSz w:w="11906" w:h="16838"/>
          <w:pgMar w:top="2098" w:right="1474" w:bottom="1984" w:left="1587" w:header="851" w:footer="992" w:gutter="0"/>
          <w:pgNumType w:fmt="decimal" w:start="1"/>
          <w:cols w:space="0" w:num="1"/>
          <w:docGrid w:type="lines" w:linePitch="319" w:charSpace="0"/>
        </w:sectPr>
      </w:pPr>
    </w:p>
    <w:p>
      <w:pPr>
        <w:jc w:val="center"/>
        <w:rPr>
          <w:rFonts w:hint="eastAsia" w:ascii="宋体" w:hAnsi="宋体" w:cs="宋体"/>
          <w:b/>
          <w:bCs/>
          <w:sz w:val="32"/>
          <w:szCs w:val="32"/>
        </w:rPr>
      </w:pPr>
      <w:bookmarkStart w:id="0" w:name="_Toc14891064"/>
      <w:r>
        <w:rPr>
          <w:rFonts w:hint="eastAsia" w:ascii="宋体" w:hAnsi="宋体" w:cs="宋体"/>
          <w:b/>
          <w:bCs/>
          <w:sz w:val="32"/>
          <w:szCs w:val="32"/>
        </w:rPr>
        <w:t>目   录</w:t>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TOC \o "1-2" \h \u </w:instrText>
      </w:r>
      <w:r>
        <w:rPr>
          <w:rFonts w:hint="eastAsia" w:ascii="仿宋_GB2312" w:hAnsi="仿宋_GB2312" w:eastAsia="仿宋_GB2312" w:cs="仿宋_GB2312"/>
        </w:rPr>
        <w:fldChar w:fldCharType="separate"/>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_Toc21356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rPr>
        <w:t>第一章 谈判邀请公告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_Toc21356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_Toc23646 </w:instrText>
      </w:r>
      <w:r>
        <w:rPr>
          <w:rFonts w:hint="eastAsia" w:ascii="仿宋_GB2312" w:hAnsi="仿宋_GB2312" w:eastAsia="仿宋_GB2312" w:cs="仿宋_GB2312"/>
        </w:rPr>
        <w:fldChar w:fldCharType="separate"/>
      </w:r>
      <w:r>
        <w:rPr>
          <w:rFonts w:hint="eastAsia" w:ascii="仿宋_GB2312" w:hAnsi="仿宋_GB2312" w:eastAsia="仿宋_GB2312" w:cs="仿宋_GB2312"/>
          <w:bCs w:val="0"/>
          <w:szCs w:val="32"/>
          <w:highlight w:val="none"/>
        </w:rPr>
        <w:t>第二章  谈判须知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_Toc23646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_Toc15513 </w:instrText>
      </w:r>
      <w:r>
        <w:rPr>
          <w:rFonts w:hint="eastAsia" w:ascii="仿宋_GB2312" w:hAnsi="仿宋_GB2312" w:eastAsia="仿宋_GB2312" w:cs="仿宋_GB2312"/>
        </w:rPr>
        <w:fldChar w:fldCharType="separate"/>
      </w:r>
      <w:r>
        <w:rPr>
          <w:rFonts w:hint="eastAsia" w:ascii="仿宋_GB2312" w:hAnsi="仿宋_GB2312" w:eastAsia="仿宋_GB2312" w:cs="仿宋_GB2312"/>
          <w:highlight w:val="none"/>
        </w:rPr>
        <w:t>谈判须知前附表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_Toc15513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_Toc31391 </w:instrText>
      </w:r>
      <w:r>
        <w:rPr>
          <w:rFonts w:hint="eastAsia" w:ascii="仿宋_GB2312" w:hAnsi="仿宋_GB2312" w:eastAsia="仿宋_GB2312" w:cs="仿宋_GB2312"/>
        </w:rPr>
        <w:fldChar w:fldCharType="separate"/>
      </w:r>
      <w:r>
        <w:rPr>
          <w:rFonts w:hint="eastAsia" w:ascii="仿宋_GB2312" w:hAnsi="仿宋_GB2312" w:eastAsia="仿宋_GB2312" w:cs="仿宋_GB2312"/>
          <w:highlight w:val="none"/>
        </w:rPr>
        <w:t>谈判须知正文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_Toc31391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_Toc29850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一、说明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_Toc29850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_Toc14834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二、谈判文件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_Toc14834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_Toc8641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三、响应文件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_Toc8641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_Toc3522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四、响应文件的递交</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_Toc3522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_Toc16037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五、响应文件的评审</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_Toc16037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_Toc28602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六、响应文件的澄清、说明及补正</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_Toc28602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_Toc27120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七、中选结果与授予合同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_Toc27120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_Toc2272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highlight w:val="none"/>
        </w:rPr>
        <w:t>八、其他</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_Toc2272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_Toc8585 </w:instrText>
      </w:r>
      <w:r>
        <w:rPr>
          <w:rFonts w:hint="eastAsia" w:ascii="仿宋_GB2312" w:hAnsi="仿宋_GB2312" w:eastAsia="仿宋_GB2312" w:cs="仿宋_GB2312"/>
        </w:rPr>
        <w:fldChar w:fldCharType="separate"/>
      </w:r>
      <w:r>
        <w:rPr>
          <w:rFonts w:hint="eastAsia" w:ascii="仿宋_GB2312" w:hAnsi="仿宋_GB2312" w:eastAsia="仿宋_GB2312" w:cs="仿宋_GB2312"/>
          <w:bCs w:val="0"/>
          <w:szCs w:val="32"/>
          <w:highlight w:val="none"/>
        </w:rPr>
        <w:t>第三章  评审办法及标准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_Toc8585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_Toc23694 </w:instrText>
      </w:r>
      <w:r>
        <w:rPr>
          <w:rFonts w:hint="eastAsia" w:ascii="仿宋_GB2312" w:hAnsi="仿宋_GB2312" w:eastAsia="仿宋_GB2312" w:cs="仿宋_GB2312"/>
        </w:rPr>
        <w:fldChar w:fldCharType="separate"/>
      </w:r>
      <w:r>
        <w:rPr>
          <w:rFonts w:hint="eastAsia" w:ascii="仿宋_GB2312" w:hAnsi="仿宋_GB2312" w:eastAsia="仿宋_GB2312" w:cs="仿宋_GB2312"/>
          <w:bCs w:val="0"/>
          <w:szCs w:val="32"/>
          <w:highlight w:val="none"/>
        </w:rPr>
        <w:t>第四章  用户需求书（另册）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_Toc23694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_Toc11311 </w:instrText>
      </w:r>
      <w:r>
        <w:rPr>
          <w:rFonts w:hint="eastAsia" w:ascii="仿宋_GB2312" w:hAnsi="仿宋_GB2312" w:eastAsia="仿宋_GB2312" w:cs="仿宋_GB2312"/>
        </w:rPr>
        <w:fldChar w:fldCharType="separate"/>
      </w:r>
      <w:r>
        <w:rPr>
          <w:rFonts w:hint="eastAsia" w:ascii="仿宋_GB2312" w:hAnsi="仿宋_GB2312" w:eastAsia="仿宋_GB2312" w:cs="仿宋_GB2312"/>
          <w:bCs w:val="0"/>
          <w:szCs w:val="32"/>
          <w:highlight w:val="none"/>
        </w:rPr>
        <w:t>第五章  合同格式条款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_Toc11311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2"/>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_Toc19503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rPr>
        <w:t xml:space="preserve">第六章  </w:t>
      </w:r>
      <w:r>
        <w:rPr>
          <w:rFonts w:hint="eastAsia" w:ascii="仿宋_GB2312" w:hAnsi="仿宋_GB2312" w:eastAsia="仿宋_GB2312" w:cs="仿宋_GB2312"/>
          <w:bCs/>
          <w:szCs w:val="32"/>
          <w:highlight w:val="none"/>
        </w:rPr>
        <w:t>响应文件组成</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_Toc19503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_Toc19641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rPr>
        <w:t>一、谈判承诺书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_Toc19641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_Toc16874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rPr>
        <w:t>二、法定代表人身份证明书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_Toc16874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_Toc29853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rPr>
        <w:t>三、授权委托书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_Toc29853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_Toc417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rPr>
        <w:t>四、谈判单位资格证明文件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_Toc417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_Toc5998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五、企业实力</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_Toc5998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_Toc23279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六、</w:t>
      </w:r>
      <w:r>
        <w:rPr>
          <w:rFonts w:hint="eastAsia" w:ascii="仿宋_GB2312" w:hAnsi="仿宋_GB2312" w:eastAsia="仿宋_GB2312" w:cs="仿宋_GB2312"/>
          <w:szCs w:val="32"/>
          <w:highlight w:val="none"/>
        </w:rPr>
        <w:t>安全管理及保障方案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_Toc23279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_Toc3940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七、服务管理方案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_Toc3940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_Toc3080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八、</w:t>
      </w:r>
      <w:r>
        <w:rPr>
          <w:rFonts w:hint="eastAsia" w:ascii="仿宋_GB2312" w:hAnsi="仿宋_GB2312" w:eastAsia="仿宋_GB2312" w:cs="仿宋_GB2312"/>
          <w:szCs w:val="32"/>
          <w:highlight w:val="none"/>
        </w:rPr>
        <w:t>综合管理方案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_Toc3080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_Toc17214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九、</w:t>
      </w:r>
      <w:r>
        <w:rPr>
          <w:rFonts w:hint="eastAsia" w:ascii="仿宋_GB2312" w:hAnsi="仿宋_GB2312" w:eastAsia="仿宋_GB2312" w:cs="仿宋_GB2312"/>
          <w:szCs w:val="32"/>
          <w:highlight w:val="none"/>
        </w:rPr>
        <w:t>卫生管理方案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_Toc17214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_Toc25770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十、</w:t>
      </w:r>
      <w:r>
        <w:rPr>
          <w:rFonts w:hint="eastAsia" w:ascii="仿宋_GB2312" w:hAnsi="仿宋_GB2312" w:eastAsia="仿宋_GB2312" w:cs="仿宋_GB2312"/>
          <w:szCs w:val="32"/>
          <w:highlight w:val="none"/>
        </w:rPr>
        <w:t>应急管理方案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_Toc25770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_Toc32749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十一、优惠</w:t>
      </w:r>
      <w:r>
        <w:rPr>
          <w:rFonts w:hint="eastAsia" w:ascii="仿宋_GB2312" w:hAnsi="仿宋_GB2312" w:eastAsia="仿宋_GB2312" w:cs="仿宋_GB2312"/>
          <w:szCs w:val="32"/>
          <w:highlight w:val="none"/>
        </w:rPr>
        <w:t>方案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_Toc32749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_Toc29054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十二、原材料保障</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_Toc29054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_Toc19696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十三</w:t>
      </w:r>
      <w:r>
        <w:rPr>
          <w:rFonts w:hint="eastAsia" w:ascii="仿宋_GB2312" w:hAnsi="仿宋_GB2312" w:eastAsia="仿宋_GB2312" w:cs="仿宋_GB2312"/>
          <w:szCs w:val="32"/>
          <w:highlight w:val="none"/>
        </w:rPr>
        <w:t>、承诺函</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_Toc19696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7"/>
        <w:keepNext w:val="0"/>
        <w:keepLines w:val="0"/>
        <w:pageBreakBefore w:val="0"/>
        <w:widowControl w:val="0"/>
        <w:tabs>
          <w:tab w:val="right" w:leader="dot" w:pos="8845"/>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_Toc31641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2"/>
          <w:highlight w:val="none"/>
          <w:lang w:val="en-US" w:eastAsia="zh-CN"/>
        </w:rPr>
        <w:t>十四</w:t>
      </w:r>
      <w:r>
        <w:rPr>
          <w:rFonts w:hint="eastAsia" w:ascii="仿宋_GB2312" w:hAnsi="仿宋_GB2312" w:eastAsia="仿宋_GB2312" w:cs="仿宋_GB2312"/>
          <w:szCs w:val="32"/>
          <w:highlight w:val="none"/>
        </w:rPr>
        <w:t>、其他资料（如有）</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_Toc31641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9"/>
        <w:keepNext w:val="0"/>
        <w:keepLines w:val="0"/>
        <w:pageBreakBefore w:val="0"/>
        <w:widowControl w:val="0"/>
        <w:kinsoku/>
        <w:wordWrap/>
        <w:overflowPunct/>
        <w:topLinePunct w:val="0"/>
        <w:autoSpaceDE/>
        <w:autoSpaceDN/>
        <w:bidi w:val="0"/>
        <w:adjustRightInd/>
        <w:snapToGrid/>
        <w:spacing w:line="380" w:lineRule="exact"/>
        <w:textAlignment w:val="auto"/>
      </w:pPr>
      <w:r>
        <w:rPr>
          <w:rFonts w:hint="eastAsia" w:ascii="仿宋_GB2312" w:hAnsi="仿宋_GB2312" w:eastAsia="仿宋_GB2312" w:cs="仿宋_GB2312"/>
        </w:rPr>
        <w:fldChar w:fldCharType="end"/>
      </w:r>
    </w:p>
    <w:p>
      <w:pPr>
        <w:spacing w:line="420" w:lineRule="exact"/>
        <w:rPr>
          <w:rFonts w:ascii="宋体" w:hAnsi="宋体" w:cs="宋体"/>
          <w:b/>
          <w:bCs/>
          <w:szCs w:val="21"/>
          <w:highlight w:val="cyan"/>
        </w:rPr>
        <w:sectPr>
          <w:footerReference r:id="rId5" w:type="default"/>
          <w:pgSz w:w="11906" w:h="16838"/>
          <w:pgMar w:top="2098" w:right="1474" w:bottom="1984" w:left="1587" w:header="851" w:footer="992" w:gutter="0"/>
          <w:pgNumType w:fmt="decimal"/>
          <w:cols w:space="0" w:num="1"/>
          <w:docGrid w:type="lines" w:linePitch="319" w:charSpace="0"/>
        </w:sectPr>
      </w:pPr>
      <w:bookmarkStart w:id="1" w:name="_Toc5016"/>
      <w:bookmarkStart w:id="2" w:name="_Toc29614"/>
    </w:p>
    <w:p>
      <w:pPr>
        <w:pStyle w:val="3"/>
        <w:keepNext w:val="0"/>
        <w:numPr>
          <w:ilvl w:val="0"/>
          <w:numId w:val="6"/>
        </w:numPr>
        <w:spacing w:line="360" w:lineRule="auto"/>
        <w:rPr>
          <w:rFonts w:ascii="宋体" w:hAnsi="宋体" w:cs="宋体"/>
          <w:sz w:val="32"/>
          <w:szCs w:val="32"/>
        </w:rPr>
      </w:pPr>
      <w:bookmarkStart w:id="3" w:name="_Toc13376"/>
      <w:bookmarkStart w:id="4" w:name="_Toc3621"/>
      <w:bookmarkStart w:id="5" w:name="_Toc10838"/>
      <w:r>
        <w:rPr>
          <w:rFonts w:hint="eastAsia" w:ascii="宋体" w:hAnsi="宋体" w:cs="宋体"/>
          <w:sz w:val="32"/>
          <w:szCs w:val="32"/>
        </w:rPr>
        <w:t xml:space="preserve"> </w:t>
      </w:r>
      <w:bookmarkStart w:id="6" w:name="_Toc25709"/>
      <w:bookmarkStart w:id="7" w:name="_Toc21356"/>
      <w:r>
        <w:rPr>
          <w:rFonts w:hint="eastAsia" w:ascii="宋体" w:hAnsi="宋体" w:cs="宋体"/>
          <w:sz w:val="32"/>
          <w:szCs w:val="32"/>
        </w:rPr>
        <w:t>谈判邀请公告</w:t>
      </w:r>
      <w:bookmarkEnd w:id="0"/>
      <w:bookmarkEnd w:id="1"/>
      <w:bookmarkEnd w:id="2"/>
      <w:bookmarkEnd w:id="3"/>
      <w:bookmarkEnd w:id="4"/>
      <w:bookmarkEnd w:id="5"/>
      <w:bookmarkEnd w:id="6"/>
      <w:bookmarkEnd w:id="7"/>
    </w:p>
    <w:p/>
    <w:p>
      <w:pPr>
        <w:spacing w:line="360" w:lineRule="auto"/>
        <w:ind w:firstLine="420" w:firstLineChars="200"/>
        <w:jc w:val="left"/>
        <w:rPr>
          <w:rFonts w:ascii="宋体" w:hAnsi="宋体" w:cs="宋体"/>
          <w:iCs/>
          <w:color w:val="auto"/>
          <w:szCs w:val="21"/>
          <w:highlight w:val="none"/>
        </w:rPr>
      </w:pPr>
      <w:r>
        <w:rPr>
          <w:rStyle w:val="56"/>
          <w:rFonts w:hint="eastAsia"/>
          <w:color w:val="auto"/>
          <w:kern w:val="0"/>
          <w:highlight w:val="none"/>
          <w:shd w:val="clear" w:color="auto" w:fill="FFFFFF"/>
        </w:rPr>
        <w:t>长沙市轨道交通运营有限公司</w:t>
      </w:r>
      <w:r>
        <w:rPr>
          <w:rStyle w:val="56"/>
          <w:rFonts w:hint="eastAsia"/>
          <w:color w:val="auto"/>
          <w:kern w:val="0"/>
          <w:highlight w:val="none"/>
          <w:u w:val="none"/>
          <w:shd w:val="clear" w:color="auto" w:fill="FFFFFF"/>
        </w:rPr>
        <w:t>对</w:t>
      </w:r>
      <w:r>
        <w:rPr>
          <w:rFonts w:ascii="宋体" w:hAnsi="宋体" w:cs="宋体"/>
          <w:color w:val="000000"/>
          <w:highlight w:val="none"/>
          <w:u w:val="single"/>
        </w:rPr>
        <w:t>长沙市轨道交通5号线、西环线运营</w:t>
      </w:r>
      <w:r>
        <w:rPr>
          <w:rFonts w:hint="eastAsia" w:ascii="宋体" w:hAnsi="宋体" w:cs="宋体"/>
          <w:color w:val="000000"/>
          <w:highlight w:val="none"/>
          <w:u w:val="single"/>
        </w:rPr>
        <w:t>期</w:t>
      </w:r>
      <w:r>
        <w:rPr>
          <w:rFonts w:ascii="宋体" w:hAnsi="宋体" w:cs="宋体"/>
          <w:color w:val="000000"/>
          <w:highlight w:val="none"/>
          <w:u w:val="single"/>
        </w:rPr>
        <w:t>2023-2025年水渡河车辆段、九华车辆基地食堂委外经营服务项目</w:t>
      </w:r>
      <w:r>
        <w:rPr>
          <w:rFonts w:hint="eastAsia" w:ascii="宋体" w:hAnsi="宋体" w:cs="宋体"/>
          <w:color w:val="000000"/>
          <w:highlight w:val="none"/>
          <w:u w:val="single"/>
          <w:lang w:val="en-US" w:eastAsia="zh-CN"/>
        </w:rPr>
        <w:t>二标段（第二次）</w:t>
      </w:r>
      <w:r>
        <w:rPr>
          <w:rStyle w:val="56"/>
          <w:rFonts w:hint="eastAsia"/>
          <w:color w:val="auto"/>
          <w:kern w:val="0"/>
          <w:highlight w:val="none"/>
          <w:u w:val="none"/>
          <w:shd w:val="clear" w:color="auto" w:fill="FFFFFF"/>
        </w:rPr>
        <w:t>进行自</w:t>
      </w:r>
      <w:r>
        <w:rPr>
          <w:rStyle w:val="56"/>
          <w:rFonts w:hint="eastAsia"/>
          <w:color w:val="auto"/>
          <w:kern w:val="0"/>
          <w:highlight w:val="none"/>
          <w:u w:val="none"/>
          <w:shd w:val="clear" w:color="auto" w:fill="FFFFFF"/>
        </w:rPr>
        <w:t>主竞争性谈判采购，现发布公告，邀请符合条件的单位参与谈判采购活动。</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项目概况</w:t>
      </w:r>
    </w:p>
    <w:p>
      <w:pPr>
        <w:numPr>
          <w:ilvl w:val="0"/>
          <w:numId w:val="8"/>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项目名称：</w:t>
      </w:r>
      <w:r>
        <w:rPr>
          <w:rFonts w:ascii="宋体" w:hAnsi="宋体" w:cs="宋体"/>
          <w:color w:val="auto"/>
          <w:highlight w:val="none"/>
        </w:rPr>
        <w:t>长沙市轨道交通5号线、西环线运营</w:t>
      </w:r>
      <w:r>
        <w:rPr>
          <w:rFonts w:hint="eastAsia" w:ascii="宋体" w:hAnsi="宋体" w:cs="宋体"/>
          <w:color w:val="auto"/>
          <w:highlight w:val="none"/>
        </w:rPr>
        <w:t>期</w:t>
      </w:r>
      <w:r>
        <w:rPr>
          <w:rFonts w:ascii="宋体" w:hAnsi="宋体" w:cs="宋体"/>
          <w:color w:val="auto"/>
          <w:highlight w:val="none"/>
        </w:rPr>
        <w:t>2023-2025年水渡河车辆段、九华车辆基地食堂委外经营服务项目</w:t>
      </w:r>
      <w:r>
        <w:rPr>
          <w:rFonts w:hint="eastAsia" w:ascii="宋体" w:hAnsi="宋体" w:cs="宋体"/>
          <w:color w:val="auto"/>
          <w:highlight w:val="none"/>
          <w:lang w:val="en-US" w:eastAsia="zh-CN"/>
        </w:rPr>
        <w:t>二标段</w:t>
      </w:r>
      <w:r>
        <w:rPr>
          <w:rFonts w:hint="eastAsia" w:ascii="宋体" w:hAnsi="宋体" w:cs="宋体"/>
          <w:color w:val="auto"/>
          <w:highlight w:val="none"/>
          <w:lang w:val="en-US" w:eastAsia="zh-CN"/>
        </w:rPr>
        <w:t>（第二次</w:t>
      </w:r>
      <w:r>
        <w:rPr>
          <w:rFonts w:hint="eastAsia" w:ascii="宋体" w:hAnsi="宋体" w:cs="宋体"/>
          <w:color w:val="auto"/>
          <w:highlight w:val="none"/>
          <w:lang w:val="en-US" w:eastAsia="zh-CN"/>
        </w:rPr>
        <w:t>）</w:t>
      </w:r>
    </w:p>
    <w:p>
      <w:pPr>
        <w:numPr>
          <w:ilvl w:val="0"/>
          <w:numId w:val="8"/>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项目编号：长轨运服采【2022】</w:t>
      </w:r>
      <w:r>
        <w:rPr>
          <w:rStyle w:val="56"/>
          <w:color w:val="auto"/>
          <w:kern w:val="0"/>
          <w:highlight w:val="none"/>
          <w:u w:val="none"/>
          <w:shd w:val="clear" w:color="auto" w:fill="FFFFFF"/>
        </w:rPr>
        <w:t>53</w:t>
      </w:r>
      <w:r>
        <w:rPr>
          <w:rStyle w:val="56"/>
          <w:rFonts w:hint="eastAsia"/>
          <w:color w:val="auto"/>
          <w:kern w:val="0"/>
          <w:highlight w:val="none"/>
          <w:u w:val="none"/>
          <w:shd w:val="clear" w:color="auto" w:fill="FFFFFF"/>
        </w:rPr>
        <w:t>号</w:t>
      </w:r>
    </w:p>
    <w:p>
      <w:pPr>
        <w:numPr>
          <w:ilvl w:val="0"/>
          <w:numId w:val="8"/>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 xml:space="preserve">标段划分：共划分 </w:t>
      </w:r>
      <w:r>
        <w:rPr>
          <w:rStyle w:val="56"/>
          <w:rFonts w:hint="eastAsia"/>
          <w:color w:val="auto"/>
          <w:kern w:val="0"/>
          <w:highlight w:val="none"/>
          <w:u w:val="none"/>
          <w:shd w:val="clear" w:color="auto" w:fill="FFFFFF"/>
          <w:lang w:val="en-US" w:eastAsia="zh-CN"/>
        </w:rPr>
        <w:t>1</w:t>
      </w:r>
      <w:r>
        <w:rPr>
          <w:rStyle w:val="56"/>
          <w:rFonts w:hint="eastAsia"/>
          <w:color w:val="auto"/>
          <w:kern w:val="0"/>
          <w:highlight w:val="none"/>
          <w:u w:val="none"/>
          <w:shd w:val="clear" w:color="auto" w:fill="FFFFFF"/>
        </w:rPr>
        <w:t xml:space="preserve"> 个标段</w:t>
      </w:r>
    </w:p>
    <w:p>
      <w:pPr>
        <w:spacing w:line="360" w:lineRule="auto"/>
        <w:ind w:firstLine="420" w:firstLineChars="200"/>
        <w:jc w:val="left"/>
        <w:rPr>
          <w:rFonts w:ascii="宋体" w:hAnsi="宋体" w:cs="宋体"/>
          <w:color w:val="auto"/>
          <w:highlight w:val="none"/>
        </w:rPr>
      </w:pPr>
      <w:r>
        <w:rPr>
          <w:rFonts w:hint="eastAsia" w:ascii="宋体" w:hAnsi="宋体" w:cs="宋体"/>
          <w:b w:val="0"/>
          <w:bCs w:val="0"/>
          <w:color w:val="auto"/>
          <w:highlight w:val="none"/>
          <w:lang w:val="en-US" w:eastAsia="zh-CN"/>
        </w:rPr>
        <w:t>本项目</w:t>
      </w:r>
      <w:r>
        <w:rPr>
          <w:rFonts w:hint="eastAsia" w:ascii="宋体" w:hAnsi="宋体" w:cs="宋体"/>
          <w:color w:val="auto"/>
          <w:highlight w:val="none"/>
        </w:rPr>
        <w:t>为</w:t>
      </w:r>
      <w:r>
        <w:rPr>
          <w:rFonts w:ascii="宋体" w:hAnsi="宋体" w:cs="宋体"/>
          <w:color w:val="auto"/>
          <w:highlight w:val="none"/>
        </w:rPr>
        <w:t>长沙市轨道交通西环线运营</w:t>
      </w:r>
      <w:r>
        <w:rPr>
          <w:rFonts w:hint="eastAsia" w:ascii="宋体" w:hAnsi="宋体" w:cs="宋体"/>
          <w:color w:val="auto"/>
          <w:highlight w:val="none"/>
        </w:rPr>
        <w:t>期</w:t>
      </w:r>
      <w:r>
        <w:rPr>
          <w:rFonts w:ascii="宋体" w:hAnsi="宋体" w:cs="宋体"/>
          <w:color w:val="auto"/>
          <w:highlight w:val="none"/>
        </w:rPr>
        <w:t>九华车辆基地食堂委外经营服务</w:t>
      </w:r>
      <w:r>
        <w:rPr>
          <w:rFonts w:hint="eastAsia" w:ascii="宋体" w:hAnsi="宋体" w:cs="宋体"/>
          <w:color w:val="auto"/>
          <w:highlight w:val="none"/>
        </w:rPr>
        <w:t>（预估就餐人数为早餐约40人、中餐约50人、晚餐约30人）；</w:t>
      </w:r>
    </w:p>
    <w:p>
      <w:pPr>
        <w:pStyle w:val="25"/>
        <w:spacing w:line="360" w:lineRule="auto"/>
        <w:ind w:firstLine="420" w:firstLineChars="200"/>
        <w:rPr>
          <w:rFonts w:hAnsi="宋体" w:cs="宋体"/>
          <w:color w:val="auto"/>
          <w:szCs w:val="24"/>
          <w:highlight w:val="none"/>
        </w:rPr>
      </w:pPr>
      <w:r>
        <w:rPr>
          <w:rFonts w:hint="eastAsia" w:hAnsi="宋体" w:cs="宋体"/>
          <w:color w:val="auto"/>
          <w:szCs w:val="24"/>
          <w:highlight w:val="none"/>
          <w:lang w:eastAsia="zh-CN"/>
        </w:rPr>
        <w:t>谈判单位</w:t>
      </w:r>
      <w:r>
        <w:rPr>
          <w:rFonts w:hint="eastAsia" w:hAnsi="宋体" w:cs="宋体"/>
          <w:color w:val="auto"/>
          <w:szCs w:val="24"/>
          <w:highlight w:val="none"/>
        </w:rPr>
        <w:t>应知晓并充分考虑用餐人数随着业务开展</w:t>
      </w:r>
      <w:r>
        <w:rPr>
          <w:rFonts w:hint="eastAsia" w:hAnsi="宋体" w:cs="宋体"/>
          <w:color w:val="auto"/>
          <w:szCs w:val="24"/>
          <w:highlight w:val="none"/>
          <w:lang w:eastAsia="zh-CN"/>
        </w:rPr>
        <w:t>，可能</w:t>
      </w:r>
      <w:r>
        <w:rPr>
          <w:rFonts w:hint="eastAsia" w:hAnsi="宋体" w:cs="宋体"/>
          <w:color w:val="auto"/>
          <w:szCs w:val="24"/>
          <w:highlight w:val="none"/>
        </w:rPr>
        <w:t>存在</w:t>
      </w:r>
      <w:r>
        <w:rPr>
          <w:rFonts w:hint="eastAsia" w:hAnsi="宋体" w:cs="宋体"/>
          <w:color w:val="auto"/>
          <w:szCs w:val="24"/>
          <w:highlight w:val="none"/>
          <w:lang w:eastAsia="zh-CN"/>
        </w:rPr>
        <w:t>些许的</w:t>
      </w:r>
      <w:r>
        <w:rPr>
          <w:rFonts w:hint="eastAsia" w:hAnsi="宋体" w:cs="宋体"/>
          <w:color w:val="auto"/>
          <w:szCs w:val="24"/>
          <w:highlight w:val="none"/>
        </w:rPr>
        <w:t>变化性和不确定性，具体用餐人数以实际人数为准。</w:t>
      </w:r>
    </w:p>
    <w:p>
      <w:pPr>
        <w:numPr>
          <w:ilvl w:val="0"/>
          <w:numId w:val="8"/>
        </w:numPr>
        <w:spacing w:line="360" w:lineRule="auto"/>
        <w:ind w:firstLine="420" w:firstLineChars="200"/>
        <w:rPr>
          <w:rStyle w:val="56"/>
          <w:rFonts w:ascii="宋体" w:hAnsi="宋体" w:cs="宋体"/>
          <w:color w:val="auto"/>
          <w:highlight w:val="none"/>
          <w:u w:val="none"/>
        </w:rPr>
      </w:pPr>
      <w:r>
        <w:rPr>
          <w:rStyle w:val="56"/>
          <w:rFonts w:hint="eastAsia"/>
          <w:color w:val="auto"/>
          <w:kern w:val="0"/>
          <w:highlight w:val="none"/>
          <w:u w:val="none"/>
          <w:shd w:val="clear" w:color="auto" w:fill="FFFFFF"/>
        </w:rPr>
        <w:t>服务期限：</w:t>
      </w:r>
    </w:p>
    <w:p>
      <w:pPr>
        <w:pStyle w:val="25"/>
        <w:spacing w:line="360" w:lineRule="auto"/>
        <w:ind w:firstLine="420" w:firstLineChars="200"/>
        <w:rPr>
          <w:color w:val="auto"/>
          <w:szCs w:val="24"/>
          <w:highlight w:val="none"/>
        </w:rPr>
      </w:pPr>
      <w:r>
        <w:rPr>
          <w:rFonts w:hint="eastAsia" w:hAnsi="宋体" w:cs="宋体"/>
          <w:color w:val="auto"/>
          <w:szCs w:val="24"/>
          <w:highlight w:val="none"/>
        </w:rPr>
        <w:t>本</w:t>
      </w:r>
      <w:r>
        <w:rPr>
          <w:rFonts w:hint="eastAsia" w:hAnsi="宋体" w:cs="宋体"/>
          <w:color w:val="auto"/>
          <w:szCs w:val="24"/>
          <w:highlight w:val="none"/>
          <w:lang w:val="en-US" w:eastAsia="zh-CN"/>
        </w:rPr>
        <w:t>项目</w:t>
      </w:r>
      <w:r>
        <w:rPr>
          <w:rFonts w:hint="eastAsia" w:hAnsi="宋体" w:cs="宋体"/>
          <w:color w:val="auto"/>
          <w:szCs w:val="24"/>
          <w:highlight w:val="none"/>
        </w:rPr>
        <w:t>委外经营期限为12个月（起始时间从正式进驻之日计算）（具体详见用户需求书）</w:t>
      </w:r>
    </w:p>
    <w:p>
      <w:pPr>
        <w:numPr>
          <w:ilvl w:val="0"/>
          <w:numId w:val="8"/>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采购范围：</w:t>
      </w:r>
    </w:p>
    <w:p>
      <w:pPr>
        <w:pStyle w:val="2"/>
        <w:spacing w:line="360" w:lineRule="auto"/>
        <w:ind w:left="0" w:leftChars="0" w:firstLine="420" w:firstLineChars="200"/>
        <w:rPr>
          <w:color w:val="auto"/>
          <w:highlight w:val="none"/>
        </w:rPr>
      </w:pPr>
      <w:r>
        <w:rPr>
          <w:rFonts w:hint="eastAsia"/>
          <w:color w:val="auto"/>
          <w:highlight w:val="none"/>
          <w:lang w:val="en-US" w:eastAsia="zh-CN"/>
        </w:rPr>
        <w:t>本项目</w:t>
      </w:r>
      <w:r>
        <w:rPr>
          <w:rFonts w:hint="eastAsia"/>
          <w:color w:val="auto"/>
          <w:highlight w:val="none"/>
        </w:rPr>
        <w:t>主要为西环线九华车辆基地食堂（含小卖部）的委外经营（含人员、供餐服务、设备使用及维护、安全规范等管理工作）。由</w:t>
      </w:r>
      <w:r>
        <w:rPr>
          <w:rFonts w:hint="eastAsia" w:ascii="宋体" w:hAnsi="宋体" w:cs="宋体"/>
          <w:color w:val="auto"/>
          <w:highlight w:val="none"/>
          <w:lang w:eastAsia="zh-CN"/>
        </w:rPr>
        <w:t>谈判单位</w:t>
      </w:r>
      <w:r>
        <w:rPr>
          <w:rFonts w:hint="eastAsia"/>
          <w:color w:val="auto"/>
          <w:highlight w:val="none"/>
        </w:rPr>
        <w:t>负责供应</w:t>
      </w:r>
      <w:r>
        <w:rPr>
          <w:rFonts w:hint="eastAsia" w:ascii="宋体" w:hAnsi="宋体" w:cs="宋体"/>
          <w:color w:val="auto"/>
          <w:highlight w:val="none"/>
          <w:lang w:eastAsia="zh-CN"/>
        </w:rPr>
        <w:t>采购单位</w:t>
      </w:r>
      <w:r>
        <w:rPr>
          <w:rFonts w:hint="eastAsia"/>
          <w:color w:val="auto"/>
          <w:highlight w:val="none"/>
        </w:rPr>
        <w:t>员工五餐（早早餐、早餐、中餐、晚餐、晚晚餐）、车站送餐、客餐服务和相关辅助服务（如按要求免费提供凉茶、绿豆汤等），以及其他服务性的工作（如遇抢险救援或停水、停电等特殊情况下必须服从</w:t>
      </w:r>
      <w:r>
        <w:rPr>
          <w:rFonts w:hint="eastAsia" w:ascii="宋体" w:hAnsi="宋体" w:cs="宋体"/>
          <w:color w:val="auto"/>
          <w:highlight w:val="none"/>
          <w:lang w:eastAsia="zh-CN"/>
        </w:rPr>
        <w:t>采购单位</w:t>
      </w:r>
      <w:r>
        <w:rPr>
          <w:rFonts w:hint="eastAsia"/>
          <w:color w:val="auto"/>
          <w:highlight w:val="none"/>
        </w:rPr>
        <w:t>安排，确保员工用餐）。</w:t>
      </w:r>
      <w:bookmarkStart w:id="8" w:name="_Hlk121232676"/>
      <w:r>
        <w:rPr>
          <w:rFonts w:hint="eastAsia"/>
          <w:color w:val="auto"/>
          <w:highlight w:val="none"/>
        </w:rPr>
        <w:t>（具体详见用户需求书）</w:t>
      </w:r>
      <w:bookmarkEnd w:id="8"/>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资格要求</w:t>
      </w:r>
    </w:p>
    <w:p>
      <w:pPr>
        <w:numPr>
          <w:ilvl w:val="0"/>
          <w:numId w:val="9"/>
        </w:num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谈判单位须为具有独立法人资格、自主经营、独立核算的公司，须提供加盖谈判单位公章的营业执照/事业单位法人证书复印件,且营业执照（事业单位法人证书）处于有效期内。</w:t>
      </w:r>
    </w:p>
    <w:p>
      <w:pPr>
        <w:numPr>
          <w:ilvl w:val="0"/>
          <w:numId w:val="9"/>
        </w:num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谈判单位须具有一个入围业绩，入围业绩是指谈判单位在提交响应文件截止之日前36个月内须具有单项合同就餐人数50人/天（含）以上的餐饮服务业绩。不接受联合体业绩、港澳台或境外业绩。业绩证明材料以同时提供的合同原件扫描件和可查验的增值税发票原件扫描件为准（均须加盖谈判单位公章），业绩就餐人数以合同中的人数为准，时间以合同中甲方签订时间为准，若合同不能体现满足业绩要求的信息时，须另外提供由合同委托方出具的证明文件，并加盖“合同委托方行政公章（公章名称与合同委托方名称一致）”，否则证明文件无效，视为无效业绩。</w:t>
      </w:r>
    </w:p>
    <w:p>
      <w:pPr>
        <w:numPr>
          <w:ilvl w:val="0"/>
          <w:numId w:val="9"/>
        </w:num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本次采购不接受联合体。</w:t>
      </w:r>
    </w:p>
    <w:p>
      <w:pPr>
        <w:numPr>
          <w:ilvl w:val="0"/>
          <w:numId w:val="9"/>
        </w:numPr>
        <w:spacing w:line="360" w:lineRule="auto"/>
        <w:ind w:firstLine="420" w:firstLineChars="200"/>
        <w:jc w:val="left"/>
        <w:rPr>
          <w:rFonts w:hint="default" w:ascii="宋体" w:hAnsi="宋体" w:cs="宋体"/>
          <w:color w:val="auto"/>
          <w:highlight w:val="none"/>
          <w:lang w:val="en-US" w:eastAsia="zh-CN"/>
        </w:rPr>
      </w:pPr>
      <w:r>
        <w:rPr>
          <w:rFonts w:hint="eastAsia" w:ascii="宋体" w:hAnsi="宋体" w:cs="宋体"/>
          <w:color w:val="auto"/>
          <w:highlight w:val="none"/>
        </w:rPr>
        <w:t>被长沙市轨道交通集团有限公司或长沙市轨道交通运营有限公司函告禁止在一定期限内参与投标的单位按函告内容执行。</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评审办法</w:t>
      </w:r>
    </w:p>
    <w:p>
      <w:pPr>
        <w:adjustRightInd w:val="0"/>
        <w:snapToGrid w:val="0"/>
        <w:spacing w:line="360" w:lineRule="auto"/>
        <w:ind w:firstLine="420" w:firstLineChars="200"/>
        <w:rPr>
          <w:rFonts w:ascii="宋体" w:hAnsi="宋体" w:cs="宋体"/>
          <w:color w:val="auto"/>
          <w:szCs w:val="21"/>
          <w:highlight w:val="none"/>
        </w:rPr>
      </w:pPr>
      <w:r>
        <w:rPr>
          <w:rStyle w:val="56"/>
          <w:rFonts w:hint="eastAsia"/>
          <w:color w:val="auto"/>
          <w:kern w:val="0"/>
          <w:highlight w:val="none"/>
          <w:u w:val="none"/>
          <w:shd w:val="clear" w:color="auto" w:fill="FFFFFF"/>
        </w:rPr>
        <w:t>本项目评审办法采用：</w:t>
      </w:r>
      <w:r>
        <w:rPr>
          <w:rStyle w:val="56"/>
          <w:rFonts w:hint="eastAsia"/>
          <w:color w:val="auto"/>
          <w:kern w:val="0"/>
          <w:highlight w:val="none"/>
          <w:u w:val="none"/>
          <w:shd w:val="clear" w:color="auto" w:fill="FFFFFF"/>
        </w:rPr>
        <w:sym w:font="Wingdings 2" w:char="00A3"/>
      </w:r>
      <w:r>
        <w:rPr>
          <w:rStyle w:val="56"/>
          <w:color w:val="auto"/>
          <w:kern w:val="0"/>
          <w:highlight w:val="none"/>
          <w:u w:val="none"/>
          <w:shd w:val="clear" w:color="auto" w:fill="FFFFFF"/>
        </w:rPr>
        <w:t xml:space="preserve"> </w:t>
      </w:r>
      <w:r>
        <w:rPr>
          <w:rStyle w:val="56"/>
          <w:rFonts w:hint="eastAsia"/>
          <w:color w:val="auto"/>
          <w:kern w:val="0"/>
          <w:highlight w:val="none"/>
          <w:u w:val="none"/>
          <w:shd w:val="clear" w:color="auto" w:fill="FFFFFF"/>
        </w:rPr>
        <w:t xml:space="preserve">经符合性审查合格后的最低价法   </w:t>
      </w:r>
      <w:r>
        <w:rPr>
          <w:rStyle w:val="56"/>
          <w:rFonts w:hint="eastAsia"/>
          <w:color w:val="auto"/>
          <w:kern w:val="0"/>
          <w:highlight w:val="none"/>
          <w:u w:val="none"/>
          <w:shd w:val="clear" w:color="auto" w:fill="FFFFFF"/>
        </w:rPr>
        <w:sym w:font="Wingdings 2" w:char="0052"/>
      </w:r>
      <w:r>
        <w:rPr>
          <w:rStyle w:val="56"/>
          <w:rFonts w:hint="eastAsia"/>
          <w:color w:val="auto"/>
          <w:kern w:val="0"/>
          <w:highlight w:val="none"/>
          <w:u w:val="none"/>
          <w:shd w:val="clear" w:color="auto" w:fill="FFFFFF"/>
        </w:rPr>
        <w:t>综合评</w:t>
      </w:r>
      <w:r>
        <w:rPr>
          <w:rStyle w:val="56"/>
          <w:rFonts w:hint="eastAsia"/>
          <w:color w:val="auto"/>
          <w:kern w:val="0"/>
          <w:highlight w:val="none"/>
          <w:u w:val="none"/>
          <w:shd w:val="clear" w:color="auto" w:fill="FFFFFF"/>
          <w:lang w:val="en-US" w:eastAsia="zh-CN"/>
        </w:rPr>
        <w:t>审</w:t>
      </w:r>
      <w:r>
        <w:rPr>
          <w:rStyle w:val="56"/>
          <w:rFonts w:hint="eastAsia"/>
          <w:color w:val="auto"/>
          <w:kern w:val="0"/>
          <w:highlight w:val="none"/>
          <w:u w:val="none"/>
          <w:shd w:val="clear" w:color="auto" w:fill="FFFFFF"/>
        </w:rPr>
        <w:t>法</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自主竞争性谈判文件的获取</w:t>
      </w:r>
    </w:p>
    <w:p>
      <w:p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凡有意参加谈判的单位，自本公告发布之日起登录长沙市轨道交通集团有限公司官方网站（http://www.hncsmtr.com/）获取自主竞争性谈判文件。</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谈判文件的澄清与答疑</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本项目不组织答疑会和现场踏勘。</w:t>
      </w:r>
    </w:p>
    <w:p>
      <w:pPr>
        <w:pStyle w:val="41"/>
        <w:numPr>
          <w:ilvl w:val="0"/>
          <w:numId w:val="10"/>
        </w:numPr>
        <w:shd w:val="clear" w:color="auto" w:fill="FFFFFF"/>
        <w:spacing w:before="0" w:beforeAutospacing="0" w:after="0" w:afterAutospacing="0" w:line="360" w:lineRule="auto"/>
        <w:ind w:firstLine="420" w:firstLineChars="200"/>
        <w:jc w:val="both"/>
        <w:rPr>
          <w:rStyle w:val="56"/>
          <w:rFonts w:hint="eastAsia"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谈判单位若对谈判文件有任何疑问，应于20</w:t>
      </w:r>
      <w:r>
        <w:rPr>
          <w:rStyle w:val="56"/>
          <w:rFonts w:hint="eastAsia" w:ascii="Times New Roman" w:hAnsi="Times New Roman" w:cs="Times New Roman"/>
          <w:color w:val="auto"/>
          <w:sz w:val="21"/>
          <w:highlight w:val="non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u w:val="single"/>
          <w:shd w:val="clear" w:color="auto" w:fill="FFFFFF"/>
          <w:lang w:val="en-US" w:eastAsia="zh-CN"/>
        </w:rPr>
        <w:t>01</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u w:val="single"/>
          <w:shd w:val="clear" w:color="auto" w:fill="FFFFFF"/>
          <w:lang w:val="en-US" w:eastAsia="zh-CN"/>
        </w:rPr>
        <w:t>12</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u w:val="none"/>
          <w:shd w:val="clear" w:color="auto" w:fill="FFFFFF"/>
        </w:rPr>
        <w:t>17：00时（含）前（节假日除外）以书面形式（经法定代表人签字或盖章，并加盖单位公章）递交至长沙市劳动东路二段48号黄兴车辆段综合楼9楼910电子评标室。</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在谈判截止时间前，采购单位可主动地或在解答谈判单位提出的问题时对谈判文件进行澄清或修改。</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澄清或者修改的内容可能影响响应文件编制的，采购单位应当在提交响应文件截止之日3个工作日前，在长沙市轨道交通集团有限公司官方网站（http://www.hncsmtr.com/）发布澄清或答疑文件及顺延谈判时间，敬请获得谈判文件的所有谈判单位关注，恕不另行通知，如有遗漏，采购单位不负任何责任。</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谈判保证金提交与退还</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Fonts w:hint="eastAsia"/>
          <w:color w:val="auto"/>
          <w:sz w:val="21"/>
          <w:szCs w:val="21"/>
          <w:highlight w:val="none"/>
          <w:shd w:val="clear" w:color="auto" w:fill="FFFFFF"/>
          <w:lang w:bidi="ar"/>
        </w:rPr>
        <w:sym w:font="Wingdings" w:char="00A8"/>
      </w:r>
      <w:r>
        <w:rPr>
          <w:rStyle w:val="56"/>
          <w:rFonts w:hint="eastAsia" w:ascii="Times New Roman" w:hAnsi="Times New Roman" w:cs="Times New Roman"/>
          <w:color w:val="auto"/>
          <w:sz w:val="21"/>
          <w:highlight w:val="none"/>
          <w:u w:val="none"/>
          <w:shd w:val="clear" w:color="auto" w:fill="FFFFFF"/>
        </w:rPr>
        <w:t>不要求提交谈判保证金。</w:t>
      </w:r>
    </w:p>
    <w:p>
      <w:pPr>
        <w:pStyle w:val="41"/>
        <w:shd w:val="clear" w:color="auto" w:fill="FFFFFF"/>
        <w:spacing w:before="0" w:beforeAutospacing="0" w:after="0" w:afterAutospacing="0" w:line="360" w:lineRule="auto"/>
        <w:ind w:left="420" w:leftChars="200"/>
        <w:jc w:val="both"/>
        <w:rPr>
          <w:rStyle w:val="56"/>
          <w:rFonts w:ascii="Times New Roman" w:hAnsi="Times New Roman" w:cs="Times New Roman"/>
          <w:color w:val="auto"/>
          <w:sz w:val="21"/>
          <w:highlight w:val="none"/>
          <w:u w:val="none"/>
          <w:shd w:val="clear" w:color="auto" w:fill="FFFFFF"/>
        </w:rPr>
      </w:pPr>
      <w:r>
        <w:rPr>
          <w:rFonts w:hint="eastAsia"/>
          <w:color w:val="auto"/>
          <w:sz w:val="21"/>
          <w:szCs w:val="21"/>
          <w:highlight w:val="none"/>
          <w:shd w:val="clear" w:color="auto" w:fill="FFFFFF"/>
          <w:lang w:bidi="ar"/>
        </w:rPr>
        <w:sym w:font="Wingdings" w:char="00FE"/>
      </w:r>
      <w:r>
        <w:rPr>
          <w:rFonts w:hint="eastAsia"/>
          <w:color w:val="auto"/>
          <w:sz w:val="21"/>
          <w:szCs w:val="21"/>
          <w:highlight w:val="none"/>
          <w:shd w:val="clear" w:color="auto" w:fill="FFFFFF"/>
          <w:lang w:bidi="ar"/>
        </w:rPr>
        <w:t>要求提交谈判保证金，具体要求如下：</w:t>
      </w:r>
    </w:p>
    <w:p>
      <w:pPr>
        <w:pStyle w:val="41"/>
        <w:numPr>
          <w:ilvl w:val="0"/>
          <w:numId w:val="11"/>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谈判单位须在城轨采购网（网址：</w:t>
      </w:r>
      <w:r>
        <w:rPr>
          <w:color w:val="auto"/>
          <w:highlight w:val="none"/>
        </w:rPr>
        <w:fldChar w:fldCharType="begin"/>
      </w:r>
      <w:r>
        <w:rPr>
          <w:color w:val="auto"/>
          <w:highlight w:val="none"/>
        </w:rPr>
        <w:instrText xml:space="preserve"> HYPERLINK "http://www.mtrmart.com）注册参与并按要求提交投标保证金。本次投标保证金的金额为（人民币）" </w:instrText>
      </w:r>
      <w:r>
        <w:rPr>
          <w:color w:val="auto"/>
          <w:highlight w:val="none"/>
        </w:rPr>
        <w:fldChar w:fldCharType="separate"/>
      </w:r>
      <w:r>
        <w:rPr>
          <w:rStyle w:val="56"/>
          <w:rFonts w:hint="eastAsia" w:ascii="Times New Roman" w:hAnsi="Times New Roman" w:cs="Times New Roman"/>
          <w:color w:val="auto"/>
          <w:sz w:val="21"/>
          <w:highlight w:val="none"/>
          <w:u w:val="none"/>
          <w:shd w:val="clear" w:color="auto" w:fill="FFFFFF"/>
        </w:rPr>
        <w:t>www.mtrmart.com）注册参与并按要求提交谈判保证金。本次谈判保证金的金额为（人民币）</w:t>
      </w:r>
      <w:r>
        <w:rPr>
          <w:rStyle w:val="56"/>
          <w:rFonts w:hint="eastAsia" w:ascii="Times New Roman" w:hAnsi="Times New Roman" w:cs="Times New Roman"/>
          <w:color w:val="auto"/>
          <w:sz w:val="21"/>
          <w:highlight w:val="none"/>
          <w:u w:val="none"/>
          <w:shd w:val="clear" w:color="auto" w:fill="FFFFFF"/>
        </w:rPr>
        <w:fldChar w:fldCharType="end"/>
      </w:r>
      <w:r>
        <w:rPr>
          <w:rStyle w:val="56"/>
          <w:rFonts w:hint="eastAsia" w:ascii="Times New Roman" w:hAnsi="Times New Roman" w:cs="Times New Roman"/>
          <w:color w:val="auto"/>
          <w:sz w:val="21"/>
          <w:highlight w:val="none"/>
          <w:shd w:val="clear" w:color="auto" w:fill="FFFFFF"/>
          <w:lang w:val="en-US" w:eastAsia="zh-CN"/>
        </w:rPr>
        <w:t>伍仟元整</w:t>
      </w:r>
      <w:r>
        <w:rPr>
          <w:rFonts w:hint="eastAsia"/>
          <w:color w:val="auto"/>
          <w:sz w:val="21"/>
          <w:szCs w:val="21"/>
          <w:highlight w:val="none"/>
          <w:shd w:val="clear" w:color="auto" w:fill="FFFFFF"/>
          <w:lang w:bidi="ar"/>
        </w:rPr>
        <w:t>（¥</w:t>
      </w:r>
      <w:r>
        <w:rPr>
          <w:rFonts w:hint="eastAsia"/>
          <w:color w:val="auto"/>
          <w:sz w:val="21"/>
          <w:szCs w:val="21"/>
          <w:highlight w:val="none"/>
          <w:u w:val="single"/>
          <w:shd w:val="clear" w:color="auto" w:fill="FFFFFF"/>
          <w:lang w:val="en-US" w:eastAsia="zh-CN" w:bidi="ar"/>
        </w:rPr>
        <w:t>5000</w:t>
      </w:r>
      <w:r>
        <w:rPr>
          <w:rFonts w:hint="eastAsia"/>
          <w:color w:val="auto"/>
          <w:sz w:val="21"/>
          <w:szCs w:val="21"/>
          <w:highlight w:val="none"/>
          <w:shd w:val="clear" w:color="auto" w:fill="FFFFFF"/>
          <w:lang w:bidi="ar"/>
        </w:rPr>
        <w:t>元）</w:t>
      </w:r>
      <w:r>
        <w:rPr>
          <w:rStyle w:val="56"/>
          <w:rFonts w:hint="eastAsia" w:ascii="Times New Roman" w:hAnsi="Times New Roman" w:cs="Times New Roman"/>
          <w:color w:val="auto"/>
          <w:sz w:val="21"/>
          <w:highlight w:val="none"/>
          <w:u w:val="none"/>
          <w:shd w:val="clear" w:color="auto" w:fill="FFFFFF"/>
        </w:rPr>
        <w:t>，谈判保证金必须由谈判单位的银行对公账户一次性足额转出，提交谈判保证金的账户名称应与谈判单位的名称一致，不得以分支机构等其他名义提交。否则将无权限参加本次谈判。</w:t>
      </w:r>
    </w:p>
    <w:p>
      <w:pPr>
        <w:pStyle w:val="41"/>
        <w:numPr>
          <w:ilvl w:val="0"/>
          <w:numId w:val="11"/>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本次参与谈判单位的谈判保证金必须在</w:t>
      </w:r>
      <w:r>
        <w:rPr>
          <w:rStyle w:val="56"/>
          <w:rFonts w:hint="eastAsia" w:ascii="Times New Roman" w:hAnsi="Times New Roman" w:cs="Times New Roman"/>
          <w:color w:val="auto"/>
          <w:sz w:val="21"/>
          <w:highlight w:val="none"/>
          <w:u w:val="single"/>
          <w:shd w:val="clear" w:color="auto" w:fill="FFFFFF"/>
        </w:rPr>
        <w:t>20</w:t>
      </w:r>
      <w:r>
        <w:rPr>
          <w:rStyle w:val="56"/>
          <w:rFonts w:hint="eastAsia" w:ascii="Times New Roman" w:hAnsi="Times New Roman" w:cs="Times New Roman"/>
          <w:color w:val="auto"/>
          <w:sz w:val="21"/>
          <w:highlight w:val="none"/>
          <w:u w:val="singl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u w:val="single"/>
          <w:shd w:val="clear" w:color="auto" w:fill="FFFFFF"/>
          <w:lang w:val="en-US" w:eastAsia="zh-CN"/>
        </w:rPr>
        <w:t>02</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shd w:val="clear" w:color="auto" w:fill="FFFFFF"/>
          <w:lang w:val="en-US" w:eastAsia="zh-CN"/>
        </w:rPr>
        <w:t>06</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u w:val="single"/>
          <w:shd w:val="clear" w:color="auto" w:fill="FFFFFF"/>
          <w:lang w:val="en-US" w:eastAsia="zh-CN"/>
        </w:rPr>
        <w:t>09:00</w:t>
      </w:r>
      <w:r>
        <w:rPr>
          <w:rStyle w:val="56"/>
          <w:rFonts w:hint="eastAsia" w:ascii="Times New Roman" w:hAnsi="Times New Roman" w:cs="Times New Roman"/>
          <w:color w:val="auto"/>
          <w:sz w:val="21"/>
          <w:highlight w:val="none"/>
          <w:u w:val="none"/>
          <w:shd w:val="clear" w:color="auto" w:fill="FFFFFF"/>
        </w:rPr>
        <w:t>前(含)到达专用账户（以托管银行到账的日期为准），逾期或未提交谈判保证金的谈判单位，将无权限参加本次谈判。</w:t>
      </w:r>
    </w:p>
    <w:p>
      <w:pPr>
        <w:pStyle w:val="41"/>
        <w:numPr>
          <w:ilvl w:val="0"/>
          <w:numId w:val="11"/>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次谈判保证金的提交仅接受银行转账的方式，谈判保证金由广州地铁物资有限公司代收、代退。账户名为广州地铁物资有限公司（开户分行：平安银行广州分行营业部），城轨采购网（网址：www.mtrmart.com）系统会为本项目自动生成谈判保证金账户信息（虚拟子账户），相关账户信息以实际信息为准。</w:t>
      </w:r>
    </w:p>
    <w:p>
      <w:pPr>
        <w:pStyle w:val="41"/>
        <w:keepNext w:val="0"/>
        <w:keepLines w:val="0"/>
        <w:pageBreakBefore w:val="0"/>
        <w:widowControl w:val="0"/>
        <w:numPr>
          <w:ilvl w:val="0"/>
          <w:numId w:val="11"/>
        </w:numPr>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保证金的退还：未中选单位的谈判保证金，将在其确定对本项目谈判采购过程及结果无异议，且在中选结果公示截止后予以退还谈判保证金；中选单位的谈判保证金将在签署合同并提交履约保证金后予以退还。如在退还谈判保证金时发生银行费用，则在谈判保证金金额内扣减后将余额退回。</w:t>
      </w:r>
    </w:p>
    <w:p>
      <w:pPr>
        <w:pStyle w:val="41"/>
        <w:keepNext w:val="0"/>
        <w:keepLines w:val="0"/>
        <w:pageBreakBefore w:val="0"/>
        <w:widowControl w:val="0"/>
        <w:numPr>
          <w:ilvl w:val="0"/>
          <w:numId w:val="11"/>
        </w:numPr>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项目终止谈判保证金退还，已经收取谈判保证金的，将在终止采购活动后无息退还所收取的谈判保证金。重新组织采购时，谈判单位应当重新获取保证金账号，并提交谈判保证金。</w:t>
      </w:r>
    </w:p>
    <w:p>
      <w:pPr>
        <w:pStyle w:val="41"/>
        <w:numPr>
          <w:ilvl w:val="0"/>
          <w:numId w:val="11"/>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谈判单位在谈判截止时间前撤回已提交的响应文件的，将在收到供应商书面撤回通知后，退还已收取的谈判保证金。</w:t>
      </w:r>
    </w:p>
    <w:p>
      <w:pPr>
        <w:pStyle w:val="41"/>
        <w:numPr>
          <w:ilvl w:val="0"/>
          <w:numId w:val="11"/>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出现包括但不限于下列情况的，采购单位将按照长沙市轨道交通运营有限公司相关制度和合同条款等相关规定，视其情节轻重，给予没收部分或全部谈判保证金，并出具书面处理决定，除此之外，如谈判单位给采购单位造成的损失超过谈判保证金数额的，谈判单位应当对超过部分给予赔偿。</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谈判单位提出撤回或撤销或放弃中选资格或对</w:t>
      </w:r>
      <w:r>
        <w:rPr>
          <w:rStyle w:val="56"/>
          <w:rFonts w:hint="eastAsia" w:ascii="Times New Roman" w:hAnsi="Times New Roman" w:cs="Times New Roman"/>
          <w:color w:val="auto"/>
          <w:sz w:val="21"/>
          <w:highlight w:val="none"/>
          <w:u w:val="none"/>
          <w:shd w:val="clear" w:color="auto" w:fill="FFFFFF"/>
          <w:lang w:val="en-US" w:eastAsia="zh-CN"/>
        </w:rPr>
        <w:t>响应文件</w:t>
      </w:r>
      <w:r>
        <w:rPr>
          <w:rStyle w:val="56"/>
          <w:rFonts w:hint="eastAsia" w:ascii="Times New Roman" w:hAnsi="Times New Roman" w:cs="Times New Roman"/>
          <w:color w:val="auto"/>
          <w:sz w:val="21"/>
          <w:highlight w:val="none"/>
          <w:u w:val="none"/>
          <w:shd w:val="clear" w:color="auto" w:fill="FFFFFF"/>
        </w:rPr>
        <w:t>提出实质性修改；</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中选单位未能在规定期限内签订合同或不按</w:t>
      </w:r>
      <w:r>
        <w:rPr>
          <w:rStyle w:val="56"/>
          <w:rFonts w:hint="eastAsia" w:ascii="Times New Roman" w:hAnsi="Times New Roman" w:cs="Times New Roman"/>
          <w:color w:val="auto"/>
          <w:sz w:val="21"/>
          <w:highlight w:val="none"/>
          <w:u w:val="none"/>
          <w:shd w:val="clear" w:color="auto" w:fill="FFFFFF"/>
          <w:lang w:val="en-US" w:eastAsia="zh-CN"/>
        </w:rPr>
        <w:t>评审</w:t>
      </w:r>
      <w:r>
        <w:rPr>
          <w:rStyle w:val="56"/>
          <w:rFonts w:hint="eastAsia" w:ascii="Times New Roman" w:hAnsi="Times New Roman" w:cs="Times New Roman"/>
          <w:color w:val="auto"/>
          <w:sz w:val="21"/>
          <w:highlight w:val="none"/>
          <w:u w:val="none"/>
          <w:shd w:val="clear" w:color="auto" w:fill="FFFFFF"/>
        </w:rPr>
        <w:t>结果签订合同；</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中选单位未能在规定期限内提交履约保证金；</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中选单位在合同订立过程中未能完全响应采购文件、清单、附件、合同要求以致合同无法订立的；</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经查实谈判单位</w:t>
      </w:r>
      <w:r>
        <w:rPr>
          <w:rStyle w:val="56"/>
          <w:rFonts w:hint="eastAsia" w:ascii="Times New Roman" w:hAnsi="Times New Roman" w:cs="Times New Roman"/>
          <w:color w:val="auto"/>
          <w:sz w:val="21"/>
          <w:highlight w:val="none"/>
          <w:u w:val="none"/>
          <w:shd w:val="clear" w:color="auto" w:fill="FFFFFF"/>
          <w:lang w:val="en-US" w:eastAsia="zh-CN"/>
        </w:rPr>
        <w:t>响应文件</w:t>
      </w:r>
      <w:r>
        <w:rPr>
          <w:rStyle w:val="56"/>
          <w:rFonts w:hint="eastAsia" w:ascii="Times New Roman" w:hAnsi="Times New Roman" w:cs="Times New Roman"/>
          <w:color w:val="auto"/>
          <w:sz w:val="21"/>
          <w:highlight w:val="none"/>
          <w:u w:val="none"/>
          <w:shd w:val="clear" w:color="auto" w:fill="FFFFFF"/>
        </w:rPr>
        <w:t>资料弄虚作假的；</w:t>
      </w:r>
    </w:p>
    <w:p>
      <w:pPr>
        <w:pStyle w:val="41"/>
        <w:numPr>
          <w:ilvl w:val="0"/>
          <w:numId w:val="12"/>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串通参与谈判相关行为的。如不同谈判单位的谈判保证金从同一账户转出。</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响应文件的递交</w:t>
      </w:r>
    </w:p>
    <w:p>
      <w:pPr>
        <w:pStyle w:val="41"/>
        <w:numPr>
          <w:ilvl w:val="0"/>
          <w:numId w:val="13"/>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响应文件递交的截止时间及谈判时间为</w:t>
      </w:r>
      <w:r>
        <w:rPr>
          <w:rStyle w:val="56"/>
          <w:rFonts w:hint="eastAsia" w:ascii="Times New Roman" w:hAnsi="Times New Roman" w:cs="Times New Roman"/>
          <w:color w:val="auto"/>
          <w:sz w:val="21"/>
          <w:highlight w:val="none"/>
          <w:u w:val="single"/>
          <w:shd w:val="clear" w:color="auto" w:fill="FFFFFF"/>
        </w:rPr>
        <w:t>20</w:t>
      </w:r>
      <w:r>
        <w:rPr>
          <w:rStyle w:val="56"/>
          <w:rFonts w:hint="eastAsia" w:ascii="Times New Roman" w:hAnsi="Times New Roman" w:cs="Times New Roman"/>
          <w:color w:val="auto"/>
          <w:sz w:val="21"/>
          <w:highlight w:val="none"/>
          <w:u w:val="singl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shd w:val="clear" w:color="auto" w:fill="FFFFFF"/>
          <w:lang w:val="en-US" w:eastAsia="zh-CN"/>
        </w:rPr>
        <w:t>02</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shd w:val="clear" w:color="auto" w:fill="FFFFFF"/>
          <w:lang w:val="en-US" w:eastAsia="zh-CN"/>
        </w:rPr>
        <w:t>06</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shd w:val="clear" w:color="auto" w:fill="FFFFFF"/>
          <w:lang w:val="en-US" w:eastAsia="zh-CN"/>
        </w:rPr>
        <w:t>10</w:t>
      </w:r>
      <w:r>
        <w:rPr>
          <w:rStyle w:val="56"/>
          <w:rFonts w:hint="eastAsia" w:ascii="Times New Roman" w:hAnsi="Times New Roman" w:cs="Times New Roman"/>
          <w:color w:val="auto"/>
          <w:sz w:val="21"/>
          <w:highlight w:val="none"/>
          <w:u w:val="none"/>
          <w:shd w:val="clear" w:color="auto" w:fill="FFFFFF"/>
        </w:rPr>
        <w:t>时</w:t>
      </w:r>
      <w:r>
        <w:rPr>
          <w:rStyle w:val="56"/>
          <w:rFonts w:hint="eastAsia" w:ascii="Times New Roman" w:hAnsi="Times New Roman" w:cs="Times New Roman"/>
          <w:color w:val="auto"/>
          <w:sz w:val="21"/>
          <w:highlight w:val="none"/>
          <w:shd w:val="clear" w:color="auto" w:fill="FFFFFF"/>
          <w:lang w:val="en-US" w:eastAsia="zh-CN"/>
        </w:rPr>
        <w:t>30</w:t>
      </w:r>
      <w:r>
        <w:rPr>
          <w:rStyle w:val="56"/>
          <w:rFonts w:hint="eastAsia" w:ascii="Times New Roman" w:hAnsi="Times New Roman" w:cs="Times New Roman"/>
          <w:color w:val="auto"/>
          <w:sz w:val="21"/>
          <w:highlight w:val="none"/>
          <w:u w:val="none"/>
          <w:shd w:val="clear" w:color="auto" w:fill="FFFFFF"/>
        </w:rPr>
        <w:t>分，地点为长沙市劳动东路二段48号黄兴车辆段综合楼9楼910电子评标室。</w:t>
      </w:r>
    </w:p>
    <w:p>
      <w:pPr>
        <w:pStyle w:val="41"/>
        <w:numPr>
          <w:ilvl w:val="0"/>
          <w:numId w:val="13"/>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逾期送达的或者未送达指定地点的或者未密封的响应文件（含电子文件），采购单位将予以拒收。</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中选原则</w:t>
      </w:r>
    </w:p>
    <w:p>
      <w:pPr>
        <w:pStyle w:val="41"/>
        <w:numPr>
          <w:ilvl w:val="0"/>
          <w:numId w:val="14"/>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谈判评审小组按照综合得分由高到低的顺序推荐不超过3名中选候选人，并对排名第一的中选候选人进行公示。经公示无异议后，确定排名第一的中选候选人为中选人。</w:t>
      </w:r>
    </w:p>
    <w:p>
      <w:pPr>
        <w:pStyle w:val="41"/>
        <w:numPr>
          <w:ilvl w:val="0"/>
          <w:numId w:val="14"/>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pStyle w:val="41"/>
        <w:keepNext w:val="0"/>
        <w:keepLines w:val="0"/>
        <w:pageBreakBefore w:val="0"/>
        <w:widowControl w:val="0"/>
        <w:numPr>
          <w:ilvl w:val="0"/>
          <w:numId w:val="7"/>
        </w:numPr>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jc w:val="both"/>
        <w:textAlignment w:val="auto"/>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异议与投诉</w:t>
      </w:r>
    </w:p>
    <w:p>
      <w:pPr>
        <w:pStyle w:val="41"/>
        <w:keepNext w:val="0"/>
        <w:keepLines w:val="0"/>
        <w:pageBreakBefore w:val="0"/>
        <w:widowControl w:val="0"/>
        <w:numPr>
          <w:ilvl w:val="0"/>
          <w:numId w:val="15"/>
        </w:numPr>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供应商或者其他利害关系人对评审结果有异议的，应当在结果公示规定的期限内向采购人提出。异议的提出与处理按《长沙市轨道交通运营有限公司服务类采购管理办法(试行）》执行。</w:t>
      </w:r>
    </w:p>
    <w:p>
      <w:pPr>
        <w:pStyle w:val="41"/>
        <w:keepNext w:val="0"/>
        <w:keepLines w:val="0"/>
        <w:pageBreakBefore w:val="0"/>
        <w:widowControl w:val="0"/>
        <w:numPr>
          <w:ilvl w:val="0"/>
          <w:numId w:val="15"/>
        </w:numPr>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供应商或者其他利害关系人认为本次采购活动违反相关法律法规或规范性文件规定的，可以在知道或者应当知道之日起10日内向长沙市轨道交通运营有限公司监察审计部门投诉。</w:t>
      </w:r>
    </w:p>
    <w:p>
      <w:pPr>
        <w:pStyle w:val="41"/>
        <w:numPr>
          <w:ilvl w:val="0"/>
          <w:numId w:val="7"/>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ascii="Times New Roman" w:hAnsi="Times New Roman" w:cs="Times New Roman"/>
          <w:b/>
          <w:bCs/>
          <w:color w:val="auto"/>
          <w:sz w:val="21"/>
          <w:highlight w:val="none"/>
          <w:u w:val="none"/>
          <w:shd w:val="clear" w:color="auto" w:fill="FFFFFF"/>
        </w:rPr>
        <w:t>联系方式</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yellow"/>
          <w:u w:val="none"/>
          <w:shd w:val="clear" w:color="auto" w:fill="FFFFFF"/>
        </w:rPr>
      </w:pPr>
      <w:r>
        <w:rPr>
          <w:rStyle w:val="56"/>
          <w:rFonts w:ascii="Times New Roman" w:hAnsi="Times New Roman" w:cs="Times New Roman"/>
          <w:color w:val="auto"/>
          <w:sz w:val="21"/>
          <w:highlight w:val="none"/>
          <w:u w:val="none"/>
          <w:shd w:val="clear" w:color="auto" w:fill="FFFFFF"/>
        </w:rPr>
        <w:t>采购人：</w:t>
      </w:r>
      <w:r>
        <w:rPr>
          <w:rStyle w:val="56"/>
          <w:rFonts w:hint="eastAsia" w:ascii="Times New Roman" w:hAnsi="Times New Roman" w:cs="Times New Roman"/>
          <w:color w:val="auto"/>
          <w:sz w:val="21"/>
          <w:highlight w:val="none"/>
          <w:u w:val="none"/>
          <w:shd w:val="clear" w:color="auto" w:fill="FFFFFF"/>
        </w:rPr>
        <w:t>长沙市轨道交通运营有限公司</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ascii="Times New Roman" w:hAnsi="Times New Roman" w:cs="Times New Roman"/>
          <w:color w:val="auto"/>
          <w:sz w:val="21"/>
          <w:highlight w:val="none"/>
          <w:u w:val="none"/>
          <w:shd w:val="clear" w:color="auto" w:fill="FFFFFF"/>
        </w:rPr>
        <w:t>地</w:t>
      </w:r>
      <w:r>
        <w:rPr>
          <w:rStyle w:val="56"/>
          <w:rFonts w:hint="eastAsia" w:ascii="Times New Roman" w:hAnsi="Times New Roman" w:cs="Times New Roman"/>
          <w:color w:val="auto"/>
          <w:sz w:val="21"/>
          <w:highlight w:val="none"/>
          <w:u w:val="none"/>
          <w:shd w:val="clear" w:color="auto" w:fill="FFFFFF"/>
        </w:rPr>
        <w:t xml:space="preserve">  </w:t>
      </w:r>
      <w:r>
        <w:rPr>
          <w:rStyle w:val="56"/>
          <w:rFonts w:ascii="Times New Roman" w:hAnsi="Times New Roman" w:cs="Times New Roman"/>
          <w:color w:val="auto"/>
          <w:sz w:val="21"/>
          <w:highlight w:val="none"/>
          <w:u w:val="none"/>
          <w:shd w:val="clear" w:color="auto" w:fill="FFFFFF"/>
        </w:rPr>
        <w:t>址：</w:t>
      </w:r>
      <w:r>
        <w:rPr>
          <w:rStyle w:val="56"/>
          <w:rFonts w:hint="eastAsia" w:ascii="Times New Roman" w:hAnsi="Times New Roman" w:cs="Times New Roman"/>
          <w:color w:val="auto"/>
          <w:sz w:val="21"/>
          <w:highlight w:val="none"/>
          <w:u w:val="none"/>
          <w:shd w:val="clear" w:color="auto" w:fill="FFFFFF"/>
        </w:rPr>
        <w:t>湖南省</w:t>
      </w:r>
      <w:r>
        <w:rPr>
          <w:rStyle w:val="56"/>
          <w:rFonts w:ascii="Times New Roman" w:hAnsi="Times New Roman" w:cs="Times New Roman"/>
          <w:color w:val="auto"/>
          <w:sz w:val="21"/>
          <w:highlight w:val="none"/>
          <w:u w:val="none"/>
          <w:shd w:val="clear" w:color="auto" w:fill="FFFFFF"/>
        </w:rPr>
        <w:t>长沙市劳动东路二段48号黄兴车辆段</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ascii="Times New Roman" w:hAnsi="Times New Roman" w:cs="Times New Roman"/>
          <w:color w:val="auto"/>
          <w:sz w:val="21"/>
          <w:highlight w:val="none"/>
          <w:u w:val="none"/>
          <w:shd w:val="clear" w:color="auto" w:fill="FFFFFF"/>
        </w:rPr>
        <w:t>联系人：</w:t>
      </w:r>
      <w:r>
        <w:rPr>
          <w:rStyle w:val="56"/>
          <w:rFonts w:hint="eastAsia" w:ascii="Times New Roman" w:hAnsi="Times New Roman" w:cs="Times New Roman"/>
          <w:color w:val="auto"/>
          <w:sz w:val="21"/>
          <w:highlight w:val="none"/>
          <w:u w:val="none"/>
          <w:shd w:val="clear" w:color="auto" w:fill="FFFFFF"/>
        </w:rPr>
        <w:t>杨工</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ascii="Times New Roman" w:hAnsi="Times New Roman" w:cs="Times New Roman"/>
          <w:color w:val="auto"/>
          <w:sz w:val="21"/>
          <w:highlight w:val="none"/>
          <w:u w:val="none"/>
          <w:shd w:val="clear" w:color="auto" w:fill="FFFFFF"/>
        </w:rPr>
        <w:t>电</w:t>
      </w:r>
      <w:r>
        <w:rPr>
          <w:rStyle w:val="56"/>
          <w:rFonts w:hint="eastAsia" w:ascii="Times New Roman" w:hAnsi="Times New Roman" w:cs="Times New Roman"/>
          <w:color w:val="auto"/>
          <w:sz w:val="21"/>
          <w:highlight w:val="none"/>
          <w:u w:val="none"/>
          <w:shd w:val="clear" w:color="auto" w:fill="FFFFFF"/>
        </w:rPr>
        <w:t xml:space="preserve">  </w:t>
      </w:r>
      <w:r>
        <w:rPr>
          <w:rStyle w:val="56"/>
          <w:rFonts w:ascii="Times New Roman" w:hAnsi="Times New Roman" w:cs="Times New Roman"/>
          <w:color w:val="auto"/>
          <w:sz w:val="21"/>
          <w:highlight w:val="none"/>
          <w:u w:val="none"/>
          <w:shd w:val="clear" w:color="auto" w:fill="FFFFFF"/>
        </w:rPr>
        <w:t>话：0731-</w:t>
      </w:r>
      <w:r>
        <w:rPr>
          <w:rStyle w:val="56"/>
          <w:rFonts w:hint="eastAsia" w:ascii="Times New Roman" w:hAnsi="Times New Roman" w:cs="Times New Roman"/>
          <w:color w:val="auto"/>
          <w:sz w:val="21"/>
          <w:highlight w:val="none"/>
          <w:u w:val="none"/>
          <w:shd w:val="clear" w:color="auto" w:fill="FFFFFF"/>
        </w:rPr>
        <w:t>86852347</w:t>
      </w:r>
    </w:p>
    <w:p>
      <w:pPr>
        <w:pStyle w:val="41"/>
        <w:shd w:val="clear" w:color="auto" w:fill="FFFFFF"/>
        <w:spacing w:before="0" w:beforeAutospacing="0" w:after="0" w:afterAutospacing="0" w:line="360" w:lineRule="auto"/>
        <w:jc w:val="right"/>
        <w:rPr>
          <w:rFonts w:hint="eastAsia"/>
          <w:color w:val="auto"/>
          <w:sz w:val="21"/>
          <w:szCs w:val="21"/>
          <w:highlight w:val="none"/>
        </w:rPr>
      </w:pPr>
      <w:r>
        <w:rPr>
          <w:rFonts w:hint="eastAsia"/>
          <w:color w:val="auto"/>
          <w:sz w:val="21"/>
          <w:szCs w:val="21"/>
          <w:highlight w:val="none"/>
        </w:rPr>
        <w:t>20</w:t>
      </w:r>
      <w:r>
        <w:rPr>
          <w:rFonts w:hint="eastAsia"/>
          <w:color w:val="auto"/>
          <w:sz w:val="21"/>
          <w:szCs w:val="21"/>
          <w:highlight w:val="none"/>
          <w:lang w:val="en-US" w:eastAsia="zh-CN"/>
        </w:rPr>
        <w:t>23</w:t>
      </w:r>
      <w:r>
        <w:rPr>
          <w:rFonts w:hint="eastAsia"/>
          <w:color w:val="auto"/>
          <w:sz w:val="21"/>
          <w:szCs w:val="21"/>
          <w:highlight w:val="none"/>
        </w:rPr>
        <w:t>年</w:t>
      </w:r>
      <w:r>
        <w:rPr>
          <w:rFonts w:hint="eastAsia"/>
          <w:color w:val="auto"/>
          <w:sz w:val="21"/>
          <w:szCs w:val="21"/>
          <w:highlight w:val="none"/>
          <w:lang w:val="en-US" w:eastAsia="zh-CN"/>
        </w:rPr>
        <w:t>1</w:t>
      </w:r>
      <w:r>
        <w:rPr>
          <w:rFonts w:hint="eastAsia"/>
          <w:color w:val="auto"/>
          <w:sz w:val="21"/>
          <w:szCs w:val="21"/>
          <w:highlight w:val="none"/>
        </w:rPr>
        <w:t>月</w:t>
      </w:r>
      <w:r>
        <w:rPr>
          <w:rFonts w:hint="eastAsia"/>
          <w:color w:val="auto"/>
          <w:sz w:val="21"/>
          <w:szCs w:val="21"/>
          <w:highlight w:val="none"/>
          <w:lang w:val="en-US" w:eastAsia="zh-CN"/>
        </w:rPr>
        <w:t>5</w:t>
      </w:r>
      <w:r>
        <w:rPr>
          <w:rFonts w:hint="eastAsia"/>
          <w:color w:val="auto"/>
          <w:sz w:val="21"/>
          <w:szCs w:val="21"/>
          <w:highlight w:val="none"/>
        </w:rPr>
        <w:t>日</w:t>
      </w:r>
    </w:p>
    <w:p>
      <w:pPr>
        <w:pStyle w:val="41"/>
        <w:shd w:val="clear" w:color="auto" w:fill="FFFFFF"/>
        <w:spacing w:before="0" w:beforeAutospacing="0" w:after="0" w:afterAutospacing="0" w:line="360" w:lineRule="auto"/>
        <w:jc w:val="right"/>
        <w:rPr>
          <w:rFonts w:hint="eastAsia"/>
          <w:color w:val="auto"/>
          <w:sz w:val="21"/>
          <w:szCs w:val="21"/>
          <w:highlight w:val="none"/>
        </w:rPr>
      </w:pPr>
    </w:p>
    <w:p>
      <w:pP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附表：</w:t>
      </w:r>
    </w:p>
    <w:p>
      <w:pPr>
        <w:pStyle w:val="2"/>
        <w:rPr>
          <w:rFonts w:hint="eastAsia" w:ascii="宋体" w:hAnsi="宋体"/>
          <w:b/>
          <w:bCs/>
          <w:color w:val="auto"/>
          <w:kern w:val="0"/>
          <w:sz w:val="21"/>
          <w:szCs w:val="21"/>
          <w:highlight w:val="none"/>
        </w:rPr>
      </w:pPr>
    </w:p>
    <w:p>
      <w:pPr>
        <w:pStyle w:val="2"/>
        <w:jc w:val="center"/>
        <w:rPr>
          <w:rFonts w:hint="eastAsia"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rPr>
        <w:t>人员配备要求</w:t>
      </w:r>
      <w:r>
        <w:rPr>
          <w:rFonts w:hint="eastAsia" w:ascii="宋体" w:hAnsi="宋体"/>
          <w:b/>
          <w:bCs/>
          <w:color w:val="auto"/>
          <w:kern w:val="0"/>
          <w:sz w:val="21"/>
          <w:szCs w:val="21"/>
          <w:highlight w:val="none"/>
          <w:lang w:val="en-US" w:eastAsia="zh-CN"/>
        </w:rPr>
        <w:t>表</w:t>
      </w:r>
    </w:p>
    <w:p>
      <w:pPr>
        <w:pStyle w:val="2"/>
        <w:ind w:left="0" w:leftChars="0" w:firstLine="0" w:firstLineChars="0"/>
        <w:rPr>
          <w:rFonts w:hint="eastAsia"/>
          <w:color w:val="auto"/>
          <w:highlight w:val="none"/>
          <w:lang w:val="en-US" w:eastAsia="zh-CN"/>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81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356" w:type="dxa"/>
            <w:vAlign w:val="center"/>
          </w:tcPr>
          <w:p>
            <w:pPr>
              <w:ind w:right="-105" w:rightChars="-50"/>
              <w:jc w:val="center"/>
              <w:rPr>
                <w:rFonts w:ascii="宋体" w:hAnsi="宋体" w:cs="仿宋_GB2312"/>
                <w:b/>
                <w:bCs/>
                <w:color w:val="auto"/>
                <w:sz w:val="21"/>
                <w:szCs w:val="21"/>
                <w:highlight w:val="none"/>
              </w:rPr>
            </w:pPr>
            <w:r>
              <w:rPr>
                <w:rFonts w:hint="eastAsia" w:ascii="宋体" w:hAnsi="宋体" w:cs="仿宋_GB2312"/>
                <w:b/>
                <w:bCs/>
                <w:color w:val="auto"/>
                <w:sz w:val="21"/>
                <w:szCs w:val="21"/>
                <w:highlight w:val="none"/>
              </w:rPr>
              <w:t>岗位</w:t>
            </w:r>
          </w:p>
        </w:tc>
        <w:tc>
          <w:tcPr>
            <w:tcW w:w="1812" w:type="dxa"/>
            <w:vAlign w:val="center"/>
          </w:tcPr>
          <w:p>
            <w:pPr>
              <w:ind w:right="-105" w:rightChars="-50"/>
              <w:jc w:val="center"/>
              <w:rPr>
                <w:rFonts w:ascii="宋体" w:hAnsi="宋体" w:cs="仿宋_GB2312"/>
                <w:b/>
                <w:bCs/>
                <w:color w:val="auto"/>
                <w:sz w:val="21"/>
                <w:szCs w:val="21"/>
                <w:highlight w:val="none"/>
              </w:rPr>
            </w:pPr>
            <w:r>
              <w:rPr>
                <w:rFonts w:hint="eastAsia" w:ascii="宋体" w:hAnsi="宋体" w:cs="仿宋_GB2312"/>
                <w:b/>
                <w:bCs/>
                <w:color w:val="auto"/>
                <w:sz w:val="21"/>
                <w:szCs w:val="21"/>
                <w:highlight w:val="none"/>
              </w:rPr>
              <w:t>人员</w:t>
            </w:r>
            <w:r>
              <w:rPr>
                <w:rFonts w:ascii="宋体" w:hAnsi="宋体" w:cs="仿宋_GB2312"/>
                <w:b/>
                <w:bCs/>
                <w:color w:val="auto"/>
                <w:sz w:val="21"/>
                <w:szCs w:val="21"/>
                <w:highlight w:val="none"/>
              </w:rPr>
              <w:t>配置</w:t>
            </w:r>
            <w:r>
              <w:rPr>
                <w:rFonts w:hint="eastAsia" w:ascii="宋体" w:hAnsi="宋体" w:cs="仿宋_GB2312"/>
                <w:b/>
                <w:bCs/>
                <w:color w:val="auto"/>
                <w:sz w:val="21"/>
                <w:szCs w:val="21"/>
                <w:highlight w:val="none"/>
              </w:rPr>
              <w:t>数量</w:t>
            </w:r>
          </w:p>
        </w:tc>
        <w:tc>
          <w:tcPr>
            <w:tcW w:w="5760" w:type="dxa"/>
            <w:vAlign w:val="center"/>
          </w:tcPr>
          <w:p>
            <w:pPr>
              <w:ind w:right="-105" w:rightChars="-50"/>
              <w:jc w:val="center"/>
              <w:rPr>
                <w:rFonts w:ascii="宋体" w:hAnsi="宋体" w:cs="仿宋_GB2312"/>
                <w:b/>
                <w:bCs/>
                <w:color w:val="auto"/>
                <w:sz w:val="21"/>
                <w:szCs w:val="21"/>
                <w:highlight w:val="none"/>
              </w:rPr>
            </w:pPr>
            <w:r>
              <w:rPr>
                <w:rFonts w:hint="eastAsia" w:ascii="宋体" w:hAnsi="宋体" w:cs="仿宋_GB2312"/>
                <w:b/>
                <w:bCs/>
                <w:color w:val="auto"/>
                <w:sz w:val="21"/>
                <w:szCs w:val="21"/>
                <w:highlight w:val="none"/>
                <w:lang w:val="en-US" w:eastAsia="zh-CN"/>
              </w:rPr>
              <w:t>配备</w:t>
            </w:r>
            <w:r>
              <w:rPr>
                <w:rFonts w:hint="eastAsia" w:ascii="宋体" w:hAnsi="宋体" w:cs="仿宋_GB2312"/>
                <w:b/>
                <w:bCs/>
                <w:color w:val="auto"/>
                <w:sz w:val="21"/>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356" w:type="dxa"/>
            <w:vAlign w:val="center"/>
          </w:tcPr>
          <w:p>
            <w:pPr>
              <w:ind w:right="-105" w:rightChars="-50"/>
              <w:jc w:val="center"/>
              <w:rPr>
                <w:rFonts w:ascii="宋体" w:hAnsi="宋体" w:cs="仿宋_GB2312"/>
                <w:b/>
                <w:bCs/>
                <w:color w:val="auto"/>
                <w:sz w:val="21"/>
                <w:szCs w:val="21"/>
                <w:highlight w:val="none"/>
              </w:rPr>
            </w:pPr>
            <w:r>
              <w:rPr>
                <w:rFonts w:hint="eastAsia" w:ascii="宋体" w:hAnsi="宋体" w:cs="仿宋_GB2312"/>
                <w:b/>
                <w:bCs/>
                <w:color w:val="auto"/>
                <w:sz w:val="21"/>
                <w:szCs w:val="21"/>
                <w:highlight w:val="none"/>
              </w:rPr>
              <w:t>项目</w:t>
            </w:r>
            <w:r>
              <w:rPr>
                <w:rFonts w:ascii="宋体" w:hAnsi="宋体" w:cs="仿宋_GB2312"/>
                <w:b/>
                <w:bCs/>
                <w:color w:val="auto"/>
                <w:sz w:val="21"/>
                <w:szCs w:val="21"/>
                <w:highlight w:val="none"/>
              </w:rPr>
              <w:t>经理</w:t>
            </w:r>
          </w:p>
        </w:tc>
        <w:tc>
          <w:tcPr>
            <w:tcW w:w="1812" w:type="dxa"/>
            <w:vAlign w:val="center"/>
          </w:tcPr>
          <w:p>
            <w:pPr>
              <w:ind w:right="-105" w:rightChars="-50"/>
              <w:jc w:val="center"/>
              <w:rPr>
                <w:rFonts w:ascii="宋体" w:hAnsi="宋体" w:cs="仿宋_GB2312"/>
                <w:b/>
                <w:bCs/>
                <w:color w:val="auto"/>
                <w:sz w:val="21"/>
                <w:szCs w:val="21"/>
                <w:highlight w:val="none"/>
              </w:rPr>
            </w:pPr>
            <w:r>
              <w:rPr>
                <w:rFonts w:hint="eastAsia" w:ascii="宋体" w:hAnsi="宋体" w:cs="仿宋_GB2312"/>
                <w:b/>
                <w:bCs/>
                <w:color w:val="auto"/>
                <w:sz w:val="21"/>
                <w:szCs w:val="21"/>
                <w:highlight w:val="none"/>
              </w:rPr>
              <w:t>1</w:t>
            </w:r>
          </w:p>
        </w:tc>
        <w:tc>
          <w:tcPr>
            <w:tcW w:w="5760" w:type="dxa"/>
            <w:vAlign w:val="center"/>
          </w:tcPr>
          <w:p>
            <w:pPr>
              <w:ind w:right="-105" w:rightChars="-50"/>
              <w:jc w:val="both"/>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拟配备的项目经理以同等职位承担过1项单个餐饮服务合同且每天就餐人数达到</w:t>
            </w:r>
            <w:r>
              <w:rPr>
                <w:color w:val="auto"/>
                <w:highlight w:val="none"/>
              </w:rPr>
              <w:t>1</w:t>
            </w:r>
            <w:r>
              <w:rPr>
                <w:rFonts w:hint="eastAsia"/>
                <w:color w:val="auto"/>
                <w:highlight w:val="none"/>
              </w:rPr>
              <w:t>00人（含）以上的餐饮服务业绩。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356" w:type="dxa"/>
            <w:vAlign w:val="center"/>
          </w:tcPr>
          <w:p>
            <w:pPr>
              <w:ind w:right="-105" w:rightChars="-50"/>
              <w:jc w:val="center"/>
              <w:rPr>
                <w:rFonts w:ascii="宋体" w:hAnsi="宋体" w:cs="仿宋_GB2312"/>
                <w:b/>
                <w:bCs/>
                <w:color w:val="auto"/>
                <w:sz w:val="21"/>
                <w:szCs w:val="21"/>
                <w:highlight w:val="none"/>
              </w:rPr>
            </w:pPr>
            <w:r>
              <w:rPr>
                <w:rFonts w:hint="eastAsia" w:ascii="宋体" w:hAnsi="宋体" w:cs="仿宋_GB2312"/>
                <w:b/>
                <w:bCs/>
                <w:color w:val="auto"/>
                <w:sz w:val="21"/>
                <w:szCs w:val="21"/>
                <w:highlight w:val="none"/>
              </w:rPr>
              <w:t>厨师</w:t>
            </w:r>
          </w:p>
        </w:tc>
        <w:tc>
          <w:tcPr>
            <w:tcW w:w="1812" w:type="dxa"/>
            <w:vAlign w:val="center"/>
          </w:tcPr>
          <w:p>
            <w:pPr>
              <w:ind w:right="-105" w:rightChars="-50"/>
              <w:jc w:val="center"/>
              <w:rPr>
                <w:rFonts w:ascii="宋体" w:hAnsi="宋体" w:cs="仿宋_GB2312"/>
                <w:b/>
                <w:bCs/>
                <w:color w:val="auto"/>
                <w:sz w:val="21"/>
                <w:szCs w:val="21"/>
                <w:highlight w:val="none"/>
              </w:rPr>
            </w:pPr>
            <w:r>
              <w:rPr>
                <w:rFonts w:ascii="宋体" w:hAnsi="宋体" w:cs="仿宋_GB2312"/>
                <w:b/>
                <w:bCs/>
                <w:color w:val="auto"/>
                <w:sz w:val="21"/>
                <w:szCs w:val="21"/>
                <w:highlight w:val="none"/>
              </w:rPr>
              <w:t>1</w:t>
            </w:r>
          </w:p>
        </w:tc>
        <w:tc>
          <w:tcPr>
            <w:tcW w:w="5760" w:type="dxa"/>
            <w:vAlign w:val="center"/>
          </w:tcPr>
          <w:p>
            <w:pPr>
              <w:ind w:right="-105" w:rightChars="-50"/>
              <w:jc w:val="both"/>
              <w:rPr>
                <w:rFonts w:ascii="宋体" w:hAnsi="宋体" w:cs="仿宋_GB2312"/>
                <w:color w:val="auto"/>
                <w:sz w:val="21"/>
                <w:szCs w:val="21"/>
                <w:highlight w:val="none"/>
              </w:rPr>
            </w:pPr>
            <w:r>
              <w:rPr>
                <w:rFonts w:hint="eastAsia" w:ascii="宋体" w:hAnsi="宋体" w:cs="宋体"/>
                <w:color w:val="auto"/>
                <w:sz w:val="21"/>
                <w:szCs w:val="21"/>
                <w:highlight w:val="none"/>
              </w:rPr>
              <w:t>拟配备的厨师具备初级（含）以上中式烹调师资质。</w:t>
            </w:r>
          </w:p>
        </w:tc>
      </w:tr>
    </w:tbl>
    <w:p>
      <w:pPr>
        <w:rPr>
          <w:rFonts w:hint="eastAsia" w:hAnsi="宋体" w:cs="宋体"/>
          <w:color w:val="auto"/>
          <w:sz w:val="21"/>
          <w:szCs w:val="21"/>
          <w:highlight w:val="none"/>
          <w:lang w:val="en-US" w:eastAsia="zh-CN"/>
        </w:rPr>
      </w:pPr>
    </w:p>
    <w:p>
      <w:pPr>
        <w:pStyle w:val="41"/>
        <w:shd w:val="clear" w:color="auto" w:fill="FFFFFF"/>
        <w:spacing w:before="0" w:beforeAutospacing="0" w:after="0" w:afterAutospacing="0" w:line="360" w:lineRule="auto"/>
        <w:jc w:val="right"/>
        <w:rPr>
          <w:rFonts w:hint="eastAsia"/>
          <w:color w:val="auto"/>
          <w:sz w:val="21"/>
          <w:szCs w:val="21"/>
          <w:highlight w:val="none"/>
        </w:rPr>
      </w:pPr>
    </w:p>
    <w:p>
      <w:pPr>
        <w:pStyle w:val="3"/>
        <w:keepNext w:val="0"/>
        <w:spacing w:after="240"/>
        <w:rPr>
          <w:rFonts w:ascii="黑体" w:hAnsi="黑体" w:eastAsia="黑体"/>
          <w:b w:val="0"/>
          <w:bCs w:val="0"/>
          <w:color w:val="auto"/>
          <w:sz w:val="32"/>
          <w:szCs w:val="32"/>
          <w:highlight w:val="none"/>
        </w:rPr>
        <w:sectPr>
          <w:footerReference r:id="rId6" w:type="default"/>
          <w:pgSz w:w="11906" w:h="16838"/>
          <w:pgMar w:top="2098" w:right="1474" w:bottom="1984" w:left="1587" w:header="851" w:footer="992" w:gutter="0"/>
          <w:pgNumType w:fmt="decimal" w:start="1"/>
          <w:cols w:space="0" w:num="1"/>
          <w:docGrid w:type="lines" w:linePitch="319" w:charSpace="0"/>
        </w:sectPr>
      </w:pPr>
      <w:r>
        <w:rPr>
          <w:rFonts w:ascii="黑体" w:hAnsi="黑体" w:eastAsia="黑体"/>
          <w:b w:val="0"/>
          <w:bCs w:val="0"/>
          <w:color w:val="auto"/>
          <w:sz w:val="32"/>
          <w:szCs w:val="32"/>
          <w:highlight w:val="none"/>
        </w:rPr>
        <w:br w:type="page"/>
      </w:r>
      <w:bookmarkStart w:id="9" w:name="_Toc8914"/>
      <w:bookmarkStart w:id="10" w:name="_Toc10483"/>
      <w:bookmarkStart w:id="11" w:name="_Toc5145"/>
      <w:bookmarkStart w:id="12" w:name="_Toc14891065"/>
      <w:bookmarkStart w:id="13" w:name="_Toc6753"/>
      <w:bookmarkStart w:id="14" w:name="_Toc18697"/>
    </w:p>
    <w:p>
      <w:pPr>
        <w:pStyle w:val="3"/>
        <w:keepNext w:val="0"/>
        <w:spacing w:after="240"/>
        <w:rPr>
          <w:rFonts w:ascii="黑体" w:hAnsi="黑体" w:eastAsia="黑体"/>
          <w:bCs w:val="0"/>
          <w:color w:val="auto"/>
          <w:sz w:val="32"/>
          <w:szCs w:val="32"/>
          <w:highlight w:val="none"/>
        </w:rPr>
      </w:pPr>
      <w:bookmarkStart w:id="15" w:name="_Toc23646"/>
      <w:bookmarkStart w:id="16" w:name="_Toc28920"/>
      <w:r>
        <w:rPr>
          <w:rFonts w:hint="eastAsia" w:ascii="宋体" w:hAnsi="宋体" w:cs="宋体"/>
          <w:bCs w:val="0"/>
          <w:color w:val="auto"/>
          <w:sz w:val="32"/>
          <w:szCs w:val="32"/>
          <w:highlight w:val="none"/>
        </w:rPr>
        <w:t>第二章  谈判须知</w:t>
      </w:r>
      <w:bookmarkEnd w:id="9"/>
      <w:bookmarkEnd w:id="10"/>
      <w:bookmarkEnd w:id="11"/>
      <w:bookmarkEnd w:id="12"/>
      <w:bookmarkEnd w:id="13"/>
      <w:bookmarkEnd w:id="14"/>
      <w:bookmarkEnd w:id="15"/>
      <w:bookmarkEnd w:id="16"/>
    </w:p>
    <w:p>
      <w:pPr>
        <w:pStyle w:val="4"/>
        <w:keepNext w:val="0"/>
        <w:keepLines w:val="0"/>
        <w:jc w:val="center"/>
        <w:rPr>
          <w:rFonts w:ascii="宋体" w:hAnsi="宋体" w:cs="宋体"/>
          <w:color w:val="auto"/>
          <w:sz w:val="32"/>
          <w:highlight w:val="none"/>
        </w:rPr>
      </w:pPr>
      <w:bookmarkStart w:id="17" w:name="_Toc8177"/>
      <w:bookmarkStart w:id="18" w:name="_Toc28089"/>
      <w:bookmarkStart w:id="19" w:name="_Toc6617"/>
      <w:bookmarkStart w:id="20" w:name="_Toc15513"/>
      <w:bookmarkStart w:id="21" w:name="_Toc14891066"/>
      <w:bookmarkStart w:id="22" w:name="_Toc9591"/>
      <w:bookmarkStart w:id="23" w:name="_Toc5430"/>
      <w:bookmarkStart w:id="24" w:name="_Toc24368"/>
      <w:r>
        <w:rPr>
          <w:rFonts w:hint="eastAsia" w:ascii="宋体" w:hAnsi="宋体" w:cs="宋体"/>
          <w:color w:val="auto"/>
          <w:sz w:val="32"/>
          <w:highlight w:val="none"/>
        </w:rPr>
        <w:t>谈判须知前附表</w:t>
      </w:r>
      <w:bookmarkEnd w:id="17"/>
      <w:bookmarkEnd w:id="18"/>
      <w:bookmarkEnd w:id="19"/>
      <w:bookmarkEnd w:id="20"/>
      <w:bookmarkEnd w:id="21"/>
      <w:bookmarkEnd w:id="22"/>
      <w:bookmarkEnd w:id="23"/>
      <w:bookmarkEnd w:id="24"/>
    </w:p>
    <w:tbl>
      <w:tblPr>
        <w:tblStyle w:val="47"/>
        <w:tblW w:w="95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4"/>
        <w:gridCol w:w="73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名  称</w:t>
            </w:r>
          </w:p>
        </w:tc>
        <w:tc>
          <w:tcPr>
            <w:tcW w:w="7338"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采购项目</w:t>
            </w:r>
          </w:p>
        </w:tc>
        <w:tc>
          <w:tcPr>
            <w:tcW w:w="7338" w:type="dxa"/>
            <w:vAlign w:val="center"/>
          </w:tcPr>
          <w:p>
            <w:pPr>
              <w:widowControl/>
              <w:spacing w:line="360" w:lineRule="auto"/>
              <w:jc w:val="left"/>
              <w:rPr>
                <w:rFonts w:hint="default" w:ascii="宋体" w:hAnsi="宋体" w:eastAsia="宋体" w:cs="宋体"/>
                <w:color w:val="auto"/>
                <w:highlight w:val="none"/>
                <w:lang w:val="en-US" w:eastAsia="zh-CN"/>
              </w:rPr>
            </w:pPr>
            <w:r>
              <w:rPr>
                <w:rFonts w:ascii="宋体" w:hAnsi="宋体" w:cs="宋体"/>
                <w:color w:val="auto"/>
                <w:highlight w:val="none"/>
              </w:rPr>
              <w:t>长沙市轨道交通5号线、西环线运营</w:t>
            </w:r>
            <w:r>
              <w:rPr>
                <w:rFonts w:hint="eastAsia" w:ascii="宋体" w:hAnsi="宋体" w:cs="宋体"/>
                <w:color w:val="auto"/>
                <w:highlight w:val="none"/>
              </w:rPr>
              <w:t>期</w:t>
            </w:r>
            <w:r>
              <w:rPr>
                <w:rFonts w:ascii="宋体" w:hAnsi="宋体" w:cs="宋体"/>
                <w:color w:val="auto"/>
                <w:highlight w:val="none"/>
              </w:rPr>
              <w:t>2023-2025年水渡河车辆段、九华车辆基地食堂委外经营服务项目</w:t>
            </w:r>
            <w:r>
              <w:rPr>
                <w:rFonts w:hint="eastAsia" w:ascii="宋体" w:hAnsi="宋体" w:cs="宋体"/>
                <w:color w:val="auto"/>
                <w:highlight w:val="none"/>
                <w:lang w:val="en-US" w:eastAsia="zh-CN"/>
              </w:rPr>
              <w:t>二标段（第二次）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采购单位</w:t>
            </w:r>
          </w:p>
        </w:tc>
        <w:tc>
          <w:tcPr>
            <w:tcW w:w="7338" w:type="dxa"/>
            <w:vAlign w:val="center"/>
          </w:tcPr>
          <w:p>
            <w:pPr>
              <w:adjustRightInd w:val="0"/>
              <w:snapToGrid w:val="0"/>
              <w:jc w:val="left"/>
              <w:rPr>
                <w:rFonts w:ascii="宋体" w:hAnsi="宋体" w:cs="宋体"/>
                <w:iCs/>
                <w:color w:val="auto"/>
                <w:szCs w:val="21"/>
                <w:highlight w:val="none"/>
              </w:rPr>
            </w:pPr>
            <w:r>
              <w:rPr>
                <w:rStyle w:val="56"/>
                <w:rFonts w:hint="eastAsia"/>
                <w:color w:val="auto"/>
                <w:highlight w:val="none"/>
                <w:u w:val="none"/>
                <w:shd w:val="clear" w:color="auto" w:fill="FFFFFF"/>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最高限价</w:t>
            </w:r>
          </w:p>
        </w:tc>
        <w:tc>
          <w:tcPr>
            <w:tcW w:w="7338" w:type="dxa"/>
            <w:vAlign w:val="center"/>
          </w:tcPr>
          <w:p>
            <w:pPr>
              <w:adjustRightInd w:val="0"/>
              <w:snapToGrid w:val="0"/>
              <w:jc w:val="left"/>
              <w:rPr>
                <w:rFonts w:ascii="宋体" w:hAnsi="宋体" w:cs="宋体"/>
                <w:iCs/>
                <w:color w:val="auto"/>
                <w:szCs w:val="21"/>
                <w:highlight w:val="none"/>
              </w:rPr>
            </w:pPr>
            <w:r>
              <w:rPr>
                <w:rFonts w:hint="eastAsia" w:ascii="宋体" w:hAnsi="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评审办法</w:t>
            </w:r>
          </w:p>
        </w:tc>
        <w:tc>
          <w:tcPr>
            <w:tcW w:w="7338" w:type="dxa"/>
            <w:vAlign w:val="center"/>
          </w:tcPr>
          <w:p>
            <w:pPr>
              <w:adjustRightInd w:val="0"/>
              <w:snapToGrid w:val="0"/>
              <w:jc w:val="left"/>
              <w:rPr>
                <w:rFonts w:ascii="宋体" w:hAnsi="宋体" w:cs="宋体"/>
                <w:iCs/>
                <w:color w:val="auto"/>
                <w:szCs w:val="21"/>
                <w:highlight w:val="none"/>
              </w:rPr>
            </w:pPr>
            <w:r>
              <w:rPr>
                <w:rStyle w:val="56"/>
                <w:rFonts w:hint="eastAsia"/>
                <w:color w:val="auto"/>
                <w:kern w:val="0"/>
                <w:highlight w:val="none"/>
                <w:u w:val="none"/>
                <w:shd w:val="clear" w:color="auto" w:fill="FFFFFF"/>
              </w:rPr>
              <w:sym w:font="Wingdings 2" w:char="00A3"/>
            </w:r>
            <w:r>
              <w:rPr>
                <w:rStyle w:val="56"/>
                <w:rFonts w:hint="eastAsia"/>
                <w:color w:val="auto"/>
                <w:kern w:val="0"/>
                <w:highlight w:val="none"/>
                <w:u w:val="none"/>
                <w:shd w:val="clear" w:color="auto" w:fill="FFFFFF"/>
              </w:rPr>
              <w:t xml:space="preserve">经符合性审查合格后的最低价法   </w:t>
            </w:r>
            <w:r>
              <w:rPr>
                <w:rStyle w:val="56"/>
                <w:rFonts w:hint="eastAsia"/>
                <w:color w:val="auto"/>
                <w:kern w:val="0"/>
                <w:highlight w:val="none"/>
                <w:u w:val="none"/>
                <w:shd w:val="clear" w:color="auto" w:fill="FFFFFF"/>
              </w:rPr>
              <w:sym w:font="Wingdings 2" w:char="0052"/>
            </w:r>
            <w:bookmarkStart w:id="25" w:name="_Hlk121237171"/>
            <w:r>
              <w:rPr>
                <w:rStyle w:val="56"/>
                <w:rFonts w:hint="eastAsia"/>
                <w:color w:val="auto"/>
                <w:kern w:val="0"/>
                <w:highlight w:val="none"/>
                <w:u w:val="none"/>
                <w:shd w:val="clear" w:color="auto" w:fill="FFFFFF"/>
              </w:rPr>
              <w:t>综合评</w:t>
            </w:r>
            <w:r>
              <w:rPr>
                <w:rStyle w:val="56"/>
                <w:rFonts w:hint="eastAsia"/>
                <w:color w:val="auto"/>
                <w:kern w:val="0"/>
                <w:highlight w:val="none"/>
                <w:u w:val="none"/>
                <w:shd w:val="clear" w:color="auto" w:fill="FFFFFF"/>
                <w:lang w:val="en-US" w:eastAsia="zh-CN"/>
              </w:rPr>
              <w:t>审</w:t>
            </w:r>
            <w:r>
              <w:rPr>
                <w:rStyle w:val="56"/>
                <w:rFonts w:hint="eastAsia"/>
                <w:color w:val="auto"/>
                <w:kern w:val="0"/>
                <w:highlight w:val="none"/>
                <w:u w:val="none"/>
                <w:shd w:val="clear" w:color="auto" w:fill="FFFFFF"/>
              </w:rPr>
              <w:t>法</w:t>
            </w:r>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资格要求</w:t>
            </w:r>
          </w:p>
        </w:tc>
        <w:tc>
          <w:tcPr>
            <w:tcW w:w="7338" w:type="dxa"/>
            <w:vAlign w:val="center"/>
          </w:tcPr>
          <w:p>
            <w:pPr>
              <w:numPr>
                <w:ilvl w:val="0"/>
                <w:numId w:val="16"/>
              </w:numPr>
              <w:spacing w:line="360" w:lineRule="auto"/>
              <w:jc w:val="left"/>
              <w:rPr>
                <w:rFonts w:hint="eastAsia" w:ascii="宋体" w:hAnsi="宋体" w:cs="宋体"/>
                <w:color w:val="auto"/>
                <w:highlight w:val="none"/>
              </w:rPr>
            </w:pPr>
            <w:r>
              <w:rPr>
                <w:rFonts w:hint="eastAsia" w:ascii="宋体" w:hAnsi="宋体" w:cs="宋体"/>
                <w:color w:val="auto"/>
                <w:highlight w:val="none"/>
              </w:rPr>
              <w:t>谈判单位须为具有独立法人资格、自主经营、独立核算的公司，须提供加盖谈判单位公章的营业执照/事业单位法人证书复印件,且营业执照（事业单位法人证书）处于有效期内。</w:t>
            </w:r>
          </w:p>
          <w:p>
            <w:pPr>
              <w:numPr>
                <w:ilvl w:val="0"/>
                <w:numId w:val="16"/>
              </w:numPr>
              <w:spacing w:line="360" w:lineRule="auto"/>
              <w:jc w:val="left"/>
              <w:rPr>
                <w:color w:val="auto"/>
                <w:highlight w:val="none"/>
              </w:rPr>
            </w:pPr>
            <w:r>
              <w:rPr>
                <w:rFonts w:hint="eastAsia" w:ascii="宋体" w:hAnsi="宋体" w:cs="宋体"/>
                <w:color w:val="auto"/>
                <w:highlight w:val="none"/>
              </w:rPr>
              <w:t>谈判单位须具有一个入围业绩，入围业绩是指谈判单位在提交响应文件截止之日前36个月内须具有单项合同就餐人数50人/天（含）以上的餐饮服务业绩。不接受联合体业绩、港澳台或境外业绩。业绩证明材料以同时提供的合同原件扫描件和可查验的增值税发票原件扫描件为准（均须加盖谈判单位公章），业绩就餐人数以合同中的人数为准，时间以合同中甲方签订时间为准，若合同不能体现满足业绩要求的信息时，须另外提供由合同委托方出具的证明文件，并加盖“合同委托方行政公章（公章名称与合同委托方名称一致）”，否则证明文件无效，视为无效业绩。</w:t>
            </w:r>
          </w:p>
          <w:p>
            <w:pPr>
              <w:numPr>
                <w:ilvl w:val="0"/>
                <w:numId w:val="16"/>
              </w:num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highlight w:val="none"/>
              </w:rPr>
              <w:t>本次采购不接受联合体。</w:t>
            </w:r>
          </w:p>
          <w:p>
            <w:pPr>
              <w:numPr>
                <w:ilvl w:val="0"/>
                <w:numId w:val="16"/>
              </w:num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highlight w:val="none"/>
              </w:rPr>
              <w:t>被长沙市轨道交通集团有限公司或长沙市轨道交通运营有限公司函告禁止在一定期限内参与投标的单位按函告内容执行。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谈判答疑文件</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递交截止时间</w:t>
            </w:r>
          </w:p>
        </w:tc>
        <w:tc>
          <w:tcPr>
            <w:tcW w:w="7338" w:type="dxa"/>
            <w:vAlign w:val="center"/>
          </w:tcPr>
          <w:p>
            <w:pPr>
              <w:pStyle w:val="25"/>
              <w:adjustRightInd w:val="0"/>
              <w:snapToGrid w:val="0"/>
              <w:rPr>
                <w:rFonts w:hAnsi="宋体" w:cs="宋体"/>
                <w:color w:val="auto"/>
                <w:highlight w:val="none"/>
              </w:rPr>
            </w:pPr>
            <w:r>
              <w:rPr>
                <w:rFonts w:hint="eastAsia" w:hAnsi="宋体" w:cs="宋体"/>
                <w:color w:val="auto"/>
                <w:highlight w:val="none"/>
              </w:rPr>
              <w:t>20</w:t>
            </w:r>
            <w:r>
              <w:rPr>
                <w:rFonts w:hint="eastAsia" w:hAnsi="宋体" w:cs="宋体"/>
                <w:color w:val="auto"/>
                <w:highlight w:val="none"/>
                <w:lang w:val="en-US" w:eastAsia="zh-CN"/>
              </w:rPr>
              <w:t>23</w:t>
            </w:r>
            <w:r>
              <w:rPr>
                <w:rFonts w:hint="eastAsia" w:hAnsi="宋体" w:cs="宋体"/>
                <w:color w:val="auto"/>
                <w:highlight w:val="none"/>
              </w:rPr>
              <w:t>年</w:t>
            </w:r>
            <w:r>
              <w:rPr>
                <w:rFonts w:hint="eastAsia" w:hAnsi="宋体" w:cs="宋体"/>
                <w:color w:val="auto"/>
                <w:highlight w:val="none"/>
                <w:lang w:val="en-US" w:eastAsia="zh-CN"/>
              </w:rPr>
              <w:t>01</w:t>
            </w:r>
            <w:r>
              <w:rPr>
                <w:rFonts w:hint="eastAsia" w:hAnsi="宋体" w:cs="宋体"/>
                <w:color w:val="auto"/>
                <w:highlight w:val="none"/>
              </w:rPr>
              <w:t>月</w:t>
            </w:r>
            <w:r>
              <w:rPr>
                <w:rFonts w:hint="eastAsia" w:hAnsi="宋体" w:cs="宋体"/>
                <w:color w:val="auto"/>
                <w:highlight w:val="none"/>
                <w:lang w:val="en-US" w:eastAsia="zh-CN"/>
              </w:rPr>
              <w:t>12</w:t>
            </w:r>
            <w:r>
              <w:rPr>
                <w:rFonts w:hint="eastAsia" w:hAnsi="宋体" w:cs="宋体"/>
                <w:color w:val="auto"/>
                <w:highlight w:val="none"/>
              </w:rPr>
              <w:t>日</w:t>
            </w:r>
            <w:r>
              <w:rPr>
                <w:rFonts w:hint="eastAsia" w:hAnsi="宋体" w:cs="宋体"/>
                <w:color w:val="auto"/>
                <w:highlight w:val="none"/>
                <w:lang w:val="en-US" w:eastAsia="zh-CN"/>
              </w:rPr>
              <w:t>17</w:t>
            </w:r>
            <w:r>
              <w:rPr>
                <w:rFonts w:hint="eastAsia" w:hAnsi="宋体" w:cs="宋体"/>
                <w:color w:val="auto"/>
                <w:highlight w:val="none"/>
              </w:rPr>
              <w:t>时</w:t>
            </w:r>
            <w:r>
              <w:rPr>
                <w:rFonts w:hint="eastAsia" w:hAnsi="宋体" w:cs="宋体"/>
                <w:color w:val="auto"/>
                <w:highlight w:val="none"/>
                <w:lang w:val="en-US" w:eastAsia="zh-CN"/>
              </w:rPr>
              <w:t>30</w:t>
            </w:r>
            <w:r>
              <w:rPr>
                <w:rFonts w:hint="eastAsia" w:hAnsi="宋体" w:cs="宋体"/>
                <w:color w:val="auto"/>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谈判答疑文件</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递交方式及地点</w:t>
            </w:r>
          </w:p>
        </w:tc>
        <w:tc>
          <w:tcPr>
            <w:tcW w:w="7338" w:type="dxa"/>
            <w:vAlign w:val="center"/>
          </w:tcPr>
          <w:p>
            <w:pPr>
              <w:pStyle w:val="25"/>
              <w:adjustRightInd w:val="0"/>
              <w:snapToGrid w:val="0"/>
              <w:rPr>
                <w:rFonts w:hAnsi="宋体" w:cs="宋体"/>
                <w:iCs/>
                <w:color w:val="auto"/>
                <w:highlight w:val="none"/>
              </w:rPr>
            </w:pPr>
            <w:r>
              <w:rPr>
                <w:rFonts w:hint="eastAsia" w:hAnsi="宋体" w:cs="宋体"/>
                <w:color w:val="auto"/>
                <w:highlight w:val="none"/>
              </w:rPr>
              <w:t>谈判答疑文件应以书面形式递交至</w:t>
            </w:r>
            <w:r>
              <w:rPr>
                <w:rFonts w:hint="eastAsia" w:hAnsi="宋体" w:cs="宋体"/>
                <w:bCs/>
                <w:color w:val="auto"/>
                <w:highlight w:val="none"/>
              </w:rPr>
              <w:t>长沙市劳动东路二段48号黄兴车辆段综合楼9楼910</w:t>
            </w:r>
            <w:r>
              <w:rPr>
                <w:rStyle w:val="56"/>
                <w:rFonts w:hint="eastAsia"/>
                <w:color w:val="auto"/>
                <w:highlight w:val="none"/>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响应文件的递交</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截止及谈判时间</w:t>
            </w:r>
          </w:p>
        </w:tc>
        <w:tc>
          <w:tcPr>
            <w:tcW w:w="7338" w:type="dxa"/>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响应文件的递交</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及谈判地点</w:t>
            </w:r>
          </w:p>
        </w:tc>
        <w:tc>
          <w:tcPr>
            <w:tcW w:w="7338" w:type="dxa"/>
            <w:vAlign w:val="center"/>
          </w:tcPr>
          <w:p>
            <w:pPr>
              <w:adjustRightInd w:val="0"/>
              <w:snapToGrid w:val="0"/>
              <w:jc w:val="left"/>
              <w:rPr>
                <w:rFonts w:ascii="宋体" w:hAnsi="宋体" w:cs="宋体"/>
                <w:color w:val="auto"/>
                <w:szCs w:val="21"/>
                <w:highlight w:val="none"/>
              </w:rPr>
            </w:pPr>
            <w:r>
              <w:rPr>
                <w:rFonts w:hint="eastAsia" w:ascii="宋体" w:hAnsi="宋体" w:cs="宋体"/>
                <w:bCs/>
                <w:color w:val="auto"/>
                <w:szCs w:val="21"/>
                <w:highlight w:val="none"/>
              </w:rPr>
              <w:t>长沙市劳动东路二段48号黄兴车辆段综合楼9楼910</w:t>
            </w:r>
            <w:r>
              <w:rPr>
                <w:rStyle w:val="56"/>
                <w:rFonts w:hint="eastAsia"/>
                <w:color w:val="auto"/>
                <w:highlight w:val="none"/>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46"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谈判现场验证</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须提交的资料</w:t>
            </w:r>
          </w:p>
        </w:tc>
        <w:tc>
          <w:tcPr>
            <w:tcW w:w="7338"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iCs/>
                <w:color w:val="auto"/>
                <w:szCs w:val="21"/>
                <w:highlight w:val="none"/>
              </w:rPr>
              <w:t>1.谈判单位代表是谈判单位法定代表人参加的，法定代表人须提供法定代表人身份证明书原件</w:t>
            </w:r>
            <w:r>
              <w:rPr>
                <w:rFonts w:hint="eastAsia" w:ascii="宋体" w:hAnsi="宋体" w:cs="宋体"/>
                <w:b/>
                <w:bCs/>
                <w:iCs/>
                <w:color w:val="auto"/>
                <w:szCs w:val="21"/>
                <w:highlight w:val="none"/>
              </w:rPr>
              <w:t>（格式详见本文件第</w:t>
            </w:r>
            <w:r>
              <w:rPr>
                <w:rFonts w:hint="eastAsia" w:ascii="宋体" w:hAnsi="宋体" w:cs="宋体"/>
                <w:b/>
                <w:bCs/>
                <w:iCs/>
                <w:color w:val="auto"/>
                <w:szCs w:val="21"/>
                <w:highlight w:val="none"/>
                <w:lang w:eastAsia="zh-CN"/>
              </w:rPr>
              <w:t>六</w:t>
            </w:r>
            <w:r>
              <w:rPr>
                <w:rFonts w:hint="eastAsia" w:ascii="宋体" w:hAnsi="宋体" w:cs="宋体"/>
                <w:b/>
                <w:bCs/>
                <w:iCs/>
                <w:color w:val="auto"/>
                <w:szCs w:val="21"/>
                <w:highlight w:val="none"/>
              </w:rPr>
              <w:t>章）</w:t>
            </w:r>
            <w:r>
              <w:rPr>
                <w:rFonts w:hint="eastAsia" w:ascii="宋体" w:hAnsi="宋体" w:cs="宋体"/>
                <w:color w:val="auto"/>
                <w:szCs w:val="21"/>
                <w:highlight w:val="none"/>
              </w:rPr>
              <w:t>及本人身份证原件。</w:t>
            </w:r>
          </w:p>
          <w:p>
            <w:pPr>
              <w:adjustRightInd w:val="0"/>
              <w:snapToGrid w:val="0"/>
              <w:spacing w:line="360" w:lineRule="auto"/>
              <w:jc w:val="left"/>
              <w:rPr>
                <w:rFonts w:ascii="宋体" w:hAnsi="宋体" w:cs="宋体"/>
                <w:iCs/>
                <w:color w:val="auto"/>
                <w:szCs w:val="21"/>
                <w:highlight w:val="none"/>
              </w:rPr>
            </w:pPr>
            <w:r>
              <w:rPr>
                <w:rFonts w:hint="eastAsia" w:ascii="宋体" w:hAnsi="宋体" w:cs="宋体"/>
                <w:color w:val="auto"/>
                <w:szCs w:val="21"/>
                <w:highlight w:val="none"/>
              </w:rPr>
              <w:t>2.谈判单位代表是由谈判单位法定代表人授权的委托代理人参加的，其授权委托代理人须提供授权委托书原件</w:t>
            </w:r>
            <w:r>
              <w:rPr>
                <w:rFonts w:hint="eastAsia" w:ascii="宋体" w:hAnsi="宋体" w:cs="宋体"/>
                <w:b/>
                <w:color w:val="auto"/>
                <w:szCs w:val="21"/>
                <w:highlight w:val="none"/>
              </w:rPr>
              <w:t>（格式详见本文件</w:t>
            </w:r>
            <w:r>
              <w:rPr>
                <w:rFonts w:hint="eastAsia" w:ascii="宋体" w:hAnsi="宋体" w:cs="宋体"/>
                <w:b/>
                <w:bCs/>
                <w:iCs/>
                <w:color w:val="auto"/>
                <w:szCs w:val="21"/>
                <w:highlight w:val="none"/>
              </w:rPr>
              <w:t>第</w:t>
            </w:r>
            <w:r>
              <w:rPr>
                <w:rFonts w:hint="eastAsia" w:ascii="宋体" w:hAnsi="宋体" w:cs="宋体"/>
                <w:b/>
                <w:bCs/>
                <w:iCs/>
                <w:color w:val="auto"/>
                <w:szCs w:val="21"/>
                <w:highlight w:val="none"/>
                <w:lang w:eastAsia="zh-CN"/>
              </w:rPr>
              <w:t>六</w:t>
            </w:r>
            <w:r>
              <w:rPr>
                <w:rFonts w:hint="eastAsia" w:ascii="宋体" w:hAnsi="宋体" w:cs="宋体"/>
                <w:b/>
                <w:bCs/>
                <w:iCs/>
                <w:color w:val="auto"/>
                <w:szCs w:val="21"/>
                <w:highlight w:val="none"/>
              </w:rPr>
              <w:t>章</w:t>
            </w:r>
            <w:r>
              <w:rPr>
                <w:rFonts w:hint="eastAsia" w:ascii="宋体" w:hAnsi="宋体" w:cs="宋体"/>
                <w:b/>
                <w:color w:val="auto"/>
                <w:szCs w:val="21"/>
                <w:highlight w:val="none"/>
              </w:rPr>
              <w:t>）</w:t>
            </w:r>
            <w:r>
              <w:rPr>
                <w:rFonts w:hint="eastAsia" w:ascii="宋体" w:hAnsi="宋体" w:cs="宋体"/>
                <w:color w:val="auto"/>
                <w:szCs w:val="21"/>
                <w:highlight w:val="none"/>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响应文件有效期</w:t>
            </w:r>
          </w:p>
        </w:tc>
        <w:tc>
          <w:tcPr>
            <w:tcW w:w="7338" w:type="dxa"/>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响应文件份数及要求</w:t>
            </w:r>
          </w:p>
        </w:tc>
        <w:tc>
          <w:tcPr>
            <w:tcW w:w="7338"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响应文件纸质文件一式三份（其中正本一份，副本二份），电子文件（U盘或光盘）一份。响应文件一正两副与电子文件一起密封包装。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价格承包内容</w:t>
            </w:r>
          </w:p>
        </w:tc>
        <w:tc>
          <w:tcPr>
            <w:tcW w:w="7338"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highlight w:val="none"/>
              </w:rPr>
              <w:t>本合同的餐费，即实际刷卡数据及客餐费用，按实结算。乙方全额承担所产生的水、电、天然气（或液化气）的使用费。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项目支付方式</w:t>
            </w:r>
          </w:p>
        </w:tc>
        <w:tc>
          <w:tcPr>
            <w:tcW w:w="7338" w:type="dxa"/>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highlight w:val="none"/>
              </w:rPr>
              <w:t>本合同的餐费按实结算，乙方按餐费收缴系统中实际刷卡数据、客餐和工作餐费用每月结算一次，乙方每月将上月就餐数据汇总报甲方审核确认，并在甲方确认后向甲方开具上月就餐金额的正规税务发票，税费由乙方承担，甲方在收到乙方发票后28个工作日内向乙方付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信息发布</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指定媒体</w:t>
            </w:r>
          </w:p>
        </w:tc>
        <w:tc>
          <w:tcPr>
            <w:tcW w:w="7338"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长沙市轨道交通集团有限公司</w:t>
            </w:r>
            <w:r>
              <w:rPr>
                <w:color w:val="auto"/>
                <w:highlight w:val="none"/>
              </w:rPr>
              <w:fldChar w:fldCharType="begin"/>
            </w:r>
            <w:r>
              <w:rPr>
                <w:color w:val="auto"/>
                <w:highlight w:val="none"/>
              </w:rPr>
              <w:instrText xml:space="preserve"> HYPERLINK "http://www.hncsmtr.com/" </w:instrText>
            </w:r>
            <w:r>
              <w:rPr>
                <w:color w:val="auto"/>
                <w:highlight w:val="none"/>
              </w:rPr>
              <w:fldChar w:fldCharType="separate"/>
            </w:r>
            <w:r>
              <w:rPr>
                <w:rStyle w:val="56"/>
                <w:rFonts w:hint="eastAsia" w:ascii="宋体" w:hAnsi="宋体" w:cs="宋体"/>
                <w:color w:val="auto"/>
                <w:szCs w:val="21"/>
                <w:highlight w:val="none"/>
                <w:u w:val="none"/>
              </w:rPr>
              <w:t>http://www.hncsmtr.com/</w:t>
            </w:r>
            <w:r>
              <w:rPr>
                <w:rStyle w:val="56"/>
                <w:rFonts w:hint="eastAsia" w:ascii="宋体" w:hAnsi="宋体" w:cs="宋体"/>
                <w:color w:val="auto"/>
                <w:szCs w:val="21"/>
                <w:highlight w:val="none"/>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谈判保证金</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提交渠道</w:t>
            </w:r>
          </w:p>
        </w:tc>
        <w:tc>
          <w:tcPr>
            <w:tcW w:w="7338"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城轨采购网（网址：</w:t>
            </w:r>
            <w:r>
              <w:rPr>
                <w:color w:val="auto"/>
                <w:highlight w:val="none"/>
              </w:rPr>
              <w:fldChar w:fldCharType="begin"/>
            </w:r>
            <w:r>
              <w:rPr>
                <w:color w:val="auto"/>
                <w:highlight w:val="none"/>
              </w:rPr>
              <w:instrText xml:space="preserve"> HYPERLINK "http://www.mtrmart.com）注册参与并按要求提交投标保证金。本次投标保证金的金额为（人民币）" </w:instrText>
            </w:r>
            <w:r>
              <w:rPr>
                <w:color w:val="auto"/>
                <w:highlight w:val="none"/>
              </w:rPr>
              <w:fldChar w:fldCharType="separate"/>
            </w:r>
            <w:r>
              <w:rPr>
                <w:rFonts w:hint="eastAsia" w:ascii="宋体" w:hAnsi="宋体" w:cs="宋体"/>
                <w:color w:val="auto"/>
                <w:szCs w:val="21"/>
                <w:highlight w:val="none"/>
              </w:rPr>
              <w:t>www.mtrmart.com）</w:t>
            </w:r>
            <w:r>
              <w:rPr>
                <w:rFonts w:hint="eastAsia" w:ascii="宋体" w:hAnsi="宋体" w:cs="宋体"/>
                <w:color w:val="auto"/>
                <w:szCs w:val="21"/>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2234" w:type="dxa"/>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自主竞争性谈判</w:t>
            </w:r>
          </w:p>
          <w:p>
            <w:pPr>
              <w:adjustRightInd w:val="0"/>
              <w:snapToGrid w:val="0"/>
              <w:jc w:val="center"/>
              <w:rPr>
                <w:rFonts w:ascii="宋体" w:hAnsi="宋体" w:cs="宋体"/>
                <w:b/>
                <w:color w:val="auto"/>
                <w:szCs w:val="21"/>
                <w:highlight w:val="none"/>
              </w:rPr>
            </w:pPr>
            <w:r>
              <w:rPr>
                <w:rFonts w:hint="eastAsia" w:ascii="宋体" w:hAnsi="宋体" w:cs="宋体"/>
                <w:b/>
                <w:bCs/>
                <w:color w:val="auto"/>
                <w:szCs w:val="21"/>
                <w:highlight w:val="none"/>
              </w:rPr>
              <w:t>文件的获取</w:t>
            </w:r>
          </w:p>
        </w:tc>
        <w:tc>
          <w:tcPr>
            <w:tcW w:w="7338"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“信息发布指定媒体”中对应采购项目谈判邀请公告附件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234"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其他规定</w:t>
            </w:r>
          </w:p>
        </w:tc>
        <w:tc>
          <w:tcPr>
            <w:tcW w:w="7338"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w:t>
            </w:r>
          </w:p>
        </w:tc>
      </w:tr>
    </w:tbl>
    <w:p>
      <w:pPr>
        <w:pStyle w:val="4"/>
        <w:keepNext w:val="0"/>
        <w:keepLines w:val="0"/>
        <w:jc w:val="center"/>
        <w:rPr>
          <w:rFonts w:ascii="黑体" w:hAnsi="黑体" w:eastAsia="黑体"/>
          <w:color w:val="auto"/>
          <w:sz w:val="30"/>
          <w:szCs w:val="30"/>
          <w:highlight w:val="none"/>
        </w:rPr>
      </w:pPr>
      <w:bookmarkStart w:id="26" w:name="_Toc14891067"/>
    </w:p>
    <w:p>
      <w:pPr>
        <w:widowControl/>
        <w:jc w:val="left"/>
        <w:rPr>
          <w:color w:val="auto"/>
          <w:highlight w:val="none"/>
        </w:rPr>
      </w:pPr>
      <w:r>
        <w:rPr>
          <w:color w:val="auto"/>
          <w:highlight w:val="none"/>
        </w:rPr>
        <w:br w:type="page"/>
      </w:r>
    </w:p>
    <w:p>
      <w:pPr>
        <w:pStyle w:val="4"/>
        <w:keepNext w:val="0"/>
        <w:keepLines w:val="0"/>
        <w:jc w:val="center"/>
        <w:rPr>
          <w:rFonts w:ascii="宋体" w:hAnsi="宋体" w:cs="宋体"/>
          <w:color w:val="auto"/>
          <w:sz w:val="32"/>
          <w:highlight w:val="none"/>
        </w:rPr>
      </w:pPr>
      <w:bookmarkStart w:id="27" w:name="_Toc26157"/>
      <w:bookmarkStart w:id="28" w:name="_Toc16939"/>
      <w:bookmarkStart w:id="29" w:name="_Toc25260"/>
      <w:bookmarkStart w:id="30" w:name="_Toc30640"/>
      <w:bookmarkStart w:id="31" w:name="_Toc31558"/>
      <w:bookmarkStart w:id="32" w:name="_Toc31391"/>
      <w:bookmarkStart w:id="33" w:name="_Toc1318"/>
      <w:bookmarkStart w:id="34" w:name="_Hlk71364110"/>
      <w:r>
        <w:rPr>
          <w:rFonts w:hint="eastAsia" w:ascii="宋体" w:hAnsi="宋体" w:cs="宋体"/>
          <w:color w:val="auto"/>
          <w:sz w:val="32"/>
          <w:highlight w:val="none"/>
        </w:rPr>
        <w:t>谈判须知正文</w:t>
      </w:r>
      <w:bookmarkEnd w:id="26"/>
      <w:bookmarkEnd w:id="27"/>
      <w:bookmarkEnd w:id="28"/>
      <w:bookmarkEnd w:id="29"/>
      <w:bookmarkEnd w:id="30"/>
      <w:bookmarkEnd w:id="31"/>
      <w:bookmarkEnd w:id="32"/>
      <w:bookmarkEnd w:id="33"/>
    </w:p>
    <w:bookmarkEnd w:id="34"/>
    <w:p>
      <w:pPr>
        <w:pStyle w:val="4"/>
        <w:keepNext w:val="0"/>
        <w:keepLines w:val="0"/>
        <w:rPr>
          <w:rFonts w:ascii="宋体" w:hAnsi="宋体" w:cs="宋体"/>
          <w:color w:val="auto"/>
          <w:sz w:val="21"/>
          <w:szCs w:val="21"/>
          <w:highlight w:val="none"/>
        </w:rPr>
      </w:pPr>
      <w:bookmarkStart w:id="35" w:name="_Toc11440"/>
      <w:bookmarkStart w:id="36" w:name="_Toc28753"/>
      <w:bookmarkStart w:id="37" w:name="_Toc28508"/>
      <w:bookmarkStart w:id="38" w:name="_Toc14891068"/>
      <w:bookmarkStart w:id="39" w:name="_Toc29850"/>
      <w:r>
        <w:rPr>
          <w:rFonts w:hint="eastAsia" w:ascii="宋体" w:hAnsi="宋体" w:cs="宋体"/>
          <w:color w:val="auto"/>
          <w:sz w:val="21"/>
          <w:szCs w:val="21"/>
          <w:highlight w:val="none"/>
        </w:rPr>
        <w:t>一、说明</w:t>
      </w:r>
      <w:bookmarkEnd w:id="35"/>
      <w:bookmarkEnd w:id="36"/>
      <w:bookmarkEnd w:id="37"/>
      <w:bookmarkEnd w:id="38"/>
      <w:bookmarkEnd w:id="39"/>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w:t>
      </w:r>
      <w:r>
        <w:rPr>
          <w:rFonts w:hint="eastAsia" w:ascii="宋体" w:hAnsi="宋体" w:cs="宋体"/>
          <w:b/>
          <w:color w:val="auto"/>
          <w:szCs w:val="21"/>
          <w:highlight w:val="none"/>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2.本谈判文件的解释权属于长沙市轨道交通运营有限公司。</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3.定义</w:t>
      </w:r>
    </w:p>
    <w:p>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3.1“采购单位”是指依法进行采购的法人组织。本项目的采购单位名称见</w:t>
      </w:r>
      <w:r>
        <w:rPr>
          <w:rFonts w:hint="eastAsia" w:ascii="宋体" w:hAnsi="宋体" w:cs="宋体"/>
          <w:b/>
          <w:color w:val="auto"/>
          <w:szCs w:val="21"/>
          <w:highlight w:val="none"/>
        </w:rPr>
        <w:t>前附表</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3.2“谈判单位”是指响应本谈判文件要求、参加谈判的法人组织。</w:t>
      </w:r>
      <w:r>
        <w:rPr>
          <w:rFonts w:hint="eastAsia" w:ascii="宋体" w:hAnsi="宋体"/>
          <w:color w:val="auto"/>
          <w:szCs w:val="21"/>
          <w:highlight w:val="none"/>
        </w:rPr>
        <w:t>参与本项目的谈判单位</w:t>
      </w:r>
      <w:r>
        <w:rPr>
          <w:rFonts w:hint="eastAsia" w:hAnsi="宋体"/>
          <w:color w:val="auto"/>
          <w:highlight w:val="none"/>
        </w:rPr>
        <w:t>应按</w:t>
      </w:r>
      <w:r>
        <w:rPr>
          <w:rFonts w:hint="eastAsia" w:hAnsi="宋体"/>
          <w:b/>
          <w:color w:val="auto"/>
          <w:highlight w:val="none"/>
        </w:rPr>
        <w:t>前附表</w:t>
      </w:r>
      <w:r>
        <w:rPr>
          <w:rFonts w:hint="eastAsia" w:hAnsi="宋体"/>
          <w:color w:val="auto"/>
          <w:highlight w:val="none"/>
        </w:rPr>
        <w:t>规定的要求获取谈判文件。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“谈判</w:t>
      </w:r>
      <w:r>
        <w:rPr>
          <w:rFonts w:hint="eastAsia" w:ascii="宋体" w:hAnsi="宋体" w:cs="宋体"/>
          <w:bCs/>
          <w:color w:val="auto"/>
          <w:szCs w:val="21"/>
          <w:highlight w:val="none"/>
        </w:rPr>
        <w:t>评审</w:t>
      </w:r>
      <w:r>
        <w:rPr>
          <w:rFonts w:hint="eastAsia" w:ascii="宋体" w:hAnsi="宋体" w:cs="宋体"/>
          <w:color w:val="auto"/>
          <w:szCs w:val="21"/>
          <w:highlight w:val="none"/>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4.谈判单位资格要求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4.1参与谈判的单位应当符合</w:t>
      </w:r>
      <w:r>
        <w:rPr>
          <w:rFonts w:hint="eastAsia" w:ascii="宋体" w:hAnsi="宋体" w:cs="宋体"/>
          <w:b/>
          <w:color w:val="auto"/>
          <w:szCs w:val="21"/>
          <w:highlight w:val="none"/>
        </w:rPr>
        <w:t>前附表</w:t>
      </w:r>
      <w:r>
        <w:rPr>
          <w:rFonts w:hint="eastAsia" w:ascii="宋体" w:hAnsi="宋体" w:cs="宋体"/>
          <w:color w:val="auto"/>
          <w:szCs w:val="21"/>
          <w:highlight w:val="none"/>
        </w:rPr>
        <w:t>中规定的资格要求；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4.2参与谈判的单位存在下列情形之一的，其</w:t>
      </w:r>
      <w:r>
        <w:rPr>
          <w:rFonts w:hint="eastAsia" w:ascii="宋体" w:hAnsi="宋体" w:cs="宋体"/>
          <w:bCs/>
          <w:color w:val="auto"/>
          <w:szCs w:val="21"/>
          <w:highlight w:val="none"/>
        </w:rPr>
        <w:t>谈判</w:t>
      </w:r>
      <w:r>
        <w:rPr>
          <w:rFonts w:hint="eastAsia" w:ascii="宋体" w:hAnsi="宋体" w:cs="宋体"/>
          <w:color w:val="auto"/>
          <w:szCs w:val="21"/>
          <w:highlight w:val="none"/>
        </w:rPr>
        <w:t>将被</w:t>
      </w:r>
      <w:r>
        <w:rPr>
          <w:rFonts w:hint="eastAsia" w:ascii="宋体" w:hAnsi="宋体" w:cs="宋体"/>
          <w:b/>
          <w:bCs/>
          <w:color w:val="auto"/>
          <w:szCs w:val="21"/>
          <w:highlight w:val="none"/>
        </w:rPr>
        <w:t>否决</w:t>
      </w:r>
      <w:r>
        <w:rPr>
          <w:rFonts w:hint="eastAsia" w:ascii="宋体" w:hAnsi="宋体" w:cs="宋体"/>
          <w:color w:val="auto"/>
          <w:szCs w:val="21"/>
          <w:highlight w:val="none"/>
        </w:rPr>
        <w:t>：</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（1）与采购单位（或本项目采购代理机构）存在利害关系且可能影响采购公正性；</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（2）谈判单位法定代表人或负责人与其他谈判单位法定代表人或负责人为同一人；</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（3）与本采购项目的其他谈判单位存在控股、管理关系；</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（4）被责令停产停业、暂扣或者吊销许可证、暂扣或者吊销执照；</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（5）进入破产、清算、注销程序，或存在其他可能丧失履约能力的情形；</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（6）在国家企业信用信息公示系统中显示已被列入严重违法失信企业名单；</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（7）在“信用中国”网站（www.creditchina.gov.cn）或“信用湖南”网站（www.credithunan.gov.cn）中显示已被列入失信被执行人名单。</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（8）不同谈判单位的谈判保证金从同一账户转出的情形。</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5.参与谈判的费用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5.1无论谈判的结果如何，谈判单位应自行承担所有与本次竞争性谈判活动有关的全部费用。</w:t>
      </w:r>
    </w:p>
    <w:p>
      <w:pPr>
        <w:pStyle w:val="25"/>
        <w:adjustRightInd w:val="0"/>
        <w:snapToGrid w:val="0"/>
        <w:spacing w:line="360" w:lineRule="auto"/>
        <w:ind w:firstLine="422" w:firstLineChars="200"/>
        <w:rPr>
          <w:rFonts w:hAnsi="宋体" w:cs="宋体"/>
          <w:b/>
          <w:bCs/>
          <w:color w:val="auto"/>
          <w:highlight w:val="none"/>
        </w:rPr>
      </w:pPr>
      <w:r>
        <w:rPr>
          <w:rFonts w:hint="eastAsia" w:hAnsi="宋体" w:cs="宋体"/>
          <w:b/>
          <w:color w:val="auto"/>
          <w:highlight w:val="none"/>
        </w:rPr>
        <w:t>6．</w:t>
      </w:r>
      <w:r>
        <w:rPr>
          <w:rFonts w:hint="eastAsia" w:hAnsi="宋体"/>
          <w:b/>
          <w:bCs/>
          <w:color w:val="auto"/>
          <w:highlight w:val="none"/>
        </w:rPr>
        <w:t>谈判现场验证资料</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6.1谈判单位代表为谈判单位法定代表人的：应提供法定代表人身份证明书</w:t>
      </w:r>
      <w:r>
        <w:rPr>
          <w:rFonts w:hint="eastAsia" w:hAnsi="宋体" w:cs="宋体"/>
          <w:b/>
          <w:bCs/>
          <w:color w:val="auto"/>
          <w:highlight w:val="none"/>
        </w:rPr>
        <w:t>（见</w:t>
      </w:r>
      <w:r>
        <w:rPr>
          <w:rFonts w:hint="eastAsia" w:hAnsi="宋体" w:cs="宋体"/>
          <w:b/>
          <w:bCs/>
          <w:iCs/>
          <w:color w:val="auto"/>
          <w:highlight w:val="none"/>
        </w:rPr>
        <w:t>第</w:t>
      </w:r>
      <w:r>
        <w:rPr>
          <w:rFonts w:hint="eastAsia" w:hAnsi="宋体" w:cs="宋体"/>
          <w:b/>
          <w:bCs/>
          <w:iCs/>
          <w:color w:val="auto"/>
          <w:highlight w:val="none"/>
          <w:lang w:eastAsia="zh-CN"/>
        </w:rPr>
        <w:t>六</w:t>
      </w:r>
      <w:r>
        <w:rPr>
          <w:rFonts w:hint="eastAsia" w:hAnsi="宋体" w:cs="宋体"/>
          <w:b/>
          <w:bCs/>
          <w:iCs/>
          <w:color w:val="auto"/>
          <w:highlight w:val="none"/>
        </w:rPr>
        <w:t>章</w:t>
      </w:r>
      <w:r>
        <w:rPr>
          <w:rFonts w:hint="eastAsia" w:hAnsi="宋体" w:cs="宋体"/>
          <w:b/>
          <w:bCs/>
          <w:color w:val="auto"/>
          <w:highlight w:val="none"/>
        </w:rPr>
        <w:t>响应文件格式）</w:t>
      </w:r>
      <w:r>
        <w:rPr>
          <w:rFonts w:hint="eastAsia" w:hAnsi="宋体" w:cs="宋体"/>
          <w:color w:val="auto"/>
          <w:highlight w:val="none"/>
        </w:rPr>
        <w:t>原件及本人身份证原件。</w:t>
      </w:r>
    </w:p>
    <w:p>
      <w:pPr>
        <w:pStyle w:val="25"/>
        <w:adjustRightInd w:val="0"/>
        <w:snapToGrid w:val="0"/>
        <w:spacing w:line="360" w:lineRule="auto"/>
        <w:ind w:firstLine="420" w:firstLineChars="200"/>
        <w:rPr>
          <w:rFonts w:hAnsi="宋体" w:cs="宋体"/>
          <w:b/>
          <w:strike/>
          <w:color w:val="auto"/>
          <w:highlight w:val="none"/>
        </w:rPr>
      </w:pPr>
      <w:r>
        <w:rPr>
          <w:rFonts w:hint="eastAsia" w:hAnsi="宋体" w:cs="宋体"/>
          <w:color w:val="auto"/>
          <w:highlight w:val="none"/>
        </w:rPr>
        <w:t>6.2谈判单位代表不是谈判单位法定代表人的：应提供授权委托书</w:t>
      </w:r>
      <w:r>
        <w:rPr>
          <w:rFonts w:hint="eastAsia" w:hAnsi="宋体" w:cs="宋体"/>
          <w:b/>
          <w:bCs/>
          <w:color w:val="auto"/>
          <w:highlight w:val="none"/>
        </w:rPr>
        <w:t>（见</w:t>
      </w:r>
      <w:r>
        <w:rPr>
          <w:rFonts w:hint="eastAsia" w:hAnsi="宋体" w:cs="宋体"/>
          <w:b/>
          <w:bCs/>
          <w:iCs/>
          <w:color w:val="auto"/>
          <w:highlight w:val="none"/>
        </w:rPr>
        <w:t>第</w:t>
      </w:r>
      <w:r>
        <w:rPr>
          <w:rFonts w:hint="eastAsia" w:hAnsi="宋体" w:cs="宋体"/>
          <w:b/>
          <w:bCs/>
          <w:iCs/>
          <w:color w:val="auto"/>
          <w:highlight w:val="none"/>
          <w:lang w:eastAsia="zh-CN"/>
        </w:rPr>
        <w:t>六</w:t>
      </w:r>
      <w:r>
        <w:rPr>
          <w:rFonts w:hint="eastAsia" w:hAnsi="宋体" w:cs="宋体"/>
          <w:b/>
          <w:bCs/>
          <w:iCs/>
          <w:color w:val="auto"/>
          <w:highlight w:val="none"/>
        </w:rPr>
        <w:t>章</w:t>
      </w:r>
      <w:r>
        <w:rPr>
          <w:rFonts w:hint="eastAsia" w:hAnsi="宋体" w:cs="宋体"/>
          <w:b/>
          <w:bCs/>
          <w:color w:val="auto"/>
          <w:highlight w:val="none"/>
        </w:rPr>
        <w:t>响应文件格式）</w:t>
      </w:r>
      <w:r>
        <w:rPr>
          <w:rFonts w:hint="eastAsia" w:hAnsi="宋体" w:cs="宋体"/>
          <w:color w:val="auto"/>
          <w:highlight w:val="none"/>
        </w:rPr>
        <w:t>原件及本人身份证原件。</w:t>
      </w:r>
    </w:p>
    <w:p>
      <w:pPr>
        <w:pStyle w:val="4"/>
        <w:keepNext w:val="0"/>
        <w:keepLines w:val="0"/>
        <w:rPr>
          <w:rFonts w:ascii="宋体" w:hAnsi="宋体" w:cs="宋体"/>
          <w:color w:val="auto"/>
          <w:sz w:val="21"/>
          <w:szCs w:val="21"/>
          <w:highlight w:val="none"/>
        </w:rPr>
      </w:pPr>
      <w:bookmarkStart w:id="40" w:name="_Toc14834"/>
      <w:bookmarkStart w:id="41" w:name="_Toc14891069"/>
      <w:bookmarkStart w:id="42" w:name="_Toc303"/>
      <w:bookmarkStart w:id="43" w:name="_Toc323"/>
      <w:bookmarkStart w:id="44" w:name="_Toc21161"/>
      <w:r>
        <w:rPr>
          <w:rFonts w:hint="eastAsia" w:ascii="宋体" w:hAnsi="宋体" w:cs="宋体"/>
          <w:color w:val="auto"/>
          <w:sz w:val="21"/>
          <w:szCs w:val="21"/>
          <w:highlight w:val="none"/>
        </w:rPr>
        <w:t>二、谈判文件</w:t>
      </w:r>
      <w:bookmarkEnd w:id="40"/>
      <w:bookmarkEnd w:id="41"/>
      <w:bookmarkEnd w:id="42"/>
      <w:bookmarkEnd w:id="43"/>
      <w:bookmarkEnd w:id="44"/>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7．谈判文件的组成</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7.1谈判文件由下列文件组成：</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第一章 谈判邀请公告</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第二章 谈判须知</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第三章 评审办法及标准</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第四章 用户需求书（另册）</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第五章 合同格式条款</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第六章 响应文件组成</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7.2</w:t>
      </w:r>
      <w:r>
        <w:rPr>
          <w:rFonts w:hint="eastAsia" w:hAnsi="宋体" w:cs="宋体"/>
          <w:color w:val="auto"/>
          <w:kern w:val="0"/>
          <w:highlight w:val="none"/>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7.3谈判单位应仔细阅读</w:t>
      </w:r>
      <w:r>
        <w:rPr>
          <w:rFonts w:hint="eastAsia" w:ascii="宋体" w:hAnsi="宋体" w:cs="宋体"/>
          <w:bCs/>
          <w:color w:val="auto"/>
          <w:szCs w:val="21"/>
          <w:highlight w:val="none"/>
        </w:rPr>
        <w:t>谈判</w:t>
      </w:r>
      <w:r>
        <w:rPr>
          <w:rFonts w:hint="eastAsia" w:ascii="宋体" w:hAnsi="宋体" w:cs="宋体"/>
          <w:color w:val="auto"/>
          <w:szCs w:val="21"/>
          <w:highlight w:val="none"/>
        </w:rPr>
        <w:t>文件的全部内容，按照</w:t>
      </w:r>
      <w:r>
        <w:rPr>
          <w:rFonts w:hint="eastAsia" w:ascii="宋体" w:hAnsi="宋体" w:cs="宋体"/>
          <w:bCs/>
          <w:color w:val="auto"/>
          <w:szCs w:val="21"/>
          <w:highlight w:val="none"/>
        </w:rPr>
        <w:t>谈判</w:t>
      </w:r>
      <w:r>
        <w:rPr>
          <w:rFonts w:hint="eastAsia" w:ascii="宋体" w:hAnsi="宋体" w:cs="宋体"/>
          <w:color w:val="auto"/>
          <w:szCs w:val="21"/>
          <w:highlight w:val="none"/>
        </w:rPr>
        <w:t>文件要求编制响应文件。任何对</w:t>
      </w:r>
      <w:r>
        <w:rPr>
          <w:rFonts w:hint="eastAsia" w:ascii="宋体" w:hAnsi="宋体" w:cs="宋体"/>
          <w:bCs/>
          <w:color w:val="auto"/>
          <w:szCs w:val="21"/>
          <w:highlight w:val="none"/>
        </w:rPr>
        <w:t>谈判</w:t>
      </w:r>
      <w:r>
        <w:rPr>
          <w:rFonts w:hint="eastAsia" w:ascii="宋体" w:hAnsi="宋体" w:cs="宋体"/>
          <w:color w:val="auto"/>
          <w:szCs w:val="21"/>
          <w:highlight w:val="none"/>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bCs/>
          <w:color w:val="auto"/>
          <w:szCs w:val="21"/>
          <w:highlight w:val="none"/>
        </w:rPr>
        <w:t>8.</w:t>
      </w:r>
      <w:r>
        <w:rPr>
          <w:rFonts w:hint="eastAsia" w:ascii="宋体" w:hAnsi="宋体" w:cs="宋体"/>
          <w:b/>
          <w:color w:val="auto"/>
          <w:kern w:val="0"/>
          <w:szCs w:val="21"/>
          <w:highlight w:val="none"/>
        </w:rPr>
        <w:t>谈判文件的澄清及答疑</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8.1.谈判单位应仔细阅读和检查谈判文件的全部内容，如有疑问，</w:t>
      </w:r>
      <w:r>
        <w:rPr>
          <w:rFonts w:hint="eastAsia" w:ascii="宋体" w:hAnsi="宋体" w:cs="宋体"/>
          <w:color w:val="auto"/>
          <w:szCs w:val="21"/>
          <w:highlight w:val="none"/>
        </w:rPr>
        <w:t>应按</w:t>
      </w:r>
      <w:r>
        <w:rPr>
          <w:rFonts w:hint="eastAsia" w:ascii="宋体" w:hAnsi="宋体" w:cs="宋体"/>
          <w:b/>
          <w:bCs/>
          <w:color w:val="auto"/>
          <w:szCs w:val="21"/>
          <w:highlight w:val="none"/>
        </w:rPr>
        <w:t>前附表</w:t>
      </w:r>
      <w:r>
        <w:rPr>
          <w:rFonts w:hint="eastAsia" w:ascii="宋体" w:hAnsi="宋体" w:cs="宋体"/>
          <w:color w:val="auto"/>
          <w:szCs w:val="21"/>
          <w:highlight w:val="none"/>
        </w:rPr>
        <w:t>规定的时间、方式及地点</w:t>
      </w:r>
      <w:r>
        <w:rPr>
          <w:rFonts w:hint="eastAsia" w:ascii="宋体" w:hAnsi="宋体" w:cs="宋体"/>
          <w:iCs/>
          <w:color w:val="auto"/>
          <w:szCs w:val="21"/>
          <w:highlight w:val="none"/>
        </w:rPr>
        <w:t>向</w:t>
      </w:r>
      <w:r>
        <w:rPr>
          <w:rFonts w:hint="eastAsia" w:ascii="宋体" w:hAnsi="宋体" w:cs="宋体"/>
          <w:iCs/>
          <w:color w:val="auto"/>
          <w:szCs w:val="21"/>
          <w:highlight w:val="none"/>
          <w:lang w:val="en-US" w:eastAsia="zh-CN"/>
        </w:rPr>
        <w:t>采购单位</w:t>
      </w:r>
      <w:r>
        <w:rPr>
          <w:rFonts w:hint="eastAsia" w:ascii="宋体" w:hAnsi="宋体" w:cs="宋体"/>
          <w:iCs/>
          <w:color w:val="auto"/>
          <w:szCs w:val="21"/>
          <w:highlight w:val="none"/>
        </w:rPr>
        <w:t>提出，</w:t>
      </w:r>
      <w:r>
        <w:rPr>
          <w:rFonts w:hint="eastAsia" w:ascii="宋体" w:hAnsi="宋体" w:cs="宋体"/>
          <w:color w:val="auto"/>
          <w:szCs w:val="21"/>
          <w:highlight w:val="none"/>
        </w:rPr>
        <w:t>否则，由此引起的损失由谈判单位自己承担。</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8.2.在谈判截止时间前，采购单位可主动地或在解答谈判单位提出的问题时对谈判文件进行澄清或修改。</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8.3</w:t>
      </w:r>
      <w:r>
        <w:rPr>
          <w:rFonts w:hint="eastAsia" w:ascii="宋体" w:hAnsi="宋体" w:cs="宋体"/>
          <w:color w:val="auto"/>
          <w:kern w:val="0"/>
          <w:szCs w:val="21"/>
          <w:highlight w:val="none"/>
        </w:rPr>
        <w:t>澄清或者修改的内容可能影响响应文件编制的，采购单位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9.</w:t>
      </w:r>
      <w:r>
        <w:rPr>
          <w:rFonts w:hint="eastAsia" w:ascii="宋体" w:hAnsi="宋体" w:cs="宋体"/>
          <w:b/>
          <w:color w:val="auto"/>
          <w:kern w:val="0"/>
          <w:szCs w:val="21"/>
          <w:highlight w:val="none"/>
        </w:rPr>
        <w:t>响应文件递交截止时间、谈判会议时间及地点</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9.1谈判单位递交响应文件截止时间、谈判会议时间及地点见</w:t>
      </w:r>
      <w:r>
        <w:rPr>
          <w:rFonts w:hint="eastAsia" w:hAnsi="宋体" w:cs="宋体"/>
          <w:b/>
          <w:bCs/>
          <w:color w:val="auto"/>
          <w:highlight w:val="none"/>
        </w:rPr>
        <w:t>前附表</w:t>
      </w:r>
      <w:r>
        <w:rPr>
          <w:rFonts w:hint="eastAsia" w:hAnsi="宋体" w:cs="宋体"/>
          <w:color w:val="auto"/>
          <w:highlight w:val="none"/>
        </w:rPr>
        <w:t>。</w:t>
      </w:r>
    </w:p>
    <w:p>
      <w:pPr>
        <w:pStyle w:val="4"/>
        <w:keepNext w:val="0"/>
        <w:keepLines w:val="0"/>
        <w:rPr>
          <w:rFonts w:ascii="宋体" w:hAnsi="宋体" w:cs="宋体"/>
          <w:color w:val="auto"/>
          <w:sz w:val="21"/>
          <w:szCs w:val="21"/>
          <w:highlight w:val="none"/>
        </w:rPr>
      </w:pPr>
      <w:bookmarkStart w:id="45" w:name="_Toc14891070"/>
      <w:bookmarkStart w:id="46" w:name="_Toc13472"/>
      <w:bookmarkStart w:id="47" w:name="_Toc23101"/>
      <w:bookmarkStart w:id="48" w:name="_Toc9387"/>
      <w:bookmarkStart w:id="49" w:name="_Toc8641"/>
      <w:r>
        <w:rPr>
          <w:rFonts w:hint="eastAsia" w:ascii="宋体" w:hAnsi="宋体" w:cs="宋体"/>
          <w:color w:val="auto"/>
          <w:sz w:val="21"/>
          <w:szCs w:val="21"/>
          <w:highlight w:val="none"/>
        </w:rPr>
        <w:t>三、响应文件</w:t>
      </w:r>
      <w:bookmarkEnd w:id="45"/>
      <w:bookmarkEnd w:id="46"/>
      <w:bookmarkEnd w:id="47"/>
      <w:bookmarkEnd w:id="48"/>
      <w:bookmarkEnd w:id="49"/>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10.一般要求</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10.1</w:t>
      </w:r>
      <w:bookmarkStart w:id="50" w:name="_Hlk68706641"/>
      <w:r>
        <w:rPr>
          <w:rFonts w:hint="eastAsia" w:ascii="宋体" w:hAnsi="宋体" w:cs="宋体"/>
          <w:bCs/>
          <w:color w:val="auto"/>
          <w:szCs w:val="21"/>
          <w:highlight w:val="none"/>
        </w:rPr>
        <w:t>谈判单位应仔细阅读谈判文件的所有内容，按谈判文件的要求编制响应文件，</w:t>
      </w:r>
      <w:r>
        <w:rPr>
          <w:rFonts w:hint="eastAsia" w:ascii="宋体" w:hAnsi="宋体" w:cs="宋体"/>
          <w:b/>
          <w:color w:val="auto"/>
          <w:szCs w:val="21"/>
          <w:highlight w:val="none"/>
        </w:rPr>
        <w:t>严禁复制、粘贴，</w:t>
      </w:r>
      <w:r>
        <w:rPr>
          <w:rFonts w:hint="eastAsia" w:ascii="宋体" w:hAnsi="宋体" w:cs="宋体"/>
          <w:bCs/>
          <w:color w:val="auto"/>
          <w:szCs w:val="21"/>
          <w:highlight w:val="none"/>
        </w:rPr>
        <w:t>并保证所提供的全部资料的真实性。</w:t>
      </w:r>
      <w:bookmarkEnd w:id="50"/>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10.2</w:t>
      </w:r>
      <w:r>
        <w:rPr>
          <w:rFonts w:hint="eastAsia" w:ascii="宋体" w:hAnsi="宋体" w:cs="宋体"/>
          <w:color w:val="auto"/>
          <w:szCs w:val="21"/>
          <w:highlight w:val="none"/>
        </w:rPr>
        <w:t>谈判单位提交的响应文件、谈判单位与采购单位的所有来往函电均使用中文。</w:t>
      </w:r>
    </w:p>
    <w:p>
      <w:pPr>
        <w:pStyle w:val="25"/>
        <w:adjustRightInd w:val="0"/>
        <w:snapToGrid w:val="0"/>
        <w:spacing w:line="360" w:lineRule="auto"/>
        <w:ind w:firstLine="420" w:firstLineChars="200"/>
        <w:rPr>
          <w:rFonts w:hAnsi="宋体" w:cs="宋体"/>
          <w:color w:val="auto"/>
          <w:highlight w:val="none"/>
        </w:rPr>
      </w:pPr>
      <w:r>
        <w:rPr>
          <w:rFonts w:hint="eastAsia" w:hAnsi="宋体" w:cs="宋体"/>
          <w:bCs/>
          <w:color w:val="auto"/>
          <w:highlight w:val="none"/>
        </w:rPr>
        <w:t>10.3</w:t>
      </w:r>
      <w:r>
        <w:rPr>
          <w:rFonts w:hint="eastAsia" w:hAnsi="宋体" w:cs="宋体"/>
          <w:color w:val="auto"/>
          <w:highlight w:val="none"/>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10.4响应文件应采用书面形式，电报、传真、电子邮件形式的响应文件概不接受。</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的组成</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11.1响应文件应包括下列内容：</w:t>
      </w:r>
    </w:p>
    <w:p>
      <w:pPr>
        <w:pStyle w:val="25"/>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1</w:t>
      </w:r>
      <w:r>
        <w:rPr>
          <w:rFonts w:hint="eastAsia" w:hAnsi="宋体" w:cs="宋体"/>
          <w:color w:val="auto"/>
          <w:highlight w:val="none"/>
          <w:lang w:eastAsia="zh-CN"/>
        </w:rPr>
        <w:t>）</w:t>
      </w:r>
      <w:r>
        <w:rPr>
          <w:rFonts w:hint="eastAsia" w:hAnsi="宋体" w:cs="宋体"/>
          <w:color w:val="auto"/>
          <w:highlight w:val="none"/>
        </w:rPr>
        <w:t>谈判承诺书</w:t>
      </w:r>
    </w:p>
    <w:p>
      <w:pPr>
        <w:pStyle w:val="25"/>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2</w:t>
      </w:r>
      <w:r>
        <w:rPr>
          <w:rFonts w:hint="eastAsia" w:hAnsi="宋体" w:cs="宋体"/>
          <w:color w:val="auto"/>
          <w:highlight w:val="none"/>
          <w:lang w:eastAsia="zh-CN"/>
        </w:rPr>
        <w:t>）</w:t>
      </w:r>
      <w:r>
        <w:rPr>
          <w:rFonts w:hint="eastAsia" w:hAnsi="宋体" w:cs="宋体"/>
          <w:color w:val="auto"/>
          <w:highlight w:val="none"/>
        </w:rPr>
        <w:t>法定代表人身份证明书</w:t>
      </w:r>
    </w:p>
    <w:p>
      <w:pPr>
        <w:pStyle w:val="25"/>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3</w:t>
      </w:r>
      <w:r>
        <w:rPr>
          <w:rFonts w:hint="eastAsia" w:hAnsi="宋体" w:cs="宋体"/>
          <w:color w:val="auto"/>
          <w:highlight w:val="none"/>
          <w:lang w:eastAsia="zh-CN"/>
        </w:rPr>
        <w:t>）</w:t>
      </w:r>
      <w:r>
        <w:rPr>
          <w:rFonts w:hint="eastAsia" w:hAnsi="宋体" w:cs="宋体"/>
          <w:color w:val="auto"/>
          <w:highlight w:val="none"/>
        </w:rPr>
        <w:t>授权委托书</w:t>
      </w:r>
    </w:p>
    <w:p>
      <w:pPr>
        <w:pStyle w:val="25"/>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4</w:t>
      </w:r>
      <w:r>
        <w:rPr>
          <w:rFonts w:hint="eastAsia" w:hAnsi="宋体" w:cs="宋体"/>
          <w:color w:val="auto"/>
          <w:highlight w:val="none"/>
          <w:lang w:eastAsia="zh-CN"/>
        </w:rPr>
        <w:t>）</w:t>
      </w:r>
      <w:r>
        <w:rPr>
          <w:rFonts w:hint="eastAsia" w:hAnsi="宋体" w:cs="宋体"/>
          <w:color w:val="auto"/>
          <w:highlight w:val="none"/>
        </w:rPr>
        <w:t>谈判单位资格条件证明文件</w:t>
      </w:r>
    </w:p>
    <w:p>
      <w:pPr>
        <w:pStyle w:val="25"/>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5</w:t>
      </w:r>
      <w:r>
        <w:rPr>
          <w:rFonts w:hint="eastAsia" w:hAnsi="宋体" w:cs="宋体"/>
          <w:color w:val="auto"/>
          <w:highlight w:val="none"/>
          <w:lang w:eastAsia="zh-CN"/>
        </w:rPr>
        <w:t>）</w:t>
      </w:r>
      <w:r>
        <w:rPr>
          <w:rFonts w:hint="eastAsia" w:hAnsi="宋体" w:cs="宋体"/>
          <w:color w:val="auto"/>
          <w:highlight w:val="none"/>
        </w:rPr>
        <w:t>企业实力</w:t>
      </w:r>
      <w:r>
        <w:rPr>
          <w:rFonts w:hint="eastAsia" w:hAnsi="宋体" w:cs="宋体"/>
          <w:color w:val="auto"/>
          <w:highlight w:val="none"/>
          <w:lang w:val="en-US" w:eastAsia="zh-CN"/>
        </w:rPr>
        <w:t>相关证明文件</w:t>
      </w:r>
    </w:p>
    <w:p>
      <w:pPr>
        <w:pStyle w:val="25"/>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安全管理及保障方案</w:t>
      </w:r>
    </w:p>
    <w:p>
      <w:pPr>
        <w:pStyle w:val="25"/>
        <w:adjustRightInd w:val="0"/>
        <w:snapToGrid w:val="0"/>
        <w:spacing w:line="360" w:lineRule="auto"/>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（7）服务管理方案</w:t>
      </w:r>
    </w:p>
    <w:p>
      <w:pPr>
        <w:pStyle w:val="25"/>
        <w:adjustRightInd w:val="0"/>
        <w:snapToGrid w:val="0"/>
        <w:spacing w:line="360" w:lineRule="auto"/>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（8）综合管理方案</w:t>
      </w:r>
    </w:p>
    <w:p>
      <w:pPr>
        <w:pStyle w:val="25"/>
        <w:adjustRightInd w:val="0"/>
        <w:snapToGrid w:val="0"/>
        <w:spacing w:line="360" w:lineRule="auto"/>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（9）卫生管理方案</w:t>
      </w:r>
    </w:p>
    <w:p>
      <w:pPr>
        <w:pStyle w:val="25"/>
        <w:adjustRightInd w:val="0"/>
        <w:snapToGrid w:val="0"/>
        <w:spacing w:line="360" w:lineRule="auto"/>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（10）应急管理方案</w:t>
      </w:r>
    </w:p>
    <w:p>
      <w:pPr>
        <w:pStyle w:val="25"/>
        <w:adjustRightInd w:val="0"/>
        <w:snapToGrid w:val="0"/>
        <w:spacing w:line="360" w:lineRule="auto"/>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（11）优惠方案</w:t>
      </w:r>
    </w:p>
    <w:p>
      <w:pPr>
        <w:pStyle w:val="25"/>
        <w:adjustRightInd w:val="0"/>
        <w:snapToGrid w:val="0"/>
        <w:spacing w:line="360" w:lineRule="auto"/>
        <w:ind w:firstLine="420" w:firstLineChars="200"/>
        <w:rPr>
          <w:rFonts w:hint="default" w:hAnsi="宋体" w:cs="宋体"/>
          <w:color w:val="auto"/>
          <w:highlight w:val="none"/>
          <w:lang w:val="en-US" w:eastAsia="zh-CN"/>
        </w:rPr>
      </w:pPr>
      <w:r>
        <w:rPr>
          <w:rFonts w:hint="eastAsia" w:hAnsi="宋体" w:cs="宋体"/>
          <w:color w:val="auto"/>
          <w:highlight w:val="none"/>
          <w:lang w:val="en-US" w:eastAsia="zh-CN"/>
        </w:rPr>
        <w:t>（12）原材料保障</w:t>
      </w:r>
    </w:p>
    <w:p>
      <w:pPr>
        <w:pStyle w:val="25"/>
        <w:adjustRightInd w:val="0"/>
        <w:snapToGrid w:val="0"/>
        <w:spacing w:line="360" w:lineRule="auto"/>
        <w:ind w:firstLine="420" w:firstLineChars="200"/>
        <w:rPr>
          <w:rFonts w:hint="default" w:hAnsi="宋体" w:cs="宋体"/>
          <w:color w:val="auto"/>
          <w:highlight w:val="none"/>
          <w:lang w:val="en-US" w:eastAsia="zh-CN"/>
        </w:rPr>
      </w:pPr>
      <w:r>
        <w:rPr>
          <w:rFonts w:hint="eastAsia" w:hAnsi="宋体" w:cs="宋体"/>
          <w:color w:val="auto"/>
          <w:highlight w:val="none"/>
          <w:lang w:val="en-US" w:eastAsia="zh-CN"/>
        </w:rPr>
        <w:t>（13）承诺函</w:t>
      </w:r>
    </w:p>
    <w:p>
      <w:pPr>
        <w:pStyle w:val="25"/>
        <w:adjustRightInd w:val="0"/>
        <w:snapToGrid w:val="0"/>
        <w:spacing w:line="360" w:lineRule="auto"/>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（14）其他资料（如有）</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11.2在谈判过程中，谈判单位根据</w:t>
      </w:r>
      <w:r>
        <w:rPr>
          <w:rFonts w:hint="eastAsia" w:hAnsi="宋体" w:cs="宋体"/>
          <w:color w:val="auto"/>
          <w:kern w:val="0"/>
          <w:highlight w:val="none"/>
        </w:rPr>
        <w:t>谈判评审小组</w:t>
      </w:r>
      <w:r>
        <w:rPr>
          <w:rFonts w:hint="eastAsia" w:hAnsi="宋体" w:cs="宋体"/>
          <w:bCs/>
          <w:color w:val="auto"/>
          <w:highlight w:val="none"/>
        </w:rPr>
        <w:t>要求</w:t>
      </w:r>
      <w:r>
        <w:rPr>
          <w:rFonts w:hint="eastAsia" w:hAnsi="宋体" w:cs="宋体"/>
          <w:color w:val="auto"/>
          <w:kern w:val="0"/>
          <w:highlight w:val="none"/>
        </w:rPr>
        <w:t>提交的</w:t>
      </w:r>
      <w:r>
        <w:rPr>
          <w:rFonts w:hint="eastAsia" w:hAnsi="宋体" w:cs="宋体"/>
          <w:color w:val="auto"/>
          <w:highlight w:val="none"/>
        </w:rPr>
        <w:t>书面承诺或其他文件是响应文件的有效组成部分。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11.3谈判单位无论成交与否，其递交的响应文件均不予退还。</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2</w:t>
      </w:r>
      <w:r>
        <w:rPr>
          <w:rFonts w:hint="eastAsia" w:ascii="宋体" w:hAnsi="宋体" w:cs="宋体"/>
          <w:b/>
          <w:bCs/>
          <w:color w:val="auto"/>
          <w:szCs w:val="21"/>
          <w:highlight w:val="none"/>
        </w:rPr>
        <w:t>.响应文件有效期</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.1响应文件有效期见</w:t>
      </w:r>
      <w:r>
        <w:rPr>
          <w:rFonts w:hint="eastAsia" w:ascii="宋体" w:hAnsi="宋体" w:cs="宋体"/>
          <w:b/>
          <w:color w:val="auto"/>
          <w:szCs w:val="21"/>
          <w:highlight w:val="none"/>
        </w:rPr>
        <w:t>前附表</w:t>
      </w:r>
      <w:r>
        <w:rPr>
          <w:rFonts w:hint="eastAsia" w:ascii="宋体" w:hAnsi="宋体" w:cs="宋体"/>
          <w:color w:val="auto"/>
          <w:szCs w:val="21"/>
          <w:highlight w:val="none"/>
        </w:rPr>
        <w:t>，在此期间响应文件对谈判单位具有法律约束力，从</w:t>
      </w:r>
      <w:r>
        <w:rPr>
          <w:rFonts w:hint="eastAsia" w:ascii="宋体" w:hAnsi="宋体" w:cs="宋体"/>
          <w:b/>
          <w:color w:val="auto"/>
          <w:szCs w:val="21"/>
          <w:highlight w:val="none"/>
        </w:rPr>
        <w:t>前附表</w:t>
      </w:r>
      <w:r>
        <w:rPr>
          <w:rFonts w:hint="eastAsia" w:ascii="宋体" w:hAnsi="宋体" w:cs="宋体"/>
          <w:color w:val="auto"/>
          <w:szCs w:val="21"/>
          <w:highlight w:val="none"/>
        </w:rPr>
        <w:t>规定的</w:t>
      </w:r>
      <w:r>
        <w:rPr>
          <w:rFonts w:hint="eastAsia" w:ascii="宋体" w:hAnsi="宋体" w:cs="宋体"/>
          <w:color w:val="auto"/>
          <w:kern w:val="0"/>
          <w:szCs w:val="21"/>
          <w:highlight w:val="none"/>
        </w:rPr>
        <w:t>响应文件递交截止时间</w:t>
      </w:r>
      <w:r>
        <w:rPr>
          <w:rFonts w:hint="eastAsia" w:ascii="宋体" w:hAnsi="宋体" w:cs="宋体"/>
          <w:color w:val="auto"/>
          <w:szCs w:val="21"/>
          <w:highlight w:val="none"/>
        </w:rPr>
        <w:t>之日起计算。响应文件有效期不足的将被视为无效响应。</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3</w:t>
      </w:r>
      <w:r>
        <w:rPr>
          <w:rFonts w:hint="eastAsia" w:ascii="宋体" w:hAnsi="宋体" w:cs="宋体"/>
          <w:b/>
          <w:bCs/>
          <w:color w:val="auto"/>
          <w:szCs w:val="21"/>
          <w:highlight w:val="none"/>
        </w:rPr>
        <w:t>.响应文件的编制</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1</w:t>
      </w:r>
      <w:r>
        <w:rPr>
          <w:rFonts w:hAnsi="宋体" w:cs="宋体"/>
          <w:color w:val="auto"/>
          <w:sz w:val="21"/>
          <w:szCs w:val="21"/>
          <w:highlight w:val="none"/>
        </w:rPr>
        <w:t>3</w:t>
      </w:r>
      <w:r>
        <w:rPr>
          <w:rFonts w:hint="eastAsia" w:hAnsi="宋体" w:cs="宋体"/>
          <w:color w:val="auto"/>
          <w:sz w:val="21"/>
          <w:szCs w:val="21"/>
          <w:highlight w:val="none"/>
        </w:rPr>
        <w:t>.1响应文件应按</w:t>
      </w:r>
      <w:r>
        <w:rPr>
          <w:rFonts w:hint="eastAsia" w:hAnsi="宋体" w:cs="宋体"/>
          <w:b/>
          <w:bCs/>
          <w:color w:val="auto"/>
          <w:sz w:val="21"/>
          <w:szCs w:val="21"/>
          <w:highlight w:val="none"/>
        </w:rPr>
        <w:t>第</w:t>
      </w:r>
      <w:r>
        <w:rPr>
          <w:rFonts w:hint="eastAsia" w:hAnsi="宋体" w:cs="宋体"/>
          <w:b/>
          <w:bCs/>
          <w:color w:val="auto"/>
          <w:sz w:val="21"/>
          <w:szCs w:val="21"/>
          <w:highlight w:val="none"/>
          <w:lang w:eastAsia="zh-CN"/>
        </w:rPr>
        <w:t>六</w:t>
      </w:r>
      <w:r>
        <w:rPr>
          <w:rFonts w:hint="eastAsia" w:hAnsi="宋体" w:cs="宋体"/>
          <w:b/>
          <w:bCs/>
          <w:color w:val="auto"/>
          <w:sz w:val="21"/>
          <w:szCs w:val="21"/>
          <w:highlight w:val="none"/>
        </w:rPr>
        <w:t>章</w:t>
      </w:r>
      <w:r>
        <w:rPr>
          <w:rFonts w:hint="eastAsia" w:hAnsi="宋体" w:cs="宋体"/>
          <w:color w:val="auto"/>
          <w:sz w:val="21"/>
          <w:szCs w:val="21"/>
          <w:highlight w:val="none"/>
        </w:rPr>
        <w:t>“响应文件格式”进行编写，如有必要，可以增加附页，作为响应文件的组成部分。</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w:t>
      </w:r>
      <w:r>
        <w:rPr>
          <w:rFonts w:hAnsi="宋体" w:cs="宋体"/>
          <w:color w:val="auto"/>
          <w:highlight w:val="none"/>
        </w:rPr>
        <w:t>3</w:t>
      </w:r>
      <w:r>
        <w:rPr>
          <w:rFonts w:hint="eastAsia" w:hAnsi="宋体" w:cs="宋体"/>
          <w:color w:val="auto"/>
          <w:highlight w:val="none"/>
        </w:rPr>
        <w:t>.2响应文件应用不褪色的材料书写或打印（建议双面打印），并按</w:t>
      </w:r>
      <w:r>
        <w:rPr>
          <w:rFonts w:hint="eastAsia" w:hAnsi="宋体" w:cs="宋体"/>
          <w:b/>
          <w:bCs/>
          <w:color w:val="auto"/>
          <w:highlight w:val="none"/>
        </w:rPr>
        <w:t>第</w:t>
      </w:r>
      <w:r>
        <w:rPr>
          <w:rFonts w:hint="eastAsia" w:hAnsi="宋体" w:cs="宋体"/>
          <w:b/>
          <w:bCs/>
          <w:color w:val="auto"/>
          <w:highlight w:val="none"/>
          <w:lang w:eastAsia="zh-CN"/>
        </w:rPr>
        <w:t>六</w:t>
      </w:r>
      <w:r>
        <w:rPr>
          <w:rFonts w:hint="eastAsia" w:hAnsi="宋体" w:cs="宋体"/>
          <w:b/>
          <w:bCs/>
          <w:color w:val="auto"/>
          <w:highlight w:val="none"/>
        </w:rPr>
        <w:t>章</w:t>
      </w:r>
      <w:r>
        <w:rPr>
          <w:rFonts w:hint="eastAsia" w:hAnsi="宋体" w:cs="宋体"/>
          <w:color w:val="auto"/>
          <w:highlight w:val="none"/>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color w:val="auto"/>
          <w:highlight w:val="none"/>
        </w:rPr>
        <w:t>第</w:t>
      </w:r>
      <w:r>
        <w:rPr>
          <w:rFonts w:hint="eastAsia" w:hAnsi="宋体" w:cs="宋体"/>
          <w:b/>
          <w:bCs/>
          <w:color w:val="auto"/>
          <w:highlight w:val="none"/>
          <w:lang w:eastAsia="zh-CN"/>
        </w:rPr>
        <w:t>六</w:t>
      </w:r>
      <w:r>
        <w:rPr>
          <w:rFonts w:hint="eastAsia" w:hAnsi="宋体" w:cs="宋体"/>
          <w:b/>
          <w:bCs/>
          <w:color w:val="auto"/>
          <w:highlight w:val="none"/>
        </w:rPr>
        <w:t>章</w:t>
      </w:r>
      <w:r>
        <w:rPr>
          <w:rFonts w:hint="eastAsia" w:hAnsi="宋体" w:cs="宋体"/>
          <w:color w:val="auto"/>
          <w:highlight w:val="none"/>
        </w:rPr>
        <w:t>“响应文件格式”的要求。</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w:t>
      </w:r>
      <w:r>
        <w:rPr>
          <w:rFonts w:hAnsi="宋体" w:cs="宋体"/>
          <w:color w:val="auto"/>
          <w:highlight w:val="none"/>
        </w:rPr>
        <w:t>3</w:t>
      </w:r>
      <w:r>
        <w:rPr>
          <w:rFonts w:hint="eastAsia" w:hAnsi="宋体" w:cs="宋体"/>
          <w:color w:val="auto"/>
          <w:highlight w:val="none"/>
        </w:rPr>
        <w:t>.3响应文件应尽量避免涂改、行间插字或删除。如果出现上述情况，改动之处应由谈判单位的法定代表人或其授权的代理人签字或盖单位公章。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w:t>
      </w:r>
      <w:r>
        <w:rPr>
          <w:rFonts w:hAnsi="宋体" w:cs="宋体"/>
          <w:color w:val="auto"/>
          <w:highlight w:val="none"/>
        </w:rPr>
        <w:t>3</w:t>
      </w:r>
      <w:r>
        <w:rPr>
          <w:rFonts w:hint="eastAsia" w:hAnsi="宋体" w:cs="宋体"/>
          <w:color w:val="auto"/>
          <w:highlight w:val="none"/>
        </w:rPr>
        <w:t>.4响应文件为一式三份，其中正本一份，副本两份，均须胶装成册；电子文件一份（U盘或光盘，应包含响应文件的所有内容，并标注谈判单位名称）。响应文件正本和副本的封面上应清楚地标记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color w:val="auto"/>
          <w:highlight w:val="none"/>
        </w:rPr>
        <w:t>“正本”</w:t>
      </w:r>
      <w:r>
        <w:rPr>
          <w:rFonts w:hint="eastAsia" w:hAnsi="宋体" w:cs="宋体"/>
          <w:color w:val="auto"/>
          <w:highlight w:val="none"/>
        </w:rPr>
        <w:t>或</w:t>
      </w:r>
      <w:r>
        <w:rPr>
          <w:rFonts w:hint="eastAsia" w:hAnsi="宋体" w:cs="宋体"/>
          <w:b/>
          <w:bCs/>
          <w:color w:val="auto"/>
          <w:highlight w:val="none"/>
        </w:rPr>
        <w:t>“副本”</w:t>
      </w:r>
      <w:r>
        <w:rPr>
          <w:rFonts w:hint="eastAsia" w:hAnsi="宋体" w:cs="宋体"/>
          <w:color w:val="auto"/>
          <w:highlight w:val="none"/>
        </w:rPr>
        <w:t>的字样，若响应文件副本为正本的复印件，还需在谈判文件要求盖章处加盖单位公章。当正本和副本有差异时，以正本为准。</w:t>
      </w:r>
    </w:p>
    <w:p>
      <w:pPr>
        <w:pStyle w:val="4"/>
        <w:keepNext w:val="0"/>
        <w:keepLines w:val="0"/>
        <w:rPr>
          <w:rFonts w:ascii="宋体" w:hAnsi="宋体" w:cs="宋体"/>
          <w:color w:val="auto"/>
          <w:sz w:val="21"/>
          <w:szCs w:val="21"/>
          <w:highlight w:val="none"/>
        </w:rPr>
      </w:pPr>
      <w:bookmarkStart w:id="51" w:name="_Toc14891071"/>
      <w:bookmarkStart w:id="52" w:name="_Toc1468"/>
      <w:bookmarkStart w:id="53" w:name="_Toc16269"/>
      <w:bookmarkStart w:id="54" w:name="_Toc22034"/>
      <w:bookmarkStart w:id="55" w:name="_Toc3522"/>
      <w:r>
        <w:rPr>
          <w:rFonts w:hint="eastAsia" w:ascii="宋体" w:hAnsi="宋体" w:cs="宋体"/>
          <w:color w:val="auto"/>
          <w:sz w:val="21"/>
          <w:szCs w:val="21"/>
          <w:highlight w:val="none"/>
        </w:rPr>
        <w:t>四、响应文件的递交</w:t>
      </w:r>
      <w:bookmarkEnd w:id="51"/>
      <w:bookmarkEnd w:id="52"/>
      <w:bookmarkEnd w:id="53"/>
      <w:bookmarkEnd w:id="54"/>
      <w:bookmarkEnd w:id="55"/>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4</w:t>
      </w:r>
      <w:r>
        <w:rPr>
          <w:rFonts w:hint="eastAsia" w:ascii="宋体" w:hAnsi="宋体" w:cs="宋体"/>
          <w:b/>
          <w:bCs/>
          <w:color w:val="auto"/>
          <w:szCs w:val="21"/>
          <w:highlight w:val="none"/>
        </w:rPr>
        <w:t>.</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的密封</w:t>
      </w:r>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4</w:t>
      </w:r>
      <w:r>
        <w:rPr>
          <w:rFonts w:hint="eastAsia" w:ascii="宋体" w:hAnsi="宋体" w:cs="宋体"/>
          <w:color w:val="auto"/>
          <w:szCs w:val="21"/>
          <w:highlight w:val="none"/>
        </w:rPr>
        <w:t>.1谈判单位须将响应文件一正两副与电子文件一起密封包装。</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5</w:t>
      </w:r>
      <w:r>
        <w:rPr>
          <w:rFonts w:hint="eastAsia" w:ascii="宋体" w:hAnsi="宋体" w:cs="宋体"/>
          <w:b/>
          <w:bCs/>
          <w:color w:val="auto"/>
          <w:szCs w:val="21"/>
          <w:highlight w:val="none"/>
        </w:rPr>
        <w:t>.响应文件的标记</w:t>
      </w:r>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rPr>
        <w:t>.1</w:t>
      </w:r>
      <w:r>
        <w:rPr>
          <w:rFonts w:hint="eastAsia" w:ascii="宋体" w:hAnsi="宋体" w:cs="宋体"/>
          <w:bCs/>
          <w:color w:val="auto"/>
          <w:szCs w:val="21"/>
          <w:highlight w:val="none"/>
        </w:rPr>
        <w:t>响应文件的密封封套上须写明如下内容</w:t>
      </w:r>
      <w:r>
        <w:rPr>
          <w:rFonts w:hint="eastAsia" w:ascii="宋体" w:hAnsi="宋体" w:cs="宋体"/>
          <w:color w:val="auto"/>
          <w:szCs w:val="21"/>
          <w:highlight w:val="none"/>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采购单位：</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谈判单位：</w:t>
            </w:r>
            <w:r>
              <w:rPr>
                <w:rFonts w:hint="eastAsia" w:ascii="宋体" w:hAnsi="宋体" w:cs="宋体"/>
                <w:color w:val="auto"/>
                <w:szCs w:val="21"/>
                <w:highlight w:val="none"/>
                <w:u w:val="single"/>
              </w:rPr>
              <w:t xml:space="preserve">（填写单位名称并加盖单位公章）         </w:t>
            </w:r>
          </w:p>
          <w:p>
            <w:pPr>
              <w:spacing w:line="360" w:lineRule="auto"/>
              <w:ind w:firstLine="840" w:firstLineChars="400"/>
              <w:rPr>
                <w:rFonts w:ascii="宋体" w:hAnsi="宋体" w:cs="宋体"/>
                <w:color w:val="auto"/>
                <w:szCs w:val="21"/>
                <w:highlight w:val="none"/>
              </w:rPr>
            </w:pP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i/>
                <w:iCs/>
                <w:color w:val="auto"/>
                <w:szCs w:val="21"/>
                <w:highlight w:val="none"/>
                <w:u w:val="single"/>
              </w:rPr>
              <w:t xml:space="preserve">    </w:t>
            </w:r>
            <w:r>
              <w:rPr>
                <w:rFonts w:hint="eastAsia" w:ascii="宋体" w:hAnsi="宋体"/>
                <w:bCs/>
                <w:color w:val="auto"/>
                <w:szCs w:val="21"/>
                <w:highlight w:val="none"/>
              </w:rPr>
              <w:t>日</w:t>
            </w:r>
          </w:p>
        </w:tc>
      </w:tr>
    </w:tbl>
    <w:p>
      <w:pPr>
        <w:adjustRightInd w:val="0"/>
        <w:snapToGrid w:val="0"/>
        <w:spacing w:line="360" w:lineRule="auto"/>
        <w:ind w:firstLine="413" w:firstLineChars="196"/>
        <w:rPr>
          <w:rFonts w:ascii="宋体" w:hAnsi="宋体" w:cs="宋体"/>
          <w:b/>
          <w:bCs/>
          <w:color w:val="auto"/>
          <w:szCs w:val="21"/>
          <w:highlight w:val="none"/>
        </w:rPr>
      </w:pP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6</w:t>
      </w:r>
      <w:r>
        <w:rPr>
          <w:rFonts w:hint="eastAsia" w:ascii="宋体" w:hAnsi="宋体" w:cs="宋体"/>
          <w:b/>
          <w:bCs/>
          <w:color w:val="auto"/>
          <w:szCs w:val="21"/>
          <w:highlight w:val="none"/>
        </w:rPr>
        <w:t>.响应文件的递交与接收</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6</w:t>
      </w:r>
      <w:r>
        <w:rPr>
          <w:rFonts w:hint="eastAsia" w:ascii="宋体" w:hAnsi="宋体" w:cs="宋体"/>
          <w:color w:val="auto"/>
          <w:szCs w:val="21"/>
          <w:highlight w:val="none"/>
        </w:rPr>
        <w:t>.1谈判单位应按要求在</w:t>
      </w:r>
      <w:r>
        <w:rPr>
          <w:rFonts w:hint="eastAsia" w:ascii="宋体" w:hAnsi="宋体" w:cs="宋体"/>
          <w:color w:val="auto"/>
          <w:kern w:val="0"/>
          <w:szCs w:val="21"/>
          <w:highlight w:val="none"/>
        </w:rPr>
        <w:t>响应文件递交截止时间</w:t>
      </w:r>
      <w:r>
        <w:rPr>
          <w:rFonts w:hint="eastAsia" w:ascii="宋体" w:hAnsi="宋体" w:cs="宋体"/>
          <w:color w:val="auto"/>
          <w:szCs w:val="21"/>
          <w:highlight w:val="none"/>
        </w:rPr>
        <w:t>前，将响应文件送达指定地点，响应文件递交截止时间、地点及要求见</w:t>
      </w:r>
      <w:r>
        <w:rPr>
          <w:rFonts w:hint="eastAsia" w:ascii="宋体" w:hAnsi="宋体" w:cs="宋体"/>
          <w:b/>
          <w:color w:val="auto"/>
          <w:szCs w:val="21"/>
          <w:highlight w:val="none"/>
        </w:rPr>
        <w:t>前附表</w:t>
      </w:r>
      <w:r>
        <w:rPr>
          <w:rFonts w:hint="eastAsia" w:ascii="宋体" w:hAnsi="宋体" w:cs="宋体"/>
          <w:color w:val="auto"/>
          <w:szCs w:val="21"/>
          <w:highlight w:val="none"/>
        </w:rPr>
        <w:t>。</w:t>
      </w:r>
      <w:r>
        <w:rPr>
          <w:rFonts w:hint="eastAsia" w:ascii="宋体" w:hAnsi="宋体" w:cs="宋体"/>
          <w:color w:val="auto"/>
          <w:kern w:val="0"/>
          <w:szCs w:val="21"/>
          <w:highlight w:val="none"/>
        </w:rPr>
        <w:t>在截止时间后送达的响应文件，</w:t>
      </w:r>
      <w:r>
        <w:rPr>
          <w:rFonts w:hint="eastAsia" w:hAnsi="宋体" w:cs="宋体"/>
          <w:color w:val="auto"/>
          <w:kern w:val="0"/>
          <w:highlight w:val="none"/>
        </w:rPr>
        <w:t>采购单位应当拒收。</w:t>
      </w:r>
    </w:p>
    <w:p>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1</w:t>
      </w:r>
      <w:r>
        <w:rPr>
          <w:rFonts w:ascii="宋体" w:hAnsi="宋体" w:cs="宋体"/>
          <w:bCs/>
          <w:color w:val="auto"/>
          <w:szCs w:val="21"/>
          <w:highlight w:val="none"/>
        </w:rPr>
        <w:t>6</w:t>
      </w:r>
      <w:r>
        <w:rPr>
          <w:rFonts w:hint="eastAsia" w:ascii="宋体" w:hAnsi="宋体" w:cs="宋体"/>
          <w:bCs/>
          <w:color w:val="auto"/>
          <w:szCs w:val="21"/>
          <w:highlight w:val="none"/>
        </w:rPr>
        <w:t>.2采购单位在</w:t>
      </w:r>
      <w:r>
        <w:rPr>
          <w:rFonts w:hint="eastAsia" w:ascii="宋体" w:hAnsi="宋体" w:cs="宋体"/>
          <w:b/>
          <w:bCs/>
          <w:color w:val="auto"/>
          <w:szCs w:val="21"/>
          <w:highlight w:val="none"/>
        </w:rPr>
        <w:t>前附表</w:t>
      </w:r>
      <w:r>
        <w:rPr>
          <w:rFonts w:hint="eastAsia" w:ascii="宋体" w:hAnsi="宋体" w:cs="宋体"/>
          <w:bCs/>
          <w:color w:val="auto"/>
          <w:szCs w:val="21"/>
          <w:highlight w:val="none"/>
        </w:rPr>
        <w:t>规定的谈判时间和地点，组织谈判单位签到并接收响应文件。</w:t>
      </w:r>
    </w:p>
    <w:p>
      <w:pPr>
        <w:pStyle w:val="4"/>
        <w:keepNext w:val="0"/>
        <w:keepLines w:val="0"/>
        <w:rPr>
          <w:rFonts w:ascii="宋体" w:hAnsi="宋体" w:cs="宋体"/>
          <w:color w:val="auto"/>
          <w:sz w:val="21"/>
          <w:szCs w:val="21"/>
          <w:highlight w:val="none"/>
        </w:rPr>
      </w:pPr>
      <w:bookmarkStart w:id="56" w:name="_Toc17368"/>
      <w:bookmarkStart w:id="57" w:name="_Toc14891072"/>
      <w:bookmarkStart w:id="58" w:name="_Toc16037"/>
      <w:bookmarkStart w:id="59" w:name="_Toc6891"/>
      <w:bookmarkStart w:id="60" w:name="_Toc13483"/>
      <w:r>
        <w:rPr>
          <w:rFonts w:hint="eastAsia" w:ascii="宋体" w:hAnsi="宋体" w:cs="宋体"/>
          <w:color w:val="auto"/>
          <w:sz w:val="21"/>
          <w:szCs w:val="21"/>
          <w:highlight w:val="none"/>
        </w:rPr>
        <w:t>五、响应文件的评审</w:t>
      </w:r>
      <w:bookmarkEnd w:id="56"/>
      <w:bookmarkEnd w:id="57"/>
      <w:bookmarkEnd w:id="58"/>
      <w:bookmarkEnd w:id="59"/>
      <w:bookmarkEnd w:id="60"/>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7</w:t>
      </w:r>
      <w:r>
        <w:rPr>
          <w:rFonts w:hint="eastAsia" w:ascii="宋体" w:hAnsi="宋体" w:cs="宋体"/>
          <w:b/>
          <w:color w:val="auto"/>
          <w:szCs w:val="21"/>
          <w:highlight w:val="none"/>
        </w:rPr>
        <w:t>.</w:t>
      </w:r>
      <w:r>
        <w:rPr>
          <w:rFonts w:hint="eastAsia" w:ascii="宋体" w:hAnsi="宋体" w:cs="宋体"/>
          <w:bCs/>
          <w:color w:val="auto"/>
          <w:szCs w:val="21"/>
          <w:highlight w:val="none"/>
        </w:rPr>
        <w:t>评审由谈判评审小组负责，谈判评审小组应按照本谈判文件</w:t>
      </w:r>
      <w:r>
        <w:rPr>
          <w:rFonts w:hint="eastAsia" w:ascii="宋体" w:hAnsi="宋体" w:cs="宋体"/>
          <w:b/>
          <w:color w:val="auto"/>
          <w:szCs w:val="21"/>
          <w:highlight w:val="none"/>
        </w:rPr>
        <w:t>第三章</w:t>
      </w:r>
      <w:r>
        <w:rPr>
          <w:rFonts w:hint="eastAsia" w:ascii="宋体" w:hAnsi="宋体" w:cs="宋体"/>
          <w:bCs/>
          <w:color w:val="auto"/>
          <w:szCs w:val="21"/>
          <w:highlight w:val="none"/>
        </w:rPr>
        <w:t>“评审办法及标准”的内容和程序对响应文件进行评审。</w:t>
      </w:r>
    </w:p>
    <w:p>
      <w:pPr>
        <w:pStyle w:val="4"/>
        <w:keepNext w:val="0"/>
        <w:keepLines w:val="0"/>
        <w:rPr>
          <w:rFonts w:ascii="宋体" w:hAnsi="宋体" w:cs="宋体"/>
          <w:color w:val="auto"/>
          <w:sz w:val="21"/>
          <w:szCs w:val="21"/>
          <w:highlight w:val="none"/>
        </w:rPr>
      </w:pPr>
      <w:bookmarkStart w:id="61" w:name="_Toc19319"/>
      <w:bookmarkStart w:id="62" w:name="_Toc21358"/>
      <w:bookmarkStart w:id="63" w:name="_Toc28602"/>
      <w:bookmarkStart w:id="64" w:name="_Toc14891073"/>
      <w:bookmarkStart w:id="65" w:name="_Toc4932"/>
      <w:r>
        <w:rPr>
          <w:rFonts w:hint="eastAsia" w:ascii="宋体" w:hAnsi="宋体" w:cs="宋体"/>
          <w:color w:val="auto"/>
          <w:sz w:val="21"/>
          <w:szCs w:val="21"/>
          <w:highlight w:val="none"/>
        </w:rPr>
        <w:t>六、响应文件的澄清、说明及补正</w:t>
      </w:r>
      <w:bookmarkEnd w:id="61"/>
      <w:bookmarkEnd w:id="62"/>
      <w:bookmarkEnd w:id="63"/>
      <w:bookmarkEnd w:id="64"/>
      <w:bookmarkEnd w:id="65"/>
    </w:p>
    <w:p>
      <w:pPr>
        <w:widowControl/>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1</w:t>
      </w:r>
      <w:r>
        <w:rPr>
          <w:rFonts w:ascii="宋体" w:hAnsi="宋体" w:cs="宋体"/>
          <w:b/>
          <w:color w:val="auto"/>
          <w:kern w:val="0"/>
          <w:szCs w:val="21"/>
          <w:highlight w:val="none"/>
        </w:rPr>
        <w:t>8</w:t>
      </w:r>
      <w:r>
        <w:rPr>
          <w:rFonts w:hint="eastAsia" w:ascii="宋体" w:hAnsi="宋体" w:cs="宋体"/>
          <w:b/>
          <w:color w:val="auto"/>
          <w:kern w:val="0"/>
          <w:szCs w:val="21"/>
          <w:highlight w:val="none"/>
        </w:rPr>
        <w:t>.澄清</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8</w:t>
      </w:r>
      <w:r>
        <w:rPr>
          <w:rFonts w:hint="eastAsia" w:ascii="宋体" w:hAnsi="宋体" w:cs="宋体"/>
          <w:color w:val="auto"/>
          <w:kern w:val="0"/>
          <w:szCs w:val="21"/>
          <w:highlight w:val="none"/>
        </w:rPr>
        <w:t>.1谈判评审小组可就响应文件中含糊之处要求谈判单位进行解释或澄清要求，谈判单位必须按照要求派法定代表人或授权委托人进行答疑和澄清。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color w:val="auto"/>
          <w:kern w:val="0"/>
          <w:szCs w:val="21"/>
          <w:highlight w:val="none"/>
        </w:rPr>
      </w:pPr>
      <w:r>
        <w:rPr>
          <w:rFonts w:ascii="宋体" w:hAnsi="宋体" w:cs="宋体"/>
          <w:b/>
          <w:color w:val="auto"/>
          <w:kern w:val="0"/>
          <w:szCs w:val="21"/>
          <w:highlight w:val="none"/>
        </w:rPr>
        <w:t>19</w:t>
      </w:r>
      <w:r>
        <w:rPr>
          <w:rFonts w:hint="eastAsia" w:ascii="宋体" w:hAnsi="宋体" w:cs="宋体"/>
          <w:b/>
          <w:color w:val="auto"/>
          <w:kern w:val="0"/>
          <w:szCs w:val="21"/>
          <w:highlight w:val="none"/>
        </w:rPr>
        <w:t>.说明及补正</w:t>
      </w:r>
    </w:p>
    <w:p>
      <w:pPr>
        <w:widowControl/>
        <w:adjustRightInd w:val="0"/>
        <w:snapToGrid w:val="0"/>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19</w:t>
      </w:r>
      <w:r>
        <w:rPr>
          <w:rFonts w:hint="eastAsia" w:ascii="宋体" w:hAnsi="宋体" w:cs="宋体"/>
          <w:color w:val="auto"/>
          <w:kern w:val="0"/>
          <w:szCs w:val="21"/>
          <w:highlight w:val="none"/>
        </w:rPr>
        <w:t>.1必要时谈判评审小组可要求谈判单位就澄清的问题作书面回答或承诺，该书面回答或承诺应有谈判单位法定代表人或委托代理人的签字或盖章，并将作为响应文件的一部分。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19</w:t>
      </w:r>
      <w:r>
        <w:rPr>
          <w:rFonts w:hint="eastAsia" w:ascii="宋体" w:hAnsi="宋体" w:cs="宋体"/>
          <w:color w:val="auto"/>
          <w:kern w:val="0"/>
          <w:szCs w:val="21"/>
          <w:highlight w:val="none"/>
        </w:rPr>
        <w:t>.2谈判单位对响应文件的澄清不得改变谈判实质内容。</w:t>
      </w:r>
    </w:p>
    <w:p>
      <w:pPr>
        <w:widowControl/>
        <w:adjustRightInd w:val="0"/>
        <w:snapToGrid w:val="0"/>
        <w:spacing w:line="360" w:lineRule="auto"/>
        <w:ind w:firstLine="420" w:firstLineChars="200"/>
        <w:rPr>
          <w:rFonts w:ascii="宋体" w:hAnsi="宋体" w:cs="宋体"/>
          <w:b/>
          <w:color w:val="auto"/>
          <w:szCs w:val="21"/>
          <w:highlight w:val="none"/>
        </w:rPr>
      </w:pPr>
      <w:r>
        <w:rPr>
          <w:rFonts w:ascii="宋体" w:hAnsi="宋体" w:cs="宋体"/>
          <w:color w:val="auto"/>
          <w:kern w:val="0"/>
          <w:szCs w:val="21"/>
          <w:highlight w:val="none"/>
        </w:rPr>
        <w:t>19</w:t>
      </w:r>
      <w:r>
        <w:rPr>
          <w:rFonts w:hint="eastAsia" w:ascii="宋体" w:hAnsi="宋体" w:cs="宋体"/>
          <w:color w:val="auto"/>
          <w:kern w:val="0"/>
          <w:szCs w:val="21"/>
          <w:highlight w:val="none"/>
        </w:rPr>
        <w:t>.3与谈判文件有重大偏离的响应文件将被拒绝。重大偏离指谈判总报价、谈判不含增值税总报价、谈判有效期、服务期明显不能满足谈判文件的要求。这些偏离不允许在响应文件递交截止时间之后修正。</w:t>
      </w:r>
    </w:p>
    <w:p>
      <w:pPr>
        <w:pStyle w:val="4"/>
        <w:keepNext w:val="0"/>
        <w:keepLines w:val="0"/>
        <w:rPr>
          <w:rFonts w:ascii="宋体" w:hAnsi="宋体" w:cs="宋体"/>
          <w:color w:val="auto"/>
          <w:sz w:val="21"/>
          <w:szCs w:val="21"/>
          <w:highlight w:val="none"/>
        </w:rPr>
      </w:pPr>
      <w:bookmarkStart w:id="66" w:name="_Toc14891074"/>
      <w:bookmarkStart w:id="67" w:name="_Toc9096"/>
      <w:bookmarkStart w:id="68" w:name="_Toc20130"/>
      <w:bookmarkStart w:id="69" w:name="_Toc20022"/>
      <w:bookmarkStart w:id="70" w:name="_Toc27120"/>
      <w:r>
        <w:rPr>
          <w:rFonts w:hint="eastAsia" w:ascii="宋体" w:hAnsi="宋体" w:cs="宋体"/>
          <w:color w:val="auto"/>
          <w:sz w:val="21"/>
          <w:szCs w:val="21"/>
          <w:highlight w:val="none"/>
        </w:rPr>
        <w:t>七、中选结果与授予合同</w:t>
      </w:r>
      <w:bookmarkEnd w:id="66"/>
      <w:bookmarkEnd w:id="67"/>
      <w:bookmarkEnd w:id="68"/>
      <w:bookmarkEnd w:id="69"/>
      <w:bookmarkEnd w:id="70"/>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0</w:t>
      </w:r>
      <w:r>
        <w:rPr>
          <w:rFonts w:hint="eastAsia" w:ascii="宋体" w:hAnsi="宋体" w:cs="宋体"/>
          <w:b/>
          <w:bCs/>
          <w:color w:val="auto"/>
          <w:szCs w:val="21"/>
          <w:highlight w:val="none"/>
        </w:rPr>
        <w:t>.中选信息的公布</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0</w:t>
      </w:r>
      <w:r>
        <w:rPr>
          <w:rFonts w:hint="eastAsia" w:hAnsi="宋体" w:cs="宋体"/>
          <w:color w:val="auto"/>
          <w:highlight w:val="none"/>
        </w:rPr>
        <w:t>.1中选单位确定后，采购单位应将结果信息在</w:t>
      </w:r>
      <w:r>
        <w:rPr>
          <w:rFonts w:hint="eastAsia" w:hAnsi="宋体" w:cs="宋体"/>
          <w:b/>
          <w:color w:val="auto"/>
          <w:highlight w:val="none"/>
        </w:rPr>
        <w:t>前附表</w:t>
      </w:r>
      <w:r>
        <w:rPr>
          <w:rFonts w:hint="eastAsia" w:hAnsi="宋体" w:cs="宋体"/>
          <w:color w:val="auto"/>
          <w:highlight w:val="none"/>
        </w:rPr>
        <w:t>指定的媒体上公布，</w:t>
      </w:r>
      <w:r>
        <w:rPr>
          <w:rFonts w:hint="eastAsia" w:hAnsi="宋体" w:cs="宋体"/>
          <w:b/>
          <w:bCs/>
          <w:color w:val="auto"/>
          <w:highlight w:val="none"/>
        </w:rPr>
        <w:t>公示期限为3个工作日</w:t>
      </w:r>
      <w:r>
        <w:rPr>
          <w:rFonts w:hint="eastAsia" w:hAnsi="宋体" w:cs="宋体"/>
          <w:color w:val="auto"/>
          <w:highlight w:val="none"/>
        </w:rPr>
        <w:t>。</w:t>
      </w:r>
    </w:p>
    <w:p>
      <w:pPr>
        <w:pStyle w:val="25"/>
        <w:adjustRightInd w:val="0"/>
        <w:snapToGrid w:val="0"/>
        <w:spacing w:line="360" w:lineRule="auto"/>
        <w:ind w:firstLine="422" w:firstLineChars="200"/>
        <w:rPr>
          <w:rFonts w:hAnsi="宋体" w:cs="宋体"/>
          <w:b/>
          <w:bCs/>
          <w:color w:val="auto"/>
          <w:highlight w:val="none"/>
        </w:rPr>
      </w:pPr>
      <w:r>
        <w:rPr>
          <w:rFonts w:hint="eastAsia" w:hAnsi="宋体" w:cs="宋体"/>
          <w:b/>
          <w:bCs/>
          <w:color w:val="auto"/>
          <w:highlight w:val="none"/>
        </w:rPr>
        <w:t>2</w:t>
      </w:r>
      <w:r>
        <w:rPr>
          <w:rFonts w:hAnsi="宋体" w:cs="宋体"/>
          <w:b/>
          <w:bCs/>
          <w:color w:val="auto"/>
          <w:highlight w:val="none"/>
        </w:rPr>
        <w:t>1</w:t>
      </w:r>
      <w:r>
        <w:rPr>
          <w:rFonts w:hint="eastAsia" w:hAnsi="宋体" w:cs="宋体"/>
          <w:b/>
          <w:bCs/>
          <w:color w:val="auto"/>
          <w:highlight w:val="none"/>
        </w:rPr>
        <w:t>.评审结果异议</w:t>
      </w:r>
    </w:p>
    <w:p>
      <w:pPr>
        <w:pStyle w:val="25"/>
        <w:adjustRightInd w:val="0"/>
        <w:snapToGrid w:val="0"/>
        <w:spacing w:line="360" w:lineRule="auto"/>
        <w:ind w:firstLine="420" w:firstLineChars="200"/>
        <w:rPr>
          <w:rFonts w:hAnsi="宋体" w:cs="宋体"/>
          <w:b/>
          <w:color w:val="auto"/>
          <w:highlight w:val="none"/>
        </w:rPr>
      </w:pPr>
      <w:r>
        <w:rPr>
          <w:rFonts w:hint="eastAsia" w:hAnsi="宋体" w:cs="宋体"/>
          <w:color w:val="auto"/>
          <w:kern w:val="0"/>
          <w:highlight w:val="none"/>
        </w:rPr>
        <w:t>2</w:t>
      </w:r>
      <w:r>
        <w:rPr>
          <w:rFonts w:hAnsi="宋体" w:cs="宋体"/>
          <w:color w:val="auto"/>
          <w:kern w:val="0"/>
          <w:highlight w:val="none"/>
        </w:rPr>
        <w:t>1</w:t>
      </w:r>
      <w:r>
        <w:rPr>
          <w:rFonts w:hint="eastAsia" w:hAnsi="宋体" w:cs="宋体"/>
          <w:color w:val="auto"/>
          <w:kern w:val="0"/>
          <w:highlight w:val="none"/>
        </w:rPr>
        <w:t>.1谈判单位对评审结果有异议的，应当在结果公示期间提出。</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2</w:t>
      </w:r>
      <w:r>
        <w:rPr>
          <w:rFonts w:hint="eastAsia" w:ascii="宋体" w:hAnsi="宋体" w:cs="宋体"/>
          <w:b/>
          <w:bCs/>
          <w:color w:val="auto"/>
          <w:szCs w:val="21"/>
          <w:highlight w:val="none"/>
        </w:rPr>
        <w:t>.中选通知</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2</w:t>
      </w:r>
      <w:r>
        <w:rPr>
          <w:rFonts w:hint="eastAsia" w:hAnsi="宋体" w:cs="宋体"/>
          <w:color w:val="auto"/>
          <w:highlight w:val="none"/>
        </w:rPr>
        <w:t>.1中选单位确定后，采购单位将以书面形式向中选单位发出中选通知书。中选通知书对采购单位和中选单位具有同等法律效力。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3</w:t>
      </w:r>
      <w:r>
        <w:rPr>
          <w:rFonts w:hint="eastAsia" w:ascii="宋体" w:hAnsi="宋体" w:cs="宋体"/>
          <w:b/>
          <w:bCs/>
          <w:color w:val="auto"/>
          <w:szCs w:val="21"/>
          <w:highlight w:val="none"/>
        </w:rPr>
        <w:t>.签订合同</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3</w:t>
      </w:r>
      <w:r>
        <w:rPr>
          <w:rFonts w:hint="eastAsia" w:hAnsi="宋体" w:cs="宋体"/>
          <w:color w:val="auto"/>
          <w:highlight w:val="none"/>
        </w:rPr>
        <w:t>.1谈判文件、中选单位的响应文件及其补充的文件等均为签订合同的依据。</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3</w:t>
      </w:r>
      <w:r>
        <w:rPr>
          <w:rFonts w:hint="eastAsia" w:hAnsi="宋体" w:cs="宋体"/>
          <w:color w:val="auto"/>
          <w:highlight w:val="none"/>
        </w:rPr>
        <w:t>.2中选单位应当在中选通知书发出后及时与采购单位签订合同。</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3</w:t>
      </w:r>
      <w:r>
        <w:rPr>
          <w:rFonts w:hint="eastAsia" w:hAnsi="宋体" w:cs="宋体"/>
          <w:color w:val="auto"/>
          <w:highlight w:val="none"/>
        </w:rPr>
        <w:t>.3中选单位应当按照合同约定履行义务。</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4</w:t>
      </w:r>
      <w:r>
        <w:rPr>
          <w:rFonts w:hint="eastAsia" w:ascii="宋体" w:hAnsi="宋体" w:cs="宋体"/>
          <w:b/>
          <w:bCs/>
          <w:color w:val="auto"/>
          <w:szCs w:val="21"/>
          <w:highlight w:val="none"/>
        </w:rPr>
        <w:t>.纪律和监督</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4</w:t>
      </w:r>
      <w:r>
        <w:rPr>
          <w:rFonts w:hint="eastAsia" w:ascii="宋体" w:hAnsi="宋体" w:cs="宋体"/>
          <w:b/>
          <w:bCs/>
          <w:color w:val="auto"/>
          <w:szCs w:val="21"/>
          <w:highlight w:val="none"/>
        </w:rPr>
        <w:t>.1对采购单位的纪律要求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4</w:t>
      </w:r>
      <w:r>
        <w:rPr>
          <w:rFonts w:hint="eastAsia" w:ascii="宋体" w:hAnsi="宋体" w:cs="宋体"/>
          <w:b/>
          <w:bCs/>
          <w:color w:val="auto"/>
          <w:szCs w:val="21"/>
          <w:highlight w:val="none"/>
        </w:rPr>
        <w:t>.2对谈判单位的纪律要求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谈判单位不得相互串通或者与采购单位串通，不得向采购单位或者谈判评审小组成员行贿谋取中选，不得以他人名义参与谈判或者以其他方式弄虚作假骗取中选；谈判单位不得以任何方式干扰、影响评审工作。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4</w:t>
      </w:r>
      <w:r>
        <w:rPr>
          <w:rFonts w:hint="eastAsia" w:ascii="宋体" w:hAnsi="宋体" w:cs="宋体"/>
          <w:b/>
          <w:bCs/>
          <w:color w:val="auto"/>
          <w:szCs w:val="21"/>
          <w:highlight w:val="none"/>
        </w:rPr>
        <w:t>.3对</w:t>
      </w:r>
      <w:r>
        <w:rPr>
          <w:rFonts w:hint="eastAsia" w:ascii="宋体" w:hAnsi="宋体" w:cs="宋体"/>
          <w:b/>
          <w:color w:val="auto"/>
          <w:szCs w:val="21"/>
          <w:highlight w:val="none"/>
        </w:rPr>
        <w:t>谈判评审小组</w:t>
      </w:r>
      <w:r>
        <w:rPr>
          <w:rFonts w:hint="eastAsia" w:ascii="宋体" w:hAnsi="宋体" w:cs="宋体"/>
          <w:b/>
          <w:bCs/>
          <w:color w:val="auto"/>
          <w:szCs w:val="21"/>
          <w:highlight w:val="none"/>
        </w:rPr>
        <w:t>成员的纪律要求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w:t>
      </w:r>
      <w:r>
        <w:rPr>
          <w:rFonts w:hint="eastAsia" w:hAnsi="宋体" w:cs="宋体"/>
          <w:b/>
          <w:bCs/>
          <w:color w:val="auto"/>
          <w:sz w:val="21"/>
          <w:szCs w:val="21"/>
          <w:highlight w:val="none"/>
        </w:rPr>
        <w:t>第</w:t>
      </w:r>
      <w:bookmarkStart w:id="71" w:name="page32"/>
      <w:bookmarkEnd w:id="71"/>
      <w:r>
        <w:rPr>
          <w:rFonts w:hint="eastAsia" w:hAnsi="宋体" w:cs="宋体"/>
          <w:b/>
          <w:bCs/>
          <w:color w:val="auto"/>
          <w:sz w:val="21"/>
          <w:szCs w:val="21"/>
          <w:highlight w:val="none"/>
        </w:rPr>
        <w:t>三章</w:t>
      </w:r>
      <w:r>
        <w:rPr>
          <w:rFonts w:hint="eastAsia" w:hAnsi="宋体" w:cs="宋体"/>
          <w:color w:val="auto"/>
          <w:sz w:val="21"/>
          <w:szCs w:val="21"/>
          <w:highlight w:val="none"/>
        </w:rPr>
        <w:t>“评审办法及标准”没有规定的评审因素和标准进行评审。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4</w:t>
      </w:r>
      <w:r>
        <w:rPr>
          <w:rFonts w:hint="eastAsia" w:ascii="宋体" w:hAnsi="宋体" w:cs="宋体"/>
          <w:b/>
          <w:bCs/>
          <w:color w:val="auto"/>
          <w:szCs w:val="21"/>
          <w:highlight w:val="none"/>
        </w:rPr>
        <w:t>.4对与评审活动有关的工作人员的纪律要求</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rPr>
          <w:rFonts w:ascii="宋体" w:hAnsi="宋体" w:cs="宋体"/>
          <w:color w:val="auto"/>
          <w:sz w:val="21"/>
          <w:szCs w:val="21"/>
          <w:highlight w:val="none"/>
        </w:rPr>
      </w:pPr>
      <w:bookmarkStart w:id="72" w:name="_Toc2360"/>
      <w:bookmarkStart w:id="73" w:name="_Toc14891075"/>
      <w:bookmarkStart w:id="74" w:name="_Toc2272"/>
      <w:bookmarkStart w:id="75" w:name="_Toc1883"/>
      <w:bookmarkStart w:id="76" w:name="_Toc2045"/>
      <w:r>
        <w:rPr>
          <w:rFonts w:hint="eastAsia" w:ascii="宋体" w:hAnsi="宋体" w:cs="宋体"/>
          <w:color w:val="auto"/>
          <w:sz w:val="21"/>
          <w:szCs w:val="21"/>
          <w:highlight w:val="none"/>
        </w:rPr>
        <w:t>八、其他</w:t>
      </w:r>
      <w:bookmarkEnd w:id="72"/>
      <w:bookmarkEnd w:id="73"/>
      <w:bookmarkEnd w:id="74"/>
      <w:bookmarkEnd w:id="75"/>
      <w:bookmarkEnd w:id="76"/>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5</w:t>
      </w:r>
      <w:r>
        <w:rPr>
          <w:rFonts w:hint="eastAsia" w:ascii="宋体" w:hAnsi="宋体" w:cs="宋体"/>
          <w:b/>
          <w:bCs/>
          <w:color w:val="auto"/>
          <w:szCs w:val="21"/>
          <w:highlight w:val="none"/>
        </w:rPr>
        <w:t>.处罚规定</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5</w:t>
      </w:r>
      <w:r>
        <w:rPr>
          <w:rFonts w:hint="eastAsia" w:hAnsi="宋体" w:cs="宋体"/>
          <w:color w:val="auto"/>
          <w:highlight w:val="none"/>
        </w:rPr>
        <w:t>.1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给予没收部分或全部谈判保证金，或（和）禁止其一定期限内（最多三年）参与采购人项目招标采购活动，并出具书面处理决定。除此之外，如谈判单位给采购人造成的损失超过谈判保证金数额的，谈判单位应当对超过部分给予赔偿。包括但不限于下列情形：</w:t>
      </w:r>
    </w:p>
    <w:p>
      <w:pPr>
        <w:pStyle w:val="25"/>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谈判单位提出撤回或撤销或放弃中选资格</w:t>
      </w:r>
      <w:r>
        <w:rPr>
          <w:rStyle w:val="56"/>
          <w:rFonts w:hint="eastAsia" w:ascii="Times New Roman" w:hAnsi="Times New Roman" w:cs="Times New Roman"/>
          <w:color w:val="auto"/>
          <w:sz w:val="21"/>
          <w:highlight w:val="none"/>
          <w:u w:val="none"/>
          <w:shd w:val="clear" w:color="auto" w:fill="FFFFFF"/>
        </w:rPr>
        <w:t>或对</w:t>
      </w:r>
      <w:r>
        <w:rPr>
          <w:rStyle w:val="56"/>
          <w:rFonts w:hint="eastAsia" w:ascii="Times New Roman" w:hAnsi="Times New Roman" w:cs="Times New Roman"/>
          <w:color w:val="auto"/>
          <w:sz w:val="21"/>
          <w:highlight w:val="none"/>
          <w:u w:val="none"/>
          <w:shd w:val="clear" w:color="auto" w:fill="FFFFFF"/>
          <w:lang w:val="en-US" w:eastAsia="zh-CN"/>
        </w:rPr>
        <w:t>响应文件</w:t>
      </w:r>
      <w:r>
        <w:rPr>
          <w:rStyle w:val="56"/>
          <w:rFonts w:hint="eastAsia" w:ascii="Times New Roman" w:hAnsi="Times New Roman" w:cs="Times New Roman"/>
          <w:color w:val="auto"/>
          <w:sz w:val="21"/>
          <w:highlight w:val="none"/>
          <w:u w:val="none"/>
          <w:shd w:val="clear" w:color="auto" w:fill="FFFFFF"/>
        </w:rPr>
        <w:t>提出实质性修改</w:t>
      </w:r>
      <w:r>
        <w:rPr>
          <w:rFonts w:hint="eastAsia" w:hAnsi="宋体" w:cs="宋体"/>
          <w:color w:val="auto"/>
          <w:highlight w:val="none"/>
        </w:rPr>
        <w:t>；</w:t>
      </w:r>
    </w:p>
    <w:p>
      <w:pPr>
        <w:pStyle w:val="25"/>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中选单位未能在规定期限内签订合同</w:t>
      </w:r>
      <w:r>
        <w:rPr>
          <w:rStyle w:val="56"/>
          <w:rFonts w:hint="eastAsia" w:ascii="Times New Roman" w:hAnsi="Times New Roman" w:cs="Times New Roman"/>
          <w:color w:val="auto"/>
          <w:sz w:val="21"/>
          <w:highlight w:val="none"/>
          <w:u w:val="none"/>
          <w:shd w:val="clear" w:color="auto" w:fill="FFFFFF"/>
        </w:rPr>
        <w:t>或不按</w:t>
      </w:r>
      <w:r>
        <w:rPr>
          <w:rStyle w:val="56"/>
          <w:rFonts w:hint="eastAsia" w:ascii="Times New Roman" w:hAnsi="Times New Roman" w:cs="Times New Roman"/>
          <w:color w:val="auto"/>
          <w:sz w:val="21"/>
          <w:highlight w:val="none"/>
          <w:u w:val="none"/>
          <w:shd w:val="clear" w:color="auto" w:fill="FFFFFF"/>
          <w:lang w:val="en-US" w:eastAsia="zh-CN"/>
        </w:rPr>
        <w:t>评审</w:t>
      </w:r>
      <w:r>
        <w:rPr>
          <w:rStyle w:val="56"/>
          <w:rFonts w:hint="eastAsia" w:ascii="Times New Roman" w:hAnsi="Times New Roman" w:cs="Times New Roman"/>
          <w:color w:val="auto"/>
          <w:sz w:val="21"/>
          <w:highlight w:val="none"/>
          <w:u w:val="none"/>
          <w:shd w:val="clear" w:color="auto" w:fill="FFFFFF"/>
        </w:rPr>
        <w:t>结果签订合同</w:t>
      </w:r>
      <w:r>
        <w:rPr>
          <w:rFonts w:hint="eastAsia" w:hAnsi="宋体" w:cs="宋体"/>
          <w:color w:val="auto"/>
          <w:highlight w:val="none"/>
        </w:rPr>
        <w:t>；</w:t>
      </w:r>
    </w:p>
    <w:p>
      <w:pPr>
        <w:pStyle w:val="25"/>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中选单位未能在规定期限内提交履约保证金；</w:t>
      </w:r>
    </w:p>
    <w:p>
      <w:pPr>
        <w:pStyle w:val="25"/>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中选单位在合同订立过程中未能完全响应采购文件、清单、附件、合同要求以致合同无法订立的；</w:t>
      </w:r>
    </w:p>
    <w:p>
      <w:pPr>
        <w:pStyle w:val="25"/>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经查实谈判单位</w:t>
      </w:r>
      <w:r>
        <w:rPr>
          <w:rFonts w:hint="eastAsia" w:hAnsi="宋体" w:cs="宋体"/>
          <w:color w:val="auto"/>
          <w:highlight w:val="none"/>
          <w:lang w:val="en-US" w:eastAsia="zh-CN"/>
        </w:rPr>
        <w:t>响应文件</w:t>
      </w:r>
      <w:r>
        <w:rPr>
          <w:rFonts w:hint="eastAsia" w:hAnsi="宋体" w:cs="宋体"/>
          <w:color w:val="auto"/>
          <w:highlight w:val="none"/>
        </w:rPr>
        <w:t>资料弄虚作假的；</w:t>
      </w:r>
    </w:p>
    <w:p>
      <w:pPr>
        <w:pStyle w:val="25"/>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串通参与谈判相关行为的。如不同谈判单位的谈判保证金从同一账户转出。</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5</w:t>
      </w:r>
      <w:r>
        <w:rPr>
          <w:rFonts w:hint="eastAsia" w:hAnsi="宋体" w:cs="宋体"/>
          <w:color w:val="auto"/>
          <w:highlight w:val="none"/>
        </w:rPr>
        <w:t>.2谈判单位不允许有挂靠或转包的行为，采购单位或评审小组在任何时候发现谈判单位是挂靠或转包的，该谈判单位按照不合格供应商处理，采购单位有权取消其中选资格或（和）没收谈判保证金，已签订合同的，终止合同，没收履约保证金，并追究该谈判单位的有关法律责任。</w:t>
      </w:r>
    </w:p>
    <w:p>
      <w:pPr>
        <w:pStyle w:val="25"/>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w:t>
      </w:r>
      <w:r>
        <w:rPr>
          <w:rFonts w:hAnsi="宋体" w:cs="宋体"/>
          <w:color w:val="auto"/>
          <w:highlight w:val="none"/>
        </w:rPr>
        <w:t>5</w:t>
      </w:r>
      <w:r>
        <w:rPr>
          <w:rFonts w:hint="eastAsia" w:hAnsi="宋体" w:cs="宋体"/>
          <w:color w:val="auto"/>
          <w:highlight w:val="none"/>
        </w:rPr>
        <w:t>.3.法律法规中规定的其他情形。</w:t>
      </w:r>
    </w:p>
    <w:p>
      <w:pPr>
        <w:pStyle w:val="46"/>
        <w:ind w:left="0" w:leftChars="0" w:firstLine="0"/>
        <w:rPr>
          <w:b/>
          <w:bCs/>
          <w:color w:val="auto"/>
          <w:highlight w:val="none"/>
        </w:rPr>
      </w:pPr>
    </w:p>
    <w:p>
      <w:pPr>
        <w:pStyle w:val="46"/>
        <w:ind w:left="0" w:leftChars="0" w:firstLine="0"/>
        <w:rPr>
          <w:b/>
          <w:bCs/>
          <w:color w:val="auto"/>
          <w:highlight w:val="none"/>
        </w:rPr>
        <w:sectPr>
          <w:pgSz w:w="11906" w:h="16838"/>
          <w:pgMar w:top="2098" w:right="1474" w:bottom="1984" w:left="1587" w:header="851" w:footer="992" w:gutter="0"/>
          <w:pgNumType w:fmt="decimal"/>
          <w:cols w:space="0" w:num="1"/>
          <w:docGrid w:type="lines" w:linePitch="319" w:charSpace="0"/>
        </w:sectPr>
      </w:pPr>
    </w:p>
    <w:p>
      <w:pPr>
        <w:pStyle w:val="3"/>
        <w:keepNext w:val="0"/>
        <w:spacing w:line="360" w:lineRule="auto"/>
        <w:rPr>
          <w:rFonts w:ascii="宋体" w:hAnsi="宋体" w:cs="宋体"/>
          <w:bCs w:val="0"/>
          <w:color w:val="auto"/>
          <w:sz w:val="32"/>
          <w:szCs w:val="32"/>
          <w:highlight w:val="none"/>
        </w:rPr>
      </w:pPr>
      <w:bookmarkStart w:id="77" w:name="_Toc23600"/>
      <w:bookmarkStart w:id="78" w:name="_Toc4275"/>
      <w:bookmarkStart w:id="79" w:name="_Toc1719"/>
      <w:bookmarkStart w:id="80" w:name="_Toc28427"/>
      <w:bookmarkStart w:id="81" w:name="_Toc7792"/>
      <w:bookmarkStart w:id="82" w:name="_Toc5567"/>
      <w:bookmarkStart w:id="83" w:name="_Toc8585"/>
      <w:r>
        <w:rPr>
          <w:rFonts w:hint="eastAsia" w:ascii="宋体" w:hAnsi="宋体" w:cs="宋体"/>
          <w:bCs w:val="0"/>
          <w:color w:val="auto"/>
          <w:sz w:val="32"/>
          <w:szCs w:val="32"/>
          <w:highlight w:val="none"/>
        </w:rPr>
        <w:t>第三章  评审办法及标准</w:t>
      </w:r>
      <w:bookmarkEnd w:id="77"/>
      <w:bookmarkEnd w:id="78"/>
      <w:bookmarkEnd w:id="79"/>
      <w:bookmarkEnd w:id="80"/>
      <w:bookmarkEnd w:id="81"/>
      <w:bookmarkEnd w:id="82"/>
      <w:bookmarkEnd w:id="83"/>
    </w:p>
    <w:p>
      <w:pPr>
        <w:adjustRightInd w:val="0"/>
        <w:snapToGrid w:val="0"/>
        <w:spacing w:line="360" w:lineRule="auto"/>
        <w:ind w:left="632" w:hanging="632" w:hangingChars="300"/>
        <w:rPr>
          <w:rFonts w:ascii="宋体" w:hAnsi="宋体" w:cs="宋体"/>
          <w:b/>
          <w:color w:val="auto"/>
          <w:szCs w:val="21"/>
          <w:highlight w:val="none"/>
        </w:rPr>
      </w:pP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一、评审办法</w:t>
      </w:r>
    </w:p>
    <w:p>
      <w:pPr>
        <w:widowControl/>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bCs/>
          <w:color w:val="auto"/>
          <w:szCs w:val="21"/>
          <w:highlight w:val="none"/>
        </w:rPr>
        <w:t>1.1本项目采用</w:t>
      </w:r>
      <w:r>
        <w:rPr>
          <w:rStyle w:val="56"/>
          <w:rFonts w:hint="eastAsia"/>
          <w:b/>
          <w:bCs/>
          <w:color w:val="auto"/>
          <w:kern w:val="0"/>
          <w:highlight w:val="none"/>
          <w:u w:val="none"/>
          <w:shd w:val="clear" w:color="auto" w:fill="FFFFFF"/>
        </w:rPr>
        <w:t>综合评</w:t>
      </w:r>
      <w:r>
        <w:rPr>
          <w:rStyle w:val="56"/>
          <w:rFonts w:hint="eastAsia"/>
          <w:b/>
          <w:bCs/>
          <w:color w:val="auto"/>
          <w:kern w:val="0"/>
          <w:highlight w:val="none"/>
          <w:u w:val="none"/>
          <w:shd w:val="clear" w:color="auto" w:fill="FFFFFF"/>
          <w:lang w:eastAsia="zh-CN"/>
        </w:rPr>
        <w:t>审</w:t>
      </w:r>
      <w:r>
        <w:rPr>
          <w:rStyle w:val="56"/>
          <w:rFonts w:hint="eastAsia"/>
          <w:b/>
          <w:bCs/>
          <w:color w:val="auto"/>
          <w:kern w:val="0"/>
          <w:highlight w:val="none"/>
          <w:u w:val="none"/>
          <w:shd w:val="clear" w:color="auto" w:fill="FFFFFF"/>
        </w:rPr>
        <w:t>法</w:t>
      </w:r>
      <w:r>
        <w:rPr>
          <w:rFonts w:hint="eastAsia" w:ascii="宋体" w:hAnsi="宋体" w:cs="宋体"/>
          <w:color w:val="auto"/>
          <w:szCs w:val="21"/>
          <w:highlight w:val="none"/>
          <w:lang w:eastAsia="zh-CN"/>
        </w:rPr>
        <w:t>，</w:t>
      </w:r>
      <w:r>
        <w:rPr>
          <w:rFonts w:hint="eastAsia" w:ascii="宋体" w:hAnsi="宋体" w:cs="宋体"/>
          <w:bCs/>
          <w:color w:val="auto"/>
          <w:szCs w:val="21"/>
          <w:highlight w:val="none"/>
        </w:rPr>
        <w:t>商务技术</w:t>
      </w:r>
      <w:r>
        <w:rPr>
          <w:rFonts w:hint="eastAsia" w:ascii="宋体" w:hAnsi="宋体" w:cs="宋体"/>
          <w:bCs/>
          <w:color w:val="auto"/>
          <w:szCs w:val="21"/>
          <w:highlight w:val="none"/>
          <w:lang w:val="en-US" w:eastAsia="zh-CN"/>
        </w:rPr>
        <w:t>100</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二、谈判程序</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2.1采购单位在</w:t>
      </w:r>
      <w:r>
        <w:rPr>
          <w:rFonts w:hint="eastAsia" w:ascii="宋体" w:hAnsi="宋体" w:cs="宋体"/>
          <w:b/>
          <w:color w:val="auto"/>
          <w:szCs w:val="21"/>
          <w:highlight w:val="none"/>
        </w:rPr>
        <w:t>前附表</w:t>
      </w:r>
      <w:r>
        <w:rPr>
          <w:rFonts w:hint="eastAsia" w:ascii="宋体" w:hAnsi="宋体" w:cs="宋体"/>
          <w:bCs/>
          <w:color w:val="auto"/>
          <w:szCs w:val="21"/>
          <w:highlight w:val="none"/>
        </w:rPr>
        <w:t>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2.2谈判程序分为：</w:t>
      </w:r>
      <w:r>
        <w:rPr>
          <w:rFonts w:hint="eastAsia" w:ascii="宋体" w:hAnsi="宋体" w:cs="宋体"/>
          <w:b/>
          <w:color w:val="auto"/>
          <w:szCs w:val="21"/>
          <w:highlight w:val="none"/>
        </w:rPr>
        <w:t>谈判验证阶段及谈判评审阶段。</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三、谈判验证阶段</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谈判验证阶段分为身份验证和唱价。</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3.1身份验证阶段</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3.1.1采购单位按本文件</w:t>
      </w:r>
      <w:r>
        <w:rPr>
          <w:rFonts w:hint="eastAsia" w:ascii="宋体" w:hAnsi="宋体" w:cs="宋体"/>
          <w:b/>
          <w:color w:val="auto"/>
          <w:szCs w:val="21"/>
          <w:highlight w:val="none"/>
        </w:rPr>
        <w:t>前附表</w:t>
      </w:r>
      <w:r>
        <w:rPr>
          <w:rFonts w:hint="eastAsia" w:ascii="宋体" w:hAnsi="宋体" w:cs="宋体"/>
          <w:bCs/>
          <w:color w:val="auto"/>
          <w:szCs w:val="21"/>
          <w:highlight w:val="none"/>
        </w:rPr>
        <w:t>内规定的响应文件的谈判现场验证要求，对参与谈判的单位代表身份进行验证。</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3.1.2参与谈判的代表身份经验证不合格的，视为无效响应，</w:t>
      </w:r>
      <w:r>
        <w:rPr>
          <w:rFonts w:hint="eastAsia" w:ascii="宋体" w:hAnsi="宋体" w:cs="宋体"/>
          <w:color w:val="auto"/>
          <w:szCs w:val="21"/>
          <w:highlight w:val="none"/>
        </w:rPr>
        <w:t>不得进入下一阶段。</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3.2.唱价阶段</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3.2.2谈判单位法定代表人或授权委托人、现场监督员、记录人等有关人员在唱价记录表上签字确认，谈判单位对本阶段有异议的应当场提出，采购单位人员当场作出答复，并记录在案，未提出的，视为无异议。</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四、谈判评审阶段</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谈判评审阶段分为符合性审查、详细评审及推荐中选单位。</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4.1符合性审查阶段</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符合性审查对谈判单位资格的符合性审查。</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4.1.1资格的符合性审查</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谈判</w:t>
      </w:r>
      <w:r>
        <w:rPr>
          <w:rFonts w:hint="eastAsia" w:ascii="宋体" w:hAnsi="宋体"/>
          <w:bCs/>
          <w:color w:val="auto"/>
          <w:szCs w:val="21"/>
          <w:highlight w:val="none"/>
        </w:rPr>
        <w:t>小组</w:t>
      </w:r>
      <w:r>
        <w:rPr>
          <w:rFonts w:hint="eastAsia" w:ascii="宋体" w:hAnsi="宋体"/>
          <w:color w:val="auto"/>
          <w:szCs w:val="21"/>
          <w:highlight w:val="none"/>
        </w:rPr>
        <w:t>根据本谈判文件</w:t>
      </w:r>
      <w:r>
        <w:rPr>
          <w:rFonts w:hint="eastAsia" w:hAnsi="宋体"/>
          <w:b/>
          <w:color w:val="auto"/>
          <w:highlight w:val="none"/>
        </w:rPr>
        <w:t>前附表</w:t>
      </w:r>
      <w:r>
        <w:rPr>
          <w:rFonts w:hint="eastAsia" w:hAnsi="宋体"/>
          <w:color w:val="auto"/>
          <w:highlight w:val="none"/>
        </w:rPr>
        <w:t>内</w:t>
      </w:r>
      <w:r>
        <w:rPr>
          <w:rFonts w:hint="eastAsia" w:ascii="宋体" w:hAnsi="宋体"/>
          <w:color w:val="auto"/>
          <w:szCs w:val="21"/>
          <w:highlight w:val="none"/>
        </w:rPr>
        <w:t>规定的谈判单位资格要求及递交的</w:t>
      </w:r>
      <w:r>
        <w:rPr>
          <w:rFonts w:hint="eastAsia" w:ascii="宋体" w:hAnsi="宋体"/>
          <w:bCs/>
          <w:color w:val="auto"/>
          <w:szCs w:val="21"/>
          <w:highlight w:val="none"/>
        </w:rPr>
        <w:t>响应文件</w:t>
      </w:r>
      <w:r>
        <w:rPr>
          <w:rFonts w:hint="eastAsia" w:ascii="宋体" w:hAnsi="宋体"/>
          <w:color w:val="auto"/>
          <w:szCs w:val="21"/>
          <w:highlight w:val="none"/>
        </w:rPr>
        <w:t>，对谈判单位进行资格审查，</w:t>
      </w:r>
      <w:r>
        <w:rPr>
          <w:rFonts w:hint="eastAsia" w:ascii="宋体" w:hAnsi="宋体" w:cs="宋体"/>
          <w:color w:val="auto"/>
          <w:szCs w:val="21"/>
          <w:highlight w:val="none"/>
        </w:rPr>
        <w:t>资格审查以谈判单位递交的</w:t>
      </w:r>
      <w:r>
        <w:rPr>
          <w:rStyle w:val="56"/>
          <w:rFonts w:hint="eastAsia"/>
          <w:color w:val="auto"/>
          <w:highlight w:val="none"/>
          <w:u w:val="none"/>
          <w:shd w:val="clear" w:color="auto" w:fill="FFFFFF"/>
        </w:rPr>
        <w:t>原件扫描件</w:t>
      </w:r>
      <w:r>
        <w:rPr>
          <w:rFonts w:hint="eastAsia" w:ascii="宋体" w:hAnsi="宋体" w:cs="宋体"/>
          <w:color w:val="auto"/>
          <w:szCs w:val="21"/>
          <w:highlight w:val="none"/>
        </w:rPr>
        <w:t>打印版资料为准。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4.1.</w:t>
      </w:r>
      <w:r>
        <w:rPr>
          <w:rFonts w:ascii="宋体" w:hAnsi="宋体" w:cs="宋体"/>
          <w:color w:val="auto"/>
          <w:szCs w:val="21"/>
          <w:highlight w:val="none"/>
        </w:rPr>
        <w:t>2</w:t>
      </w:r>
      <w:r>
        <w:rPr>
          <w:rFonts w:hint="eastAsia" w:ascii="宋体" w:hAnsi="宋体" w:cs="宋体"/>
          <w:color w:val="auto"/>
          <w:szCs w:val="21"/>
          <w:highlight w:val="none"/>
        </w:rPr>
        <w:t>有下列情形之一的，为符合性审查不合格，视为无效响应，不进入下一阶段：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
          <w:bCs/>
          <w:color w:val="auto"/>
          <w:szCs w:val="21"/>
          <w:highlight w:val="none"/>
        </w:rPr>
      </w:pPr>
      <w:r>
        <w:rPr>
          <w:rFonts w:hint="eastAsia" w:ascii="宋体" w:hAnsi="宋体"/>
          <w:color w:val="auto"/>
          <w:szCs w:val="21"/>
          <w:highlight w:val="none"/>
        </w:rPr>
        <w:t>（1）未按照谈判文件规定要求签署盖章的。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（2）响应</w:t>
      </w:r>
      <w:r>
        <w:rPr>
          <w:rFonts w:hint="eastAsia" w:ascii="宋体" w:hAnsi="宋体" w:cs="宋体"/>
          <w:color w:val="auto"/>
          <w:kern w:val="0"/>
          <w:szCs w:val="21"/>
          <w:highlight w:val="none"/>
        </w:rPr>
        <w:t>文件有效期不满足谈判文件规定的。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（3）不满足资格条件要求的。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rPr>
        <w:t>（4）不满足用户需求书要求的。</w:t>
      </w:r>
    </w:p>
    <w:p>
      <w:pPr>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cs="宋体"/>
          <w:b/>
          <w:bCs/>
          <w:color w:val="auto"/>
          <w:szCs w:val="21"/>
          <w:highlight w:val="none"/>
        </w:rPr>
      </w:pPr>
      <w:r>
        <w:rPr>
          <w:rFonts w:hint="eastAsia" w:ascii="宋体" w:hAnsi="宋体" w:cs="宋体"/>
          <w:b/>
          <w:color w:val="auto"/>
          <w:szCs w:val="21"/>
          <w:highlight w:val="none"/>
        </w:rPr>
        <w:t>4.2</w:t>
      </w:r>
      <w:r>
        <w:rPr>
          <w:rFonts w:hint="eastAsia" w:ascii="宋体" w:hAnsi="宋体" w:cs="宋体"/>
          <w:b/>
          <w:bCs/>
          <w:color w:val="auto"/>
          <w:szCs w:val="21"/>
          <w:highlight w:val="none"/>
        </w:rPr>
        <w:t>详细评审阶段</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kern w:val="0"/>
          <w:szCs w:val="21"/>
          <w:highlight w:val="none"/>
          <w:lang w:val="en-US" w:eastAsia="zh-CN"/>
        </w:rPr>
        <w:t>4.2.1</w:t>
      </w:r>
      <w:r>
        <w:rPr>
          <w:rFonts w:hint="eastAsia" w:ascii="宋体" w:hAnsi="宋体" w:cs="宋体"/>
          <w:color w:val="auto"/>
          <w:kern w:val="0"/>
          <w:szCs w:val="21"/>
          <w:highlight w:val="none"/>
        </w:rPr>
        <w:t>谈判评审小组应按以下</w:t>
      </w:r>
      <w:r>
        <w:rPr>
          <w:rFonts w:hint="eastAsia" w:ascii="宋体" w:hAnsi="宋体" w:cs="宋体"/>
          <w:color w:val="auto"/>
          <w:szCs w:val="21"/>
          <w:highlight w:val="none"/>
          <w:shd w:val="clear" w:color="auto" w:fill="FFFFFF"/>
        </w:rPr>
        <w:t>规定的评审因素和标准</w:t>
      </w:r>
      <w:r>
        <w:rPr>
          <w:rFonts w:hint="eastAsia" w:ascii="宋体" w:hAnsi="宋体" w:cs="宋体"/>
          <w:color w:val="auto"/>
          <w:kern w:val="0"/>
          <w:szCs w:val="21"/>
          <w:highlight w:val="none"/>
        </w:rPr>
        <w:t>对经符合性审查合格的谈判单位进行详细评审及</w:t>
      </w:r>
      <w:r>
        <w:rPr>
          <w:rFonts w:hint="eastAsia" w:ascii="宋体" w:hAnsi="宋体" w:cs="宋体"/>
          <w:color w:val="auto"/>
          <w:szCs w:val="21"/>
          <w:highlight w:val="none"/>
          <w:shd w:val="clear" w:color="auto" w:fill="FFFFFF"/>
        </w:rPr>
        <w:t>计分，并计算出评审总得分。</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详细评审的程序</w:t>
      </w:r>
    </w:p>
    <w:p>
      <w:pPr>
        <w:keepNext w:val="0"/>
        <w:keepLines w:val="0"/>
        <w:pageBreakBefore w:val="0"/>
        <w:numPr>
          <w:ilvl w:val="0"/>
          <w:numId w:val="18"/>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rPr>
      </w:pPr>
      <w:r>
        <w:rPr>
          <w:rFonts w:hint="eastAsia" w:ascii="宋体" w:hAnsi="宋体" w:cs="宋体"/>
          <w:bCs/>
          <w:color w:val="auto"/>
          <w:szCs w:val="21"/>
          <w:highlight w:val="none"/>
          <w:shd w:val="clear" w:color="auto" w:fill="FFFFFF"/>
        </w:rPr>
        <w:t>商务</w:t>
      </w:r>
      <w:r>
        <w:rPr>
          <w:rFonts w:hint="eastAsia" w:ascii="宋体" w:hAnsi="宋体" w:cs="宋体"/>
          <w:bCs/>
          <w:color w:val="auto"/>
          <w:szCs w:val="21"/>
          <w:highlight w:val="none"/>
          <w:shd w:val="clear" w:color="auto" w:fill="FFFFFF"/>
          <w:lang w:eastAsia="zh-CN"/>
        </w:rPr>
        <w:t>技术</w:t>
      </w:r>
      <w:r>
        <w:rPr>
          <w:rFonts w:hint="eastAsia" w:ascii="宋体" w:hAnsi="宋体" w:cs="宋体"/>
          <w:color w:val="auto"/>
          <w:szCs w:val="21"/>
          <w:highlight w:val="none"/>
          <w:shd w:val="clear" w:color="auto" w:fill="FFFFFF"/>
        </w:rPr>
        <w:t>评审（见</w:t>
      </w:r>
      <w:r>
        <w:rPr>
          <w:rFonts w:hint="eastAsia" w:ascii="宋体" w:hAnsi="宋体" w:cs="宋体"/>
          <w:bCs/>
          <w:color w:val="auto"/>
          <w:szCs w:val="21"/>
          <w:highlight w:val="none"/>
          <w:shd w:val="clear" w:color="auto" w:fill="FFFFFF"/>
        </w:rPr>
        <w:t>附表</w:t>
      </w:r>
      <w:r>
        <w:rPr>
          <w:rFonts w:hint="eastAsia" w:ascii="宋体" w:hAnsi="宋体" w:cs="宋体"/>
          <w:color w:val="auto"/>
          <w:szCs w:val="21"/>
          <w:highlight w:val="none"/>
          <w:shd w:val="clear" w:color="auto" w:fill="FFFFFF"/>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shd w:val="clear" w:color="auto" w:fill="FFFFFF"/>
        </w:rPr>
        <w:t>计算各谈判单位的综合得分；</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shd w:val="clear" w:color="auto" w:fill="FFFFFF"/>
        </w:rPr>
        <w:t>按综合得分从高至低确定谈判单位的排序。</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4.2.</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评审项目的分值没有区间的由</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集体评议评分；评审项目的分值有区间的由</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集体评议后，</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成员独自评分。有下列情况之一者，该评标因素的评审计分为无效分：</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（1）单项评审计分高出规定最高分或低于规定最低分的；</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（2）同一项目有两个或两个以上评审计分的；</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（3）评审过程中</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成员存在讨论、修改、参照调整已评审分数的情形的；</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（4）采购单位评委在评审过程中发表倾向性意见，或存在干扰其他谈判小组成员独立评审权的行为。</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谈判单位各单项得分之和即为谈判单位评审</w:t>
      </w:r>
      <w:r>
        <w:rPr>
          <w:rFonts w:hint="eastAsia" w:ascii="宋体" w:hAnsi="宋体" w:cs="宋体"/>
          <w:color w:val="auto"/>
          <w:szCs w:val="21"/>
          <w:highlight w:val="none"/>
          <w:shd w:val="clear" w:color="auto" w:fill="FFFFFF"/>
          <w:lang w:eastAsia="zh-CN"/>
        </w:rPr>
        <w:t>综合</w:t>
      </w:r>
      <w:r>
        <w:rPr>
          <w:rFonts w:hint="eastAsia" w:ascii="宋体" w:hAnsi="宋体" w:cs="宋体"/>
          <w:color w:val="auto"/>
          <w:szCs w:val="21"/>
          <w:highlight w:val="none"/>
          <w:shd w:val="clear" w:color="auto" w:fill="FFFFFF"/>
        </w:rPr>
        <w:t>得分。</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lang w:eastAsia="zh-CN"/>
        </w:rPr>
        <w:t>谈判单位</w:t>
      </w:r>
      <w:r>
        <w:rPr>
          <w:rFonts w:hint="eastAsia" w:ascii="宋体" w:hAnsi="宋体" w:cs="宋体"/>
          <w:color w:val="auto"/>
          <w:szCs w:val="21"/>
          <w:highlight w:val="none"/>
          <w:shd w:val="clear" w:color="auto" w:fill="FFFFFF"/>
        </w:rPr>
        <w:t>排序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1</w:t>
      </w:r>
      <w:r>
        <w:rPr>
          <w:rFonts w:hint="eastAsia" w:ascii="宋体" w:hAnsi="宋体" w:cs="宋体"/>
          <w:color w:val="auto"/>
          <w:szCs w:val="21"/>
          <w:highlight w:val="none"/>
          <w:shd w:val="clear" w:color="auto" w:fill="FFFFFF"/>
        </w:rPr>
        <w:t>）谈判评审小组应当根据详细评审的结果对谈判单位进行排序，</w:t>
      </w:r>
      <w:r>
        <w:rPr>
          <w:rFonts w:hint="eastAsia" w:ascii="宋体" w:hAnsi="宋体" w:cs="宋体"/>
          <w:color w:val="auto"/>
          <w:szCs w:val="21"/>
          <w:highlight w:val="none"/>
          <w:shd w:val="clear" w:color="auto" w:fill="FFFFFF"/>
          <w:lang w:eastAsia="zh-CN"/>
        </w:rPr>
        <w:t>若出现谈判单位评审</w:t>
      </w:r>
      <w:r>
        <w:rPr>
          <w:rFonts w:hint="eastAsia" w:ascii="宋体" w:hAnsi="宋体" w:cs="宋体"/>
          <w:color w:val="auto"/>
          <w:szCs w:val="21"/>
          <w:highlight w:val="none"/>
          <w:shd w:val="clear" w:color="auto" w:fill="FFFFFF"/>
        </w:rPr>
        <w:t>综合得分相同</w:t>
      </w:r>
      <w:r>
        <w:rPr>
          <w:rFonts w:hint="eastAsia" w:ascii="宋体" w:hAnsi="宋体" w:cs="宋体"/>
          <w:color w:val="auto"/>
          <w:szCs w:val="21"/>
          <w:highlight w:val="none"/>
          <w:shd w:val="clear" w:color="auto" w:fill="FFFFFF"/>
          <w:lang w:eastAsia="zh-CN"/>
        </w:rPr>
        <w:t>的情况</w:t>
      </w:r>
      <w:r>
        <w:rPr>
          <w:rFonts w:hint="eastAsia" w:ascii="宋体" w:hAnsi="宋体" w:cs="宋体"/>
          <w:color w:val="auto"/>
          <w:szCs w:val="21"/>
          <w:highlight w:val="none"/>
          <w:shd w:val="clear" w:color="auto" w:fill="FFFFFF"/>
        </w:rPr>
        <w:t>，则</w:t>
      </w:r>
      <w:r>
        <w:rPr>
          <w:rFonts w:hint="eastAsia" w:ascii="宋体" w:hAnsi="宋体" w:cs="宋体"/>
          <w:color w:val="auto"/>
          <w:szCs w:val="21"/>
          <w:highlight w:val="none"/>
          <w:shd w:val="clear" w:color="auto" w:fill="FFFFFF"/>
          <w:lang w:eastAsia="zh-CN"/>
        </w:rPr>
        <w:t>依次按照其</w:t>
      </w:r>
      <w:r>
        <w:rPr>
          <w:rFonts w:hint="eastAsia" w:ascii="宋体" w:hAnsi="宋体" w:cs="宋体"/>
          <w:color w:val="auto"/>
          <w:szCs w:val="21"/>
          <w:highlight w:val="none"/>
          <w:shd w:val="clear" w:color="auto" w:fill="FFFFFF"/>
        </w:rPr>
        <w:t>商务</w:t>
      </w:r>
      <w:r>
        <w:rPr>
          <w:rFonts w:hint="eastAsia" w:ascii="宋体" w:hAnsi="宋体" w:cs="宋体"/>
          <w:color w:val="auto"/>
          <w:szCs w:val="21"/>
          <w:highlight w:val="none"/>
          <w:shd w:val="clear" w:color="auto" w:fill="FFFFFF"/>
          <w:lang w:eastAsia="zh-CN"/>
        </w:rPr>
        <w:t>技术</w:t>
      </w:r>
      <w:r>
        <w:rPr>
          <w:rFonts w:hint="eastAsia" w:ascii="宋体" w:hAnsi="宋体" w:cs="宋体"/>
          <w:color w:val="auto"/>
          <w:szCs w:val="21"/>
          <w:highlight w:val="none"/>
          <w:shd w:val="clear" w:color="auto" w:fill="FFFFFF"/>
        </w:rPr>
        <w:t>评审计分表</w:t>
      </w:r>
      <w:r>
        <w:rPr>
          <w:rFonts w:hint="eastAsia" w:ascii="宋体" w:hAnsi="宋体" w:cs="宋体"/>
          <w:color w:val="auto"/>
          <w:szCs w:val="21"/>
          <w:highlight w:val="none"/>
          <w:shd w:val="clear" w:color="auto" w:fill="FFFFFF"/>
          <w:lang w:eastAsia="zh-CN"/>
        </w:rPr>
        <w:t>中“</w:t>
      </w:r>
      <w:r>
        <w:rPr>
          <w:rFonts w:hint="eastAsia" w:ascii="宋体" w:hAnsi="宋体" w:cs="宋体"/>
          <w:color w:val="auto"/>
          <w:szCs w:val="21"/>
          <w:highlight w:val="none"/>
          <w:shd w:val="clear" w:color="auto" w:fill="FFFFFF"/>
        </w:rPr>
        <w:t>优惠方案</w:t>
      </w:r>
      <w:r>
        <w:rPr>
          <w:rFonts w:hint="eastAsia" w:ascii="宋体" w:hAnsi="宋体" w:cs="宋体"/>
          <w:color w:val="auto"/>
          <w:szCs w:val="21"/>
          <w:highlight w:val="none"/>
          <w:shd w:val="clear" w:color="auto" w:fill="FFFFFF"/>
          <w:lang w:eastAsia="zh-CN"/>
        </w:rPr>
        <w:t>”得分由高至低排序、“</w:t>
      </w:r>
      <w:r>
        <w:rPr>
          <w:rFonts w:hint="eastAsia" w:ascii="宋体" w:hAnsi="宋体" w:eastAsia="宋体" w:cs="宋体"/>
          <w:color w:val="auto"/>
          <w:highlight w:val="none"/>
        </w:rPr>
        <w:t>原材料保障</w:t>
      </w:r>
      <w:r>
        <w:rPr>
          <w:rFonts w:hint="eastAsia" w:ascii="宋体" w:hAnsi="宋体" w:cs="宋体"/>
          <w:color w:val="auto"/>
          <w:szCs w:val="21"/>
          <w:highlight w:val="none"/>
          <w:shd w:val="clear" w:color="auto" w:fill="FFFFFF"/>
          <w:lang w:eastAsia="zh-CN"/>
        </w:rPr>
        <w:t>”得分由高至低排序、评委票决的顺序确定谈判单位</w:t>
      </w:r>
      <w:r>
        <w:rPr>
          <w:rFonts w:hint="eastAsia" w:ascii="宋体" w:hAnsi="宋体" w:cs="宋体"/>
          <w:color w:val="auto"/>
          <w:szCs w:val="21"/>
          <w:highlight w:val="none"/>
          <w:shd w:val="clear" w:color="auto" w:fill="FFFFFF"/>
        </w:rPr>
        <w:t>排序。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color w:val="auto"/>
          <w:highlight w:val="none"/>
        </w:rPr>
      </w:pP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）若排序</w:t>
      </w:r>
      <w:r>
        <w:rPr>
          <w:rFonts w:hint="eastAsia" w:ascii="宋体" w:hAnsi="宋体" w:cs="宋体"/>
          <w:color w:val="auto"/>
          <w:szCs w:val="21"/>
          <w:highlight w:val="none"/>
          <w:shd w:val="clear" w:color="auto" w:fill="FFFFFF"/>
          <w:lang w:eastAsia="zh-CN"/>
        </w:rPr>
        <w:t>后</w:t>
      </w:r>
      <w:r>
        <w:rPr>
          <w:rFonts w:hint="eastAsia" w:ascii="宋体" w:hAnsi="宋体" w:cs="宋体"/>
          <w:color w:val="auto"/>
          <w:szCs w:val="21"/>
          <w:highlight w:val="none"/>
          <w:shd w:val="clear" w:color="auto" w:fill="FFFFFF"/>
        </w:rPr>
        <w:t>出现同一谈判单位在两个标段中同时排名第一时，则须选择预估用餐人数最多的标段为其中选标段，其放弃的标段由排名其后的</w:t>
      </w:r>
      <w:r>
        <w:rPr>
          <w:rFonts w:hint="eastAsia" w:ascii="宋体" w:hAnsi="宋体" w:cs="宋体"/>
          <w:color w:val="auto"/>
          <w:szCs w:val="21"/>
          <w:highlight w:val="none"/>
          <w:shd w:val="clear" w:color="auto" w:fill="FFFFFF"/>
          <w:lang w:eastAsia="zh-CN"/>
        </w:rPr>
        <w:t>谈判单位</w:t>
      </w:r>
      <w:r>
        <w:rPr>
          <w:rFonts w:hint="eastAsia" w:ascii="宋体" w:hAnsi="宋体" w:cs="宋体"/>
          <w:color w:val="auto"/>
          <w:szCs w:val="21"/>
          <w:highlight w:val="none"/>
          <w:shd w:val="clear" w:color="auto" w:fill="FFFFFF"/>
        </w:rPr>
        <w:t>替补</w:t>
      </w:r>
      <w:r>
        <w:rPr>
          <w:rFonts w:hint="eastAsia" w:ascii="宋体" w:hAnsi="宋体" w:cs="宋体"/>
          <w:color w:val="auto"/>
          <w:szCs w:val="21"/>
          <w:highlight w:val="none"/>
          <w:shd w:val="clear" w:color="auto" w:fill="FFFFFF"/>
          <w:lang w:eastAsia="zh-CN"/>
        </w:rPr>
        <w:t>，则</w:t>
      </w:r>
      <w:r>
        <w:rPr>
          <w:rFonts w:hint="eastAsia" w:ascii="宋体" w:hAnsi="宋体" w:cs="宋体"/>
          <w:color w:val="auto"/>
          <w:szCs w:val="21"/>
          <w:highlight w:val="none"/>
          <w:shd w:val="clear" w:color="auto" w:fill="FFFFFF"/>
        </w:rPr>
        <w:t>替补</w:t>
      </w:r>
      <w:r>
        <w:rPr>
          <w:rFonts w:hint="eastAsia" w:ascii="宋体" w:hAnsi="宋体" w:cs="宋体"/>
          <w:color w:val="auto"/>
          <w:szCs w:val="21"/>
          <w:highlight w:val="none"/>
          <w:shd w:val="clear" w:color="auto" w:fill="FFFFFF"/>
          <w:lang w:eastAsia="zh-CN"/>
        </w:rPr>
        <w:t>单位为该标段的排名第一</w:t>
      </w:r>
      <w:r>
        <w:rPr>
          <w:rFonts w:hint="eastAsia" w:ascii="宋体" w:hAnsi="宋体" w:cs="宋体"/>
          <w:color w:val="auto"/>
          <w:szCs w:val="21"/>
          <w:highlight w:val="none"/>
          <w:shd w:val="clear" w:color="auto" w:fill="FFFFFF"/>
        </w:rPr>
        <w:t>。</w:t>
      </w:r>
    </w:p>
    <w:p>
      <w:pPr>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cs="宋体"/>
          <w:b/>
          <w:bCs/>
          <w:color w:val="auto"/>
          <w:szCs w:val="21"/>
          <w:highlight w:val="none"/>
          <w:shd w:val="clear" w:color="auto" w:fill="FFFFFF"/>
        </w:rPr>
      </w:pPr>
      <w:r>
        <w:rPr>
          <w:rFonts w:hint="eastAsia" w:ascii="宋体" w:hAnsi="宋体" w:cs="宋体"/>
          <w:b/>
          <w:bCs/>
          <w:color w:val="auto"/>
          <w:szCs w:val="21"/>
          <w:highlight w:val="none"/>
          <w:shd w:val="clear" w:color="auto" w:fill="FFFFFF"/>
          <w:lang w:val="en-US" w:eastAsia="zh-CN"/>
        </w:rPr>
        <w:t>5</w:t>
      </w:r>
      <w:r>
        <w:rPr>
          <w:rFonts w:hint="eastAsia" w:ascii="宋体" w:hAnsi="宋体" w:cs="宋体"/>
          <w:b/>
          <w:bCs/>
          <w:color w:val="auto"/>
          <w:szCs w:val="21"/>
          <w:highlight w:val="none"/>
          <w:shd w:val="clear" w:color="auto" w:fill="FFFFFF"/>
        </w:rPr>
        <w:t>.推荐中选单位</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5.1谈判评审小组按照综合得分由高到低的顺序推荐不超过3名中选候选人，并对排名第一的中选候选人进行公示。经公示无异议后，确定排名第一的中选候选人为中选人。</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rPr>
        <w:t>.3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pStyle w:val="46"/>
        <w:rPr>
          <w:rFonts w:hint="eastAsia" w:ascii="宋体" w:hAnsi="宋体" w:cs="宋体"/>
          <w:color w:val="auto"/>
          <w:szCs w:val="21"/>
          <w:highlight w:val="none"/>
          <w:shd w:val="clear" w:color="auto" w:fill="FFFFFF"/>
        </w:rPr>
        <w:sectPr>
          <w:headerReference r:id="rId7" w:type="default"/>
          <w:footerReference r:id="rId8" w:type="default"/>
          <w:pgSz w:w="11906" w:h="16838"/>
          <w:pgMar w:top="2098" w:right="1474" w:bottom="1984" w:left="1587" w:header="851" w:footer="992" w:gutter="0"/>
          <w:pgNumType w:fmt="decimal"/>
          <w:cols w:space="0" w:num="1"/>
          <w:docGrid w:type="lines" w:linePitch="319" w:charSpace="0"/>
        </w:sectPr>
      </w:pPr>
    </w:p>
    <w:p>
      <w:pPr>
        <w:pStyle w:val="46"/>
        <w:ind w:left="0" w:leftChars="0" w:firstLine="0" w:firstLineChars="0"/>
        <w:rPr>
          <w:rFonts w:hint="default" w:eastAsia="宋体"/>
          <w:color w:val="auto"/>
          <w:highlight w:val="none"/>
          <w:lang w:val="en-US" w:eastAsia="zh-CN"/>
        </w:rPr>
      </w:pPr>
      <w:r>
        <w:rPr>
          <w:rFonts w:hint="eastAsia"/>
          <w:color w:val="auto"/>
          <w:highlight w:val="none"/>
          <w:lang w:eastAsia="zh-CN"/>
        </w:rPr>
        <w:t>附表</w:t>
      </w:r>
    </w:p>
    <w:p>
      <w:pPr>
        <w:pStyle w:val="19"/>
        <w:spacing w:after="0" w:line="360" w:lineRule="auto"/>
        <w:ind w:firstLine="482" w:firstLineChars="200"/>
        <w:jc w:val="center"/>
        <w:rPr>
          <w:rFonts w:ascii="宋体" w:hAnsi="宋体" w:cs="宋体"/>
          <w:b/>
          <w:color w:val="auto"/>
          <w:sz w:val="24"/>
          <w:highlight w:val="none"/>
        </w:rPr>
      </w:pPr>
      <w:r>
        <w:rPr>
          <w:rFonts w:hint="eastAsia" w:ascii="宋体" w:hAnsi="宋体" w:cs="宋体"/>
          <w:b/>
          <w:color w:val="auto"/>
          <w:sz w:val="24"/>
          <w:highlight w:val="none"/>
        </w:rPr>
        <w:t>商务</w:t>
      </w:r>
      <w:r>
        <w:rPr>
          <w:rFonts w:hint="eastAsia" w:ascii="宋体" w:hAnsi="宋体" w:cs="宋体"/>
          <w:b/>
          <w:color w:val="auto"/>
          <w:sz w:val="24"/>
          <w:highlight w:val="none"/>
          <w:lang w:eastAsia="zh-CN"/>
        </w:rPr>
        <w:t>技术</w:t>
      </w:r>
      <w:r>
        <w:rPr>
          <w:rFonts w:hint="eastAsia" w:ascii="宋体" w:hAnsi="宋体" w:cs="宋体"/>
          <w:b/>
          <w:color w:val="auto"/>
          <w:sz w:val="24"/>
          <w:highlight w:val="none"/>
        </w:rPr>
        <w:t>评审计分表</w:t>
      </w:r>
    </w:p>
    <w:tbl>
      <w:tblPr>
        <w:tblStyle w:val="47"/>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
        <w:gridCol w:w="1737"/>
        <w:gridCol w:w="831"/>
        <w:gridCol w:w="6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hanging="626" w:hangingChars="297"/>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hanging="626" w:hangingChars="297"/>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评审因素分值</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hanging="626" w:hangingChars="297"/>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响应文件的编制</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260"/>
              </w:tabs>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完全满足竞谈文件并响应的计5分；</w:t>
            </w:r>
          </w:p>
          <w:p>
            <w:pPr>
              <w:keepNext w:val="0"/>
              <w:keepLines w:val="0"/>
              <w:pageBreakBefore w:val="0"/>
              <w:tabs>
                <w:tab w:val="left" w:pos="1260"/>
              </w:tabs>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存在细微偏差的，每处扣0.5分，扣完为止。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after="0"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企业业绩</w:t>
            </w:r>
          </w:p>
          <w:p>
            <w:pPr>
              <w:pStyle w:val="19"/>
              <w:keepNext w:val="0"/>
              <w:keepLines w:val="0"/>
              <w:pageBreakBefore w:val="0"/>
              <w:kinsoku/>
              <w:wordWrap/>
              <w:overflowPunct/>
              <w:topLinePunct w:val="0"/>
              <w:autoSpaceDE/>
              <w:autoSpaceDN/>
              <w:bidi w:val="0"/>
              <w:adjustRightInd/>
              <w:snapToGrid/>
              <w:spacing w:after="0"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（12分）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after="0"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谈判单位具有1个加分业绩的得6分。每增加1个加分业绩加3分，最多加6分。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after="0"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企业实力</w:t>
            </w:r>
          </w:p>
          <w:p>
            <w:pPr>
              <w:pStyle w:val="19"/>
              <w:keepNext w:val="0"/>
              <w:keepLines w:val="0"/>
              <w:pageBreakBefore w:val="0"/>
              <w:kinsoku/>
              <w:wordWrap/>
              <w:overflowPunct/>
              <w:topLinePunct w:val="0"/>
              <w:autoSpaceDE/>
              <w:autoSpaceDN/>
              <w:bidi w:val="0"/>
              <w:adjustRightInd/>
              <w:snapToGrid/>
              <w:spacing w:after="0"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kinsoku/>
              <w:wordWrap/>
              <w:overflowPunct/>
              <w:topLinePunct w:val="0"/>
              <w:autoSpaceDE/>
              <w:autoSpaceDN/>
              <w:bidi w:val="0"/>
              <w:adjustRightInd/>
              <w:snapToGrid/>
              <w:spacing w:after="0"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谈判单位同时获得ISO9001质量体系认证、ISO14001环境管理体系认证、OHSAS18001职业健康及安全管理体系认证且证书在有效期内的，得3分。</w:t>
            </w:r>
          </w:p>
          <w:p>
            <w:pPr>
              <w:keepNext w:val="0"/>
              <w:keepLines w:val="0"/>
              <w:pageBreakBefore w:val="0"/>
              <w:tabs>
                <w:tab w:val="left" w:pos="1260"/>
              </w:tabs>
              <w:kinsoku/>
              <w:wordWrap/>
              <w:overflowPunct/>
              <w:topLinePunct w:val="0"/>
              <w:autoSpaceDE/>
              <w:autoSpaceDN/>
              <w:bidi w:val="0"/>
              <w:adjustRightInd/>
              <w:snapToGrid/>
              <w:spacing w:line="400" w:lineRule="exact"/>
              <w:ind w:left="0" w:hanging="210" w:hangingChars="1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不满足上述要求的，本项不计分。</w:t>
            </w:r>
          </w:p>
          <w:p>
            <w:pPr>
              <w:keepNext w:val="0"/>
              <w:keepLines w:val="0"/>
              <w:pageBreakBefore w:val="0"/>
              <w:tabs>
                <w:tab w:val="left" w:pos="1260"/>
              </w:tabs>
              <w:kinsoku/>
              <w:wordWrap/>
              <w:overflowPunct/>
              <w:topLinePunct w:val="0"/>
              <w:autoSpaceDE/>
              <w:autoSpaceDN/>
              <w:bidi w:val="0"/>
              <w:adjustRightInd/>
              <w:snapToGrid/>
              <w:spacing w:line="400" w:lineRule="exact"/>
              <w:ind w:left="0" w:hanging="210" w:hangingChars="1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b/>
                <w:bCs/>
                <w:color w:val="auto"/>
                <w:highlight w:val="none"/>
              </w:rPr>
              <w:t>须提供上述证书</w:t>
            </w:r>
            <w:r>
              <w:rPr>
                <w:rFonts w:hint="eastAsia" w:ascii="宋体" w:hAnsi="宋体" w:eastAsia="宋体" w:cs="宋体"/>
                <w:b/>
                <w:bCs/>
                <w:color w:val="auto"/>
                <w:highlight w:val="none"/>
                <w:lang w:val="en-US" w:eastAsia="zh-CN"/>
              </w:rPr>
              <w:t>原件扫描件（须加盖谈判单位公章）</w:t>
            </w:r>
            <w:r>
              <w:rPr>
                <w:rFonts w:hint="eastAsia" w:ascii="宋体" w:hAnsi="宋体" w:eastAsia="宋体" w:cs="宋体"/>
                <w:b/>
                <w:bCs/>
                <w:color w:val="auto"/>
                <w:highlight w:val="none"/>
              </w:rPr>
              <w:t>，否则不计分。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安全管理及保障方案</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（13分）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eastAsia="宋体" w:cs="宋体"/>
                <w:color w:val="auto"/>
                <w:highlight w:val="none"/>
              </w:rPr>
              <w:t>针对本项目的食品安全、生产安全的风险分析及防控制定安全管理方案。重点考察企业方案对食堂风险的分析，对食品安全和食堂现场安全的保障措施及应急预案的科学合理性，考察企业在安全方面的内控机制及防控能力。</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科学、合理、可行的，计7-8分；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较科学、较合理、较可行的，计6分；</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欠科学、欠合理、欠可行的，计5分。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eastAsia="宋体" w:cs="宋体"/>
                <w:color w:val="auto"/>
                <w:highlight w:val="none"/>
              </w:rPr>
              <w:t>根据谈判单位购买的食品安全责任险情况进行评审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购买的食品安全责任险保额在3000万元(含)以上的加5分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购买的食品安全责任险保额在2500万元(含）-3000万元（不含)的，加4分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购买的食品安全责任险保额在2000万元(含)-2500万元（不含)的，加3分。</w:t>
            </w:r>
            <w:r>
              <w:rPr>
                <w:rFonts w:hint="eastAsia" w:ascii="宋体" w:hAnsi="宋体" w:eastAsia="宋体" w:cs="宋体"/>
                <w:b/>
                <w:bCs/>
                <w:color w:val="auto"/>
                <w:highlight w:val="none"/>
              </w:rPr>
              <w:t>注:须提供承诺函，否则不计分。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服务管理方案</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（8分）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针对本项目设计一套服务方案，制定可行的产品采购、质量及价格控制的服务管理方案。重点考察企业对食堂服务的定位、食堂服务措施、食堂服务的流程设计、包厢公务接待以及相关服务承诺等方面内容。</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科学、合理、可行的，计7-</w:t>
            </w:r>
            <w:r>
              <w:rPr>
                <w:rFonts w:hint="eastAsia" w:ascii="宋体" w:hAnsi="宋体" w:eastAsia="宋体" w:cs="宋体"/>
                <w:color w:val="auto"/>
                <w:highlight w:val="none"/>
              </w:rPr>
              <w:t>8分；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较科学、较合理、较可行的，计</w:t>
            </w:r>
            <w:r>
              <w:rPr>
                <w:rFonts w:hint="eastAsia" w:ascii="宋体" w:hAnsi="宋体" w:eastAsia="宋体" w:cs="宋体"/>
                <w:color w:val="auto"/>
                <w:highlight w:val="none"/>
              </w:rPr>
              <w:t>6分</w:t>
            </w:r>
            <w:r>
              <w:rPr>
                <w:rFonts w:hint="eastAsia" w:ascii="宋体" w:hAnsi="宋体" w:eastAsia="宋体" w:cs="宋体"/>
                <w:color w:val="auto"/>
                <w:highlight w:val="none"/>
                <w:lang w:bidi="ar"/>
              </w:rPr>
              <w:t>；</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综合管理方案</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（8分）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针对本项目设计一套整体可行的综合管理方案。包括服务时间、人员管理、窗口开设率、花色品种</w:t>
            </w:r>
            <w:r>
              <w:rPr>
                <w:rFonts w:hint="eastAsia" w:ascii="宋体" w:hAnsi="宋体" w:cs="宋体"/>
                <w:color w:val="auto"/>
                <w:highlight w:val="none"/>
                <w:lang w:eastAsia="zh-CN"/>
              </w:rPr>
              <w:t>，并</w:t>
            </w:r>
            <w:r>
              <w:rPr>
                <w:rFonts w:hint="eastAsia" w:ascii="宋体" w:hAnsi="宋体" w:eastAsia="宋体" w:cs="宋体"/>
                <w:color w:val="auto"/>
                <w:highlight w:val="none"/>
              </w:rPr>
              <w:t>提供特色服务设计可行性方案</w:t>
            </w:r>
            <w:r>
              <w:rPr>
                <w:rFonts w:hint="eastAsia" w:ascii="宋体" w:hAnsi="宋体" w:cs="宋体"/>
                <w:color w:val="auto"/>
                <w:highlight w:val="none"/>
                <w:lang w:eastAsia="zh-CN"/>
              </w:rPr>
              <w:t>内容。</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科学、合理、可行的，计7-</w:t>
            </w:r>
            <w:r>
              <w:rPr>
                <w:rFonts w:hint="eastAsia" w:ascii="宋体" w:hAnsi="宋体" w:eastAsia="宋体" w:cs="宋体"/>
                <w:color w:val="auto"/>
                <w:highlight w:val="none"/>
              </w:rPr>
              <w:t>8分；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较科学、较合理、较可行的，计</w:t>
            </w:r>
            <w:r>
              <w:rPr>
                <w:rFonts w:hint="eastAsia" w:ascii="宋体" w:hAnsi="宋体" w:eastAsia="宋体" w:cs="宋体"/>
                <w:color w:val="auto"/>
                <w:highlight w:val="none"/>
              </w:rPr>
              <w:t>6分</w:t>
            </w:r>
            <w:r>
              <w:rPr>
                <w:rFonts w:hint="eastAsia" w:ascii="宋体" w:hAnsi="宋体" w:eastAsia="宋体" w:cs="宋体"/>
                <w:color w:val="auto"/>
                <w:highlight w:val="none"/>
                <w:lang w:bidi="ar"/>
              </w:rPr>
              <w:t>；</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卫生管理方案</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（8分）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针对本项目制定卫生管理方案。重点考察企业方案对食堂卫生区域责任制度、卫生考核标准等方面内容。</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科学、合理、可行的，计7-</w:t>
            </w:r>
            <w:r>
              <w:rPr>
                <w:rFonts w:hint="eastAsia" w:ascii="宋体" w:hAnsi="宋体" w:eastAsia="宋体" w:cs="宋体"/>
                <w:color w:val="auto"/>
                <w:highlight w:val="none"/>
              </w:rPr>
              <w:t>8分；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较科学、较合理、较可行的，计</w:t>
            </w:r>
            <w:r>
              <w:rPr>
                <w:rFonts w:hint="eastAsia" w:ascii="宋体" w:hAnsi="宋体" w:eastAsia="宋体" w:cs="宋体"/>
                <w:color w:val="auto"/>
                <w:highlight w:val="none"/>
              </w:rPr>
              <w:t>6分</w:t>
            </w:r>
            <w:r>
              <w:rPr>
                <w:rFonts w:hint="eastAsia" w:ascii="宋体" w:hAnsi="宋体" w:eastAsia="宋体" w:cs="宋体"/>
                <w:color w:val="auto"/>
                <w:highlight w:val="none"/>
                <w:lang w:bidi="ar"/>
              </w:rPr>
              <w:t>；</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7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应急管理方案</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（8分）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针对本项目制定投诉、食品安全事故、疫情防控及停水、停电等应急处理方案。重点考察企业方案对食品安全事故处理、投诉处理流程、疫情防控、停水、停电及响应时间等方面内容。</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科学、合理、可行的，计7-</w:t>
            </w:r>
            <w:r>
              <w:rPr>
                <w:rFonts w:hint="eastAsia" w:ascii="宋体" w:hAnsi="宋体" w:eastAsia="宋体" w:cs="宋体"/>
                <w:color w:val="auto"/>
                <w:highlight w:val="none"/>
              </w:rPr>
              <w:t>8分；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较科学、较合理、较可行的，计</w:t>
            </w:r>
            <w:r>
              <w:rPr>
                <w:rFonts w:hint="eastAsia" w:ascii="宋体" w:hAnsi="宋体" w:eastAsia="宋体" w:cs="宋体"/>
                <w:color w:val="auto"/>
                <w:highlight w:val="none"/>
              </w:rPr>
              <w:t>6分</w:t>
            </w:r>
            <w:r>
              <w:rPr>
                <w:rFonts w:hint="eastAsia" w:ascii="宋体" w:hAnsi="宋体" w:eastAsia="宋体" w:cs="宋体"/>
                <w:color w:val="auto"/>
                <w:highlight w:val="none"/>
                <w:lang w:bidi="ar"/>
              </w:rPr>
              <w:t>；</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742"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优惠方案</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（15分）</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10分</w:t>
            </w:r>
          </w:p>
        </w:tc>
        <w:tc>
          <w:tcPr>
            <w:tcW w:w="6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针对本项目小卖部的商品售卖价格优惠率进行承诺，售卖价格以项目所在区域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县级行政区</w:t>
            </w:r>
            <w:r>
              <w:rPr>
                <w:rFonts w:hint="eastAsia" w:ascii="宋体" w:hAnsi="宋体" w:cs="宋体"/>
                <w:color w:val="auto"/>
                <w:highlight w:val="none"/>
                <w:lang w:eastAsia="zh-CN"/>
              </w:rPr>
              <w:t>）</w:t>
            </w:r>
            <w:r>
              <w:rPr>
                <w:rFonts w:hint="eastAsia" w:ascii="宋体" w:hAnsi="宋体" w:eastAsia="宋体" w:cs="宋体"/>
                <w:color w:val="auto"/>
                <w:highlight w:val="none"/>
              </w:rPr>
              <w:t>任意2家大型连锁商超售卖价格的平均价作为基准价，承诺在基准价的基础上每优惠1%加1分，该项最多加10分。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742"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5分</w:t>
            </w:r>
          </w:p>
        </w:tc>
        <w:tc>
          <w:tcPr>
            <w:tcW w:w="6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承诺免费提供以下优惠条件的：</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每半月免费提供一次水果或纯牛奶或酸奶的，加5分；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每月度免费提供一次水果或纯牛奶或酸奶的，加4分；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每季度免费提供一次水果或纯牛奶或酸奶的，加3分；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每半年度免费提供一次水果或纯牛奶或酸奶的，加2分</w:t>
            </w:r>
            <w:r>
              <w:rPr>
                <w:rFonts w:hint="eastAsia" w:ascii="宋体" w:hAnsi="宋体" w:eastAsia="宋体" w:cs="宋体"/>
                <w:color w:val="auto"/>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每年度免费提供一次水果或纯牛奶或酸奶的，加1分。</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注1：水果或纯牛奶或酸奶等免费食品均为</w:t>
            </w:r>
            <w:r>
              <w:rPr>
                <w:rFonts w:hint="eastAsia" w:ascii="宋体" w:hAnsi="宋体" w:cs="宋体"/>
                <w:b/>
                <w:bCs/>
                <w:color w:val="auto"/>
                <w:highlight w:val="none"/>
                <w:lang w:eastAsia="zh-CN"/>
              </w:rPr>
              <w:t>国家法定</w:t>
            </w:r>
            <w:r>
              <w:rPr>
                <w:rFonts w:hint="eastAsia" w:ascii="宋体" w:hAnsi="宋体" w:eastAsia="宋体" w:cs="宋体"/>
                <w:b/>
                <w:bCs/>
                <w:color w:val="auto"/>
                <w:highlight w:val="none"/>
              </w:rPr>
              <w:t>工作日中餐就餐人员每人一份，水果应为新鲜水果，纯牛奶、酸奶须为200ML（含）以上的伊利、蒙牛、光明等知名品牌。</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注2：须提供承诺函，否则不计分。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742"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原材料保障</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（20分）</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6分</w:t>
            </w:r>
          </w:p>
        </w:tc>
        <w:tc>
          <w:tcPr>
            <w:tcW w:w="6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根据主要原材料产品质量进行评审：承诺在本项目服务期内使用二级以下压榨油且为用户需求书中要求的品牌的，计2分</w:t>
            </w:r>
            <w:r>
              <w:rPr>
                <w:rFonts w:hint="eastAsia" w:ascii="宋体" w:hAnsi="宋体" w:eastAsia="宋体" w:cs="宋体"/>
                <w:color w:val="auto"/>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承诺在本项目服务期内使用二级（含）压榨油且为用户需求书中要求的品牌的，计4分</w:t>
            </w:r>
            <w:r>
              <w:rPr>
                <w:rFonts w:hint="eastAsia" w:ascii="宋体" w:hAnsi="宋体" w:eastAsia="宋体" w:cs="宋体"/>
                <w:color w:val="auto"/>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承诺在本项目服务期内使用一级(含)以上压榨油且为用户需求书中要求的品牌的，计6分。</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注:须提供承诺函，否则不计分。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1742"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6分</w:t>
            </w:r>
          </w:p>
        </w:tc>
        <w:tc>
          <w:tcPr>
            <w:tcW w:w="6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根据主要原材料产品质量进行评审：承诺在本项目服务期内使用二级大米且为用户需求书中要求的品牌的，计2分</w:t>
            </w:r>
            <w:r>
              <w:rPr>
                <w:rFonts w:hint="eastAsia" w:ascii="宋体" w:hAnsi="宋体" w:eastAsia="宋体" w:cs="宋体"/>
                <w:color w:val="auto"/>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承诺在本项目服务期内使用一级大米且为用户需求书中要求的品牌的，计4分</w:t>
            </w:r>
            <w:r>
              <w:rPr>
                <w:rFonts w:hint="eastAsia" w:ascii="宋体" w:hAnsi="宋体" w:eastAsia="宋体" w:cs="宋体"/>
                <w:color w:val="auto"/>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承诺在本项目服务期内使用有机米的，计6分。</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注:须提供承诺函，否则不计分。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1742"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4分</w:t>
            </w:r>
          </w:p>
        </w:tc>
        <w:tc>
          <w:tcPr>
            <w:tcW w:w="6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拥有</w:t>
            </w:r>
            <w:r>
              <w:rPr>
                <w:rFonts w:hint="eastAsia" w:ascii="宋体" w:hAnsi="宋体" w:eastAsia="宋体" w:cs="宋体"/>
                <w:iCs/>
                <w:color w:val="auto"/>
                <w:highlight w:val="none"/>
              </w:rPr>
              <w:t>家畜类或</w:t>
            </w:r>
            <w:r>
              <w:rPr>
                <w:rFonts w:hint="eastAsia" w:ascii="宋体" w:hAnsi="宋体" w:eastAsia="宋体" w:cs="宋体"/>
                <w:color w:val="auto"/>
                <w:highlight w:val="none"/>
              </w:rPr>
              <w:t>家禽养殖场地或统一采购、配送中心的，计4分。</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注:须提供场地证明材料原件</w:t>
            </w:r>
            <w:r>
              <w:rPr>
                <w:rFonts w:hint="eastAsia" w:ascii="宋体" w:hAnsi="宋体" w:cs="宋体"/>
                <w:b/>
                <w:bCs/>
                <w:color w:val="auto"/>
                <w:highlight w:val="none"/>
                <w:lang w:val="en-US" w:eastAsia="zh-CN"/>
              </w:rPr>
              <w:t>扫描件</w:t>
            </w:r>
            <w:r>
              <w:rPr>
                <w:rFonts w:hint="eastAsia" w:ascii="宋体" w:hAnsi="宋体" w:eastAsia="宋体" w:cs="宋体"/>
                <w:b/>
                <w:bCs/>
                <w:color w:val="auto"/>
                <w:highlight w:val="none"/>
              </w:rPr>
              <w:t>或合同原件</w:t>
            </w:r>
            <w:r>
              <w:rPr>
                <w:rFonts w:hint="eastAsia" w:ascii="宋体" w:hAnsi="宋体" w:cs="宋体"/>
                <w:b/>
                <w:bCs/>
                <w:color w:val="auto"/>
                <w:highlight w:val="none"/>
                <w:lang w:val="en-US" w:eastAsia="zh-CN"/>
              </w:rPr>
              <w:t>扫描件（须加盖谈判单位公章）</w:t>
            </w:r>
            <w:r>
              <w:rPr>
                <w:rFonts w:hint="eastAsia" w:ascii="宋体" w:hAnsi="宋体" w:eastAsia="宋体" w:cs="宋体"/>
                <w:b/>
                <w:bCs/>
                <w:color w:val="auto"/>
                <w:highlight w:val="none"/>
              </w:rPr>
              <w:t>，并提供承诺函，否则不计分。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14</w:t>
            </w:r>
          </w:p>
        </w:tc>
        <w:tc>
          <w:tcPr>
            <w:tcW w:w="1742"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4分</w:t>
            </w:r>
          </w:p>
        </w:tc>
        <w:tc>
          <w:tcPr>
            <w:tcW w:w="6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拥有蔬菜种植场地或统一采购、配送中心的，计4分。</w:t>
            </w:r>
          </w:p>
          <w:p>
            <w:pPr>
              <w:keepNext w:val="0"/>
              <w:keepLines w:val="0"/>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注:须提供场地证明材料原件</w:t>
            </w:r>
            <w:r>
              <w:rPr>
                <w:rFonts w:hint="eastAsia" w:ascii="宋体" w:hAnsi="宋体" w:cs="宋体"/>
                <w:b/>
                <w:bCs/>
                <w:color w:val="auto"/>
                <w:highlight w:val="none"/>
                <w:lang w:val="en-US" w:eastAsia="zh-CN"/>
              </w:rPr>
              <w:t>扫描件</w:t>
            </w:r>
            <w:r>
              <w:rPr>
                <w:rFonts w:hint="eastAsia" w:ascii="宋体" w:hAnsi="宋体" w:eastAsia="宋体" w:cs="宋体"/>
                <w:b/>
                <w:bCs/>
                <w:color w:val="auto"/>
                <w:highlight w:val="none"/>
              </w:rPr>
              <w:t>或合同原件</w:t>
            </w:r>
            <w:r>
              <w:rPr>
                <w:rFonts w:hint="eastAsia" w:ascii="宋体" w:hAnsi="宋体" w:cs="宋体"/>
                <w:b/>
                <w:bCs/>
                <w:color w:val="auto"/>
                <w:highlight w:val="none"/>
                <w:lang w:val="en-US" w:eastAsia="zh-CN"/>
              </w:rPr>
              <w:t>扫描件（须加盖谈判单位公章）</w:t>
            </w:r>
            <w:r>
              <w:rPr>
                <w:rFonts w:hint="eastAsia" w:ascii="宋体" w:hAnsi="宋体" w:eastAsia="宋体" w:cs="宋体"/>
                <w:b/>
                <w:bCs/>
                <w:color w:val="auto"/>
                <w:highlight w:val="none"/>
              </w:rPr>
              <w:t>，并提供承诺函，否则不计分。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7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合计</w:t>
            </w:r>
          </w:p>
        </w:tc>
        <w:tc>
          <w:tcPr>
            <w:tcW w:w="256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100分</w:t>
            </w:r>
          </w:p>
        </w:tc>
        <w:tc>
          <w:tcPr>
            <w:tcW w:w="6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t>/</w:t>
            </w:r>
          </w:p>
        </w:tc>
      </w:tr>
    </w:tbl>
    <w:p>
      <w:pPr>
        <w:ind w:firstLine="422" w:firstLineChars="200"/>
        <w:jc w:val="left"/>
        <w:rPr>
          <w:rFonts w:ascii="宋体" w:hAnsi="宋体" w:cs="宋体"/>
          <w:b/>
          <w:color w:val="auto"/>
          <w:highlight w:val="none"/>
        </w:rPr>
      </w:pPr>
    </w:p>
    <w:p>
      <w:pPr>
        <w:keepNext w:val="0"/>
        <w:keepLines w:val="0"/>
        <w:pageBreakBefore w:val="0"/>
        <w:kinsoku/>
        <w:wordWrap/>
        <w:overflowPunct/>
        <w:topLinePunct w:val="0"/>
        <w:autoSpaceDE/>
        <w:autoSpaceDN/>
        <w:bidi w:val="0"/>
        <w:spacing w:line="400" w:lineRule="exact"/>
        <w:ind w:firstLine="422" w:firstLineChars="200"/>
        <w:jc w:val="both"/>
        <w:textAlignment w:val="auto"/>
        <w:rPr>
          <w:rFonts w:ascii="宋体" w:hAnsi="宋体" w:cs="宋体"/>
          <w:b/>
          <w:color w:val="auto"/>
          <w:highlight w:val="none"/>
        </w:rPr>
      </w:pPr>
      <w:r>
        <w:rPr>
          <w:rFonts w:hint="eastAsia" w:ascii="宋体" w:hAnsi="宋体" w:cs="宋体"/>
          <w:b/>
          <w:color w:val="auto"/>
          <w:highlight w:val="none"/>
        </w:rPr>
        <w:t>评审说明：</w:t>
      </w:r>
    </w:p>
    <w:p>
      <w:pPr>
        <w:keepNext w:val="0"/>
        <w:keepLines w:val="0"/>
        <w:pageBreakBefore w:val="0"/>
        <w:kinsoku/>
        <w:wordWrap/>
        <w:overflowPunct/>
        <w:topLinePunct w:val="0"/>
        <w:autoSpaceDE/>
        <w:autoSpaceDN/>
        <w:bidi w:val="0"/>
        <w:spacing w:line="400" w:lineRule="exact"/>
        <w:ind w:firstLine="420" w:firstLineChars="200"/>
        <w:jc w:val="both"/>
        <w:textAlignment w:val="auto"/>
        <w:rPr>
          <w:rFonts w:ascii="宋体" w:hAnsi="宋体" w:cs="宋体"/>
          <w:color w:val="auto"/>
          <w:highlight w:val="none"/>
        </w:rPr>
      </w:pPr>
      <w:r>
        <w:rPr>
          <w:rFonts w:hint="eastAsia" w:ascii="宋体" w:hAnsi="宋体" w:cs="宋体"/>
          <w:bCs/>
          <w:color w:val="auto"/>
          <w:highlight w:val="none"/>
        </w:rPr>
        <w:t>（1）</w:t>
      </w:r>
      <w:r>
        <w:rPr>
          <w:rFonts w:hint="eastAsia" w:ascii="宋体" w:hAnsi="宋体" w:cs="宋体"/>
          <w:color w:val="auto"/>
          <w:highlight w:val="none"/>
        </w:rPr>
        <w:t>细微偏差是指谈判响应文件实质性响应了谈判文件要求，但在个别地方存在漏项或者提供了不完整的信息和数据，或者响应文件格式等地方存在与谈判文件规定不完全一致等情况，并且补正这些遗漏或者不完整不会对其他谈判单位造成不公平的结果。细微偏差不影响响应文件的有效性。</w:t>
      </w:r>
    </w:p>
    <w:p>
      <w:pPr>
        <w:keepNext w:val="0"/>
        <w:keepLines w:val="0"/>
        <w:pageBreakBefore w:val="0"/>
        <w:widowControl/>
        <w:kinsoku/>
        <w:wordWrap/>
        <w:overflowPunct/>
        <w:topLinePunct w:val="0"/>
        <w:autoSpaceDE/>
        <w:autoSpaceDN/>
        <w:bidi w:val="0"/>
        <w:spacing w:line="400" w:lineRule="exact"/>
        <w:ind w:firstLine="420" w:firstLineChars="200"/>
        <w:jc w:val="both"/>
        <w:textAlignment w:val="auto"/>
        <w:rPr>
          <w:rFonts w:ascii="宋体" w:hAnsi="宋体" w:cs="宋体"/>
          <w:color w:val="auto"/>
          <w:highlight w:val="none"/>
        </w:rPr>
      </w:pPr>
      <w:r>
        <w:rPr>
          <w:rFonts w:hint="eastAsia" w:ascii="宋体" w:hAnsi="宋体" w:cs="宋体"/>
          <w:bCs/>
          <w:color w:val="auto"/>
          <w:highlight w:val="none"/>
        </w:rPr>
        <w:t>（2）加分业绩是指</w:t>
      </w:r>
      <w:r>
        <w:rPr>
          <w:rFonts w:hint="eastAsia" w:ascii="宋体" w:hAnsi="宋体" w:cs="宋体"/>
          <w:color w:val="auto"/>
          <w:highlight w:val="none"/>
        </w:rPr>
        <w:t>谈判单位在提交响应文件截止之日前36个月内须具有单项合同就餐人数</w:t>
      </w:r>
      <w:r>
        <w:rPr>
          <w:rFonts w:ascii="宋体" w:hAnsi="宋体" w:cs="宋体"/>
          <w:color w:val="auto"/>
          <w:highlight w:val="none"/>
        </w:rPr>
        <w:t>1</w:t>
      </w:r>
      <w:r>
        <w:rPr>
          <w:rFonts w:hint="eastAsia" w:ascii="宋体" w:hAnsi="宋体" w:cs="宋体"/>
          <w:color w:val="auto"/>
          <w:highlight w:val="none"/>
        </w:rPr>
        <w:t>00人/天（含）以上的餐饮服务业绩。不接受联合体业绩、港澳台或境外业绩。</w:t>
      </w:r>
    </w:p>
    <w:p>
      <w:pPr>
        <w:keepNext w:val="0"/>
        <w:keepLines w:val="0"/>
        <w:pageBreakBefore w:val="0"/>
        <w:widowControl/>
        <w:kinsoku/>
        <w:wordWrap/>
        <w:overflowPunct/>
        <w:topLinePunct w:val="0"/>
        <w:autoSpaceDE/>
        <w:autoSpaceDN/>
        <w:bidi w:val="0"/>
        <w:spacing w:line="400" w:lineRule="exact"/>
        <w:ind w:firstLine="420" w:firstLineChars="200"/>
        <w:jc w:val="both"/>
        <w:textAlignment w:val="auto"/>
        <w:rPr>
          <w:rFonts w:hint="eastAsia" w:ascii="宋体" w:hAnsi="宋体" w:cs="宋体"/>
          <w:color w:val="auto"/>
          <w:highlight w:val="none"/>
        </w:rPr>
      </w:pPr>
      <w:r>
        <w:rPr>
          <w:rFonts w:hint="eastAsia" w:ascii="宋体" w:hAnsi="宋体" w:cs="宋体"/>
          <w:color w:val="auto"/>
          <w:highlight w:val="none"/>
        </w:rPr>
        <w:t>业绩证明材料以同时提供的合同原件扫描件和可查验的增值税发票原件扫描件为准（均须加盖谈判单位公章），业绩就餐人数以合同中的人数为准，时间以合同中甲方签订时间为准，若合同不能体现满足业绩要求的信息时，须另外提供由合同委托方出具的证明文件，并加盖“合同委托方行政公章（公章名称与合同委托方名称一致）”，否则证明文件无效，视为无效业绩。</w:t>
      </w:r>
    </w:p>
    <w:p>
      <w:pPr>
        <w:pStyle w:val="3"/>
        <w:keepNext w:val="0"/>
        <w:spacing w:line="360" w:lineRule="auto"/>
        <w:rPr>
          <w:rFonts w:ascii="宋体" w:hAnsi="宋体" w:cs="宋体"/>
          <w:bCs w:val="0"/>
          <w:color w:val="auto"/>
          <w:sz w:val="32"/>
          <w:szCs w:val="32"/>
          <w:highlight w:val="none"/>
        </w:rPr>
        <w:sectPr>
          <w:pgSz w:w="11906" w:h="16838"/>
          <w:pgMar w:top="2098" w:right="1474" w:bottom="1984" w:left="1587" w:header="851" w:footer="992" w:gutter="0"/>
          <w:pgNumType w:fmt="decimal"/>
          <w:cols w:space="0" w:num="1"/>
          <w:docGrid w:type="lines" w:linePitch="319" w:charSpace="0"/>
        </w:sectPr>
      </w:pPr>
      <w:bookmarkStart w:id="84" w:name="_Toc14891077"/>
      <w:bookmarkStart w:id="85" w:name="_Toc17562"/>
      <w:bookmarkStart w:id="86" w:name="_Toc17997"/>
      <w:bookmarkStart w:id="87" w:name="_Toc18202"/>
      <w:bookmarkStart w:id="88" w:name="_Toc23442"/>
      <w:bookmarkStart w:id="89" w:name="_Toc7204"/>
    </w:p>
    <w:p>
      <w:pPr>
        <w:pStyle w:val="3"/>
        <w:keepNext w:val="0"/>
        <w:spacing w:line="360" w:lineRule="auto"/>
        <w:rPr>
          <w:rFonts w:ascii="宋体" w:hAnsi="宋体" w:cs="宋体"/>
          <w:bCs w:val="0"/>
          <w:color w:val="auto"/>
          <w:sz w:val="32"/>
          <w:szCs w:val="32"/>
          <w:highlight w:val="none"/>
        </w:rPr>
      </w:pPr>
      <w:bookmarkStart w:id="90" w:name="_Toc25177"/>
      <w:bookmarkStart w:id="91" w:name="_Toc23694"/>
      <w:r>
        <w:rPr>
          <w:rFonts w:hint="eastAsia" w:ascii="宋体" w:hAnsi="宋体" w:cs="宋体"/>
          <w:bCs w:val="0"/>
          <w:color w:val="auto"/>
          <w:sz w:val="32"/>
          <w:szCs w:val="32"/>
          <w:highlight w:val="none"/>
        </w:rPr>
        <w:t>第四章  用户需求书</w:t>
      </w:r>
      <w:bookmarkEnd w:id="84"/>
      <w:bookmarkEnd w:id="85"/>
      <w:bookmarkEnd w:id="86"/>
      <w:bookmarkEnd w:id="87"/>
      <w:bookmarkEnd w:id="88"/>
      <w:r>
        <w:rPr>
          <w:rFonts w:hint="eastAsia" w:ascii="宋体" w:hAnsi="宋体" w:cs="宋体"/>
          <w:bCs w:val="0"/>
          <w:color w:val="auto"/>
          <w:sz w:val="32"/>
          <w:szCs w:val="32"/>
          <w:highlight w:val="none"/>
        </w:rPr>
        <w:t>（另册）</w:t>
      </w:r>
      <w:bookmarkEnd w:id="89"/>
      <w:bookmarkEnd w:id="90"/>
      <w:bookmarkEnd w:id="91"/>
    </w:p>
    <w:p>
      <w:pPr>
        <w:spacing w:line="360" w:lineRule="auto"/>
        <w:rPr>
          <w:color w:val="auto"/>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highlight w:val="none"/>
        </w:rPr>
        <w:sectPr>
          <w:pgSz w:w="11906" w:h="16838"/>
          <w:pgMar w:top="2098" w:right="1474" w:bottom="1984" w:left="1587" w:header="851" w:footer="992" w:gutter="0"/>
          <w:pgNumType w:fmt="decimal"/>
          <w:cols w:space="0" w:num="1"/>
          <w:docGrid w:type="lines" w:linePitch="319" w:charSpace="0"/>
        </w:sectPr>
      </w:pPr>
      <w:r>
        <w:rPr>
          <w:rFonts w:hint="eastAsia" w:ascii="宋体" w:hAnsi="宋体" w:cs="宋体"/>
          <w:color w:val="auto"/>
          <w:highlight w:val="none"/>
        </w:rPr>
        <w:t>用户需求书详见本项目谈判邀请公告附件：</w:t>
      </w:r>
      <w:r>
        <w:rPr>
          <w:rFonts w:hint="eastAsia" w:ascii="宋体" w:hAnsi="宋体" w:cs="宋体"/>
          <w:color w:val="auto"/>
          <w:highlight w:val="none"/>
          <w:u w:val="single"/>
        </w:rPr>
        <w:t>长沙市轨道交通5号线、西环线运营期2023-2025年水渡河车辆段、九华车辆基地食堂委外经营服务项目</w:t>
      </w:r>
      <w:r>
        <w:rPr>
          <w:rFonts w:hint="eastAsia" w:ascii="宋体" w:hAnsi="宋体" w:cs="宋体"/>
          <w:color w:val="auto"/>
          <w:highlight w:val="none"/>
          <w:u w:val="single"/>
          <w:lang w:val="en-US" w:eastAsia="zh-CN"/>
        </w:rPr>
        <w:t>二标段</w:t>
      </w:r>
      <w:r>
        <w:rPr>
          <w:rFonts w:hint="eastAsia" w:ascii="宋体" w:hAnsi="宋体" w:cs="宋体"/>
          <w:color w:val="auto"/>
          <w:highlight w:val="none"/>
        </w:rPr>
        <w:t>用户需求书。</w:t>
      </w:r>
    </w:p>
    <w:p>
      <w:pPr>
        <w:pStyle w:val="3"/>
        <w:keepNext w:val="0"/>
        <w:outlineLvl w:val="0"/>
        <w:rPr>
          <w:rFonts w:ascii="宋体" w:hAnsi="宋体" w:cs="宋体"/>
          <w:bCs w:val="0"/>
          <w:color w:val="auto"/>
          <w:sz w:val="32"/>
          <w:szCs w:val="32"/>
          <w:highlight w:val="none"/>
        </w:rPr>
      </w:pPr>
      <w:bookmarkStart w:id="92" w:name="_Toc11311"/>
      <w:bookmarkStart w:id="93" w:name="_Toc13521"/>
      <w:bookmarkStart w:id="94" w:name="_Toc22262"/>
      <w:bookmarkStart w:id="95" w:name="_Toc14891078"/>
      <w:bookmarkStart w:id="96" w:name="_Toc17441"/>
      <w:bookmarkStart w:id="97" w:name="_Toc29076"/>
      <w:bookmarkStart w:id="98" w:name="_Toc27478"/>
      <w:bookmarkStart w:id="99" w:name="_Toc19554"/>
      <w:r>
        <w:rPr>
          <w:rFonts w:hint="eastAsia" w:ascii="宋体" w:hAnsi="宋体" w:cs="宋体"/>
          <w:bCs w:val="0"/>
          <w:color w:val="auto"/>
          <w:sz w:val="32"/>
          <w:szCs w:val="32"/>
          <w:highlight w:val="none"/>
        </w:rPr>
        <w:t>第五章  合同格式条款</w:t>
      </w:r>
      <w:bookmarkEnd w:id="92"/>
      <w:bookmarkEnd w:id="93"/>
      <w:bookmarkEnd w:id="94"/>
      <w:bookmarkEnd w:id="95"/>
      <w:bookmarkEnd w:id="96"/>
      <w:bookmarkEnd w:id="97"/>
      <w:bookmarkEnd w:id="98"/>
      <w:bookmarkEnd w:id="99"/>
    </w:p>
    <w:p>
      <w:pPr>
        <w:adjustRightInd w:val="0"/>
        <w:snapToGrid w:val="0"/>
        <w:spacing w:line="360" w:lineRule="auto"/>
        <w:ind w:firstLine="2880" w:firstLineChars="1200"/>
        <w:jc w:val="right"/>
        <w:rPr>
          <w:rFonts w:ascii="仿宋" w:hAnsi="仿宋" w:eastAsia="仿宋"/>
          <w:sz w:val="22"/>
          <w:szCs w:val="18"/>
        </w:rPr>
      </w:pPr>
      <w:bookmarkStart w:id="100" w:name="_Toc18525"/>
      <w:bookmarkStart w:id="101" w:name="_Toc29654"/>
      <w:bookmarkStart w:id="102" w:name="_Toc20891"/>
      <w:bookmarkStart w:id="103" w:name="_Toc5097"/>
      <w:r>
        <w:rPr>
          <w:rFonts w:hint="eastAsia" w:ascii="仿宋_GB2312" w:hAnsi="仿宋_GB2312" w:eastAsia="仿宋_GB2312" w:cs="仿宋_GB2312"/>
          <w:sz w:val="24"/>
        </w:rPr>
        <w:t>合同编号:</w:t>
      </w:r>
      <w:r>
        <w:rPr>
          <w:rFonts w:hint="eastAsia" w:ascii="仿宋_GB2312" w:hAnsi="仿宋_GB2312" w:cs="仿宋_GB2312"/>
          <w:sz w:val="24"/>
          <w:u w:val="single"/>
          <w:lang w:val="en-US" w:eastAsia="zh-CN"/>
        </w:rPr>
        <w:t xml:space="preserve">       </w:t>
      </w:r>
      <w:r>
        <w:rPr>
          <w:rFonts w:hint="eastAsia" w:ascii="仿宋_GB2312" w:hAnsi="仿宋_GB2312" w:eastAsia="仿宋_GB2312" w:cs="仿宋_GB2312"/>
          <w:sz w:val="24"/>
        </w:rPr>
        <w:t>合</w:t>
      </w:r>
      <w:r>
        <w:rPr>
          <w:rFonts w:hint="eastAsia" w:ascii="仿宋_GB2312" w:hAnsi="仿宋_GB2312" w:cs="仿宋_GB2312"/>
          <w:sz w:val="24"/>
          <w:lang w:val="en-US" w:eastAsia="zh-CN"/>
        </w:rPr>
        <w:t>同</w:t>
      </w:r>
      <w:r>
        <w:rPr>
          <w:rFonts w:hint="eastAsia" w:ascii="仿宋_GB2312" w:hAnsi="仿宋_GB2312" w:eastAsia="仿宋_GB2312" w:cs="仿宋_GB2312"/>
          <w:sz w:val="24"/>
        </w:rPr>
        <w:t>[20</w:t>
      </w:r>
      <w:r>
        <w:rPr>
          <w:rFonts w:hint="eastAsia" w:ascii="仿宋_GB2312" w:hAnsi="仿宋_GB2312" w:cs="仿宋_GB2312"/>
          <w:sz w:val="24"/>
          <w:lang w:val="en-US" w:eastAsia="zh-CN"/>
        </w:rPr>
        <w:t xml:space="preserve">  </w:t>
      </w:r>
      <w:r>
        <w:rPr>
          <w:rFonts w:hint="eastAsia" w:ascii="仿宋_GB2312" w:hAnsi="仿宋_GB2312" w:eastAsia="仿宋_GB2312" w:cs="仿宋_GB2312"/>
          <w:sz w:val="24"/>
        </w:rPr>
        <w:t>]</w:t>
      </w:r>
      <w:r>
        <w:rPr>
          <w:rFonts w:hint="eastAsia" w:ascii="仿宋_GB2312" w:hAnsi="仿宋_GB2312" w:cs="仿宋_GB2312"/>
          <w:sz w:val="24"/>
          <w:u w:val="single"/>
          <w:lang w:val="en-US" w:eastAsia="zh-CN"/>
        </w:rPr>
        <w:t xml:space="preserve">   </w:t>
      </w:r>
      <w:r>
        <w:rPr>
          <w:rFonts w:hint="eastAsia" w:ascii="仿宋_GB2312" w:hAnsi="仿宋_GB2312" w:eastAsia="仿宋_GB2312" w:cs="仿宋_GB2312"/>
          <w:sz w:val="24"/>
        </w:rPr>
        <w:t>号</w:t>
      </w: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jc w:val="center"/>
        <w:rPr>
          <w:rFonts w:hint="eastAsia" w:ascii="仿宋_GB2312" w:hAnsi="仿宋_GB2312" w:eastAsia="仿宋_GB2312" w:cs="仿宋_GB2312"/>
          <w:b/>
          <w:sz w:val="48"/>
          <w:szCs w:val="48"/>
        </w:rPr>
      </w:pPr>
      <w:r>
        <w:rPr>
          <w:rFonts w:hint="eastAsia" w:ascii="仿宋_GB2312" w:hAnsi="仿宋_GB2312" w:eastAsia="仿宋_GB2312" w:cs="仿宋_GB2312"/>
          <w:b/>
          <w:spacing w:val="20"/>
          <w:sz w:val="52"/>
          <w:szCs w:val="52"/>
          <w:lang w:eastAsia="zh-CN"/>
        </w:rPr>
        <w:t>服务项目</w:t>
      </w:r>
      <w:r>
        <w:rPr>
          <w:rFonts w:hint="eastAsia" w:ascii="仿宋_GB2312" w:hAnsi="仿宋_GB2312" w:eastAsia="仿宋_GB2312" w:cs="仿宋_GB2312"/>
          <w:b/>
          <w:spacing w:val="20"/>
          <w:sz w:val="52"/>
          <w:szCs w:val="52"/>
        </w:rPr>
        <w:t>合同</w:t>
      </w: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spacing w:afterLines="0" w:line="360" w:lineRule="auto"/>
        <w:ind w:left="1892" w:leftChars="232" w:hanging="1405" w:hangingChars="500"/>
        <w:jc w:val="both"/>
        <w:rPr>
          <w:rFonts w:hint="default" w:ascii="仿宋_GB2312" w:hAnsi="仿宋_GB2312" w:eastAsia="仿宋_GB2312" w:cs="仿宋_GB2312"/>
          <w:b/>
          <w:sz w:val="28"/>
          <w:szCs w:val="28"/>
          <w:lang w:val="en-US"/>
        </w:rPr>
      </w:pPr>
      <w:r>
        <w:rPr>
          <w:rFonts w:hint="eastAsia" w:ascii="仿宋_GB2312" w:hAnsi="仿宋_GB2312" w:eastAsia="仿宋_GB2312" w:cs="仿宋_GB2312"/>
          <w:b/>
          <w:sz w:val="28"/>
          <w:szCs w:val="28"/>
          <w:lang w:eastAsia="zh-CN"/>
        </w:rPr>
        <w:t>项目</w:t>
      </w:r>
      <w:r>
        <w:rPr>
          <w:rFonts w:hint="eastAsia" w:ascii="仿宋_GB2312" w:hAnsi="仿宋_GB2312" w:eastAsia="仿宋_GB2312" w:cs="仿宋_GB2312"/>
          <w:b/>
          <w:sz w:val="28"/>
          <w:szCs w:val="28"/>
        </w:rPr>
        <w:t>名称：</w:t>
      </w:r>
      <w:r>
        <w:rPr>
          <w:rFonts w:hint="eastAsia" w:ascii="仿宋_GB2312" w:hAnsi="仿宋_GB2312" w:cs="仿宋_GB2312"/>
          <w:b/>
          <w:sz w:val="28"/>
          <w:szCs w:val="28"/>
          <w:highlight w:val="none"/>
          <w:u w:val="dotted"/>
          <w:lang w:val="en-US" w:eastAsia="zh-CN"/>
        </w:rPr>
        <w:t>长沙市轨道交通5号线、西环线运营期2023-2025年水渡河车辆段、九华车辆基地食堂委外经营服务项目</w:t>
      </w: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项目</w:t>
      </w:r>
      <w:r>
        <w:rPr>
          <w:rFonts w:hint="eastAsia" w:ascii="仿宋_GB2312" w:hAnsi="仿宋_GB2312" w:eastAsia="仿宋_GB2312" w:cs="仿宋_GB2312"/>
          <w:b/>
          <w:sz w:val="28"/>
          <w:szCs w:val="28"/>
        </w:rPr>
        <w:t>地点：</w:t>
      </w:r>
      <w:r>
        <w:rPr>
          <w:rFonts w:hint="eastAsia" w:ascii="仿宋_GB2312" w:hAnsi="仿宋_GB2312" w:eastAsia="仿宋_GB2312" w:cs="仿宋_GB2312"/>
          <w:b/>
          <w:sz w:val="28"/>
          <w:szCs w:val="28"/>
          <w:u w:val="dotted"/>
        </w:rPr>
        <w:t>湖南省长沙市</w:t>
      </w:r>
      <w:r>
        <w:rPr>
          <w:rFonts w:hint="eastAsia" w:ascii="仿宋_GB2312" w:hAnsi="仿宋_GB2312" w:eastAsia="仿宋_GB2312" w:cs="仿宋_GB2312"/>
          <w:b/>
          <w:sz w:val="28"/>
          <w:szCs w:val="28"/>
        </w:rPr>
        <w:t xml:space="preserve">    </w:t>
      </w: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p>
    <w:p>
      <w:pPr>
        <w:adjustRightInd w:val="0"/>
        <w:snapToGrid w:val="0"/>
        <w:spacing w:afterLines="0" w:line="360" w:lineRule="auto"/>
        <w:ind w:firstLine="562" w:firstLineChars="200"/>
        <w:jc w:val="left"/>
        <w:rPr>
          <w:rFonts w:hint="eastAsia" w:ascii="仿宋_GB2312" w:hAnsi="仿宋_GB2312" w:cs="仿宋_GB2312"/>
          <w:b/>
          <w:sz w:val="28"/>
          <w:szCs w:val="28"/>
          <w:u w:val="dotted"/>
          <w:lang w:val="en-US" w:eastAsia="zh-CN"/>
        </w:rPr>
      </w:pPr>
      <w:r>
        <w:rPr>
          <w:rFonts w:hint="eastAsia" w:ascii="仿宋_GB2312" w:hAnsi="仿宋_GB2312" w:eastAsia="仿宋_GB2312" w:cs="仿宋_GB2312"/>
          <w:b/>
          <w:sz w:val="28"/>
          <w:szCs w:val="28"/>
        </w:rPr>
        <w:t>甲方：</w:t>
      </w:r>
      <w:r>
        <w:rPr>
          <w:rFonts w:hint="eastAsia" w:ascii="仿宋_GB2312" w:hAnsi="仿宋_GB2312" w:eastAsia="仿宋_GB2312" w:cs="仿宋_GB2312"/>
          <w:b/>
          <w:sz w:val="28"/>
          <w:szCs w:val="28"/>
          <w:u w:val="dotted"/>
        </w:rPr>
        <w:t xml:space="preserve"> </w:t>
      </w:r>
      <w:r>
        <w:rPr>
          <w:rFonts w:hint="eastAsia" w:ascii="仿宋_GB2312" w:hAnsi="仿宋_GB2312" w:cs="仿宋_GB2312"/>
          <w:b/>
          <w:sz w:val="28"/>
          <w:szCs w:val="28"/>
          <w:u w:val="dotted"/>
          <w:lang w:val="en-US" w:eastAsia="zh-CN"/>
        </w:rPr>
        <w:t>长沙市轨道交通五号线建设发展有限公司</w:t>
      </w:r>
    </w:p>
    <w:p>
      <w:pPr>
        <w:adjustRightInd w:val="0"/>
        <w:snapToGrid w:val="0"/>
        <w:spacing w:afterLines="0" w:line="360" w:lineRule="auto"/>
        <w:ind w:firstLine="1405" w:firstLineChars="500"/>
        <w:jc w:val="left"/>
        <w:rPr>
          <w:rFonts w:hint="eastAsia" w:ascii="仿宋_GB2312" w:hAnsi="仿宋_GB2312" w:eastAsia="仿宋_GB2312" w:cs="仿宋_GB2312"/>
          <w:b/>
          <w:sz w:val="28"/>
          <w:szCs w:val="28"/>
        </w:rPr>
      </w:pPr>
      <w:r>
        <w:rPr>
          <w:rFonts w:hint="eastAsia" w:ascii="仿宋_GB2312" w:hAnsi="仿宋_GB2312" w:cs="仿宋_GB2312"/>
          <w:b/>
          <w:sz w:val="28"/>
          <w:szCs w:val="28"/>
          <w:u w:val="dotted"/>
          <w:lang w:val="en-US" w:eastAsia="zh-CN"/>
        </w:rPr>
        <w:t>长沙市轨道交通运营有限公司</w:t>
      </w:r>
      <w:r>
        <w:rPr>
          <w:rFonts w:hint="eastAsia" w:ascii="仿宋_GB2312" w:hAnsi="仿宋_GB2312" w:eastAsia="仿宋_GB2312" w:cs="仿宋_GB2312"/>
          <w:b/>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afterLines="0" w:line="360" w:lineRule="auto"/>
        <w:ind w:left="0" w:leftChars="0" w:right="0" w:rightChars="0" w:firstLine="562" w:firstLineChars="200"/>
        <w:jc w:val="left"/>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乙方：</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u w:val="dotted"/>
          <w:lang w:val="en-US" w:eastAsia="zh-CN"/>
        </w:rPr>
        <w:t xml:space="preserve">             </w:t>
      </w:r>
      <w:r>
        <w:rPr>
          <w:rFonts w:hint="eastAsia" w:ascii="仿宋_GB2312" w:hAnsi="仿宋_GB2312" w:eastAsia="仿宋_GB2312" w:cs="仿宋_GB2312"/>
          <w:b/>
          <w:sz w:val="28"/>
          <w:szCs w:val="28"/>
          <w:u w:val="dotted"/>
        </w:rPr>
        <w:t xml:space="preserve">   </w:t>
      </w:r>
      <w:r>
        <w:rPr>
          <w:rFonts w:hint="eastAsia" w:ascii="仿宋_GB2312" w:hAnsi="仿宋_GB2312" w:cs="仿宋_GB2312"/>
          <w:b/>
          <w:sz w:val="28"/>
          <w:szCs w:val="28"/>
          <w:u w:val="dotted"/>
          <w:lang w:val="en-US" w:eastAsia="zh-CN"/>
        </w:rPr>
        <w:t xml:space="preserve"> </w:t>
      </w:r>
      <w:r>
        <w:rPr>
          <w:rFonts w:hint="eastAsia" w:ascii="仿宋_GB2312" w:hAnsi="仿宋_GB2312" w:eastAsia="仿宋_GB2312" w:cs="仿宋_GB2312"/>
          <w:b/>
          <w:sz w:val="28"/>
          <w:szCs w:val="28"/>
          <w:u w:val="dotted"/>
        </w:rPr>
        <w:t xml:space="preserve">         </w:t>
      </w: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p>
    <w:p>
      <w:pPr>
        <w:jc w:val="center"/>
        <w:outlineLvl w:val="0"/>
        <w:rPr>
          <w:rFonts w:hint="eastAsia" w:ascii="仿宋_GB2312" w:hAnsi="仿宋_GB2312" w:eastAsia="仿宋_GB2312" w:cs="仿宋_GB2312"/>
          <w:b/>
          <w:sz w:val="32"/>
          <w:szCs w:val="32"/>
        </w:rPr>
        <w:sectPr>
          <w:pgSz w:w="11850" w:h="16783"/>
          <w:pgMar w:top="1440" w:right="1361" w:bottom="1440" w:left="1474" w:header="851" w:footer="992" w:gutter="0"/>
          <w:pgNumType w:fmt="decimal"/>
          <w:cols w:space="720" w:num="1"/>
          <w:titlePg/>
          <w:docGrid w:type="lines" w:linePitch="312" w:charSpace="0"/>
        </w:sectPr>
      </w:pPr>
      <w:bookmarkStart w:id="104" w:name="_Toc4975"/>
      <w:bookmarkStart w:id="105" w:name="_Toc4531"/>
    </w:p>
    <w:p>
      <w:pPr>
        <w:jc w:val="center"/>
        <w:outlineLvl w:val="9"/>
        <w:rPr>
          <w:rFonts w:hint="eastAsia" w:ascii="仿宋" w:hAnsi="仿宋" w:eastAsia="仿宋"/>
          <w:b/>
          <w:sz w:val="32"/>
          <w:szCs w:val="32"/>
        </w:rPr>
      </w:pPr>
      <w:bookmarkStart w:id="106" w:name="_Toc4014"/>
      <w:r>
        <w:rPr>
          <w:rFonts w:hint="eastAsia" w:ascii="仿宋_GB2312" w:hAnsi="仿宋_GB2312" w:eastAsia="仿宋_GB2312" w:cs="仿宋_GB2312"/>
          <w:b/>
          <w:sz w:val="32"/>
          <w:szCs w:val="32"/>
        </w:rPr>
        <w:t>第一部分 合同协议书</w:t>
      </w:r>
      <w:bookmarkEnd w:id="104"/>
      <w:bookmarkEnd w:id="105"/>
      <w:bookmarkEnd w:id="106"/>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ascii="仿宋_GB2312" w:hAnsi="宋体" w:eastAsia="仿宋_GB2312"/>
          <w:sz w:val="24"/>
          <w:u w:val="single"/>
        </w:rPr>
      </w:pPr>
      <w:r>
        <w:rPr>
          <w:rFonts w:hint="eastAsia" w:ascii="仿宋_GB2312" w:hAnsi="宋体" w:eastAsia="仿宋_GB2312"/>
          <w:sz w:val="24"/>
        </w:rPr>
        <w:t xml:space="preserve">甲方（委托方）：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长沙市轨道交通五号线建设发展有限公司</w:t>
      </w:r>
      <w:r>
        <w:rPr>
          <w:rFonts w:hint="eastAsia" w:ascii="仿宋_GB2312" w:hAnsi="宋体"/>
          <w:sz w:val="24"/>
          <w:u w:val="single"/>
          <w:lang w:val="en-US" w:eastAsia="zh-CN"/>
        </w:rPr>
        <w:t>、</w:t>
      </w:r>
      <w:r>
        <w:rPr>
          <w:rFonts w:hint="eastAsia" w:ascii="仿宋_GB2312" w:hAnsi="宋体" w:eastAsia="仿宋_GB2312"/>
          <w:sz w:val="24"/>
          <w:u w:val="single"/>
          <w:lang w:val="en-US" w:eastAsia="zh-CN"/>
        </w:rPr>
        <w:t>长沙市轨道交通运营有限公司</w:t>
      </w:r>
      <w:r>
        <w:rPr>
          <w:rFonts w:hint="eastAsia" w:ascii="仿宋_GB2312" w:hAnsi="宋体"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ascii="仿宋_GB2312" w:hAnsi="宋体" w:eastAsia="仿宋_GB2312"/>
          <w:sz w:val="24"/>
        </w:rPr>
      </w:pPr>
      <w:r>
        <w:rPr>
          <w:rFonts w:hint="eastAsia" w:ascii="仿宋_GB2312" w:hAnsi="宋体" w:eastAsia="仿宋_GB2312"/>
          <w:sz w:val="24"/>
        </w:rPr>
        <w:t xml:space="preserve">乙方（受托方）：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highlight w:val="none"/>
          <w:lang w:eastAsia="zh-CN"/>
        </w:rPr>
      </w:pPr>
      <w:r>
        <w:rPr>
          <w:rFonts w:hint="eastAsia" w:ascii="仿宋_GB2312" w:hAnsi="宋体" w:eastAsia="仿宋_GB2312" w:cs="宋体"/>
          <w:bCs/>
          <w:sz w:val="24"/>
          <w:lang w:eastAsia="zh-CN"/>
        </w:rPr>
        <w:t>为了保护甲、乙双方合法权益，根据《中华人民共和国民法典》及其他有关法律法规、规章</w:t>
      </w:r>
      <w:r>
        <w:rPr>
          <w:rFonts w:hint="eastAsia" w:ascii="仿宋_GB2312" w:hAnsi="宋体" w:eastAsia="仿宋_GB2312" w:cs="宋体"/>
          <w:bCs/>
          <w:sz w:val="24"/>
          <w:lang w:val="en-US" w:eastAsia="zh-CN"/>
        </w:rPr>
        <w:t>的规定</w:t>
      </w:r>
      <w:r>
        <w:rPr>
          <w:rFonts w:hint="eastAsia" w:ascii="仿宋_GB2312" w:hAnsi="宋体" w:eastAsia="仿宋_GB2312" w:cs="宋体"/>
          <w:bCs/>
          <w:sz w:val="24"/>
          <w:lang w:eastAsia="zh-CN"/>
        </w:rPr>
        <w:t>，双方经过平等协商，在真实、充分地表达各自意愿的基础上，达成如下协议，并由双方共同恪守。</w:t>
      </w:r>
    </w:p>
    <w:p>
      <w:pPr>
        <w:keepNext w:val="0"/>
        <w:keepLines w:val="0"/>
        <w:pageBreakBefore w:val="0"/>
        <w:widowControl/>
        <w:kinsoku/>
        <w:wordWrap/>
        <w:overflowPunct/>
        <w:topLinePunct w:val="0"/>
        <w:autoSpaceDE w:val="0"/>
        <w:autoSpaceDN w:val="0"/>
        <w:bidi w:val="0"/>
        <w:adjustRightInd w:val="0"/>
        <w:snapToGrid/>
        <w:spacing w:before="238" w:beforeLines="50" w:line="400" w:lineRule="exact"/>
        <w:ind w:left="0" w:leftChars="0" w:right="0" w:rightChars="0" w:firstLine="0" w:firstLineChars="0"/>
        <w:jc w:val="left"/>
        <w:textAlignment w:val="auto"/>
        <w:outlineLvl w:val="9"/>
        <w:rPr>
          <w:rFonts w:ascii="仿宋_GB2312" w:eastAsia="仿宋_GB2312"/>
          <w:b/>
          <w:bCs/>
          <w:sz w:val="24"/>
        </w:rPr>
      </w:pPr>
      <w:bookmarkStart w:id="107" w:name="_Toc26171"/>
      <w:bookmarkStart w:id="108" w:name="_Toc32742"/>
      <w:bookmarkStart w:id="109" w:name="_Toc32562"/>
      <w:bookmarkStart w:id="110" w:name="_Toc17907"/>
      <w:bookmarkStart w:id="111" w:name="_Toc26896"/>
      <w:r>
        <w:rPr>
          <w:rFonts w:hint="eastAsia" w:ascii="仿宋_GB2312" w:eastAsia="仿宋_GB2312"/>
          <w:b/>
          <w:bCs/>
          <w:sz w:val="24"/>
        </w:rPr>
        <w:t>一</w:t>
      </w:r>
      <w:r>
        <w:rPr>
          <w:rFonts w:hint="eastAsia" w:ascii="仿宋_GB2312"/>
          <w:b/>
          <w:bCs/>
          <w:sz w:val="24"/>
          <w:lang w:eastAsia="zh-CN"/>
        </w:rPr>
        <w:t>、</w:t>
      </w:r>
      <w:r>
        <w:rPr>
          <w:rFonts w:hint="eastAsia" w:ascii="仿宋_GB2312" w:eastAsia="仿宋_GB2312"/>
          <w:b/>
          <w:bCs/>
          <w:sz w:val="24"/>
        </w:rPr>
        <w:t>项目概况</w:t>
      </w:r>
      <w:bookmarkEnd w:id="107"/>
      <w:bookmarkEnd w:id="108"/>
      <w:bookmarkEnd w:id="109"/>
      <w:bookmarkEnd w:id="110"/>
      <w:bookmarkEnd w:id="111"/>
    </w:p>
    <w:p>
      <w:pPr>
        <w:keepNext w:val="0"/>
        <w:keepLines w:val="0"/>
        <w:pageBreakBefore w:val="0"/>
        <w:widowControl/>
        <w:kinsoku/>
        <w:wordWrap/>
        <w:overflowPunct/>
        <w:topLinePunct w:val="0"/>
        <w:autoSpaceDE w:val="0"/>
        <w:autoSpaceDN w:val="0"/>
        <w:bidi w:val="0"/>
        <w:adjustRightInd w:val="0"/>
        <w:spacing w:line="400" w:lineRule="exact"/>
        <w:ind w:left="429" w:leftChars="200" w:hanging="9" w:hangingChars="4"/>
        <w:jc w:val="left"/>
        <w:textAlignment w:val="auto"/>
        <w:outlineLvl w:val="9"/>
        <w:rPr>
          <w:rFonts w:ascii="仿宋_GB2312" w:eastAsia="仿宋_GB2312"/>
          <w:bCs/>
          <w:sz w:val="24"/>
        </w:rPr>
      </w:pPr>
      <w:r>
        <w:rPr>
          <w:rFonts w:hint="eastAsia" w:ascii="仿宋_GB2312" w:eastAsia="仿宋_GB2312"/>
          <w:bCs/>
          <w:sz w:val="24"/>
        </w:rPr>
        <w:t>1、</w:t>
      </w:r>
      <w:r>
        <w:rPr>
          <w:rFonts w:hint="eastAsia" w:ascii="仿宋_GB2312" w:hAnsi="宋体" w:eastAsia="仿宋_GB2312" w:cs="宋体"/>
          <w:bCs/>
          <w:sz w:val="24"/>
          <w:lang w:eastAsia="zh-CN"/>
        </w:rPr>
        <w:t>项目名称：</w:t>
      </w:r>
      <w:r>
        <w:rPr>
          <w:rFonts w:hint="eastAsia" w:ascii="仿宋_GB2312" w:hAnsi="宋体" w:eastAsia="仿宋_GB2312" w:cs="宋体"/>
          <w:bCs/>
          <w:sz w:val="24"/>
          <w:u w:val="single"/>
          <w:lang w:val="en-US" w:eastAsia="zh-CN"/>
        </w:rPr>
        <w:t>长沙市轨道交通5号线、西环线运营期2023-2025年水渡河车辆段、九华车辆基地食堂委外经营服务项目</w:t>
      </w:r>
    </w:p>
    <w:p>
      <w:pPr>
        <w:keepNext w:val="0"/>
        <w:keepLines w:val="0"/>
        <w:pageBreakBefore w:val="0"/>
        <w:kinsoku/>
        <w:wordWrap/>
        <w:overflowPunct/>
        <w:topLinePunct w:val="0"/>
        <w:bidi w:val="0"/>
        <w:spacing w:line="400" w:lineRule="exact"/>
        <w:ind w:firstLine="480" w:firstLineChars="200"/>
        <w:textAlignment w:val="auto"/>
        <w:outlineLvl w:val="9"/>
        <w:rPr>
          <w:rFonts w:hint="eastAsia" w:ascii="仿宋_GB2312" w:hAnsi="宋体" w:eastAsia="仿宋_GB2312"/>
          <w:sz w:val="24"/>
          <w:u w:val="single"/>
          <w:lang w:val="en-US" w:eastAsia="zh-CN"/>
        </w:rPr>
      </w:pPr>
      <w:r>
        <w:rPr>
          <w:rFonts w:hint="eastAsia" w:ascii="仿宋_GB2312"/>
          <w:bCs/>
          <w:sz w:val="24"/>
          <w:lang w:val="en-US" w:eastAsia="zh-CN"/>
        </w:rPr>
        <w:t>2、</w:t>
      </w:r>
      <w:r>
        <w:rPr>
          <w:rFonts w:hint="eastAsia" w:ascii="仿宋_GB2312" w:hAnsi="宋体" w:eastAsia="仿宋_GB2312" w:cs="宋体"/>
          <w:bCs/>
          <w:sz w:val="24"/>
          <w:lang w:val="en-US" w:eastAsia="zh-CN"/>
        </w:rPr>
        <w:t>项目地点</w:t>
      </w:r>
      <w:r>
        <w:rPr>
          <w:rFonts w:hint="eastAsia" w:ascii="仿宋_GB2312"/>
          <w:bCs/>
          <w:sz w:val="24"/>
          <w:lang w:val="en-US" w:eastAsia="zh-CN"/>
        </w:rPr>
        <w:t>：</w:t>
      </w:r>
      <w:r>
        <w:rPr>
          <w:rFonts w:hint="eastAsia" w:ascii="仿宋_GB2312" w:hAnsi="宋体" w:eastAsia="仿宋_GB2312" w:cs="宋体"/>
          <w:bCs/>
          <w:sz w:val="24"/>
          <w:u w:val="single"/>
          <w:lang w:val="en-US" w:eastAsia="zh-CN"/>
        </w:rPr>
        <w:t xml:space="preserve"> 湖南省长沙市 </w:t>
      </w:r>
    </w:p>
    <w:p>
      <w:pPr>
        <w:keepNext w:val="0"/>
        <w:keepLines w:val="0"/>
        <w:pageBreakBefore w:val="0"/>
        <w:kinsoku/>
        <w:wordWrap/>
        <w:overflowPunct/>
        <w:topLinePunct w:val="0"/>
        <w:bidi w:val="0"/>
        <w:spacing w:line="400" w:lineRule="exact"/>
        <w:textAlignment w:val="auto"/>
        <w:outlineLvl w:val="9"/>
        <w:rPr>
          <w:rFonts w:hint="eastAsia" w:ascii="仿宋_GB2312" w:hAnsi="仿宋_GB2312" w:cs="仿宋_GB2312"/>
          <w:b/>
          <w:bCs/>
          <w:color w:val="auto"/>
          <w:sz w:val="24"/>
          <w:szCs w:val="24"/>
          <w:highlight w:val="none"/>
          <w:lang w:val="en-US" w:eastAsia="zh-CN"/>
        </w:rPr>
      </w:pPr>
      <w:r>
        <w:rPr>
          <w:rFonts w:hint="eastAsia" w:ascii="仿宋_GB2312" w:hAnsi="宋体"/>
          <w:b/>
          <w:bCs/>
          <w:sz w:val="24"/>
          <w:u w:val="none"/>
          <w:lang w:val="en-US" w:eastAsia="zh-CN"/>
        </w:rPr>
        <w:t>二、</w:t>
      </w:r>
      <w:r>
        <w:rPr>
          <w:rFonts w:hint="eastAsia" w:ascii="仿宋_GB2312" w:hAnsi="仿宋_GB2312" w:cs="仿宋_GB2312"/>
          <w:b/>
          <w:bCs/>
          <w:color w:val="auto"/>
          <w:sz w:val="24"/>
          <w:szCs w:val="24"/>
          <w:highlight w:val="none"/>
          <w:lang w:val="en-US" w:eastAsia="zh-CN"/>
        </w:rPr>
        <w:t>合同范围及工作内容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仿宋_GB2312" w:hAnsi="仿宋_GB2312" w:eastAsia="仿宋_GB2312" w:cs="仿宋_GB2312"/>
          <w:b w:val="0"/>
          <w:bCs w:val="0"/>
          <w:color w:val="auto"/>
          <w:sz w:val="24"/>
          <w:szCs w:val="24"/>
          <w:highlight w:val="none"/>
          <w:u w:val="single"/>
          <w:lang w:val="en-US" w:eastAsia="zh-CN"/>
        </w:rPr>
      </w:pPr>
      <w:r>
        <w:rPr>
          <w:rFonts w:hint="eastAsia" w:ascii="仿宋_GB2312" w:hAnsi="宋体" w:eastAsia="仿宋_GB2312" w:cs="宋体"/>
          <w:bCs/>
          <w:sz w:val="24"/>
          <w:u w:val="single"/>
          <w:lang w:val="en-US" w:eastAsia="zh-CN"/>
        </w:rPr>
        <w:t xml:space="preserve">  以竞谈文件为准  ，</w:t>
      </w:r>
      <w:r>
        <w:rPr>
          <w:rFonts w:hint="eastAsia" w:ascii="仿宋_GB2312" w:hAnsi="宋体" w:eastAsia="仿宋_GB2312" w:cs="宋体"/>
          <w:bCs/>
          <w:sz w:val="24"/>
          <w:lang w:val="en-US" w:eastAsia="zh-CN"/>
        </w:rPr>
        <w:t>具体以用户需求书/技术规格书为准。</w:t>
      </w:r>
    </w:p>
    <w:p>
      <w:pPr>
        <w:keepNext w:val="0"/>
        <w:keepLines w:val="0"/>
        <w:pageBreakBefore w:val="0"/>
        <w:numPr>
          <w:ilvl w:val="0"/>
          <w:numId w:val="19"/>
        </w:numPr>
        <w:kinsoku/>
        <w:wordWrap/>
        <w:overflowPunct/>
        <w:topLinePunct w:val="0"/>
        <w:bidi w:val="0"/>
        <w:spacing w:line="360" w:lineRule="auto"/>
        <w:ind w:leftChars="0"/>
        <w:textAlignment w:val="auto"/>
        <w:outlineLvl w:val="9"/>
        <w:rPr>
          <w:rFonts w:hint="eastAsia" w:ascii="仿宋_GB2312" w:hAnsi="仿宋_GB2312" w:cs="仿宋_GB2312"/>
          <w:b/>
          <w:bCs/>
          <w:color w:val="auto"/>
          <w:sz w:val="24"/>
          <w:szCs w:val="24"/>
          <w:highlight w:val="none"/>
          <w:lang w:val="en-US" w:eastAsia="zh-CN"/>
        </w:rPr>
      </w:pPr>
      <w:r>
        <w:rPr>
          <w:rFonts w:hint="eastAsia" w:ascii="仿宋_GB2312" w:hAnsi="仿宋_GB2312" w:cs="仿宋_GB2312"/>
          <w:b/>
          <w:bCs/>
          <w:color w:val="auto"/>
          <w:sz w:val="24"/>
          <w:szCs w:val="24"/>
          <w:highlight w:val="none"/>
          <w:lang w:val="en-US" w:eastAsia="zh-CN"/>
        </w:rPr>
        <w:t>合同服务期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cs="仿宋_GB2312"/>
          <w:b w:val="0"/>
          <w:bCs w:val="0"/>
          <w:color w:val="auto"/>
          <w:sz w:val="24"/>
          <w:szCs w:val="24"/>
          <w:highlight w:val="none"/>
          <w:u w:val="none"/>
          <w:lang w:val="en-US" w:eastAsia="zh-CN"/>
        </w:rPr>
      </w:pPr>
      <w:r>
        <w:rPr>
          <w:rFonts w:hint="eastAsia" w:ascii="仿宋_GB2312" w:hAnsi="仿宋_GB2312" w:cs="仿宋_GB2312"/>
          <w:b w:val="0"/>
          <w:bCs w:val="0"/>
          <w:color w:val="auto"/>
          <w:sz w:val="24"/>
          <w:szCs w:val="24"/>
          <w:highlight w:val="none"/>
          <w:u w:val="single"/>
          <w:lang w:val="en-US" w:eastAsia="zh-CN"/>
        </w:rPr>
        <w:t xml:space="preserve">  </w:t>
      </w:r>
      <w:r>
        <w:rPr>
          <w:rFonts w:hint="eastAsia" w:ascii="仿宋_GB2312" w:hAnsi="宋体" w:eastAsia="仿宋_GB2312" w:cs="宋体"/>
          <w:bCs/>
          <w:sz w:val="24"/>
          <w:u w:val="single"/>
          <w:lang w:val="en-US" w:eastAsia="zh-CN"/>
        </w:rPr>
        <w:t xml:space="preserve">以竞谈文件为准  </w:t>
      </w:r>
      <w:r>
        <w:rPr>
          <w:rFonts w:hint="eastAsia" w:ascii="仿宋_GB2312" w:hAnsi="仿宋_GB2312" w:cs="仿宋_GB2312"/>
          <w:b w:val="0"/>
          <w:bCs w:val="0"/>
          <w:color w:val="auto"/>
          <w:sz w:val="24"/>
          <w:szCs w:val="24"/>
          <w:highlight w:val="none"/>
          <w:u w:val="single"/>
          <w:lang w:val="en-US" w:eastAsia="zh-CN"/>
        </w:rPr>
        <w:t xml:space="preserve">   </w:t>
      </w:r>
      <w:r>
        <w:rPr>
          <w:rFonts w:hint="eastAsia" w:ascii="仿宋_GB2312" w:hAnsi="仿宋_GB2312" w:cs="仿宋_GB2312"/>
          <w:b w:val="0"/>
          <w:bCs w:val="0"/>
          <w:color w:val="auto"/>
          <w:sz w:val="24"/>
          <w:szCs w:val="24"/>
          <w:highlight w:val="none"/>
          <w:u w:val="none"/>
          <w:lang w:val="en-US" w:eastAsia="zh-CN"/>
        </w:rPr>
        <w:t>，</w:t>
      </w:r>
      <w:r>
        <w:rPr>
          <w:rFonts w:hint="eastAsia" w:ascii="仿宋_GB2312" w:hAnsi="宋体" w:eastAsia="仿宋_GB2312" w:cs="宋体"/>
          <w:bCs/>
          <w:sz w:val="24"/>
          <w:lang w:val="en-US" w:eastAsia="zh-CN"/>
        </w:rPr>
        <w:t>具体以用户需求书/技术规格书为准。</w:t>
      </w:r>
    </w:p>
    <w:p>
      <w:pPr>
        <w:keepNext w:val="0"/>
        <w:keepLines w:val="0"/>
        <w:pageBreakBefore w:val="0"/>
        <w:numPr>
          <w:ilvl w:val="0"/>
          <w:numId w:val="19"/>
        </w:numPr>
        <w:kinsoku/>
        <w:wordWrap/>
        <w:overflowPunct/>
        <w:topLinePunct w:val="0"/>
        <w:bidi w:val="0"/>
        <w:spacing w:line="360" w:lineRule="auto"/>
        <w:ind w:left="0" w:leftChars="0" w:firstLine="0" w:firstLineChars="0"/>
        <w:textAlignment w:val="auto"/>
        <w:outlineLvl w:val="9"/>
        <w:rPr>
          <w:rFonts w:hint="eastAsia" w:ascii="仿宋_GB2312" w:hAnsi="仿宋_GB2312" w:cs="仿宋_GB2312"/>
          <w:b/>
          <w:bCs/>
          <w:color w:val="auto"/>
          <w:sz w:val="24"/>
          <w:szCs w:val="24"/>
          <w:highlight w:val="none"/>
          <w:lang w:val="en-US" w:eastAsia="zh-CN"/>
        </w:rPr>
      </w:pPr>
      <w:r>
        <w:rPr>
          <w:rFonts w:hint="eastAsia" w:ascii="仿宋_GB2312" w:hAnsi="仿宋_GB2312" w:cs="仿宋_GB2312"/>
          <w:b/>
          <w:bCs/>
          <w:color w:val="auto"/>
          <w:sz w:val="24"/>
          <w:szCs w:val="24"/>
          <w:highlight w:val="none"/>
          <w:lang w:val="en-US" w:eastAsia="zh-CN"/>
        </w:rPr>
        <w:t>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cs="仿宋_GB2312"/>
          <w:b w:val="0"/>
          <w:bCs w:val="0"/>
          <w:color w:val="auto"/>
          <w:sz w:val="24"/>
          <w:szCs w:val="24"/>
          <w:highlight w:val="none"/>
          <w:u w:val="none"/>
          <w:lang w:val="en-US" w:eastAsia="zh-CN"/>
        </w:rPr>
      </w:pPr>
      <w:r>
        <w:rPr>
          <w:rFonts w:hint="eastAsia" w:ascii="仿宋_GB2312" w:hAnsi="仿宋_GB2312" w:eastAsia="仿宋_GB2312" w:cs="仿宋_GB2312"/>
          <w:sz w:val="24"/>
          <w:szCs w:val="24"/>
          <w:u w:val="single"/>
        </w:rPr>
        <w:t>合同价款根据实际刷卡数据、客餐和工作餐费用，按实结算。</w:t>
      </w:r>
    </w:p>
    <w:p>
      <w:pPr>
        <w:keepNext w:val="0"/>
        <w:keepLines w:val="0"/>
        <w:pageBreakBefore w:val="0"/>
        <w:widowControl/>
        <w:numPr>
          <w:ilvl w:val="0"/>
          <w:numId w:val="0"/>
        </w:numPr>
        <w:kinsoku/>
        <w:wordWrap/>
        <w:overflowPunct/>
        <w:topLinePunct w:val="0"/>
        <w:autoSpaceDE w:val="0"/>
        <w:autoSpaceDN w:val="0"/>
        <w:bidi w:val="0"/>
        <w:adjustRightInd w:val="0"/>
        <w:snapToGrid/>
        <w:spacing w:before="238" w:beforeLines="50" w:line="360" w:lineRule="auto"/>
        <w:ind w:leftChars="0" w:right="0" w:rightChars="0"/>
        <w:jc w:val="left"/>
        <w:textAlignment w:val="auto"/>
        <w:outlineLvl w:val="9"/>
        <w:rPr>
          <w:rFonts w:hint="eastAsia" w:ascii="仿宋_GB2312" w:hAnsi="宋体" w:eastAsia="仿宋_GB2312"/>
          <w:b/>
          <w:color w:val="000000"/>
          <w:sz w:val="24"/>
          <w:lang w:eastAsia="zh-CN"/>
        </w:rPr>
      </w:pPr>
      <w:bookmarkStart w:id="112" w:name="_Toc7501"/>
      <w:bookmarkStart w:id="113" w:name="_Toc27578"/>
      <w:bookmarkStart w:id="114" w:name="_Toc10509"/>
      <w:bookmarkStart w:id="115" w:name="_Toc25652"/>
      <w:bookmarkStart w:id="116" w:name="_Toc2971"/>
      <w:r>
        <w:rPr>
          <w:rFonts w:hint="eastAsia" w:ascii="仿宋_GB2312" w:hAnsi="宋体"/>
          <w:b/>
          <w:color w:val="000000"/>
          <w:sz w:val="24"/>
          <w:lang w:eastAsia="zh-CN"/>
        </w:rPr>
        <w:t>五、</w:t>
      </w:r>
      <w:r>
        <w:rPr>
          <w:rFonts w:hint="eastAsia" w:ascii="仿宋_GB2312" w:hAnsi="宋体" w:eastAsia="仿宋_GB2312"/>
          <w:b/>
          <w:color w:val="000000"/>
          <w:sz w:val="24"/>
          <w:lang w:eastAsia="zh-CN"/>
        </w:rPr>
        <w:t>合同文件</w:t>
      </w:r>
      <w:bookmarkEnd w:id="112"/>
      <w:bookmarkEnd w:id="113"/>
      <w:bookmarkEnd w:id="114"/>
      <w:bookmarkEnd w:id="115"/>
      <w:r>
        <w:rPr>
          <w:rFonts w:hint="eastAsia" w:ascii="仿宋_GB2312" w:hAnsi="宋体"/>
          <w:b/>
          <w:color w:val="000000"/>
          <w:sz w:val="24"/>
          <w:lang w:eastAsia="zh-CN"/>
        </w:rPr>
        <w:t>构成</w:t>
      </w:r>
      <w:bookmarkEnd w:id="116"/>
    </w:p>
    <w:p>
      <w:pPr>
        <w:keepNext w:val="0"/>
        <w:keepLines w:val="0"/>
        <w:pageBreakBefore w:val="0"/>
        <w:tabs>
          <w:tab w:val="left" w:pos="1248"/>
        </w:tabs>
        <w:kinsoku/>
        <w:wordWrap/>
        <w:overflowPunct/>
        <w:topLinePunct w:val="0"/>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rPr>
      </w:pPr>
      <w:bookmarkStart w:id="117" w:name="OLE_LINK11"/>
      <w:bookmarkStart w:id="118" w:name="OLE_LINK10"/>
      <w:r>
        <w:rPr>
          <w:rFonts w:hint="eastAsia" w:ascii="仿宋_GB2312" w:hAnsi="仿宋_GB2312" w:eastAsia="仿宋_GB2312" w:cs="仿宋_GB2312"/>
          <w:sz w:val="24"/>
        </w:rPr>
        <w:t>（1）</w:t>
      </w:r>
      <w:bookmarkEnd w:id="117"/>
      <w:bookmarkEnd w:id="118"/>
      <w:r>
        <w:rPr>
          <w:rFonts w:hint="eastAsia" w:ascii="仿宋_GB2312" w:hAnsi="仿宋_GB2312" w:eastAsia="仿宋_GB2312" w:cs="仿宋_GB2312"/>
          <w:sz w:val="24"/>
        </w:rPr>
        <w:t>补充协议（</w:t>
      </w:r>
      <w:bookmarkStart w:id="119" w:name="OLE_LINK12"/>
      <w:r>
        <w:rPr>
          <w:rFonts w:hint="eastAsia" w:ascii="仿宋_GB2312" w:hAnsi="仿宋_GB2312" w:eastAsia="仿宋_GB2312" w:cs="仿宋_GB2312"/>
          <w:sz w:val="24"/>
        </w:rPr>
        <w:t>如果有</w:t>
      </w:r>
      <w:bookmarkEnd w:id="119"/>
      <w:r>
        <w:rPr>
          <w:rFonts w:hint="eastAsia" w:ascii="仿宋_GB2312" w:hAnsi="仿宋_GB2312" w:eastAsia="仿宋_GB2312" w:cs="仿宋_GB2312"/>
          <w:sz w:val="24"/>
        </w:rPr>
        <w:t>）；</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（2）合同协议书;</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（3）中</w:t>
      </w:r>
      <w:r>
        <w:rPr>
          <w:rFonts w:hint="eastAsia" w:ascii="仿宋_GB2312" w:hAnsi="仿宋_GB2312" w:eastAsia="仿宋_GB2312" w:cs="仿宋_GB2312"/>
          <w:sz w:val="24"/>
          <w:lang w:eastAsia="zh-CN"/>
        </w:rPr>
        <w:t>选</w:t>
      </w:r>
      <w:r>
        <w:rPr>
          <w:rFonts w:hint="eastAsia" w:ascii="仿宋_GB2312" w:hAnsi="仿宋_GB2312" w:eastAsia="仿宋_GB2312" w:cs="仿宋_GB2312"/>
          <w:sz w:val="24"/>
        </w:rPr>
        <w:t>通知书;</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（4）合同条款;</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（5）技术规格书;</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（6）价格清单;</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（7）合同其他附件及乙方按合同附录格式及要求出具的文件;</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（8）</w:t>
      </w:r>
      <w:r>
        <w:rPr>
          <w:rFonts w:hint="eastAsia" w:ascii="仿宋_GB2312" w:hAnsi="仿宋_GB2312" w:eastAsia="仿宋_GB2312" w:cs="仿宋_GB2312"/>
          <w:sz w:val="24"/>
          <w:lang w:eastAsia="zh-CN"/>
        </w:rPr>
        <w:t>自主竞争性谈判</w:t>
      </w:r>
      <w:r>
        <w:rPr>
          <w:rFonts w:hint="eastAsia" w:ascii="仿宋_GB2312" w:hAnsi="仿宋_GB2312" w:eastAsia="仿宋_GB2312" w:cs="仿宋_GB2312"/>
          <w:sz w:val="24"/>
        </w:rPr>
        <w:t>文件、澄清与答疑文件及其它补充资料；</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（9）</w:t>
      </w:r>
      <w:r>
        <w:rPr>
          <w:rFonts w:hint="eastAsia" w:ascii="仿宋_GB2312" w:hAnsi="仿宋_GB2312" w:eastAsia="仿宋_GB2312" w:cs="仿宋_GB2312"/>
          <w:kern w:val="2"/>
          <w:sz w:val="24"/>
          <w:szCs w:val="21"/>
          <w:lang w:val="en-US" w:eastAsia="zh-CN" w:bidi="ar-SA"/>
        </w:rPr>
        <w:t>响应文件、澄清文件及其</w:t>
      </w:r>
      <w:r>
        <w:rPr>
          <w:rFonts w:hint="eastAsia" w:ascii="仿宋_GB2312" w:hAnsi="仿宋_GB2312" w:eastAsia="仿宋_GB2312" w:cs="仿宋_GB2312"/>
          <w:sz w:val="24"/>
        </w:rPr>
        <w:t>它补充资料；</w:t>
      </w:r>
    </w:p>
    <w:p>
      <w:pPr>
        <w:tabs>
          <w:tab w:val="left" w:pos="1248"/>
        </w:tabs>
        <w:adjustRightInd w:val="0"/>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cs="仿宋_GB2312"/>
          <w:sz w:val="24"/>
          <w:lang w:val="en-US" w:eastAsia="zh-CN"/>
        </w:rPr>
        <w:t>0</w:t>
      </w:r>
      <w:r>
        <w:rPr>
          <w:rFonts w:hint="eastAsia" w:ascii="仿宋_GB2312" w:hAnsi="仿宋_GB2312" w:eastAsia="仿宋_GB2312" w:cs="仿宋_GB2312"/>
          <w:sz w:val="24"/>
        </w:rPr>
        <w:t>）其他构成本合同的文件。</w:t>
      </w:r>
    </w:p>
    <w:p>
      <w:pPr>
        <w:snapToGrid w:val="0"/>
        <w:spacing w:line="360" w:lineRule="auto"/>
        <w:ind w:firstLine="465"/>
        <w:outlineLvl w:val="9"/>
        <w:rPr>
          <w:rFonts w:hint="eastAsia" w:ascii="仿宋_GB2312" w:hAnsi="仿宋_GB2312" w:eastAsia="仿宋_GB2312" w:cs="仿宋_GB2312"/>
          <w:sz w:val="24"/>
        </w:rPr>
      </w:pPr>
      <w:r>
        <w:rPr>
          <w:rFonts w:hint="eastAsia" w:ascii="仿宋_GB2312" w:hAnsi="仿宋_GB2312" w:eastAsia="仿宋_GB2312" w:cs="仿宋_GB2312"/>
          <w:sz w:val="24"/>
        </w:rPr>
        <w:t>上述各项合同文件包括合同当事人就该项合同文件所作出的补充和修改，属于同一类内容的文件，应以最新签署的为准。</w:t>
      </w:r>
    </w:p>
    <w:p>
      <w:pPr>
        <w:snapToGrid w:val="0"/>
        <w:spacing w:line="360" w:lineRule="auto"/>
        <w:outlineLvl w:val="9"/>
        <w:rPr>
          <w:rFonts w:hint="eastAsia" w:ascii="仿宋_GB2312" w:hAnsi="仿宋_GB2312" w:cs="仿宋_GB2312"/>
          <w:b/>
          <w:bCs/>
          <w:sz w:val="24"/>
          <w:lang w:eastAsia="zh-CN"/>
        </w:rPr>
      </w:pPr>
      <w:r>
        <w:rPr>
          <w:rFonts w:hint="eastAsia" w:ascii="仿宋_GB2312" w:hAnsi="仿宋_GB2312" w:cs="仿宋_GB2312"/>
          <w:b/>
          <w:bCs/>
          <w:sz w:val="24"/>
          <w:lang w:eastAsia="zh-CN"/>
        </w:rPr>
        <w:t>六、词语定义</w:t>
      </w:r>
    </w:p>
    <w:p>
      <w:pPr>
        <w:snapToGrid w:val="0"/>
        <w:spacing w:line="360" w:lineRule="auto"/>
        <w:ind w:firstLine="465"/>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本合同协议书中词语含义与合同条款中的词语含义相同</w:t>
      </w:r>
    </w:p>
    <w:p>
      <w:pPr>
        <w:numPr>
          <w:ilvl w:val="0"/>
          <w:numId w:val="0"/>
        </w:numPr>
        <w:snapToGrid w:val="0"/>
        <w:spacing w:line="360" w:lineRule="auto"/>
        <w:ind w:leftChars="0"/>
        <w:outlineLvl w:val="9"/>
        <w:rPr>
          <w:rFonts w:hint="eastAsia" w:ascii="仿宋_GB2312" w:hAnsi="仿宋_GB2312" w:eastAsia="仿宋_GB2312" w:cs="仿宋_GB2312"/>
          <w:b/>
          <w:bCs/>
          <w:sz w:val="24"/>
          <w:lang w:eastAsia="zh-CN"/>
        </w:rPr>
      </w:pPr>
      <w:bookmarkStart w:id="120" w:name="_Toc20080"/>
      <w:bookmarkStart w:id="121" w:name="_Toc18851"/>
      <w:bookmarkStart w:id="122" w:name="_Toc20743"/>
      <w:bookmarkStart w:id="123" w:name="_Toc16969"/>
      <w:bookmarkStart w:id="124" w:name="_Toc27696"/>
      <w:r>
        <w:rPr>
          <w:rFonts w:hint="eastAsia" w:ascii="仿宋_GB2312" w:hAnsi="仿宋_GB2312" w:cs="仿宋_GB2312"/>
          <w:b/>
          <w:bCs/>
          <w:sz w:val="24"/>
          <w:lang w:eastAsia="zh-CN"/>
        </w:rPr>
        <w:t>七、</w:t>
      </w:r>
      <w:bookmarkEnd w:id="120"/>
      <w:bookmarkEnd w:id="121"/>
      <w:bookmarkEnd w:id="122"/>
      <w:bookmarkEnd w:id="123"/>
      <w:r>
        <w:rPr>
          <w:rFonts w:hint="eastAsia" w:ascii="仿宋_GB2312" w:hAnsi="仿宋_GB2312" w:cs="仿宋_GB2312"/>
          <w:b/>
          <w:bCs/>
          <w:sz w:val="24"/>
          <w:lang w:eastAsia="zh-CN"/>
        </w:rPr>
        <w:t>签订时间</w:t>
      </w:r>
      <w:bookmarkEnd w:id="124"/>
    </w:p>
    <w:p>
      <w:pPr>
        <w:snapToGrid w:val="0"/>
        <w:spacing w:line="360" w:lineRule="auto"/>
        <w:ind w:firstLine="465"/>
        <w:outlineLvl w:val="9"/>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本合同于</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年</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月</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日签订。</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9"/>
        <w:rPr>
          <w:rFonts w:hint="eastAsia" w:ascii="仿宋_GB2312" w:hAnsi="仿宋_GB2312" w:cs="仿宋_GB2312"/>
          <w:b w:val="0"/>
          <w:bCs w:val="0"/>
          <w:sz w:val="24"/>
          <w:u w:val="none"/>
          <w:lang w:val="en-US" w:eastAsia="zh-CN"/>
        </w:rPr>
      </w:pPr>
      <w:r>
        <w:rPr>
          <w:rFonts w:hint="eastAsia" w:ascii="仿宋_GB2312" w:hAnsi="仿宋_GB2312" w:cs="仿宋_GB2312"/>
          <w:b w:val="0"/>
          <w:bCs w:val="0"/>
          <w:sz w:val="24"/>
          <w:u w:val="none"/>
          <w:lang w:val="en-US" w:eastAsia="zh-CN"/>
        </w:rPr>
        <w:t>八、签订地点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仿宋_GB2312" w:hAnsi="仿宋_GB2312" w:eastAsia="仿宋_GB2312" w:cs="仿宋_GB2312"/>
          <w:b w:val="0"/>
          <w:bCs w:val="0"/>
          <w:sz w:val="24"/>
          <w:u w:val="none"/>
          <w:lang w:val="en-US" w:eastAsia="zh-CN"/>
        </w:rPr>
      </w:pPr>
      <w:r>
        <w:rPr>
          <w:rFonts w:hint="eastAsia" w:ascii="仿宋_GB2312" w:hAnsi="仿宋_GB2312" w:eastAsia="仿宋_GB2312" w:cs="仿宋_GB2312"/>
          <w:sz w:val="24"/>
          <w:lang w:val="en-US" w:eastAsia="zh-CN"/>
        </w:rPr>
        <w:t>本合同在</w:t>
      </w:r>
      <w:r>
        <w:rPr>
          <w:rFonts w:hint="eastAsia" w:ascii="仿宋_GB2312" w:hAnsi="仿宋_GB2312" w:eastAsia="仿宋_GB2312" w:cs="仿宋_GB2312"/>
          <w:b w:val="0"/>
          <w:bCs w:val="0"/>
          <w:sz w:val="24"/>
          <w:u w:val="single"/>
          <w:lang w:val="en-US" w:eastAsia="zh-CN"/>
        </w:rPr>
        <w:t>湖南省长沙市雨花区</w:t>
      </w:r>
      <w:r>
        <w:rPr>
          <w:rFonts w:hint="eastAsia" w:ascii="仿宋_GB2312" w:hAnsi="仿宋_GB2312" w:eastAsia="仿宋_GB2312" w:cs="仿宋_GB2312"/>
          <w:sz w:val="24"/>
          <w:lang w:val="en-US" w:eastAsia="zh-CN"/>
        </w:rPr>
        <w:t>签订。</w:t>
      </w:r>
    </w:p>
    <w:p>
      <w:pPr>
        <w:tabs>
          <w:tab w:val="left" w:pos="1248"/>
        </w:tabs>
        <w:adjustRightInd w:val="0"/>
        <w:snapToGrid w:val="0"/>
        <w:spacing w:line="360" w:lineRule="auto"/>
        <w:outlineLvl w:val="9"/>
        <w:rPr>
          <w:rFonts w:hint="eastAsia" w:ascii="仿宋_GB2312" w:hAnsi="仿宋_GB2312" w:eastAsia="仿宋_GB2312" w:cs="仿宋_GB2312"/>
          <w:b/>
          <w:sz w:val="24"/>
          <w:lang w:eastAsia="zh-CN" w:bidi="ar"/>
        </w:rPr>
      </w:pPr>
      <w:bookmarkStart w:id="125" w:name="_Toc10412"/>
      <w:bookmarkStart w:id="126" w:name="_Toc29235"/>
      <w:bookmarkStart w:id="127" w:name="_Toc28722"/>
      <w:bookmarkStart w:id="128" w:name="_Toc29493"/>
      <w:bookmarkStart w:id="129" w:name="_Toc13557"/>
      <w:r>
        <w:rPr>
          <w:rFonts w:hint="eastAsia" w:ascii="仿宋_GB2312" w:hAnsi="仿宋_GB2312" w:cs="仿宋_GB2312"/>
          <w:b/>
          <w:sz w:val="24"/>
          <w:lang w:eastAsia="zh-CN" w:bidi="ar"/>
        </w:rPr>
        <w:t>九</w:t>
      </w:r>
      <w:r>
        <w:rPr>
          <w:rFonts w:hint="eastAsia" w:ascii="仿宋_GB2312" w:hAnsi="仿宋_GB2312" w:eastAsia="仿宋_GB2312" w:cs="仿宋_GB2312"/>
          <w:b/>
          <w:sz w:val="24"/>
          <w:lang w:bidi="ar"/>
        </w:rPr>
        <w:t>、</w:t>
      </w:r>
      <w:bookmarkEnd w:id="125"/>
      <w:bookmarkEnd w:id="126"/>
      <w:bookmarkEnd w:id="127"/>
      <w:bookmarkEnd w:id="128"/>
      <w:r>
        <w:rPr>
          <w:rFonts w:hint="eastAsia" w:ascii="仿宋_GB2312" w:hAnsi="仿宋_GB2312" w:cs="仿宋_GB2312"/>
          <w:b/>
          <w:sz w:val="24"/>
          <w:lang w:eastAsia="zh-CN" w:bidi="ar"/>
        </w:rPr>
        <w:t>合同生效</w:t>
      </w:r>
      <w:bookmarkEnd w:id="129"/>
    </w:p>
    <w:p>
      <w:pPr>
        <w:adjustRightInd w:val="0"/>
        <w:snapToGrid w:val="0"/>
        <w:spacing w:line="360" w:lineRule="auto"/>
        <w:ind w:firstLine="480" w:firstLineChars="200"/>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lang w:bidi="ar"/>
        </w:rPr>
        <w:t>本合同</w:t>
      </w:r>
      <w:r>
        <w:rPr>
          <w:rFonts w:hint="eastAsia" w:ascii="仿宋_GB2312" w:hAnsi="仿宋_GB2312" w:eastAsia="仿宋_GB2312" w:cs="仿宋_GB2312"/>
          <w:sz w:val="24"/>
          <w:u w:val="single"/>
          <w:lang w:bidi="ar"/>
        </w:rPr>
        <w:t>自合同双方法定代表人或其授权代表签字并加盖合同专用章</w:t>
      </w:r>
      <w:r>
        <w:rPr>
          <w:rFonts w:hint="eastAsia" w:ascii="仿宋_GB2312" w:hAnsi="仿宋_GB2312" w:eastAsia="仿宋_GB2312" w:cs="仿宋_GB2312"/>
          <w:sz w:val="24"/>
          <w:lang w:bidi="ar"/>
        </w:rPr>
        <w:t>生效</w:t>
      </w:r>
      <w:r>
        <w:rPr>
          <w:rFonts w:hint="eastAsia" w:ascii="仿宋_GB2312" w:hAnsi="仿宋_GB2312" w:cs="仿宋_GB2312"/>
          <w:sz w:val="24"/>
          <w:lang w:eastAsia="zh-CN" w:bidi="ar"/>
        </w:rPr>
        <w:t>。</w:t>
      </w:r>
    </w:p>
    <w:p>
      <w:pPr>
        <w:adjustRightInd w:val="0"/>
        <w:snapToGrid w:val="0"/>
        <w:spacing w:line="360" w:lineRule="auto"/>
        <w:outlineLvl w:val="9"/>
        <w:rPr>
          <w:rFonts w:hint="eastAsia" w:ascii="仿宋_GB2312" w:hAnsi="仿宋_GB2312" w:cs="仿宋_GB2312"/>
          <w:b/>
          <w:bCs/>
          <w:sz w:val="24"/>
          <w:lang w:eastAsia="zh-CN"/>
        </w:rPr>
      </w:pPr>
      <w:r>
        <w:rPr>
          <w:rFonts w:hint="eastAsia" w:ascii="仿宋_GB2312" w:hAnsi="仿宋_GB2312" w:cs="仿宋_GB2312"/>
          <w:b/>
          <w:bCs/>
          <w:sz w:val="24"/>
          <w:lang w:eastAsia="zh-CN"/>
        </w:rPr>
        <w:t>十、合同份数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本合同正本</w:t>
      </w:r>
      <w:r>
        <w:rPr>
          <w:rFonts w:hint="eastAsia" w:ascii="仿宋_GB2312" w:hAnsi="仿宋_GB2312" w:eastAsia="仿宋_GB2312" w:cs="仿宋_GB2312"/>
          <w:sz w:val="24"/>
          <w:highlight w:val="none"/>
          <w:u w:val="single"/>
        </w:rPr>
        <w:t>二</w:t>
      </w:r>
      <w:r>
        <w:rPr>
          <w:rFonts w:hint="eastAsia" w:ascii="仿宋_GB2312" w:hAnsi="仿宋_GB2312" w:eastAsia="仿宋_GB2312" w:cs="仿宋_GB2312"/>
          <w:sz w:val="24"/>
          <w:highlight w:val="none"/>
        </w:rPr>
        <w:t>份、副本</w:t>
      </w:r>
      <w:r>
        <w:rPr>
          <w:rFonts w:hint="eastAsia" w:ascii="仿宋_GB2312" w:hAnsi="仿宋_GB2312" w:eastAsia="仿宋_GB2312" w:cs="仿宋_GB2312"/>
          <w:sz w:val="24"/>
          <w:highlight w:val="none"/>
          <w:u w:val="single"/>
          <w:lang w:eastAsia="zh-CN"/>
        </w:rPr>
        <w:t>六</w:t>
      </w:r>
      <w:r>
        <w:rPr>
          <w:rFonts w:hint="eastAsia" w:ascii="仿宋_GB2312" w:hAnsi="仿宋_GB2312" w:eastAsia="仿宋_GB2312" w:cs="仿宋_GB2312"/>
          <w:sz w:val="24"/>
          <w:highlight w:val="none"/>
        </w:rPr>
        <w:t>份，甲方持正本</w:t>
      </w:r>
      <w:r>
        <w:rPr>
          <w:rFonts w:hint="eastAsia" w:ascii="仿宋_GB2312" w:hAnsi="仿宋_GB2312" w:eastAsia="仿宋_GB2312" w:cs="仿宋_GB2312"/>
          <w:sz w:val="24"/>
          <w:highlight w:val="none"/>
          <w:u w:val="single"/>
        </w:rPr>
        <w:t>一</w:t>
      </w:r>
      <w:r>
        <w:rPr>
          <w:rFonts w:hint="eastAsia" w:ascii="仿宋_GB2312" w:hAnsi="仿宋_GB2312" w:eastAsia="仿宋_GB2312" w:cs="仿宋_GB2312"/>
          <w:sz w:val="24"/>
          <w:highlight w:val="none"/>
        </w:rPr>
        <w:t>份、副本</w:t>
      </w:r>
      <w:r>
        <w:rPr>
          <w:rFonts w:hint="eastAsia" w:ascii="仿宋_GB2312" w:hAnsi="仿宋_GB2312" w:eastAsia="仿宋_GB2312" w:cs="仿宋_GB2312"/>
          <w:sz w:val="24"/>
          <w:highlight w:val="none"/>
          <w:u w:val="single"/>
          <w:lang w:eastAsia="zh-CN"/>
        </w:rPr>
        <w:t>五</w:t>
      </w:r>
      <w:r>
        <w:rPr>
          <w:rFonts w:hint="eastAsia" w:ascii="仿宋_GB2312" w:hAnsi="仿宋_GB2312" w:eastAsia="仿宋_GB2312" w:cs="仿宋_GB2312"/>
          <w:sz w:val="24"/>
          <w:highlight w:val="none"/>
        </w:rPr>
        <w:t>份，乙方持正本</w:t>
      </w:r>
      <w:r>
        <w:rPr>
          <w:rFonts w:hint="eastAsia" w:ascii="仿宋_GB2312" w:hAnsi="仿宋_GB2312" w:eastAsia="仿宋_GB2312" w:cs="仿宋_GB2312"/>
          <w:sz w:val="24"/>
          <w:highlight w:val="none"/>
          <w:u w:val="single"/>
        </w:rPr>
        <w:t>一</w:t>
      </w:r>
      <w:r>
        <w:rPr>
          <w:rFonts w:hint="eastAsia" w:ascii="仿宋_GB2312" w:hAnsi="仿宋_GB2312" w:eastAsia="仿宋_GB2312" w:cs="仿宋_GB2312"/>
          <w:sz w:val="24"/>
          <w:highlight w:val="none"/>
        </w:rPr>
        <w:t>份、副本</w:t>
      </w:r>
      <w:r>
        <w:rPr>
          <w:rFonts w:hint="eastAsia" w:ascii="仿宋_GB2312" w:hAnsi="仿宋_GB2312" w:eastAsia="仿宋_GB2312" w:cs="仿宋_GB2312"/>
          <w:sz w:val="24"/>
          <w:highlight w:val="none"/>
          <w:u w:val="single"/>
          <w:lang w:eastAsia="zh-CN"/>
        </w:rPr>
        <w:t>一</w:t>
      </w:r>
      <w:r>
        <w:rPr>
          <w:rFonts w:hint="eastAsia" w:ascii="仿宋_GB2312" w:hAnsi="仿宋_GB2312" w:eastAsia="仿宋_GB2312" w:cs="仿宋_GB2312"/>
          <w:sz w:val="24"/>
          <w:highlight w:val="none"/>
        </w:rPr>
        <w:t>份。合同正本与副本具有同等效力，当合同副本与正本之间存有差异时，以合同正本为准。</w:t>
      </w:r>
    </w:p>
    <w:p>
      <w:pPr>
        <w:adjustRightInd w:val="0"/>
        <w:snapToGrid w:val="0"/>
        <w:spacing w:line="360" w:lineRule="auto"/>
        <w:ind w:firstLine="480" w:firstLineChars="200"/>
        <w:outlineLvl w:val="9"/>
        <w:rPr>
          <w:rFonts w:hint="eastAsia" w:ascii="仿宋_GB2312" w:hAnsi="仿宋_GB2312" w:eastAsia="仿宋_GB2312" w:cs="仿宋_GB2312"/>
          <w:sz w:val="24"/>
          <w:highlight w:val="none"/>
        </w:rPr>
      </w:pPr>
    </w:p>
    <w:tbl>
      <w:tblPr>
        <w:tblStyle w:val="47"/>
        <w:tblW w:w="0" w:type="auto"/>
        <w:jc w:val="center"/>
        <w:tblLayout w:type="fixed"/>
        <w:tblCellMar>
          <w:top w:w="0" w:type="dxa"/>
          <w:left w:w="108" w:type="dxa"/>
          <w:bottom w:w="0" w:type="dxa"/>
          <w:right w:w="108" w:type="dxa"/>
        </w:tblCellMar>
      </w:tblPr>
      <w:tblGrid>
        <w:gridCol w:w="3986"/>
        <w:gridCol w:w="3794"/>
      </w:tblGrid>
      <w:tr>
        <w:tblPrEx>
          <w:tblCellMar>
            <w:top w:w="0" w:type="dxa"/>
            <w:left w:w="108" w:type="dxa"/>
            <w:bottom w:w="0" w:type="dxa"/>
            <w:right w:w="108" w:type="dxa"/>
          </w:tblCellMar>
        </w:tblPrEx>
        <w:trPr>
          <w:trHeight w:val="785"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甲方：(盖章)</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lang w:eastAsia="zh-CN"/>
              </w:rPr>
              <w:t>乙</w:t>
            </w:r>
            <w:r>
              <w:rPr>
                <w:rFonts w:hint="eastAsia" w:ascii="仿宋_GB2312" w:hAnsi="宋体" w:eastAsia="仿宋_GB2312"/>
                <w:sz w:val="24"/>
              </w:rPr>
              <w:t>方：（盖章）</w:t>
            </w:r>
          </w:p>
        </w:tc>
      </w:tr>
      <w:tr>
        <w:tblPrEx>
          <w:tblCellMar>
            <w:top w:w="0" w:type="dxa"/>
            <w:left w:w="108" w:type="dxa"/>
            <w:bottom w:w="0" w:type="dxa"/>
            <w:right w:w="108" w:type="dxa"/>
          </w:tblCellMar>
        </w:tblPrEx>
        <w:trPr>
          <w:trHeight w:val="785"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法定代表人或其授权代表：</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法定代表人或其授权代表：</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 xml:space="preserve">地址： </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地址：</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 xml:space="preserve">邮编： </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邮编：</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 xml:space="preserve">电话： </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电话：</w:t>
            </w:r>
          </w:p>
        </w:tc>
      </w:tr>
      <w:tr>
        <w:tblPrEx>
          <w:tblCellMar>
            <w:top w:w="0" w:type="dxa"/>
            <w:left w:w="108" w:type="dxa"/>
            <w:bottom w:w="0" w:type="dxa"/>
            <w:right w:w="108" w:type="dxa"/>
          </w:tblCellMar>
        </w:tblPrEx>
        <w:trPr>
          <w:trHeight w:val="1286"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 xml:space="preserve">传真： </w:t>
            </w:r>
          </w:p>
          <w:p>
            <w:pPr>
              <w:spacing w:line="360" w:lineRule="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电子邮箱：</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传真：</w:t>
            </w:r>
          </w:p>
          <w:p>
            <w:pPr>
              <w:spacing w:line="360" w:lineRule="auto"/>
              <w:outlineLvl w:val="9"/>
              <w:rPr>
                <w:rFonts w:hint="eastAsia" w:ascii="仿宋_GB2312" w:hAnsi="宋体" w:eastAsia="仿宋_GB2312"/>
                <w:sz w:val="24"/>
              </w:rPr>
            </w:pPr>
            <w:r>
              <w:rPr>
                <w:rFonts w:hint="eastAsia" w:ascii="仿宋_GB2312" w:hAnsi="宋体" w:eastAsia="仿宋_GB2312"/>
                <w:sz w:val="24"/>
                <w:lang w:val="en-US" w:eastAsia="zh-CN"/>
              </w:rPr>
              <w:t>电子邮箱：</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开户银行：</w:t>
            </w:r>
            <w:r>
              <w:rPr>
                <w:rFonts w:hint="eastAsia" w:ascii="仿宋_GB2312" w:eastAsia="仿宋_GB2312"/>
                <w:sz w:val="24"/>
                <w:lang w:val="en-US" w:eastAsia="zh-CN"/>
              </w:rPr>
              <w:t xml:space="preserve"> </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rPr>
            </w:pPr>
            <w:r>
              <w:rPr>
                <w:rFonts w:hint="eastAsia" w:ascii="仿宋_GB2312" w:hAnsi="宋体" w:eastAsia="仿宋_GB2312"/>
                <w:sz w:val="24"/>
              </w:rPr>
              <w:t>开户银行：</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lang w:val="en-US" w:eastAsia="zh-CN"/>
              </w:rPr>
            </w:pPr>
            <w:r>
              <w:rPr>
                <w:rFonts w:hint="eastAsia" w:ascii="仿宋_GB2312" w:hAnsi="宋体" w:eastAsia="仿宋_GB2312"/>
                <w:sz w:val="24"/>
              </w:rPr>
              <w:t>账号：</w:t>
            </w:r>
            <w:r>
              <w:rPr>
                <w:rFonts w:hint="eastAsia" w:ascii="仿宋_GB2312" w:eastAsia="仿宋_GB2312"/>
                <w:sz w:val="24"/>
                <w:lang w:val="en-US" w:eastAsia="zh-CN"/>
              </w:rPr>
              <w:t xml:space="preserve"> </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lang w:eastAsia="zh-CN"/>
              </w:rPr>
            </w:pPr>
            <w:r>
              <w:rPr>
                <w:rFonts w:hint="eastAsia" w:ascii="仿宋_GB2312" w:hAnsi="宋体" w:eastAsia="仿宋_GB2312"/>
                <w:sz w:val="24"/>
              </w:rPr>
              <w:t>账号：</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outlineLvl w:val="9"/>
              <w:rPr>
                <w:rFonts w:hint="eastAsia" w:ascii="仿宋_GB2312" w:hAnsi="宋体" w:eastAsia="仿宋_GB2312"/>
                <w:sz w:val="24"/>
                <w:lang w:val="en-US" w:eastAsia="zh-CN"/>
              </w:rPr>
            </w:pPr>
            <w:r>
              <w:rPr>
                <w:rFonts w:hint="eastAsia" w:ascii="仿宋_GB2312" w:hAnsi="宋体" w:eastAsia="仿宋_GB2312"/>
                <w:sz w:val="24"/>
                <w:lang w:eastAsia="zh-CN"/>
              </w:rPr>
              <w:t>税号：</w:t>
            </w:r>
            <w:r>
              <w:rPr>
                <w:rFonts w:hint="eastAsia" w:ascii="仿宋_GB2312" w:eastAsia="仿宋_GB2312"/>
                <w:sz w:val="24"/>
                <w:lang w:val="en-US" w:eastAsia="zh-CN"/>
              </w:rPr>
              <w:t xml:space="preserve"> </w:t>
            </w:r>
          </w:p>
        </w:tc>
        <w:tc>
          <w:tcPr>
            <w:tcW w:w="3794" w:type="dxa"/>
            <w:tcBorders>
              <w:top w:val="nil"/>
              <w:left w:val="nil"/>
              <w:bottom w:val="nil"/>
              <w:right w:val="nil"/>
            </w:tcBorders>
            <w:noWrap w:val="0"/>
            <w:vAlign w:val="top"/>
          </w:tcPr>
          <w:p>
            <w:pPr>
              <w:spacing w:line="360" w:lineRule="auto"/>
              <w:outlineLvl w:val="9"/>
              <w:rPr>
                <w:rFonts w:hint="eastAsia" w:ascii="仿宋_GB2312" w:hAnsi="宋体" w:eastAsia="仿宋_GB2312"/>
                <w:sz w:val="24"/>
                <w:lang w:eastAsia="zh-CN"/>
              </w:rPr>
            </w:pPr>
            <w:r>
              <w:rPr>
                <w:rFonts w:hint="eastAsia" w:ascii="仿宋_GB2312" w:hAnsi="宋体" w:eastAsia="仿宋_GB2312"/>
                <w:sz w:val="24"/>
                <w:lang w:eastAsia="zh-CN"/>
              </w:rPr>
              <w:t>税号：</w:t>
            </w:r>
          </w:p>
        </w:tc>
      </w:tr>
    </w:tbl>
    <w:p>
      <w:pPr>
        <w:jc w:val="center"/>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lang w:eastAsia="zh-CN"/>
        </w:rPr>
        <w:br w:type="page"/>
      </w:r>
      <w:bookmarkStart w:id="130" w:name="_Toc26163"/>
      <w:bookmarkStart w:id="131" w:name="_Toc26438"/>
      <w:bookmarkStart w:id="132" w:name="_Toc22850"/>
      <w:r>
        <w:rPr>
          <w:rFonts w:hint="eastAsia" w:ascii="仿宋_GB2312" w:hAnsi="仿宋_GB2312" w:eastAsia="仿宋_GB2312" w:cs="仿宋_GB2312"/>
          <w:b/>
          <w:bCs/>
          <w:sz w:val="32"/>
          <w:szCs w:val="32"/>
          <w:lang w:eastAsia="zh-CN"/>
        </w:rPr>
        <w:t>第二部分</w:t>
      </w:r>
      <w:r>
        <w:rPr>
          <w:rFonts w:hint="eastAsia" w:ascii="仿宋_GB2312" w:hAnsi="仿宋_GB2312" w:eastAsia="仿宋_GB2312" w:cs="仿宋_GB2312"/>
          <w:b/>
          <w:bCs/>
          <w:sz w:val="32"/>
          <w:szCs w:val="32"/>
          <w:lang w:val="en-US" w:eastAsia="zh-CN"/>
        </w:rPr>
        <w:t xml:space="preserve"> 中选通知书</w:t>
      </w:r>
      <w:bookmarkEnd w:id="130"/>
      <w:bookmarkEnd w:id="131"/>
      <w:bookmarkEnd w:id="132"/>
    </w:p>
    <w:p>
      <w:pPr>
        <w:adjustRightInd w:val="0"/>
        <w:snapToGrid w:val="0"/>
        <w:spacing w:line="400" w:lineRule="exact"/>
        <w:jc w:val="center"/>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bookmarkStart w:id="133" w:name="_Toc1724"/>
      <w:bookmarkStart w:id="134" w:name="_Toc1507"/>
      <w:bookmarkStart w:id="135" w:name="_Toc28738"/>
      <w:bookmarkStart w:id="136" w:name="_Toc10635"/>
      <w:bookmarkStart w:id="137" w:name="_Toc31260"/>
      <w:r>
        <w:rPr>
          <w:rFonts w:hint="eastAsia" w:ascii="仿宋_GB2312" w:hAnsi="仿宋_GB2312" w:eastAsia="仿宋_GB2312" w:cs="仿宋_GB2312"/>
          <w:b/>
          <w:sz w:val="32"/>
          <w:szCs w:val="32"/>
          <w:lang w:val="en-US" w:eastAsia="zh-CN"/>
        </w:rPr>
        <w:t>第三部分 合同条款</w:t>
      </w:r>
      <w:bookmarkEnd w:id="133"/>
      <w:bookmarkEnd w:id="134"/>
      <w:bookmarkEnd w:id="135"/>
      <w:bookmarkEnd w:id="136"/>
      <w:bookmarkEnd w:id="13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cs="仿宋_GB2312"/>
          <w:b/>
          <w:bCs/>
          <w:lang w:eastAsia="zh-CN"/>
        </w:rPr>
      </w:pPr>
      <w:bookmarkStart w:id="138" w:name="_Toc22585"/>
      <w:bookmarkStart w:id="139" w:name="_Toc29904"/>
      <w:bookmarkStart w:id="140" w:name="_Toc14093"/>
      <w:r>
        <w:rPr>
          <w:rFonts w:hint="eastAsia" w:ascii="仿宋_GB2312" w:hAnsi="仿宋_GB2312" w:cs="仿宋_GB2312"/>
          <w:b/>
          <w:bCs/>
          <w:lang w:eastAsia="zh-CN"/>
        </w:rPr>
        <w:t>一、</w:t>
      </w:r>
      <w:bookmarkEnd w:id="138"/>
      <w:bookmarkEnd w:id="139"/>
      <w:r>
        <w:rPr>
          <w:rFonts w:hint="eastAsia" w:ascii="仿宋_GB2312" w:hAnsi="仿宋_GB2312" w:cs="仿宋_GB2312"/>
          <w:b/>
          <w:bCs/>
          <w:lang w:eastAsia="zh-CN"/>
        </w:rPr>
        <w:t>定义</w:t>
      </w:r>
      <w:bookmarkEnd w:id="140"/>
    </w:p>
    <w:p>
      <w:pPr>
        <w:adjustRightInd w:val="0"/>
        <w:snapToGrid w:val="0"/>
        <w:spacing w:line="360" w:lineRule="auto"/>
        <w:ind w:firstLine="480" w:firstLineChars="200"/>
        <w:outlineLvl w:val="9"/>
        <w:rPr>
          <w:rFonts w:ascii="仿宋_GB2312" w:hAnsi="仿宋" w:eastAsia="仿宋_GB2312" w:cs="仿宋"/>
          <w:color w:val="auto"/>
          <w:sz w:val="24"/>
        </w:rPr>
      </w:pPr>
      <w:r>
        <w:rPr>
          <w:rFonts w:hint="eastAsia" w:ascii="仿宋_GB2312" w:hAnsi="仿宋" w:cs="仿宋"/>
          <w:color w:val="auto"/>
          <w:sz w:val="24"/>
          <w:lang w:val="en-US" w:eastAsia="zh-CN"/>
        </w:rPr>
        <w:t>1.</w:t>
      </w:r>
      <w:r>
        <w:rPr>
          <w:rFonts w:hint="eastAsia" w:ascii="仿宋_GB2312" w:hAnsi="仿宋" w:eastAsia="仿宋_GB2312" w:cs="仿宋"/>
          <w:color w:val="auto"/>
          <w:sz w:val="24"/>
        </w:rPr>
        <w:t>1“合同”是指甲乙双方签署的、合同格式中载明的甲乙双方所达成的协议，包括合同协议书、合同条款及合同附件、合同附录和上述文件所提到的构成合同的所有文件。</w:t>
      </w:r>
    </w:p>
    <w:p>
      <w:pPr>
        <w:adjustRightInd w:val="0"/>
        <w:snapToGrid w:val="0"/>
        <w:spacing w:line="360" w:lineRule="auto"/>
        <w:ind w:firstLine="480" w:firstLineChars="200"/>
        <w:outlineLvl w:val="9"/>
        <w:rPr>
          <w:rFonts w:ascii="仿宋_GB2312" w:hAnsi="仿宋" w:eastAsia="仿宋_GB2312"/>
          <w:color w:val="auto"/>
          <w:sz w:val="24"/>
        </w:rPr>
      </w:pPr>
      <w:r>
        <w:rPr>
          <w:rFonts w:hint="eastAsia" w:ascii="仿宋_GB2312" w:hAnsi="仿宋"/>
          <w:color w:val="auto"/>
          <w:sz w:val="24"/>
          <w:lang w:val="en-US" w:eastAsia="zh-CN"/>
        </w:rPr>
        <w:t>1.2</w:t>
      </w:r>
      <w:r>
        <w:rPr>
          <w:rFonts w:hint="eastAsia" w:ascii="仿宋_GB2312" w:hAnsi="仿宋" w:eastAsia="仿宋_GB2312"/>
          <w:color w:val="auto"/>
          <w:sz w:val="24"/>
        </w:rPr>
        <w:t>、“服务”是指根据本合同规定乙方在本项目中应承担所有工作和一切义务。</w:t>
      </w:r>
    </w:p>
    <w:p>
      <w:pPr>
        <w:adjustRightInd w:val="0"/>
        <w:snapToGrid w:val="0"/>
        <w:spacing w:line="360" w:lineRule="auto"/>
        <w:ind w:firstLine="470" w:firstLineChars="196"/>
        <w:outlineLvl w:val="9"/>
        <w:rPr>
          <w:rFonts w:ascii="仿宋_GB2312" w:hAnsi="仿宋" w:eastAsia="仿宋_GB2312" w:cs="仿宋"/>
          <w:color w:val="auto"/>
          <w:sz w:val="24"/>
        </w:rPr>
      </w:pPr>
      <w:r>
        <w:rPr>
          <w:rFonts w:hint="eastAsia" w:ascii="仿宋_GB2312" w:hAnsi="仿宋" w:cs="仿宋"/>
          <w:color w:val="auto"/>
          <w:sz w:val="24"/>
          <w:lang w:val="en-US" w:eastAsia="zh-CN"/>
        </w:rPr>
        <w:t>1.3</w:t>
      </w:r>
      <w:r>
        <w:rPr>
          <w:rFonts w:hint="eastAsia" w:ascii="仿宋_GB2312" w:hAnsi="仿宋" w:eastAsia="仿宋_GB2312" w:cs="仿宋"/>
          <w:color w:val="auto"/>
          <w:sz w:val="24"/>
        </w:rPr>
        <w:t>“甲方”是指委托服务的一方以及其合法继承人，即</w:t>
      </w:r>
      <w:r>
        <w:rPr>
          <w:rFonts w:hint="eastAsia" w:ascii="仿宋_GB2312" w:hAnsi="仿宋" w:eastAsia="仿宋_GB2312"/>
          <w:color w:val="auto"/>
          <w:sz w:val="24"/>
        </w:rPr>
        <w:t>合同协议书中所述的甲方</w:t>
      </w:r>
      <w:r>
        <w:rPr>
          <w:rFonts w:hint="eastAsia" w:ascii="仿宋_GB2312" w:hAnsi="仿宋" w:eastAsia="仿宋_GB2312" w:cs="仿宋"/>
          <w:color w:val="auto"/>
          <w:sz w:val="24"/>
        </w:rPr>
        <w:t>。</w:t>
      </w:r>
    </w:p>
    <w:p>
      <w:pPr>
        <w:adjustRightInd w:val="0"/>
        <w:snapToGrid w:val="0"/>
        <w:spacing w:line="360" w:lineRule="auto"/>
        <w:ind w:firstLine="470" w:firstLineChars="196"/>
        <w:outlineLvl w:val="9"/>
        <w:rPr>
          <w:rFonts w:ascii="仿宋_GB2312" w:hAnsi="仿宋" w:eastAsia="仿宋_GB2312" w:cs="仿宋"/>
          <w:color w:val="auto"/>
          <w:sz w:val="24"/>
        </w:rPr>
      </w:pPr>
      <w:r>
        <w:rPr>
          <w:rFonts w:hint="eastAsia" w:ascii="仿宋_GB2312" w:hAnsi="仿宋" w:cs="仿宋"/>
          <w:color w:val="auto"/>
          <w:sz w:val="24"/>
          <w:lang w:val="en-US" w:eastAsia="zh-CN"/>
        </w:rPr>
        <w:t>1.4</w:t>
      </w:r>
      <w:r>
        <w:rPr>
          <w:rFonts w:hint="eastAsia" w:ascii="仿宋_GB2312" w:hAnsi="仿宋" w:eastAsia="仿宋_GB2312" w:cs="仿宋"/>
          <w:color w:val="auto"/>
          <w:sz w:val="24"/>
        </w:rPr>
        <w:t>“乙方”是指承担服务的一方以及其合法继承人，即</w:t>
      </w:r>
      <w:r>
        <w:rPr>
          <w:rFonts w:hint="eastAsia" w:ascii="仿宋_GB2312" w:hAnsi="仿宋" w:eastAsia="仿宋_GB2312"/>
          <w:color w:val="auto"/>
          <w:sz w:val="24"/>
        </w:rPr>
        <w:t>合同协议书中所述的乙方</w:t>
      </w:r>
      <w:r>
        <w:rPr>
          <w:rFonts w:hint="eastAsia" w:ascii="仿宋_GB2312" w:hAnsi="仿宋" w:eastAsia="仿宋_GB2312" w:cs="仿宋"/>
          <w:color w:val="auto"/>
          <w:sz w:val="24"/>
        </w:rPr>
        <w:t>。</w:t>
      </w:r>
    </w:p>
    <w:p>
      <w:pPr>
        <w:adjustRightInd w:val="0"/>
        <w:snapToGrid w:val="0"/>
        <w:spacing w:line="360" w:lineRule="auto"/>
        <w:ind w:firstLine="480"/>
        <w:outlineLvl w:val="9"/>
        <w:rPr>
          <w:rFonts w:ascii="仿宋_GB2312" w:hAnsi="仿宋" w:eastAsia="仿宋_GB2312" w:cs="仿宋"/>
          <w:color w:val="auto"/>
          <w:sz w:val="24"/>
        </w:rPr>
      </w:pPr>
      <w:r>
        <w:rPr>
          <w:rFonts w:hint="eastAsia" w:ascii="仿宋_GB2312" w:hAnsi="仿宋" w:cs="仿宋"/>
          <w:color w:val="auto"/>
          <w:sz w:val="24"/>
          <w:lang w:val="en-US" w:eastAsia="zh-CN"/>
        </w:rPr>
        <w:t>1.5</w:t>
      </w:r>
      <w:r>
        <w:rPr>
          <w:rFonts w:hint="eastAsia" w:ascii="仿宋_GB2312" w:hAnsi="仿宋" w:eastAsia="仿宋_GB2312" w:cs="仿宋"/>
          <w:color w:val="auto"/>
          <w:sz w:val="24"/>
        </w:rPr>
        <w:t>“现场”是</w:t>
      </w:r>
      <w:r>
        <w:rPr>
          <w:rFonts w:hint="eastAsia" w:ascii="仿宋_GB2312" w:hAnsi="仿宋" w:eastAsia="仿宋_GB2312"/>
          <w:color w:val="auto"/>
          <w:sz w:val="24"/>
        </w:rPr>
        <w:t>指</w:t>
      </w:r>
      <w:r>
        <w:rPr>
          <w:rFonts w:hint="eastAsia" w:ascii="仿宋_GB2312" w:hAnsi="仿宋" w:eastAsia="仿宋_GB2312" w:cs="仿宋"/>
          <w:color w:val="auto"/>
          <w:sz w:val="24"/>
        </w:rPr>
        <w:t>合同协议书中明确的</w:t>
      </w:r>
      <w:r>
        <w:rPr>
          <w:rFonts w:hint="eastAsia" w:ascii="仿宋_GB2312" w:hAnsi="仿宋" w:eastAsia="仿宋_GB2312"/>
          <w:color w:val="auto"/>
          <w:sz w:val="24"/>
        </w:rPr>
        <w:t>履行服务的现场</w:t>
      </w:r>
      <w:r>
        <w:rPr>
          <w:rFonts w:hint="eastAsia" w:ascii="仿宋_GB2312" w:hAnsi="仿宋" w:eastAsia="仿宋_GB2312" w:cs="仿宋"/>
          <w:color w:val="auto"/>
          <w:sz w:val="24"/>
        </w:rPr>
        <w:t>。</w:t>
      </w:r>
    </w:p>
    <w:p>
      <w:pPr>
        <w:adjustRightInd w:val="0"/>
        <w:snapToGrid w:val="0"/>
        <w:spacing w:line="360" w:lineRule="auto"/>
        <w:ind w:firstLine="480"/>
        <w:outlineLvl w:val="9"/>
        <w:rPr>
          <w:rFonts w:ascii="仿宋_GB2312" w:hAnsi="仿宋" w:eastAsia="仿宋_GB2312" w:cs="仿宋"/>
          <w:color w:val="auto"/>
          <w:sz w:val="24"/>
        </w:rPr>
      </w:pPr>
      <w:r>
        <w:rPr>
          <w:rFonts w:hint="eastAsia" w:ascii="仿宋_GB2312" w:hAnsi="仿宋" w:cs="仿宋"/>
          <w:color w:val="auto"/>
          <w:sz w:val="24"/>
          <w:lang w:val="en-US" w:eastAsia="zh-CN"/>
        </w:rPr>
        <w:t>1.6</w:t>
      </w:r>
      <w:r>
        <w:rPr>
          <w:rFonts w:hint="eastAsia" w:ascii="仿宋_GB2312" w:hAnsi="仿宋" w:eastAsia="仿宋_GB2312" w:cs="仿宋"/>
          <w:color w:val="auto"/>
          <w:sz w:val="24"/>
        </w:rPr>
        <w:t>“日”是指任何一天零时至第二天零时的时间段。</w:t>
      </w:r>
    </w:p>
    <w:p>
      <w:pPr>
        <w:adjustRightInd w:val="0"/>
        <w:snapToGrid w:val="0"/>
        <w:spacing w:line="360" w:lineRule="auto"/>
        <w:ind w:firstLine="470" w:firstLineChars="196"/>
        <w:outlineLvl w:val="9"/>
        <w:rPr>
          <w:rFonts w:ascii="仿宋_GB2312" w:hAnsi="仿宋" w:eastAsia="仿宋_GB2312" w:cs="仿宋"/>
          <w:color w:val="auto"/>
          <w:sz w:val="24"/>
        </w:rPr>
      </w:pPr>
      <w:r>
        <w:rPr>
          <w:rFonts w:hint="eastAsia" w:ascii="仿宋_GB2312" w:hAnsi="仿宋" w:cs="仿宋"/>
          <w:color w:val="auto"/>
          <w:sz w:val="24"/>
          <w:lang w:val="en-US" w:eastAsia="zh-CN"/>
        </w:rPr>
        <w:t>1.7</w:t>
      </w:r>
      <w:r>
        <w:rPr>
          <w:rFonts w:hint="eastAsia" w:ascii="仿宋_GB2312" w:hAnsi="仿宋" w:eastAsia="仿宋_GB2312" w:cs="仿宋"/>
          <w:color w:val="auto"/>
          <w:sz w:val="24"/>
        </w:rPr>
        <w:t>“月”是指根据公历从一个月份中任何一天开始到下一个月相应日期的前一天的时间段。</w:t>
      </w:r>
    </w:p>
    <w:p>
      <w:pPr>
        <w:adjustRightInd w:val="0"/>
        <w:snapToGrid w:val="0"/>
        <w:spacing w:line="360" w:lineRule="auto"/>
        <w:ind w:firstLine="470" w:firstLineChars="196"/>
        <w:outlineLvl w:val="9"/>
        <w:rPr>
          <w:rFonts w:ascii="仿宋_GB2312" w:hAnsi="仿宋" w:eastAsia="仿宋_GB2312" w:cs="仿宋"/>
          <w:color w:val="auto"/>
          <w:sz w:val="24"/>
        </w:rPr>
      </w:pPr>
      <w:r>
        <w:rPr>
          <w:rFonts w:hint="eastAsia" w:ascii="仿宋_GB2312" w:hAnsi="仿宋" w:cs="仿宋"/>
          <w:color w:val="auto"/>
          <w:sz w:val="24"/>
          <w:lang w:val="en-US" w:eastAsia="zh-CN"/>
        </w:rPr>
        <w:t>1.8</w:t>
      </w:r>
      <w:r>
        <w:rPr>
          <w:rFonts w:hint="eastAsia" w:ascii="仿宋_GB2312" w:hAnsi="仿宋" w:eastAsia="仿宋_GB2312" w:cs="仿宋"/>
          <w:color w:val="auto"/>
          <w:sz w:val="24"/>
        </w:rPr>
        <w:t>“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adjustRightInd w:val="0"/>
        <w:snapToGrid w:val="0"/>
        <w:spacing w:line="360" w:lineRule="auto"/>
        <w:ind w:firstLine="470" w:firstLineChars="196"/>
        <w:outlineLvl w:val="9"/>
        <w:rPr>
          <w:rFonts w:ascii="仿宋_GB2312" w:hAnsi="仿宋" w:eastAsia="仿宋_GB2312" w:cs="仿宋"/>
          <w:color w:val="auto"/>
          <w:sz w:val="24"/>
        </w:rPr>
      </w:pPr>
      <w:r>
        <w:rPr>
          <w:rFonts w:hint="eastAsia" w:ascii="仿宋_GB2312" w:hAnsi="仿宋" w:cs="仿宋"/>
          <w:color w:val="auto"/>
          <w:sz w:val="24"/>
          <w:lang w:val="en-US" w:eastAsia="zh-CN"/>
        </w:rPr>
        <w:t>1.9</w:t>
      </w:r>
      <w:r>
        <w:rPr>
          <w:rFonts w:hint="eastAsia" w:ascii="仿宋_GB2312" w:hAnsi="仿宋" w:eastAsia="仿宋_GB2312" w:cs="仿宋"/>
          <w:color w:val="auto"/>
          <w:sz w:val="24"/>
        </w:rPr>
        <w:t>“书面形式”是指合同书、信件和数据电文（包括电报、电传、传真、电子数据交换和电子邮件）等可以有形地表现所载内容的形式。</w:t>
      </w:r>
    </w:p>
    <w:p>
      <w:pPr>
        <w:adjustRightInd w:val="0"/>
        <w:snapToGrid w:val="0"/>
        <w:spacing w:line="360" w:lineRule="auto"/>
        <w:ind w:firstLine="470" w:firstLineChars="196"/>
        <w:outlineLvl w:val="9"/>
        <w:rPr>
          <w:rFonts w:ascii="仿宋_GB2312" w:hAnsi="仿宋" w:eastAsia="仿宋_GB2312" w:cs="仿宋"/>
          <w:color w:val="auto"/>
          <w:sz w:val="24"/>
        </w:rPr>
      </w:pPr>
      <w:r>
        <w:rPr>
          <w:rFonts w:hint="eastAsia" w:ascii="仿宋_GB2312" w:hAnsi="仿宋" w:cs="仿宋"/>
          <w:color w:val="auto"/>
          <w:sz w:val="24"/>
          <w:lang w:val="en-US" w:eastAsia="zh-CN"/>
        </w:rPr>
        <w:t>1.10</w:t>
      </w:r>
      <w:r>
        <w:rPr>
          <w:rFonts w:hint="eastAsia" w:ascii="仿宋_GB2312" w:hAnsi="仿宋" w:eastAsia="仿宋_GB2312" w:cs="仿宋"/>
          <w:color w:val="auto"/>
          <w:sz w:val="24"/>
        </w:rPr>
        <w:t>“不可抗力”是指甲方和乙方在订立本合同时不可预见，在合同履行过程中不可避免并不能克服的自然灾害和社会性突发事件，如地震、海啸、瘟疫、水灾、骚乱、暴动、战争等情形。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cs="仿宋_GB2312"/>
          <w:b/>
          <w:bCs/>
          <w:lang w:eastAsia="zh-CN"/>
        </w:rPr>
      </w:pPr>
      <w:bookmarkStart w:id="141" w:name="_Toc13180"/>
      <w:bookmarkStart w:id="142" w:name="_Toc11494"/>
      <w:bookmarkStart w:id="143" w:name="_Toc5965"/>
      <w:bookmarkStart w:id="144" w:name="_Toc20260"/>
      <w:bookmarkStart w:id="145" w:name="_Toc24365"/>
      <w:r>
        <w:rPr>
          <w:rFonts w:hint="eastAsia" w:ascii="仿宋_GB2312" w:hAnsi="仿宋_GB2312" w:cs="仿宋_GB2312"/>
          <w:b/>
          <w:bCs/>
          <w:lang w:eastAsia="zh-CN"/>
        </w:rPr>
        <w:t>二、双方的权利与义务</w:t>
      </w:r>
      <w:bookmarkEnd w:id="141"/>
      <w:bookmarkEnd w:id="142"/>
      <w:bookmarkEnd w:id="14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cs="仿宋_GB2312"/>
          <w:lang w:val="en-US" w:eastAsia="zh-CN"/>
        </w:rPr>
        <w:t>2.</w:t>
      </w:r>
      <w:r>
        <w:rPr>
          <w:rFonts w:hint="eastAsia" w:ascii="仿宋_GB2312" w:hAnsi="仿宋_GB2312" w:eastAsia="仿宋_GB2312" w:cs="仿宋_GB2312"/>
        </w:rPr>
        <w:t>1</w:t>
      </w: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1</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甲方</w:t>
      </w:r>
      <w:r>
        <w:rPr>
          <w:rFonts w:hint="eastAsia" w:ascii="仿宋_GB2312" w:hAnsi="仿宋_GB2312" w:eastAsia="仿宋_GB2312" w:cs="仿宋_GB2312"/>
          <w:sz w:val="24"/>
          <w:szCs w:val="24"/>
        </w:rPr>
        <w:t>有权随时对乙方进货渠道、菜肴品种及配菜、营养搭配、服务水平、环境卫生、餐饮设施维护保养、餐厅管理状况等进行监督检查，并有权根据相关标准对不符合本合同约定标准的事项要求乙方立即整改，同时按本合同约定的违约金标准要求乙方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val="en-US" w:eastAsia="zh-CN"/>
        </w:rPr>
        <w:t>（2）</w:t>
      </w:r>
      <w:r>
        <w:rPr>
          <w:rFonts w:hint="eastAsia" w:ascii="仿宋_GB2312" w:hAnsi="仿宋_GB2312" w:eastAsia="仿宋_GB2312" w:cs="仿宋_GB2312"/>
          <w:sz w:val="24"/>
          <w:szCs w:val="24"/>
        </w:rPr>
        <w:t xml:space="preserve"> </w:t>
      </w:r>
      <w:r>
        <w:rPr>
          <w:rFonts w:hint="eastAsia" w:ascii="仿宋_GB2312" w:hAnsi="仿宋_GB2312" w:cs="仿宋_GB2312"/>
          <w:sz w:val="24"/>
          <w:szCs w:val="24"/>
          <w:lang w:val="en-US" w:eastAsia="zh-CN"/>
        </w:rPr>
        <w:t>甲方</w:t>
      </w:r>
      <w:r>
        <w:rPr>
          <w:rFonts w:hint="eastAsia" w:ascii="仿宋_GB2312" w:hAnsi="仿宋_GB2312" w:eastAsia="仿宋_GB2312" w:cs="仿宋_GB2312"/>
          <w:sz w:val="24"/>
          <w:szCs w:val="24"/>
        </w:rPr>
        <w:t>有权要求乙方提供所聘用人员的基本情况资料，对于违反甲方管理制度的乙方人员有权按照甲方内部统一管理规定对乙方进行经济处罚，对于严重违反甲方管理制度的乙方人员，甲方还同时有权责令乙方解聘或开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3</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w:t>
      </w:r>
      <w:r>
        <w:rPr>
          <w:rFonts w:hint="eastAsia" w:ascii="仿宋_GB2312" w:hAnsi="仿宋_GB2312" w:cs="仿宋_GB2312"/>
          <w:sz w:val="24"/>
          <w:szCs w:val="24"/>
          <w:lang w:val="en-US" w:eastAsia="zh-CN"/>
        </w:rPr>
        <w:t>甲方</w:t>
      </w:r>
      <w:r>
        <w:rPr>
          <w:rFonts w:hint="eastAsia" w:ascii="仿宋_GB2312" w:hAnsi="仿宋_GB2312" w:eastAsia="仿宋_GB2312" w:cs="仿宋_GB2312"/>
          <w:sz w:val="24"/>
          <w:szCs w:val="24"/>
        </w:rPr>
        <w:t>按本合同约定对因乙方原因造成甲方的损失进行追偿，乙方不得提出异议。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4</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w:t>
      </w:r>
      <w:r>
        <w:rPr>
          <w:rFonts w:hint="eastAsia" w:ascii="仿宋_GB2312" w:hAnsi="仿宋_GB2312" w:cs="仿宋_GB2312"/>
          <w:sz w:val="24"/>
          <w:szCs w:val="24"/>
          <w:lang w:val="en-US" w:eastAsia="zh-CN"/>
        </w:rPr>
        <w:t>甲方</w:t>
      </w:r>
      <w:r>
        <w:rPr>
          <w:rFonts w:hint="eastAsia" w:ascii="仿宋_GB2312" w:hAnsi="仿宋_GB2312" w:eastAsia="仿宋_GB2312" w:cs="仿宋_GB2312"/>
          <w:sz w:val="24"/>
          <w:szCs w:val="24"/>
          <w:lang w:eastAsia="zh-CN"/>
        </w:rPr>
        <w:t>对食堂食品安全及服务质量等进行监管</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因乙方服务质量、进度不到位，且在甲方提出整改要求后乙方仍拒不配合落实或无法保证按甲方要求落实时，甲方有权委托其他单位实施，并将所发生的费用直接从应付乙方费用中抵扣。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5</w:t>
      </w: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甲方应</w:t>
      </w:r>
      <w:r>
        <w:rPr>
          <w:rFonts w:hint="eastAsia" w:ascii="仿宋_GB2312" w:hAnsi="仿宋_GB2312" w:eastAsia="仿宋_GB2312" w:cs="仿宋_GB2312"/>
          <w:sz w:val="24"/>
          <w:szCs w:val="24"/>
        </w:rPr>
        <w:t>按本合同约定收取乙方应承担的相关费用。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6</w:t>
      </w: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甲方</w:t>
      </w:r>
      <w:r>
        <w:rPr>
          <w:rFonts w:hint="eastAsia" w:ascii="仿宋_GB2312" w:hAnsi="仿宋_GB2312" w:eastAsia="仿宋_GB2312" w:cs="仿宋_GB2312"/>
          <w:sz w:val="24"/>
          <w:szCs w:val="24"/>
        </w:rPr>
        <w:t>按本合同约定变更或解除本合同。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val="en-US" w:eastAsia="zh-CN"/>
        </w:rPr>
        <w:t>2.</w:t>
      </w:r>
      <w:r>
        <w:rPr>
          <w:rFonts w:hint="eastAsia" w:ascii="仿宋_GB2312" w:hAnsi="仿宋_GB2312" w:eastAsia="仿宋_GB2312" w:cs="仿宋_GB2312"/>
          <w:sz w:val="24"/>
          <w:szCs w:val="24"/>
        </w:rPr>
        <w:t>2.甲方的义务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FF0000"/>
          <w:sz w:val="24"/>
          <w:szCs w:val="24"/>
        </w:rPr>
      </w:pPr>
      <w:r>
        <w:rPr>
          <w:rFonts w:hint="eastAsia" w:ascii="仿宋_GB2312" w:hAnsi="仿宋_GB2312" w:cs="仿宋_GB2312"/>
          <w:sz w:val="24"/>
          <w:szCs w:val="24"/>
          <w:lang w:val="en-US" w:eastAsia="zh-CN"/>
        </w:rPr>
        <w:t>（1）</w:t>
      </w:r>
      <w:r>
        <w:rPr>
          <w:rFonts w:hint="eastAsia" w:ascii="仿宋_GB2312" w:hAnsi="仿宋_GB2312" w:eastAsia="仿宋_GB2312" w:cs="仿宋_GB2312"/>
          <w:sz w:val="24"/>
          <w:szCs w:val="24"/>
          <w:lang w:val="en-US" w:eastAsia="zh-CN"/>
        </w:rPr>
        <w:t>甲方应</w:t>
      </w:r>
      <w:r>
        <w:rPr>
          <w:rFonts w:hint="eastAsia" w:ascii="仿宋_GB2312" w:hAnsi="仿宋_GB2312" w:eastAsia="仿宋_GB2312" w:cs="仿宋_GB2312"/>
          <w:sz w:val="24"/>
          <w:szCs w:val="24"/>
        </w:rPr>
        <w:t>按本合同约定按时将餐厅区域房屋和所配备的设施设备、用具用品交给乙方免费使用。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kern w:val="0"/>
          <w:sz w:val="24"/>
          <w:szCs w:val="24"/>
          <w:lang w:eastAsia="zh-CN"/>
        </w:rPr>
        <w:t>（</w:t>
      </w:r>
      <w:r>
        <w:rPr>
          <w:rFonts w:hint="eastAsia" w:ascii="仿宋_GB2312" w:hAnsi="仿宋_GB2312" w:cs="仿宋_GB2312"/>
          <w:kern w:val="0"/>
          <w:sz w:val="24"/>
          <w:szCs w:val="24"/>
          <w:lang w:val="en-US" w:eastAsia="zh-CN"/>
        </w:rPr>
        <w:t>2</w:t>
      </w:r>
      <w:r>
        <w:rPr>
          <w:rFonts w:hint="eastAsia" w:ascii="仿宋_GB2312" w:hAnsi="仿宋_GB2312" w:cs="仿宋_GB2312"/>
          <w:kern w:val="0"/>
          <w:sz w:val="24"/>
          <w:szCs w:val="24"/>
          <w:lang w:eastAsia="zh-CN"/>
        </w:rPr>
        <w:t>）</w:t>
      </w:r>
      <w:r>
        <w:rPr>
          <w:rFonts w:hint="eastAsia" w:ascii="仿宋_GB2312" w:hAnsi="仿宋_GB2312" w:eastAsia="仿宋_GB2312" w:cs="仿宋_GB2312"/>
          <w:sz w:val="24"/>
          <w:szCs w:val="24"/>
          <w:lang w:val="en-US" w:eastAsia="zh-CN"/>
        </w:rPr>
        <w:t>甲方应</w:t>
      </w:r>
      <w:r>
        <w:rPr>
          <w:rFonts w:hint="eastAsia" w:ascii="仿宋_GB2312" w:hAnsi="仿宋_GB2312" w:eastAsia="仿宋_GB2312" w:cs="仿宋_GB2312"/>
          <w:kern w:val="0"/>
          <w:sz w:val="24"/>
          <w:szCs w:val="24"/>
        </w:rPr>
        <w:t>为乙方</w:t>
      </w:r>
      <w:r>
        <w:rPr>
          <w:rFonts w:hint="eastAsia" w:ascii="仿宋_GB2312" w:hAnsi="仿宋_GB2312" w:eastAsia="仿宋_GB2312" w:cs="仿宋_GB2312"/>
          <w:sz w:val="24"/>
          <w:szCs w:val="24"/>
        </w:rPr>
        <w:t>员工</w:t>
      </w:r>
      <w:r>
        <w:rPr>
          <w:rFonts w:hint="eastAsia" w:ascii="仿宋_GB2312" w:hAnsi="仿宋_GB2312" w:eastAsia="仿宋_GB2312" w:cs="仿宋_GB2312"/>
          <w:kern w:val="0"/>
          <w:sz w:val="24"/>
          <w:szCs w:val="24"/>
        </w:rPr>
        <w:t>办理进出甲方区域出入证，协助乙方</w:t>
      </w:r>
      <w:r>
        <w:rPr>
          <w:rFonts w:hint="eastAsia" w:ascii="仿宋_GB2312" w:hAnsi="仿宋_GB2312" w:eastAsia="仿宋_GB2312" w:cs="仿宋_GB2312"/>
          <w:sz w:val="24"/>
          <w:szCs w:val="24"/>
        </w:rPr>
        <w:t>办理员工餐厅所需的《卫生许可证》、《食品安全许可证》等证照及年检工作。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kern w:val="0"/>
          <w:sz w:val="24"/>
          <w:szCs w:val="24"/>
          <w:lang w:eastAsia="zh-CN"/>
        </w:rPr>
        <w:t>（</w:t>
      </w:r>
      <w:r>
        <w:rPr>
          <w:rFonts w:hint="eastAsia" w:ascii="仿宋_GB2312" w:hAnsi="仿宋_GB2312" w:cs="仿宋_GB2312"/>
          <w:kern w:val="0"/>
          <w:sz w:val="24"/>
          <w:szCs w:val="24"/>
          <w:lang w:val="en-US" w:eastAsia="zh-CN"/>
        </w:rPr>
        <w:t>3</w:t>
      </w:r>
      <w:r>
        <w:rPr>
          <w:rFonts w:hint="eastAsia" w:ascii="仿宋_GB2312" w:hAnsi="仿宋_GB2312" w:cs="仿宋_GB2312"/>
          <w:kern w:val="0"/>
          <w:sz w:val="24"/>
          <w:szCs w:val="24"/>
          <w:lang w:eastAsia="zh-CN"/>
        </w:rPr>
        <w:t>）</w:t>
      </w:r>
      <w:r>
        <w:rPr>
          <w:rFonts w:hint="eastAsia" w:ascii="仿宋_GB2312" w:hAnsi="仿宋_GB2312" w:eastAsia="仿宋_GB2312" w:cs="仿宋_GB2312"/>
          <w:sz w:val="24"/>
          <w:szCs w:val="24"/>
          <w:lang w:val="en-US" w:eastAsia="zh-CN"/>
        </w:rPr>
        <w:t>甲方应</w:t>
      </w:r>
      <w:r>
        <w:rPr>
          <w:rFonts w:hint="eastAsia" w:ascii="仿宋_GB2312" w:hAnsi="仿宋_GB2312" w:eastAsia="仿宋_GB2312" w:cs="仿宋_GB2312"/>
          <w:kern w:val="0"/>
          <w:sz w:val="24"/>
          <w:szCs w:val="24"/>
          <w:highlight w:val="none"/>
        </w:rPr>
        <w:t>保障</w:t>
      </w:r>
      <w:r>
        <w:rPr>
          <w:rFonts w:hint="eastAsia" w:ascii="仿宋_GB2312" w:hAnsi="仿宋_GB2312" w:eastAsia="仿宋_GB2312" w:cs="仿宋_GB2312"/>
          <w:sz w:val="24"/>
          <w:szCs w:val="24"/>
          <w:highlight w:val="none"/>
        </w:rPr>
        <w:t>合同期</w:t>
      </w:r>
      <w:r>
        <w:rPr>
          <w:rFonts w:hint="eastAsia" w:ascii="仿宋_GB2312" w:hAnsi="仿宋_GB2312" w:eastAsia="仿宋_GB2312" w:cs="仿宋_GB2312"/>
          <w:kern w:val="0"/>
          <w:sz w:val="24"/>
          <w:szCs w:val="24"/>
          <w:highlight w:val="none"/>
        </w:rPr>
        <w:t>内乙方在甲方区域的自来水、电（照明电、必要时的动力电）、燃气</w:t>
      </w:r>
      <w:r>
        <w:rPr>
          <w:rFonts w:hint="eastAsia" w:ascii="仿宋_GB2312" w:hAnsi="仿宋_GB2312" w:cs="仿宋_GB2312"/>
          <w:kern w:val="0"/>
          <w:sz w:val="24"/>
          <w:szCs w:val="24"/>
          <w:highlight w:val="none"/>
          <w:lang w:eastAsia="zh-CN"/>
        </w:rPr>
        <w:t>（如有）</w:t>
      </w:r>
      <w:r>
        <w:rPr>
          <w:rFonts w:hint="eastAsia" w:ascii="仿宋_GB2312" w:hAnsi="仿宋_GB2312" w:eastAsia="仿宋_GB2312" w:cs="仿宋_GB2312"/>
          <w:kern w:val="0"/>
          <w:sz w:val="24"/>
          <w:szCs w:val="24"/>
          <w:highlight w:val="none"/>
        </w:rPr>
        <w:t>供应</w:t>
      </w:r>
      <w:r>
        <w:rPr>
          <w:rFonts w:hint="eastAsia" w:ascii="仿宋_GB2312" w:hAnsi="仿宋_GB2312"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4</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lang w:val="en-US" w:eastAsia="zh-CN"/>
        </w:rPr>
        <w:t>甲方应</w:t>
      </w:r>
      <w:r>
        <w:rPr>
          <w:rFonts w:hint="eastAsia" w:ascii="仿宋_GB2312" w:hAnsi="仿宋_GB2312" w:eastAsia="仿宋_GB2312" w:cs="仿宋_GB2312"/>
          <w:sz w:val="24"/>
          <w:szCs w:val="24"/>
        </w:rPr>
        <w:t>按本合同约定向乙方支付应付的相关费用。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eastAsia="zh-CN"/>
        </w:rPr>
        <w:t>（</w:t>
      </w:r>
      <w:r>
        <w:rPr>
          <w:rFonts w:hint="eastAsia" w:ascii="仿宋_GB2312" w:hAnsi="仿宋_GB2312" w:cs="仿宋_GB2312"/>
          <w:kern w:val="0"/>
          <w:sz w:val="24"/>
          <w:szCs w:val="24"/>
          <w:lang w:val="en-US" w:eastAsia="zh-CN"/>
        </w:rPr>
        <w:t>5</w:t>
      </w:r>
      <w:r>
        <w:rPr>
          <w:rFonts w:hint="eastAsia" w:ascii="仿宋_GB2312" w:hAnsi="仿宋_GB2312" w:cs="仿宋_GB2312"/>
          <w:kern w:val="0"/>
          <w:sz w:val="24"/>
          <w:szCs w:val="24"/>
          <w:lang w:eastAsia="zh-CN"/>
        </w:rPr>
        <w:t>）</w:t>
      </w:r>
      <w:r>
        <w:rPr>
          <w:rFonts w:hint="eastAsia" w:ascii="仿宋_GB2312" w:hAnsi="仿宋_GB2312" w:eastAsia="仿宋_GB2312" w:cs="仿宋_GB2312"/>
          <w:kern w:val="0"/>
          <w:sz w:val="24"/>
          <w:szCs w:val="24"/>
          <w:lang w:eastAsia="zh-CN"/>
        </w:rPr>
        <w:t>甲方应</w:t>
      </w:r>
      <w:r>
        <w:rPr>
          <w:rFonts w:hint="eastAsia" w:ascii="仿宋_GB2312" w:hAnsi="仿宋_GB2312" w:eastAsia="仿宋_GB2312" w:cs="仿宋_GB2312"/>
          <w:kern w:val="0"/>
          <w:sz w:val="24"/>
          <w:szCs w:val="24"/>
        </w:rPr>
        <w:t>积极教育</w:t>
      </w:r>
      <w:r>
        <w:rPr>
          <w:rFonts w:hint="eastAsia" w:ascii="仿宋_GB2312" w:hAnsi="仿宋_GB2312" w:eastAsia="仿宋_GB2312" w:cs="仿宋_GB2312"/>
          <w:sz w:val="24"/>
          <w:szCs w:val="24"/>
        </w:rPr>
        <w:t>员工</w:t>
      </w:r>
      <w:r>
        <w:rPr>
          <w:rFonts w:hint="eastAsia" w:ascii="仿宋_GB2312" w:hAnsi="仿宋_GB2312" w:eastAsia="仿宋_GB2312" w:cs="仿宋_GB2312"/>
          <w:kern w:val="0"/>
          <w:sz w:val="24"/>
          <w:szCs w:val="24"/>
        </w:rPr>
        <w:t>自觉遵守和维护正常的餐饮秩序，对破坏正常餐饮秩序的行为，甲方应配合乙方及时制止与纠正，对行为严重的按甲方规章进行处罚。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eastAsia="zh-CN"/>
        </w:rPr>
        <w:t>（</w:t>
      </w:r>
      <w:r>
        <w:rPr>
          <w:rFonts w:hint="eastAsia" w:ascii="仿宋_GB2312" w:hAnsi="仿宋_GB2312" w:cs="仿宋_GB2312"/>
          <w:kern w:val="0"/>
          <w:sz w:val="24"/>
          <w:szCs w:val="24"/>
          <w:lang w:val="en-US" w:eastAsia="zh-CN"/>
        </w:rPr>
        <w:t>6</w:t>
      </w:r>
      <w:r>
        <w:rPr>
          <w:rFonts w:hint="eastAsia" w:ascii="仿宋_GB2312" w:hAnsi="仿宋_GB2312" w:cs="仿宋_GB2312"/>
          <w:kern w:val="0"/>
          <w:sz w:val="24"/>
          <w:szCs w:val="24"/>
          <w:lang w:eastAsia="zh-CN"/>
        </w:rPr>
        <w:t>）</w:t>
      </w:r>
      <w:r>
        <w:rPr>
          <w:rFonts w:hint="eastAsia" w:ascii="仿宋_GB2312" w:hAnsi="仿宋_GB2312" w:eastAsia="仿宋_GB2312" w:cs="仿宋_GB2312"/>
          <w:kern w:val="0"/>
          <w:sz w:val="24"/>
          <w:szCs w:val="24"/>
        </w:rPr>
        <w:t>如甲方或相关单位需在甲方区域举办大型会议、活动、创优检查及重要参观接待等突击性特殊事项时，需乙方协助开展相关工作时，应及时通知乙方。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b/>
          <w:bCs/>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7</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合同期满或合同提前解除，甲方与乙方办理交接手续后三个工作日内，甲方须与乙方核对好伙食款，并按照合同约定之付款方式及周期进行支付。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仿宋_GB2312" w:hAnsi="仿宋_GB2312" w:eastAsia="仿宋_GB2312" w:cs="仿宋_GB2312"/>
        </w:rPr>
      </w:pPr>
      <w:r>
        <w:rPr>
          <w:rFonts w:hint="eastAsia" w:ascii="仿宋_GB2312" w:hAnsi="仿宋_GB2312" w:cs="仿宋_GB2312"/>
          <w:lang w:val="en-US" w:eastAsia="zh-CN"/>
        </w:rPr>
        <w:t>2.3</w:t>
      </w:r>
      <w:r>
        <w:rPr>
          <w:rFonts w:hint="eastAsia" w:ascii="仿宋_GB2312" w:hAnsi="仿宋_GB2312" w:eastAsia="仿宋_GB2312" w:cs="仿宋_GB2312"/>
        </w:rPr>
        <w:t>乙方</w:t>
      </w:r>
      <w:r>
        <w:rPr>
          <w:rFonts w:hint="eastAsia" w:ascii="仿宋_GB2312" w:hAnsi="仿宋_GB2312" w:cs="仿宋_GB2312"/>
          <w:lang w:eastAsia="zh-CN"/>
        </w:rPr>
        <w:t>的</w:t>
      </w:r>
      <w:r>
        <w:rPr>
          <w:rFonts w:hint="eastAsia" w:ascii="仿宋_GB2312" w:hAnsi="仿宋_GB2312" w:eastAsia="仿宋_GB2312" w:cs="仿宋_GB2312"/>
        </w:rPr>
        <w:t>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1</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按本合同约定获得相应餐费。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2</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按本合同约定要求甲方提供相应工作条件。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3</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按本合同约定变更或解除本合同。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4</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在经营过程中有权提出因工作需要的合理建议和支持需求。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val="en-US" w:eastAsia="zh-CN"/>
        </w:rPr>
        <w:t>2.4</w:t>
      </w:r>
      <w:r>
        <w:rPr>
          <w:rFonts w:hint="eastAsia" w:ascii="仿宋_GB2312" w:hAnsi="仿宋_GB2312" w:eastAsia="仿宋_GB2312" w:cs="仿宋_GB2312"/>
        </w:rPr>
        <w:t>乙方</w:t>
      </w:r>
      <w:r>
        <w:rPr>
          <w:rFonts w:hint="eastAsia" w:ascii="仿宋_GB2312" w:hAnsi="仿宋_GB2312" w:cs="仿宋_GB2312"/>
          <w:lang w:eastAsia="zh-CN"/>
        </w:rPr>
        <w:t>的义务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kern w:val="0"/>
          <w:sz w:val="24"/>
          <w:szCs w:val="24"/>
          <w:lang w:eastAsia="zh-CN"/>
        </w:rPr>
        <w:t>（</w:t>
      </w:r>
      <w:r>
        <w:rPr>
          <w:rFonts w:hint="eastAsia" w:ascii="仿宋_GB2312" w:hAnsi="仿宋_GB2312" w:cs="仿宋_GB2312"/>
          <w:kern w:val="0"/>
          <w:sz w:val="24"/>
          <w:szCs w:val="24"/>
          <w:lang w:val="en-US" w:eastAsia="zh-CN"/>
        </w:rPr>
        <w:t>1</w:t>
      </w:r>
      <w:r>
        <w:rPr>
          <w:rFonts w:hint="eastAsia" w:ascii="仿宋_GB2312" w:hAnsi="仿宋_GB2312" w:cs="仿宋_GB2312"/>
          <w:kern w:val="0"/>
          <w:sz w:val="24"/>
          <w:szCs w:val="24"/>
          <w:lang w:eastAsia="zh-CN"/>
        </w:rPr>
        <w:t>）</w:t>
      </w:r>
      <w:r>
        <w:rPr>
          <w:rFonts w:hint="eastAsia" w:ascii="仿宋_GB2312" w:hAnsi="仿宋_GB2312" w:eastAsia="仿宋_GB2312" w:cs="仿宋_GB2312"/>
          <w:kern w:val="0"/>
          <w:sz w:val="24"/>
          <w:szCs w:val="24"/>
          <w:lang w:eastAsia="zh-CN"/>
        </w:rPr>
        <w:t>乙方应</w:t>
      </w:r>
      <w:r>
        <w:rPr>
          <w:rFonts w:hint="eastAsia" w:ascii="仿宋_GB2312" w:hAnsi="仿宋_GB2312" w:eastAsia="仿宋_GB2312" w:cs="仿宋_GB2312"/>
          <w:kern w:val="0"/>
          <w:sz w:val="24"/>
          <w:szCs w:val="24"/>
          <w:lang w:val="zh-CN"/>
        </w:rPr>
        <w:t>严格按合同约定开展餐饮服务，确保服务质量符合本合同约定标准。</w:t>
      </w:r>
      <w:r>
        <w:rPr>
          <w:rFonts w:hint="eastAsia" w:ascii="仿宋_GB2312" w:hAnsi="仿宋_GB2312" w:eastAsia="仿宋_GB2312" w:cs="仿宋_GB2312"/>
          <w:sz w:val="24"/>
          <w:szCs w:val="24"/>
        </w:rPr>
        <w:t>负责餐厅内外责任区域的环境管理和卫生清洁工作，负责将垃圾污物按指定地点存放，保持良好的用餐环境。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仿宋_GB2312"/>
          <w:lang w:val="en-US" w:eastAsia="zh-CN"/>
        </w:rPr>
      </w:pPr>
      <w:r>
        <w:rPr>
          <w:rFonts w:hint="eastAsia" w:ascii="仿宋_GB2312" w:hAnsi="仿宋_GB2312" w:cs="仿宋_GB2312"/>
          <w:kern w:val="0"/>
          <w:sz w:val="24"/>
          <w:szCs w:val="24"/>
          <w:lang w:eastAsia="zh-CN"/>
        </w:rPr>
        <w:t>（</w:t>
      </w:r>
      <w:r>
        <w:rPr>
          <w:rFonts w:hint="eastAsia" w:ascii="仿宋_GB2312" w:hAnsi="仿宋_GB2312" w:cs="仿宋_GB2312"/>
          <w:kern w:val="0"/>
          <w:sz w:val="24"/>
          <w:szCs w:val="24"/>
          <w:lang w:val="en-US" w:eastAsia="zh-CN"/>
        </w:rPr>
        <w:t>2</w:t>
      </w:r>
      <w:r>
        <w:rPr>
          <w:rFonts w:hint="eastAsia" w:ascii="仿宋_GB2312" w:hAnsi="仿宋_GB2312" w:cs="仿宋_GB2312"/>
          <w:kern w:val="0"/>
          <w:sz w:val="24"/>
          <w:szCs w:val="24"/>
          <w:lang w:eastAsia="zh-CN"/>
        </w:rPr>
        <w:t>）</w:t>
      </w:r>
      <w:r>
        <w:rPr>
          <w:rFonts w:hint="eastAsia" w:ascii="仿宋_GB2312" w:hAnsi="仿宋_GB2312" w:eastAsia="仿宋_GB2312" w:cs="仿宋_GB2312"/>
          <w:kern w:val="0"/>
          <w:sz w:val="24"/>
          <w:szCs w:val="24"/>
        </w:rPr>
        <w:t>乙方</w:t>
      </w:r>
      <w:r>
        <w:rPr>
          <w:rFonts w:hint="eastAsia" w:ascii="仿宋_GB2312" w:hAnsi="仿宋_GB2312" w:eastAsia="仿宋_GB2312" w:cs="仿宋_GB2312"/>
          <w:kern w:val="0"/>
          <w:sz w:val="24"/>
          <w:szCs w:val="24"/>
          <w:lang w:eastAsia="zh-CN"/>
        </w:rPr>
        <w:t>应</w:t>
      </w:r>
      <w:r>
        <w:rPr>
          <w:rFonts w:hint="eastAsia" w:ascii="仿宋_GB2312" w:hAnsi="仿宋_GB2312" w:eastAsia="仿宋_GB2312" w:cs="仿宋_GB2312"/>
          <w:kern w:val="0"/>
          <w:sz w:val="24"/>
          <w:szCs w:val="24"/>
        </w:rPr>
        <w:t>按甲方规定全额承担所产生的自来水、电、燃气费</w:t>
      </w:r>
      <w:r>
        <w:rPr>
          <w:rFonts w:hint="eastAsia" w:ascii="仿宋_GB2312" w:hAnsi="仿宋_GB2312" w:eastAsia="仿宋_GB2312" w:cs="仿宋_GB2312"/>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kern w:val="0"/>
          <w:sz w:val="24"/>
          <w:szCs w:val="24"/>
          <w:lang w:val="zh-CN"/>
        </w:rPr>
      </w:pPr>
      <w:r>
        <w:rPr>
          <w:rFonts w:hint="eastAsia" w:ascii="仿宋_GB2312" w:hAnsi="仿宋_GB2312" w:cs="仿宋_GB2312"/>
          <w:kern w:val="0"/>
          <w:sz w:val="24"/>
          <w:szCs w:val="24"/>
          <w:lang w:val="zh-CN"/>
        </w:rPr>
        <w:t>（</w:t>
      </w:r>
      <w:r>
        <w:rPr>
          <w:rFonts w:hint="eastAsia" w:ascii="仿宋_GB2312" w:hAnsi="仿宋_GB2312" w:cs="仿宋_GB2312"/>
          <w:kern w:val="0"/>
          <w:sz w:val="24"/>
          <w:szCs w:val="24"/>
          <w:lang w:val="en-US" w:eastAsia="zh-CN"/>
        </w:rPr>
        <w:t>3</w:t>
      </w:r>
      <w:r>
        <w:rPr>
          <w:rFonts w:hint="eastAsia" w:ascii="仿宋_GB2312" w:hAnsi="仿宋_GB2312" w:cs="仿宋_GB2312"/>
          <w:kern w:val="0"/>
          <w:sz w:val="24"/>
          <w:szCs w:val="24"/>
          <w:lang w:val="zh-CN"/>
        </w:rPr>
        <w:t>）乙方应</w:t>
      </w:r>
      <w:r>
        <w:rPr>
          <w:rFonts w:hint="eastAsia" w:ascii="仿宋_GB2312" w:hAnsi="仿宋_GB2312" w:eastAsia="仿宋_GB2312" w:cs="仿宋_GB2312"/>
          <w:kern w:val="0"/>
          <w:sz w:val="24"/>
          <w:szCs w:val="24"/>
          <w:lang w:val="zh-CN"/>
        </w:rPr>
        <w:t>接受甲方的监督、检查、指导与管理，对甲方检查验收所提出的不合格项目，按照甲方的要求及时整改到位。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4</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乙方应加强内部管理，确保乙方员工严格遵守甲方各项规章制度，在工作时间按规定统一着装（含工作服、工作帽、口罩、手套等），佩戴好工作牌。未经甲方允许不得进入甲方生产经营区域、实验场所</w:t>
      </w:r>
      <w:r>
        <w:rPr>
          <w:rFonts w:hint="eastAsia" w:ascii="仿宋_GB2312" w:hAnsi="仿宋_GB2312" w:eastAsia="仿宋_GB2312" w:cs="仿宋_GB2312"/>
          <w:color w:val="000000"/>
          <w:sz w:val="24"/>
          <w:szCs w:val="24"/>
        </w:rPr>
        <w:t>及其它涉密场所</w:t>
      </w:r>
      <w:r>
        <w:rPr>
          <w:rFonts w:hint="eastAsia" w:ascii="仿宋_GB2312" w:hAnsi="仿宋_GB2312" w:eastAsia="仿宋_GB2312" w:cs="仿宋_GB2312"/>
          <w:sz w:val="24"/>
          <w:szCs w:val="24"/>
        </w:rPr>
        <w:t>，</w:t>
      </w:r>
      <w:r>
        <w:rPr>
          <w:rFonts w:hint="eastAsia" w:ascii="仿宋_GB2312" w:hAnsi="仿宋_GB2312" w:eastAsia="仿宋_GB2312" w:cs="仿宋_GB2312"/>
          <w:color w:val="000000"/>
          <w:sz w:val="24"/>
          <w:szCs w:val="24"/>
        </w:rPr>
        <w:t>不得在前述区域内拍照、摄像或录音，不得利用工作便利谋取甲方的商业信息提供给其他经济组织或个人。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yellow"/>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5</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乙方应按国家和地方相关法律法规用工，承担用人单位的全部责任</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及时支付应付薪酬，自行负责所聘人员的工作服装、就餐等问题，对所聘人员的人身安全事故承担所有责任。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_GB2312" w:hAnsi="仿宋_GB2312" w:cs="仿宋_GB2312"/>
          <w:sz w:val="24"/>
          <w:szCs w:val="24"/>
          <w:highlight w:val="yellow"/>
          <w:lang w:val="en-US" w:eastAsia="zh-CN"/>
        </w:rPr>
      </w:pPr>
      <w:r>
        <w:rPr>
          <w:rFonts w:hint="eastAsia" w:ascii="仿宋_GB2312" w:hAnsi="仿宋_GB2312" w:cs="仿宋_GB2312"/>
          <w:sz w:val="24"/>
          <w:szCs w:val="24"/>
          <w:lang w:val="en-US" w:eastAsia="zh-CN"/>
        </w:rPr>
        <w:t>（6）</w:t>
      </w:r>
      <w:r>
        <w:rPr>
          <w:rFonts w:hint="eastAsia" w:ascii="仿宋_GB2312" w:hAnsi="仿宋_GB2312" w:eastAsia="仿宋_GB2312" w:cs="仿宋_GB2312"/>
          <w:sz w:val="24"/>
          <w:szCs w:val="24"/>
          <w:lang w:val="en-US" w:eastAsia="zh-CN"/>
        </w:rPr>
        <w:t>乙方应确保服务人员思想品德良好、无犯罪记录、身体健康（有健康证）。乙方提供的各类食材采购须坚持索证制度，所购食材必须具备卫生许可证、食品检验合格证，必须符合国家相关卫生标准，具体要求详见详见用户需求书/技术规格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7</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 xml:space="preserve"> 未经甲方书面同意，乙方派驻甲方区域的餐饮服务人员不得同时为甲方以外的任何单位和个人提供服务。确因工作需要更换工作人员，乙方应及时通知甲方，并按要求办理进、出人员的相关手续（包括新进人员的履历审核、资料备案，离岗人员的出入证回收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b/>
          <w:bCs/>
          <w:sz w:val="24"/>
          <w:szCs w:val="24"/>
        </w:rPr>
      </w:pPr>
      <w:r>
        <w:rPr>
          <w:rFonts w:hint="eastAsia" w:ascii="仿宋_GB2312" w:hAnsi="仿宋_GB2312" w:cs="仿宋_GB2312"/>
          <w:kern w:val="0"/>
          <w:sz w:val="24"/>
          <w:szCs w:val="24"/>
          <w:lang w:eastAsia="zh-CN"/>
        </w:rPr>
        <w:t>（</w:t>
      </w:r>
      <w:r>
        <w:rPr>
          <w:rFonts w:hint="eastAsia" w:ascii="仿宋_GB2312" w:hAnsi="仿宋_GB2312" w:cs="仿宋_GB2312"/>
          <w:kern w:val="0"/>
          <w:sz w:val="24"/>
          <w:szCs w:val="24"/>
          <w:lang w:val="en-US" w:eastAsia="zh-CN"/>
        </w:rPr>
        <w:t>8）</w:t>
      </w:r>
      <w:r>
        <w:rPr>
          <w:rFonts w:hint="eastAsia" w:ascii="仿宋_GB2312" w:hAnsi="仿宋_GB2312" w:eastAsia="仿宋_GB2312" w:cs="仿宋_GB2312"/>
          <w:kern w:val="0"/>
          <w:sz w:val="24"/>
          <w:szCs w:val="24"/>
        </w:rPr>
        <w:t xml:space="preserve"> 乙方应</w:t>
      </w:r>
      <w:r>
        <w:rPr>
          <w:rFonts w:hint="eastAsia" w:ascii="仿宋_GB2312" w:hAnsi="仿宋_GB2312" w:eastAsia="仿宋_GB2312" w:cs="仿宋_GB2312"/>
          <w:sz w:val="24"/>
          <w:szCs w:val="24"/>
        </w:rPr>
        <w:t>制定相关管理规章</w:t>
      </w:r>
      <w:r>
        <w:rPr>
          <w:rFonts w:hint="eastAsia" w:ascii="仿宋_GB2312" w:hAnsi="仿宋_GB2312" w:eastAsia="仿宋_GB2312" w:cs="仿宋_GB2312"/>
          <w:kern w:val="0"/>
          <w:sz w:val="24"/>
          <w:szCs w:val="24"/>
        </w:rPr>
        <w:t>和工作计划，并交甲方备案；建立健全餐饮服务管理档案资料，并定期提供给甲方备案；定期按本合同及相关标准要求对员工进行服务质量、安全教育和相关培训。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kern w:val="0"/>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9</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lang w:val="en-US" w:eastAsia="zh-CN"/>
        </w:rPr>
        <w:t>乙方应爱护甲方各项</w:t>
      </w:r>
      <w:r>
        <w:rPr>
          <w:rFonts w:hint="eastAsia" w:ascii="仿宋_GB2312" w:hAnsi="仿宋_GB2312" w:eastAsia="仿宋_GB2312" w:cs="仿宋_GB2312"/>
          <w:kern w:val="0"/>
          <w:sz w:val="24"/>
          <w:szCs w:val="24"/>
        </w:rPr>
        <w:t>资产，如有损坏应照价赔偿。规范物资出入管理，出门物资须凭甲方主管或指定负责人员签署的“物资出门证”方可出门。如有盗窃行为，除承担违约责任外，按甲方规章制度处罚后，还须将行为人送交司法机关处理。</w:t>
      </w:r>
    </w:p>
    <w:p>
      <w:pPr>
        <w:spacing w:line="360" w:lineRule="auto"/>
        <w:ind w:firstLine="480" w:firstLineChars="200"/>
        <w:outlineLvl w:val="9"/>
        <w:rPr>
          <w:rFonts w:hint="eastAsia" w:ascii="仿宋_GB2312" w:hAnsi="仿宋_GB2312" w:eastAsia="仿宋_GB2312" w:cs="仿宋_GB2312"/>
          <w:kern w:val="0"/>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10</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未经甲方书面同意，</w:t>
      </w:r>
      <w:r>
        <w:rPr>
          <w:rFonts w:hint="eastAsia" w:ascii="仿宋_GB2312" w:hAnsi="仿宋_GB2312" w:eastAsia="仿宋_GB2312" w:cs="仿宋_GB2312"/>
          <w:kern w:val="0"/>
          <w:sz w:val="24"/>
          <w:szCs w:val="24"/>
          <w:lang w:val="zh-CN"/>
        </w:rPr>
        <w:t>不得占用甲方的各类房屋、场地和各种设施，对按规定划分的房屋及室内外设施不得随意改变结构、格局和用途。对服务范围内的各种公共区域（包括楼道、场坪等）不得擅自占用和随意堆放物品材料。</w:t>
      </w:r>
      <w:r>
        <w:rPr>
          <w:rFonts w:hint="eastAsia" w:ascii="仿宋_GB2312" w:hAnsi="仿宋_GB2312" w:eastAsia="仿宋_GB2312" w:cs="仿宋_GB2312"/>
          <w:sz w:val="24"/>
          <w:szCs w:val="24"/>
        </w:rPr>
        <w:t>确因工作需要，属改变房屋结构、格局和用途的，须报方案经甲方书面同意后方可实施；属临时堆放物品材料的，须经甲方同意并按指定区域存放</w:t>
      </w:r>
      <w:r>
        <w:rPr>
          <w:rFonts w:hint="eastAsia" w:ascii="仿宋_GB2312" w:hAnsi="仿宋_GB2312" w:eastAsia="仿宋_GB2312" w:cs="仿宋_GB2312"/>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11</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乙方应</w:t>
      </w:r>
      <w:r>
        <w:rPr>
          <w:rFonts w:hint="eastAsia" w:ascii="仿宋_GB2312" w:hAnsi="仿宋_GB2312" w:eastAsia="仿宋_GB2312" w:cs="仿宋_GB2312"/>
          <w:kern w:val="0"/>
          <w:sz w:val="24"/>
          <w:szCs w:val="24"/>
          <w:lang w:val="zh-CN"/>
        </w:rPr>
        <w:t>对甲方提供的</w:t>
      </w:r>
      <w:r>
        <w:rPr>
          <w:rFonts w:hint="eastAsia" w:ascii="仿宋_GB2312" w:hAnsi="仿宋_GB2312" w:eastAsia="仿宋_GB2312" w:cs="仿宋_GB2312"/>
          <w:kern w:val="0"/>
          <w:sz w:val="24"/>
          <w:szCs w:val="24"/>
        </w:rPr>
        <w:t>设施、设备和用品进行</w:t>
      </w:r>
      <w:r>
        <w:rPr>
          <w:rFonts w:hint="eastAsia" w:ascii="仿宋_GB2312" w:hAnsi="仿宋_GB2312" w:eastAsia="仿宋_GB2312" w:cs="仿宋_GB2312"/>
          <w:kern w:val="0"/>
          <w:sz w:val="24"/>
          <w:szCs w:val="24"/>
          <w:lang w:val="zh-CN"/>
        </w:rPr>
        <w:t>有效管理，并在合同期满后完好归还（保证除正常使用磨损</w:t>
      </w:r>
      <w:r>
        <w:rPr>
          <w:rFonts w:hint="eastAsia" w:ascii="仿宋_GB2312" w:hAnsi="仿宋_GB2312" w:eastAsia="仿宋_GB2312" w:cs="仿宋_GB2312"/>
          <w:sz w:val="24"/>
          <w:szCs w:val="24"/>
          <w:lang w:val="zh-CN"/>
        </w:rPr>
        <w:t>折旧</w:t>
      </w:r>
      <w:r>
        <w:rPr>
          <w:rFonts w:hint="eastAsia" w:ascii="仿宋_GB2312" w:hAnsi="仿宋_GB2312" w:eastAsia="仿宋_GB2312" w:cs="仿宋_GB2312"/>
          <w:kern w:val="0"/>
          <w:sz w:val="24"/>
          <w:szCs w:val="24"/>
          <w:lang w:val="zh-CN"/>
        </w:rPr>
        <w:t>外无其它损坏），</w:t>
      </w:r>
      <w:r>
        <w:rPr>
          <w:rFonts w:hint="eastAsia" w:ascii="仿宋_GB2312" w:hAnsi="仿宋_GB2312" w:eastAsia="仿宋_GB2312" w:cs="仿宋_GB2312"/>
          <w:kern w:val="0"/>
          <w:sz w:val="24"/>
          <w:szCs w:val="24"/>
        </w:rPr>
        <w:t>使用期间所发生的维修维护费用由乙方自行承担，</w:t>
      </w:r>
      <w:r>
        <w:rPr>
          <w:rFonts w:hint="eastAsia" w:ascii="仿宋_GB2312" w:hAnsi="仿宋_GB2312" w:eastAsia="仿宋_GB2312" w:cs="仿宋_GB2312"/>
          <w:kern w:val="0"/>
          <w:sz w:val="24"/>
          <w:szCs w:val="24"/>
          <w:lang w:val="zh-CN"/>
        </w:rPr>
        <w:t>合同期内如确无使用价值需要报废应交还甲方处理，并在双方签署的交接单上及时销账，若设备丢失或损坏则按相应的资产净值进行赔偿。</w:t>
      </w:r>
      <w:r>
        <w:rPr>
          <w:rFonts w:hint="eastAsia" w:ascii="仿宋_GB2312" w:hAnsi="仿宋_GB2312" w:eastAsia="仿宋_GB2312" w:cs="仿宋_GB2312"/>
          <w:sz w:val="24"/>
          <w:szCs w:val="24"/>
        </w:rPr>
        <w:t>为满足服务还需要添置的设备器材、</w:t>
      </w:r>
      <w:r>
        <w:rPr>
          <w:rFonts w:hint="eastAsia" w:ascii="仿宋_GB2312" w:hAnsi="仿宋_GB2312" w:eastAsia="仿宋_GB2312" w:cs="仿宋_GB2312"/>
          <w:kern w:val="0"/>
          <w:sz w:val="24"/>
          <w:szCs w:val="24"/>
          <w:lang w:val="zh-CN"/>
        </w:rPr>
        <w:t>用品用具等由乙方自行负责购置</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12</w:t>
      </w:r>
      <w:r>
        <w:rPr>
          <w:rFonts w:hint="eastAsia" w:ascii="仿宋_GB2312" w:hAnsi="仿宋_GB2312" w:cs="仿宋_GB2312"/>
          <w:sz w:val="24"/>
          <w:szCs w:val="24"/>
          <w:lang w:eastAsia="zh-CN"/>
        </w:rPr>
        <w:t>）</w:t>
      </w:r>
      <w:r>
        <w:rPr>
          <w:rFonts w:hint="eastAsia" w:ascii="仿宋_GB2312" w:hAnsi="仿宋_GB2312" w:eastAsia="仿宋_GB2312" w:cs="仿宋_GB2312"/>
          <w:kern w:val="0"/>
          <w:sz w:val="24"/>
          <w:szCs w:val="24"/>
          <w:lang w:eastAsia="zh-CN"/>
        </w:rPr>
        <w:t>乙方</w:t>
      </w:r>
      <w:r>
        <w:rPr>
          <w:rFonts w:hint="eastAsia" w:ascii="仿宋_GB2312" w:hAnsi="仿宋_GB2312" w:eastAsia="仿宋_GB2312" w:cs="仿宋_GB2312"/>
          <w:sz w:val="24"/>
          <w:szCs w:val="24"/>
        </w:rPr>
        <w:t>不得冒用甲方名义从事任何经营或交易，不得在服务区域范围内从事未经甲方允许的其它经营活动。</w:t>
      </w:r>
      <w:r>
        <w:rPr>
          <w:rFonts w:hint="eastAsia" w:ascii="仿宋_GB2312" w:hAnsi="仿宋_GB2312" w:cs="仿宋_GB2312"/>
          <w:sz w:val="24"/>
          <w:szCs w:val="24"/>
          <w:lang w:val="en-US" w:eastAsia="zh-CN"/>
        </w:rPr>
        <w:t>乙方</w:t>
      </w:r>
      <w:r>
        <w:rPr>
          <w:rFonts w:hint="eastAsia" w:ascii="仿宋_GB2312" w:hAnsi="仿宋_GB2312" w:eastAsia="仿宋_GB2312" w:cs="仿宋_GB2312"/>
          <w:sz w:val="24"/>
          <w:szCs w:val="24"/>
        </w:rPr>
        <w:t>与外界发生的一切债权、债务等纠纷均与甲方无关，由乙方对外独立承担所有责任。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13</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乙方应妥善使用、维护餐厅刷卡系统，如系统、机器出现故障或损坏，及时报甲方修复，并在修复期间的开餐段采取相应的收费补救措施，如属乙方使用不当或人为损坏，造成的修复费用由乙方承担。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val="en-US" w:eastAsia="zh-CN"/>
        </w:rPr>
        <w:t>（14）</w:t>
      </w:r>
      <w:r>
        <w:rPr>
          <w:rFonts w:hint="eastAsia" w:ascii="仿宋_GB2312" w:hAnsi="仿宋_GB2312" w:eastAsia="仿宋_GB2312" w:cs="仿宋_GB2312"/>
          <w:sz w:val="24"/>
          <w:szCs w:val="24"/>
        </w:rPr>
        <w:t>乙方应坚持服务至上，确保服务人员不与甲方员工发生争吵。遇问题时主动与甲方相关部门沟通协调，妥善处理。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1</w:t>
      </w:r>
      <w:r>
        <w:rPr>
          <w:rFonts w:hint="eastAsia" w:ascii="仿宋_GB2312" w:hAnsi="仿宋_GB2312" w:cs="仿宋_GB2312"/>
          <w:sz w:val="24"/>
          <w:szCs w:val="24"/>
          <w:lang w:val="en-US" w:eastAsia="zh-CN"/>
        </w:rPr>
        <w:t>5）</w:t>
      </w:r>
      <w:r>
        <w:rPr>
          <w:rFonts w:hint="eastAsia" w:ascii="仿宋_GB2312" w:hAnsi="仿宋_GB2312" w:eastAsia="仿宋_GB2312" w:cs="仿宋_GB2312"/>
          <w:sz w:val="24"/>
          <w:szCs w:val="24"/>
          <w:lang w:val="en-US" w:eastAsia="zh-CN"/>
        </w:rPr>
        <w:t>乙方应积</w:t>
      </w:r>
      <w:r>
        <w:rPr>
          <w:rFonts w:hint="eastAsia" w:ascii="仿宋_GB2312" w:hAnsi="仿宋_GB2312" w:eastAsia="仿宋_GB2312" w:cs="仿宋_GB2312"/>
          <w:sz w:val="24"/>
          <w:szCs w:val="24"/>
        </w:rPr>
        <w:t>极听取甲方对餐饮服务的意见，认真配合并完成其它特殊服务事项。如遇自然灾害等意外情况，有义务在甲方的统一指挥下参加救险工作。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1</w:t>
      </w:r>
      <w:r>
        <w:rPr>
          <w:rFonts w:hint="eastAsia" w:ascii="仿宋_GB2312" w:hAnsi="仿宋_GB2312" w:cs="仿宋_GB2312"/>
          <w:sz w:val="24"/>
          <w:szCs w:val="24"/>
          <w:lang w:val="en-US" w:eastAsia="zh-CN"/>
        </w:rPr>
        <w:t>6）</w:t>
      </w:r>
      <w:r>
        <w:rPr>
          <w:rFonts w:hint="eastAsia" w:ascii="仿宋_GB2312" w:hAnsi="仿宋_GB2312" w:eastAsia="仿宋_GB2312" w:cs="仿宋_GB2312"/>
          <w:sz w:val="24"/>
          <w:szCs w:val="24"/>
        </w:rPr>
        <w:t>乙方负责为甲方食堂（餐厅）购买保额</w:t>
      </w:r>
      <w:r>
        <w:rPr>
          <w:rFonts w:hint="eastAsia" w:ascii="仿宋_GB2312" w:hAnsi="仿宋_GB2312" w:eastAsia="仿宋_GB2312" w:cs="仿宋_GB2312"/>
          <w:sz w:val="24"/>
          <w:szCs w:val="24"/>
          <w:lang w:eastAsia="zh-CN"/>
        </w:rPr>
        <w:t>为</w:t>
      </w:r>
      <w:r>
        <w:rPr>
          <w:rFonts w:hint="eastAsia" w:ascii="仿宋_GB2312" w:hAnsi="仿宋_GB2312" w:eastAsia="仿宋_GB2312" w:cs="仿宋_GB2312"/>
          <w:sz w:val="24"/>
          <w:szCs w:val="24"/>
        </w:rPr>
        <w:t>2000万元</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餐饮场所公众责任保险（其中需包含</w:t>
      </w:r>
      <w:r>
        <w:rPr>
          <w:rFonts w:hint="eastAsia" w:ascii="仿宋_GB2312" w:hAnsi="仿宋_GB2312" w:eastAsia="仿宋_GB2312" w:cs="仿宋_GB2312"/>
          <w:sz w:val="24"/>
          <w:szCs w:val="24"/>
          <w:lang w:eastAsia="zh-CN"/>
        </w:rPr>
        <w:t>保额为</w:t>
      </w:r>
      <w:r>
        <w:rPr>
          <w:rFonts w:hint="eastAsia" w:ascii="仿宋_GB2312" w:hAnsi="仿宋_GB2312" w:eastAsia="仿宋_GB2312" w:cs="仿宋_GB2312"/>
          <w:sz w:val="24"/>
          <w:szCs w:val="24"/>
          <w:lang w:val="en-US" w:eastAsia="zh-CN"/>
        </w:rPr>
        <w:t>2000万元的</w:t>
      </w:r>
      <w:r>
        <w:rPr>
          <w:rFonts w:hint="eastAsia" w:ascii="仿宋_GB2312" w:hAnsi="仿宋_GB2312" w:eastAsia="仿宋_GB2312" w:cs="仿宋_GB2312"/>
          <w:sz w:val="24"/>
          <w:szCs w:val="24"/>
        </w:rPr>
        <w:t>食品安全责任险的保险责任）</w:t>
      </w:r>
      <w:r>
        <w:rPr>
          <w:rFonts w:hint="eastAsia" w:ascii="仿宋_GB2312" w:hAnsi="仿宋_GB2312" w:eastAsia="仿宋_GB2312" w:cs="仿宋_GB2312"/>
          <w:sz w:val="24"/>
          <w:szCs w:val="24"/>
          <w:lang w:eastAsia="zh-CN"/>
        </w:rPr>
        <w:t>及为食堂员工购买团体人身意外伤害险等</w:t>
      </w:r>
      <w:r>
        <w:rPr>
          <w:rFonts w:hint="eastAsia" w:ascii="仿宋_GB2312" w:hAnsi="仿宋_GB2312" w:eastAsia="仿宋_GB2312" w:cs="仿宋_GB2312"/>
          <w:sz w:val="24"/>
          <w:szCs w:val="24"/>
        </w:rPr>
        <w:t>，并承担相应保险费用，甲方有权随时查验保单，并应在本合同签署后</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个工作日内将保险材料复印件交甲方留存。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val="en-US" w:eastAsia="zh-CN"/>
        </w:rPr>
        <w:t>（17）</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应明确清晰知晓随着业务开展就餐人数会有一定调整，具体就餐人数以实际人数为准，乙方应做好相应服务且不得提出费用变更要求。</w:t>
      </w:r>
    </w:p>
    <w:p>
      <w:pPr>
        <w:autoSpaceDE w:val="0"/>
        <w:autoSpaceDN w:val="0"/>
        <w:adjustRightInd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cs="仿宋_GB2312"/>
          <w:sz w:val="24"/>
          <w:highlight w:val="none"/>
          <w:lang w:eastAsia="zh-CN"/>
        </w:rPr>
        <w:t>（</w:t>
      </w:r>
      <w:r>
        <w:rPr>
          <w:rFonts w:hint="eastAsia" w:ascii="仿宋_GB2312" w:hAnsi="仿宋_GB2312" w:cs="仿宋_GB2312"/>
          <w:sz w:val="24"/>
          <w:highlight w:val="none"/>
          <w:lang w:val="en-US" w:eastAsia="zh-CN"/>
        </w:rPr>
        <w:t>18</w:t>
      </w:r>
      <w:r>
        <w:rPr>
          <w:rFonts w:hint="eastAsia" w:ascii="仿宋_GB2312" w:hAnsi="仿宋_GB2312" w:cs="仿宋_GB2312"/>
          <w:sz w:val="24"/>
          <w:highlight w:val="none"/>
          <w:lang w:eastAsia="zh-CN"/>
        </w:rPr>
        <w:t>）</w:t>
      </w:r>
      <w:r>
        <w:rPr>
          <w:rFonts w:hint="eastAsia" w:ascii="仿宋_GB2312" w:hAnsi="仿宋_GB2312" w:eastAsia="仿宋_GB2312" w:cs="仿宋_GB2312"/>
          <w:sz w:val="24"/>
          <w:highlight w:val="none"/>
        </w:rPr>
        <w:t>乙方不得将项目转让给他人，也不得将项目分包给他人。</w:t>
      </w:r>
    </w:p>
    <w:p>
      <w:pPr>
        <w:pStyle w:val="2"/>
        <w:outlineLvl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cs="仿宋_GB2312"/>
          <w:b/>
          <w:bCs/>
          <w:lang w:val="en-US" w:eastAsia="zh-CN"/>
        </w:rPr>
      </w:pPr>
      <w:bookmarkStart w:id="146" w:name="_Toc10649"/>
      <w:r>
        <w:rPr>
          <w:rFonts w:hint="eastAsia" w:ascii="仿宋_GB2312" w:hAnsi="仿宋_GB2312" w:cs="仿宋_GB2312"/>
          <w:b/>
          <w:bCs/>
          <w:lang w:val="en-US" w:eastAsia="zh-CN"/>
        </w:rPr>
        <w:t>三、支付方式</w:t>
      </w:r>
      <w:bookmarkEnd w:id="144"/>
      <w:bookmarkEnd w:id="145"/>
      <w:bookmarkEnd w:id="146"/>
    </w:p>
    <w:p>
      <w:pPr>
        <w:keepNext w:val="0"/>
        <w:keepLines w:val="0"/>
        <w:pageBreakBefore w:val="0"/>
        <w:widowControl w:val="0"/>
        <w:kinsoku/>
        <w:wordWrap/>
        <w:overflowPunct/>
        <w:topLinePunct w:val="0"/>
        <w:autoSpaceDE/>
        <w:autoSpaceDN/>
        <w:bidi w:val="0"/>
        <w:snapToGrid w:val="0"/>
        <w:spacing w:line="360" w:lineRule="auto"/>
        <w:ind w:right="0" w:rightChars="0" w:firstLine="420" w:firstLineChars="175"/>
        <w:jc w:val="left"/>
        <w:textAlignment w:val="auto"/>
        <w:outlineLvl w:val="9"/>
        <w:rPr>
          <w:rFonts w:hint="default" w:ascii="仿宋_GB2312" w:hAnsi="仿宋" w:eastAsia="仿宋_GB2312"/>
          <w:color w:val="auto"/>
          <w:sz w:val="24"/>
          <w:u w:val="none"/>
          <w:lang w:val="en-US" w:eastAsia="zh-CN"/>
        </w:rPr>
      </w:pPr>
      <w:r>
        <w:rPr>
          <w:rFonts w:hint="eastAsia" w:ascii="仿宋_GB2312" w:hAnsi="仿宋_GB2312" w:eastAsia="仿宋_GB2312" w:cs="仿宋_GB2312"/>
          <w:sz w:val="24"/>
          <w:szCs w:val="24"/>
          <w:u w:val="none"/>
        </w:rPr>
        <w:t>本合同的餐费按实结算，乙方按餐费收缴系统中实际刷卡数据、客餐和工作餐费用每月结算一次，乙方于每月将上月就餐数据汇总报甲方审核确认，并</w:t>
      </w:r>
      <w:r>
        <w:rPr>
          <w:rFonts w:hint="eastAsia" w:ascii="仿宋_GB2312" w:hAnsi="仿宋_GB2312" w:cs="仿宋_GB2312"/>
          <w:sz w:val="24"/>
          <w:szCs w:val="24"/>
          <w:u w:val="none"/>
          <w:lang w:val="en-US" w:eastAsia="zh-CN"/>
        </w:rPr>
        <w:t>在</w:t>
      </w:r>
      <w:r>
        <w:rPr>
          <w:rFonts w:hint="eastAsia" w:ascii="仿宋_GB2312" w:hAnsi="仿宋_GB2312" w:eastAsia="仿宋_GB2312" w:cs="仿宋_GB2312"/>
          <w:sz w:val="24"/>
          <w:szCs w:val="24"/>
          <w:u w:val="none"/>
        </w:rPr>
        <w:t>甲方确认后向甲方开具上月就餐金额的正规税务发票，税费由乙方承担，甲方在收到乙方发票后</w:t>
      </w:r>
      <w:r>
        <w:rPr>
          <w:rFonts w:hint="eastAsia" w:ascii="仿宋_GB2312" w:hAnsi="仿宋_GB2312" w:cs="仿宋_GB2312"/>
          <w:sz w:val="24"/>
          <w:szCs w:val="24"/>
          <w:u w:val="none"/>
          <w:lang w:val="en-US" w:eastAsia="zh-CN"/>
        </w:rPr>
        <w:t>28</w:t>
      </w:r>
      <w:r>
        <w:rPr>
          <w:rFonts w:hint="eastAsia" w:ascii="仿宋_GB2312" w:hAnsi="仿宋_GB2312" w:eastAsia="仿宋_GB2312" w:cs="仿宋_GB2312"/>
          <w:sz w:val="24"/>
          <w:szCs w:val="24"/>
          <w:u w:val="none"/>
        </w:rPr>
        <w:t>个工作日内向乙方付款。</w:t>
      </w:r>
    </w:p>
    <w:p>
      <w:pPr>
        <w:keepNext w:val="0"/>
        <w:keepLines w:val="0"/>
        <w:pageBreakBefore w:val="0"/>
        <w:widowControl w:val="0"/>
        <w:kinsoku/>
        <w:wordWrap/>
        <w:overflowPunct/>
        <w:topLinePunct w:val="0"/>
        <w:autoSpaceDE/>
        <w:autoSpaceDN/>
        <w:bidi w:val="0"/>
        <w:snapToGrid w:val="0"/>
        <w:spacing w:line="360" w:lineRule="auto"/>
        <w:ind w:right="0" w:rightChars="0"/>
        <w:jc w:val="left"/>
        <w:textAlignment w:val="auto"/>
        <w:outlineLvl w:val="9"/>
        <w:rPr>
          <w:rFonts w:hint="eastAsia" w:ascii="仿宋_GB2312" w:hAnsi="仿宋_GB2312" w:eastAsia="仿宋_GB2312" w:cs="仿宋_GB2312"/>
          <w:b/>
          <w:bCs/>
          <w:color w:val="auto"/>
          <w:sz w:val="24"/>
          <w:szCs w:val="24"/>
          <w:lang w:val="en-US" w:eastAsia="zh-CN"/>
        </w:rPr>
      </w:pPr>
      <w:bookmarkStart w:id="147" w:name="_Toc29560"/>
      <w:bookmarkStart w:id="148" w:name="_Toc23081"/>
      <w:bookmarkStart w:id="149" w:name="_Toc479241510"/>
      <w:bookmarkStart w:id="150" w:name="_Toc11767"/>
      <w:r>
        <w:rPr>
          <w:rFonts w:hint="eastAsia" w:ascii="仿宋_GB2312" w:hAnsi="仿宋_GB2312" w:cs="仿宋_GB2312"/>
          <w:b/>
          <w:bCs/>
          <w:color w:val="auto"/>
          <w:sz w:val="24"/>
          <w:szCs w:val="24"/>
          <w:lang w:val="en-US" w:eastAsia="zh-CN"/>
        </w:rPr>
        <w:t>四、</w:t>
      </w:r>
      <w:r>
        <w:rPr>
          <w:rFonts w:hint="eastAsia" w:ascii="仿宋_GB2312" w:hAnsi="仿宋_GB2312" w:eastAsia="仿宋_GB2312" w:cs="仿宋_GB2312"/>
          <w:b/>
          <w:bCs/>
          <w:color w:val="auto"/>
          <w:sz w:val="24"/>
          <w:szCs w:val="24"/>
          <w:lang w:val="en-US" w:eastAsia="zh-CN"/>
        </w:rPr>
        <w:t>履约担保</w:t>
      </w:r>
      <w:bookmarkEnd w:id="147"/>
      <w:bookmarkEnd w:id="148"/>
      <w:bookmarkEnd w:id="149"/>
    </w:p>
    <w:bookmarkEnd w:id="150"/>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color w:val="auto"/>
          <w:kern w:val="0"/>
          <w:sz w:val="24"/>
          <w:szCs w:val="24"/>
          <w:highlight w:val="none"/>
        </w:rPr>
      </w:pPr>
      <w:bookmarkStart w:id="151" w:name="_Toc443208225"/>
      <w:bookmarkStart w:id="152" w:name="_Toc443376818"/>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1 乙方</w:t>
      </w:r>
      <w:r>
        <w:rPr>
          <w:rFonts w:hint="eastAsia" w:ascii="仿宋_GB2312" w:hAnsi="仿宋_GB2312" w:eastAsia="仿宋_GB2312" w:cs="仿宋_GB2312"/>
          <w:color w:val="auto"/>
          <w:kern w:val="0"/>
          <w:sz w:val="24"/>
          <w:szCs w:val="24"/>
          <w:highlight w:val="none"/>
          <w:u w:val="single"/>
        </w:rPr>
        <w:sym w:font="Wingdings 2" w:char="0052"/>
      </w:r>
      <w:r>
        <w:rPr>
          <w:rFonts w:hint="eastAsia" w:ascii="仿宋_GB2312" w:hAnsi="仿宋_GB2312" w:eastAsia="仿宋_GB2312" w:cs="仿宋_GB2312"/>
          <w:color w:val="auto"/>
          <w:kern w:val="0"/>
          <w:sz w:val="24"/>
          <w:szCs w:val="24"/>
          <w:highlight w:val="none"/>
          <w:u w:val="single"/>
        </w:rPr>
        <w:t>需要/□不需要</w:t>
      </w:r>
      <w:r>
        <w:rPr>
          <w:rFonts w:hint="eastAsia" w:ascii="仿宋_GB2312" w:hAnsi="仿宋_GB2312" w:eastAsia="仿宋_GB2312" w:cs="仿宋_GB2312"/>
          <w:color w:val="auto"/>
          <w:kern w:val="0"/>
          <w:sz w:val="24"/>
          <w:szCs w:val="24"/>
          <w:highlight w:val="none"/>
        </w:rPr>
        <w:t>提供履约担保。</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2 如需要乙方提供履约担保，则：</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2.1履约担保是办理付款的必要条件之一，乙方应在本合同签订后</w:t>
      </w:r>
      <w:r>
        <w:rPr>
          <w:rFonts w:hint="eastAsia" w:ascii="仿宋_GB2312" w:hAnsi="仿宋_GB2312" w:cs="仿宋_GB2312"/>
          <w:color w:val="auto"/>
          <w:kern w:val="0"/>
          <w:sz w:val="24"/>
          <w:szCs w:val="24"/>
          <w:highlight w:val="none"/>
          <w:lang w:val="en-US" w:eastAsia="zh-CN"/>
        </w:rPr>
        <w:t>15</w:t>
      </w:r>
      <w:r>
        <w:rPr>
          <w:rFonts w:hint="eastAsia" w:ascii="仿宋_GB2312" w:hAnsi="仿宋_GB2312" w:eastAsia="仿宋_GB2312" w:cs="仿宋_GB2312"/>
          <w:color w:val="auto"/>
          <w:kern w:val="0"/>
          <w:sz w:val="24"/>
          <w:szCs w:val="24"/>
          <w:highlight w:val="none"/>
        </w:rPr>
        <w:t>个工作日内提供履约担保。</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2.2履约担保用于补偿甲方因乙方不能完成其合同义务而蒙受的损失。</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2.3乙方提供履约担保的形式、金额及期限可采用以下两种方式之一：</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（1）采用银行履约保函形式，银行履约保函的担保额度为</w:t>
      </w:r>
      <w:r>
        <w:rPr>
          <w:rFonts w:hint="eastAsia" w:ascii="仿宋_GB2312" w:hAnsi="仿宋_GB2312" w:cs="仿宋_GB2312"/>
          <w:color w:val="auto"/>
          <w:kern w:val="0"/>
          <w:sz w:val="24"/>
          <w:szCs w:val="24"/>
          <w:highlight w:val="none"/>
          <w:u w:val="single"/>
          <w:lang w:val="en-US" w:eastAsia="zh-CN"/>
        </w:rPr>
        <w:t>伍万元整（50000.00）</w:t>
      </w:r>
      <w:r>
        <w:rPr>
          <w:rFonts w:hint="eastAsia" w:ascii="仿宋_GB2312" w:hAnsi="仿宋_GB2312" w:eastAsia="仿宋_GB2312" w:cs="仿宋_GB2312"/>
          <w:color w:val="auto"/>
          <w:kern w:val="0"/>
          <w:sz w:val="24"/>
          <w:szCs w:val="24"/>
          <w:highlight w:val="none"/>
        </w:rPr>
        <w:t>，担保期限为自保函生效之日起，至</w:t>
      </w:r>
      <w:r>
        <w:rPr>
          <w:rFonts w:hint="eastAsia" w:ascii="仿宋_GB2312" w:hAnsi="仿宋_GB2312" w:eastAsia="仿宋_GB2312" w:cs="仿宋_GB2312"/>
          <w:color w:val="auto"/>
          <w:kern w:val="0"/>
          <w:sz w:val="24"/>
          <w:szCs w:val="24"/>
          <w:highlight w:val="none"/>
          <w:lang w:eastAsia="zh-CN"/>
        </w:rPr>
        <w:t>全部验收合格</w:t>
      </w:r>
      <w:r>
        <w:rPr>
          <w:rFonts w:hint="eastAsia" w:ascii="仿宋_GB2312" w:hAnsi="仿宋_GB2312" w:eastAsia="仿宋_GB2312" w:cs="仿宋_GB2312"/>
          <w:color w:val="auto"/>
          <w:kern w:val="0"/>
          <w:sz w:val="24"/>
          <w:szCs w:val="24"/>
          <w:highlight w:val="none"/>
        </w:rPr>
        <w:t>之日止。银行履约保函应为在中国境内注册和营业的银行出具的、以甲方为受益人首次申请即作为无条件付款的保函，银行履约保函格式具体详见合同附录。</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color w:val="auto"/>
          <w:kern w:val="0"/>
          <w:sz w:val="24"/>
          <w:szCs w:val="24"/>
          <w:highlight w:val="none"/>
          <w:u w:val="single"/>
          <w:lang w:val="en-US" w:eastAsia="zh-CN"/>
        </w:rPr>
      </w:pPr>
      <w:r>
        <w:rPr>
          <w:rFonts w:hint="eastAsia" w:ascii="仿宋_GB2312" w:hAnsi="仿宋_GB2312" w:eastAsia="仿宋_GB2312" w:cs="仿宋_GB2312"/>
          <w:color w:val="auto"/>
          <w:kern w:val="0"/>
          <w:sz w:val="24"/>
          <w:szCs w:val="24"/>
          <w:highlight w:val="none"/>
        </w:rPr>
        <w:t>（2）采用现金形式，现金担保额度为</w:t>
      </w:r>
      <w:r>
        <w:rPr>
          <w:rFonts w:hint="eastAsia" w:ascii="仿宋_GB2312" w:hAnsi="仿宋_GB2312" w:cs="仿宋_GB2312"/>
          <w:color w:val="auto"/>
          <w:kern w:val="0"/>
          <w:sz w:val="24"/>
          <w:szCs w:val="24"/>
          <w:highlight w:val="none"/>
          <w:u w:val="single"/>
          <w:lang w:val="en-US" w:eastAsia="zh-CN"/>
        </w:rPr>
        <w:t>伍万元整（50000.00）</w:t>
      </w:r>
      <w:r>
        <w:rPr>
          <w:rFonts w:hint="eastAsia" w:ascii="仿宋_GB2312" w:hAnsi="仿宋_GB2312" w:eastAsia="仿宋_GB2312" w:cs="仿宋_GB2312"/>
          <w:color w:val="auto"/>
          <w:kern w:val="0"/>
          <w:sz w:val="24"/>
          <w:szCs w:val="24"/>
          <w:highlight w:val="none"/>
        </w:rPr>
        <w:t>，担保期限为履约保证金到账之日起，至</w:t>
      </w:r>
      <w:r>
        <w:rPr>
          <w:rFonts w:hint="eastAsia" w:ascii="仿宋_GB2312" w:hAnsi="仿宋_GB2312" w:eastAsia="仿宋_GB2312" w:cs="仿宋_GB2312"/>
          <w:color w:val="auto"/>
          <w:kern w:val="0"/>
          <w:sz w:val="24"/>
          <w:szCs w:val="24"/>
          <w:highlight w:val="none"/>
          <w:lang w:eastAsia="zh-CN"/>
        </w:rPr>
        <w:t>验收合格</w:t>
      </w:r>
      <w:r>
        <w:rPr>
          <w:rFonts w:hint="eastAsia" w:ascii="仿宋_GB2312" w:hAnsi="仿宋_GB2312" w:eastAsia="仿宋_GB2312" w:cs="仿宋_GB2312"/>
          <w:color w:val="auto"/>
          <w:kern w:val="0"/>
          <w:sz w:val="24"/>
          <w:szCs w:val="24"/>
          <w:highlight w:val="none"/>
        </w:rPr>
        <w:t>之日止。履约担保以现金形式提交的，乙方应从其基本账户通过转帐或电汇至甲方指定的账户。</w:t>
      </w:r>
    </w:p>
    <w:p>
      <w:pPr>
        <w:keepNext w:val="0"/>
        <w:keepLines w:val="0"/>
        <w:pageBreakBefore w:val="0"/>
        <w:kinsoku/>
        <w:wordWrap/>
        <w:overflowPunct/>
        <w:topLinePunct w:val="0"/>
        <w:autoSpaceDE/>
        <w:autoSpaceDN/>
        <w:bidi w:val="0"/>
        <w:adjustRightInd w:val="0"/>
        <w:snapToGrid w:val="0"/>
        <w:spacing w:line="360" w:lineRule="auto"/>
        <w:ind w:firstLine="420" w:firstLineChars="175"/>
        <w:outlineLvl w:val="9"/>
        <w:rPr>
          <w:rFonts w:hint="eastAsia" w:ascii="仿宋_GB2312" w:hAnsi="仿宋_GB2312" w:eastAsia="仿宋_GB2312" w:cs="仿宋_GB2312"/>
          <w:color w:val="auto"/>
          <w:kern w:val="0"/>
          <w:sz w:val="24"/>
          <w:szCs w:val="24"/>
          <w:highlight w:val="none"/>
        </w:rPr>
      </w:pPr>
      <w:bookmarkStart w:id="153" w:name="_Toc1515"/>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.4在乙方完成其合同义务包括任何保证义务后，甲方将把履约担保无息退还乙方。</w:t>
      </w:r>
      <w:bookmarkEnd w:id="153"/>
    </w:p>
    <w:bookmarkEnd w:id="151"/>
    <w:bookmarkEnd w:id="152"/>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五、项目实施要求</w:t>
      </w:r>
    </w:p>
    <w:p>
      <w:pPr>
        <w:keepNext w:val="0"/>
        <w:keepLines w:val="0"/>
        <w:pageBreakBefore w:val="0"/>
        <w:kinsoku/>
        <w:wordWrap/>
        <w:overflowPunct/>
        <w:topLinePunct w:val="0"/>
        <w:autoSpaceDE/>
        <w:autoSpaceDN/>
        <w:bidi w:val="0"/>
        <w:adjustRightInd w:val="0"/>
        <w:snapToGrid w:val="0"/>
        <w:spacing w:line="360" w:lineRule="auto"/>
        <w:ind w:firstLine="420" w:firstLineChars="175"/>
        <w:outlineLvl w:val="9"/>
        <w:rPr>
          <w:rFonts w:hint="eastAsia" w:ascii="仿宋_GB2312" w:hAnsi="仿宋_GB2312" w:eastAsia="仿宋_GB2312" w:cs="仿宋_GB2312"/>
          <w:color w:val="auto"/>
          <w:kern w:val="0"/>
          <w:sz w:val="24"/>
          <w:szCs w:val="24"/>
          <w:highlight w:val="none"/>
          <w:u w:val="single"/>
          <w:lang w:val="en-US" w:eastAsia="zh-CN"/>
        </w:rPr>
      </w:pPr>
      <w:r>
        <w:rPr>
          <w:rFonts w:hint="eastAsia" w:ascii="仿宋_GB2312" w:hAnsi="仿宋_GB2312" w:eastAsia="仿宋_GB2312" w:cs="仿宋_GB2312"/>
          <w:color w:val="auto"/>
          <w:kern w:val="0"/>
          <w:sz w:val="24"/>
          <w:szCs w:val="24"/>
          <w:highlight w:val="none"/>
          <w:u w:val="single"/>
          <w:lang w:val="en-US" w:eastAsia="zh-CN"/>
        </w:rPr>
        <w:t>项目实施的工作时间、供餐要求和其它要求等内容详见用户需求书/技术规格书。</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六、项目验收</w:t>
      </w:r>
    </w:p>
    <w:p>
      <w:pPr>
        <w:keepNext w:val="0"/>
        <w:keepLines w:val="0"/>
        <w:pageBreakBefore w:val="0"/>
        <w:kinsoku/>
        <w:wordWrap/>
        <w:overflowPunct/>
        <w:topLinePunct w:val="0"/>
        <w:autoSpaceDE/>
        <w:autoSpaceDN/>
        <w:bidi w:val="0"/>
        <w:adjustRightInd w:val="0"/>
        <w:snapToGrid w:val="0"/>
        <w:spacing w:line="360" w:lineRule="auto"/>
        <w:ind w:firstLine="420" w:firstLineChars="175"/>
        <w:outlineLvl w:val="9"/>
        <w:rPr>
          <w:rFonts w:hint="eastAsia" w:ascii="仿宋_GB2312" w:hAnsi="仿宋_GB2312" w:eastAsia="仿宋_GB2312" w:cs="仿宋_GB2312"/>
          <w:color w:val="auto"/>
          <w:kern w:val="0"/>
          <w:sz w:val="24"/>
          <w:szCs w:val="24"/>
          <w:highlight w:val="none"/>
          <w:u w:val="single"/>
          <w:lang w:val="en-US" w:eastAsia="zh-CN"/>
        </w:rPr>
      </w:pPr>
      <w:r>
        <w:rPr>
          <w:rFonts w:hint="eastAsia" w:ascii="仿宋_GB2312" w:hAnsi="仿宋_GB2312" w:eastAsia="仿宋_GB2312" w:cs="仿宋_GB2312"/>
          <w:color w:val="auto"/>
          <w:kern w:val="0"/>
          <w:sz w:val="24"/>
          <w:szCs w:val="24"/>
          <w:highlight w:val="none"/>
          <w:u w:val="single"/>
          <w:lang w:val="en-US" w:eastAsia="zh-CN"/>
        </w:rPr>
        <w:t>项目验收的验收小组、验收周期等内容详见用户需求书/技术规格书为准。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cs="仿宋_GB2312"/>
          <w:b/>
          <w:bCs/>
          <w:lang w:eastAsia="zh-CN"/>
        </w:rPr>
      </w:pPr>
      <w:bookmarkStart w:id="154" w:name="_Toc28510"/>
      <w:bookmarkStart w:id="155" w:name="_Toc30378"/>
      <w:bookmarkStart w:id="156" w:name="_Toc24658"/>
      <w:r>
        <w:rPr>
          <w:rFonts w:hint="eastAsia" w:ascii="仿宋_GB2312" w:hAnsi="仿宋_GB2312" w:cs="仿宋_GB2312"/>
          <w:b/>
          <w:bCs/>
          <w:lang w:eastAsia="zh-CN"/>
        </w:rPr>
        <w:t>七、违约责任</w:t>
      </w:r>
      <w:bookmarkEnd w:id="154"/>
      <w:bookmarkEnd w:id="155"/>
      <w:bookmarkEnd w:id="15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val="0"/>
          <w:bCs w:val="0"/>
          <w:color w:val="auto"/>
          <w:highlight w:val="none"/>
          <w:lang w:val="en-US" w:eastAsia="zh-CN"/>
        </w:rPr>
      </w:pPr>
      <w:r>
        <w:rPr>
          <w:rFonts w:hint="eastAsia" w:ascii="仿宋_GB2312" w:hAnsi="仿宋_GB2312" w:eastAsia="仿宋_GB2312" w:cs="仿宋_GB2312"/>
          <w:color w:val="auto"/>
          <w:kern w:val="0"/>
          <w:sz w:val="24"/>
          <w:szCs w:val="24"/>
          <w:highlight w:val="none"/>
          <w:lang w:val="en-US" w:eastAsia="zh-CN"/>
        </w:rPr>
        <w:t>违约责任在用户需求书/技术规格书中明确的，按用户需求书/技术规格书执行，无明确约定的，按下述条款执行。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_GB2312" w:hAnsi="仿宋_GB2312" w:eastAsia="仿宋_GB2312" w:cs="仿宋_GB2312"/>
          <w:color w:val="auto"/>
          <w:kern w:val="0"/>
          <w:sz w:val="24"/>
          <w:szCs w:val="24"/>
          <w:highlight w:val="none"/>
          <w:lang w:val="en-US" w:eastAsia="zh-CN"/>
        </w:rPr>
      </w:pPr>
      <w:r>
        <w:rPr>
          <w:rFonts w:hint="eastAsia"/>
          <w:b w:val="0"/>
          <w:bCs w:val="0"/>
          <w:color w:val="auto"/>
          <w:highlight w:val="none"/>
          <w:lang w:val="en-US" w:eastAsia="zh-CN"/>
        </w:rPr>
        <w:t>7.1</w:t>
      </w:r>
      <w:r>
        <w:rPr>
          <w:rFonts w:hint="eastAsia" w:ascii="仿宋_GB2312" w:hAnsi="仿宋_GB2312" w:eastAsia="仿宋_GB2312" w:cs="仿宋_GB2312"/>
          <w:color w:val="auto"/>
          <w:kern w:val="0"/>
          <w:sz w:val="24"/>
          <w:szCs w:val="24"/>
          <w:highlight w:val="none"/>
          <w:lang w:val="en-US" w:eastAsia="zh-CN"/>
        </w:rPr>
        <w:t>乙方未按合同约定时间进场的，每延误一天，乙方应向甲方支付10000元/天的违约金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b w:val="0"/>
          <w:bCs w:val="0"/>
          <w:color w:val="auto"/>
          <w:highlight w:val="none"/>
          <w:lang w:val="en-US" w:eastAsia="zh-CN"/>
        </w:rPr>
      </w:pPr>
      <w:r>
        <w:rPr>
          <w:rFonts w:hint="eastAsia"/>
          <w:b w:val="0"/>
          <w:bCs w:val="0"/>
          <w:color w:val="auto"/>
          <w:highlight w:val="none"/>
          <w:lang w:val="en-US" w:eastAsia="zh-CN"/>
        </w:rPr>
        <w:t>7.2</w:t>
      </w:r>
      <w:r>
        <w:rPr>
          <w:rFonts w:hint="eastAsia" w:ascii="仿宋_GB2312" w:hAnsi="仿宋_GB2312" w:eastAsia="仿宋_GB2312" w:cs="仿宋_GB2312"/>
          <w:color w:val="auto"/>
          <w:kern w:val="0"/>
          <w:sz w:val="24"/>
          <w:szCs w:val="24"/>
          <w:highlight w:val="none"/>
          <w:lang w:val="en-US" w:eastAsia="zh-CN"/>
        </w:rPr>
        <w:t>乙方未经甲方同意不得更换项目关键岗位人员，如需更换，所替换人员应具备合同约定的同等级资质，乙方须提前十个工作日向甲方提出书面申请和资质证明材料，经甲方同意后方可更换。乙方擅自更换项目关键岗位人员，乙方应向甲方支付5000元/人·次的违约金。如乙方更换的人员资质不符合合同要求，应在甲方发现后五个工作日内按甲方要求重新替换为与合同约定的同等级资质项目人员，否则乙方须另行支付2000元/人·天的违约金直至项目人员配置与合同约定一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7.3</w:t>
      </w:r>
      <w:r>
        <w:rPr>
          <w:rFonts w:hint="eastAsia" w:ascii="仿宋_GB2312" w:hAnsi="仿宋_GB2312" w:eastAsia="仿宋_GB2312" w:cs="仿宋_GB2312"/>
          <w:color w:val="auto"/>
          <w:kern w:val="0"/>
          <w:sz w:val="24"/>
          <w:szCs w:val="24"/>
          <w:highlight w:val="none"/>
          <w:lang w:val="en-US" w:eastAsia="zh-CN"/>
        </w:rPr>
        <w:t>乙方应严格执行工作规范、操作规程及相关安全和环境保护规定，并对因自身管理不善造成的安全、火灾等所有事故及相应损失费用承担全部责任。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7.4</w:t>
      </w:r>
      <w:r>
        <w:rPr>
          <w:rFonts w:hint="eastAsia" w:ascii="仿宋_GB2312" w:hAnsi="仿宋_GB2312" w:eastAsia="仿宋_GB2312" w:cs="仿宋_GB2312"/>
          <w:color w:val="auto"/>
          <w:kern w:val="0"/>
          <w:sz w:val="24"/>
          <w:szCs w:val="24"/>
          <w:highlight w:val="none"/>
          <w:lang w:val="en-US" w:eastAsia="zh-CN"/>
        </w:rPr>
        <w:t>因乙方供餐不卫生等原因造成甲方员工食物中毒、呕吐腹泻等不良反应（经医院确诊）时，乙方应积极施救并承担全部经济损失，且乙方应向甲方支付20000元/次的违约金且甲方有权解除合同。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b w:val="0"/>
          <w:bCs w:val="0"/>
          <w:color w:val="auto"/>
          <w:highlight w:val="none"/>
          <w:lang w:val="en-US" w:eastAsia="zh-CN"/>
        </w:rPr>
      </w:pPr>
      <w:r>
        <w:rPr>
          <w:rFonts w:hint="eastAsia"/>
          <w:color w:val="auto"/>
          <w:highlight w:val="none"/>
          <w:lang w:val="en-US" w:eastAsia="zh-CN"/>
        </w:rPr>
        <w:t>7.5</w:t>
      </w:r>
      <w:r>
        <w:rPr>
          <w:rFonts w:hint="eastAsia" w:ascii="仿宋_GB2312" w:hAnsi="仿宋_GB2312" w:eastAsia="仿宋_GB2312" w:cs="仿宋_GB2312"/>
          <w:color w:val="auto"/>
          <w:kern w:val="0"/>
          <w:sz w:val="24"/>
          <w:szCs w:val="24"/>
          <w:highlight w:val="none"/>
          <w:lang w:val="en-US" w:eastAsia="zh-CN"/>
        </w:rPr>
        <w:t>因乙方原因（包括但不限于使用、管理、维修不当）造成甲方房屋（或场地）、设备设施等损坏的，乙方应自行负责修缮并承担全部费用；由此造成财产或人身受到损害的，乙方还应承担由此造成的赔偿责任。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7.6</w:t>
      </w:r>
      <w:r>
        <w:rPr>
          <w:rFonts w:hint="eastAsia" w:ascii="仿宋_GB2312" w:hAnsi="仿宋_GB2312" w:eastAsia="仿宋_GB2312" w:cs="仿宋_GB2312"/>
          <w:color w:val="auto"/>
          <w:kern w:val="0"/>
          <w:sz w:val="24"/>
          <w:szCs w:val="24"/>
          <w:highlight w:val="none"/>
          <w:lang w:val="en-US" w:eastAsia="zh-CN"/>
        </w:rPr>
        <w:t>因乙方原因拖欠其员工薪酬及其他原因，在甲方区域发生纠纷的，乙方应向甲方支付5000元/次的违约金且甲方有权解除合同。由于乙方拖欠其员工薪金或者与员工发生其他劳动、劳务争议的，由乙方自行解决并承担所有责任，因此造成甲方损失的，甲方有权向乙方追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7.7</w:t>
      </w:r>
      <w:r>
        <w:rPr>
          <w:rFonts w:hint="eastAsia" w:ascii="仿宋_GB2312" w:hAnsi="仿宋_GB2312" w:eastAsia="仿宋_GB2312" w:cs="仿宋_GB2312"/>
          <w:color w:val="auto"/>
          <w:kern w:val="0"/>
          <w:sz w:val="24"/>
          <w:szCs w:val="24"/>
          <w:highlight w:val="none"/>
          <w:lang w:val="en-US" w:eastAsia="zh-CN"/>
        </w:rPr>
        <w:t>因乙方原因导致信息（人员信息、公司资料）泄露的，由乙方承担全部责任及由此而产生的一切损失，同时甲方有权追究乙方的法律责任。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7.8</w:t>
      </w:r>
      <w:r>
        <w:rPr>
          <w:rFonts w:hint="eastAsia" w:ascii="仿宋_GB2312" w:hAnsi="仿宋_GB2312" w:eastAsia="仿宋_GB2312" w:cs="仿宋_GB2312"/>
          <w:color w:val="auto"/>
          <w:kern w:val="0"/>
          <w:sz w:val="24"/>
          <w:szCs w:val="24"/>
          <w:highlight w:val="none"/>
          <w:lang w:val="en-US" w:eastAsia="zh-CN"/>
        </w:rPr>
        <w:t>因以下情形造成甲方的所有直接和间接损失（包括但不限于由此所受处罚及诉讼或仲裁产生的诉讼费、申请费、保全费、公证费、鉴定费和合理的律师费等一切费用），皆由乙方全部承担：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（1）</w:t>
      </w:r>
      <w:r>
        <w:rPr>
          <w:rFonts w:hint="eastAsia" w:ascii="仿宋_GB2312" w:hAnsi="仿宋_GB2312" w:eastAsia="仿宋_GB2312" w:cs="仿宋_GB2312"/>
          <w:color w:val="auto"/>
          <w:kern w:val="0"/>
          <w:sz w:val="24"/>
          <w:szCs w:val="24"/>
          <w:highlight w:val="none"/>
          <w:lang w:val="en-US" w:eastAsia="zh-CN"/>
        </w:rPr>
        <w:t>因乙方原因造成餐厅餐饮管理不合格而受到政府有关部门的经济处罚和批评的或受起诉或仲裁的；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color w:val="auto"/>
          <w:highlight w:val="none"/>
          <w:lang w:val="en-US" w:eastAsia="zh-CN"/>
        </w:rPr>
      </w:pPr>
      <w:r>
        <w:rPr>
          <w:rFonts w:hint="eastAsia"/>
          <w:color w:val="auto"/>
          <w:highlight w:val="none"/>
          <w:lang w:val="en-US" w:eastAsia="zh-CN"/>
        </w:rPr>
        <w:t>（2）</w:t>
      </w:r>
      <w:r>
        <w:rPr>
          <w:rFonts w:hint="eastAsia" w:ascii="仿宋_GB2312" w:hAnsi="仿宋_GB2312" w:eastAsia="仿宋_GB2312" w:cs="仿宋_GB2312"/>
          <w:color w:val="auto"/>
          <w:kern w:val="0"/>
          <w:sz w:val="24"/>
          <w:szCs w:val="24"/>
          <w:highlight w:val="none"/>
          <w:lang w:val="en-US" w:eastAsia="zh-CN"/>
        </w:rPr>
        <w:t>因乙方人员过错造成甲方财产及甲方人员人身、财产损失的。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7.8</w:t>
      </w:r>
      <w:r>
        <w:rPr>
          <w:rFonts w:hint="eastAsia" w:ascii="仿宋_GB2312" w:hAnsi="仿宋_GB2312" w:eastAsia="仿宋_GB2312" w:cs="仿宋_GB2312"/>
          <w:color w:val="auto"/>
          <w:kern w:val="0"/>
          <w:sz w:val="24"/>
          <w:szCs w:val="24"/>
          <w:highlight w:val="none"/>
          <w:lang w:val="en-US" w:eastAsia="zh-CN"/>
        </w:rPr>
        <w:t>合同期满或合同提前解除，乙方应无条件撤场并将属于甲方的相关设施设备、用品用具完好（自然老化损耗除外）交还甲方。乙方不能以任何理由影响甲方或新的承包人按时接管食堂，如果乙方不配合办理交接手续，导致甲方食堂不能正常经营的，每延误一天，乙方应向甲方支付10000元/天的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7.9</w:t>
      </w:r>
      <w:r>
        <w:rPr>
          <w:rFonts w:hint="eastAsia" w:ascii="仿宋_GB2312" w:hAnsi="仿宋_GB2312" w:eastAsia="仿宋_GB2312" w:cs="仿宋_GB2312"/>
          <w:color w:val="auto"/>
          <w:kern w:val="0"/>
          <w:sz w:val="24"/>
          <w:szCs w:val="24"/>
          <w:highlight w:val="none"/>
          <w:lang w:val="en-US" w:eastAsia="zh-CN"/>
        </w:rPr>
        <w:t>乙方逾期提供部分或全部履约担保在30天内的，每逾期一天乙方应向甲方支付300元/天的违约金，违约金最高不超过人民币叁万元整；乙方逾期提供履约担保超过30天（含）的：甲方有权解除合同。甲方解除合同的，乙方应向甲方支付人民币十万元整的违约金；甲方要求继续履行合同的，每逾期一天（从逾期第30日当日开始计算）乙方应向甲方支付500元/天的违约金，违约金最高为人民币伍万元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7.10</w:t>
      </w:r>
      <w:r>
        <w:rPr>
          <w:rFonts w:hint="eastAsia" w:ascii="仿宋_GB2312" w:hAnsi="仿宋_GB2312" w:eastAsia="仿宋_GB2312" w:cs="仿宋_GB2312"/>
          <w:color w:val="auto"/>
          <w:kern w:val="0"/>
          <w:sz w:val="24"/>
          <w:szCs w:val="24"/>
          <w:highlight w:val="none"/>
          <w:lang w:val="en-US" w:eastAsia="zh-CN"/>
        </w:rPr>
        <w:t>违约金以现金或转账方式交纳，甲方开具收款收据、不提供发票，乙方不得因此冲减增值税专用发票金额。</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4"/>
          <w:szCs w:val="24"/>
          <w:lang w:val="en-US" w:eastAsia="zh-CN"/>
        </w:rPr>
      </w:pPr>
      <w:bookmarkStart w:id="157" w:name="_Toc13833"/>
      <w:bookmarkStart w:id="158" w:name="_Toc27033"/>
      <w:bookmarkStart w:id="159" w:name="_Toc9882"/>
      <w:r>
        <w:rPr>
          <w:rFonts w:hint="eastAsia" w:ascii="仿宋_GB2312" w:hAnsi="仿宋_GB2312" w:eastAsia="仿宋_GB2312" w:cs="仿宋_GB2312"/>
          <w:b/>
          <w:bCs/>
          <w:sz w:val="24"/>
          <w:szCs w:val="24"/>
          <w:lang w:val="en-US" w:eastAsia="zh-CN"/>
        </w:rPr>
        <w:t>八、合同解除</w:t>
      </w:r>
      <w:bookmarkEnd w:id="157"/>
    </w:p>
    <w:p>
      <w:pPr>
        <w:pStyle w:val="240"/>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8.1有下列情形之一的，合同当事人一方或双方可以解除合同：</w:t>
      </w:r>
    </w:p>
    <w:p>
      <w:pPr>
        <w:pStyle w:val="45"/>
        <w:keepNext w:val="0"/>
        <w:keepLines w:val="0"/>
        <w:pageBreakBefore w:val="0"/>
        <w:widowControl w:val="0"/>
        <w:kinsoku/>
        <w:wordWrap/>
        <w:overflowPunct/>
        <w:topLinePunct w:val="0"/>
        <w:bidi w:val="0"/>
        <w:adjustRightInd/>
        <w:spacing w:after="0" w:line="360" w:lineRule="auto"/>
        <w:ind w:right="0" w:rightChars="0" w:firstLine="480" w:firstLineChars="200"/>
        <w:jc w:val="left"/>
        <w:outlineLvl w:val="9"/>
        <w:rPr>
          <w:rFonts w:ascii="仿宋_GB2312" w:hAnsi="仿宋" w:eastAsia="仿宋_GB2312" w:cs="仿宋"/>
          <w:color w:val="auto"/>
          <w:sz w:val="24"/>
          <w:szCs w:val="24"/>
          <w:highlight w:val="none"/>
          <w:lang w:val="en-US" w:eastAsia="zh-CN"/>
        </w:rPr>
      </w:pPr>
      <w:r>
        <w:rPr>
          <w:rFonts w:ascii="仿宋_GB2312" w:hAnsi="仿宋" w:eastAsia="仿宋_GB2312" w:cs="仿宋"/>
          <w:color w:val="auto"/>
          <w:sz w:val="24"/>
          <w:szCs w:val="24"/>
          <w:highlight w:val="none"/>
          <w:lang w:val="en-US" w:eastAsia="zh-CN"/>
        </w:rPr>
        <w:t>（1）乙方将本合同约定的工作全部或部分转包给他人，甲方</w:t>
      </w:r>
      <w:r>
        <w:rPr>
          <w:rFonts w:hint="eastAsia" w:ascii="仿宋_GB2312" w:hAnsi="仿宋" w:eastAsia="仿宋_GB2312" w:cs="仿宋"/>
          <w:color w:val="auto"/>
          <w:sz w:val="24"/>
          <w:szCs w:val="24"/>
          <w:highlight w:val="none"/>
          <w:lang w:val="en-US" w:eastAsia="zh-CN"/>
        </w:rPr>
        <w:t>有权</w:t>
      </w:r>
      <w:r>
        <w:rPr>
          <w:rFonts w:ascii="仿宋_GB2312" w:hAnsi="仿宋" w:eastAsia="仿宋_GB2312" w:cs="仿宋"/>
          <w:color w:val="auto"/>
          <w:sz w:val="24"/>
          <w:szCs w:val="24"/>
          <w:highlight w:val="none"/>
          <w:lang w:val="en-US" w:eastAsia="zh-CN"/>
        </w:rPr>
        <w:t>解除合同；</w:t>
      </w:r>
    </w:p>
    <w:p>
      <w:pPr>
        <w:pStyle w:val="24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仿宋_GB2312" w:hAnsi="仿宋" w:eastAsia="仿宋_GB2312" w:cs="仿宋"/>
          <w:color w:val="auto"/>
          <w:sz w:val="24"/>
          <w:szCs w:val="24"/>
          <w:highlight w:val="none"/>
          <w:lang w:val="en-US" w:eastAsia="zh-CN"/>
        </w:rPr>
      </w:pPr>
      <w:r>
        <w:rPr>
          <w:rFonts w:ascii="仿宋_GB2312" w:hAnsi="仿宋" w:eastAsia="仿宋_GB2312" w:cs="仿宋"/>
          <w:color w:val="auto"/>
          <w:sz w:val="24"/>
          <w:szCs w:val="24"/>
          <w:highlight w:val="none"/>
          <w:lang w:val="en-US" w:eastAsia="zh-CN"/>
        </w:rPr>
        <w:t>（2）因</w:t>
      </w:r>
      <w:r>
        <w:rPr>
          <w:rFonts w:hint="eastAsia" w:ascii="仿宋_GB2312" w:eastAsia="仿宋_GB2312"/>
          <w:color w:val="auto"/>
          <w:sz w:val="24"/>
          <w:highlight w:val="none"/>
          <w:lang w:val="en-US" w:eastAsia="zh-CN"/>
        </w:rPr>
        <w:t>不可抗力</w:t>
      </w:r>
      <w:r>
        <w:rPr>
          <w:rFonts w:ascii="仿宋_GB2312" w:hAnsi="仿宋" w:eastAsia="仿宋_GB2312" w:cs="仿宋"/>
          <w:color w:val="auto"/>
          <w:sz w:val="24"/>
          <w:szCs w:val="24"/>
          <w:highlight w:val="none"/>
          <w:lang w:val="en-US" w:eastAsia="zh-CN"/>
        </w:rPr>
        <w:t>致使合同无法履行；</w:t>
      </w:r>
    </w:p>
    <w:p>
      <w:pPr>
        <w:pStyle w:val="45"/>
        <w:keepNext w:val="0"/>
        <w:keepLines w:val="0"/>
        <w:pageBreakBefore w:val="0"/>
        <w:widowControl w:val="0"/>
        <w:kinsoku/>
        <w:wordWrap/>
        <w:overflowPunct/>
        <w:topLinePunct w:val="0"/>
        <w:bidi w:val="0"/>
        <w:adjustRightInd/>
        <w:spacing w:after="0" w:line="360" w:lineRule="auto"/>
        <w:ind w:right="0" w:rightChars="0" w:firstLine="480" w:firstLineChars="200"/>
        <w:jc w:val="left"/>
        <w:outlineLvl w:val="9"/>
        <w:rPr>
          <w:rFonts w:ascii="仿宋_GB2312" w:hAnsi="仿宋" w:eastAsia="仿宋_GB2312" w:cs="仿宋"/>
          <w:color w:val="auto"/>
          <w:sz w:val="24"/>
          <w:szCs w:val="24"/>
          <w:highlight w:val="none"/>
          <w:lang w:val="en-US" w:eastAsia="zh-CN"/>
        </w:rPr>
      </w:pPr>
      <w:r>
        <w:rPr>
          <w:rFonts w:ascii="仿宋_GB2312" w:hAnsi="仿宋" w:eastAsia="仿宋_GB2312" w:cs="仿宋"/>
          <w:color w:val="auto"/>
          <w:sz w:val="24"/>
          <w:szCs w:val="24"/>
          <w:highlight w:val="none"/>
          <w:lang w:val="en-US" w:eastAsia="zh-CN"/>
        </w:rPr>
        <w:t>（3）因一方违约致使合同无法实际履行或实际履行已无必要</w:t>
      </w:r>
      <w:r>
        <w:rPr>
          <w:rFonts w:hint="eastAsia" w:ascii="仿宋_GB2312" w:hAnsi="仿宋" w:eastAsia="仿宋_GB2312" w:cs="仿宋"/>
          <w:color w:val="auto"/>
          <w:sz w:val="24"/>
          <w:szCs w:val="24"/>
          <w:highlight w:val="none"/>
          <w:lang w:val="en-US" w:eastAsia="zh-CN"/>
        </w:rPr>
        <w:t>；</w:t>
      </w:r>
    </w:p>
    <w:p>
      <w:pPr>
        <w:pStyle w:val="24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ascii="仿宋_GB2312" w:hAnsi="仿宋" w:eastAsia="仿宋_GB2312" w:cs="仿宋"/>
          <w:color w:val="auto"/>
          <w:sz w:val="24"/>
          <w:szCs w:val="24"/>
          <w:highlight w:val="none"/>
          <w:lang w:val="en-US" w:eastAsia="zh-CN"/>
        </w:rPr>
        <w:t>（</w:t>
      </w:r>
      <w:r>
        <w:rPr>
          <w:rFonts w:hint="eastAsia" w:ascii="仿宋_GB2312" w:hAnsi="仿宋" w:cs="仿宋"/>
          <w:color w:val="auto"/>
          <w:sz w:val="24"/>
          <w:szCs w:val="24"/>
          <w:highlight w:val="none"/>
          <w:lang w:val="en-US" w:eastAsia="zh-CN"/>
        </w:rPr>
        <w:t>4</w:t>
      </w:r>
      <w:r>
        <w:rPr>
          <w:rFonts w:ascii="仿宋_GB2312" w:hAnsi="仿宋" w:eastAsia="仿宋_GB2312" w:cs="仿宋"/>
          <w:color w:val="auto"/>
          <w:sz w:val="24"/>
          <w:szCs w:val="24"/>
          <w:highlight w:val="none"/>
          <w:lang w:val="en-US" w:eastAsia="zh-CN"/>
        </w:rPr>
        <w:t>）</w:t>
      </w:r>
      <w:r>
        <w:rPr>
          <w:rFonts w:hint="eastAsia" w:ascii="仿宋_GB2312" w:hAnsi="仿宋_GB2312" w:eastAsia="仿宋_GB2312" w:cs="仿宋_GB2312"/>
          <w:color w:val="auto"/>
          <w:kern w:val="0"/>
          <w:sz w:val="24"/>
          <w:szCs w:val="24"/>
          <w:highlight w:val="none"/>
          <w:lang w:val="en-US" w:eastAsia="zh-CN" w:bidi="ar-SA"/>
        </w:rPr>
        <w:t>乙方所提供的服务达不到本合同约定标准，连续30天内被有效投诉五次以上（含五次，投诉次数以甲方接待和统计为准），或连续30天内被甲方检查考核达3次不合格的，甲方有权解除合同；</w:t>
      </w:r>
    </w:p>
    <w:p>
      <w:pPr>
        <w:pStyle w:val="240"/>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仿宋_GB2312" w:hAnsi="仿宋_GB2312" w:cs="仿宋_GB2312"/>
          <w:kern w:val="0"/>
          <w:sz w:val="24"/>
          <w:szCs w:val="24"/>
          <w:lang w:eastAsia="zh-CN"/>
        </w:rPr>
      </w:pP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5</w:t>
      </w:r>
      <w:r>
        <w:rPr>
          <w:rFonts w:hint="eastAsia" w:ascii="仿宋_GB2312" w:hAnsi="仿宋_GB2312" w:cs="仿宋_GB2312"/>
          <w:sz w:val="24"/>
          <w:szCs w:val="24"/>
          <w:lang w:eastAsia="zh-CN"/>
        </w:rPr>
        <w:t>）</w:t>
      </w:r>
      <w:r>
        <w:rPr>
          <w:rFonts w:hint="eastAsia" w:ascii="仿宋_GB2312" w:hAnsi="仿宋_GB2312" w:eastAsia="仿宋_GB2312" w:cs="仿宋_GB2312"/>
          <w:color w:val="auto"/>
          <w:kern w:val="0"/>
          <w:sz w:val="24"/>
          <w:szCs w:val="24"/>
          <w:highlight w:val="none"/>
          <w:lang w:val="en-US" w:eastAsia="zh-CN" w:bidi="ar-SA"/>
        </w:rPr>
        <w:t>因乙方给甲方造成巨大经济损失或造成恶劣的社会声誉影响的（如采购或使用不符合国家和地方卫生标准的食材或原料的；发生食物中毒、呕吐腹泻等不良反应等的；其他食物安全、卫生安全、服务质量等事故的；冒用甲方名义对外从事经营活动或交易的；乙方人员发生盗窃行为被甲方认定需解除本合同的；乙方人员利用工作之便收集或窃取甲方商业秘密并对外透露的；乙方拖欠员工薪酬，造成员工在甲方区域内发生纠纷的），甲方有权解除合同；</w:t>
      </w:r>
    </w:p>
    <w:p>
      <w:pPr>
        <w:pStyle w:val="24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仿宋_GB2312" w:hAnsi="仿宋" w:eastAsia="仿宋_GB2312" w:cs="仿宋"/>
          <w:color w:val="auto"/>
          <w:sz w:val="24"/>
          <w:szCs w:val="24"/>
          <w:highlight w:val="none"/>
          <w:lang w:val="en-US" w:eastAsia="zh-CN"/>
        </w:rPr>
      </w:pPr>
      <w:r>
        <w:rPr>
          <w:rFonts w:hint="eastAsia" w:ascii="仿宋_GB2312" w:hAnsi="仿宋" w:cs="仿宋"/>
          <w:color w:val="auto"/>
          <w:sz w:val="24"/>
          <w:szCs w:val="24"/>
          <w:highlight w:val="none"/>
          <w:lang w:val="en-US" w:eastAsia="zh-CN"/>
        </w:rPr>
        <w:t>(6)</w:t>
      </w:r>
      <w:r>
        <w:rPr>
          <w:rFonts w:hint="eastAsia" w:ascii="仿宋_GB2312" w:hAnsi="仿宋_GB2312" w:eastAsia="仿宋_GB2312" w:cs="仿宋_GB2312"/>
          <w:color w:val="auto"/>
          <w:kern w:val="0"/>
          <w:sz w:val="24"/>
          <w:szCs w:val="24"/>
          <w:highlight w:val="none"/>
          <w:lang w:val="en-US" w:eastAsia="zh-CN" w:bidi="ar-SA"/>
        </w:rPr>
        <w:t>违约处罚后同一违约行为仍未进行改进的，甲方有权解除合同。</w:t>
      </w:r>
    </w:p>
    <w:p>
      <w:pPr>
        <w:snapToGrid w:val="0"/>
        <w:spacing w:line="360" w:lineRule="auto"/>
        <w:ind w:firstLine="480"/>
        <w:outlineLvl w:val="9"/>
        <w:rPr>
          <w:rFonts w:hint="eastAsia" w:ascii="仿宋_GB2312" w:hAnsi="仿宋_GB2312" w:eastAsia="仿宋_GB2312" w:cs="仿宋_GB2312"/>
          <w:color w:val="auto"/>
          <w:sz w:val="24"/>
          <w:highlight w:val="none"/>
        </w:rPr>
      </w:pPr>
      <w:r>
        <w:rPr>
          <w:rFonts w:hint="eastAsia" w:ascii="仿宋_GB2312" w:hAnsi="仿宋" w:cs="仿宋"/>
          <w:color w:val="auto"/>
          <w:sz w:val="24"/>
          <w:szCs w:val="24"/>
          <w:highlight w:val="none"/>
          <w:lang w:val="en-US" w:eastAsia="zh-CN"/>
        </w:rPr>
        <w:t>8.</w:t>
      </w:r>
      <w:r>
        <w:rPr>
          <w:rFonts w:hint="eastAsia" w:ascii="仿宋_GB2312" w:hAnsi="仿宋" w:eastAsia="仿宋_GB2312" w:cs="仿宋"/>
          <w:color w:val="auto"/>
          <w:sz w:val="24"/>
          <w:szCs w:val="24"/>
          <w:highlight w:val="none"/>
          <w:lang w:val="en-US" w:eastAsia="zh-CN"/>
        </w:rPr>
        <w:t>3任何一方提出解除合同的，应提前15天书面通知对方。若因乙方违约，造成甲方行使解除合同权时不受此约束。</w:t>
      </w:r>
    </w:p>
    <w:p>
      <w:pPr>
        <w:snapToGrid w:val="0"/>
        <w:spacing w:line="360" w:lineRule="auto"/>
        <w:ind w:firstLine="480"/>
        <w:outlineLvl w:val="9"/>
        <w:rPr>
          <w:color w:val="auto"/>
          <w:highlight w:val="none"/>
        </w:rPr>
      </w:pPr>
      <w:r>
        <w:rPr>
          <w:rFonts w:hint="eastAsia" w:ascii="仿宋_GB2312" w:hAnsi="仿宋" w:cs="仿宋"/>
          <w:color w:val="auto"/>
          <w:sz w:val="24"/>
          <w:szCs w:val="24"/>
          <w:highlight w:val="none"/>
          <w:lang w:val="en-US" w:eastAsia="zh-CN"/>
        </w:rPr>
        <w:t>8.</w:t>
      </w:r>
      <w:r>
        <w:rPr>
          <w:rFonts w:hint="eastAsia" w:ascii="仿宋_GB2312" w:hAnsi="仿宋" w:eastAsia="仿宋_GB2312" w:cs="仿宋"/>
          <w:color w:val="auto"/>
          <w:sz w:val="24"/>
          <w:szCs w:val="24"/>
          <w:highlight w:val="none"/>
          <w:lang w:val="en-US" w:eastAsia="zh-CN"/>
        </w:rPr>
        <w:t>4</w:t>
      </w:r>
      <w:r>
        <w:rPr>
          <w:rFonts w:hint="eastAsia" w:ascii="仿宋_GB2312" w:hAnsi="仿宋_GB2312" w:eastAsia="仿宋_GB2312" w:cs="仿宋_GB2312"/>
          <w:color w:val="auto"/>
          <w:kern w:val="0"/>
          <w:sz w:val="24"/>
          <w:szCs w:val="24"/>
          <w:highlight w:val="none"/>
          <w:lang w:val="en-US" w:eastAsia="zh-CN" w:bidi="ar-SA"/>
        </w:rPr>
        <w:t>本合同一经签订，双方不得擅自变更、解除合同（本合同约定的合同解除情形除外）。因一方原因导致本合同全部/部分解除的（包括但不限于一方严重违约致使合同解除或一方单方面擅自解除等情形），违约方应向守约方支付人民币十万元整的违约金，并赔偿由此给守约方造成的一切损失。</w:t>
      </w:r>
    </w:p>
    <w:bookmarkEnd w:id="158"/>
    <w:bookmarkEnd w:id="159"/>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4"/>
          <w:szCs w:val="24"/>
          <w:lang w:val="en-US" w:eastAsia="zh-CN"/>
        </w:rPr>
      </w:pPr>
      <w:bookmarkStart w:id="160" w:name="_Toc30605"/>
      <w:r>
        <w:rPr>
          <w:rFonts w:hint="eastAsia" w:ascii="仿宋_GB2312" w:hAnsi="仿宋_GB2312" w:eastAsia="仿宋_GB2312" w:cs="仿宋_GB2312"/>
          <w:b/>
          <w:bCs/>
          <w:sz w:val="24"/>
          <w:szCs w:val="24"/>
          <w:lang w:val="en-US" w:eastAsia="zh-CN"/>
        </w:rPr>
        <w:t>九、不可抗力</w:t>
      </w:r>
      <w:bookmarkEnd w:id="16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不可抗力事件导致甲乙双方或一方不能履行或不能完全履行本合同项下有关义务时，双方相互不承担违约责任。但遇不可抗力的一方，应于不可抗力发生后十五日内将情况书面告知对方，并提供有关行政部门或公证机构的证明。在不可抗力影响消除后的合理时间内，一方或双方应当继续履行合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rPr>
      </w:pPr>
      <w:bookmarkStart w:id="161" w:name="_Toc22203"/>
      <w:r>
        <w:rPr>
          <w:rFonts w:hint="eastAsia" w:ascii="仿宋_GB2312" w:hAnsi="仿宋_GB2312" w:cs="仿宋_GB2312"/>
          <w:b/>
          <w:bCs/>
          <w:sz w:val="24"/>
          <w:szCs w:val="24"/>
          <w:lang w:val="en-US" w:eastAsia="zh-CN"/>
        </w:rPr>
        <w:t>十、</w:t>
      </w:r>
      <w:r>
        <w:rPr>
          <w:rFonts w:hint="eastAsia" w:ascii="仿宋_GB2312" w:hAnsi="仿宋_GB2312" w:eastAsia="仿宋_GB2312" w:cs="仿宋_GB2312"/>
          <w:b/>
          <w:bCs/>
          <w:sz w:val="24"/>
          <w:szCs w:val="24"/>
        </w:rPr>
        <w:t>合同变更</w:t>
      </w:r>
      <w:bookmarkEnd w:id="16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10.1</w:t>
      </w:r>
      <w:r>
        <w:rPr>
          <w:rFonts w:hint="eastAsia" w:ascii="仿宋_GB2312" w:hAnsi="仿宋_GB2312" w:eastAsia="仿宋_GB2312" w:cs="仿宋_GB2312"/>
          <w:sz w:val="24"/>
          <w:szCs w:val="24"/>
        </w:rPr>
        <w:t>双方经平等协商一致，可就本合同约定进行相应变更，但双方应签订相应书面补充协议。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lang w:val="en-US" w:eastAsia="zh-CN"/>
        </w:rPr>
        <w:t>10.2</w:t>
      </w:r>
      <w:r>
        <w:rPr>
          <w:rFonts w:hint="eastAsia" w:ascii="仿宋_GB2312" w:hAnsi="仿宋_GB2312" w:eastAsia="仿宋_GB2312" w:cs="仿宋_GB2312"/>
          <w:sz w:val="24"/>
          <w:szCs w:val="24"/>
        </w:rPr>
        <w:t>甲方因生产经营调整需要（包括但不限于进行资产转让、经营业务转让），需对本合同项目内容范围进行调整的，甲方应提前15</w:t>
      </w:r>
      <w:r>
        <w:rPr>
          <w:rFonts w:hint="eastAsia" w:ascii="仿宋_GB2312" w:hAnsi="仿宋_GB2312" w:eastAsia="仿宋_GB2312" w:cs="仿宋_GB2312"/>
          <w:sz w:val="24"/>
          <w:szCs w:val="24"/>
          <w:lang w:eastAsia="zh-CN"/>
        </w:rPr>
        <w:t>日</w:t>
      </w:r>
      <w:r>
        <w:rPr>
          <w:rFonts w:hint="eastAsia" w:ascii="仿宋_GB2312" w:hAnsi="仿宋_GB2312" w:eastAsia="仿宋_GB2312" w:cs="仿宋_GB2312"/>
          <w:sz w:val="24"/>
          <w:szCs w:val="24"/>
        </w:rPr>
        <w:t>书面通知乙方，双方应同时签订相应补充协议对相关事项妥善处理。</w:t>
      </w:r>
    </w:p>
    <w:p>
      <w:pPr>
        <w:pStyle w:val="2"/>
        <w:outlineLvl w:val="9"/>
        <w:rPr>
          <w:rFonts w:hint="eastAsia"/>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4"/>
          <w:szCs w:val="24"/>
          <w:lang w:val="en-US" w:eastAsia="zh-CN"/>
        </w:rPr>
      </w:pPr>
      <w:bookmarkStart w:id="162" w:name="_Toc19187"/>
      <w:r>
        <w:rPr>
          <w:rFonts w:hint="eastAsia" w:ascii="仿宋_GB2312" w:hAnsi="仿宋_GB2312" w:eastAsia="仿宋_GB2312" w:cs="仿宋_GB2312"/>
          <w:b/>
          <w:bCs/>
          <w:sz w:val="24"/>
          <w:szCs w:val="24"/>
          <w:lang w:val="en-US" w:eastAsia="zh-CN"/>
        </w:rPr>
        <w:t>十</w:t>
      </w:r>
      <w:r>
        <w:rPr>
          <w:rFonts w:hint="eastAsia" w:ascii="仿宋_GB2312" w:hAnsi="仿宋_GB2312" w:cs="仿宋_GB2312"/>
          <w:b/>
          <w:bCs/>
          <w:sz w:val="24"/>
          <w:szCs w:val="24"/>
          <w:lang w:val="en-US" w:eastAsia="zh-CN"/>
        </w:rPr>
        <w:t>一</w:t>
      </w:r>
      <w:r>
        <w:rPr>
          <w:rFonts w:hint="eastAsia" w:ascii="仿宋_GB2312" w:hAnsi="仿宋_GB2312" w:eastAsia="仿宋_GB2312" w:cs="仿宋_GB2312"/>
          <w:b/>
          <w:bCs/>
          <w:sz w:val="24"/>
          <w:szCs w:val="24"/>
          <w:lang w:val="en-US" w:eastAsia="zh-CN"/>
        </w:rPr>
        <w:t>、争议解决</w:t>
      </w:r>
      <w:bookmarkEnd w:id="162"/>
    </w:p>
    <w:p>
      <w:pPr>
        <w:pStyle w:val="4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双方因履行本合同而发生的争议，应协商、调解解决。协商、调解不成的，确定按以下第</w:t>
      </w:r>
      <w:r>
        <w:rPr>
          <w:rFonts w:hint="eastAsia" w:ascii="仿宋_GB2312" w:hAnsi="仿宋_GB2312" w:eastAsia="仿宋_GB2312" w:cs="仿宋_GB2312"/>
          <w:color w:val="auto"/>
          <w:sz w:val="24"/>
          <w:szCs w:val="24"/>
          <w:highlight w:val="none"/>
          <w:u w:val="single"/>
        </w:rPr>
        <w:t>（2）</w:t>
      </w:r>
      <w:r>
        <w:rPr>
          <w:rFonts w:hint="eastAsia" w:ascii="仿宋_GB2312" w:hAnsi="仿宋_GB2312" w:eastAsia="仿宋_GB2312" w:cs="仿宋_GB2312"/>
          <w:color w:val="auto"/>
          <w:sz w:val="24"/>
          <w:szCs w:val="24"/>
          <w:highlight w:val="none"/>
        </w:rPr>
        <w:t>种方式处理：</w:t>
      </w:r>
    </w:p>
    <w:p>
      <w:pPr>
        <w:pStyle w:val="4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（1）提交</w:t>
      </w:r>
      <w:r>
        <w:rPr>
          <w:rFonts w:hint="eastAsia" w:ascii="仿宋_GB2312" w:hAnsi="仿宋_GB2312" w:eastAsia="仿宋_GB2312" w:cs="仿宋_GB2312"/>
          <w:color w:val="auto"/>
          <w:sz w:val="24"/>
          <w:szCs w:val="24"/>
          <w:highlight w:val="none"/>
          <w:u w:val="single"/>
        </w:rPr>
        <w:t>长沙</w:t>
      </w:r>
      <w:r>
        <w:rPr>
          <w:rFonts w:hint="eastAsia" w:ascii="仿宋_GB2312" w:hAnsi="仿宋_GB2312" w:eastAsia="仿宋_GB2312" w:cs="仿宋_GB2312"/>
          <w:color w:val="auto"/>
          <w:sz w:val="24"/>
          <w:szCs w:val="24"/>
          <w:highlight w:val="none"/>
        </w:rPr>
        <w:t>仲裁委员会仲裁；</w:t>
      </w:r>
    </w:p>
    <w:p>
      <w:pPr>
        <w:pStyle w:val="4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（2）依法向</w:t>
      </w:r>
      <w:r>
        <w:rPr>
          <w:rFonts w:hint="eastAsia" w:ascii="仿宋_GB2312" w:hAnsi="仿宋_GB2312" w:eastAsia="仿宋_GB2312" w:cs="仿宋_GB2312"/>
          <w:color w:val="auto"/>
          <w:sz w:val="24"/>
          <w:szCs w:val="24"/>
          <w:highlight w:val="none"/>
          <w:u w:val="single"/>
        </w:rPr>
        <w:t>甲方所在地</w:t>
      </w:r>
      <w:r>
        <w:rPr>
          <w:rFonts w:hint="eastAsia" w:ascii="仿宋_GB2312" w:hAnsi="仿宋_GB2312" w:eastAsia="仿宋_GB2312" w:cs="仿宋_GB2312"/>
          <w:color w:val="auto"/>
          <w:sz w:val="24"/>
          <w:szCs w:val="24"/>
          <w:highlight w:val="none"/>
        </w:rPr>
        <w:t>人民法院起诉。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4"/>
          <w:szCs w:val="24"/>
          <w:lang w:val="en-US" w:eastAsia="zh-CN"/>
        </w:rPr>
      </w:pPr>
      <w:bookmarkStart w:id="163" w:name="_Toc569"/>
      <w:r>
        <w:rPr>
          <w:rFonts w:hint="eastAsia" w:ascii="仿宋_GB2312" w:hAnsi="仿宋_GB2312" w:eastAsia="仿宋_GB2312" w:cs="仿宋_GB2312"/>
          <w:b/>
          <w:bCs/>
          <w:sz w:val="24"/>
          <w:szCs w:val="24"/>
          <w:lang w:val="en-US" w:eastAsia="zh-CN"/>
        </w:rPr>
        <w:t>十</w:t>
      </w:r>
      <w:r>
        <w:rPr>
          <w:rFonts w:hint="eastAsia" w:ascii="仿宋_GB2312" w:hAnsi="仿宋_GB2312" w:cs="仿宋_GB2312"/>
          <w:b/>
          <w:bCs/>
          <w:sz w:val="24"/>
          <w:szCs w:val="24"/>
          <w:lang w:val="en-US" w:eastAsia="zh-CN"/>
        </w:rPr>
        <w:t>二</w:t>
      </w:r>
      <w:r>
        <w:rPr>
          <w:rFonts w:hint="eastAsia" w:ascii="仿宋_GB2312" w:hAnsi="仿宋_GB2312" w:eastAsia="仿宋_GB2312" w:cs="仿宋_GB2312"/>
          <w:b/>
          <w:bCs/>
          <w:sz w:val="24"/>
          <w:szCs w:val="24"/>
          <w:lang w:val="en-US" w:eastAsia="zh-CN"/>
        </w:rPr>
        <w:t>、双方约定的其他事项</w:t>
      </w:r>
      <w:bookmarkEnd w:id="163"/>
    </w:p>
    <w:p>
      <w:pPr>
        <w:pStyle w:val="41"/>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outlineLvl w:val="9"/>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eastAsia="zh-CN"/>
        </w:rPr>
        <w:t>。</w:t>
      </w:r>
    </w:p>
    <w:p>
      <w:pPr>
        <w:numPr>
          <w:ilvl w:val="0"/>
          <w:numId w:val="0"/>
        </w:numPr>
        <w:ind w:leftChars="0"/>
        <w:jc w:val="center"/>
        <w:outlineLvl w:val="9"/>
        <w:rPr>
          <w:rFonts w:hint="eastAsia" w:ascii="仿宋_GB2312" w:hAnsi="仿宋_GB2312" w:cs="仿宋_GB2312"/>
          <w:b/>
          <w:sz w:val="32"/>
          <w:szCs w:val="32"/>
          <w:lang w:val="en-US" w:eastAsia="zh-CN"/>
        </w:rPr>
      </w:pPr>
      <w:r>
        <w:rPr>
          <w:rFonts w:hint="eastAsia" w:ascii="仿宋_GB2312" w:hAnsi="仿宋" w:eastAsia="仿宋_GB2312"/>
          <w:sz w:val="24"/>
        </w:rPr>
        <w:br w:type="page"/>
      </w:r>
      <w:bookmarkStart w:id="164" w:name="_Toc7715"/>
      <w:bookmarkStart w:id="165" w:name="_Toc1291"/>
      <w:bookmarkStart w:id="166" w:name="_Toc21133"/>
      <w:r>
        <w:rPr>
          <w:rFonts w:hint="eastAsia" w:ascii="仿宋_GB2312" w:hAnsi="仿宋_GB2312" w:cs="仿宋_GB2312"/>
          <w:b/>
          <w:sz w:val="32"/>
          <w:szCs w:val="32"/>
          <w:lang w:val="en-US" w:eastAsia="zh-CN"/>
        </w:rPr>
        <w:t>第四部分 合同附件</w:t>
      </w:r>
      <w:bookmarkEnd w:id="164"/>
      <w:bookmarkEnd w:id="165"/>
      <w:bookmarkEnd w:id="166"/>
    </w:p>
    <w:p>
      <w:pPr>
        <w:adjustRightInd w:val="0"/>
        <w:snapToGrid w:val="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附件1 廉政协议</w:t>
      </w:r>
    </w:p>
    <w:p>
      <w:pPr>
        <w:adjustRightInd w:val="0"/>
        <w:snapToGrid w:val="0"/>
        <w:jc w:val="center"/>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widowControl/>
        <w:snapToGrid w:val="0"/>
        <w:spacing w:line="360" w:lineRule="auto"/>
        <w:jc w:val="left"/>
        <w:outlineLvl w:val="9"/>
        <w:rPr>
          <w:rFonts w:hint="eastAsia" w:ascii="仿宋_GB2312" w:hAnsi="仿宋_GB2312" w:eastAsia="仿宋_GB2312" w:cs="仿宋_GB2312"/>
          <w:kern w:val="0"/>
          <w:sz w:val="24"/>
          <w:highlight w:val="none"/>
          <w:lang w:bidi="en-US"/>
        </w:rPr>
      </w:pPr>
    </w:p>
    <w:p>
      <w:pPr>
        <w:pStyle w:val="13"/>
        <w:snapToGrid w:val="0"/>
        <w:spacing w:line="440" w:lineRule="exact"/>
        <w:ind w:firstLine="0"/>
        <w:jc w:val="left"/>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w:t>
      </w:r>
    </w:p>
    <w:p>
      <w:pPr>
        <w:pStyle w:val="13"/>
        <w:snapToGrid w:val="0"/>
        <w:spacing w:line="440" w:lineRule="exact"/>
        <w:ind w:firstLine="0"/>
        <w:jc w:val="left"/>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adjustRightInd w:val="0"/>
        <w:snapToGrid w:val="0"/>
        <w:spacing w:line="440" w:lineRule="exact"/>
        <w:ind w:firstLine="480"/>
        <w:jc w:val="left"/>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outlineLvl w:val="9"/>
        <w:rPr>
          <w:rFonts w:hint="eastAsia" w:ascii="仿宋_GB2312" w:hAnsi="仿宋_GB2312" w:eastAsia="仿宋_GB2312" w:cs="仿宋_GB2312"/>
          <w:sz w:val="24"/>
          <w:highlight w:val="none"/>
        </w:rPr>
      </w:pPr>
      <w:bookmarkStart w:id="167" w:name="_Toc59900969"/>
      <w:bookmarkStart w:id="168" w:name="_Toc59896701"/>
      <w:r>
        <w:rPr>
          <w:rFonts w:hint="eastAsia" w:ascii="仿宋_GB2312" w:hAnsi="仿宋_GB2312" w:eastAsia="仿宋_GB2312" w:cs="仿宋_GB2312"/>
          <w:sz w:val="24"/>
          <w:highlight w:val="none"/>
        </w:rPr>
        <w:t xml:space="preserve">第一条 </w:t>
      </w:r>
      <w:bookmarkEnd w:id="167"/>
      <w:bookmarkEnd w:id="168"/>
      <w:r>
        <w:rPr>
          <w:rFonts w:hint="eastAsia" w:ascii="仿宋_GB2312" w:hAnsi="仿宋_GB2312" w:eastAsia="仿宋_GB2312" w:cs="仿宋_GB2312"/>
          <w:sz w:val="24"/>
          <w:highlight w:val="none"/>
        </w:rPr>
        <w:t>共同责任</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sz w:val="24"/>
          <w:highlight w:val="none"/>
          <w:u w:val="single"/>
        </w:rPr>
        <w:t>长沙市轨道交通5号线、西环线运营期2023-2025年水渡河车辆段、九华车辆基地食堂委外经营服务项目</w:t>
      </w:r>
      <w:r>
        <w:rPr>
          <w:rFonts w:hint="eastAsia" w:ascii="仿宋_GB2312" w:hAnsi="仿宋_GB2312" w:eastAsia="仿宋_GB2312" w:cs="仿宋_GB2312"/>
          <w:sz w:val="24"/>
          <w:highlight w:val="none"/>
        </w:rPr>
        <w:t>（以下称主合同）的合同文件，自觉按合同办事。</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第二条 共同权利</w:t>
      </w:r>
    </w:p>
    <w:p>
      <w:pPr>
        <w:adjustRightInd w:val="0"/>
        <w:snapToGrid w:val="0"/>
        <w:spacing w:line="440" w:lineRule="exact"/>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outlineLvl w:val="9"/>
        <w:rPr>
          <w:rFonts w:hint="eastAsia" w:ascii="仿宋_GB2312" w:hAnsi="仿宋_GB2312" w:eastAsia="仿宋_GB2312" w:cs="仿宋_GB2312"/>
          <w:sz w:val="24"/>
          <w:highlight w:val="none"/>
        </w:rPr>
      </w:pPr>
      <w:bookmarkStart w:id="169" w:name="_Toc59900970"/>
      <w:bookmarkStart w:id="170" w:name="_Toc59896702"/>
      <w:r>
        <w:rPr>
          <w:rFonts w:hint="eastAsia" w:ascii="仿宋_GB2312" w:hAnsi="仿宋_GB2312" w:eastAsia="仿宋_GB2312" w:cs="仿宋_GB2312"/>
          <w:sz w:val="24"/>
          <w:highlight w:val="none"/>
        </w:rPr>
        <w:t>第三条 甲方的义务</w:t>
      </w:r>
      <w:bookmarkEnd w:id="169"/>
      <w:bookmarkEnd w:id="170"/>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adjustRightInd w:val="0"/>
        <w:snapToGrid w:val="0"/>
        <w:spacing w:line="440" w:lineRule="exact"/>
        <w:ind w:firstLine="480"/>
        <w:outlineLvl w:val="9"/>
        <w:rPr>
          <w:rFonts w:hint="eastAsia" w:ascii="仿宋_GB2312" w:hAnsi="仿宋_GB2312" w:eastAsia="仿宋_GB2312" w:cs="仿宋_GB2312"/>
          <w:sz w:val="24"/>
          <w:highlight w:val="none"/>
        </w:rPr>
      </w:pPr>
      <w:bookmarkStart w:id="171" w:name="_Toc59896703"/>
      <w:bookmarkStart w:id="172" w:name="_Toc59900971"/>
      <w:r>
        <w:rPr>
          <w:rFonts w:hint="eastAsia" w:ascii="仿宋_GB2312" w:hAnsi="仿宋_GB2312" w:eastAsia="仿宋_GB2312" w:cs="仿宋_GB2312"/>
          <w:sz w:val="24"/>
          <w:highlight w:val="none"/>
        </w:rPr>
        <w:t>第四条 乙方义务</w:t>
      </w:r>
      <w:bookmarkEnd w:id="171"/>
      <w:bookmarkEnd w:id="172"/>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第五条 违约责任</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w:t>
      </w:r>
      <w:r>
        <w:rPr>
          <w:rFonts w:hint="eastAsia" w:ascii="仿宋_GB2312" w:hAnsi="仿宋_GB2312" w:eastAsia="仿宋_GB2312" w:cs="仿宋_GB2312"/>
          <w:color w:val="auto"/>
          <w:kern w:val="0"/>
          <w:sz w:val="24"/>
          <w:szCs w:val="24"/>
          <w:highlight w:val="none"/>
          <w:lang w:val="en-US" w:eastAsia="zh-CN" w:bidi="ar-SA"/>
        </w:rPr>
        <w:t>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adjustRightInd w:val="0"/>
        <w:snapToGrid w:val="0"/>
        <w:spacing w:line="440" w:lineRule="exact"/>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snapToGrid w:val="0"/>
        <w:spacing w:line="440" w:lineRule="exact"/>
        <w:outlineLvl w:val="9"/>
        <w:rPr>
          <w:rFonts w:hint="eastAsia" w:ascii="仿宋_GB2312" w:hAnsi="仿宋_GB2312" w:eastAsia="仿宋_GB2312" w:cs="仿宋_GB2312"/>
          <w:sz w:val="24"/>
          <w:highlight w:val="none"/>
        </w:rPr>
        <w:sectPr>
          <w:pgSz w:w="11906" w:h="16838"/>
          <w:pgMar w:top="1440" w:right="1800" w:bottom="1440" w:left="1800" w:header="851" w:footer="992" w:gutter="0"/>
          <w:pgNumType w:fmt="decimal"/>
          <w:cols w:space="720" w:num="1"/>
          <w:docGrid w:type="lines" w:linePitch="312" w:charSpace="0"/>
        </w:sectPr>
      </w:pPr>
    </w:p>
    <w:p>
      <w:pPr>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pStyle w:val="2"/>
        <w:outlineLvl w:val="9"/>
        <w:rPr>
          <w:rFonts w:hint="eastAsia" w:ascii="仿宋_GB2312" w:hAnsi="仿宋_GB2312" w:eastAsia="仿宋_GB2312" w:cs="仿宋_GB2312"/>
          <w:highlight w:val="none"/>
        </w:rPr>
      </w:pPr>
    </w:p>
    <w:p>
      <w:pPr>
        <w:outlineLvl w:val="9"/>
        <w:rPr>
          <w:rFonts w:hint="eastAsia" w:ascii="仿宋_GB2312" w:hAnsi="仿宋_GB2312" w:eastAsia="仿宋_GB2312" w:cs="仿宋_GB2312"/>
          <w:highlight w:val="none"/>
        </w:rPr>
      </w:pPr>
    </w:p>
    <w:p>
      <w:pPr>
        <w:pStyle w:val="2"/>
        <w:outlineLvl w:val="9"/>
        <w:rPr>
          <w:rFonts w:hint="eastAsia" w:ascii="仿宋_GB2312" w:hAnsi="仿宋_GB2312" w:eastAsia="仿宋_GB2312" w:cs="仿宋_GB2312"/>
          <w:highlight w:val="none"/>
        </w:rPr>
      </w:pPr>
    </w:p>
    <w:p>
      <w:pPr>
        <w:outlineLvl w:val="9"/>
        <w:rPr>
          <w:rFonts w:hint="eastAsia" w:ascii="仿宋_GB2312" w:hAnsi="仿宋_GB2312" w:eastAsia="仿宋_GB2312" w:cs="仿宋_GB2312"/>
          <w:highlight w:val="none"/>
        </w:rPr>
      </w:pPr>
    </w:p>
    <w:p>
      <w:pPr>
        <w:outlineLvl w:val="9"/>
        <w:rPr>
          <w:rFonts w:hint="eastAsia" w:ascii="仿宋_GB2312" w:hAnsi="仿宋_GB2312" w:eastAsia="仿宋_GB2312" w:cs="仿宋_GB2312"/>
          <w:highlight w:val="none"/>
        </w:rPr>
      </w:pPr>
    </w:p>
    <w:p>
      <w:pPr>
        <w:outlineLvl w:val="9"/>
        <w:rPr>
          <w:rFonts w:hint="eastAsia" w:ascii="仿宋_GB2312" w:hAnsi="仿宋_GB2312" w:eastAsia="仿宋_GB2312" w:cs="仿宋_GB2312"/>
          <w:highlight w:val="none"/>
        </w:rPr>
      </w:pPr>
    </w:p>
    <w:p>
      <w:pPr>
        <w:snapToGrid w:val="0"/>
        <w:spacing w:line="360" w:lineRule="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snapToGrid w:val="0"/>
        <w:spacing w:line="360" w:lineRule="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snapToGrid w:val="0"/>
        <w:spacing w:line="360" w:lineRule="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snapToGrid w:val="0"/>
        <w:spacing w:line="360" w:lineRule="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snapToGrid w:val="0"/>
        <w:spacing w:line="360" w:lineRule="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pStyle w:val="13"/>
        <w:snapToGrid w:val="0"/>
        <w:spacing w:line="360" w:lineRule="auto"/>
        <w:ind w:firstLine="0"/>
        <w:outlineLvl w:val="9"/>
        <w:rPr>
          <w:rFonts w:hint="eastAsia" w:ascii="仿宋_GB2312" w:hAnsi="仿宋_GB2312" w:eastAsia="仿宋_GB2312" w:cs="仿宋_GB2312"/>
          <w:b/>
          <w:sz w:val="24"/>
          <w:highlight w:val="none"/>
        </w:rPr>
      </w:pPr>
      <w:bookmarkStart w:id="173" w:name="_Toc5461"/>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（盖章）</w:t>
      </w:r>
      <w:bookmarkEnd w:id="173"/>
      <w:r>
        <w:rPr>
          <w:rFonts w:hint="eastAsia" w:ascii="仿宋_GB2312" w:hAnsi="仿宋_GB2312" w:eastAsia="仿宋_GB2312" w:cs="仿宋_GB2312"/>
          <w:sz w:val="24"/>
          <w:highlight w:val="none"/>
          <w:u w:val="single"/>
        </w:rPr>
        <w:t xml:space="preserve">        </w:t>
      </w:r>
    </w:p>
    <w:p>
      <w:pPr>
        <w:widowControl/>
        <w:jc w:val="left"/>
        <w:outlineLvl w:val="9"/>
        <w:rPr>
          <w:rFonts w:hint="eastAsia" w:ascii="仿宋_GB2312" w:hAnsi="仿宋_GB2312" w:eastAsia="仿宋_GB2312" w:cs="仿宋_GB2312"/>
          <w:b/>
          <w:sz w:val="24"/>
          <w:highlight w:val="none"/>
        </w:rPr>
      </w:pPr>
      <w:r>
        <w:rPr>
          <w:rFonts w:hint="eastAsia" w:ascii="仿宋_GB2312" w:hAnsi="仿宋_GB2312" w:cs="仿宋_GB2312"/>
          <w:b/>
          <w:sz w:val="32"/>
          <w:szCs w:val="32"/>
          <w:lang w:val="en-US" w:eastAsia="zh-CN"/>
        </w:rPr>
        <w:br w:type="page"/>
      </w:r>
      <w:bookmarkStart w:id="174" w:name="_Toc811"/>
      <w:bookmarkStart w:id="175" w:name="_Toc14943"/>
      <w:r>
        <w:rPr>
          <w:rFonts w:hint="eastAsia" w:ascii="仿宋_GB2312" w:hAnsi="仿宋_GB2312" w:eastAsia="仿宋_GB2312" w:cs="仿宋_GB2312"/>
          <w:b/>
          <w:sz w:val="24"/>
          <w:highlight w:val="none"/>
        </w:rPr>
        <w:t>附件2 安全生产协议</w:t>
      </w:r>
    </w:p>
    <w:p>
      <w:pPr>
        <w:autoSpaceDE w:val="0"/>
        <w:autoSpaceDN w:val="0"/>
        <w:adjustRightInd w:val="0"/>
        <w:jc w:val="center"/>
        <w:outlineLvl w:val="9"/>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安全生产协议</w:t>
      </w:r>
    </w:p>
    <w:p>
      <w:pPr>
        <w:widowControl/>
        <w:snapToGrid w:val="0"/>
        <w:spacing w:line="360" w:lineRule="auto"/>
        <w:jc w:val="left"/>
        <w:outlineLvl w:val="9"/>
        <w:rPr>
          <w:rFonts w:hint="eastAsia" w:ascii="仿宋_GB2312" w:hAnsi="仿宋_GB2312" w:eastAsia="仿宋_GB2312" w:cs="仿宋_GB2312"/>
          <w:kern w:val="0"/>
          <w:sz w:val="24"/>
          <w:highlight w:val="none"/>
          <w:lang w:bidi="en-US"/>
        </w:rPr>
      </w:pPr>
    </w:p>
    <w:p>
      <w:pPr>
        <w:widowControl/>
        <w:snapToGrid w:val="0"/>
        <w:spacing w:line="360" w:lineRule="auto"/>
        <w:jc w:val="left"/>
        <w:outlineLvl w:val="9"/>
        <w:rPr>
          <w:rFonts w:hint="eastAsia" w:ascii="仿宋_GB2312" w:hAnsi="仿宋_GB2312" w:eastAsia="仿宋_GB2312" w:cs="仿宋_GB2312"/>
          <w:kern w:val="0"/>
          <w:sz w:val="24"/>
          <w:highlight w:val="none"/>
          <w:u w:val="single"/>
          <w:lang w:bidi="en-US"/>
        </w:rPr>
      </w:pPr>
      <w:r>
        <w:rPr>
          <w:rFonts w:hint="eastAsia" w:ascii="仿宋_GB2312" w:hAnsi="仿宋_GB2312" w:eastAsia="仿宋_GB2312" w:cs="仿宋_GB2312"/>
          <w:kern w:val="0"/>
          <w:sz w:val="24"/>
          <w:highlight w:val="none"/>
          <w:lang w:bidi="en-US"/>
        </w:rPr>
        <w:t>甲方（全称）：</w:t>
      </w:r>
      <w:r>
        <w:rPr>
          <w:rFonts w:hint="eastAsia" w:ascii="仿宋_GB2312" w:hAnsi="仿宋_GB2312" w:eastAsia="仿宋_GB2312" w:cs="仿宋_GB2312"/>
          <w:kern w:val="0"/>
          <w:sz w:val="24"/>
          <w:highlight w:val="none"/>
          <w:u w:val="single"/>
          <w:lang w:bidi="en-US"/>
        </w:rPr>
        <w:t xml:space="preserve">                    </w:t>
      </w:r>
    </w:p>
    <w:p>
      <w:pPr>
        <w:widowControl/>
        <w:snapToGrid w:val="0"/>
        <w:spacing w:line="360" w:lineRule="auto"/>
        <w:jc w:val="left"/>
        <w:outlineLvl w:val="9"/>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乙方（全称）：</w:t>
      </w:r>
      <w:r>
        <w:rPr>
          <w:rFonts w:hint="eastAsia" w:ascii="仿宋_GB2312" w:hAnsi="仿宋_GB2312" w:eastAsia="仿宋_GB2312" w:cs="仿宋_GB2312"/>
          <w:kern w:val="0"/>
          <w:sz w:val="24"/>
          <w:highlight w:val="none"/>
          <w:u w:val="single"/>
          <w:lang w:bidi="en-US"/>
        </w:rPr>
        <w:t xml:space="preserve">                    </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xml:space="preserve">为在 </w:t>
      </w:r>
      <w:r>
        <w:rPr>
          <w:rFonts w:hint="eastAsia" w:ascii="仿宋_GB2312" w:hAnsi="宋体" w:eastAsia="仿宋_GB2312"/>
          <w:sz w:val="24"/>
          <w:u w:val="single"/>
          <w:lang w:val="en-US" w:eastAsia="zh-CN"/>
        </w:rPr>
        <w:t>长沙市轨道交通5号线、西环线运营期2023-2025年水渡河车辆段、九华车辆基地食堂委外经营服务项目</w:t>
      </w:r>
      <w:r>
        <w:rPr>
          <w:rFonts w:hint="eastAsia" w:ascii="仿宋_GB2312" w:hAnsi="仿宋_GB2312" w:eastAsia="仿宋_GB2312" w:cs="仿宋_GB2312"/>
          <w:kern w:val="0"/>
          <w:sz w:val="24"/>
          <w:highlight w:val="none"/>
        </w:rPr>
        <w:t>合同</w:t>
      </w:r>
      <w:r>
        <w:rPr>
          <w:rFonts w:hint="eastAsia" w:ascii="仿宋_GB2312" w:hAnsi="仿宋_GB2312" w:eastAsia="仿宋_GB2312" w:cs="仿宋_GB2312"/>
          <w:sz w:val="24"/>
          <w:szCs w:val="20"/>
          <w:highlight w:val="none"/>
        </w:rPr>
        <w:t>（以下简称“主合同”）</w:t>
      </w:r>
      <w:r>
        <w:rPr>
          <w:rFonts w:hint="eastAsia" w:ascii="仿宋_GB2312" w:hAnsi="仿宋_GB2312" w:eastAsia="仿宋_GB2312" w:cs="仿宋_GB2312"/>
          <w:kern w:val="0"/>
          <w:sz w:val="24"/>
          <w:highlight w:val="none"/>
        </w:rPr>
        <w:t>的执行过程中创造安全、高效的施工环境，切实搞好项目的安全管理工作，甲、乙双方特签订本协议。</w:t>
      </w:r>
    </w:p>
    <w:p>
      <w:pPr>
        <w:autoSpaceDE w:val="0"/>
        <w:autoSpaceDN w:val="0"/>
        <w:adjustRightInd w:val="0"/>
        <w:snapToGrid w:val="0"/>
        <w:spacing w:line="360" w:lineRule="auto"/>
        <w:ind w:firstLine="482" w:firstLineChars="200"/>
        <w:jc w:val="left"/>
        <w:outlineLvl w:val="9"/>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一、甲方职责</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1、甲方应严格遵守国家有关安全生产的法律法规及有关安全生产管理条例的规定，认真执行主合同中的有关安全要求。</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2、甲方应按照“安全第一、预防为主”的原则进行安全生产管理。</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3、甲方应及时传达中央及地方有关安全生产的精神。</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4、甲方组织对乙方施工现场安全生产检查，监督乙方及时处理发现的各种安全隐患。</w:t>
      </w:r>
    </w:p>
    <w:p>
      <w:pPr>
        <w:autoSpaceDE w:val="0"/>
        <w:autoSpaceDN w:val="0"/>
        <w:adjustRightInd w:val="0"/>
        <w:snapToGrid w:val="0"/>
        <w:spacing w:line="360" w:lineRule="auto"/>
        <w:ind w:firstLine="482" w:firstLineChars="200"/>
        <w:jc w:val="left"/>
        <w:outlineLvl w:val="9"/>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二、乙方职责</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乙方作为项目现场的安全生产责任主体，应严格遵守国家有关安全生产的法律法规（包括但不限于《中华人民共和国安全生产法》、《企业安全生产责任体系五落实五到位规定》），严格执行甲方的《长沙市轨道交通集团有限公司安全生产主体责任划分实施细则》（长轨发[2018]126号）及主合同中有关安全生产的约定。</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乙方应建立健全安全生产管理体系（包括但不限于组织架构、管理制度、操作规程、安全责任划分、目标保证措施、投入保障措施、职业病防治措施、隐患排查治理措施、应急救援预案、培训教育方案），切实做到责任到位、管理到位、投入到位、应急救援到位、培训教育到位。</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3、乙方应加强项目关键岗位人员到岗情况的监督和项目现场的人员管理，并为项目现场人员及时足额缴纳工伤保险费。</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4、乙方在项目现场配备的安全员应不低于《湖南省建设工程施工项目部和现场监理部关键岗位人员配备管理办法》（湘建建[20</w:t>
      </w:r>
      <w:r>
        <w:rPr>
          <w:rFonts w:hint="eastAsia" w:ascii="仿宋_GB2312" w:hAnsi="仿宋_GB2312" w:cs="仿宋_GB2312"/>
          <w:kern w:val="0"/>
          <w:sz w:val="24"/>
          <w:highlight w:val="none"/>
          <w:lang w:val="en-US" w:eastAsia="zh-CN"/>
        </w:rPr>
        <w:t>20</w:t>
      </w:r>
      <w:r>
        <w:rPr>
          <w:rFonts w:hint="eastAsia" w:ascii="仿宋_GB2312" w:hAnsi="仿宋_GB2312" w:eastAsia="仿宋_GB2312" w:cs="仿宋_GB2312"/>
          <w:kern w:val="0"/>
          <w:sz w:val="24"/>
          <w:highlight w:val="none"/>
        </w:rPr>
        <w:t>]</w:t>
      </w:r>
      <w:r>
        <w:rPr>
          <w:rFonts w:hint="eastAsia" w:ascii="仿宋_GB2312" w:hAnsi="仿宋_GB2312" w:cs="仿宋_GB2312"/>
          <w:kern w:val="0"/>
          <w:sz w:val="24"/>
          <w:highlight w:val="none"/>
          <w:lang w:val="en-US" w:eastAsia="zh-CN"/>
        </w:rPr>
        <w:t>208</w:t>
      </w:r>
      <w:r>
        <w:rPr>
          <w:rFonts w:hint="eastAsia" w:ascii="仿宋_GB2312" w:hAnsi="仿宋_GB2312" w:eastAsia="仿宋_GB2312" w:cs="仿宋_GB2312"/>
          <w:kern w:val="0"/>
          <w:sz w:val="24"/>
          <w:highlight w:val="none"/>
        </w:rPr>
        <w:t>号）规定，并确保安全员专职负责所有员工的安全和治安保卫工作和有权按有关规定发布指令、有权采取保护性措施。</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5、乙方应对各级管理人员、工程技术人员和具体操作人员进行技术培训和安全教育，使之熟知和遵守本工种的各项安全技术要求和操作规程，并定期进行安全技术考核，合格者方准上岗操作；对于从事电气、起重、建筑登高架设作业、锅炉、压力容器、焊接、机动车船艇驾驶、爆破、潜水、瓦斯检验等特殊工种的人员，应经过专业培训并获得《安全操作合格证》后，方准持证上岗。</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6、乙方应按相关规程规范在项目现场设置安全保护和防护设施（含消防设施）、配备劳动保护用品，做好设施的日常维护和定期检查，安全员应对维护和检查情况记录、签字。</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7、乙方应做好所有施工机具设备和高空作业设备的日常维护和定期检查，确保设备经常处于完好状态，安全员应对维护和检查情况记录、签字。</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8、乙方应按相关规程规范做好爆炸物、有毒有害物的处置或处理，不得将任何种类的爆炸物、有毒有害物以给予、易货或以其他方式转让给其他人。</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9、乙方应定期排查事故隐患,发现一般事故隐患应当立即排除;发现重大事故隐患应当及时报告安全生产监督管理部门或者其他负有安全生产监督管理职责的部门,并制定治理方案予以排除。</w:t>
      </w:r>
    </w:p>
    <w:p>
      <w:pPr>
        <w:widowControl/>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10、乙方应积极配合接受甲方的安全监督检查,及时整改管辖范围内的问题和安全隐患,确保安全生产。</w:t>
      </w:r>
    </w:p>
    <w:p>
      <w:pPr>
        <w:widowControl/>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11、乙方应履行法律、法规规定的其他安全生产责任和义务。</w:t>
      </w:r>
    </w:p>
    <w:p>
      <w:pPr>
        <w:autoSpaceDE w:val="0"/>
        <w:autoSpaceDN w:val="0"/>
        <w:adjustRightInd w:val="0"/>
        <w:snapToGrid w:val="0"/>
        <w:spacing w:line="360" w:lineRule="auto"/>
        <w:ind w:firstLine="482" w:firstLineChars="200"/>
        <w:jc w:val="left"/>
        <w:outlineLvl w:val="9"/>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三、违约责任</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在主合同执行过程中，因乙方原因发生安全事故，由此产生的一切行政、经济、法律责任由乙方承担。</w:t>
      </w:r>
    </w:p>
    <w:p>
      <w:pPr>
        <w:autoSpaceDE w:val="0"/>
        <w:autoSpaceDN w:val="0"/>
        <w:adjustRightInd w:val="0"/>
        <w:snapToGrid w:val="0"/>
        <w:spacing w:line="360" w:lineRule="auto"/>
        <w:ind w:firstLine="482" w:firstLineChars="200"/>
        <w:jc w:val="left"/>
        <w:outlineLvl w:val="9"/>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四、协议的生效和终止</w:t>
      </w:r>
    </w:p>
    <w:p>
      <w:pPr>
        <w:autoSpaceDE w:val="0"/>
        <w:autoSpaceDN w:val="0"/>
        <w:adjustRightInd w:val="0"/>
        <w:snapToGrid w:val="0"/>
        <w:spacing w:line="360" w:lineRule="auto"/>
        <w:ind w:firstLine="480" w:firstLineChars="200"/>
        <w:jc w:val="left"/>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本协议由双方法定代表人或其授权代表签字并加盖公章后生效，主合同履行完毕后失效。</w:t>
      </w:r>
      <w:r>
        <w:rPr>
          <w:rFonts w:hint="eastAsia" w:ascii="仿宋_GB2312" w:hAnsi="仿宋_GB2312" w:eastAsia="仿宋_GB2312" w:cs="仿宋_GB2312"/>
          <w:kern w:val="0"/>
          <w:sz w:val="24"/>
          <w:highlight w:val="none"/>
        </w:rPr>
        <w:br w:type="page"/>
      </w:r>
    </w:p>
    <w:p>
      <w:pPr>
        <w:autoSpaceDE w:val="0"/>
        <w:autoSpaceDN w:val="0"/>
        <w:adjustRightInd w:val="0"/>
        <w:snapToGrid w:val="0"/>
        <w:spacing w:line="360" w:lineRule="auto"/>
        <w:jc w:val="left"/>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autoSpaceDE w:val="0"/>
        <w:autoSpaceDN w:val="0"/>
        <w:adjustRightInd w:val="0"/>
        <w:snapToGrid w:val="0"/>
        <w:spacing w:line="360" w:lineRule="auto"/>
        <w:jc w:val="left"/>
        <w:outlineLvl w:val="9"/>
        <w:rPr>
          <w:rFonts w:hint="eastAsia" w:ascii="仿宋_GB2312" w:hAnsi="仿宋_GB2312" w:eastAsia="仿宋_GB2312" w:cs="仿宋_GB2312"/>
          <w:sz w:val="24"/>
          <w:highlight w:val="none"/>
        </w:rPr>
      </w:pPr>
    </w:p>
    <w:p>
      <w:pPr>
        <w:autoSpaceDE w:val="0"/>
        <w:autoSpaceDN w:val="0"/>
        <w:adjustRightInd w:val="0"/>
        <w:snapToGrid w:val="0"/>
        <w:spacing w:line="360" w:lineRule="auto"/>
        <w:jc w:val="left"/>
        <w:outlineLvl w:val="9"/>
        <w:rPr>
          <w:rFonts w:hint="eastAsia" w:ascii="仿宋_GB2312" w:hAnsi="仿宋_GB2312" w:eastAsia="仿宋_GB2312" w:cs="仿宋_GB2312"/>
          <w:sz w:val="24"/>
          <w:highlight w:val="none"/>
        </w:rPr>
      </w:pPr>
    </w:p>
    <w:p>
      <w:pPr>
        <w:autoSpaceDE w:val="0"/>
        <w:autoSpaceDN w:val="0"/>
        <w:adjustRightInd w:val="0"/>
        <w:snapToGrid w:val="0"/>
        <w:spacing w:line="360" w:lineRule="auto"/>
        <w:jc w:val="left"/>
        <w:outlineLvl w:val="9"/>
        <w:rPr>
          <w:rFonts w:hint="eastAsia" w:ascii="仿宋_GB2312" w:hAnsi="仿宋_GB2312" w:eastAsia="仿宋_GB2312" w:cs="仿宋_GB2312"/>
          <w:sz w:val="24"/>
          <w:highlight w:val="none"/>
        </w:rPr>
      </w:pPr>
    </w:p>
    <w:tbl>
      <w:tblPr>
        <w:tblStyle w:val="47"/>
        <w:tblW w:w="8598" w:type="dxa"/>
        <w:jc w:val="center"/>
        <w:tblLayout w:type="fixed"/>
        <w:tblCellMar>
          <w:top w:w="0" w:type="dxa"/>
          <w:left w:w="108" w:type="dxa"/>
          <w:bottom w:w="0" w:type="dxa"/>
          <w:right w:w="108" w:type="dxa"/>
        </w:tblCellMar>
      </w:tblPr>
      <w:tblGrid>
        <w:gridCol w:w="4405"/>
        <w:gridCol w:w="4193"/>
      </w:tblGrid>
      <w:tr>
        <w:tblPrEx>
          <w:tblCellMar>
            <w:top w:w="0" w:type="dxa"/>
            <w:left w:w="108" w:type="dxa"/>
            <w:bottom w:w="0" w:type="dxa"/>
            <w:right w:w="108" w:type="dxa"/>
          </w:tblCellMar>
        </w:tblPrEx>
        <w:trPr>
          <w:trHeight w:val="733" w:hRule="atLeast"/>
          <w:jc w:val="center"/>
        </w:trPr>
        <w:tc>
          <w:tcPr>
            <w:tcW w:w="4405" w:type="dxa"/>
            <w:noWrap w:val="0"/>
            <w:vAlign w:val="top"/>
          </w:tcPr>
          <w:p>
            <w:pPr>
              <w:adjustRightInd w:val="0"/>
              <w:snapToGrid w:val="0"/>
              <w:spacing w:line="360" w:lineRule="auto"/>
              <w:textAlignment w:val="baseline"/>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br w:type="page"/>
            </w:r>
          </w:p>
          <w:p>
            <w:pPr>
              <w:adjustRightInd w:val="0"/>
              <w:snapToGrid w:val="0"/>
              <w:spacing w:line="360" w:lineRule="auto"/>
              <w:textAlignment w:val="baseline"/>
              <w:outlineLvl w:val="9"/>
              <w:rPr>
                <w:rFonts w:hint="eastAsia" w:ascii="仿宋_GB2312" w:hAnsi="仿宋_GB2312" w:eastAsia="仿宋_GB2312" w:cs="仿宋_GB2312"/>
                <w:sz w:val="24"/>
                <w:szCs w:val="20"/>
                <w:highlight w:val="none"/>
              </w:rPr>
            </w:pPr>
          </w:p>
          <w:p>
            <w:pPr>
              <w:adjustRightInd w:val="0"/>
              <w:snapToGrid w:val="0"/>
              <w:spacing w:line="360" w:lineRule="auto"/>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甲方：(盖章)</w:t>
            </w:r>
          </w:p>
          <w:p>
            <w:pPr>
              <w:adjustRightInd w:val="0"/>
              <w:snapToGrid w:val="0"/>
              <w:spacing w:line="360" w:lineRule="auto"/>
              <w:textAlignment w:val="baseline"/>
              <w:outlineLvl w:val="9"/>
              <w:rPr>
                <w:rFonts w:hint="eastAsia" w:ascii="仿宋_GB2312" w:hAnsi="仿宋_GB2312" w:eastAsia="仿宋_GB2312" w:cs="仿宋_GB2312"/>
                <w:kern w:val="0"/>
                <w:sz w:val="24"/>
                <w:highlight w:val="none"/>
              </w:rPr>
            </w:pPr>
          </w:p>
        </w:tc>
        <w:tc>
          <w:tcPr>
            <w:tcW w:w="4193" w:type="dxa"/>
            <w:noWrap w:val="0"/>
            <w:vAlign w:val="top"/>
          </w:tcPr>
          <w:p>
            <w:pPr>
              <w:adjustRightInd w:val="0"/>
              <w:snapToGrid w:val="0"/>
              <w:spacing w:line="360" w:lineRule="auto"/>
              <w:textAlignment w:val="baseline"/>
              <w:outlineLvl w:val="9"/>
              <w:rPr>
                <w:rFonts w:hint="eastAsia" w:ascii="仿宋_GB2312" w:hAnsi="仿宋_GB2312" w:eastAsia="仿宋_GB2312" w:cs="仿宋_GB2312"/>
                <w:kern w:val="0"/>
                <w:sz w:val="24"/>
                <w:highlight w:val="none"/>
              </w:rPr>
            </w:pPr>
          </w:p>
          <w:p>
            <w:pPr>
              <w:adjustRightInd w:val="0"/>
              <w:snapToGrid w:val="0"/>
              <w:spacing w:line="360" w:lineRule="auto"/>
              <w:textAlignment w:val="baseline"/>
              <w:outlineLvl w:val="9"/>
              <w:rPr>
                <w:rFonts w:hint="eastAsia" w:ascii="仿宋_GB2312" w:hAnsi="仿宋_GB2312" w:eastAsia="仿宋_GB2312" w:cs="仿宋_GB2312"/>
                <w:kern w:val="0"/>
                <w:sz w:val="24"/>
                <w:highlight w:val="none"/>
              </w:rPr>
            </w:pPr>
          </w:p>
          <w:p>
            <w:pPr>
              <w:adjustRightInd w:val="0"/>
              <w:snapToGrid w:val="0"/>
              <w:spacing w:line="360" w:lineRule="auto"/>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乙方：（盖章）</w:t>
            </w:r>
          </w:p>
        </w:tc>
      </w:tr>
      <w:tr>
        <w:tblPrEx>
          <w:tblCellMar>
            <w:top w:w="0" w:type="dxa"/>
            <w:left w:w="108" w:type="dxa"/>
            <w:bottom w:w="0" w:type="dxa"/>
            <w:right w:w="108" w:type="dxa"/>
          </w:tblCellMar>
        </w:tblPrEx>
        <w:trPr>
          <w:trHeight w:val="709" w:hRule="atLeast"/>
          <w:jc w:val="center"/>
        </w:trPr>
        <w:tc>
          <w:tcPr>
            <w:tcW w:w="4405" w:type="dxa"/>
            <w:noWrap w:val="0"/>
            <w:vAlign w:val="top"/>
          </w:tcPr>
          <w:p>
            <w:pPr>
              <w:adjustRightInd w:val="0"/>
              <w:snapToGrid w:val="0"/>
              <w:spacing w:line="360" w:lineRule="auto"/>
              <w:ind w:left="19" w:leftChars="9"/>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p>
            <w:pPr>
              <w:adjustRightInd w:val="0"/>
              <w:snapToGrid w:val="0"/>
              <w:spacing w:line="360" w:lineRule="auto"/>
              <w:ind w:left="19" w:leftChars="9"/>
              <w:textAlignment w:val="baseline"/>
              <w:outlineLvl w:val="9"/>
              <w:rPr>
                <w:rFonts w:hint="eastAsia" w:ascii="仿宋_GB2312" w:hAnsi="仿宋_GB2312" w:eastAsia="仿宋_GB2312" w:cs="仿宋_GB2312"/>
                <w:kern w:val="0"/>
                <w:sz w:val="24"/>
                <w:highlight w:val="none"/>
              </w:rPr>
            </w:pPr>
          </w:p>
        </w:tc>
        <w:tc>
          <w:tcPr>
            <w:tcW w:w="4193" w:type="dxa"/>
            <w:noWrap w:val="0"/>
            <w:vAlign w:val="top"/>
          </w:tcPr>
          <w:p>
            <w:pPr>
              <w:adjustRightInd w:val="0"/>
              <w:snapToGrid w:val="0"/>
              <w:spacing w:line="360" w:lineRule="auto"/>
              <w:ind w:left="34" w:leftChars="16"/>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tc>
      </w:tr>
      <w:tr>
        <w:tblPrEx>
          <w:tblCellMar>
            <w:top w:w="0" w:type="dxa"/>
            <w:left w:w="108" w:type="dxa"/>
            <w:bottom w:w="0" w:type="dxa"/>
            <w:right w:w="108" w:type="dxa"/>
          </w:tblCellMar>
        </w:tblPrEx>
        <w:trPr>
          <w:trHeight w:val="709" w:hRule="atLeast"/>
          <w:jc w:val="center"/>
        </w:trPr>
        <w:tc>
          <w:tcPr>
            <w:tcW w:w="4405" w:type="dxa"/>
            <w:noWrap w:val="0"/>
            <w:vAlign w:val="top"/>
          </w:tcPr>
          <w:p>
            <w:pPr>
              <w:adjustRightInd w:val="0"/>
              <w:snapToGrid w:val="0"/>
              <w:spacing w:line="360" w:lineRule="auto"/>
              <w:ind w:left="19" w:leftChars="9"/>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c>
          <w:tcPr>
            <w:tcW w:w="4193" w:type="dxa"/>
            <w:noWrap w:val="0"/>
            <w:vAlign w:val="top"/>
          </w:tcPr>
          <w:p>
            <w:pPr>
              <w:adjustRightInd w:val="0"/>
              <w:snapToGrid w:val="0"/>
              <w:spacing w:line="360" w:lineRule="auto"/>
              <w:ind w:left="34" w:leftChars="16"/>
              <w:textAlignment w:val="baseline"/>
              <w:outlineLvl w:val="9"/>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r>
    </w:tbl>
    <w:p>
      <w:pPr>
        <w:snapToGrid w:val="0"/>
        <w:spacing w:line="360" w:lineRule="auto"/>
        <w:outlineLvl w:val="9"/>
        <w:rPr>
          <w:rFonts w:hint="eastAsia" w:ascii="仿宋_GB2312" w:hAnsi="仿宋_GB2312" w:eastAsia="仿宋_GB2312" w:cs="仿宋_GB2312"/>
          <w:szCs w:val="20"/>
          <w:highlight w:val="none"/>
        </w:rPr>
      </w:pPr>
    </w:p>
    <w:bookmarkEnd w:id="174"/>
    <w:bookmarkEnd w:id="175"/>
    <w:p>
      <w:pPr>
        <w:numPr>
          <w:ilvl w:val="0"/>
          <w:numId w:val="0"/>
        </w:numPr>
        <w:ind w:leftChars="0"/>
        <w:jc w:val="center"/>
        <w:outlineLvl w:val="9"/>
        <w:rPr>
          <w:rFonts w:hint="eastAsia" w:ascii="仿宋_GB2312" w:hAnsi="仿宋_GB2312" w:cs="仿宋_GB2312"/>
          <w:b/>
          <w:sz w:val="32"/>
          <w:szCs w:val="32"/>
          <w:lang w:val="en-US" w:eastAsia="zh-CN"/>
        </w:rPr>
      </w:pPr>
      <w:bookmarkStart w:id="176" w:name="_Toc20926"/>
      <w:bookmarkStart w:id="177" w:name="_Toc13807"/>
      <w:bookmarkStart w:id="178" w:name="_Toc31412"/>
      <w:bookmarkStart w:id="179" w:name="_Toc17822"/>
      <w:bookmarkStart w:id="180" w:name="_Toc18966"/>
      <w:bookmarkStart w:id="181" w:name="_Toc9442"/>
      <w:bookmarkStart w:id="182" w:name="_Toc17255"/>
      <w:bookmarkStart w:id="183" w:name="_Toc24384"/>
      <w:bookmarkStart w:id="184" w:name="_Toc6349"/>
      <w:bookmarkStart w:id="185" w:name="_Toc319826225"/>
      <w:bookmarkStart w:id="186" w:name="_Toc17117"/>
      <w:bookmarkStart w:id="187" w:name="_Toc14454"/>
      <w:bookmarkStart w:id="188" w:name="_Toc2215"/>
      <w:bookmarkStart w:id="189" w:name="_Toc28250"/>
    </w:p>
    <w:p>
      <w:pPr>
        <w:numPr>
          <w:ilvl w:val="0"/>
          <w:numId w:val="0"/>
        </w:numPr>
        <w:ind w:leftChars="0"/>
        <w:jc w:val="center"/>
        <w:outlineLvl w:val="9"/>
        <w:rPr>
          <w:rFonts w:hint="eastAsia" w:ascii="仿宋_GB2312" w:hAnsi="仿宋_GB2312" w:cs="仿宋_GB2312"/>
          <w:b/>
          <w:sz w:val="32"/>
          <w:szCs w:val="32"/>
          <w:lang w:val="en-US" w:eastAsia="zh-CN"/>
        </w:rPr>
      </w:pPr>
    </w:p>
    <w:p>
      <w:pPr>
        <w:numPr>
          <w:ilvl w:val="0"/>
          <w:numId w:val="0"/>
        </w:numPr>
        <w:ind w:leftChars="0"/>
        <w:jc w:val="center"/>
        <w:outlineLvl w:val="9"/>
        <w:rPr>
          <w:rFonts w:hint="eastAsia" w:ascii="仿宋_GB2312" w:hAnsi="仿宋_GB2312" w:cs="仿宋_GB2312"/>
          <w:b/>
          <w:sz w:val="32"/>
          <w:szCs w:val="32"/>
          <w:lang w:val="en-US" w:eastAsia="zh-CN"/>
        </w:rPr>
      </w:pPr>
    </w:p>
    <w:p>
      <w:pPr>
        <w:numPr>
          <w:ilvl w:val="0"/>
          <w:numId w:val="0"/>
        </w:numPr>
        <w:ind w:leftChars="0"/>
        <w:jc w:val="center"/>
        <w:outlineLvl w:val="9"/>
        <w:rPr>
          <w:rFonts w:hint="eastAsia" w:ascii="仿宋_GB2312" w:hAnsi="仿宋_GB2312" w:cs="仿宋_GB2312"/>
          <w:b/>
          <w:sz w:val="32"/>
          <w:szCs w:val="32"/>
          <w:lang w:val="en-US" w:eastAsia="zh-CN"/>
        </w:rPr>
      </w:pPr>
    </w:p>
    <w:p>
      <w:pPr>
        <w:numPr>
          <w:ilvl w:val="0"/>
          <w:numId w:val="0"/>
        </w:numPr>
        <w:ind w:leftChars="0"/>
        <w:jc w:val="center"/>
        <w:outlineLvl w:val="9"/>
        <w:rPr>
          <w:rFonts w:hint="eastAsia" w:ascii="仿宋_GB2312" w:hAnsi="仿宋_GB2312" w:cs="仿宋_GB2312"/>
          <w:b/>
          <w:sz w:val="32"/>
          <w:szCs w:val="32"/>
          <w:lang w:val="en-US" w:eastAsia="zh-CN"/>
        </w:rPr>
      </w:pPr>
    </w:p>
    <w:p>
      <w:pPr>
        <w:numPr>
          <w:ilvl w:val="0"/>
          <w:numId w:val="0"/>
        </w:numPr>
        <w:ind w:leftChars="0"/>
        <w:jc w:val="center"/>
        <w:outlineLvl w:val="9"/>
        <w:rPr>
          <w:rFonts w:hint="eastAsia" w:ascii="仿宋_GB2312" w:hAnsi="仿宋_GB2312" w:cs="仿宋_GB2312"/>
          <w:b/>
          <w:sz w:val="32"/>
          <w:szCs w:val="32"/>
          <w:lang w:val="en-US" w:eastAsia="zh-CN"/>
        </w:rPr>
      </w:pPr>
    </w:p>
    <w:p>
      <w:pPr>
        <w:numPr>
          <w:ilvl w:val="0"/>
          <w:numId w:val="0"/>
        </w:numPr>
        <w:ind w:leftChars="0"/>
        <w:jc w:val="center"/>
        <w:outlineLvl w:val="9"/>
        <w:rPr>
          <w:rFonts w:hint="eastAsia" w:ascii="仿宋_GB2312" w:hAnsi="仿宋_GB2312" w:cs="仿宋_GB2312"/>
          <w:b/>
          <w:sz w:val="32"/>
          <w:szCs w:val="32"/>
          <w:lang w:val="en-US" w:eastAsia="zh-CN"/>
        </w:rPr>
      </w:pPr>
    </w:p>
    <w:p>
      <w:pPr>
        <w:numPr>
          <w:ilvl w:val="0"/>
          <w:numId w:val="0"/>
        </w:numPr>
        <w:ind w:leftChars="0"/>
        <w:jc w:val="center"/>
        <w:outlineLvl w:val="9"/>
        <w:rPr>
          <w:rFonts w:hint="eastAsia" w:ascii="仿宋_GB2312" w:hAnsi="仿宋_GB2312" w:cs="仿宋_GB2312"/>
          <w:b/>
          <w:sz w:val="32"/>
          <w:szCs w:val="32"/>
          <w:lang w:val="en-US" w:eastAsia="zh-CN"/>
        </w:rPr>
      </w:pPr>
    </w:p>
    <w:p>
      <w:pPr>
        <w:numPr>
          <w:ilvl w:val="0"/>
          <w:numId w:val="0"/>
        </w:numPr>
        <w:ind w:leftChars="0"/>
        <w:jc w:val="both"/>
        <w:outlineLvl w:val="9"/>
        <w:rPr>
          <w:rFonts w:hint="eastAsia" w:ascii="仿宋_GB2312" w:hAnsi="仿宋_GB2312" w:cs="仿宋_GB2312"/>
          <w:b/>
          <w:sz w:val="32"/>
          <w:szCs w:val="32"/>
          <w:lang w:val="en-US" w:eastAsia="zh-CN"/>
        </w:rPr>
      </w:pPr>
    </w:p>
    <w:p>
      <w:pPr>
        <w:pStyle w:val="13"/>
        <w:snapToGrid w:val="0"/>
        <w:spacing w:line="360" w:lineRule="auto"/>
        <w:ind w:firstLine="0"/>
        <w:outlineLvl w:val="9"/>
        <w:rPr>
          <w:rFonts w:hint="eastAsia" w:ascii="仿宋_GB2312" w:hAnsi="仿宋_GB2312" w:eastAsia="仿宋_GB2312" w:cs="仿宋_GB2312"/>
          <w:b/>
          <w:sz w:val="24"/>
        </w:rPr>
      </w:pPr>
      <w:bookmarkStart w:id="190" w:name="_Toc8739"/>
      <w:r>
        <w:rPr>
          <w:rFonts w:hint="eastAsia" w:ascii="仿宋_GB2312" w:hAnsi="仿宋_GB2312" w:eastAsia="仿宋_GB2312" w:cs="仿宋_GB2312"/>
          <w:b/>
          <w:sz w:val="24"/>
        </w:rPr>
        <w:t>附件</w:t>
      </w:r>
      <w:r>
        <w:rPr>
          <w:rFonts w:hint="eastAsia" w:ascii="仿宋_GB2312" w:hAnsi="仿宋_GB2312" w:cs="仿宋_GB2312"/>
          <w:b/>
          <w:sz w:val="24"/>
          <w:lang w:val="en-US" w:eastAsia="zh-CN"/>
        </w:rPr>
        <w:t>3</w:t>
      </w:r>
      <w:r>
        <w:rPr>
          <w:rFonts w:hint="eastAsia" w:ascii="仿宋_GB2312" w:hAnsi="仿宋_GB2312" w:eastAsia="仿宋_GB2312" w:cs="仿宋_GB2312"/>
          <w:b/>
          <w:sz w:val="24"/>
        </w:rPr>
        <w:t xml:space="preserve"> </w:t>
      </w:r>
      <w:bookmarkStart w:id="191" w:name="_Toc493574715"/>
      <w:r>
        <w:rPr>
          <w:rFonts w:hint="eastAsia" w:ascii="仿宋_GB2312" w:hAnsi="仿宋_GB2312" w:eastAsia="仿宋_GB2312" w:cs="仿宋_GB2312"/>
          <w:b/>
          <w:sz w:val="24"/>
        </w:rPr>
        <w:t>签约合同价清单</w:t>
      </w:r>
      <w:bookmarkEnd w:id="190"/>
      <w:bookmarkEnd w:id="191"/>
    </w:p>
    <w:p>
      <w:pPr>
        <w:pStyle w:val="13"/>
        <w:snapToGrid w:val="0"/>
        <w:spacing w:line="360" w:lineRule="auto"/>
        <w:ind w:firstLine="0"/>
        <w:outlineLvl w:val="9"/>
        <w:rPr>
          <w:rFonts w:hint="eastAsia" w:ascii="仿宋_GB2312" w:hAnsi="仿宋_GB2312" w:eastAsia="仿宋_GB2312" w:cs="仿宋_GB2312"/>
          <w:b/>
          <w:sz w:val="24"/>
        </w:rPr>
      </w:pPr>
      <w:bookmarkStart w:id="192" w:name="_Toc27364"/>
      <w:bookmarkStart w:id="193" w:name="_Toc493574717"/>
      <w:r>
        <w:rPr>
          <w:rFonts w:hint="eastAsia" w:ascii="仿宋_GB2312" w:hAnsi="仿宋_GB2312" w:eastAsia="仿宋_GB2312" w:cs="仿宋_GB2312"/>
          <w:b/>
          <w:sz w:val="24"/>
        </w:rPr>
        <w:t>附件</w:t>
      </w:r>
      <w:r>
        <w:rPr>
          <w:rFonts w:hint="eastAsia" w:ascii="仿宋_GB2312" w:hAnsi="仿宋_GB2312" w:cs="仿宋_GB2312"/>
          <w:b/>
          <w:sz w:val="24"/>
          <w:lang w:val="en-US" w:eastAsia="zh-CN"/>
        </w:rPr>
        <w:t>4</w:t>
      </w:r>
      <w:r>
        <w:rPr>
          <w:rFonts w:hint="eastAsia" w:ascii="仿宋_GB2312" w:hAnsi="仿宋_GB2312" w:eastAsia="仿宋_GB2312" w:cs="仿宋_GB2312"/>
          <w:b/>
          <w:sz w:val="24"/>
        </w:rPr>
        <w:t xml:space="preserve"> 澄清与答疑文件（如有）</w:t>
      </w:r>
      <w:bookmarkEnd w:id="192"/>
      <w:bookmarkEnd w:id="193"/>
    </w:p>
    <w:p>
      <w:pPr>
        <w:pStyle w:val="13"/>
        <w:snapToGrid w:val="0"/>
        <w:spacing w:line="360" w:lineRule="auto"/>
        <w:ind w:firstLine="0"/>
        <w:outlineLvl w:val="9"/>
        <w:rPr>
          <w:rFonts w:hint="eastAsia" w:ascii="仿宋_GB2312" w:hAnsi="仿宋_GB2312" w:eastAsia="仿宋_GB2312" w:cs="仿宋_GB2312"/>
          <w:b/>
          <w:sz w:val="24"/>
        </w:rPr>
      </w:pPr>
      <w:bookmarkStart w:id="194" w:name="_Toc493574718"/>
      <w:bookmarkStart w:id="195" w:name="_Toc2705"/>
      <w:r>
        <w:rPr>
          <w:rFonts w:hint="eastAsia" w:ascii="仿宋_GB2312" w:hAnsi="仿宋_GB2312" w:eastAsia="仿宋_GB2312" w:cs="仿宋_GB2312"/>
          <w:b/>
          <w:sz w:val="24"/>
        </w:rPr>
        <w:t>附件</w:t>
      </w:r>
      <w:r>
        <w:rPr>
          <w:rFonts w:hint="eastAsia" w:ascii="仿宋_GB2312" w:hAnsi="仿宋_GB2312" w:cs="仿宋_GB2312"/>
          <w:b/>
          <w:sz w:val="24"/>
          <w:lang w:val="en-US" w:eastAsia="zh-CN"/>
        </w:rPr>
        <w:t>5</w:t>
      </w:r>
      <w:r>
        <w:rPr>
          <w:rFonts w:hint="eastAsia" w:ascii="仿宋_GB2312" w:hAnsi="仿宋_GB2312" w:eastAsia="仿宋_GB2312" w:cs="仿宋_GB2312"/>
          <w:b/>
          <w:sz w:val="24"/>
        </w:rPr>
        <w:t xml:space="preserve"> 控制价公示说明（如有）</w:t>
      </w:r>
      <w:bookmarkEnd w:id="194"/>
      <w:bookmarkEnd w:id="195"/>
    </w:p>
    <w:p>
      <w:pPr>
        <w:pStyle w:val="13"/>
        <w:snapToGrid w:val="0"/>
        <w:spacing w:line="360" w:lineRule="auto"/>
        <w:ind w:firstLine="0"/>
        <w:outlineLvl w:val="9"/>
        <w:rPr>
          <w:rFonts w:hint="eastAsia" w:ascii="仿宋_GB2312" w:hAnsi="仿宋_GB2312" w:eastAsia="仿宋_GB2312" w:cs="仿宋_GB2312"/>
          <w:b/>
          <w:sz w:val="24"/>
          <w:lang w:eastAsia="zh-CN"/>
        </w:rPr>
        <w:sectPr>
          <w:footerReference r:id="rId10" w:type="first"/>
          <w:footerReference r:id="rId9" w:type="default"/>
          <w:pgSz w:w="11850" w:h="16783"/>
          <w:pgMar w:top="1440" w:right="1361" w:bottom="1440" w:left="1474" w:header="851" w:footer="992" w:gutter="0"/>
          <w:pgNumType w:fmt="decimal"/>
          <w:cols w:space="720" w:num="1"/>
          <w:titlePg/>
          <w:docGrid w:type="lines" w:linePitch="312" w:charSpace="0"/>
        </w:sectPr>
      </w:pPr>
      <w:bookmarkStart w:id="196" w:name="_Toc493574719"/>
      <w:bookmarkStart w:id="197" w:name="_Toc10093"/>
      <w:r>
        <w:rPr>
          <w:rFonts w:hint="eastAsia" w:ascii="仿宋_GB2312" w:hAnsi="仿宋_GB2312" w:eastAsia="仿宋_GB2312" w:cs="仿宋_GB2312"/>
          <w:b/>
          <w:sz w:val="24"/>
        </w:rPr>
        <w:t>附件</w:t>
      </w:r>
      <w:bookmarkEnd w:id="196"/>
      <w:r>
        <w:rPr>
          <w:rFonts w:hint="eastAsia" w:ascii="仿宋_GB2312" w:hAnsi="仿宋_GB2312" w:cs="仿宋_GB2312"/>
          <w:b/>
          <w:sz w:val="24"/>
          <w:lang w:val="en-US" w:eastAsia="zh-CN"/>
        </w:rPr>
        <w:t>6</w:t>
      </w:r>
      <w:r>
        <w:rPr>
          <w:rFonts w:hint="eastAsia" w:ascii="仿宋_GB2312" w:hAnsi="仿宋_GB2312" w:eastAsia="仿宋_GB2312" w:cs="仿宋_GB2312"/>
          <w:b/>
          <w:sz w:val="24"/>
        </w:rPr>
        <w:t>用户需求书/技术规格书</w:t>
      </w:r>
      <w:bookmarkEnd w:id="197"/>
    </w:p>
    <w:p>
      <w:pPr>
        <w:numPr>
          <w:ilvl w:val="0"/>
          <w:numId w:val="0"/>
        </w:numPr>
        <w:ind w:leftChars="0"/>
        <w:jc w:val="center"/>
        <w:outlineLvl w:val="9"/>
        <w:rPr>
          <w:rFonts w:hint="eastAsia" w:ascii="仿宋_GB2312" w:hAnsi="仿宋_GB2312" w:cs="仿宋_GB2312"/>
          <w:b/>
          <w:sz w:val="32"/>
          <w:szCs w:val="32"/>
          <w:lang w:val="en-US" w:eastAsia="zh-CN"/>
        </w:rPr>
      </w:pPr>
      <w:bookmarkStart w:id="198" w:name="_Toc24605"/>
      <w:r>
        <w:rPr>
          <w:rFonts w:hint="eastAsia" w:ascii="仿宋_GB2312" w:hAnsi="仿宋_GB2312" w:cs="仿宋_GB2312"/>
          <w:b/>
          <w:sz w:val="32"/>
          <w:szCs w:val="32"/>
          <w:lang w:val="en-US" w:eastAsia="zh-CN"/>
        </w:rPr>
        <w:t>第五部分 合同附录</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8"/>
    </w:p>
    <w:p>
      <w:pPr>
        <w:adjustRightInd w:val="0"/>
        <w:snapToGrid w:val="0"/>
        <w:spacing w:line="360" w:lineRule="auto"/>
        <w:outlineLvl w:val="9"/>
        <w:rPr>
          <w:rFonts w:hint="eastAsia" w:ascii="仿宋_GB2312" w:hAnsi="仿宋_GB2312" w:eastAsia="仿宋_GB2312" w:cs="仿宋_GB2312"/>
          <w:b/>
          <w:bCs/>
          <w:sz w:val="24"/>
        </w:rPr>
      </w:pPr>
      <w:bookmarkStart w:id="199" w:name="_Toc20137"/>
      <w:bookmarkStart w:id="200" w:name="_Toc6672"/>
      <w:bookmarkStart w:id="201" w:name="_Toc13541"/>
      <w:bookmarkStart w:id="202" w:name="_Toc16747"/>
      <w:bookmarkStart w:id="203" w:name="_Toc27339"/>
      <w:bookmarkStart w:id="204" w:name="_Toc10903"/>
      <w:bookmarkStart w:id="205" w:name="_Toc8857"/>
      <w:bookmarkStart w:id="206" w:name="_Toc8938"/>
      <w:bookmarkStart w:id="207" w:name="_Toc30396"/>
      <w:bookmarkStart w:id="208" w:name="_Toc20623"/>
      <w:bookmarkStart w:id="209" w:name="_Toc16241"/>
      <w:bookmarkStart w:id="210" w:name="_Toc25204"/>
      <w:bookmarkStart w:id="211" w:name="_Toc1243"/>
      <w:r>
        <w:rPr>
          <w:rFonts w:hint="eastAsia" w:ascii="仿宋_GB2312" w:hAnsi="仿宋_GB2312" w:eastAsia="仿宋_GB2312" w:cs="仿宋_GB2312"/>
          <w:b/>
          <w:bCs/>
          <w:sz w:val="24"/>
        </w:rPr>
        <w:t>附录1</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授权委托书（格式）</w:t>
      </w:r>
      <w:bookmarkEnd w:id="199"/>
      <w:bookmarkEnd w:id="200"/>
      <w:bookmarkEnd w:id="201"/>
      <w:bookmarkEnd w:id="202"/>
      <w:bookmarkEnd w:id="203"/>
      <w:bookmarkEnd w:id="204"/>
      <w:bookmarkEnd w:id="205"/>
      <w:bookmarkEnd w:id="206"/>
      <w:bookmarkEnd w:id="207"/>
      <w:bookmarkEnd w:id="208"/>
      <w:bookmarkEnd w:id="209"/>
      <w:bookmarkEnd w:id="210"/>
      <w:bookmarkEnd w:id="211"/>
    </w:p>
    <w:p>
      <w:pPr>
        <w:snapToGrid w:val="0"/>
        <w:spacing w:line="360" w:lineRule="auto"/>
        <w:jc w:val="center"/>
        <w:outlineLvl w:val="9"/>
        <w:rPr>
          <w:rFonts w:hint="eastAsia" w:ascii="仿宋_GB2312" w:hAnsi="仿宋_GB2312" w:eastAsia="仿宋_GB2312" w:cs="仿宋_GB2312"/>
          <w:b/>
          <w:sz w:val="30"/>
          <w:szCs w:val="30"/>
        </w:rPr>
      </w:pPr>
    </w:p>
    <w:p>
      <w:pPr>
        <w:snapToGrid w:val="0"/>
        <w:spacing w:line="360" w:lineRule="auto"/>
        <w:jc w:val="center"/>
        <w:outlineLvl w:val="9"/>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授权委托书</w:t>
      </w:r>
    </w:p>
    <w:p>
      <w:pPr>
        <w:snapToGrid w:val="0"/>
        <w:spacing w:line="360" w:lineRule="auto"/>
        <w:outlineLvl w:val="9"/>
        <w:rPr>
          <w:rFonts w:hint="eastAsia" w:ascii="仿宋_GB2312" w:hAnsi="仿宋_GB2312" w:eastAsia="仿宋_GB2312" w:cs="仿宋_GB2312"/>
          <w:b/>
          <w:szCs w:val="21"/>
        </w:rPr>
      </w:pPr>
    </w:p>
    <w:p>
      <w:pPr>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本授权书声明：注册于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（国家名称）的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（乙方全称）在下面签字的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（法定代表人姓名、职务）代表本公司授权在下面签字的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（被授权人的姓名、职务）为本公司的合法代表，就合同编号为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合同》（以下简称“合同”）的签约、执行和质量保证期服务、售后服务期服务等，并以本公司名义处理一切与之有关的事务。</w:t>
      </w:r>
    </w:p>
    <w:p>
      <w:pPr>
        <w:snapToGrid w:val="0"/>
        <w:spacing w:line="360" w:lineRule="auto"/>
        <w:ind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本授权书于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日签字生效，特此声明。</w:t>
      </w:r>
    </w:p>
    <w:p>
      <w:pPr>
        <w:snapToGrid w:val="0"/>
        <w:spacing w:line="360" w:lineRule="auto"/>
        <w:outlineLvl w:val="9"/>
        <w:rPr>
          <w:rFonts w:hint="eastAsia" w:ascii="仿宋_GB2312" w:hAnsi="仿宋_GB2312" w:eastAsia="仿宋_GB2312" w:cs="仿宋_GB2312"/>
          <w:sz w:val="24"/>
        </w:rPr>
      </w:pPr>
    </w:p>
    <w:p>
      <w:pPr>
        <w:snapToGrid w:val="0"/>
        <w:spacing w:line="360" w:lineRule="auto"/>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法定代表人签字：</w:t>
      </w:r>
      <w:r>
        <w:rPr>
          <w:rFonts w:hint="eastAsia" w:ascii="仿宋_GB2312" w:hAnsi="仿宋_GB2312" w:eastAsia="仿宋_GB2312" w:cs="仿宋_GB2312"/>
          <w:sz w:val="24"/>
          <w:u w:val="single"/>
        </w:rPr>
        <w:t xml:space="preserve">                            </w:t>
      </w:r>
    </w:p>
    <w:p>
      <w:pPr>
        <w:snapToGrid w:val="0"/>
        <w:spacing w:line="360" w:lineRule="auto"/>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授权代表（被授权人，即授权代理人）签字：</w:t>
      </w:r>
      <w:r>
        <w:rPr>
          <w:rFonts w:hint="eastAsia" w:ascii="仿宋_GB2312" w:hAnsi="仿宋_GB2312" w:eastAsia="仿宋_GB2312" w:cs="仿宋_GB2312"/>
          <w:sz w:val="24"/>
          <w:u w:val="single"/>
        </w:rPr>
        <w:t xml:space="preserve">                    </w:t>
      </w:r>
    </w:p>
    <w:p>
      <w:pPr>
        <w:snapToGrid w:val="0"/>
        <w:spacing w:line="360" w:lineRule="auto"/>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乙方全称（公章）：</w:t>
      </w:r>
      <w:r>
        <w:rPr>
          <w:rFonts w:hint="eastAsia" w:ascii="仿宋_GB2312" w:hAnsi="仿宋_GB2312" w:eastAsia="仿宋_GB2312" w:cs="仿宋_GB2312"/>
          <w:sz w:val="24"/>
          <w:u w:val="single"/>
        </w:rPr>
        <w:t xml:space="preserve">                            </w:t>
      </w:r>
    </w:p>
    <w:p>
      <w:pPr>
        <w:snapToGrid w:val="0"/>
        <w:spacing w:line="360" w:lineRule="auto"/>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乙方地址：</w:t>
      </w:r>
      <w:r>
        <w:rPr>
          <w:rFonts w:hint="eastAsia" w:ascii="仿宋_GB2312" w:hAnsi="仿宋_GB2312" w:eastAsia="仿宋_GB2312" w:cs="仿宋_GB2312"/>
          <w:sz w:val="24"/>
          <w:u w:val="single"/>
        </w:rPr>
        <w:t xml:space="preserve">                            </w:t>
      </w:r>
    </w:p>
    <w:p>
      <w:pPr>
        <w:snapToGrid w:val="0"/>
        <w:spacing w:line="360" w:lineRule="auto"/>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电     话：</w:t>
      </w:r>
      <w:r>
        <w:rPr>
          <w:rFonts w:hint="eastAsia" w:ascii="仿宋_GB2312" w:hAnsi="仿宋_GB2312" w:eastAsia="仿宋_GB2312" w:cs="仿宋_GB2312"/>
          <w:sz w:val="24"/>
          <w:u w:val="single"/>
        </w:rPr>
        <w:t xml:space="preserve">                            </w:t>
      </w:r>
    </w:p>
    <w:p>
      <w:pPr>
        <w:snapToGrid w:val="0"/>
        <w:spacing w:line="360" w:lineRule="auto"/>
        <w:outlineLvl w:val="9"/>
        <w:rPr>
          <w:rFonts w:hint="eastAsia" w:ascii="仿宋_GB2312" w:hAnsi="仿宋_GB2312" w:eastAsia="仿宋_GB2312" w:cs="仿宋_GB2312"/>
          <w:sz w:val="24"/>
        </w:rPr>
      </w:pPr>
      <w:r>
        <w:rPr>
          <w:rFonts w:hint="eastAsia" w:ascii="仿宋_GB2312" w:hAnsi="仿宋_GB2312" w:eastAsia="仿宋_GB2312" w:cs="仿宋_GB2312"/>
          <w:sz w:val="24"/>
        </w:rPr>
        <w:t>传     真：</w:t>
      </w:r>
      <w:r>
        <w:rPr>
          <w:rFonts w:hint="eastAsia" w:ascii="仿宋_GB2312" w:hAnsi="仿宋_GB2312" w:eastAsia="仿宋_GB2312" w:cs="仿宋_GB2312"/>
          <w:sz w:val="24"/>
          <w:u w:val="single"/>
        </w:rPr>
        <w:t xml:space="preserve">                            </w:t>
      </w:r>
    </w:p>
    <w:p>
      <w:pPr>
        <w:snapToGrid w:val="0"/>
        <w:spacing w:line="360" w:lineRule="auto"/>
        <w:outlineLvl w:val="9"/>
        <w:rPr>
          <w:rFonts w:hint="eastAsia" w:ascii="仿宋_GB2312" w:hAnsi="仿宋_GB2312" w:eastAsia="仿宋_GB2312" w:cs="仿宋_GB2312"/>
          <w:sz w:val="24"/>
          <w:u w:val="single"/>
        </w:rPr>
      </w:pPr>
    </w:p>
    <w:p>
      <w:pPr>
        <w:snapToGrid w:val="0"/>
        <w:spacing w:line="360" w:lineRule="auto"/>
        <w:outlineLvl w:val="9"/>
        <w:rPr>
          <w:rFonts w:hint="eastAsia" w:ascii="仿宋_GB2312" w:hAnsi="仿宋_GB2312" w:eastAsia="仿宋_GB2312" w:cs="仿宋_GB2312"/>
          <w:b/>
          <w:sz w:val="36"/>
          <w:szCs w:val="36"/>
        </w:rPr>
      </w:pPr>
      <w:r>
        <w:rPr>
          <w:rFonts w:hint="eastAsia" w:ascii="仿宋_GB2312" w:hAnsi="仿宋_GB2312" w:eastAsia="仿宋_GB2312" w:cs="仿宋_GB2312"/>
          <w:b/>
          <w:sz w:val="24"/>
        </w:rPr>
        <w:t>附：</w:t>
      </w:r>
      <w:r>
        <w:rPr>
          <w:rFonts w:hint="eastAsia" w:ascii="仿宋_GB2312" w:hAnsi="仿宋_GB2312" w:eastAsia="仿宋_GB2312" w:cs="仿宋_GB2312"/>
          <w:sz w:val="24"/>
        </w:rPr>
        <w:t>授权人的法定代表人证明材料复印件（加盖单位公章）、授权人和被授权人的身份证彩色影印件（加盖单位公章）</w:t>
      </w:r>
    </w:p>
    <w:p>
      <w:pPr>
        <w:adjustRightInd w:val="0"/>
        <w:snapToGrid w:val="0"/>
        <w:spacing w:line="360" w:lineRule="auto"/>
        <w:outlineLvl w:val="9"/>
        <w:rPr>
          <w:rFonts w:hint="eastAsia" w:ascii="仿宋_GB2312" w:hAnsi="仿宋_GB2312" w:eastAsia="仿宋_GB2312" w:cs="仿宋_GB2312"/>
          <w:b/>
          <w:bCs/>
          <w:sz w:val="24"/>
        </w:rPr>
        <w:sectPr>
          <w:footerReference r:id="rId11" w:type="default"/>
          <w:pgSz w:w="11906" w:h="16838"/>
          <w:pgMar w:top="1440" w:right="1800" w:bottom="1440" w:left="1800" w:header="851" w:footer="992" w:gutter="0"/>
          <w:pgNumType w:fmt="decimal"/>
          <w:cols w:space="720" w:num="1"/>
          <w:docGrid w:type="lines" w:linePitch="312" w:charSpace="0"/>
        </w:sectPr>
      </w:pPr>
      <w:bookmarkStart w:id="212" w:name="_Toc16781"/>
      <w:bookmarkStart w:id="213" w:name="_Toc319826226"/>
      <w:bookmarkStart w:id="214" w:name="_Toc437444977"/>
      <w:bookmarkStart w:id="215" w:name="_Toc24234"/>
      <w:bookmarkStart w:id="216" w:name="_Toc6255"/>
      <w:bookmarkStart w:id="217" w:name="_Toc31338"/>
      <w:bookmarkStart w:id="218" w:name="_Toc12241"/>
      <w:bookmarkStart w:id="219" w:name="_Toc32410"/>
      <w:bookmarkStart w:id="220" w:name="_Toc32593"/>
      <w:bookmarkStart w:id="221" w:name="_Toc6815"/>
      <w:bookmarkStart w:id="222" w:name="_Toc16069"/>
      <w:bookmarkStart w:id="223" w:name="_Toc20786"/>
      <w:bookmarkStart w:id="224" w:name="_Toc12472"/>
      <w:bookmarkStart w:id="225" w:name="_Toc209"/>
    </w:p>
    <w:p>
      <w:pPr>
        <w:adjustRightInd w:val="0"/>
        <w:snapToGrid w:val="0"/>
        <w:spacing w:line="360" w:lineRule="auto"/>
        <w:outlineLvl w:val="9"/>
        <w:rPr>
          <w:rFonts w:hint="eastAsia" w:ascii="仿宋_GB2312" w:hAnsi="仿宋_GB2312" w:eastAsia="仿宋_GB2312" w:cs="仿宋_GB2312"/>
          <w:b/>
          <w:sz w:val="30"/>
          <w:szCs w:val="30"/>
        </w:rPr>
      </w:pPr>
      <w:bookmarkStart w:id="226" w:name="_Toc6936"/>
      <w:bookmarkStart w:id="227" w:name="_Toc8121"/>
      <w:r>
        <w:rPr>
          <w:rFonts w:hint="eastAsia" w:ascii="仿宋_GB2312" w:hAnsi="仿宋_GB2312" w:eastAsia="仿宋_GB2312" w:cs="仿宋_GB2312"/>
          <w:b/>
          <w:bCs/>
          <w:sz w:val="24"/>
        </w:rPr>
        <w:t>附录2</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银行履约保函</w:t>
      </w:r>
      <w:bookmarkEnd w:id="212"/>
      <w:bookmarkEnd w:id="213"/>
      <w:bookmarkEnd w:id="214"/>
      <w:r>
        <w:rPr>
          <w:rFonts w:hint="eastAsia" w:ascii="仿宋_GB2312" w:hAnsi="仿宋_GB2312" w:eastAsia="仿宋_GB2312" w:cs="仿宋_GB2312"/>
          <w:b/>
          <w:bCs/>
          <w:sz w:val="24"/>
        </w:rPr>
        <w:t>（格式）</w:t>
      </w:r>
      <w:bookmarkEnd w:id="215"/>
      <w:bookmarkEnd w:id="216"/>
      <w:bookmarkEnd w:id="217"/>
      <w:bookmarkEnd w:id="218"/>
      <w:bookmarkEnd w:id="219"/>
      <w:bookmarkEnd w:id="220"/>
      <w:bookmarkEnd w:id="221"/>
      <w:bookmarkEnd w:id="222"/>
      <w:bookmarkEnd w:id="223"/>
      <w:bookmarkEnd w:id="224"/>
      <w:bookmarkEnd w:id="225"/>
      <w:bookmarkEnd w:id="226"/>
      <w:bookmarkEnd w:id="227"/>
    </w:p>
    <w:p>
      <w:pPr>
        <w:snapToGrid w:val="0"/>
        <w:spacing w:line="360" w:lineRule="auto"/>
        <w:jc w:val="center"/>
        <w:outlineLvl w:val="9"/>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银行履约保函</w:t>
      </w:r>
    </w:p>
    <w:p>
      <w:pPr>
        <w:snapToGrid w:val="0"/>
        <w:spacing w:line="360" w:lineRule="auto"/>
        <w:ind w:right="480" w:firstLine="480" w:firstLineChars="200"/>
        <w:jc w:val="center"/>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snapToGrid w:val="0"/>
        <w:spacing w:line="360" w:lineRule="auto"/>
        <w:ind w:right="480"/>
        <w:jc w:val="left"/>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保函编号：</w:t>
      </w:r>
      <w:r>
        <w:rPr>
          <w:rFonts w:hint="eastAsia" w:ascii="仿宋_GB2312" w:hAnsi="仿宋_GB2312" w:eastAsia="仿宋_GB2312" w:cs="仿宋_GB2312"/>
          <w:sz w:val="24"/>
          <w:u w:val="single"/>
        </w:rPr>
        <w:t xml:space="preserve">             </w:t>
      </w:r>
    </w:p>
    <w:p>
      <w:pPr>
        <w:snapToGrid w:val="0"/>
        <w:spacing w:line="360" w:lineRule="auto"/>
        <w:ind w:right="480"/>
        <w:outlineLvl w:val="9"/>
        <w:rPr>
          <w:rFonts w:hint="eastAsia" w:ascii="仿宋_GB2312" w:hAnsi="仿宋_GB2312" w:eastAsia="仿宋_GB2312" w:cs="仿宋_GB2312"/>
          <w:sz w:val="24"/>
        </w:rPr>
      </w:pPr>
    </w:p>
    <w:p>
      <w:pPr>
        <w:adjustRightInd w:val="0"/>
        <w:snapToGrid w:val="0"/>
        <w:spacing w:line="360" w:lineRule="auto"/>
        <w:outlineLvl w:val="9"/>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（甲方名称）：</w:t>
      </w:r>
    </w:p>
    <w:p>
      <w:pPr>
        <w:adjustRightInd w:val="0"/>
        <w:snapToGrid w:val="0"/>
        <w:spacing w:line="360" w:lineRule="auto"/>
        <w:ind w:left="15" w:leftChars="7"/>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鉴于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（甲方名称，以下简称“你方”）与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（乙方名称，以下简称“乙方”）于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日协商一致共同签订合同编号为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合同》（以下简称“合同”）。 我方愿意无条件地、不可撤销地就乙方履行与你方签订的合同，向你方提供连带责任担保。</w:t>
      </w:r>
    </w:p>
    <w:p>
      <w:pPr>
        <w:adjustRightInd w:val="0"/>
        <w:snapToGrid w:val="0"/>
        <w:spacing w:line="360" w:lineRule="auto"/>
        <w:ind w:left="15" w:leftChars="7"/>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1.担保金额为人民币（大写）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元（小写：¥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adjustRightInd w:val="0"/>
        <w:snapToGrid w:val="0"/>
        <w:spacing w:line="360" w:lineRule="auto"/>
        <w:ind w:left="15" w:leftChars="7"/>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2. 担保有效期自本保函生效之日起至合同约定</w:t>
      </w:r>
      <w:r>
        <w:rPr>
          <w:rFonts w:hint="eastAsia" w:ascii="仿宋_GB2312" w:hAnsi="仿宋_GB2312" w:cs="仿宋_GB2312"/>
          <w:sz w:val="24"/>
          <w:lang w:eastAsia="zh-CN"/>
        </w:rPr>
        <w:t>合同工期期满</w:t>
      </w:r>
      <w:r>
        <w:rPr>
          <w:rFonts w:hint="eastAsia" w:ascii="仿宋_GB2312" w:hAnsi="仿宋_GB2312" w:eastAsia="仿宋_GB2312" w:cs="仿宋_GB2312"/>
          <w:sz w:val="24"/>
        </w:rPr>
        <w:t>止。</w:t>
      </w:r>
    </w:p>
    <w:p>
      <w:pPr>
        <w:adjustRightInd w:val="0"/>
        <w:snapToGrid w:val="0"/>
        <w:spacing w:line="360" w:lineRule="auto"/>
        <w:ind w:left="15" w:leftChars="7"/>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3.在本担保有效期内，因乙方违反合同约定的义务给你方造成经济损失时，我方在收到你方以书面形式提出的在担保金额内的赔偿要求后，在7个工作日内无条件支付。</w:t>
      </w:r>
    </w:p>
    <w:p>
      <w:pPr>
        <w:adjustRightInd w:val="0"/>
        <w:snapToGrid w:val="0"/>
        <w:spacing w:line="360" w:lineRule="auto"/>
        <w:ind w:left="15" w:leftChars="7"/>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4.你方和乙方按合同约定变更合同时，我方承担本担保规定的义务不变。</w:t>
      </w:r>
    </w:p>
    <w:p>
      <w:pPr>
        <w:adjustRightInd w:val="0"/>
        <w:snapToGrid w:val="0"/>
        <w:spacing w:line="360" w:lineRule="auto"/>
        <w:ind w:left="15" w:leftChars="7"/>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rPr>
        <w:t>5.因本保函发生的纠纷，可由双方协商解决，协商不成的，任何一方均可提请在甲方所在地仲裁委员会仲裁。</w:t>
      </w:r>
    </w:p>
    <w:p>
      <w:pPr>
        <w:adjustRightInd w:val="0"/>
        <w:snapToGrid w:val="0"/>
        <w:spacing w:line="360" w:lineRule="auto"/>
        <w:ind w:left="15" w:leftChars="7"/>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6.本保函自我方法定代表人或授权代理人签字并加盖公章之日起生效。</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rPr>
      </w:pP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担保人：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（盖单位章）</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rPr>
      </w:pPr>
      <w:r>
        <w:rPr>
          <w:rFonts w:hint="eastAsia" w:ascii="仿宋_GB2312" w:hAnsi="仿宋_GB2312" w:eastAsia="仿宋_GB2312" w:cs="仿宋_GB2312"/>
          <w:sz w:val="24"/>
        </w:rPr>
        <w:t>法定代表人或授权代理人：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（签字）</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地址：</w:t>
      </w:r>
      <w:r>
        <w:rPr>
          <w:rFonts w:hint="eastAsia" w:ascii="仿宋_GB2312" w:hAnsi="仿宋_GB2312" w:eastAsia="仿宋_GB2312" w:cs="仿宋_GB2312"/>
          <w:sz w:val="24"/>
          <w:u w:val="single"/>
        </w:rPr>
        <w:t xml:space="preserve">           </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邮政编码： </w:t>
      </w:r>
      <w:r>
        <w:rPr>
          <w:rFonts w:hint="eastAsia" w:ascii="仿宋_GB2312" w:hAnsi="仿宋_GB2312" w:eastAsia="仿宋_GB2312" w:cs="仿宋_GB2312"/>
          <w:sz w:val="24"/>
          <w:u w:val="single"/>
        </w:rPr>
        <w:t xml:space="preserve">          </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电话： </w:t>
      </w:r>
      <w:r>
        <w:rPr>
          <w:rFonts w:hint="eastAsia" w:ascii="仿宋_GB2312" w:hAnsi="仿宋_GB2312" w:eastAsia="仿宋_GB2312" w:cs="仿宋_GB2312"/>
          <w:sz w:val="24"/>
          <w:u w:val="single"/>
        </w:rPr>
        <w:t xml:space="preserve">          </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传真：</w:t>
      </w:r>
      <w:r>
        <w:rPr>
          <w:rFonts w:hint="eastAsia" w:ascii="仿宋_GB2312" w:hAnsi="仿宋_GB2312" w:eastAsia="仿宋_GB2312" w:cs="仿宋_GB2312"/>
          <w:sz w:val="24"/>
          <w:u w:val="single"/>
        </w:rPr>
        <w:t xml:space="preserve">           </w:t>
      </w:r>
    </w:p>
    <w:p>
      <w:pPr>
        <w:adjustRightInd w:val="0"/>
        <w:snapToGrid w:val="0"/>
        <w:spacing w:line="360" w:lineRule="auto"/>
        <w:ind w:left="15" w:leftChars="7" w:firstLine="403" w:firstLineChars="168"/>
        <w:outlineLvl w:val="9"/>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jc w:val="right"/>
        <w:outlineLvl w:val="9"/>
        <w:rPr>
          <w:color w:val="auto"/>
          <w:highlight w:val="none"/>
        </w:rPr>
        <w:sectPr>
          <w:footerReference r:id="rId12" w:type="default"/>
          <w:pgSz w:w="11906" w:h="16838"/>
          <w:pgMar w:top="2098" w:right="1474" w:bottom="1984" w:left="1587" w:header="851" w:footer="992" w:gutter="0"/>
          <w:pgNumType w:fmt="decimal"/>
          <w:cols w:space="0" w:num="1"/>
          <w:docGrid w:type="lines" w:linePitch="319" w:charSpace="0"/>
        </w:sectPr>
      </w:pPr>
    </w:p>
    <w:p>
      <w:pPr>
        <w:snapToGrid w:val="0"/>
        <w:spacing w:line="360" w:lineRule="auto"/>
        <w:jc w:val="center"/>
        <w:outlineLvl w:val="0"/>
        <w:rPr>
          <w:rFonts w:ascii="宋体" w:hAnsi="宋体" w:cs="宋体"/>
          <w:bCs/>
          <w:color w:val="auto"/>
          <w:sz w:val="32"/>
          <w:szCs w:val="32"/>
          <w:highlight w:val="none"/>
        </w:rPr>
      </w:pPr>
      <w:bookmarkStart w:id="228" w:name="_Toc19503"/>
      <w:bookmarkStart w:id="229" w:name="_Toc29891"/>
      <w:bookmarkStart w:id="230" w:name="_Toc111"/>
      <w:r>
        <w:rPr>
          <w:rFonts w:hint="eastAsia" w:ascii="宋体" w:hAnsi="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3360;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color w:val="auto"/>
          <w:sz w:val="32"/>
          <w:szCs w:val="32"/>
          <w:highlight w:val="none"/>
        </w:rPr>
        <w:t>第六章</w:t>
      </w:r>
      <w:bookmarkStart w:id="231" w:name="_Toc14891079"/>
      <w:r>
        <w:rPr>
          <w:rFonts w:hint="eastAsia" w:ascii="宋体" w:hAnsi="宋体" w:cs="宋体"/>
          <w:b/>
          <w:color w:val="auto"/>
          <w:sz w:val="32"/>
          <w:szCs w:val="32"/>
          <w:highlight w:val="none"/>
        </w:rPr>
        <w:t xml:space="preserve">  </w:t>
      </w:r>
      <w:r>
        <w:rPr>
          <w:rFonts w:hint="eastAsia" w:ascii="宋体" w:hAnsi="宋体" w:cs="宋体"/>
          <w:b/>
          <w:bCs/>
          <w:color w:val="auto"/>
          <w:sz w:val="32"/>
          <w:szCs w:val="32"/>
          <w:highlight w:val="none"/>
        </w:rPr>
        <w:t>响应文件组成</w:t>
      </w:r>
      <w:bookmarkEnd w:id="100"/>
      <w:bookmarkEnd w:id="101"/>
      <w:bookmarkEnd w:id="102"/>
      <w:bookmarkEnd w:id="103"/>
      <w:bookmarkEnd w:id="228"/>
      <w:bookmarkEnd w:id="229"/>
      <w:bookmarkEnd w:id="230"/>
      <w:bookmarkEnd w:id="231"/>
    </w:p>
    <w:p>
      <w:pPr>
        <w:spacing w:line="360" w:lineRule="auto"/>
        <w:rPr>
          <w:rFonts w:ascii="宋体" w:hAnsi="宋体"/>
          <w:b/>
          <w:bCs/>
          <w:color w:val="auto"/>
          <w:sz w:val="52"/>
          <w:szCs w:val="52"/>
          <w:highlight w:val="none"/>
        </w:rPr>
      </w:pPr>
    </w:p>
    <w:p>
      <w:pPr>
        <w:spacing w:line="360" w:lineRule="auto"/>
        <w:jc w:val="center"/>
        <w:rPr>
          <w:rFonts w:ascii="宋体" w:hAnsi="宋体"/>
          <w:b/>
          <w:bCs/>
          <w:color w:val="auto"/>
          <w:sz w:val="52"/>
          <w:szCs w:val="52"/>
          <w:highlight w:val="none"/>
        </w:rPr>
      </w:pPr>
      <w:r>
        <w:rPr>
          <w:rFonts w:hint="eastAsia" w:ascii="宋体" w:hAnsi="宋体"/>
          <w:b/>
          <w:bCs/>
          <w:color w:val="auto"/>
          <w:sz w:val="52"/>
          <w:szCs w:val="52"/>
          <w:highlight w:val="none"/>
        </w:rPr>
        <w:t>自主竞争性谈判</w:t>
      </w:r>
    </w:p>
    <w:p>
      <w:pPr>
        <w:adjustRightInd w:val="0"/>
        <w:snapToGrid w:val="0"/>
        <w:spacing w:line="360" w:lineRule="auto"/>
        <w:jc w:val="center"/>
        <w:rPr>
          <w:rFonts w:ascii="宋体" w:hAnsi="宋体"/>
          <w:b/>
          <w:bCs/>
          <w:color w:val="auto"/>
          <w:sz w:val="52"/>
          <w:szCs w:val="52"/>
          <w:highlight w:val="none"/>
        </w:rPr>
      </w:pPr>
      <w:r>
        <w:rPr>
          <w:rFonts w:hint="eastAsia" w:ascii="宋体" w:hAnsi="宋体"/>
          <w:b/>
          <w:bCs/>
          <w:color w:val="auto"/>
          <w:sz w:val="52"/>
          <w:szCs w:val="52"/>
          <w:highlight w:val="none"/>
        </w:rPr>
        <w:t>响应文件</w:t>
      </w:r>
    </w:p>
    <w:p>
      <w:pPr>
        <w:spacing w:line="360" w:lineRule="auto"/>
        <w:rPr>
          <w:rFonts w:ascii="宋体" w:hAnsi="宋体"/>
          <w:b/>
          <w:bCs/>
          <w:color w:val="auto"/>
          <w:sz w:val="28"/>
          <w:szCs w:val="28"/>
          <w:highlight w:val="none"/>
        </w:rPr>
      </w:pPr>
    </w:p>
    <w:p>
      <w:pPr>
        <w:pStyle w:val="25"/>
        <w:spacing w:line="360" w:lineRule="auto"/>
        <w:rPr>
          <w:rFonts w:hAnsi="宋体"/>
          <w:b/>
          <w:bCs/>
          <w:color w:val="auto"/>
          <w:sz w:val="32"/>
          <w:szCs w:val="32"/>
          <w:highlight w:val="none"/>
        </w:rPr>
      </w:pPr>
    </w:p>
    <w:p>
      <w:pPr>
        <w:pStyle w:val="25"/>
        <w:adjustRightInd w:val="0"/>
        <w:snapToGrid w:val="0"/>
        <w:spacing w:line="360" w:lineRule="auto"/>
        <w:rPr>
          <w:rFonts w:hAnsi="宋体"/>
          <w:b/>
          <w:bCs/>
          <w:color w:val="auto"/>
          <w:sz w:val="32"/>
          <w:szCs w:val="32"/>
          <w:highlight w:val="none"/>
          <w:u w:val="single"/>
        </w:rPr>
      </w:pPr>
      <w:r>
        <w:rPr>
          <w:rFonts w:hint="eastAsia" w:hAnsi="宋体"/>
          <w:b/>
          <w:bCs/>
          <w:color w:val="auto"/>
          <w:sz w:val="32"/>
          <w:szCs w:val="32"/>
          <w:highlight w:val="none"/>
        </w:rPr>
        <w:t>谈判项目名称：</w:t>
      </w:r>
      <w:r>
        <w:rPr>
          <w:rFonts w:hint="eastAsia" w:hAnsi="宋体"/>
          <w:b/>
          <w:bCs/>
          <w:color w:val="auto"/>
          <w:sz w:val="32"/>
          <w:szCs w:val="32"/>
          <w:highlight w:val="none"/>
          <w:u w:val="single"/>
        </w:rPr>
        <w:t xml:space="preserve">                      </w:t>
      </w: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r>
        <w:rPr>
          <w:rFonts w:hint="eastAsia" w:hAnsi="宋体"/>
          <w:b/>
          <w:bCs/>
          <w:color w:val="auto"/>
          <w:sz w:val="32"/>
          <w:szCs w:val="32"/>
          <w:highlight w:val="none"/>
        </w:rPr>
        <w:t>谈判单位名称：</w:t>
      </w:r>
      <w:r>
        <w:rPr>
          <w:rFonts w:hint="eastAsia" w:hAnsi="宋体"/>
          <w:b/>
          <w:bCs/>
          <w:color w:val="auto"/>
          <w:sz w:val="32"/>
          <w:szCs w:val="32"/>
          <w:highlight w:val="none"/>
          <w:u w:val="single"/>
        </w:rPr>
        <w:t xml:space="preserve">      （加盖单位公章）</w:t>
      </w: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r>
        <w:rPr>
          <w:rFonts w:hint="eastAsia" w:hAnsi="宋体"/>
          <w:b/>
          <w:bCs/>
          <w:color w:val="auto"/>
          <w:sz w:val="32"/>
          <w:szCs w:val="32"/>
          <w:highlight w:val="none"/>
        </w:rPr>
        <w:t>谈判项目编号：</w:t>
      </w:r>
      <w:r>
        <w:rPr>
          <w:rFonts w:hint="eastAsia" w:hAnsi="宋体"/>
          <w:b/>
          <w:bCs/>
          <w:color w:val="auto"/>
          <w:sz w:val="32"/>
          <w:szCs w:val="32"/>
          <w:highlight w:val="none"/>
          <w:u w:val="single"/>
        </w:rPr>
        <w:t xml:space="preserve">                      </w:t>
      </w: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rPr>
          <w:rFonts w:hAnsi="宋体"/>
          <w:b/>
          <w:bCs/>
          <w:color w:val="auto"/>
          <w:sz w:val="32"/>
          <w:szCs w:val="32"/>
          <w:highlight w:val="none"/>
          <w:u w:val="single"/>
        </w:rPr>
      </w:pPr>
    </w:p>
    <w:p>
      <w:pPr>
        <w:pStyle w:val="25"/>
        <w:adjustRightInd w:val="0"/>
        <w:snapToGrid w:val="0"/>
        <w:spacing w:line="360" w:lineRule="auto"/>
        <w:jc w:val="center"/>
        <w:rPr>
          <w:rFonts w:hAnsi="宋体"/>
          <w:b/>
          <w:bCs/>
          <w:color w:val="auto"/>
          <w:sz w:val="32"/>
          <w:szCs w:val="32"/>
          <w:highlight w:val="none"/>
        </w:rPr>
      </w:pPr>
      <w:r>
        <w:rPr>
          <w:rFonts w:hint="eastAsia" w:hAnsi="宋体"/>
          <w:b/>
          <w:bCs/>
          <w:color w:val="auto"/>
          <w:sz w:val="32"/>
          <w:szCs w:val="32"/>
          <w:highlight w:val="none"/>
        </w:rPr>
        <w:t>日  期：</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年</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月</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日</w:t>
      </w:r>
    </w:p>
    <w:p>
      <w:pPr>
        <w:spacing w:line="360" w:lineRule="exact"/>
        <w:rPr>
          <w:rFonts w:ascii="宋体" w:hAnsi="宋体"/>
          <w:b/>
          <w:color w:val="auto"/>
          <w:highlight w:val="none"/>
        </w:rPr>
      </w:pPr>
    </w:p>
    <w:p>
      <w:pPr>
        <w:adjustRightInd w:val="0"/>
        <w:snapToGrid w:val="0"/>
        <w:spacing w:line="360" w:lineRule="auto"/>
        <w:jc w:val="center"/>
        <w:outlineLvl w:val="0"/>
        <w:rPr>
          <w:rFonts w:ascii="黑体" w:eastAsia="黑体"/>
          <w:b/>
          <w:color w:val="auto"/>
          <w:sz w:val="32"/>
          <w:szCs w:val="32"/>
          <w:highlight w:val="none"/>
        </w:rPr>
        <w:sectPr>
          <w:pgSz w:w="11906" w:h="16838"/>
          <w:pgMar w:top="2098" w:right="1474" w:bottom="1984" w:left="1587" w:header="851" w:footer="992" w:gutter="0"/>
          <w:pgNumType w:fmt="decimal"/>
          <w:cols w:space="0" w:num="1"/>
          <w:docGrid w:type="lines" w:linePitch="319" w:charSpace="0"/>
        </w:sectPr>
      </w:pPr>
    </w:p>
    <w:p>
      <w:pPr>
        <w:widowControl/>
        <w:spacing w:line="360" w:lineRule="auto"/>
        <w:jc w:val="center"/>
        <w:rPr>
          <w:rFonts w:hAnsi="宋体" w:cs="宋体"/>
          <w:b/>
          <w:bCs/>
          <w:color w:val="auto"/>
          <w:sz w:val="32"/>
          <w:szCs w:val="32"/>
          <w:highlight w:val="none"/>
        </w:rPr>
      </w:pPr>
      <w:r>
        <w:rPr>
          <w:rFonts w:hint="eastAsia" w:ascii="宋体" w:hAnsi="宋体"/>
          <w:b/>
          <w:color w:val="auto"/>
          <w:sz w:val="32"/>
          <w:szCs w:val="32"/>
          <w:highlight w:val="none"/>
        </w:rPr>
        <w:t>目   录</w:t>
      </w:r>
    </w:p>
    <w:p>
      <w:pPr>
        <w:adjustRightInd w:val="0"/>
        <w:snapToGrid w:val="0"/>
        <w:spacing w:line="360" w:lineRule="auto"/>
        <w:ind w:firstLine="480" w:firstLineChars="200"/>
        <w:outlineLvl w:val="9"/>
        <w:rPr>
          <w:rFonts w:ascii="宋体" w:hAnsi="宋体"/>
          <w:color w:val="auto"/>
          <w:sz w:val="24"/>
          <w:highlight w:val="none"/>
        </w:rPr>
      </w:pP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一、谈判承诺书</w:t>
      </w:r>
    </w:p>
    <w:p>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二、法定代表人身份证明书</w:t>
      </w:r>
    </w:p>
    <w:p>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三、授权委托书</w:t>
      </w:r>
    </w:p>
    <w:p>
      <w:pPr>
        <w:adjustRightInd w:val="0"/>
        <w:snapToGrid w:val="0"/>
        <w:spacing w:line="360" w:lineRule="auto"/>
        <w:jc w:val="left"/>
        <w:rPr>
          <w:rFonts w:hint="eastAsia" w:hAnsi="宋体"/>
          <w:color w:val="auto"/>
          <w:szCs w:val="21"/>
          <w:highlight w:val="none"/>
        </w:rPr>
      </w:pPr>
      <w:r>
        <w:rPr>
          <w:rFonts w:hint="eastAsia" w:ascii="宋体" w:hAnsi="宋体"/>
          <w:color w:val="auto"/>
          <w:szCs w:val="21"/>
          <w:highlight w:val="none"/>
        </w:rPr>
        <w:t>四、</w:t>
      </w:r>
      <w:r>
        <w:rPr>
          <w:rFonts w:hint="eastAsia" w:hAnsi="宋体"/>
          <w:color w:val="auto"/>
          <w:szCs w:val="21"/>
          <w:highlight w:val="none"/>
        </w:rPr>
        <w:t>谈判单位资格条件证明文件</w:t>
      </w:r>
    </w:p>
    <w:p>
      <w:pPr>
        <w:adjustRightInd w:val="0"/>
        <w:snapToGrid w:val="0"/>
        <w:spacing w:line="360" w:lineRule="auto"/>
        <w:jc w:val="left"/>
        <w:rPr>
          <w:color w:val="auto"/>
          <w:highlight w:val="none"/>
        </w:rPr>
      </w:pPr>
      <w:r>
        <w:rPr>
          <w:rFonts w:hint="eastAsia" w:ascii="宋体" w:hAnsi="宋体"/>
          <w:color w:val="auto"/>
          <w:szCs w:val="21"/>
          <w:highlight w:val="none"/>
          <w:lang w:val="en-US" w:eastAsia="zh-CN"/>
        </w:rPr>
        <w:t>五、</w:t>
      </w:r>
      <w:r>
        <w:rPr>
          <w:rFonts w:hint="eastAsia" w:ascii="宋体" w:hAnsi="宋体"/>
          <w:color w:val="auto"/>
          <w:szCs w:val="21"/>
          <w:highlight w:val="none"/>
        </w:rPr>
        <w:t>企业实力</w:t>
      </w:r>
      <w:r>
        <w:rPr>
          <w:rFonts w:hint="eastAsia" w:ascii="宋体" w:hAnsi="宋体"/>
          <w:color w:val="auto"/>
          <w:szCs w:val="21"/>
          <w:highlight w:val="none"/>
          <w:lang w:val="en-US" w:eastAsia="zh-CN"/>
        </w:rPr>
        <w:t>相关证明文件</w:t>
      </w:r>
    </w:p>
    <w:p>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lang w:val="en-US" w:eastAsia="zh-CN"/>
        </w:rPr>
        <w:t>六</w:t>
      </w:r>
      <w:r>
        <w:rPr>
          <w:rFonts w:hint="eastAsia" w:ascii="宋体" w:hAnsi="宋体"/>
          <w:color w:val="auto"/>
          <w:szCs w:val="21"/>
          <w:highlight w:val="none"/>
        </w:rPr>
        <w:t>、安全管理及保障方案</w:t>
      </w:r>
    </w:p>
    <w:p>
      <w:pPr>
        <w:adjustRightInd w:val="0"/>
        <w:snapToGrid w:val="0"/>
        <w:spacing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七、服务管理方案</w:t>
      </w:r>
    </w:p>
    <w:p>
      <w:pPr>
        <w:adjustRightInd w:val="0"/>
        <w:snapToGrid w:val="0"/>
        <w:spacing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八、综合管理方案</w:t>
      </w:r>
    </w:p>
    <w:p>
      <w:pPr>
        <w:adjustRightInd w:val="0"/>
        <w:snapToGrid w:val="0"/>
        <w:spacing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九、卫生管理方案</w:t>
      </w:r>
    </w:p>
    <w:p>
      <w:pPr>
        <w:adjustRightInd w:val="0"/>
        <w:snapToGrid w:val="0"/>
        <w:spacing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十、应急管理方案</w:t>
      </w:r>
    </w:p>
    <w:p>
      <w:pPr>
        <w:pStyle w:val="19"/>
        <w:rPr>
          <w:rFonts w:hint="eastAsia"/>
          <w:color w:val="auto"/>
          <w:highlight w:val="none"/>
          <w:lang w:val="en-US" w:eastAsia="zh-CN"/>
        </w:rPr>
      </w:pPr>
      <w:r>
        <w:rPr>
          <w:rFonts w:hint="eastAsia"/>
          <w:color w:val="auto"/>
          <w:highlight w:val="none"/>
          <w:lang w:val="en-US" w:eastAsia="zh-CN"/>
        </w:rPr>
        <w:t>十一、优惠方案</w:t>
      </w:r>
    </w:p>
    <w:p>
      <w:pPr>
        <w:adjustRightInd w:val="0"/>
        <w:snapToGrid w:val="0"/>
        <w:spacing w:line="360" w:lineRule="auto"/>
        <w:jc w:val="left"/>
        <w:rPr>
          <w:rFonts w:hint="default"/>
          <w:color w:val="auto"/>
          <w:highlight w:val="none"/>
          <w:lang w:val="en-US" w:eastAsia="zh-CN"/>
        </w:rPr>
      </w:pPr>
      <w:r>
        <w:rPr>
          <w:rFonts w:hint="eastAsia" w:ascii="宋体" w:hAnsi="宋体"/>
          <w:color w:val="auto"/>
          <w:szCs w:val="21"/>
          <w:highlight w:val="none"/>
          <w:lang w:val="en-US" w:eastAsia="zh-CN"/>
        </w:rPr>
        <w:t>十二、原材料保障</w:t>
      </w:r>
    </w:p>
    <w:p>
      <w:pPr>
        <w:adjustRightInd w:val="0"/>
        <w:snapToGrid w:val="0"/>
        <w:spacing w:line="360" w:lineRule="auto"/>
        <w:jc w:val="left"/>
        <w:rPr>
          <w:rFonts w:hint="default"/>
          <w:color w:val="auto"/>
          <w:highlight w:val="none"/>
          <w:lang w:val="en-US" w:eastAsia="zh-CN"/>
        </w:rPr>
      </w:pPr>
      <w:r>
        <w:rPr>
          <w:rFonts w:hint="eastAsia" w:ascii="宋体" w:hAnsi="宋体"/>
          <w:color w:val="auto"/>
          <w:szCs w:val="21"/>
          <w:highlight w:val="none"/>
          <w:lang w:val="en-US" w:eastAsia="zh-CN"/>
        </w:rPr>
        <w:t>十三、承诺函</w:t>
      </w:r>
    </w:p>
    <w:p>
      <w:pPr>
        <w:adjustRightInd w:val="0"/>
        <w:snapToGrid w:val="0"/>
        <w:spacing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十四、其他资料（如有）</w:t>
      </w:r>
    </w:p>
    <w:p>
      <w:pPr>
        <w:ind w:firstLine="480" w:firstLineChars="200"/>
        <w:jc w:val="center"/>
        <w:outlineLvl w:val="1"/>
        <w:rPr>
          <w:rFonts w:ascii="黑体" w:hAnsi="黑体" w:eastAsia="黑体"/>
          <w:b/>
          <w:color w:val="auto"/>
          <w:sz w:val="32"/>
          <w:szCs w:val="32"/>
          <w:highlight w:val="none"/>
        </w:rPr>
      </w:pPr>
      <w:r>
        <w:rPr>
          <w:rFonts w:hint="eastAsia" w:ascii="宋体" w:hAnsi="宋体"/>
          <w:color w:val="auto"/>
          <w:sz w:val="24"/>
          <w:highlight w:val="none"/>
        </w:rPr>
        <w:br w:type="page"/>
      </w:r>
      <w:bookmarkStart w:id="232" w:name="_Toc7657"/>
      <w:bookmarkStart w:id="233" w:name="_Toc32569"/>
      <w:bookmarkStart w:id="234" w:name="_Toc493"/>
      <w:bookmarkStart w:id="235" w:name="_Toc19641"/>
      <w:bookmarkStart w:id="236" w:name="_Toc32600"/>
      <w:bookmarkStart w:id="237" w:name="_Toc14530"/>
      <w:bookmarkStart w:id="238" w:name="_Toc10329"/>
      <w:r>
        <w:rPr>
          <w:rFonts w:hint="eastAsia" w:ascii="宋体" w:hAnsi="宋体" w:cs="宋体"/>
          <w:b/>
          <w:color w:val="auto"/>
          <w:sz w:val="32"/>
          <w:szCs w:val="32"/>
          <w:highlight w:val="none"/>
        </w:rPr>
        <w:t>一、谈判承诺书</w:t>
      </w:r>
      <w:bookmarkEnd w:id="232"/>
      <w:bookmarkEnd w:id="233"/>
      <w:bookmarkEnd w:id="234"/>
      <w:bookmarkEnd w:id="235"/>
      <w:bookmarkEnd w:id="236"/>
      <w:bookmarkEnd w:id="237"/>
      <w:bookmarkEnd w:id="238"/>
    </w:p>
    <w:p>
      <w:pPr>
        <w:adjustRightInd w:val="0"/>
        <w:snapToGrid w:val="0"/>
        <w:spacing w:line="400" w:lineRule="exact"/>
        <w:rPr>
          <w:rFonts w:ascii="仿宋_GB2312" w:hAnsi="宋体" w:eastAsia="仿宋_GB2312"/>
          <w:color w:val="auto"/>
          <w:szCs w:val="21"/>
          <w:highlight w:val="none"/>
        </w:rPr>
      </w:pPr>
    </w:p>
    <w:p>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cs="宋体"/>
          <w:color w:val="auto"/>
          <w:szCs w:val="21"/>
          <w:highlight w:val="none"/>
          <w:u w:val="single"/>
        </w:rPr>
        <w:t xml:space="preserve">      (采购单位)      </w:t>
      </w:r>
      <w:r>
        <w:rPr>
          <w:rFonts w:hint="eastAsia" w:ascii="宋体" w:hAnsi="宋体" w:cs="宋体"/>
          <w:color w:val="auto"/>
          <w:szCs w:val="21"/>
          <w:highlight w:val="none"/>
        </w:rPr>
        <w:t>：</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我方已仔细研究了</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的竞争性谈判文件（谈判项目编号：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）的全部内容，</w:t>
      </w:r>
      <w:r>
        <w:rPr>
          <w:rFonts w:hint="eastAsia" w:hAnsi="宋体"/>
          <w:color w:val="auto"/>
          <w:szCs w:val="21"/>
          <w:highlight w:val="none"/>
        </w:rPr>
        <w:t>知悉参加竞争性谈判的风险，我方承诺接受谈判文件的全部条款且无任何异议。</w:t>
      </w:r>
    </w:p>
    <w:p>
      <w:pPr>
        <w:pStyle w:val="25"/>
        <w:numPr>
          <w:ilvl w:val="0"/>
          <w:numId w:val="20"/>
        </w:numPr>
        <w:adjustRightInd w:val="0"/>
        <w:snapToGrid w:val="0"/>
        <w:spacing w:line="400" w:lineRule="exact"/>
        <w:rPr>
          <w:rFonts w:hAnsi="宋体"/>
          <w:color w:val="auto"/>
          <w:highlight w:val="none"/>
        </w:rPr>
      </w:pPr>
      <w:r>
        <w:rPr>
          <w:rFonts w:hint="eastAsia"/>
          <w:color w:val="auto"/>
          <w:highlight w:val="none"/>
        </w:rPr>
        <w:t>参与本项目竞争性谈判活动系本公司自愿行为。</w:t>
      </w:r>
    </w:p>
    <w:p>
      <w:pPr>
        <w:pStyle w:val="25"/>
        <w:numPr>
          <w:ilvl w:val="0"/>
          <w:numId w:val="20"/>
        </w:numPr>
        <w:adjustRightInd w:val="0"/>
        <w:snapToGrid w:val="0"/>
        <w:spacing w:line="400" w:lineRule="exact"/>
        <w:rPr>
          <w:color w:val="auto"/>
          <w:highlight w:val="none"/>
        </w:rPr>
      </w:pPr>
      <w:r>
        <w:rPr>
          <w:rFonts w:hint="eastAsia"/>
          <w:color w:val="auto"/>
          <w:highlight w:val="none"/>
        </w:rPr>
        <w:t>我方同意在谈判文件中规定的提交响应文件截止时间起</w:t>
      </w:r>
      <w:r>
        <w:rPr>
          <w:rFonts w:hint="eastAsia"/>
          <w:color w:val="auto"/>
          <w:highlight w:val="none"/>
          <w:u w:val="single"/>
        </w:rPr>
        <w:t>180</w:t>
      </w:r>
      <w:r>
        <w:rPr>
          <w:rFonts w:hint="eastAsia"/>
          <w:color w:val="auto"/>
          <w:highlight w:val="none"/>
        </w:rPr>
        <w:t>日历天内(响应文件有效期)遵守本响应文件中的承诺且在此期限期满之前均具有法律约束力。</w:t>
      </w:r>
    </w:p>
    <w:p>
      <w:pPr>
        <w:pStyle w:val="25"/>
        <w:numPr>
          <w:ilvl w:val="0"/>
          <w:numId w:val="20"/>
        </w:numPr>
        <w:adjustRightInd w:val="0"/>
        <w:snapToGrid w:val="0"/>
        <w:spacing w:line="400" w:lineRule="exact"/>
        <w:rPr>
          <w:color w:val="auto"/>
          <w:highlight w:val="none"/>
        </w:rPr>
      </w:pPr>
      <w:r>
        <w:rPr>
          <w:rFonts w:hint="eastAsia"/>
          <w:color w:val="auto"/>
          <w:highlight w:val="none"/>
        </w:rPr>
        <w:t>我方提交的响应文件均为</w:t>
      </w:r>
      <w:r>
        <w:rPr>
          <w:rFonts w:hint="eastAsia"/>
          <w:b/>
          <w:bCs/>
          <w:color w:val="auto"/>
          <w:highlight w:val="none"/>
        </w:rPr>
        <w:t>正本一份和副本两份</w:t>
      </w:r>
      <w:r>
        <w:rPr>
          <w:rFonts w:hint="eastAsia"/>
          <w:color w:val="auto"/>
          <w:highlight w:val="none"/>
        </w:rPr>
        <w:t>，电子文件（包括响应文件全部内容）一份，并保证响应文件提供的数据和材料是真实、准确的，</w:t>
      </w:r>
      <w:r>
        <w:rPr>
          <w:rFonts w:hint="eastAsia"/>
          <w:b/>
          <w:bCs/>
          <w:color w:val="auto"/>
          <w:highlight w:val="none"/>
        </w:rPr>
        <w:t>均无复制、粘贴之情形，且无低于成本的恶意报价行为</w:t>
      </w:r>
      <w:r>
        <w:rPr>
          <w:rFonts w:hint="eastAsia"/>
          <w:color w:val="auto"/>
          <w:highlight w:val="none"/>
        </w:rPr>
        <w:t>。否则，愿承担由此引起的一切法律责任。</w:t>
      </w:r>
    </w:p>
    <w:p>
      <w:pPr>
        <w:pStyle w:val="25"/>
        <w:numPr>
          <w:ilvl w:val="0"/>
          <w:numId w:val="20"/>
        </w:numPr>
        <w:adjustRightInd w:val="0"/>
        <w:snapToGrid w:val="0"/>
        <w:spacing w:line="400" w:lineRule="exact"/>
        <w:rPr>
          <w:color w:val="auto"/>
          <w:highlight w:val="none"/>
        </w:rPr>
      </w:pPr>
      <w:r>
        <w:rPr>
          <w:rFonts w:hint="eastAsia"/>
          <w:color w:val="auto"/>
          <w:highlight w:val="none"/>
        </w:rPr>
        <w:t>遵守贵司各项管理制度和谈判现场纪律，服从现场工作人员管理，自觉维护贵司谈判活动秩序。</w:t>
      </w:r>
    </w:p>
    <w:p>
      <w:pPr>
        <w:pStyle w:val="25"/>
        <w:numPr>
          <w:ilvl w:val="0"/>
          <w:numId w:val="20"/>
        </w:numPr>
        <w:adjustRightInd w:val="0"/>
        <w:snapToGrid w:val="0"/>
        <w:spacing w:line="400" w:lineRule="exact"/>
        <w:rPr>
          <w:color w:val="auto"/>
          <w:highlight w:val="none"/>
        </w:rPr>
      </w:pPr>
      <w:r>
        <w:rPr>
          <w:rFonts w:hint="eastAsia"/>
          <w:color w:val="auto"/>
          <w:highlight w:val="none"/>
        </w:rPr>
        <w:t>保证没有组织、参与围标、串标行为。</w:t>
      </w:r>
    </w:p>
    <w:p>
      <w:pPr>
        <w:pStyle w:val="25"/>
        <w:numPr>
          <w:ilvl w:val="0"/>
          <w:numId w:val="20"/>
        </w:numPr>
        <w:adjustRightInd w:val="0"/>
        <w:snapToGrid w:val="0"/>
        <w:spacing w:line="400" w:lineRule="exact"/>
        <w:rPr>
          <w:color w:val="auto"/>
          <w:highlight w:val="none"/>
        </w:rPr>
      </w:pPr>
      <w:r>
        <w:rPr>
          <w:rFonts w:hint="eastAsia"/>
          <w:color w:val="auto"/>
          <w:highlight w:val="none"/>
        </w:rPr>
        <w:t>不与采购单位或采购代理机构或谈判评审小组成员私下联络和串通以牟取中选；不以他人名义参与谈判或者以其他方式弄虚作假骗取中选；不在谈判结束后进行虚假、恶意质疑和投诉。</w:t>
      </w:r>
    </w:p>
    <w:p>
      <w:pPr>
        <w:pStyle w:val="25"/>
        <w:numPr>
          <w:ilvl w:val="0"/>
          <w:numId w:val="20"/>
        </w:numPr>
        <w:adjustRightInd w:val="0"/>
        <w:snapToGrid w:val="0"/>
        <w:spacing w:line="400" w:lineRule="exact"/>
        <w:rPr>
          <w:color w:val="auto"/>
          <w:highlight w:val="none"/>
        </w:rPr>
      </w:pPr>
      <w:r>
        <w:rPr>
          <w:rFonts w:hint="eastAsia"/>
          <w:color w:val="auto"/>
          <w:highlight w:val="none"/>
        </w:rPr>
        <w:t>我方承诺为本项目拟配备人员均满足技术标准及要求且均为我方正式在职人员。若拟配备人员不满足技术标准及要求或证件造假或非我方正式在职人员，视为虚假响应，贵方有权取消我方谈判资格；如已中选，贵方有权取消我方中选供应商资格。</w:t>
      </w:r>
    </w:p>
    <w:p>
      <w:pPr>
        <w:pStyle w:val="25"/>
        <w:numPr>
          <w:ilvl w:val="0"/>
          <w:numId w:val="20"/>
        </w:numPr>
        <w:adjustRightInd w:val="0"/>
        <w:snapToGrid w:val="0"/>
        <w:spacing w:line="400" w:lineRule="exact"/>
        <w:rPr>
          <w:color w:val="auto"/>
          <w:highlight w:val="none"/>
        </w:rPr>
      </w:pPr>
      <w:r>
        <w:rPr>
          <w:rFonts w:hint="eastAsia"/>
          <w:color w:val="auto"/>
          <w:highlight w:val="none"/>
        </w:rPr>
        <w:t>我方承诺，若贵方需要，我方愿意提供任何与本次谈判有关的数据、情况和技术资料。</w:t>
      </w:r>
    </w:p>
    <w:p>
      <w:pPr>
        <w:pStyle w:val="25"/>
        <w:numPr>
          <w:ilvl w:val="0"/>
          <w:numId w:val="20"/>
        </w:numPr>
        <w:adjustRightInd w:val="0"/>
        <w:snapToGrid w:val="0"/>
        <w:spacing w:line="400" w:lineRule="exact"/>
        <w:rPr>
          <w:color w:val="auto"/>
          <w:highlight w:val="none"/>
        </w:rPr>
      </w:pPr>
      <w:r>
        <w:rPr>
          <w:rFonts w:hint="eastAsia"/>
          <w:color w:val="auto"/>
          <w:highlight w:val="none"/>
        </w:rPr>
        <w:t>我方承诺遵守相关法律法规及贵司的有关规定，保证在获得成交资格后，按照谈判文件确定的事项签订合同，履行双方所签订的合同，并承担合同规定的责任和义务。</w:t>
      </w:r>
    </w:p>
    <w:p>
      <w:pPr>
        <w:pStyle w:val="25"/>
        <w:numPr>
          <w:ilvl w:val="0"/>
          <w:numId w:val="20"/>
        </w:numPr>
        <w:adjustRightInd w:val="0"/>
        <w:snapToGrid w:val="0"/>
        <w:spacing w:line="400" w:lineRule="exact"/>
        <w:rPr>
          <w:color w:val="auto"/>
          <w:highlight w:val="none"/>
        </w:rPr>
      </w:pPr>
      <w:r>
        <w:rPr>
          <w:rFonts w:hint="eastAsia"/>
          <w:color w:val="auto"/>
          <w:highlight w:val="none"/>
        </w:rPr>
        <w:t>我方承诺在参与本次竞争性谈判过程中，若出现本文件</w:t>
      </w:r>
      <w:r>
        <w:rPr>
          <w:rFonts w:hint="eastAsia"/>
          <w:b/>
          <w:bCs/>
          <w:color w:val="auto"/>
          <w:highlight w:val="none"/>
        </w:rPr>
        <w:t>谈判须知正文</w:t>
      </w:r>
      <w:r>
        <w:rPr>
          <w:rFonts w:hint="eastAsia"/>
          <w:color w:val="auto"/>
          <w:highlight w:val="none"/>
        </w:rPr>
        <w:t>第2</w:t>
      </w:r>
      <w:r>
        <w:rPr>
          <w:rFonts w:hint="eastAsia"/>
          <w:color w:val="auto"/>
          <w:highlight w:val="none"/>
          <w:lang w:val="en-US" w:eastAsia="zh-CN"/>
        </w:rPr>
        <w:t>5</w:t>
      </w:r>
      <w:r>
        <w:rPr>
          <w:rFonts w:hint="eastAsia"/>
          <w:color w:val="auto"/>
          <w:highlight w:val="none"/>
        </w:rPr>
        <w:t>条规定之情形，我方无条件接受条款规定作出的处罚。</w:t>
      </w:r>
    </w:p>
    <w:p>
      <w:pPr>
        <w:pStyle w:val="25"/>
        <w:numPr>
          <w:ilvl w:val="0"/>
          <w:numId w:val="20"/>
        </w:numPr>
        <w:adjustRightInd w:val="0"/>
        <w:snapToGrid w:val="0"/>
        <w:spacing w:line="400" w:lineRule="exact"/>
        <w:rPr>
          <w:color w:val="auto"/>
          <w:highlight w:val="none"/>
        </w:rPr>
      </w:pPr>
      <w:r>
        <w:rPr>
          <w:rFonts w:hint="eastAsia"/>
          <w:color w:val="auto"/>
          <w:highlight w:val="none"/>
        </w:rPr>
        <w:t>我方承诺完全响应本文件第四章“用户需求书”及第</w:t>
      </w:r>
      <w:r>
        <w:rPr>
          <w:rFonts w:hint="eastAsia"/>
          <w:color w:val="auto"/>
          <w:highlight w:val="none"/>
          <w:lang w:eastAsia="zh-CN"/>
        </w:rPr>
        <w:t>五</w:t>
      </w:r>
      <w:r>
        <w:rPr>
          <w:rFonts w:hint="eastAsia"/>
          <w:color w:val="auto"/>
          <w:highlight w:val="none"/>
        </w:rPr>
        <w:t>章“合同格式条款”内的全部内容。</w:t>
      </w:r>
    </w:p>
    <w:p>
      <w:pPr>
        <w:pStyle w:val="25"/>
        <w:numPr>
          <w:ilvl w:val="0"/>
          <w:numId w:val="20"/>
        </w:numPr>
        <w:adjustRightInd w:val="0"/>
        <w:snapToGrid w:val="0"/>
        <w:spacing w:line="400" w:lineRule="exact"/>
        <w:rPr>
          <w:color w:val="auto"/>
          <w:highlight w:val="none"/>
        </w:rPr>
      </w:pPr>
      <w:r>
        <w:rPr>
          <w:rFonts w:hint="eastAsia"/>
          <w:color w:val="auto"/>
          <w:highlight w:val="none"/>
        </w:rPr>
        <w:t>如有违反本承诺书内容的行为，愿意承担由此产生的法律责任及后果。</w:t>
      </w:r>
    </w:p>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谈判单位名称：</w:t>
      </w:r>
      <w:r>
        <w:rPr>
          <w:rFonts w:hint="eastAsia" w:ascii="宋体" w:hAnsi="宋体" w:cs="宋体"/>
          <w:color w:val="auto"/>
          <w:szCs w:val="21"/>
          <w:highlight w:val="none"/>
          <w:u w:val="single"/>
        </w:rPr>
        <w:t xml:space="preserve">    （盖单位章）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法定代表人(签字或盖章)：</w:t>
      </w:r>
      <w:r>
        <w:rPr>
          <w:rFonts w:hint="eastAsia" w:ascii="宋体" w:hAnsi="宋体" w:cs="宋体"/>
          <w:color w:val="auto"/>
          <w:szCs w:val="21"/>
          <w:highlight w:val="none"/>
          <w:u w:val="single"/>
        </w:rPr>
        <w:t xml:space="preserve">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ascii="宋体" w:hAnsi="宋体"/>
          <w:color w:val="auto"/>
          <w:szCs w:val="21"/>
          <w:highlight w:val="none"/>
        </w:rPr>
      </w:pPr>
      <w:r>
        <w:rPr>
          <w:rFonts w:hint="eastAsia" w:ascii="宋体" w:hAnsi="宋体"/>
          <w:color w:val="auto"/>
          <w:szCs w:val="21"/>
          <w:highlight w:val="none"/>
        </w:rPr>
        <w:br w:type="page"/>
      </w:r>
    </w:p>
    <w:p>
      <w:pPr>
        <w:adjustRightInd w:val="0"/>
        <w:snapToGrid w:val="0"/>
        <w:spacing w:line="360" w:lineRule="auto"/>
        <w:ind w:right="24"/>
        <w:jc w:val="center"/>
        <w:outlineLvl w:val="1"/>
        <w:rPr>
          <w:rFonts w:ascii="宋体" w:hAnsi="宋体" w:cs="宋体"/>
          <w:b/>
          <w:color w:val="auto"/>
          <w:sz w:val="32"/>
          <w:szCs w:val="32"/>
          <w:highlight w:val="none"/>
        </w:rPr>
      </w:pPr>
      <w:bookmarkStart w:id="239" w:name="_Toc23913"/>
      <w:bookmarkStart w:id="240" w:name="_Toc11208"/>
      <w:bookmarkStart w:id="241" w:name="_Toc3026"/>
      <w:bookmarkStart w:id="242" w:name="_Toc31277"/>
      <w:bookmarkStart w:id="243" w:name="_Toc16874"/>
      <w:bookmarkStart w:id="244" w:name="_Toc10496"/>
      <w:bookmarkStart w:id="245" w:name="_Toc1313"/>
      <w:r>
        <w:rPr>
          <w:rFonts w:hint="eastAsia" w:ascii="宋体" w:hAnsi="宋体" w:cs="宋体"/>
          <w:b/>
          <w:color w:val="auto"/>
          <w:sz w:val="32"/>
          <w:szCs w:val="32"/>
          <w:highlight w:val="none"/>
        </w:rPr>
        <w:t>二、法定代表人身份证明书</w:t>
      </w:r>
      <w:bookmarkEnd w:id="239"/>
      <w:bookmarkEnd w:id="240"/>
      <w:bookmarkEnd w:id="241"/>
      <w:bookmarkEnd w:id="242"/>
      <w:bookmarkEnd w:id="243"/>
      <w:bookmarkEnd w:id="244"/>
      <w:bookmarkEnd w:id="245"/>
    </w:p>
    <w:p>
      <w:pPr>
        <w:snapToGrid w:val="0"/>
        <w:spacing w:line="480" w:lineRule="auto"/>
        <w:rPr>
          <w:rFonts w:ascii="宋体" w:hAnsi="宋体"/>
          <w:color w:val="auto"/>
          <w:szCs w:val="21"/>
          <w:highlight w:val="none"/>
        </w:rPr>
      </w:pPr>
    </w:p>
    <w:p>
      <w:pPr>
        <w:autoSpaceDE w:val="0"/>
        <w:autoSpaceDN w:val="0"/>
        <w:adjustRightInd w:val="0"/>
        <w:snapToGrid w:val="0"/>
        <w:spacing w:before="159" w:beforeLines="50" w:line="360" w:lineRule="auto"/>
        <w:jc w:val="left"/>
        <w:rPr>
          <w:rFonts w:ascii="宋体" w:hAnsi="宋体" w:cs="宋体"/>
          <w:color w:val="auto"/>
          <w:kern w:val="0"/>
          <w:szCs w:val="21"/>
          <w:highlight w:val="none"/>
        </w:rPr>
      </w:pPr>
      <w:r>
        <w:rPr>
          <w:rFonts w:hint="eastAsia" w:ascii="宋体" w:hAnsi="宋体"/>
          <w:color w:val="auto"/>
          <w:szCs w:val="21"/>
          <w:highlight w:val="none"/>
        </w:rPr>
        <w:t>谈判单位</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59" w:beforeLines="50" w:line="360" w:lineRule="auto"/>
        <w:jc w:val="left"/>
        <w:rPr>
          <w:rFonts w:ascii="宋体" w:hAnsi="宋体" w:cs="宋体"/>
          <w:b/>
          <w:bCs/>
          <w:color w:val="auto"/>
          <w:kern w:val="0"/>
          <w:szCs w:val="21"/>
          <w:highlight w:val="none"/>
          <w:u w:val="single"/>
        </w:rPr>
      </w:pP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59"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p>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成立日期：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utoSpaceDE w:val="0"/>
        <w:autoSpaceDN w:val="0"/>
        <w:adjustRightInd w:val="0"/>
        <w:snapToGrid w:val="0"/>
        <w:spacing w:before="159"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59"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59"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谈判单位</w:t>
      </w:r>
      <w:r>
        <w:rPr>
          <w:rFonts w:hint="eastAsia" w:ascii="宋体" w:hAnsi="宋体" w:cs="宋体"/>
          <w:color w:val="auto"/>
          <w:kern w:val="0"/>
          <w:szCs w:val="21"/>
          <w:highlight w:val="none"/>
          <w:u w:val="single"/>
        </w:rPr>
        <w:t xml:space="preserve">名称）    </w:t>
      </w:r>
      <w:r>
        <w:rPr>
          <w:rFonts w:hint="eastAsia" w:ascii="宋体" w:hAnsi="宋体" w:cs="宋体"/>
          <w:color w:val="auto"/>
          <w:kern w:val="0"/>
          <w:szCs w:val="21"/>
          <w:highlight w:val="none"/>
        </w:rPr>
        <w:t>的法定代表人。</w:t>
      </w:r>
    </w:p>
    <w:p>
      <w:pPr>
        <w:autoSpaceDE w:val="0"/>
        <w:autoSpaceDN w:val="0"/>
        <w:adjustRightInd w:val="0"/>
        <w:snapToGrid w:val="0"/>
        <w:spacing w:before="159"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pPr>
        <w:autoSpaceDE w:val="0"/>
        <w:autoSpaceDN w:val="0"/>
        <w:adjustRightInd w:val="0"/>
        <w:snapToGrid w:val="0"/>
        <w:spacing w:line="360" w:lineRule="auto"/>
        <w:jc w:val="left"/>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6432"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50048;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Bu9wfU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G73B9R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1664384"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2096;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65408;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b/>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b/>
          <w:color w:val="auto"/>
          <w:szCs w:val="21"/>
          <w:highlight w:val="none"/>
        </w:rPr>
        <w:t>备注：上述证件复印件可另附页，另附页时，证件复印件均须加盖单位公章。</w:t>
      </w:r>
    </w:p>
    <w:p>
      <w:pPr>
        <w:snapToGrid w:val="0"/>
        <w:rPr>
          <w:rFonts w:ascii="宋体" w:hAnsi="宋体"/>
          <w:color w:val="auto"/>
          <w:szCs w:val="21"/>
          <w:highlight w:val="none"/>
        </w:rPr>
      </w:pPr>
    </w:p>
    <w:p>
      <w:pPr>
        <w:snapToGrid w:val="0"/>
        <w:rPr>
          <w:rFonts w:ascii="宋体" w:hAnsi="宋体"/>
          <w:color w:val="auto"/>
          <w:szCs w:val="21"/>
          <w:highlight w:val="none"/>
        </w:rPr>
      </w:pPr>
    </w:p>
    <w:p>
      <w:pPr>
        <w:snapToGrid w:val="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谈判单位名称（盖单位章）：</w:t>
      </w:r>
      <w:r>
        <w:rPr>
          <w:rFonts w:hint="eastAsia"/>
          <w:color w:val="auto"/>
          <w:highlight w:val="none"/>
          <w:u w:val="single"/>
        </w:rPr>
        <w:t xml:space="preserve">    （盖单位章）    </w:t>
      </w:r>
    </w:p>
    <w:p>
      <w:pPr>
        <w:spacing w:line="360" w:lineRule="auto"/>
        <w:rPr>
          <w:rFonts w:ascii="宋体"/>
          <w:color w:val="auto"/>
          <w:highlight w:val="none"/>
        </w:rPr>
      </w:pPr>
      <w:r>
        <w:rPr>
          <w:rFonts w:hint="eastAsia"/>
          <w:color w:val="auto"/>
          <w:highlight w:val="none"/>
        </w:rPr>
        <w:t>日期</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ascii="黑体" w:hAnsi="宋体" w:eastAsia="黑体"/>
          <w:b/>
          <w:color w:val="auto"/>
          <w:sz w:val="32"/>
          <w:szCs w:val="32"/>
          <w:highlight w:val="none"/>
        </w:rPr>
      </w:pPr>
      <w:r>
        <w:rPr>
          <w:rFonts w:ascii="黑体" w:hAnsi="华文中宋" w:eastAsia="黑体"/>
          <w:bCs/>
          <w:color w:val="auto"/>
          <w:sz w:val="24"/>
          <w:highlight w:val="none"/>
        </w:rPr>
        <w:br w:type="page"/>
      </w:r>
      <w:bookmarkStart w:id="246" w:name="_Toc761"/>
      <w:bookmarkStart w:id="247" w:name="_Toc6046"/>
      <w:bookmarkStart w:id="248" w:name="_Toc20606"/>
      <w:bookmarkStart w:id="249" w:name="_Toc27642"/>
      <w:bookmarkStart w:id="250" w:name="_Toc21066"/>
      <w:bookmarkStart w:id="251" w:name="_Toc14170"/>
      <w:bookmarkStart w:id="252" w:name="_Toc29853"/>
      <w:r>
        <w:rPr>
          <w:rFonts w:hint="eastAsia" w:ascii="宋体" w:hAnsi="宋体" w:cs="宋体"/>
          <w:b/>
          <w:color w:val="auto"/>
          <w:sz w:val="32"/>
          <w:szCs w:val="32"/>
          <w:highlight w:val="none"/>
        </w:rPr>
        <w:t>三、授权委托书</w:t>
      </w:r>
      <w:bookmarkEnd w:id="246"/>
      <w:bookmarkEnd w:id="247"/>
      <w:bookmarkEnd w:id="248"/>
      <w:bookmarkEnd w:id="249"/>
      <w:bookmarkEnd w:id="250"/>
      <w:bookmarkEnd w:id="251"/>
      <w:bookmarkEnd w:id="252"/>
    </w:p>
    <w:p>
      <w:pPr>
        <w:adjustRightInd w:val="0"/>
        <w:snapToGrid w:val="0"/>
        <w:spacing w:line="360" w:lineRule="auto"/>
        <w:jc w:val="center"/>
        <w:rPr>
          <w:rFonts w:ascii="黑体" w:hAnsi="华文中宋" w:eastAsia="黑体"/>
          <w:b/>
          <w:color w:val="auto"/>
          <w:sz w:val="28"/>
          <w:szCs w:val="28"/>
          <w:highlight w:val="none"/>
        </w:rPr>
      </w:pPr>
    </w:p>
    <w:p>
      <w:pPr>
        <w:autoSpaceDE w:val="0"/>
        <w:autoSpaceDN w:val="0"/>
        <w:adjustRightInd w:val="0"/>
        <w:snapToGrid w:val="0"/>
        <w:spacing w:before="159" w:beforeLines="5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w:t>
      </w:r>
      <w:r>
        <w:rPr>
          <w:rFonts w:hint="eastAsia" w:ascii="宋体" w:hAnsi="宋体"/>
          <w:color w:val="auto"/>
          <w:szCs w:val="21"/>
          <w:highlight w:val="none"/>
          <w:u w:val="single"/>
        </w:rPr>
        <w:t>谈判单位</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的法定代表人，现授权</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为我方代理人。代理人根据授权，以我方名义签署、澄清、补正、修改、撤回、提交</w:t>
      </w:r>
      <w:r>
        <w:rPr>
          <w:rFonts w:hint="eastAsia" w:ascii="宋体" w:hAnsi="宋体" w:cs="宋体"/>
          <w:color w:val="auto"/>
          <w:kern w:val="0"/>
          <w:szCs w:val="21"/>
          <w:highlight w:val="none"/>
          <w:u w:val="single"/>
        </w:rPr>
        <w:t>（项目名称、</w:t>
      </w:r>
      <w:r>
        <w:rPr>
          <w:rFonts w:hint="eastAsia" w:ascii="宋体" w:hAnsi="宋体"/>
          <w:color w:val="auto"/>
          <w:szCs w:val="21"/>
          <w:highlight w:val="none"/>
          <w:u w:val="single"/>
        </w:rPr>
        <w:t>项目</w:t>
      </w:r>
      <w:r>
        <w:rPr>
          <w:rFonts w:hint="eastAsia" w:ascii="宋体" w:hAnsi="宋体" w:cs="宋体"/>
          <w:color w:val="auto"/>
          <w:kern w:val="0"/>
          <w:szCs w:val="21"/>
          <w:highlight w:val="none"/>
          <w:u w:val="single"/>
        </w:rPr>
        <w:t>编号）</w:t>
      </w:r>
      <w:r>
        <w:rPr>
          <w:rFonts w:hint="eastAsia" w:ascii="宋体" w:hAnsi="宋体" w:cs="宋体"/>
          <w:color w:val="auto"/>
          <w:kern w:val="0"/>
          <w:szCs w:val="21"/>
          <w:highlight w:val="none"/>
        </w:rPr>
        <w:t>响应文件及与本谈判项目的有关事宜，其法律后果由我方承担。</w:t>
      </w:r>
    </w:p>
    <w:p>
      <w:pPr>
        <w:spacing w:line="360" w:lineRule="auto"/>
        <w:ind w:firstLine="420" w:firstLineChars="200"/>
        <w:rPr>
          <w:rFonts w:ascii="宋体" w:hAnsi="宋体" w:cs="宋体"/>
          <w:color w:val="auto"/>
          <w:kern w:val="0"/>
          <w:szCs w:val="21"/>
          <w:highlight w:val="none"/>
        </w:rPr>
      </w:pPr>
    </w:p>
    <w:p>
      <w:pPr>
        <w:pStyle w:val="2"/>
        <w:spacing w:line="360" w:lineRule="auto"/>
        <w:ind w:left="0" w:leftChars="0" w:firstLine="420" w:firstLineChars="200"/>
        <w:rPr>
          <w:color w:val="auto"/>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pPr>
        <w:spacing w:line="360" w:lineRule="auto"/>
        <w:ind w:firstLine="420" w:firstLineChars="200"/>
        <w:rPr>
          <w:rFonts w:ascii="宋体" w:hAnsi="宋体" w:cs="宋体"/>
          <w:color w:val="auto"/>
          <w:kern w:val="0"/>
          <w:szCs w:val="21"/>
          <w:highlight w:val="none"/>
        </w:rPr>
      </w:pPr>
    </w:p>
    <w:p>
      <w:pPr>
        <w:pStyle w:val="46"/>
        <w:spacing w:after="0" w:line="360" w:lineRule="auto"/>
        <w:ind w:left="0" w:leftChars="0" w:firstLineChars="200"/>
        <w:rPr>
          <w:rFonts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年</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月</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日</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年</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月</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日</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pPr>
        <w:spacing w:line="360" w:lineRule="auto"/>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1312"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9.6pt;margin-top:23.1pt;height:96.15pt;width:105.75pt;z-index:-251655168;mso-width-relative:page;mso-height-relative:page;" fillcolor="#FFFFFF" filled="t" stroked="t" coordsize="21600,21600" o:gfxdata="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u70rZAAAACgEAAA8AAAAAAAAAAQAgAAAA&#10;IgAAAGRycy9kb3ducmV2LnhtbFBLAQIUABQAAAAIAIdO4kAEB7j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p>
    <w:p>
      <w:pPr>
        <w:spacing w:line="360" w:lineRule="auto"/>
        <w:ind w:firstLine="435"/>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3573780</wp:posOffset>
                </wp:positionH>
                <wp:positionV relativeFrom="paragraph">
                  <wp:posOffset>43180</wp:posOffset>
                </wp:positionV>
                <wp:extent cx="1511300" cy="1221105"/>
                <wp:effectExtent l="4445" t="4445" r="8255" b="12700"/>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151130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81.4pt;margin-top:3.4pt;height:96.15pt;width:119pt;z-index:251664384;mso-width-relative:page;mso-height-relative:page;" fillcolor="#FFFFFF" filled="t" stroked="t" coordsize="21600,21600" o:gfxdata="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hyqsrWAAAACQEAAA8AAAAAAAAAAQAgAAAAIgAA&#10;AGRycy9kb3ducmV2LnhtbFBLAQIUABQAAAAIAIdO4kB8oJUsQwIAAJQEAAAOAAAAAAAAAAEAIAAA&#10;ACUBAABkcnMvZTJvRG9jLnhtbFBLBQYAAAAABgAGAFkBAADa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1662336" behindDoc="1" locked="0" layoutInCell="1" allowOverlap="1">
                <wp:simplePos x="0" y="0"/>
                <wp:positionH relativeFrom="column">
                  <wp:posOffset>1697355</wp:posOffset>
                </wp:positionH>
                <wp:positionV relativeFrom="paragraph">
                  <wp:posOffset>33655</wp:posOffset>
                </wp:positionV>
                <wp:extent cx="1450340" cy="1221105"/>
                <wp:effectExtent l="4445" t="4445" r="12065" b="12700"/>
                <wp:wrapNone/>
                <wp:docPr id="7" name="矩形 4"/>
                <wp:cNvGraphicFramePr/>
                <a:graphic xmlns:a="http://schemas.openxmlformats.org/drawingml/2006/main">
                  <a:graphicData uri="http://schemas.microsoft.com/office/word/2010/wordprocessingShape">
                    <wps:wsp>
                      <wps:cNvSpPr>
                        <a:spLocks noChangeArrowheads="1"/>
                      </wps:cNvSpPr>
                      <wps:spPr bwMode="auto">
                        <a:xfrm>
                          <a:off x="0" y="0"/>
                          <a:ext cx="145034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133.65pt;margin-top:2.65pt;height:96.15pt;width:114.2pt;z-index:-251654144;mso-width-relative:page;mso-height-relative:page;" fillcolor="#FFFFFF" filled="t" stroked="t" coordsize="21600,21600" o:gfxdata="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SgMVbYAAAACQEAAA8AAAAAAAAAAQAgAAAA&#10;IgAAAGRycy9kb3ducmV2LnhtbFBLAQIUABQAAAAIAIdO4kCHImU+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spacing w:line="360" w:lineRule="auto"/>
        <w:ind w:firstLine="435"/>
        <w:rPr>
          <w:rFonts w:ascii="宋体" w:hAnsi="宋体"/>
          <w:color w:val="auto"/>
          <w:szCs w:val="21"/>
          <w:highlight w:val="none"/>
        </w:rPr>
      </w:pPr>
    </w:p>
    <w:p>
      <w:pPr>
        <w:spacing w:line="360" w:lineRule="auto"/>
        <w:ind w:firstLine="435"/>
        <w:rPr>
          <w:rFonts w:ascii="宋体" w:hAnsi="宋体"/>
          <w:color w:val="auto"/>
          <w:szCs w:val="21"/>
          <w:highlight w:val="none"/>
        </w:rPr>
      </w:pPr>
    </w:p>
    <w:p>
      <w:pPr>
        <w:spacing w:line="360" w:lineRule="auto"/>
        <w:ind w:firstLine="435"/>
        <w:rPr>
          <w:rFonts w:ascii="宋体" w:hAnsi="宋体"/>
          <w:color w:val="auto"/>
          <w:szCs w:val="21"/>
          <w:highlight w:val="none"/>
        </w:rPr>
      </w:pPr>
    </w:p>
    <w:p>
      <w:pPr>
        <w:spacing w:line="360" w:lineRule="auto"/>
        <w:ind w:firstLine="435"/>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b/>
          <w:color w:val="auto"/>
          <w:szCs w:val="21"/>
          <w:highlight w:val="none"/>
        </w:rPr>
        <w:t xml:space="preserve">备注：上述证件复印件可另附页，另附页时，证件复印件均须加盖单位公章。 </w:t>
      </w: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pStyle w:val="2"/>
        <w:ind w:left="0" w:leftChars="0"/>
        <w:rPr>
          <w:color w:val="auto"/>
          <w:highlight w:val="none"/>
        </w:rPr>
      </w:pP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谈判单位名称（盖单位章）：</w:t>
      </w:r>
      <w:r>
        <w:rPr>
          <w:rFonts w:hint="eastAsia" w:ascii="宋体" w:hAnsi="宋体" w:cs="宋体"/>
          <w:color w:val="auto"/>
          <w:highlight w:val="none"/>
          <w:u w:val="single"/>
        </w:rPr>
        <w:t xml:space="preserve">                    </w:t>
      </w: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法定代表人（亲笔签字）：</w:t>
      </w:r>
      <w:r>
        <w:rPr>
          <w:rFonts w:hint="eastAsia" w:ascii="宋体" w:hAnsi="宋体" w:cs="宋体"/>
          <w:color w:val="auto"/>
          <w:highlight w:val="none"/>
          <w:u w:val="single"/>
        </w:rPr>
        <w:t xml:space="preserve">                      </w:t>
      </w: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委托代理人（亲笔签字）：</w:t>
      </w:r>
      <w:r>
        <w:rPr>
          <w:rFonts w:hint="eastAsia" w:ascii="宋体" w:hAnsi="宋体" w:cs="宋体"/>
          <w:color w:val="auto"/>
          <w:highlight w:val="none"/>
          <w:u w:val="single"/>
        </w:rPr>
        <w:t xml:space="preserve">                      </w:t>
      </w:r>
    </w:p>
    <w:p>
      <w:pPr>
        <w:spacing w:line="360" w:lineRule="auto"/>
        <w:rPr>
          <w:rFonts w:ascii="宋体" w:hAnsi="宋体"/>
          <w:color w:val="auto"/>
          <w:szCs w:val="21"/>
          <w:highlight w:val="none"/>
        </w:rPr>
        <w:sectPr>
          <w:pgSz w:w="11906" w:h="16838"/>
          <w:pgMar w:top="2098" w:right="1474" w:bottom="1984" w:left="1587" w:header="851" w:footer="992" w:gutter="0"/>
          <w:pgNumType w:fmt="decimal"/>
          <w:cols w:space="0" w:num="1"/>
          <w:docGrid w:type="lines" w:linePitch="319" w:charSpace="0"/>
        </w:sectPr>
      </w:pPr>
      <w:r>
        <w:rPr>
          <w:rFonts w:hint="eastAsia"/>
          <w:color w:val="auto"/>
          <w:highlight w:val="none"/>
        </w:rPr>
        <w:t>日期</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ascii="宋体" w:hAnsi="宋体" w:cs="宋体"/>
          <w:b/>
          <w:color w:val="auto"/>
          <w:sz w:val="32"/>
          <w:szCs w:val="32"/>
          <w:highlight w:val="none"/>
        </w:rPr>
      </w:pPr>
      <w:bookmarkStart w:id="253" w:name="_Toc13921"/>
      <w:bookmarkStart w:id="254" w:name="_Toc8191"/>
      <w:bookmarkStart w:id="255" w:name="_Toc11357"/>
      <w:bookmarkStart w:id="256" w:name="_Toc417"/>
      <w:bookmarkStart w:id="257" w:name="_Toc16283"/>
      <w:bookmarkStart w:id="258" w:name="_Toc2295"/>
      <w:bookmarkStart w:id="259" w:name="_Toc18944"/>
      <w:r>
        <w:rPr>
          <w:rFonts w:hint="eastAsia" w:ascii="宋体" w:hAnsi="宋体" w:cs="宋体"/>
          <w:b/>
          <w:color w:val="auto"/>
          <w:sz w:val="32"/>
          <w:szCs w:val="32"/>
          <w:highlight w:val="none"/>
        </w:rPr>
        <w:t>四、谈判单位资格证明文件</w:t>
      </w:r>
      <w:bookmarkEnd w:id="253"/>
      <w:bookmarkEnd w:id="254"/>
      <w:bookmarkEnd w:id="255"/>
      <w:bookmarkEnd w:id="256"/>
      <w:bookmarkEnd w:id="257"/>
      <w:bookmarkEnd w:id="258"/>
      <w:bookmarkEnd w:id="259"/>
    </w:p>
    <w:p>
      <w:pPr>
        <w:adjustRightInd w:val="0"/>
        <w:snapToGrid w:val="0"/>
        <w:spacing w:line="360" w:lineRule="auto"/>
        <w:rPr>
          <w:rFonts w:ascii="仿宋" w:hAnsi="仿宋" w:eastAsia="仿宋"/>
          <w:bCs/>
          <w:color w:val="auto"/>
          <w:szCs w:val="21"/>
          <w:highlight w:val="none"/>
        </w:rPr>
      </w:pP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根据本谈判文件</w:t>
      </w:r>
      <w:r>
        <w:rPr>
          <w:rFonts w:hint="eastAsia" w:ascii="宋体" w:hAnsi="宋体"/>
          <w:b/>
          <w:bCs/>
          <w:color w:val="auto"/>
          <w:szCs w:val="21"/>
          <w:highlight w:val="none"/>
        </w:rPr>
        <w:t>前附表</w:t>
      </w:r>
      <w:r>
        <w:rPr>
          <w:rFonts w:hint="eastAsia" w:ascii="宋体" w:hAnsi="宋体"/>
          <w:bCs/>
          <w:color w:val="auto"/>
          <w:szCs w:val="21"/>
          <w:highlight w:val="none"/>
        </w:rPr>
        <w:t>内的资格要求，本章节须附下列证明文件</w:t>
      </w:r>
      <w:r>
        <w:rPr>
          <w:rStyle w:val="56"/>
          <w:rFonts w:hint="eastAsia"/>
          <w:b/>
          <w:bCs/>
          <w:color w:val="auto"/>
          <w:highlight w:val="none"/>
          <w:u w:val="none"/>
          <w:shd w:val="clear" w:color="auto" w:fill="FFFFFF"/>
        </w:rPr>
        <w:t>原件扫描件打印版</w:t>
      </w:r>
      <w:r>
        <w:rPr>
          <w:rFonts w:hint="eastAsia" w:ascii="宋体" w:hAnsi="宋体"/>
          <w:bCs/>
          <w:color w:val="auto"/>
          <w:szCs w:val="21"/>
          <w:highlight w:val="none"/>
        </w:rPr>
        <w:t>：</w:t>
      </w:r>
    </w:p>
    <w:p>
      <w:pPr>
        <w:pStyle w:val="33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firstLine="420" w:firstLineChars="200"/>
        <w:jc w:val="both"/>
        <w:textAlignment w:val="auto"/>
        <w:rPr>
          <w:rFonts w:ascii="宋体" w:hAnsi="宋体" w:cs="宋体"/>
          <w:color w:val="auto"/>
          <w:highlight w:val="none"/>
        </w:rPr>
      </w:pPr>
      <w:r>
        <w:rPr>
          <w:rFonts w:hint="eastAsia" w:ascii="宋体" w:hAnsi="宋体" w:cs="宋体"/>
          <w:color w:val="auto"/>
          <w:highlight w:val="none"/>
        </w:rPr>
        <w:t>谈判单位须提供加盖谈判单位公章的营业执照/事业单位法人证书复印件,且营业执照（事业单位法人证书）处于有效期内。</w:t>
      </w:r>
    </w:p>
    <w:p>
      <w:pPr>
        <w:pStyle w:val="33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firstLine="420" w:firstLineChars="200"/>
        <w:jc w:val="both"/>
        <w:textAlignment w:val="auto"/>
        <w:rPr>
          <w:rFonts w:ascii="宋体" w:hAnsi="宋体" w:cs="宋体"/>
          <w:color w:val="auto"/>
          <w:highlight w:val="none"/>
        </w:rPr>
      </w:pPr>
      <w:r>
        <w:rPr>
          <w:rFonts w:hint="eastAsia" w:ascii="宋体" w:hAnsi="宋体" w:cs="宋体"/>
          <w:color w:val="auto"/>
          <w:highlight w:val="none"/>
        </w:rPr>
        <w:t>拟配备的厨师须提供初级（含）以上中式烹调师资质证书。</w:t>
      </w:r>
    </w:p>
    <w:p>
      <w:pPr>
        <w:pStyle w:val="33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firstLine="420" w:firstLineChars="200"/>
        <w:jc w:val="both"/>
        <w:textAlignment w:val="auto"/>
        <w:rPr>
          <w:rFonts w:ascii="宋体" w:hAnsi="宋体" w:cs="宋体"/>
          <w:color w:val="auto"/>
          <w:highlight w:val="none"/>
        </w:rPr>
      </w:pPr>
      <w:r>
        <w:rPr>
          <w:rFonts w:hint="eastAsia" w:ascii="宋体" w:hAnsi="宋体" w:cs="宋体"/>
          <w:color w:val="auto"/>
          <w:highlight w:val="none"/>
        </w:rPr>
        <w:t>拟配备的项目经理须提供以同等职位承担过1项单个餐饮服务合同且每天就餐人数达到</w:t>
      </w:r>
      <w:r>
        <w:rPr>
          <w:rFonts w:ascii="宋体" w:hAnsi="宋体" w:cs="宋体"/>
          <w:color w:val="auto"/>
          <w:highlight w:val="none"/>
        </w:rPr>
        <w:t>1</w:t>
      </w:r>
      <w:r>
        <w:rPr>
          <w:rFonts w:hint="eastAsia" w:ascii="宋体" w:hAnsi="宋体" w:cs="宋体"/>
          <w:color w:val="auto"/>
          <w:highlight w:val="none"/>
        </w:rPr>
        <w:t>00人（含）以上的餐饮服务业绩。</w:t>
      </w:r>
    </w:p>
    <w:p>
      <w:pPr>
        <w:pStyle w:val="33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firstLine="420" w:firstLineChars="200"/>
        <w:jc w:val="both"/>
        <w:textAlignment w:val="auto"/>
        <w:rPr>
          <w:rFonts w:ascii="宋体" w:hAnsi="宋体" w:cs="宋体"/>
          <w:color w:val="auto"/>
          <w:highlight w:val="none"/>
        </w:rPr>
      </w:pPr>
      <w:r>
        <w:rPr>
          <w:rFonts w:hint="eastAsia" w:ascii="宋体" w:hAnsi="宋体" w:cs="宋体"/>
          <w:color w:val="auto"/>
          <w:highlight w:val="none"/>
        </w:rPr>
        <w:t>谈判单位须提供在提交响应文件截止之日前36个月内单项合同就餐人数</w:t>
      </w:r>
      <w:r>
        <w:rPr>
          <w:rFonts w:ascii="宋体" w:hAnsi="宋体" w:cs="宋体"/>
          <w:color w:val="auto"/>
          <w:highlight w:val="none"/>
        </w:rPr>
        <w:t>5</w:t>
      </w:r>
      <w:r>
        <w:rPr>
          <w:rFonts w:hint="eastAsia" w:ascii="宋体" w:hAnsi="宋体" w:cs="宋体"/>
          <w:color w:val="auto"/>
          <w:highlight w:val="none"/>
        </w:rPr>
        <w:t>0人/天（含）以上的餐饮服务业绩。不接受联合体业绩、港澳台或境外业绩。</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ascii="宋体" w:hAnsi="宋体" w:cs="宋体"/>
          <w:color w:val="auto"/>
          <w:highlight w:val="none"/>
        </w:rPr>
      </w:pPr>
      <w:r>
        <w:rPr>
          <w:rFonts w:hint="eastAsia" w:ascii="宋体" w:hAnsi="宋体" w:cs="宋体"/>
          <w:color w:val="auto"/>
          <w:highlight w:val="none"/>
        </w:rPr>
        <w:t>业绩证明材料以同时提供的合同原件扫描件和可查验的增值税发票原件扫描件为准（均须加盖谈判单位公章），业绩就餐人数以合同中的人数为准，时间以合同中甲方签订时间为准，若合同不能体现满足业绩要求的信息时，须另外提供由合同委托方出具的证明文件，并加盖“合同委托方行政公章（公章名称与合同委托方名称一致）”，否则证明文件无效，视为无效业绩。</w:t>
      </w:r>
    </w:p>
    <w:p>
      <w:pPr>
        <w:pStyle w:val="33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firstLine="420" w:firstLineChars="200"/>
        <w:jc w:val="both"/>
        <w:textAlignment w:val="auto"/>
        <w:rPr>
          <w:rFonts w:ascii="宋体" w:hAnsi="宋体" w:cs="宋体"/>
          <w:color w:val="auto"/>
          <w:highlight w:val="none"/>
        </w:rPr>
      </w:pPr>
      <w:r>
        <w:rPr>
          <w:rFonts w:hint="eastAsia" w:ascii="宋体" w:hAnsi="宋体" w:cs="宋体"/>
          <w:color w:val="auto"/>
          <w:highlight w:val="none"/>
        </w:rPr>
        <w:t>谈判单位认为与本项目资格条件有关的其它证明文件（如有，格式自拟）。</w:t>
      </w:r>
    </w:p>
    <w:p>
      <w:pPr>
        <w:pStyle w:val="2"/>
        <w:rPr>
          <w:color w:val="auto"/>
          <w:highlight w:val="none"/>
        </w:rPr>
      </w:pP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备注：上述证明文件扫描件打印版均须加盖谈判单位公章。</w:t>
      </w:r>
    </w:p>
    <w:p>
      <w:pPr>
        <w:pStyle w:val="2"/>
        <w:rPr>
          <w:color w:val="auto"/>
          <w:highlight w:val="none"/>
        </w:rPr>
      </w:pPr>
    </w:p>
    <w:p>
      <w:pPr>
        <w:rPr>
          <w:color w:val="auto"/>
          <w:highlight w:val="none"/>
        </w:rPr>
      </w:pPr>
    </w:p>
    <w:p>
      <w:pPr>
        <w:pStyle w:val="46"/>
        <w:rPr>
          <w:color w:val="auto"/>
          <w:highlight w:val="none"/>
        </w:rPr>
      </w:pPr>
    </w:p>
    <w:p>
      <w:pPr>
        <w:pStyle w:val="46"/>
        <w:rPr>
          <w:color w:val="auto"/>
          <w:highlight w:val="none"/>
        </w:rPr>
        <w:sectPr>
          <w:pgSz w:w="11906" w:h="16838"/>
          <w:pgMar w:top="2098" w:right="1474" w:bottom="1984" w:left="1587" w:header="851" w:footer="992" w:gutter="0"/>
          <w:pgNumType w:fmt="decimal"/>
          <w:cols w:space="720" w:num="1"/>
          <w:docGrid w:type="lines" w:linePitch="319" w:charSpace="0"/>
        </w:sectPr>
      </w:pPr>
    </w:p>
    <w:p>
      <w:pPr>
        <w:spacing w:line="360" w:lineRule="auto"/>
        <w:jc w:val="center"/>
        <w:rPr>
          <w:rFonts w:ascii="黑体" w:hAnsi="宋体" w:eastAsia="黑体"/>
          <w:bCs/>
          <w:color w:val="auto"/>
          <w:sz w:val="32"/>
          <w:szCs w:val="32"/>
          <w:highlight w:val="none"/>
        </w:rPr>
      </w:pPr>
      <w:r>
        <w:rPr>
          <w:rFonts w:hint="eastAsia" w:ascii="黑体" w:hAnsi="宋体" w:eastAsia="黑体"/>
          <w:bCs/>
          <w:color w:val="auto"/>
          <w:sz w:val="32"/>
          <w:szCs w:val="32"/>
          <w:highlight w:val="none"/>
        </w:rPr>
        <w:t>业绩合同扫描件</w:t>
      </w:r>
    </w:p>
    <w:p>
      <w:pPr>
        <w:pStyle w:val="46"/>
        <w:spacing w:after="0" w:line="360" w:lineRule="auto"/>
        <w:ind w:left="0" w:leftChars="0" w:firstLine="0"/>
        <w:jc w:val="both"/>
        <w:rPr>
          <w:rStyle w:val="56"/>
          <w:rFonts w:ascii="Times New Roman" w:hAnsi="Times New Roman" w:cs="Times New Roman"/>
          <w:color w:val="auto"/>
          <w:highlight w:val="none"/>
          <w:u w:val="none"/>
          <w:shd w:val="clear" w:color="auto" w:fill="FFFFFF"/>
        </w:rPr>
      </w:pPr>
    </w:p>
    <w:tbl>
      <w:tblPr>
        <w:tblStyle w:val="47"/>
        <w:tblW w:w="96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9"/>
        <w:gridCol w:w="1800"/>
        <w:gridCol w:w="1362"/>
        <w:gridCol w:w="1915"/>
        <w:gridCol w:w="1335"/>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681" w:type="dxa"/>
            <w:gridSpan w:val="7"/>
            <w:tcBorders>
              <w:top w:val="single" w:color="auto" w:sz="8" w:space="0"/>
              <w:left w:val="single" w:color="auto" w:sz="8" w:space="0"/>
              <w:right w:val="single" w:color="auto" w:sz="8" w:space="0"/>
            </w:tcBorders>
            <w:vAlign w:val="center"/>
          </w:tcPr>
          <w:p>
            <w:pPr>
              <w:spacing w:line="360" w:lineRule="auto"/>
              <w:jc w:val="center"/>
              <w:rPr>
                <w:rFonts w:hAnsi="宋体" w:cs="宋体"/>
                <w:color w:val="auto"/>
                <w:szCs w:val="21"/>
                <w:highlight w:val="none"/>
              </w:rPr>
            </w:pPr>
            <w:r>
              <w:rPr>
                <w:rFonts w:hint="eastAsia" w:ascii="黑体" w:hAnsi="黑体" w:eastAsia="黑体" w:cs="黑体"/>
                <w:bCs/>
                <w:color w:val="auto"/>
                <w:sz w:val="28"/>
                <w:szCs w:val="28"/>
                <w:highlight w:val="none"/>
              </w:rPr>
              <w:t>谈判单位合同业绩情况汇总表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09"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项目名称</w:t>
            </w:r>
          </w:p>
        </w:tc>
        <w:tc>
          <w:tcPr>
            <w:tcW w:w="180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采购人名称</w:t>
            </w:r>
          </w:p>
        </w:tc>
        <w:tc>
          <w:tcPr>
            <w:tcW w:w="1362"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服务期限</w:t>
            </w:r>
          </w:p>
        </w:tc>
        <w:tc>
          <w:tcPr>
            <w:tcW w:w="1915" w:type="dxa"/>
            <w:tcBorders>
              <w:left w:val="single" w:color="auto" w:sz="8" w:space="0"/>
              <w:right w:val="single" w:color="auto" w:sz="8" w:space="0"/>
            </w:tcBorders>
            <w:vAlign w:val="center"/>
          </w:tcPr>
          <w:p>
            <w:pPr>
              <w:jc w:val="center"/>
              <w:rPr>
                <w:rFonts w:hint="eastAsia" w:hAnsi="宋体" w:cs="宋体"/>
                <w:b/>
                <w:bCs/>
                <w:color w:val="auto"/>
                <w:szCs w:val="21"/>
                <w:highlight w:val="none"/>
                <w:lang w:val="en-US" w:eastAsia="zh-CN"/>
              </w:rPr>
            </w:pPr>
            <w:r>
              <w:rPr>
                <w:rFonts w:hint="eastAsia" w:hAnsi="宋体" w:cs="宋体"/>
                <w:b/>
                <w:bCs/>
                <w:color w:val="auto"/>
                <w:szCs w:val="21"/>
                <w:highlight w:val="none"/>
              </w:rPr>
              <w:t>合同</w:t>
            </w:r>
            <w:r>
              <w:rPr>
                <w:rFonts w:hint="eastAsia" w:hAnsi="宋体" w:cs="宋体"/>
                <w:b/>
                <w:bCs/>
                <w:color w:val="auto"/>
                <w:szCs w:val="21"/>
                <w:highlight w:val="none"/>
                <w:lang w:val="en-US" w:eastAsia="zh-CN"/>
              </w:rPr>
              <w:t>就餐人数</w:t>
            </w:r>
          </w:p>
          <w:p>
            <w:pPr>
              <w:jc w:val="center"/>
              <w:rPr>
                <w:color w:val="auto"/>
                <w:highlight w:val="none"/>
              </w:rPr>
            </w:pPr>
            <w:r>
              <w:rPr>
                <w:rFonts w:hint="eastAsia" w:hAnsi="宋体" w:cs="宋体"/>
                <w:b/>
                <w:bCs/>
                <w:color w:val="auto"/>
                <w:szCs w:val="21"/>
                <w:highlight w:val="none"/>
                <w:lang w:val="en-US" w:eastAsia="zh-CN"/>
              </w:rPr>
              <w:t>（人/天）</w:t>
            </w:r>
          </w:p>
        </w:tc>
        <w:tc>
          <w:tcPr>
            <w:tcW w:w="1335"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合同签订</w:t>
            </w:r>
          </w:p>
          <w:p>
            <w:pPr>
              <w:jc w:val="center"/>
              <w:rPr>
                <w:rFonts w:hAnsi="宋体" w:cs="宋体"/>
                <w:b/>
                <w:bCs/>
                <w:color w:val="auto"/>
                <w:szCs w:val="21"/>
                <w:highlight w:val="none"/>
              </w:rPr>
            </w:pPr>
            <w:r>
              <w:rPr>
                <w:rFonts w:hint="eastAsia" w:hAnsi="宋体" w:cs="宋体"/>
                <w:b/>
                <w:bCs/>
                <w:color w:val="auto"/>
                <w:szCs w:val="21"/>
                <w:highlight w:val="none"/>
              </w:rPr>
              <w:t>时间</w:t>
            </w:r>
          </w:p>
        </w:tc>
        <w:tc>
          <w:tcPr>
            <w:tcW w:w="129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甲方单位</w:t>
            </w:r>
          </w:p>
          <w:p>
            <w:pPr>
              <w:jc w:val="center"/>
              <w:rPr>
                <w:rFonts w:hAnsi="宋体" w:cs="宋体"/>
                <w:b/>
                <w:bCs/>
                <w:color w:val="auto"/>
                <w:szCs w:val="21"/>
                <w:highlight w:val="none"/>
              </w:rPr>
            </w:pPr>
            <w:r>
              <w:rPr>
                <w:rFonts w:hint="eastAsia" w:hAnsi="宋体" w:cs="宋体"/>
                <w:b/>
                <w:bCs/>
                <w:color w:val="auto"/>
                <w:szCs w:val="21"/>
                <w:highlight w:val="none"/>
              </w:rPr>
              <w:t>及联系方式</w:t>
            </w:r>
          </w:p>
        </w:tc>
        <w:tc>
          <w:tcPr>
            <w:tcW w:w="87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109"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800"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c>
          <w:tcPr>
            <w:tcW w:w="1362"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c>
          <w:tcPr>
            <w:tcW w:w="1915"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335"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290"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870"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09"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800"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c>
          <w:tcPr>
            <w:tcW w:w="1362"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c>
          <w:tcPr>
            <w:tcW w:w="1915"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335"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290"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870"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r>
    </w:tbl>
    <w:p>
      <w:pPr>
        <w:pStyle w:val="46"/>
        <w:spacing w:after="0" w:line="360" w:lineRule="auto"/>
        <w:ind w:left="0" w:leftChars="0" w:firstLine="0"/>
        <w:jc w:val="both"/>
        <w:rPr>
          <w:rStyle w:val="56"/>
          <w:rFonts w:ascii="Times New Roman" w:hAnsi="Times New Roman" w:cs="Times New Roman"/>
          <w:color w:val="auto"/>
          <w:highlight w:val="none"/>
          <w:u w:val="none"/>
          <w:shd w:val="clear" w:color="auto" w:fill="FFFFFF"/>
        </w:rPr>
      </w:pPr>
    </w:p>
    <w:p>
      <w:pPr>
        <w:pStyle w:val="46"/>
        <w:spacing w:after="0" w:line="360" w:lineRule="auto"/>
        <w:ind w:left="0" w:leftChars="0" w:firstLine="0"/>
        <w:jc w:val="both"/>
        <w:rPr>
          <w:rStyle w:val="56"/>
          <w:rFonts w:ascii="Times New Roman" w:hAnsi="Times New Roman" w:cs="Times New Roman"/>
          <w:color w:val="auto"/>
          <w:highlight w:val="none"/>
          <w:u w:val="none"/>
          <w:shd w:val="clear" w:color="auto" w:fill="FFFFFF"/>
        </w:rPr>
      </w:pPr>
    </w:p>
    <w:p>
      <w:pPr>
        <w:rPr>
          <w:color w:val="auto"/>
          <w:highlight w:val="none"/>
        </w:rPr>
      </w:pPr>
      <w:r>
        <w:rPr>
          <w:rStyle w:val="56"/>
          <w:color w:val="auto"/>
          <w:highlight w:val="none"/>
          <w:u w:val="none"/>
          <w:shd w:val="clear" w:color="auto" w:fill="FFFFFF"/>
        </w:rPr>
        <w:t>业绩</w:t>
      </w:r>
      <w:r>
        <w:rPr>
          <w:rStyle w:val="56"/>
          <w:rFonts w:hint="eastAsia"/>
          <w:color w:val="auto"/>
          <w:highlight w:val="none"/>
          <w:u w:val="none"/>
          <w:shd w:val="clear" w:color="auto" w:fill="FFFFFF"/>
        </w:rPr>
        <w:t>合同</w:t>
      </w:r>
      <w:r>
        <w:rPr>
          <w:rStyle w:val="56"/>
          <w:color w:val="auto"/>
          <w:highlight w:val="none"/>
          <w:u w:val="none"/>
          <w:shd w:val="clear" w:color="auto" w:fill="FFFFFF"/>
        </w:rPr>
        <w:t>证明材料</w:t>
      </w:r>
      <w:r>
        <w:rPr>
          <w:rStyle w:val="56"/>
          <w:rFonts w:hint="eastAsia"/>
          <w:color w:val="auto"/>
          <w:highlight w:val="none"/>
          <w:u w:val="none"/>
          <w:shd w:val="clear" w:color="auto" w:fill="FFFFFF"/>
        </w:rPr>
        <w:t>须为</w:t>
      </w:r>
      <w:r>
        <w:rPr>
          <w:rStyle w:val="56"/>
          <w:color w:val="auto"/>
          <w:highlight w:val="none"/>
          <w:u w:val="none"/>
          <w:shd w:val="clear" w:color="auto" w:fill="FFFFFF"/>
        </w:rPr>
        <w:t>合同</w:t>
      </w:r>
      <w:r>
        <w:rPr>
          <w:rStyle w:val="56"/>
          <w:rFonts w:hint="eastAsia"/>
          <w:color w:val="auto"/>
          <w:highlight w:val="none"/>
          <w:u w:val="none"/>
          <w:shd w:val="clear" w:color="auto" w:fill="FFFFFF"/>
        </w:rPr>
        <w:t>原件扫描件打印版，并按顺序附后。</w:t>
      </w:r>
    </w:p>
    <w:p>
      <w:pPr>
        <w:rPr>
          <w:color w:val="auto"/>
          <w:highlight w:val="none"/>
        </w:rPr>
      </w:pPr>
    </w:p>
    <w:p>
      <w:pPr>
        <w:pStyle w:val="46"/>
        <w:ind w:left="0" w:leftChars="0" w:firstLine="0"/>
        <w:rPr>
          <w:color w:val="auto"/>
          <w:highlight w:val="none"/>
        </w:rPr>
      </w:pPr>
    </w:p>
    <w:p>
      <w:pPr>
        <w:pStyle w:val="46"/>
        <w:ind w:left="0" w:leftChars="0" w:firstLine="0"/>
        <w:rPr>
          <w:color w:val="auto"/>
          <w:highlight w:val="none"/>
        </w:rPr>
        <w:sectPr>
          <w:pgSz w:w="11906" w:h="16838"/>
          <w:pgMar w:top="2098" w:right="1474" w:bottom="1984" w:left="1587" w:header="851" w:footer="992" w:gutter="0"/>
          <w:pgNumType w:fmt="decimal"/>
          <w:cols w:space="0" w:num="1"/>
          <w:docGrid w:type="lines" w:linePitch="319" w:charSpace="0"/>
        </w:sectPr>
      </w:pPr>
    </w:p>
    <w:p>
      <w:pPr>
        <w:pStyle w:val="19"/>
        <w:keepNext w:val="0"/>
        <w:keepLines w:val="0"/>
        <w:pageBreakBefore w:val="0"/>
        <w:kinsoku/>
        <w:wordWrap/>
        <w:overflowPunct/>
        <w:topLinePunct w:val="0"/>
        <w:autoSpaceDE/>
        <w:autoSpaceDN/>
        <w:bidi w:val="0"/>
        <w:adjustRightInd/>
        <w:snapToGrid/>
        <w:spacing w:after="0" w:line="400" w:lineRule="exact"/>
        <w:ind w:left="0"/>
        <w:jc w:val="center"/>
        <w:textAlignment w:val="auto"/>
        <w:outlineLvl w:val="1"/>
        <w:rPr>
          <w:rFonts w:hint="eastAsia" w:ascii="宋体" w:hAnsi="宋体" w:eastAsia="宋体" w:cs="宋体"/>
          <w:color w:val="auto"/>
          <w:highlight w:val="none"/>
        </w:rPr>
      </w:pPr>
      <w:bookmarkStart w:id="260" w:name="_Toc5998"/>
      <w:bookmarkStart w:id="261" w:name="_Toc19995"/>
      <w:r>
        <w:rPr>
          <w:rFonts w:hint="eastAsia" w:ascii="宋体" w:hAnsi="宋体" w:cs="宋体"/>
          <w:b/>
          <w:color w:val="auto"/>
          <w:sz w:val="32"/>
          <w:szCs w:val="32"/>
          <w:highlight w:val="none"/>
          <w:lang w:val="en-US" w:eastAsia="zh-CN"/>
        </w:rPr>
        <w:t>五、企业实力</w:t>
      </w:r>
      <w:bookmarkEnd w:id="260"/>
      <w:bookmarkEnd w:id="261"/>
    </w:p>
    <w:p>
      <w:pPr>
        <w:adjustRightInd w:val="0"/>
        <w:snapToGrid w:val="0"/>
        <w:jc w:val="both"/>
        <w:rPr>
          <w:rFonts w:ascii="黑体" w:hAnsi="宋体" w:eastAsia="黑体"/>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eastAsia="宋体" w:cs="宋体"/>
          <w:color w:val="auto"/>
          <w:sz w:val="21"/>
          <w:szCs w:val="21"/>
          <w:highlight w:val="none"/>
        </w:rPr>
        <w:t>谈判单位应根据“商务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评审计分表”第</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项企业实力</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ISO9001质量体系认证</w:t>
      </w:r>
      <w:r>
        <w:rPr>
          <w:rFonts w:hint="eastAsia" w:ascii="宋体" w:hAnsi="宋体" w:cs="宋体"/>
          <w:color w:val="auto"/>
          <w:sz w:val="21"/>
          <w:szCs w:val="21"/>
          <w:highlight w:val="none"/>
          <w:lang w:val="en-US" w:eastAsia="zh-CN"/>
        </w:rPr>
        <w:t>证书</w:t>
      </w:r>
      <w:r>
        <w:rPr>
          <w:rFonts w:hint="eastAsia" w:ascii="宋体" w:hAnsi="宋体" w:eastAsia="宋体" w:cs="宋体"/>
          <w:color w:val="auto"/>
          <w:sz w:val="21"/>
          <w:szCs w:val="21"/>
          <w:highlight w:val="none"/>
        </w:rPr>
        <w:t>、ISO14001环境管理体系认证</w:t>
      </w:r>
      <w:r>
        <w:rPr>
          <w:rFonts w:hint="eastAsia" w:ascii="宋体" w:hAnsi="宋体" w:cs="宋体"/>
          <w:color w:val="auto"/>
          <w:sz w:val="21"/>
          <w:szCs w:val="21"/>
          <w:highlight w:val="none"/>
          <w:lang w:val="en-US" w:eastAsia="zh-CN"/>
        </w:rPr>
        <w:t>证书</w:t>
      </w:r>
      <w:r>
        <w:rPr>
          <w:rFonts w:hint="eastAsia" w:ascii="宋体" w:hAnsi="宋体" w:eastAsia="宋体" w:cs="宋体"/>
          <w:color w:val="auto"/>
          <w:sz w:val="21"/>
          <w:szCs w:val="21"/>
          <w:highlight w:val="none"/>
        </w:rPr>
        <w:t>、OHSAS18001职业健康及安全管理体系认证证书</w:t>
      </w:r>
      <w:r>
        <w:rPr>
          <w:rFonts w:hint="eastAsia" w:ascii="宋体" w:hAnsi="宋体" w:cs="宋体"/>
          <w:color w:val="auto"/>
          <w:sz w:val="21"/>
          <w:szCs w:val="21"/>
          <w:highlight w:val="none"/>
          <w:lang w:eastAsia="zh-CN"/>
        </w:rPr>
        <w:t>。如有则</w:t>
      </w:r>
      <w:r>
        <w:rPr>
          <w:rFonts w:hint="eastAsia" w:ascii="宋体" w:hAnsi="宋体"/>
          <w:color w:val="auto"/>
          <w:szCs w:val="21"/>
          <w:highlight w:val="none"/>
          <w:lang w:eastAsia="zh-CN"/>
        </w:rPr>
        <w:t>按以下证书顺序编制，具体格式自拟。</w:t>
      </w:r>
    </w:p>
    <w:p>
      <w:pPr>
        <w:pStyle w:val="46"/>
        <w:keepNext w:val="0"/>
        <w:keepLines w:val="0"/>
        <w:pageBreakBefore w:val="0"/>
        <w:widowControl w:val="0"/>
        <w:numPr>
          <w:ilvl w:val="0"/>
          <w:numId w:val="22"/>
        </w:numPr>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ISO9001质量管理体系认证证书</w:t>
      </w:r>
      <w:r>
        <w:rPr>
          <w:rFonts w:hint="eastAsia" w:ascii="宋体" w:hAnsi="宋体"/>
          <w:color w:val="auto"/>
          <w:szCs w:val="21"/>
          <w:highlight w:val="none"/>
          <w:lang w:val="en-US" w:eastAsia="zh-CN"/>
        </w:rPr>
        <w:t>,</w:t>
      </w:r>
      <w:r>
        <w:rPr>
          <w:rFonts w:hint="eastAsia" w:ascii="宋体" w:hAnsi="宋体"/>
          <w:color w:val="auto"/>
          <w:szCs w:val="21"/>
          <w:highlight w:val="none"/>
        </w:rPr>
        <w:t>ISO9001质量管理体系认证证书</w:t>
      </w:r>
      <w:r>
        <w:rPr>
          <w:rFonts w:hint="eastAsia" w:ascii="宋体" w:hAnsi="宋体"/>
          <w:color w:val="auto"/>
          <w:szCs w:val="21"/>
          <w:highlight w:val="none"/>
          <w:lang w:val="en-US" w:eastAsia="zh-CN"/>
        </w:rPr>
        <w:t>原件扫描件</w:t>
      </w:r>
      <w:r>
        <w:rPr>
          <w:rFonts w:hint="eastAsia" w:ascii="宋体" w:hAnsi="宋体"/>
          <w:color w:val="auto"/>
          <w:szCs w:val="21"/>
          <w:highlight w:val="none"/>
        </w:rPr>
        <w:t>且加盖谈判单位公章。</w:t>
      </w:r>
    </w:p>
    <w:p>
      <w:pPr>
        <w:pStyle w:val="46"/>
        <w:keepNext w:val="0"/>
        <w:keepLines w:val="0"/>
        <w:pageBreakBefore w:val="0"/>
        <w:widowControl w:val="0"/>
        <w:numPr>
          <w:ilvl w:val="0"/>
          <w:numId w:val="22"/>
        </w:numPr>
        <w:kinsoku/>
        <w:wordWrap/>
        <w:overflowPunct/>
        <w:topLinePunct w:val="0"/>
        <w:autoSpaceDE/>
        <w:autoSpaceDN/>
        <w:bidi w:val="0"/>
        <w:adjustRightInd/>
        <w:snapToGrid/>
        <w:spacing w:after="0" w:line="360" w:lineRule="auto"/>
        <w:ind w:left="0" w:leftChars="0" w:firstLine="420" w:firstLineChars="200"/>
        <w:jc w:val="both"/>
        <w:textAlignment w:val="auto"/>
        <w:rPr>
          <w:rFonts w:hint="default" w:ascii="宋体" w:hAnsi="宋体"/>
          <w:color w:val="auto"/>
          <w:szCs w:val="21"/>
          <w:highlight w:val="none"/>
          <w:lang w:val="en-US" w:eastAsia="zh-CN"/>
        </w:rPr>
      </w:pPr>
      <w:r>
        <w:rPr>
          <w:rFonts w:hint="eastAsia" w:ascii="宋体" w:hAnsi="宋体"/>
          <w:color w:val="auto"/>
          <w:szCs w:val="21"/>
          <w:highlight w:val="none"/>
        </w:rPr>
        <w:t>ISO14001环境管理体系认证</w:t>
      </w:r>
      <w:r>
        <w:rPr>
          <w:rFonts w:hint="eastAsia" w:ascii="宋体" w:hAnsi="宋体"/>
          <w:color w:val="auto"/>
          <w:szCs w:val="21"/>
          <w:highlight w:val="none"/>
          <w:lang w:val="en-US" w:eastAsia="zh-CN"/>
        </w:rPr>
        <w:t>证书,ISO14001环境管理体系认证证书原件扫描件</w:t>
      </w:r>
      <w:r>
        <w:rPr>
          <w:rFonts w:hint="eastAsia" w:ascii="宋体" w:hAnsi="宋体"/>
          <w:color w:val="auto"/>
          <w:szCs w:val="21"/>
          <w:highlight w:val="none"/>
        </w:rPr>
        <w:t>且加盖谈判单位公章。</w:t>
      </w:r>
    </w:p>
    <w:p>
      <w:pPr>
        <w:pStyle w:val="46"/>
        <w:keepNext w:val="0"/>
        <w:keepLines w:val="0"/>
        <w:pageBreakBefore w:val="0"/>
        <w:widowControl w:val="0"/>
        <w:numPr>
          <w:ilvl w:val="0"/>
          <w:numId w:val="22"/>
        </w:numPr>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OHSAS18001职业健康及安全管理体系认证证书</w:t>
      </w:r>
      <w:r>
        <w:rPr>
          <w:rFonts w:hint="eastAsia" w:ascii="宋体" w:hAnsi="宋体"/>
          <w:color w:val="auto"/>
          <w:szCs w:val="21"/>
          <w:highlight w:val="none"/>
          <w:lang w:val="en-US" w:eastAsia="zh-CN"/>
        </w:rPr>
        <w:t>,</w:t>
      </w:r>
      <w:r>
        <w:rPr>
          <w:rFonts w:hint="eastAsia" w:ascii="宋体" w:hAnsi="宋体"/>
          <w:color w:val="auto"/>
          <w:szCs w:val="21"/>
          <w:highlight w:val="none"/>
        </w:rPr>
        <w:t>OHSAS18001职业健康及安全管理体系认证证书</w:t>
      </w:r>
      <w:r>
        <w:rPr>
          <w:rFonts w:hint="eastAsia" w:ascii="宋体" w:hAnsi="宋体"/>
          <w:color w:val="auto"/>
          <w:szCs w:val="21"/>
          <w:highlight w:val="none"/>
          <w:lang w:val="en-US" w:eastAsia="zh-CN"/>
        </w:rPr>
        <w:t>原件扫描件</w:t>
      </w:r>
      <w:r>
        <w:rPr>
          <w:rFonts w:hint="eastAsia" w:ascii="宋体" w:hAnsi="宋体"/>
          <w:color w:val="auto"/>
          <w:szCs w:val="21"/>
          <w:highlight w:val="none"/>
        </w:rPr>
        <w:t>且加盖谈判单位公章。</w:t>
      </w:r>
    </w:p>
    <w:p>
      <w:pPr>
        <w:pStyle w:val="46"/>
        <w:rPr>
          <w:rFonts w:hint="eastAsia" w:ascii="宋体" w:hAnsi="宋体"/>
          <w:color w:val="auto"/>
          <w:sz w:val="18"/>
          <w:szCs w:val="18"/>
          <w:highlight w:val="none"/>
        </w:rPr>
      </w:pPr>
    </w:p>
    <w:p>
      <w:pPr>
        <w:pStyle w:val="46"/>
        <w:rPr>
          <w:rFonts w:hint="eastAsia" w:ascii="宋体" w:hAnsi="宋体"/>
          <w:color w:val="auto"/>
          <w:sz w:val="18"/>
          <w:szCs w:val="18"/>
          <w:highlight w:val="none"/>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cs="宋体"/>
          <w:b/>
          <w:color w:val="auto"/>
          <w:sz w:val="32"/>
          <w:szCs w:val="32"/>
          <w:highlight w:val="none"/>
        </w:rPr>
      </w:pPr>
      <w:bookmarkStart w:id="262" w:name="_Toc29797"/>
      <w:bookmarkStart w:id="263" w:name="_Toc23279"/>
      <w:bookmarkStart w:id="264" w:name="_Toc30403"/>
      <w:bookmarkStart w:id="265" w:name="_Toc7528"/>
      <w:bookmarkStart w:id="266" w:name="_Toc9230"/>
      <w:bookmarkStart w:id="267" w:name="_Toc9602"/>
      <w:bookmarkStart w:id="268" w:name="_Toc20484"/>
      <w:r>
        <w:rPr>
          <w:rFonts w:hint="eastAsia" w:ascii="宋体" w:hAnsi="宋体" w:cs="宋体"/>
          <w:b/>
          <w:color w:val="auto"/>
          <w:sz w:val="32"/>
          <w:szCs w:val="32"/>
          <w:highlight w:val="none"/>
          <w:lang w:val="en-US" w:eastAsia="zh-CN"/>
        </w:rPr>
        <w:t>六、</w:t>
      </w:r>
      <w:r>
        <w:rPr>
          <w:rFonts w:hint="eastAsia" w:ascii="宋体" w:hAnsi="宋体" w:cs="宋体"/>
          <w:b/>
          <w:color w:val="auto"/>
          <w:sz w:val="32"/>
          <w:szCs w:val="32"/>
          <w:highlight w:val="none"/>
        </w:rPr>
        <w:t>安全管理及保障方案</w:t>
      </w:r>
      <w:bookmarkEnd w:id="262"/>
      <w:bookmarkEnd w:id="263"/>
    </w:p>
    <w:bookmarkEnd w:id="264"/>
    <w:bookmarkEnd w:id="265"/>
    <w:bookmarkEnd w:id="266"/>
    <w:bookmarkEnd w:id="267"/>
    <w:bookmarkEnd w:id="268"/>
    <w:p>
      <w:pPr>
        <w:adjustRightInd w:val="0"/>
        <w:snapToGrid w:val="0"/>
        <w:ind w:left="-88" w:leftChars="-42" w:firstLine="211" w:firstLineChars="100"/>
        <w:jc w:val="center"/>
        <w:rPr>
          <w:rFonts w:ascii="黑体" w:hAnsi="宋体" w:eastAsia="黑体"/>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谈判单位应根据“</w:t>
      </w:r>
      <w:r>
        <w:rPr>
          <w:rFonts w:hint="eastAsia" w:ascii="宋体" w:hAnsi="宋体" w:eastAsia="宋体" w:cs="宋体"/>
          <w:color w:val="auto"/>
          <w:kern w:val="0"/>
          <w:sz w:val="21"/>
          <w:szCs w:val="21"/>
          <w:highlight w:val="none"/>
        </w:rPr>
        <w:t>商务</w:t>
      </w:r>
      <w:r>
        <w:rPr>
          <w:rFonts w:hint="eastAsia" w:ascii="宋体" w:hAnsi="宋体" w:eastAsia="宋体" w:cs="宋体"/>
          <w:color w:val="auto"/>
          <w:kern w:val="0"/>
          <w:sz w:val="21"/>
          <w:szCs w:val="21"/>
          <w:highlight w:val="none"/>
          <w:lang w:val="en-US" w:eastAsia="zh-CN"/>
        </w:rPr>
        <w:t>技术</w:t>
      </w:r>
      <w:r>
        <w:rPr>
          <w:rFonts w:hint="eastAsia" w:ascii="宋体" w:hAnsi="宋体" w:eastAsia="宋体" w:cs="宋体"/>
          <w:color w:val="auto"/>
          <w:kern w:val="0"/>
          <w:sz w:val="21"/>
          <w:szCs w:val="21"/>
          <w:highlight w:val="none"/>
        </w:rPr>
        <w:t>评审计分表</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第</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项</w:t>
      </w:r>
      <w:r>
        <w:rPr>
          <w:rFonts w:hint="eastAsia" w:ascii="宋体" w:hAnsi="宋体" w:cs="宋体"/>
          <w:color w:val="auto"/>
          <w:kern w:val="0"/>
          <w:sz w:val="21"/>
          <w:szCs w:val="21"/>
          <w:highlight w:val="none"/>
          <w:lang w:eastAsia="zh-CN"/>
        </w:rPr>
        <w:t>第（</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）点</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编写</w:t>
      </w:r>
      <w:r>
        <w:rPr>
          <w:rFonts w:hint="eastAsia" w:ascii="宋体" w:hAnsi="宋体" w:eastAsia="宋体" w:cs="宋体"/>
          <w:b w:val="0"/>
          <w:bCs/>
          <w:color w:val="auto"/>
          <w:sz w:val="21"/>
          <w:szCs w:val="21"/>
          <w:highlight w:val="none"/>
        </w:rPr>
        <w:t>安全管理及保障方案</w:t>
      </w:r>
      <w:r>
        <w:rPr>
          <w:rFonts w:hint="eastAsia" w:ascii="宋体" w:hAnsi="宋体" w:cs="宋体"/>
          <w:b w:val="0"/>
          <w:bCs/>
          <w:color w:val="auto"/>
          <w:sz w:val="21"/>
          <w:szCs w:val="21"/>
          <w:highlight w:val="none"/>
          <w:lang w:eastAsia="zh-CN"/>
        </w:rPr>
        <w:t>，</w:t>
      </w:r>
      <w:r>
        <w:rPr>
          <w:rFonts w:hint="eastAsia" w:ascii="宋体" w:hAnsi="宋体" w:eastAsia="宋体" w:cs="宋体"/>
          <w:color w:val="auto"/>
          <w:kern w:val="0"/>
          <w:sz w:val="21"/>
          <w:szCs w:val="21"/>
          <w:highlight w:val="none"/>
        </w:rPr>
        <w:t>具体格式自拟。</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7"/>
        <w:adjustRightInd w:val="0"/>
        <w:snapToGrid w:val="0"/>
        <w:spacing w:line="360" w:lineRule="auto"/>
        <w:outlineLvl w:val="9"/>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9"/>
        <w:rPr>
          <w:rFonts w:ascii="宋体" w:hAnsi="宋体"/>
          <w:color w:val="auto"/>
          <w:sz w:val="24"/>
          <w:highlight w:val="none"/>
        </w:rPr>
      </w:pPr>
    </w:p>
    <w:p>
      <w:pPr>
        <w:adjustRightInd w:val="0"/>
        <w:snapToGrid w:val="0"/>
        <w:spacing w:line="360" w:lineRule="auto"/>
        <w:ind w:right="24"/>
        <w:jc w:val="center"/>
        <w:outlineLvl w:val="9"/>
        <w:rPr>
          <w:rFonts w:ascii="黑体" w:eastAsia="黑体"/>
          <w:b/>
          <w:bCs/>
          <w:color w:val="auto"/>
          <w:sz w:val="32"/>
          <w:szCs w:val="32"/>
          <w:highlight w:val="none"/>
        </w:rPr>
      </w:pPr>
      <w:r>
        <w:rPr>
          <w:rFonts w:ascii="宋体" w:hAnsi="宋体"/>
          <w:color w:val="auto"/>
          <w:sz w:val="24"/>
          <w:highlight w:val="none"/>
        </w:rPr>
        <w:br w:type="page"/>
      </w:r>
    </w:p>
    <w:p>
      <w:pPr>
        <w:keepNext w:val="0"/>
        <w:keepLines w:val="0"/>
        <w:pageBreakBefore w:val="0"/>
        <w:kinsoku/>
        <w:wordWrap/>
        <w:overflowPunct/>
        <w:topLinePunct w:val="0"/>
        <w:autoSpaceDE/>
        <w:autoSpaceDN/>
        <w:bidi w:val="0"/>
        <w:adjustRightInd/>
        <w:snapToGrid/>
        <w:spacing w:line="400" w:lineRule="exact"/>
        <w:ind w:left="0"/>
        <w:jc w:val="center"/>
        <w:textAlignment w:val="auto"/>
        <w:outlineLvl w:val="1"/>
        <w:rPr>
          <w:rFonts w:hint="eastAsia" w:ascii="宋体" w:hAnsi="宋体" w:eastAsia="宋体" w:cs="宋体"/>
          <w:color w:val="auto"/>
          <w:highlight w:val="none"/>
        </w:rPr>
      </w:pPr>
      <w:bookmarkStart w:id="269" w:name="_Toc7323"/>
      <w:bookmarkStart w:id="270" w:name="_Toc3940"/>
      <w:bookmarkStart w:id="271" w:name="_Toc9077"/>
      <w:bookmarkStart w:id="272" w:name="_Toc27585"/>
      <w:bookmarkStart w:id="273" w:name="_Toc22739"/>
      <w:bookmarkStart w:id="274" w:name="_Toc15234"/>
      <w:bookmarkStart w:id="275" w:name="_Toc27918"/>
      <w:r>
        <w:rPr>
          <w:rFonts w:hint="eastAsia" w:ascii="宋体" w:hAnsi="宋体" w:cs="宋体"/>
          <w:b/>
          <w:color w:val="auto"/>
          <w:sz w:val="32"/>
          <w:szCs w:val="32"/>
          <w:highlight w:val="none"/>
          <w:lang w:val="en-US" w:eastAsia="zh-CN"/>
        </w:rPr>
        <w:t>七、服务管理方案</w:t>
      </w:r>
      <w:bookmarkEnd w:id="269"/>
      <w:bookmarkEnd w:id="270"/>
    </w:p>
    <w:p>
      <w:pPr>
        <w:adjustRightInd w:val="0"/>
        <w:snapToGrid w:val="0"/>
        <w:spacing w:line="360" w:lineRule="auto"/>
        <w:ind w:right="24"/>
        <w:jc w:val="center"/>
        <w:outlineLvl w:val="9"/>
        <w:rPr>
          <w:rFonts w:hint="eastAsia" w:ascii="宋体" w:hAnsi="宋体" w:cs="宋体"/>
          <w:b/>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谈判单位应根据“商务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评审计分表”第</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编写</w:t>
      </w:r>
      <w:r>
        <w:rPr>
          <w:rFonts w:hint="eastAsia" w:ascii="宋体" w:hAnsi="宋体" w:eastAsia="宋体" w:cs="宋体"/>
          <w:color w:val="auto"/>
          <w:sz w:val="21"/>
          <w:szCs w:val="21"/>
          <w:highlight w:val="none"/>
          <w:lang w:val="en-US" w:eastAsia="zh-CN"/>
        </w:rPr>
        <w:t>服务管理方案</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具体格式自拟。</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exact"/>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46"/>
        <w:rPr>
          <w:color w:val="auto"/>
          <w:highlight w:val="none"/>
        </w:rPr>
      </w:pPr>
    </w:p>
    <w:p>
      <w:pPr>
        <w:adjustRightInd w:val="0"/>
        <w:snapToGrid w:val="0"/>
        <w:spacing w:line="360" w:lineRule="auto"/>
        <w:ind w:right="24"/>
        <w:jc w:val="center"/>
        <w:outlineLvl w:val="1"/>
        <w:rPr>
          <w:rFonts w:hint="eastAsia" w:ascii="宋体" w:hAnsi="宋体" w:cs="宋体"/>
          <w:b/>
          <w:color w:val="auto"/>
          <w:sz w:val="32"/>
          <w:szCs w:val="32"/>
          <w:highlight w:val="none"/>
          <w:lang w:val="en-US" w:eastAsia="zh-CN"/>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cs="宋体"/>
          <w:b/>
          <w:color w:val="auto"/>
          <w:sz w:val="32"/>
          <w:szCs w:val="32"/>
          <w:highlight w:val="none"/>
        </w:rPr>
      </w:pPr>
      <w:bookmarkStart w:id="276" w:name="_Toc24941"/>
      <w:bookmarkStart w:id="277" w:name="_Toc3080"/>
      <w:r>
        <w:rPr>
          <w:rFonts w:hint="eastAsia" w:ascii="宋体" w:hAnsi="宋体" w:cs="宋体"/>
          <w:b/>
          <w:color w:val="auto"/>
          <w:sz w:val="32"/>
          <w:szCs w:val="32"/>
          <w:highlight w:val="none"/>
          <w:lang w:val="en-US" w:eastAsia="zh-CN"/>
        </w:rPr>
        <w:t>八、</w:t>
      </w:r>
      <w:r>
        <w:rPr>
          <w:rFonts w:hint="eastAsia" w:ascii="宋体" w:hAnsi="宋体" w:cs="宋体"/>
          <w:b/>
          <w:color w:val="auto"/>
          <w:sz w:val="32"/>
          <w:szCs w:val="32"/>
          <w:highlight w:val="none"/>
        </w:rPr>
        <w:t>综合管理方案</w:t>
      </w:r>
      <w:bookmarkEnd w:id="276"/>
      <w:bookmarkEnd w:id="277"/>
    </w:p>
    <w:p>
      <w:pPr>
        <w:adjustRightInd w:val="0"/>
        <w:snapToGrid w:val="0"/>
        <w:ind w:left="-88" w:leftChars="-42" w:firstLine="211" w:firstLineChars="100"/>
        <w:jc w:val="center"/>
        <w:rPr>
          <w:rFonts w:ascii="黑体" w:hAnsi="宋体" w:eastAsia="黑体"/>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谈判单位应根据“商务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评审计分表”第</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编写综合管理方案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具体格式自拟。</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hint="eastAsia" w:ascii="宋体" w:hAnsi="宋体" w:cs="宋体"/>
          <w:b/>
          <w:color w:val="auto"/>
          <w:sz w:val="32"/>
          <w:szCs w:val="32"/>
          <w:highlight w:val="none"/>
          <w:lang w:val="en-US" w:eastAsia="zh-CN"/>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cs="宋体"/>
          <w:b/>
          <w:color w:val="auto"/>
          <w:sz w:val="32"/>
          <w:szCs w:val="32"/>
          <w:highlight w:val="none"/>
        </w:rPr>
      </w:pPr>
      <w:bookmarkStart w:id="278" w:name="_Toc28297"/>
      <w:bookmarkStart w:id="279" w:name="_Toc17214"/>
      <w:r>
        <w:rPr>
          <w:rFonts w:hint="eastAsia" w:ascii="宋体" w:hAnsi="宋体" w:cs="宋体"/>
          <w:b/>
          <w:color w:val="auto"/>
          <w:sz w:val="32"/>
          <w:szCs w:val="32"/>
          <w:highlight w:val="none"/>
          <w:lang w:val="en-US" w:eastAsia="zh-CN"/>
        </w:rPr>
        <w:t>九、</w:t>
      </w:r>
      <w:r>
        <w:rPr>
          <w:rFonts w:hint="eastAsia" w:ascii="宋体" w:hAnsi="宋体" w:cs="宋体"/>
          <w:b/>
          <w:color w:val="auto"/>
          <w:sz w:val="32"/>
          <w:szCs w:val="32"/>
          <w:highlight w:val="none"/>
        </w:rPr>
        <w:t>卫生管理方案</w:t>
      </w:r>
      <w:bookmarkEnd w:id="278"/>
      <w:bookmarkEnd w:id="279"/>
    </w:p>
    <w:p>
      <w:pPr>
        <w:adjustRightInd w:val="0"/>
        <w:snapToGrid w:val="0"/>
        <w:ind w:left="-88" w:leftChars="-42" w:firstLine="211" w:firstLineChars="100"/>
        <w:jc w:val="center"/>
        <w:rPr>
          <w:rFonts w:ascii="黑体" w:hAnsi="宋体" w:eastAsia="黑体"/>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谈判单位应根据“商务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评审计分表”第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项</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编写卫生管理方案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具体格式自拟。</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hint="eastAsia" w:ascii="宋体" w:hAnsi="宋体" w:cs="宋体"/>
          <w:b/>
          <w:color w:val="auto"/>
          <w:sz w:val="32"/>
          <w:szCs w:val="32"/>
          <w:highlight w:val="none"/>
          <w:lang w:val="en-US" w:eastAsia="zh-CN"/>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cs="宋体"/>
          <w:b/>
          <w:color w:val="auto"/>
          <w:sz w:val="32"/>
          <w:szCs w:val="32"/>
          <w:highlight w:val="none"/>
        </w:rPr>
      </w:pPr>
      <w:bookmarkStart w:id="280" w:name="_Toc25770"/>
      <w:bookmarkStart w:id="281" w:name="_Toc14506"/>
      <w:r>
        <w:rPr>
          <w:rFonts w:hint="eastAsia" w:ascii="宋体" w:hAnsi="宋体" w:cs="宋体"/>
          <w:b/>
          <w:color w:val="auto"/>
          <w:sz w:val="32"/>
          <w:szCs w:val="32"/>
          <w:highlight w:val="none"/>
          <w:lang w:val="en-US" w:eastAsia="zh-CN"/>
        </w:rPr>
        <w:t>十、</w:t>
      </w:r>
      <w:r>
        <w:rPr>
          <w:rFonts w:hint="eastAsia" w:ascii="宋体" w:hAnsi="宋体" w:cs="宋体"/>
          <w:b/>
          <w:color w:val="auto"/>
          <w:sz w:val="32"/>
          <w:szCs w:val="32"/>
          <w:highlight w:val="none"/>
        </w:rPr>
        <w:t>应急管理方案</w:t>
      </w:r>
      <w:bookmarkEnd w:id="280"/>
      <w:bookmarkEnd w:id="281"/>
    </w:p>
    <w:p>
      <w:pPr>
        <w:adjustRightInd w:val="0"/>
        <w:snapToGrid w:val="0"/>
        <w:ind w:left="-88" w:leftChars="-42" w:firstLine="211" w:firstLineChars="100"/>
        <w:jc w:val="center"/>
        <w:rPr>
          <w:rFonts w:ascii="黑体" w:hAnsi="宋体" w:eastAsia="黑体"/>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谈判单位应根据“商务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评审计分表”第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项</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编写应急管理方案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具体格式自拟。</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
        <w:ind w:left="0" w:leftChars="0" w:firstLine="0" w:firstLineChars="0"/>
        <w:rPr>
          <w:rFonts w:ascii="宋体" w:hAnsi="宋体"/>
          <w:color w:val="auto"/>
          <w:szCs w:val="21"/>
          <w:highlight w:val="none"/>
        </w:rPr>
      </w:pPr>
    </w:p>
    <w:p>
      <w:pPr>
        <w:rPr>
          <w:rFonts w:ascii="宋体" w:hAnsi="宋体"/>
          <w:color w:val="auto"/>
          <w:szCs w:val="21"/>
          <w:highlight w:val="none"/>
        </w:rPr>
      </w:pPr>
    </w:p>
    <w:p>
      <w:pPr>
        <w:pStyle w:val="2"/>
        <w:ind w:left="0" w:leftChars="0" w:firstLine="0" w:firstLineChars="0"/>
        <w:rPr>
          <w:rFonts w:ascii="宋体" w:hAnsi="宋体"/>
          <w:color w:val="auto"/>
          <w:szCs w:val="21"/>
          <w:highlight w:val="none"/>
        </w:rPr>
      </w:pPr>
    </w:p>
    <w:p>
      <w:pPr>
        <w:rPr>
          <w:rFonts w:ascii="宋体" w:hAnsi="宋体"/>
          <w:color w:val="auto"/>
          <w:szCs w:val="21"/>
          <w:highlight w:val="none"/>
        </w:rPr>
      </w:pPr>
    </w:p>
    <w:p>
      <w:pPr>
        <w:pStyle w:val="2"/>
        <w:ind w:left="0" w:leftChars="0" w:firstLine="0" w:firstLineChars="0"/>
        <w:rPr>
          <w:color w:val="auto"/>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hint="eastAsia" w:ascii="宋体" w:hAnsi="宋体" w:cs="宋体"/>
          <w:b/>
          <w:color w:val="auto"/>
          <w:sz w:val="32"/>
          <w:szCs w:val="32"/>
          <w:highlight w:val="none"/>
          <w:lang w:val="en-US" w:eastAsia="zh-CN"/>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cs="宋体"/>
          <w:b/>
          <w:color w:val="auto"/>
          <w:sz w:val="32"/>
          <w:szCs w:val="32"/>
          <w:highlight w:val="none"/>
        </w:rPr>
      </w:pPr>
      <w:bookmarkStart w:id="282" w:name="_Toc32749"/>
      <w:bookmarkStart w:id="283" w:name="_Toc14677"/>
      <w:bookmarkStart w:id="284" w:name="_Toc7850"/>
      <w:r>
        <w:rPr>
          <w:rFonts w:hint="eastAsia" w:ascii="宋体" w:hAnsi="宋体" w:cs="宋体"/>
          <w:b/>
          <w:color w:val="auto"/>
          <w:sz w:val="32"/>
          <w:szCs w:val="32"/>
          <w:highlight w:val="none"/>
          <w:lang w:val="en-US" w:eastAsia="zh-CN"/>
        </w:rPr>
        <w:t>十一、优惠</w:t>
      </w:r>
      <w:r>
        <w:rPr>
          <w:rFonts w:hint="eastAsia" w:ascii="宋体" w:hAnsi="宋体" w:cs="宋体"/>
          <w:b/>
          <w:color w:val="auto"/>
          <w:sz w:val="32"/>
          <w:szCs w:val="32"/>
          <w:highlight w:val="none"/>
        </w:rPr>
        <w:t>方案</w:t>
      </w:r>
      <w:bookmarkEnd w:id="282"/>
      <w:bookmarkEnd w:id="283"/>
    </w:p>
    <w:p>
      <w:pPr>
        <w:adjustRightInd w:val="0"/>
        <w:snapToGrid w:val="0"/>
        <w:ind w:left="-88" w:leftChars="-42" w:firstLine="211" w:firstLineChars="100"/>
        <w:jc w:val="center"/>
        <w:rPr>
          <w:rFonts w:ascii="黑体" w:hAnsi="宋体" w:eastAsia="黑体"/>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谈判单位应根据“商务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评审计分表”第</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第10项</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编写</w:t>
      </w:r>
      <w:r>
        <w:rPr>
          <w:rFonts w:hint="eastAsia" w:ascii="宋体" w:hAnsi="宋体" w:cs="宋体"/>
          <w:color w:val="auto"/>
          <w:sz w:val="21"/>
          <w:szCs w:val="21"/>
          <w:highlight w:val="none"/>
          <w:lang w:val="en-US" w:eastAsia="zh-CN"/>
        </w:rPr>
        <w:t>优惠</w:t>
      </w:r>
      <w:r>
        <w:rPr>
          <w:rFonts w:hint="eastAsia" w:ascii="宋体" w:hAnsi="宋体" w:eastAsia="宋体" w:cs="宋体"/>
          <w:color w:val="auto"/>
          <w:sz w:val="21"/>
          <w:szCs w:val="21"/>
          <w:highlight w:val="none"/>
        </w:rPr>
        <w:t>方案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具体格式自拟。</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
        <w:ind w:left="0" w:leftChars="0" w:firstLine="0" w:firstLineChars="0"/>
        <w:rPr>
          <w:rFonts w:ascii="宋体" w:hAnsi="宋体"/>
          <w:color w:val="auto"/>
          <w:szCs w:val="21"/>
          <w:highlight w:val="none"/>
        </w:rPr>
      </w:pPr>
    </w:p>
    <w:p>
      <w:pPr>
        <w:rPr>
          <w:rFonts w:ascii="宋体" w:hAnsi="宋体"/>
          <w:color w:val="auto"/>
          <w:szCs w:val="21"/>
          <w:highlight w:val="none"/>
        </w:rPr>
      </w:pPr>
    </w:p>
    <w:p>
      <w:pPr>
        <w:pStyle w:val="2"/>
        <w:ind w:left="0" w:leftChars="0" w:firstLine="0" w:firstLineChars="0"/>
        <w:rPr>
          <w:rFonts w:ascii="宋体" w:hAnsi="宋体"/>
          <w:color w:val="auto"/>
          <w:szCs w:val="21"/>
          <w:highlight w:val="none"/>
        </w:rPr>
      </w:pPr>
    </w:p>
    <w:p>
      <w:pPr>
        <w:rPr>
          <w:rFonts w:ascii="宋体" w:hAnsi="宋体"/>
          <w:color w:val="auto"/>
          <w:szCs w:val="21"/>
          <w:highlight w:val="none"/>
        </w:rPr>
      </w:pPr>
    </w:p>
    <w:p>
      <w:pPr>
        <w:pStyle w:val="2"/>
        <w:ind w:left="0" w:leftChars="0" w:firstLine="0" w:firstLineChars="0"/>
        <w:rPr>
          <w:color w:val="auto"/>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41"/>
        <w:spacing w:after="0" w:afterAutospacing="0" w:line="360" w:lineRule="auto"/>
        <w:jc w:val="both"/>
        <w:outlineLvl w:val="1"/>
        <w:rPr>
          <w:rFonts w:hint="eastAsia"/>
          <w:b/>
          <w:color w:val="auto"/>
          <w:sz w:val="32"/>
          <w:szCs w:val="32"/>
          <w:highlight w:val="none"/>
          <w:lang w:val="en-US" w:eastAsia="zh-CN"/>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cs="宋体"/>
          <w:b/>
          <w:color w:val="auto"/>
          <w:sz w:val="32"/>
          <w:szCs w:val="32"/>
          <w:highlight w:val="none"/>
          <w:lang w:val="en-US" w:eastAsia="zh-CN"/>
        </w:rPr>
      </w:pPr>
      <w:bookmarkStart w:id="285" w:name="_Toc29054"/>
      <w:bookmarkStart w:id="286" w:name="_Toc16349"/>
      <w:r>
        <w:rPr>
          <w:rFonts w:hint="eastAsia" w:ascii="宋体" w:hAnsi="宋体" w:cs="宋体"/>
          <w:b/>
          <w:color w:val="auto"/>
          <w:sz w:val="32"/>
          <w:szCs w:val="32"/>
          <w:highlight w:val="none"/>
          <w:lang w:val="en-US" w:eastAsia="zh-CN"/>
        </w:rPr>
        <w:t>十二、原材料保障</w:t>
      </w:r>
      <w:bookmarkEnd w:id="285"/>
      <w:bookmarkEnd w:id="286"/>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谈判单位应根据“商务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评审计分表”第</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第14项</w:t>
      </w:r>
      <w:r>
        <w:rPr>
          <w:rFonts w:hint="eastAsia" w:ascii="宋体" w:hAnsi="宋体" w:eastAsia="宋体" w:cs="宋体"/>
          <w:color w:val="auto"/>
          <w:sz w:val="21"/>
          <w:szCs w:val="21"/>
          <w:highlight w:val="none"/>
          <w:lang w:eastAsia="zh-CN"/>
        </w:rPr>
        <w:t>要求提</w:t>
      </w:r>
      <w:r>
        <w:rPr>
          <w:rFonts w:hint="eastAsia" w:ascii="宋体" w:hAnsi="宋体" w:eastAsia="宋体" w:cs="宋体"/>
          <w:color w:val="auto"/>
          <w:sz w:val="21"/>
          <w:szCs w:val="21"/>
          <w:highlight w:val="none"/>
        </w:rPr>
        <w:t>供场地证明材料原件</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color w:val="auto"/>
          <w:sz w:val="21"/>
          <w:szCs w:val="21"/>
          <w:highlight w:val="none"/>
        </w:rPr>
        <w:t>或合同原件</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具体格式自拟。</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
        <w:ind w:left="0" w:leftChars="0" w:firstLine="0" w:firstLineChars="0"/>
        <w:rPr>
          <w:rFonts w:ascii="宋体" w:hAnsi="宋体"/>
          <w:color w:val="auto"/>
          <w:szCs w:val="21"/>
          <w:highlight w:val="none"/>
        </w:rPr>
      </w:pPr>
    </w:p>
    <w:p>
      <w:pPr>
        <w:rPr>
          <w:rFonts w:ascii="宋体" w:hAnsi="宋体"/>
          <w:color w:val="auto"/>
          <w:szCs w:val="21"/>
          <w:highlight w:val="none"/>
        </w:rPr>
      </w:pPr>
    </w:p>
    <w:p>
      <w:pPr>
        <w:pStyle w:val="2"/>
        <w:ind w:left="0" w:leftChars="0" w:firstLine="0" w:firstLineChars="0"/>
        <w:rPr>
          <w:rFonts w:ascii="宋体" w:hAnsi="宋体"/>
          <w:color w:val="auto"/>
          <w:szCs w:val="21"/>
          <w:highlight w:val="none"/>
        </w:rPr>
      </w:pPr>
    </w:p>
    <w:p>
      <w:pPr>
        <w:rPr>
          <w:rFonts w:ascii="宋体" w:hAnsi="宋体"/>
          <w:color w:val="auto"/>
          <w:szCs w:val="21"/>
          <w:highlight w:val="none"/>
        </w:rPr>
      </w:pPr>
    </w:p>
    <w:p>
      <w:pPr>
        <w:pStyle w:val="2"/>
        <w:ind w:left="0" w:leftChars="0" w:firstLine="0" w:firstLineChars="0"/>
        <w:rPr>
          <w:color w:val="auto"/>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pStyle w:val="41"/>
        <w:spacing w:after="0" w:afterAutospacing="0" w:line="360" w:lineRule="auto"/>
        <w:jc w:val="both"/>
        <w:outlineLvl w:val="9"/>
        <w:rPr>
          <w:rFonts w:hint="eastAsia" w:ascii="宋体" w:hAnsi="宋体" w:eastAsia="宋体" w:cs="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41"/>
        <w:spacing w:after="0" w:afterAutospacing="0" w:line="360" w:lineRule="auto"/>
        <w:jc w:val="both"/>
        <w:outlineLvl w:val="9"/>
        <w:rPr>
          <w:rFonts w:hint="eastAsia" w:ascii="宋体" w:hAnsi="宋体" w:eastAsia="宋体" w:cs="宋体"/>
          <w:color w:val="auto"/>
          <w:highlight w:val="none"/>
          <w:lang w:val="en-US" w:eastAsia="zh-CN"/>
        </w:rPr>
      </w:pPr>
    </w:p>
    <w:p>
      <w:pPr>
        <w:pStyle w:val="41"/>
        <w:spacing w:after="0" w:afterAutospacing="0" w:line="360" w:lineRule="auto"/>
        <w:jc w:val="both"/>
        <w:outlineLvl w:val="1"/>
        <w:rPr>
          <w:rFonts w:hint="eastAsia"/>
          <w:b/>
          <w:color w:val="auto"/>
          <w:sz w:val="32"/>
          <w:szCs w:val="32"/>
          <w:highlight w:val="none"/>
          <w:lang w:val="en-US" w:eastAsia="zh-CN"/>
        </w:rPr>
        <w:sectPr>
          <w:pgSz w:w="11906" w:h="16838"/>
          <w:pgMar w:top="2098" w:right="1474" w:bottom="1984" w:left="1587" w:header="851" w:footer="992" w:gutter="0"/>
          <w:pgNumType w:fmt="decimal"/>
          <w:cols w:space="0" w:num="1"/>
          <w:docGrid w:type="lines" w:linePitch="319" w:charSpace="0"/>
        </w:sectPr>
      </w:pPr>
    </w:p>
    <w:p>
      <w:pPr>
        <w:pStyle w:val="41"/>
        <w:spacing w:after="0" w:afterAutospacing="0" w:line="360" w:lineRule="auto"/>
        <w:jc w:val="center"/>
        <w:outlineLvl w:val="1"/>
        <w:rPr>
          <w:color w:val="auto"/>
          <w:sz w:val="28"/>
          <w:szCs w:val="28"/>
          <w:highlight w:val="none"/>
        </w:rPr>
      </w:pPr>
      <w:bookmarkStart w:id="287" w:name="_Toc19696"/>
      <w:bookmarkStart w:id="288" w:name="_Toc24990"/>
      <w:r>
        <w:rPr>
          <w:rFonts w:hint="eastAsia"/>
          <w:b/>
          <w:color w:val="auto"/>
          <w:sz w:val="32"/>
          <w:szCs w:val="32"/>
          <w:highlight w:val="none"/>
          <w:lang w:val="en-US" w:eastAsia="zh-CN"/>
        </w:rPr>
        <w:t>十三</w:t>
      </w:r>
      <w:r>
        <w:rPr>
          <w:rFonts w:hint="eastAsia"/>
          <w:b/>
          <w:color w:val="auto"/>
          <w:sz w:val="32"/>
          <w:szCs w:val="32"/>
          <w:highlight w:val="none"/>
        </w:rPr>
        <w:t>、承诺函</w:t>
      </w:r>
      <w:bookmarkEnd w:id="284"/>
      <w:bookmarkEnd w:id="287"/>
      <w:bookmarkEnd w:id="288"/>
    </w:p>
    <w:p>
      <w:pPr>
        <w:widowControl/>
        <w:spacing w:line="360" w:lineRule="auto"/>
        <w:rPr>
          <w:rFonts w:ascii="宋体" w:hAnsi="宋体" w:cs="宋体"/>
          <w:color w:val="auto"/>
          <w:kern w:val="0"/>
          <w:sz w:val="24"/>
          <w:highlight w:val="none"/>
        </w:rPr>
      </w:pPr>
    </w:p>
    <w:p>
      <w:pPr>
        <w:widowControl/>
        <w:spacing w:line="560" w:lineRule="exact"/>
        <w:rPr>
          <w:rFonts w:hint="eastAsia" w:ascii="宋体" w:hAnsi="宋体" w:eastAsia="宋体" w:cs="宋体"/>
          <w:b w:val="0"/>
          <w:bCs w:val="0"/>
          <w:color w:val="auto"/>
          <w:kern w:val="0"/>
          <w:sz w:val="24"/>
          <w:highlight w:val="none"/>
          <w:lang w:eastAsia="zh-CN"/>
        </w:rPr>
      </w:pPr>
      <w:bookmarkStart w:id="296" w:name="_GoBack"/>
      <w:r>
        <w:rPr>
          <w:rFonts w:hint="eastAsia" w:ascii="宋体" w:hAnsi="宋体" w:cs="宋体"/>
          <w:b w:val="0"/>
          <w:bCs w:val="0"/>
          <w:color w:val="auto"/>
          <w:kern w:val="0"/>
          <w:sz w:val="24"/>
          <w:highlight w:val="none"/>
        </w:rPr>
        <w:t>长沙市轨道交通运营有限公司</w:t>
      </w:r>
      <w:r>
        <w:rPr>
          <w:rFonts w:hint="eastAsia" w:ascii="宋体" w:hAnsi="宋体" w:cs="宋体"/>
          <w:b w:val="0"/>
          <w:bCs w:val="0"/>
          <w:color w:val="auto"/>
          <w:kern w:val="0"/>
          <w:sz w:val="24"/>
          <w:highlight w:val="none"/>
          <w:lang w:eastAsia="zh-CN"/>
        </w:rPr>
        <w:t>：</w:t>
      </w:r>
    </w:p>
    <w:p>
      <w:pPr>
        <w:widowControl/>
        <w:spacing w:line="56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我方已仔细研究了</w:t>
      </w:r>
      <w:r>
        <w:rPr>
          <w:rFonts w:hint="eastAsia" w:ascii="宋体" w:hAnsi="宋体" w:cs="宋体"/>
          <w:color w:val="auto"/>
          <w:kern w:val="0"/>
          <w:sz w:val="24"/>
          <w:highlight w:val="none"/>
          <w:u w:val="single"/>
        </w:rPr>
        <w:t>长沙市轨道交通5号线、西环线运营期2023-2025年水渡河车辆段、九华车辆基地食堂委外经营服务项目</w:t>
      </w:r>
      <w:r>
        <w:rPr>
          <w:rFonts w:hint="eastAsia" w:ascii="宋体" w:hAnsi="宋体" w:cs="宋体"/>
          <w:color w:val="auto"/>
          <w:kern w:val="0"/>
          <w:sz w:val="24"/>
          <w:highlight w:val="none"/>
        </w:rPr>
        <w:t>谈判文件的全部内容，愿意按谈判文件</w:t>
      </w:r>
      <w:r>
        <w:rPr>
          <w:rFonts w:hint="eastAsia" w:ascii="宋体" w:hAnsi="宋体" w:cs="宋体"/>
          <w:color w:val="auto"/>
          <w:kern w:val="0"/>
          <w:sz w:val="24"/>
          <w:highlight w:val="none"/>
          <w:lang w:eastAsia="zh-CN"/>
        </w:rPr>
        <w:t>及</w:t>
      </w:r>
      <w:r>
        <w:rPr>
          <w:rFonts w:hint="eastAsia" w:ascii="宋体" w:hAnsi="宋体" w:cs="宋体"/>
          <w:color w:val="auto"/>
          <w:kern w:val="0"/>
          <w:sz w:val="24"/>
          <w:highlight w:val="none"/>
        </w:rPr>
        <w:t>用户需求书要求提供所需货物及相关服务，并按合同约定履行义务。</w:t>
      </w:r>
    </w:p>
    <w:p>
      <w:pPr>
        <w:widowControl/>
        <w:spacing w:line="5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若我方有幸中选，我方承诺：</w:t>
      </w:r>
    </w:p>
    <w:p>
      <w:pPr>
        <w:widowControl/>
        <w:numPr>
          <w:ilvl w:val="0"/>
          <w:numId w:val="23"/>
        </w:numPr>
        <w:spacing w:line="5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我方针对长沙市轨道交通5号线、西环线运营期2023-2025年水渡河车辆段、九华车辆基地食堂委外经营服务项目出具的“安全管理及保障方案</w:t>
      </w:r>
      <w:r>
        <w:rPr>
          <w:rFonts w:hint="eastAsia" w:ascii="宋体" w:hAnsi="宋体" w:cs="宋体"/>
          <w:color w:val="auto"/>
          <w:kern w:val="0"/>
          <w:sz w:val="24"/>
          <w:highlight w:val="none"/>
          <w:lang w:val="en-US" w:eastAsia="zh-CN"/>
        </w:rPr>
        <w:t>中</w:t>
      </w:r>
      <w:r>
        <w:rPr>
          <w:rFonts w:hint="eastAsia" w:ascii="宋体" w:hAnsi="宋体" w:cs="宋体"/>
          <w:color w:val="auto"/>
          <w:kern w:val="0"/>
          <w:sz w:val="24"/>
          <w:highlight w:val="none"/>
        </w:rPr>
        <w:t>的食品安全责任险”</w:t>
      </w:r>
      <w:r>
        <w:rPr>
          <w:rFonts w:hint="eastAsia" w:ascii="宋体" w:hAnsi="宋体" w:cs="宋体"/>
          <w:color w:val="auto"/>
          <w:kern w:val="0"/>
          <w:sz w:val="24"/>
          <w:highlight w:val="none"/>
          <w:lang w:eastAsia="zh-CN"/>
        </w:rPr>
        <w:t>内容</w:t>
      </w:r>
      <w:r>
        <w:rPr>
          <w:rFonts w:hint="eastAsia" w:ascii="宋体" w:hAnsi="宋体" w:cs="宋体"/>
          <w:color w:val="auto"/>
          <w:kern w:val="0"/>
          <w:sz w:val="24"/>
          <w:highlight w:val="none"/>
        </w:rPr>
        <w:t>系自愿行为，并将完全响</w:t>
      </w:r>
      <w:r>
        <w:rPr>
          <w:rFonts w:hint="eastAsia" w:ascii="宋体" w:hAnsi="宋体" w:cs="宋体"/>
          <w:color w:val="auto"/>
          <w:kern w:val="0"/>
          <w:sz w:val="24"/>
          <w:highlight w:val="none"/>
          <w:lang w:eastAsia="zh-CN"/>
        </w:rPr>
        <w:t>应执行</w:t>
      </w:r>
      <w:r>
        <w:rPr>
          <w:rFonts w:hint="eastAsia" w:ascii="宋体" w:hAnsi="宋体" w:cs="宋体"/>
          <w:color w:val="auto"/>
          <w:kern w:val="0"/>
          <w:sz w:val="24"/>
          <w:highlight w:val="none"/>
        </w:rPr>
        <w:t>。</w:t>
      </w:r>
    </w:p>
    <w:bookmarkEnd w:id="296"/>
    <w:p>
      <w:pPr>
        <w:widowControl/>
        <w:numPr>
          <w:ilvl w:val="0"/>
          <w:numId w:val="23"/>
        </w:num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我方针对长沙市轨道交通5号线、西环线运营期2023-2025年水渡河车辆段、九华车辆基地食堂委外经营服务项目出具的“优惠方案”</w:t>
      </w:r>
      <w:r>
        <w:rPr>
          <w:rFonts w:hint="eastAsia" w:ascii="宋体" w:hAnsi="宋体" w:cs="宋体"/>
          <w:color w:val="auto"/>
          <w:kern w:val="0"/>
          <w:sz w:val="24"/>
          <w:highlight w:val="none"/>
          <w:lang w:eastAsia="zh-CN"/>
        </w:rPr>
        <w:t>内容</w:t>
      </w:r>
      <w:r>
        <w:rPr>
          <w:rFonts w:hint="eastAsia" w:ascii="宋体" w:hAnsi="宋体" w:cs="宋体"/>
          <w:color w:val="auto"/>
          <w:kern w:val="0"/>
          <w:sz w:val="24"/>
          <w:highlight w:val="none"/>
        </w:rPr>
        <w:t>系自愿行为，并将完全响</w:t>
      </w:r>
      <w:r>
        <w:rPr>
          <w:rFonts w:hint="eastAsia" w:ascii="宋体" w:hAnsi="宋体" w:cs="宋体"/>
          <w:color w:val="auto"/>
          <w:kern w:val="0"/>
          <w:sz w:val="24"/>
          <w:highlight w:val="none"/>
          <w:lang w:eastAsia="zh-CN"/>
        </w:rPr>
        <w:t>应执行</w:t>
      </w:r>
      <w:r>
        <w:rPr>
          <w:rFonts w:hint="eastAsia" w:ascii="宋体" w:hAnsi="宋体" w:cs="宋体"/>
          <w:color w:val="auto"/>
          <w:kern w:val="0"/>
          <w:sz w:val="24"/>
          <w:highlight w:val="none"/>
        </w:rPr>
        <w:t>。</w:t>
      </w:r>
    </w:p>
    <w:p>
      <w:pPr>
        <w:widowControl/>
        <w:numPr>
          <w:ilvl w:val="0"/>
          <w:numId w:val="23"/>
        </w:numPr>
        <w:spacing w:line="5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我方针对长沙市轨道交通5号线、西环线运营期2023-2025年水渡河车辆段、九华车辆基地食堂委外经营服务项目出具的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原材料保障</w:t>
      </w:r>
      <w:r>
        <w:rPr>
          <w:rFonts w:hint="eastAsia" w:ascii="宋体" w:hAnsi="宋体" w:cs="宋体"/>
          <w:color w:val="auto"/>
          <w:kern w:val="0"/>
          <w:sz w:val="24"/>
          <w:highlight w:val="none"/>
          <w:lang w:eastAsia="zh-CN"/>
        </w:rPr>
        <w:t>”内容</w:t>
      </w:r>
      <w:r>
        <w:rPr>
          <w:rFonts w:hint="eastAsia" w:ascii="宋体" w:hAnsi="宋体" w:cs="宋体"/>
          <w:color w:val="auto"/>
          <w:kern w:val="0"/>
          <w:sz w:val="24"/>
          <w:highlight w:val="none"/>
        </w:rPr>
        <w:t>系自愿行为，并将完全响应</w:t>
      </w:r>
      <w:r>
        <w:rPr>
          <w:rFonts w:hint="eastAsia" w:ascii="宋体" w:hAnsi="宋体" w:cs="宋体"/>
          <w:color w:val="auto"/>
          <w:kern w:val="0"/>
          <w:sz w:val="24"/>
          <w:highlight w:val="none"/>
          <w:lang w:eastAsia="zh-CN"/>
        </w:rPr>
        <w:t>执行</w:t>
      </w:r>
      <w:r>
        <w:rPr>
          <w:rFonts w:hint="eastAsia" w:ascii="宋体" w:hAnsi="宋体" w:cs="宋体"/>
          <w:color w:val="auto"/>
          <w:kern w:val="0"/>
          <w:sz w:val="24"/>
          <w:highlight w:val="none"/>
        </w:rPr>
        <w:t>。</w:t>
      </w:r>
    </w:p>
    <w:p>
      <w:pPr>
        <w:spacing w:line="560" w:lineRule="exact"/>
        <w:ind w:firstLine="480" w:firstLineChars="200"/>
        <w:rPr>
          <w:rFonts w:ascii="宋体" w:hAnsi="宋体" w:cs="宋体"/>
          <w:color w:val="auto"/>
          <w:sz w:val="24"/>
          <w:highlight w:val="none"/>
        </w:rPr>
      </w:pPr>
    </w:p>
    <w:p>
      <w:pPr>
        <w:spacing w:line="560" w:lineRule="exact"/>
        <w:ind w:firstLine="480" w:firstLineChars="200"/>
        <w:rPr>
          <w:rFonts w:ascii="宋体" w:hAnsi="宋体" w:cs="宋体"/>
          <w:b/>
          <w:color w:val="auto"/>
          <w:sz w:val="32"/>
          <w:szCs w:val="32"/>
          <w:highlight w:val="none"/>
        </w:rPr>
      </w:pPr>
      <w:bookmarkStart w:id="289" w:name="_Toc17784"/>
      <w:r>
        <w:rPr>
          <w:rFonts w:hint="eastAsia" w:ascii="宋体" w:hAnsi="宋体" w:cs="宋体"/>
          <w:color w:val="auto"/>
          <w:sz w:val="24"/>
          <w:highlight w:val="none"/>
        </w:rPr>
        <w:t>特此承诺！</w:t>
      </w:r>
      <w:bookmarkEnd w:id="289"/>
    </w:p>
    <w:p>
      <w:pPr>
        <w:widowControl/>
        <w:jc w:val="left"/>
        <w:rPr>
          <w:rFonts w:ascii="宋体" w:hAnsi="宋体" w:cs="宋体"/>
          <w:b/>
          <w:color w:val="auto"/>
          <w:sz w:val="32"/>
          <w:szCs w:val="32"/>
          <w:highlight w:val="none"/>
        </w:rPr>
      </w:pPr>
    </w:p>
    <w:p>
      <w:pPr>
        <w:widowControl/>
        <w:jc w:val="left"/>
        <w:rPr>
          <w:rFonts w:ascii="宋体" w:hAnsi="宋体" w:cs="宋体"/>
          <w:b/>
          <w:color w:val="auto"/>
          <w:sz w:val="32"/>
          <w:szCs w:val="32"/>
          <w:highlight w:val="none"/>
        </w:rPr>
      </w:pPr>
    </w:p>
    <w:p>
      <w:pPr>
        <w:pStyle w:val="27"/>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adjustRightInd w:val="0"/>
        <w:snapToGrid w:val="0"/>
        <w:spacing w:line="360" w:lineRule="auto"/>
        <w:ind w:right="24"/>
        <w:jc w:val="center"/>
        <w:outlineLvl w:val="9"/>
        <w:rPr>
          <w:rFonts w:hint="eastAsia"/>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s="宋体"/>
          <w:b/>
          <w:color w:val="auto"/>
          <w:sz w:val="32"/>
          <w:szCs w:val="32"/>
          <w:highlight w:val="none"/>
        </w:rPr>
        <w:br w:type="page"/>
      </w:r>
    </w:p>
    <w:p>
      <w:pPr>
        <w:adjustRightInd w:val="0"/>
        <w:snapToGrid w:val="0"/>
        <w:spacing w:line="360" w:lineRule="auto"/>
        <w:ind w:right="24"/>
        <w:jc w:val="center"/>
        <w:outlineLvl w:val="1"/>
        <w:rPr>
          <w:rFonts w:ascii="宋体" w:hAnsi="宋体" w:cs="宋体"/>
          <w:b/>
          <w:color w:val="auto"/>
          <w:sz w:val="32"/>
          <w:szCs w:val="32"/>
          <w:highlight w:val="none"/>
        </w:rPr>
      </w:pPr>
      <w:bookmarkStart w:id="290" w:name="_Toc31641"/>
      <w:bookmarkStart w:id="291" w:name="_Toc12154"/>
      <w:r>
        <w:rPr>
          <w:rFonts w:hint="eastAsia" w:ascii="宋体" w:hAnsi="宋体" w:cs="宋体"/>
          <w:b/>
          <w:color w:val="auto"/>
          <w:sz w:val="32"/>
          <w:szCs w:val="32"/>
          <w:highlight w:val="none"/>
          <w:lang w:val="en-US" w:eastAsia="zh-CN"/>
        </w:rPr>
        <w:t>十四</w:t>
      </w:r>
      <w:r>
        <w:rPr>
          <w:rFonts w:hint="eastAsia" w:ascii="宋体" w:hAnsi="宋体" w:cs="宋体"/>
          <w:b/>
          <w:color w:val="auto"/>
          <w:sz w:val="32"/>
          <w:szCs w:val="32"/>
          <w:highlight w:val="none"/>
        </w:rPr>
        <w:t>、其他资料</w:t>
      </w:r>
      <w:bookmarkEnd w:id="271"/>
      <w:bookmarkEnd w:id="272"/>
      <w:bookmarkEnd w:id="273"/>
      <w:r>
        <w:rPr>
          <w:rFonts w:hint="eastAsia" w:ascii="宋体" w:hAnsi="宋体" w:cs="宋体"/>
          <w:b/>
          <w:color w:val="auto"/>
          <w:sz w:val="32"/>
          <w:szCs w:val="32"/>
          <w:highlight w:val="none"/>
        </w:rPr>
        <w:t>（如有）</w:t>
      </w:r>
      <w:bookmarkEnd w:id="274"/>
      <w:bookmarkEnd w:id="275"/>
      <w:bookmarkEnd w:id="290"/>
      <w:bookmarkEnd w:id="291"/>
    </w:p>
    <w:p>
      <w:pPr>
        <w:adjustRightInd w:val="0"/>
        <w:snapToGrid w:val="0"/>
        <w:spacing w:before="159" w:beforeLines="50" w:line="360" w:lineRule="auto"/>
        <w:ind w:firstLine="420" w:firstLineChars="200"/>
        <w:jc w:val="left"/>
        <w:rPr>
          <w:rFonts w:ascii="宋体" w:hAnsi="宋体"/>
          <w:color w:val="auto"/>
          <w:szCs w:val="21"/>
          <w:highlight w:val="none"/>
        </w:rPr>
      </w:pPr>
      <w:bookmarkStart w:id="292" w:name="_Toc22084"/>
      <w:bookmarkStart w:id="293" w:name="_Toc5412"/>
      <w:bookmarkStart w:id="294" w:name="_Toc10648"/>
      <w:bookmarkStart w:id="295" w:name="_Toc18188"/>
      <w:r>
        <w:rPr>
          <w:rFonts w:hint="eastAsia" w:ascii="宋体" w:hAnsi="宋体"/>
          <w:color w:val="auto"/>
          <w:szCs w:val="21"/>
          <w:highlight w:val="none"/>
        </w:rPr>
        <w:t>谈判单位认为需要提供的其他谈判资料，格式自拟。</w:t>
      </w:r>
      <w:bookmarkEnd w:id="292"/>
      <w:bookmarkEnd w:id="293"/>
      <w:bookmarkEnd w:id="294"/>
      <w:bookmarkEnd w:id="295"/>
    </w:p>
    <w:sectPr>
      <w:pgSz w:w="11906" w:h="16838"/>
      <w:pgMar w:top="2098" w:right="1474" w:bottom="1984" w:left="1587"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14</w:t>
                    </w:r>
                    <w: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39</w:t>
                    </w:r>
                    <w:r>
                      <w:fldChar w:fldCharType="end"/>
                    </w:r>
                  </w:p>
                </w:txbxContent>
              </v:textbox>
            </v:shape>
          </w:pict>
        </mc:Fallback>
      </mc:AlternateContent>
    </w:r>
    <w:r>
      <w:rPr>
        <w:rFonts w:hint="eastAsia"/>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AC4CA"/>
    <w:multiLevelType w:val="singleLevel"/>
    <w:tmpl w:val="8EBAC4CA"/>
    <w:lvl w:ilvl="0" w:tentative="0">
      <w:start w:val="1"/>
      <w:numFmt w:val="chineseCounting"/>
      <w:suff w:val="space"/>
      <w:lvlText w:val="第%1章"/>
      <w:lvlJc w:val="left"/>
      <w:rPr>
        <w:rFonts w:hint="eastAsia"/>
      </w:rPr>
    </w:lvl>
  </w:abstractNum>
  <w:abstractNum w:abstractNumId="1">
    <w:nsid w:val="A28A8BA4"/>
    <w:multiLevelType w:val="singleLevel"/>
    <w:tmpl w:val="A28A8BA4"/>
    <w:lvl w:ilvl="0" w:tentative="0">
      <w:start w:val="1"/>
      <w:numFmt w:val="decimal"/>
      <w:suff w:val="nothing"/>
      <w:lvlText w:val="（%1）"/>
      <w:lvlJc w:val="left"/>
    </w:lvl>
  </w:abstractNum>
  <w:abstractNum w:abstractNumId="2">
    <w:nsid w:val="A7F69D74"/>
    <w:multiLevelType w:val="singleLevel"/>
    <w:tmpl w:val="A7F69D74"/>
    <w:lvl w:ilvl="0" w:tentative="0">
      <w:start w:val="1"/>
      <w:numFmt w:val="decimal"/>
      <w:suff w:val="nothing"/>
      <w:lvlText w:val="%1．"/>
      <w:lvlJc w:val="left"/>
      <w:pPr>
        <w:ind w:left="0" w:firstLine="400"/>
      </w:pPr>
      <w:rPr>
        <w:rFonts w:hint="default"/>
      </w:rPr>
    </w:lvl>
  </w:abstractNum>
  <w:abstractNum w:abstractNumId="3">
    <w:nsid w:val="AF42D0C1"/>
    <w:multiLevelType w:val="singleLevel"/>
    <w:tmpl w:val="AF42D0C1"/>
    <w:lvl w:ilvl="0" w:tentative="0">
      <w:start w:val="1"/>
      <w:numFmt w:val="decimal"/>
      <w:lvlText w:val="(%1)"/>
      <w:lvlJc w:val="left"/>
      <w:pPr>
        <w:ind w:left="425" w:hanging="425"/>
      </w:pPr>
      <w:rPr>
        <w:rFonts w:hint="default"/>
      </w:rPr>
    </w:lvl>
  </w:abstractNum>
  <w:abstractNum w:abstractNumId="4">
    <w:nsid w:val="B2B2FE05"/>
    <w:multiLevelType w:val="singleLevel"/>
    <w:tmpl w:val="B2B2FE05"/>
    <w:lvl w:ilvl="0" w:tentative="0">
      <w:start w:val="1"/>
      <w:numFmt w:val="decimal"/>
      <w:suff w:val="nothing"/>
      <w:lvlText w:val="%1．"/>
      <w:lvlJc w:val="left"/>
      <w:pPr>
        <w:ind w:left="0" w:firstLine="400"/>
      </w:pPr>
      <w:rPr>
        <w:rFonts w:hint="default"/>
      </w:rPr>
    </w:lvl>
  </w:abstractNum>
  <w:abstractNum w:abstractNumId="5">
    <w:nsid w:val="C1B5280B"/>
    <w:multiLevelType w:val="singleLevel"/>
    <w:tmpl w:val="C1B5280B"/>
    <w:lvl w:ilvl="0" w:tentative="0">
      <w:start w:val="1"/>
      <w:numFmt w:val="decimal"/>
      <w:suff w:val="nothing"/>
      <w:lvlText w:val="%1．"/>
      <w:lvlJc w:val="left"/>
      <w:pPr>
        <w:ind w:left="0" w:firstLine="400"/>
      </w:pPr>
      <w:rPr>
        <w:rFonts w:hint="default"/>
      </w:rPr>
    </w:lvl>
  </w:abstractNum>
  <w:abstractNum w:abstractNumId="6">
    <w:nsid w:val="C29E6077"/>
    <w:multiLevelType w:val="singleLevel"/>
    <w:tmpl w:val="C29E6077"/>
    <w:lvl w:ilvl="0" w:tentative="0">
      <w:start w:val="1"/>
      <w:numFmt w:val="decimal"/>
      <w:lvlText w:val="(%1)"/>
      <w:lvlJc w:val="left"/>
      <w:pPr>
        <w:ind w:left="425" w:hanging="425"/>
      </w:pPr>
      <w:rPr>
        <w:rFonts w:hint="default"/>
      </w:rPr>
    </w:lvl>
  </w:abstractNum>
  <w:abstractNum w:abstractNumId="7">
    <w:nsid w:val="D3285168"/>
    <w:multiLevelType w:val="singleLevel"/>
    <w:tmpl w:val="D3285168"/>
    <w:lvl w:ilvl="0" w:tentative="0">
      <w:start w:val="1"/>
      <w:numFmt w:val="decimal"/>
      <w:suff w:val="nothing"/>
      <w:lvlText w:val="%1．"/>
      <w:lvlJc w:val="left"/>
      <w:pPr>
        <w:ind w:left="0" w:firstLine="400"/>
      </w:pPr>
      <w:rPr>
        <w:rFonts w:hint="default"/>
      </w:rPr>
    </w:lvl>
  </w:abstractNum>
  <w:abstractNum w:abstractNumId="8">
    <w:nsid w:val="F6733FC5"/>
    <w:multiLevelType w:val="singleLevel"/>
    <w:tmpl w:val="F6733FC5"/>
    <w:lvl w:ilvl="0" w:tentative="0">
      <w:start w:val="1"/>
      <w:numFmt w:val="decimal"/>
      <w:suff w:val="nothing"/>
      <w:lvlText w:val="%1．"/>
      <w:lvlJc w:val="left"/>
      <w:pPr>
        <w:ind w:left="0" w:firstLine="400"/>
      </w:pPr>
      <w:rPr>
        <w:rFonts w:hint="default"/>
      </w:rPr>
    </w:lvl>
  </w:abstractNum>
  <w:abstractNum w:abstractNumId="9">
    <w:nsid w:val="FE293A88"/>
    <w:multiLevelType w:val="singleLevel"/>
    <w:tmpl w:val="FE293A88"/>
    <w:lvl w:ilvl="0" w:tentative="0">
      <w:start w:val="3"/>
      <w:numFmt w:val="chineseCounting"/>
      <w:pStyle w:val="359"/>
      <w:suff w:val="nothing"/>
      <w:lvlText w:val="%1、"/>
      <w:lvlJc w:val="left"/>
      <w:rPr>
        <w:rFonts w:hint="eastAsia"/>
      </w:rPr>
    </w:lvl>
  </w:abstractNum>
  <w:abstractNum w:abstractNumId="10">
    <w:nsid w:val="FEBA27CA"/>
    <w:multiLevelType w:val="singleLevel"/>
    <w:tmpl w:val="FEBA27CA"/>
    <w:lvl w:ilvl="0" w:tentative="0">
      <w:start w:val="1"/>
      <w:numFmt w:val="decimal"/>
      <w:lvlText w:val="%1."/>
      <w:lvlJc w:val="left"/>
      <w:pPr>
        <w:tabs>
          <w:tab w:val="left" w:pos="312"/>
        </w:tabs>
      </w:pPr>
    </w:lvl>
  </w:abstractNum>
  <w:abstractNum w:abstractNumId="11">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2">
    <w:nsid w:val="0B70834F"/>
    <w:multiLevelType w:val="singleLevel"/>
    <w:tmpl w:val="0B70834F"/>
    <w:lvl w:ilvl="0" w:tentative="0">
      <w:start w:val="1"/>
      <w:numFmt w:val="decimal"/>
      <w:suff w:val="nothing"/>
      <w:lvlText w:val="%1．"/>
      <w:lvlJc w:val="left"/>
      <w:pPr>
        <w:ind w:left="0" w:firstLine="400"/>
      </w:pPr>
      <w:rPr>
        <w:rFonts w:hint="default"/>
      </w:rPr>
    </w:lvl>
  </w:abstractNum>
  <w:abstractNum w:abstractNumId="13">
    <w:nsid w:val="0BEDCE8E"/>
    <w:multiLevelType w:val="singleLevel"/>
    <w:tmpl w:val="0BEDCE8E"/>
    <w:lvl w:ilvl="0" w:tentative="0">
      <w:start w:val="1"/>
      <w:numFmt w:val="decimal"/>
      <w:suff w:val="nothing"/>
      <w:lvlText w:val="%1．"/>
      <w:lvlJc w:val="left"/>
      <w:pPr>
        <w:ind w:left="0" w:firstLine="400"/>
      </w:pPr>
      <w:rPr>
        <w:rFonts w:hint="default"/>
      </w:rPr>
    </w:lvl>
  </w:abstractNum>
  <w:abstractNum w:abstractNumId="14">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5">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C5A2C3E"/>
    <w:multiLevelType w:val="singleLevel"/>
    <w:tmpl w:val="1C5A2C3E"/>
    <w:lvl w:ilvl="0" w:tentative="0">
      <w:start w:val="1"/>
      <w:numFmt w:val="decimal"/>
      <w:suff w:val="nothing"/>
      <w:lvlText w:val="%1．"/>
      <w:lvlJc w:val="left"/>
      <w:pPr>
        <w:ind w:left="0" w:firstLine="400"/>
      </w:pPr>
      <w:rPr>
        <w:rFonts w:hint="default"/>
      </w:rPr>
    </w:lvl>
  </w:abstractNum>
  <w:abstractNum w:abstractNumId="17">
    <w:nsid w:val="25BC64D2"/>
    <w:multiLevelType w:val="multilevel"/>
    <w:tmpl w:val="25BC64D2"/>
    <w:lvl w:ilvl="0" w:tentative="0">
      <w:start w:val="1"/>
      <w:numFmt w:val="decimal"/>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8">
    <w:nsid w:val="269FB15F"/>
    <w:multiLevelType w:val="singleLevel"/>
    <w:tmpl w:val="269FB15F"/>
    <w:lvl w:ilvl="0" w:tentative="0">
      <w:start w:val="1"/>
      <w:numFmt w:val="chineseCounting"/>
      <w:suff w:val="nothing"/>
      <w:lvlText w:val="%1、"/>
      <w:lvlJc w:val="left"/>
      <w:pPr>
        <w:ind w:left="0" w:firstLine="420"/>
      </w:pPr>
      <w:rPr>
        <w:rFonts w:hint="eastAsia"/>
      </w:rPr>
    </w:lvl>
  </w:abstractNum>
  <w:abstractNum w:abstractNumId="19">
    <w:nsid w:val="28838A2B"/>
    <w:multiLevelType w:val="singleLevel"/>
    <w:tmpl w:val="28838A2B"/>
    <w:lvl w:ilvl="0" w:tentative="0">
      <w:start w:val="1"/>
      <w:numFmt w:val="chineseCounting"/>
      <w:suff w:val="nothing"/>
      <w:lvlText w:val="%1、"/>
      <w:lvlJc w:val="left"/>
      <w:pPr>
        <w:ind w:left="0" w:firstLine="420"/>
      </w:pPr>
      <w:rPr>
        <w:rFonts w:hint="eastAsia"/>
      </w:rPr>
    </w:lvl>
  </w:abstractNum>
  <w:abstractNum w:abstractNumId="20">
    <w:nsid w:val="38248D8C"/>
    <w:multiLevelType w:val="singleLevel"/>
    <w:tmpl w:val="38248D8C"/>
    <w:lvl w:ilvl="0" w:tentative="0">
      <w:start w:val="3"/>
      <w:numFmt w:val="chineseCounting"/>
      <w:suff w:val="nothing"/>
      <w:lvlText w:val="%1、"/>
      <w:lvlJc w:val="left"/>
      <w:rPr>
        <w:rFonts w:hint="eastAsia"/>
      </w:rPr>
    </w:lvl>
  </w:abstractNum>
  <w:abstractNum w:abstractNumId="21">
    <w:nsid w:val="3DF0E8A0"/>
    <w:multiLevelType w:val="singleLevel"/>
    <w:tmpl w:val="3DF0E8A0"/>
    <w:lvl w:ilvl="0" w:tentative="0">
      <w:start w:val="1"/>
      <w:numFmt w:val="decimal"/>
      <w:lvlText w:val="%1."/>
      <w:lvlJc w:val="left"/>
      <w:pPr>
        <w:tabs>
          <w:tab w:val="left" w:pos="312"/>
        </w:tabs>
      </w:pPr>
    </w:lvl>
  </w:abstractNum>
  <w:abstractNum w:abstractNumId="22">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11"/>
  </w:num>
  <w:num w:numId="2">
    <w:abstractNumId w:val="14"/>
  </w:num>
  <w:num w:numId="3">
    <w:abstractNumId w:val="9"/>
  </w:num>
  <w:num w:numId="4">
    <w:abstractNumId w:val="15"/>
  </w:num>
  <w:num w:numId="5">
    <w:abstractNumId w:val="22"/>
  </w:num>
  <w:num w:numId="6">
    <w:abstractNumId w:val="0"/>
  </w:num>
  <w:num w:numId="7">
    <w:abstractNumId w:val="18"/>
  </w:num>
  <w:num w:numId="8">
    <w:abstractNumId w:val="4"/>
  </w:num>
  <w:num w:numId="9">
    <w:abstractNumId w:val="10"/>
  </w:num>
  <w:num w:numId="10">
    <w:abstractNumId w:val="12"/>
  </w:num>
  <w:num w:numId="11">
    <w:abstractNumId w:val="13"/>
  </w:num>
  <w:num w:numId="12">
    <w:abstractNumId w:val="3"/>
  </w:num>
  <w:num w:numId="13">
    <w:abstractNumId w:val="8"/>
  </w:num>
  <w:num w:numId="14">
    <w:abstractNumId w:val="2"/>
  </w:num>
  <w:num w:numId="15">
    <w:abstractNumId w:val="7"/>
  </w:num>
  <w:num w:numId="16">
    <w:abstractNumId w:val="21"/>
  </w:num>
  <w:num w:numId="17">
    <w:abstractNumId w:val="6"/>
  </w:num>
  <w:num w:numId="18">
    <w:abstractNumId w:val="1"/>
  </w:num>
  <w:num w:numId="19">
    <w:abstractNumId w:val="20"/>
  </w:num>
  <w:num w:numId="20">
    <w:abstractNumId w:val="19"/>
  </w:num>
  <w:num w:numId="21">
    <w:abstractNumId w:val="17"/>
  </w:num>
  <w:num w:numId="22">
    <w:abstractNumId w:val="1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9"/>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ZjU2M2FhMWFlMzI3ZmJhOGI1OWNiZjg1M2YxMDgifQ=="/>
  </w:docVars>
  <w:rsids>
    <w:rsidRoot w:val="00172A27"/>
    <w:rsid w:val="00005EC9"/>
    <w:rsid w:val="00006D21"/>
    <w:rsid w:val="00016902"/>
    <w:rsid w:val="000274C6"/>
    <w:rsid w:val="00052640"/>
    <w:rsid w:val="00063D15"/>
    <w:rsid w:val="00074928"/>
    <w:rsid w:val="00091C9D"/>
    <w:rsid w:val="000A167E"/>
    <w:rsid w:val="000C106E"/>
    <w:rsid w:val="000C21C5"/>
    <w:rsid w:val="000E0193"/>
    <w:rsid w:val="000E7968"/>
    <w:rsid w:val="000F4DE1"/>
    <w:rsid w:val="00107D96"/>
    <w:rsid w:val="00115FE6"/>
    <w:rsid w:val="00116BAE"/>
    <w:rsid w:val="0013037C"/>
    <w:rsid w:val="001453A1"/>
    <w:rsid w:val="00162D59"/>
    <w:rsid w:val="00172A27"/>
    <w:rsid w:val="00180183"/>
    <w:rsid w:val="00186162"/>
    <w:rsid w:val="00186A33"/>
    <w:rsid w:val="0019086A"/>
    <w:rsid w:val="001A2B1A"/>
    <w:rsid w:val="001C23BF"/>
    <w:rsid w:val="001D6D72"/>
    <w:rsid w:val="001E02FE"/>
    <w:rsid w:val="002067E8"/>
    <w:rsid w:val="002069C8"/>
    <w:rsid w:val="002117C9"/>
    <w:rsid w:val="002139EB"/>
    <w:rsid w:val="0021649B"/>
    <w:rsid w:val="0022188F"/>
    <w:rsid w:val="00222DFA"/>
    <w:rsid w:val="00230A1A"/>
    <w:rsid w:val="002314A3"/>
    <w:rsid w:val="002371E9"/>
    <w:rsid w:val="00237FEC"/>
    <w:rsid w:val="002504FF"/>
    <w:rsid w:val="002523FD"/>
    <w:rsid w:val="0025312F"/>
    <w:rsid w:val="00255546"/>
    <w:rsid w:val="00286014"/>
    <w:rsid w:val="002B1D56"/>
    <w:rsid w:val="002F262C"/>
    <w:rsid w:val="00301710"/>
    <w:rsid w:val="00306794"/>
    <w:rsid w:val="003102A2"/>
    <w:rsid w:val="003268C0"/>
    <w:rsid w:val="00331810"/>
    <w:rsid w:val="00334BF3"/>
    <w:rsid w:val="003432D3"/>
    <w:rsid w:val="003469C0"/>
    <w:rsid w:val="00372ECC"/>
    <w:rsid w:val="00375CC4"/>
    <w:rsid w:val="00380064"/>
    <w:rsid w:val="00381105"/>
    <w:rsid w:val="00381BB4"/>
    <w:rsid w:val="003958B2"/>
    <w:rsid w:val="0039632C"/>
    <w:rsid w:val="003B1109"/>
    <w:rsid w:val="003D080C"/>
    <w:rsid w:val="003D6204"/>
    <w:rsid w:val="003D7BCD"/>
    <w:rsid w:val="003F46A7"/>
    <w:rsid w:val="004014FD"/>
    <w:rsid w:val="004020F6"/>
    <w:rsid w:val="0040500C"/>
    <w:rsid w:val="004129B9"/>
    <w:rsid w:val="00423B85"/>
    <w:rsid w:val="004263EB"/>
    <w:rsid w:val="00426543"/>
    <w:rsid w:val="00453EE9"/>
    <w:rsid w:val="0045503A"/>
    <w:rsid w:val="00455F16"/>
    <w:rsid w:val="0046304B"/>
    <w:rsid w:val="00473865"/>
    <w:rsid w:val="0048093D"/>
    <w:rsid w:val="004821EA"/>
    <w:rsid w:val="00495DBC"/>
    <w:rsid w:val="00495F57"/>
    <w:rsid w:val="004978CA"/>
    <w:rsid w:val="004A4E04"/>
    <w:rsid w:val="004B3D80"/>
    <w:rsid w:val="004B41B1"/>
    <w:rsid w:val="004C5636"/>
    <w:rsid w:val="004D7127"/>
    <w:rsid w:val="00500B91"/>
    <w:rsid w:val="00500BE0"/>
    <w:rsid w:val="00504DED"/>
    <w:rsid w:val="00526589"/>
    <w:rsid w:val="00527EC2"/>
    <w:rsid w:val="00545140"/>
    <w:rsid w:val="00546978"/>
    <w:rsid w:val="00546F43"/>
    <w:rsid w:val="0055214F"/>
    <w:rsid w:val="005556A5"/>
    <w:rsid w:val="0056117D"/>
    <w:rsid w:val="0056143E"/>
    <w:rsid w:val="005837A3"/>
    <w:rsid w:val="0058523E"/>
    <w:rsid w:val="0058754B"/>
    <w:rsid w:val="00593699"/>
    <w:rsid w:val="005C688B"/>
    <w:rsid w:val="005E0EEC"/>
    <w:rsid w:val="005E6BBB"/>
    <w:rsid w:val="005F037B"/>
    <w:rsid w:val="005F4513"/>
    <w:rsid w:val="00601A23"/>
    <w:rsid w:val="006035A7"/>
    <w:rsid w:val="00607C42"/>
    <w:rsid w:val="00641E72"/>
    <w:rsid w:val="00642B10"/>
    <w:rsid w:val="00654D1D"/>
    <w:rsid w:val="0066697A"/>
    <w:rsid w:val="00677C6C"/>
    <w:rsid w:val="0068504A"/>
    <w:rsid w:val="0068515F"/>
    <w:rsid w:val="00687C87"/>
    <w:rsid w:val="00696985"/>
    <w:rsid w:val="006A36BD"/>
    <w:rsid w:val="006A69FD"/>
    <w:rsid w:val="006B467A"/>
    <w:rsid w:val="006B6300"/>
    <w:rsid w:val="006D0A13"/>
    <w:rsid w:val="006D6661"/>
    <w:rsid w:val="006E025D"/>
    <w:rsid w:val="006F0BFC"/>
    <w:rsid w:val="006F5FAC"/>
    <w:rsid w:val="007061CC"/>
    <w:rsid w:val="00707592"/>
    <w:rsid w:val="0070784A"/>
    <w:rsid w:val="00730CC6"/>
    <w:rsid w:val="00740D0D"/>
    <w:rsid w:val="007656DC"/>
    <w:rsid w:val="00775D68"/>
    <w:rsid w:val="007821C6"/>
    <w:rsid w:val="0078370F"/>
    <w:rsid w:val="00787C0E"/>
    <w:rsid w:val="00787EE1"/>
    <w:rsid w:val="00793ABB"/>
    <w:rsid w:val="0079784E"/>
    <w:rsid w:val="007B6BAC"/>
    <w:rsid w:val="007D0446"/>
    <w:rsid w:val="007F1173"/>
    <w:rsid w:val="007F3811"/>
    <w:rsid w:val="00802770"/>
    <w:rsid w:val="00806047"/>
    <w:rsid w:val="00812238"/>
    <w:rsid w:val="0081382B"/>
    <w:rsid w:val="00820369"/>
    <w:rsid w:val="008318E5"/>
    <w:rsid w:val="0084147A"/>
    <w:rsid w:val="00842E06"/>
    <w:rsid w:val="0084367C"/>
    <w:rsid w:val="008511F3"/>
    <w:rsid w:val="00863F98"/>
    <w:rsid w:val="00864C78"/>
    <w:rsid w:val="00887978"/>
    <w:rsid w:val="008B6242"/>
    <w:rsid w:val="008C7C9F"/>
    <w:rsid w:val="008D540A"/>
    <w:rsid w:val="008D7CB4"/>
    <w:rsid w:val="008F2964"/>
    <w:rsid w:val="00901FFA"/>
    <w:rsid w:val="00905544"/>
    <w:rsid w:val="009121DA"/>
    <w:rsid w:val="00915948"/>
    <w:rsid w:val="00923E97"/>
    <w:rsid w:val="009407F4"/>
    <w:rsid w:val="009655EF"/>
    <w:rsid w:val="00965F24"/>
    <w:rsid w:val="009936DA"/>
    <w:rsid w:val="009955C7"/>
    <w:rsid w:val="009A0679"/>
    <w:rsid w:val="009A5642"/>
    <w:rsid w:val="009B5270"/>
    <w:rsid w:val="009C10AF"/>
    <w:rsid w:val="009D41D7"/>
    <w:rsid w:val="009D67DA"/>
    <w:rsid w:val="009D7D4A"/>
    <w:rsid w:val="009E03FD"/>
    <w:rsid w:val="009E2384"/>
    <w:rsid w:val="009E49F2"/>
    <w:rsid w:val="00A3143F"/>
    <w:rsid w:val="00A34DC1"/>
    <w:rsid w:val="00A41E73"/>
    <w:rsid w:val="00A45962"/>
    <w:rsid w:val="00A46FA2"/>
    <w:rsid w:val="00A618F2"/>
    <w:rsid w:val="00A61CCE"/>
    <w:rsid w:val="00A92B7C"/>
    <w:rsid w:val="00AA1709"/>
    <w:rsid w:val="00AA21B6"/>
    <w:rsid w:val="00AA3B34"/>
    <w:rsid w:val="00AB013C"/>
    <w:rsid w:val="00AB1664"/>
    <w:rsid w:val="00AC242A"/>
    <w:rsid w:val="00AC26D2"/>
    <w:rsid w:val="00AD758B"/>
    <w:rsid w:val="00AF11ED"/>
    <w:rsid w:val="00B01BA0"/>
    <w:rsid w:val="00B10AA3"/>
    <w:rsid w:val="00B115E1"/>
    <w:rsid w:val="00B2613B"/>
    <w:rsid w:val="00B32406"/>
    <w:rsid w:val="00B47526"/>
    <w:rsid w:val="00B56E9F"/>
    <w:rsid w:val="00B74689"/>
    <w:rsid w:val="00B82298"/>
    <w:rsid w:val="00B832A9"/>
    <w:rsid w:val="00B92FA2"/>
    <w:rsid w:val="00BD3732"/>
    <w:rsid w:val="00BD47EB"/>
    <w:rsid w:val="00BD51DE"/>
    <w:rsid w:val="00BE15B5"/>
    <w:rsid w:val="00BF4EF4"/>
    <w:rsid w:val="00C0069B"/>
    <w:rsid w:val="00C1468A"/>
    <w:rsid w:val="00C20479"/>
    <w:rsid w:val="00C21D69"/>
    <w:rsid w:val="00C24579"/>
    <w:rsid w:val="00C26CA1"/>
    <w:rsid w:val="00C26D33"/>
    <w:rsid w:val="00C27C3E"/>
    <w:rsid w:val="00C32153"/>
    <w:rsid w:val="00C339AF"/>
    <w:rsid w:val="00C34E11"/>
    <w:rsid w:val="00C45E95"/>
    <w:rsid w:val="00C532E5"/>
    <w:rsid w:val="00C57914"/>
    <w:rsid w:val="00C6008B"/>
    <w:rsid w:val="00C65D91"/>
    <w:rsid w:val="00C668B4"/>
    <w:rsid w:val="00C66D5F"/>
    <w:rsid w:val="00C67F6F"/>
    <w:rsid w:val="00C70A98"/>
    <w:rsid w:val="00C758E3"/>
    <w:rsid w:val="00C75AC5"/>
    <w:rsid w:val="00C8080D"/>
    <w:rsid w:val="00C84172"/>
    <w:rsid w:val="00C95332"/>
    <w:rsid w:val="00CB534B"/>
    <w:rsid w:val="00CE51F2"/>
    <w:rsid w:val="00CE631C"/>
    <w:rsid w:val="00CE703D"/>
    <w:rsid w:val="00CF0192"/>
    <w:rsid w:val="00CF040C"/>
    <w:rsid w:val="00D069C6"/>
    <w:rsid w:val="00D136AF"/>
    <w:rsid w:val="00D164FE"/>
    <w:rsid w:val="00D278B4"/>
    <w:rsid w:val="00D31733"/>
    <w:rsid w:val="00D40D79"/>
    <w:rsid w:val="00D43330"/>
    <w:rsid w:val="00D45708"/>
    <w:rsid w:val="00D607BB"/>
    <w:rsid w:val="00D6362F"/>
    <w:rsid w:val="00D74EBC"/>
    <w:rsid w:val="00D84A7F"/>
    <w:rsid w:val="00D90BA3"/>
    <w:rsid w:val="00D95761"/>
    <w:rsid w:val="00D958E3"/>
    <w:rsid w:val="00DA0BF0"/>
    <w:rsid w:val="00DA51BD"/>
    <w:rsid w:val="00DE5673"/>
    <w:rsid w:val="00DF363F"/>
    <w:rsid w:val="00E02B3D"/>
    <w:rsid w:val="00E24889"/>
    <w:rsid w:val="00E32EEF"/>
    <w:rsid w:val="00E32EF4"/>
    <w:rsid w:val="00E342DB"/>
    <w:rsid w:val="00E461AD"/>
    <w:rsid w:val="00E5084D"/>
    <w:rsid w:val="00E6157C"/>
    <w:rsid w:val="00E71C73"/>
    <w:rsid w:val="00E74692"/>
    <w:rsid w:val="00E761DC"/>
    <w:rsid w:val="00E77817"/>
    <w:rsid w:val="00E81B3B"/>
    <w:rsid w:val="00E8494B"/>
    <w:rsid w:val="00E8508D"/>
    <w:rsid w:val="00E91EFA"/>
    <w:rsid w:val="00E944EE"/>
    <w:rsid w:val="00EC62A3"/>
    <w:rsid w:val="00EC7F43"/>
    <w:rsid w:val="00EF6911"/>
    <w:rsid w:val="00F00894"/>
    <w:rsid w:val="00F02213"/>
    <w:rsid w:val="00F175B5"/>
    <w:rsid w:val="00F338DB"/>
    <w:rsid w:val="00F37996"/>
    <w:rsid w:val="00F410E0"/>
    <w:rsid w:val="00F52B22"/>
    <w:rsid w:val="00F579E9"/>
    <w:rsid w:val="00FA052B"/>
    <w:rsid w:val="00FA17B5"/>
    <w:rsid w:val="00FA6734"/>
    <w:rsid w:val="00FD6364"/>
    <w:rsid w:val="00FE331E"/>
    <w:rsid w:val="00FE3699"/>
    <w:rsid w:val="00FE6AFF"/>
    <w:rsid w:val="00FE7992"/>
    <w:rsid w:val="011E3D92"/>
    <w:rsid w:val="0123584C"/>
    <w:rsid w:val="01257184"/>
    <w:rsid w:val="01375331"/>
    <w:rsid w:val="01403F6F"/>
    <w:rsid w:val="014D6F55"/>
    <w:rsid w:val="01791910"/>
    <w:rsid w:val="017E5928"/>
    <w:rsid w:val="01873122"/>
    <w:rsid w:val="01932790"/>
    <w:rsid w:val="01A32EE1"/>
    <w:rsid w:val="01C66A79"/>
    <w:rsid w:val="01D94140"/>
    <w:rsid w:val="01EA6EEC"/>
    <w:rsid w:val="01F504C2"/>
    <w:rsid w:val="01F95304"/>
    <w:rsid w:val="01FA47FF"/>
    <w:rsid w:val="021B19D1"/>
    <w:rsid w:val="02215E8E"/>
    <w:rsid w:val="02263AD9"/>
    <w:rsid w:val="02352070"/>
    <w:rsid w:val="02382228"/>
    <w:rsid w:val="023870D5"/>
    <w:rsid w:val="024C0DC0"/>
    <w:rsid w:val="02787973"/>
    <w:rsid w:val="02787D91"/>
    <w:rsid w:val="027F0426"/>
    <w:rsid w:val="029749D1"/>
    <w:rsid w:val="029A1968"/>
    <w:rsid w:val="02A84E4A"/>
    <w:rsid w:val="02AB7973"/>
    <w:rsid w:val="02B16677"/>
    <w:rsid w:val="02BF5617"/>
    <w:rsid w:val="02DF0C01"/>
    <w:rsid w:val="02FB4FEB"/>
    <w:rsid w:val="03190CB5"/>
    <w:rsid w:val="03431836"/>
    <w:rsid w:val="036A7762"/>
    <w:rsid w:val="036F7D2F"/>
    <w:rsid w:val="03727DAF"/>
    <w:rsid w:val="037C1244"/>
    <w:rsid w:val="037D0349"/>
    <w:rsid w:val="038F22EA"/>
    <w:rsid w:val="03C055D4"/>
    <w:rsid w:val="03C21D37"/>
    <w:rsid w:val="03D41287"/>
    <w:rsid w:val="03DE3866"/>
    <w:rsid w:val="03F31A5E"/>
    <w:rsid w:val="03F5008A"/>
    <w:rsid w:val="03F91117"/>
    <w:rsid w:val="03FC0CEA"/>
    <w:rsid w:val="040E476C"/>
    <w:rsid w:val="04107C23"/>
    <w:rsid w:val="04240981"/>
    <w:rsid w:val="042B3AFB"/>
    <w:rsid w:val="04D93965"/>
    <w:rsid w:val="04EE0D07"/>
    <w:rsid w:val="05031B6B"/>
    <w:rsid w:val="050F525C"/>
    <w:rsid w:val="05102CDE"/>
    <w:rsid w:val="05444432"/>
    <w:rsid w:val="054E6891"/>
    <w:rsid w:val="055967E4"/>
    <w:rsid w:val="057228FE"/>
    <w:rsid w:val="057D5890"/>
    <w:rsid w:val="058F1C38"/>
    <w:rsid w:val="059F674B"/>
    <w:rsid w:val="05B01562"/>
    <w:rsid w:val="05B16FE4"/>
    <w:rsid w:val="05CA44E8"/>
    <w:rsid w:val="05DC14A7"/>
    <w:rsid w:val="05E36661"/>
    <w:rsid w:val="05EB6762"/>
    <w:rsid w:val="05F607BC"/>
    <w:rsid w:val="05F777CC"/>
    <w:rsid w:val="061842D1"/>
    <w:rsid w:val="062A62FB"/>
    <w:rsid w:val="062F07EF"/>
    <w:rsid w:val="067362CB"/>
    <w:rsid w:val="067428EB"/>
    <w:rsid w:val="0676319E"/>
    <w:rsid w:val="067B6F39"/>
    <w:rsid w:val="068036AA"/>
    <w:rsid w:val="069C40D7"/>
    <w:rsid w:val="06A765D7"/>
    <w:rsid w:val="06C96275"/>
    <w:rsid w:val="06CF7ACA"/>
    <w:rsid w:val="06D118A6"/>
    <w:rsid w:val="06D605B3"/>
    <w:rsid w:val="06E415DA"/>
    <w:rsid w:val="06F105E4"/>
    <w:rsid w:val="07076C16"/>
    <w:rsid w:val="070C68F7"/>
    <w:rsid w:val="0719634B"/>
    <w:rsid w:val="071C6A43"/>
    <w:rsid w:val="071F0B70"/>
    <w:rsid w:val="072B22BC"/>
    <w:rsid w:val="074C43F1"/>
    <w:rsid w:val="075306D3"/>
    <w:rsid w:val="07650D5D"/>
    <w:rsid w:val="076619FA"/>
    <w:rsid w:val="07983601"/>
    <w:rsid w:val="07A76048"/>
    <w:rsid w:val="07B16F85"/>
    <w:rsid w:val="07C94578"/>
    <w:rsid w:val="07D14A60"/>
    <w:rsid w:val="08223565"/>
    <w:rsid w:val="08232382"/>
    <w:rsid w:val="08246E93"/>
    <w:rsid w:val="082C2CDE"/>
    <w:rsid w:val="082F5114"/>
    <w:rsid w:val="083574C9"/>
    <w:rsid w:val="083D23B2"/>
    <w:rsid w:val="08420AFA"/>
    <w:rsid w:val="08534C69"/>
    <w:rsid w:val="086136BB"/>
    <w:rsid w:val="087003C9"/>
    <w:rsid w:val="08747AEC"/>
    <w:rsid w:val="08786792"/>
    <w:rsid w:val="08807627"/>
    <w:rsid w:val="08832554"/>
    <w:rsid w:val="0896057A"/>
    <w:rsid w:val="089F6734"/>
    <w:rsid w:val="08AD56C8"/>
    <w:rsid w:val="08C76A67"/>
    <w:rsid w:val="08D54CEA"/>
    <w:rsid w:val="08FC61FE"/>
    <w:rsid w:val="091266F1"/>
    <w:rsid w:val="0916079B"/>
    <w:rsid w:val="093252EE"/>
    <w:rsid w:val="09422E59"/>
    <w:rsid w:val="094A4EE7"/>
    <w:rsid w:val="0959407C"/>
    <w:rsid w:val="095E38C5"/>
    <w:rsid w:val="097D1C20"/>
    <w:rsid w:val="098552EA"/>
    <w:rsid w:val="098A3350"/>
    <w:rsid w:val="09A23D38"/>
    <w:rsid w:val="09AB154E"/>
    <w:rsid w:val="09B259BF"/>
    <w:rsid w:val="09B671FF"/>
    <w:rsid w:val="0A0A57FB"/>
    <w:rsid w:val="0A2168AE"/>
    <w:rsid w:val="0A2948BE"/>
    <w:rsid w:val="0A316A36"/>
    <w:rsid w:val="0A451CA7"/>
    <w:rsid w:val="0A57416B"/>
    <w:rsid w:val="0A583185"/>
    <w:rsid w:val="0A5B6057"/>
    <w:rsid w:val="0A6F1B02"/>
    <w:rsid w:val="0A8258AD"/>
    <w:rsid w:val="0AA7304A"/>
    <w:rsid w:val="0AB97D26"/>
    <w:rsid w:val="0AD52625"/>
    <w:rsid w:val="0AE15667"/>
    <w:rsid w:val="0AE24958"/>
    <w:rsid w:val="0AF46E84"/>
    <w:rsid w:val="0AF74A1D"/>
    <w:rsid w:val="0B254E0F"/>
    <w:rsid w:val="0B2852DC"/>
    <w:rsid w:val="0B2B0F5F"/>
    <w:rsid w:val="0B2D2864"/>
    <w:rsid w:val="0B4432D5"/>
    <w:rsid w:val="0B590F4A"/>
    <w:rsid w:val="0B673342"/>
    <w:rsid w:val="0B714AC1"/>
    <w:rsid w:val="0B8511E8"/>
    <w:rsid w:val="0B8E420A"/>
    <w:rsid w:val="0B960945"/>
    <w:rsid w:val="0BA81653"/>
    <w:rsid w:val="0BAA700E"/>
    <w:rsid w:val="0BB64904"/>
    <w:rsid w:val="0BBD1B53"/>
    <w:rsid w:val="0BBE35C7"/>
    <w:rsid w:val="0BD7795F"/>
    <w:rsid w:val="0BDE6804"/>
    <w:rsid w:val="0BEB10E2"/>
    <w:rsid w:val="0C1A66D1"/>
    <w:rsid w:val="0C3E5484"/>
    <w:rsid w:val="0C411CD0"/>
    <w:rsid w:val="0C596A1F"/>
    <w:rsid w:val="0C5B1FA9"/>
    <w:rsid w:val="0C732416"/>
    <w:rsid w:val="0C7D670E"/>
    <w:rsid w:val="0C8E4136"/>
    <w:rsid w:val="0CA062F8"/>
    <w:rsid w:val="0CC040BD"/>
    <w:rsid w:val="0CED2457"/>
    <w:rsid w:val="0CFA6201"/>
    <w:rsid w:val="0D007BE0"/>
    <w:rsid w:val="0D165872"/>
    <w:rsid w:val="0D232FE9"/>
    <w:rsid w:val="0D2C1377"/>
    <w:rsid w:val="0D301CA7"/>
    <w:rsid w:val="0D3F09CA"/>
    <w:rsid w:val="0D5C5AB2"/>
    <w:rsid w:val="0D614F04"/>
    <w:rsid w:val="0D691927"/>
    <w:rsid w:val="0D6A4C3D"/>
    <w:rsid w:val="0D6B79A8"/>
    <w:rsid w:val="0D894C89"/>
    <w:rsid w:val="0D900C8C"/>
    <w:rsid w:val="0D904269"/>
    <w:rsid w:val="0D934BD1"/>
    <w:rsid w:val="0DB37F58"/>
    <w:rsid w:val="0DBD7268"/>
    <w:rsid w:val="0DCB05AE"/>
    <w:rsid w:val="0DCC335E"/>
    <w:rsid w:val="0DD878C3"/>
    <w:rsid w:val="0DF87606"/>
    <w:rsid w:val="0E04554D"/>
    <w:rsid w:val="0E0C0187"/>
    <w:rsid w:val="0E1267A4"/>
    <w:rsid w:val="0E183F30"/>
    <w:rsid w:val="0E197CD6"/>
    <w:rsid w:val="0E3C619F"/>
    <w:rsid w:val="0E4137B5"/>
    <w:rsid w:val="0E4B7C02"/>
    <w:rsid w:val="0E720AFA"/>
    <w:rsid w:val="0E760DED"/>
    <w:rsid w:val="0E94477A"/>
    <w:rsid w:val="0E9769FD"/>
    <w:rsid w:val="0E9D6BF5"/>
    <w:rsid w:val="0EA93835"/>
    <w:rsid w:val="0EBC2000"/>
    <w:rsid w:val="0EE04D7C"/>
    <w:rsid w:val="0EE07C71"/>
    <w:rsid w:val="0F143C2E"/>
    <w:rsid w:val="0F340DCE"/>
    <w:rsid w:val="0F386586"/>
    <w:rsid w:val="0F3918CC"/>
    <w:rsid w:val="0F397095"/>
    <w:rsid w:val="0F4006B3"/>
    <w:rsid w:val="0F5E2F43"/>
    <w:rsid w:val="0F817C7F"/>
    <w:rsid w:val="0F833182"/>
    <w:rsid w:val="0F904BE6"/>
    <w:rsid w:val="0FD663C6"/>
    <w:rsid w:val="0FEA3549"/>
    <w:rsid w:val="0FED06EC"/>
    <w:rsid w:val="0FF52AA9"/>
    <w:rsid w:val="10044A9B"/>
    <w:rsid w:val="1008523D"/>
    <w:rsid w:val="10190CBD"/>
    <w:rsid w:val="101C699C"/>
    <w:rsid w:val="102D14D1"/>
    <w:rsid w:val="10331BFC"/>
    <w:rsid w:val="103A56ED"/>
    <w:rsid w:val="106119F9"/>
    <w:rsid w:val="108711C7"/>
    <w:rsid w:val="109E7152"/>
    <w:rsid w:val="10A05079"/>
    <w:rsid w:val="10B669F7"/>
    <w:rsid w:val="10BB784F"/>
    <w:rsid w:val="10D355A2"/>
    <w:rsid w:val="10E20B40"/>
    <w:rsid w:val="1102722C"/>
    <w:rsid w:val="11145BF4"/>
    <w:rsid w:val="11203487"/>
    <w:rsid w:val="112E6260"/>
    <w:rsid w:val="113118BF"/>
    <w:rsid w:val="11342822"/>
    <w:rsid w:val="114E14F4"/>
    <w:rsid w:val="11512479"/>
    <w:rsid w:val="11627CCB"/>
    <w:rsid w:val="1165541F"/>
    <w:rsid w:val="117935E0"/>
    <w:rsid w:val="118640B3"/>
    <w:rsid w:val="119C587F"/>
    <w:rsid w:val="11FB35F8"/>
    <w:rsid w:val="12172B5E"/>
    <w:rsid w:val="121F52D5"/>
    <w:rsid w:val="12321665"/>
    <w:rsid w:val="123C49C0"/>
    <w:rsid w:val="124273CB"/>
    <w:rsid w:val="12440908"/>
    <w:rsid w:val="12492C39"/>
    <w:rsid w:val="125862DF"/>
    <w:rsid w:val="126741BF"/>
    <w:rsid w:val="126C7EC0"/>
    <w:rsid w:val="1277417D"/>
    <w:rsid w:val="129C3395"/>
    <w:rsid w:val="129D0E16"/>
    <w:rsid w:val="12AF0558"/>
    <w:rsid w:val="12BE7F96"/>
    <w:rsid w:val="12C17D51"/>
    <w:rsid w:val="12E00606"/>
    <w:rsid w:val="12E3738C"/>
    <w:rsid w:val="12E70400"/>
    <w:rsid w:val="12F068F7"/>
    <w:rsid w:val="12F745E0"/>
    <w:rsid w:val="12F96D8F"/>
    <w:rsid w:val="1319085D"/>
    <w:rsid w:val="13286CF2"/>
    <w:rsid w:val="13294F44"/>
    <w:rsid w:val="133B07D3"/>
    <w:rsid w:val="1342515B"/>
    <w:rsid w:val="1356443E"/>
    <w:rsid w:val="135A4326"/>
    <w:rsid w:val="1360694E"/>
    <w:rsid w:val="136253A7"/>
    <w:rsid w:val="136544CD"/>
    <w:rsid w:val="13A72C3B"/>
    <w:rsid w:val="13A934D3"/>
    <w:rsid w:val="13B4150B"/>
    <w:rsid w:val="13C0328F"/>
    <w:rsid w:val="13C719E1"/>
    <w:rsid w:val="13DA40A1"/>
    <w:rsid w:val="13DC2553"/>
    <w:rsid w:val="14215CAB"/>
    <w:rsid w:val="142F3F7D"/>
    <w:rsid w:val="143E367B"/>
    <w:rsid w:val="14732F9B"/>
    <w:rsid w:val="14760CCE"/>
    <w:rsid w:val="147A61A9"/>
    <w:rsid w:val="149B2B25"/>
    <w:rsid w:val="149C34F4"/>
    <w:rsid w:val="14A66C6D"/>
    <w:rsid w:val="14D80741"/>
    <w:rsid w:val="15127621"/>
    <w:rsid w:val="157939BE"/>
    <w:rsid w:val="157C124F"/>
    <w:rsid w:val="15807C55"/>
    <w:rsid w:val="15836462"/>
    <w:rsid w:val="15895A18"/>
    <w:rsid w:val="15B360ED"/>
    <w:rsid w:val="15C81668"/>
    <w:rsid w:val="15CA4090"/>
    <w:rsid w:val="15DA0F00"/>
    <w:rsid w:val="15E278CA"/>
    <w:rsid w:val="15E46AEA"/>
    <w:rsid w:val="15E5196C"/>
    <w:rsid w:val="15F25C65"/>
    <w:rsid w:val="161C194F"/>
    <w:rsid w:val="162E6AF4"/>
    <w:rsid w:val="165805AA"/>
    <w:rsid w:val="167D6633"/>
    <w:rsid w:val="1695644C"/>
    <w:rsid w:val="16A6065A"/>
    <w:rsid w:val="16C7330C"/>
    <w:rsid w:val="16CE41FA"/>
    <w:rsid w:val="16E704A1"/>
    <w:rsid w:val="16E77616"/>
    <w:rsid w:val="16E80C72"/>
    <w:rsid w:val="16F06BB2"/>
    <w:rsid w:val="16F862E2"/>
    <w:rsid w:val="16FC6C2A"/>
    <w:rsid w:val="170B4961"/>
    <w:rsid w:val="171F05FA"/>
    <w:rsid w:val="172D2B29"/>
    <w:rsid w:val="17407C36"/>
    <w:rsid w:val="176159C8"/>
    <w:rsid w:val="17762075"/>
    <w:rsid w:val="1785301E"/>
    <w:rsid w:val="17867883"/>
    <w:rsid w:val="17B9407C"/>
    <w:rsid w:val="17C50F2C"/>
    <w:rsid w:val="17C57205"/>
    <w:rsid w:val="17CB2366"/>
    <w:rsid w:val="17F06755"/>
    <w:rsid w:val="180314D0"/>
    <w:rsid w:val="181F4751"/>
    <w:rsid w:val="182C2E31"/>
    <w:rsid w:val="182E1E5C"/>
    <w:rsid w:val="186407CC"/>
    <w:rsid w:val="1871686D"/>
    <w:rsid w:val="187F73B4"/>
    <w:rsid w:val="188416DE"/>
    <w:rsid w:val="188542AB"/>
    <w:rsid w:val="1888103C"/>
    <w:rsid w:val="18940F06"/>
    <w:rsid w:val="189E1726"/>
    <w:rsid w:val="18AE213F"/>
    <w:rsid w:val="18EF3A7F"/>
    <w:rsid w:val="19041E9F"/>
    <w:rsid w:val="19127489"/>
    <w:rsid w:val="19160AEA"/>
    <w:rsid w:val="19202945"/>
    <w:rsid w:val="19266EAE"/>
    <w:rsid w:val="193E61A9"/>
    <w:rsid w:val="1948000B"/>
    <w:rsid w:val="1977008B"/>
    <w:rsid w:val="19A52E4A"/>
    <w:rsid w:val="19AC41D9"/>
    <w:rsid w:val="19B175FE"/>
    <w:rsid w:val="19BA2DA6"/>
    <w:rsid w:val="19CB3F91"/>
    <w:rsid w:val="19D43730"/>
    <w:rsid w:val="19E17184"/>
    <w:rsid w:val="19E716B5"/>
    <w:rsid w:val="19FB2C3C"/>
    <w:rsid w:val="1A131D23"/>
    <w:rsid w:val="1A1B5EE6"/>
    <w:rsid w:val="1A351A94"/>
    <w:rsid w:val="1A3B188F"/>
    <w:rsid w:val="1A416618"/>
    <w:rsid w:val="1A4F4961"/>
    <w:rsid w:val="1A527E86"/>
    <w:rsid w:val="1A5F0DA7"/>
    <w:rsid w:val="1A707A6D"/>
    <w:rsid w:val="1A7A3C00"/>
    <w:rsid w:val="1A7B3880"/>
    <w:rsid w:val="1A8011C2"/>
    <w:rsid w:val="1A864FC7"/>
    <w:rsid w:val="1A967D50"/>
    <w:rsid w:val="1A970FB3"/>
    <w:rsid w:val="1AAB45F6"/>
    <w:rsid w:val="1AC35813"/>
    <w:rsid w:val="1AC83294"/>
    <w:rsid w:val="1ADC4BA2"/>
    <w:rsid w:val="1AE554AD"/>
    <w:rsid w:val="1AF205C1"/>
    <w:rsid w:val="1AF20D28"/>
    <w:rsid w:val="1AFA5418"/>
    <w:rsid w:val="1B080EE5"/>
    <w:rsid w:val="1B106349"/>
    <w:rsid w:val="1B133EBD"/>
    <w:rsid w:val="1B23371A"/>
    <w:rsid w:val="1B3F107D"/>
    <w:rsid w:val="1B423649"/>
    <w:rsid w:val="1B4A17C7"/>
    <w:rsid w:val="1B4A3CA9"/>
    <w:rsid w:val="1B524AC2"/>
    <w:rsid w:val="1B791B76"/>
    <w:rsid w:val="1B7D4727"/>
    <w:rsid w:val="1BAD7475"/>
    <w:rsid w:val="1BB6133F"/>
    <w:rsid w:val="1BBD3D34"/>
    <w:rsid w:val="1BBE13E9"/>
    <w:rsid w:val="1BC54211"/>
    <w:rsid w:val="1BC913BE"/>
    <w:rsid w:val="1BCC07FF"/>
    <w:rsid w:val="1BED31A7"/>
    <w:rsid w:val="1C135F20"/>
    <w:rsid w:val="1C2416AE"/>
    <w:rsid w:val="1C2D03AA"/>
    <w:rsid w:val="1C60574F"/>
    <w:rsid w:val="1C614A53"/>
    <w:rsid w:val="1C694603"/>
    <w:rsid w:val="1C9F4596"/>
    <w:rsid w:val="1CA10F93"/>
    <w:rsid w:val="1CB3587E"/>
    <w:rsid w:val="1CD56934"/>
    <w:rsid w:val="1CD94D8F"/>
    <w:rsid w:val="1CE400B3"/>
    <w:rsid w:val="1CE442E3"/>
    <w:rsid w:val="1D012A8E"/>
    <w:rsid w:val="1D0B7468"/>
    <w:rsid w:val="1D10120A"/>
    <w:rsid w:val="1D1736BA"/>
    <w:rsid w:val="1D2119DA"/>
    <w:rsid w:val="1D2530AE"/>
    <w:rsid w:val="1D383045"/>
    <w:rsid w:val="1D481945"/>
    <w:rsid w:val="1D497F91"/>
    <w:rsid w:val="1D4E6BA1"/>
    <w:rsid w:val="1D6068F3"/>
    <w:rsid w:val="1D6651E0"/>
    <w:rsid w:val="1D7873C3"/>
    <w:rsid w:val="1D7F1E81"/>
    <w:rsid w:val="1D800675"/>
    <w:rsid w:val="1D9F6122"/>
    <w:rsid w:val="1DE21613"/>
    <w:rsid w:val="1DE63A32"/>
    <w:rsid w:val="1DEB189E"/>
    <w:rsid w:val="1DF37CA4"/>
    <w:rsid w:val="1E2B1E83"/>
    <w:rsid w:val="1E453774"/>
    <w:rsid w:val="1E4F6D9A"/>
    <w:rsid w:val="1E58492F"/>
    <w:rsid w:val="1E5B7F7C"/>
    <w:rsid w:val="1E5E5C12"/>
    <w:rsid w:val="1E7277E4"/>
    <w:rsid w:val="1E8D7EC4"/>
    <w:rsid w:val="1E9811D0"/>
    <w:rsid w:val="1EB05FC3"/>
    <w:rsid w:val="1EB06519"/>
    <w:rsid w:val="1EB21CEB"/>
    <w:rsid w:val="1EB3776D"/>
    <w:rsid w:val="1EB57C64"/>
    <w:rsid w:val="1EB75293"/>
    <w:rsid w:val="1EBE4AB2"/>
    <w:rsid w:val="1EBF359F"/>
    <w:rsid w:val="1ED25C61"/>
    <w:rsid w:val="1EDA17E8"/>
    <w:rsid w:val="1EDD61C5"/>
    <w:rsid w:val="1EDE506D"/>
    <w:rsid w:val="1EE456C8"/>
    <w:rsid w:val="1EEC26CC"/>
    <w:rsid w:val="1EFA23B0"/>
    <w:rsid w:val="1F0A08B1"/>
    <w:rsid w:val="1F1C3BAF"/>
    <w:rsid w:val="1F2F00D5"/>
    <w:rsid w:val="1F3031B6"/>
    <w:rsid w:val="1F375C0D"/>
    <w:rsid w:val="1F3D0CE1"/>
    <w:rsid w:val="1F444EB4"/>
    <w:rsid w:val="1F523DF3"/>
    <w:rsid w:val="1F531875"/>
    <w:rsid w:val="1F541C2F"/>
    <w:rsid w:val="1F951960"/>
    <w:rsid w:val="1FA00F50"/>
    <w:rsid w:val="1FA7260B"/>
    <w:rsid w:val="1FAD4807"/>
    <w:rsid w:val="1FBE0F24"/>
    <w:rsid w:val="1FC0629E"/>
    <w:rsid w:val="1FCA6397"/>
    <w:rsid w:val="1FCC5AE8"/>
    <w:rsid w:val="1FE0333B"/>
    <w:rsid w:val="1FEE3736"/>
    <w:rsid w:val="20014B53"/>
    <w:rsid w:val="2034266D"/>
    <w:rsid w:val="20441BF7"/>
    <w:rsid w:val="20567811"/>
    <w:rsid w:val="20577E1E"/>
    <w:rsid w:val="206472BB"/>
    <w:rsid w:val="207B20B8"/>
    <w:rsid w:val="208F3298"/>
    <w:rsid w:val="20A70EA1"/>
    <w:rsid w:val="20AE2C72"/>
    <w:rsid w:val="20AF7BB2"/>
    <w:rsid w:val="20B47E17"/>
    <w:rsid w:val="20C87EE6"/>
    <w:rsid w:val="20DC38FA"/>
    <w:rsid w:val="20DF6696"/>
    <w:rsid w:val="20E0290C"/>
    <w:rsid w:val="20F31FF6"/>
    <w:rsid w:val="20FC2B2A"/>
    <w:rsid w:val="21156537"/>
    <w:rsid w:val="211A595D"/>
    <w:rsid w:val="211B17E5"/>
    <w:rsid w:val="21405B9D"/>
    <w:rsid w:val="21584C46"/>
    <w:rsid w:val="218469C1"/>
    <w:rsid w:val="21AD61D1"/>
    <w:rsid w:val="21AF6F92"/>
    <w:rsid w:val="21CC797F"/>
    <w:rsid w:val="21CE4E33"/>
    <w:rsid w:val="21FB6487"/>
    <w:rsid w:val="22511F8F"/>
    <w:rsid w:val="22545EC1"/>
    <w:rsid w:val="22590C76"/>
    <w:rsid w:val="225B5552"/>
    <w:rsid w:val="22620C72"/>
    <w:rsid w:val="226811CD"/>
    <w:rsid w:val="22753215"/>
    <w:rsid w:val="22754B37"/>
    <w:rsid w:val="22AE5F02"/>
    <w:rsid w:val="22B71369"/>
    <w:rsid w:val="22DB537E"/>
    <w:rsid w:val="22E54FD6"/>
    <w:rsid w:val="23114793"/>
    <w:rsid w:val="231B63A7"/>
    <w:rsid w:val="231F3C6E"/>
    <w:rsid w:val="23305E7B"/>
    <w:rsid w:val="23424069"/>
    <w:rsid w:val="236336C6"/>
    <w:rsid w:val="23641680"/>
    <w:rsid w:val="23770E50"/>
    <w:rsid w:val="237B31B9"/>
    <w:rsid w:val="237C76C6"/>
    <w:rsid w:val="23B24AE2"/>
    <w:rsid w:val="23D26F32"/>
    <w:rsid w:val="23F724F4"/>
    <w:rsid w:val="241F5407"/>
    <w:rsid w:val="24207C9D"/>
    <w:rsid w:val="2432177F"/>
    <w:rsid w:val="243A6885"/>
    <w:rsid w:val="243F2C87"/>
    <w:rsid w:val="244A7E06"/>
    <w:rsid w:val="24552B00"/>
    <w:rsid w:val="24582CE4"/>
    <w:rsid w:val="246C3202"/>
    <w:rsid w:val="2483022C"/>
    <w:rsid w:val="24B351C4"/>
    <w:rsid w:val="24CD7C86"/>
    <w:rsid w:val="24F07227"/>
    <w:rsid w:val="250462EA"/>
    <w:rsid w:val="25290686"/>
    <w:rsid w:val="252D7657"/>
    <w:rsid w:val="25355DF2"/>
    <w:rsid w:val="25390605"/>
    <w:rsid w:val="253A3746"/>
    <w:rsid w:val="253D7326"/>
    <w:rsid w:val="254D53C2"/>
    <w:rsid w:val="25583FC6"/>
    <w:rsid w:val="25671777"/>
    <w:rsid w:val="256C29A0"/>
    <w:rsid w:val="25716113"/>
    <w:rsid w:val="25752417"/>
    <w:rsid w:val="25933BDB"/>
    <w:rsid w:val="25B66BA8"/>
    <w:rsid w:val="25BC57A4"/>
    <w:rsid w:val="25C37B84"/>
    <w:rsid w:val="25E70ABF"/>
    <w:rsid w:val="25E71D3E"/>
    <w:rsid w:val="262305B8"/>
    <w:rsid w:val="262732E8"/>
    <w:rsid w:val="262E01F9"/>
    <w:rsid w:val="266E4660"/>
    <w:rsid w:val="268D24CB"/>
    <w:rsid w:val="26A45747"/>
    <w:rsid w:val="26B20955"/>
    <w:rsid w:val="26C92330"/>
    <w:rsid w:val="26CD0D37"/>
    <w:rsid w:val="26CF4594"/>
    <w:rsid w:val="271E4DAB"/>
    <w:rsid w:val="27255727"/>
    <w:rsid w:val="274759C4"/>
    <w:rsid w:val="274B7559"/>
    <w:rsid w:val="274E038B"/>
    <w:rsid w:val="275C5122"/>
    <w:rsid w:val="27700540"/>
    <w:rsid w:val="278548BA"/>
    <w:rsid w:val="278E4F1E"/>
    <w:rsid w:val="27944F81"/>
    <w:rsid w:val="27BF157B"/>
    <w:rsid w:val="27FA6A57"/>
    <w:rsid w:val="28166B73"/>
    <w:rsid w:val="282442D9"/>
    <w:rsid w:val="284367B5"/>
    <w:rsid w:val="285718A5"/>
    <w:rsid w:val="2897342B"/>
    <w:rsid w:val="28EB4C69"/>
    <w:rsid w:val="28F865CB"/>
    <w:rsid w:val="290319E9"/>
    <w:rsid w:val="29053276"/>
    <w:rsid w:val="29250E1B"/>
    <w:rsid w:val="292A336C"/>
    <w:rsid w:val="293E52B8"/>
    <w:rsid w:val="29541D3A"/>
    <w:rsid w:val="295A53EB"/>
    <w:rsid w:val="296F3889"/>
    <w:rsid w:val="297665B1"/>
    <w:rsid w:val="29802F8C"/>
    <w:rsid w:val="29803AA3"/>
    <w:rsid w:val="29884B07"/>
    <w:rsid w:val="298957C4"/>
    <w:rsid w:val="29BD5F8E"/>
    <w:rsid w:val="29DF4E52"/>
    <w:rsid w:val="29E06B4E"/>
    <w:rsid w:val="2A1D6A45"/>
    <w:rsid w:val="2A2102CB"/>
    <w:rsid w:val="2A29653A"/>
    <w:rsid w:val="2A34492C"/>
    <w:rsid w:val="2A421663"/>
    <w:rsid w:val="2A5E3E7A"/>
    <w:rsid w:val="2A6F6EBA"/>
    <w:rsid w:val="2A707CDB"/>
    <w:rsid w:val="2A774E1D"/>
    <w:rsid w:val="2A7A3C7B"/>
    <w:rsid w:val="2A830C79"/>
    <w:rsid w:val="2A8D5961"/>
    <w:rsid w:val="2AA23776"/>
    <w:rsid w:val="2AB53BA0"/>
    <w:rsid w:val="2AD11736"/>
    <w:rsid w:val="2AE65071"/>
    <w:rsid w:val="2B0E0405"/>
    <w:rsid w:val="2B1029CF"/>
    <w:rsid w:val="2B1D6E88"/>
    <w:rsid w:val="2B1F7D54"/>
    <w:rsid w:val="2B2032D9"/>
    <w:rsid w:val="2B4D51E4"/>
    <w:rsid w:val="2B5F0E77"/>
    <w:rsid w:val="2B7C00E6"/>
    <w:rsid w:val="2B7F64C1"/>
    <w:rsid w:val="2B911B8F"/>
    <w:rsid w:val="2B95320E"/>
    <w:rsid w:val="2B9809B8"/>
    <w:rsid w:val="2BA3212D"/>
    <w:rsid w:val="2BE16DB6"/>
    <w:rsid w:val="2BE27A8A"/>
    <w:rsid w:val="2BE7007A"/>
    <w:rsid w:val="2BEE09B1"/>
    <w:rsid w:val="2BFE408A"/>
    <w:rsid w:val="2C1749C5"/>
    <w:rsid w:val="2C234403"/>
    <w:rsid w:val="2C2F7877"/>
    <w:rsid w:val="2C916010"/>
    <w:rsid w:val="2C9762B4"/>
    <w:rsid w:val="2CA927FA"/>
    <w:rsid w:val="2CC74884"/>
    <w:rsid w:val="2CC97D88"/>
    <w:rsid w:val="2CDF0482"/>
    <w:rsid w:val="2CF54A10"/>
    <w:rsid w:val="2D22640D"/>
    <w:rsid w:val="2D2E552D"/>
    <w:rsid w:val="2D464D5F"/>
    <w:rsid w:val="2D4C0361"/>
    <w:rsid w:val="2D4E5097"/>
    <w:rsid w:val="2D592D22"/>
    <w:rsid w:val="2D8C0151"/>
    <w:rsid w:val="2D946557"/>
    <w:rsid w:val="2DA27975"/>
    <w:rsid w:val="2DB5450D"/>
    <w:rsid w:val="2DE84ADA"/>
    <w:rsid w:val="2DFB00B5"/>
    <w:rsid w:val="2E3859E0"/>
    <w:rsid w:val="2E474078"/>
    <w:rsid w:val="2E556795"/>
    <w:rsid w:val="2E637B29"/>
    <w:rsid w:val="2E681342"/>
    <w:rsid w:val="2E697CA3"/>
    <w:rsid w:val="2E6D4E98"/>
    <w:rsid w:val="2E7931EC"/>
    <w:rsid w:val="2E7B0389"/>
    <w:rsid w:val="2E855ADF"/>
    <w:rsid w:val="2E944745"/>
    <w:rsid w:val="2E9705D3"/>
    <w:rsid w:val="2E9C3022"/>
    <w:rsid w:val="2E9F2106"/>
    <w:rsid w:val="2EB01719"/>
    <w:rsid w:val="2EBC6814"/>
    <w:rsid w:val="2EBE0475"/>
    <w:rsid w:val="2EC1790D"/>
    <w:rsid w:val="2ED718A0"/>
    <w:rsid w:val="2EE23871"/>
    <w:rsid w:val="2EE71A9D"/>
    <w:rsid w:val="2EE903EF"/>
    <w:rsid w:val="2EEA0FF2"/>
    <w:rsid w:val="2EEF6BEA"/>
    <w:rsid w:val="2F1D1D68"/>
    <w:rsid w:val="2F265668"/>
    <w:rsid w:val="2F2A65B2"/>
    <w:rsid w:val="2F417725"/>
    <w:rsid w:val="2F6C2DFA"/>
    <w:rsid w:val="2F992124"/>
    <w:rsid w:val="2FAD2438"/>
    <w:rsid w:val="2FB829D9"/>
    <w:rsid w:val="2FC254E7"/>
    <w:rsid w:val="2FC51CEF"/>
    <w:rsid w:val="2FC811E9"/>
    <w:rsid w:val="2FEB66AB"/>
    <w:rsid w:val="301356D2"/>
    <w:rsid w:val="3022617D"/>
    <w:rsid w:val="303A1CAD"/>
    <w:rsid w:val="303E6666"/>
    <w:rsid w:val="30464B56"/>
    <w:rsid w:val="30473068"/>
    <w:rsid w:val="305502D9"/>
    <w:rsid w:val="30566085"/>
    <w:rsid w:val="306727B0"/>
    <w:rsid w:val="307C2C0D"/>
    <w:rsid w:val="30896BCA"/>
    <w:rsid w:val="308B4371"/>
    <w:rsid w:val="308C66BA"/>
    <w:rsid w:val="30965B9C"/>
    <w:rsid w:val="30967620"/>
    <w:rsid w:val="30A844DF"/>
    <w:rsid w:val="30BD1FE5"/>
    <w:rsid w:val="30F20773"/>
    <w:rsid w:val="30F36C74"/>
    <w:rsid w:val="30F90CD1"/>
    <w:rsid w:val="30F9318B"/>
    <w:rsid w:val="31272F44"/>
    <w:rsid w:val="312C2756"/>
    <w:rsid w:val="31605B7D"/>
    <w:rsid w:val="31662A68"/>
    <w:rsid w:val="316B62D0"/>
    <w:rsid w:val="31936105"/>
    <w:rsid w:val="319475D5"/>
    <w:rsid w:val="31A57A34"/>
    <w:rsid w:val="31AE740B"/>
    <w:rsid w:val="31B658D4"/>
    <w:rsid w:val="31B9385A"/>
    <w:rsid w:val="31D46698"/>
    <w:rsid w:val="32311DE8"/>
    <w:rsid w:val="32316E69"/>
    <w:rsid w:val="323507EE"/>
    <w:rsid w:val="325B404D"/>
    <w:rsid w:val="325D20BC"/>
    <w:rsid w:val="3264576A"/>
    <w:rsid w:val="32742ADC"/>
    <w:rsid w:val="32887E5F"/>
    <w:rsid w:val="32927883"/>
    <w:rsid w:val="329A50AF"/>
    <w:rsid w:val="329E5AD1"/>
    <w:rsid w:val="329E6A56"/>
    <w:rsid w:val="32AB5E44"/>
    <w:rsid w:val="32C02899"/>
    <w:rsid w:val="32CC51E5"/>
    <w:rsid w:val="32E6051A"/>
    <w:rsid w:val="32EB00B2"/>
    <w:rsid w:val="32F02F31"/>
    <w:rsid w:val="32F33B15"/>
    <w:rsid w:val="32F823E5"/>
    <w:rsid w:val="33026C3D"/>
    <w:rsid w:val="330B7D6A"/>
    <w:rsid w:val="332A2B6E"/>
    <w:rsid w:val="332B5568"/>
    <w:rsid w:val="33332490"/>
    <w:rsid w:val="335A3660"/>
    <w:rsid w:val="337176F8"/>
    <w:rsid w:val="33753436"/>
    <w:rsid w:val="33A40443"/>
    <w:rsid w:val="33A53EC8"/>
    <w:rsid w:val="33A718ED"/>
    <w:rsid w:val="33AA3E3F"/>
    <w:rsid w:val="33AB5DD1"/>
    <w:rsid w:val="33C259F7"/>
    <w:rsid w:val="33C61EE3"/>
    <w:rsid w:val="33EF143A"/>
    <w:rsid w:val="3402290E"/>
    <w:rsid w:val="34191C89"/>
    <w:rsid w:val="341D5FA7"/>
    <w:rsid w:val="342D20B9"/>
    <w:rsid w:val="343B7C3F"/>
    <w:rsid w:val="3442504B"/>
    <w:rsid w:val="344A35D0"/>
    <w:rsid w:val="34873182"/>
    <w:rsid w:val="34AC6BE3"/>
    <w:rsid w:val="34EB329F"/>
    <w:rsid w:val="34F942C8"/>
    <w:rsid w:val="34FE1F7D"/>
    <w:rsid w:val="35064D89"/>
    <w:rsid w:val="350D7F97"/>
    <w:rsid w:val="3519182B"/>
    <w:rsid w:val="35266C07"/>
    <w:rsid w:val="35270865"/>
    <w:rsid w:val="3548216D"/>
    <w:rsid w:val="356F6C4A"/>
    <w:rsid w:val="359336F3"/>
    <w:rsid w:val="3594762C"/>
    <w:rsid w:val="35A87AF3"/>
    <w:rsid w:val="35AC681C"/>
    <w:rsid w:val="35C42A65"/>
    <w:rsid w:val="35FE0A87"/>
    <w:rsid w:val="36041B6D"/>
    <w:rsid w:val="3609516B"/>
    <w:rsid w:val="361B7BDC"/>
    <w:rsid w:val="362777A0"/>
    <w:rsid w:val="362B4B6B"/>
    <w:rsid w:val="364221AD"/>
    <w:rsid w:val="36627D01"/>
    <w:rsid w:val="36897B60"/>
    <w:rsid w:val="36AC6FD2"/>
    <w:rsid w:val="36AE45FE"/>
    <w:rsid w:val="36CD4F58"/>
    <w:rsid w:val="36D4159F"/>
    <w:rsid w:val="36E67798"/>
    <w:rsid w:val="36E7289C"/>
    <w:rsid w:val="36F07AD7"/>
    <w:rsid w:val="36FF0DB1"/>
    <w:rsid w:val="37067020"/>
    <w:rsid w:val="37147113"/>
    <w:rsid w:val="372649E2"/>
    <w:rsid w:val="372C02AF"/>
    <w:rsid w:val="372C59AA"/>
    <w:rsid w:val="372E2279"/>
    <w:rsid w:val="373000B7"/>
    <w:rsid w:val="37412D8C"/>
    <w:rsid w:val="37424DCB"/>
    <w:rsid w:val="377A54BF"/>
    <w:rsid w:val="377C6F06"/>
    <w:rsid w:val="37824D2F"/>
    <w:rsid w:val="37963F54"/>
    <w:rsid w:val="379A6B89"/>
    <w:rsid w:val="379D400C"/>
    <w:rsid w:val="37A2105E"/>
    <w:rsid w:val="37B7401D"/>
    <w:rsid w:val="37BF2E3D"/>
    <w:rsid w:val="37D107AA"/>
    <w:rsid w:val="37ED4E25"/>
    <w:rsid w:val="37F16A56"/>
    <w:rsid w:val="37F7095F"/>
    <w:rsid w:val="37FC4DE7"/>
    <w:rsid w:val="37FD7E74"/>
    <w:rsid w:val="38095339"/>
    <w:rsid w:val="380A6843"/>
    <w:rsid w:val="380F6006"/>
    <w:rsid w:val="38173412"/>
    <w:rsid w:val="38180E94"/>
    <w:rsid w:val="385B6485"/>
    <w:rsid w:val="385D4C77"/>
    <w:rsid w:val="38617BEC"/>
    <w:rsid w:val="38765BC6"/>
    <w:rsid w:val="38926D93"/>
    <w:rsid w:val="38B04B0E"/>
    <w:rsid w:val="38BF2926"/>
    <w:rsid w:val="38E54BBA"/>
    <w:rsid w:val="38F2407A"/>
    <w:rsid w:val="38FD54AF"/>
    <w:rsid w:val="390741E5"/>
    <w:rsid w:val="391F264A"/>
    <w:rsid w:val="39243472"/>
    <w:rsid w:val="392B2144"/>
    <w:rsid w:val="394205BC"/>
    <w:rsid w:val="3996298A"/>
    <w:rsid w:val="3997588E"/>
    <w:rsid w:val="39B46D56"/>
    <w:rsid w:val="39BE02CB"/>
    <w:rsid w:val="39C828E7"/>
    <w:rsid w:val="39CE79E2"/>
    <w:rsid w:val="39DD557C"/>
    <w:rsid w:val="39F552D0"/>
    <w:rsid w:val="39FC4298"/>
    <w:rsid w:val="39FF0D34"/>
    <w:rsid w:val="39FF4F20"/>
    <w:rsid w:val="3A1741DD"/>
    <w:rsid w:val="3A194444"/>
    <w:rsid w:val="3A4536A9"/>
    <w:rsid w:val="3A552184"/>
    <w:rsid w:val="3A60099C"/>
    <w:rsid w:val="3A7900EF"/>
    <w:rsid w:val="3A800389"/>
    <w:rsid w:val="3A800711"/>
    <w:rsid w:val="3A810CA0"/>
    <w:rsid w:val="3A96496C"/>
    <w:rsid w:val="3A9F3479"/>
    <w:rsid w:val="3ABC7EEE"/>
    <w:rsid w:val="3AC044F0"/>
    <w:rsid w:val="3AC0768C"/>
    <w:rsid w:val="3AED2009"/>
    <w:rsid w:val="3AEF063D"/>
    <w:rsid w:val="3B1771AB"/>
    <w:rsid w:val="3B1939D0"/>
    <w:rsid w:val="3B543BE4"/>
    <w:rsid w:val="3B581890"/>
    <w:rsid w:val="3BA148D6"/>
    <w:rsid w:val="3BA96372"/>
    <w:rsid w:val="3BAB1C70"/>
    <w:rsid w:val="3BAB26D3"/>
    <w:rsid w:val="3BC10253"/>
    <w:rsid w:val="3BD009CC"/>
    <w:rsid w:val="3BDE0A34"/>
    <w:rsid w:val="3BE71F75"/>
    <w:rsid w:val="3BF16F66"/>
    <w:rsid w:val="3BF45BDB"/>
    <w:rsid w:val="3C0812EB"/>
    <w:rsid w:val="3C173F12"/>
    <w:rsid w:val="3C2B1FE6"/>
    <w:rsid w:val="3C3022CE"/>
    <w:rsid w:val="3C541C9F"/>
    <w:rsid w:val="3C8779B9"/>
    <w:rsid w:val="3C8B2C2B"/>
    <w:rsid w:val="3C940215"/>
    <w:rsid w:val="3C9F058C"/>
    <w:rsid w:val="3CA60B04"/>
    <w:rsid w:val="3CB74ABF"/>
    <w:rsid w:val="3CC97C4F"/>
    <w:rsid w:val="3CCA29EB"/>
    <w:rsid w:val="3CCC5DBF"/>
    <w:rsid w:val="3CD74C46"/>
    <w:rsid w:val="3D3B124C"/>
    <w:rsid w:val="3D481758"/>
    <w:rsid w:val="3D497E6A"/>
    <w:rsid w:val="3D567E34"/>
    <w:rsid w:val="3D634958"/>
    <w:rsid w:val="3D6C6B53"/>
    <w:rsid w:val="3D876102"/>
    <w:rsid w:val="3D8A01C7"/>
    <w:rsid w:val="3D8C6BB2"/>
    <w:rsid w:val="3D987150"/>
    <w:rsid w:val="3D9D71C0"/>
    <w:rsid w:val="3D9E333B"/>
    <w:rsid w:val="3DA2472E"/>
    <w:rsid w:val="3DAA6DF1"/>
    <w:rsid w:val="3DBC00BF"/>
    <w:rsid w:val="3DC1175F"/>
    <w:rsid w:val="3DCB1A6B"/>
    <w:rsid w:val="3DCD7770"/>
    <w:rsid w:val="3DE54CF5"/>
    <w:rsid w:val="3DED30AA"/>
    <w:rsid w:val="3DED5CB6"/>
    <w:rsid w:val="3DEE3528"/>
    <w:rsid w:val="3DFF671E"/>
    <w:rsid w:val="3E197BF0"/>
    <w:rsid w:val="3E3102BB"/>
    <w:rsid w:val="3E5014D7"/>
    <w:rsid w:val="3E614AA5"/>
    <w:rsid w:val="3E6F652E"/>
    <w:rsid w:val="3E704F26"/>
    <w:rsid w:val="3E9049C8"/>
    <w:rsid w:val="3EA61791"/>
    <w:rsid w:val="3EB02545"/>
    <w:rsid w:val="3EB21D54"/>
    <w:rsid w:val="3EBF7C5B"/>
    <w:rsid w:val="3EF93562"/>
    <w:rsid w:val="3F12422F"/>
    <w:rsid w:val="3F18661A"/>
    <w:rsid w:val="3F187578"/>
    <w:rsid w:val="3F464DDE"/>
    <w:rsid w:val="3F4B22F9"/>
    <w:rsid w:val="3F7512EA"/>
    <w:rsid w:val="3F7D74B7"/>
    <w:rsid w:val="3F850EA5"/>
    <w:rsid w:val="3F8F7151"/>
    <w:rsid w:val="3F9730B9"/>
    <w:rsid w:val="3FBD58AF"/>
    <w:rsid w:val="3FC15168"/>
    <w:rsid w:val="3FC55901"/>
    <w:rsid w:val="3FC92B3F"/>
    <w:rsid w:val="3FC9458D"/>
    <w:rsid w:val="3FD033AD"/>
    <w:rsid w:val="3FE12547"/>
    <w:rsid w:val="3FE126FF"/>
    <w:rsid w:val="3FE23C01"/>
    <w:rsid w:val="401924B3"/>
    <w:rsid w:val="401F021A"/>
    <w:rsid w:val="40374367"/>
    <w:rsid w:val="403D0C6D"/>
    <w:rsid w:val="40411FAF"/>
    <w:rsid w:val="404148A6"/>
    <w:rsid w:val="40572AB6"/>
    <w:rsid w:val="40596EEB"/>
    <w:rsid w:val="405D3459"/>
    <w:rsid w:val="4068264C"/>
    <w:rsid w:val="407728FD"/>
    <w:rsid w:val="40983992"/>
    <w:rsid w:val="40CA0DB3"/>
    <w:rsid w:val="40D64B0A"/>
    <w:rsid w:val="40DC5CDB"/>
    <w:rsid w:val="410603FC"/>
    <w:rsid w:val="410D06B8"/>
    <w:rsid w:val="415128B5"/>
    <w:rsid w:val="4156426C"/>
    <w:rsid w:val="415D2E43"/>
    <w:rsid w:val="419C2D34"/>
    <w:rsid w:val="41A274B6"/>
    <w:rsid w:val="41B24ED8"/>
    <w:rsid w:val="41C034AF"/>
    <w:rsid w:val="41C061C4"/>
    <w:rsid w:val="42107DDD"/>
    <w:rsid w:val="42311D52"/>
    <w:rsid w:val="423931A7"/>
    <w:rsid w:val="424A712C"/>
    <w:rsid w:val="4252155E"/>
    <w:rsid w:val="4263268C"/>
    <w:rsid w:val="428C44AE"/>
    <w:rsid w:val="428D14BB"/>
    <w:rsid w:val="429441C6"/>
    <w:rsid w:val="429F7E60"/>
    <w:rsid w:val="42A66B85"/>
    <w:rsid w:val="42B615E6"/>
    <w:rsid w:val="42BC0202"/>
    <w:rsid w:val="42CB2D35"/>
    <w:rsid w:val="42D21256"/>
    <w:rsid w:val="42F759C4"/>
    <w:rsid w:val="42F77616"/>
    <w:rsid w:val="43023463"/>
    <w:rsid w:val="43144A19"/>
    <w:rsid w:val="431C38CE"/>
    <w:rsid w:val="433F0A06"/>
    <w:rsid w:val="434660D0"/>
    <w:rsid w:val="43526340"/>
    <w:rsid w:val="43554BAC"/>
    <w:rsid w:val="435A7E35"/>
    <w:rsid w:val="435D3A52"/>
    <w:rsid w:val="43770B04"/>
    <w:rsid w:val="438751EB"/>
    <w:rsid w:val="4389705D"/>
    <w:rsid w:val="43A027A3"/>
    <w:rsid w:val="43AA1E91"/>
    <w:rsid w:val="43AF27CC"/>
    <w:rsid w:val="43BA343C"/>
    <w:rsid w:val="43DD4C6D"/>
    <w:rsid w:val="43F8127E"/>
    <w:rsid w:val="44027293"/>
    <w:rsid w:val="4428525F"/>
    <w:rsid w:val="44320C5C"/>
    <w:rsid w:val="444A0170"/>
    <w:rsid w:val="445D28B8"/>
    <w:rsid w:val="44621887"/>
    <w:rsid w:val="44667276"/>
    <w:rsid w:val="448259B3"/>
    <w:rsid w:val="448C0A0C"/>
    <w:rsid w:val="44A37922"/>
    <w:rsid w:val="44B63420"/>
    <w:rsid w:val="44B71DE6"/>
    <w:rsid w:val="44B7644A"/>
    <w:rsid w:val="44BE70AA"/>
    <w:rsid w:val="44D7718A"/>
    <w:rsid w:val="44DB6B8D"/>
    <w:rsid w:val="44E16CEC"/>
    <w:rsid w:val="45561319"/>
    <w:rsid w:val="45644216"/>
    <w:rsid w:val="457E58EB"/>
    <w:rsid w:val="458845A4"/>
    <w:rsid w:val="45A13E49"/>
    <w:rsid w:val="45BC47DC"/>
    <w:rsid w:val="45DE130F"/>
    <w:rsid w:val="45DE6424"/>
    <w:rsid w:val="45F06093"/>
    <w:rsid w:val="45F8252B"/>
    <w:rsid w:val="460E227E"/>
    <w:rsid w:val="46153B79"/>
    <w:rsid w:val="461C0398"/>
    <w:rsid w:val="4625595A"/>
    <w:rsid w:val="4638050B"/>
    <w:rsid w:val="4655670F"/>
    <w:rsid w:val="46690BD8"/>
    <w:rsid w:val="469236DF"/>
    <w:rsid w:val="46CD6A3D"/>
    <w:rsid w:val="46D23AA8"/>
    <w:rsid w:val="46D446A7"/>
    <w:rsid w:val="46ED7A5B"/>
    <w:rsid w:val="46FA3181"/>
    <w:rsid w:val="47165D61"/>
    <w:rsid w:val="471E4B92"/>
    <w:rsid w:val="472055BF"/>
    <w:rsid w:val="47597EDA"/>
    <w:rsid w:val="475D1752"/>
    <w:rsid w:val="476E2F0C"/>
    <w:rsid w:val="47767BD4"/>
    <w:rsid w:val="477737C9"/>
    <w:rsid w:val="477D0471"/>
    <w:rsid w:val="479066E8"/>
    <w:rsid w:val="479358FE"/>
    <w:rsid w:val="47B67536"/>
    <w:rsid w:val="47C22BCA"/>
    <w:rsid w:val="47E250E6"/>
    <w:rsid w:val="47E31939"/>
    <w:rsid w:val="47EB7B93"/>
    <w:rsid w:val="47FB44E3"/>
    <w:rsid w:val="47FE4FAD"/>
    <w:rsid w:val="4804332F"/>
    <w:rsid w:val="48117779"/>
    <w:rsid w:val="482374AD"/>
    <w:rsid w:val="483E6C65"/>
    <w:rsid w:val="48523ECB"/>
    <w:rsid w:val="48527D6A"/>
    <w:rsid w:val="48594C7C"/>
    <w:rsid w:val="48677399"/>
    <w:rsid w:val="48767191"/>
    <w:rsid w:val="488A747A"/>
    <w:rsid w:val="488F3EFF"/>
    <w:rsid w:val="489640A7"/>
    <w:rsid w:val="489E300A"/>
    <w:rsid w:val="48FF2FC7"/>
    <w:rsid w:val="4909055C"/>
    <w:rsid w:val="49177C78"/>
    <w:rsid w:val="492152AE"/>
    <w:rsid w:val="4955748F"/>
    <w:rsid w:val="49634005"/>
    <w:rsid w:val="49661286"/>
    <w:rsid w:val="49694B92"/>
    <w:rsid w:val="496D4E83"/>
    <w:rsid w:val="49737357"/>
    <w:rsid w:val="49AF057B"/>
    <w:rsid w:val="49E36EF3"/>
    <w:rsid w:val="4A0366CF"/>
    <w:rsid w:val="4A256483"/>
    <w:rsid w:val="4A38641F"/>
    <w:rsid w:val="4A4C47F2"/>
    <w:rsid w:val="4A4E6A63"/>
    <w:rsid w:val="4A800E57"/>
    <w:rsid w:val="4A9D32F7"/>
    <w:rsid w:val="4A9F5D83"/>
    <w:rsid w:val="4AB5099E"/>
    <w:rsid w:val="4AB52052"/>
    <w:rsid w:val="4ACD3AC6"/>
    <w:rsid w:val="4AD77C59"/>
    <w:rsid w:val="4AED6579"/>
    <w:rsid w:val="4AF859CC"/>
    <w:rsid w:val="4B3A7AE6"/>
    <w:rsid w:val="4B490F6B"/>
    <w:rsid w:val="4B5670C1"/>
    <w:rsid w:val="4B5E5853"/>
    <w:rsid w:val="4B657DEC"/>
    <w:rsid w:val="4B683B54"/>
    <w:rsid w:val="4B6B5BFE"/>
    <w:rsid w:val="4B6F63D5"/>
    <w:rsid w:val="4B8152D3"/>
    <w:rsid w:val="4B83273C"/>
    <w:rsid w:val="4B965649"/>
    <w:rsid w:val="4B9A1834"/>
    <w:rsid w:val="4BAF2CE6"/>
    <w:rsid w:val="4BB30958"/>
    <w:rsid w:val="4BBA0F4B"/>
    <w:rsid w:val="4BC03621"/>
    <w:rsid w:val="4BC06263"/>
    <w:rsid w:val="4BC22F72"/>
    <w:rsid w:val="4BD023EF"/>
    <w:rsid w:val="4BEC1DA9"/>
    <w:rsid w:val="4C1166DC"/>
    <w:rsid w:val="4C431ECB"/>
    <w:rsid w:val="4C454D9D"/>
    <w:rsid w:val="4C5F36AF"/>
    <w:rsid w:val="4C6D4FD8"/>
    <w:rsid w:val="4C956109"/>
    <w:rsid w:val="4CB12B2C"/>
    <w:rsid w:val="4CB80E4F"/>
    <w:rsid w:val="4CBC2827"/>
    <w:rsid w:val="4CC312B6"/>
    <w:rsid w:val="4CC748AA"/>
    <w:rsid w:val="4CC74F06"/>
    <w:rsid w:val="4CCE79E7"/>
    <w:rsid w:val="4CDB3BA6"/>
    <w:rsid w:val="4CDD2221"/>
    <w:rsid w:val="4CEC7C13"/>
    <w:rsid w:val="4D1737DC"/>
    <w:rsid w:val="4D225F85"/>
    <w:rsid w:val="4D297313"/>
    <w:rsid w:val="4D2E5116"/>
    <w:rsid w:val="4D4946C3"/>
    <w:rsid w:val="4D553C64"/>
    <w:rsid w:val="4D6215E1"/>
    <w:rsid w:val="4D667D39"/>
    <w:rsid w:val="4D6A6CFA"/>
    <w:rsid w:val="4D6F53B7"/>
    <w:rsid w:val="4D8C427F"/>
    <w:rsid w:val="4D9739B2"/>
    <w:rsid w:val="4D97704E"/>
    <w:rsid w:val="4DB579D1"/>
    <w:rsid w:val="4DBD70EB"/>
    <w:rsid w:val="4DC962E9"/>
    <w:rsid w:val="4DCB34AF"/>
    <w:rsid w:val="4DD17CC2"/>
    <w:rsid w:val="4DD51249"/>
    <w:rsid w:val="4DD76CA3"/>
    <w:rsid w:val="4E0F1F90"/>
    <w:rsid w:val="4E2F52BD"/>
    <w:rsid w:val="4E5B174E"/>
    <w:rsid w:val="4E66332D"/>
    <w:rsid w:val="4E6E459C"/>
    <w:rsid w:val="4E7233DF"/>
    <w:rsid w:val="4E817FEA"/>
    <w:rsid w:val="4E98618A"/>
    <w:rsid w:val="4E9D352C"/>
    <w:rsid w:val="4EB95E17"/>
    <w:rsid w:val="4EB96475"/>
    <w:rsid w:val="4EF03291"/>
    <w:rsid w:val="4EF253F4"/>
    <w:rsid w:val="4EFB4CDF"/>
    <w:rsid w:val="4F02066C"/>
    <w:rsid w:val="4F0A4F22"/>
    <w:rsid w:val="4F226484"/>
    <w:rsid w:val="4F4F10AC"/>
    <w:rsid w:val="4F500538"/>
    <w:rsid w:val="4F5145AF"/>
    <w:rsid w:val="4F545534"/>
    <w:rsid w:val="4F6B02B8"/>
    <w:rsid w:val="4F7156E6"/>
    <w:rsid w:val="4F812B80"/>
    <w:rsid w:val="4FA43165"/>
    <w:rsid w:val="4FB6214D"/>
    <w:rsid w:val="4FC3106B"/>
    <w:rsid w:val="4FF82FCD"/>
    <w:rsid w:val="4FFA116E"/>
    <w:rsid w:val="4FFA2095"/>
    <w:rsid w:val="50151DD1"/>
    <w:rsid w:val="502A1801"/>
    <w:rsid w:val="504C7A9D"/>
    <w:rsid w:val="50774392"/>
    <w:rsid w:val="509E6F0D"/>
    <w:rsid w:val="50AA42C7"/>
    <w:rsid w:val="50AB3567"/>
    <w:rsid w:val="50BF0009"/>
    <w:rsid w:val="50D41344"/>
    <w:rsid w:val="50D47596"/>
    <w:rsid w:val="50DF264D"/>
    <w:rsid w:val="50E12D24"/>
    <w:rsid w:val="50E2544B"/>
    <w:rsid w:val="50E65CE2"/>
    <w:rsid w:val="50F86113"/>
    <w:rsid w:val="511E0033"/>
    <w:rsid w:val="51202751"/>
    <w:rsid w:val="51366F1E"/>
    <w:rsid w:val="5143280B"/>
    <w:rsid w:val="51546F21"/>
    <w:rsid w:val="51575BFE"/>
    <w:rsid w:val="515D758B"/>
    <w:rsid w:val="517A638F"/>
    <w:rsid w:val="517F2D8F"/>
    <w:rsid w:val="51826FF2"/>
    <w:rsid w:val="518A1586"/>
    <w:rsid w:val="519C4558"/>
    <w:rsid w:val="51A86476"/>
    <w:rsid w:val="51B4120A"/>
    <w:rsid w:val="51B55037"/>
    <w:rsid w:val="51BF4329"/>
    <w:rsid w:val="51C8534D"/>
    <w:rsid w:val="51D05FAF"/>
    <w:rsid w:val="51D51C1A"/>
    <w:rsid w:val="51DD620D"/>
    <w:rsid w:val="51F83F85"/>
    <w:rsid w:val="52051862"/>
    <w:rsid w:val="52100AA2"/>
    <w:rsid w:val="521B67F5"/>
    <w:rsid w:val="521D37F0"/>
    <w:rsid w:val="52245275"/>
    <w:rsid w:val="52262073"/>
    <w:rsid w:val="522A5D40"/>
    <w:rsid w:val="52383444"/>
    <w:rsid w:val="52535651"/>
    <w:rsid w:val="527D78BF"/>
    <w:rsid w:val="52AB2578"/>
    <w:rsid w:val="53043BBE"/>
    <w:rsid w:val="53163533"/>
    <w:rsid w:val="53274B28"/>
    <w:rsid w:val="535C0EA9"/>
    <w:rsid w:val="537F1DE8"/>
    <w:rsid w:val="53876B42"/>
    <w:rsid w:val="539719D0"/>
    <w:rsid w:val="53AF7057"/>
    <w:rsid w:val="53E43F94"/>
    <w:rsid w:val="53EC2A4F"/>
    <w:rsid w:val="54155B02"/>
    <w:rsid w:val="541E4FD7"/>
    <w:rsid w:val="54333B92"/>
    <w:rsid w:val="5444354A"/>
    <w:rsid w:val="544D7D8B"/>
    <w:rsid w:val="545F7AE6"/>
    <w:rsid w:val="546F31E6"/>
    <w:rsid w:val="547A6B2A"/>
    <w:rsid w:val="547C67AB"/>
    <w:rsid w:val="548258A8"/>
    <w:rsid w:val="54905ECA"/>
    <w:rsid w:val="54AA3DF7"/>
    <w:rsid w:val="54C51909"/>
    <w:rsid w:val="54CA432C"/>
    <w:rsid w:val="54CE74AF"/>
    <w:rsid w:val="54D049E4"/>
    <w:rsid w:val="54E44ED6"/>
    <w:rsid w:val="54F16968"/>
    <w:rsid w:val="54F75F49"/>
    <w:rsid w:val="54F93B76"/>
    <w:rsid w:val="55172FA4"/>
    <w:rsid w:val="551D6AF9"/>
    <w:rsid w:val="55352AE2"/>
    <w:rsid w:val="554D7917"/>
    <w:rsid w:val="556324F2"/>
    <w:rsid w:val="556734E4"/>
    <w:rsid w:val="55A60ADC"/>
    <w:rsid w:val="55BB0C21"/>
    <w:rsid w:val="55D857C5"/>
    <w:rsid w:val="55FD4D03"/>
    <w:rsid w:val="5617074A"/>
    <w:rsid w:val="56253A26"/>
    <w:rsid w:val="5638334C"/>
    <w:rsid w:val="56725887"/>
    <w:rsid w:val="56780FF9"/>
    <w:rsid w:val="567A0BDF"/>
    <w:rsid w:val="567E5DD0"/>
    <w:rsid w:val="56870578"/>
    <w:rsid w:val="568F259A"/>
    <w:rsid w:val="569241C0"/>
    <w:rsid w:val="56973027"/>
    <w:rsid w:val="56A1616C"/>
    <w:rsid w:val="56A33B67"/>
    <w:rsid w:val="56A40E03"/>
    <w:rsid w:val="56B6734F"/>
    <w:rsid w:val="56C45A8D"/>
    <w:rsid w:val="56E20A0E"/>
    <w:rsid w:val="57034731"/>
    <w:rsid w:val="5737516A"/>
    <w:rsid w:val="57431AE0"/>
    <w:rsid w:val="576A2A02"/>
    <w:rsid w:val="576E6AFE"/>
    <w:rsid w:val="57730A91"/>
    <w:rsid w:val="57736809"/>
    <w:rsid w:val="57875EED"/>
    <w:rsid w:val="57A27BD5"/>
    <w:rsid w:val="57C762A2"/>
    <w:rsid w:val="57D63790"/>
    <w:rsid w:val="57DE6F4C"/>
    <w:rsid w:val="57F55ADD"/>
    <w:rsid w:val="58005114"/>
    <w:rsid w:val="5812512F"/>
    <w:rsid w:val="58207565"/>
    <w:rsid w:val="58402143"/>
    <w:rsid w:val="58482E44"/>
    <w:rsid w:val="586A7801"/>
    <w:rsid w:val="58825446"/>
    <w:rsid w:val="588C140C"/>
    <w:rsid w:val="58A00649"/>
    <w:rsid w:val="58B21650"/>
    <w:rsid w:val="58C00F3E"/>
    <w:rsid w:val="58C21630"/>
    <w:rsid w:val="58C838B7"/>
    <w:rsid w:val="58C919AA"/>
    <w:rsid w:val="58D046C7"/>
    <w:rsid w:val="5909508D"/>
    <w:rsid w:val="59103E6F"/>
    <w:rsid w:val="591A7E3E"/>
    <w:rsid w:val="59373C72"/>
    <w:rsid w:val="5945207E"/>
    <w:rsid w:val="595B4F2E"/>
    <w:rsid w:val="596C42A4"/>
    <w:rsid w:val="596D221D"/>
    <w:rsid w:val="597C0DDC"/>
    <w:rsid w:val="59A237B5"/>
    <w:rsid w:val="59A77712"/>
    <w:rsid w:val="59B02759"/>
    <w:rsid w:val="59BB1BC6"/>
    <w:rsid w:val="59D32AE1"/>
    <w:rsid w:val="59E11E05"/>
    <w:rsid w:val="59E6628D"/>
    <w:rsid w:val="59FD262F"/>
    <w:rsid w:val="5A144EA7"/>
    <w:rsid w:val="5A192B9D"/>
    <w:rsid w:val="5A2943BC"/>
    <w:rsid w:val="5A6667DB"/>
    <w:rsid w:val="5A706348"/>
    <w:rsid w:val="5A72604D"/>
    <w:rsid w:val="5A743572"/>
    <w:rsid w:val="5A7F77CE"/>
    <w:rsid w:val="5A9F56BB"/>
    <w:rsid w:val="5AA20C09"/>
    <w:rsid w:val="5ABC5F71"/>
    <w:rsid w:val="5AF81EC0"/>
    <w:rsid w:val="5AF8422D"/>
    <w:rsid w:val="5B0B05EE"/>
    <w:rsid w:val="5B0E4DAE"/>
    <w:rsid w:val="5B0E6862"/>
    <w:rsid w:val="5B3B553A"/>
    <w:rsid w:val="5B4361C9"/>
    <w:rsid w:val="5B47134C"/>
    <w:rsid w:val="5B58464F"/>
    <w:rsid w:val="5B7831A0"/>
    <w:rsid w:val="5B8509D1"/>
    <w:rsid w:val="5B90297B"/>
    <w:rsid w:val="5BC70423"/>
    <w:rsid w:val="5BD04209"/>
    <w:rsid w:val="5BF154A0"/>
    <w:rsid w:val="5BFC7B76"/>
    <w:rsid w:val="5C076A71"/>
    <w:rsid w:val="5C11606C"/>
    <w:rsid w:val="5C4E0A2D"/>
    <w:rsid w:val="5C524815"/>
    <w:rsid w:val="5C64452B"/>
    <w:rsid w:val="5C695FAC"/>
    <w:rsid w:val="5C767840"/>
    <w:rsid w:val="5C7719CE"/>
    <w:rsid w:val="5C8E79BD"/>
    <w:rsid w:val="5C9407AC"/>
    <w:rsid w:val="5C981DBF"/>
    <w:rsid w:val="5CAD579C"/>
    <w:rsid w:val="5CE96177"/>
    <w:rsid w:val="5D144D82"/>
    <w:rsid w:val="5D23703E"/>
    <w:rsid w:val="5D2719C9"/>
    <w:rsid w:val="5D2773E7"/>
    <w:rsid w:val="5D285026"/>
    <w:rsid w:val="5D373386"/>
    <w:rsid w:val="5D5C0E3F"/>
    <w:rsid w:val="5D5D2953"/>
    <w:rsid w:val="5D5E619D"/>
    <w:rsid w:val="5D697358"/>
    <w:rsid w:val="5D747A99"/>
    <w:rsid w:val="5D9249ED"/>
    <w:rsid w:val="5D965719"/>
    <w:rsid w:val="5DA1646B"/>
    <w:rsid w:val="5DB03139"/>
    <w:rsid w:val="5DC32A29"/>
    <w:rsid w:val="5DDB1F64"/>
    <w:rsid w:val="5DDC5DDB"/>
    <w:rsid w:val="5DE55498"/>
    <w:rsid w:val="5DF04FFA"/>
    <w:rsid w:val="5DF905DA"/>
    <w:rsid w:val="5E063C72"/>
    <w:rsid w:val="5E19167C"/>
    <w:rsid w:val="5E1B1BFB"/>
    <w:rsid w:val="5E2E51B3"/>
    <w:rsid w:val="5E3653EC"/>
    <w:rsid w:val="5E3C01D4"/>
    <w:rsid w:val="5E5166CA"/>
    <w:rsid w:val="5E6F443D"/>
    <w:rsid w:val="5E70354F"/>
    <w:rsid w:val="5E757AFE"/>
    <w:rsid w:val="5E781EA8"/>
    <w:rsid w:val="5E7E38A5"/>
    <w:rsid w:val="5E802B0B"/>
    <w:rsid w:val="5E8C7523"/>
    <w:rsid w:val="5E94632E"/>
    <w:rsid w:val="5E9C2B92"/>
    <w:rsid w:val="5EA65556"/>
    <w:rsid w:val="5EA762EA"/>
    <w:rsid w:val="5F0B6E89"/>
    <w:rsid w:val="5F111534"/>
    <w:rsid w:val="5F2A6E35"/>
    <w:rsid w:val="5F3A0F0C"/>
    <w:rsid w:val="5F5E606D"/>
    <w:rsid w:val="5F615C7D"/>
    <w:rsid w:val="5F81073D"/>
    <w:rsid w:val="5FA840C8"/>
    <w:rsid w:val="5FB20DDC"/>
    <w:rsid w:val="5FBC6FFC"/>
    <w:rsid w:val="5FCE7044"/>
    <w:rsid w:val="5FD91B32"/>
    <w:rsid w:val="5FDA625F"/>
    <w:rsid w:val="5FDE3D1C"/>
    <w:rsid w:val="5FEB36B0"/>
    <w:rsid w:val="600037C3"/>
    <w:rsid w:val="60070235"/>
    <w:rsid w:val="600B76B1"/>
    <w:rsid w:val="60117D06"/>
    <w:rsid w:val="60247960"/>
    <w:rsid w:val="60337FBD"/>
    <w:rsid w:val="604A33D1"/>
    <w:rsid w:val="60557909"/>
    <w:rsid w:val="60600E46"/>
    <w:rsid w:val="608A1A1F"/>
    <w:rsid w:val="608B596D"/>
    <w:rsid w:val="608E7CA1"/>
    <w:rsid w:val="60B20DDE"/>
    <w:rsid w:val="60B53DBD"/>
    <w:rsid w:val="60B86965"/>
    <w:rsid w:val="60C43183"/>
    <w:rsid w:val="60CF6017"/>
    <w:rsid w:val="60E84D86"/>
    <w:rsid w:val="60EC58A1"/>
    <w:rsid w:val="60EE316A"/>
    <w:rsid w:val="60F765D6"/>
    <w:rsid w:val="60FD3BD2"/>
    <w:rsid w:val="61273959"/>
    <w:rsid w:val="61402D8F"/>
    <w:rsid w:val="615C160D"/>
    <w:rsid w:val="616020F1"/>
    <w:rsid w:val="61954924"/>
    <w:rsid w:val="619B0A4D"/>
    <w:rsid w:val="619E6915"/>
    <w:rsid w:val="619F45F8"/>
    <w:rsid w:val="61BC5698"/>
    <w:rsid w:val="61C05E29"/>
    <w:rsid w:val="61C4413E"/>
    <w:rsid w:val="61C918FB"/>
    <w:rsid w:val="61E220CA"/>
    <w:rsid w:val="620B4DE2"/>
    <w:rsid w:val="620F48D2"/>
    <w:rsid w:val="621F3A28"/>
    <w:rsid w:val="622D4D58"/>
    <w:rsid w:val="623817CD"/>
    <w:rsid w:val="623D05EF"/>
    <w:rsid w:val="625671C6"/>
    <w:rsid w:val="626D5F1F"/>
    <w:rsid w:val="62774225"/>
    <w:rsid w:val="627E2DFB"/>
    <w:rsid w:val="628D5A05"/>
    <w:rsid w:val="629635F2"/>
    <w:rsid w:val="62B9713E"/>
    <w:rsid w:val="62BB4CFB"/>
    <w:rsid w:val="62DB156F"/>
    <w:rsid w:val="62E35C5C"/>
    <w:rsid w:val="62EA49F7"/>
    <w:rsid w:val="63061303"/>
    <w:rsid w:val="6308602C"/>
    <w:rsid w:val="631B2082"/>
    <w:rsid w:val="6324615B"/>
    <w:rsid w:val="63655BF1"/>
    <w:rsid w:val="63793840"/>
    <w:rsid w:val="6381414F"/>
    <w:rsid w:val="63840FE9"/>
    <w:rsid w:val="639869FA"/>
    <w:rsid w:val="639D4CF9"/>
    <w:rsid w:val="63A6496D"/>
    <w:rsid w:val="63A83FEC"/>
    <w:rsid w:val="63D92053"/>
    <w:rsid w:val="63E37B79"/>
    <w:rsid w:val="63FC1B88"/>
    <w:rsid w:val="63FF5094"/>
    <w:rsid w:val="64035403"/>
    <w:rsid w:val="642B1E03"/>
    <w:rsid w:val="642E206A"/>
    <w:rsid w:val="64316389"/>
    <w:rsid w:val="64334D4A"/>
    <w:rsid w:val="644D4301"/>
    <w:rsid w:val="6477289B"/>
    <w:rsid w:val="649176C0"/>
    <w:rsid w:val="64987293"/>
    <w:rsid w:val="649E57C1"/>
    <w:rsid w:val="64A11F98"/>
    <w:rsid w:val="64B0249D"/>
    <w:rsid w:val="64D179F6"/>
    <w:rsid w:val="64D442AC"/>
    <w:rsid w:val="64EE5352"/>
    <w:rsid w:val="64FD012C"/>
    <w:rsid w:val="64FE6EBF"/>
    <w:rsid w:val="650401CF"/>
    <w:rsid w:val="65040F88"/>
    <w:rsid w:val="65256ED5"/>
    <w:rsid w:val="65357ADE"/>
    <w:rsid w:val="653D52DC"/>
    <w:rsid w:val="655373D5"/>
    <w:rsid w:val="657A0FFC"/>
    <w:rsid w:val="65837118"/>
    <w:rsid w:val="6593581A"/>
    <w:rsid w:val="659F7D1B"/>
    <w:rsid w:val="65A300A1"/>
    <w:rsid w:val="65CF7598"/>
    <w:rsid w:val="65DB5C3D"/>
    <w:rsid w:val="65DC330D"/>
    <w:rsid w:val="65ED11DD"/>
    <w:rsid w:val="65F00576"/>
    <w:rsid w:val="66126967"/>
    <w:rsid w:val="66187927"/>
    <w:rsid w:val="66383CCB"/>
    <w:rsid w:val="66780DEE"/>
    <w:rsid w:val="668E1E21"/>
    <w:rsid w:val="66926F8C"/>
    <w:rsid w:val="66966882"/>
    <w:rsid w:val="66A504F5"/>
    <w:rsid w:val="66A7157D"/>
    <w:rsid w:val="66B703DE"/>
    <w:rsid w:val="66D51A3C"/>
    <w:rsid w:val="66F269C9"/>
    <w:rsid w:val="67285BDC"/>
    <w:rsid w:val="673D5663"/>
    <w:rsid w:val="6757733A"/>
    <w:rsid w:val="6759381B"/>
    <w:rsid w:val="67600C28"/>
    <w:rsid w:val="678659F1"/>
    <w:rsid w:val="67C1521F"/>
    <w:rsid w:val="67C541F4"/>
    <w:rsid w:val="67D41EE5"/>
    <w:rsid w:val="67D5211A"/>
    <w:rsid w:val="67D975ED"/>
    <w:rsid w:val="67E1461B"/>
    <w:rsid w:val="67FB2FC2"/>
    <w:rsid w:val="67FB3202"/>
    <w:rsid w:val="67FC180B"/>
    <w:rsid w:val="6838125F"/>
    <w:rsid w:val="684E7153"/>
    <w:rsid w:val="68535A2D"/>
    <w:rsid w:val="68572B2F"/>
    <w:rsid w:val="685A46C3"/>
    <w:rsid w:val="685C4343"/>
    <w:rsid w:val="68872F66"/>
    <w:rsid w:val="689070BF"/>
    <w:rsid w:val="68942469"/>
    <w:rsid w:val="68996F46"/>
    <w:rsid w:val="68A270B1"/>
    <w:rsid w:val="68A65066"/>
    <w:rsid w:val="68E63EB3"/>
    <w:rsid w:val="69180510"/>
    <w:rsid w:val="69522C18"/>
    <w:rsid w:val="6975567D"/>
    <w:rsid w:val="699D0A15"/>
    <w:rsid w:val="69A41F02"/>
    <w:rsid w:val="69A85914"/>
    <w:rsid w:val="69B354E1"/>
    <w:rsid w:val="69B54893"/>
    <w:rsid w:val="69CA3513"/>
    <w:rsid w:val="69CD6B71"/>
    <w:rsid w:val="69D4612E"/>
    <w:rsid w:val="69F0666F"/>
    <w:rsid w:val="69FA018D"/>
    <w:rsid w:val="6A25465E"/>
    <w:rsid w:val="6A31115D"/>
    <w:rsid w:val="6A530131"/>
    <w:rsid w:val="6A572716"/>
    <w:rsid w:val="6A732B1A"/>
    <w:rsid w:val="6A87076D"/>
    <w:rsid w:val="6A9421CF"/>
    <w:rsid w:val="6A9454E3"/>
    <w:rsid w:val="6A945F72"/>
    <w:rsid w:val="6AA3205B"/>
    <w:rsid w:val="6AA47B81"/>
    <w:rsid w:val="6ACF2D0F"/>
    <w:rsid w:val="6AD51554"/>
    <w:rsid w:val="6ADD27C8"/>
    <w:rsid w:val="6AFC23BD"/>
    <w:rsid w:val="6AFF188E"/>
    <w:rsid w:val="6B030F7C"/>
    <w:rsid w:val="6B1F5D43"/>
    <w:rsid w:val="6B287CCA"/>
    <w:rsid w:val="6B2B0A7A"/>
    <w:rsid w:val="6B37191E"/>
    <w:rsid w:val="6B3724F2"/>
    <w:rsid w:val="6B3B6738"/>
    <w:rsid w:val="6B447D73"/>
    <w:rsid w:val="6B4D0219"/>
    <w:rsid w:val="6B607F4C"/>
    <w:rsid w:val="6B640321"/>
    <w:rsid w:val="6B67752D"/>
    <w:rsid w:val="6B756B33"/>
    <w:rsid w:val="6BA33D44"/>
    <w:rsid w:val="6BB55287"/>
    <w:rsid w:val="6BDD77EF"/>
    <w:rsid w:val="6C120F5B"/>
    <w:rsid w:val="6C332D06"/>
    <w:rsid w:val="6C356159"/>
    <w:rsid w:val="6C3A4C18"/>
    <w:rsid w:val="6C4068D5"/>
    <w:rsid w:val="6C554EC8"/>
    <w:rsid w:val="6C586C5D"/>
    <w:rsid w:val="6C5E35D9"/>
    <w:rsid w:val="6C627C1D"/>
    <w:rsid w:val="6C6E0D72"/>
    <w:rsid w:val="6C79385B"/>
    <w:rsid w:val="6C8568B5"/>
    <w:rsid w:val="6C937EAD"/>
    <w:rsid w:val="6CAB51F7"/>
    <w:rsid w:val="6CAD3358"/>
    <w:rsid w:val="6CB00C5D"/>
    <w:rsid w:val="6CCB7647"/>
    <w:rsid w:val="6D0441AB"/>
    <w:rsid w:val="6D0446EE"/>
    <w:rsid w:val="6D1B140E"/>
    <w:rsid w:val="6D481945"/>
    <w:rsid w:val="6D524B22"/>
    <w:rsid w:val="6D60667F"/>
    <w:rsid w:val="6D6650F6"/>
    <w:rsid w:val="6D6D32A5"/>
    <w:rsid w:val="6D96704E"/>
    <w:rsid w:val="6D9B51DF"/>
    <w:rsid w:val="6E6A491D"/>
    <w:rsid w:val="6E9A6491"/>
    <w:rsid w:val="6EAE6CA6"/>
    <w:rsid w:val="6EBA5637"/>
    <w:rsid w:val="6EBD1FEB"/>
    <w:rsid w:val="6EBD65BB"/>
    <w:rsid w:val="6ECD14C3"/>
    <w:rsid w:val="6ED609B9"/>
    <w:rsid w:val="6EF06A3A"/>
    <w:rsid w:val="6EF36A95"/>
    <w:rsid w:val="6F1E315D"/>
    <w:rsid w:val="6F231086"/>
    <w:rsid w:val="6F2C1077"/>
    <w:rsid w:val="6F4412DE"/>
    <w:rsid w:val="6F4831D1"/>
    <w:rsid w:val="6F4E5EAA"/>
    <w:rsid w:val="6F525DFE"/>
    <w:rsid w:val="6F6649B1"/>
    <w:rsid w:val="6F8754C1"/>
    <w:rsid w:val="6FAA2D41"/>
    <w:rsid w:val="6FAB6244"/>
    <w:rsid w:val="6FB01FF6"/>
    <w:rsid w:val="6FEC5DB0"/>
    <w:rsid w:val="6FF653BE"/>
    <w:rsid w:val="700E441B"/>
    <w:rsid w:val="702D3037"/>
    <w:rsid w:val="703379DD"/>
    <w:rsid w:val="704915C5"/>
    <w:rsid w:val="70774D12"/>
    <w:rsid w:val="70854008"/>
    <w:rsid w:val="708A15DA"/>
    <w:rsid w:val="70A00296"/>
    <w:rsid w:val="70B94AEA"/>
    <w:rsid w:val="70D07922"/>
    <w:rsid w:val="70D32F6E"/>
    <w:rsid w:val="70E17706"/>
    <w:rsid w:val="70F21646"/>
    <w:rsid w:val="70F83DE3"/>
    <w:rsid w:val="71170489"/>
    <w:rsid w:val="712944B7"/>
    <w:rsid w:val="713118C3"/>
    <w:rsid w:val="71347E93"/>
    <w:rsid w:val="71456AD4"/>
    <w:rsid w:val="71772037"/>
    <w:rsid w:val="71902C0D"/>
    <w:rsid w:val="71E84DCD"/>
    <w:rsid w:val="720F23F1"/>
    <w:rsid w:val="72266C97"/>
    <w:rsid w:val="72422A05"/>
    <w:rsid w:val="72511D57"/>
    <w:rsid w:val="72525910"/>
    <w:rsid w:val="7272141E"/>
    <w:rsid w:val="72920575"/>
    <w:rsid w:val="729A51BF"/>
    <w:rsid w:val="72C31F67"/>
    <w:rsid w:val="72F36FA5"/>
    <w:rsid w:val="73075151"/>
    <w:rsid w:val="730F2443"/>
    <w:rsid w:val="73487C44"/>
    <w:rsid w:val="738A19B2"/>
    <w:rsid w:val="73986D48"/>
    <w:rsid w:val="73DC14A1"/>
    <w:rsid w:val="73E3664B"/>
    <w:rsid w:val="74221866"/>
    <w:rsid w:val="74352E35"/>
    <w:rsid w:val="74460C31"/>
    <w:rsid w:val="745948C9"/>
    <w:rsid w:val="74782083"/>
    <w:rsid w:val="74786307"/>
    <w:rsid w:val="74864AE5"/>
    <w:rsid w:val="74933140"/>
    <w:rsid w:val="74B36971"/>
    <w:rsid w:val="74C01A29"/>
    <w:rsid w:val="74C62724"/>
    <w:rsid w:val="74F00783"/>
    <w:rsid w:val="74F21A8E"/>
    <w:rsid w:val="74F23FC5"/>
    <w:rsid w:val="74F502B9"/>
    <w:rsid w:val="75092D2E"/>
    <w:rsid w:val="750D091A"/>
    <w:rsid w:val="751C2AB7"/>
    <w:rsid w:val="751F35C6"/>
    <w:rsid w:val="7521074C"/>
    <w:rsid w:val="752124FA"/>
    <w:rsid w:val="752673FA"/>
    <w:rsid w:val="75445278"/>
    <w:rsid w:val="75616D9B"/>
    <w:rsid w:val="756D2420"/>
    <w:rsid w:val="757A60AE"/>
    <w:rsid w:val="757D4451"/>
    <w:rsid w:val="75842A89"/>
    <w:rsid w:val="75D21089"/>
    <w:rsid w:val="75D33B60"/>
    <w:rsid w:val="75D62561"/>
    <w:rsid w:val="75DA47EA"/>
    <w:rsid w:val="75DC446A"/>
    <w:rsid w:val="75EB0030"/>
    <w:rsid w:val="75FB2A78"/>
    <w:rsid w:val="75FC2BB5"/>
    <w:rsid w:val="7608635A"/>
    <w:rsid w:val="760B1736"/>
    <w:rsid w:val="761E2EDE"/>
    <w:rsid w:val="764346F2"/>
    <w:rsid w:val="76764547"/>
    <w:rsid w:val="767A1884"/>
    <w:rsid w:val="7681376B"/>
    <w:rsid w:val="76BB18DA"/>
    <w:rsid w:val="76CE66B2"/>
    <w:rsid w:val="76E7048B"/>
    <w:rsid w:val="76F57F48"/>
    <w:rsid w:val="76F679B7"/>
    <w:rsid w:val="771405C6"/>
    <w:rsid w:val="77186802"/>
    <w:rsid w:val="77230004"/>
    <w:rsid w:val="77244002"/>
    <w:rsid w:val="774626EC"/>
    <w:rsid w:val="7759121E"/>
    <w:rsid w:val="776817C4"/>
    <w:rsid w:val="77787CC7"/>
    <w:rsid w:val="77844FC2"/>
    <w:rsid w:val="778C19C1"/>
    <w:rsid w:val="77BA4E88"/>
    <w:rsid w:val="77BB147D"/>
    <w:rsid w:val="77DE7388"/>
    <w:rsid w:val="77E617D9"/>
    <w:rsid w:val="78123276"/>
    <w:rsid w:val="781B6350"/>
    <w:rsid w:val="782A528E"/>
    <w:rsid w:val="783853A3"/>
    <w:rsid w:val="784234F5"/>
    <w:rsid w:val="78606B54"/>
    <w:rsid w:val="78661D77"/>
    <w:rsid w:val="787542C9"/>
    <w:rsid w:val="787C4A52"/>
    <w:rsid w:val="787D1A38"/>
    <w:rsid w:val="78833D88"/>
    <w:rsid w:val="78970D25"/>
    <w:rsid w:val="78C70562"/>
    <w:rsid w:val="78D86532"/>
    <w:rsid w:val="78F148D9"/>
    <w:rsid w:val="78FC74B6"/>
    <w:rsid w:val="7908482C"/>
    <w:rsid w:val="792279DB"/>
    <w:rsid w:val="792E74DB"/>
    <w:rsid w:val="7948489C"/>
    <w:rsid w:val="795A56A5"/>
    <w:rsid w:val="797C1AA1"/>
    <w:rsid w:val="79A731EA"/>
    <w:rsid w:val="79AB2C72"/>
    <w:rsid w:val="79B25E17"/>
    <w:rsid w:val="79BB4445"/>
    <w:rsid w:val="79BF5487"/>
    <w:rsid w:val="79E863FF"/>
    <w:rsid w:val="7A2E4173"/>
    <w:rsid w:val="7A492DB0"/>
    <w:rsid w:val="7A6A2399"/>
    <w:rsid w:val="7A6F26A9"/>
    <w:rsid w:val="7A934CC7"/>
    <w:rsid w:val="7AAD65DE"/>
    <w:rsid w:val="7AAD7251"/>
    <w:rsid w:val="7AAE4CD2"/>
    <w:rsid w:val="7AB93CAD"/>
    <w:rsid w:val="7AC027B5"/>
    <w:rsid w:val="7ACC2F08"/>
    <w:rsid w:val="7AD43747"/>
    <w:rsid w:val="7ADD5745"/>
    <w:rsid w:val="7AFB7263"/>
    <w:rsid w:val="7B062FF2"/>
    <w:rsid w:val="7B13027A"/>
    <w:rsid w:val="7B4771D3"/>
    <w:rsid w:val="7B4969DA"/>
    <w:rsid w:val="7B4B57FE"/>
    <w:rsid w:val="7B695405"/>
    <w:rsid w:val="7B6B0909"/>
    <w:rsid w:val="7BBA7BC4"/>
    <w:rsid w:val="7BC02A7A"/>
    <w:rsid w:val="7BC31525"/>
    <w:rsid w:val="7BF42DEB"/>
    <w:rsid w:val="7BF444AB"/>
    <w:rsid w:val="7BFE0356"/>
    <w:rsid w:val="7C050FEE"/>
    <w:rsid w:val="7C152DB6"/>
    <w:rsid w:val="7C1F696C"/>
    <w:rsid w:val="7C241FA4"/>
    <w:rsid w:val="7C2B567E"/>
    <w:rsid w:val="7C2F7F24"/>
    <w:rsid w:val="7C3D0C61"/>
    <w:rsid w:val="7C4F6127"/>
    <w:rsid w:val="7C557027"/>
    <w:rsid w:val="7C705B15"/>
    <w:rsid w:val="7C743857"/>
    <w:rsid w:val="7C7524A0"/>
    <w:rsid w:val="7C774202"/>
    <w:rsid w:val="7C8F51E8"/>
    <w:rsid w:val="7CC2473D"/>
    <w:rsid w:val="7CF32D47"/>
    <w:rsid w:val="7CF47DC4"/>
    <w:rsid w:val="7D2D7E4F"/>
    <w:rsid w:val="7D3763C6"/>
    <w:rsid w:val="7D3D1C6F"/>
    <w:rsid w:val="7D574C31"/>
    <w:rsid w:val="7D7D2444"/>
    <w:rsid w:val="7DC17AA5"/>
    <w:rsid w:val="7DC225BC"/>
    <w:rsid w:val="7DD947CA"/>
    <w:rsid w:val="7DD949C1"/>
    <w:rsid w:val="7E0405CD"/>
    <w:rsid w:val="7E3F400C"/>
    <w:rsid w:val="7E3F5C67"/>
    <w:rsid w:val="7E485A8B"/>
    <w:rsid w:val="7E710432"/>
    <w:rsid w:val="7E723DC7"/>
    <w:rsid w:val="7E784FFE"/>
    <w:rsid w:val="7E985A2E"/>
    <w:rsid w:val="7EAF56A8"/>
    <w:rsid w:val="7EBF2EFE"/>
    <w:rsid w:val="7F0D36A8"/>
    <w:rsid w:val="7F0D6F9B"/>
    <w:rsid w:val="7F267E5E"/>
    <w:rsid w:val="7F315A30"/>
    <w:rsid w:val="7F511034"/>
    <w:rsid w:val="7F531E4A"/>
    <w:rsid w:val="7F6F772F"/>
    <w:rsid w:val="7FA8044F"/>
    <w:rsid w:val="7FB12B06"/>
    <w:rsid w:val="7FD12D6F"/>
    <w:rsid w:val="7FD840FD"/>
    <w:rsid w:val="7FF30DF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0"/>
    <w:pPr>
      <w:keepNext/>
      <w:jc w:val="center"/>
      <w:outlineLvl w:val="0"/>
    </w:pPr>
    <w:rPr>
      <w:b/>
      <w:bCs/>
      <w:kern w:val="0"/>
      <w:sz w:val="24"/>
      <w:szCs w:val="20"/>
    </w:rPr>
  </w:style>
  <w:style w:type="paragraph" w:styleId="4">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4"/>
    <w:qFormat/>
    <w:uiPriority w:val="99"/>
    <w:pPr>
      <w:widowControl/>
      <w:ind w:firstLine="420"/>
      <w:jc w:val="left"/>
    </w:pPr>
    <w:rPr>
      <w:kern w:val="0"/>
      <w:sz w:val="20"/>
      <w:szCs w:val="20"/>
    </w:rPr>
  </w:style>
  <w:style w:type="paragraph" w:styleId="14">
    <w:name w:val="Document Map"/>
    <w:basedOn w:val="1"/>
    <w:link w:val="128"/>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10"/>
    <w:unhideWhenUsed/>
    <w:qFormat/>
    <w:uiPriority w:val="99"/>
    <w:pPr>
      <w:jc w:val="left"/>
    </w:pPr>
  </w:style>
  <w:style w:type="paragraph" w:styleId="17">
    <w:name w:val="Salutation"/>
    <w:basedOn w:val="1"/>
    <w:next w:val="1"/>
    <w:link w:val="115"/>
    <w:qFormat/>
    <w:uiPriority w:val="0"/>
    <w:rPr>
      <w:rFonts w:ascii="仿宋_GB2312" w:eastAsia="仿宋_GB2312"/>
      <w:sz w:val="24"/>
    </w:rPr>
  </w:style>
  <w:style w:type="paragraph" w:styleId="18">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next w:val="1"/>
    <w:link w:val="118"/>
    <w:qFormat/>
    <w:uiPriority w:val="99"/>
    <w:pPr>
      <w:spacing w:after="120"/>
    </w:pPr>
  </w:style>
  <w:style w:type="paragraph" w:styleId="20">
    <w:name w:val="Body Text Indent"/>
    <w:basedOn w:val="1"/>
    <w:link w:val="98"/>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7"/>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40"/>
    <w:qFormat/>
    <w:uiPriority w:val="0"/>
    <w:rPr>
      <w:rFonts w:ascii="Calibri" w:hAnsi="Calibri" w:cs="黑体"/>
      <w:sz w:val="24"/>
      <w:szCs w:val="22"/>
    </w:rPr>
  </w:style>
  <w:style w:type="paragraph" w:styleId="28">
    <w:name w:val="Body Text Indent 2"/>
    <w:basedOn w:val="1"/>
    <w:link w:val="102"/>
    <w:qFormat/>
    <w:uiPriority w:val="0"/>
    <w:pPr>
      <w:spacing w:after="120" w:line="480" w:lineRule="auto"/>
      <w:ind w:left="420" w:leftChars="200"/>
    </w:pPr>
  </w:style>
  <w:style w:type="paragraph" w:styleId="29">
    <w:name w:val="Balloon Text"/>
    <w:basedOn w:val="1"/>
    <w:link w:val="97"/>
    <w:qFormat/>
    <w:uiPriority w:val="0"/>
    <w:rPr>
      <w:rFonts w:ascii="Calibri" w:hAnsi="Calibri" w:cs="黑体"/>
      <w:sz w:val="18"/>
      <w:szCs w:val="18"/>
    </w:rPr>
  </w:style>
  <w:style w:type="paragraph" w:styleId="30">
    <w:name w:val="footer"/>
    <w:basedOn w:val="1"/>
    <w:link w:val="63"/>
    <w:unhideWhenUsed/>
    <w:qFormat/>
    <w:uiPriority w:val="0"/>
    <w:pPr>
      <w:tabs>
        <w:tab w:val="center" w:pos="4153"/>
        <w:tab w:val="right" w:pos="8306"/>
      </w:tabs>
      <w:snapToGrid w:val="0"/>
      <w:jc w:val="left"/>
    </w:pPr>
    <w:rPr>
      <w:sz w:val="18"/>
      <w:szCs w:val="18"/>
    </w:rPr>
  </w:style>
  <w:style w:type="paragraph" w:styleId="31">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5"/>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3"/>
    <w:qFormat/>
    <w:uiPriority w:val="0"/>
    <w:pPr>
      <w:spacing w:after="120" w:line="480" w:lineRule="auto"/>
    </w:pPr>
  </w:style>
  <w:style w:type="paragraph" w:styleId="40">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1"/>
    <w:qFormat/>
    <w:uiPriority w:val="0"/>
    <w:pPr>
      <w:spacing w:before="240" w:after="60"/>
      <w:jc w:val="center"/>
      <w:outlineLvl w:val="0"/>
    </w:pPr>
    <w:rPr>
      <w:rFonts w:ascii="Cambria" w:hAnsi="Cambria"/>
      <w:b/>
      <w:sz w:val="32"/>
    </w:rPr>
  </w:style>
  <w:style w:type="paragraph" w:styleId="44">
    <w:name w:val="annotation subject"/>
    <w:basedOn w:val="16"/>
    <w:next w:val="16"/>
    <w:link w:val="87"/>
    <w:qFormat/>
    <w:uiPriority w:val="0"/>
    <w:rPr>
      <w:rFonts w:ascii="Calibri" w:hAnsi="Calibri" w:cs="黑体"/>
      <w:b/>
      <w:bCs/>
    </w:rPr>
  </w:style>
  <w:style w:type="paragraph" w:styleId="45">
    <w:name w:val="Body Text First Indent"/>
    <w:basedOn w:val="19"/>
    <w:link w:val="176"/>
    <w:unhideWhenUsed/>
    <w:qFormat/>
    <w:uiPriority w:val="0"/>
    <w:pPr>
      <w:spacing w:line="500" w:lineRule="exact"/>
      <w:ind w:firstLine="420" w:firstLineChars="200"/>
    </w:pPr>
  </w:style>
  <w:style w:type="paragraph" w:styleId="46">
    <w:name w:val="Body Text First Indent 2"/>
    <w:basedOn w:val="20"/>
    <w:qFormat/>
    <w:uiPriority w:val="6"/>
    <w:pPr>
      <w:ind w:firstLine="420"/>
      <w:jc w:val="left"/>
    </w:pPr>
    <w:rPr>
      <w:rFonts w:cs="Calibri"/>
      <w:kern w:val="0"/>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basedOn w:val="49"/>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字符"/>
    <w:basedOn w:val="49"/>
    <w:link w:val="31"/>
    <w:qFormat/>
    <w:uiPriority w:val="0"/>
    <w:rPr>
      <w:sz w:val="18"/>
      <w:szCs w:val="18"/>
    </w:rPr>
  </w:style>
  <w:style w:type="character" w:customStyle="1" w:styleId="63">
    <w:name w:val="页脚 字符"/>
    <w:basedOn w:val="49"/>
    <w:link w:val="30"/>
    <w:qFormat/>
    <w:uiPriority w:val="0"/>
    <w:rPr>
      <w:sz w:val="18"/>
      <w:szCs w:val="18"/>
    </w:rPr>
  </w:style>
  <w:style w:type="character" w:customStyle="1" w:styleId="64">
    <w:name w:val="标题 1 字符"/>
    <w:basedOn w:val="49"/>
    <w:link w:val="3"/>
    <w:qFormat/>
    <w:uiPriority w:val="0"/>
    <w:rPr>
      <w:rFonts w:ascii="Times New Roman" w:hAnsi="Times New Roman" w:eastAsia="宋体" w:cs="Times New Roman"/>
      <w:b/>
      <w:bCs/>
      <w:kern w:val="0"/>
      <w:sz w:val="24"/>
      <w:szCs w:val="20"/>
    </w:rPr>
  </w:style>
  <w:style w:type="character" w:customStyle="1" w:styleId="65">
    <w:name w:val="标题 2 字符"/>
    <w:basedOn w:val="49"/>
    <w:link w:val="4"/>
    <w:qFormat/>
    <w:uiPriority w:val="0"/>
    <w:rPr>
      <w:rFonts w:ascii="Arial" w:hAnsi="Arial" w:eastAsia="宋体" w:cs="Times New Roman"/>
      <w:b/>
      <w:bCs/>
      <w:kern w:val="0"/>
      <w:sz w:val="24"/>
      <w:szCs w:val="32"/>
    </w:rPr>
  </w:style>
  <w:style w:type="character" w:customStyle="1" w:styleId="66">
    <w:name w:val="标题 3 字符"/>
    <w:basedOn w:val="49"/>
    <w:link w:val="5"/>
    <w:qFormat/>
    <w:uiPriority w:val="0"/>
    <w:rPr>
      <w:rFonts w:ascii="Times New Roman" w:hAnsi="Times New Roman" w:eastAsia="宋体" w:cs="Times New Roman"/>
      <w:b/>
      <w:bCs/>
      <w:kern w:val="0"/>
      <w:sz w:val="32"/>
      <w:szCs w:val="32"/>
    </w:rPr>
  </w:style>
  <w:style w:type="character" w:customStyle="1" w:styleId="67">
    <w:name w:val="标题 4 字符"/>
    <w:basedOn w:val="49"/>
    <w:link w:val="6"/>
    <w:qFormat/>
    <w:uiPriority w:val="0"/>
    <w:rPr>
      <w:rFonts w:ascii="Arial" w:hAnsi="Arial" w:eastAsia="黑体" w:cs="Times New Roman"/>
      <w:b/>
      <w:bCs/>
      <w:kern w:val="0"/>
      <w:sz w:val="28"/>
      <w:szCs w:val="28"/>
    </w:rPr>
  </w:style>
  <w:style w:type="character" w:customStyle="1" w:styleId="68">
    <w:name w:val="标题 5 字符"/>
    <w:basedOn w:val="49"/>
    <w:link w:val="7"/>
    <w:qFormat/>
    <w:uiPriority w:val="0"/>
    <w:rPr>
      <w:rFonts w:ascii="Times New Roman" w:hAnsi="Times New Roman" w:eastAsia="宋体" w:cs="Times New Roman"/>
      <w:b/>
      <w:bCs/>
      <w:kern w:val="0"/>
      <w:sz w:val="28"/>
      <w:szCs w:val="28"/>
    </w:rPr>
  </w:style>
  <w:style w:type="character" w:customStyle="1" w:styleId="69">
    <w:name w:val="标题 6 字符"/>
    <w:basedOn w:val="49"/>
    <w:link w:val="8"/>
    <w:qFormat/>
    <w:uiPriority w:val="0"/>
    <w:rPr>
      <w:rFonts w:ascii="Arial" w:hAnsi="Arial" w:eastAsia="黑体" w:cs="Times New Roman"/>
      <w:b/>
      <w:bCs/>
      <w:kern w:val="0"/>
      <w:sz w:val="24"/>
      <w:szCs w:val="24"/>
    </w:rPr>
  </w:style>
  <w:style w:type="character" w:customStyle="1" w:styleId="70">
    <w:name w:val="标题 7 字符"/>
    <w:basedOn w:val="49"/>
    <w:link w:val="9"/>
    <w:qFormat/>
    <w:uiPriority w:val="0"/>
    <w:rPr>
      <w:rFonts w:ascii="Times New Roman" w:hAnsi="Times New Roman" w:eastAsia="宋体" w:cs="Times New Roman"/>
      <w:b/>
      <w:bCs/>
      <w:kern w:val="0"/>
      <w:sz w:val="24"/>
      <w:szCs w:val="24"/>
    </w:rPr>
  </w:style>
  <w:style w:type="character" w:customStyle="1" w:styleId="71">
    <w:name w:val="标题 8 字符"/>
    <w:basedOn w:val="49"/>
    <w:link w:val="10"/>
    <w:qFormat/>
    <w:uiPriority w:val="0"/>
    <w:rPr>
      <w:rFonts w:ascii="Arial" w:hAnsi="Arial" w:eastAsia="黑体" w:cs="Times New Roman"/>
      <w:kern w:val="0"/>
      <w:sz w:val="24"/>
      <w:szCs w:val="24"/>
    </w:rPr>
  </w:style>
  <w:style w:type="character" w:customStyle="1" w:styleId="72">
    <w:name w:val="标题 9 字符"/>
    <w:basedOn w:val="49"/>
    <w:link w:val="11"/>
    <w:qFormat/>
    <w:uiPriority w:val="0"/>
    <w:rPr>
      <w:rFonts w:ascii="Arial" w:hAnsi="Arial" w:eastAsia="黑体" w:cs="Times New Roman"/>
      <w:kern w:val="0"/>
      <w:sz w:val="20"/>
      <w:szCs w:val="21"/>
    </w:rPr>
  </w:style>
  <w:style w:type="character" w:customStyle="1" w:styleId="73">
    <w:name w:val="正文文本 2 字符"/>
    <w:basedOn w:val="49"/>
    <w:link w:val="39"/>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9"/>
    <w:qFormat/>
    <w:uiPriority w:val="0"/>
    <w:rPr>
      <w:rFonts w:ascii="Cambria" w:hAnsi="Cambria" w:eastAsia="宋体" w:cs="Times New Roman"/>
      <w:b/>
      <w:bCs/>
      <w:sz w:val="28"/>
      <w:szCs w:val="28"/>
    </w:rPr>
  </w:style>
  <w:style w:type="character" w:customStyle="1" w:styleId="78">
    <w:name w:val="日期 Char"/>
    <w:basedOn w:val="49"/>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字符"/>
    <w:link w:val="44"/>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9"/>
    <w:qFormat/>
    <w:uiPriority w:val="0"/>
    <w:rPr>
      <w:rFonts w:hint="eastAsia" w:ascii="宋体" w:hAnsi="宋体" w:eastAsia="宋体" w:cs="宋体"/>
      <w:color w:val="000000"/>
      <w:sz w:val="18"/>
      <w:szCs w:val="18"/>
      <w:u w:val="none"/>
    </w:rPr>
  </w:style>
  <w:style w:type="character" w:customStyle="1" w:styleId="93">
    <w:name w:val="font01"/>
    <w:basedOn w:val="49"/>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9"/>
    <w:qFormat/>
    <w:uiPriority w:val="0"/>
    <w:rPr>
      <w:rFonts w:ascii="Times New Roman" w:hAnsi="Times New Roman" w:eastAsia="宋体" w:cs="Times New Roman"/>
      <w:sz w:val="18"/>
      <w:szCs w:val="18"/>
    </w:rPr>
  </w:style>
  <w:style w:type="character" w:customStyle="1" w:styleId="97">
    <w:name w:val="批注框文本 字符"/>
    <w:link w:val="29"/>
    <w:qFormat/>
    <w:locked/>
    <w:uiPriority w:val="0"/>
    <w:rPr>
      <w:rFonts w:ascii="Calibri" w:hAnsi="Calibri" w:eastAsia="宋体" w:cs="黑体"/>
      <w:sz w:val="18"/>
      <w:szCs w:val="18"/>
    </w:rPr>
  </w:style>
  <w:style w:type="character" w:customStyle="1" w:styleId="98">
    <w:name w:val="正文文本缩进 字符"/>
    <w:basedOn w:val="49"/>
    <w:link w:val="20"/>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字符"/>
    <w:basedOn w:val="49"/>
    <w:link w:val="43"/>
    <w:qFormat/>
    <w:uiPriority w:val="0"/>
    <w:rPr>
      <w:rFonts w:ascii="Cambria" w:hAnsi="Cambria" w:eastAsia="宋体" w:cs="Times New Roman"/>
      <w:b/>
      <w:sz w:val="32"/>
      <w:szCs w:val="24"/>
    </w:rPr>
  </w:style>
  <w:style w:type="character" w:customStyle="1" w:styleId="102">
    <w:name w:val="正文文本缩进 2 字符"/>
    <w:basedOn w:val="49"/>
    <w:link w:val="28"/>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9"/>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字符"/>
    <w:basedOn w:val="49"/>
    <w:link w:val="25"/>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字符"/>
    <w:basedOn w:val="49"/>
    <w:link w:val="16"/>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字符"/>
    <w:basedOn w:val="49"/>
    <w:link w:val="40"/>
    <w:qFormat/>
    <w:uiPriority w:val="0"/>
    <w:rPr>
      <w:rFonts w:ascii="Arial" w:hAnsi="Arial" w:eastAsia="宋体" w:cs="Arial"/>
      <w:kern w:val="0"/>
      <w:sz w:val="24"/>
      <w:szCs w:val="24"/>
    </w:rPr>
  </w:style>
  <w:style w:type="character" w:customStyle="1" w:styleId="115">
    <w:name w:val="称呼 字符"/>
    <w:basedOn w:val="49"/>
    <w:link w:val="17"/>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字符"/>
    <w:basedOn w:val="49"/>
    <w:link w:val="19"/>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9"/>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字符"/>
    <w:link w:val="36"/>
    <w:qFormat/>
    <w:uiPriority w:val="0"/>
    <w:rPr>
      <w:rFonts w:ascii="Calibri" w:hAnsi="Calibri" w:eastAsia="宋体" w:cs="黑体"/>
      <w:sz w:val="16"/>
      <w:szCs w:val="16"/>
    </w:rPr>
  </w:style>
  <w:style w:type="character" w:customStyle="1" w:styleId="126">
    <w:name w:val="副标题 字符"/>
    <w:basedOn w:val="49"/>
    <w:link w:val="34"/>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字符"/>
    <w:basedOn w:val="49"/>
    <w:link w:val="14"/>
    <w:qFormat/>
    <w:uiPriority w:val="0"/>
    <w:rPr>
      <w:rFonts w:ascii="Times New Roman" w:hAnsi="Times New Roman" w:eastAsia="宋体" w:cs="Times New Roman"/>
      <w:szCs w:val="24"/>
      <w:shd w:val="clear" w:color="auto" w:fill="000080"/>
    </w:rPr>
  </w:style>
  <w:style w:type="character" w:customStyle="1" w:styleId="129">
    <w:name w:val="标题 1 Char"/>
    <w:basedOn w:val="49"/>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9"/>
    <w:qFormat/>
    <w:uiPriority w:val="0"/>
    <w:rPr>
      <w:rFonts w:ascii="Cambria" w:hAnsi="Cambria" w:eastAsia="宋体" w:cs="Times New Roman"/>
      <w:b/>
      <w:bCs/>
      <w:sz w:val="32"/>
      <w:szCs w:val="32"/>
    </w:rPr>
  </w:style>
  <w:style w:type="character" w:customStyle="1" w:styleId="133">
    <w:name w:val="纯文本 Char1"/>
    <w:basedOn w:val="49"/>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9"/>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9"/>
    <w:qFormat/>
    <w:uiPriority w:val="0"/>
    <w:rPr>
      <w:rFonts w:ascii="Cambria" w:hAnsi="Cambria" w:eastAsia="宋体" w:cs="Times New Roman"/>
      <w:b/>
      <w:bCs/>
      <w:sz w:val="32"/>
      <w:szCs w:val="32"/>
    </w:rPr>
  </w:style>
  <w:style w:type="character" w:customStyle="1" w:styleId="139">
    <w:name w:val="font41"/>
    <w:basedOn w:val="49"/>
    <w:qFormat/>
    <w:uiPriority w:val="0"/>
    <w:rPr>
      <w:rFonts w:hint="eastAsia" w:ascii="宋体" w:hAnsi="宋体" w:eastAsia="宋体" w:cs="宋体"/>
      <w:color w:val="000000"/>
      <w:sz w:val="22"/>
      <w:szCs w:val="22"/>
      <w:u w:val="single"/>
    </w:rPr>
  </w:style>
  <w:style w:type="character" w:customStyle="1" w:styleId="140">
    <w:name w:val="日期 字符"/>
    <w:link w:val="27"/>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9"/>
    <w:qFormat/>
    <w:uiPriority w:val="0"/>
    <w:rPr>
      <w:rFonts w:ascii="Cambria" w:hAnsi="Cambria" w:eastAsia="宋体" w:cs="Times New Roman"/>
      <w:sz w:val="24"/>
      <w:szCs w:val="24"/>
    </w:rPr>
  </w:style>
  <w:style w:type="character" w:customStyle="1" w:styleId="149">
    <w:name w:val="正文文本 3 字符"/>
    <w:basedOn w:val="49"/>
    <w:link w:val="18"/>
    <w:qFormat/>
    <w:uiPriority w:val="0"/>
    <w:rPr>
      <w:rFonts w:ascii="宋体" w:hAnsi="Times New Roman" w:eastAsia="宋体" w:cs="Times New Roman"/>
      <w:color w:val="000000"/>
      <w:kern w:val="0"/>
      <w:sz w:val="24"/>
      <w:szCs w:val="20"/>
    </w:rPr>
  </w:style>
  <w:style w:type="character" w:customStyle="1" w:styleId="150">
    <w:name w:val="font71"/>
    <w:basedOn w:val="49"/>
    <w:qFormat/>
    <w:uiPriority w:val="0"/>
    <w:rPr>
      <w:rFonts w:hint="eastAsia" w:ascii="宋体" w:hAnsi="宋体" w:eastAsia="宋体" w:cs="宋体"/>
      <w:b/>
      <w:color w:val="000000"/>
      <w:sz w:val="22"/>
      <w:szCs w:val="22"/>
      <w:u w:val="none"/>
    </w:rPr>
  </w:style>
  <w:style w:type="character" w:customStyle="1" w:styleId="151">
    <w:name w:val="font21"/>
    <w:basedOn w:val="49"/>
    <w:qFormat/>
    <w:uiPriority w:val="0"/>
    <w:rPr>
      <w:rFonts w:hint="eastAsia" w:ascii="宋体" w:hAnsi="宋体" w:eastAsia="宋体" w:cs="宋体"/>
      <w:color w:val="000000"/>
      <w:sz w:val="18"/>
      <w:szCs w:val="18"/>
      <w:u w:val="none"/>
    </w:rPr>
  </w:style>
  <w:style w:type="character" w:customStyle="1" w:styleId="152">
    <w:name w:val="标题 9 Char"/>
    <w:basedOn w:val="49"/>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9"/>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9"/>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9"/>
    <w:semiHidden/>
    <w:qFormat/>
    <w:uiPriority w:val="99"/>
    <w:rPr>
      <w:rFonts w:ascii="Times New Roman" w:hAnsi="Times New Roman" w:eastAsia="宋体" w:cs="Times New Roman"/>
      <w:szCs w:val="24"/>
    </w:rPr>
  </w:style>
  <w:style w:type="character" w:customStyle="1" w:styleId="166">
    <w:name w:val="正文文本缩进 字符1"/>
    <w:basedOn w:val="49"/>
    <w:semiHidden/>
    <w:qFormat/>
    <w:uiPriority w:val="99"/>
    <w:rPr>
      <w:rFonts w:ascii="Times New Roman" w:hAnsi="Times New Roman" w:eastAsia="宋体" w:cs="Times New Roman"/>
      <w:szCs w:val="24"/>
    </w:rPr>
  </w:style>
  <w:style w:type="character" w:customStyle="1" w:styleId="167">
    <w:name w:val="正文文本 3 字符1"/>
    <w:basedOn w:val="49"/>
    <w:semiHidden/>
    <w:qFormat/>
    <w:uiPriority w:val="99"/>
    <w:rPr>
      <w:rFonts w:ascii="Times New Roman" w:hAnsi="Times New Roman" w:eastAsia="宋体" w:cs="Times New Roman"/>
      <w:sz w:val="16"/>
      <w:szCs w:val="16"/>
    </w:rPr>
  </w:style>
  <w:style w:type="character" w:customStyle="1" w:styleId="168">
    <w:name w:val="称呼 字符1"/>
    <w:basedOn w:val="49"/>
    <w:semiHidden/>
    <w:qFormat/>
    <w:uiPriority w:val="99"/>
    <w:rPr>
      <w:rFonts w:ascii="Times New Roman" w:hAnsi="Times New Roman" w:eastAsia="宋体" w:cs="Times New Roman"/>
      <w:szCs w:val="24"/>
    </w:rPr>
  </w:style>
  <w:style w:type="character" w:customStyle="1" w:styleId="169">
    <w:name w:val="批注框文本 字符1"/>
    <w:basedOn w:val="49"/>
    <w:semiHidden/>
    <w:qFormat/>
    <w:uiPriority w:val="99"/>
    <w:rPr>
      <w:rFonts w:ascii="Times New Roman" w:hAnsi="Times New Roman" w:eastAsia="宋体" w:cs="Times New Roman"/>
      <w:sz w:val="18"/>
      <w:szCs w:val="18"/>
    </w:rPr>
  </w:style>
  <w:style w:type="character" w:customStyle="1" w:styleId="170">
    <w:name w:val="正文文本缩进 3 字符1"/>
    <w:basedOn w:val="49"/>
    <w:semiHidden/>
    <w:qFormat/>
    <w:uiPriority w:val="99"/>
    <w:rPr>
      <w:rFonts w:ascii="Times New Roman" w:hAnsi="Times New Roman" w:eastAsia="宋体" w:cs="Times New Roman"/>
      <w:sz w:val="16"/>
      <w:szCs w:val="16"/>
    </w:rPr>
  </w:style>
  <w:style w:type="character" w:customStyle="1" w:styleId="171">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2">
    <w:name w:val="日期 字符1"/>
    <w:basedOn w:val="49"/>
    <w:semiHidden/>
    <w:qFormat/>
    <w:uiPriority w:val="99"/>
    <w:rPr>
      <w:rFonts w:ascii="Times New Roman" w:hAnsi="Times New Roman" w:eastAsia="宋体" w:cs="Times New Roman"/>
      <w:szCs w:val="24"/>
    </w:rPr>
  </w:style>
  <w:style w:type="character" w:customStyle="1" w:styleId="173">
    <w:name w:val="正文文本 字符1"/>
    <w:basedOn w:val="49"/>
    <w:semiHidden/>
    <w:qFormat/>
    <w:uiPriority w:val="99"/>
    <w:rPr>
      <w:rFonts w:ascii="Times New Roman" w:hAnsi="Times New Roman" w:eastAsia="宋体" w:cs="Times New Roman"/>
      <w:szCs w:val="24"/>
    </w:rPr>
  </w:style>
  <w:style w:type="character" w:customStyle="1" w:styleId="174">
    <w:name w:val="批注文字 字符1"/>
    <w:basedOn w:val="49"/>
    <w:semiHidden/>
    <w:qFormat/>
    <w:uiPriority w:val="99"/>
    <w:rPr>
      <w:rFonts w:ascii="Times New Roman" w:hAnsi="Times New Roman" w:eastAsia="宋体" w:cs="Times New Roman"/>
      <w:szCs w:val="24"/>
    </w:rPr>
  </w:style>
  <w:style w:type="character" w:customStyle="1" w:styleId="175">
    <w:name w:val="HTML 预设格式 字符1"/>
    <w:basedOn w:val="49"/>
    <w:semiHidden/>
    <w:qFormat/>
    <w:uiPriority w:val="99"/>
    <w:rPr>
      <w:rFonts w:ascii="Courier New" w:hAnsi="Courier New" w:eastAsia="宋体" w:cs="Courier New"/>
      <w:sz w:val="20"/>
      <w:szCs w:val="20"/>
    </w:rPr>
  </w:style>
  <w:style w:type="character" w:customStyle="1" w:styleId="176">
    <w:name w:val="正文文本首行缩进 字符"/>
    <w:basedOn w:val="173"/>
    <w:link w:val="45"/>
    <w:qFormat/>
    <w:uiPriority w:val="0"/>
    <w:rPr>
      <w:rFonts w:ascii="Times New Roman" w:hAnsi="Times New Roman" w:eastAsia="宋体" w:cs="Times New Roman"/>
      <w:szCs w:val="24"/>
    </w:rPr>
  </w:style>
  <w:style w:type="character" w:customStyle="1" w:styleId="177">
    <w:name w:val="正文文本 2 字符1"/>
    <w:basedOn w:val="49"/>
    <w:semiHidden/>
    <w:qFormat/>
    <w:uiPriority w:val="99"/>
    <w:rPr>
      <w:rFonts w:ascii="Times New Roman" w:hAnsi="Times New Roman" w:eastAsia="宋体" w:cs="Times New Roman"/>
      <w:szCs w:val="24"/>
    </w:rPr>
  </w:style>
  <w:style w:type="character" w:customStyle="1" w:styleId="178">
    <w:name w:val="副标题 字符1"/>
    <w:basedOn w:val="49"/>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9"/>
    <w:qFormat/>
    <w:uiPriority w:val="10"/>
    <w:rPr>
      <w:rFonts w:asciiTheme="majorHAnsi" w:hAnsiTheme="majorHAnsi" w:eastAsiaTheme="majorEastAsia" w:cstheme="majorBidi"/>
      <w:b/>
      <w:bCs/>
      <w:sz w:val="32"/>
      <w:szCs w:val="32"/>
    </w:rPr>
  </w:style>
  <w:style w:type="character" w:customStyle="1" w:styleId="181">
    <w:name w:val="纯文本 字符1"/>
    <w:basedOn w:val="49"/>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19"/>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4"/>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3"/>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3"/>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3"/>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字符"/>
    <w:link w:val="13"/>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字符"/>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4"/>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3"/>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6"/>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4"/>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4"/>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E7CA47-0283-4058-B383-FCC9AD4C6B5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34</Pages>
  <Words>13659</Words>
  <Characters>14282</Characters>
  <Lines>120</Lines>
  <Paragraphs>34</Paragraphs>
  <TotalTime>19</TotalTime>
  <ScaleCrop>false</ScaleCrop>
  <LinksUpToDate>false</LinksUpToDate>
  <CharactersWithSpaces>15040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杨喜笑</cp:lastModifiedBy>
  <cp:lastPrinted>2019-09-10T07:16:00Z</cp:lastPrinted>
  <dcterms:modified xsi:type="dcterms:W3CDTF">2023-01-03T07:13:22Z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7C874A77AA8D4DEBB146A54206B9C58F</vt:lpwstr>
  </property>
</Properties>
</file>