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hAnsi="宋体"/>
          <w:b/>
          <w:bCs/>
          <w:sz w:val="52"/>
          <w:szCs w:val="52"/>
        </w:rPr>
      </w:pPr>
      <w:r>
        <w:rPr>
          <w:rFonts w:hint="eastAsia" w:hAnsi="宋体"/>
          <w:b/>
          <w:sz w:val="52"/>
          <w:szCs w:val="52"/>
        </w:rPr>
        <w:t>长沙市轨道交通运营有限公司</w:t>
      </w:r>
    </w:p>
    <w:p>
      <w:pPr>
        <w:pStyle w:val="25"/>
        <w:adjustRightInd w:val="0"/>
        <w:snapToGrid w:val="0"/>
        <w:spacing w:line="360" w:lineRule="auto"/>
        <w:jc w:val="center"/>
        <w:rPr>
          <w:rFonts w:hAnsi="宋体"/>
          <w:b/>
          <w:sz w:val="52"/>
          <w:szCs w:val="52"/>
        </w:rPr>
      </w:pPr>
      <w:r>
        <w:rPr>
          <w:rFonts w:hint="eastAsia" w:hAnsi="宋体"/>
          <w:b/>
          <w:sz w:val="52"/>
          <w:szCs w:val="52"/>
        </w:rPr>
        <w:t>自主竞争性谈判文件</w:t>
      </w:r>
    </w:p>
    <w:p>
      <w:pPr>
        <w:pStyle w:val="25"/>
        <w:adjustRightInd w:val="0"/>
        <w:snapToGrid w:val="0"/>
        <w:spacing w:before="159" w:beforeLines="50" w:line="360" w:lineRule="auto"/>
        <w:rPr>
          <w:b/>
          <w:sz w:val="32"/>
          <w:szCs w:val="32"/>
        </w:rPr>
      </w:pPr>
    </w:p>
    <w:p>
      <w:pPr>
        <w:pStyle w:val="25"/>
        <w:adjustRightInd w:val="0"/>
        <w:snapToGrid w:val="0"/>
        <w:spacing w:line="360" w:lineRule="auto"/>
        <w:rPr>
          <w:rFonts w:ascii="华文中宋" w:hAnsi="华文中宋" w:eastAsia="华文中宋"/>
          <w:sz w:val="32"/>
          <w:szCs w:val="32"/>
        </w:rPr>
      </w:pPr>
    </w:p>
    <w:p>
      <w:pPr>
        <w:spacing w:line="360" w:lineRule="auto"/>
        <w:ind w:left="2889" w:leftChars="152" w:hanging="2570" w:hangingChars="800"/>
        <w:jc w:val="left"/>
        <w:rPr>
          <w:rFonts w:ascii="宋体" w:hAnsi="宋体" w:cs="Courier New"/>
          <w:b/>
          <w:sz w:val="32"/>
          <w:szCs w:val="21"/>
          <w:u w:val="single"/>
        </w:rPr>
      </w:pPr>
      <w:r>
        <w:rPr>
          <w:rFonts w:hint="eastAsia" w:ascii="宋体" w:hAnsi="宋体" w:cs="Courier New"/>
          <w:b/>
          <w:sz w:val="32"/>
          <w:szCs w:val="21"/>
        </w:rPr>
        <w:t>谈判项目名称：</w:t>
      </w:r>
      <w:r>
        <w:rPr>
          <w:rFonts w:hint="eastAsia" w:ascii="宋体" w:hAnsi="宋体" w:cs="Courier New"/>
          <w:b/>
          <w:sz w:val="32"/>
          <w:szCs w:val="21"/>
          <w:u w:val="single"/>
        </w:rPr>
        <w:t>长沙市轨道交通2号线运营期2022年-2024</w:t>
      </w:r>
    </w:p>
    <w:p>
      <w:pPr>
        <w:spacing w:line="360" w:lineRule="auto"/>
        <w:ind w:firstLine="2570" w:firstLineChars="800"/>
        <w:jc w:val="left"/>
        <w:rPr>
          <w:rFonts w:ascii="宋体" w:hAnsi="宋体" w:cs="Courier New"/>
          <w:b/>
          <w:sz w:val="32"/>
          <w:szCs w:val="21"/>
          <w:u w:val="single"/>
        </w:rPr>
      </w:pPr>
      <w:r>
        <w:rPr>
          <w:rFonts w:hint="eastAsia" w:ascii="宋体" w:hAnsi="宋体" w:cs="Courier New"/>
          <w:b/>
          <w:sz w:val="32"/>
          <w:szCs w:val="21"/>
          <w:u w:val="single"/>
        </w:rPr>
        <w:t>年EAP员工帮扶计划服务项目</w:t>
      </w:r>
    </w:p>
    <w:p>
      <w:pPr>
        <w:spacing w:line="360" w:lineRule="auto"/>
        <w:ind w:left="2240" w:firstLine="321" w:firstLineChars="100"/>
        <w:jc w:val="left"/>
        <w:rPr>
          <w:rFonts w:ascii="宋体" w:hAnsi="宋体" w:cs="Courier New"/>
          <w:b/>
          <w:sz w:val="32"/>
          <w:szCs w:val="21"/>
        </w:rPr>
      </w:pPr>
    </w:p>
    <w:p>
      <w:pPr>
        <w:pStyle w:val="25"/>
        <w:adjustRightInd w:val="0"/>
        <w:snapToGrid w:val="0"/>
        <w:spacing w:line="360" w:lineRule="auto"/>
        <w:ind w:firstLine="321" w:firstLineChars="100"/>
        <w:jc w:val="left"/>
        <w:rPr>
          <w:rFonts w:hAnsi="宋体" w:cs="宋体"/>
          <w:b/>
          <w:sz w:val="32"/>
        </w:rPr>
      </w:pPr>
      <w:r>
        <w:rPr>
          <w:rFonts w:hint="eastAsia" w:hAnsi="宋体"/>
          <w:b/>
          <w:sz w:val="32"/>
        </w:rPr>
        <w:t>采购单位名称：</w:t>
      </w:r>
      <w:r>
        <w:rPr>
          <w:rFonts w:hint="eastAsia" w:hAnsi="宋体"/>
          <w:b/>
          <w:sz w:val="32"/>
          <w:u w:val="single"/>
        </w:rPr>
        <w:t>长沙市轨道交通运营有限公司</w:t>
      </w:r>
    </w:p>
    <w:p>
      <w:pPr>
        <w:pStyle w:val="25"/>
        <w:adjustRightInd w:val="0"/>
        <w:snapToGrid w:val="0"/>
        <w:spacing w:line="360" w:lineRule="auto"/>
        <w:ind w:firstLine="321" w:firstLineChars="100"/>
        <w:jc w:val="left"/>
        <w:rPr>
          <w:rFonts w:hAnsi="宋体"/>
          <w:b/>
          <w:sz w:val="32"/>
        </w:rPr>
      </w:pPr>
    </w:p>
    <w:p>
      <w:pPr>
        <w:pStyle w:val="25"/>
        <w:adjustRightInd w:val="0"/>
        <w:snapToGrid w:val="0"/>
        <w:spacing w:line="360" w:lineRule="auto"/>
        <w:ind w:firstLine="321" w:firstLineChars="100"/>
        <w:jc w:val="left"/>
        <w:rPr>
          <w:rFonts w:hAnsi="宋体"/>
          <w:b/>
          <w:color w:val="FF0000"/>
          <w:sz w:val="32"/>
          <w:u w:val="single"/>
        </w:rPr>
      </w:pPr>
      <w:r>
        <w:rPr>
          <w:rFonts w:hint="eastAsia" w:hAnsi="宋体"/>
          <w:b/>
          <w:sz w:val="32"/>
        </w:rPr>
        <w:t>谈判项目编号：</w:t>
      </w:r>
      <w:r>
        <w:rPr>
          <w:rFonts w:hint="eastAsia" w:hAnsi="宋体"/>
          <w:b/>
          <w:sz w:val="32"/>
          <w:u w:val="single"/>
        </w:rPr>
        <w:t>长轨运服采【2022】32号</w:t>
      </w:r>
    </w:p>
    <w:p>
      <w:pPr>
        <w:pStyle w:val="25"/>
        <w:adjustRightInd w:val="0"/>
        <w:snapToGrid w:val="0"/>
        <w:spacing w:before="159" w:beforeLines="50" w:line="360" w:lineRule="auto"/>
        <w:rPr>
          <w:b/>
          <w:sz w:val="32"/>
          <w:szCs w:val="32"/>
        </w:rPr>
      </w:pPr>
    </w:p>
    <w:p>
      <w:pPr>
        <w:pStyle w:val="25"/>
        <w:adjustRightInd w:val="0"/>
        <w:snapToGrid w:val="0"/>
        <w:spacing w:before="159" w:beforeLines="50" w:line="360" w:lineRule="auto"/>
        <w:rPr>
          <w:b/>
          <w:sz w:val="32"/>
          <w:szCs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Cs/>
          <w:sz w:val="32"/>
        </w:rPr>
      </w:pPr>
    </w:p>
    <w:p>
      <w:pPr>
        <w:pStyle w:val="25"/>
        <w:adjustRightInd w:val="0"/>
        <w:snapToGrid w:val="0"/>
        <w:spacing w:line="360" w:lineRule="auto"/>
        <w:jc w:val="center"/>
        <w:rPr>
          <w:rFonts w:hAnsi="宋体"/>
          <w:b/>
          <w:color w:val="auto"/>
          <w:sz w:val="32"/>
        </w:rPr>
      </w:pPr>
      <w:r>
        <w:rPr>
          <w:rFonts w:hint="eastAsia" w:hAnsi="宋体"/>
          <w:b/>
          <w:sz w:val="32"/>
        </w:rPr>
        <w:t>二〇二二年</w:t>
      </w:r>
      <w:r>
        <w:rPr>
          <w:rFonts w:hint="eastAsia" w:hAnsi="宋体"/>
          <w:b/>
          <w:color w:val="auto"/>
          <w:sz w:val="32"/>
        </w:rPr>
        <w:t>十二月</w:t>
      </w:r>
    </w:p>
    <w:p>
      <w:pPr>
        <w:pStyle w:val="25"/>
        <w:adjustRightInd w:val="0"/>
        <w:snapToGrid w:val="0"/>
        <w:spacing w:line="360" w:lineRule="auto"/>
        <w:jc w:val="center"/>
        <w:rPr>
          <w:rFonts w:hAnsi="宋体"/>
          <w:b/>
          <w:color w:val="FF0000"/>
          <w:sz w:val="32"/>
        </w:rPr>
        <w:sectPr>
          <w:footerReference r:id="rId3" w:type="default"/>
          <w:pgSz w:w="11906" w:h="16838"/>
          <w:pgMar w:top="2098" w:right="1474" w:bottom="1984" w:left="1587" w:header="851" w:footer="992" w:gutter="0"/>
          <w:pgNumType w:start="1"/>
          <w:cols w:space="0" w:num="1"/>
          <w:docGrid w:type="lines" w:linePitch="319" w:charSpace="0"/>
        </w:sectPr>
      </w:pPr>
    </w:p>
    <w:p>
      <w:pPr>
        <w:jc w:val="center"/>
        <w:rPr>
          <w:rFonts w:ascii="宋体" w:hAnsi="宋体" w:cs="宋体"/>
          <w:b/>
          <w:bCs/>
          <w:sz w:val="32"/>
          <w:szCs w:val="32"/>
        </w:rPr>
      </w:pPr>
      <w:bookmarkStart w:id="0" w:name="_Toc14891064"/>
      <w:r>
        <w:rPr>
          <w:rFonts w:hint="eastAsia" w:ascii="宋体" w:hAnsi="宋体" w:cs="宋体"/>
          <w:b/>
          <w:bCs/>
          <w:sz w:val="32"/>
          <w:szCs w:val="32"/>
        </w:rPr>
        <w:t>目   录</w:t>
      </w:r>
    </w:p>
    <w:p>
      <w:pPr>
        <w:pStyle w:val="32"/>
        <w:tabs>
          <w:tab w:val="right" w:leader="dot" w:pos="8845"/>
        </w:tabs>
        <w:spacing w:line="420" w:lineRule="exact"/>
      </w:pPr>
      <w:r>
        <w:rPr>
          <w:rFonts w:hint="eastAsia" w:ascii="宋体" w:hAnsi="宋体" w:cs="宋体"/>
        </w:rPr>
        <w:fldChar w:fldCharType="begin"/>
      </w:r>
      <w:r>
        <w:rPr>
          <w:rFonts w:hint="eastAsia" w:ascii="宋体" w:hAnsi="宋体" w:cs="宋体"/>
        </w:rPr>
        <w:instrText xml:space="preserve">TOC \o "1-2" \h \u </w:instrText>
      </w:r>
      <w:r>
        <w:rPr>
          <w:rFonts w:hint="eastAsia" w:ascii="宋体" w:hAnsi="宋体" w:cs="宋体"/>
        </w:rPr>
        <w:fldChar w:fldCharType="separate"/>
      </w:r>
      <w:r>
        <w:fldChar w:fldCharType="begin"/>
      </w:r>
      <w:r>
        <w:instrText xml:space="preserve"> HYPERLINK \l "_Toc10838" </w:instrText>
      </w:r>
      <w:r>
        <w:fldChar w:fldCharType="separate"/>
      </w:r>
      <w:r>
        <w:rPr>
          <w:rFonts w:hint="eastAsia" w:ascii="宋体" w:hAnsi="宋体" w:cs="宋体"/>
          <w:szCs w:val="32"/>
        </w:rPr>
        <w:t>第一章  谈判邀请公告</w:t>
      </w:r>
      <w:r>
        <w:tab/>
      </w:r>
      <w:r>
        <w:fldChar w:fldCharType="begin"/>
      </w:r>
      <w:r>
        <w:instrText xml:space="preserve"> PAGEREF _Toc10838 \h </w:instrText>
      </w:r>
      <w:r>
        <w:fldChar w:fldCharType="separate"/>
      </w:r>
      <w:r>
        <w:t>1</w:t>
      </w:r>
      <w:r>
        <w:fldChar w:fldCharType="end"/>
      </w:r>
      <w:r>
        <w:fldChar w:fldCharType="end"/>
      </w:r>
    </w:p>
    <w:p>
      <w:pPr>
        <w:pStyle w:val="32"/>
        <w:tabs>
          <w:tab w:val="right" w:leader="dot" w:pos="8845"/>
        </w:tabs>
        <w:spacing w:line="420" w:lineRule="exact"/>
      </w:pPr>
      <w:r>
        <w:fldChar w:fldCharType="begin"/>
      </w:r>
      <w:r>
        <w:instrText xml:space="preserve"> HYPERLINK \l "_Toc18697" </w:instrText>
      </w:r>
      <w:r>
        <w:fldChar w:fldCharType="separate"/>
      </w:r>
      <w:r>
        <w:rPr>
          <w:rFonts w:hint="eastAsia" w:ascii="宋体" w:hAnsi="宋体" w:cs="宋体"/>
          <w:szCs w:val="32"/>
        </w:rPr>
        <w:t>第二章  谈判须知</w:t>
      </w:r>
      <w:r>
        <w:tab/>
      </w:r>
      <w:r>
        <w:fldChar w:fldCharType="begin"/>
      </w:r>
      <w:r>
        <w:instrText xml:space="preserve"> PAGEREF _Toc18697 \h </w:instrText>
      </w:r>
      <w:r>
        <w:fldChar w:fldCharType="separate"/>
      </w:r>
      <w:r>
        <w:t>5</w:t>
      </w:r>
      <w:r>
        <w:fldChar w:fldCharType="end"/>
      </w:r>
      <w:r>
        <w:fldChar w:fldCharType="end"/>
      </w:r>
    </w:p>
    <w:p>
      <w:pPr>
        <w:pStyle w:val="37"/>
        <w:tabs>
          <w:tab w:val="right" w:leader="dot" w:pos="8845"/>
        </w:tabs>
        <w:spacing w:line="420" w:lineRule="exact"/>
      </w:pPr>
      <w:r>
        <w:fldChar w:fldCharType="begin"/>
      </w:r>
      <w:r>
        <w:instrText xml:space="preserve"> HYPERLINK \l "_Toc24368" </w:instrText>
      </w:r>
      <w:r>
        <w:fldChar w:fldCharType="separate"/>
      </w:r>
      <w:r>
        <w:rPr>
          <w:rFonts w:hint="eastAsia" w:ascii="宋体" w:hAnsi="宋体" w:cs="宋体"/>
        </w:rPr>
        <w:t>谈判须知前附表</w:t>
      </w:r>
      <w:r>
        <w:tab/>
      </w:r>
      <w:r>
        <w:fldChar w:fldCharType="begin"/>
      </w:r>
      <w:r>
        <w:instrText xml:space="preserve"> PAGEREF _Toc24368 \h </w:instrText>
      </w:r>
      <w:r>
        <w:fldChar w:fldCharType="separate"/>
      </w:r>
      <w:r>
        <w:t>5</w:t>
      </w:r>
      <w:r>
        <w:fldChar w:fldCharType="end"/>
      </w:r>
      <w:r>
        <w:fldChar w:fldCharType="end"/>
      </w:r>
    </w:p>
    <w:p>
      <w:pPr>
        <w:pStyle w:val="37"/>
        <w:tabs>
          <w:tab w:val="right" w:leader="dot" w:pos="8845"/>
        </w:tabs>
        <w:spacing w:line="420" w:lineRule="exact"/>
      </w:pPr>
      <w:r>
        <w:fldChar w:fldCharType="begin"/>
      </w:r>
      <w:r>
        <w:instrText xml:space="preserve"> HYPERLINK \l "_Toc25260" </w:instrText>
      </w:r>
      <w:r>
        <w:fldChar w:fldCharType="separate"/>
      </w:r>
      <w:r>
        <w:rPr>
          <w:rFonts w:hint="eastAsia" w:ascii="宋体" w:hAnsi="宋体" w:cs="宋体"/>
        </w:rPr>
        <w:t>谈判须知正文</w:t>
      </w:r>
      <w:r>
        <w:tab/>
      </w:r>
      <w:r>
        <w:fldChar w:fldCharType="begin"/>
      </w:r>
      <w:r>
        <w:instrText xml:space="preserve"> PAGEREF _Toc25260 \h </w:instrText>
      </w:r>
      <w:r>
        <w:fldChar w:fldCharType="separate"/>
      </w:r>
      <w:r>
        <w:t>7</w:t>
      </w:r>
      <w:r>
        <w:fldChar w:fldCharType="end"/>
      </w:r>
      <w:r>
        <w:fldChar w:fldCharType="end"/>
      </w:r>
    </w:p>
    <w:p>
      <w:pPr>
        <w:pStyle w:val="37"/>
        <w:tabs>
          <w:tab w:val="right" w:leader="dot" w:pos="8845"/>
        </w:tabs>
        <w:spacing w:line="420" w:lineRule="exact"/>
      </w:pPr>
      <w:r>
        <w:fldChar w:fldCharType="begin"/>
      </w:r>
      <w:r>
        <w:instrText xml:space="preserve"> HYPERLINK \l "_Toc28753" </w:instrText>
      </w:r>
      <w:r>
        <w:fldChar w:fldCharType="separate"/>
      </w:r>
      <w:r>
        <w:rPr>
          <w:rFonts w:hint="eastAsia" w:ascii="宋体" w:hAnsi="宋体" w:cs="宋体"/>
          <w:szCs w:val="21"/>
        </w:rPr>
        <w:t>一、说明</w:t>
      </w:r>
      <w:r>
        <w:tab/>
      </w:r>
      <w:r>
        <w:fldChar w:fldCharType="begin"/>
      </w:r>
      <w:r>
        <w:instrText xml:space="preserve"> PAGEREF _Toc28753 \h </w:instrText>
      </w:r>
      <w:r>
        <w:fldChar w:fldCharType="separate"/>
      </w:r>
      <w:r>
        <w:t>7</w:t>
      </w:r>
      <w:r>
        <w:fldChar w:fldCharType="end"/>
      </w:r>
      <w:r>
        <w:fldChar w:fldCharType="end"/>
      </w:r>
    </w:p>
    <w:p>
      <w:pPr>
        <w:pStyle w:val="37"/>
        <w:tabs>
          <w:tab w:val="right" w:leader="dot" w:pos="8845"/>
        </w:tabs>
        <w:spacing w:line="420" w:lineRule="exact"/>
      </w:pPr>
      <w:r>
        <w:fldChar w:fldCharType="begin"/>
      </w:r>
      <w:r>
        <w:instrText xml:space="preserve"> HYPERLINK \l "_Toc323" </w:instrText>
      </w:r>
      <w:r>
        <w:fldChar w:fldCharType="separate"/>
      </w:r>
      <w:r>
        <w:rPr>
          <w:rFonts w:hint="eastAsia" w:ascii="宋体" w:hAnsi="宋体" w:cs="宋体"/>
          <w:szCs w:val="21"/>
        </w:rPr>
        <w:t>二、谈判文件</w:t>
      </w:r>
      <w:r>
        <w:tab/>
      </w:r>
      <w:r>
        <w:fldChar w:fldCharType="begin"/>
      </w:r>
      <w:r>
        <w:instrText xml:space="preserve"> PAGEREF _Toc323 \h </w:instrText>
      </w:r>
      <w:r>
        <w:fldChar w:fldCharType="separate"/>
      </w:r>
      <w:r>
        <w:t>8</w:t>
      </w:r>
      <w:r>
        <w:fldChar w:fldCharType="end"/>
      </w:r>
      <w:r>
        <w:fldChar w:fldCharType="end"/>
      </w:r>
    </w:p>
    <w:p>
      <w:pPr>
        <w:pStyle w:val="37"/>
        <w:tabs>
          <w:tab w:val="right" w:leader="dot" w:pos="8845"/>
        </w:tabs>
        <w:spacing w:line="420" w:lineRule="exact"/>
      </w:pPr>
      <w:r>
        <w:fldChar w:fldCharType="begin"/>
      </w:r>
      <w:r>
        <w:instrText xml:space="preserve"> HYPERLINK \l "_Toc23101" </w:instrText>
      </w:r>
      <w:r>
        <w:fldChar w:fldCharType="separate"/>
      </w:r>
      <w:r>
        <w:rPr>
          <w:rFonts w:hint="eastAsia" w:ascii="宋体" w:hAnsi="宋体" w:cs="宋体"/>
          <w:szCs w:val="21"/>
        </w:rPr>
        <w:t>三、响应文件</w:t>
      </w:r>
      <w:r>
        <w:tab/>
      </w:r>
      <w:r>
        <w:fldChar w:fldCharType="begin"/>
      </w:r>
      <w:r>
        <w:instrText xml:space="preserve"> PAGEREF _Toc23101 \h </w:instrText>
      </w:r>
      <w:r>
        <w:fldChar w:fldCharType="separate"/>
      </w:r>
      <w:r>
        <w:t>8</w:t>
      </w:r>
      <w:r>
        <w:fldChar w:fldCharType="end"/>
      </w:r>
      <w:r>
        <w:fldChar w:fldCharType="end"/>
      </w:r>
    </w:p>
    <w:p>
      <w:pPr>
        <w:pStyle w:val="37"/>
        <w:tabs>
          <w:tab w:val="right" w:leader="dot" w:pos="8845"/>
        </w:tabs>
        <w:spacing w:line="420" w:lineRule="exact"/>
      </w:pPr>
      <w:r>
        <w:fldChar w:fldCharType="begin"/>
      </w:r>
      <w:r>
        <w:instrText xml:space="preserve"> HYPERLINK \l "_Toc16269" </w:instrText>
      </w:r>
      <w:r>
        <w:fldChar w:fldCharType="separate"/>
      </w:r>
      <w:r>
        <w:rPr>
          <w:rFonts w:hint="eastAsia" w:ascii="宋体" w:hAnsi="宋体" w:cs="宋体"/>
          <w:szCs w:val="21"/>
        </w:rPr>
        <w:t>四、响应文件的递交</w:t>
      </w:r>
      <w:r>
        <w:tab/>
      </w:r>
      <w:r>
        <w:fldChar w:fldCharType="begin"/>
      </w:r>
      <w:r>
        <w:instrText xml:space="preserve"> PAGEREF _Toc16269 \h </w:instrText>
      </w:r>
      <w:r>
        <w:fldChar w:fldCharType="separate"/>
      </w:r>
      <w:r>
        <w:t>11</w:t>
      </w:r>
      <w:r>
        <w:fldChar w:fldCharType="end"/>
      </w:r>
      <w:r>
        <w:fldChar w:fldCharType="end"/>
      </w:r>
    </w:p>
    <w:p>
      <w:pPr>
        <w:pStyle w:val="37"/>
        <w:tabs>
          <w:tab w:val="right" w:leader="dot" w:pos="8845"/>
        </w:tabs>
        <w:spacing w:line="420" w:lineRule="exact"/>
      </w:pPr>
      <w:r>
        <w:fldChar w:fldCharType="begin"/>
      </w:r>
      <w:r>
        <w:instrText xml:space="preserve"> HYPERLINK \l "_Toc17368" </w:instrText>
      </w:r>
      <w:r>
        <w:fldChar w:fldCharType="separate"/>
      </w:r>
      <w:r>
        <w:rPr>
          <w:rFonts w:hint="eastAsia" w:ascii="宋体" w:hAnsi="宋体" w:cs="宋体"/>
          <w:szCs w:val="21"/>
        </w:rPr>
        <w:t>五、响应文件的评审</w:t>
      </w:r>
      <w:r>
        <w:tab/>
      </w:r>
      <w:r>
        <w:fldChar w:fldCharType="begin"/>
      </w:r>
      <w:r>
        <w:instrText xml:space="preserve"> PAGEREF _Toc17368 \h </w:instrText>
      </w:r>
      <w:r>
        <w:fldChar w:fldCharType="separate"/>
      </w:r>
      <w:r>
        <w:t>11</w:t>
      </w:r>
      <w:r>
        <w:fldChar w:fldCharType="end"/>
      </w:r>
      <w:r>
        <w:fldChar w:fldCharType="end"/>
      </w:r>
    </w:p>
    <w:p>
      <w:pPr>
        <w:pStyle w:val="37"/>
        <w:tabs>
          <w:tab w:val="right" w:leader="dot" w:pos="8845"/>
        </w:tabs>
        <w:spacing w:line="420" w:lineRule="exact"/>
      </w:pPr>
      <w:r>
        <w:fldChar w:fldCharType="begin"/>
      </w:r>
      <w:r>
        <w:instrText xml:space="preserve"> HYPERLINK \l "_Toc19319" </w:instrText>
      </w:r>
      <w:r>
        <w:fldChar w:fldCharType="separate"/>
      </w:r>
      <w:r>
        <w:rPr>
          <w:rFonts w:hint="eastAsia" w:ascii="宋体" w:hAnsi="宋体" w:cs="宋体"/>
          <w:szCs w:val="21"/>
        </w:rPr>
        <w:t>六、响应文件的澄清、说明及补正</w:t>
      </w:r>
      <w:r>
        <w:tab/>
      </w:r>
      <w:r>
        <w:fldChar w:fldCharType="begin"/>
      </w:r>
      <w:r>
        <w:instrText xml:space="preserve"> PAGEREF _Toc19319 \h </w:instrText>
      </w:r>
      <w:r>
        <w:fldChar w:fldCharType="separate"/>
      </w:r>
      <w:r>
        <w:t>11</w:t>
      </w:r>
      <w:r>
        <w:fldChar w:fldCharType="end"/>
      </w:r>
      <w:r>
        <w:fldChar w:fldCharType="end"/>
      </w:r>
    </w:p>
    <w:p>
      <w:pPr>
        <w:pStyle w:val="37"/>
        <w:tabs>
          <w:tab w:val="right" w:leader="dot" w:pos="8845"/>
        </w:tabs>
        <w:spacing w:line="420" w:lineRule="exact"/>
      </w:pPr>
      <w:r>
        <w:fldChar w:fldCharType="begin"/>
      </w:r>
      <w:r>
        <w:instrText xml:space="preserve"> HYPERLINK \l "_Toc9096" </w:instrText>
      </w:r>
      <w:r>
        <w:fldChar w:fldCharType="separate"/>
      </w:r>
      <w:r>
        <w:rPr>
          <w:rFonts w:hint="eastAsia" w:ascii="宋体" w:hAnsi="宋体" w:cs="宋体"/>
          <w:szCs w:val="21"/>
        </w:rPr>
        <w:t>七、中选结果与授予合同</w:t>
      </w:r>
      <w:r>
        <w:tab/>
      </w:r>
      <w:r>
        <w:fldChar w:fldCharType="begin"/>
      </w:r>
      <w:r>
        <w:instrText xml:space="preserve"> PAGEREF _Toc9096 \h </w:instrText>
      </w:r>
      <w:r>
        <w:fldChar w:fldCharType="separate"/>
      </w:r>
      <w:r>
        <w:t>12</w:t>
      </w:r>
      <w:r>
        <w:fldChar w:fldCharType="end"/>
      </w:r>
      <w:r>
        <w:fldChar w:fldCharType="end"/>
      </w:r>
    </w:p>
    <w:p>
      <w:pPr>
        <w:pStyle w:val="37"/>
        <w:tabs>
          <w:tab w:val="right" w:leader="dot" w:pos="8845"/>
        </w:tabs>
        <w:spacing w:line="420" w:lineRule="exact"/>
      </w:pPr>
      <w:r>
        <w:fldChar w:fldCharType="begin"/>
      </w:r>
      <w:r>
        <w:instrText xml:space="preserve"> HYPERLINK \l "_Toc2360" </w:instrText>
      </w:r>
      <w:r>
        <w:fldChar w:fldCharType="separate"/>
      </w:r>
      <w:r>
        <w:rPr>
          <w:rFonts w:hint="eastAsia" w:ascii="宋体" w:hAnsi="宋体" w:cs="宋体"/>
          <w:szCs w:val="21"/>
        </w:rPr>
        <w:t>八、其他</w:t>
      </w:r>
      <w:r>
        <w:tab/>
      </w:r>
      <w:r>
        <w:fldChar w:fldCharType="begin"/>
      </w:r>
      <w:r>
        <w:instrText xml:space="preserve"> PAGEREF _Toc2360 \h </w:instrText>
      </w:r>
      <w:r>
        <w:fldChar w:fldCharType="separate"/>
      </w:r>
      <w:r>
        <w:t>13</w:t>
      </w:r>
      <w:r>
        <w:fldChar w:fldCharType="end"/>
      </w:r>
      <w:r>
        <w:fldChar w:fldCharType="end"/>
      </w:r>
    </w:p>
    <w:p>
      <w:pPr>
        <w:pStyle w:val="32"/>
        <w:tabs>
          <w:tab w:val="right" w:leader="dot" w:pos="8845"/>
        </w:tabs>
        <w:spacing w:line="420" w:lineRule="exact"/>
      </w:pPr>
      <w:r>
        <w:fldChar w:fldCharType="begin"/>
      </w:r>
      <w:r>
        <w:instrText xml:space="preserve"> HYPERLINK \l "_Toc7792" </w:instrText>
      </w:r>
      <w:r>
        <w:fldChar w:fldCharType="separate"/>
      </w:r>
      <w:r>
        <w:rPr>
          <w:rFonts w:hint="eastAsia" w:ascii="宋体" w:hAnsi="宋体" w:cs="宋体"/>
          <w:szCs w:val="32"/>
        </w:rPr>
        <w:t>第三章  评审办法及标准</w:t>
      </w:r>
      <w:r>
        <w:tab/>
      </w:r>
      <w:r>
        <w:fldChar w:fldCharType="begin"/>
      </w:r>
      <w:r>
        <w:instrText xml:space="preserve"> PAGEREF _Toc7792 \h </w:instrText>
      </w:r>
      <w:r>
        <w:fldChar w:fldCharType="separate"/>
      </w:r>
      <w:r>
        <w:t>15</w:t>
      </w:r>
      <w:r>
        <w:fldChar w:fldCharType="end"/>
      </w:r>
      <w:r>
        <w:fldChar w:fldCharType="end"/>
      </w:r>
    </w:p>
    <w:p>
      <w:pPr>
        <w:pStyle w:val="32"/>
        <w:tabs>
          <w:tab w:val="right" w:leader="dot" w:pos="8845"/>
        </w:tabs>
        <w:spacing w:line="420" w:lineRule="exact"/>
      </w:pPr>
      <w:r>
        <w:fldChar w:fldCharType="begin"/>
      </w:r>
      <w:r>
        <w:instrText xml:space="preserve"> HYPERLINK \l "_Toc7204" </w:instrText>
      </w:r>
      <w:r>
        <w:fldChar w:fldCharType="separate"/>
      </w:r>
      <w:r>
        <w:rPr>
          <w:rFonts w:hint="eastAsia" w:ascii="宋体" w:hAnsi="宋体" w:cs="宋体"/>
          <w:szCs w:val="32"/>
        </w:rPr>
        <w:t>第四章  用户需求书（另册）</w:t>
      </w:r>
      <w:r>
        <w:tab/>
      </w:r>
      <w:r>
        <w:fldChar w:fldCharType="begin"/>
      </w:r>
      <w:r>
        <w:instrText xml:space="preserve"> PAGEREF _Toc7204 \h </w:instrText>
      </w:r>
      <w:r>
        <w:fldChar w:fldCharType="separate"/>
      </w:r>
      <w:r>
        <w:t>19</w:t>
      </w:r>
      <w:r>
        <w:fldChar w:fldCharType="end"/>
      </w:r>
      <w:r>
        <w:fldChar w:fldCharType="end"/>
      </w:r>
    </w:p>
    <w:p>
      <w:pPr>
        <w:pStyle w:val="32"/>
        <w:tabs>
          <w:tab w:val="right" w:leader="dot" w:pos="8845"/>
        </w:tabs>
        <w:spacing w:line="420" w:lineRule="exact"/>
      </w:pPr>
      <w:r>
        <w:fldChar w:fldCharType="begin"/>
      </w:r>
      <w:r>
        <w:instrText xml:space="preserve"> HYPERLINK \l "_Toc31327" </w:instrText>
      </w:r>
      <w:r>
        <w:fldChar w:fldCharType="separate"/>
      </w:r>
      <w:r>
        <w:rPr>
          <w:rFonts w:hint="eastAsia" w:ascii="宋体" w:hAnsi="宋体" w:cs="宋体"/>
          <w:szCs w:val="32"/>
        </w:rPr>
        <w:t>第五章  谈判最高限价</w:t>
      </w:r>
      <w:r>
        <w:tab/>
      </w:r>
      <w:r>
        <w:fldChar w:fldCharType="begin"/>
      </w:r>
      <w:r>
        <w:instrText xml:space="preserve"> PAGEREF _Toc31327 \h </w:instrText>
      </w:r>
      <w:r>
        <w:fldChar w:fldCharType="separate"/>
      </w:r>
      <w:r>
        <w:t>20</w:t>
      </w:r>
      <w:r>
        <w:fldChar w:fldCharType="end"/>
      </w:r>
      <w:r>
        <w:fldChar w:fldCharType="end"/>
      </w:r>
    </w:p>
    <w:p>
      <w:pPr>
        <w:pStyle w:val="32"/>
        <w:tabs>
          <w:tab w:val="right" w:leader="dot" w:pos="8845"/>
        </w:tabs>
        <w:spacing w:line="420" w:lineRule="exact"/>
      </w:pPr>
      <w:r>
        <w:fldChar w:fldCharType="begin"/>
      </w:r>
      <w:r>
        <w:instrText xml:space="preserve"> HYPERLINK \l "_Toc27478" </w:instrText>
      </w:r>
      <w:r>
        <w:fldChar w:fldCharType="separate"/>
      </w:r>
      <w:r>
        <w:rPr>
          <w:rFonts w:hint="eastAsia" w:ascii="宋体" w:hAnsi="宋体" w:cs="宋体"/>
          <w:szCs w:val="32"/>
        </w:rPr>
        <w:t>第六章  合同格式条款</w:t>
      </w:r>
      <w:r>
        <w:tab/>
      </w:r>
      <w:r>
        <w:fldChar w:fldCharType="begin"/>
      </w:r>
      <w:r>
        <w:instrText xml:space="preserve"> PAGEREF _Toc27478 \h </w:instrText>
      </w:r>
      <w:r>
        <w:fldChar w:fldCharType="separate"/>
      </w:r>
      <w:r>
        <w:t>21</w:t>
      </w:r>
      <w:r>
        <w:fldChar w:fldCharType="end"/>
      </w:r>
      <w:r>
        <w:fldChar w:fldCharType="end"/>
      </w:r>
    </w:p>
    <w:p>
      <w:pPr>
        <w:pStyle w:val="32"/>
        <w:tabs>
          <w:tab w:val="right" w:leader="dot" w:pos="8845"/>
        </w:tabs>
        <w:spacing w:line="420" w:lineRule="exact"/>
      </w:pPr>
      <w:r>
        <w:fldChar w:fldCharType="begin"/>
      </w:r>
      <w:r>
        <w:instrText xml:space="preserve"> HYPERLINK \l "_Toc111" </w:instrText>
      </w:r>
      <w:r>
        <w:fldChar w:fldCharType="separate"/>
      </w:r>
      <w:r>
        <w:rPr>
          <w:rFonts w:hint="eastAsia" w:ascii="宋体" w:hAnsi="宋体" w:cs="宋体"/>
          <w:szCs w:val="32"/>
        </w:rPr>
        <w:t xml:space="preserve">第七章  </w:t>
      </w:r>
      <w:r>
        <w:rPr>
          <w:rFonts w:hint="eastAsia" w:ascii="宋体" w:hAnsi="宋体" w:cs="宋体"/>
          <w:bCs/>
          <w:szCs w:val="32"/>
        </w:rPr>
        <w:t>响应文件组成</w:t>
      </w:r>
      <w:r>
        <w:tab/>
      </w:r>
      <w:r>
        <w:fldChar w:fldCharType="begin"/>
      </w:r>
      <w:r>
        <w:instrText xml:space="preserve"> PAGEREF _Toc111 \h </w:instrText>
      </w:r>
      <w:r>
        <w:fldChar w:fldCharType="separate"/>
      </w:r>
      <w:r>
        <w:t>22</w:t>
      </w:r>
      <w:r>
        <w:fldChar w:fldCharType="end"/>
      </w:r>
      <w:r>
        <w:fldChar w:fldCharType="end"/>
      </w:r>
    </w:p>
    <w:p>
      <w:pPr>
        <w:pStyle w:val="37"/>
        <w:tabs>
          <w:tab w:val="right" w:leader="dot" w:pos="8845"/>
        </w:tabs>
        <w:spacing w:line="420" w:lineRule="exact"/>
      </w:pPr>
      <w:r>
        <w:fldChar w:fldCharType="begin"/>
      </w:r>
      <w:r>
        <w:instrText xml:space="preserve"> HYPERLINK \l "_Toc10329" </w:instrText>
      </w:r>
      <w:r>
        <w:fldChar w:fldCharType="separate"/>
      </w:r>
      <w:r>
        <w:rPr>
          <w:rFonts w:hint="eastAsia" w:ascii="宋体" w:hAnsi="宋体" w:cs="宋体"/>
          <w:szCs w:val="32"/>
        </w:rPr>
        <w:t>一、谈判承诺书</w:t>
      </w:r>
      <w:r>
        <w:tab/>
      </w:r>
      <w:r>
        <w:fldChar w:fldCharType="begin"/>
      </w:r>
      <w:r>
        <w:instrText xml:space="preserve"> PAGEREF _Toc10329 \h </w:instrText>
      </w:r>
      <w:r>
        <w:fldChar w:fldCharType="separate"/>
      </w:r>
      <w:r>
        <w:t>24</w:t>
      </w:r>
      <w:r>
        <w:fldChar w:fldCharType="end"/>
      </w:r>
      <w:r>
        <w:fldChar w:fldCharType="end"/>
      </w:r>
    </w:p>
    <w:p>
      <w:pPr>
        <w:pStyle w:val="37"/>
        <w:tabs>
          <w:tab w:val="right" w:leader="dot" w:pos="8845"/>
        </w:tabs>
        <w:spacing w:line="420" w:lineRule="exact"/>
      </w:pPr>
      <w:r>
        <w:fldChar w:fldCharType="begin"/>
      </w:r>
      <w:r>
        <w:instrText xml:space="preserve"> HYPERLINK \l "_Toc23913" </w:instrText>
      </w:r>
      <w:r>
        <w:fldChar w:fldCharType="separate"/>
      </w:r>
      <w:r>
        <w:rPr>
          <w:rFonts w:hint="eastAsia" w:ascii="宋体" w:hAnsi="宋体" w:cs="宋体"/>
          <w:szCs w:val="32"/>
        </w:rPr>
        <w:t>二、法定代表人身份证明书</w:t>
      </w:r>
      <w:r>
        <w:tab/>
      </w:r>
      <w:r>
        <w:fldChar w:fldCharType="begin"/>
      </w:r>
      <w:r>
        <w:instrText xml:space="preserve"> PAGEREF _Toc23913 \h </w:instrText>
      </w:r>
      <w:r>
        <w:fldChar w:fldCharType="separate"/>
      </w:r>
      <w:r>
        <w:t>25</w:t>
      </w:r>
      <w:r>
        <w:fldChar w:fldCharType="end"/>
      </w:r>
      <w:r>
        <w:fldChar w:fldCharType="end"/>
      </w:r>
    </w:p>
    <w:p>
      <w:pPr>
        <w:pStyle w:val="37"/>
        <w:tabs>
          <w:tab w:val="right" w:leader="dot" w:pos="8845"/>
        </w:tabs>
        <w:spacing w:line="420" w:lineRule="exact"/>
      </w:pPr>
      <w:r>
        <w:fldChar w:fldCharType="begin"/>
      </w:r>
      <w:r>
        <w:instrText xml:space="preserve"> HYPERLINK \l "_Toc20606" </w:instrText>
      </w:r>
      <w:r>
        <w:fldChar w:fldCharType="separate"/>
      </w:r>
      <w:r>
        <w:rPr>
          <w:rFonts w:hint="eastAsia" w:ascii="宋体" w:hAnsi="宋体" w:cs="宋体"/>
          <w:szCs w:val="32"/>
        </w:rPr>
        <w:t>三、授权委托书</w:t>
      </w:r>
      <w:r>
        <w:tab/>
      </w:r>
      <w:r>
        <w:fldChar w:fldCharType="begin"/>
      </w:r>
      <w:r>
        <w:instrText xml:space="preserve"> PAGEREF _Toc20606 \h </w:instrText>
      </w:r>
      <w:r>
        <w:fldChar w:fldCharType="separate"/>
      </w:r>
      <w:r>
        <w:t>26</w:t>
      </w:r>
      <w:r>
        <w:fldChar w:fldCharType="end"/>
      </w:r>
      <w:r>
        <w:fldChar w:fldCharType="end"/>
      </w:r>
    </w:p>
    <w:p>
      <w:pPr>
        <w:pStyle w:val="37"/>
        <w:tabs>
          <w:tab w:val="right" w:leader="dot" w:pos="8845"/>
        </w:tabs>
        <w:spacing w:line="420" w:lineRule="exact"/>
      </w:pPr>
      <w:r>
        <w:fldChar w:fldCharType="begin"/>
      </w:r>
      <w:r>
        <w:instrText xml:space="preserve"> HYPERLINK \l "_Toc13921" </w:instrText>
      </w:r>
      <w:r>
        <w:fldChar w:fldCharType="separate"/>
      </w:r>
      <w:r>
        <w:rPr>
          <w:rFonts w:hint="eastAsia" w:ascii="宋体" w:hAnsi="宋体" w:cs="宋体"/>
          <w:szCs w:val="32"/>
        </w:rPr>
        <w:t>四、谈判单位资格证明文件</w:t>
      </w:r>
      <w:r>
        <w:tab/>
      </w:r>
      <w:r>
        <w:fldChar w:fldCharType="begin"/>
      </w:r>
      <w:r>
        <w:instrText xml:space="preserve"> PAGEREF _Toc13921 \h </w:instrText>
      </w:r>
      <w:r>
        <w:fldChar w:fldCharType="separate"/>
      </w:r>
      <w:r>
        <w:t>27</w:t>
      </w:r>
      <w:r>
        <w:fldChar w:fldCharType="end"/>
      </w:r>
      <w:r>
        <w:fldChar w:fldCharType="end"/>
      </w:r>
    </w:p>
    <w:p>
      <w:pPr>
        <w:pStyle w:val="37"/>
        <w:tabs>
          <w:tab w:val="right" w:leader="dot" w:pos="8845"/>
        </w:tabs>
        <w:spacing w:line="420" w:lineRule="exact"/>
      </w:pPr>
      <w:r>
        <w:fldChar w:fldCharType="begin"/>
      </w:r>
      <w:r>
        <w:instrText xml:space="preserve"> HYPERLINK \l "_Toc9602" </w:instrText>
      </w:r>
      <w:r>
        <w:fldChar w:fldCharType="separate"/>
      </w:r>
      <w:r>
        <w:rPr>
          <w:rFonts w:hint="eastAsia" w:ascii="宋体" w:hAnsi="宋体" w:cs="宋体"/>
          <w:szCs w:val="32"/>
        </w:rPr>
        <w:t>五、服务方案</w:t>
      </w:r>
      <w:r>
        <w:tab/>
      </w:r>
      <w:r>
        <w:fldChar w:fldCharType="begin"/>
      </w:r>
      <w:r>
        <w:instrText xml:space="preserve"> PAGEREF _Toc9602 \h </w:instrText>
      </w:r>
      <w:r>
        <w:fldChar w:fldCharType="separate"/>
      </w:r>
      <w:r>
        <w:t>29</w:t>
      </w:r>
      <w:r>
        <w:fldChar w:fldCharType="end"/>
      </w:r>
      <w:r>
        <w:fldChar w:fldCharType="end"/>
      </w:r>
    </w:p>
    <w:p>
      <w:pPr>
        <w:pStyle w:val="37"/>
        <w:tabs>
          <w:tab w:val="right" w:leader="dot" w:pos="8845"/>
        </w:tabs>
        <w:spacing w:line="420" w:lineRule="exact"/>
      </w:pPr>
      <w:r>
        <w:fldChar w:fldCharType="begin"/>
      </w:r>
      <w:r>
        <w:instrText xml:space="preserve"> HYPERLINK \l "_Toc6959" </w:instrText>
      </w:r>
      <w:r>
        <w:fldChar w:fldCharType="separate"/>
      </w:r>
      <w:r>
        <w:rPr>
          <w:rFonts w:hint="eastAsia" w:ascii="宋体" w:hAnsi="宋体" w:cs="宋体"/>
          <w:szCs w:val="32"/>
        </w:rPr>
        <w:t>六、报价一览表</w:t>
      </w:r>
      <w:r>
        <w:tab/>
      </w:r>
      <w:r>
        <w:fldChar w:fldCharType="begin"/>
      </w:r>
      <w:r>
        <w:instrText xml:space="preserve"> PAGEREF _Toc6959 \h </w:instrText>
      </w:r>
      <w:r>
        <w:fldChar w:fldCharType="separate"/>
      </w:r>
      <w:r>
        <w:t>30</w:t>
      </w:r>
      <w:r>
        <w:fldChar w:fldCharType="end"/>
      </w:r>
      <w:r>
        <w:fldChar w:fldCharType="end"/>
      </w:r>
    </w:p>
    <w:p>
      <w:pPr>
        <w:pStyle w:val="37"/>
        <w:tabs>
          <w:tab w:val="right" w:leader="dot" w:pos="8845"/>
        </w:tabs>
        <w:spacing w:line="420" w:lineRule="exact"/>
      </w:pPr>
      <w:r>
        <w:fldChar w:fldCharType="begin"/>
      </w:r>
      <w:r>
        <w:instrText xml:space="preserve"> HYPERLINK \l "_Toc16553" </w:instrText>
      </w:r>
      <w:r>
        <w:fldChar w:fldCharType="separate"/>
      </w:r>
      <w:r>
        <w:rPr>
          <w:rFonts w:hint="eastAsia" w:ascii="宋体" w:hAnsi="宋体" w:cs="宋体"/>
          <w:szCs w:val="32"/>
        </w:rPr>
        <w:t>七、分项价格表</w:t>
      </w:r>
      <w:r>
        <w:tab/>
      </w:r>
      <w:r>
        <w:fldChar w:fldCharType="begin"/>
      </w:r>
      <w:r>
        <w:instrText xml:space="preserve"> PAGEREF _Toc16553 \h </w:instrText>
      </w:r>
      <w:r>
        <w:fldChar w:fldCharType="separate"/>
      </w:r>
      <w:r>
        <w:t>31</w:t>
      </w:r>
      <w:r>
        <w:fldChar w:fldCharType="end"/>
      </w:r>
      <w:r>
        <w:fldChar w:fldCharType="end"/>
      </w:r>
    </w:p>
    <w:p>
      <w:pPr>
        <w:pStyle w:val="37"/>
        <w:tabs>
          <w:tab w:val="right" w:leader="dot" w:pos="8845"/>
        </w:tabs>
        <w:spacing w:line="420" w:lineRule="exact"/>
      </w:pPr>
      <w:r>
        <w:fldChar w:fldCharType="begin"/>
      </w:r>
      <w:r>
        <w:instrText xml:space="preserve"> HYPERLINK \l "_Toc15234" </w:instrText>
      </w:r>
      <w:r>
        <w:fldChar w:fldCharType="separate"/>
      </w:r>
      <w:r>
        <w:rPr>
          <w:rFonts w:hint="eastAsia" w:ascii="宋体" w:hAnsi="宋体" w:cs="宋体"/>
          <w:szCs w:val="32"/>
        </w:rPr>
        <w:t>八、其他资料（如有）</w:t>
      </w:r>
      <w:r>
        <w:tab/>
      </w:r>
      <w:r>
        <w:fldChar w:fldCharType="begin"/>
      </w:r>
      <w:r>
        <w:instrText xml:space="preserve"> PAGEREF _Toc15234 \h </w:instrText>
      </w:r>
      <w:r>
        <w:fldChar w:fldCharType="separate"/>
      </w:r>
      <w:r>
        <w:t>32</w:t>
      </w:r>
      <w:r>
        <w:fldChar w:fldCharType="end"/>
      </w:r>
      <w:r>
        <w:fldChar w:fldCharType="end"/>
      </w:r>
    </w:p>
    <w:p>
      <w:pPr>
        <w:spacing w:line="420" w:lineRule="exact"/>
        <w:rPr>
          <w:rFonts w:ascii="宋体" w:hAnsi="宋体" w:cs="宋体"/>
          <w:b/>
          <w:bCs/>
          <w:szCs w:val="21"/>
          <w:highlight w:val="cyan"/>
        </w:rPr>
        <w:sectPr>
          <w:footerReference r:id="rId4" w:type="default"/>
          <w:pgSz w:w="11906" w:h="16838"/>
          <w:pgMar w:top="2098" w:right="1474" w:bottom="1984" w:left="1587" w:header="851" w:footer="992" w:gutter="0"/>
          <w:cols w:space="0" w:num="1"/>
          <w:docGrid w:type="lines" w:linePitch="319" w:charSpace="0"/>
        </w:sectPr>
      </w:pPr>
      <w:r>
        <w:rPr>
          <w:rFonts w:hint="eastAsia" w:ascii="宋体" w:hAnsi="宋体" w:cs="宋体"/>
        </w:rPr>
        <w:fldChar w:fldCharType="end"/>
      </w:r>
      <w:bookmarkStart w:id="1" w:name="_Toc29614"/>
      <w:bookmarkStart w:id="2" w:name="_Toc5016"/>
    </w:p>
    <w:p>
      <w:pPr>
        <w:pStyle w:val="3"/>
        <w:keepNext w:val="0"/>
        <w:numPr>
          <w:ilvl w:val="0"/>
          <w:numId w:val="6"/>
        </w:numPr>
        <w:spacing w:line="360" w:lineRule="auto"/>
        <w:rPr>
          <w:rFonts w:ascii="宋体" w:hAnsi="宋体" w:cs="宋体"/>
          <w:sz w:val="32"/>
          <w:szCs w:val="32"/>
        </w:rPr>
      </w:pPr>
      <w:bookmarkStart w:id="3" w:name="_Toc10838"/>
      <w:bookmarkStart w:id="4" w:name="_Toc3621"/>
      <w:bookmarkStart w:id="5" w:name="_Toc13376"/>
      <w:r>
        <w:rPr>
          <w:rFonts w:hint="eastAsia" w:ascii="宋体" w:hAnsi="宋体" w:cs="宋体"/>
          <w:sz w:val="32"/>
          <w:szCs w:val="32"/>
        </w:rPr>
        <w:t xml:space="preserve"> 谈判邀请公告</w:t>
      </w:r>
      <w:bookmarkEnd w:id="0"/>
      <w:bookmarkEnd w:id="1"/>
      <w:bookmarkEnd w:id="2"/>
      <w:bookmarkEnd w:id="3"/>
      <w:bookmarkEnd w:id="4"/>
      <w:bookmarkEnd w:id="5"/>
    </w:p>
    <w:p/>
    <w:p>
      <w:pPr>
        <w:spacing w:line="360" w:lineRule="auto"/>
        <w:ind w:firstLine="420" w:firstLineChars="200"/>
        <w:jc w:val="left"/>
        <w:rPr>
          <w:rFonts w:ascii="宋体" w:hAnsi="宋体" w:cs="宋体"/>
          <w:iCs/>
          <w:szCs w:val="21"/>
        </w:rPr>
      </w:pPr>
      <w:r>
        <w:rPr>
          <w:rStyle w:val="56"/>
          <w:rFonts w:hint="eastAsia"/>
          <w:color w:val="auto"/>
          <w:kern w:val="0"/>
          <w:shd w:val="clear" w:color="auto" w:fill="FFFFFF"/>
        </w:rPr>
        <w:t>中技建设咨询有限公司</w:t>
      </w:r>
      <w:r>
        <w:rPr>
          <w:rStyle w:val="56"/>
          <w:rFonts w:hint="eastAsia"/>
          <w:color w:val="auto"/>
          <w:kern w:val="0"/>
          <w:u w:val="none"/>
          <w:shd w:val="clear" w:color="auto" w:fill="FFFFFF"/>
        </w:rPr>
        <w:t>受</w:t>
      </w:r>
      <w:r>
        <w:rPr>
          <w:rStyle w:val="56"/>
          <w:rFonts w:hint="eastAsia"/>
          <w:color w:val="auto"/>
          <w:kern w:val="0"/>
          <w:shd w:val="clear" w:color="auto" w:fill="FFFFFF"/>
        </w:rPr>
        <w:t>长沙市轨道交通运营有限公司</w:t>
      </w:r>
      <w:r>
        <w:rPr>
          <w:rStyle w:val="56"/>
          <w:rFonts w:hint="eastAsia"/>
          <w:color w:val="auto"/>
          <w:kern w:val="0"/>
          <w:u w:val="none"/>
          <w:shd w:val="clear" w:color="auto" w:fill="FFFFFF"/>
        </w:rPr>
        <w:t>的委托，对</w:t>
      </w:r>
      <w:r>
        <w:rPr>
          <w:rFonts w:hint="eastAsia" w:ascii="宋体" w:hAnsi="宋体" w:cs="宋体"/>
          <w:u w:val="single"/>
        </w:rPr>
        <w:t>长沙市轨道交通2号线运营期2022年-2024年EAP员工帮扶计划服务项目</w:t>
      </w:r>
      <w:r>
        <w:rPr>
          <w:rStyle w:val="56"/>
          <w:rFonts w:hint="eastAsia"/>
          <w:color w:val="auto"/>
          <w:kern w:val="0"/>
          <w:u w:val="none"/>
          <w:shd w:val="clear" w:color="auto" w:fill="FFFFFF"/>
        </w:rPr>
        <w:t>进行自主竞争性谈判采购，现发布公告，邀请符合条件的单位参与谈判采购活动，本项目为不含税报价。</w:t>
      </w:r>
    </w:p>
    <w:p>
      <w:pPr>
        <w:pStyle w:val="41"/>
        <w:numPr>
          <w:ilvl w:val="0"/>
          <w:numId w:val="7"/>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项目概况</w:t>
      </w:r>
    </w:p>
    <w:p>
      <w:pPr>
        <w:numPr>
          <w:ilvl w:val="0"/>
          <w:numId w:val="8"/>
        </w:numPr>
        <w:spacing w:line="360" w:lineRule="auto"/>
        <w:ind w:firstLine="420" w:firstLineChars="200"/>
        <w:rPr>
          <w:rStyle w:val="56"/>
          <w:color w:val="auto"/>
          <w:kern w:val="0"/>
          <w:u w:val="none"/>
          <w:shd w:val="clear" w:color="auto" w:fill="FFFFFF"/>
        </w:rPr>
      </w:pPr>
      <w:r>
        <w:rPr>
          <w:rStyle w:val="56"/>
          <w:rFonts w:hint="eastAsia"/>
          <w:color w:val="auto"/>
          <w:kern w:val="0"/>
          <w:u w:val="none"/>
          <w:shd w:val="clear" w:color="auto" w:fill="FFFFFF"/>
        </w:rPr>
        <w:t>项目名称：</w:t>
      </w:r>
      <w:r>
        <w:rPr>
          <w:rFonts w:hint="eastAsia" w:ascii="宋体" w:hAnsi="宋体" w:cs="宋体"/>
        </w:rPr>
        <w:t>长沙市轨道交通2号线运营期2022年-2024年EAP员工帮扶计划服务项目</w:t>
      </w:r>
    </w:p>
    <w:p>
      <w:pPr>
        <w:numPr>
          <w:ilvl w:val="0"/>
          <w:numId w:val="8"/>
        </w:numPr>
        <w:spacing w:line="360" w:lineRule="auto"/>
        <w:ind w:firstLine="420" w:firstLineChars="200"/>
        <w:rPr>
          <w:rStyle w:val="56"/>
          <w:color w:val="auto"/>
          <w:kern w:val="0"/>
          <w:u w:val="none"/>
          <w:shd w:val="clear" w:color="auto" w:fill="FFFFFF"/>
        </w:rPr>
      </w:pPr>
      <w:r>
        <w:rPr>
          <w:rStyle w:val="56"/>
          <w:rFonts w:hint="eastAsia"/>
          <w:color w:val="auto"/>
          <w:kern w:val="0"/>
          <w:u w:val="none"/>
          <w:shd w:val="clear" w:color="auto" w:fill="FFFFFF"/>
        </w:rPr>
        <w:t>项目编号：长轨运服采【2022】32号</w:t>
      </w:r>
    </w:p>
    <w:p>
      <w:pPr>
        <w:numPr>
          <w:ilvl w:val="0"/>
          <w:numId w:val="8"/>
        </w:numPr>
        <w:spacing w:line="360" w:lineRule="auto"/>
        <w:ind w:firstLine="420" w:firstLineChars="200"/>
        <w:rPr>
          <w:rFonts w:ascii="宋体" w:hAnsi="宋体" w:cs="宋体"/>
        </w:rPr>
      </w:pPr>
      <w:r>
        <w:rPr>
          <w:rFonts w:hint="eastAsia" w:ascii="宋体" w:hAnsi="宋体" w:cs="宋体"/>
        </w:rPr>
        <w:t>最高限价：209472.00元</w:t>
      </w:r>
    </w:p>
    <w:p>
      <w:pPr>
        <w:numPr>
          <w:ilvl w:val="0"/>
          <w:numId w:val="8"/>
        </w:numPr>
        <w:spacing w:line="360" w:lineRule="auto"/>
        <w:ind w:firstLine="420" w:firstLineChars="200"/>
        <w:rPr>
          <w:rStyle w:val="56"/>
          <w:color w:val="auto"/>
          <w:kern w:val="0"/>
          <w:u w:val="none"/>
          <w:shd w:val="clear" w:color="auto" w:fill="FFFFFF"/>
        </w:rPr>
      </w:pPr>
      <w:r>
        <w:rPr>
          <w:rStyle w:val="56"/>
          <w:rFonts w:hint="eastAsia"/>
          <w:color w:val="auto"/>
          <w:kern w:val="0"/>
          <w:u w:val="none"/>
          <w:shd w:val="clear" w:color="auto" w:fill="FFFFFF"/>
        </w:rPr>
        <w:t>标段划分：共划分 1 个标段</w:t>
      </w:r>
    </w:p>
    <w:p>
      <w:pPr>
        <w:numPr>
          <w:ilvl w:val="0"/>
          <w:numId w:val="8"/>
        </w:numPr>
        <w:spacing w:line="360" w:lineRule="auto"/>
        <w:ind w:firstLine="420" w:firstLineChars="200"/>
        <w:rPr>
          <w:rStyle w:val="56"/>
          <w:color w:val="auto"/>
          <w:kern w:val="0"/>
          <w:u w:val="none"/>
          <w:shd w:val="clear" w:color="auto" w:fill="FFFFFF"/>
        </w:rPr>
      </w:pPr>
      <w:r>
        <w:rPr>
          <w:rStyle w:val="56"/>
          <w:rFonts w:hint="eastAsia"/>
          <w:color w:val="auto"/>
          <w:kern w:val="0"/>
          <w:u w:val="none"/>
          <w:shd w:val="clear" w:color="auto" w:fill="FFFFFF"/>
        </w:rPr>
        <w:t>服务期限：</w:t>
      </w:r>
      <w:r>
        <w:rPr>
          <w:rFonts w:hint="eastAsia" w:ascii="宋体" w:hAnsi="宋体" w:cs="宋体"/>
        </w:rPr>
        <w:t>本项目服务期限暂定为</w:t>
      </w:r>
      <w:r>
        <w:rPr>
          <w:rFonts w:hint="eastAsia" w:ascii="宋体" w:hAnsi="宋体" w:cs="宋体"/>
          <w:highlight w:val="none"/>
        </w:rPr>
        <w:t>2022年12月至2024年11月，</w:t>
      </w:r>
      <w:r>
        <w:rPr>
          <w:rFonts w:hint="eastAsia" w:ascii="宋体" w:hAnsi="宋体" w:cs="宋体"/>
        </w:rPr>
        <w:t>总计24个月</w:t>
      </w:r>
      <w:r>
        <w:rPr>
          <w:rStyle w:val="56"/>
          <w:rFonts w:hint="eastAsia"/>
          <w:color w:val="auto"/>
          <w:kern w:val="0"/>
          <w:u w:val="none"/>
          <w:shd w:val="clear" w:color="auto" w:fill="FFFFFF"/>
        </w:rPr>
        <w:t>（实际服务时间以采购单位发出的进场通知起算，总计24个月）。（具体详见用户需求书）</w:t>
      </w:r>
    </w:p>
    <w:p>
      <w:pPr>
        <w:numPr>
          <w:ilvl w:val="0"/>
          <w:numId w:val="8"/>
        </w:numPr>
        <w:spacing w:line="360" w:lineRule="auto"/>
        <w:ind w:firstLine="420" w:firstLineChars="200"/>
        <w:rPr>
          <w:rStyle w:val="56"/>
          <w:color w:val="auto"/>
          <w:kern w:val="0"/>
          <w:u w:val="none"/>
          <w:shd w:val="clear" w:color="auto" w:fill="FFFFFF"/>
        </w:rPr>
      </w:pPr>
      <w:r>
        <w:rPr>
          <w:rStyle w:val="56"/>
          <w:rFonts w:hint="eastAsia"/>
          <w:color w:val="auto"/>
          <w:kern w:val="0"/>
          <w:u w:val="none"/>
          <w:shd w:val="clear" w:color="auto" w:fill="FFFFFF"/>
        </w:rPr>
        <w:t>采购范围：本项目主要为</w:t>
      </w:r>
      <w:r>
        <w:rPr>
          <w:rFonts w:hint="eastAsia" w:ascii="宋体" w:hAnsi="宋体" w:cs="宋体"/>
        </w:rPr>
        <w:t>在长沙市轨道交通运营有限公司全体员工中开展项目宣传、电客车司机（含电客车队长、电客车指导司机、电客车司机、工程车指导司机、工程车操作工）岗位测评及访谈评估、新员工测评、科普性讲座、即时热线沟通、一对一面询、危机干预、义诊、转介绿色通道等。</w:t>
      </w:r>
      <w:r>
        <w:rPr>
          <w:rStyle w:val="56"/>
          <w:rFonts w:hint="eastAsia"/>
          <w:color w:val="auto"/>
          <w:kern w:val="0"/>
          <w:u w:val="none"/>
          <w:shd w:val="clear" w:color="auto" w:fill="FFFFFF"/>
        </w:rPr>
        <w:t>（具体详见用户需求书）</w:t>
      </w:r>
    </w:p>
    <w:p>
      <w:pPr>
        <w:pStyle w:val="41"/>
        <w:numPr>
          <w:ilvl w:val="0"/>
          <w:numId w:val="7"/>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资格要求</w:t>
      </w:r>
    </w:p>
    <w:p>
      <w:pPr>
        <w:numPr>
          <w:ilvl w:val="0"/>
          <w:numId w:val="9"/>
        </w:numPr>
        <w:spacing w:line="360" w:lineRule="auto"/>
        <w:ind w:firstLine="420" w:firstLineChars="200"/>
        <w:rPr>
          <w:rStyle w:val="56"/>
          <w:color w:val="auto"/>
          <w:kern w:val="0"/>
          <w:u w:val="none"/>
          <w:shd w:val="clear" w:color="auto" w:fill="FFFFFF"/>
        </w:rPr>
      </w:pPr>
      <w:r>
        <w:rPr>
          <w:rStyle w:val="56"/>
          <w:rFonts w:hint="eastAsia"/>
          <w:color w:val="auto"/>
          <w:kern w:val="0"/>
          <w:u w:val="none"/>
          <w:shd w:val="clear" w:color="auto" w:fill="FFFFFF"/>
        </w:rPr>
        <w:t>谈判单位须为具有独立法人资格、自主经营、独立核算的公司/单位。</w:t>
      </w:r>
    </w:p>
    <w:p>
      <w:pPr>
        <w:numPr>
          <w:ilvl w:val="0"/>
          <w:numId w:val="9"/>
        </w:numPr>
        <w:spacing w:line="360" w:lineRule="auto"/>
        <w:ind w:firstLine="420" w:firstLineChars="200"/>
        <w:rPr>
          <w:rStyle w:val="56"/>
          <w:color w:val="auto"/>
          <w:kern w:val="0"/>
          <w:u w:val="none"/>
          <w:shd w:val="clear" w:color="auto" w:fill="FFFFFF"/>
        </w:rPr>
      </w:pPr>
      <w:r>
        <w:rPr>
          <w:rFonts w:hint="eastAsia" w:ascii="宋体" w:hAnsi="宋体" w:cs="宋体"/>
          <w:color w:val="000000"/>
        </w:rPr>
        <w:t>谈判单位项目负责人须具有劳动社会保障部门颁发的二级（含）以上心理咨询师职业资格证书</w:t>
      </w:r>
      <w:r>
        <w:rPr>
          <w:rStyle w:val="56"/>
          <w:rFonts w:hint="eastAsia"/>
          <w:color w:val="auto"/>
          <w:kern w:val="0"/>
          <w:u w:val="none"/>
          <w:shd w:val="clear" w:color="auto" w:fill="FFFFFF"/>
        </w:rPr>
        <w:t>。</w:t>
      </w:r>
    </w:p>
    <w:p>
      <w:pPr>
        <w:numPr>
          <w:ilvl w:val="0"/>
          <w:numId w:val="9"/>
        </w:numPr>
        <w:spacing w:line="360" w:lineRule="auto"/>
        <w:ind w:firstLine="420" w:firstLineChars="200"/>
        <w:rPr>
          <w:rStyle w:val="56"/>
          <w:color w:val="auto"/>
          <w:kern w:val="0"/>
          <w:u w:val="none"/>
          <w:shd w:val="clear" w:color="auto" w:fill="FFFFFF"/>
        </w:rPr>
      </w:pPr>
      <w:r>
        <w:rPr>
          <w:rStyle w:val="56"/>
          <w:rFonts w:hint="eastAsia"/>
          <w:color w:val="auto"/>
          <w:kern w:val="0"/>
          <w:u w:val="none"/>
          <w:shd w:val="clear" w:color="auto" w:fill="FFFFFF"/>
        </w:rPr>
        <w:t>谈判单位</w:t>
      </w:r>
      <w:r>
        <w:rPr>
          <w:rFonts w:hint="eastAsia" w:ascii="宋体" w:hAnsi="宋体"/>
          <w:color w:val="000000"/>
          <w:szCs w:val="21"/>
          <w:lang w:bidi="ar"/>
        </w:rPr>
        <w:t>须具</w:t>
      </w:r>
      <w:r>
        <w:rPr>
          <w:rFonts w:hint="eastAsia" w:ascii="宋体" w:hAnsi="宋体" w:cs="宋体"/>
          <w:color w:val="000000"/>
          <w:szCs w:val="21"/>
          <w:lang w:bidi="ar"/>
        </w:rPr>
        <w:t>有一项入围业绩，入围业绩是指</w:t>
      </w:r>
      <w:r>
        <w:rPr>
          <w:rStyle w:val="56"/>
          <w:rFonts w:hint="eastAsia"/>
          <w:color w:val="auto"/>
          <w:kern w:val="0"/>
          <w:u w:val="none"/>
          <w:shd w:val="clear" w:color="auto" w:fill="FFFFFF"/>
        </w:rPr>
        <w:t>在本项目谈判截止之日前36个月内须具有</w:t>
      </w:r>
    </w:p>
    <w:p>
      <w:pPr>
        <w:spacing w:line="360" w:lineRule="auto"/>
        <w:rPr>
          <w:rStyle w:val="56"/>
          <w:color w:val="auto"/>
          <w:kern w:val="0"/>
          <w:u w:val="none"/>
          <w:shd w:val="clear" w:color="auto" w:fill="FFFFFF"/>
        </w:rPr>
      </w:pPr>
      <w:r>
        <w:rPr>
          <w:rFonts w:hint="eastAsia" w:ascii="宋体" w:hAnsi="宋体" w:cs="宋体"/>
        </w:rPr>
        <w:t>心理咨询类项目</w:t>
      </w:r>
      <w:r>
        <w:rPr>
          <w:rStyle w:val="56"/>
          <w:rFonts w:hint="eastAsia"/>
          <w:color w:val="auto"/>
          <w:kern w:val="0"/>
          <w:u w:val="none"/>
          <w:shd w:val="clear" w:color="auto" w:fill="FFFFFF"/>
        </w:rPr>
        <w:t>业绩。不接受联合体业绩、港澳台或境外业绩。</w:t>
      </w:r>
    </w:p>
    <w:p>
      <w:pPr>
        <w:spacing w:line="360" w:lineRule="auto"/>
        <w:ind w:firstLine="420" w:firstLineChars="200"/>
        <w:rPr>
          <w:rStyle w:val="56"/>
          <w:color w:val="auto"/>
          <w:u w:val="none"/>
          <w:shd w:val="clear" w:color="auto" w:fill="FFFFFF"/>
        </w:rPr>
      </w:pPr>
      <w:r>
        <w:rPr>
          <w:rStyle w:val="56"/>
          <w:color w:val="auto"/>
          <w:u w:val="none"/>
          <w:shd w:val="clear" w:color="auto" w:fill="FFFFFF"/>
        </w:rPr>
        <w:t>业绩证明材料以同时</w:t>
      </w:r>
      <w:r>
        <w:rPr>
          <w:rStyle w:val="56"/>
          <w:rFonts w:hint="eastAsia"/>
          <w:color w:val="auto"/>
          <w:u w:val="none"/>
          <w:shd w:val="clear" w:color="auto" w:fill="FFFFFF"/>
        </w:rPr>
        <w:t>提供</w:t>
      </w:r>
      <w:r>
        <w:rPr>
          <w:rStyle w:val="56"/>
          <w:color w:val="auto"/>
          <w:u w:val="none"/>
          <w:shd w:val="clear" w:color="auto" w:fill="FFFFFF"/>
        </w:rPr>
        <w:t>的合同</w:t>
      </w:r>
      <w:r>
        <w:rPr>
          <w:rStyle w:val="56"/>
          <w:rFonts w:hint="eastAsia"/>
          <w:color w:val="auto"/>
          <w:u w:val="none"/>
          <w:shd w:val="clear" w:color="auto" w:fill="FFFFFF"/>
        </w:rPr>
        <w:t>原件扫描件</w:t>
      </w:r>
      <w:r>
        <w:rPr>
          <w:rStyle w:val="56"/>
          <w:color w:val="auto"/>
          <w:u w:val="none"/>
          <w:shd w:val="clear" w:color="auto" w:fill="FFFFFF"/>
        </w:rPr>
        <w:t>和</w:t>
      </w:r>
      <w:r>
        <w:rPr>
          <w:rStyle w:val="56"/>
          <w:rFonts w:hint="eastAsia"/>
          <w:color w:val="auto"/>
          <w:u w:val="none"/>
          <w:shd w:val="clear" w:color="auto" w:fill="FFFFFF"/>
        </w:rPr>
        <w:t>可查验的增值税发票</w:t>
      </w:r>
      <w:r>
        <w:rPr>
          <w:rStyle w:val="56"/>
          <w:color w:val="auto"/>
          <w:u w:val="none"/>
          <w:shd w:val="clear" w:color="auto" w:fill="FFFFFF"/>
        </w:rPr>
        <w:t>（开票金额不少于合同金额的10%）</w:t>
      </w:r>
      <w:r>
        <w:rPr>
          <w:rStyle w:val="56"/>
          <w:rFonts w:hint="eastAsia"/>
          <w:color w:val="auto"/>
          <w:u w:val="none"/>
          <w:shd w:val="clear" w:color="auto" w:fill="FFFFFF"/>
        </w:rPr>
        <w:t>原件扫描件为准</w:t>
      </w:r>
      <w:r>
        <w:rPr>
          <w:rStyle w:val="56"/>
          <w:color w:val="auto"/>
          <w:u w:val="none"/>
          <w:shd w:val="clear" w:color="auto" w:fill="FFFFFF"/>
        </w:rPr>
        <w:t>（均须加盖</w:t>
      </w:r>
      <w:r>
        <w:rPr>
          <w:rStyle w:val="56"/>
          <w:rFonts w:hint="eastAsia"/>
          <w:color w:val="auto"/>
          <w:u w:val="none"/>
          <w:shd w:val="clear" w:color="auto" w:fill="FFFFFF"/>
        </w:rPr>
        <w:t>谈判单位</w:t>
      </w:r>
      <w:r>
        <w:rPr>
          <w:rStyle w:val="56"/>
          <w:color w:val="auto"/>
          <w:u w:val="none"/>
          <w:shd w:val="clear" w:color="auto" w:fill="FFFFFF"/>
        </w:rPr>
        <w:t>公章），业绩金额以合同中</w:t>
      </w:r>
      <w:r>
        <w:rPr>
          <w:rStyle w:val="56"/>
          <w:rFonts w:hint="eastAsia"/>
          <w:color w:val="auto"/>
          <w:u w:val="none"/>
          <w:shd w:val="clear" w:color="auto" w:fill="FFFFFF"/>
        </w:rPr>
        <w:t>的</w:t>
      </w:r>
      <w:r>
        <w:rPr>
          <w:rStyle w:val="56"/>
          <w:color w:val="auto"/>
          <w:u w:val="none"/>
          <w:shd w:val="clear" w:color="auto" w:fill="FFFFFF"/>
        </w:rPr>
        <w:t>金额为准，</w:t>
      </w:r>
      <w:r>
        <w:rPr>
          <w:rStyle w:val="56"/>
          <w:rFonts w:hint="eastAsia"/>
          <w:color w:val="auto"/>
          <w:u w:val="none"/>
          <w:shd w:val="clear" w:color="auto" w:fill="FFFFFF"/>
        </w:rPr>
        <w:t>时间以合同中甲方签订时间为准。</w:t>
      </w:r>
    </w:p>
    <w:p>
      <w:pPr>
        <w:numPr>
          <w:ilvl w:val="0"/>
          <w:numId w:val="9"/>
        </w:numPr>
        <w:spacing w:line="360" w:lineRule="auto"/>
        <w:ind w:firstLine="420" w:firstLineChars="200"/>
        <w:rPr>
          <w:rStyle w:val="56"/>
          <w:color w:val="auto"/>
          <w:kern w:val="0"/>
          <w:u w:val="none"/>
          <w:shd w:val="clear" w:color="auto" w:fill="FFFFFF"/>
        </w:rPr>
      </w:pPr>
      <w:r>
        <w:rPr>
          <w:rStyle w:val="56"/>
          <w:color w:val="auto"/>
          <w:u w:val="none"/>
          <w:shd w:val="clear" w:color="auto" w:fill="FFFFFF"/>
        </w:rPr>
        <w:t>本</w:t>
      </w:r>
      <w:r>
        <w:rPr>
          <w:rStyle w:val="56"/>
          <w:rFonts w:hint="eastAsia"/>
          <w:color w:val="auto"/>
          <w:u w:val="none"/>
          <w:shd w:val="clear" w:color="auto" w:fill="FFFFFF"/>
        </w:rPr>
        <w:t>次采购</w:t>
      </w:r>
      <w:r>
        <w:rPr>
          <w:rStyle w:val="56"/>
          <w:color w:val="auto"/>
          <w:u w:val="none"/>
          <w:shd w:val="clear" w:color="auto" w:fill="FFFFFF"/>
        </w:rPr>
        <w:t>不接受联合体</w:t>
      </w:r>
      <w:r>
        <w:rPr>
          <w:rStyle w:val="56"/>
          <w:rFonts w:hint="eastAsia"/>
          <w:color w:val="auto"/>
          <w:kern w:val="0"/>
          <w:u w:val="none"/>
          <w:shd w:val="clear" w:color="auto" w:fill="FFFFFF"/>
        </w:rPr>
        <w:t>。</w:t>
      </w:r>
    </w:p>
    <w:p>
      <w:pPr>
        <w:numPr>
          <w:ilvl w:val="0"/>
          <w:numId w:val="9"/>
        </w:numPr>
        <w:spacing w:line="360" w:lineRule="auto"/>
        <w:ind w:firstLine="420" w:firstLineChars="200"/>
        <w:rPr>
          <w:rStyle w:val="56"/>
          <w:color w:val="auto"/>
          <w:kern w:val="0"/>
          <w:u w:val="none"/>
          <w:shd w:val="clear" w:color="auto" w:fill="FFFFFF"/>
        </w:rPr>
      </w:pPr>
      <w:r>
        <w:rPr>
          <w:rStyle w:val="56"/>
          <w:color w:val="auto"/>
          <w:u w:val="none"/>
          <w:shd w:val="clear" w:color="auto" w:fill="FFFFFF"/>
        </w:rPr>
        <w:t>被长沙市轨道交通集团</w:t>
      </w:r>
      <w:r>
        <w:rPr>
          <w:rStyle w:val="56"/>
          <w:rFonts w:hint="eastAsia"/>
          <w:color w:val="auto"/>
          <w:u w:val="none"/>
          <w:shd w:val="clear" w:color="auto" w:fill="FFFFFF"/>
        </w:rPr>
        <w:t>有限公司或长沙市轨道交通运营有限公司函告禁止在一定期限内参与投标的单位按函告内容执行</w:t>
      </w:r>
      <w:r>
        <w:rPr>
          <w:rStyle w:val="56"/>
          <w:rFonts w:hint="eastAsia"/>
          <w:color w:val="auto"/>
          <w:kern w:val="0"/>
          <w:u w:val="none"/>
          <w:shd w:val="clear" w:color="auto" w:fill="FFFFFF"/>
        </w:rPr>
        <w:t>。</w:t>
      </w:r>
    </w:p>
    <w:p>
      <w:pPr>
        <w:pStyle w:val="41"/>
        <w:numPr>
          <w:ilvl w:val="0"/>
          <w:numId w:val="7"/>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评审办法</w:t>
      </w:r>
    </w:p>
    <w:p>
      <w:pPr>
        <w:adjustRightInd w:val="0"/>
        <w:snapToGrid w:val="0"/>
        <w:spacing w:line="360" w:lineRule="auto"/>
        <w:ind w:firstLine="420" w:firstLineChars="200"/>
        <w:rPr>
          <w:rFonts w:ascii="宋体" w:hAnsi="宋体" w:cs="宋体"/>
          <w:szCs w:val="21"/>
        </w:rPr>
      </w:pPr>
      <w:r>
        <w:rPr>
          <w:rStyle w:val="56"/>
          <w:rFonts w:hint="eastAsia"/>
          <w:color w:val="auto"/>
          <w:kern w:val="0"/>
          <w:u w:val="none"/>
          <w:shd w:val="clear" w:color="auto" w:fill="FFFFFF"/>
        </w:rPr>
        <w:t>本项目评审办法采用经符合性审查合格后的最低价法</w:t>
      </w:r>
    </w:p>
    <w:p>
      <w:pPr>
        <w:pStyle w:val="41"/>
        <w:numPr>
          <w:ilvl w:val="0"/>
          <w:numId w:val="7"/>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自主竞争性谈判文件的获取</w:t>
      </w:r>
    </w:p>
    <w:p>
      <w:pPr>
        <w:spacing w:line="360" w:lineRule="auto"/>
        <w:ind w:firstLine="420" w:firstLineChars="200"/>
        <w:rPr>
          <w:rStyle w:val="56"/>
          <w:color w:val="auto"/>
          <w:kern w:val="0"/>
          <w:u w:val="none"/>
          <w:shd w:val="clear" w:color="auto" w:fill="FFFFFF"/>
        </w:rPr>
      </w:pPr>
      <w:r>
        <w:rPr>
          <w:rStyle w:val="56"/>
          <w:rFonts w:hint="eastAsia"/>
          <w:color w:val="auto"/>
          <w:kern w:val="0"/>
          <w:u w:val="none"/>
          <w:shd w:val="clear" w:color="auto" w:fill="FFFFFF"/>
        </w:rPr>
        <w:t>凡有意参加谈判的单位，自本公告发布之日起登录长沙市轨道交通集团有限公司官方网站（http://www.hncsmtr.com/）获取自主竞争性谈判文件。</w:t>
      </w:r>
    </w:p>
    <w:p>
      <w:pPr>
        <w:pStyle w:val="41"/>
        <w:numPr>
          <w:ilvl w:val="0"/>
          <w:numId w:val="7"/>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谈判文件的澄清与答疑</w:t>
      </w:r>
    </w:p>
    <w:p>
      <w:pPr>
        <w:pStyle w:val="41"/>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本项目不组织答疑会和现场踏勘。</w:t>
      </w:r>
    </w:p>
    <w:p>
      <w:pPr>
        <w:pStyle w:val="41"/>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谈判单位若对谈判文件有任何疑问，应于</w:t>
      </w:r>
      <w:r>
        <w:rPr>
          <w:rStyle w:val="56"/>
          <w:rFonts w:hint="eastAsia" w:ascii="Times New Roman" w:hAnsi="Times New Roman" w:cs="Times New Roman"/>
          <w:color w:val="auto"/>
          <w:sz w:val="21"/>
          <w:highlight w:val="none"/>
          <w:u w:val="single"/>
          <w:shd w:val="clear" w:color="auto" w:fill="FFFFFF"/>
        </w:rPr>
        <w:t>20</w:t>
      </w:r>
      <w:r>
        <w:rPr>
          <w:rStyle w:val="56"/>
          <w:rFonts w:hint="eastAsia" w:ascii="Times New Roman" w:hAnsi="Times New Roman" w:cs="Times New Roman"/>
          <w:color w:val="auto"/>
          <w:sz w:val="21"/>
          <w:highlight w:val="none"/>
          <w:u w:val="single"/>
          <w:shd w:val="clear" w:color="auto" w:fill="FFFFFF"/>
          <w:lang w:val="en-US" w:eastAsia="zh-CN"/>
        </w:rPr>
        <w:t>22</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shd w:val="clear" w:color="auto" w:fill="FFFFFF"/>
          <w:lang w:val="en-US" w:eastAsia="zh-CN"/>
        </w:rPr>
        <w:t>12</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shd w:val="clear" w:color="auto" w:fill="FFFFFF"/>
          <w:lang w:val="en-US" w:eastAsia="zh-CN"/>
        </w:rPr>
        <w:t>19</w:t>
      </w:r>
      <w:r>
        <w:rPr>
          <w:rStyle w:val="56"/>
          <w:rFonts w:hint="eastAsia" w:ascii="Times New Roman" w:hAnsi="Times New Roman" w:cs="Times New Roman"/>
          <w:color w:val="auto"/>
          <w:sz w:val="21"/>
          <w:highlight w:val="none"/>
          <w:u w:val="none"/>
          <w:shd w:val="clear" w:color="auto" w:fill="FFFFFF"/>
        </w:rPr>
        <w:t>日17：00</w:t>
      </w:r>
      <w:r>
        <w:rPr>
          <w:rStyle w:val="56"/>
          <w:rFonts w:hint="eastAsia" w:ascii="Times New Roman" w:hAnsi="Times New Roman" w:cs="Times New Roman"/>
          <w:color w:val="auto"/>
          <w:sz w:val="21"/>
          <w:u w:val="none"/>
          <w:shd w:val="clear" w:color="auto" w:fill="FFFFFF"/>
        </w:rPr>
        <w:t>时（含）前（节假日除外）以书面形式（经法定代表人签字或盖章，并加盖单位公章）递交至采购代理机构。</w:t>
      </w:r>
    </w:p>
    <w:p>
      <w:pPr>
        <w:pStyle w:val="41"/>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在谈判截止时间前，采购单位或采购代理机构可主动地或在解答谈判单位提出的问题时对谈判文件进行澄清或修改。</w:t>
      </w:r>
    </w:p>
    <w:p>
      <w:pPr>
        <w:pStyle w:val="41"/>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pPr>
        <w:pStyle w:val="41"/>
        <w:numPr>
          <w:ilvl w:val="0"/>
          <w:numId w:val="7"/>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谈判保证金提交与退还</w:t>
      </w:r>
    </w:p>
    <w:p>
      <w:pPr>
        <w:pStyle w:val="41"/>
        <w:numPr>
          <w:ilvl w:val="0"/>
          <w:numId w:val="11"/>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lang w:val="en-US" w:eastAsia="zh-CN"/>
        </w:rPr>
        <w:t>所有</w:t>
      </w:r>
      <w:r>
        <w:rPr>
          <w:rStyle w:val="56"/>
          <w:rFonts w:hint="eastAsia" w:ascii="Times New Roman" w:hAnsi="Times New Roman" w:cs="Times New Roman"/>
          <w:color w:val="auto"/>
          <w:sz w:val="21"/>
          <w:u w:val="none"/>
          <w:shd w:val="clear" w:color="auto" w:fill="FFFFFF"/>
        </w:rPr>
        <w:t>谈判单位须在城轨采购网（网址：</w:t>
      </w:r>
      <w:r>
        <w:fldChar w:fldCharType="begin"/>
      </w:r>
      <w:r>
        <w:instrText xml:space="preserve"> HYPERLINK "http://www.mtrmart.com）注册参与并按要求提交投标保证金。本次投标保证金的金额为（人民币）" </w:instrText>
      </w:r>
      <w:r>
        <w:fldChar w:fldCharType="separate"/>
      </w:r>
      <w:r>
        <w:rPr>
          <w:rStyle w:val="56"/>
          <w:rFonts w:hint="eastAsia" w:ascii="Times New Roman" w:hAnsi="Times New Roman" w:cs="Times New Roman"/>
          <w:color w:val="auto"/>
          <w:sz w:val="21"/>
          <w:u w:val="none"/>
          <w:shd w:val="clear" w:color="auto" w:fill="FFFFFF"/>
        </w:rPr>
        <w:t>www.mtrmart.com）注册参与并按要求提交谈判保证金。本次谈判保证金的金额为（人民币）</w:t>
      </w:r>
      <w:r>
        <w:rPr>
          <w:rStyle w:val="56"/>
          <w:rFonts w:hint="eastAsia" w:ascii="Times New Roman" w:hAnsi="Times New Roman" w:cs="Times New Roman"/>
          <w:color w:val="auto"/>
          <w:sz w:val="21"/>
          <w:u w:val="none"/>
          <w:shd w:val="clear" w:color="auto" w:fill="FFFFFF"/>
        </w:rPr>
        <w:fldChar w:fldCharType="end"/>
      </w:r>
      <w:r>
        <w:rPr>
          <w:rStyle w:val="56"/>
          <w:rFonts w:hint="eastAsia" w:ascii="Times New Roman" w:hAnsi="Times New Roman" w:cs="Times New Roman"/>
          <w:color w:val="auto"/>
          <w:sz w:val="21"/>
          <w:shd w:val="clear" w:color="auto" w:fill="FFFFFF"/>
        </w:rPr>
        <w:t>肆仟壹佰元整</w:t>
      </w:r>
      <w:r>
        <w:rPr>
          <w:rFonts w:hint="eastAsia"/>
          <w:color w:val="000000"/>
          <w:sz w:val="21"/>
          <w:szCs w:val="21"/>
          <w:shd w:val="clear" w:color="auto" w:fill="FFFFFF"/>
          <w:lang w:bidi="ar"/>
        </w:rPr>
        <w:t>（¥</w:t>
      </w:r>
      <w:r>
        <w:rPr>
          <w:rFonts w:hint="eastAsia"/>
          <w:color w:val="000000"/>
          <w:sz w:val="21"/>
          <w:szCs w:val="21"/>
          <w:u w:val="single"/>
          <w:shd w:val="clear" w:color="auto" w:fill="FFFFFF"/>
          <w:lang w:bidi="ar"/>
        </w:rPr>
        <w:t>4100.00</w:t>
      </w:r>
      <w:r>
        <w:rPr>
          <w:rFonts w:hint="eastAsia"/>
          <w:color w:val="000000"/>
          <w:sz w:val="21"/>
          <w:szCs w:val="21"/>
          <w:shd w:val="clear" w:color="auto" w:fill="FFFFFF"/>
          <w:lang w:bidi="ar"/>
        </w:rPr>
        <w:t>元）</w:t>
      </w:r>
      <w:r>
        <w:rPr>
          <w:rStyle w:val="56"/>
          <w:rFonts w:hint="eastAsia" w:ascii="Times New Roman" w:hAnsi="Times New Roman" w:cs="Times New Roman"/>
          <w:color w:val="auto"/>
          <w:sz w:val="21"/>
          <w:u w:val="none"/>
          <w:shd w:val="clear" w:color="auto" w:fill="FFFFFF"/>
        </w:rPr>
        <w:t>，谈判保证金必须由谈判单位的银行对公账户一次性足额转出，提交谈判保证金的账户名称应与谈判单位的名称一致，不得以分支机构等其他名义提交。否则将无权限参加本次谈判。</w:t>
      </w:r>
    </w:p>
    <w:p>
      <w:pPr>
        <w:pStyle w:val="41"/>
        <w:numPr>
          <w:ilvl w:val="0"/>
          <w:numId w:val="11"/>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本次参与谈判单位的谈判保证金必须在</w:t>
      </w:r>
      <w:r>
        <w:rPr>
          <w:rStyle w:val="56"/>
          <w:rFonts w:hint="eastAsia" w:ascii="Times New Roman" w:hAnsi="Times New Roman" w:cs="Times New Roman"/>
          <w:color w:val="auto"/>
          <w:sz w:val="21"/>
          <w:highlight w:val="none"/>
          <w:u w:val="single"/>
          <w:shd w:val="clear" w:color="auto" w:fill="FFFFFF"/>
        </w:rPr>
        <w:t>20</w:t>
      </w:r>
      <w:r>
        <w:rPr>
          <w:rStyle w:val="56"/>
          <w:rFonts w:hint="eastAsia" w:ascii="Times New Roman" w:hAnsi="Times New Roman" w:cs="Times New Roman"/>
          <w:color w:val="auto"/>
          <w:sz w:val="21"/>
          <w:highlight w:val="none"/>
          <w:u w:val="single"/>
          <w:shd w:val="clear" w:color="auto" w:fill="FFFFFF"/>
          <w:lang w:val="en-US" w:eastAsia="zh-CN"/>
        </w:rPr>
        <w:t>22</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shd w:val="clear" w:color="auto" w:fill="FFFFFF"/>
          <w:lang w:val="en-US" w:eastAsia="zh-CN"/>
        </w:rPr>
        <w:t>12</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shd w:val="clear" w:color="auto" w:fill="FFFFFF"/>
          <w:lang w:val="en-US" w:eastAsia="zh-CN"/>
        </w:rPr>
        <w:t>26</w:t>
      </w:r>
      <w:r>
        <w:rPr>
          <w:rStyle w:val="56"/>
          <w:rFonts w:hint="eastAsia" w:ascii="Times New Roman" w:hAnsi="Times New Roman" w:cs="Times New Roman"/>
          <w:color w:val="auto"/>
          <w:sz w:val="21"/>
          <w:highlight w:val="none"/>
          <w:u w:val="none"/>
          <w:shd w:val="clear" w:color="auto" w:fill="FFFFFF"/>
        </w:rPr>
        <w:t>日</w:t>
      </w:r>
      <w:r>
        <w:rPr>
          <w:rStyle w:val="56"/>
          <w:rFonts w:hint="eastAsia" w:ascii="Times New Roman" w:hAnsi="Times New Roman" w:cs="Times New Roman"/>
          <w:color w:val="auto"/>
          <w:sz w:val="21"/>
          <w:highlight w:val="none"/>
          <w:shd w:val="clear" w:color="auto" w:fill="FFFFFF"/>
          <w:lang w:val="en-US" w:eastAsia="zh-CN"/>
        </w:rPr>
        <w:t>9:00</w:t>
      </w:r>
      <w:r>
        <w:rPr>
          <w:rStyle w:val="56"/>
          <w:rFonts w:hint="eastAsia" w:ascii="Times New Roman" w:hAnsi="Times New Roman" w:cs="Times New Roman"/>
          <w:color w:val="auto"/>
          <w:sz w:val="21"/>
          <w:highlight w:val="none"/>
          <w:u w:val="none"/>
          <w:shd w:val="clear" w:color="auto" w:fill="FFFFFF"/>
        </w:rPr>
        <w:t>前</w:t>
      </w:r>
      <w:r>
        <w:rPr>
          <w:rStyle w:val="56"/>
          <w:rFonts w:hint="eastAsia" w:ascii="Times New Roman" w:hAnsi="Times New Roman" w:cs="Times New Roman"/>
          <w:color w:val="auto"/>
          <w:sz w:val="21"/>
          <w:u w:val="none"/>
          <w:shd w:val="clear" w:color="auto" w:fill="FFFFFF"/>
        </w:rPr>
        <w:t>(含)到达专用账户（以托管银行到账的日期为准），逾期或未提交谈判保证金的谈判单位，将无权限参加本次谈判。</w:t>
      </w:r>
    </w:p>
    <w:p>
      <w:pPr>
        <w:pStyle w:val="41"/>
        <w:numPr>
          <w:ilvl w:val="0"/>
          <w:numId w:val="11"/>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本次谈判保证金的提交仅接受银行转账的方式，谈判保证金由广州地铁物资有限公司代收、代退。账户名为广州地铁物资有限公司（开户分行：平安银行广州分行营业部），城轨采购网（网址：www.mtrmart.com）系统会为本项目自动生成谈判保证金账户信息（虚拟子账户），相关账户信息以实际信息为准。</w:t>
      </w:r>
    </w:p>
    <w:p>
      <w:pPr>
        <w:pStyle w:val="41"/>
        <w:numPr>
          <w:ilvl w:val="0"/>
          <w:numId w:val="11"/>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谈判保证金的退还：未中选单位的谈判保证金，将在其确定对本项目谈判采购过程及结果无异议，且在中选结果公示截止后予以退还谈判保证金；中选单位的谈判保证金将在签署合同并提交履约保证金后予以退还。如在退还谈判保证金时发生银行费用，则在谈判保证金金额内扣减后将余额退回。</w:t>
      </w:r>
    </w:p>
    <w:p>
      <w:pPr>
        <w:pStyle w:val="41"/>
        <w:numPr>
          <w:ilvl w:val="0"/>
          <w:numId w:val="11"/>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项目终止谈判保证金退还，已经收取谈判保证金的，将在终止采购活动后无息退还所收取的谈判保证金。重新组织采购时，谈判单位应当重新获取保证金账号，并提交谈判保证金。</w:t>
      </w:r>
    </w:p>
    <w:p>
      <w:pPr>
        <w:pStyle w:val="41"/>
        <w:numPr>
          <w:ilvl w:val="0"/>
          <w:numId w:val="11"/>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谈判单位在谈判截止时间前撤回已提交的响应文件的，将在收到供应商书面撤回通知后，退还已收取的谈判保证金。</w:t>
      </w:r>
    </w:p>
    <w:p>
      <w:pPr>
        <w:pStyle w:val="41"/>
        <w:numPr>
          <w:ilvl w:val="0"/>
          <w:numId w:val="11"/>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出现包括但不限于下列情况的，采购单位将按照长沙市轨道交通运营有限公司相关制度和合同条款等相关规定，视其情节轻重，给予没收部分或全部谈判保证金，并出具书面处理决定，除此之外，如谈判单位给采购单位造成的损失超过谈判保证金数额的，谈判单位应当对超过部分给予赔偿。</w:t>
      </w:r>
    </w:p>
    <w:p>
      <w:pPr>
        <w:pStyle w:val="41"/>
        <w:numPr>
          <w:ilvl w:val="0"/>
          <w:numId w:val="12"/>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谈判单位提出撤回或撤销或放弃中选资格或对报价提出实质性修改；</w:t>
      </w:r>
    </w:p>
    <w:p>
      <w:pPr>
        <w:pStyle w:val="41"/>
        <w:numPr>
          <w:ilvl w:val="0"/>
          <w:numId w:val="12"/>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中选单位未能在规定期限内签订合同或不按报价结果签订合同；</w:t>
      </w:r>
    </w:p>
    <w:p>
      <w:pPr>
        <w:pStyle w:val="41"/>
        <w:numPr>
          <w:ilvl w:val="0"/>
          <w:numId w:val="12"/>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中选单位未能在规定期限内提交履约保证金；</w:t>
      </w:r>
    </w:p>
    <w:p>
      <w:pPr>
        <w:pStyle w:val="41"/>
        <w:numPr>
          <w:ilvl w:val="0"/>
          <w:numId w:val="12"/>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中选单位在合同订立过程中未能完全响应采购文件、清单、附件、合同要求以致合同无法订立的；</w:t>
      </w:r>
    </w:p>
    <w:p>
      <w:pPr>
        <w:pStyle w:val="41"/>
        <w:numPr>
          <w:ilvl w:val="0"/>
          <w:numId w:val="12"/>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经查实谈判单位报价资料弄虚作假的；</w:t>
      </w:r>
    </w:p>
    <w:p>
      <w:pPr>
        <w:pStyle w:val="41"/>
        <w:numPr>
          <w:ilvl w:val="0"/>
          <w:numId w:val="12"/>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串通参与谈判相关行为的。如不同谈判单位的谈判保证金从同一账户转出。</w:t>
      </w:r>
    </w:p>
    <w:p>
      <w:pPr>
        <w:pStyle w:val="41"/>
        <w:numPr>
          <w:ilvl w:val="0"/>
          <w:numId w:val="7"/>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响应文件的递交</w:t>
      </w:r>
    </w:p>
    <w:p>
      <w:pPr>
        <w:pStyle w:val="41"/>
        <w:numPr>
          <w:ilvl w:val="0"/>
          <w:numId w:val="13"/>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响应文件递交的截止时间及谈判时间为</w:t>
      </w:r>
      <w:r>
        <w:rPr>
          <w:rStyle w:val="56"/>
          <w:rFonts w:hint="eastAsia" w:ascii="Times New Roman" w:hAnsi="Times New Roman" w:cs="Times New Roman"/>
          <w:color w:val="auto"/>
          <w:sz w:val="21"/>
          <w:highlight w:val="none"/>
          <w:u w:val="single"/>
          <w:shd w:val="clear" w:color="auto" w:fill="FFFFFF"/>
        </w:rPr>
        <w:t>20</w:t>
      </w:r>
      <w:r>
        <w:rPr>
          <w:rStyle w:val="56"/>
          <w:rFonts w:hint="eastAsia" w:ascii="Times New Roman" w:hAnsi="Times New Roman" w:cs="Times New Roman"/>
          <w:color w:val="auto"/>
          <w:sz w:val="21"/>
          <w:highlight w:val="none"/>
          <w:u w:val="single"/>
          <w:shd w:val="clear" w:color="auto" w:fill="FFFFFF"/>
          <w:lang w:val="en-US" w:eastAsia="zh-CN"/>
        </w:rPr>
        <w:t>22</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shd w:val="clear" w:color="auto" w:fill="FFFFFF"/>
          <w:lang w:val="en-US" w:eastAsia="zh-CN"/>
        </w:rPr>
        <w:t>12</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shd w:val="clear" w:color="auto" w:fill="FFFFFF"/>
          <w:lang w:val="en-US" w:eastAsia="zh-CN"/>
        </w:rPr>
        <w:t>26</w:t>
      </w:r>
      <w:r>
        <w:rPr>
          <w:rStyle w:val="56"/>
          <w:rFonts w:hint="eastAsia" w:ascii="Times New Roman" w:hAnsi="Times New Roman" w:cs="Times New Roman"/>
          <w:color w:val="auto"/>
          <w:sz w:val="21"/>
          <w:highlight w:val="none"/>
          <w:u w:val="none"/>
          <w:shd w:val="clear" w:color="auto" w:fill="FFFFFF"/>
        </w:rPr>
        <w:t>日</w:t>
      </w:r>
      <w:r>
        <w:rPr>
          <w:rStyle w:val="56"/>
          <w:rFonts w:hint="eastAsia" w:ascii="Times New Roman" w:hAnsi="Times New Roman" w:cs="Times New Roman"/>
          <w:color w:val="auto"/>
          <w:sz w:val="21"/>
          <w:highlight w:val="none"/>
          <w:shd w:val="clear" w:color="auto" w:fill="FFFFFF"/>
          <w:lang w:val="en-US" w:eastAsia="zh-CN"/>
        </w:rPr>
        <w:t>14</w:t>
      </w:r>
      <w:r>
        <w:rPr>
          <w:rStyle w:val="56"/>
          <w:rFonts w:hint="eastAsia" w:ascii="Times New Roman" w:hAnsi="Times New Roman" w:cs="Times New Roman"/>
          <w:color w:val="auto"/>
          <w:sz w:val="21"/>
          <w:highlight w:val="none"/>
          <w:u w:val="none"/>
          <w:shd w:val="clear" w:color="auto" w:fill="FFFFFF"/>
        </w:rPr>
        <w:t>时</w:t>
      </w:r>
      <w:r>
        <w:rPr>
          <w:rStyle w:val="56"/>
          <w:rFonts w:hint="eastAsia" w:ascii="Times New Roman" w:hAnsi="Times New Roman" w:cs="Times New Roman"/>
          <w:color w:val="auto"/>
          <w:sz w:val="21"/>
          <w:highlight w:val="none"/>
          <w:shd w:val="clear" w:color="auto" w:fill="FFFFFF"/>
          <w:lang w:val="en-US" w:eastAsia="zh-CN"/>
        </w:rPr>
        <w:t>30</w:t>
      </w:r>
      <w:r>
        <w:rPr>
          <w:rStyle w:val="56"/>
          <w:rFonts w:hint="eastAsia" w:ascii="Times New Roman" w:hAnsi="Times New Roman" w:cs="Times New Roman"/>
          <w:color w:val="auto"/>
          <w:sz w:val="21"/>
          <w:highlight w:val="none"/>
          <w:u w:val="none"/>
          <w:shd w:val="clear" w:color="auto" w:fill="FFFFFF"/>
        </w:rPr>
        <w:t>分</w:t>
      </w:r>
      <w:r>
        <w:rPr>
          <w:rStyle w:val="56"/>
          <w:rFonts w:hint="eastAsia" w:ascii="Times New Roman" w:hAnsi="Times New Roman" w:cs="Times New Roman"/>
          <w:color w:val="auto"/>
          <w:sz w:val="21"/>
          <w:u w:val="none"/>
          <w:shd w:val="clear" w:color="auto" w:fill="FFFFFF"/>
        </w:rPr>
        <w:t>，地点为长沙市劳动东路二段48号黄兴车辆段综合楼</w:t>
      </w:r>
      <w:r>
        <w:rPr>
          <w:rStyle w:val="56"/>
          <w:rFonts w:hint="eastAsia" w:ascii="Times New Roman" w:hAnsi="Times New Roman" w:cs="Times New Roman"/>
          <w:color w:val="auto"/>
          <w:sz w:val="21"/>
          <w:u w:val="none"/>
          <w:shd w:val="clear" w:color="auto" w:fill="FFFFFF"/>
          <w:lang w:val="en-US" w:eastAsia="zh-CN"/>
        </w:rPr>
        <w:t>7</w:t>
      </w:r>
      <w:r>
        <w:rPr>
          <w:rStyle w:val="56"/>
          <w:rFonts w:hint="eastAsia" w:ascii="Times New Roman" w:hAnsi="Times New Roman" w:cs="Times New Roman"/>
          <w:color w:val="auto"/>
          <w:sz w:val="21"/>
          <w:u w:val="none"/>
          <w:shd w:val="clear" w:color="auto" w:fill="FFFFFF"/>
        </w:rPr>
        <w:t>楼</w:t>
      </w:r>
      <w:r>
        <w:rPr>
          <w:rStyle w:val="56"/>
          <w:rFonts w:hint="eastAsia" w:ascii="Times New Roman" w:hAnsi="Times New Roman" w:cs="Times New Roman"/>
          <w:color w:val="auto"/>
          <w:sz w:val="21"/>
          <w:highlight w:val="none"/>
          <w:u w:val="none"/>
          <w:shd w:val="clear" w:color="auto" w:fill="FFFFFF"/>
          <w:lang w:val="en-US" w:eastAsia="zh-CN"/>
        </w:rPr>
        <w:t>715</w:t>
      </w:r>
      <w:r>
        <w:rPr>
          <w:rStyle w:val="56"/>
          <w:rFonts w:hint="eastAsia" w:ascii="Times New Roman" w:hAnsi="Times New Roman" w:cs="Times New Roman"/>
          <w:color w:val="auto"/>
          <w:sz w:val="21"/>
          <w:highlight w:val="none"/>
          <w:u w:val="none"/>
          <w:shd w:val="clear" w:color="auto" w:fill="FFFFFF"/>
        </w:rPr>
        <w:t>室。</w:t>
      </w:r>
    </w:p>
    <w:p>
      <w:pPr>
        <w:pStyle w:val="41"/>
        <w:numPr>
          <w:ilvl w:val="0"/>
          <w:numId w:val="13"/>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逾期送达的或者未送达指定地点的或者未密封的响应文件（含电子文件），采购单位或采购代理机构将予以拒收。</w:t>
      </w:r>
    </w:p>
    <w:p>
      <w:pPr>
        <w:pStyle w:val="41"/>
        <w:numPr>
          <w:ilvl w:val="0"/>
          <w:numId w:val="13"/>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谈判单位代表应佩戴口罩，携带身份证进行实名登记，配合做好体温检测，提供“健康码”、“行程码”及</w:t>
      </w:r>
      <w:r>
        <w:rPr>
          <w:rStyle w:val="56"/>
          <w:rFonts w:hint="eastAsia" w:ascii="Times New Roman" w:hAnsi="Times New Roman" w:cs="Times New Roman"/>
          <w:color w:val="auto"/>
          <w:sz w:val="21"/>
          <w:highlight w:val="none"/>
          <w:u w:val="none"/>
          <w:shd w:val="clear" w:color="auto" w:fill="FFFFFF"/>
          <w:lang w:val="en-US" w:eastAsia="zh-CN"/>
        </w:rPr>
        <w:t>24</w:t>
      </w:r>
      <w:r>
        <w:rPr>
          <w:rStyle w:val="56"/>
          <w:rFonts w:hint="eastAsia" w:ascii="Times New Roman" w:hAnsi="Times New Roman" w:cs="Times New Roman"/>
          <w:color w:val="auto"/>
          <w:sz w:val="21"/>
          <w:highlight w:val="none"/>
          <w:u w:val="none"/>
          <w:shd w:val="clear" w:color="auto" w:fill="FFFFFF"/>
        </w:rPr>
        <w:t>小时内核</w:t>
      </w:r>
      <w:r>
        <w:rPr>
          <w:rStyle w:val="56"/>
          <w:rFonts w:hint="eastAsia" w:ascii="Times New Roman" w:hAnsi="Times New Roman" w:cs="Times New Roman"/>
          <w:color w:val="auto"/>
          <w:sz w:val="21"/>
          <w:u w:val="none"/>
          <w:shd w:val="clear" w:color="auto" w:fill="FFFFFF"/>
        </w:rPr>
        <w:t>酸检测证明，否则响应文件将予以拒收。</w:t>
      </w:r>
    </w:p>
    <w:p>
      <w:pPr>
        <w:pStyle w:val="41"/>
        <w:widowControl w:val="0"/>
        <w:numPr>
          <w:ilvl w:val="0"/>
          <w:numId w:val="7"/>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中选原则</w:t>
      </w:r>
    </w:p>
    <w:p>
      <w:pPr>
        <w:pStyle w:val="41"/>
        <w:numPr>
          <w:ilvl w:val="0"/>
          <w:numId w:val="14"/>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szCs w:val="21"/>
          <w:u w:val="none"/>
          <w:shd w:val="clear" w:color="auto" w:fill="FFFFFF"/>
        </w:rPr>
      </w:pPr>
      <w:r>
        <w:rPr>
          <w:rStyle w:val="56"/>
          <w:rFonts w:hint="eastAsia" w:ascii="Times New Roman" w:hAnsi="Times New Roman" w:cs="Times New Roman"/>
          <w:color w:val="auto"/>
          <w:sz w:val="21"/>
          <w:szCs w:val="21"/>
          <w:u w:val="none"/>
          <w:shd w:val="clear" w:color="auto" w:fill="FFFFFF"/>
        </w:rPr>
        <w:t>谈判评审小组按照综合得分由高到低的顺序推荐不超过3名中选候选人，并对排名第一的中选候选人进行公示。经公示无异议后，确定排名第一的中选候选人为中选人。</w:t>
      </w:r>
    </w:p>
    <w:p>
      <w:pPr>
        <w:pStyle w:val="41"/>
        <w:numPr>
          <w:ilvl w:val="0"/>
          <w:numId w:val="14"/>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szCs w:val="21"/>
          <w:u w:val="none"/>
          <w:shd w:val="clear" w:color="auto" w:fill="FFFFFF"/>
        </w:rPr>
      </w:pPr>
      <w:r>
        <w:rPr>
          <w:rStyle w:val="56"/>
          <w:rFonts w:hint="eastAsia" w:ascii="Times New Roman" w:hAnsi="Times New Roman" w:cs="Times New Roman"/>
          <w:color w:val="auto"/>
          <w:sz w:val="21"/>
          <w:szCs w:val="21"/>
          <w:u w:val="none"/>
          <w:shd w:val="clear" w:color="auto" w:fill="FFFFFF"/>
        </w:rPr>
        <w:t>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pStyle w:val="41"/>
        <w:numPr>
          <w:ilvl w:val="0"/>
          <w:numId w:val="7"/>
        </w:numPr>
        <w:shd w:val="clear" w:color="auto" w:fill="FFFFFF"/>
        <w:spacing w:before="0" w:beforeAutospacing="0" w:after="0" w:afterAutospacing="0" w:line="360" w:lineRule="auto"/>
        <w:ind w:left="-2" w:firstLine="422"/>
        <w:jc w:val="both"/>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异议与投诉</w:t>
      </w:r>
    </w:p>
    <w:p>
      <w:pPr>
        <w:pStyle w:val="41"/>
        <w:numPr>
          <w:ilvl w:val="0"/>
          <w:numId w:val="15"/>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szCs w:val="21"/>
          <w:u w:val="none"/>
          <w:shd w:val="clear" w:color="auto" w:fill="FFFFFF"/>
        </w:rPr>
      </w:pPr>
      <w:r>
        <w:rPr>
          <w:rStyle w:val="56"/>
          <w:rFonts w:hint="eastAsia" w:ascii="Times New Roman" w:hAnsi="Times New Roman" w:cs="Times New Roman"/>
          <w:color w:val="auto"/>
          <w:sz w:val="21"/>
          <w:szCs w:val="21"/>
          <w:u w:val="none"/>
          <w:shd w:val="clear" w:color="auto" w:fill="FFFFFF"/>
        </w:rPr>
        <w:t>供应商或者其他利害关系人对评审结果有异议的，应当在结果公示规定的期限内向采购人提出。异议的提出与处理按《长沙市轨道交通运营有限公司服务类采购管理办法(试行）》执行。</w:t>
      </w:r>
    </w:p>
    <w:p>
      <w:pPr>
        <w:pStyle w:val="41"/>
        <w:numPr>
          <w:ilvl w:val="0"/>
          <w:numId w:val="15"/>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szCs w:val="21"/>
          <w:u w:val="none"/>
          <w:shd w:val="clear" w:color="auto" w:fill="FFFFFF"/>
        </w:rPr>
      </w:pPr>
      <w:r>
        <w:rPr>
          <w:rStyle w:val="56"/>
          <w:rFonts w:hint="eastAsia" w:ascii="Times New Roman" w:hAnsi="Times New Roman" w:cs="Times New Roman"/>
          <w:color w:val="auto"/>
          <w:sz w:val="21"/>
          <w:szCs w:val="21"/>
          <w:u w:val="none"/>
          <w:shd w:val="clear" w:color="auto" w:fill="FFFFFF"/>
        </w:rPr>
        <w:t>供应商或者其他利害关系人认为本次采购活动违反相关法律法规或规范性文件规定的，可以在知道或者应当知道之日起10日内向长沙市轨道交通运营有限公司监察审计部门投诉。</w:t>
      </w:r>
    </w:p>
    <w:p>
      <w:pPr>
        <w:pStyle w:val="41"/>
        <w:numPr>
          <w:ilvl w:val="0"/>
          <w:numId w:val="7"/>
        </w:numPr>
        <w:shd w:val="clear" w:color="auto" w:fill="FFFFFF"/>
        <w:spacing w:before="0" w:beforeAutospacing="0" w:after="0" w:afterAutospacing="0" w:line="360" w:lineRule="auto"/>
        <w:ind w:firstLine="422"/>
        <w:jc w:val="both"/>
        <w:rPr>
          <w:rStyle w:val="56"/>
          <w:rFonts w:ascii="Times New Roman" w:hAnsi="Times New Roman" w:cs="Times New Roman"/>
          <w:b/>
          <w:bCs/>
          <w:color w:val="auto"/>
          <w:sz w:val="21"/>
          <w:u w:val="none"/>
          <w:shd w:val="clear" w:color="auto" w:fill="FFFFFF"/>
        </w:rPr>
      </w:pPr>
      <w:r>
        <w:rPr>
          <w:rStyle w:val="56"/>
          <w:rFonts w:ascii="Times New Roman" w:hAnsi="Times New Roman" w:cs="Times New Roman"/>
          <w:b/>
          <w:bCs/>
          <w:color w:val="auto"/>
          <w:sz w:val="21"/>
          <w:u w:val="none"/>
          <w:shd w:val="clear" w:color="auto" w:fill="FFFFFF"/>
        </w:rPr>
        <w:t>联系方式</w:t>
      </w:r>
    </w:p>
    <w:p>
      <w:pPr>
        <w:pStyle w:val="41"/>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u w:val="none"/>
          <w:shd w:val="clear" w:color="auto" w:fill="FFFFFF"/>
        </w:rPr>
      </w:pPr>
      <w:r>
        <w:rPr>
          <w:rStyle w:val="56"/>
          <w:rFonts w:ascii="Times New Roman" w:hAnsi="Times New Roman" w:cs="Times New Roman"/>
          <w:color w:val="auto"/>
          <w:sz w:val="21"/>
          <w:u w:val="none"/>
          <w:shd w:val="clear" w:color="auto" w:fill="FFFFFF"/>
        </w:rPr>
        <w:t>采购人：</w:t>
      </w:r>
      <w:r>
        <w:rPr>
          <w:rStyle w:val="56"/>
          <w:rFonts w:hint="eastAsia" w:ascii="Times New Roman" w:hAnsi="Times New Roman" w:cs="Times New Roman"/>
          <w:color w:val="auto"/>
          <w:sz w:val="21"/>
          <w:u w:val="none"/>
          <w:shd w:val="clear" w:color="auto" w:fill="FFFFFF"/>
        </w:rPr>
        <w:t>长沙市轨道交通运营有限公司</w:t>
      </w:r>
    </w:p>
    <w:p>
      <w:pPr>
        <w:pStyle w:val="41"/>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yellow"/>
          <w:u w:val="none"/>
          <w:shd w:val="clear" w:color="auto" w:fill="FFFFFF"/>
        </w:rPr>
      </w:pPr>
      <w:r>
        <w:rPr>
          <w:rStyle w:val="56"/>
          <w:rFonts w:ascii="Times New Roman" w:hAnsi="Times New Roman" w:cs="Times New Roman"/>
          <w:color w:val="auto"/>
          <w:sz w:val="21"/>
          <w:u w:val="none"/>
          <w:shd w:val="clear" w:color="auto" w:fill="FFFFFF"/>
        </w:rPr>
        <w:t>地</w:t>
      </w:r>
      <w:r>
        <w:rPr>
          <w:rStyle w:val="56"/>
          <w:rFonts w:hint="eastAsia" w:ascii="Times New Roman" w:hAnsi="Times New Roman" w:cs="Times New Roman"/>
          <w:color w:val="auto"/>
          <w:sz w:val="21"/>
          <w:u w:val="none"/>
          <w:shd w:val="clear" w:color="auto" w:fill="FFFFFF"/>
        </w:rPr>
        <w:t xml:space="preserve">  </w:t>
      </w:r>
      <w:r>
        <w:rPr>
          <w:rStyle w:val="56"/>
          <w:rFonts w:ascii="Times New Roman" w:hAnsi="Times New Roman" w:cs="Times New Roman"/>
          <w:color w:val="auto"/>
          <w:sz w:val="21"/>
          <w:u w:val="none"/>
          <w:shd w:val="clear" w:color="auto" w:fill="FFFFFF"/>
        </w:rPr>
        <w:t>址：</w:t>
      </w:r>
      <w:r>
        <w:rPr>
          <w:rStyle w:val="56"/>
          <w:rFonts w:hint="eastAsia" w:ascii="Times New Roman" w:hAnsi="Times New Roman" w:cs="Times New Roman"/>
          <w:color w:val="auto"/>
          <w:sz w:val="21"/>
          <w:u w:val="none"/>
          <w:shd w:val="clear" w:color="auto" w:fill="FFFFFF"/>
        </w:rPr>
        <w:t>湖南省</w:t>
      </w:r>
      <w:r>
        <w:rPr>
          <w:rStyle w:val="56"/>
          <w:rFonts w:ascii="Times New Roman" w:hAnsi="Times New Roman" w:cs="Times New Roman"/>
          <w:color w:val="auto"/>
          <w:sz w:val="21"/>
          <w:u w:val="none"/>
          <w:shd w:val="clear" w:color="auto" w:fill="FFFFFF"/>
        </w:rPr>
        <w:t>长沙市劳动东路二段48号黄兴车辆段</w:t>
      </w:r>
    </w:p>
    <w:p>
      <w:pPr>
        <w:pStyle w:val="41"/>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u w:val="none"/>
          <w:shd w:val="clear" w:color="auto" w:fill="FFFFFF"/>
        </w:rPr>
      </w:pPr>
      <w:r>
        <w:rPr>
          <w:rStyle w:val="56"/>
          <w:rFonts w:ascii="Times New Roman" w:hAnsi="Times New Roman" w:cs="Times New Roman"/>
          <w:color w:val="auto"/>
          <w:sz w:val="21"/>
          <w:u w:val="none"/>
          <w:shd w:val="clear" w:color="auto" w:fill="FFFFFF"/>
        </w:rPr>
        <w:t>联系人：</w:t>
      </w:r>
      <w:r>
        <w:rPr>
          <w:rStyle w:val="56"/>
          <w:rFonts w:hint="eastAsia" w:ascii="Times New Roman" w:hAnsi="Times New Roman" w:cs="Times New Roman"/>
          <w:color w:val="auto"/>
          <w:sz w:val="21"/>
          <w:u w:val="none"/>
          <w:shd w:val="clear" w:color="auto" w:fill="FFFFFF"/>
        </w:rPr>
        <w:t>杨工</w:t>
      </w:r>
    </w:p>
    <w:p>
      <w:pPr>
        <w:pStyle w:val="41"/>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u w:val="none"/>
          <w:shd w:val="clear" w:color="auto" w:fill="FFFFFF"/>
        </w:rPr>
      </w:pPr>
      <w:r>
        <w:rPr>
          <w:rStyle w:val="56"/>
          <w:rFonts w:ascii="Times New Roman" w:hAnsi="Times New Roman" w:cs="Times New Roman"/>
          <w:color w:val="auto"/>
          <w:sz w:val="21"/>
          <w:u w:val="none"/>
          <w:shd w:val="clear" w:color="auto" w:fill="FFFFFF"/>
        </w:rPr>
        <w:t>电</w:t>
      </w:r>
      <w:r>
        <w:rPr>
          <w:rStyle w:val="56"/>
          <w:rFonts w:hint="eastAsia" w:ascii="Times New Roman" w:hAnsi="Times New Roman" w:cs="Times New Roman"/>
          <w:color w:val="auto"/>
          <w:sz w:val="21"/>
          <w:u w:val="none"/>
          <w:shd w:val="clear" w:color="auto" w:fill="FFFFFF"/>
        </w:rPr>
        <w:t xml:space="preserve">  </w:t>
      </w:r>
      <w:r>
        <w:rPr>
          <w:rStyle w:val="56"/>
          <w:rFonts w:ascii="Times New Roman" w:hAnsi="Times New Roman" w:cs="Times New Roman"/>
          <w:color w:val="auto"/>
          <w:sz w:val="21"/>
          <w:u w:val="none"/>
          <w:shd w:val="clear" w:color="auto" w:fill="FFFFFF"/>
        </w:rPr>
        <w:t>话：0731-</w:t>
      </w:r>
      <w:r>
        <w:rPr>
          <w:rStyle w:val="56"/>
          <w:rFonts w:hint="eastAsia" w:ascii="Times New Roman" w:hAnsi="Times New Roman" w:cs="Times New Roman"/>
          <w:color w:val="auto"/>
          <w:sz w:val="21"/>
          <w:u w:val="none"/>
          <w:shd w:val="clear" w:color="auto" w:fill="FFFFFF"/>
        </w:rPr>
        <w:t>86852347</w:t>
      </w:r>
    </w:p>
    <w:p>
      <w:pPr>
        <w:spacing w:line="360" w:lineRule="auto"/>
        <w:ind w:firstLine="420" w:firstLineChars="200"/>
        <w:rPr>
          <w:rFonts w:ascii="宋体" w:hAnsi="宋体" w:cs="宋体"/>
          <w:szCs w:val="21"/>
        </w:rPr>
      </w:pPr>
      <w:r>
        <w:rPr>
          <w:rFonts w:hint="eastAsia" w:ascii="宋体" w:hAnsi="宋体" w:cs="宋体"/>
          <w:szCs w:val="21"/>
        </w:rPr>
        <w:t>采购代理机构：</w:t>
      </w:r>
      <w:r>
        <w:rPr>
          <w:rStyle w:val="56"/>
          <w:rFonts w:hint="eastAsia"/>
          <w:color w:val="auto"/>
          <w:kern w:val="0"/>
          <w:u w:val="none"/>
          <w:shd w:val="clear" w:color="auto" w:fill="FFFFFF"/>
        </w:rPr>
        <w:t>中技建设咨询有限公司</w:t>
      </w:r>
    </w:p>
    <w:p>
      <w:pPr>
        <w:pStyle w:val="41"/>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地  址：长沙市雨花区湘府中路117号金典商务楼12楼</w:t>
      </w:r>
    </w:p>
    <w:p>
      <w:pPr>
        <w:pStyle w:val="41"/>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联系人：呙于旭、廖超凡、高文勇</w:t>
      </w:r>
    </w:p>
    <w:p>
      <w:pPr>
        <w:spacing w:line="360" w:lineRule="auto"/>
        <w:ind w:firstLine="420" w:firstLineChars="200"/>
        <w:rPr>
          <w:rFonts w:ascii="宋体" w:hAnsi="宋体" w:cs="宋体"/>
          <w:szCs w:val="21"/>
        </w:rPr>
      </w:pPr>
      <w:r>
        <w:rPr>
          <w:rStyle w:val="56"/>
          <w:rFonts w:hint="eastAsia"/>
          <w:color w:val="auto"/>
          <w:u w:val="none"/>
          <w:shd w:val="clear" w:color="auto" w:fill="FFFFFF"/>
        </w:rPr>
        <w:t>电  话：</w:t>
      </w:r>
      <w:r>
        <w:rPr>
          <w:rStyle w:val="56"/>
          <w:rFonts w:hint="eastAsia"/>
          <w:color w:val="auto"/>
          <w:kern w:val="0"/>
          <w:u w:val="none"/>
          <w:shd w:val="clear" w:color="auto" w:fill="FFFFFF"/>
        </w:rPr>
        <w:t>0731-84169659</w:t>
      </w:r>
    </w:p>
    <w:p>
      <w:pPr>
        <w:pStyle w:val="41"/>
        <w:shd w:val="clear" w:color="auto" w:fill="FFFFFF"/>
        <w:spacing w:before="0" w:beforeAutospacing="0" w:after="0" w:afterAutospacing="0" w:line="360" w:lineRule="auto"/>
        <w:jc w:val="right"/>
        <w:rPr>
          <w:rStyle w:val="56"/>
          <w:rFonts w:ascii="Times New Roman" w:hAnsi="Times New Roman" w:cs="Times New Roman"/>
          <w:color w:val="auto"/>
          <w:sz w:val="21"/>
          <w:highlight w:val="none"/>
          <w:u w:val="none"/>
          <w:shd w:val="clear" w:color="auto" w:fill="FFFFFF"/>
        </w:rPr>
      </w:pPr>
      <w:r>
        <w:rPr>
          <w:rFonts w:hint="eastAsia"/>
          <w:sz w:val="21"/>
          <w:szCs w:val="21"/>
          <w:highlight w:val="none"/>
        </w:rPr>
        <w:t>20</w:t>
      </w:r>
      <w:r>
        <w:rPr>
          <w:rFonts w:hint="eastAsia"/>
          <w:sz w:val="21"/>
          <w:szCs w:val="21"/>
          <w:highlight w:val="none"/>
          <w:lang w:val="en-US" w:eastAsia="zh-CN"/>
        </w:rPr>
        <w:t>22</w:t>
      </w:r>
      <w:r>
        <w:rPr>
          <w:rFonts w:hint="eastAsia"/>
          <w:sz w:val="21"/>
          <w:szCs w:val="21"/>
          <w:highlight w:val="none"/>
        </w:rPr>
        <w:t>年</w:t>
      </w:r>
      <w:r>
        <w:rPr>
          <w:rFonts w:hint="eastAsia"/>
          <w:sz w:val="21"/>
          <w:szCs w:val="21"/>
          <w:highlight w:val="none"/>
          <w:lang w:val="en-US" w:eastAsia="zh-CN"/>
        </w:rPr>
        <w:t>12</w:t>
      </w:r>
      <w:r>
        <w:rPr>
          <w:rFonts w:hint="eastAsia"/>
          <w:sz w:val="21"/>
          <w:szCs w:val="21"/>
          <w:highlight w:val="none"/>
        </w:rPr>
        <w:t>月</w:t>
      </w:r>
      <w:r>
        <w:rPr>
          <w:rFonts w:hint="eastAsia"/>
          <w:sz w:val="21"/>
          <w:szCs w:val="21"/>
          <w:highlight w:val="none"/>
          <w:lang w:val="en-US" w:eastAsia="zh-CN"/>
        </w:rPr>
        <w:t>12</w:t>
      </w:r>
      <w:r>
        <w:rPr>
          <w:rFonts w:hint="eastAsia"/>
          <w:sz w:val="21"/>
          <w:szCs w:val="21"/>
          <w:highlight w:val="none"/>
        </w:rPr>
        <w:t>日</w:t>
      </w:r>
    </w:p>
    <w:p>
      <w:pPr>
        <w:pStyle w:val="3"/>
        <w:keepNext w:val="0"/>
        <w:spacing w:after="240"/>
        <w:rPr>
          <w:rFonts w:ascii="黑体" w:hAnsi="黑体" w:eastAsia="黑体"/>
          <w:b w:val="0"/>
          <w:bCs w:val="0"/>
          <w:sz w:val="32"/>
          <w:szCs w:val="32"/>
        </w:rPr>
        <w:sectPr>
          <w:footerReference r:id="rId5" w:type="default"/>
          <w:pgSz w:w="11906" w:h="16838"/>
          <w:pgMar w:top="2098" w:right="1474" w:bottom="1984" w:left="1587" w:header="851" w:footer="992" w:gutter="0"/>
          <w:pgNumType w:start="1"/>
          <w:cols w:space="0" w:num="1"/>
          <w:docGrid w:type="lines" w:linePitch="319" w:charSpace="0"/>
        </w:sectPr>
      </w:pPr>
      <w:r>
        <w:rPr>
          <w:rFonts w:ascii="黑体" w:hAnsi="黑体" w:eastAsia="黑体"/>
          <w:b w:val="0"/>
          <w:bCs w:val="0"/>
          <w:sz w:val="32"/>
          <w:szCs w:val="32"/>
        </w:rPr>
        <w:br w:type="page"/>
      </w:r>
      <w:bookmarkStart w:id="6" w:name="_Toc18697"/>
      <w:bookmarkStart w:id="7" w:name="_Toc5145"/>
      <w:bookmarkStart w:id="8" w:name="_Toc14891065"/>
      <w:bookmarkStart w:id="9" w:name="_Toc8914"/>
      <w:bookmarkStart w:id="10" w:name="_Toc10483"/>
      <w:bookmarkStart w:id="11" w:name="_Toc6753"/>
    </w:p>
    <w:p>
      <w:pPr>
        <w:pStyle w:val="3"/>
        <w:keepNext w:val="0"/>
        <w:spacing w:after="240"/>
        <w:rPr>
          <w:rFonts w:ascii="黑体" w:hAnsi="黑体" w:eastAsia="黑体"/>
          <w:bCs w:val="0"/>
          <w:sz w:val="32"/>
          <w:szCs w:val="32"/>
        </w:rPr>
      </w:pPr>
      <w:r>
        <w:rPr>
          <w:rFonts w:hint="eastAsia" w:ascii="宋体" w:hAnsi="宋体" w:cs="宋体"/>
          <w:bCs w:val="0"/>
          <w:sz w:val="32"/>
          <w:szCs w:val="32"/>
        </w:rPr>
        <w:t>第二章  谈判须知</w:t>
      </w:r>
      <w:bookmarkEnd w:id="6"/>
      <w:bookmarkEnd w:id="7"/>
      <w:bookmarkEnd w:id="8"/>
      <w:bookmarkEnd w:id="9"/>
      <w:bookmarkEnd w:id="10"/>
      <w:bookmarkEnd w:id="11"/>
      <w:bookmarkStart w:id="143" w:name="_GoBack"/>
      <w:bookmarkEnd w:id="143"/>
    </w:p>
    <w:p>
      <w:pPr>
        <w:pStyle w:val="4"/>
        <w:keepNext w:val="0"/>
        <w:keepLines w:val="0"/>
        <w:jc w:val="center"/>
        <w:rPr>
          <w:rFonts w:ascii="宋体" w:hAnsi="宋体" w:cs="宋体"/>
          <w:sz w:val="32"/>
        </w:rPr>
      </w:pPr>
      <w:bookmarkStart w:id="12" w:name="_Toc28089"/>
      <w:bookmarkStart w:id="13" w:name="_Toc5430"/>
      <w:bookmarkStart w:id="14" w:name="_Toc6617"/>
      <w:bookmarkStart w:id="15" w:name="_Toc24368"/>
      <w:bookmarkStart w:id="16" w:name="_Toc9591"/>
      <w:bookmarkStart w:id="17" w:name="_Toc14891066"/>
      <w:r>
        <w:rPr>
          <w:rFonts w:hint="eastAsia" w:ascii="宋体" w:hAnsi="宋体" w:cs="宋体"/>
          <w:sz w:val="32"/>
        </w:rPr>
        <w:t>谈判须知前附表</w:t>
      </w:r>
      <w:bookmarkEnd w:id="12"/>
      <w:bookmarkEnd w:id="13"/>
      <w:bookmarkEnd w:id="14"/>
      <w:bookmarkEnd w:id="15"/>
      <w:bookmarkEnd w:id="16"/>
      <w:bookmarkEnd w:id="17"/>
    </w:p>
    <w:tbl>
      <w:tblPr>
        <w:tblStyle w:val="47"/>
        <w:tblW w:w="95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34"/>
        <w:gridCol w:w="73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名  称</w:t>
            </w:r>
          </w:p>
        </w:tc>
        <w:tc>
          <w:tcPr>
            <w:tcW w:w="7338" w:type="dxa"/>
            <w:vAlign w:val="center"/>
          </w:tcPr>
          <w:p>
            <w:pPr>
              <w:adjustRightInd w:val="0"/>
              <w:snapToGrid w:val="0"/>
              <w:jc w:val="center"/>
              <w:rPr>
                <w:rFonts w:ascii="宋体" w:hAnsi="宋体" w:cs="宋体"/>
                <w:b/>
                <w:szCs w:val="21"/>
              </w:rPr>
            </w:pPr>
            <w:r>
              <w:rPr>
                <w:rFonts w:hint="eastAsia" w:ascii="宋体" w:hAnsi="宋体" w:cs="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采购项目</w:t>
            </w:r>
          </w:p>
        </w:tc>
        <w:tc>
          <w:tcPr>
            <w:tcW w:w="7338" w:type="dxa"/>
            <w:vAlign w:val="center"/>
          </w:tcPr>
          <w:p>
            <w:pPr>
              <w:adjustRightInd w:val="0"/>
              <w:snapToGrid w:val="0"/>
              <w:jc w:val="left"/>
              <w:rPr>
                <w:rFonts w:ascii="宋体" w:hAnsi="宋体" w:cs="宋体"/>
                <w:szCs w:val="21"/>
              </w:rPr>
            </w:pPr>
            <w:r>
              <w:rPr>
                <w:rFonts w:hint="eastAsia" w:ascii="宋体" w:hAnsi="宋体" w:cs="宋体"/>
                <w:szCs w:val="21"/>
              </w:rPr>
              <w:t>长沙市轨道交通2号线运营期2022年-2024年EAP员工帮扶计划服务项目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采购单位</w:t>
            </w:r>
          </w:p>
        </w:tc>
        <w:tc>
          <w:tcPr>
            <w:tcW w:w="7338" w:type="dxa"/>
            <w:vAlign w:val="center"/>
          </w:tcPr>
          <w:p>
            <w:pPr>
              <w:adjustRightInd w:val="0"/>
              <w:snapToGrid w:val="0"/>
              <w:jc w:val="left"/>
              <w:rPr>
                <w:rFonts w:ascii="宋体" w:hAnsi="宋体" w:cs="宋体"/>
                <w:iCs/>
                <w:szCs w:val="21"/>
              </w:rPr>
            </w:pPr>
            <w:r>
              <w:rPr>
                <w:rStyle w:val="56"/>
                <w:rFonts w:hint="eastAsia"/>
                <w:color w:val="auto"/>
                <w:u w:val="none"/>
                <w:shd w:val="clear" w:color="auto" w:fill="FFFFFF"/>
              </w:rPr>
              <w:t>长沙市轨道交通运营有限公司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采购代理机构</w:t>
            </w:r>
          </w:p>
        </w:tc>
        <w:tc>
          <w:tcPr>
            <w:tcW w:w="7338" w:type="dxa"/>
            <w:vAlign w:val="center"/>
          </w:tcPr>
          <w:p>
            <w:pPr>
              <w:adjustRightInd w:val="0"/>
              <w:snapToGrid w:val="0"/>
              <w:jc w:val="left"/>
              <w:rPr>
                <w:rFonts w:ascii="宋体" w:hAnsi="宋体" w:cs="宋体"/>
                <w:iCs/>
                <w:szCs w:val="21"/>
              </w:rPr>
            </w:pPr>
            <w:r>
              <w:rPr>
                <w:rStyle w:val="56"/>
                <w:rFonts w:hint="eastAsia"/>
                <w:color w:val="auto"/>
                <w:u w:val="none"/>
                <w:shd w:val="clear" w:color="auto" w:fill="FFFFFF"/>
              </w:rPr>
              <w:t>中技建设咨询有限公司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2234" w:type="dxa"/>
            <w:vAlign w:val="center"/>
          </w:tcPr>
          <w:p>
            <w:pPr>
              <w:adjustRightInd w:val="0"/>
              <w:snapToGrid w:val="0"/>
              <w:jc w:val="center"/>
              <w:rPr>
                <w:rFonts w:ascii="宋体" w:hAnsi="宋体" w:cs="宋体"/>
                <w:b/>
                <w:color w:val="FF0000"/>
                <w:szCs w:val="21"/>
              </w:rPr>
            </w:pPr>
            <w:r>
              <w:rPr>
                <w:rFonts w:hint="eastAsia" w:ascii="宋体" w:hAnsi="宋体" w:cs="宋体"/>
                <w:b/>
                <w:szCs w:val="21"/>
              </w:rPr>
              <w:t>最高限价</w:t>
            </w:r>
          </w:p>
        </w:tc>
        <w:tc>
          <w:tcPr>
            <w:tcW w:w="7338" w:type="dxa"/>
            <w:vAlign w:val="center"/>
          </w:tcPr>
          <w:p>
            <w:pPr>
              <w:adjustRightInd w:val="0"/>
              <w:snapToGrid w:val="0"/>
              <w:jc w:val="left"/>
              <w:rPr>
                <w:rFonts w:ascii="宋体" w:hAnsi="宋体" w:cs="宋体"/>
                <w:iCs/>
                <w:color w:val="FF0000"/>
                <w:szCs w:val="21"/>
              </w:rPr>
            </w:pPr>
            <w:r>
              <w:rPr>
                <w:rFonts w:hint="eastAsia" w:ascii="宋体" w:hAnsi="宋体" w:cs="宋体"/>
              </w:rPr>
              <w:t>209472.00元，</w:t>
            </w:r>
            <w:r>
              <w:rPr>
                <w:rFonts w:hint="eastAsia" w:ascii="宋体" w:hAnsi="宋体" w:cs="宋体"/>
                <w:szCs w:val="21"/>
              </w:rPr>
              <w:t>不超过最高限价的谈判总报价为有效报价。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评审办法</w:t>
            </w:r>
          </w:p>
        </w:tc>
        <w:tc>
          <w:tcPr>
            <w:tcW w:w="7338" w:type="dxa"/>
            <w:vAlign w:val="center"/>
          </w:tcPr>
          <w:p>
            <w:pPr>
              <w:adjustRightInd w:val="0"/>
              <w:snapToGrid w:val="0"/>
              <w:jc w:val="left"/>
              <w:rPr>
                <w:rFonts w:ascii="宋体" w:hAnsi="宋体" w:cs="宋体"/>
                <w:iCs/>
                <w:color w:val="FF0000"/>
                <w:szCs w:val="21"/>
              </w:rPr>
            </w:pPr>
            <w:r>
              <w:rPr>
                <w:rStyle w:val="56"/>
                <w:rFonts w:hint="eastAsia"/>
                <w:color w:val="auto"/>
                <w:kern w:val="0"/>
                <w:u w:val="none"/>
                <w:shd w:val="clear" w:color="auto" w:fill="FFFFFF"/>
              </w:rPr>
              <w:sym w:font="Wingdings 2" w:char="0052"/>
            </w:r>
            <w:r>
              <w:rPr>
                <w:rStyle w:val="56"/>
                <w:rFonts w:hint="eastAsia"/>
                <w:color w:val="auto"/>
                <w:kern w:val="0"/>
                <w:u w:val="none"/>
                <w:shd w:val="clear" w:color="auto" w:fill="FFFFFF"/>
              </w:rPr>
              <w:t xml:space="preserve">经符合性审查合格后的最低价法   </w:t>
            </w:r>
            <w:r>
              <w:rPr>
                <w:rStyle w:val="56"/>
                <w:rFonts w:hint="eastAsia"/>
                <w:color w:val="auto"/>
                <w:kern w:val="0"/>
                <w:u w:val="none"/>
                <w:shd w:val="clear" w:color="auto" w:fill="FFFFFF"/>
              </w:rPr>
              <w:sym w:font="Wingdings 2" w:char="00A3"/>
            </w:r>
            <w:r>
              <w:rPr>
                <w:rStyle w:val="56"/>
                <w:rFonts w:hint="eastAsia"/>
                <w:color w:val="auto"/>
                <w:kern w:val="0"/>
                <w:u w:val="none"/>
                <w:shd w:val="clear" w:color="auto" w:fill="FFFFFF"/>
              </w:rPr>
              <w:t>综合评估法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资格要求</w:t>
            </w:r>
          </w:p>
        </w:tc>
        <w:tc>
          <w:tcPr>
            <w:tcW w:w="7338" w:type="dxa"/>
            <w:vAlign w:val="center"/>
          </w:tcPr>
          <w:p>
            <w:pPr>
              <w:spacing w:line="360" w:lineRule="auto"/>
              <w:rPr>
                <w:rStyle w:val="56"/>
                <w:color w:val="auto"/>
                <w:kern w:val="0"/>
                <w:u w:val="none"/>
                <w:shd w:val="clear" w:color="auto" w:fill="FFFFFF"/>
              </w:rPr>
            </w:pPr>
            <w:r>
              <w:rPr>
                <w:rStyle w:val="56"/>
                <w:rFonts w:hint="eastAsia"/>
                <w:color w:val="auto"/>
                <w:kern w:val="0"/>
                <w:u w:val="none"/>
                <w:shd w:val="clear" w:color="auto" w:fill="FFFFFF"/>
              </w:rPr>
              <w:t>1.谈判单位须为具有独立法人资格、自主经营、独立核算的公司/单位。</w:t>
            </w:r>
          </w:p>
          <w:p>
            <w:pPr>
              <w:spacing w:line="360" w:lineRule="auto"/>
              <w:rPr>
                <w:rStyle w:val="56"/>
                <w:color w:val="auto"/>
                <w:kern w:val="0"/>
                <w:u w:val="none"/>
                <w:shd w:val="clear" w:color="auto" w:fill="FFFFFF"/>
              </w:rPr>
            </w:pPr>
            <w:r>
              <w:rPr>
                <w:rFonts w:hint="eastAsia" w:ascii="宋体" w:hAnsi="宋体" w:cs="宋体"/>
                <w:color w:val="000000"/>
              </w:rPr>
              <w:t>2.谈判单位项目负责人须具有劳动社会保障部门颁发的二级（含）以上心理咨询师职业资格证书</w:t>
            </w:r>
            <w:r>
              <w:rPr>
                <w:rStyle w:val="56"/>
                <w:rFonts w:hint="eastAsia"/>
                <w:color w:val="auto"/>
                <w:kern w:val="0"/>
                <w:u w:val="none"/>
                <w:shd w:val="clear" w:color="auto" w:fill="FFFFFF"/>
              </w:rPr>
              <w:t>。</w:t>
            </w:r>
          </w:p>
          <w:p>
            <w:pPr>
              <w:spacing w:line="360" w:lineRule="auto"/>
              <w:rPr>
                <w:rStyle w:val="56"/>
                <w:color w:val="auto"/>
                <w:kern w:val="0"/>
                <w:u w:val="none"/>
                <w:shd w:val="clear" w:color="auto" w:fill="FFFFFF"/>
              </w:rPr>
            </w:pPr>
            <w:r>
              <w:rPr>
                <w:rStyle w:val="56"/>
                <w:rFonts w:hint="eastAsia"/>
                <w:color w:val="auto"/>
                <w:kern w:val="0"/>
                <w:u w:val="none"/>
                <w:shd w:val="clear" w:color="auto" w:fill="FFFFFF"/>
              </w:rPr>
              <w:t>3.谈判单位</w:t>
            </w:r>
            <w:r>
              <w:rPr>
                <w:rFonts w:hint="eastAsia" w:ascii="宋体" w:hAnsi="宋体"/>
                <w:color w:val="000000"/>
                <w:szCs w:val="21"/>
                <w:lang w:bidi="ar"/>
              </w:rPr>
              <w:t>须具</w:t>
            </w:r>
            <w:r>
              <w:rPr>
                <w:rFonts w:hint="eastAsia" w:ascii="宋体" w:hAnsi="宋体" w:cs="宋体"/>
                <w:color w:val="000000"/>
                <w:szCs w:val="21"/>
                <w:lang w:bidi="ar"/>
              </w:rPr>
              <w:t>有一项入围业绩，入围业绩是指</w:t>
            </w:r>
            <w:r>
              <w:rPr>
                <w:rStyle w:val="56"/>
                <w:rFonts w:hint="eastAsia"/>
                <w:color w:val="auto"/>
                <w:kern w:val="0"/>
                <w:u w:val="none"/>
                <w:shd w:val="clear" w:color="auto" w:fill="FFFFFF"/>
              </w:rPr>
              <w:t>在本项目谈判截止之日前36个月内须具有</w:t>
            </w:r>
            <w:r>
              <w:rPr>
                <w:rFonts w:hint="eastAsia" w:ascii="宋体" w:hAnsi="宋体" w:cs="宋体"/>
              </w:rPr>
              <w:t>心理咨询类项目</w:t>
            </w:r>
            <w:r>
              <w:rPr>
                <w:rStyle w:val="56"/>
                <w:rFonts w:hint="eastAsia"/>
                <w:color w:val="auto"/>
                <w:kern w:val="0"/>
                <w:u w:val="none"/>
                <w:shd w:val="clear" w:color="auto" w:fill="FFFFFF"/>
              </w:rPr>
              <w:t>业绩。不接受联合体业绩、港澳台或境外业绩。</w:t>
            </w:r>
          </w:p>
          <w:p>
            <w:pPr>
              <w:spacing w:line="360" w:lineRule="auto"/>
              <w:rPr>
                <w:rStyle w:val="56"/>
                <w:color w:val="auto"/>
                <w:u w:val="none"/>
                <w:shd w:val="clear" w:color="auto" w:fill="FFFFFF"/>
              </w:rPr>
            </w:pPr>
            <w:r>
              <w:rPr>
                <w:rStyle w:val="56"/>
                <w:color w:val="auto"/>
                <w:u w:val="none"/>
                <w:shd w:val="clear" w:color="auto" w:fill="FFFFFF"/>
              </w:rPr>
              <w:t>业绩证明材料以同时</w:t>
            </w:r>
            <w:r>
              <w:rPr>
                <w:rStyle w:val="56"/>
                <w:rFonts w:hint="eastAsia"/>
                <w:color w:val="auto"/>
                <w:u w:val="none"/>
                <w:shd w:val="clear" w:color="auto" w:fill="FFFFFF"/>
              </w:rPr>
              <w:t>提供</w:t>
            </w:r>
            <w:r>
              <w:rPr>
                <w:rStyle w:val="56"/>
                <w:color w:val="auto"/>
                <w:u w:val="none"/>
                <w:shd w:val="clear" w:color="auto" w:fill="FFFFFF"/>
              </w:rPr>
              <w:t>的合同</w:t>
            </w:r>
            <w:r>
              <w:rPr>
                <w:rStyle w:val="56"/>
                <w:rFonts w:hint="eastAsia"/>
                <w:color w:val="auto"/>
                <w:u w:val="none"/>
                <w:shd w:val="clear" w:color="auto" w:fill="FFFFFF"/>
              </w:rPr>
              <w:t>原件扫描件</w:t>
            </w:r>
            <w:r>
              <w:rPr>
                <w:rStyle w:val="56"/>
                <w:color w:val="auto"/>
                <w:u w:val="none"/>
                <w:shd w:val="clear" w:color="auto" w:fill="FFFFFF"/>
              </w:rPr>
              <w:t>和</w:t>
            </w:r>
            <w:r>
              <w:rPr>
                <w:rStyle w:val="56"/>
                <w:rFonts w:hint="eastAsia"/>
                <w:color w:val="auto"/>
                <w:u w:val="none"/>
                <w:shd w:val="clear" w:color="auto" w:fill="FFFFFF"/>
              </w:rPr>
              <w:t>可查验的增值税发票</w:t>
            </w:r>
            <w:r>
              <w:rPr>
                <w:rStyle w:val="56"/>
                <w:color w:val="auto"/>
                <w:u w:val="none"/>
                <w:shd w:val="clear" w:color="auto" w:fill="FFFFFF"/>
              </w:rPr>
              <w:t>（开票金额不少于合同金额的10%）</w:t>
            </w:r>
            <w:r>
              <w:rPr>
                <w:rStyle w:val="56"/>
                <w:rFonts w:hint="eastAsia"/>
                <w:color w:val="auto"/>
                <w:u w:val="none"/>
                <w:shd w:val="clear" w:color="auto" w:fill="FFFFFF"/>
              </w:rPr>
              <w:t>原件扫描件为准</w:t>
            </w:r>
            <w:r>
              <w:rPr>
                <w:rStyle w:val="56"/>
                <w:color w:val="auto"/>
                <w:u w:val="none"/>
                <w:shd w:val="clear" w:color="auto" w:fill="FFFFFF"/>
              </w:rPr>
              <w:t>（均须加盖</w:t>
            </w:r>
            <w:r>
              <w:rPr>
                <w:rStyle w:val="56"/>
                <w:rFonts w:hint="eastAsia"/>
                <w:color w:val="auto"/>
                <w:u w:val="none"/>
                <w:shd w:val="clear" w:color="auto" w:fill="FFFFFF"/>
              </w:rPr>
              <w:t>谈判单位</w:t>
            </w:r>
            <w:r>
              <w:rPr>
                <w:rStyle w:val="56"/>
                <w:color w:val="auto"/>
                <w:u w:val="none"/>
                <w:shd w:val="clear" w:color="auto" w:fill="FFFFFF"/>
              </w:rPr>
              <w:t>公章），业绩金额以合同中</w:t>
            </w:r>
            <w:r>
              <w:rPr>
                <w:rStyle w:val="56"/>
                <w:rFonts w:hint="eastAsia"/>
                <w:color w:val="auto"/>
                <w:u w:val="none"/>
                <w:shd w:val="clear" w:color="auto" w:fill="FFFFFF"/>
              </w:rPr>
              <w:t>的</w:t>
            </w:r>
            <w:r>
              <w:rPr>
                <w:rStyle w:val="56"/>
                <w:color w:val="auto"/>
                <w:u w:val="none"/>
                <w:shd w:val="clear" w:color="auto" w:fill="FFFFFF"/>
              </w:rPr>
              <w:t>金额为准，</w:t>
            </w:r>
            <w:r>
              <w:rPr>
                <w:rStyle w:val="56"/>
                <w:rFonts w:hint="eastAsia"/>
                <w:color w:val="auto"/>
                <w:u w:val="none"/>
                <w:shd w:val="clear" w:color="auto" w:fill="FFFFFF"/>
              </w:rPr>
              <w:t>时间以合同中甲方签订时间为准。</w:t>
            </w:r>
          </w:p>
          <w:p>
            <w:pPr>
              <w:spacing w:line="360" w:lineRule="auto"/>
              <w:rPr>
                <w:rStyle w:val="56"/>
                <w:color w:val="auto"/>
                <w:kern w:val="0"/>
                <w:u w:val="none"/>
                <w:shd w:val="clear" w:color="auto" w:fill="FFFFFF"/>
              </w:rPr>
            </w:pPr>
            <w:r>
              <w:rPr>
                <w:rStyle w:val="56"/>
                <w:rFonts w:hint="eastAsia"/>
                <w:color w:val="auto"/>
                <w:u w:val="none"/>
                <w:shd w:val="clear" w:color="auto" w:fill="FFFFFF"/>
              </w:rPr>
              <w:t>4.</w:t>
            </w:r>
            <w:r>
              <w:rPr>
                <w:rStyle w:val="56"/>
                <w:color w:val="auto"/>
                <w:u w:val="none"/>
                <w:shd w:val="clear" w:color="auto" w:fill="FFFFFF"/>
              </w:rPr>
              <w:t>本</w:t>
            </w:r>
            <w:r>
              <w:rPr>
                <w:rStyle w:val="56"/>
                <w:rFonts w:hint="eastAsia"/>
                <w:color w:val="auto"/>
                <w:u w:val="none"/>
                <w:shd w:val="clear" w:color="auto" w:fill="FFFFFF"/>
              </w:rPr>
              <w:t>次采购</w:t>
            </w:r>
            <w:r>
              <w:rPr>
                <w:rStyle w:val="56"/>
                <w:color w:val="auto"/>
                <w:u w:val="none"/>
                <w:shd w:val="clear" w:color="auto" w:fill="FFFFFF"/>
              </w:rPr>
              <w:t>不接受联合体</w:t>
            </w:r>
            <w:r>
              <w:rPr>
                <w:rStyle w:val="56"/>
                <w:rFonts w:hint="eastAsia"/>
                <w:color w:val="auto"/>
                <w:kern w:val="0"/>
                <w:u w:val="none"/>
                <w:shd w:val="clear" w:color="auto" w:fill="FFFFFF"/>
              </w:rPr>
              <w:t>。</w:t>
            </w:r>
          </w:p>
          <w:p>
            <w:pPr>
              <w:spacing w:line="360" w:lineRule="auto"/>
              <w:rPr>
                <w:rFonts w:ascii="宋体" w:hAnsi="宋体" w:cs="宋体"/>
                <w:color w:val="000000"/>
                <w:szCs w:val="21"/>
              </w:rPr>
            </w:pPr>
            <w:r>
              <w:rPr>
                <w:rStyle w:val="56"/>
                <w:rFonts w:hint="eastAsia"/>
                <w:color w:val="auto"/>
                <w:u w:val="none"/>
                <w:shd w:val="clear" w:color="auto" w:fill="FFFFFF"/>
              </w:rPr>
              <w:t>5.</w:t>
            </w:r>
            <w:r>
              <w:rPr>
                <w:rStyle w:val="56"/>
                <w:color w:val="auto"/>
                <w:u w:val="none"/>
                <w:shd w:val="clear" w:color="auto" w:fill="FFFFFF"/>
              </w:rPr>
              <w:t>被长沙市轨道交通集团</w:t>
            </w:r>
            <w:r>
              <w:rPr>
                <w:rStyle w:val="56"/>
                <w:rFonts w:hint="eastAsia"/>
                <w:color w:val="auto"/>
                <w:u w:val="none"/>
                <w:shd w:val="clear" w:color="auto" w:fill="FFFFFF"/>
              </w:rPr>
              <w:t>有限公司或长沙市轨道交通运营有限公司函告禁止在一定期限内参与投标的单位按函告内容执行</w:t>
            </w:r>
            <w:r>
              <w:rPr>
                <w:rStyle w:val="56"/>
                <w:rFonts w:hint="eastAsia"/>
                <w:color w:val="auto"/>
                <w:kern w:val="0"/>
                <w:u w:val="none"/>
                <w:shd w:val="clear" w:color="auto" w:fill="FFFFFF"/>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谈判答疑文件</w:t>
            </w:r>
          </w:p>
          <w:p>
            <w:pPr>
              <w:adjustRightInd w:val="0"/>
              <w:snapToGrid w:val="0"/>
              <w:jc w:val="center"/>
              <w:rPr>
                <w:rFonts w:ascii="宋体" w:hAnsi="宋体" w:cs="宋体"/>
                <w:b/>
                <w:szCs w:val="21"/>
              </w:rPr>
            </w:pPr>
            <w:r>
              <w:rPr>
                <w:rFonts w:hint="eastAsia" w:ascii="宋体" w:hAnsi="宋体" w:cs="宋体"/>
                <w:b/>
                <w:szCs w:val="21"/>
              </w:rPr>
              <w:t>递交截止时间</w:t>
            </w:r>
          </w:p>
        </w:tc>
        <w:tc>
          <w:tcPr>
            <w:tcW w:w="7338" w:type="dxa"/>
            <w:vAlign w:val="center"/>
          </w:tcPr>
          <w:p>
            <w:pPr>
              <w:pStyle w:val="25"/>
              <w:adjustRightInd w:val="0"/>
              <w:snapToGrid w:val="0"/>
              <w:rPr>
                <w:rFonts w:hAnsi="宋体" w:cs="宋体"/>
                <w:color w:val="000000"/>
              </w:rPr>
            </w:pPr>
            <w:r>
              <w:rPr>
                <w:rFonts w:hint="eastAsia" w:hAnsi="宋体" w:cs="宋体"/>
                <w:highlight w:val="none"/>
              </w:rPr>
              <w:t>20</w:t>
            </w:r>
            <w:r>
              <w:rPr>
                <w:rFonts w:hint="eastAsia" w:hAnsi="宋体" w:cs="宋体"/>
                <w:highlight w:val="none"/>
                <w:lang w:val="en-US" w:eastAsia="zh-CN"/>
              </w:rPr>
              <w:t>22</w:t>
            </w:r>
            <w:r>
              <w:rPr>
                <w:rFonts w:hint="eastAsia" w:hAnsi="宋体" w:cs="宋体"/>
                <w:highlight w:val="none"/>
              </w:rPr>
              <w:t>年</w:t>
            </w:r>
            <w:r>
              <w:rPr>
                <w:rFonts w:hint="eastAsia" w:hAnsi="宋体" w:cs="宋体"/>
                <w:highlight w:val="none"/>
                <w:lang w:val="en-US" w:eastAsia="zh-CN"/>
              </w:rPr>
              <w:t>12</w:t>
            </w:r>
            <w:r>
              <w:rPr>
                <w:rFonts w:hint="eastAsia" w:hAnsi="宋体" w:cs="宋体"/>
                <w:highlight w:val="none"/>
              </w:rPr>
              <w:t>月</w:t>
            </w:r>
            <w:r>
              <w:rPr>
                <w:rFonts w:hint="eastAsia" w:hAnsi="宋体" w:cs="宋体"/>
                <w:highlight w:val="none"/>
                <w:lang w:val="en-US" w:eastAsia="zh-CN"/>
              </w:rPr>
              <w:t>19</w:t>
            </w:r>
            <w:r>
              <w:rPr>
                <w:rFonts w:hint="eastAsia" w:hAnsi="宋体" w:cs="宋体"/>
                <w:highlight w:val="none"/>
              </w:rPr>
              <w:t>日</w:t>
            </w:r>
            <w:r>
              <w:rPr>
                <w:rFonts w:hint="eastAsia" w:hAnsi="宋体" w:cs="宋体"/>
                <w:highlight w:val="none"/>
                <w:lang w:val="en-US" w:eastAsia="zh-CN"/>
              </w:rPr>
              <w:t>17</w:t>
            </w:r>
            <w:r>
              <w:rPr>
                <w:rFonts w:hint="eastAsia" w:hAnsi="宋体" w:cs="宋体"/>
                <w:highlight w:val="none"/>
              </w:rPr>
              <w:t>时</w:t>
            </w:r>
            <w:r>
              <w:rPr>
                <w:rFonts w:hint="eastAsia" w:hAnsi="宋体" w:cs="宋体"/>
                <w:highlight w:val="none"/>
                <w:lang w:val="en-US" w:eastAsia="zh-CN"/>
              </w:rPr>
              <w:t>00</w:t>
            </w:r>
            <w:r>
              <w:rPr>
                <w:rFonts w:hint="eastAsia" w:hAnsi="宋体" w:cs="宋体"/>
                <w:highlight w:val="none"/>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谈判答疑文件</w:t>
            </w:r>
          </w:p>
          <w:p>
            <w:pPr>
              <w:adjustRightInd w:val="0"/>
              <w:snapToGrid w:val="0"/>
              <w:jc w:val="center"/>
              <w:rPr>
                <w:rFonts w:ascii="宋体" w:hAnsi="宋体" w:cs="宋体"/>
                <w:b/>
                <w:szCs w:val="21"/>
              </w:rPr>
            </w:pPr>
            <w:r>
              <w:rPr>
                <w:rFonts w:hint="eastAsia" w:ascii="宋体" w:hAnsi="宋体" w:cs="宋体"/>
                <w:b/>
                <w:szCs w:val="21"/>
              </w:rPr>
              <w:t>递交方式及地点</w:t>
            </w:r>
          </w:p>
        </w:tc>
        <w:tc>
          <w:tcPr>
            <w:tcW w:w="7338" w:type="dxa"/>
            <w:vAlign w:val="center"/>
          </w:tcPr>
          <w:p>
            <w:pPr>
              <w:pStyle w:val="25"/>
              <w:adjustRightInd w:val="0"/>
              <w:snapToGrid w:val="0"/>
              <w:rPr>
                <w:rFonts w:hAnsi="宋体" w:cs="宋体"/>
                <w:iCs/>
                <w:color w:val="FF0000"/>
              </w:rPr>
            </w:pPr>
            <w:r>
              <w:rPr>
                <w:rFonts w:hint="eastAsia" w:hAnsi="宋体" w:cs="宋体"/>
              </w:rPr>
              <w:t>谈判答疑文件应以书面形式递交至</w:t>
            </w:r>
            <w:r>
              <w:rPr>
                <w:rFonts w:hint="eastAsia" w:hAnsi="宋体" w:cs="宋体"/>
                <w:u w:val="single"/>
              </w:rPr>
              <w:t>长沙市雨花区湘府中路117号金典商务楼12楼。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响应文件的递交</w:t>
            </w:r>
          </w:p>
          <w:p>
            <w:pPr>
              <w:adjustRightInd w:val="0"/>
              <w:snapToGrid w:val="0"/>
              <w:jc w:val="center"/>
              <w:rPr>
                <w:rFonts w:ascii="宋体" w:hAnsi="宋体" w:cs="宋体"/>
                <w:b/>
                <w:szCs w:val="21"/>
              </w:rPr>
            </w:pPr>
            <w:r>
              <w:rPr>
                <w:rFonts w:hint="eastAsia" w:ascii="宋体" w:hAnsi="宋体" w:cs="宋体"/>
                <w:b/>
                <w:szCs w:val="21"/>
              </w:rPr>
              <w:t>截止及谈判时间</w:t>
            </w:r>
          </w:p>
        </w:tc>
        <w:tc>
          <w:tcPr>
            <w:tcW w:w="7338" w:type="dxa"/>
            <w:vAlign w:val="center"/>
          </w:tcPr>
          <w:p>
            <w:pPr>
              <w:adjustRightInd w:val="0"/>
              <w:snapToGrid w:val="0"/>
              <w:jc w:val="left"/>
              <w:rPr>
                <w:rFonts w:ascii="宋体" w:hAnsi="宋体" w:cs="宋体"/>
                <w:szCs w:val="21"/>
              </w:rPr>
            </w:pPr>
            <w:r>
              <w:rPr>
                <w:rFonts w:hint="eastAsia" w:ascii="宋体" w:hAnsi="宋体" w:cs="宋体"/>
                <w:szCs w:val="21"/>
                <w:highlight w:val="none"/>
              </w:rPr>
              <w:t>20</w:t>
            </w:r>
            <w:r>
              <w:rPr>
                <w:rFonts w:hint="eastAsia" w:ascii="宋体" w:hAnsi="宋体" w:cs="宋体"/>
                <w:szCs w:val="21"/>
                <w:highlight w:val="none"/>
                <w:lang w:val="en-US" w:eastAsia="zh-CN"/>
              </w:rPr>
              <w:t>22</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26</w:t>
            </w:r>
            <w:r>
              <w:rPr>
                <w:rFonts w:hint="eastAsia" w:ascii="宋体" w:hAnsi="宋体" w:cs="宋体"/>
                <w:szCs w:val="21"/>
                <w:highlight w:val="none"/>
              </w:rPr>
              <w:t>日</w:t>
            </w:r>
            <w:r>
              <w:rPr>
                <w:rFonts w:hint="eastAsia" w:ascii="宋体" w:hAnsi="宋体" w:cs="宋体"/>
                <w:szCs w:val="21"/>
                <w:highlight w:val="none"/>
                <w:lang w:val="en-US" w:eastAsia="zh-CN"/>
              </w:rPr>
              <w:t>14</w:t>
            </w:r>
            <w:r>
              <w:rPr>
                <w:rFonts w:hint="eastAsia" w:ascii="宋体" w:hAnsi="宋体" w:cs="宋体"/>
                <w:szCs w:val="21"/>
                <w:highlight w:val="none"/>
              </w:rPr>
              <w:t>时</w:t>
            </w:r>
            <w:r>
              <w:rPr>
                <w:rFonts w:hint="eastAsia" w:ascii="宋体" w:hAnsi="宋体" w:cs="宋体"/>
                <w:szCs w:val="21"/>
                <w:highlight w:val="none"/>
                <w:lang w:val="en-US" w:eastAsia="zh-CN"/>
              </w:rPr>
              <w:t>30</w:t>
            </w:r>
            <w:r>
              <w:rPr>
                <w:rFonts w:hint="eastAsia" w:ascii="宋体" w:hAnsi="宋体" w:cs="宋体"/>
                <w:szCs w:val="21"/>
                <w:highlight w:val="none"/>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响应文件的递交</w:t>
            </w:r>
          </w:p>
          <w:p>
            <w:pPr>
              <w:adjustRightInd w:val="0"/>
              <w:snapToGrid w:val="0"/>
              <w:jc w:val="center"/>
              <w:rPr>
                <w:rFonts w:ascii="宋体" w:hAnsi="宋体" w:cs="宋体"/>
                <w:b/>
                <w:szCs w:val="21"/>
              </w:rPr>
            </w:pPr>
            <w:r>
              <w:rPr>
                <w:rFonts w:hint="eastAsia" w:ascii="宋体" w:hAnsi="宋体" w:cs="宋体"/>
                <w:b/>
                <w:szCs w:val="21"/>
              </w:rPr>
              <w:t>及谈判地点</w:t>
            </w:r>
          </w:p>
        </w:tc>
        <w:tc>
          <w:tcPr>
            <w:tcW w:w="7338" w:type="dxa"/>
            <w:vAlign w:val="center"/>
          </w:tcPr>
          <w:p>
            <w:pPr>
              <w:adjustRightInd w:val="0"/>
              <w:snapToGrid w:val="0"/>
              <w:jc w:val="left"/>
              <w:rPr>
                <w:rFonts w:ascii="宋体" w:hAnsi="宋体" w:cs="宋体"/>
                <w:szCs w:val="21"/>
              </w:rPr>
            </w:pPr>
            <w:r>
              <w:rPr>
                <w:rFonts w:hint="eastAsia" w:ascii="宋体" w:hAnsi="宋体" w:cs="宋体"/>
                <w:bCs/>
                <w:szCs w:val="21"/>
              </w:rPr>
              <w:t>长沙市劳动东路二段48号黄兴车辆段综合楼</w:t>
            </w:r>
            <w:r>
              <w:rPr>
                <w:rFonts w:hint="eastAsia" w:ascii="宋体" w:hAnsi="宋体" w:cs="宋体"/>
                <w:bCs/>
                <w:szCs w:val="21"/>
                <w:lang w:val="en-US" w:eastAsia="zh-CN"/>
              </w:rPr>
              <w:t>7</w:t>
            </w:r>
            <w:r>
              <w:rPr>
                <w:rFonts w:hint="eastAsia" w:ascii="宋体" w:hAnsi="宋体" w:cs="宋体"/>
                <w:bCs/>
                <w:szCs w:val="21"/>
                <w:highlight w:val="none"/>
              </w:rPr>
              <w:t>楼</w:t>
            </w:r>
            <w:r>
              <w:rPr>
                <w:rFonts w:hint="eastAsia" w:ascii="宋体" w:hAnsi="宋体" w:cs="宋体"/>
                <w:bCs/>
                <w:szCs w:val="21"/>
                <w:highlight w:val="none"/>
                <w:lang w:val="en-US" w:eastAsia="zh-CN"/>
              </w:rPr>
              <w:t>715</w:t>
            </w:r>
            <w:r>
              <w:rPr>
                <w:rStyle w:val="56"/>
                <w:rFonts w:hint="eastAsia"/>
                <w:color w:val="auto"/>
                <w:highlight w:val="none"/>
                <w:u w:val="none"/>
                <w:shd w:val="clear" w:color="auto" w:fill="FFFFFF"/>
              </w:rPr>
              <w:t>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46"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谈判现场验证</w:t>
            </w:r>
          </w:p>
          <w:p>
            <w:pPr>
              <w:adjustRightInd w:val="0"/>
              <w:snapToGrid w:val="0"/>
              <w:jc w:val="center"/>
              <w:rPr>
                <w:rFonts w:ascii="宋体" w:hAnsi="宋体" w:cs="宋体"/>
                <w:b/>
                <w:szCs w:val="21"/>
              </w:rPr>
            </w:pPr>
            <w:r>
              <w:rPr>
                <w:rFonts w:hint="eastAsia" w:ascii="宋体" w:hAnsi="宋体" w:cs="宋体"/>
                <w:b/>
                <w:szCs w:val="21"/>
              </w:rPr>
              <w:t>须提交的资料</w:t>
            </w:r>
          </w:p>
        </w:tc>
        <w:tc>
          <w:tcPr>
            <w:tcW w:w="7338" w:type="dxa"/>
            <w:vAlign w:val="center"/>
          </w:tcPr>
          <w:p>
            <w:pPr>
              <w:adjustRightInd w:val="0"/>
              <w:snapToGrid w:val="0"/>
              <w:spacing w:line="360" w:lineRule="auto"/>
              <w:jc w:val="left"/>
              <w:rPr>
                <w:rFonts w:ascii="宋体" w:hAnsi="宋体" w:cs="宋体"/>
                <w:color w:val="FF0000"/>
                <w:szCs w:val="21"/>
              </w:rPr>
            </w:pPr>
            <w:r>
              <w:rPr>
                <w:rFonts w:hint="eastAsia" w:ascii="宋体" w:hAnsi="宋体" w:cs="宋体"/>
                <w:iCs/>
                <w:szCs w:val="21"/>
              </w:rPr>
              <w:t>1.谈判单位代表是谈判单位法定代表人参加的，法定代表人须提供法定代表人身份证明书原件</w:t>
            </w:r>
            <w:r>
              <w:rPr>
                <w:rFonts w:hint="eastAsia" w:ascii="宋体" w:hAnsi="宋体" w:cs="宋体"/>
                <w:b/>
                <w:bCs/>
                <w:iCs/>
                <w:szCs w:val="21"/>
              </w:rPr>
              <w:t>（格式详见本文件第七章）</w:t>
            </w:r>
            <w:r>
              <w:rPr>
                <w:rFonts w:hint="eastAsia" w:ascii="宋体" w:hAnsi="宋体" w:cs="宋体"/>
                <w:szCs w:val="21"/>
              </w:rPr>
              <w:t>及本人身份证原件。</w:t>
            </w:r>
          </w:p>
          <w:p>
            <w:pPr>
              <w:adjustRightInd w:val="0"/>
              <w:snapToGrid w:val="0"/>
              <w:spacing w:line="360" w:lineRule="auto"/>
              <w:jc w:val="left"/>
              <w:rPr>
                <w:rFonts w:ascii="宋体" w:hAnsi="宋体" w:cs="宋体"/>
                <w:iCs/>
                <w:szCs w:val="21"/>
              </w:rPr>
            </w:pPr>
            <w:r>
              <w:rPr>
                <w:rFonts w:hint="eastAsia" w:ascii="宋体" w:hAnsi="宋体" w:cs="宋体"/>
                <w:szCs w:val="21"/>
              </w:rPr>
              <w:t>2.谈判单位代表是由谈判单位法定代表人授权的委托代理人参加的，其授权委托代理人须提供授权委托书原件</w:t>
            </w:r>
            <w:r>
              <w:rPr>
                <w:rFonts w:hint="eastAsia" w:ascii="宋体" w:hAnsi="宋体" w:cs="宋体"/>
                <w:b/>
                <w:szCs w:val="21"/>
              </w:rPr>
              <w:t>（格式详见本文件</w:t>
            </w:r>
            <w:r>
              <w:rPr>
                <w:rFonts w:hint="eastAsia" w:ascii="宋体" w:hAnsi="宋体" w:cs="宋体"/>
                <w:b/>
                <w:bCs/>
                <w:iCs/>
                <w:szCs w:val="21"/>
              </w:rPr>
              <w:t>第七章</w:t>
            </w:r>
            <w:r>
              <w:rPr>
                <w:rFonts w:hint="eastAsia" w:ascii="宋体" w:hAnsi="宋体" w:cs="宋体"/>
                <w:b/>
                <w:szCs w:val="21"/>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234" w:type="dxa"/>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资格的符合性审查</w:t>
            </w:r>
          </w:p>
          <w:p>
            <w:pPr>
              <w:adjustRightInd w:val="0"/>
              <w:snapToGrid w:val="0"/>
              <w:jc w:val="center"/>
              <w:rPr>
                <w:color w:val="auto"/>
              </w:rPr>
            </w:pPr>
            <w:r>
              <w:rPr>
                <w:rFonts w:hint="eastAsia" w:ascii="宋体" w:hAnsi="宋体" w:cs="宋体"/>
                <w:b/>
                <w:color w:val="auto"/>
                <w:szCs w:val="21"/>
              </w:rPr>
              <w:t>须单独提交的资料</w:t>
            </w:r>
          </w:p>
        </w:tc>
        <w:tc>
          <w:tcPr>
            <w:tcW w:w="7338" w:type="dxa"/>
            <w:vAlign w:val="center"/>
          </w:tcPr>
          <w:p>
            <w:pPr>
              <w:adjustRightInd w:val="0"/>
              <w:snapToGrid w:val="0"/>
              <w:spacing w:line="360" w:lineRule="auto"/>
              <w:jc w:val="left"/>
              <w:rPr>
                <w:rFonts w:ascii="宋体" w:hAnsi="宋体" w:cs="宋体"/>
                <w:color w:val="auto"/>
                <w:szCs w:val="21"/>
              </w:rPr>
            </w:pPr>
            <w:r>
              <w:rPr>
                <w:rFonts w:hint="eastAsia" w:ascii="宋体" w:hAnsi="宋体" w:cs="宋体"/>
                <w:b w:val="0"/>
                <w:bCs w:val="0"/>
                <w:iCs/>
                <w:color w:val="auto"/>
                <w:szCs w:val="21"/>
              </w:rPr>
              <w:t>谈判单位应按照</w:t>
            </w:r>
            <w:r>
              <w:rPr>
                <w:rFonts w:hint="eastAsia" w:ascii="宋体" w:hAnsi="宋体" w:cs="宋体"/>
                <w:b w:val="0"/>
                <w:bCs w:val="0"/>
                <w:color w:val="auto"/>
                <w:szCs w:val="21"/>
              </w:rPr>
              <w:t>本前附表内规定的《资格要求》内容，单独提供一份资格</w:t>
            </w:r>
            <w:r>
              <w:rPr>
                <w:rFonts w:hint="eastAsia" w:ascii="宋体" w:hAnsi="宋体"/>
                <w:b w:val="0"/>
                <w:bCs w:val="0"/>
                <w:color w:val="auto"/>
                <w:szCs w:val="21"/>
              </w:rPr>
              <w:t>证明文件</w:t>
            </w:r>
            <w:r>
              <w:rPr>
                <w:rStyle w:val="56"/>
                <w:rFonts w:hint="eastAsia"/>
                <w:b w:val="0"/>
                <w:bCs w:val="0"/>
                <w:color w:val="auto"/>
                <w:u w:val="none"/>
                <w:shd w:val="clear" w:color="auto" w:fill="FFFFFF"/>
              </w:rPr>
              <w:t>原件扫描件打印版，且提供的文件内容应与</w:t>
            </w:r>
            <w:r>
              <w:rPr>
                <w:rStyle w:val="56"/>
                <w:rFonts w:hint="eastAsia"/>
                <w:b/>
                <w:bCs/>
                <w:color w:val="auto"/>
                <w:u w:val="none"/>
                <w:shd w:val="clear" w:color="auto" w:fill="FFFFFF"/>
              </w:rPr>
              <w:t>“</w:t>
            </w:r>
            <w:r>
              <w:rPr>
                <w:rFonts w:hint="eastAsia" w:ascii="宋体" w:hAnsi="宋体" w:cs="宋体"/>
                <w:b/>
                <w:bCs/>
                <w:iCs/>
                <w:color w:val="auto"/>
                <w:szCs w:val="21"/>
              </w:rPr>
              <w:t>本文件第七章第四节</w:t>
            </w:r>
            <w:r>
              <w:rPr>
                <w:rStyle w:val="56"/>
                <w:rFonts w:hint="eastAsia"/>
                <w:b/>
                <w:bCs/>
                <w:color w:val="auto"/>
                <w:u w:val="none"/>
                <w:shd w:val="clear" w:color="auto" w:fill="FFFFFF"/>
              </w:rPr>
              <w:t>”</w:t>
            </w:r>
            <w:r>
              <w:rPr>
                <w:rFonts w:hint="eastAsia" w:ascii="宋体" w:hAnsi="宋体" w:cs="宋体"/>
                <w:b/>
                <w:bCs/>
                <w:iCs/>
                <w:color w:val="auto"/>
                <w:szCs w:val="21"/>
              </w:rPr>
              <w:t>内容保持一致（格式详见本文件第七章第四节）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响应文件有效期</w:t>
            </w:r>
          </w:p>
        </w:tc>
        <w:tc>
          <w:tcPr>
            <w:tcW w:w="7338" w:type="dxa"/>
            <w:vAlign w:val="center"/>
          </w:tcPr>
          <w:p>
            <w:pPr>
              <w:adjustRightInd w:val="0"/>
              <w:snapToGrid w:val="0"/>
              <w:jc w:val="left"/>
              <w:rPr>
                <w:rFonts w:ascii="宋体" w:hAnsi="宋体" w:cs="宋体"/>
                <w:szCs w:val="21"/>
              </w:rPr>
            </w:pPr>
            <w:r>
              <w:rPr>
                <w:rFonts w:hint="eastAsia" w:ascii="宋体" w:hAnsi="宋体" w:cs="宋体"/>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响应文件份数及要求</w:t>
            </w:r>
          </w:p>
        </w:tc>
        <w:tc>
          <w:tcPr>
            <w:tcW w:w="7338" w:type="dxa"/>
            <w:vAlign w:val="center"/>
          </w:tcPr>
          <w:p>
            <w:pPr>
              <w:adjustRightInd w:val="0"/>
              <w:snapToGrid w:val="0"/>
              <w:spacing w:line="360" w:lineRule="auto"/>
              <w:rPr>
                <w:rFonts w:ascii="宋体" w:hAnsi="宋体" w:cs="宋体"/>
                <w:szCs w:val="21"/>
              </w:rPr>
            </w:pPr>
            <w:r>
              <w:rPr>
                <w:rFonts w:hint="eastAsia" w:ascii="宋体" w:hAnsi="宋体" w:cs="宋体"/>
                <w:szCs w:val="21"/>
              </w:rPr>
              <w:t>响应文件纸质文件一式三份（其中正本一份，副本二份），电子文件（U盘或光盘）一份。响应文件一正两副与电子文件一起密封包装。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价格承包内容</w:t>
            </w:r>
          </w:p>
        </w:tc>
        <w:tc>
          <w:tcPr>
            <w:tcW w:w="7338" w:type="dxa"/>
            <w:vAlign w:val="center"/>
          </w:tcPr>
          <w:p>
            <w:pPr>
              <w:adjustRightInd w:val="0"/>
              <w:snapToGrid w:val="0"/>
              <w:spacing w:line="360" w:lineRule="auto"/>
              <w:jc w:val="left"/>
              <w:rPr>
                <w:rFonts w:ascii="宋体" w:hAnsi="宋体" w:cs="宋体"/>
                <w:szCs w:val="21"/>
                <w:highlight w:val="lightGray"/>
              </w:rPr>
            </w:pPr>
            <w:r>
              <w:rPr>
                <w:rFonts w:hint="eastAsia" w:ascii="宋体" w:hAnsi="宋体" w:cs="宋体"/>
                <w:iCs/>
                <w:szCs w:val="21"/>
              </w:rPr>
              <w:t>单价合同[除税率调整外，合同单价（即中标单价/中选单价/成交单价）在合同执行过程中固定不变，不随政府政策（长沙市规定的最低工资标准变化等）及市场物价上涨或回落等因素调整]。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2234" w:type="dxa"/>
            <w:vAlign w:val="center"/>
          </w:tcPr>
          <w:p>
            <w:pPr>
              <w:adjustRightInd w:val="0"/>
              <w:snapToGrid w:val="0"/>
              <w:jc w:val="center"/>
              <w:rPr>
                <w:rFonts w:ascii="宋体" w:hAnsi="宋体" w:cs="宋体"/>
                <w:b/>
                <w:color w:val="FF0000"/>
                <w:szCs w:val="21"/>
              </w:rPr>
            </w:pPr>
            <w:r>
              <w:rPr>
                <w:rFonts w:hint="eastAsia" w:ascii="宋体" w:hAnsi="宋体" w:cs="宋体"/>
                <w:b/>
                <w:szCs w:val="21"/>
              </w:rPr>
              <w:t>项目支付方式</w:t>
            </w:r>
          </w:p>
        </w:tc>
        <w:tc>
          <w:tcPr>
            <w:tcW w:w="7338" w:type="dxa"/>
            <w:vAlign w:val="center"/>
          </w:tcPr>
          <w:p>
            <w:pPr>
              <w:adjustRightInd w:val="0"/>
              <w:snapToGrid w:val="0"/>
              <w:spacing w:line="360" w:lineRule="auto"/>
              <w:jc w:val="left"/>
              <w:rPr>
                <w:rFonts w:ascii="宋体" w:hAnsi="宋体" w:cs="宋体"/>
                <w:iCs/>
                <w:szCs w:val="21"/>
              </w:rPr>
            </w:pPr>
            <w:r>
              <w:rPr>
                <w:rFonts w:hint="eastAsia" w:ascii="宋体" w:hAnsi="宋体" w:cs="宋体"/>
                <w:iCs/>
                <w:szCs w:val="21"/>
              </w:rPr>
              <w:t>1.进度款支付</w:t>
            </w:r>
          </w:p>
          <w:p>
            <w:pPr>
              <w:adjustRightInd w:val="0"/>
              <w:snapToGrid w:val="0"/>
              <w:spacing w:line="360" w:lineRule="auto"/>
              <w:jc w:val="left"/>
              <w:rPr>
                <w:rFonts w:ascii="宋体" w:hAnsi="宋体" w:cs="宋体"/>
                <w:iCs/>
                <w:szCs w:val="21"/>
              </w:rPr>
            </w:pPr>
            <w:r>
              <w:rPr>
                <w:rFonts w:hint="eastAsia" w:ascii="宋体" w:hAnsi="宋体" w:cs="宋体"/>
                <w:iCs/>
                <w:szCs w:val="21"/>
              </w:rPr>
              <w:t>进度款按年度计量支付，其中：</w:t>
            </w:r>
          </w:p>
          <w:p>
            <w:pPr>
              <w:adjustRightInd w:val="0"/>
              <w:snapToGrid w:val="0"/>
              <w:spacing w:line="360" w:lineRule="auto"/>
              <w:jc w:val="left"/>
              <w:rPr>
                <w:rFonts w:ascii="宋体" w:hAnsi="宋体" w:cs="宋体"/>
                <w:iCs/>
                <w:szCs w:val="21"/>
              </w:rPr>
            </w:pPr>
            <w:r>
              <w:rPr>
                <w:rFonts w:hint="eastAsia" w:ascii="宋体" w:hAnsi="宋体" w:cs="宋体"/>
                <w:iCs/>
                <w:szCs w:val="21"/>
              </w:rPr>
              <w:t>单价合同的进度款为每年计量金额（即当年实际服务工作量*中标单价/中选单价/成交单价）综合当年检查考评结果后的金额。</w:t>
            </w:r>
          </w:p>
          <w:p>
            <w:pPr>
              <w:adjustRightInd w:val="0"/>
              <w:snapToGrid w:val="0"/>
              <w:spacing w:line="360" w:lineRule="auto"/>
              <w:jc w:val="left"/>
              <w:rPr>
                <w:rFonts w:ascii="宋体" w:hAnsi="宋体" w:cs="宋体"/>
                <w:iCs/>
                <w:szCs w:val="21"/>
              </w:rPr>
            </w:pPr>
            <w:r>
              <w:rPr>
                <w:rFonts w:hint="eastAsia" w:ascii="宋体" w:hAnsi="宋体" w:cs="宋体"/>
                <w:iCs/>
                <w:szCs w:val="21"/>
              </w:rPr>
              <w:t>进度款支付应在每年的考核验收合格后，乙方凭当次应支付款额度100%的增值税专用发票原件、有效期内的履约担保复印件及甲方出具的当年检查考评得分记录，办理每年的请款手续；甲方在收到乙方的上述请款材料并确认无误后的28个工作日内向乙方进行支付。</w:t>
            </w:r>
          </w:p>
          <w:p>
            <w:pPr>
              <w:adjustRightInd w:val="0"/>
              <w:snapToGrid w:val="0"/>
              <w:spacing w:line="360" w:lineRule="auto"/>
              <w:jc w:val="left"/>
              <w:rPr>
                <w:rFonts w:ascii="宋体" w:hAnsi="宋体" w:cs="宋体"/>
                <w:iCs/>
                <w:szCs w:val="21"/>
              </w:rPr>
            </w:pPr>
            <w:r>
              <w:rPr>
                <w:rFonts w:hint="eastAsia" w:ascii="宋体" w:hAnsi="宋体" w:cs="宋体"/>
                <w:iCs/>
                <w:szCs w:val="21"/>
              </w:rPr>
              <w:t>2.结算款支付</w:t>
            </w:r>
          </w:p>
          <w:p>
            <w:pPr>
              <w:adjustRightInd w:val="0"/>
              <w:snapToGrid w:val="0"/>
              <w:spacing w:line="360" w:lineRule="auto"/>
              <w:jc w:val="left"/>
              <w:rPr>
                <w:rFonts w:ascii="宋体" w:hAnsi="宋体" w:cs="宋体"/>
                <w:szCs w:val="21"/>
                <w:highlight w:val="lightGray"/>
              </w:rPr>
            </w:pPr>
            <w:r>
              <w:rPr>
                <w:rFonts w:hint="eastAsia" w:ascii="宋体" w:hAnsi="宋体" w:cs="宋体"/>
                <w:iCs/>
                <w:szCs w:val="21"/>
              </w:rPr>
              <w:t>乙方正确地完全履行合同义务，且</w:t>
            </w:r>
            <w:r>
              <w:rPr>
                <w:rFonts w:hint="eastAsia" w:ascii="宋体" w:hAnsi="宋体" w:cs="宋体"/>
                <w:iCs/>
                <w:szCs w:val="21"/>
              </w:rPr>
              <w:sym w:font="Wingdings 2" w:char="00A3"/>
            </w:r>
            <w:r>
              <w:rPr>
                <w:rFonts w:hint="eastAsia" w:ascii="宋体" w:hAnsi="宋体" w:cs="宋体"/>
                <w:iCs/>
                <w:szCs w:val="21"/>
              </w:rPr>
              <w:t>本项目的合同价格（即结算价格）经长沙市政府相关职能部门或长沙市轨道交通集团有限公司授权的单位审定/</w:t>
            </w:r>
            <w:r>
              <w:rPr>
                <w:rFonts w:hint="eastAsia" w:ascii="宋体" w:hAnsi="宋体" w:cs="宋体"/>
                <w:iCs/>
                <w:szCs w:val="21"/>
              </w:rPr>
              <w:sym w:font="Wingdings 2" w:char="0052"/>
            </w:r>
            <w:r>
              <w:rPr>
                <w:rFonts w:hint="eastAsia" w:ascii="宋体" w:hAnsi="宋体" w:cs="宋体"/>
                <w:iCs/>
                <w:szCs w:val="21"/>
              </w:rPr>
              <w:t>本项目履约验收合格后，按上述进度款支付约定的方式，乙方凭当次支付款额度100%的增值税专用发票原件及甲方出具的当年检查考评结果，办理最后一年服务费的请款手续；甲方在收到乙方的上述请款材料并确认无误后的28个工作日内向乙方进行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信息发布</w:t>
            </w:r>
          </w:p>
          <w:p>
            <w:pPr>
              <w:adjustRightInd w:val="0"/>
              <w:snapToGrid w:val="0"/>
              <w:jc w:val="center"/>
              <w:rPr>
                <w:rFonts w:ascii="宋体" w:hAnsi="宋体" w:cs="宋体"/>
                <w:b/>
                <w:szCs w:val="21"/>
              </w:rPr>
            </w:pPr>
            <w:r>
              <w:rPr>
                <w:rFonts w:hint="eastAsia" w:ascii="宋体" w:hAnsi="宋体" w:cs="宋体"/>
                <w:b/>
                <w:szCs w:val="21"/>
              </w:rPr>
              <w:t>指定媒体</w:t>
            </w:r>
          </w:p>
        </w:tc>
        <w:tc>
          <w:tcPr>
            <w:tcW w:w="7338" w:type="dxa"/>
            <w:vAlign w:val="center"/>
          </w:tcPr>
          <w:p>
            <w:pPr>
              <w:adjustRightInd w:val="0"/>
              <w:snapToGrid w:val="0"/>
              <w:rPr>
                <w:rFonts w:ascii="宋体" w:hAnsi="宋体" w:cs="宋体"/>
                <w:szCs w:val="21"/>
              </w:rPr>
            </w:pPr>
            <w:r>
              <w:rPr>
                <w:rFonts w:hint="eastAsia" w:ascii="宋体" w:hAnsi="宋体" w:cs="宋体"/>
                <w:szCs w:val="21"/>
              </w:rPr>
              <w:t>长沙市轨道交通集团有限公司</w:t>
            </w:r>
            <w:r>
              <w:fldChar w:fldCharType="begin"/>
            </w:r>
            <w:r>
              <w:instrText xml:space="preserve"> HYPERLINK "http://www.hncsmtr.com/" </w:instrText>
            </w:r>
            <w:r>
              <w:fldChar w:fldCharType="separate"/>
            </w:r>
            <w:r>
              <w:rPr>
                <w:rStyle w:val="56"/>
                <w:rFonts w:hint="eastAsia" w:ascii="宋体" w:hAnsi="宋体" w:cs="宋体"/>
                <w:color w:val="auto"/>
                <w:szCs w:val="21"/>
                <w:u w:val="none"/>
              </w:rPr>
              <w:t>http://www.hncsmtr.com/</w:t>
            </w:r>
            <w:r>
              <w:rPr>
                <w:rStyle w:val="56"/>
                <w:rFonts w:hint="eastAsia" w:ascii="宋体" w:hAnsi="宋体" w:cs="宋体"/>
                <w:color w:val="auto"/>
                <w:szCs w:val="21"/>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谈判保证金</w:t>
            </w:r>
          </w:p>
          <w:p>
            <w:pPr>
              <w:adjustRightInd w:val="0"/>
              <w:snapToGrid w:val="0"/>
              <w:jc w:val="center"/>
              <w:rPr>
                <w:rFonts w:ascii="宋体" w:hAnsi="宋体" w:cs="宋体"/>
                <w:b/>
                <w:szCs w:val="21"/>
              </w:rPr>
            </w:pPr>
            <w:r>
              <w:rPr>
                <w:rFonts w:hint="eastAsia" w:ascii="宋体" w:hAnsi="宋体" w:cs="宋体"/>
                <w:b/>
                <w:szCs w:val="21"/>
              </w:rPr>
              <w:t>提交渠道</w:t>
            </w:r>
          </w:p>
        </w:tc>
        <w:tc>
          <w:tcPr>
            <w:tcW w:w="7338" w:type="dxa"/>
            <w:vAlign w:val="center"/>
          </w:tcPr>
          <w:p>
            <w:pPr>
              <w:adjustRightInd w:val="0"/>
              <w:snapToGrid w:val="0"/>
              <w:rPr>
                <w:rFonts w:ascii="宋体" w:hAnsi="宋体" w:cs="宋体"/>
                <w:szCs w:val="21"/>
              </w:rPr>
            </w:pPr>
            <w:r>
              <w:rPr>
                <w:rFonts w:hint="eastAsia" w:ascii="宋体" w:hAnsi="宋体" w:cs="宋体"/>
                <w:szCs w:val="21"/>
              </w:rPr>
              <w:t>城轨采购网（网址：</w:t>
            </w:r>
            <w:r>
              <w:fldChar w:fldCharType="begin"/>
            </w:r>
            <w:r>
              <w:instrText xml:space="preserve"> HYPERLINK "http://www.mtrmart.com）注册参与并按要求提交投标保证金。本次投标保证金的金额为（人民币）" </w:instrText>
            </w:r>
            <w:r>
              <w:fldChar w:fldCharType="separate"/>
            </w:r>
            <w:r>
              <w:rPr>
                <w:rFonts w:hint="eastAsia" w:ascii="宋体" w:hAnsi="宋体" w:cs="宋体"/>
                <w:szCs w:val="21"/>
              </w:rPr>
              <w:t>www.mtrmart.com）</w:t>
            </w:r>
            <w:r>
              <w:rPr>
                <w:rFonts w:hint="eastAsia" w:ascii="宋体" w:hAnsi="宋体" w:cs="宋体"/>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2234" w:type="dxa"/>
            <w:vAlign w:val="center"/>
          </w:tcPr>
          <w:p>
            <w:pPr>
              <w:adjustRightInd w:val="0"/>
              <w:snapToGrid w:val="0"/>
              <w:jc w:val="center"/>
              <w:rPr>
                <w:rFonts w:ascii="宋体" w:hAnsi="宋体" w:cs="宋体"/>
                <w:b/>
                <w:bCs/>
                <w:szCs w:val="21"/>
              </w:rPr>
            </w:pPr>
            <w:r>
              <w:rPr>
                <w:rFonts w:hint="eastAsia" w:ascii="宋体" w:hAnsi="宋体" w:cs="宋体"/>
                <w:b/>
                <w:bCs/>
                <w:szCs w:val="21"/>
              </w:rPr>
              <w:t>自主竞争性谈判</w:t>
            </w:r>
          </w:p>
          <w:p>
            <w:pPr>
              <w:adjustRightInd w:val="0"/>
              <w:snapToGrid w:val="0"/>
              <w:jc w:val="center"/>
              <w:rPr>
                <w:rFonts w:ascii="宋体" w:hAnsi="宋体" w:cs="宋体"/>
                <w:b/>
                <w:szCs w:val="21"/>
              </w:rPr>
            </w:pPr>
            <w:r>
              <w:rPr>
                <w:rFonts w:hint="eastAsia" w:ascii="宋体" w:hAnsi="宋体" w:cs="宋体"/>
                <w:b/>
                <w:bCs/>
                <w:szCs w:val="21"/>
              </w:rPr>
              <w:t>文件的获取</w:t>
            </w:r>
          </w:p>
        </w:tc>
        <w:tc>
          <w:tcPr>
            <w:tcW w:w="7338" w:type="dxa"/>
            <w:vAlign w:val="center"/>
          </w:tcPr>
          <w:p>
            <w:pPr>
              <w:adjustRightInd w:val="0"/>
              <w:snapToGrid w:val="0"/>
              <w:rPr>
                <w:rFonts w:ascii="宋体" w:hAnsi="宋体" w:cs="宋体"/>
                <w:szCs w:val="21"/>
              </w:rPr>
            </w:pPr>
            <w:r>
              <w:rPr>
                <w:rFonts w:hint="eastAsia" w:ascii="宋体" w:hAnsi="宋体" w:cs="宋体"/>
                <w:szCs w:val="21"/>
              </w:rPr>
              <w:t>“信息发布指定媒体”中对应采购项目谈判邀请公告附件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采购代理服务费</w:t>
            </w:r>
          </w:p>
        </w:tc>
        <w:tc>
          <w:tcPr>
            <w:tcW w:w="7338"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本项目采购代理服务费以中选价为基数，按《采购代理服务费收费参照汇率表》(附件)计算，服务费超过2万元的，按2万元计取，服务费低于5000元的，按5000元计取。由中选单位全额支付，中选单位应在本项目完成中选通知书备案、资料归档等手续，且接到采购单位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其他规定</w:t>
            </w:r>
          </w:p>
        </w:tc>
        <w:tc>
          <w:tcPr>
            <w:tcW w:w="7338" w:type="dxa"/>
            <w:vAlign w:val="center"/>
          </w:tcPr>
          <w:p>
            <w:pPr>
              <w:adjustRightInd w:val="0"/>
              <w:snapToGrid w:val="0"/>
              <w:rPr>
                <w:rFonts w:ascii="宋体" w:hAnsi="宋体" w:cs="宋体"/>
                <w:szCs w:val="21"/>
              </w:rPr>
            </w:pPr>
            <w:r>
              <w:rPr>
                <w:rFonts w:hint="eastAsia" w:ascii="宋体" w:hAnsi="宋体" w:cs="宋体"/>
                <w:szCs w:val="21"/>
              </w:rPr>
              <w:t>/</w:t>
            </w:r>
          </w:p>
        </w:tc>
      </w:tr>
    </w:tbl>
    <w:p>
      <w:pPr>
        <w:pStyle w:val="4"/>
        <w:keepNext w:val="0"/>
        <w:keepLines w:val="0"/>
        <w:jc w:val="center"/>
        <w:rPr>
          <w:rFonts w:ascii="黑体" w:hAnsi="黑体" w:eastAsia="黑体"/>
          <w:sz w:val="30"/>
          <w:szCs w:val="30"/>
        </w:rPr>
      </w:pPr>
      <w:bookmarkStart w:id="18" w:name="_Toc14891067"/>
    </w:p>
    <w:p>
      <w:pPr>
        <w:widowControl/>
        <w:jc w:val="left"/>
      </w:pPr>
      <w:r>
        <w:br w:type="page"/>
      </w:r>
    </w:p>
    <w:p>
      <w:pPr>
        <w:pStyle w:val="4"/>
        <w:keepNext w:val="0"/>
        <w:keepLines w:val="0"/>
        <w:jc w:val="center"/>
        <w:rPr>
          <w:rFonts w:ascii="宋体" w:hAnsi="宋体" w:cs="宋体"/>
          <w:sz w:val="32"/>
        </w:rPr>
      </w:pPr>
      <w:bookmarkStart w:id="19" w:name="_Toc26157"/>
      <w:bookmarkStart w:id="20" w:name="_Toc25260"/>
      <w:bookmarkStart w:id="21" w:name="_Toc16939"/>
      <w:bookmarkStart w:id="22" w:name="_Toc31558"/>
      <w:bookmarkStart w:id="23" w:name="_Toc30640"/>
      <w:bookmarkStart w:id="24" w:name="_Hlk71364110"/>
      <w:r>
        <w:rPr>
          <w:rFonts w:hint="eastAsia" w:ascii="宋体" w:hAnsi="宋体" w:cs="宋体"/>
          <w:sz w:val="32"/>
        </w:rPr>
        <w:t>谈判须知正文</w:t>
      </w:r>
      <w:bookmarkEnd w:id="18"/>
      <w:bookmarkEnd w:id="19"/>
      <w:bookmarkEnd w:id="20"/>
      <w:bookmarkEnd w:id="21"/>
      <w:bookmarkEnd w:id="22"/>
      <w:bookmarkEnd w:id="23"/>
    </w:p>
    <w:bookmarkEnd w:id="24"/>
    <w:p>
      <w:pPr>
        <w:pStyle w:val="4"/>
        <w:keepNext w:val="0"/>
        <w:keepLines w:val="0"/>
        <w:rPr>
          <w:rFonts w:ascii="宋体" w:hAnsi="宋体" w:cs="宋体"/>
          <w:sz w:val="21"/>
          <w:szCs w:val="21"/>
        </w:rPr>
      </w:pPr>
      <w:bookmarkStart w:id="25" w:name="_Toc11440"/>
      <w:bookmarkStart w:id="26" w:name="_Toc14891068"/>
      <w:bookmarkStart w:id="27" w:name="_Toc28753"/>
      <w:r>
        <w:rPr>
          <w:rFonts w:hint="eastAsia" w:ascii="宋体" w:hAnsi="宋体" w:cs="宋体"/>
          <w:sz w:val="21"/>
          <w:szCs w:val="21"/>
        </w:rPr>
        <w:t>一、说明</w:t>
      </w:r>
      <w:bookmarkEnd w:id="25"/>
      <w:bookmarkEnd w:id="26"/>
      <w:bookmarkEnd w:id="27"/>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1.</w:t>
      </w:r>
      <w:r>
        <w:rPr>
          <w:rFonts w:hint="eastAsia" w:ascii="宋体" w:hAnsi="宋体" w:cs="宋体"/>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2.本谈判文件的解释权属于长沙市轨道交通运营有限公司。</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3.定义</w:t>
      </w:r>
    </w:p>
    <w:p>
      <w:pPr>
        <w:adjustRightInd w:val="0"/>
        <w:snapToGrid w:val="0"/>
        <w:spacing w:line="360" w:lineRule="auto"/>
        <w:ind w:firstLine="420" w:firstLineChars="200"/>
        <w:rPr>
          <w:rFonts w:ascii="宋体" w:hAnsi="宋体" w:cs="宋体"/>
          <w:b/>
          <w:szCs w:val="21"/>
        </w:rPr>
      </w:pPr>
      <w:r>
        <w:rPr>
          <w:rFonts w:hint="eastAsia" w:ascii="宋体" w:hAnsi="宋体" w:cs="宋体"/>
          <w:szCs w:val="21"/>
        </w:rPr>
        <w:t>3.1“采购单位”是指依法进行采购的法人组织。本项目的采购单位名称见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3.2“谈判单位”是指响应本谈判文件要求、参加谈判的法人组织。</w:t>
      </w:r>
      <w:r>
        <w:rPr>
          <w:rFonts w:hint="eastAsia" w:ascii="宋体" w:hAnsi="宋体"/>
          <w:szCs w:val="21"/>
        </w:rPr>
        <w:t>参与本项目的谈判单位</w:t>
      </w:r>
      <w:r>
        <w:rPr>
          <w:rFonts w:hint="eastAsia" w:hAnsi="宋体"/>
        </w:rPr>
        <w:t>应按</w:t>
      </w:r>
      <w:r>
        <w:rPr>
          <w:rFonts w:hint="eastAsia" w:hAnsi="宋体"/>
          <w:b/>
        </w:rPr>
        <w:t>前附表</w:t>
      </w:r>
      <w:r>
        <w:rPr>
          <w:rFonts w:hint="eastAsia" w:hAnsi="宋体"/>
        </w:rPr>
        <w:t>规定的要求获取谈判文件。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3.3“采购代理机构”是指接受采购单位委托，代理采购项目的机构。本采购项目的采购代理机构名称见</w:t>
      </w:r>
      <w:r>
        <w:rPr>
          <w:rFonts w:hint="eastAsia" w:ascii="宋体" w:hAnsi="宋体" w:cs="宋体"/>
          <w:b/>
          <w:bCs/>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3.4“谈判</w:t>
      </w:r>
      <w:r>
        <w:rPr>
          <w:rFonts w:hint="eastAsia" w:ascii="宋体" w:hAnsi="宋体" w:cs="宋体"/>
          <w:bCs/>
          <w:szCs w:val="21"/>
        </w:rPr>
        <w:t>评审</w:t>
      </w:r>
      <w:r>
        <w:rPr>
          <w:rFonts w:hint="eastAsia" w:ascii="宋体" w:hAnsi="宋体" w:cs="宋体"/>
          <w:szCs w:val="21"/>
        </w:rPr>
        <w:t>小组”是指采购单位按其规定组建，依法依规履行其职责和义务的机构。</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4.谈判单位资格要求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4.1参与谈判的单位应当符合</w:t>
      </w:r>
      <w:r>
        <w:rPr>
          <w:rFonts w:hint="eastAsia" w:ascii="宋体" w:hAnsi="宋体" w:cs="宋体"/>
          <w:b/>
          <w:szCs w:val="21"/>
        </w:rPr>
        <w:t>前附表</w:t>
      </w:r>
      <w:r>
        <w:rPr>
          <w:rFonts w:hint="eastAsia" w:ascii="宋体" w:hAnsi="宋体" w:cs="宋体"/>
          <w:szCs w:val="21"/>
        </w:rPr>
        <w:t>中规定的资格要求；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4.2参与谈判的单位存在下列情形之一的，其</w:t>
      </w:r>
      <w:r>
        <w:rPr>
          <w:rFonts w:hint="eastAsia" w:ascii="宋体" w:hAnsi="宋体" w:cs="宋体"/>
          <w:bCs/>
          <w:szCs w:val="21"/>
        </w:rPr>
        <w:t>谈判</w:t>
      </w:r>
      <w:r>
        <w:rPr>
          <w:rFonts w:hint="eastAsia" w:ascii="宋体" w:hAnsi="宋体" w:cs="宋体"/>
          <w:szCs w:val="21"/>
        </w:rPr>
        <w:t>将被</w:t>
      </w:r>
      <w:r>
        <w:rPr>
          <w:rFonts w:hint="eastAsia" w:ascii="宋体" w:hAnsi="宋体" w:cs="宋体"/>
          <w:b/>
          <w:bCs/>
          <w:szCs w:val="21"/>
        </w:rPr>
        <w:t>否决</w:t>
      </w:r>
      <w:r>
        <w:rPr>
          <w:rFonts w:hint="eastAsia" w:ascii="宋体" w:hAnsi="宋体" w:cs="宋体"/>
          <w:szCs w:val="21"/>
        </w:rPr>
        <w:t>：</w:t>
      </w:r>
    </w:p>
    <w:p>
      <w:pPr>
        <w:pStyle w:val="357"/>
        <w:ind w:firstLine="420" w:firstLineChars="200"/>
        <w:jc w:val="both"/>
        <w:rPr>
          <w:rFonts w:hAnsi="宋体" w:cs="宋体"/>
          <w:sz w:val="21"/>
          <w:szCs w:val="21"/>
        </w:rPr>
      </w:pPr>
      <w:r>
        <w:rPr>
          <w:rFonts w:hint="eastAsia" w:hAnsi="宋体" w:cs="宋体"/>
          <w:sz w:val="21"/>
          <w:szCs w:val="21"/>
        </w:rPr>
        <w:t>（1）与采购单位（或本项目采购代理机构）存在利害关系且可能影响采购公正性；</w:t>
      </w:r>
    </w:p>
    <w:p>
      <w:pPr>
        <w:pStyle w:val="357"/>
        <w:ind w:firstLine="420" w:firstLineChars="200"/>
        <w:jc w:val="both"/>
        <w:rPr>
          <w:rFonts w:hAnsi="宋体" w:cs="宋体"/>
          <w:sz w:val="21"/>
          <w:szCs w:val="21"/>
        </w:rPr>
      </w:pPr>
      <w:r>
        <w:rPr>
          <w:rFonts w:hint="eastAsia" w:hAnsi="宋体" w:cs="宋体"/>
          <w:sz w:val="21"/>
          <w:szCs w:val="21"/>
        </w:rPr>
        <w:t>（2）谈判单位法定代表人或负责人与其他谈判单位法定代表人或负责人为同一人；</w:t>
      </w:r>
    </w:p>
    <w:p>
      <w:pPr>
        <w:pStyle w:val="357"/>
        <w:ind w:firstLine="420" w:firstLineChars="200"/>
        <w:jc w:val="both"/>
        <w:rPr>
          <w:rFonts w:hAnsi="宋体" w:cs="宋体"/>
          <w:sz w:val="21"/>
          <w:szCs w:val="21"/>
        </w:rPr>
      </w:pPr>
      <w:r>
        <w:rPr>
          <w:rFonts w:hint="eastAsia" w:hAnsi="宋体" w:cs="宋体"/>
          <w:sz w:val="21"/>
          <w:szCs w:val="21"/>
        </w:rPr>
        <w:t>（3）与本采购项目的其他谈判单位存在控股、管理关系；</w:t>
      </w:r>
    </w:p>
    <w:p>
      <w:pPr>
        <w:pStyle w:val="357"/>
        <w:ind w:firstLine="420" w:firstLineChars="200"/>
        <w:jc w:val="both"/>
        <w:rPr>
          <w:rFonts w:hAnsi="宋体" w:cs="宋体"/>
          <w:sz w:val="21"/>
          <w:szCs w:val="21"/>
        </w:rPr>
      </w:pPr>
      <w:r>
        <w:rPr>
          <w:rFonts w:hint="eastAsia" w:hAnsi="宋体" w:cs="宋体"/>
          <w:sz w:val="21"/>
          <w:szCs w:val="21"/>
        </w:rPr>
        <w:t>（4）被责令停产停业、暂扣或者吊销许可证、暂扣或者吊销执照；</w:t>
      </w:r>
    </w:p>
    <w:p>
      <w:pPr>
        <w:pStyle w:val="357"/>
        <w:ind w:firstLine="420" w:firstLineChars="200"/>
        <w:jc w:val="both"/>
        <w:rPr>
          <w:rFonts w:hAnsi="宋体" w:cs="宋体"/>
          <w:sz w:val="21"/>
          <w:szCs w:val="21"/>
        </w:rPr>
      </w:pPr>
      <w:r>
        <w:rPr>
          <w:rFonts w:hint="eastAsia" w:hAnsi="宋体" w:cs="宋体"/>
          <w:sz w:val="21"/>
          <w:szCs w:val="21"/>
        </w:rPr>
        <w:t>（5）进入破产、清算、注销程序，或存在其他可能丧失履约能力的情形；</w:t>
      </w:r>
    </w:p>
    <w:p>
      <w:pPr>
        <w:pStyle w:val="357"/>
        <w:ind w:firstLine="420" w:firstLineChars="200"/>
        <w:jc w:val="both"/>
        <w:rPr>
          <w:rFonts w:hAnsi="宋体" w:cs="宋体"/>
          <w:sz w:val="21"/>
          <w:szCs w:val="21"/>
        </w:rPr>
      </w:pPr>
      <w:r>
        <w:rPr>
          <w:rFonts w:hint="eastAsia" w:hAnsi="宋体" w:cs="宋体"/>
          <w:sz w:val="21"/>
          <w:szCs w:val="21"/>
        </w:rPr>
        <w:t>（6）在国家企业信用信息公示系统中显示已被列入严重违法失信企业名单；</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（7）在“信用中国”网站（www.creditchina.gov.cn）或“信用湖南”网站（www.credithunan.gov.cn）中显示已被列入失信被执行人名单。</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（8）不同谈判单位的谈判保证金从同一账户转出的情形。</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5.参与谈判的费用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宋体" w:hAnsi="宋体" w:cs="宋体"/>
          <w:szCs w:val="21"/>
        </w:rPr>
      </w:pPr>
      <w:r>
        <w:rPr>
          <w:rFonts w:hint="eastAsia" w:ascii="宋体" w:hAnsi="宋体" w:cs="宋体"/>
          <w:szCs w:val="21"/>
        </w:rPr>
        <w:t>5.2采购代理服务费由中选单位全额承担。本项目采购代理服务费以中选价为基数，按谈判须知</w:t>
      </w:r>
      <w:r>
        <w:rPr>
          <w:rFonts w:hint="eastAsia" w:ascii="宋体" w:hAnsi="宋体" w:cs="宋体"/>
          <w:b/>
          <w:bCs/>
          <w:szCs w:val="21"/>
        </w:rPr>
        <w:t>《采购代理服务费收费标准》（详见本须知附件）</w:t>
      </w:r>
      <w:r>
        <w:rPr>
          <w:rFonts w:hint="eastAsia" w:ascii="宋体" w:hAnsi="宋体" w:cs="宋体"/>
          <w:szCs w:val="21"/>
        </w:rPr>
        <w:t>向中选单位收取。</w:t>
      </w:r>
    </w:p>
    <w:p>
      <w:pPr>
        <w:pStyle w:val="25"/>
        <w:adjustRightInd w:val="0"/>
        <w:snapToGrid w:val="0"/>
        <w:spacing w:line="360" w:lineRule="auto"/>
        <w:ind w:firstLine="422" w:firstLineChars="200"/>
        <w:rPr>
          <w:rFonts w:hAnsi="宋体" w:cs="宋体"/>
          <w:b/>
          <w:bCs/>
        </w:rPr>
      </w:pPr>
      <w:r>
        <w:rPr>
          <w:rFonts w:hint="eastAsia" w:hAnsi="宋体" w:cs="宋体"/>
          <w:b/>
        </w:rPr>
        <w:t>6．</w:t>
      </w:r>
      <w:r>
        <w:rPr>
          <w:rFonts w:hint="eastAsia" w:hAnsi="宋体"/>
          <w:b/>
          <w:bCs/>
        </w:rPr>
        <w:t>谈判现场验证资料</w:t>
      </w:r>
    </w:p>
    <w:p>
      <w:pPr>
        <w:pStyle w:val="25"/>
        <w:adjustRightInd w:val="0"/>
        <w:snapToGrid w:val="0"/>
        <w:spacing w:line="360" w:lineRule="auto"/>
        <w:ind w:firstLine="420" w:firstLineChars="200"/>
        <w:rPr>
          <w:rFonts w:hAnsi="宋体" w:cs="宋体"/>
        </w:rPr>
      </w:pPr>
      <w:r>
        <w:rPr>
          <w:rFonts w:hint="eastAsia" w:hAnsi="宋体" w:cs="宋体"/>
        </w:rPr>
        <w:t>6.1谈判单位代表为谈判单位法定代表人的：应提供法定代表人身份证明书</w:t>
      </w:r>
      <w:r>
        <w:rPr>
          <w:rFonts w:hint="eastAsia" w:hAnsi="宋体" w:cs="宋体"/>
          <w:b/>
          <w:bCs/>
        </w:rPr>
        <w:t>（见</w:t>
      </w:r>
      <w:r>
        <w:rPr>
          <w:rFonts w:hint="eastAsia" w:hAnsi="宋体" w:cs="宋体"/>
          <w:b/>
          <w:bCs/>
          <w:iCs/>
        </w:rPr>
        <w:t>第七章</w:t>
      </w:r>
      <w:r>
        <w:rPr>
          <w:rFonts w:hint="eastAsia" w:hAnsi="宋体" w:cs="宋体"/>
          <w:b/>
          <w:bCs/>
        </w:rPr>
        <w:t>响应文件格式）</w:t>
      </w:r>
      <w:r>
        <w:rPr>
          <w:rFonts w:hint="eastAsia" w:hAnsi="宋体" w:cs="宋体"/>
        </w:rPr>
        <w:t>原件及本人身份证原件。</w:t>
      </w:r>
    </w:p>
    <w:p>
      <w:pPr>
        <w:pStyle w:val="25"/>
        <w:adjustRightInd w:val="0"/>
        <w:snapToGrid w:val="0"/>
        <w:spacing w:line="360" w:lineRule="auto"/>
        <w:ind w:firstLine="420" w:firstLineChars="200"/>
        <w:rPr>
          <w:rFonts w:hAnsi="宋体" w:cs="宋体"/>
          <w:b/>
          <w:strike/>
        </w:rPr>
      </w:pPr>
      <w:r>
        <w:rPr>
          <w:rFonts w:hint="eastAsia" w:hAnsi="宋体" w:cs="宋体"/>
        </w:rPr>
        <w:t>6.2谈判单位代表不是谈判单位法定代表人的：应提供授权委托书</w:t>
      </w:r>
      <w:r>
        <w:rPr>
          <w:rFonts w:hint="eastAsia" w:hAnsi="宋体" w:cs="宋体"/>
          <w:b/>
          <w:bCs/>
        </w:rPr>
        <w:t>（见</w:t>
      </w:r>
      <w:r>
        <w:rPr>
          <w:rFonts w:hint="eastAsia" w:hAnsi="宋体" w:cs="宋体"/>
          <w:b/>
          <w:bCs/>
          <w:iCs/>
        </w:rPr>
        <w:t>第七章</w:t>
      </w:r>
      <w:r>
        <w:rPr>
          <w:rFonts w:hint="eastAsia" w:hAnsi="宋体" w:cs="宋体"/>
          <w:b/>
          <w:bCs/>
        </w:rPr>
        <w:t>响应文件格式）</w:t>
      </w:r>
      <w:r>
        <w:rPr>
          <w:rFonts w:hint="eastAsia" w:hAnsi="宋体" w:cs="宋体"/>
        </w:rPr>
        <w:t>原件及本人身份证原件。</w:t>
      </w:r>
    </w:p>
    <w:p>
      <w:pPr>
        <w:pStyle w:val="4"/>
        <w:keepNext w:val="0"/>
        <w:keepLines w:val="0"/>
        <w:rPr>
          <w:rFonts w:ascii="宋体" w:hAnsi="宋体" w:cs="宋体"/>
          <w:sz w:val="21"/>
          <w:szCs w:val="21"/>
        </w:rPr>
      </w:pPr>
      <w:bookmarkStart w:id="28" w:name="_Toc14891069"/>
      <w:bookmarkStart w:id="29" w:name="_Toc323"/>
      <w:bookmarkStart w:id="30" w:name="_Toc303"/>
      <w:r>
        <w:rPr>
          <w:rFonts w:hint="eastAsia" w:ascii="宋体" w:hAnsi="宋体" w:cs="宋体"/>
          <w:sz w:val="21"/>
          <w:szCs w:val="21"/>
        </w:rPr>
        <w:t>二、谈判文件</w:t>
      </w:r>
      <w:bookmarkEnd w:id="28"/>
      <w:bookmarkEnd w:id="29"/>
      <w:bookmarkEnd w:id="30"/>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7．谈判文件的组成</w:t>
      </w:r>
    </w:p>
    <w:p>
      <w:pPr>
        <w:pStyle w:val="25"/>
        <w:adjustRightInd w:val="0"/>
        <w:snapToGrid w:val="0"/>
        <w:spacing w:line="360" w:lineRule="auto"/>
        <w:ind w:firstLine="420" w:firstLineChars="200"/>
        <w:rPr>
          <w:rFonts w:hAnsi="宋体" w:cs="宋体"/>
        </w:rPr>
      </w:pPr>
      <w:r>
        <w:rPr>
          <w:rFonts w:hint="eastAsia" w:hAnsi="宋体" w:cs="宋体"/>
        </w:rPr>
        <w:t>7.1谈判文件由下列文件组成：</w:t>
      </w:r>
    </w:p>
    <w:p>
      <w:pPr>
        <w:pStyle w:val="25"/>
        <w:adjustRightInd w:val="0"/>
        <w:snapToGrid w:val="0"/>
        <w:spacing w:line="360" w:lineRule="auto"/>
        <w:ind w:firstLine="420" w:firstLineChars="200"/>
        <w:rPr>
          <w:rFonts w:hAnsi="宋体" w:cs="宋体"/>
        </w:rPr>
      </w:pPr>
      <w:r>
        <w:rPr>
          <w:rFonts w:hint="eastAsia" w:hAnsi="宋体" w:cs="宋体"/>
        </w:rPr>
        <w:t>第一章 谈判邀请公告</w:t>
      </w:r>
    </w:p>
    <w:p>
      <w:pPr>
        <w:pStyle w:val="25"/>
        <w:adjustRightInd w:val="0"/>
        <w:snapToGrid w:val="0"/>
        <w:spacing w:line="360" w:lineRule="auto"/>
        <w:ind w:firstLine="420" w:firstLineChars="200"/>
        <w:rPr>
          <w:rFonts w:hAnsi="宋体" w:cs="宋体"/>
        </w:rPr>
      </w:pPr>
      <w:r>
        <w:rPr>
          <w:rFonts w:hint="eastAsia" w:hAnsi="宋体" w:cs="宋体"/>
        </w:rPr>
        <w:t>第二章 谈判须知</w:t>
      </w:r>
    </w:p>
    <w:p>
      <w:pPr>
        <w:pStyle w:val="25"/>
        <w:adjustRightInd w:val="0"/>
        <w:snapToGrid w:val="0"/>
        <w:spacing w:line="360" w:lineRule="auto"/>
        <w:ind w:firstLine="420" w:firstLineChars="200"/>
        <w:rPr>
          <w:rFonts w:hAnsi="宋体" w:cs="宋体"/>
        </w:rPr>
      </w:pPr>
      <w:r>
        <w:rPr>
          <w:rFonts w:hint="eastAsia" w:hAnsi="宋体" w:cs="宋体"/>
        </w:rPr>
        <w:t>第三章 评审办法及标准</w:t>
      </w:r>
    </w:p>
    <w:p>
      <w:pPr>
        <w:pStyle w:val="25"/>
        <w:adjustRightInd w:val="0"/>
        <w:snapToGrid w:val="0"/>
        <w:spacing w:line="360" w:lineRule="auto"/>
        <w:ind w:firstLine="420" w:firstLineChars="200"/>
        <w:rPr>
          <w:rFonts w:hAnsi="宋体" w:cs="宋体"/>
        </w:rPr>
      </w:pPr>
      <w:r>
        <w:rPr>
          <w:rFonts w:hint="eastAsia" w:hAnsi="宋体" w:cs="宋体"/>
        </w:rPr>
        <w:t>第四章 用户需求书（另册）</w:t>
      </w:r>
    </w:p>
    <w:p>
      <w:pPr>
        <w:pStyle w:val="25"/>
        <w:adjustRightInd w:val="0"/>
        <w:snapToGrid w:val="0"/>
        <w:spacing w:line="360" w:lineRule="auto"/>
        <w:ind w:firstLine="420" w:firstLineChars="200"/>
        <w:rPr>
          <w:rFonts w:hAnsi="宋体" w:cs="宋体"/>
        </w:rPr>
      </w:pPr>
      <w:r>
        <w:rPr>
          <w:rFonts w:hint="eastAsia" w:hAnsi="宋体" w:cs="宋体"/>
        </w:rPr>
        <w:t>第五章 最高限价</w:t>
      </w:r>
    </w:p>
    <w:p>
      <w:pPr>
        <w:pStyle w:val="25"/>
        <w:adjustRightInd w:val="0"/>
        <w:snapToGrid w:val="0"/>
        <w:spacing w:line="360" w:lineRule="auto"/>
        <w:ind w:firstLine="420" w:firstLineChars="200"/>
        <w:rPr>
          <w:rFonts w:hAnsi="宋体" w:cs="宋体"/>
        </w:rPr>
      </w:pPr>
      <w:r>
        <w:rPr>
          <w:rFonts w:hint="eastAsia" w:hAnsi="宋体" w:cs="宋体"/>
        </w:rPr>
        <w:t>第六章 合同格式条款</w:t>
      </w:r>
    </w:p>
    <w:p>
      <w:pPr>
        <w:pStyle w:val="25"/>
        <w:adjustRightInd w:val="0"/>
        <w:snapToGrid w:val="0"/>
        <w:spacing w:line="360" w:lineRule="auto"/>
        <w:ind w:firstLine="420" w:firstLineChars="200"/>
        <w:rPr>
          <w:rFonts w:hAnsi="宋体" w:cs="宋体"/>
        </w:rPr>
      </w:pPr>
      <w:r>
        <w:rPr>
          <w:rFonts w:hint="eastAsia" w:hAnsi="宋体" w:cs="宋体"/>
        </w:rPr>
        <w:t>第七章 响应文件组成</w:t>
      </w:r>
    </w:p>
    <w:p>
      <w:pPr>
        <w:pStyle w:val="25"/>
        <w:adjustRightInd w:val="0"/>
        <w:snapToGrid w:val="0"/>
        <w:spacing w:line="360" w:lineRule="auto"/>
        <w:ind w:firstLine="420" w:firstLineChars="200"/>
        <w:rPr>
          <w:rFonts w:hAnsi="宋体" w:cs="宋体"/>
        </w:rPr>
      </w:pPr>
      <w:r>
        <w:rPr>
          <w:rFonts w:hint="eastAsia" w:hAnsi="宋体" w:cs="宋体"/>
        </w:rPr>
        <w:t>7.2</w:t>
      </w:r>
      <w:r>
        <w:rPr>
          <w:rFonts w:hint="eastAsia" w:hAnsi="宋体" w:cs="宋体"/>
          <w:kern w:val="0"/>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7.3谈判单位应仔细阅读</w:t>
      </w:r>
      <w:r>
        <w:rPr>
          <w:rFonts w:hint="eastAsia" w:ascii="宋体" w:hAnsi="宋体" w:cs="宋体"/>
          <w:bCs/>
          <w:szCs w:val="21"/>
        </w:rPr>
        <w:t>谈判</w:t>
      </w:r>
      <w:r>
        <w:rPr>
          <w:rFonts w:hint="eastAsia" w:ascii="宋体" w:hAnsi="宋体" w:cs="宋体"/>
          <w:szCs w:val="21"/>
        </w:rPr>
        <w:t>文件的全部内容，按照</w:t>
      </w:r>
      <w:r>
        <w:rPr>
          <w:rFonts w:hint="eastAsia" w:ascii="宋体" w:hAnsi="宋体" w:cs="宋体"/>
          <w:bCs/>
          <w:szCs w:val="21"/>
        </w:rPr>
        <w:t>谈判</w:t>
      </w:r>
      <w:r>
        <w:rPr>
          <w:rFonts w:hint="eastAsia" w:ascii="宋体" w:hAnsi="宋体" w:cs="宋体"/>
          <w:szCs w:val="21"/>
        </w:rPr>
        <w:t>文件要求编制响应文件。任何对</w:t>
      </w:r>
      <w:r>
        <w:rPr>
          <w:rFonts w:hint="eastAsia" w:ascii="宋体" w:hAnsi="宋体" w:cs="宋体"/>
          <w:bCs/>
          <w:szCs w:val="21"/>
        </w:rPr>
        <w:t>谈判</w:t>
      </w:r>
      <w:r>
        <w:rPr>
          <w:rFonts w:hint="eastAsia" w:ascii="宋体" w:hAnsi="宋体" w:cs="宋体"/>
          <w:szCs w:val="21"/>
        </w:rPr>
        <w:t>文件的忽略或误解不能作为响应文件存在缺陷或瑕疵的理由，其风险由谈判单位承担。</w:t>
      </w:r>
    </w:p>
    <w:p>
      <w:pPr>
        <w:adjustRightInd w:val="0"/>
        <w:snapToGrid w:val="0"/>
        <w:spacing w:line="360" w:lineRule="auto"/>
        <w:ind w:firstLine="422" w:firstLineChars="200"/>
        <w:rPr>
          <w:rFonts w:ascii="宋体" w:hAnsi="宋体" w:cs="宋体"/>
          <w:b/>
          <w:kern w:val="0"/>
          <w:szCs w:val="21"/>
        </w:rPr>
      </w:pPr>
      <w:r>
        <w:rPr>
          <w:rFonts w:hint="eastAsia" w:ascii="宋体" w:hAnsi="宋体" w:cs="宋体"/>
          <w:b/>
          <w:bCs/>
          <w:szCs w:val="21"/>
        </w:rPr>
        <w:t>8.</w:t>
      </w:r>
      <w:r>
        <w:rPr>
          <w:rFonts w:hint="eastAsia" w:ascii="宋体" w:hAnsi="宋体" w:cs="宋体"/>
          <w:b/>
          <w:kern w:val="0"/>
          <w:szCs w:val="21"/>
        </w:rPr>
        <w:t>谈判文件的澄清及答疑</w:t>
      </w:r>
    </w:p>
    <w:p>
      <w:pPr>
        <w:spacing w:line="360" w:lineRule="auto"/>
        <w:ind w:firstLine="420" w:firstLineChars="200"/>
        <w:rPr>
          <w:rFonts w:ascii="宋体" w:hAnsi="宋体" w:cs="宋体"/>
          <w:iCs/>
          <w:szCs w:val="21"/>
        </w:rPr>
      </w:pPr>
      <w:r>
        <w:rPr>
          <w:rFonts w:hint="eastAsia" w:ascii="宋体" w:hAnsi="宋体" w:cs="宋体"/>
          <w:iCs/>
          <w:szCs w:val="21"/>
        </w:rPr>
        <w:t>8.1.谈判单位应仔细阅读和检查谈判文件的全部内容，如有疑问，</w:t>
      </w:r>
      <w:r>
        <w:rPr>
          <w:rFonts w:hint="eastAsia" w:ascii="宋体" w:hAnsi="宋体" w:cs="宋体"/>
          <w:szCs w:val="21"/>
        </w:rPr>
        <w:t>应按</w:t>
      </w:r>
      <w:r>
        <w:rPr>
          <w:rFonts w:hint="eastAsia" w:ascii="宋体" w:hAnsi="宋体" w:cs="宋体"/>
          <w:b/>
          <w:bCs/>
          <w:szCs w:val="21"/>
        </w:rPr>
        <w:t>前附表</w:t>
      </w:r>
      <w:r>
        <w:rPr>
          <w:rFonts w:hint="eastAsia" w:ascii="宋体" w:hAnsi="宋体" w:cs="宋体"/>
          <w:szCs w:val="21"/>
        </w:rPr>
        <w:t>规定的时间、方式及地点</w:t>
      </w:r>
      <w:r>
        <w:rPr>
          <w:rFonts w:hint="eastAsia" w:ascii="宋体" w:hAnsi="宋体" w:cs="宋体"/>
          <w:iCs/>
          <w:szCs w:val="21"/>
        </w:rPr>
        <w:t>向采购代理机构提出，</w:t>
      </w:r>
      <w:r>
        <w:rPr>
          <w:rFonts w:hint="eastAsia" w:ascii="宋体" w:hAnsi="宋体" w:cs="宋体"/>
          <w:szCs w:val="21"/>
        </w:rPr>
        <w:t>否则，由此引起的损失由谈判单位自己承担。</w:t>
      </w:r>
    </w:p>
    <w:p>
      <w:pPr>
        <w:spacing w:line="360" w:lineRule="auto"/>
        <w:ind w:firstLine="420" w:firstLineChars="200"/>
        <w:rPr>
          <w:rFonts w:ascii="宋体" w:hAnsi="宋体" w:cs="宋体"/>
          <w:iCs/>
          <w:szCs w:val="21"/>
        </w:rPr>
      </w:pPr>
      <w:r>
        <w:rPr>
          <w:rFonts w:hint="eastAsia" w:ascii="宋体" w:hAnsi="宋体" w:cs="宋体"/>
          <w:iCs/>
          <w:szCs w:val="21"/>
        </w:rPr>
        <w:t>8.2.在谈判截止时间前，采购单位或采购代理机构可主动地或在解答谈判单位提出的问题时对谈判文件进行澄清或修改。</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8.3</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采购代理机构不负任何责任。</w:t>
      </w:r>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9.</w:t>
      </w:r>
      <w:r>
        <w:rPr>
          <w:rFonts w:hint="eastAsia" w:ascii="宋体" w:hAnsi="宋体" w:cs="宋体"/>
          <w:b/>
          <w:kern w:val="0"/>
          <w:szCs w:val="21"/>
        </w:rPr>
        <w:t>响应文件递交截止时间、谈判会议时间及地点</w:t>
      </w:r>
    </w:p>
    <w:p>
      <w:pPr>
        <w:pStyle w:val="25"/>
        <w:adjustRightInd w:val="0"/>
        <w:snapToGrid w:val="0"/>
        <w:spacing w:line="360" w:lineRule="auto"/>
        <w:ind w:firstLine="420" w:firstLineChars="200"/>
        <w:rPr>
          <w:rFonts w:hAnsi="宋体" w:cs="宋体"/>
        </w:rPr>
      </w:pPr>
      <w:r>
        <w:rPr>
          <w:rFonts w:hint="eastAsia" w:hAnsi="宋体" w:cs="宋体"/>
        </w:rPr>
        <w:t>9.1谈判单位递交响应文件截止时间、谈判会议时间及地点见</w:t>
      </w:r>
      <w:r>
        <w:rPr>
          <w:rFonts w:hint="eastAsia" w:hAnsi="宋体" w:cs="宋体"/>
          <w:b/>
          <w:bCs/>
        </w:rPr>
        <w:t>前附表</w:t>
      </w:r>
      <w:r>
        <w:rPr>
          <w:rFonts w:hint="eastAsia" w:hAnsi="宋体" w:cs="宋体"/>
        </w:rPr>
        <w:t>。</w:t>
      </w:r>
    </w:p>
    <w:p>
      <w:pPr>
        <w:pStyle w:val="4"/>
        <w:keepNext w:val="0"/>
        <w:keepLines w:val="0"/>
        <w:rPr>
          <w:rFonts w:ascii="宋体" w:hAnsi="宋体" w:cs="宋体"/>
          <w:sz w:val="21"/>
          <w:szCs w:val="21"/>
        </w:rPr>
      </w:pPr>
      <w:bookmarkStart w:id="31" w:name="_Toc14891070"/>
      <w:bookmarkStart w:id="32" w:name="_Toc23101"/>
      <w:bookmarkStart w:id="33" w:name="_Toc9387"/>
      <w:r>
        <w:rPr>
          <w:rFonts w:hint="eastAsia" w:ascii="宋体" w:hAnsi="宋体" w:cs="宋体"/>
          <w:sz w:val="21"/>
          <w:szCs w:val="21"/>
        </w:rPr>
        <w:t>三、响应文件</w:t>
      </w:r>
      <w:bookmarkEnd w:id="31"/>
      <w:bookmarkEnd w:id="32"/>
      <w:bookmarkEnd w:id="33"/>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10.一般要求</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10.1</w:t>
      </w:r>
      <w:bookmarkStart w:id="34" w:name="_Hlk68706641"/>
      <w:r>
        <w:rPr>
          <w:rFonts w:hint="eastAsia" w:ascii="宋体" w:hAnsi="宋体" w:cs="宋体"/>
          <w:bCs/>
          <w:szCs w:val="21"/>
        </w:rPr>
        <w:t>谈判单位应仔细阅读谈判文件的所有内容，按谈判文件的要求编制响应文件，</w:t>
      </w:r>
      <w:r>
        <w:rPr>
          <w:rFonts w:hint="eastAsia" w:ascii="宋体" w:hAnsi="宋体" w:cs="宋体"/>
          <w:b/>
          <w:szCs w:val="21"/>
        </w:rPr>
        <w:t>严禁复制、粘贴，</w:t>
      </w:r>
      <w:r>
        <w:rPr>
          <w:rFonts w:hint="eastAsia" w:ascii="宋体" w:hAnsi="宋体" w:cs="宋体"/>
          <w:bCs/>
          <w:szCs w:val="21"/>
        </w:rPr>
        <w:t>并保证所提供的全部资料的真实性。</w:t>
      </w:r>
      <w:bookmarkEnd w:id="34"/>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10.2</w:t>
      </w:r>
      <w:r>
        <w:rPr>
          <w:rFonts w:hint="eastAsia" w:ascii="宋体" w:hAnsi="宋体" w:cs="宋体"/>
          <w:szCs w:val="21"/>
        </w:rPr>
        <w:t>谈判单位提交的响应文件、谈判单位与采购单位及采购代理机构的所有来往函电均使用中文。</w:t>
      </w:r>
    </w:p>
    <w:p>
      <w:pPr>
        <w:pStyle w:val="25"/>
        <w:adjustRightInd w:val="0"/>
        <w:snapToGrid w:val="0"/>
        <w:spacing w:line="360" w:lineRule="auto"/>
        <w:ind w:firstLine="420" w:firstLineChars="200"/>
        <w:rPr>
          <w:rFonts w:hAnsi="宋体" w:cs="宋体"/>
        </w:rPr>
      </w:pPr>
      <w:r>
        <w:rPr>
          <w:rFonts w:hint="eastAsia" w:hAnsi="宋体" w:cs="宋体"/>
          <w:bCs/>
        </w:rPr>
        <w:t>10.3</w:t>
      </w:r>
      <w:r>
        <w:rPr>
          <w:rFonts w:hint="eastAsia" w:hAnsi="宋体" w:cs="宋体"/>
        </w:rPr>
        <w:t>计量单位应使用我国法定计量单位，未列明时应默认为我国法定计量单位。</w:t>
      </w:r>
    </w:p>
    <w:p>
      <w:pPr>
        <w:pStyle w:val="25"/>
        <w:adjustRightInd w:val="0"/>
        <w:snapToGrid w:val="0"/>
        <w:spacing w:line="360" w:lineRule="auto"/>
        <w:ind w:firstLine="420" w:firstLineChars="200"/>
        <w:rPr>
          <w:rFonts w:hAnsi="宋体" w:cs="宋体"/>
        </w:rPr>
      </w:pPr>
      <w:r>
        <w:rPr>
          <w:rFonts w:hint="eastAsia" w:hAnsi="宋体" w:cs="宋体"/>
        </w:rPr>
        <w:t>10.4响应文件应采用书面形式，电报、传真、电子邮件形式的响应文件概不接受。</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10.5谈判单位提交的响应文件应按谈判文件中提供的响应文件格式编制。</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11.</w:t>
      </w:r>
      <w:r>
        <w:rPr>
          <w:rFonts w:hint="eastAsia" w:ascii="宋体" w:hAnsi="宋体" w:cs="宋体"/>
          <w:b/>
          <w:szCs w:val="21"/>
        </w:rPr>
        <w:t>响应文件</w:t>
      </w:r>
      <w:r>
        <w:rPr>
          <w:rFonts w:hint="eastAsia" w:ascii="宋体" w:hAnsi="宋体" w:cs="宋体"/>
          <w:b/>
          <w:bCs/>
          <w:szCs w:val="21"/>
        </w:rPr>
        <w:t>的组成</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11.1响应文件应包括下列内容：</w:t>
      </w:r>
    </w:p>
    <w:p>
      <w:pPr>
        <w:pStyle w:val="25"/>
        <w:adjustRightInd w:val="0"/>
        <w:snapToGrid w:val="0"/>
        <w:spacing w:line="360" w:lineRule="auto"/>
        <w:ind w:firstLine="420" w:firstLineChars="200"/>
        <w:rPr>
          <w:rFonts w:hAnsi="宋体" w:cs="宋体"/>
        </w:rPr>
      </w:pPr>
      <w:r>
        <w:rPr>
          <w:rFonts w:hint="eastAsia" w:hAnsi="宋体" w:cs="宋体"/>
        </w:rPr>
        <w:t>（1）谈判承诺书</w:t>
      </w:r>
    </w:p>
    <w:p>
      <w:pPr>
        <w:pStyle w:val="25"/>
        <w:adjustRightInd w:val="0"/>
        <w:snapToGrid w:val="0"/>
        <w:spacing w:line="360" w:lineRule="auto"/>
        <w:ind w:firstLine="420" w:firstLineChars="200"/>
        <w:rPr>
          <w:rFonts w:hAnsi="宋体" w:cs="宋体"/>
        </w:rPr>
      </w:pPr>
      <w:r>
        <w:rPr>
          <w:rFonts w:hint="eastAsia" w:hAnsi="宋体" w:cs="宋体"/>
        </w:rPr>
        <w:t>（2）法定代表人身份证明书</w:t>
      </w:r>
    </w:p>
    <w:p>
      <w:pPr>
        <w:pStyle w:val="25"/>
        <w:adjustRightInd w:val="0"/>
        <w:snapToGrid w:val="0"/>
        <w:spacing w:line="360" w:lineRule="auto"/>
        <w:ind w:firstLine="420" w:firstLineChars="200"/>
        <w:rPr>
          <w:rFonts w:hAnsi="宋体" w:cs="宋体"/>
        </w:rPr>
      </w:pPr>
      <w:r>
        <w:rPr>
          <w:rFonts w:hint="eastAsia" w:hAnsi="宋体" w:cs="宋体"/>
        </w:rPr>
        <w:t>（3）授权委托书</w:t>
      </w:r>
    </w:p>
    <w:p>
      <w:pPr>
        <w:pStyle w:val="25"/>
        <w:adjustRightInd w:val="0"/>
        <w:snapToGrid w:val="0"/>
        <w:spacing w:line="360" w:lineRule="auto"/>
        <w:ind w:firstLine="420" w:firstLineChars="200"/>
        <w:rPr>
          <w:rFonts w:hAnsi="宋体" w:cs="宋体"/>
        </w:rPr>
      </w:pPr>
      <w:r>
        <w:rPr>
          <w:rFonts w:hint="eastAsia" w:hAnsi="宋体" w:cs="宋体"/>
        </w:rPr>
        <w:t>（4）谈判单位资格条件证明文件</w:t>
      </w:r>
    </w:p>
    <w:p>
      <w:pPr>
        <w:pStyle w:val="25"/>
        <w:adjustRightInd w:val="0"/>
        <w:snapToGrid w:val="0"/>
        <w:spacing w:line="360" w:lineRule="auto"/>
        <w:ind w:firstLine="420" w:firstLineChars="200"/>
        <w:rPr>
          <w:rFonts w:hAnsi="宋体" w:cs="宋体"/>
        </w:rPr>
      </w:pPr>
      <w:r>
        <w:rPr>
          <w:rFonts w:hint="eastAsia" w:hAnsi="宋体" w:cs="宋体"/>
        </w:rPr>
        <w:t>（5）服务方案</w:t>
      </w:r>
    </w:p>
    <w:p>
      <w:pPr>
        <w:pStyle w:val="25"/>
        <w:adjustRightInd w:val="0"/>
        <w:snapToGrid w:val="0"/>
        <w:spacing w:line="360" w:lineRule="auto"/>
        <w:ind w:firstLine="420" w:firstLineChars="200"/>
        <w:rPr>
          <w:rFonts w:hint="eastAsia" w:hAnsi="宋体" w:cs="宋体"/>
          <w:highlight w:val="none"/>
        </w:rPr>
      </w:pPr>
      <w:r>
        <w:rPr>
          <w:rFonts w:hint="eastAsia" w:hAnsi="宋体" w:cs="宋体"/>
          <w:highlight w:val="none"/>
        </w:rPr>
        <w:t>（6）报价一览表</w:t>
      </w:r>
    </w:p>
    <w:p>
      <w:pPr>
        <w:pStyle w:val="25"/>
        <w:adjustRightInd w:val="0"/>
        <w:snapToGrid w:val="0"/>
        <w:spacing w:line="360" w:lineRule="auto"/>
        <w:ind w:firstLine="420" w:firstLineChars="200"/>
        <w:rPr>
          <w:rFonts w:hint="default" w:hAnsi="宋体" w:eastAsia="宋体" w:cs="宋体"/>
          <w:highlight w:val="none"/>
          <w:lang w:val="en-US" w:eastAsia="zh-CN"/>
        </w:rPr>
      </w:pPr>
      <w:r>
        <w:rPr>
          <w:rFonts w:hint="eastAsia" w:hAnsi="宋体" w:cs="宋体"/>
          <w:highlight w:val="none"/>
          <w:lang w:eastAsia="zh-CN"/>
        </w:rPr>
        <w:t>（</w:t>
      </w:r>
      <w:r>
        <w:rPr>
          <w:rFonts w:hint="eastAsia" w:hAnsi="宋体" w:cs="宋体"/>
          <w:highlight w:val="none"/>
          <w:lang w:val="en-US" w:eastAsia="zh-CN"/>
        </w:rPr>
        <w:t>7</w:t>
      </w:r>
      <w:r>
        <w:rPr>
          <w:rFonts w:hint="eastAsia" w:hAnsi="宋体" w:cs="宋体"/>
          <w:highlight w:val="none"/>
          <w:lang w:eastAsia="zh-CN"/>
        </w:rPr>
        <w:t>）</w:t>
      </w:r>
      <w:r>
        <w:rPr>
          <w:rFonts w:hint="eastAsia" w:hAnsi="宋体" w:cs="宋体"/>
          <w:highlight w:val="none"/>
          <w:lang w:val="en-US" w:eastAsia="zh-CN"/>
        </w:rPr>
        <w:t>分项价格表</w:t>
      </w:r>
    </w:p>
    <w:p>
      <w:pPr>
        <w:pStyle w:val="25"/>
        <w:adjustRightInd w:val="0"/>
        <w:snapToGrid w:val="0"/>
        <w:spacing w:line="360" w:lineRule="auto"/>
        <w:ind w:firstLine="420" w:firstLineChars="200"/>
        <w:rPr>
          <w:rFonts w:hAnsi="宋体" w:cs="宋体"/>
        </w:rPr>
      </w:pPr>
      <w:r>
        <w:rPr>
          <w:rFonts w:hint="eastAsia" w:hAnsi="宋体" w:cs="宋体"/>
        </w:rPr>
        <w:t>（</w:t>
      </w:r>
      <w:r>
        <w:rPr>
          <w:rFonts w:hint="eastAsia" w:hAnsi="宋体" w:cs="宋体"/>
          <w:lang w:val="en-US" w:eastAsia="zh-CN"/>
        </w:rPr>
        <w:t>8</w:t>
      </w:r>
      <w:r>
        <w:rPr>
          <w:rFonts w:hint="eastAsia" w:hAnsi="宋体" w:cs="宋体"/>
        </w:rPr>
        <w:t>）其他资料（如有）</w:t>
      </w:r>
    </w:p>
    <w:p>
      <w:pPr>
        <w:pStyle w:val="25"/>
        <w:adjustRightInd w:val="0"/>
        <w:snapToGrid w:val="0"/>
        <w:spacing w:line="360" w:lineRule="auto"/>
        <w:ind w:firstLine="420" w:firstLineChars="200"/>
        <w:rPr>
          <w:rFonts w:hAnsi="宋体" w:cs="宋体"/>
        </w:rPr>
      </w:pPr>
      <w:r>
        <w:rPr>
          <w:rFonts w:hint="eastAsia" w:hAnsi="宋体" w:cs="宋体"/>
        </w:rPr>
        <w:t>11.2在谈判过程中，谈判单位根据</w:t>
      </w:r>
      <w:r>
        <w:rPr>
          <w:rFonts w:hint="eastAsia" w:hAnsi="宋体" w:cs="宋体"/>
          <w:kern w:val="0"/>
        </w:rPr>
        <w:t>谈判评审小组</w:t>
      </w:r>
      <w:r>
        <w:rPr>
          <w:rFonts w:hint="eastAsia" w:hAnsi="宋体" w:cs="宋体"/>
          <w:bCs/>
        </w:rPr>
        <w:t>要求</w:t>
      </w:r>
      <w:r>
        <w:rPr>
          <w:rFonts w:hint="eastAsia" w:hAnsi="宋体" w:cs="宋体"/>
          <w:kern w:val="0"/>
        </w:rPr>
        <w:t>提交的</w:t>
      </w:r>
      <w:r>
        <w:rPr>
          <w:rFonts w:hint="eastAsia" w:hAnsi="宋体" w:cs="宋体"/>
        </w:rPr>
        <w:t>书面承诺或其他文件是响应文件的有效组成部分。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11.3谈判单位无论成交与否，其递交的响应文件均不予退还。</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12.报价要求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12.1</w:t>
      </w:r>
      <w:r>
        <w:rPr>
          <w:rFonts w:hint="eastAsia" w:ascii="宋体" w:hAnsi="宋体" w:cs="宋体"/>
          <w:b/>
          <w:bCs/>
          <w:szCs w:val="21"/>
        </w:rPr>
        <w:t>本项目为一轮报价。</w:t>
      </w:r>
      <w:r>
        <w:rPr>
          <w:rFonts w:hint="eastAsia" w:ascii="宋体" w:hAnsi="宋体" w:cs="宋体"/>
          <w:szCs w:val="21"/>
        </w:rPr>
        <w:t>谈判单位应按第七章“响应文件格式”的要求在报价文件中进行报价。谈判单位所报的总价不得超过最高限价，不超过最高限价的谈判总报价为有效报价，谈判时需明确税费，税率必须符合国家政策法规规定，合同支付时服务单位需开具经</w:t>
      </w:r>
      <w:r>
        <w:rPr>
          <w:rFonts w:hint="eastAsia" w:ascii="宋体" w:hAnsi="宋体" w:cs="宋体"/>
          <w:b/>
          <w:szCs w:val="21"/>
        </w:rPr>
        <w:t>采购单位</w:t>
      </w:r>
      <w:r>
        <w:rPr>
          <w:rFonts w:hint="eastAsia" w:ascii="宋体" w:hAnsi="宋体" w:cs="宋体"/>
          <w:szCs w:val="21"/>
        </w:rPr>
        <w:t>认可的合法完税单据。</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12.2本项目以不含增值税总价进行评审。谈判单位报价须满足“谈判不含增值税总报价=谈判总报价/（1+增值税税率）”和“不含增值税单价=含税单价/（1+增值税税率）”，否则视为无效报价。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12.3谈判单位应充分了解该项目的总体情况以及影响谈判报价的其他要素。</w:t>
      </w:r>
      <w:r>
        <w:rPr>
          <w:rFonts w:hint="eastAsia" w:ascii="宋体" w:hAnsi="宋体" w:cs="宋体"/>
          <w:b/>
          <w:szCs w:val="21"/>
        </w:rPr>
        <w:t>最终结算以长沙市轨道交通运营有限公司审核为准。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12.4谈判总报价为各分项报价金额之和，谈判总报价与分项报价的合价不一致的，应以各分项合价累计数为准，修正谈判总报价；如分项报价中存在缺漏项，则视为缺漏项价格已包含在其他分项报价之中。</w:t>
      </w:r>
      <w:r>
        <w:rPr>
          <w:rFonts w:hAnsi="宋体"/>
          <w:color w:val="000000" w:themeColor="text1"/>
          <w:szCs w:val="21"/>
          <w14:textFill>
            <w14:solidFill>
              <w14:schemeClr w14:val="tx1"/>
            </w14:solidFill>
          </w14:textFill>
        </w:rPr>
        <w:t>如分项报价中存在直接填写为零的情况，则视为其价格已包含在其他分项报价之中。</w:t>
      </w:r>
      <w:r>
        <w:rPr>
          <w:rFonts w:hint="eastAsia" w:ascii="宋体" w:hAnsi="宋体" w:cs="宋体"/>
          <w:szCs w:val="21"/>
        </w:rPr>
        <w:t>谈判单位在谈判截止时间前修改响应文件中的谈判总报价，应同时修改报价文件《报价一览表》和《分项价格表》中的相应报价。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12.5本项目设置最高限价，谈判单位所报</w:t>
      </w:r>
      <w:r>
        <w:rPr>
          <w:rFonts w:hint="eastAsia" w:ascii="宋体" w:hAnsi="宋体" w:cs="宋体"/>
          <w:b/>
          <w:bCs/>
          <w:szCs w:val="21"/>
        </w:rPr>
        <w:t>含税总价不能超过最高限价，不超过最高限价的报价为有效报价</w:t>
      </w:r>
      <w:r>
        <w:rPr>
          <w:rFonts w:hint="eastAsia" w:ascii="宋体" w:hAnsi="宋体" w:cs="宋体"/>
          <w:szCs w:val="21"/>
        </w:rPr>
        <w:t>。本项目最高限价见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12.6谈判单位应按谈判文件规定的要求、责任范围和合同条件，</w:t>
      </w:r>
      <w:r>
        <w:rPr>
          <w:rFonts w:hint="eastAsia" w:ascii="宋体" w:hAnsi="宋体" w:cs="宋体"/>
          <w:b/>
          <w:bCs/>
          <w:szCs w:val="21"/>
        </w:rPr>
        <w:t>以人民币报价，以元为单位，保留小数点后两位</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12.7除合同另有约定外，谈判报价作为中选价及合同价在合同履行期间是固定不变的，不受政策、法规变化以及汇率浮动、物价指数浮动等因素的影响。中选单位不得以任何理由予以变更。以可变动价格提交的报价将被认为是非实质响应被拒绝。</w:t>
      </w:r>
    </w:p>
    <w:p>
      <w:pPr>
        <w:pStyle w:val="25"/>
        <w:adjustRightInd w:val="0"/>
        <w:snapToGrid w:val="0"/>
        <w:spacing w:line="360" w:lineRule="auto"/>
        <w:ind w:firstLine="420" w:firstLineChars="200"/>
        <w:rPr>
          <w:rFonts w:hAnsi="宋体" w:cs="宋体"/>
        </w:rPr>
      </w:pPr>
      <w:r>
        <w:rPr>
          <w:rFonts w:hint="eastAsia" w:hAnsi="宋体" w:cs="宋体"/>
        </w:rPr>
        <w:t>12.8谈判单位递交两份或多份内容不同的报价文件，或在一份报价文件中对同一项目报有两个或多个报价，且未声明哪一个有效的，将被认为是非实质响应被拒绝。</w:t>
      </w:r>
    </w:p>
    <w:p>
      <w:pPr>
        <w:adjustRightInd w:val="0"/>
        <w:snapToGrid w:val="0"/>
        <w:spacing w:line="360" w:lineRule="auto"/>
        <w:ind w:firstLine="420" w:firstLineChars="200"/>
        <w:rPr>
          <w:rFonts w:ascii="宋体" w:hAnsi="宋体" w:cs="宋体"/>
          <w:color w:val="FF0000"/>
          <w:szCs w:val="21"/>
        </w:rPr>
      </w:pPr>
      <w:r>
        <w:rPr>
          <w:rFonts w:hint="eastAsia" w:ascii="宋体" w:hAnsi="宋体" w:cs="宋体"/>
          <w:bCs/>
          <w:szCs w:val="21"/>
        </w:rPr>
        <w:t>12.9最低报价不能作为中选的保证。</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12.10本项目为单价合同[除税率调整外，合同单价（即中标单价/中选单价/成交单价）在合同执行过程中固定不变，不随政府政策（长沙市规定的最低工资标准变化等）及市场物价上涨或回落等因素调整]。</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13.响应文件有效期</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13.1响应文件有效期见</w:t>
      </w:r>
      <w:r>
        <w:rPr>
          <w:rFonts w:hint="eastAsia" w:ascii="宋体" w:hAnsi="宋体" w:cs="宋体"/>
          <w:b/>
          <w:szCs w:val="21"/>
        </w:rPr>
        <w:t>前附表</w:t>
      </w:r>
      <w:r>
        <w:rPr>
          <w:rFonts w:hint="eastAsia" w:ascii="宋体" w:hAnsi="宋体" w:cs="宋体"/>
          <w:szCs w:val="21"/>
        </w:rPr>
        <w:t>，在此期间响应文件对谈判单位具有法律约束力，从</w:t>
      </w:r>
      <w:r>
        <w:rPr>
          <w:rFonts w:hint="eastAsia" w:ascii="宋体" w:hAnsi="宋体" w:cs="宋体"/>
          <w:b/>
          <w:szCs w:val="21"/>
        </w:rPr>
        <w:t>前附表</w:t>
      </w:r>
      <w:r>
        <w:rPr>
          <w:rFonts w:hint="eastAsia" w:ascii="宋体" w:hAnsi="宋体" w:cs="宋体"/>
          <w:szCs w:val="21"/>
        </w:rPr>
        <w:t>规定的</w:t>
      </w:r>
      <w:r>
        <w:rPr>
          <w:rFonts w:hint="eastAsia" w:ascii="宋体" w:hAnsi="宋体" w:cs="宋体"/>
          <w:kern w:val="0"/>
          <w:szCs w:val="21"/>
        </w:rPr>
        <w:t>响应文件递交截止时间</w:t>
      </w:r>
      <w:r>
        <w:rPr>
          <w:rFonts w:hint="eastAsia" w:ascii="宋体" w:hAnsi="宋体" w:cs="宋体"/>
          <w:szCs w:val="21"/>
        </w:rPr>
        <w:t>之日起计算。响应文件有效期不足的将被视为无效响应。</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14.响应文件的编制</w:t>
      </w:r>
    </w:p>
    <w:p>
      <w:pPr>
        <w:pStyle w:val="357"/>
        <w:ind w:firstLine="420" w:firstLineChars="200"/>
        <w:jc w:val="both"/>
        <w:rPr>
          <w:rFonts w:hAnsi="宋体" w:cs="宋体"/>
          <w:sz w:val="21"/>
          <w:szCs w:val="21"/>
        </w:rPr>
      </w:pPr>
      <w:r>
        <w:rPr>
          <w:rFonts w:hint="eastAsia" w:hAnsi="宋体" w:cs="宋体"/>
          <w:sz w:val="21"/>
          <w:szCs w:val="21"/>
        </w:rPr>
        <w:t>14.1响应文件应按</w:t>
      </w:r>
      <w:r>
        <w:rPr>
          <w:rFonts w:hint="eastAsia" w:hAnsi="宋体" w:cs="宋体"/>
          <w:b/>
          <w:bCs/>
          <w:sz w:val="21"/>
          <w:szCs w:val="21"/>
        </w:rPr>
        <w:t>第七章</w:t>
      </w:r>
      <w:r>
        <w:rPr>
          <w:rFonts w:hint="eastAsia" w:hAnsi="宋体" w:cs="宋体"/>
          <w:sz w:val="21"/>
          <w:szCs w:val="21"/>
        </w:rPr>
        <w:t>“响应文件格式”进行编写，如有必要，可以增加附页，作为响应文件的组成部分。</w:t>
      </w:r>
    </w:p>
    <w:p>
      <w:pPr>
        <w:pStyle w:val="25"/>
        <w:adjustRightInd w:val="0"/>
        <w:snapToGrid w:val="0"/>
        <w:spacing w:line="360" w:lineRule="auto"/>
        <w:ind w:firstLine="420" w:firstLineChars="200"/>
        <w:rPr>
          <w:rFonts w:hAnsi="宋体" w:cs="宋体"/>
        </w:rPr>
      </w:pPr>
      <w:r>
        <w:rPr>
          <w:rFonts w:hint="eastAsia" w:hAnsi="宋体" w:cs="宋体"/>
        </w:rPr>
        <w:t>14.2响应文件应用不褪色的材料书写或打印（建议双面打印），并按</w:t>
      </w:r>
      <w:r>
        <w:rPr>
          <w:rFonts w:hint="eastAsia" w:hAnsi="宋体" w:cs="宋体"/>
          <w:b/>
          <w:bCs/>
        </w:rPr>
        <w:t>第七章</w:t>
      </w:r>
      <w:r>
        <w:rPr>
          <w:rFonts w:hint="eastAsia" w:hAnsi="宋体" w:cs="宋体"/>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rPr>
        <w:t>第七章</w:t>
      </w:r>
      <w:r>
        <w:rPr>
          <w:rFonts w:hint="eastAsia" w:hAnsi="宋体" w:cs="宋体"/>
        </w:rPr>
        <w:t>“响应文件格式”的要求。</w:t>
      </w:r>
    </w:p>
    <w:p>
      <w:pPr>
        <w:pStyle w:val="25"/>
        <w:adjustRightInd w:val="0"/>
        <w:snapToGrid w:val="0"/>
        <w:spacing w:line="360" w:lineRule="auto"/>
        <w:ind w:firstLine="420" w:firstLineChars="200"/>
        <w:rPr>
          <w:rFonts w:hAnsi="宋体" w:cs="宋体"/>
        </w:rPr>
      </w:pPr>
      <w:r>
        <w:rPr>
          <w:rFonts w:hint="eastAsia" w:hAnsi="宋体" w:cs="宋体"/>
        </w:rPr>
        <w:t>14.3响应文件应尽量避免涂改、行间插字或删除。如果出现上述情况，改动之处应由谈判单位的法定代表人或其授权的代理人签字或盖单位公章。</w:t>
      </w:r>
    </w:p>
    <w:p>
      <w:pPr>
        <w:pStyle w:val="25"/>
        <w:adjustRightInd w:val="0"/>
        <w:snapToGrid w:val="0"/>
        <w:spacing w:line="360" w:lineRule="auto"/>
        <w:ind w:firstLine="420" w:firstLineChars="200"/>
        <w:rPr>
          <w:rFonts w:hAnsi="宋体" w:cs="宋体"/>
        </w:rPr>
      </w:pPr>
      <w:r>
        <w:rPr>
          <w:rFonts w:hint="eastAsia" w:hAnsi="宋体" w:cs="宋体"/>
        </w:rPr>
        <w:t>14.4响应文件为一式三份，其中正本一份，副本两份，均须胶装成册；电子文件一份（U盘或光盘，应包含响应文件的所有内容，并标注谈判单位名称）。响应文件正本和副本的封面上应清楚地标记</w:t>
      </w:r>
      <w:r>
        <w:rPr>
          <w:rFonts w:hint="eastAsia" w:hAnsi="宋体" w:cs="宋体"/>
          <w:b/>
          <w:bCs/>
        </w:rPr>
        <w:t>“正本”</w:t>
      </w:r>
      <w:r>
        <w:rPr>
          <w:rFonts w:hint="eastAsia" w:hAnsi="宋体" w:cs="宋体"/>
        </w:rPr>
        <w:t>或</w:t>
      </w:r>
      <w:r>
        <w:rPr>
          <w:rFonts w:hint="eastAsia" w:hAnsi="宋体" w:cs="宋体"/>
          <w:b/>
          <w:bCs/>
        </w:rPr>
        <w:t>“副本”</w:t>
      </w:r>
      <w:r>
        <w:rPr>
          <w:rFonts w:hint="eastAsia" w:hAnsi="宋体" w:cs="宋体"/>
        </w:rPr>
        <w:t>的字样，若响应文件副本为正本的复印件，还需在谈判文件要求盖章处加盖单位公章。当正本和副本有差异时，以正本为准。</w:t>
      </w:r>
    </w:p>
    <w:p>
      <w:pPr>
        <w:pStyle w:val="4"/>
        <w:keepNext w:val="0"/>
        <w:keepLines w:val="0"/>
        <w:rPr>
          <w:rFonts w:ascii="宋体" w:hAnsi="宋体" w:cs="宋体"/>
          <w:sz w:val="21"/>
          <w:szCs w:val="21"/>
        </w:rPr>
      </w:pPr>
      <w:bookmarkStart w:id="35" w:name="_Toc1468"/>
      <w:bookmarkStart w:id="36" w:name="_Toc14891071"/>
      <w:bookmarkStart w:id="37" w:name="_Toc16269"/>
      <w:r>
        <w:rPr>
          <w:rFonts w:hint="eastAsia" w:ascii="宋体" w:hAnsi="宋体" w:cs="宋体"/>
          <w:sz w:val="21"/>
          <w:szCs w:val="21"/>
        </w:rPr>
        <w:t>四、响应文件的递交</w:t>
      </w:r>
      <w:bookmarkEnd w:id="35"/>
      <w:bookmarkEnd w:id="36"/>
      <w:bookmarkEnd w:id="37"/>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15.</w:t>
      </w:r>
      <w:r>
        <w:rPr>
          <w:rFonts w:hint="eastAsia" w:ascii="宋体" w:hAnsi="宋体" w:cs="宋体"/>
          <w:b/>
          <w:szCs w:val="21"/>
        </w:rPr>
        <w:t>响应文件</w:t>
      </w:r>
      <w:r>
        <w:rPr>
          <w:rFonts w:hint="eastAsia" w:ascii="宋体" w:hAnsi="宋体" w:cs="宋体"/>
          <w:b/>
          <w:bCs/>
          <w:szCs w:val="21"/>
        </w:rPr>
        <w:t>的密封</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15.1谈判单位须将响应文件一正两副与电子文件一起密封包装。</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16.响应文件的标记</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16.1</w:t>
      </w:r>
      <w:r>
        <w:rPr>
          <w:rFonts w:hint="eastAsia" w:ascii="宋体" w:hAnsi="宋体" w:cs="宋体"/>
          <w:bCs/>
          <w:szCs w:val="21"/>
        </w:rPr>
        <w:t>响应文件的密封封套上须写明如下内容</w:t>
      </w:r>
      <w:r>
        <w:rPr>
          <w:rFonts w:hint="eastAsia" w:ascii="宋体" w:hAnsi="宋体" w:cs="宋体"/>
          <w:szCs w:val="21"/>
        </w:rPr>
        <w:t>。</w:t>
      </w:r>
    </w:p>
    <w:tbl>
      <w:tblPr>
        <w:tblStyle w:val="47"/>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szCs w:val="21"/>
                <w:u w:val="single"/>
              </w:rPr>
            </w:pPr>
            <w:r>
              <w:rPr>
                <w:rFonts w:hint="eastAsia" w:ascii="宋体" w:hAnsi="宋体" w:cs="宋体"/>
                <w:szCs w:val="21"/>
              </w:rPr>
              <w:t>采购单位：</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项目名称：</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谈判单位：</w:t>
            </w:r>
            <w:r>
              <w:rPr>
                <w:rFonts w:hint="eastAsia" w:ascii="宋体" w:hAnsi="宋体" w:cs="宋体"/>
                <w:szCs w:val="21"/>
                <w:u w:val="single"/>
              </w:rPr>
              <w:t xml:space="preserve">（填写单位名称并加盖单位公章）         </w:t>
            </w:r>
          </w:p>
          <w:p>
            <w:pPr>
              <w:spacing w:line="360" w:lineRule="auto"/>
              <w:ind w:firstLine="840" w:firstLineChars="400"/>
              <w:rPr>
                <w:rFonts w:ascii="宋体" w:hAnsi="宋体" w:cs="宋体"/>
                <w:szCs w:val="21"/>
              </w:rPr>
            </w:pP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i/>
                <w:iCs/>
                <w:szCs w:val="21"/>
                <w:u w:val="single"/>
              </w:rPr>
              <w:t xml:space="preserve">    </w:t>
            </w:r>
            <w:r>
              <w:rPr>
                <w:rFonts w:hint="eastAsia" w:ascii="宋体" w:hAnsi="宋体"/>
                <w:bCs/>
                <w:szCs w:val="21"/>
              </w:rPr>
              <w:t>日</w:t>
            </w:r>
          </w:p>
        </w:tc>
      </w:tr>
    </w:tbl>
    <w:p>
      <w:pPr>
        <w:adjustRightInd w:val="0"/>
        <w:snapToGrid w:val="0"/>
        <w:spacing w:line="360" w:lineRule="auto"/>
        <w:ind w:firstLine="413" w:firstLineChars="196"/>
        <w:rPr>
          <w:rFonts w:ascii="宋体" w:hAnsi="宋体" w:cs="宋体"/>
          <w:b/>
          <w:bCs/>
          <w:color w:val="FF0000"/>
          <w:szCs w:val="21"/>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17.响应文件的递交与接收</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17.1谈判单位应按要求在</w:t>
      </w:r>
      <w:r>
        <w:rPr>
          <w:rFonts w:hint="eastAsia" w:ascii="宋体" w:hAnsi="宋体" w:cs="宋体"/>
          <w:kern w:val="0"/>
          <w:szCs w:val="21"/>
        </w:rPr>
        <w:t>响应文件递交截止时间</w:t>
      </w:r>
      <w:r>
        <w:rPr>
          <w:rFonts w:hint="eastAsia" w:ascii="宋体" w:hAnsi="宋体" w:cs="宋体"/>
          <w:szCs w:val="21"/>
        </w:rPr>
        <w:t>前，将响应文件送达指定地点，响应文件递交截止时间、地点及要求见</w:t>
      </w:r>
      <w:r>
        <w:rPr>
          <w:rFonts w:hint="eastAsia" w:ascii="宋体" w:hAnsi="宋体" w:cs="宋体"/>
          <w:b/>
          <w:szCs w:val="21"/>
        </w:rPr>
        <w:t>前附表</w:t>
      </w:r>
      <w:r>
        <w:rPr>
          <w:rFonts w:hint="eastAsia" w:ascii="宋体" w:hAnsi="宋体" w:cs="宋体"/>
          <w:szCs w:val="21"/>
        </w:rPr>
        <w:t>。</w:t>
      </w:r>
      <w:r>
        <w:rPr>
          <w:rFonts w:hint="eastAsia" w:ascii="宋体" w:hAnsi="宋体" w:cs="宋体"/>
          <w:kern w:val="0"/>
          <w:szCs w:val="21"/>
        </w:rPr>
        <w:t>在截止时间后送达的响应文件，</w:t>
      </w:r>
      <w:r>
        <w:rPr>
          <w:rFonts w:hint="eastAsia" w:hAnsi="宋体" w:cs="宋体"/>
          <w:kern w:val="0"/>
        </w:rPr>
        <w:t>采购单位、采购代理机构应当拒收。</w:t>
      </w:r>
    </w:p>
    <w:p>
      <w:pPr>
        <w:adjustRightInd w:val="0"/>
        <w:snapToGrid w:val="0"/>
        <w:spacing w:line="360" w:lineRule="auto"/>
        <w:ind w:firstLine="420" w:firstLineChars="200"/>
        <w:rPr>
          <w:rFonts w:ascii="宋体" w:hAnsi="宋体" w:cs="宋体"/>
          <w:b/>
          <w:szCs w:val="21"/>
        </w:rPr>
      </w:pPr>
      <w:r>
        <w:rPr>
          <w:rFonts w:hint="eastAsia" w:ascii="宋体" w:hAnsi="宋体" w:cs="宋体"/>
          <w:bCs/>
          <w:szCs w:val="21"/>
        </w:rPr>
        <w:t>17.2采购单位、</w:t>
      </w:r>
      <w:r>
        <w:rPr>
          <w:rFonts w:hint="eastAsia" w:hAnsi="宋体" w:cs="宋体"/>
          <w:kern w:val="0"/>
        </w:rPr>
        <w:t>采购代理机构</w:t>
      </w:r>
      <w:r>
        <w:rPr>
          <w:rFonts w:hint="eastAsia" w:ascii="宋体" w:hAnsi="宋体" w:cs="宋体"/>
          <w:bCs/>
          <w:szCs w:val="21"/>
        </w:rPr>
        <w:t>在</w:t>
      </w:r>
      <w:r>
        <w:rPr>
          <w:rFonts w:hint="eastAsia" w:ascii="宋体" w:hAnsi="宋体" w:cs="宋体"/>
          <w:b/>
          <w:bCs/>
          <w:szCs w:val="21"/>
        </w:rPr>
        <w:t>前附表</w:t>
      </w:r>
      <w:r>
        <w:rPr>
          <w:rFonts w:hint="eastAsia" w:ascii="宋体" w:hAnsi="宋体" w:cs="宋体"/>
          <w:bCs/>
          <w:szCs w:val="21"/>
        </w:rPr>
        <w:t>规定的谈判时间和地点，组织谈判单位签到并接收响应文件。</w:t>
      </w:r>
    </w:p>
    <w:p>
      <w:pPr>
        <w:pStyle w:val="4"/>
        <w:keepNext w:val="0"/>
        <w:keepLines w:val="0"/>
        <w:rPr>
          <w:rFonts w:ascii="宋体" w:hAnsi="宋体" w:cs="宋体"/>
          <w:sz w:val="21"/>
          <w:szCs w:val="21"/>
        </w:rPr>
      </w:pPr>
      <w:bookmarkStart w:id="38" w:name="_Toc14891072"/>
      <w:bookmarkStart w:id="39" w:name="_Toc13483"/>
      <w:bookmarkStart w:id="40" w:name="_Toc17368"/>
      <w:r>
        <w:rPr>
          <w:rFonts w:hint="eastAsia" w:ascii="宋体" w:hAnsi="宋体" w:cs="宋体"/>
          <w:sz w:val="21"/>
          <w:szCs w:val="21"/>
        </w:rPr>
        <w:t>五、响应文件的评审</w:t>
      </w:r>
      <w:bookmarkEnd w:id="38"/>
      <w:bookmarkEnd w:id="39"/>
      <w:bookmarkEnd w:id="40"/>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18.</w:t>
      </w:r>
      <w:r>
        <w:rPr>
          <w:rFonts w:hint="eastAsia" w:ascii="宋体" w:hAnsi="宋体" w:cs="宋体"/>
          <w:bCs/>
          <w:szCs w:val="21"/>
        </w:rPr>
        <w:t>评审由谈判评审小组负责，谈判评审小组应按照本谈判文件</w:t>
      </w:r>
      <w:r>
        <w:rPr>
          <w:rFonts w:hint="eastAsia" w:ascii="宋体" w:hAnsi="宋体" w:cs="宋体"/>
          <w:b/>
          <w:szCs w:val="21"/>
        </w:rPr>
        <w:t>第三章</w:t>
      </w:r>
      <w:r>
        <w:rPr>
          <w:rFonts w:hint="eastAsia" w:ascii="宋体" w:hAnsi="宋体" w:cs="宋体"/>
          <w:bCs/>
          <w:szCs w:val="21"/>
        </w:rPr>
        <w:t>“评审办法及标准”的内容和程序对响应文件进行评审。</w:t>
      </w:r>
    </w:p>
    <w:p>
      <w:pPr>
        <w:pStyle w:val="4"/>
        <w:keepNext w:val="0"/>
        <w:keepLines w:val="0"/>
        <w:rPr>
          <w:rFonts w:ascii="宋体" w:hAnsi="宋体" w:cs="宋体"/>
          <w:sz w:val="21"/>
          <w:szCs w:val="21"/>
        </w:rPr>
      </w:pPr>
      <w:bookmarkStart w:id="41" w:name="_Toc21358"/>
      <w:bookmarkStart w:id="42" w:name="_Toc14891073"/>
      <w:bookmarkStart w:id="43" w:name="_Toc19319"/>
      <w:r>
        <w:rPr>
          <w:rFonts w:hint="eastAsia" w:ascii="宋体" w:hAnsi="宋体" w:cs="宋体"/>
          <w:sz w:val="21"/>
          <w:szCs w:val="21"/>
        </w:rPr>
        <w:t>六、响应文件的澄清、说明及补正</w:t>
      </w:r>
      <w:bookmarkEnd w:id="41"/>
      <w:bookmarkEnd w:id="42"/>
      <w:bookmarkEnd w:id="43"/>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19.澄清</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19.1谈判评审小组可就响应文件中含糊之处要求谈判单位进行解释或澄清要求，谈判单位必须按照要求派法定代表人或授权委托人进行答疑和澄清。</w:t>
      </w:r>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20.说明及补正</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20.1必要时谈判评审小组可要求谈判单位就澄清的问题作书面回答或承诺，该书面回答或承诺应有谈判单位法定代表人或委托代理人的签字或盖章，并将作为响应文件的一部分。</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20.2谈判单位对响应文件的澄清不得改变谈判报价及实质内容。</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kern w:val="0"/>
          <w:szCs w:val="21"/>
        </w:rPr>
        <w:t>20.3与谈判文件有重大偏离的响应文件将被拒绝。重大偏离指谈判总报价、谈判不含增值税总报价、谈判有效期、服务期明显不能满足谈判文件的要求。这些偏离不允许在响应文件递交截止时间之后修正。</w:t>
      </w:r>
    </w:p>
    <w:p>
      <w:pPr>
        <w:pStyle w:val="4"/>
        <w:keepNext w:val="0"/>
        <w:keepLines w:val="0"/>
        <w:rPr>
          <w:rFonts w:ascii="宋体" w:hAnsi="宋体" w:cs="宋体"/>
          <w:sz w:val="21"/>
          <w:szCs w:val="21"/>
        </w:rPr>
      </w:pPr>
      <w:bookmarkStart w:id="44" w:name="_Toc9096"/>
      <w:bookmarkStart w:id="45" w:name="_Toc20130"/>
      <w:bookmarkStart w:id="46" w:name="_Toc14891074"/>
      <w:r>
        <w:rPr>
          <w:rFonts w:hint="eastAsia" w:ascii="宋体" w:hAnsi="宋体" w:cs="宋体"/>
          <w:sz w:val="21"/>
          <w:szCs w:val="21"/>
        </w:rPr>
        <w:t>七、中选结果与授予合同</w:t>
      </w:r>
      <w:bookmarkEnd w:id="44"/>
      <w:bookmarkEnd w:id="45"/>
      <w:bookmarkEnd w:id="46"/>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21.中选信息的公布</w:t>
      </w:r>
    </w:p>
    <w:p>
      <w:pPr>
        <w:pStyle w:val="25"/>
        <w:adjustRightInd w:val="0"/>
        <w:snapToGrid w:val="0"/>
        <w:spacing w:line="360" w:lineRule="auto"/>
        <w:ind w:firstLine="420" w:firstLineChars="200"/>
        <w:rPr>
          <w:rFonts w:hAnsi="宋体" w:cs="宋体"/>
        </w:rPr>
      </w:pPr>
      <w:r>
        <w:rPr>
          <w:rFonts w:hint="eastAsia" w:hAnsi="宋体" w:cs="宋体"/>
        </w:rPr>
        <w:t>21.1中选单位确定后，采购单位应将结果信息在</w:t>
      </w:r>
      <w:r>
        <w:rPr>
          <w:rFonts w:hint="eastAsia" w:hAnsi="宋体" w:cs="宋体"/>
          <w:b/>
        </w:rPr>
        <w:t>前附表</w:t>
      </w:r>
      <w:r>
        <w:rPr>
          <w:rFonts w:hint="eastAsia" w:hAnsi="宋体" w:cs="宋体"/>
        </w:rPr>
        <w:t>指定的媒体上公布，</w:t>
      </w:r>
      <w:r>
        <w:rPr>
          <w:rFonts w:hint="eastAsia" w:hAnsi="宋体" w:cs="宋体"/>
          <w:b/>
          <w:bCs/>
        </w:rPr>
        <w:t>公示期限为3个工作日</w:t>
      </w:r>
      <w:r>
        <w:rPr>
          <w:rFonts w:hint="eastAsia" w:hAnsi="宋体" w:cs="宋体"/>
        </w:rPr>
        <w:t>。</w:t>
      </w:r>
    </w:p>
    <w:p>
      <w:pPr>
        <w:pStyle w:val="25"/>
        <w:adjustRightInd w:val="0"/>
        <w:snapToGrid w:val="0"/>
        <w:spacing w:line="360" w:lineRule="auto"/>
        <w:ind w:firstLine="422" w:firstLineChars="200"/>
        <w:rPr>
          <w:rFonts w:hAnsi="宋体" w:cs="宋体"/>
          <w:b/>
          <w:bCs/>
        </w:rPr>
      </w:pPr>
      <w:r>
        <w:rPr>
          <w:rFonts w:hint="eastAsia" w:hAnsi="宋体" w:cs="宋体"/>
          <w:b/>
          <w:bCs/>
        </w:rPr>
        <w:t>22.评审结果异议</w:t>
      </w:r>
    </w:p>
    <w:p>
      <w:pPr>
        <w:pStyle w:val="25"/>
        <w:adjustRightInd w:val="0"/>
        <w:snapToGrid w:val="0"/>
        <w:spacing w:line="360" w:lineRule="auto"/>
        <w:ind w:firstLine="420" w:firstLineChars="200"/>
        <w:rPr>
          <w:rFonts w:hAnsi="宋体" w:cs="宋体"/>
          <w:b/>
        </w:rPr>
      </w:pPr>
      <w:r>
        <w:rPr>
          <w:rFonts w:hint="eastAsia" w:hAnsi="宋体" w:cs="宋体"/>
          <w:kern w:val="0"/>
        </w:rPr>
        <w:t>22.1谈判单位对评审结果有异议的，应当在结果公示期间提出。</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23.中选通知</w:t>
      </w:r>
    </w:p>
    <w:p>
      <w:pPr>
        <w:pStyle w:val="25"/>
        <w:adjustRightInd w:val="0"/>
        <w:snapToGrid w:val="0"/>
        <w:spacing w:line="360" w:lineRule="auto"/>
        <w:ind w:firstLine="420" w:firstLineChars="200"/>
        <w:rPr>
          <w:rFonts w:hAnsi="宋体" w:cs="宋体"/>
        </w:rPr>
      </w:pPr>
      <w:r>
        <w:rPr>
          <w:rFonts w:hint="eastAsia" w:hAnsi="宋体" w:cs="宋体"/>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24.签订合同</w:t>
      </w:r>
    </w:p>
    <w:p>
      <w:pPr>
        <w:pStyle w:val="25"/>
        <w:adjustRightInd w:val="0"/>
        <w:snapToGrid w:val="0"/>
        <w:spacing w:line="360" w:lineRule="auto"/>
        <w:ind w:firstLine="420" w:firstLineChars="200"/>
        <w:rPr>
          <w:rFonts w:hAnsi="宋体" w:cs="宋体"/>
        </w:rPr>
      </w:pPr>
      <w:r>
        <w:rPr>
          <w:rFonts w:hint="eastAsia" w:hAnsi="宋体" w:cs="宋体"/>
        </w:rPr>
        <w:t>24.1谈判文件、中选单位的响应文件及其补充的文件等均为签订合同的依据。</w:t>
      </w:r>
    </w:p>
    <w:p>
      <w:pPr>
        <w:pStyle w:val="25"/>
        <w:adjustRightInd w:val="0"/>
        <w:snapToGrid w:val="0"/>
        <w:spacing w:line="360" w:lineRule="auto"/>
        <w:ind w:firstLine="420" w:firstLineChars="200"/>
        <w:rPr>
          <w:rFonts w:hAnsi="宋体" w:cs="宋体"/>
        </w:rPr>
      </w:pPr>
      <w:r>
        <w:rPr>
          <w:rFonts w:hint="eastAsia" w:hAnsi="宋体" w:cs="宋体"/>
        </w:rPr>
        <w:t>24.2中选单位应当在中选通知书发出后及时与采购单位签订合同。</w:t>
      </w:r>
    </w:p>
    <w:p>
      <w:pPr>
        <w:pStyle w:val="25"/>
        <w:adjustRightInd w:val="0"/>
        <w:snapToGrid w:val="0"/>
        <w:spacing w:line="360" w:lineRule="auto"/>
        <w:ind w:firstLine="420" w:firstLineChars="200"/>
        <w:rPr>
          <w:rFonts w:hAnsi="宋体" w:cs="宋体"/>
        </w:rPr>
      </w:pPr>
      <w:r>
        <w:rPr>
          <w:rFonts w:hint="eastAsia" w:hAnsi="宋体" w:cs="宋体"/>
        </w:rPr>
        <w:t>24.3中选单位应当按照合同约定履行义务。</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25.纪律和监督</w:t>
      </w:r>
    </w:p>
    <w:p>
      <w:pPr>
        <w:spacing w:line="360" w:lineRule="auto"/>
        <w:ind w:firstLine="422" w:firstLineChars="200"/>
        <w:rPr>
          <w:rFonts w:ascii="宋体" w:hAnsi="宋体" w:cs="宋体"/>
          <w:b/>
          <w:bCs/>
          <w:szCs w:val="21"/>
        </w:rPr>
      </w:pPr>
      <w:r>
        <w:rPr>
          <w:rFonts w:hint="eastAsia" w:ascii="宋体" w:hAnsi="宋体" w:cs="宋体"/>
          <w:b/>
          <w:bCs/>
          <w:szCs w:val="21"/>
        </w:rPr>
        <w:t>25.1对采购单位的纪律要求</w:t>
      </w:r>
    </w:p>
    <w:p>
      <w:pPr>
        <w:pStyle w:val="357"/>
        <w:ind w:firstLine="420" w:firstLineChars="200"/>
        <w:jc w:val="both"/>
        <w:rPr>
          <w:rFonts w:hAnsi="宋体" w:cs="宋体"/>
          <w:sz w:val="21"/>
          <w:szCs w:val="21"/>
        </w:rPr>
      </w:pPr>
      <w:r>
        <w:rPr>
          <w:rFonts w:hint="eastAsia" w:hAnsi="宋体" w:cs="宋体"/>
          <w:sz w:val="21"/>
          <w:szCs w:val="21"/>
        </w:rPr>
        <w:t>采购单位不得泄露谈判活动中应当保密的情况和资料，不得与谈判单位串通损害国家利益、社会公共利益或者他人合法权益。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25.2对谈判单位的纪律要求</w:t>
      </w:r>
    </w:p>
    <w:p>
      <w:pPr>
        <w:pStyle w:val="357"/>
        <w:ind w:firstLine="420" w:firstLineChars="200"/>
        <w:jc w:val="both"/>
        <w:rPr>
          <w:rFonts w:hAnsi="宋体" w:cs="宋体"/>
          <w:sz w:val="21"/>
          <w:szCs w:val="21"/>
        </w:rPr>
      </w:pPr>
      <w:r>
        <w:rPr>
          <w:rFonts w:hint="eastAsia" w:hAnsi="宋体" w:cs="宋体"/>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25.3对</w:t>
      </w:r>
      <w:r>
        <w:rPr>
          <w:rFonts w:hint="eastAsia" w:ascii="宋体" w:hAnsi="宋体" w:cs="宋体"/>
          <w:b/>
          <w:szCs w:val="21"/>
        </w:rPr>
        <w:t>谈判评审小组</w:t>
      </w:r>
      <w:r>
        <w:rPr>
          <w:rFonts w:hint="eastAsia" w:ascii="宋体" w:hAnsi="宋体" w:cs="宋体"/>
          <w:b/>
          <w:bCs/>
          <w:szCs w:val="21"/>
        </w:rPr>
        <w:t>成员的纪律要求</w:t>
      </w:r>
    </w:p>
    <w:p>
      <w:pPr>
        <w:pStyle w:val="357"/>
        <w:ind w:firstLine="420" w:firstLineChars="200"/>
        <w:jc w:val="both"/>
        <w:rPr>
          <w:rFonts w:hAnsi="宋体" w:cs="宋体"/>
          <w:sz w:val="21"/>
          <w:szCs w:val="21"/>
        </w:rPr>
      </w:pPr>
      <w:r>
        <w:rPr>
          <w:rFonts w:hint="eastAsia" w:hAnsi="宋体" w:cs="宋体"/>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w:t>
      </w:r>
      <w:r>
        <w:rPr>
          <w:rFonts w:hint="eastAsia" w:hAnsi="宋体" w:cs="宋体"/>
          <w:b/>
          <w:bCs/>
          <w:sz w:val="21"/>
          <w:szCs w:val="21"/>
        </w:rPr>
        <w:t>第</w:t>
      </w:r>
      <w:bookmarkStart w:id="47" w:name="page32"/>
      <w:bookmarkEnd w:id="47"/>
      <w:r>
        <w:rPr>
          <w:rFonts w:hint="eastAsia" w:hAnsi="宋体" w:cs="宋体"/>
          <w:b/>
          <w:bCs/>
          <w:sz w:val="21"/>
          <w:szCs w:val="21"/>
        </w:rPr>
        <w:t>三章</w:t>
      </w:r>
      <w:r>
        <w:rPr>
          <w:rFonts w:hint="eastAsia" w:hAnsi="宋体" w:cs="宋体"/>
          <w:sz w:val="21"/>
          <w:szCs w:val="21"/>
        </w:rPr>
        <w:t>“评审办法及标准”没有规定的评审因素和标准进行评审。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25.4对与评审活动有关的工作人员的纪律要求</w:t>
      </w:r>
    </w:p>
    <w:p>
      <w:pPr>
        <w:pStyle w:val="25"/>
        <w:adjustRightInd w:val="0"/>
        <w:snapToGrid w:val="0"/>
        <w:spacing w:line="360" w:lineRule="auto"/>
        <w:ind w:firstLine="420" w:firstLineChars="200"/>
        <w:rPr>
          <w:rFonts w:hAnsi="宋体" w:cs="宋体"/>
        </w:rPr>
      </w:pPr>
      <w:r>
        <w:rPr>
          <w:rFonts w:hint="eastAsia" w:hAnsi="宋体" w:cs="宋体"/>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4"/>
        <w:keepNext w:val="0"/>
        <w:keepLines w:val="0"/>
        <w:rPr>
          <w:rFonts w:ascii="宋体" w:hAnsi="宋体" w:cs="宋体"/>
          <w:sz w:val="21"/>
          <w:szCs w:val="21"/>
        </w:rPr>
      </w:pPr>
      <w:bookmarkStart w:id="48" w:name="_Toc14891075"/>
      <w:bookmarkStart w:id="49" w:name="_Toc2045"/>
      <w:bookmarkStart w:id="50" w:name="_Toc2360"/>
      <w:r>
        <w:rPr>
          <w:rFonts w:hint="eastAsia" w:ascii="宋体" w:hAnsi="宋体" w:cs="宋体"/>
          <w:sz w:val="21"/>
          <w:szCs w:val="21"/>
        </w:rPr>
        <w:t>八、其他</w:t>
      </w:r>
      <w:bookmarkEnd w:id="48"/>
      <w:bookmarkEnd w:id="49"/>
      <w:bookmarkEnd w:id="50"/>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26.处罚规定</w:t>
      </w:r>
    </w:p>
    <w:p>
      <w:pPr>
        <w:pStyle w:val="25"/>
        <w:adjustRightInd w:val="0"/>
        <w:snapToGrid w:val="0"/>
        <w:spacing w:line="360" w:lineRule="auto"/>
        <w:ind w:firstLine="420" w:firstLineChars="200"/>
        <w:rPr>
          <w:rFonts w:hAnsi="宋体" w:cs="宋体"/>
        </w:rPr>
      </w:pPr>
      <w:r>
        <w:rPr>
          <w:rFonts w:hint="eastAsia" w:hAnsi="宋体" w:cs="宋体"/>
        </w:rPr>
        <w:t>26.1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同时视其情节轻重，给予没收部分或全部谈判保证金，或（和）禁止其一定期限内（最多三年）参与采购人项目招标采购活动，并出具书面处理决定。除此之外，如谈判单位给采购人造成的损失超过谈判保证金数额的，谈判单位应当对超过部分给予赔偿。包括但不限于下列情形：</w:t>
      </w:r>
    </w:p>
    <w:p>
      <w:pPr>
        <w:pStyle w:val="25"/>
        <w:numPr>
          <w:ilvl w:val="0"/>
          <w:numId w:val="16"/>
        </w:numPr>
        <w:adjustRightInd w:val="0"/>
        <w:snapToGrid w:val="0"/>
        <w:spacing w:line="360" w:lineRule="auto"/>
        <w:ind w:left="0" w:firstLine="420" w:firstLineChars="200"/>
        <w:rPr>
          <w:rFonts w:hAnsi="宋体" w:cs="宋体"/>
        </w:rPr>
      </w:pPr>
      <w:r>
        <w:rPr>
          <w:rFonts w:hint="eastAsia" w:hAnsi="宋体" w:cs="宋体"/>
        </w:rPr>
        <w:t>谈判单位提出撤回或撤销或放弃中选资格或对报价提出实质性修改；</w:t>
      </w:r>
    </w:p>
    <w:p>
      <w:pPr>
        <w:pStyle w:val="25"/>
        <w:numPr>
          <w:ilvl w:val="0"/>
          <w:numId w:val="16"/>
        </w:numPr>
        <w:adjustRightInd w:val="0"/>
        <w:snapToGrid w:val="0"/>
        <w:spacing w:line="360" w:lineRule="auto"/>
        <w:ind w:left="0" w:firstLine="420" w:firstLineChars="200"/>
        <w:rPr>
          <w:rFonts w:hAnsi="宋体" w:cs="宋体"/>
        </w:rPr>
      </w:pPr>
      <w:r>
        <w:rPr>
          <w:rFonts w:hint="eastAsia" w:hAnsi="宋体" w:cs="宋体"/>
        </w:rPr>
        <w:t>中选单位未能在规定期限内签订合同或不按报价结果签订合同；</w:t>
      </w:r>
    </w:p>
    <w:p>
      <w:pPr>
        <w:pStyle w:val="25"/>
        <w:numPr>
          <w:ilvl w:val="0"/>
          <w:numId w:val="16"/>
        </w:numPr>
        <w:adjustRightInd w:val="0"/>
        <w:snapToGrid w:val="0"/>
        <w:spacing w:line="360" w:lineRule="auto"/>
        <w:ind w:left="0" w:firstLine="420" w:firstLineChars="200"/>
        <w:rPr>
          <w:rFonts w:hAnsi="宋体" w:cs="宋体"/>
        </w:rPr>
      </w:pPr>
      <w:r>
        <w:rPr>
          <w:rFonts w:hint="eastAsia" w:hAnsi="宋体" w:cs="宋体"/>
        </w:rPr>
        <w:t>中选单位未能在规定期限内提交履约保证金；</w:t>
      </w:r>
    </w:p>
    <w:p>
      <w:pPr>
        <w:pStyle w:val="25"/>
        <w:numPr>
          <w:ilvl w:val="0"/>
          <w:numId w:val="16"/>
        </w:numPr>
        <w:adjustRightInd w:val="0"/>
        <w:snapToGrid w:val="0"/>
        <w:spacing w:line="360" w:lineRule="auto"/>
        <w:ind w:left="0" w:firstLine="420" w:firstLineChars="200"/>
        <w:rPr>
          <w:rFonts w:hAnsi="宋体" w:cs="宋体"/>
        </w:rPr>
      </w:pPr>
      <w:r>
        <w:rPr>
          <w:rFonts w:hint="eastAsia" w:hAnsi="宋体" w:cs="宋体"/>
        </w:rPr>
        <w:t>中选单位在合同订立过程中未能完全响应采购文件、清单、附件、合同要求以致合同无法订立的；</w:t>
      </w:r>
    </w:p>
    <w:p>
      <w:pPr>
        <w:pStyle w:val="25"/>
        <w:numPr>
          <w:ilvl w:val="0"/>
          <w:numId w:val="16"/>
        </w:numPr>
        <w:adjustRightInd w:val="0"/>
        <w:snapToGrid w:val="0"/>
        <w:spacing w:line="360" w:lineRule="auto"/>
        <w:ind w:left="0" w:firstLine="420" w:firstLineChars="200"/>
        <w:rPr>
          <w:rFonts w:hAnsi="宋体" w:cs="宋体"/>
        </w:rPr>
      </w:pPr>
      <w:r>
        <w:rPr>
          <w:rFonts w:hint="eastAsia" w:hAnsi="宋体" w:cs="宋体"/>
        </w:rPr>
        <w:t>经查实谈判单位报价资料弄虚作假的；</w:t>
      </w:r>
    </w:p>
    <w:p>
      <w:pPr>
        <w:pStyle w:val="25"/>
        <w:numPr>
          <w:ilvl w:val="0"/>
          <w:numId w:val="16"/>
        </w:numPr>
        <w:adjustRightInd w:val="0"/>
        <w:snapToGrid w:val="0"/>
        <w:spacing w:line="360" w:lineRule="auto"/>
        <w:ind w:left="0" w:firstLine="420" w:firstLineChars="200"/>
        <w:rPr>
          <w:rFonts w:hAnsi="宋体" w:cs="宋体"/>
        </w:rPr>
      </w:pPr>
      <w:r>
        <w:rPr>
          <w:rFonts w:hint="eastAsia" w:hAnsi="宋体" w:cs="宋体"/>
        </w:rPr>
        <w:t>串通参与谈判相关行为的。如不同谈判单位的谈判保证金从同一账户转出。</w:t>
      </w:r>
    </w:p>
    <w:p>
      <w:pPr>
        <w:pStyle w:val="25"/>
        <w:adjustRightInd w:val="0"/>
        <w:snapToGrid w:val="0"/>
        <w:spacing w:line="360" w:lineRule="auto"/>
        <w:ind w:firstLine="420" w:firstLineChars="200"/>
        <w:rPr>
          <w:rFonts w:hAnsi="宋体" w:cs="宋体"/>
        </w:rPr>
      </w:pPr>
      <w:r>
        <w:rPr>
          <w:rFonts w:hint="eastAsia" w:hAnsi="宋体" w:cs="宋体"/>
        </w:rPr>
        <w:t>26.2谈判单位不允许有挂靠或转包的行为，采购单位或评审小组在任何时候发现谈判单位是挂靠或转包的，该谈判单位按照不合格供应商处理，采购单位有权取消其中选资格或（和）没收谈判保证金，已签订合同的，终止合同，没收履约保证金，并追究该谈判单位的有关法律责任。</w:t>
      </w:r>
    </w:p>
    <w:p>
      <w:pPr>
        <w:pStyle w:val="25"/>
        <w:adjustRightInd w:val="0"/>
        <w:snapToGrid w:val="0"/>
        <w:spacing w:line="360" w:lineRule="auto"/>
        <w:ind w:firstLine="420" w:firstLineChars="200"/>
        <w:rPr>
          <w:rFonts w:hAnsi="宋体" w:cs="宋体"/>
        </w:rPr>
      </w:pPr>
      <w:r>
        <w:rPr>
          <w:rFonts w:hint="eastAsia" w:hAnsi="宋体" w:cs="宋体"/>
        </w:rPr>
        <w:t>26.3.法律法规中规定的其他情形。</w:t>
      </w:r>
    </w:p>
    <w:p>
      <w:pPr>
        <w:pStyle w:val="46"/>
        <w:ind w:left="0" w:leftChars="0" w:firstLine="0"/>
        <w:rPr>
          <w:b/>
          <w:bCs/>
          <w:color w:val="FF0000"/>
          <w:highlight w:val="cyan"/>
        </w:rPr>
      </w:pPr>
    </w:p>
    <w:p>
      <w:pPr>
        <w:pStyle w:val="46"/>
        <w:ind w:left="0" w:leftChars="0" w:firstLine="0"/>
        <w:rPr>
          <w:b/>
          <w:bCs/>
          <w:color w:val="FF0000"/>
          <w:highlight w:val="cyan"/>
        </w:rPr>
        <w:sectPr>
          <w:pgSz w:w="11906" w:h="16838"/>
          <w:pgMar w:top="2098" w:right="1474" w:bottom="1984" w:left="1587" w:header="851" w:footer="992" w:gutter="0"/>
          <w:pgNumType w:start="1"/>
          <w:cols w:space="0" w:num="1"/>
          <w:docGrid w:type="lines" w:linePitch="319" w:charSpace="0"/>
        </w:sectPr>
      </w:pPr>
    </w:p>
    <w:p>
      <w:pPr>
        <w:adjustRightInd w:val="0"/>
        <w:snapToGrid w:val="0"/>
        <w:spacing w:line="360" w:lineRule="auto"/>
        <w:jc w:val="left"/>
        <w:rPr>
          <w:rFonts w:ascii="宋体" w:hAnsi="宋体" w:cs="宋体"/>
          <w:b/>
          <w:bCs/>
          <w:szCs w:val="21"/>
        </w:rPr>
      </w:pPr>
      <w:r>
        <w:rPr>
          <w:rFonts w:hint="eastAsia" w:ascii="宋体" w:hAnsi="宋体" w:cs="宋体"/>
          <w:b/>
          <w:bCs/>
          <w:szCs w:val="21"/>
        </w:rPr>
        <w:t>附件：</w:t>
      </w:r>
    </w:p>
    <w:p>
      <w:pPr>
        <w:pStyle w:val="2"/>
        <w:jc w:val="center"/>
        <w:rPr>
          <w:rFonts w:ascii="宋体" w:hAnsi="宋体" w:cs="宋体"/>
          <w:b/>
          <w:szCs w:val="21"/>
        </w:rPr>
      </w:pPr>
      <w:r>
        <w:rPr>
          <w:rFonts w:hint="eastAsia" w:ascii="宋体" w:hAnsi="宋体" w:cs="宋体"/>
          <w:b/>
          <w:szCs w:val="21"/>
        </w:rPr>
        <w:t>采购代理服务费收费参照汇率表</w:t>
      </w:r>
    </w:p>
    <w:p/>
    <w:tbl>
      <w:tblPr>
        <w:tblStyle w:val="48"/>
        <w:tblpPr w:leftFromText="180" w:rightFromText="180" w:vertAnchor="text" w:horzAnchor="page" w:tblpXSpec="center" w:tblpY="236"/>
        <w:tblOverlap w:val="never"/>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12"/>
        <w:gridCol w:w="2342"/>
        <w:gridCol w:w="2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cs="宋体"/>
                <w:szCs w:val="21"/>
              </w:rPr>
            </w:pPr>
            <w:r>
              <w:rPr>
                <w:rFonts w:hint="eastAsia" w:ascii="宋体" w:hAnsi="宋体" w:cs="宋体"/>
                <w:szCs w:val="21"/>
              </w:rPr>
              <w:t>汇率</w:t>
            </w:r>
          </w:p>
          <w:p>
            <w:pPr>
              <w:adjustRightInd w:val="0"/>
              <w:snapToGrid w:val="0"/>
              <w:rPr>
                <w:rFonts w:ascii="宋体" w:hAnsi="宋体" w:cs="宋体"/>
                <w:szCs w:val="21"/>
              </w:rPr>
            </w:pPr>
            <w:r>
              <w:rPr>
                <w:rFonts w:hint="eastAsia" w:ascii="宋体" w:hAnsi="宋体" w:cs="宋体"/>
                <w:szCs w:val="21"/>
              </w:rPr>
              <w:t>中选金额</w:t>
            </w:r>
          </w:p>
        </w:tc>
        <w:tc>
          <w:tcPr>
            <w:tcW w:w="2412" w:type="dxa"/>
            <w:tcBorders>
              <w:top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货物采购</w:t>
            </w:r>
          </w:p>
        </w:tc>
        <w:tc>
          <w:tcPr>
            <w:tcW w:w="2342" w:type="dxa"/>
            <w:tcBorders>
              <w:top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服务采购</w:t>
            </w:r>
          </w:p>
        </w:tc>
        <w:tc>
          <w:tcPr>
            <w:tcW w:w="2382" w:type="dxa"/>
            <w:tcBorders>
              <w:top w:val="single" w:color="auto" w:sz="12" w:space="0"/>
              <w:righ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atLeast"/>
          <w:jc w:val="center"/>
        </w:trPr>
        <w:tc>
          <w:tcPr>
            <w:tcW w:w="2228" w:type="dxa"/>
            <w:tcBorders>
              <w:lef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100万元以下</w:t>
            </w:r>
          </w:p>
        </w:tc>
        <w:tc>
          <w:tcPr>
            <w:tcW w:w="2412" w:type="dxa"/>
            <w:vAlign w:val="center"/>
          </w:tcPr>
          <w:p>
            <w:pPr>
              <w:adjustRightInd w:val="0"/>
              <w:snapToGrid w:val="0"/>
              <w:jc w:val="center"/>
              <w:rPr>
                <w:rFonts w:ascii="宋体" w:hAnsi="宋体" w:cs="宋体"/>
                <w:szCs w:val="21"/>
              </w:rPr>
            </w:pPr>
            <w:r>
              <w:rPr>
                <w:rFonts w:hint="eastAsia" w:ascii="宋体" w:hAnsi="宋体" w:cs="宋体"/>
                <w:szCs w:val="21"/>
              </w:rPr>
              <w:t>1.5%</w:t>
            </w:r>
          </w:p>
        </w:tc>
        <w:tc>
          <w:tcPr>
            <w:tcW w:w="2342" w:type="dxa"/>
            <w:vAlign w:val="center"/>
          </w:tcPr>
          <w:p>
            <w:pPr>
              <w:adjustRightInd w:val="0"/>
              <w:snapToGrid w:val="0"/>
              <w:jc w:val="center"/>
              <w:rPr>
                <w:rFonts w:ascii="宋体" w:hAnsi="宋体" w:cs="宋体"/>
                <w:szCs w:val="21"/>
              </w:rPr>
            </w:pPr>
            <w:r>
              <w:rPr>
                <w:rFonts w:hint="eastAsia" w:ascii="宋体" w:hAnsi="宋体" w:cs="宋体"/>
                <w:szCs w:val="21"/>
              </w:rPr>
              <w:t>1.5%</w:t>
            </w:r>
          </w:p>
        </w:tc>
        <w:tc>
          <w:tcPr>
            <w:tcW w:w="2382" w:type="dxa"/>
            <w:tcBorders>
              <w:righ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100～400万元</w:t>
            </w:r>
          </w:p>
        </w:tc>
        <w:tc>
          <w:tcPr>
            <w:tcW w:w="2412" w:type="dxa"/>
            <w:vAlign w:val="center"/>
          </w:tcPr>
          <w:p>
            <w:pPr>
              <w:adjustRightInd w:val="0"/>
              <w:snapToGrid w:val="0"/>
              <w:jc w:val="center"/>
              <w:rPr>
                <w:rFonts w:ascii="宋体" w:hAnsi="宋体" w:cs="宋体"/>
                <w:szCs w:val="21"/>
              </w:rPr>
            </w:pPr>
            <w:r>
              <w:rPr>
                <w:rFonts w:hint="eastAsia" w:ascii="宋体" w:hAnsi="宋体" w:cs="宋体"/>
                <w:szCs w:val="21"/>
              </w:rPr>
              <w:t>1.1%</w:t>
            </w:r>
          </w:p>
        </w:tc>
        <w:tc>
          <w:tcPr>
            <w:tcW w:w="2342" w:type="dxa"/>
            <w:vAlign w:val="center"/>
          </w:tcPr>
          <w:p>
            <w:pPr>
              <w:adjustRightInd w:val="0"/>
              <w:snapToGrid w:val="0"/>
              <w:jc w:val="center"/>
              <w:rPr>
                <w:rFonts w:ascii="宋体" w:hAnsi="宋体" w:cs="宋体"/>
                <w:szCs w:val="21"/>
              </w:rPr>
            </w:pPr>
            <w:r>
              <w:rPr>
                <w:rFonts w:hint="eastAsia" w:ascii="宋体" w:hAnsi="宋体" w:cs="宋体"/>
                <w:szCs w:val="21"/>
              </w:rPr>
              <w:t>0.8%</w:t>
            </w:r>
          </w:p>
        </w:tc>
        <w:tc>
          <w:tcPr>
            <w:tcW w:w="2382" w:type="dxa"/>
            <w:tcBorders>
              <w:righ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备注</w:t>
            </w:r>
          </w:p>
        </w:tc>
        <w:tc>
          <w:tcPr>
            <w:tcW w:w="7136"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cs="宋体"/>
                <w:szCs w:val="21"/>
              </w:rPr>
            </w:pPr>
            <w:r>
              <w:rPr>
                <w:rFonts w:hint="eastAsia" w:ascii="宋体" w:hAnsi="宋体" w:cs="宋体"/>
                <w:szCs w:val="21"/>
              </w:rPr>
              <w:t>采购代理服务费的收费标准为：以中选价为基数，按《采购代理服务费收费参照汇率表》进行计算后，向中选单位收取。服务费超过2万元的，按2万元计取，服务费低于5000元的，按5000元计取。</w:t>
            </w:r>
          </w:p>
        </w:tc>
      </w:tr>
    </w:tbl>
    <w:p>
      <w:pPr>
        <w:adjustRightInd w:val="0"/>
        <w:snapToGrid w:val="0"/>
        <w:spacing w:line="360" w:lineRule="auto"/>
        <w:rPr>
          <w:rFonts w:ascii="宋体" w:hAnsi="宋体" w:cs="宋体"/>
          <w:szCs w:val="21"/>
        </w:rPr>
      </w:pPr>
      <w:r>
        <w:rPr>
          <w:rFonts w:hint="eastAsia" w:ascii="宋体" w:hAnsi="宋体" w:cs="宋体"/>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100万元×1.0%＝1万元</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（300-100）万元×0.7%＝1.4万元</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合计收费＝1+1.4＝2.4（万元）</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本项目采购代理服务费为2万元</w:t>
      </w:r>
    </w:p>
    <w:p>
      <w:pPr>
        <w:pStyle w:val="2"/>
        <w:rPr>
          <w:rFonts w:ascii="宋体" w:hAnsi="宋体" w:cs="宋体"/>
          <w:szCs w:val="21"/>
        </w:rPr>
      </w:pPr>
    </w:p>
    <w:p>
      <w:pPr>
        <w:sectPr>
          <w:footerReference r:id="rId6" w:type="default"/>
          <w:pgSz w:w="11906" w:h="16838"/>
          <w:pgMar w:top="2098" w:right="1474" w:bottom="1984" w:left="1587" w:header="851" w:footer="992" w:gutter="0"/>
          <w:cols w:space="0" w:num="1"/>
          <w:docGrid w:type="lines" w:linePitch="319" w:charSpace="0"/>
        </w:sectPr>
      </w:pPr>
    </w:p>
    <w:p>
      <w:pPr>
        <w:pStyle w:val="3"/>
        <w:keepNext w:val="0"/>
        <w:spacing w:line="360" w:lineRule="auto"/>
        <w:rPr>
          <w:rFonts w:ascii="宋体" w:hAnsi="宋体" w:cs="宋体"/>
          <w:bCs w:val="0"/>
          <w:sz w:val="32"/>
          <w:szCs w:val="32"/>
        </w:rPr>
      </w:pPr>
      <w:bookmarkStart w:id="51" w:name="_Toc28427"/>
      <w:bookmarkStart w:id="52" w:name="_Toc4275"/>
      <w:bookmarkStart w:id="53" w:name="_Toc7792"/>
      <w:bookmarkStart w:id="54" w:name="_Toc5567"/>
      <w:bookmarkStart w:id="55" w:name="_Toc1719"/>
      <w:r>
        <w:rPr>
          <w:rFonts w:hint="eastAsia" w:ascii="宋体" w:hAnsi="宋体" w:cs="宋体"/>
          <w:bCs w:val="0"/>
          <w:sz w:val="32"/>
          <w:szCs w:val="32"/>
        </w:rPr>
        <w:t>第三章  评审办法及标准</w:t>
      </w:r>
      <w:bookmarkEnd w:id="51"/>
      <w:bookmarkEnd w:id="52"/>
      <w:bookmarkEnd w:id="53"/>
      <w:bookmarkEnd w:id="54"/>
      <w:bookmarkEnd w:id="55"/>
    </w:p>
    <w:p>
      <w:pPr>
        <w:adjustRightInd w:val="0"/>
        <w:snapToGrid w:val="0"/>
        <w:spacing w:line="360" w:lineRule="auto"/>
        <w:ind w:left="632" w:hanging="632" w:hangingChars="300"/>
        <w:rPr>
          <w:rFonts w:ascii="宋体" w:hAnsi="宋体" w:cs="宋体"/>
          <w:b/>
          <w:szCs w:val="21"/>
        </w:rPr>
      </w:pP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一、评审办法</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bCs/>
          <w:szCs w:val="21"/>
        </w:rPr>
        <w:t>1.1本项目采用经符合性审查合格后的</w:t>
      </w:r>
      <w:r>
        <w:rPr>
          <w:rFonts w:hint="eastAsia" w:ascii="宋体" w:hAnsi="宋体" w:cs="宋体"/>
          <w:b/>
          <w:bCs/>
          <w:szCs w:val="21"/>
        </w:rPr>
        <w:t>最低价法</w:t>
      </w:r>
      <w:r>
        <w:rPr>
          <w:rFonts w:hint="eastAsia" w:ascii="宋体" w:hAnsi="宋体" w:cs="宋体"/>
          <w:szCs w:val="21"/>
        </w:rPr>
        <w:t>。</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二、谈判程序</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2.1采购单位在</w:t>
      </w:r>
      <w:r>
        <w:rPr>
          <w:rFonts w:hint="eastAsia" w:ascii="宋体" w:hAnsi="宋体" w:cs="宋体"/>
          <w:b/>
          <w:szCs w:val="21"/>
        </w:rPr>
        <w:t>前附表</w:t>
      </w:r>
      <w:r>
        <w:rPr>
          <w:rFonts w:hint="eastAsia" w:ascii="宋体" w:hAnsi="宋体" w:cs="宋体"/>
          <w:bCs/>
          <w:szCs w:val="21"/>
        </w:rPr>
        <w:t>内规定的谈判时间及地点组织谈判活动。谈判活动由采购单位、采购代理机构、谈判单位代表参与。</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2.2谈判程序分为：</w:t>
      </w:r>
      <w:r>
        <w:rPr>
          <w:rFonts w:hint="eastAsia" w:ascii="宋体" w:hAnsi="宋体" w:cs="宋体"/>
          <w:b/>
          <w:szCs w:val="21"/>
        </w:rPr>
        <w:t>谈判验证阶段及谈判评审阶段。</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三、谈判验证阶段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谈判验证阶段分为身份验证和唱价。</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3.1身份验证阶段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3.1.1采购单位按本文件</w:t>
      </w:r>
      <w:r>
        <w:rPr>
          <w:rFonts w:hint="eastAsia" w:ascii="宋体" w:hAnsi="宋体" w:cs="宋体"/>
          <w:b/>
          <w:szCs w:val="21"/>
        </w:rPr>
        <w:t>前附表</w:t>
      </w:r>
      <w:r>
        <w:rPr>
          <w:rFonts w:hint="eastAsia" w:ascii="宋体" w:hAnsi="宋体" w:cs="宋体"/>
          <w:bCs/>
          <w:szCs w:val="21"/>
        </w:rPr>
        <w:t>内规定的响应文件的谈判现场验证要求，对参与谈判的单位代表身份进行验证。</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3.1.2参与谈判的代表身份经验证不合格的，视为无效响应，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3.2.唱价阶段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3.2.1身份验证结束后，由采购单位或采购代理机构（如有）当众拆封经身份验证合格的谈判单位的谈判响应文件，宣读响应文件中《报价一览表》内容，并记录在案。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3.2.2谈判单位法定代表人或授权委托人、现场监督员、记录人等有关人员在唱价记录表上签字确认，谈判单位对本阶段有异议的应当场提出，采购单位或采购代理机构（如有）人员当场作出答复，并记录在案，未提出的，视为无异议。</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四、谈判评审阶段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谈判评审阶段分为符合性审查、详细评审及推荐中选单位。</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4.1符合性审查阶段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w:t>
      </w:r>
      <w:r>
        <w:rPr>
          <w:rFonts w:hint="eastAsia" w:ascii="宋体" w:hAnsi="宋体" w:cs="宋体"/>
          <w:color w:val="auto"/>
          <w:szCs w:val="21"/>
        </w:rPr>
        <w:t>合性审查分为对谈判单位资格的符合性审查及报价的符合性审查。其中，资格的符合性审查分为资格审查和响应文件（商务、技术）审查两个环节。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4.1.1资格的符合性审查</w:t>
      </w:r>
    </w:p>
    <w:p>
      <w:pPr>
        <w:adjustRightInd w:val="0"/>
        <w:snapToGrid w:val="0"/>
        <w:spacing w:line="360" w:lineRule="auto"/>
        <w:ind w:firstLine="420" w:firstLineChars="200"/>
        <w:rPr>
          <w:rFonts w:ascii="宋体" w:hAnsi="宋体"/>
          <w:b/>
          <w:bCs/>
          <w:color w:val="auto"/>
          <w:szCs w:val="21"/>
        </w:rPr>
      </w:pPr>
      <w:r>
        <w:rPr>
          <w:rFonts w:hint="eastAsia" w:ascii="宋体" w:hAnsi="宋体"/>
          <w:color w:val="auto"/>
          <w:szCs w:val="21"/>
        </w:rPr>
        <w:t>（1）采购单位成立的</w:t>
      </w:r>
      <w:r>
        <w:rPr>
          <w:rFonts w:hint="eastAsia" w:ascii="宋体" w:hAnsi="宋体" w:cs="宋体"/>
          <w:color w:val="auto"/>
          <w:szCs w:val="21"/>
        </w:rPr>
        <w:t>资格评审</w:t>
      </w:r>
      <w:r>
        <w:rPr>
          <w:rFonts w:hint="eastAsia" w:ascii="宋体" w:hAnsi="宋体" w:cs="宋体"/>
          <w:bCs/>
          <w:color w:val="auto"/>
          <w:szCs w:val="21"/>
        </w:rPr>
        <w:t>小组</w:t>
      </w:r>
      <w:r>
        <w:rPr>
          <w:rFonts w:hint="eastAsia" w:ascii="宋体" w:hAnsi="宋体" w:cs="宋体"/>
          <w:color w:val="auto"/>
          <w:szCs w:val="21"/>
        </w:rPr>
        <w:t>根据本谈判文件</w:t>
      </w:r>
      <w:r>
        <w:rPr>
          <w:rFonts w:hint="eastAsia" w:ascii="宋体" w:hAnsi="宋体" w:cs="宋体"/>
          <w:b/>
          <w:szCs w:val="21"/>
        </w:rPr>
        <w:t>前附表</w:t>
      </w:r>
      <w:r>
        <w:rPr>
          <w:rFonts w:hint="eastAsia" w:ascii="宋体" w:hAnsi="宋体" w:cs="宋体"/>
          <w:color w:val="auto"/>
          <w:szCs w:val="21"/>
        </w:rPr>
        <w:t>内规定的谈判单位资格要求，对谈判单位进行资格审查，审查未通过的，不得进入下一环节。资格审查以谈判单位递交的</w:t>
      </w:r>
      <w:r>
        <w:rPr>
          <w:rStyle w:val="56"/>
          <w:rFonts w:hint="eastAsia"/>
          <w:color w:val="auto"/>
          <w:u w:val="none"/>
          <w:shd w:val="clear" w:color="auto" w:fill="FFFFFF"/>
        </w:rPr>
        <w:t>原件扫描件</w:t>
      </w:r>
      <w:r>
        <w:rPr>
          <w:rFonts w:hint="eastAsia" w:ascii="宋体" w:hAnsi="宋体" w:cs="宋体"/>
          <w:color w:val="auto"/>
          <w:szCs w:val="21"/>
        </w:rPr>
        <w:t>打印版资料为准。</w:t>
      </w:r>
    </w:p>
    <w:p>
      <w:pPr>
        <w:adjustRightInd w:val="0"/>
        <w:snapToGrid w:val="0"/>
        <w:spacing w:line="360" w:lineRule="auto"/>
        <w:ind w:firstLine="420" w:firstLineChars="200"/>
        <w:rPr>
          <w:rFonts w:ascii="宋体" w:hAnsi="宋体" w:cs="宋体"/>
          <w:color w:val="FF0000"/>
          <w:szCs w:val="21"/>
        </w:rPr>
      </w:pPr>
      <w:r>
        <w:rPr>
          <w:rFonts w:hint="eastAsia" w:ascii="宋体" w:hAnsi="宋体"/>
          <w:color w:val="auto"/>
          <w:szCs w:val="21"/>
        </w:rPr>
        <w:t>（2）</w:t>
      </w:r>
      <w:r>
        <w:rPr>
          <w:rFonts w:hint="eastAsia" w:ascii="宋体" w:hAnsi="宋体" w:cs="宋体"/>
          <w:color w:val="auto"/>
          <w:szCs w:val="21"/>
        </w:rPr>
        <w:t>谈判评审</w:t>
      </w:r>
      <w:r>
        <w:rPr>
          <w:rFonts w:hint="eastAsia" w:ascii="宋体" w:hAnsi="宋体" w:cs="宋体"/>
          <w:bCs/>
          <w:color w:val="auto"/>
          <w:szCs w:val="21"/>
        </w:rPr>
        <w:t>小组</w:t>
      </w:r>
      <w:r>
        <w:rPr>
          <w:rFonts w:hint="eastAsia" w:ascii="宋体" w:hAnsi="宋体" w:cs="宋体"/>
          <w:color w:val="auto"/>
          <w:szCs w:val="21"/>
        </w:rPr>
        <w:t>根据本谈判文件整体要求，对谈判单位提交的响应文件（商务、技术部分）的有效性、完整性、响应程度等进行符合性审查。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谈判评审小组根据谈判文件的规定，对</w:t>
      </w:r>
      <w:r>
        <w:rPr>
          <w:rFonts w:hint="eastAsia" w:ascii="宋体" w:hAnsi="宋体" w:cs="宋体"/>
          <w:color w:val="auto"/>
          <w:szCs w:val="21"/>
        </w:rPr>
        <w:t>谈判单位提交的响应文件（报价部分）的</w:t>
      </w:r>
      <w:r>
        <w:rPr>
          <w:rFonts w:hint="eastAsia" w:ascii="宋体" w:hAnsi="宋体" w:cs="宋体"/>
          <w:szCs w:val="21"/>
        </w:rPr>
        <w:t>有效性、完整性等进行符合性审查。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4.1.3有下列情形之一的，为符合性审查不合格，视为无效响应，不进入下一阶段：</w:t>
      </w:r>
    </w:p>
    <w:p>
      <w:pPr>
        <w:adjustRightInd w:val="0"/>
        <w:snapToGrid w:val="0"/>
        <w:spacing w:line="360" w:lineRule="auto"/>
        <w:ind w:firstLine="420" w:firstLineChars="200"/>
        <w:rPr>
          <w:rFonts w:ascii="宋体" w:hAnsi="宋体"/>
          <w:b/>
          <w:bCs/>
          <w:szCs w:val="21"/>
        </w:rPr>
      </w:pPr>
      <w:r>
        <w:rPr>
          <w:rFonts w:hint="eastAsia" w:ascii="宋体" w:hAnsi="宋体"/>
          <w:szCs w:val="21"/>
        </w:rPr>
        <w:t>（1）未按照谈判文件规定要求签署盖章的。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szCs w:val="21"/>
        </w:rPr>
      </w:pPr>
      <w:r>
        <w:rPr>
          <w:rFonts w:hint="eastAsia" w:ascii="宋体" w:hAnsi="宋体"/>
          <w:szCs w:val="21"/>
        </w:rPr>
        <w:t>（3）不满足资格条件要求的。</w:t>
      </w:r>
    </w:p>
    <w:p>
      <w:pPr>
        <w:adjustRightInd w:val="0"/>
        <w:snapToGrid w:val="0"/>
        <w:spacing w:line="360" w:lineRule="auto"/>
        <w:ind w:firstLine="420" w:firstLineChars="200"/>
        <w:rPr>
          <w:rFonts w:ascii="宋体" w:hAnsi="宋体"/>
          <w:szCs w:val="21"/>
        </w:rPr>
      </w:pPr>
      <w:r>
        <w:rPr>
          <w:rFonts w:hint="eastAsia" w:ascii="宋体" w:hAnsi="宋体"/>
          <w:szCs w:val="21"/>
        </w:rPr>
        <w:t>（4）不满足用户需求书要求的。</w:t>
      </w:r>
    </w:p>
    <w:p>
      <w:pPr>
        <w:adjustRightInd w:val="0"/>
        <w:snapToGrid w:val="0"/>
        <w:spacing w:line="360" w:lineRule="auto"/>
        <w:ind w:firstLine="420" w:firstLineChars="200"/>
        <w:rPr>
          <w:rFonts w:ascii="宋体" w:hAnsi="宋体"/>
          <w:szCs w:val="21"/>
        </w:rPr>
      </w:pPr>
      <w:r>
        <w:rPr>
          <w:rFonts w:hint="eastAsia" w:ascii="宋体" w:hAnsi="宋体"/>
          <w:szCs w:val="21"/>
        </w:rPr>
        <w:t>（5）</w:t>
      </w:r>
      <w:r>
        <w:rPr>
          <w:rFonts w:hint="eastAsia" w:ascii="宋体" w:hAnsi="宋体" w:cs="宋体"/>
          <w:kern w:val="0"/>
          <w:szCs w:val="21"/>
        </w:rPr>
        <w:t>谈判总报价超过</w:t>
      </w:r>
      <w:r>
        <w:rPr>
          <w:rFonts w:hint="eastAsia" w:ascii="宋体" w:hAnsi="宋体"/>
          <w:szCs w:val="21"/>
        </w:rPr>
        <w:t>谈判最高限价的</w:t>
      </w:r>
      <w:r>
        <w:rPr>
          <w:rFonts w:hint="eastAsia" w:ascii="宋体" w:hAnsi="宋体" w:cs="宋体"/>
          <w:kern w:val="0"/>
          <w:szCs w:val="21"/>
        </w:rPr>
        <w:t>。</w:t>
      </w:r>
    </w:p>
    <w:p>
      <w:pPr>
        <w:adjustRightInd w:val="0"/>
        <w:snapToGrid w:val="0"/>
        <w:spacing w:line="360" w:lineRule="auto"/>
        <w:ind w:firstLine="420" w:firstLineChars="200"/>
        <w:rPr>
          <w:rFonts w:ascii="宋体" w:hAnsi="宋体"/>
          <w:szCs w:val="21"/>
        </w:rPr>
      </w:pPr>
      <w:r>
        <w:rPr>
          <w:rFonts w:hint="eastAsia" w:ascii="宋体" w:hAnsi="宋体" w:cs="宋体"/>
          <w:kern w:val="0"/>
          <w:szCs w:val="21"/>
        </w:rPr>
        <w:t>（6）</w:t>
      </w:r>
      <w:r>
        <w:rPr>
          <w:rFonts w:hint="eastAsia" w:ascii="宋体" w:hAnsi="宋体"/>
          <w:szCs w:val="21"/>
        </w:rPr>
        <w:t>递交两份或多份内容不同的报价文件，或在一份报价文件中对同一项目报有两个或多个报价，且未声明哪一个有效的，谈判文件另有要求的除外。</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szCs w:val="21"/>
        </w:rPr>
        <w:t>4.1.4算术错误修正</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谈判评审小组检查谈判单位的报价是否有算术错误，算术性错误分析和修正按以下原则进行，修正的价格经谈判单位进行确认后具有约束力。谈判单位不接受修正价格的，应当予以否决。</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szCs w:val="21"/>
        </w:rPr>
        <w:t>（1）响应文件中的大写金额与小写金额不一致的，以大写金额为准。</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szCs w:val="21"/>
        </w:rPr>
        <w:t>（2）总价金额与依据单价计算出的结果不一致的，以单价金额为准修正总价，但单价金额小数点有明显错误的除外。</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szCs w:val="21"/>
        </w:rPr>
        <w:t>（3）总报价为各分项报价金额之和，总报价与分项报价的合价不一致的，应以各分项合价累计数为准，修正总报价。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（4）如果分项报价中存在缺漏项，则视为缺漏项价格已包含在其他分项报价之中。</w:t>
      </w:r>
    </w:p>
    <w:p>
      <w:pPr>
        <w:adjustRightInd w:val="0"/>
        <w:snapToGrid w:val="0"/>
        <w:spacing w:line="360" w:lineRule="auto"/>
        <w:ind w:firstLine="422" w:firstLineChars="200"/>
        <w:rPr>
          <w:rFonts w:ascii="宋体" w:hAnsi="宋体" w:cs="宋体"/>
          <w:b/>
          <w:bCs/>
          <w:szCs w:val="21"/>
        </w:rPr>
      </w:pPr>
      <w:r>
        <w:rPr>
          <w:rFonts w:hint="eastAsia" w:ascii="宋体" w:hAnsi="宋体" w:cs="宋体"/>
          <w:b/>
          <w:szCs w:val="21"/>
        </w:rPr>
        <w:t>4.2</w:t>
      </w:r>
      <w:r>
        <w:rPr>
          <w:rFonts w:hint="eastAsia" w:ascii="宋体" w:hAnsi="宋体" w:cs="宋体"/>
          <w:b/>
          <w:bCs/>
          <w:szCs w:val="21"/>
        </w:rPr>
        <w:t>详细评审阶段</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4.2.1谈判评审小组应按以下要求对经符合性审查合格的谈判单位进行详细评审：</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w:t>
      </w:r>
      <w:r>
        <w:rPr>
          <w:rFonts w:hint="eastAsia" w:ascii="宋体" w:hAnsi="宋体" w:cs="宋体"/>
          <w:kern w:val="0"/>
          <w:szCs w:val="21"/>
        </w:rPr>
        <w:t>以经谈判评审小组一致认定满足《竞争性谈判文件》要求且</w:t>
      </w:r>
      <w:bookmarkStart w:id="56" w:name="_Hlk70673845"/>
      <w:r>
        <w:rPr>
          <w:rFonts w:hint="eastAsia" w:ascii="宋体" w:hAnsi="宋体" w:cs="宋体"/>
          <w:b/>
          <w:bCs/>
          <w:kern w:val="0"/>
          <w:szCs w:val="21"/>
        </w:rPr>
        <w:t>谈判不含增值税总报价</w:t>
      </w:r>
      <w:bookmarkEnd w:id="56"/>
      <w:r>
        <w:rPr>
          <w:rFonts w:hint="eastAsia" w:ascii="宋体" w:hAnsi="宋体" w:cs="宋体"/>
          <w:kern w:val="0"/>
          <w:szCs w:val="21"/>
        </w:rPr>
        <w:t>最低的报价为基准价，其得分为满分。</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（2）</w:t>
      </w:r>
      <w:r>
        <w:rPr>
          <w:rFonts w:hint="eastAsia" w:ascii="宋体" w:hAnsi="宋体" w:cs="宋体"/>
          <w:kern w:val="0"/>
          <w:szCs w:val="21"/>
        </w:rPr>
        <w:t>其他有效单位的得分统一按下列公式计算（保留2位小数，第3位四舍五入）：谈判单位得分=(基准价／谈判不含增值税总报价)×100</w:t>
      </w:r>
    </w:p>
    <w:p>
      <w:pPr>
        <w:adjustRightInd w:val="0"/>
        <w:snapToGrid w:val="0"/>
        <w:spacing w:line="360" w:lineRule="auto"/>
        <w:ind w:firstLine="413" w:firstLineChars="196"/>
        <w:rPr>
          <w:rFonts w:ascii="宋体" w:hAnsi="宋体" w:cs="宋体"/>
          <w:b/>
          <w:bCs/>
          <w:szCs w:val="21"/>
        </w:rPr>
      </w:pPr>
      <w:r>
        <w:rPr>
          <w:rFonts w:hint="eastAsia" w:ascii="宋体" w:hAnsi="宋体" w:cs="宋体"/>
          <w:b/>
          <w:bCs/>
          <w:szCs w:val="21"/>
        </w:rPr>
        <w:t>5.推荐中选单位</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5.1谈判评审小组应当在全部评审结束后，按照综合得分由高到低的顺序推荐</w:t>
      </w:r>
      <w:r>
        <w:rPr>
          <w:rFonts w:hint="eastAsia" w:ascii="宋体" w:hAnsi="宋体" w:cs="宋体"/>
          <w:szCs w:val="21"/>
          <w:shd w:val="clear" w:color="auto" w:fill="FFFFFF"/>
        </w:rPr>
        <w:t>不超过</w:t>
      </w:r>
      <w:r>
        <w:rPr>
          <w:rFonts w:hint="eastAsia" w:ascii="宋体" w:hAnsi="宋体" w:cs="宋体"/>
          <w:kern w:val="0"/>
          <w:szCs w:val="21"/>
        </w:rPr>
        <w:t>3名中选候选人，并填写评审报告。经</w:t>
      </w:r>
      <w:r>
        <w:rPr>
          <w:rFonts w:hint="eastAsia" w:ascii="宋体" w:hAnsi="宋体" w:cs="宋体"/>
          <w:color w:val="auto"/>
        </w:rPr>
        <w:t>对排名第一的中选候选人进行公示，且</w:t>
      </w:r>
      <w:r>
        <w:rPr>
          <w:rFonts w:hint="eastAsia" w:ascii="宋体" w:hAnsi="宋体" w:cs="宋体"/>
          <w:kern w:val="0"/>
          <w:szCs w:val="21"/>
        </w:rPr>
        <w:t>公示无异议后，确定排名第一的中选候选人为中选人。</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5.2全部评审结束后，若出现报价得分相同的情形，则采用现场抽签方式确定中选候选人。</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5.3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pStyle w:val="2"/>
        <w:rPr>
          <w:rFonts w:ascii="宋体" w:hAnsi="宋体" w:cs="宋体"/>
          <w:kern w:val="0"/>
          <w:szCs w:val="21"/>
        </w:rPr>
      </w:pPr>
    </w:p>
    <w:p>
      <w:pPr>
        <w:pStyle w:val="3"/>
        <w:keepNext w:val="0"/>
        <w:spacing w:line="360" w:lineRule="auto"/>
        <w:rPr>
          <w:rFonts w:ascii="宋体" w:hAnsi="宋体" w:cs="宋体"/>
          <w:bCs w:val="0"/>
          <w:sz w:val="32"/>
          <w:szCs w:val="32"/>
        </w:rPr>
        <w:sectPr>
          <w:headerReference r:id="rId7" w:type="default"/>
          <w:footerReference r:id="rId8" w:type="default"/>
          <w:pgSz w:w="11906" w:h="16838"/>
          <w:pgMar w:top="2098" w:right="1474" w:bottom="1984" w:left="1587" w:header="851" w:footer="992" w:gutter="0"/>
          <w:cols w:space="0" w:num="1"/>
          <w:docGrid w:type="lines" w:linePitch="319" w:charSpace="0"/>
        </w:sectPr>
      </w:pPr>
      <w:bookmarkStart w:id="57" w:name="_Toc23442"/>
      <w:bookmarkStart w:id="58" w:name="_Toc17562"/>
      <w:bookmarkStart w:id="59" w:name="_Toc17997"/>
      <w:bookmarkStart w:id="60" w:name="_Toc18202"/>
      <w:bookmarkStart w:id="61" w:name="_Toc14891077"/>
      <w:bookmarkStart w:id="62" w:name="_Toc7204"/>
    </w:p>
    <w:p>
      <w:pPr>
        <w:pStyle w:val="3"/>
        <w:keepNext w:val="0"/>
        <w:spacing w:line="360" w:lineRule="auto"/>
        <w:rPr>
          <w:rFonts w:ascii="宋体" w:hAnsi="宋体" w:cs="宋体"/>
          <w:bCs w:val="0"/>
          <w:sz w:val="32"/>
          <w:szCs w:val="32"/>
        </w:rPr>
      </w:pPr>
      <w:r>
        <w:rPr>
          <w:rFonts w:hint="eastAsia" w:ascii="宋体" w:hAnsi="宋体" w:cs="宋体"/>
          <w:bCs w:val="0"/>
          <w:sz w:val="32"/>
          <w:szCs w:val="32"/>
        </w:rPr>
        <w:t>第四章  用户需求书</w:t>
      </w:r>
      <w:bookmarkEnd w:id="57"/>
      <w:bookmarkEnd w:id="58"/>
      <w:bookmarkEnd w:id="59"/>
      <w:bookmarkEnd w:id="60"/>
      <w:bookmarkEnd w:id="61"/>
      <w:r>
        <w:rPr>
          <w:rFonts w:hint="eastAsia" w:ascii="宋体" w:hAnsi="宋体" w:cs="宋体"/>
          <w:bCs w:val="0"/>
          <w:sz w:val="32"/>
          <w:szCs w:val="32"/>
        </w:rPr>
        <w:t>（另册）</w:t>
      </w:r>
      <w:bookmarkEnd w:id="62"/>
    </w:p>
    <w:p>
      <w:pPr>
        <w:spacing w:line="360" w:lineRule="auto"/>
      </w:pPr>
    </w:p>
    <w:p>
      <w:pPr>
        <w:pStyle w:val="2"/>
        <w:spacing w:line="360" w:lineRule="auto"/>
        <w:ind w:left="0" w:leftChars="0"/>
        <w:rPr>
          <w:rFonts w:ascii="宋体" w:hAnsi="宋体" w:cs="宋体"/>
        </w:rPr>
      </w:pPr>
      <w:r>
        <w:rPr>
          <w:rFonts w:hint="eastAsia" w:ascii="宋体" w:hAnsi="宋体" w:cs="宋体"/>
        </w:rPr>
        <w:t>用户需求书详见本项目谈判邀请公告附件：</w:t>
      </w:r>
      <w:r>
        <w:rPr>
          <w:rFonts w:hint="eastAsia" w:ascii="宋体" w:hAnsi="宋体" w:cs="宋体"/>
          <w:u w:val="single"/>
        </w:rPr>
        <w:t>长沙市轨道交通2号线运营期2022年-2024年EAP员工帮扶计划服务项目</w:t>
      </w:r>
      <w:r>
        <w:rPr>
          <w:rFonts w:hint="eastAsia" w:ascii="宋体" w:hAnsi="宋体" w:cs="宋体"/>
        </w:rPr>
        <w:t>用户需求书。</w:t>
      </w:r>
    </w:p>
    <w:p/>
    <w:p>
      <w:pPr>
        <w:sectPr>
          <w:pgSz w:w="11906" w:h="16838"/>
          <w:pgMar w:top="2098" w:right="1474" w:bottom="1984" w:left="1587" w:header="851" w:footer="992" w:gutter="0"/>
          <w:cols w:space="0" w:num="1"/>
          <w:docGrid w:type="lines" w:linePitch="319" w:charSpace="0"/>
        </w:sectPr>
      </w:pPr>
    </w:p>
    <w:p>
      <w:pPr>
        <w:pStyle w:val="3"/>
        <w:keepNext w:val="0"/>
        <w:rPr>
          <w:rFonts w:ascii="宋体" w:hAnsi="宋体" w:cs="宋体"/>
          <w:bCs w:val="0"/>
          <w:sz w:val="32"/>
          <w:szCs w:val="32"/>
        </w:rPr>
      </w:pPr>
      <w:bookmarkStart w:id="63" w:name="_Toc31327"/>
      <w:bookmarkStart w:id="64" w:name="_Toc31851"/>
      <w:bookmarkStart w:id="65" w:name="_Toc19554"/>
      <w:bookmarkStart w:id="66" w:name="_Toc17441"/>
      <w:bookmarkStart w:id="67" w:name="_Toc14891078"/>
      <w:bookmarkStart w:id="68" w:name="_Toc22262"/>
      <w:bookmarkStart w:id="69" w:name="_Toc13521"/>
      <w:r>
        <w:rPr>
          <w:rFonts w:hint="eastAsia" w:ascii="宋体" w:hAnsi="宋体" w:cs="宋体"/>
          <w:bCs w:val="0"/>
          <w:sz w:val="32"/>
          <w:szCs w:val="32"/>
        </w:rPr>
        <w:t>第五章  谈判最高限价</w:t>
      </w:r>
      <w:bookmarkEnd w:id="63"/>
      <w:bookmarkEnd w:id="64"/>
    </w:p>
    <w:p/>
    <w:p>
      <w:pPr>
        <w:adjustRightInd w:val="0"/>
        <w:snapToGrid w:val="0"/>
        <w:spacing w:line="360" w:lineRule="auto"/>
        <w:ind w:firstLine="420" w:firstLineChars="200"/>
        <w:rPr>
          <w:rFonts w:ascii="宋体" w:hAnsi="宋体" w:cs="宋体"/>
        </w:rPr>
      </w:pPr>
      <w:r>
        <w:rPr>
          <w:rFonts w:hint="eastAsia" w:ascii="宋体" w:hAnsi="宋体" w:cs="宋体"/>
        </w:rPr>
        <w:t>本项目谈判最高限价：209472.00元</w:t>
      </w:r>
    </w:p>
    <w:p>
      <w:pPr>
        <w:adjustRightInd w:val="0"/>
        <w:snapToGrid w:val="0"/>
        <w:spacing w:line="360" w:lineRule="auto"/>
        <w:ind w:firstLine="420" w:firstLineChars="200"/>
        <w:rPr>
          <w:rFonts w:ascii="宋体" w:hAnsi="宋体" w:cs="宋体"/>
        </w:rPr>
      </w:pPr>
      <w:r>
        <w:rPr>
          <w:rFonts w:hint="eastAsia" w:ascii="宋体" w:hAnsi="宋体" w:cs="宋体"/>
        </w:rPr>
        <w:t>小写：209472.00元；</w:t>
      </w:r>
    </w:p>
    <w:p>
      <w:pPr>
        <w:adjustRightInd w:val="0"/>
        <w:snapToGrid w:val="0"/>
        <w:spacing w:line="360" w:lineRule="auto"/>
        <w:ind w:firstLine="420" w:firstLineChars="200"/>
      </w:pPr>
      <w:r>
        <w:rPr>
          <w:rFonts w:hint="eastAsia" w:ascii="宋体" w:hAnsi="宋体" w:cs="宋体"/>
        </w:rPr>
        <w:t>大写：贰拾万玖仟肆佰柒拾贰元整</w:t>
      </w:r>
    </w:p>
    <w:p>
      <w:pPr>
        <w:rPr>
          <w:rFonts w:ascii="宋体" w:hAnsi="宋体" w:cs="宋体"/>
          <w:sz w:val="32"/>
          <w:szCs w:val="32"/>
          <w:highlight w:val="yellow"/>
        </w:rPr>
      </w:pPr>
    </w:p>
    <w:p>
      <w:pPr>
        <w:pStyle w:val="46"/>
        <w:sectPr>
          <w:pgSz w:w="11906" w:h="16838"/>
          <w:pgMar w:top="2098" w:right="1474" w:bottom="1984" w:left="1587" w:header="851" w:footer="992" w:gutter="0"/>
          <w:cols w:space="0" w:num="1"/>
          <w:docGrid w:type="lines" w:linePitch="319" w:charSpace="0"/>
        </w:sectPr>
      </w:pPr>
    </w:p>
    <w:p>
      <w:pPr>
        <w:pStyle w:val="3"/>
        <w:keepNext w:val="0"/>
        <w:rPr>
          <w:rFonts w:ascii="宋体" w:hAnsi="宋体" w:cs="宋体"/>
          <w:bCs w:val="0"/>
          <w:color w:val="FF0000"/>
          <w:sz w:val="32"/>
          <w:szCs w:val="32"/>
        </w:rPr>
      </w:pPr>
      <w:bookmarkStart w:id="70" w:name="_Toc27478"/>
      <w:r>
        <w:rPr>
          <w:rFonts w:hint="eastAsia" w:ascii="宋体" w:hAnsi="宋体" w:cs="宋体"/>
          <w:bCs w:val="0"/>
          <w:sz w:val="32"/>
          <w:szCs w:val="32"/>
        </w:rPr>
        <w:t>第六章  合同格式条款</w:t>
      </w:r>
      <w:bookmarkEnd w:id="65"/>
      <w:bookmarkEnd w:id="66"/>
      <w:bookmarkEnd w:id="67"/>
      <w:bookmarkEnd w:id="68"/>
      <w:bookmarkEnd w:id="69"/>
      <w:bookmarkEnd w:id="70"/>
    </w:p>
    <w:p>
      <w:pPr>
        <w:snapToGrid w:val="0"/>
        <w:spacing w:line="360" w:lineRule="auto"/>
        <w:jc w:val="center"/>
        <w:outlineLvl w:val="0"/>
        <w:rPr>
          <w:rFonts w:ascii="宋体" w:hAnsi="宋体" w:cs="宋体"/>
          <w:b/>
          <w:sz w:val="32"/>
          <w:szCs w:val="32"/>
        </w:rPr>
      </w:pPr>
      <w:bookmarkStart w:id="71" w:name="_Toc18525"/>
      <w:bookmarkStart w:id="72" w:name="_Toc29654"/>
      <w:bookmarkStart w:id="73" w:name="_Toc20891"/>
      <w:bookmarkStart w:id="74" w:name="_Toc5097"/>
    </w:p>
    <w:p>
      <w:pPr>
        <w:jc w:val="right"/>
        <w:rPr>
          <w:rFonts w:ascii="仿宋_GB2312" w:hAnsi="仿宋_GB2312" w:eastAsia="仿宋_GB2312" w:cs="仿宋_GB2312"/>
          <w:sz w:val="28"/>
        </w:rPr>
      </w:pPr>
      <w:r>
        <w:rPr>
          <w:rFonts w:hint="eastAsia" w:ascii="仿宋_GB2312" w:hAnsi="仿宋_GB2312" w:eastAsia="仿宋_GB2312" w:cs="仿宋_GB2312"/>
          <w:b/>
          <w:sz w:val="24"/>
        </w:rPr>
        <w:t xml:space="preserve"> 合同编号：</w:t>
      </w:r>
      <w:r>
        <w:rPr>
          <w:rFonts w:hint="eastAsia" w:ascii="仿宋_GB2312" w:hAnsi="仿宋_GB2312" w:eastAsia="仿宋_GB2312" w:cs="仿宋_GB2312"/>
          <w:sz w:val="24"/>
          <w:u w:val="dotted"/>
        </w:rPr>
        <w:t xml:space="preserve">          合同【20   】   号</w:t>
      </w:r>
    </w:p>
    <w:p>
      <w:pPr>
        <w:spacing w:before="100" w:beforeAutospacing="1" w:after="100" w:afterAutospacing="1"/>
        <w:jc w:val="center"/>
        <w:rPr>
          <w:rFonts w:ascii="仿宋_GB2312" w:hAnsi="仿宋_GB2312" w:eastAsia="仿宋_GB2312" w:cs="仿宋_GB2312"/>
          <w:b/>
          <w:bCs/>
          <w:spacing w:val="30"/>
          <w:sz w:val="28"/>
          <w:szCs w:val="28"/>
        </w:rPr>
      </w:pPr>
    </w:p>
    <w:p>
      <w:pPr>
        <w:spacing w:before="100" w:beforeAutospacing="1" w:after="100" w:afterAutospacing="1"/>
        <w:jc w:val="center"/>
        <w:rPr>
          <w:rFonts w:ascii="仿宋_GB2312" w:hAnsi="仿宋_GB2312" w:eastAsia="仿宋_GB2312" w:cs="仿宋_GB2312"/>
          <w:b/>
          <w:bCs/>
          <w:spacing w:val="30"/>
          <w:sz w:val="28"/>
          <w:szCs w:val="28"/>
        </w:rPr>
      </w:pPr>
    </w:p>
    <w:p>
      <w:pPr>
        <w:snapToGrid w:val="0"/>
        <w:jc w:val="center"/>
        <w:rPr>
          <w:rFonts w:ascii="仿宋_GB2312" w:hAnsi="仿宋_GB2312" w:eastAsia="仿宋_GB2312" w:cs="仿宋_GB2312"/>
          <w:b/>
          <w:sz w:val="28"/>
          <w:szCs w:val="28"/>
        </w:rPr>
      </w:pPr>
    </w:p>
    <w:p>
      <w:pPr>
        <w:snapToGrid w:val="0"/>
        <w:jc w:val="center"/>
        <w:rPr>
          <w:rFonts w:ascii="仿宋_GB2312" w:hAnsi="仿宋_GB2312" w:eastAsia="仿宋_GB2312" w:cs="仿宋_GB2312"/>
          <w:b/>
          <w:sz w:val="52"/>
          <w:szCs w:val="52"/>
        </w:rPr>
      </w:pPr>
      <w:r>
        <w:rPr>
          <w:rFonts w:hint="eastAsia" w:ascii="仿宋_GB2312" w:hAnsi="仿宋_GB2312" w:eastAsia="仿宋_GB2312" w:cs="仿宋_GB2312"/>
          <w:b/>
          <w:sz w:val="52"/>
          <w:szCs w:val="52"/>
        </w:rPr>
        <w:t>EAP员工帮扶计划服务项目合同</w:t>
      </w:r>
    </w:p>
    <w:p>
      <w:pPr>
        <w:snapToGrid w:val="0"/>
        <w:jc w:val="center"/>
        <w:rPr>
          <w:rFonts w:ascii="仿宋_GB2312" w:hAnsi="仿宋_GB2312" w:eastAsia="仿宋_GB2312" w:cs="仿宋_GB2312"/>
          <w:b/>
          <w:sz w:val="52"/>
          <w:szCs w:val="52"/>
        </w:rPr>
      </w:pPr>
    </w:p>
    <w:p>
      <w:pPr>
        <w:snapToGrid w:val="0"/>
        <w:jc w:val="center"/>
        <w:rPr>
          <w:rFonts w:ascii="仿宋_GB2312" w:hAnsi="仿宋_GB2312" w:eastAsia="仿宋_GB2312" w:cs="仿宋_GB2312"/>
          <w:sz w:val="28"/>
          <w:szCs w:val="28"/>
        </w:rPr>
      </w:pPr>
    </w:p>
    <w:p>
      <w:pPr>
        <w:ind w:firstLine="1445" w:firstLineChars="514"/>
        <w:rPr>
          <w:rFonts w:ascii="仿宋_GB2312" w:hAnsi="仿宋_GB2312" w:eastAsia="仿宋_GB2312" w:cs="仿宋_GB2312"/>
          <w:b/>
          <w:sz w:val="28"/>
          <w:szCs w:val="28"/>
        </w:rPr>
      </w:pPr>
    </w:p>
    <w:p>
      <w:pPr>
        <w:ind w:firstLine="1445" w:firstLineChars="514"/>
        <w:rPr>
          <w:rFonts w:ascii="仿宋_GB2312" w:hAnsi="仿宋_GB2312" w:eastAsia="仿宋_GB2312" w:cs="仿宋_GB2312"/>
          <w:b/>
          <w:sz w:val="28"/>
          <w:szCs w:val="28"/>
        </w:rPr>
      </w:pPr>
    </w:p>
    <w:p>
      <w:pPr>
        <w:ind w:firstLine="1445" w:firstLineChars="514"/>
        <w:rPr>
          <w:rFonts w:ascii="仿宋_GB2312" w:hAnsi="仿宋_GB2312" w:eastAsia="仿宋_GB2312" w:cs="仿宋_GB2312"/>
          <w:b/>
          <w:sz w:val="28"/>
          <w:szCs w:val="28"/>
        </w:rPr>
      </w:pPr>
    </w:p>
    <w:p>
      <w:pPr>
        <w:adjustRightInd w:val="0"/>
        <w:snapToGrid w:val="0"/>
        <w:spacing w:line="360" w:lineRule="auto"/>
        <w:ind w:firstLine="835" w:firstLineChars="297"/>
        <w:rPr>
          <w:rFonts w:ascii="仿宋_GB2312" w:hAnsi="仿宋_GB2312" w:eastAsia="仿宋_GB2312" w:cs="仿宋_GB2312"/>
          <w:b/>
          <w:sz w:val="28"/>
          <w:szCs w:val="28"/>
          <w:u w:val="dotted"/>
        </w:rPr>
      </w:pPr>
      <w:r>
        <w:rPr>
          <w:rFonts w:hint="eastAsia" w:ascii="仿宋_GB2312" w:hAnsi="仿宋_GB2312" w:eastAsia="仿宋_GB2312" w:cs="仿宋_GB2312"/>
          <w:b/>
          <w:sz w:val="28"/>
          <w:szCs w:val="28"/>
        </w:rPr>
        <w:t>项目名称：</w:t>
      </w:r>
      <w:r>
        <w:rPr>
          <w:rFonts w:hint="eastAsia" w:ascii="仿宋_GB2312" w:hAnsi="仿宋_GB2312" w:eastAsia="仿宋_GB2312" w:cs="仿宋_GB2312"/>
          <w:b/>
          <w:sz w:val="28"/>
          <w:szCs w:val="28"/>
          <w:u w:val="dotted"/>
        </w:rPr>
        <w:t xml:space="preserve"> 长沙市轨道交通2号线运营期2022年-2024年EAP员工帮扶计划服务项目 </w:t>
      </w:r>
    </w:p>
    <w:p>
      <w:pPr>
        <w:adjustRightInd w:val="0"/>
        <w:snapToGrid w:val="0"/>
        <w:spacing w:line="360" w:lineRule="auto"/>
        <w:ind w:firstLine="835" w:firstLineChars="297"/>
        <w:rPr>
          <w:rFonts w:ascii="仿宋_GB2312" w:hAnsi="仿宋_GB2312" w:eastAsia="仿宋_GB2312" w:cs="仿宋_GB2312"/>
          <w:b/>
          <w:sz w:val="28"/>
          <w:szCs w:val="28"/>
          <w:u w:val="dotted"/>
        </w:rPr>
      </w:pPr>
    </w:p>
    <w:p>
      <w:pPr>
        <w:adjustRightInd w:val="0"/>
        <w:snapToGrid w:val="0"/>
        <w:spacing w:line="360" w:lineRule="auto"/>
        <w:ind w:firstLine="835" w:firstLineChars="297"/>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项目地点：</w:t>
      </w:r>
      <w:r>
        <w:rPr>
          <w:rFonts w:hint="eastAsia" w:ascii="仿宋_GB2312" w:hAnsi="仿宋_GB2312" w:eastAsia="仿宋_GB2312" w:cs="仿宋_GB2312"/>
          <w:b/>
          <w:sz w:val="28"/>
          <w:szCs w:val="28"/>
          <w:u w:val="dotted"/>
        </w:rPr>
        <w:t xml:space="preserve">           湖南省长沙市              </w:t>
      </w:r>
    </w:p>
    <w:p>
      <w:pPr>
        <w:adjustRightInd w:val="0"/>
        <w:snapToGrid w:val="0"/>
        <w:spacing w:line="360" w:lineRule="auto"/>
        <w:ind w:firstLine="1344" w:firstLineChars="478"/>
        <w:rPr>
          <w:rFonts w:ascii="仿宋_GB2312" w:hAnsi="仿宋_GB2312" w:eastAsia="仿宋_GB2312" w:cs="仿宋_GB2312"/>
          <w:b/>
          <w:sz w:val="28"/>
          <w:szCs w:val="28"/>
        </w:rPr>
      </w:pPr>
    </w:p>
    <w:p>
      <w:pPr>
        <w:adjustRightInd w:val="0"/>
        <w:snapToGrid w:val="0"/>
        <w:spacing w:line="360" w:lineRule="auto"/>
        <w:ind w:firstLine="835" w:firstLineChars="297"/>
        <w:rPr>
          <w:rFonts w:ascii="仿宋_GB2312" w:hAnsi="仿宋_GB2312" w:eastAsia="仿宋_GB2312" w:cs="仿宋_GB2312"/>
          <w:b/>
          <w:sz w:val="28"/>
          <w:szCs w:val="28"/>
          <w:u w:val="dotted"/>
        </w:rPr>
      </w:pPr>
      <w:r>
        <w:rPr>
          <w:rFonts w:hint="eastAsia" w:ascii="仿宋_GB2312" w:hAnsi="仿宋_GB2312" w:eastAsia="仿宋_GB2312" w:cs="仿宋_GB2312"/>
          <w:b/>
          <w:sz w:val="28"/>
          <w:szCs w:val="28"/>
        </w:rPr>
        <w:t>委 托 方：</w:t>
      </w:r>
      <w:r>
        <w:rPr>
          <w:rFonts w:hint="eastAsia" w:ascii="仿宋_GB2312" w:hAnsi="仿宋_GB2312" w:eastAsia="仿宋_GB2312" w:cs="仿宋_GB2312"/>
          <w:b/>
          <w:sz w:val="28"/>
          <w:szCs w:val="28"/>
          <w:u w:val="dotted"/>
        </w:rPr>
        <w:t xml:space="preserve"> 长沙市轨道交通运营有限公司          </w:t>
      </w:r>
    </w:p>
    <w:p>
      <w:pPr>
        <w:adjustRightInd w:val="0"/>
        <w:snapToGrid w:val="0"/>
        <w:spacing w:line="360" w:lineRule="auto"/>
        <w:ind w:firstLine="1344" w:firstLineChars="478"/>
        <w:rPr>
          <w:rFonts w:ascii="仿宋_GB2312" w:hAnsi="仿宋_GB2312" w:eastAsia="仿宋_GB2312" w:cs="仿宋_GB2312"/>
          <w:b/>
          <w:sz w:val="28"/>
          <w:szCs w:val="28"/>
        </w:rPr>
      </w:pPr>
    </w:p>
    <w:p>
      <w:pPr>
        <w:adjustRightInd w:val="0"/>
        <w:snapToGrid w:val="0"/>
        <w:spacing w:line="360" w:lineRule="auto"/>
        <w:ind w:firstLine="835" w:firstLineChars="297"/>
        <w:rPr>
          <w:rFonts w:ascii="仿宋_GB2312" w:hAnsi="仿宋_GB2312" w:eastAsia="仿宋_GB2312" w:cs="仿宋_GB2312"/>
          <w:b/>
          <w:sz w:val="28"/>
          <w:szCs w:val="28"/>
          <w:u w:val="dotted"/>
        </w:rPr>
      </w:pPr>
      <w:r>
        <w:rPr>
          <w:rFonts w:hint="eastAsia" w:ascii="仿宋_GB2312" w:hAnsi="仿宋_GB2312" w:eastAsia="仿宋_GB2312" w:cs="仿宋_GB2312"/>
          <w:b/>
          <w:sz w:val="28"/>
          <w:szCs w:val="28"/>
        </w:rPr>
        <w:t>受 托 方：</w:t>
      </w:r>
      <w:r>
        <w:rPr>
          <w:rFonts w:hint="eastAsia" w:ascii="仿宋_GB2312" w:hAnsi="仿宋_GB2312" w:eastAsia="仿宋_GB2312" w:cs="仿宋_GB2312"/>
          <w:b/>
          <w:sz w:val="28"/>
          <w:szCs w:val="28"/>
          <w:u w:val="dotted"/>
        </w:rPr>
        <w:t xml:space="preserve">                                     </w:t>
      </w:r>
    </w:p>
    <w:p>
      <w:pPr>
        <w:tabs>
          <w:tab w:val="left" w:pos="2580"/>
          <w:tab w:val="center" w:pos="5121"/>
        </w:tabs>
        <w:snapToGrid w:val="0"/>
        <w:spacing w:line="360" w:lineRule="auto"/>
        <w:jc w:val="center"/>
        <w:outlineLvl w:val="0"/>
        <w:rPr>
          <w:rFonts w:ascii="仿宋_GB2312" w:hAnsi="仿宋_GB2312" w:eastAsia="仿宋_GB2312" w:cs="仿宋_GB2312"/>
          <w:b/>
          <w:bCs/>
        </w:rPr>
        <w:sectPr>
          <w:pgSz w:w="11906" w:h="16838"/>
          <w:pgMar w:top="1440" w:right="1800" w:bottom="1440" w:left="1800" w:header="851" w:footer="992" w:gutter="0"/>
          <w:cols w:space="720" w:num="1"/>
          <w:docGrid w:type="lines" w:linePitch="312" w:charSpace="0"/>
        </w:sectPr>
      </w:pPr>
    </w:p>
    <w:p>
      <w:pPr>
        <w:tabs>
          <w:tab w:val="left" w:pos="2580"/>
          <w:tab w:val="center" w:pos="5121"/>
        </w:tabs>
        <w:snapToGrid w:val="0"/>
        <w:spacing w:line="360" w:lineRule="auto"/>
        <w:jc w:val="center"/>
        <w:outlineLvl w:val="0"/>
        <w:rPr>
          <w:rFonts w:ascii="仿宋_GB2312" w:hAnsi="仿宋_GB2312" w:eastAsia="仿宋_GB2312" w:cs="仿宋_GB2312"/>
          <w:b/>
          <w:bCs/>
        </w:rPr>
      </w:pPr>
      <w:r>
        <w:rPr>
          <w:rFonts w:hint="eastAsia" w:ascii="仿宋_GB2312" w:hAnsi="仿宋_GB2312" w:eastAsia="仿宋_GB2312" w:cs="仿宋_GB2312"/>
          <w:b/>
          <w:bCs/>
        </w:rPr>
        <w:t>第一部分 合同协议书</w:t>
      </w:r>
    </w:p>
    <w:p>
      <w:pPr>
        <w:pStyle w:val="41"/>
        <w:snapToGrid w:val="0"/>
        <w:spacing w:before="0" w:beforeAutospacing="0" w:after="0" w:afterAutospacing="0" w:line="360" w:lineRule="auto"/>
        <w:rPr>
          <w:rFonts w:ascii="仿宋_GB2312" w:hAnsi="仿宋_GB2312" w:eastAsia="仿宋_GB2312" w:cs="仿宋_GB2312"/>
          <w:b/>
        </w:rPr>
      </w:pPr>
    </w:p>
    <w:p>
      <w:pPr>
        <w:pStyle w:val="41"/>
        <w:snapToGrid w:val="0"/>
        <w:spacing w:before="0" w:beforeAutospacing="0" w:after="0" w:afterAutospacing="0" w:line="360" w:lineRule="auto"/>
        <w:rPr>
          <w:rFonts w:ascii="仿宋_GB2312" w:hAnsi="仿宋_GB2312" w:eastAsia="仿宋_GB2312" w:cs="仿宋_GB2312"/>
          <w:b/>
          <w:u w:val="single"/>
        </w:rPr>
      </w:pPr>
      <w:r>
        <w:rPr>
          <w:rFonts w:hint="eastAsia" w:ascii="仿宋_GB2312" w:hAnsi="仿宋_GB2312" w:eastAsia="仿宋_GB2312" w:cs="仿宋_GB2312"/>
          <w:b/>
        </w:rPr>
        <w:t>委托方(以下简称甲方)：</w:t>
      </w:r>
      <w:r>
        <w:rPr>
          <w:rFonts w:hint="eastAsia" w:ascii="仿宋_GB2312" w:hAnsi="仿宋_GB2312" w:eastAsia="仿宋_GB2312" w:cs="仿宋_GB2312"/>
          <w:b/>
          <w:u w:val="single"/>
        </w:rPr>
        <w:t xml:space="preserve"> 长沙市轨道交通运营有限公司 </w:t>
      </w:r>
    </w:p>
    <w:p>
      <w:pPr>
        <w:pStyle w:val="41"/>
        <w:snapToGrid w:val="0"/>
        <w:spacing w:before="0" w:beforeAutospacing="0" w:after="0" w:afterAutospacing="0" w:line="360" w:lineRule="auto"/>
        <w:rPr>
          <w:rFonts w:ascii="仿宋_GB2312" w:hAnsi="仿宋_GB2312" w:eastAsia="仿宋_GB2312" w:cs="仿宋_GB2312"/>
          <w:b/>
          <w:u w:val="single"/>
        </w:rPr>
      </w:pPr>
      <w:r>
        <w:rPr>
          <w:rFonts w:hint="eastAsia" w:ascii="仿宋_GB2312" w:hAnsi="仿宋_GB2312" w:eastAsia="仿宋_GB2312" w:cs="仿宋_GB2312"/>
          <w:b/>
        </w:rPr>
        <w:t>受托方(以下简称乙方)：</w:t>
      </w:r>
      <w:r>
        <w:rPr>
          <w:rFonts w:hint="eastAsia" w:ascii="仿宋_GB2312" w:hAnsi="仿宋_GB2312" w:eastAsia="仿宋_GB2312" w:cs="仿宋_GB2312"/>
          <w:b/>
          <w:u w:val="single"/>
        </w:rPr>
        <w:t xml:space="preserve">                          </w:t>
      </w:r>
    </w:p>
    <w:p>
      <w:pPr>
        <w:widowControl/>
        <w:snapToGrid w:val="0"/>
        <w:spacing w:line="360" w:lineRule="auto"/>
        <w:ind w:firstLine="465"/>
        <w:jc w:val="left"/>
        <w:rPr>
          <w:rFonts w:ascii="仿宋_GB2312" w:hAnsi="仿宋_GB2312" w:eastAsia="仿宋_GB2312" w:cs="仿宋_GB2312"/>
          <w:sz w:val="24"/>
        </w:rPr>
      </w:pPr>
      <w:r>
        <w:rPr>
          <w:rFonts w:hint="eastAsia" w:ascii="仿宋_GB2312" w:hAnsi="仿宋_GB2312" w:eastAsia="仿宋_GB2312" w:cs="仿宋_GB2312"/>
          <w:sz w:val="24"/>
        </w:rPr>
        <w:t>根据《中华人民共和国民法典》及其他有关法律、法规，遵循平等、自愿、公平和诚实信用的原则，双方就下述EAP员工帮扶计划服务项目及有关事项协商一致，共同签订本合同。</w:t>
      </w:r>
    </w:p>
    <w:p>
      <w:pPr>
        <w:pStyle w:val="13"/>
        <w:snapToGrid w:val="0"/>
        <w:spacing w:line="360" w:lineRule="auto"/>
        <w:ind w:firstLine="482" w:firstLineChars="200"/>
        <w:outlineLvl w:val="1"/>
        <w:rPr>
          <w:rFonts w:ascii="仿宋_GB2312" w:hAnsi="仿宋_GB2312" w:eastAsia="仿宋_GB2312" w:cs="仿宋_GB2312"/>
          <w:b/>
          <w:sz w:val="24"/>
        </w:rPr>
      </w:pPr>
      <w:r>
        <w:rPr>
          <w:rFonts w:hint="eastAsia" w:ascii="仿宋_GB2312" w:hAnsi="仿宋_GB2312" w:eastAsia="仿宋_GB2312" w:cs="仿宋_GB2312"/>
          <w:b/>
          <w:sz w:val="24"/>
        </w:rPr>
        <w:t>第一条 项目概况</w:t>
      </w:r>
    </w:p>
    <w:p>
      <w:pPr>
        <w:widowControl/>
        <w:snapToGrid w:val="0"/>
        <w:spacing w:line="360" w:lineRule="auto"/>
        <w:ind w:firstLine="465"/>
        <w:jc w:val="left"/>
        <w:rPr>
          <w:rFonts w:ascii="仿宋_GB2312" w:hAnsi="仿宋_GB2312" w:eastAsia="仿宋_GB2312" w:cs="仿宋_GB2312"/>
          <w:b/>
          <w:sz w:val="24"/>
        </w:rPr>
      </w:pPr>
      <w:r>
        <w:rPr>
          <w:rFonts w:hint="eastAsia" w:ascii="仿宋_GB2312" w:hAnsi="仿宋_GB2312" w:eastAsia="仿宋_GB2312" w:cs="仿宋_GB2312"/>
          <w:sz w:val="24"/>
          <w:u w:val="single"/>
        </w:rPr>
        <w:t xml:space="preserve">具体详见用户需求书/技术规格书。 </w:t>
      </w:r>
    </w:p>
    <w:p>
      <w:pPr>
        <w:pStyle w:val="13"/>
        <w:snapToGrid w:val="0"/>
        <w:spacing w:line="360" w:lineRule="auto"/>
        <w:ind w:firstLine="482" w:firstLineChars="200"/>
        <w:outlineLvl w:val="1"/>
        <w:rPr>
          <w:rFonts w:ascii="仿宋_GB2312" w:hAnsi="仿宋_GB2312" w:eastAsia="仿宋_GB2312" w:cs="仿宋_GB2312"/>
          <w:b/>
          <w:sz w:val="24"/>
        </w:rPr>
      </w:pPr>
      <w:r>
        <w:rPr>
          <w:rFonts w:hint="eastAsia" w:ascii="仿宋_GB2312" w:hAnsi="仿宋_GB2312" w:eastAsia="仿宋_GB2312" w:cs="仿宋_GB2312"/>
          <w:b/>
          <w:sz w:val="24"/>
        </w:rPr>
        <w:t>第二条 服务的内容及要求</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1、服务内容：</w:t>
      </w:r>
      <w:r>
        <w:rPr>
          <w:rFonts w:hint="eastAsia" w:ascii="仿宋_GB2312" w:hAnsi="仿宋_GB2312" w:eastAsia="仿宋_GB2312" w:cs="仿宋_GB2312"/>
          <w:u w:val="single"/>
        </w:rPr>
        <w:t xml:space="preserve">          ,具体内容详见用户需求书/技术规格书</w:t>
      </w:r>
      <w:r>
        <w:rPr>
          <w:rFonts w:hint="eastAsia" w:ascii="仿宋_GB2312" w:hAnsi="仿宋_GB2312" w:eastAsia="仿宋_GB2312" w:cs="仿宋_GB2312"/>
        </w:rPr>
        <w:t>。</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2、服务要求：</w:t>
      </w:r>
      <w:r>
        <w:rPr>
          <w:rFonts w:hint="eastAsia" w:ascii="仿宋_GB2312" w:hAnsi="仿宋_GB2312" w:eastAsia="仿宋_GB2312" w:cs="仿宋_GB2312"/>
          <w:u w:val="single"/>
        </w:rPr>
        <w:t xml:space="preserve">          ,具体详见用户需求书/技术规格书</w:t>
      </w:r>
      <w:r>
        <w:rPr>
          <w:rFonts w:hint="eastAsia" w:ascii="仿宋_GB2312" w:hAnsi="仿宋_GB2312" w:eastAsia="仿宋_GB2312" w:cs="仿宋_GB2312"/>
        </w:rPr>
        <w:t>。</w:t>
      </w:r>
    </w:p>
    <w:p>
      <w:pPr>
        <w:pStyle w:val="13"/>
        <w:snapToGrid w:val="0"/>
        <w:spacing w:line="360" w:lineRule="auto"/>
        <w:ind w:firstLine="482" w:firstLineChars="200"/>
        <w:outlineLvl w:val="1"/>
        <w:rPr>
          <w:rFonts w:ascii="仿宋_GB2312" w:hAnsi="仿宋_GB2312" w:eastAsia="仿宋_GB2312" w:cs="仿宋_GB2312"/>
          <w:b/>
          <w:sz w:val="24"/>
        </w:rPr>
      </w:pPr>
      <w:r>
        <w:rPr>
          <w:rFonts w:hint="eastAsia" w:ascii="仿宋_GB2312" w:hAnsi="仿宋_GB2312" w:eastAsia="仿宋_GB2312" w:cs="仿宋_GB2312"/>
          <w:b/>
          <w:sz w:val="24"/>
        </w:rPr>
        <w:t>第三条 服务期限及进度要求</w:t>
      </w:r>
    </w:p>
    <w:p>
      <w:pPr>
        <w:pStyle w:val="41"/>
        <w:snapToGrid w:val="0"/>
        <w:spacing w:before="0" w:beforeAutospacing="0" w:after="0" w:afterAutospacing="0" w:line="360" w:lineRule="auto"/>
        <w:ind w:firstLine="480" w:firstLineChars="200"/>
        <w:rPr>
          <w:rFonts w:ascii="仿宋_GB2312" w:hAnsi="仿宋_GB2312" w:eastAsia="仿宋_GB2312" w:cs="仿宋_GB2312"/>
          <w:u w:val="single"/>
        </w:rPr>
      </w:pPr>
      <w:r>
        <w:rPr>
          <w:rFonts w:hint="eastAsia" w:ascii="仿宋_GB2312" w:hAnsi="仿宋_GB2312" w:eastAsia="仿宋_GB2312" w:cs="仿宋_GB2312"/>
          <w:u w:val="single"/>
        </w:rPr>
        <w:t xml:space="preserve">             ,具体详见用户需求书/技术规格书。</w:t>
      </w:r>
    </w:p>
    <w:p>
      <w:pPr>
        <w:pStyle w:val="13"/>
        <w:snapToGrid w:val="0"/>
        <w:spacing w:line="360" w:lineRule="auto"/>
        <w:ind w:firstLine="482" w:firstLineChars="200"/>
        <w:outlineLvl w:val="1"/>
        <w:rPr>
          <w:rFonts w:ascii="仿宋_GB2312" w:hAnsi="仿宋_GB2312" w:eastAsia="仿宋_GB2312" w:cs="仿宋_GB2312"/>
          <w:b/>
          <w:sz w:val="24"/>
        </w:rPr>
      </w:pPr>
      <w:r>
        <w:rPr>
          <w:rFonts w:hint="eastAsia" w:ascii="仿宋_GB2312" w:hAnsi="仿宋_GB2312" w:eastAsia="仿宋_GB2312" w:cs="仿宋_GB2312"/>
          <w:b/>
          <w:sz w:val="24"/>
        </w:rPr>
        <w:t>第四条 甲、乙双方的权利义务</w:t>
      </w:r>
    </w:p>
    <w:p>
      <w:pPr>
        <w:pStyle w:val="41"/>
        <w:snapToGrid w:val="0"/>
        <w:spacing w:before="0" w:beforeAutospacing="0" w:after="0" w:afterAutospacing="0" w:line="360" w:lineRule="auto"/>
        <w:ind w:firstLine="482" w:firstLineChars="200"/>
        <w:rPr>
          <w:rFonts w:ascii="仿宋_GB2312" w:hAnsi="仿宋_GB2312" w:eastAsia="仿宋_GB2312" w:cs="仿宋_GB2312"/>
          <w:b/>
        </w:rPr>
      </w:pPr>
      <w:r>
        <w:rPr>
          <w:rFonts w:hint="eastAsia" w:ascii="仿宋_GB2312" w:hAnsi="仿宋_GB2312" w:eastAsia="仿宋_GB2312" w:cs="仿宋_GB2312"/>
          <w:b/>
        </w:rPr>
        <w:t>4.1 甲方的权利义务</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4.1.1甲方有权</w:t>
      </w:r>
      <w:r>
        <w:rPr>
          <w:rFonts w:hint="eastAsia" w:ascii="仿宋_GB2312" w:hAnsi="仿宋" w:eastAsia="仿宋_GB2312"/>
        </w:rPr>
        <w:t>要求乙方按照合同约定履约，并有权对</w:t>
      </w:r>
      <w:r>
        <w:rPr>
          <w:rFonts w:hint="eastAsia" w:ascii="仿宋_GB2312" w:hAnsi="仿宋_GB2312" w:eastAsia="仿宋_GB2312" w:cs="仿宋_GB2312"/>
        </w:rPr>
        <w:t>乙方的服务工作进行检查、考核。</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4.1.2</w:t>
      </w:r>
      <w:r>
        <w:rPr>
          <w:rFonts w:hint="eastAsia" w:ascii="仿宋_GB2312" w:hAnsi="仿宋" w:eastAsia="仿宋_GB2312"/>
        </w:rPr>
        <w:t>在项目执行期间，甲方应向乙方的工作人员提供必要工作便利</w:t>
      </w:r>
      <w:r>
        <w:rPr>
          <w:rFonts w:hint="eastAsia" w:ascii="仿宋_GB2312" w:hAnsi="仿宋_GB2312" w:eastAsia="仿宋_GB2312" w:cs="仿宋_GB2312"/>
        </w:rPr>
        <w:t>。</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4.1.3</w:t>
      </w:r>
      <w:r>
        <w:rPr>
          <w:rFonts w:hint="eastAsia" w:ascii="仿宋_GB2312" w:hAnsi="仿宋" w:eastAsia="仿宋_GB2312"/>
        </w:rPr>
        <w:t>甲方应指定专人或专项小组与乙方对接具体工作，及时向乙方提供该项目的相关资料，以保证乙方能提出合理可行的工作建议和成果，</w:t>
      </w:r>
      <w:r>
        <w:rPr>
          <w:rFonts w:hint="eastAsia" w:ascii="仿宋_GB2312" w:hAnsi="仿宋_GB2312" w:eastAsia="仿宋_GB2312" w:cs="仿宋_GB2312"/>
        </w:rPr>
        <w:t>但甲方不另行承担乙方工作人员现场工作期间所产生的一切费用（该费用已包含在签约合同价中），也不对乙方工作人员非因甲方原因而遭致的人身或者财产损失承担责任。</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4.1.4</w:t>
      </w:r>
      <w:r>
        <w:rPr>
          <w:rFonts w:hint="eastAsia" w:ascii="仿宋_GB2312" w:hAnsi="仿宋" w:eastAsia="仿宋_GB2312"/>
        </w:rPr>
        <w:t>非经甲方书面同意，乙方不得向任何第三方透露本项目的任何内容。</w:t>
      </w:r>
    </w:p>
    <w:p>
      <w:pPr>
        <w:pStyle w:val="41"/>
        <w:snapToGrid w:val="0"/>
        <w:spacing w:before="0" w:beforeAutospacing="0" w:after="0" w:afterAutospacing="0" w:line="360" w:lineRule="auto"/>
        <w:ind w:firstLine="480" w:firstLineChars="200"/>
        <w:rPr>
          <w:rFonts w:ascii="仿宋_GB2312" w:hAnsi="仿宋" w:eastAsia="仿宋_GB2312"/>
        </w:rPr>
      </w:pPr>
      <w:r>
        <w:rPr>
          <w:rFonts w:hint="eastAsia" w:ascii="仿宋_GB2312" w:hAnsi="仿宋" w:eastAsia="仿宋_GB2312"/>
        </w:rPr>
        <w:t xml:space="preserve">4.1.5 </w:t>
      </w:r>
      <w:r>
        <w:rPr>
          <w:rFonts w:hint="eastAsia" w:ascii="仿宋_GB2312" w:hAnsi="仿宋_GB2312" w:eastAsia="仿宋_GB2312" w:cs="仿宋_GB2312"/>
        </w:rPr>
        <w:t>甲方应按本合同约定向乙方支付合同价款。</w:t>
      </w:r>
    </w:p>
    <w:p>
      <w:pPr>
        <w:pStyle w:val="41"/>
        <w:snapToGrid w:val="0"/>
        <w:spacing w:before="0" w:beforeAutospacing="0" w:after="0" w:afterAutospacing="0" w:line="360" w:lineRule="auto"/>
        <w:ind w:firstLine="482" w:firstLineChars="200"/>
        <w:rPr>
          <w:rFonts w:ascii="仿宋_GB2312" w:hAnsi="仿宋_GB2312" w:eastAsia="仿宋_GB2312" w:cs="仿宋_GB2312"/>
          <w:b/>
        </w:rPr>
      </w:pPr>
      <w:r>
        <w:rPr>
          <w:rFonts w:hint="eastAsia" w:ascii="仿宋_GB2312" w:hAnsi="仿宋_GB2312" w:eastAsia="仿宋_GB2312" w:cs="仿宋_GB2312"/>
          <w:b/>
        </w:rPr>
        <w:t>4.2 乙方的权利义务</w:t>
      </w:r>
    </w:p>
    <w:p>
      <w:pPr>
        <w:pStyle w:val="41"/>
        <w:widowControl w:val="0"/>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4.2.1按照国家现行的标准、规范和规程，根据用户需求书/技术规格书要求，按合同约定的进度，负责项目计划和管理、负责提供方法论，提交成果资料，并对其质量负责。交付成果不满足甲方要求的，乙方应及时、无偿予以修订、完善</w:t>
      </w:r>
      <w:r>
        <w:rPr>
          <w:rFonts w:hint="eastAsia" w:ascii="仿宋_GB2312" w:eastAsia="仿宋_GB2312" w:cs="仿宋_GB2312"/>
          <w:lang w:bidi="ar"/>
        </w:rPr>
        <w:t>。</w:t>
      </w:r>
    </w:p>
    <w:p>
      <w:pPr>
        <w:pStyle w:val="41"/>
        <w:snapToGrid w:val="0"/>
        <w:spacing w:before="0" w:beforeAutospacing="0" w:after="0" w:afterAutospacing="0" w:line="360" w:lineRule="auto"/>
        <w:ind w:firstLine="480" w:firstLineChars="200"/>
        <w:rPr>
          <w:rFonts w:ascii="仿宋_GB2312" w:hAnsi="仿宋_GB2312" w:eastAsia="仿宋_GB2312" w:cs="仿宋_GB2312"/>
          <w:lang w:val="zh-CN"/>
        </w:rPr>
      </w:pPr>
      <w:r>
        <w:rPr>
          <w:rFonts w:hint="eastAsia" w:ascii="仿宋_GB2312" w:hAnsi="仿宋_GB2312" w:eastAsia="仿宋_GB2312" w:cs="仿宋_GB2312"/>
          <w:lang w:val="zh-CN"/>
        </w:rPr>
        <w:t>4.2.2乙方应</w:t>
      </w:r>
      <w:r>
        <w:rPr>
          <w:rFonts w:hint="eastAsia" w:ascii="仿宋_GB2312" w:eastAsia="仿宋_GB2312" w:cs="仿宋_GB2312"/>
          <w:lang w:bidi="ar"/>
        </w:rPr>
        <w:t>配备并提供为完成本项目各阶段工作所涉及</w:t>
      </w:r>
      <w:r>
        <w:rPr>
          <w:rFonts w:hint="eastAsia" w:ascii="仿宋_GB2312" w:hAnsi="仿宋" w:eastAsia="仿宋_GB2312"/>
        </w:rPr>
        <w:t>必要的办公、通讯、交通等设施、设备,以及履行本合同所需的所有特殊仪器、工具，并承担所有有关费用</w:t>
      </w:r>
      <w:r>
        <w:rPr>
          <w:rFonts w:hint="eastAsia" w:ascii="仿宋_GB2312" w:hAnsi="仿宋_GB2312" w:eastAsia="仿宋_GB2312" w:cs="仿宋_GB2312"/>
          <w:lang w:val="zh-CN"/>
        </w:rPr>
        <w:t>。</w:t>
      </w:r>
    </w:p>
    <w:p>
      <w:pPr>
        <w:pStyle w:val="41"/>
        <w:snapToGrid w:val="0"/>
        <w:spacing w:before="0" w:beforeAutospacing="0" w:after="0" w:afterAutospacing="0" w:line="360" w:lineRule="auto"/>
        <w:ind w:firstLine="480" w:firstLineChars="200"/>
        <w:rPr>
          <w:rFonts w:ascii="仿宋_GB2312" w:hAnsi="仿宋_GB2312" w:eastAsia="仿宋_GB2312" w:cs="仿宋_GB2312"/>
          <w:lang w:val="zh-CN"/>
        </w:rPr>
      </w:pPr>
      <w:r>
        <w:rPr>
          <w:rFonts w:hint="eastAsia" w:ascii="仿宋_GB2312" w:hAnsi="仿宋_GB2312" w:eastAsia="仿宋_GB2312" w:cs="仿宋_GB2312"/>
          <w:lang w:val="zh-CN"/>
        </w:rPr>
        <w:t>4.2.3</w:t>
      </w:r>
      <w:r>
        <w:rPr>
          <w:rFonts w:hint="eastAsia" w:ascii="仿宋_GB2312" w:hAnsi="仿宋" w:eastAsia="仿宋_GB2312"/>
        </w:rPr>
        <w:t>项目实施团队中的乙方人员在本合同履行期间必须接受和服从甲方项目管理机构的监管</w:t>
      </w:r>
      <w:r>
        <w:rPr>
          <w:rFonts w:hint="eastAsia" w:ascii="仿宋_GB2312" w:hAnsi="仿宋_GB2312" w:eastAsia="仿宋_GB2312" w:cs="仿宋_GB2312"/>
          <w:lang w:val="zh-CN"/>
        </w:rPr>
        <w:t>。</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4.2.4乙方应自费对服务工作成果出现的遗漏或错误负责修改和补充，甲方不再另行支付费用；因乙方遗漏或错误造成甲方损失的，由乙方承担全部责任和费用。</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4.2.5</w:t>
      </w:r>
      <w:r>
        <w:rPr>
          <w:rFonts w:hint="eastAsia" w:ascii="仿宋_GB2312" w:eastAsia="仿宋_GB2312" w:cs="仿宋_GB2312"/>
          <w:lang w:bidi="ar"/>
        </w:rPr>
        <w:t>应遵守国家规定的各项法律法规规章制度，严格按照合同要求及地铁行业所制定的规章制度进行作业</w:t>
      </w:r>
      <w:r>
        <w:rPr>
          <w:rFonts w:hint="eastAsia" w:ascii="仿宋_GB2312" w:hAnsi="仿宋_GB2312" w:eastAsia="仿宋_GB2312" w:cs="仿宋_GB2312"/>
        </w:rPr>
        <w:t>。</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4.2.6</w:t>
      </w:r>
      <w:r>
        <w:rPr>
          <w:rFonts w:hint="eastAsia" w:ascii="仿宋_GB2312" w:hAnsi="仿宋" w:eastAsia="仿宋_GB2312"/>
        </w:rPr>
        <w:t>对于甲方提供的资料，若乙方认为存在不准确或不完整情形时，乙方应及时向甲方提出</w:t>
      </w:r>
      <w:r>
        <w:rPr>
          <w:rFonts w:hint="eastAsia" w:ascii="仿宋_GB2312" w:hAnsi="仿宋_GB2312" w:eastAsia="仿宋_GB2312" w:cs="仿宋_GB2312"/>
        </w:rPr>
        <w:t>。</w:t>
      </w:r>
    </w:p>
    <w:p>
      <w:pPr>
        <w:pStyle w:val="41"/>
        <w:snapToGrid w:val="0"/>
        <w:spacing w:before="0" w:beforeAutospacing="0" w:after="0" w:afterAutospacing="0" w:line="360" w:lineRule="auto"/>
        <w:ind w:firstLine="480" w:firstLineChars="200"/>
        <w:rPr>
          <w:rFonts w:ascii="仿宋_GB2312" w:hAnsi="仿宋_GB2312" w:eastAsia="仿宋_GB2312" w:cs="仿宋_GB2312"/>
          <w:lang w:val="zh-CN"/>
        </w:rPr>
      </w:pPr>
      <w:r>
        <w:rPr>
          <w:rFonts w:hint="eastAsia" w:ascii="仿宋_GB2312" w:hAnsi="仿宋_GB2312" w:eastAsia="仿宋_GB2312" w:cs="仿宋_GB2312"/>
          <w:lang w:val="zh-CN"/>
        </w:rPr>
        <w:t>4.2.7</w:t>
      </w:r>
      <w:r>
        <w:rPr>
          <w:rFonts w:hint="eastAsia" w:ascii="仿宋_GB2312" w:eastAsia="仿宋_GB2312" w:cs="仿宋_GB2312"/>
          <w:lang w:bidi="ar"/>
        </w:rPr>
        <w:t>按合同约定提供售后（如有）、培训（如有）等相关服务</w:t>
      </w:r>
      <w:r>
        <w:rPr>
          <w:rFonts w:hint="eastAsia" w:ascii="仿宋_GB2312" w:hAnsi="仿宋_GB2312" w:eastAsia="仿宋_GB2312" w:cs="仿宋_GB2312"/>
          <w:lang w:val="zh-CN"/>
        </w:rPr>
        <w:t>。</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4.2.8</w:t>
      </w:r>
      <w:r>
        <w:rPr>
          <w:rFonts w:hint="eastAsia" w:ascii="仿宋_GB2312" w:eastAsia="仿宋_GB2312" w:cs="仿宋_GB2312"/>
          <w:lang w:bidi="ar"/>
        </w:rPr>
        <w:t>乙方有义务无偿提供回访服务、后续服务支持和技术咨询</w:t>
      </w:r>
      <w:r>
        <w:rPr>
          <w:rFonts w:hint="eastAsia" w:ascii="仿宋_GB2312" w:hAnsi="仿宋_GB2312" w:eastAsia="仿宋_GB2312" w:cs="仿宋_GB2312"/>
        </w:rPr>
        <w:t>。</w:t>
      </w:r>
    </w:p>
    <w:p>
      <w:pPr>
        <w:pStyle w:val="13"/>
        <w:snapToGrid w:val="0"/>
        <w:spacing w:line="360" w:lineRule="auto"/>
        <w:ind w:firstLine="482" w:firstLineChars="200"/>
        <w:outlineLvl w:val="1"/>
        <w:rPr>
          <w:rFonts w:ascii="仿宋_GB2312" w:hAnsi="仿宋_GB2312" w:eastAsia="仿宋_GB2312" w:cs="仿宋_GB2312"/>
          <w:b/>
          <w:sz w:val="24"/>
        </w:rPr>
      </w:pPr>
      <w:r>
        <w:rPr>
          <w:rFonts w:hint="eastAsia" w:ascii="仿宋_GB2312" w:hAnsi="仿宋_GB2312" w:eastAsia="仿宋_GB2312" w:cs="仿宋_GB2312"/>
          <w:b/>
          <w:sz w:val="24"/>
        </w:rPr>
        <w:t>第五条 签约合同价的形式、金额及支付方式</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5.1签约合同价的形式</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签约合同价的形式为：</w:t>
      </w:r>
    </w:p>
    <w:p>
      <w:pPr>
        <w:pStyle w:val="41"/>
        <w:snapToGrid w:val="0"/>
        <w:spacing w:before="0" w:beforeAutospacing="0" w:after="0" w:afterAutospacing="0" w:line="360" w:lineRule="auto"/>
        <w:ind w:firstLine="480" w:firstLineChars="200"/>
        <w:rPr>
          <w:rFonts w:ascii="仿宋_GB2312" w:hAnsi="仿宋_GB2312" w:eastAsia="仿宋_GB2312" w:cs="仿宋_GB2312"/>
          <w:u w:val="single"/>
        </w:rPr>
      </w:pPr>
      <w:r>
        <w:rPr>
          <w:rFonts w:hint="eastAsia" w:ascii="仿宋_GB2312" w:hAnsi="仿宋_GB2312" w:eastAsia="仿宋_GB2312" w:cs="仿宋_GB2312"/>
          <w:u w:val="single"/>
        </w:rPr>
        <w:t>□总价合同（除税率调整外，合同总价（即中标总价/中选总价/成交总价）在合同执行过程中固定不变，不随政府政策（长沙市规定的最低工资标准变化等）及市场物价上涨或回落等因素调整）</w:t>
      </w:r>
    </w:p>
    <w:p>
      <w:pPr>
        <w:pStyle w:val="41"/>
        <w:snapToGrid w:val="0"/>
        <w:spacing w:before="0" w:beforeAutospacing="0" w:after="0" w:afterAutospacing="0" w:line="360" w:lineRule="auto"/>
        <w:ind w:firstLine="480" w:firstLineChars="200"/>
        <w:rPr>
          <w:rFonts w:ascii="仿宋_GB2312" w:hAnsi="仿宋_GB2312" w:eastAsia="仿宋_GB2312" w:cs="仿宋_GB2312"/>
          <w:shd w:val="clear" w:color="auto" w:fill="FFFFFF"/>
        </w:rPr>
      </w:pPr>
      <w:r>
        <w:rPr>
          <w:rFonts w:hint="eastAsia" w:ascii="仿宋_GB2312" w:hAnsi="仿宋_GB2312" w:eastAsia="仿宋_GB2312" w:cs="仿宋_GB2312"/>
          <w:u w:val="single"/>
        </w:rPr>
        <w:sym w:font="Wingdings 2" w:char="0052"/>
      </w:r>
      <w:r>
        <w:rPr>
          <w:rFonts w:hint="eastAsia" w:ascii="仿宋_GB2312" w:hAnsi="仿宋_GB2312" w:eastAsia="仿宋_GB2312" w:cs="仿宋_GB2312"/>
          <w:u w:val="single"/>
        </w:rPr>
        <w:t>单价合同（除税率调整外，合同单价（即中标单价/中选单价/成交单价）在合同执行过程中固定不变，不随政府政策（长沙市规定的最低工资标准变化等）及市场物价上涨或回落等因素调整）</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5.2签约合同价的金额</w:t>
      </w:r>
    </w:p>
    <w:p>
      <w:pPr>
        <w:pStyle w:val="41"/>
        <w:snapToGrid w:val="0"/>
        <w:spacing w:before="0" w:beforeAutospacing="0" w:after="0" w:afterAutospacing="0" w:line="360" w:lineRule="auto"/>
        <w:ind w:firstLine="480" w:firstLineChars="200"/>
        <w:rPr>
          <w:rFonts w:ascii="仿宋_GB2312" w:hAnsi="仿宋_GB2312" w:eastAsia="仿宋_GB2312" w:cs="仿宋_GB2312"/>
          <w:shd w:val="clear" w:color="auto" w:fill="FFFFFF"/>
        </w:rPr>
      </w:pPr>
      <w:r>
        <w:rPr>
          <w:rFonts w:hint="eastAsia" w:ascii="仿宋_GB2312" w:hAnsi="仿宋_GB2312" w:eastAsia="仿宋_GB2312" w:cs="仿宋_GB2312"/>
        </w:rPr>
        <w:t>签约合同价为含增值税价，金额为人民币（大写）</w:t>
      </w:r>
      <w:r>
        <w:rPr>
          <w:rFonts w:hint="eastAsia" w:ascii="仿宋_GB2312" w:hAnsi="仿宋_GB2312" w:eastAsia="仿宋_GB2312" w:cs="仿宋_GB2312"/>
          <w:u w:val="single"/>
        </w:rPr>
        <w:t xml:space="preserve">      </w:t>
      </w:r>
      <w:r>
        <w:rPr>
          <w:rFonts w:ascii="Times New Roman" w:hAnsi="Times New Roman" w:eastAsia="仿宋_GB2312" w:cs="Times New Roman"/>
        </w:rPr>
        <w:t>（¥</w:t>
      </w:r>
      <w:r>
        <w:rPr>
          <w:rFonts w:ascii="Times New Roman" w:hAnsi="Times New Roman" w:eastAsia="仿宋_GB2312" w:cs="Times New Roman"/>
          <w:u w:val="single"/>
        </w:rPr>
        <w:t xml:space="preserve">     </w:t>
      </w:r>
      <w:r>
        <w:rPr>
          <w:rFonts w:hint="eastAsia" w:ascii="Times New Roman" w:hAnsi="Times New Roman" w:eastAsia="仿宋_GB2312" w:cs="Times New Roman"/>
          <w:u w:val="single"/>
        </w:rPr>
        <w:t xml:space="preserve"> </w:t>
      </w:r>
      <w:r>
        <w:rPr>
          <w:rFonts w:ascii="Times New Roman" w:hAnsi="Times New Roman" w:eastAsia="仿宋_GB2312" w:cs="Times New Roman"/>
        </w:rPr>
        <w:t>），其中不含增值税价格为¥</w:t>
      </w:r>
      <w:r>
        <w:rPr>
          <w:rFonts w:ascii="Times New Roman" w:hAnsi="Times New Roman" w:eastAsia="仿宋_GB2312" w:cs="Times New Roman"/>
          <w:u w:val="single"/>
        </w:rPr>
        <w:t xml:space="preserve">    </w:t>
      </w:r>
      <w:r>
        <w:rPr>
          <w:rFonts w:hint="eastAsia" w:ascii="Times New Roman" w:hAnsi="Times New Roman" w:eastAsia="仿宋_GB2312" w:cs="Times New Roman"/>
          <w:u w:val="single"/>
        </w:rPr>
        <w:t xml:space="preserve">   </w:t>
      </w:r>
      <w:r>
        <w:rPr>
          <w:rFonts w:ascii="Times New Roman" w:hAnsi="Times New Roman" w:eastAsia="仿宋_GB2312" w:cs="Times New Roman"/>
        </w:rPr>
        <w:t>、</w:t>
      </w:r>
      <w:r>
        <w:rPr>
          <w:rFonts w:hint="eastAsia" w:ascii="Times New Roman" w:hAnsi="Times New Roman" w:eastAsia="仿宋_GB2312" w:cs="Times New Roman"/>
        </w:rPr>
        <w:t>签约合同价</w:t>
      </w:r>
      <w:r>
        <w:rPr>
          <w:rFonts w:ascii="Times New Roman" w:hAnsi="Times New Roman" w:eastAsia="仿宋_GB2312" w:cs="Times New Roman"/>
        </w:rPr>
        <w:t>中的增值税为¥</w:t>
      </w:r>
      <w:r>
        <w:rPr>
          <w:rFonts w:ascii="Times New Roman" w:hAnsi="Times New Roman" w:eastAsia="仿宋_GB2312" w:cs="Times New Roman"/>
          <w:u w:val="single"/>
        </w:rPr>
        <w:t xml:space="preserve">    </w:t>
      </w:r>
      <w:r>
        <w:rPr>
          <w:rFonts w:hint="eastAsia" w:ascii="Times New Roman" w:hAnsi="Times New Roman" w:eastAsia="仿宋_GB2312" w:cs="Times New Roman"/>
          <w:u w:val="single"/>
        </w:rPr>
        <w:t xml:space="preserve">   </w:t>
      </w:r>
      <w:r>
        <w:rPr>
          <w:rFonts w:ascii="Times New Roman" w:hAnsi="Times New Roman" w:eastAsia="仿宋_GB2312" w:cs="Times New Roman"/>
        </w:rPr>
        <w:t>。</w:t>
      </w:r>
      <w:r>
        <w:rPr>
          <w:rFonts w:hint="eastAsia" w:ascii="仿宋_GB2312" w:hAnsi="仿宋_GB2312" w:eastAsia="仿宋_GB2312" w:cs="仿宋_GB2312"/>
        </w:rPr>
        <w:t>增值税根据乙方提供给甲方的增值税专用发票中的税额据实支付和结算，具体价格组成详见签约合同价清单。</w:t>
      </w:r>
    </w:p>
    <w:p>
      <w:pPr>
        <w:pStyle w:val="41"/>
        <w:snapToGrid w:val="0"/>
        <w:spacing w:before="0" w:beforeAutospacing="0" w:after="0" w:afterAutospacing="0" w:line="360" w:lineRule="auto"/>
        <w:ind w:firstLine="480" w:firstLineChars="200"/>
        <w:rPr>
          <w:rFonts w:ascii="仿宋_GB2312" w:hAnsi="仿宋_GB2312" w:eastAsia="仿宋_GB2312" w:cs="仿宋_GB2312"/>
          <w:shd w:val="clear" w:color="auto" w:fill="FFFFFF"/>
        </w:rPr>
      </w:pPr>
      <w:r>
        <w:rPr>
          <w:rFonts w:hint="eastAsia" w:ascii="仿宋_GB2312" w:hAnsi="仿宋_GB2312" w:eastAsia="仿宋_GB2312" w:cs="仿宋_GB2312"/>
          <w:bCs/>
        </w:rPr>
        <w:t>按照长沙市政府或其职能部门相关规定，</w:t>
      </w:r>
      <w:r>
        <w:rPr>
          <w:rFonts w:hint="eastAsia" w:ascii="仿宋_GB2312" w:hAnsi="仿宋_GB2312" w:eastAsia="仿宋_GB2312" w:cs="仿宋_GB2312"/>
        </w:rPr>
        <w:t>本项目的合同价格最终以</w:t>
      </w:r>
      <w:r>
        <w:rPr>
          <w:rFonts w:ascii="仿宋_GB2312" w:hAnsi="仿宋_GB2312" w:eastAsia="仿宋_GB2312" w:cs="仿宋_GB2312"/>
          <w:u w:val="single"/>
        </w:rPr>
        <w:t>□长沙市政府相关职能部门或长沙市轨道交通集团有限公司授权的单位审定价款为准</w:t>
      </w:r>
      <w:r>
        <w:rPr>
          <w:rFonts w:ascii="仿宋_GB2312" w:hAnsi="仿宋_GB2312" w:eastAsia="仿宋_GB2312" w:cs="仿宋_GB2312"/>
        </w:rPr>
        <w:t>/</w:t>
      </w:r>
      <w:r>
        <w:rPr>
          <w:rFonts w:ascii="仿宋_GB2312" w:hAnsi="仿宋_GB2312" w:eastAsia="仿宋_GB2312" w:cs="仿宋_GB2312"/>
          <w:u w:val="single"/>
        </w:rPr>
        <w:sym w:font="Wingdings 2" w:char="0052"/>
      </w:r>
      <w:r>
        <w:rPr>
          <w:rFonts w:ascii="仿宋_GB2312" w:hAnsi="仿宋_GB2312" w:eastAsia="仿宋_GB2312" w:cs="仿宋_GB2312"/>
          <w:u w:val="single"/>
        </w:rPr>
        <w:t>履约验收合格确定的最终价款为准</w:t>
      </w:r>
      <w:r>
        <w:rPr>
          <w:rFonts w:hint="eastAsia" w:ascii="仿宋_GB2312" w:hAnsi="仿宋_GB2312" w:eastAsia="仿宋_GB2312" w:cs="仿宋_GB2312"/>
          <w:bCs/>
        </w:rPr>
        <w:t>。</w:t>
      </w:r>
      <w:r>
        <w:rPr>
          <w:rFonts w:hint="eastAsia" w:ascii="仿宋_GB2312" w:hAnsi="仿宋_GB2312" w:eastAsia="仿宋_GB2312" w:cs="仿宋_GB2312"/>
        </w:rPr>
        <w:t>合同价格</w:t>
      </w:r>
      <w:r>
        <w:rPr>
          <w:rFonts w:hint="eastAsia" w:ascii="仿宋_GB2312" w:hAnsi="仿宋_GB2312" w:eastAsia="仿宋_GB2312" w:cs="仿宋_GB2312"/>
          <w:bCs/>
        </w:rPr>
        <w:t>包括完成合同约定内容所产生的成本、费用（含会务费）、税金、利润、保险、专利、风险等</w:t>
      </w:r>
      <w:r>
        <w:rPr>
          <w:rFonts w:hint="eastAsia" w:ascii="仿宋_GB2312" w:hAnsi="仿宋_GB2312" w:eastAsia="仿宋_GB2312" w:cs="仿宋_GB2312"/>
        </w:rPr>
        <w:t>。</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shd w:val="clear" w:color="auto" w:fill="FFFFFF"/>
        </w:rPr>
        <w:t>5.3</w:t>
      </w:r>
      <w:r>
        <w:rPr>
          <w:rFonts w:hint="eastAsia" w:ascii="仿宋_GB2312" w:hAnsi="仿宋_GB2312" w:eastAsia="仿宋_GB2312" w:cs="仿宋_GB2312"/>
        </w:rPr>
        <w:t>支付方式：</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5.3.1 进度款支付</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进度款按年度计量支付，其中：</w:t>
      </w:r>
    </w:p>
    <w:p>
      <w:pPr>
        <w:adjustRightInd w:val="0"/>
        <w:snapToGrid w:val="0"/>
        <w:spacing w:line="36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sz w:val="24"/>
        </w:rPr>
        <w:t>单价合同的进度款</w:t>
      </w:r>
      <w:r>
        <w:rPr>
          <w:rFonts w:hint="eastAsia" w:ascii="仿宋_GB2312" w:hAnsi="仿宋_GB2312" w:eastAsia="仿宋_GB2312" w:cs="仿宋_GB2312"/>
          <w:bCs/>
          <w:sz w:val="24"/>
        </w:rPr>
        <w:t>为每年计量金额（即当年实际服务工作量*中标单价/中选单价/成交单价）综合当年检查考评结果后的金额。</w:t>
      </w:r>
    </w:p>
    <w:p>
      <w:pPr>
        <w:adjustRightInd w:val="0"/>
        <w:snapToGrid w:val="0"/>
        <w:spacing w:line="36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sz w:val="24"/>
        </w:rPr>
        <w:t>总价合同的进度款</w:t>
      </w:r>
      <w:r>
        <w:rPr>
          <w:rFonts w:hint="eastAsia" w:ascii="仿宋_GB2312" w:hAnsi="仿宋_GB2312" w:eastAsia="仿宋_GB2312" w:cs="仿宋_GB2312"/>
          <w:bCs/>
          <w:sz w:val="24"/>
        </w:rPr>
        <w:t>为签约合同价的年平均数综合当年检查考评结果后的金额。</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进度款支付应</w:t>
      </w:r>
      <w:r>
        <w:rPr>
          <w:rFonts w:hint="eastAsia" w:ascii="仿宋_GB2312" w:hAnsi="仿宋_GB2312" w:eastAsia="仿宋_GB2312" w:cs="仿宋_GB2312"/>
          <w:bCs/>
          <w:sz w:val="24"/>
        </w:rPr>
        <w:t>在每年的考核验收合</w:t>
      </w:r>
      <w:r>
        <w:rPr>
          <w:rFonts w:hint="eastAsia" w:ascii="仿宋_GB2312" w:hAnsi="仿宋_GB2312" w:eastAsia="仿宋_GB2312" w:cs="仿宋_GB2312"/>
          <w:sz w:val="24"/>
        </w:rPr>
        <w:t>格后，乙方凭当次应支付款额度100%的增值税专用发票原件、有效期内的履约担保复印件及甲方出具的当年检查考评得分记录，办理每年的请款手续；甲方在收到乙方的上述请款材料并确认无误后的28个工作日内向乙方进行支付。</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5.3.2 结算款支付</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乙方正确地完全履行合同义务，且</w:t>
      </w:r>
      <w:r>
        <w:rPr>
          <w:rFonts w:hint="eastAsia" w:ascii="仿宋_GB2312" w:hAnsi="仿宋_GB2312" w:eastAsia="仿宋_GB2312" w:cs="仿宋_GB2312"/>
          <w:sz w:val="24"/>
          <w:u w:val="single"/>
        </w:rPr>
        <w:sym w:font="Wingdings 2" w:char="00A3"/>
      </w:r>
      <w:r>
        <w:rPr>
          <w:rFonts w:hint="eastAsia" w:ascii="仿宋_GB2312" w:hAnsi="仿宋_GB2312" w:eastAsia="仿宋_GB2312" w:cs="仿宋_GB2312"/>
          <w:sz w:val="24"/>
          <w:u w:val="single"/>
        </w:rPr>
        <w:t>本项目的合同价格（即结算价格）经长沙市政府相关职能部门或长沙市轨道交通集团有限公司授权的单位审定</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sym w:font="Wingdings 2" w:char="0052"/>
      </w:r>
      <w:r>
        <w:rPr>
          <w:rFonts w:hint="eastAsia" w:ascii="仿宋_GB2312" w:hAnsi="仿宋_GB2312" w:eastAsia="仿宋_GB2312" w:cs="仿宋_GB2312"/>
          <w:sz w:val="24"/>
          <w:u w:val="single"/>
        </w:rPr>
        <w:t>本项目履约验收合格</w:t>
      </w:r>
      <w:r>
        <w:rPr>
          <w:rFonts w:hint="eastAsia" w:ascii="仿宋_GB2312" w:hAnsi="仿宋_GB2312" w:eastAsia="仿宋_GB2312" w:cs="仿宋_GB2312"/>
          <w:kern w:val="0"/>
          <w:sz w:val="24"/>
        </w:rPr>
        <w:t>后，</w:t>
      </w:r>
      <w:r>
        <w:rPr>
          <w:rFonts w:hint="eastAsia" w:ascii="仿宋_GB2312" w:hAnsi="仿宋_GB2312" w:eastAsia="仿宋_GB2312" w:cs="仿宋_GB2312"/>
          <w:sz w:val="24"/>
        </w:rPr>
        <w:t>按上述进度款支付约定的方式，乙方凭当次支付款额度100%的增值税专用发票原件及甲方出具的当年检查考评结果，办理最后一年服务费的请款手续；甲方在收到乙方的上述请款材料并确认无误后的28个工作日内向乙方进行支付。</w:t>
      </w:r>
    </w:p>
    <w:p>
      <w:pPr>
        <w:pStyle w:val="13"/>
        <w:snapToGrid w:val="0"/>
        <w:spacing w:line="360" w:lineRule="auto"/>
        <w:ind w:firstLine="482" w:firstLineChars="200"/>
        <w:outlineLvl w:val="1"/>
        <w:rPr>
          <w:rFonts w:ascii="仿宋_GB2312" w:hAnsi="仿宋_GB2312" w:eastAsia="仿宋_GB2312" w:cs="仿宋_GB2312"/>
          <w:b/>
          <w:sz w:val="24"/>
        </w:rPr>
      </w:pPr>
      <w:r>
        <w:rPr>
          <w:rFonts w:hint="eastAsia" w:ascii="仿宋_GB2312" w:hAnsi="仿宋_GB2312" w:eastAsia="仿宋_GB2312" w:cs="仿宋_GB2312"/>
          <w:b/>
          <w:sz w:val="24"/>
        </w:rPr>
        <w:t>第六条 合同变更</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本合同的变更必须由双方协商一致，并以书面形式确定。但有下列情形之一的，一方可以向另一方提出变更合同权利与义务的请求，另一方应当在</w:t>
      </w:r>
      <w:r>
        <w:rPr>
          <w:rFonts w:hint="eastAsia" w:ascii="仿宋_GB2312" w:hAnsi="仿宋_GB2312" w:eastAsia="仿宋_GB2312" w:cs="仿宋_GB2312"/>
          <w:u w:val="single"/>
        </w:rPr>
        <w:t>14</w:t>
      </w:r>
      <w:r>
        <w:rPr>
          <w:rFonts w:hint="eastAsia" w:ascii="仿宋_GB2312" w:hAnsi="仿宋_GB2312" w:eastAsia="仿宋_GB2312" w:cs="仿宋_GB2312"/>
        </w:rPr>
        <w:t>日内予以答复；逾期未予答复的，视为同意。</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u w:val="single"/>
        </w:rPr>
        <w:t>因发生不可抗力</w:t>
      </w:r>
      <w:r>
        <w:rPr>
          <w:rFonts w:hint="eastAsia" w:ascii="仿宋_GB2312" w:hAnsi="仿宋_GB2312" w:eastAsia="仿宋_GB2312" w:cs="仿宋_GB2312"/>
        </w:rPr>
        <w:t>；</w:t>
      </w:r>
    </w:p>
    <w:p>
      <w:pPr>
        <w:pStyle w:val="41"/>
        <w:snapToGrid w:val="0"/>
        <w:spacing w:before="0" w:beforeAutospacing="0" w:after="0" w:afterAutospacing="0" w:line="360" w:lineRule="auto"/>
        <w:ind w:firstLine="480" w:firstLineChars="200"/>
        <w:rPr>
          <w:rFonts w:ascii="仿宋_GB2312" w:hAnsi="仿宋_GB2312" w:eastAsia="仿宋_GB2312" w:cs="仿宋_GB2312"/>
          <w:u w:val="single"/>
        </w:rPr>
      </w:pPr>
      <w:r>
        <w:rPr>
          <w:rFonts w:hint="eastAsia" w:ascii="仿宋_GB2312" w:hAnsi="仿宋_GB2312" w:eastAsia="仿宋_GB2312" w:cs="仿宋_GB2312"/>
        </w:rPr>
        <w:t>（2）</w:t>
      </w:r>
      <w:r>
        <w:rPr>
          <w:rFonts w:hint="eastAsia" w:ascii="仿宋_GB2312" w:hAnsi="仿宋_GB2312" w:eastAsia="仿宋_GB2312" w:cs="仿宋_GB2312"/>
          <w:u w:val="single"/>
        </w:rPr>
        <w:t>上级部门有重大决策或明确指示将项目暂停或取消的</w:t>
      </w:r>
      <w:r>
        <w:rPr>
          <w:rFonts w:hint="eastAsia" w:ascii="仿宋_GB2312" w:hAnsi="仿宋_GB2312" w:eastAsia="仿宋_GB2312" w:cs="仿宋_GB2312"/>
        </w:rPr>
        <w:t>。</w:t>
      </w:r>
    </w:p>
    <w:p>
      <w:pPr>
        <w:pStyle w:val="13"/>
        <w:snapToGrid w:val="0"/>
        <w:spacing w:line="360" w:lineRule="auto"/>
        <w:ind w:firstLine="482" w:firstLineChars="200"/>
        <w:outlineLvl w:val="1"/>
        <w:rPr>
          <w:rFonts w:ascii="仿宋_GB2312" w:hAnsi="仿宋_GB2312" w:eastAsia="仿宋_GB2312" w:cs="仿宋_GB2312"/>
          <w:b/>
          <w:sz w:val="24"/>
        </w:rPr>
      </w:pPr>
      <w:r>
        <w:rPr>
          <w:rFonts w:hint="eastAsia" w:ascii="仿宋_GB2312" w:hAnsi="仿宋_GB2312" w:eastAsia="仿宋_GB2312" w:cs="仿宋_GB2312"/>
          <w:b/>
          <w:sz w:val="24"/>
        </w:rPr>
        <w:t>第七条 项目验收</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本项目的验收标准及要求：</w:t>
      </w:r>
      <w:r>
        <w:rPr>
          <w:rFonts w:hint="eastAsia" w:ascii="仿宋_GB2312" w:hAnsi="仿宋_GB2312" w:eastAsia="仿宋_GB2312" w:cs="仿宋_GB2312"/>
          <w:u w:val="single"/>
        </w:rPr>
        <w:t>按用户需求书/技术规格书要求执行</w:t>
      </w:r>
      <w:r>
        <w:rPr>
          <w:rFonts w:hint="eastAsia" w:ascii="仿宋_GB2312" w:hAnsi="仿宋_GB2312" w:eastAsia="仿宋_GB2312" w:cs="仿宋_GB2312"/>
        </w:rPr>
        <w:t>。</w:t>
      </w:r>
    </w:p>
    <w:p>
      <w:pPr>
        <w:pStyle w:val="13"/>
        <w:snapToGrid w:val="0"/>
        <w:spacing w:line="360" w:lineRule="auto"/>
        <w:ind w:firstLine="482" w:firstLineChars="200"/>
        <w:outlineLvl w:val="1"/>
        <w:rPr>
          <w:rFonts w:ascii="仿宋_GB2312" w:hAnsi="仿宋_GB2312" w:eastAsia="仿宋_GB2312" w:cs="仿宋_GB2312"/>
          <w:b/>
          <w:sz w:val="24"/>
        </w:rPr>
      </w:pPr>
      <w:r>
        <w:rPr>
          <w:rFonts w:hint="eastAsia" w:ascii="仿宋_GB2312" w:hAnsi="仿宋_GB2312" w:eastAsia="仿宋_GB2312" w:cs="仿宋_GB2312"/>
          <w:b/>
          <w:sz w:val="24"/>
        </w:rPr>
        <w:t>第八条 违约责任及赔偿责任</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以下违约责任约定如有与用户需求书/技术规格书要求不一致的，以用户需求书/技术规格书要求为准。</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8.1</w:t>
      </w:r>
      <w:r>
        <w:rPr>
          <w:rFonts w:hint="eastAsia" w:ascii="仿宋_GB2312" w:eastAsia="仿宋_GB2312" w:cs="仿宋_GB2312"/>
          <w:lang w:bidi="ar"/>
        </w:rPr>
        <w:t>因乙方原因导致未按合同约定时间完成服务，甲方有权要求乙方限期纠正其违约行为，并采取补救措施以确保项目进度符合合同约定，采取补救措施的费用由乙方承担。如果违约通知发出后乙方仍然继续违约行为且逾期已超过10日，乙方应自逾期之日起每逾期一日按逾期项目成果对应的合同款额度的5‰向甲方支付违约金。当违约金累计超过签约合同价的10%，甲方有权解除合同，并要求乙方赔偿甲方因此而造成的全部损失（包括直接损失和预期利益损失，以下同）</w:t>
      </w:r>
      <w:r>
        <w:rPr>
          <w:rFonts w:hint="eastAsia" w:ascii="仿宋_GB2312" w:hAnsi="仿宋_GB2312" w:eastAsia="仿宋_GB2312" w:cs="仿宋_GB2312"/>
        </w:rPr>
        <w:t>。</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8.2原则上甲方不允许乙方更换项目关键岗位人员，确需更换的，乙方应向甲方申请办理变更手续。经甲方审批同意，每更换一名关键岗位人员，甲方有权要求乙方按签约合同价的</w:t>
      </w:r>
      <w:r>
        <w:rPr>
          <w:rFonts w:hint="eastAsia" w:ascii="仿宋_GB2312" w:eastAsia="仿宋_GB2312" w:cs="仿宋_GB2312"/>
          <w:lang w:bidi="ar"/>
        </w:rPr>
        <w:t>5‰</w:t>
      </w:r>
      <w:r>
        <w:rPr>
          <w:rFonts w:hint="eastAsia" w:ascii="仿宋_GB2312" w:hAnsi="仿宋_GB2312" w:eastAsia="仿宋_GB2312" w:cs="仿宋_GB2312"/>
        </w:rPr>
        <w:t>交纳违约金；未经甲方审批同意擅自变更的，一经查实，甲方有权要求乙方按上述标准的双倍交纳违约金。</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8.3乙方正式提交的项目成果经甲方两次验收不通过，甲方有权拒付该项目成果对应的合同款，且有权解除合同，并要求乙方赔偿甲方因此而造成的全部损失。</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8.4乙方未按本合同及法律法规的规定履行其他职责或未按约定履行保密协议的，应向甲方支付</w:t>
      </w:r>
      <w:r>
        <w:rPr>
          <w:rFonts w:hint="eastAsia" w:ascii="仿宋_GB2312" w:eastAsia="仿宋_GB2312" w:cs="仿宋_GB2312"/>
          <w:lang w:bidi="ar"/>
        </w:rPr>
        <w:t>签约合同价</w:t>
      </w:r>
      <w:r>
        <w:rPr>
          <w:rFonts w:hint="eastAsia" w:ascii="仿宋_GB2312" w:hAnsi="仿宋_GB2312" w:eastAsia="仿宋_GB2312" w:cs="仿宋_GB2312"/>
        </w:rPr>
        <w:t>10%的违约金，由此给甲方造成损失的应承担全部赔偿责任。</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8.5乙方在接到甲方发出的违约通知后，应按通知要求交纳违约金；否则，甲方有权暂停合同价款支付或从乙方的合同价款中扣除相应的违约金。</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8.6乙方应以现金或转账方式交纳违约金，甲方根据税法相关规定开具收款收据或增值税发票。</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8.7因乙方提供的发票导致甲方被税务部门追究相关法律责任的，乙方应承担由此给甲方造成的损失（包括但不限于未抵扣的税费、滞纳金）。</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8.8乙方的响应时间超过甲方要求的，甲方有权按500元/天收取违约金。</w:t>
      </w:r>
    </w:p>
    <w:p>
      <w:pPr>
        <w:pStyle w:val="13"/>
        <w:snapToGrid w:val="0"/>
        <w:spacing w:line="360" w:lineRule="auto"/>
        <w:ind w:firstLine="482" w:firstLineChars="200"/>
        <w:outlineLvl w:val="1"/>
        <w:rPr>
          <w:rFonts w:ascii="仿宋_GB2312" w:hAnsi="仿宋_GB2312" w:eastAsia="仿宋_GB2312" w:cs="仿宋_GB2312"/>
          <w:b/>
          <w:sz w:val="24"/>
        </w:rPr>
      </w:pPr>
      <w:r>
        <w:rPr>
          <w:rFonts w:hint="eastAsia" w:ascii="仿宋_GB2312" w:hAnsi="仿宋_GB2312" w:eastAsia="仿宋_GB2312" w:cs="仿宋_GB2312"/>
          <w:b/>
          <w:sz w:val="24"/>
        </w:rPr>
        <w:t>第九条 知识产权及保密</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9.1在本合同有效期内，甲方利用乙方提交的服务工作成果所形成的知识产权，归</w:t>
      </w:r>
      <w:r>
        <w:rPr>
          <w:rFonts w:hint="eastAsia" w:ascii="仿宋_GB2312" w:hAnsi="仿宋_GB2312" w:eastAsia="仿宋_GB2312" w:cs="仿宋_GB2312"/>
          <w:u w:val="single"/>
        </w:rPr>
        <w:t xml:space="preserve"> 甲方 </w:t>
      </w:r>
      <w:r>
        <w:rPr>
          <w:rFonts w:hint="eastAsia" w:ascii="仿宋_GB2312" w:hAnsi="仿宋_GB2312" w:eastAsia="仿宋_GB2312" w:cs="仿宋_GB2312"/>
        </w:rPr>
        <w:t>所有。</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9.2在本合同有效期内，乙方利用甲方提供的技术资料和工作条件所形成的知识产权，归</w:t>
      </w:r>
      <w:r>
        <w:rPr>
          <w:rFonts w:hint="eastAsia" w:ascii="仿宋_GB2312" w:hAnsi="仿宋_GB2312" w:eastAsia="仿宋_GB2312" w:cs="仿宋_GB2312"/>
          <w:u w:val="single"/>
        </w:rPr>
        <w:t xml:space="preserve"> 双方 </w:t>
      </w:r>
      <w:r>
        <w:rPr>
          <w:rFonts w:hint="eastAsia" w:ascii="仿宋_GB2312" w:hAnsi="仿宋_GB2312" w:eastAsia="仿宋_GB2312" w:cs="仿宋_GB2312"/>
        </w:rPr>
        <w:t>所有。</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9.3乙方对甲方提供的信息资料严格保密，并且不得用于其它商业运作。</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9.4未经甲方同意，乙方不得将甲方提供的信息资料向任何“第三方”披露。</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9.5本合同终止后，保密条款同样生效。</w:t>
      </w:r>
    </w:p>
    <w:p>
      <w:pPr>
        <w:pStyle w:val="13"/>
        <w:snapToGrid w:val="0"/>
        <w:spacing w:line="360" w:lineRule="auto"/>
        <w:ind w:firstLine="482" w:firstLineChars="200"/>
        <w:outlineLvl w:val="1"/>
        <w:rPr>
          <w:rFonts w:ascii="仿宋_GB2312" w:hAnsi="仿宋_GB2312" w:eastAsia="仿宋_GB2312" w:cs="仿宋_GB2312"/>
          <w:b/>
          <w:sz w:val="24"/>
        </w:rPr>
      </w:pPr>
      <w:r>
        <w:rPr>
          <w:rFonts w:hint="eastAsia" w:ascii="仿宋_GB2312" w:hAnsi="仿宋_GB2312" w:eastAsia="仿宋_GB2312" w:cs="仿宋_GB2312"/>
          <w:b/>
          <w:sz w:val="24"/>
        </w:rPr>
        <w:t>第十条 双方的项目联系人</w:t>
      </w:r>
    </w:p>
    <w:p>
      <w:pPr>
        <w:pStyle w:val="13"/>
        <w:snapToGrid w:val="0"/>
        <w:spacing w:line="360" w:lineRule="auto"/>
        <w:ind w:firstLine="480" w:firstLineChars="200"/>
        <w:outlineLvl w:val="1"/>
        <w:rPr>
          <w:rFonts w:ascii="仿宋_GB2312" w:hAnsi="仿宋_GB2312" w:eastAsia="仿宋_GB2312" w:cs="仿宋_GB2312"/>
          <w:b/>
          <w:sz w:val="24"/>
        </w:rPr>
      </w:pPr>
      <w:r>
        <w:rPr>
          <w:rFonts w:hint="eastAsia" w:ascii="仿宋_GB2312" w:hAnsi="仿宋_GB2312" w:eastAsia="仿宋_GB2312" w:cs="仿宋_GB2312"/>
          <w:sz w:val="24"/>
        </w:rPr>
        <w:t>10.1在本合同有效期内，甲乙双方以书面形式确定项目联系人。</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10.2一方变更项目联系人的，应当及时以书面形式通知另一方。未及时通知并影响本合同履行或造成损失的，应承担相应的责任。</w:t>
      </w:r>
    </w:p>
    <w:p>
      <w:pPr>
        <w:pStyle w:val="13"/>
        <w:snapToGrid w:val="0"/>
        <w:spacing w:line="360" w:lineRule="auto"/>
        <w:ind w:firstLine="482" w:firstLineChars="200"/>
        <w:outlineLvl w:val="1"/>
        <w:rPr>
          <w:rFonts w:ascii="仿宋_GB2312" w:hAnsi="仿宋_GB2312" w:eastAsia="仿宋_GB2312" w:cs="仿宋_GB2312"/>
          <w:b/>
          <w:sz w:val="24"/>
        </w:rPr>
      </w:pPr>
      <w:r>
        <w:rPr>
          <w:rFonts w:hint="eastAsia" w:ascii="仿宋_GB2312" w:hAnsi="仿宋_GB2312" w:eastAsia="仿宋_GB2312" w:cs="仿宋_GB2312"/>
          <w:b/>
          <w:sz w:val="24"/>
        </w:rPr>
        <w:t>第十一条 合同解除</w:t>
      </w:r>
    </w:p>
    <w:p>
      <w:pPr>
        <w:pStyle w:val="45"/>
        <w:spacing w:after="0" w:line="360" w:lineRule="auto"/>
        <w:ind w:firstLine="480"/>
        <w:rPr>
          <w:rFonts w:ascii="仿宋_GB2312" w:hAnsi="仿宋_GB2312" w:eastAsia="仿宋_GB2312" w:cs="仿宋_GB2312"/>
          <w:sz w:val="24"/>
        </w:rPr>
      </w:pPr>
      <w:r>
        <w:rPr>
          <w:rFonts w:ascii="仿宋_GB2312" w:hAnsi="仿宋_GB2312" w:eastAsia="仿宋_GB2312" w:cs="仿宋_GB2312"/>
          <w:sz w:val="24"/>
        </w:rPr>
        <w:t>11.1 有下列情形之一的，合同当事人一方或双方可以解除合同：</w:t>
      </w:r>
    </w:p>
    <w:p>
      <w:pPr>
        <w:pStyle w:val="45"/>
        <w:spacing w:after="0" w:line="360" w:lineRule="auto"/>
        <w:ind w:firstLine="480"/>
        <w:rPr>
          <w:rFonts w:ascii="仿宋_GB2312" w:hAnsi="仿宋_GB2312" w:eastAsia="仿宋_GB2312" w:cs="仿宋_GB2312"/>
          <w:sz w:val="24"/>
        </w:rPr>
      </w:pPr>
      <w:r>
        <w:rPr>
          <w:rFonts w:ascii="仿宋_GB2312" w:hAnsi="仿宋_GB2312" w:eastAsia="仿宋_GB2312" w:cs="仿宋_GB2312"/>
          <w:sz w:val="24"/>
        </w:rPr>
        <w:t>（1）乙方将本合同约定的工作全部或部分转包给他人，甲方有权解除合同；</w:t>
      </w:r>
    </w:p>
    <w:p>
      <w:pPr>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（2）乙方提供的服务不符合合同约定的要求，经甲方催告仍不能达到合同约定要求的，甲方有权解除合同；</w:t>
      </w:r>
    </w:p>
    <w:p>
      <w:pPr>
        <w:pStyle w:val="45"/>
        <w:spacing w:after="0" w:line="360" w:lineRule="auto"/>
        <w:ind w:firstLine="480"/>
        <w:rPr>
          <w:rFonts w:ascii="仿宋_GB2312" w:hAnsi="仿宋_GB2312" w:eastAsia="仿宋_GB2312" w:cs="仿宋_GB2312"/>
          <w:sz w:val="24"/>
        </w:rPr>
      </w:pPr>
      <w:r>
        <w:rPr>
          <w:rFonts w:ascii="仿宋_GB2312" w:hAnsi="仿宋_GB2312" w:eastAsia="仿宋_GB2312" w:cs="仿宋_GB2312"/>
          <w:sz w:val="24"/>
        </w:rPr>
        <w:t>（3）因不可抗力致使合同无法履行；</w:t>
      </w:r>
    </w:p>
    <w:p>
      <w:pPr>
        <w:pStyle w:val="45"/>
        <w:spacing w:after="0" w:line="360" w:lineRule="auto"/>
        <w:ind w:firstLine="480"/>
        <w:rPr>
          <w:rFonts w:ascii="仿宋_GB2312" w:hAnsi="仿宋_GB2312" w:eastAsia="仿宋_GB2312" w:cs="仿宋_GB2312"/>
          <w:sz w:val="24"/>
        </w:rPr>
      </w:pPr>
      <w:r>
        <w:rPr>
          <w:rFonts w:ascii="仿宋_GB2312" w:hAnsi="仿宋_GB2312" w:eastAsia="仿宋_GB2312" w:cs="仿宋_GB2312"/>
          <w:sz w:val="24"/>
        </w:rPr>
        <w:t>（4）因一方违约致使合同无法实际履行或实际履行已无必要；</w:t>
      </w:r>
    </w:p>
    <w:p>
      <w:pPr>
        <w:pStyle w:val="45"/>
        <w:spacing w:after="0" w:line="360" w:lineRule="auto"/>
        <w:ind w:firstLine="480"/>
        <w:rPr>
          <w:rFonts w:ascii="仿宋_GB2312" w:hAnsi="仿宋_GB2312" w:eastAsia="仿宋_GB2312" w:cs="仿宋_GB2312"/>
          <w:sz w:val="24"/>
        </w:rPr>
      </w:pPr>
      <w:r>
        <w:rPr>
          <w:rFonts w:ascii="仿宋_GB2312" w:hAnsi="仿宋_GB2312" w:eastAsia="仿宋_GB2312" w:cs="仿宋_GB2312"/>
          <w:sz w:val="24"/>
        </w:rPr>
        <w:t>（5）违约金总额超过合同签约价的20%，甲方有权解除合同</w:t>
      </w:r>
      <w:r>
        <w:rPr>
          <w:rFonts w:hint="eastAsia" w:ascii="仿宋_GB2312" w:hAnsi="仿宋_GB2312" w:eastAsia="仿宋_GB2312" w:cs="仿宋_GB2312"/>
          <w:sz w:val="24"/>
        </w:rPr>
        <w:t>；</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（6）上级部门有重大决策或明确指示将项目取消的。</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11.2任何一方提出解除合同的，应提前30天书面通知对方，违约方应赔偿由此给守约方造成的直接损失和间接损失。因不可抗力导致的合同解除，双方各自承担自身的损失。</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11.3因乙方原因提前终止合同或解除合同（含解除部分合同）的，乙方应承担由此给甲方造成的损失，甲方有权没收乙方所交履约担保（如有），同时甲方有权要求乙方按签约合同价的20%交纳违约金。解除部分合同的，甲方有权另行委托因部分解除合同而乙方未履行部分，乙方应承担甲方由此产生的费用并继续履行合同中未解除的部分。</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11.4合同解除后，本合同约定的有关结算、争议解决方式的条款仍然有效。</w:t>
      </w:r>
    </w:p>
    <w:p>
      <w:pPr>
        <w:pStyle w:val="13"/>
        <w:snapToGrid w:val="0"/>
        <w:spacing w:line="360" w:lineRule="auto"/>
        <w:ind w:firstLine="482" w:firstLineChars="200"/>
        <w:outlineLvl w:val="1"/>
        <w:rPr>
          <w:rFonts w:ascii="仿宋_GB2312" w:hAnsi="仿宋_GB2312" w:eastAsia="仿宋_GB2312" w:cs="仿宋_GB2312"/>
          <w:b/>
          <w:sz w:val="24"/>
        </w:rPr>
      </w:pPr>
      <w:r>
        <w:rPr>
          <w:rFonts w:hint="eastAsia" w:ascii="仿宋_GB2312" w:hAnsi="仿宋_GB2312" w:eastAsia="仿宋_GB2312" w:cs="仿宋_GB2312"/>
          <w:b/>
          <w:sz w:val="24"/>
        </w:rPr>
        <w:t>第十二条 合同终止</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12.1 甲方、乙方履行合同全部义务，合同价款支付完毕，本合同即告终止。</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12.2合同的权利义务终止后，合同当事人应遵循诚实信用原则，履行通知、协助和保密等义务。</w:t>
      </w:r>
    </w:p>
    <w:p>
      <w:pPr>
        <w:pStyle w:val="13"/>
        <w:snapToGrid w:val="0"/>
        <w:spacing w:line="360" w:lineRule="auto"/>
        <w:ind w:firstLine="482" w:firstLineChars="200"/>
        <w:outlineLvl w:val="1"/>
        <w:rPr>
          <w:rFonts w:ascii="仿宋_GB2312" w:hAnsi="仿宋_GB2312" w:eastAsia="仿宋_GB2312" w:cs="仿宋_GB2312"/>
          <w:b/>
          <w:sz w:val="24"/>
        </w:rPr>
      </w:pPr>
      <w:r>
        <w:rPr>
          <w:rFonts w:hint="eastAsia" w:ascii="仿宋_GB2312" w:hAnsi="仿宋_GB2312" w:eastAsia="仿宋_GB2312" w:cs="仿宋_GB2312"/>
          <w:b/>
          <w:sz w:val="24"/>
        </w:rPr>
        <w:t>第十三条 争议解决</w:t>
      </w:r>
    </w:p>
    <w:p>
      <w:pPr>
        <w:adjustRightInd w:val="0"/>
        <w:snapToGrid w:val="0"/>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因本合同以及与本合同有关事项发生争议的，双方可以就争议自行和解或请求行政主管部门、行业协会或其他第三方进行调解。自行和解或经调解达成协议的，经签字并盖章后作为合同补充文件，双方均应遵照执行。若当事人不愿和解、调解或者和解、调解不成的，确定采取下列</w:t>
      </w:r>
      <w:r>
        <w:rPr>
          <w:rFonts w:hint="eastAsia" w:ascii="仿宋_GB2312" w:hAnsi="仿宋_GB2312" w:eastAsia="仿宋_GB2312" w:cs="仿宋_GB2312"/>
          <w:sz w:val="24"/>
          <w:u w:val="single"/>
        </w:rPr>
        <w:t>第（2）种</w:t>
      </w:r>
      <w:r>
        <w:rPr>
          <w:rFonts w:hint="eastAsia" w:ascii="仿宋_GB2312" w:hAnsi="仿宋_GB2312" w:eastAsia="仿宋_GB2312" w:cs="仿宋_GB2312"/>
          <w:sz w:val="24"/>
        </w:rPr>
        <w:t>方式解决：</w:t>
      </w:r>
    </w:p>
    <w:p>
      <w:pPr>
        <w:adjustRightInd w:val="0"/>
        <w:snapToGrid w:val="0"/>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（1）向长沙仲裁委员会提请仲裁；</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szCs w:val="22"/>
        </w:rPr>
        <w:t>（2）向甲方所在地人民法院提起诉讼。</w:t>
      </w:r>
    </w:p>
    <w:p>
      <w:pPr>
        <w:pStyle w:val="13"/>
        <w:snapToGrid w:val="0"/>
        <w:spacing w:line="360" w:lineRule="auto"/>
        <w:ind w:firstLine="482" w:firstLineChars="200"/>
        <w:outlineLvl w:val="1"/>
        <w:rPr>
          <w:rFonts w:ascii="仿宋_GB2312" w:hAnsi="仿宋_GB2312" w:eastAsia="仿宋_GB2312" w:cs="仿宋_GB2312"/>
          <w:b/>
          <w:sz w:val="24"/>
        </w:rPr>
      </w:pPr>
      <w:r>
        <w:rPr>
          <w:rFonts w:hint="eastAsia" w:ascii="仿宋_GB2312" w:hAnsi="仿宋_GB2312" w:eastAsia="仿宋_GB2312" w:cs="仿宋_GB2312"/>
          <w:b/>
          <w:sz w:val="24"/>
        </w:rPr>
        <w:t>第十四条 词语定义及解释</w:t>
      </w:r>
    </w:p>
    <w:p>
      <w:pPr>
        <w:spacing w:line="360" w:lineRule="auto"/>
        <w:ind w:firstLine="470" w:firstLineChars="196"/>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4</w:t>
      </w:r>
      <w:r>
        <w:rPr>
          <w:rFonts w:hint="eastAsia" w:ascii="仿宋_GB2312" w:hAnsi="仿宋_GB2312" w:eastAsia="仿宋_GB2312" w:cs="仿宋_GB2312"/>
          <w:sz w:val="24"/>
        </w:rPr>
        <w:t>.1“合同”是指甲乙双方签署的、合同格式中载明的甲乙双方所达成的协议，包括合同协议书、合同条款及合同附件、合同附录和上述文件所提到的构成合同的所有文件。</w:t>
      </w:r>
    </w:p>
    <w:p>
      <w:pPr>
        <w:spacing w:line="360" w:lineRule="auto"/>
        <w:ind w:firstLine="470" w:firstLineChars="196"/>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4</w:t>
      </w:r>
      <w:r>
        <w:rPr>
          <w:rFonts w:hint="eastAsia" w:ascii="仿宋_GB2312" w:hAnsi="仿宋_GB2312" w:eastAsia="仿宋_GB2312" w:cs="仿宋_GB2312"/>
          <w:sz w:val="24"/>
        </w:rPr>
        <w:t>.2“签约合同价”是指甲方和乙方在合同协议书中确定的金额，即本项目的中标价或中选价或成交价。</w:t>
      </w:r>
    </w:p>
    <w:p>
      <w:pPr>
        <w:snapToGrid w:val="0"/>
        <w:spacing w:line="360" w:lineRule="auto"/>
        <w:ind w:firstLine="470" w:firstLineChars="196"/>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4</w:t>
      </w:r>
      <w:r>
        <w:rPr>
          <w:rFonts w:hint="eastAsia" w:ascii="仿宋_GB2312" w:hAnsi="仿宋_GB2312" w:eastAsia="仿宋_GB2312" w:cs="仿宋_GB2312"/>
          <w:sz w:val="24"/>
        </w:rPr>
        <w:t>.3“合同价格”是指根据本合同规定乙方在正确地完全履行合同义务后，按照长沙市政府或其职能部门相关规定，</w:t>
      </w:r>
      <w:r>
        <w:rPr>
          <w:rFonts w:hint="eastAsia" w:ascii="仿宋_GB2312" w:hAnsi="仿宋_GB2312" w:eastAsia="仿宋_GB2312" w:cs="仿宋_GB2312"/>
          <w:sz w:val="24"/>
          <w:u w:val="single"/>
        </w:rPr>
        <w:sym w:font="Wingdings 2" w:char="00A3"/>
      </w:r>
      <w:r>
        <w:rPr>
          <w:rFonts w:hint="eastAsia" w:ascii="仿宋_GB2312" w:hAnsi="仿宋_GB2312" w:eastAsia="仿宋_GB2312" w:cs="仿宋_GB2312"/>
          <w:sz w:val="24"/>
          <w:u w:val="single"/>
        </w:rPr>
        <w:t>经长沙市政府相关职能部门或长沙市轨道交通集团有限公司</w:t>
      </w:r>
      <w:r>
        <w:rPr>
          <w:rFonts w:hint="eastAsia" w:ascii="仿宋_GB2312" w:hAnsi="仿宋_GB2312" w:eastAsia="仿宋_GB2312" w:cs="仿宋_GB2312"/>
          <w:sz w:val="24"/>
          <w:u w:val="single"/>
          <w:shd w:val="clear" w:color="auto" w:fill="FFFFFF"/>
        </w:rPr>
        <w:t>授权的单位</w:t>
      </w:r>
      <w:r>
        <w:rPr>
          <w:rFonts w:hint="eastAsia" w:ascii="仿宋_GB2312" w:hAnsi="仿宋_GB2312" w:eastAsia="仿宋_GB2312" w:cs="仿宋_GB2312"/>
          <w:sz w:val="24"/>
          <w:u w:val="single"/>
        </w:rPr>
        <w:t>审定的结算价格</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sym w:font="Wingdings 2" w:char="0052"/>
      </w:r>
      <w:r>
        <w:rPr>
          <w:rFonts w:hint="eastAsia" w:ascii="仿宋_GB2312" w:hAnsi="仿宋_GB2312" w:eastAsia="仿宋_GB2312" w:cs="仿宋_GB2312"/>
          <w:sz w:val="24"/>
          <w:u w:val="single"/>
        </w:rPr>
        <w:t>履约验收合格确定的最终价款</w:t>
      </w:r>
      <w:r>
        <w:rPr>
          <w:rFonts w:hint="eastAsia" w:ascii="仿宋_GB2312" w:hAnsi="仿宋_GB2312" w:eastAsia="仿宋_GB2312" w:cs="仿宋_GB2312"/>
          <w:sz w:val="24"/>
        </w:rPr>
        <w:t>。</w:t>
      </w:r>
    </w:p>
    <w:p>
      <w:pPr>
        <w:adjustRightInd w:val="0"/>
        <w:snapToGrid w:val="0"/>
        <w:spacing w:line="360" w:lineRule="auto"/>
        <w:ind w:firstLine="470" w:firstLineChars="196"/>
        <w:rPr>
          <w:rFonts w:ascii="仿宋_GB2312" w:hAnsi="仿宋_GB2312" w:eastAsia="仿宋_GB2312" w:cs="仿宋_GB2312"/>
          <w:sz w:val="24"/>
        </w:rPr>
      </w:pPr>
      <w:r>
        <w:rPr>
          <w:rFonts w:hint="eastAsia" w:ascii="仿宋_GB2312" w:hAnsi="仿宋_GB2312" w:eastAsia="仿宋_GB2312" w:cs="仿宋_GB2312"/>
          <w:sz w:val="24"/>
        </w:rPr>
        <w:t>14.4“服务”是指根据本合同规定乙方在本项目中应承担所有工作和一切义务。</w:t>
      </w:r>
    </w:p>
    <w:p>
      <w:pPr>
        <w:snapToGrid w:val="0"/>
        <w:spacing w:line="360" w:lineRule="auto"/>
        <w:ind w:firstLine="470" w:firstLineChars="196"/>
        <w:rPr>
          <w:rFonts w:ascii="仿宋_GB2312" w:hAnsi="仿宋_GB2312" w:eastAsia="仿宋_GB2312" w:cs="仿宋_GB2312"/>
          <w:sz w:val="24"/>
        </w:rPr>
      </w:pPr>
      <w:r>
        <w:rPr>
          <w:rFonts w:hint="eastAsia" w:ascii="仿宋_GB2312" w:hAnsi="仿宋_GB2312" w:eastAsia="仿宋_GB2312" w:cs="仿宋_GB2312"/>
          <w:sz w:val="24"/>
        </w:rPr>
        <w:t>14.5“甲方”是指委托服务的一方以及其合法继承人，即合同协议书中所述的甲方。</w:t>
      </w:r>
    </w:p>
    <w:p>
      <w:pPr>
        <w:snapToGrid w:val="0"/>
        <w:spacing w:line="360" w:lineRule="auto"/>
        <w:ind w:firstLine="470" w:firstLineChars="196"/>
        <w:rPr>
          <w:rFonts w:ascii="仿宋_GB2312" w:hAnsi="仿宋_GB2312" w:eastAsia="仿宋_GB2312" w:cs="仿宋_GB2312"/>
          <w:sz w:val="24"/>
        </w:rPr>
      </w:pPr>
      <w:r>
        <w:rPr>
          <w:rFonts w:hint="eastAsia" w:ascii="仿宋_GB2312" w:hAnsi="仿宋_GB2312" w:eastAsia="仿宋_GB2312" w:cs="仿宋_GB2312"/>
          <w:sz w:val="24"/>
        </w:rPr>
        <w:t>14.6“乙方”是指承担服务的一方以及其合法继承人，即合同协议书中所述的乙方。</w:t>
      </w:r>
    </w:p>
    <w:p>
      <w:pPr>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14.7“现场”是指合同协议书中明确的履行服务的现场。</w:t>
      </w:r>
    </w:p>
    <w:p>
      <w:pPr>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14.8“日”是指任何一天零时至第二天零时的时间段。</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14.9“月”是指根据公历从一个月份中任何一天开始到下一个月相应日期的前一天的时间段。</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14.10“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pPr>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14.11“书面形式”是指合同书、信件和数据电文（包括电报、电传、传真、电子数据交换和电子邮件）等可以有形地表现所载内容的形式。</w:t>
      </w:r>
    </w:p>
    <w:p>
      <w:pPr>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14.12“不可抗力”是指甲方和乙方在订立本合同时不可预见，在合同履行过程中不可避免并不能克服的自然灾害和社会性突发事件，如地震、海啸、瘟疫、水灾、骚乱、暴动、战争等情形。</w:t>
      </w:r>
    </w:p>
    <w:p>
      <w:pPr>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14.13“履约验收”系指按照长沙市政府相关职能部门或长沙市轨道交通集团有限公司或长沙市轨道交通集团有限公司授权的单位制定的履约验收相关管理规定办理验收。</w:t>
      </w:r>
    </w:p>
    <w:p>
      <w:pPr>
        <w:pStyle w:val="13"/>
        <w:snapToGrid w:val="0"/>
        <w:spacing w:line="360" w:lineRule="auto"/>
        <w:ind w:firstLine="482" w:firstLineChars="200"/>
        <w:outlineLvl w:val="1"/>
        <w:rPr>
          <w:rFonts w:ascii="仿宋_GB2312" w:hAnsi="仿宋_GB2312" w:eastAsia="仿宋_GB2312" w:cs="仿宋_GB2312"/>
          <w:b/>
          <w:sz w:val="24"/>
        </w:rPr>
      </w:pPr>
      <w:r>
        <w:rPr>
          <w:rFonts w:hint="eastAsia" w:ascii="仿宋_GB2312" w:hAnsi="仿宋_GB2312" w:eastAsia="仿宋_GB2312" w:cs="仿宋_GB2312"/>
          <w:b/>
          <w:sz w:val="24"/>
        </w:rPr>
        <w:t>第十五条 合同文件组成及优先顺序</w:t>
      </w:r>
    </w:p>
    <w:p>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本合同文件组成及优先顺序为：</w:t>
      </w:r>
    </w:p>
    <w:p>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（1）补充协议（如果有）；</w:t>
      </w:r>
    </w:p>
    <w:p>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（2）合同协议书；</w:t>
      </w:r>
    </w:p>
    <w:p>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（3）中标通知书/中选通知书/谈判记录表；</w:t>
      </w:r>
    </w:p>
    <w:p>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4</w:t>
      </w:r>
      <w:r>
        <w:rPr>
          <w:rFonts w:hint="eastAsia" w:ascii="仿宋_GB2312" w:hAnsi="仿宋_GB2312" w:eastAsia="仿宋_GB2312" w:cs="仿宋_GB2312"/>
          <w:sz w:val="24"/>
        </w:rPr>
        <w:t>）技术说明</w:t>
      </w:r>
      <w:r>
        <w:rPr>
          <w:rFonts w:ascii="仿宋_GB2312" w:hAnsi="仿宋_GB2312" w:eastAsia="仿宋_GB2312" w:cs="仿宋_GB2312"/>
          <w:sz w:val="24"/>
        </w:rPr>
        <w:t>及要求</w:t>
      </w:r>
      <w:r>
        <w:rPr>
          <w:rFonts w:hint="eastAsia" w:ascii="仿宋_GB2312" w:hAnsi="仿宋_GB2312" w:eastAsia="仿宋_GB2312" w:cs="仿宋_GB2312"/>
          <w:sz w:val="24"/>
        </w:rPr>
        <w:t>；</w:t>
      </w:r>
    </w:p>
    <w:p>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5</w:t>
      </w:r>
      <w:r>
        <w:rPr>
          <w:rFonts w:hint="eastAsia" w:ascii="仿宋_GB2312" w:hAnsi="仿宋_GB2312" w:eastAsia="仿宋_GB2312" w:cs="仿宋_GB2312"/>
          <w:sz w:val="24"/>
        </w:rPr>
        <w:t xml:space="preserve">）签约合同价清单； </w:t>
      </w:r>
    </w:p>
    <w:p>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6</w:t>
      </w:r>
      <w:r>
        <w:rPr>
          <w:rFonts w:hint="eastAsia" w:ascii="仿宋_GB2312" w:hAnsi="仿宋_GB2312" w:eastAsia="仿宋_GB2312" w:cs="仿宋_GB2312"/>
          <w:sz w:val="24"/>
        </w:rPr>
        <w:t>）合同附件及乙方按合同附录格式及要求出具的文件；</w:t>
      </w:r>
    </w:p>
    <w:p>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7</w:t>
      </w:r>
      <w:r>
        <w:rPr>
          <w:rFonts w:hint="eastAsia" w:ascii="仿宋_GB2312" w:hAnsi="仿宋_GB2312" w:eastAsia="仿宋_GB2312" w:cs="仿宋_GB2312"/>
          <w:sz w:val="24"/>
        </w:rPr>
        <w:t>）招标文件/自主竞争性谈判文件/直接委托谈判文件 、澄清与答疑文件及其它补充资料；</w:t>
      </w:r>
    </w:p>
    <w:p>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8</w:t>
      </w:r>
      <w:r>
        <w:rPr>
          <w:rFonts w:hint="eastAsia" w:ascii="仿宋_GB2312" w:hAnsi="仿宋_GB2312" w:eastAsia="仿宋_GB2312" w:cs="仿宋_GB2312"/>
          <w:sz w:val="24"/>
        </w:rPr>
        <w:t>）投标文件/谈判响应文件、澄清文件及其它补充资料；</w:t>
      </w:r>
    </w:p>
    <w:p>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9</w:t>
      </w:r>
      <w:r>
        <w:rPr>
          <w:rFonts w:hint="eastAsia" w:ascii="仿宋_GB2312" w:hAnsi="仿宋_GB2312" w:eastAsia="仿宋_GB2312" w:cs="仿宋_GB2312"/>
          <w:sz w:val="24"/>
        </w:rPr>
        <w:t>）其他构成本合同的文件。</w:t>
      </w:r>
    </w:p>
    <w:p>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上述各项合同文件包括合同当事人就该项合同文件所作出的补充和修改，属于同一类内容的文件，应以最新签署的为准。</w:t>
      </w:r>
    </w:p>
    <w:p>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在合同履行过程中形成的与合同有关的文件均构成合同文件组成部分，并根据其性质确定优先解释顺序。</w:t>
      </w:r>
    </w:p>
    <w:p>
      <w:pPr>
        <w:pStyle w:val="13"/>
        <w:snapToGrid w:val="0"/>
        <w:spacing w:line="360" w:lineRule="auto"/>
        <w:ind w:firstLine="482" w:firstLineChars="200"/>
        <w:outlineLvl w:val="1"/>
        <w:rPr>
          <w:rFonts w:ascii="仿宋_GB2312" w:hAnsi="仿宋_GB2312" w:eastAsia="仿宋_GB2312" w:cs="仿宋_GB2312"/>
          <w:b/>
          <w:sz w:val="24"/>
        </w:rPr>
      </w:pPr>
      <w:r>
        <w:rPr>
          <w:rFonts w:hint="eastAsia" w:ascii="仿宋_GB2312" w:hAnsi="仿宋_GB2312" w:eastAsia="仿宋_GB2312" w:cs="仿宋_GB2312"/>
          <w:b/>
          <w:sz w:val="24"/>
        </w:rPr>
        <w:t>第十六条 不可抗力</w:t>
      </w:r>
    </w:p>
    <w:p>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6</w:t>
      </w:r>
      <w:r>
        <w:rPr>
          <w:rFonts w:hint="eastAsia" w:ascii="仿宋_GB2312" w:hAnsi="仿宋_GB2312" w:eastAsia="仿宋_GB2312" w:cs="仿宋_GB2312"/>
          <w:sz w:val="24"/>
        </w:rPr>
        <w:t>.1不可抗力的确认</w:t>
      </w:r>
    </w:p>
    <w:p>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不可抗力发生后，合同当事人应收集证明不可抗力发生及不可抗力造成损失的证据，并及时认真统计所造成的损失。合同当事人对是否属于不可抗力或其损失发生争议时，按第十三条〔争议解决〕的约定处理。</w:t>
      </w:r>
    </w:p>
    <w:p>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6</w:t>
      </w:r>
      <w:r>
        <w:rPr>
          <w:rFonts w:hint="eastAsia" w:ascii="仿宋_GB2312" w:hAnsi="仿宋_GB2312" w:eastAsia="仿宋_GB2312" w:cs="仿宋_GB2312"/>
          <w:sz w:val="24"/>
        </w:rPr>
        <w:t>.2不可抗力的通知</w:t>
      </w:r>
    </w:p>
    <w:p>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合同一方当事人遇到不可抗力事件，使其履行合同义务受到阻碍时，应立即通知合同另一方当事人，书面说明不可抗力和受阻碍的详细情况，并在合理期限内提供必要的证明。</w:t>
      </w:r>
    </w:p>
    <w:p>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不可抗力持续发生的，合同一方当事人应及时向合同另一方当事人提交中间报告，说明不可抗力和履行合同受阻的情况，并于不可抗力事件结束后28天内提交最终报告及有关资料。</w:t>
      </w:r>
    </w:p>
    <w:p>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6</w:t>
      </w:r>
      <w:r>
        <w:rPr>
          <w:rFonts w:hint="eastAsia" w:ascii="仿宋_GB2312" w:hAnsi="仿宋_GB2312" w:eastAsia="仿宋_GB2312" w:cs="仿宋_GB2312"/>
          <w:sz w:val="24"/>
        </w:rPr>
        <w:t>.3不可抗力后果的承担</w:t>
      </w:r>
    </w:p>
    <w:p>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不可抗力引起的后果及造成的损失由合同当事人按照法律规定及合同约定各自承担。不可抗力发生前已完成的工作应当按照合同约定进行支付。</w:t>
      </w:r>
    </w:p>
    <w:p>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不可抗力发生后，合同当事人均应采取措施尽量避免和减少损失的扩大，任何一方当事人没有采取有效措施导致损失扩大的，应对扩大的损失承担责任。</w:t>
      </w:r>
    </w:p>
    <w:p>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因合同一方迟延履行合同义务，在迟延履行期间遭遇不可抗力的，不免除其违约责任。</w:t>
      </w:r>
    </w:p>
    <w:p>
      <w:pPr>
        <w:pStyle w:val="13"/>
        <w:snapToGrid w:val="0"/>
        <w:spacing w:line="360" w:lineRule="auto"/>
        <w:ind w:firstLine="482" w:firstLineChars="200"/>
        <w:outlineLvl w:val="1"/>
        <w:rPr>
          <w:rFonts w:ascii="仿宋_GB2312" w:hAnsi="仿宋_GB2312" w:eastAsia="仿宋_GB2312" w:cs="仿宋_GB2312"/>
          <w:b/>
          <w:sz w:val="24"/>
        </w:rPr>
      </w:pPr>
      <w:r>
        <w:rPr>
          <w:rFonts w:hint="eastAsia" w:ascii="仿宋_GB2312" w:hAnsi="仿宋_GB2312" w:eastAsia="仿宋_GB2312" w:cs="仿宋_GB2312"/>
          <w:b/>
          <w:sz w:val="24"/>
        </w:rPr>
        <w:t>第十七条 履约担保</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sz w:val="24"/>
        </w:rPr>
      </w:pPr>
      <w:r>
        <w:rPr>
          <w:rFonts w:hint="eastAsia" w:ascii="仿宋_GB2312" w:hAnsi="仿宋_GB2312" w:eastAsia="仿宋_GB2312" w:cs="仿宋_GB2312"/>
          <w:sz w:val="24"/>
        </w:rPr>
        <w:t>17.1乙方</w:t>
      </w:r>
      <w:r>
        <w:rPr>
          <w:rFonts w:hint="eastAsia" w:ascii="仿宋_GB2312" w:hAnsi="仿宋_GB2312" w:eastAsia="仿宋_GB2312" w:cs="仿宋_GB2312"/>
          <w:sz w:val="24"/>
          <w:u w:val="single"/>
        </w:rPr>
        <w:sym w:font="Wingdings 2" w:char="0052"/>
      </w:r>
      <w:r>
        <w:rPr>
          <w:rFonts w:hint="eastAsia" w:ascii="仿宋_GB2312" w:hAnsi="仿宋_GB2312" w:eastAsia="仿宋_GB2312" w:cs="仿宋_GB2312"/>
          <w:sz w:val="24"/>
          <w:u w:val="single"/>
        </w:rPr>
        <w:t>需要</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□不需要</w:t>
      </w:r>
      <w:r>
        <w:rPr>
          <w:rFonts w:hint="eastAsia" w:ascii="仿宋_GB2312" w:hAnsi="仿宋_GB2312" w:eastAsia="仿宋_GB2312" w:cs="仿宋_GB2312"/>
          <w:sz w:val="24"/>
        </w:rPr>
        <w:t>提供履约担保。</w:t>
      </w:r>
    </w:p>
    <w:p>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17.2如需要乙方提供履约担保，则：</w:t>
      </w:r>
    </w:p>
    <w:p>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1）履约担保用于补偿甲方因乙方不能完成其合同义务而蒙受的损失，是办理投标担保（如有）退还手续及合同价款支付手续的必要条件之一。</w:t>
      </w:r>
    </w:p>
    <w:p>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2）乙方提供履约担保的形式、金额及期限可采用以下方式之一：</w:t>
      </w:r>
    </w:p>
    <w:p>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a、采用银行履约保函形式，银行履约保函的担保额度为签约合同价的10%，担保期限为自保函生效之日起，至服务期满之日止。银行履约保函应为在中国境内注册和营业的银行出具的、以甲方为受益人首次申请即作为无条件付款的保函，银行履约保函格式具体详见合同附录。</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b、采用现金形式，现金担保额度为签约合同价的10%，担保期限为履约保证金到账之日起，至合同约定的服务期满之日止。履约担保以现金形式提交的，乙方应从其基本账户通过转帐或电汇至甲方指定的账户。</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3）如需提供履约担保，则乙方应确保提供的银行履约保函持续有效，在银行履约保函到期前1个月内办理好续保手续，并向甲方提供新的有效的银行履约保函。</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4)如需提供履约担保，合同履约未完成而履约担保到期的，乙方应在履约担保到期后的首次办理合同价款支付手续时提供有效的续保文件。</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5）在乙方完成其合同义务包括任何保证义务后，甲方将把履约担保无息退还乙方。</w:t>
      </w:r>
    </w:p>
    <w:p>
      <w:pPr>
        <w:pStyle w:val="13"/>
        <w:snapToGrid w:val="0"/>
        <w:spacing w:line="360" w:lineRule="auto"/>
        <w:ind w:firstLine="482" w:firstLineChars="200"/>
        <w:outlineLvl w:val="1"/>
        <w:rPr>
          <w:rFonts w:ascii="仿宋_GB2312" w:hAnsi="仿宋_GB2312" w:eastAsia="仿宋_GB2312" w:cs="仿宋_GB2312"/>
          <w:b/>
          <w:sz w:val="24"/>
        </w:rPr>
      </w:pPr>
      <w:r>
        <w:rPr>
          <w:rFonts w:hint="eastAsia" w:ascii="仿宋_GB2312" w:hAnsi="仿宋_GB2312" w:eastAsia="仿宋_GB2312" w:cs="仿宋_GB2312"/>
          <w:b/>
          <w:sz w:val="24"/>
        </w:rPr>
        <w:t>第十八条 法律适用</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本合同适用中华人民共和国现行法律、行政法规和规章，如合同条款与法律、行政法规和规章不一致的，按照法律、行政法规和规章修改本合同。</w:t>
      </w:r>
    </w:p>
    <w:p>
      <w:pPr>
        <w:pStyle w:val="13"/>
        <w:snapToGrid w:val="0"/>
        <w:spacing w:line="360" w:lineRule="auto"/>
        <w:ind w:firstLine="482" w:firstLineChars="200"/>
        <w:outlineLvl w:val="1"/>
        <w:rPr>
          <w:rFonts w:ascii="仿宋_GB2312" w:hAnsi="仿宋_GB2312" w:eastAsia="仿宋_GB2312" w:cs="仿宋_GB2312"/>
          <w:b/>
          <w:sz w:val="24"/>
        </w:rPr>
      </w:pPr>
      <w:r>
        <w:rPr>
          <w:rFonts w:hint="eastAsia" w:ascii="仿宋_GB2312" w:hAnsi="仿宋_GB2312" w:eastAsia="仿宋_GB2312" w:cs="仿宋_GB2312"/>
          <w:b/>
          <w:sz w:val="24"/>
        </w:rPr>
        <w:t>第十九条 通知</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19.1本合同一方给另一方的通知均应采用书面形式，传真或快递送到本合同中规定的对方的地址和办理签收手续。</w:t>
      </w:r>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19.2通知以送到之日或通知书中规定的生效之日起生效，两者中以较迟之日为准。</w:t>
      </w:r>
    </w:p>
    <w:p>
      <w:pPr>
        <w:pStyle w:val="13"/>
        <w:snapToGrid w:val="0"/>
        <w:spacing w:line="360" w:lineRule="auto"/>
        <w:ind w:firstLine="482" w:firstLineChars="200"/>
        <w:outlineLvl w:val="1"/>
        <w:rPr>
          <w:rFonts w:ascii="仿宋_GB2312" w:hAnsi="仿宋_GB2312" w:eastAsia="仿宋_GB2312" w:cs="仿宋_GB2312"/>
          <w:b/>
          <w:sz w:val="24"/>
        </w:rPr>
      </w:pPr>
      <w:r>
        <w:rPr>
          <w:rFonts w:hint="eastAsia" w:ascii="仿宋_GB2312" w:hAnsi="仿宋_GB2312" w:eastAsia="仿宋_GB2312" w:cs="仿宋_GB2312"/>
          <w:b/>
          <w:sz w:val="24"/>
        </w:rPr>
        <w:t>第二十条 其他约定</w:t>
      </w:r>
    </w:p>
    <w:p>
      <w:pPr>
        <w:spacing w:line="360" w:lineRule="auto"/>
        <w:ind w:firstLine="465"/>
        <w:rPr>
          <w:rFonts w:ascii="仿宋_GB2312" w:hAnsi="仿宋_GB2312" w:eastAsia="仿宋_GB2312" w:cs="仿宋_GB2312"/>
          <w:sz w:val="24"/>
        </w:rPr>
      </w:pPr>
      <w:r>
        <w:rPr>
          <w:rFonts w:ascii="仿宋_GB2312" w:hAnsi="仿宋_GB2312" w:eastAsia="仿宋_GB2312" w:cs="仿宋_GB2312"/>
          <w:sz w:val="24"/>
        </w:rPr>
        <w:t>20</w:t>
      </w:r>
      <w:r>
        <w:rPr>
          <w:rFonts w:hint="eastAsia" w:ascii="仿宋_GB2312" w:hAnsi="仿宋_GB2312" w:eastAsia="仿宋_GB2312" w:cs="仿宋_GB2312"/>
          <w:sz w:val="24"/>
        </w:rPr>
        <w:t>.1合同签订时间</w:t>
      </w:r>
    </w:p>
    <w:p>
      <w:pPr>
        <w:spacing w:line="360" w:lineRule="auto"/>
        <w:ind w:firstLine="465"/>
        <w:rPr>
          <w:rFonts w:ascii="仿宋_GB2312" w:hAnsi="仿宋_GB2312" w:eastAsia="仿宋_GB2312" w:cs="仿宋_GB2312"/>
          <w:bCs/>
          <w:sz w:val="24"/>
        </w:rPr>
      </w:pPr>
      <w:r>
        <w:rPr>
          <w:rFonts w:hint="eastAsia" w:ascii="仿宋_GB2312" w:hAnsi="仿宋_GB2312" w:eastAsia="仿宋_GB2312" w:cs="仿宋_GB2312"/>
          <w:bCs/>
          <w:sz w:val="24"/>
        </w:rPr>
        <w:t>本合同于</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年</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月</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日签订。</w:t>
      </w:r>
      <w:bookmarkStart w:id="75" w:name="_Toc457826148"/>
      <w:bookmarkStart w:id="76" w:name="_Toc406150419"/>
      <w:bookmarkStart w:id="77" w:name="_Toc351203490"/>
    </w:p>
    <w:p>
      <w:pPr>
        <w:spacing w:line="360" w:lineRule="auto"/>
        <w:ind w:firstLine="465"/>
        <w:rPr>
          <w:rFonts w:ascii="仿宋_GB2312" w:hAnsi="仿宋_GB2312" w:eastAsia="仿宋_GB2312" w:cs="仿宋_GB2312"/>
          <w:sz w:val="24"/>
        </w:rPr>
      </w:pPr>
      <w:r>
        <w:rPr>
          <w:rFonts w:ascii="仿宋_GB2312" w:hAnsi="仿宋_GB2312" w:eastAsia="仿宋_GB2312" w:cs="仿宋_GB2312"/>
          <w:sz w:val="24"/>
        </w:rPr>
        <w:t>20.</w:t>
      </w:r>
      <w:r>
        <w:rPr>
          <w:rFonts w:hint="eastAsia" w:ascii="仿宋_GB2312" w:hAnsi="仿宋_GB2312" w:eastAsia="仿宋_GB2312" w:cs="仿宋_GB2312"/>
          <w:sz w:val="24"/>
        </w:rPr>
        <w:t>2合同签订地点</w:t>
      </w:r>
      <w:bookmarkEnd w:id="75"/>
      <w:bookmarkEnd w:id="76"/>
      <w:bookmarkEnd w:id="77"/>
    </w:p>
    <w:p>
      <w:pPr>
        <w:spacing w:line="360" w:lineRule="auto"/>
        <w:ind w:firstLine="465"/>
        <w:rPr>
          <w:rFonts w:ascii="仿宋_GB2312" w:hAnsi="仿宋_GB2312" w:eastAsia="仿宋_GB2312" w:cs="仿宋_GB2312"/>
          <w:bCs/>
          <w:sz w:val="24"/>
        </w:rPr>
      </w:pPr>
      <w:r>
        <w:rPr>
          <w:rFonts w:hint="eastAsia" w:ascii="仿宋_GB2312" w:hAnsi="仿宋_GB2312" w:eastAsia="仿宋_GB2312" w:cs="仿宋_GB2312"/>
          <w:bCs/>
          <w:sz w:val="24"/>
        </w:rPr>
        <w:t>本合同在</w:t>
      </w:r>
      <w:r>
        <w:rPr>
          <w:rFonts w:hint="eastAsia" w:ascii="仿宋_GB2312" w:hAnsi="仿宋_GB2312" w:eastAsia="仿宋_GB2312" w:cs="仿宋_GB2312"/>
          <w:bCs/>
          <w:sz w:val="24"/>
          <w:u w:val="single"/>
        </w:rPr>
        <w:t xml:space="preserve"> 湖南省长沙市雨花区 </w:t>
      </w:r>
      <w:r>
        <w:rPr>
          <w:rFonts w:hint="eastAsia" w:ascii="仿宋_GB2312" w:hAnsi="仿宋_GB2312" w:eastAsia="仿宋_GB2312" w:cs="仿宋_GB2312"/>
          <w:bCs/>
          <w:sz w:val="24"/>
        </w:rPr>
        <w:t>签订。</w:t>
      </w:r>
      <w:bookmarkStart w:id="78" w:name="_Toc406150420"/>
      <w:bookmarkStart w:id="79" w:name="_Toc457826149"/>
      <w:bookmarkStart w:id="80" w:name="_Toc351203492"/>
    </w:p>
    <w:p>
      <w:pPr>
        <w:spacing w:line="360" w:lineRule="auto"/>
        <w:ind w:firstLine="465"/>
        <w:rPr>
          <w:rFonts w:ascii="仿宋_GB2312" w:hAnsi="仿宋_GB2312" w:eastAsia="仿宋_GB2312" w:cs="仿宋_GB2312"/>
          <w:sz w:val="24"/>
        </w:rPr>
      </w:pPr>
      <w:r>
        <w:rPr>
          <w:rFonts w:ascii="仿宋_GB2312" w:hAnsi="仿宋_GB2312" w:eastAsia="仿宋_GB2312" w:cs="仿宋_GB2312"/>
          <w:sz w:val="24"/>
        </w:rPr>
        <w:t>20</w:t>
      </w:r>
      <w:r>
        <w:rPr>
          <w:rFonts w:hint="eastAsia" w:ascii="仿宋_GB2312" w:hAnsi="仿宋_GB2312" w:eastAsia="仿宋_GB2312" w:cs="仿宋_GB2312"/>
          <w:sz w:val="24"/>
        </w:rPr>
        <w:t>.3合同生效</w:t>
      </w:r>
      <w:bookmarkEnd w:id="78"/>
      <w:bookmarkEnd w:id="79"/>
      <w:bookmarkEnd w:id="80"/>
    </w:p>
    <w:p>
      <w:pPr>
        <w:spacing w:line="360" w:lineRule="auto"/>
        <w:ind w:firstLine="465"/>
        <w:rPr>
          <w:rFonts w:ascii="仿宋_GB2312" w:hAnsi="仿宋_GB2312" w:eastAsia="仿宋_GB2312" w:cs="仿宋_GB2312"/>
          <w:bCs/>
          <w:sz w:val="24"/>
        </w:rPr>
      </w:pPr>
      <w:r>
        <w:rPr>
          <w:rFonts w:hint="eastAsia" w:ascii="仿宋_GB2312" w:hAnsi="仿宋_GB2312" w:eastAsia="仿宋_GB2312" w:cs="仿宋_GB2312"/>
          <w:bCs/>
          <w:sz w:val="24"/>
        </w:rPr>
        <w:t>本合同自</w:t>
      </w:r>
      <w:r>
        <w:rPr>
          <w:rFonts w:hint="eastAsia" w:ascii="仿宋_GB2312" w:hAnsi="仿宋_GB2312" w:eastAsia="仿宋_GB2312" w:cs="仿宋_GB2312"/>
          <w:sz w:val="24"/>
          <w:u w:val="single"/>
        </w:rPr>
        <w:t>合同双方法定代表人或其授权代表签字并加盖合同专用章</w:t>
      </w:r>
      <w:r>
        <w:rPr>
          <w:rFonts w:hint="eastAsia" w:ascii="仿宋_GB2312" w:hAnsi="仿宋_GB2312" w:eastAsia="仿宋_GB2312" w:cs="仿宋_GB2312"/>
          <w:bCs/>
          <w:sz w:val="24"/>
        </w:rPr>
        <w:t>生效。</w:t>
      </w:r>
      <w:bookmarkStart w:id="81" w:name="_Toc457826150"/>
    </w:p>
    <w:p>
      <w:pPr>
        <w:spacing w:line="360" w:lineRule="auto"/>
        <w:ind w:firstLine="465"/>
        <w:rPr>
          <w:rFonts w:ascii="仿宋_GB2312" w:hAnsi="仿宋_GB2312" w:eastAsia="仿宋_GB2312" w:cs="仿宋_GB2312"/>
          <w:sz w:val="24"/>
        </w:rPr>
      </w:pPr>
      <w:r>
        <w:rPr>
          <w:rFonts w:ascii="仿宋_GB2312" w:hAnsi="仿宋_GB2312" w:eastAsia="仿宋_GB2312" w:cs="仿宋_GB2312"/>
          <w:sz w:val="24"/>
        </w:rPr>
        <w:t>20</w:t>
      </w:r>
      <w:r>
        <w:rPr>
          <w:rFonts w:hint="eastAsia" w:ascii="仿宋_GB2312" w:hAnsi="仿宋_GB2312" w:eastAsia="仿宋_GB2312" w:cs="仿宋_GB2312"/>
          <w:sz w:val="24"/>
        </w:rPr>
        <w:t>.4合同份数</w:t>
      </w:r>
      <w:bookmarkEnd w:id="81"/>
    </w:p>
    <w:p>
      <w:pPr>
        <w:pStyle w:val="41"/>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本合同一式十二份（其中正本二份、副本十份），甲方执八份（一正七副）、乙方执四份（一正三副）。合同正本和副本具有同等效力，当合同副本与正本之间存有差异时，以合同正本为准。</w:t>
      </w:r>
    </w:p>
    <w:p>
      <w:pPr>
        <w:pStyle w:val="41"/>
        <w:snapToGrid w:val="0"/>
        <w:spacing w:before="0" w:beforeAutospacing="0" w:after="0" w:afterAutospacing="0" w:line="360" w:lineRule="auto"/>
        <w:ind w:firstLine="480" w:firstLineChars="200"/>
        <w:rPr>
          <w:rFonts w:ascii="仿宋_GB2312" w:hAnsi="仿宋_GB2312" w:eastAsia="仿宋_GB2312" w:cs="仿宋_GB2312"/>
          <w:kern w:val="2"/>
        </w:rPr>
      </w:pPr>
      <w:r>
        <w:rPr>
          <w:rFonts w:ascii="仿宋_GB2312" w:hAnsi="仿宋_GB2312" w:eastAsia="仿宋_GB2312" w:cs="仿宋_GB2312"/>
        </w:rPr>
        <w:t>20</w:t>
      </w:r>
      <w:r>
        <w:rPr>
          <w:rFonts w:hint="eastAsia" w:ascii="仿宋_GB2312" w:hAnsi="仿宋_GB2312" w:eastAsia="仿宋_GB2312" w:cs="仿宋_GB2312"/>
        </w:rPr>
        <w:t>.5甲乙双方约定的其他事项（</w:t>
      </w:r>
      <w:r>
        <w:rPr>
          <w:rFonts w:hint="eastAsia" w:ascii="仿宋_GB2312" w:hAnsi="仿宋_GB2312" w:eastAsia="仿宋_GB2312" w:cs="仿宋_GB2312"/>
          <w:b/>
          <w:bCs/>
        </w:rPr>
        <w:t>本条约定与合同条款中其他约定不一致时，以本条为准</w:t>
      </w:r>
      <w:r>
        <w:rPr>
          <w:rFonts w:hint="eastAsia" w:ascii="仿宋_GB2312" w:hAnsi="仿宋_GB2312" w:eastAsia="仿宋_GB2312" w:cs="仿宋_GB2312"/>
        </w:rPr>
        <w:t>）：</w:t>
      </w:r>
      <w:r>
        <w:rPr>
          <w:rFonts w:hint="eastAsia" w:ascii="仿宋_GB2312" w:hAnsi="仿宋_GB2312" w:eastAsia="仿宋_GB2312" w:cs="仿宋_GB2312"/>
          <w:u w:val="single"/>
        </w:rPr>
        <w:t xml:space="preserve">    /                        </w:t>
      </w:r>
      <w:r>
        <w:rPr>
          <w:rFonts w:hint="eastAsia" w:ascii="仿宋_GB2312" w:hAnsi="仿宋_GB2312" w:eastAsia="仿宋_GB2312" w:cs="仿宋_GB2312"/>
        </w:rPr>
        <w:t>。</w:t>
      </w:r>
      <w:r>
        <w:rPr>
          <w:rFonts w:hint="eastAsia" w:ascii="仿宋_GB2312" w:hAnsi="仿宋_GB2312" w:eastAsia="仿宋_GB2312" w:cs="仿宋_GB2312"/>
        </w:rPr>
        <w:br w:type="page"/>
      </w:r>
      <w:r>
        <w:rPr>
          <w:rFonts w:hint="eastAsia" w:ascii="仿宋_GB2312" w:hAnsi="仿宋_GB2312" w:eastAsia="仿宋_GB2312" w:cs="仿宋_GB2312"/>
          <w:kern w:val="2"/>
        </w:rPr>
        <w:t>（本页无正文）</w:t>
      </w:r>
    </w:p>
    <w:p>
      <w:pPr>
        <w:widowControl/>
        <w:snapToGrid w:val="0"/>
        <w:spacing w:line="360" w:lineRule="auto"/>
        <w:ind w:firstLine="465"/>
        <w:jc w:val="left"/>
        <w:rPr>
          <w:rFonts w:ascii="仿宋_GB2312" w:hAnsi="仿宋_GB2312" w:eastAsia="仿宋_GB2312" w:cs="仿宋_GB2312"/>
          <w:sz w:val="24"/>
        </w:rPr>
      </w:pPr>
    </w:p>
    <w:p>
      <w:pPr>
        <w:widowControl/>
        <w:snapToGrid w:val="0"/>
        <w:spacing w:line="360" w:lineRule="auto"/>
        <w:ind w:firstLine="465"/>
        <w:jc w:val="left"/>
        <w:rPr>
          <w:rFonts w:ascii="仿宋_GB2312" w:hAnsi="仿宋_GB2312" w:eastAsia="仿宋_GB2312" w:cs="仿宋_GB2312"/>
          <w:sz w:val="24"/>
        </w:rPr>
      </w:pPr>
    </w:p>
    <w:tbl>
      <w:tblPr>
        <w:tblStyle w:val="47"/>
        <w:tblW w:w="0" w:type="auto"/>
        <w:jc w:val="center"/>
        <w:tblLayout w:type="fixed"/>
        <w:tblCellMar>
          <w:top w:w="0" w:type="dxa"/>
          <w:left w:w="108" w:type="dxa"/>
          <w:bottom w:w="0" w:type="dxa"/>
          <w:right w:w="108" w:type="dxa"/>
        </w:tblCellMar>
      </w:tblPr>
      <w:tblGrid>
        <w:gridCol w:w="4467"/>
        <w:gridCol w:w="4252"/>
      </w:tblGrid>
      <w:tr>
        <w:trPr>
          <w:trHeight w:val="803" w:hRule="atLeast"/>
          <w:jc w:val="center"/>
        </w:trPr>
        <w:tc>
          <w:tcPr>
            <w:tcW w:w="4467" w:type="dxa"/>
            <w:tcBorders>
              <w:top w:val="nil"/>
              <w:left w:val="nil"/>
              <w:bottom w:val="nil"/>
              <w:right w:val="nil"/>
            </w:tcBorders>
          </w:tcPr>
          <w:p>
            <w:pPr>
              <w:pStyle w:val="25"/>
              <w:snapToGrid w:val="0"/>
              <w:spacing w:line="360" w:lineRule="auto"/>
              <w:rPr>
                <w:rFonts w:ascii="仿宋_GB2312" w:hAnsi="仿宋_GB2312" w:eastAsia="仿宋_GB2312" w:cs="仿宋_GB2312"/>
                <w:sz w:val="24"/>
              </w:rPr>
            </w:pPr>
            <w:r>
              <w:rPr>
                <w:rFonts w:ascii="仿宋_GB2312" w:hAnsi="仿宋_GB2312" w:eastAsia="仿宋_GB2312" w:cs="仿宋_GB2312"/>
                <w:sz w:val="24"/>
              </w:rPr>
              <w:t>委托方（甲方）：(盖章)</w:t>
            </w:r>
          </w:p>
          <w:p>
            <w:pPr>
              <w:pStyle w:val="25"/>
              <w:snapToGrid w:val="0"/>
              <w:spacing w:line="360" w:lineRule="auto"/>
              <w:rPr>
                <w:rFonts w:ascii="仿宋_GB2312" w:hAnsi="仿宋_GB2312" w:eastAsia="仿宋_GB2312" w:cs="仿宋_GB2312"/>
                <w:sz w:val="24"/>
              </w:rPr>
            </w:pPr>
            <w:r>
              <w:rPr>
                <w:rFonts w:ascii="仿宋_GB2312" w:hAnsi="仿宋_GB2312" w:eastAsia="仿宋_GB2312" w:cs="仿宋_GB2312"/>
                <w:sz w:val="24"/>
              </w:rPr>
              <w:t xml:space="preserve"> </w:t>
            </w:r>
          </w:p>
        </w:tc>
        <w:tc>
          <w:tcPr>
            <w:tcW w:w="4252" w:type="dxa"/>
            <w:tcBorders>
              <w:top w:val="nil"/>
              <w:left w:val="nil"/>
              <w:bottom w:val="nil"/>
              <w:right w:val="nil"/>
            </w:tcBorders>
          </w:tcPr>
          <w:p>
            <w:pPr>
              <w:pStyle w:val="25"/>
              <w:snapToGrid w:val="0"/>
              <w:spacing w:line="360" w:lineRule="auto"/>
              <w:rPr>
                <w:rFonts w:ascii="仿宋_GB2312" w:hAnsi="仿宋_GB2312" w:eastAsia="仿宋_GB2312" w:cs="仿宋_GB2312"/>
                <w:sz w:val="24"/>
              </w:rPr>
            </w:pPr>
            <w:r>
              <w:rPr>
                <w:rFonts w:ascii="仿宋_GB2312" w:hAnsi="仿宋_GB2312" w:eastAsia="仿宋_GB2312" w:cs="仿宋_GB2312"/>
                <w:sz w:val="24"/>
              </w:rPr>
              <w:t>受托方（乙方）：（盖章）</w:t>
            </w:r>
          </w:p>
          <w:p>
            <w:pPr>
              <w:pStyle w:val="25"/>
              <w:snapToGrid w:val="0"/>
              <w:spacing w:line="360" w:lineRule="auto"/>
              <w:rPr>
                <w:rFonts w:ascii="仿宋_GB2312" w:hAnsi="仿宋_GB2312" w:eastAsia="仿宋_GB2312" w:cs="仿宋_GB2312"/>
                <w:sz w:val="24"/>
              </w:rPr>
            </w:pPr>
          </w:p>
        </w:tc>
      </w:tr>
      <w:tr>
        <w:tblPrEx>
          <w:tblCellMar>
            <w:top w:w="0" w:type="dxa"/>
            <w:left w:w="108" w:type="dxa"/>
            <w:bottom w:w="0" w:type="dxa"/>
            <w:right w:w="108" w:type="dxa"/>
          </w:tblCellMar>
        </w:tblPrEx>
        <w:trPr>
          <w:trHeight w:val="858" w:hRule="atLeast"/>
          <w:jc w:val="center"/>
        </w:trPr>
        <w:tc>
          <w:tcPr>
            <w:tcW w:w="4467" w:type="dxa"/>
            <w:tcBorders>
              <w:top w:val="nil"/>
              <w:left w:val="nil"/>
              <w:bottom w:val="nil"/>
              <w:right w:val="nil"/>
            </w:tcBorders>
          </w:tcPr>
          <w:p>
            <w:pPr>
              <w:pStyle w:val="25"/>
              <w:snapToGrid w:val="0"/>
              <w:spacing w:line="360" w:lineRule="auto"/>
              <w:ind w:left="19" w:leftChars="9"/>
              <w:rPr>
                <w:rFonts w:ascii="仿宋_GB2312" w:hAnsi="仿宋_GB2312" w:eastAsia="仿宋_GB2312" w:cs="仿宋_GB2312"/>
                <w:sz w:val="24"/>
              </w:rPr>
            </w:pPr>
            <w:r>
              <w:rPr>
                <w:rFonts w:ascii="仿宋_GB2312" w:hAnsi="仿宋_GB2312" w:eastAsia="仿宋_GB2312" w:cs="仿宋_GB2312"/>
                <w:sz w:val="24"/>
              </w:rPr>
              <w:t>法定代表人或其授权代表：</w:t>
            </w:r>
          </w:p>
          <w:p>
            <w:pPr>
              <w:pStyle w:val="25"/>
              <w:snapToGrid w:val="0"/>
              <w:spacing w:line="360" w:lineRule="auto"/>
              <w:ind w:left="19" w:leftChars="9"/>
              <w:rPr>
                <w:rFonts w:ascii="仿宋_GB2312" w:hAnsi="仿宋_GB2312" w:eastAsia="仿宋_GB2312" w:cs="仿宋_GB2312"/>
                <w:sz w:val="24"/>
              </w:rPr>
            </w:pP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sz w:val="24"/>
              </w:rPr>
            </w:pPr>
            <w:r>
              <w:rPr>
                <w:rFonts w:ascii="仿宋_GB2312" w:hAnsi="仿宋_GB2312" w:eastAsia="仿宋_GB2312" w:cs="仿宋_GB2312"/>
                <w:sz w:val="24"/>
              </w:rPr>
              <w:t>法定代表人或其授权代表：</w:t>
            </w:r>
          </w:p>
          <w:p>
            <w:pPr>
              <w:pStyle w:val="25"/>
              <w:snapToGrid w:val="0"/>
              <w:spacing w:line="360" w:lineRule="auto"/>
              <w:ind w:left="34" w:leftChars="16"/>
              <w:rPr>
                <w:rFonts w:ascii="仿宋_GB2312" w:hAnsi="仿宋_GB2312" w:eastAsia="仿宋_GB2312" w:cs="仿宋_GB2312"/>
                <w:sz w:val="24"/>
              </w:rPr>
            </w:pPr>
          </w:p>
        </w:tc>
      </w:tr>
      <w:tr>
        <w:tblPrEx>
          <w:tblCellMar>
            <w:top w:w="0" w:type="dxa"/>
            <w:left w:w="108" w:type="dxa"/>
            <w:bottom w:w="0" w:type="dxa"/>
            <w:right w:w="108" w:type="dxa"/>
          </w:tblCellMar>
        </w:tblPrEx>
        <w:trPr>
          <w:trHeight w:val="833" w:hRule="atLeast"/>
          <w:jc w:val="center"/>
        </w:trPr>
        <w:tc>
          <w:tcPr>
            <w:tcW w:w="4467" w:type="dxa"/>
            <w:tcBorders>
              <w:top w:val="nil"/>
              <w:left w:val="nil"/>
              <w:bottom w:val="nil"/>
              <w:right w:val="nil"/>
            </w:tcBorders>
          </w:tcPr>
          <w:p>
            <w:pPr>
              <w:pStyle w:val="25"/>
              <w:snapToGrid w:val="0"/>
              <w:spacing w:line="360" w:lineRule="auto"/>
              <w:rPr>
                <w:rFonts w:ascii="仿宋_GB2312" w:hAnsi="仿宋_GB2312" w:eastAsia="仿宋_GB2312" w:cs="仿宋_GB2312"/>
                <w:sz w:val="24"/>
              </w:rPr>
            </w:pPr>
            <w:r>
              <w:rPr>
                <w:rFonts w:ascii="仿宋_GB2312" w:hAnsi="仿宋_GB2312" w:eastAsia="仿宋_GB2312" w:cs="仿宋_GB2312"/>
                <w:sz w:val="24"/>
              </w:rPr>
              <w:t xml:space="preserve">地址：  </w:t>
            </w:r>
          </w:p>
        </w:tc>
        <w:tc>
          <w:tcPr>
            <w:tcW w:w="4252" w:type="dxa"/>
            <w:tcBorders>
              <w:top w:val="nil"/>
              <w:left w:val="nil"/>
              <w:bottom w:val="nil"/>
              <w:right w:val="nil"/>
            </w:tcBorders>
          </w:tcPr>
          <w:p>
            <w:pPr>
              <w:pStyle w:val="25"/>
              <w:snapToGrid w:val="0"/>
              <w:spacing w:line="360" w:lineRule="auto"/>
              <w:rPr>
                <w:rFonts w:ascii="仿宋_GB2312" w:hAnsi="仿宋_GB2312" w:eastAsia="仿宋_GB2312" w:cs="仿宋_GB2312"/>
                <w:sz w:val="24"/>
              </w:rPr>
            </w:pPr>
            <w:r>
              <w:rPr>
                <w:rFonts w:ascii="仿宋_GB2312" w:hAnsi="仿宋_GB2312" w:eastAsia="仿宋_GB2312" w:cs="仿宋_GB2312"/>
                <w:sz w:val="24"/>
              </w:rPr>
              <w:t>地址：</w:t>
            </w:r>
          </w:p>
        </w:tc>
      </w:tr>
      <w:tr>
        <w:tblPrEx>
          <w:tblCellMar>
            <w:top w:w="0" w:type="dxa"/>
            <w:left w:w="108" w:type="dxa"/>
            <w:bottom w:w="0" w:type="dxa"/>
            <w:right w:w="108" w:type="dxa"/>
          </w:tblCellMar>
        </w:tblPrEx>
        <w:trPr>
          <w:trHeight w:val="816" w:hRule="atLeast"/>
          <w:jc w:val="center"/>
        </w:trPr>
        <w:tc>
          <w:tcPr>
            <w:tcW w:w="4467" w:type="dxa"/>
            <w:tcBorders>
              <w:top w:val="nil"/>
              <w:left w:val="nil"/>
              <w:bottom w:val="nil"/>
              <w:right w:val="nil"/>
            </w:tcBorders>
          </w:tcPr>
          <w:p>
            <w:pPr>
              <w:pStyle w:val="25"/>
              <w:snapToGrid w:val="0"/>
              <w:spacing w:line="360" w:lineRule="auto"/>
              <w:rPr>
                <w:rFonts w:ascii="仿宋_GB2312" w:hAnsi="仿宋_GB2312" w:eastAsia="仿宋_GB2312" w:cs="仿宋_GB2312"/>
                <w:sz w:val="24"/>
              </w:rPr>
            </w:pPr>
            <w:r>
              <w:rPr>
                <w:rFonts w:ascii="仿宋_GB2312" w:hAnsi="仿宋_GB2312" w:eastAsia="仿宋_GB2312" w:cs="仿宋_GB2312"/>
                <w:sz w:val="24"/>
              </w:rPr>
              <w:t xml:space="preserve">邮编： </w:t>
            </w: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sz w:val="24"/>
              </w:rPr>
            </w:pPr>
            <w:r>
              <w:rPr>
                <w:rFonts w:ascii="仿宋_GB2312" w:hAnsi="仿宋_GB2312" w:eastAsia="仿宋_GB2312" w:cs="仿宋_GB2312"/>
                <w:sz w:val="24"/>
              </w:rPr>
              <w:t>邮编：</w:t>
            </w:r>
          </w:p>
        </w:tc>
      </w:tr>
      <w:tr>
        <w:tblPrEx>
          <w:tblCellMar>
            <w:top w:w="0" w:type="dxa"/>
            <w:left w:w="108" w:type="dxa"/>
            <w:bottom w:w="0" w:type="dxa"/>
            <w:right w:w="108" w:type="dxa"/>
          </w:tblCellMar>
        </w:tblPrEx>
        <w:trPr>
          <w:trHeight w:val="753" w:hRule="atLeast"/>
          <w:jc w:val="center"/>
        </w:trPr>
        <w:tc>
          <w:tcPr>
            <w:tcW w:w="4467" w:type="dxa"/>
            <w:tcBorders>
              <w:top w:val="nil"/>
              <w:left w:val="nil"/>
              <w:bottom w:val="nil"/>
              <w:right w:val="nil"/>
            </w:tcBorders>
          </w:tcPr>
          <w:p>
            <w:pPr>
              <w:pStyle w:val="25"/>
              <w:snapToGrid w:val="0"/>
              <w:spacing w:line="360" w:lineRule="auto"/>
              <w:ind w:left="19" w:leftChars="9"/>
              <w:rPr>
                <w:rFonts w:ascii="仿宋_GB2312" w:hAnsi="仿宋_GB2312" w:eastAsia="仿宋_GB2312" w:cs="仿宋_GB2312"/>
                <w:sz w:val="24"/>
              </w:rPr>
            </w:pPr>
            <w:r>
              <w:rPr>
                <w:rFonts w:ascii="仿宋_GB2312" w:hAnsi="仿宋_GB2312" w:eastAsia="仿宋_GB2312" w:cs="仿宋_GB2312"/>
                <w:sz w:val="24"/>
              </w:rPr>
              <w:t xml:space="preserve">电话： </w:t>
            </w: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sz w:val="24"/>
              </w:rPr>
            </w:pPr>
            <w:r>
              <w:rPr>
                <w:rFonts w:ascii="仿宋_GB2312" w:hAnsi="仿宋_GB2312" w:eastAsia="仿宋_GB2312" w:cs="仿宋_GB2312"/>
                <w:sz w:val="24"/>
              </w:rPr>
              <w:t>电话：</w:t>
            </w:r>
          </w:p>
        </w:tc>
      </w:tr>
      <w:tr>
        <w:tblPrEx>
          <w:tblCellMar>
            <w:top w:w="0" w:type="dxa"/>
            <w:left w:w="108" w:type="dxa"/>
            <w:bottom w:w="0" w:type="dxa"/>
            <w:right w:w="108" w:type="dxa"/>
          </w:tblCellMar>
        </w:tblPrEx>
        <w:trPr>
          <w:trHeight w:val="783" w:hRule="atLeast"/>
          <w:jc w:val="center"/>
        </w:trPr>
        <w:tc>
          <w:tcPr>
            <w:tcW w:w="4467" w:type="dxa"/>
            <w:tcBorders>
              <w:top w:val="nil"/>
              <w:left w:val="nil"/>
              <w:bottom w:val="nil"/>
              <w:right w:val="nil"/>
            </w:tcBorders>
          </w:tcPr>
          <w:p>
            <w:pPr>
              <w:pStyle w:val="25"/>
              <w:snapToGrid w:val="0"/>
              <w:spacing w:line="360" w:lineRule="auto"/>
              <w:ind w:left="19" w:leftChars="9"/>
              <w:rPr>
                <w:rFonts w:ascii="仿宋_GB2312" w:hAnsi="仿宋_GB2312" w:eastAsia="仿宋_GB2312" w:cs="仿宋_GB2312"/>
                <w:sz w:val="24"/>
              </w:rPr>
            </w:pPr>
            <w:r>
              <w:rPr>
                <w:rFonts w:ascii="仿宋_GB2312" w:hAnsi="仿宋_GB2312" w:eastAsia="仿宋_GB2312" w:cs="仿宋_GB2312"/>
                <w:sz w:val="24"/>
              </w:rPr>
              <w:t xml:space="preserve">传真： </w:t>
            </w: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sz w:val="24"/>
              </w:rPr>
            </w:pPr>
            <w:r>
              <w:rPr>
                <w:rFonts w:ascii="仿宋_GB2312" w:hAnsi="仿宋_GB2312" w:eastAsia="仿宋_GB2312" w:cs="仿宋_GB2312"/>
                <w:sz w:val="24"/>
              </w:rPr>
              <w:t>传真：</w:t>
            </w:r>
          </w:p>
        </w:tc>
      </w:tr>
      <w:tr>
        <w:tblPrEx>
          <w:tblCellMar>
            <w:top w:w="0" w:type="dxa"/>
            <w:left w:w="108" w:type="dxa"/>
            <w:bottom w:w="0" w:type="dxa"/>
            <w:right w:w="108" w:type="dxa"/>
          </w:tblCellMar>
        </w:tblPrEx>
        <w:trPr>
          <w:trHeight w:val="810" w:hRule="atLeast"/>
          <w:jc w:val="center"/>
        </w:trPr>
        <w:tc>
          <w:tcPr>
            <w:tcW w:w="4467" w:type="dxa"/>
            <w:tcBorders>
              <w:top w:val="nil"/>
              <w:left w:val="nil"/>
              <w:bottom w:val="nil"/>
              <w:right w:val="nil"/>
            </w:tcBorders>
          </w:tcPr>
          <w:p>
            <w:pPr>
              <w:pStyle w:val="25"/>
              <w:snapToGrid w:val="0"/>
              <w:spacing w:line="360" w:lineRule="auto"/>
              <w:ind w:left="19" w:leftChars="9"/>
              <w:rPr>
                <w:rFonts w:ascii="仿宋_GB2312" w:hAnsi="仿宋_GB2312" w:eastAsia="仿宋_GB2312" w:cs="仿宋_GB2312"/>
                <w:sz w:val="24"/>
              </w:rPr>
            </w:pPr>
            <w:r>
              <w:rPr>
                <w:rFonts w:ascii="仿宋_GB2312" w:hAnsi="仿宋_GB2312" w:eastAsia="仿宋_GB2312" w:cs="仿宋_GB2312"/>
                <w:sz w:val="24"/>
              </w:rPr>
              <w:t>开户银行：</w:t>
            </w: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sz w:val="24"/>
              </w:rPr>
            </w:pPr>
            <w:r>
              <w:rPr>
                <w:rFonts w:ascii="仿宋_GB2312" w:hAnsi="仿宋_GB2312" w:eastAsia="仿宋_GB2312" w:cs="仿宋_GB2312"/>
                <w:sz w:val="24"/>
              </w:rPr>
              <w:t>开户银行：</w:t>
            </w:r>
          </w:p>
        </w:tc>
      </w:tr>
      <w:tr>
        <w:tblPrEx>
          <w:tblCellMar>
            <w:top w:w="0" w:type="dxa"/>
            <w:left w:w="108" w:type="dxa"/>
            <w:bottom w:w="0" w:type="dxa"/>
            <w:right w:w="108" w:type="dxa"/>
          </w:tblCellMar>
        </w:tblPrEx>
        <w:trPr>
          <w:trHeight w:val="833" w:hRule="atLeast"/>
          <w:jc w:val="center"/>
        </w:trPr>
        <w:tc>
          <w:tcPr>
            <w:tcW w:w="4467" w:type="dxa"/>
            <w:tcBorders>
              <w:top w:val="nil"/>
              <w:left w:val="nil"/>
              <w:bottom w:val="nil"/>
              <w:right w:val="nil"/>
            </w:tcBorders>
          </w:tcPr>
          <w:p>
            <w:pPr>
              <w:pStyle w:val="25"/>
              <w:snapToGrid w:val="0"/>
              <w:spacing w:line="360" w:lineRule="auto"/>
              <w:ind w:left="19" w:leftChars="9"/>
              <w:rPr>
                <w:rFonts w:ascii="仿宋_GB2312" w:hAnsi="仿宋_GB2312" w:eastAsia="仿宋_GB2312" w:cs="仿宋_GB2312"/>
                <w:sz w:val="24"/>
              </w:rPr>
            </w:pPr>
            <w:r>
              <w:rPr>
                <w:rFonts w:ascii="仿宋_GB2312" w:hAnsi="仿宋_GB2312" w:eastAsia="仿宋_GB2312" w:cs="仿宋_GB2312"/>
                <w:sz w:val="24"/>
              </w:rPr>
              <w:t>账号：</w:t>
            </w:r>
          </w:p>
          <w:p>
            <w:pPr>
              <w:pStyle w:val="25"/>
              <w:snapToGrid w:val="0"/>
              <w:spacing w:line="360" w:lineRule="auto"/>
              <w:rPr>
                <w:rFonts w:ascii="仿宋_GB2312" w:hAnsi="仿宋_GB2312" w:eastAsia="仿宋_GB2312" w:cs="仿宋_GB2312"/>
                <w:sz w:val="24"/>
              </w:rPr>
            </w:pP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sz w:val="24"/>
              </w:rPr>
            </w:pPr>
            <w:r>
              <w:rPr>
                <w:rFonts w:ascii="仿宋_GB2312" w:hAnsi="仿宋_GB2312" w:eastAsia="仿宋_GB2312" w:cs="仿宋_GB2312"/>
                <w:sz w:val="24"/>
              </w:rPr>
              <w:t>账号：</w:t>
            </w:r>
          </w:p>
          <w:p>
            <w:pPr>
              <w:pStyle w:val="25"/>
              <w:snapToGrid w:val="0"/>
              <w:spacing w:line="360" w:lineRule="auto"/>
              <w:ind w:left="34" w:leftChars="16"/>
              <w:rPr>
                <w:rFonts w:ascii="仿宋_GB2312" w:hAnsi="仿宋_GB2312" w:eastAsia="仿宋_GB2312" w:cs="仿宋_GB2312"/>
                <w:sz w:val="24"/>
              </w:rPr>
            </w:pPr>
          </w:p>
        </w:tc>
      </w:tr>
      <w:tr>
        <w:tblPrEx>
          <w:tblCellMar>
            <w:top w:w="0" w:type="dxa"/>
            <w:left w:w="108" w:type="dxa"/>
            <w:bottom w:w="0" w:type="dxa"/>
            <w:right w:w="108" w:type="dxa"/>
          </w:tblCellMar>
        </w:tblPrEx>
        <w:trPr>
          <w:trHeight w:val="833" w:hRule="atLeast"/>
          <w:jc w:val="center"/>
        </w:trPr>
        <w:tc>
          <w:tcPr>
            <w:tcW w:w="4467" w:type="dxa"/>
            <w:tcBorders>
              <w:top w:val="nil"/>
              <w:left w:val="nil"/>
              <w:bottom w:val="nil"/>
              <w:right w:val="nil"/>
            </w:tcBorders>
          </w:tcPr>
          <w:p>
            <w:pPr>
              <w:pStyle w:val="25"/>
              <w:snapToGrid w:val="0"/>
              <w:spacing w:line="360" w:lineRule="auto"/>
              <w:ind w:left="19" w:leftChars="9"/>
              <w:rPr>
                <w:rFonts w:ascii="仿宋_GB2312" w:hAnsi="仿宋_GB2312" w:eastAsia="仿宋_GB2312" w:cs="仿宋_GB2312"/>
                <w:sz w:val="24"/>
              </w:rPr>
            </w:pPr>
            <w:r>
              <w:rPr>
                <w:rFonts w:ascii="仿宋_GB2312" w:hAnsi="仿宋_GB2312" w:eastAsia="仿宋_GB2312" w:cs="仿宋_GB2312"/>
                <w:sz w:val="24"/>
              </w:rPr>
              <w:t>时间：</w:t>
            </w: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sz w:val="24"/>
              </w:rPr>
            </w:pPr>
            <w:r>
              <w:rPr>
                <w:rFonts w:ascii="仿宋_GB2312" w:hAnsi="仿宋_GB2312" w:eastAsia="仿宋_GB2312" w:cs="仿宋_GB2312"/>
                <w:sz w:val="24"/>
              </w:rPr>
              <w:t>时间：</w:t>
            </w:r>
          </w:p>
        </w:tc>
      </w:tr>
    </w:tbl>
    <w:p>
      <w:pPr>
        <w:pStyle w:val="41"/>
        <w:snapToGrid w:val="0"/>
        <w:spacing w:before="0" w:beforeAutospacing="0" w:after="0" w:afterAutospacing="0" w:line="360" w:lineRule="auto"/>
        <w:rPr>
          <w:rFonts w:ascii="仿宋_GB2312" w:hAnsi="仿宋_GB2312" w:eastAsia="仿宋_GB2312" w:cs="仿宋_GB2312"/>
        </w:rPr>
      </w:pPr>
    </w:p>
    <w:p>
      <w:pPr>
        <w:pStyle w:val="41"/>
        <w:snapToGrid w:val="0"/>
        <w:spacing w:before="0" w:beforeAutospacing="0" w:after="0" w:afterAutospacing="0" w:line="360" w:lineRule="auto"/>
        <w:rPr>
          <w:rFonts w:ascii="仿宋_GB2312" w:hAnsi="仿宋_GB2312" w:eastAsia="仿宋_GB2312" w:cs="仿宋_GB2312"/>
        </w:rPr>
      </w:pPr>
    </w:p>
    <w:p>
      <w:pPr>
        <w:tabs>
          <w:tab w:val="left" w:pos="2580"/>
          <w:tab w:val="center" w:pos="5121"/>
        </w:tabs>
        <w:snapToGrid w:val="0"/>
        <w:spacing w:line="360" w:lineRule="auto"/>
        <w:jc w:val="center"/>
        <w:outlineLvl w:val="0"/>
        <w:rPr>
          <w:rFonts w:ascii="仿宋_GB2312" w:hAnsi="仿宋_GB2312" w:eastAsia="仿宋_GB2312" w:cs="仿宋_GB2312"/>
          <w:b/>
          <w:bCs/>
        </w:rPr>
      </w:pPr>
      <w:r>
        <w:rPr>
          <w:rFonts w:hint="eastAsia" w:ascii="仿宋_GB2312" w:hAnsi="仿宋_GB2312" w:eastAsia="仿宋_GB2312" w:cs="仿宋_GB2312"/>
        </w:rPr>
        <w:br w:type="page"/>
      </w:r>
      <w:bookmarkStart w:id="82" w:name="_Toc501718834"/>
      <w:r>
        <w:rPr>
          <w:rFonts w:hint="eastAsia" w:ascii="仿宋_GB2312" w:hAnsi="仿宋_GB2312" w:eastAsia="仿宋_GB2312" w:cs="仿宋_GB2312"/>
          <w:b/>
          <w:bCs/>
        </w:rPr>
        <w:t>第二部分 合同附件</w:t>
      </w:r>
      <w:bookmarkEnd w:id="82"/>
    </w:p>
    <w:p>
      <w:pPr>
        <w:pStyle w:val="13"/>
        <w:snapToGrid w:val="0"/>
        <w:spacing w:line="360" w:lineRule="auto"/>
        <w:ind w:firstLine="0"/>
        <w:outlineLvl w:val="1"/>
        <w:rPr>
          <w:rFonts w:ascii="仿宋_GB2312" w:hAnsi="仿宋_GB2312" w:eastAsia="仿宋_GB2312" w:cs="仿宋_GB2312"/>
          <w:b/>
          <w:sz w:val="24"/>
        </w:rPr>
      </w:pPr>
      <w:bookmarkStart w:id="83" w:name="_Toc501718838"/>
      <w:bookmarkStart w:id="84" w:name="_Toc501718835"/>
      <w:r>
        <w:rPr>
          <w:rFonts w:hint="eastAsia" w:ascii="仿宋_GB2312" w:hAnsi="仿宋_GB2312" w:eastAsia="仿宋_GB2312" w:cs="仿宋_GB2312"/>
          <w:b/>
          <w:sz w:val="24"/>
        </w:rPr>
        <w:t>附件1 廉政协议</w:t>
      </w:r>
    </w:p>
    <w:p>
      <w:pPr>
        <w:adjustRightInd w:val="0"/>
        <w:snapToGrid w:val="0"/>
        <w:jc w:val="center"/>
        <w:rPr>
          <w:rFonts w:ascii="仿宋_GB2312" w:hAnsi="仿宋_GB2312" w:eastAsia="仿宋_GB2312" w:cs="仿宋_GB2312"/>
          <w:b/>
        </w:rPr>
      </w:pPr>
      <w:r>
        <w:rPr>
          <w:rFonts w:hint="eastAsia" w:ascii="仿宋_GB2312" w:hAnsi="仿宋_GB2312" w:eastAsia="仿宋_GB2312" w:cs="仿宋_GB2312"/>
          <w:b/>
        </w:rPr>
        <w:t>廉政协议</w:t>
      </w:r>
    </w:p>
    <w:p>
      <w:pPr>
        <w:widowControl/>
        <w:snapToGrid w:val="0"/>
        <w:spacing w:line="360" w:lineRule="auto"/>
        <w:jc w:val="left"/>
        <w:rPr>
          <w:rFonts w:ascii="仿宋_GB2312" w:hAnsi="仿宋_GB2312" w:eastAsia="仿宋_GB2312" w:cs="仿宋_GB2312"/>
          <w:sz w:val="24"/>
          <w:lang w:bidi="en-US"/>
        </w:rPr>
      </w:pPr>
    </w:p>
    <w:bookmarkEnd w:id="83"/>
    <w:bookmarkEnd w:id="84"/>
    <w:p>
      <w:pPr>
        <w:pStyle w:val="13"/>
        <w:snapToGrid w:val="0"/>
        <w:spacing w:line="440" w:lineRule="exact"/>
        <w:ind w:firstLine="0"/>
        <w:rPr>
          <w:rFonts w:ascii="仿宋_GB2312" w:hAnsi="仿宋_GB2312" w:eastAsia="仿宋_GB2312" w:cs="仿宋_GB2312"/>
          <w:sz w:val="24"/>
          <w:u w:val="single"/>
        </w:rPr>
      </w:pPr>
      <w:r>
        <w:rPr>
          <w:rFonts w:hint="eastAsia" w:ascii="仿宋_GB2312" w:hAnsi="仿宋_GB2312" w:eastAsia="仿宋_GB2312" w:cs="仿宋_GB2312"/>
          <w:sz w:val="24"/>
        </w:rPr>
        <w:t>甲方：</w:t>
      </w:r>
      <w:r>
        <w:rPr>
          <w:rFonts w:hint="eastAsia" w:ascii="仿宋_GB2312" w:hAnsi="仿宋_GB2312" w:eastAsia="仿宋_GB2312" w:cs="仿宋_GB2312"/>
          <w:sz w:val="24"/>
          <w:u w:val="single"/>
        </w:rPr>
        <w:t xml:space="preserve">长沙市轨道交通运营有限公司  </w:t>
      </w:r>
    </w:p>
    <w:p>
      <w:pPr>
        <w:pStyle w:val="13"/>
        <w:snapToGrid w:val="0"/>
        <w:spacing w:line="440" w:lineRule="exact"/>
        <w:ind w:firstLine="0"/>
        <w:rPr>
          <w:rFonts w:ascii="仿宋_GB2312" w:hAnsi="仿宋_GB2312" w:eastAsia="仿宋_GB2312" w:cs="仿宋_GB2312"/>
          <w:sz w:val="24"/>
        </w:rPr>
      </w:pPr>
      <w:r>
        <w:rPr>
          <w:rFonts w:hint="eastAsia" w:ascii="仿宋_GB2312" w:hAnsi="仿宋_GB2312" w:eastAsia="仿宋_GB2312" w:cs="仿宋_GB2312"/>
          <w:sz w:val="24"/>
        </w:rPr>
        <w:t>乙方：</w:t>
      </w:r>
      <w:r>
        <w:rPr>
          <w:rFonts w:hint="eastAsia" w:ascii="仿宋_GB2312" w:hAnsi="仿宋_GB2312" w:eastAsia="仿宋_GB2312" w:cs="仿宋_GB2312"/>
          <w:sz w:val="24"/>
          <w:u w:val="single"/>
        </w:rPr>
        <w:t xml:space="preserve">                           </w:t>
      </w:r>
    </w:p>
    <w:p>
      <w:pPr>
        <w:adjustRightInd w:val="0"/>
        <w:snapToGrid w:val="0"/>
        <w:spacing w:line="440" w:lineRule="exact"/>
        <w:ind w:firstLine="480"/>
        <w:jc w:val="left"/>
        <w:rPr>
          <w:rFonts w:ascii="仿宋_GB2312" w:hAnsi="仿宋_GB2312" w:eastAsia="仿宋_GB2312" w:cs="仿宋_GB2312"/>
          <w:sz w:val="24"/>
        </w:rPr>
      </w:pPr>
      <w:r>
        <w:rPr>
          <w:rFonts w:hint="eastAsia" w:ascii="仿宋_GB2312" w:hAnsi="仿宋_GB2312" w:eastAsia="仿宋_GB2312" w:cs="仿宋_GB2312"/>
          <w:sz w:val="24"/>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ascii="仿宋_GB2312" w:hAnsi="仿宋_GB2312" w:eastAsia="仿宋_GB2312" w:cs="仿宋_GB2312"/>
          <w:sz w:val="24"/>
        </w:rPr>
      </w:pPr>
      <w:bookmarkStart w:id="85" w:name="_Toc59896701"/>
      <w:bookmarkStart w:id="86" w:name="_Toc59900969"/>
      <w:r>
        <w:rPr>
          <w:rFonts w:hint="eastAsia" w:ascii="仿宋_GB2312" w:hAnsi="仿宋_GB2312" w:eastAsia="仿宋_GB2312" w:cs="仿宋_GB2312"/>
          <w:sz w:val="24"/>
        </w:rPr>
        <w:t xml:space="preserve">第一条 </w:t>
      </w:r>
      <w:bookmarkEnd w:id="85"/>
      <w:bookmarkEnd w:id="86"/>
      <w:r>
        <w:rPr>
          <w:rFonts w:hint="eastAsia" w:ascii="仿宋_GB2312" w:hAnsi="仿宋_GB2312" w:eastAsia="仿宋_GB2312" w:cs="仿宋_GB2312"/>
          <w:sz w:val="24"/>
        </w:rPr>
        <w:t>共同责任</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（一）严格遵守党和国家有关法律法规及湖南省、长沙市的相关规定。</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（二）严格执行</w:t>
      </w:r>
      <w:r>
        <w:rPr>
          <w:rFonts w:hint="eastAsia" w:ascii="仿宋_GB2312" w:hAnsi="仿宋_GB2312" w:eastAsia="仿宋_GB2312" w:cs="仿宋_GB2312"/>
          <w:sz w:val="24"/>
          <w:u w:val="single"/>
        </w:rPr>
        <w:t xml:space="preserve"> 长沙市轨道交通2号线运营期2022年-2024年EAP员工帮扶计划服务项目 </w:t>
      </w:r>
      <w:r>
        <w:rPr>
          <w:rFonts w:hint="eastAsia" w:ascii="仿宋_GB2312" w:hAnsi="仿宋_GB2312" w:eastAsia="仿宋_GB2312" w:cs="仿宋_GB2312"/>
          <w:sz w:val="24"/>
        </w:rPr>
        <w:t>（以下称主合同）的合同文件，自觉按合同办事。</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（四）建立健全廉政制度，开展廉政教育，设立廉政告示牌，公布举报电话，监督并认真查处违纪违法行为。</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（五）发现对方在业务活动中有违反廉政规定的行为，有及时提醒对方纠正的权利和义务。</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第二条 共同权利</w:t>
      </w:r>
    </w:p>
    <w:p>
      <w:pPr>
        <w:adjustRightInd w:val="0"/>
        <w:snapToGrid w:val="0"/>
        <w:spacing w:line="440" w:lineRule="exact"/>
        <w:rPr>
          <w:rFonts w:ascii="仿宋_GB2312" w:hAnsi="仿宋_GB2312" w:eastAsia="仿宋_GB2312" w:cs="仿宋_GB2312"/>
          <w:sz w:val="24"/>
        </w:rPr>
      </w:pPr>
      <w:r>
        <w:rPr>
          <w:rFonts w:hint="eastAsia" w:ascii="仿宋_GB2312" w:hAnsi="仿宋_GB2312" w:eastAsia="仿宋_GB2312" w:cs="仿宋_GB2312"/>
          <w:sz w:val="24"/>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ascii="仿宋_GB2312" w:hAnsi="仿宋_GB2312" w:eastAsia="仿宋_GB2312" w:cs="仿宋_GB2312"/>
          <w:sz w:val="24"/>
        </w:rPr>
      </w:pPr>
      <w:bookmarkStart w:id="87" w:name="_Toc59900970"/>
      <w:bookmarkStart w:id="88" w:name="_Toc59896702"/>
      <w:r>
        <w:rPr>
          <w:rFonts w:hint="eastAsia" w:ascii="仿宋_GB2312" w:hAnsi="仿宋_GB2312" w:eastAsia="仿宋_GB2312" w:cs="仿宋_GB2312"/>
          <w:sz w:val="24"/>
        </w:rPr>
        <w:t>第三条 甲方的义务</w:t>
      </w:r>
      <w:bookmarkEnd w:id="87"/>
      <w:bookmarkEnd w:id="88"/>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（一）甲方及其工作人员不得索要或接受乙方的礼金、有价证券和贵重物品。</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（二）甲方及其工作人员不得在乙方报销任何应由甲方或个人支付的费用等。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（三）甲方及其工作人员不得参加乙方安排的超标准宴请和娱乐活动。</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（四）甲方及其工作人员不得接受乙方提供的通讯工具、交通工具和高档办公用品等。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（六）甲方及其工作人员不得有违反法律、法规、廉洁从业规定的其他行为。</w:t>
      </w:r>
    </w:p>
    <w:p>
      <w:pPr>
        <w:adjustRightInd w:val="0"/>
        <w:snapToGrid w:val="0"/>
        <w:spacing w:line="440" w:lineRule="exact"/>
        <w:ind w:firstLine="480"/>
        <w:rPr>
          <w:rFonts w:ascii="仿宋_GB2312" w:hAnsi="仿宋_GB2312" w:eastAsia="仿宋_GB2312" w:cs="仿宋_GB2312"/>
          <w:sz w:val="24"/>
        </w:rPr>
      </w:pPr>
      <w:bookmarkStart w:id="89" w:name="_Toc59896703"/>
      <w:bookmarkStart w:id="90" w:name="_Toc59900971"/>
      <w:r>
        <w:rPr>
          <w:rFonts w:hint="eastAsia" w:ascii="仿宋_GB2312" w:hAnsi="仿宋_GB2312" w:eastAsia="仿宋_GB2312" w:cs="仿宋_GB2312"/>
          <w:sz w:val="24"/>
        </w:rPr>
        <w:t>第四条 乙方义务</w:t>
      </w:r>
      <w:bookmarkEnd w:id="89"/>
      <w:bookmarkEnd w:id="90"/>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（一）乙方不得以任何理由向甲方及其工作人员行贿或馈赠礼金、有价证券、贵重物品。</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（二）乙方不得以任何名义为甲方及其工作人员报销应由甲方单位或个人支付的任何费用。</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（三）乙方不得以任何理由安排甲方工作人员参加超标准宴请、健身及娱乐活动。</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（四）乙方不得为甲方及其工作人员购置或提供通讯工具、交通工具和高档办公用品等。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（五）乙方不得为甲方及其工作人员住房装修、婚丧嫁娶活动、配偶子女的工作安排以及出国出境、旅游等提供方便等。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（六）乙方不得有违反法律、法规、廉洁从业规定的其他行为。</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第五条 违约责任</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第七条 本协议有效期为甲乙双方签署之日起至主合同完全履行完毕之日止。</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第八条 本协议作为主合同的附件，与主合同具有同等的法律效力，经合同双方签署立即生效。</w:t>
      </w:r>
    </w:p>
    <w:p>
      <w:pPr>
        <w:snapToGrid w:val="0"/>
        <w:spacing w:line="440" w:lineRule="exact"/>
        <w:rPr>
          <w:rFonts w:ascii="仿宋_GB2312" w:hAnsi="仿宋_GB2312" w:eastAsia="仿宋_GB2312" w:cs="仿宋_GB2312"/>
          <w:sz w:val="24"/>
        </w:rPr>
        <w:sectPr>
          <w:footerReference r:id="rId9" w:type="default"/>
          <w:pgSz w:w="11906" w:h="16838"/>
          <w:pgMar w:top="1440" w:right="1800" w:bottom="1440" w:left="1800" w:header="851" w:footer="992" w:gutter="0"/>
          <w:pgNumType w:start="1"/>
          <w:cols w:space="720" w:num="1"/>
          <w:docGrid w:type="lines" w:linePitch="312" w:charSpace="0"/>
        </w:sectPr>
      </w:pPr>
    </w:p>
    <w:p>
      <w:pPr>
        <w:rPr>
          <w:rFonts w:ascii="仿宋_GB2312" w:hAnsi="仿宋_GB2312" w:eastAsia="仿宋_GB2312" w:cs="仿宋_GB2312"/>
          <w:sz w:val="24"/>
        </w:rPr>
      </w:pPr>
      <w:r>
        <w:rPr>
          <w:rFonts w:hint="eastAsia" w:ascii="仿宋_GB2312" w:hAnsi="仿宋_GB2312" w:eastAsia="仿宋_GB2312" w:cs="仿宋_GB2312"/>
          <w:sz w:val="24"/>
        </w:rPr>
        <w:t>（本页无正文）</w:t>
      </w:r>
    </w:p>
    <w:p>
      <w:pPr>
        <w:pStyle w:val="2"/>
        <w:rPr>
          <w:rFonts w:ascii="仿宋_GB2312" w:hAnsi="仿宋_GB2312" w:eastAsia="仿宋_GB2312" w:cs="仿宋_GB2312"/>
        </w:rPr>
      </w:pPr>
    </w:p>
    <w:p>
      <w:pPr>
        <w:rPr>
          <w:rFonts w:ascii="仿宋_GB2312" w:hAnsi="仿宋_GB2312" w:eastAsia="仿宋_GB2312" w:cs="仿宋_GB2312"/>
        </w:rPr>
      </w:pPr>
    </w:p>
    <w:p>
      <w:pPr>
        <w:pStyle w:val="2"/>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snapToGrid w:val="0"/>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甲方：</w:t>
      </w:r>
      <w:r>
        <w:rPr>
          <w:rFonts w:hint="eastAsia" w:ascii="仿宋_GB2312" w:hAnsi="仿宋_GB2312" w:eastAsia="仿宋_GB2312" w:cs="仿宋_GB2312"/>
          <w:sz w:val="24"/>
          <w:u w:val="single"/>
        </w:rPr>
        <w:t xml:space="preserve"> （盖章）            </w:t>
      </w:r>
      <w:r>
        <w:rPr>
          <w:rFonts w:hint="eastAsia" w:ascii="仿宋_GB2312" w:hAnsi="仿宋_GB2312" w:eastAsia="仿宋_GB2312" w:cs="仿宋_GB2312"/>
          <w:sz w:val="24"/>
        </w:rPr>
        <w:t xml:space="preserve">             乙方：</w:t>
      </w:r>
      <w:r>
        <w:rPr>
          <w:rFonts w:hint="eastAsia" w:ascii="仿宋_GB2312" w:hAnsi="仿宋_GB2312" w:eastAsia="仿宋_GB2312" w:cs="仿宋_GB2312"/>
          <w:sz w:val="24"/>
          <w:u w:val="single"/>
        </w:rPr>
        <w:t xml:space="preserve"> （盖章）                 </w:t>
      </w:r>
    </w:p>
    <w:p>
      <w:pPr>
        <w:snapToGrid w:val="0"/>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法定代表人：</w:t>
      </w:r>
      <w:r>
        <w:rPr>
          <w:rFonts w:hint="eastAsia" w:ascii="仿宋_GB2312" w:hAnsi="仿宋_GB2312" w:eastAsia="仿宋_GB2312" w:cs="仿宋_GB2312"/>
          <w:sz w:val="24"/>
          <w:u w:val="single"/>
        </w:rPr>
        <w:t xml:space="preserve">（签字）        </w:t>
      </w:r>
      <w:r>
        <w:rPr>
          <w:rFonts w:hint="eastAsia" w:ascii="仿宋_GB2312" w:hAnsi="仿宋_GB2312" w:eastAsia="仿宋_GB2312" w:cs="仿宋_GB2312"/>
          <w:sz w:val="24"/>
        </w:rPr>
        <w:t xml:space="preserve">             法定代表人：</w:t>
      </w:r>
      <w:r>
        <w:rPr>
          <w:rFonts w:hint="eastAsia" w:ascii="仿宋_GB2312" w:hAnsi="仿宋_GB2312" w:eastAsia="仿宋_GB2312" w:cs="仿宋_GB2312"/>
          <w:sz w:val="24"/>
          <w:u w:val="single"/>
        </w:rPr>
        <w:t xml:space="preserve"> （签字）           </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或授权代理人：</w:t>
      </w:r>
      <w:r>
        <w:rPr>
          <w:rFonts w:hint="eastAsia" w:ascii="仿宋_GB2312" w:hAnsi="仿宋_GB2312" w:eastAsia="仿宋_GB2312" w:cs="仿宋_GB2312"/>
          <w:sz w:val="24"/>
          <w:u w:val="single"/>
        </w:rPr>
        <w:t xml:space="preserve">（签字）      </w:t>
      </w:r>
      <w:r>
        <w:rPr>
          <w:rFonts w:hint="eastAsia" w:ascii="仿宋_GB2312" w:hAnsi="仿宋_GB2312" w:eastAsia="仿宋_GB2312" w:cs="仿宋_GB2312"/>
          <w:sz w:val="24"/>
        </w:rPr>
        <w:t xml:space="preserve">             或授权代理人：</w:t>
      </w:r>
      <w:r>
        <w:rPr>
          <w:rFonts w:hint="eastAsia" w:ascii="仿宋_GB2312" w:hAnsi="仿宋_GB2312" w:eastAsia="仿宋_GB2312" w:cs="仿宋_GB2312"/>
          <w:sz w:val="24"/>
          <w:u w:val="single"/>
        </w:rPr>
        <w:t xml:space="preserve">（签字）           </w:t>
      </w:r>
    </w:p>
    <w:p>
      <w:pPr>
        <w:snapToGrid w:val="0"/>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电话：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电话：</w:t>
      </w:r>
      <w:r>
        <w:rPr>
          <w:rFonts w:hint="eastAsia" w:ascii="仿宋_GB2312" w:hAnsi="仿宋_GB2312" w:eastAsia="仿宋_GB2312" w:cs="仿宋_GB2312"/>
          <w:sz w:val="24"/>
          <w:u w:val="single"/>
        </w:rPr>
        <w:t xml:space="preserve">                          </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日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napToGrid w:val="0"/>
        <w:spacing w:line="360" w:lineRule="auto"/>
        <w:rPr>
          <w:rFonts w:ascii="仿宋_GB2312" w:hAnsi="仿宋_GB2312" w:eastAsia="仿宋_GB2312" w:cs="仿宋_GB2312"/>
          <w:b/>
          <w:sz w:val="24"/>
        </w:rPr>
      </w:pPr>
      <w:r>
        <w:rPr>
          <w:rFonts w:hint="eastAsia" w:ascii="仿宋_GB2312" w:hAnsi="仿宋_GB2312" w:eastAsia="仿宋_GB2312" w:cs="仿宋_GB2312"/>
          <w:sz w:val="24"/>
        </w:rPr>
        <w:t>甲方监督单位：</w:t>
      </w:r>
      <w:r>
        <w:rPr>
          <w:rFonts w:hint="eastAsia" w:ascii="仿宋_GB2312" w:hAnsi="仿宋_GB2312" w:eastAsia="仿宋_GB2312" w:cs="仿宋_GB2312"/>
          <w:sz w:val="24"/>
          <w:u w:val="single"/>
        </w:rPr>
        <w:t xml:space="preserve">（盖章）      </w:t>
      </w:r>
      <w:r>
        <w:rPr>
          <w:rFonts w:hint="eastAsia" w:ascii="仿宋_GB2312" w:hAnsi="仿宋_GB2312" w:eastAsia="仿宋_GB2312" w:cs="仿宋_GB2312"/>
          <w:sz w:val="24"/>
        </w:rPr>
        <w:t xml:space="preserve">             乙方监督单位：</w:t>
      </w:r>
      <w:r>
        <w:rPr>
          <w:rFonts w:hint="eastAsia" w:ascii="仿宋_GB2312" w:hAnsi="仿宋_GB2312" w:eastAsia="仿宋_GB2312" w:cs="仿宋_GB2312"/>
          <w:sz w:val="24"/>
          <w:u w:val="single"/>
        </w:rPr>
        <w:t xml:space="preserve">（盖章）        </w:t>
      </w:r>
    </w:p>
    <w:p>
      <w:pPr>
        <w:rPr>
          <w:rFonts w:ascii="仿宋_GB2312" w:hAnsi="仿宋_GB2312" w:eastAsia="仿宋_GB2312" w:cs="仿宋_GB2312"/>
        </w:rPr>
      </w:pPr>
      <w:r>
        <w:rPr>
          <w:rFonts w:hint="eastAsia" w:ascii="仿宋_GB2312" w:hAnsi="仿宋_GB2312" w:eastAsia="仿宋_GB2312" w:cs="仿宋_GB2312"/>
        </w:rPr>
        <w:br w:type="page"/>
      </w:r>
    </w:p>
    <w:p>
      <w:pPr>
        <w:pStyle w:val="13"/>
        <w:snapToGrid w:val="0"/>
        <w:spacing w:line="360" w:lineRule="auto"/>
        <w:ind w:firstLine="0"/>
        <w:outlineLvl w:val="1"/>
        <w:rPr>
          <w:rFonts w:ascii="仿宋_GB2312" w:hAnsi="仿宋_GB2312" w:eastAsia="仿宋_GB2312" w:cs="仿宋_GB2312"/>
          <w:b/>
          <w:sz w:val="24"/>
        </w:rPr>
      </w:pPr>
      <w:r>
        <w:rPr>
          <w:rFonts w:hint="eastAsia" w:ascii="仿宋_GB2312" w:hAnsi="仿宋_GB2312" w:eastAsia="仿宋_GB2312" w:cs="仿宋_GB2312"/>
          <w:b/>
          <w:sz w:val="24"/>
        </w:rPr>
        <w:t>附件2保密协议</w:t>
      </w:r>
    </w:p>
    <w:p>
      <w:pPr>
        <w:widowControl/>
        <w:snapToGrid w:val="0"/>
        <w:spacing w:line="360" w:lineRule="auto"/>
        <w:jc w:val="center"/>
        <w:rPr>
          <w:rFonts w:ascii="仿宋_GB2312" w:hAnsi="仿宋_GB2312" w:eastAsia="仿宋_GB2312" w:cs="仿宋_GB2312"/>
          <w:kern w:val="0"/>
          <w:sz w:val="32"/>
          <w:szCs w:val="32"/>
          <w:lang w:bidi="en-US"/>
        </w:rPr>
      </w:pPr>
      <w:r>
        <w:rPr>
          <w:rFonts w:hint="eastAsia" w:ascii="仿宋_GB2312" w:hAnsi="仿宋_GB2312" w:eastAsia="仿宋_GB2312" w:cs="仿宋_GB2312"/>
          <w:b/>
          <w:bCs/>
          <w:smallCaps/>
          <w:kern w:val="0"/>
          <w:sz w:val="32"/>
          <w:szCs w:val="32"/>
          <w:lang w:bidi="en-US"/>
        </w:rPr>
        <w:t>保密协议</w:t>
      </w:r>
    </w:p>
    <w:p>
      <w:pPr>
        <w:widowControl/>
        <w:snapToGrid w:val="0"/>
        <w:spacing w:line="360" w:lineRule="auto"/>
        <w:jc w:val="left"/>
        <w:rPr>
          <w:rFonts w:ascii="仿宋_GB2312" w:hAnsi="仿宋_GB2312" w:eastAsia="仿宋_GB2312" w:cs="仿宋_GB2312"/>
          <w:kern w:val="0"/>
          <w:sz w:val="24"/>
          <w:lang w:bidi="en-US"/>
        </w:rPr>
      </w:pPr>
    </w:p>
    <w:p>
      <w:pPr>
        <w:widowControl/>
        <w:snapToGrid w:val="0"/>
        <w:spacing w:line="360" w:lineRule="auto"/>
        <w:jc w:val="left"/>
        <w:rPr>
          <w:rFonts w:ascii="仿宋_GB2312" w:hAnsi="仿宋_GB2312" w:eastAsia="仿宋_GB2312" w:cs="仿宋_GB2312"/>
          <w:sz w:val="24"/>
          <w:u w:val="single"/>
        </w:rPr>
      </w:pPr>
      <w:r>
        <w:rPr>
          <w:rFonts w:hint="eastAsia" w:ascii="仿宋_GB2312" w:hAnsi="仿宋_GB2312" w:eastAsia="仿宋_GB2312" w:cs="仿宋_GB2312"/>
          <w:kern w:val="0"/>
          <w:sz w:val="24"/>
          <w:lang w:bidi="en-US"/>
        </w:rPr>
        <w:t>甲方（全称）：</w:t>
      </w:r>
      <w:r>
        <w:rPr>
          <w:rFonts w:hint="eastAsia" w:ascii="仿宋_GB2312" w:hAnsi="宋体" w:eastAsia="仿宋_GB2312" w:cs="Courier New"/>
          <w:sz w:val="24"/>
          <w:szCs w:val="21"/>
          <w:u w:val="single"/>
        </w:rPr>
        <w:t>长沙市轨道交通运营有限公司</w:t>
      </w:r>
    </w:p>
    <w:p>
      <w:pPr>
        <w:pStyle w:val="13"/>
        <w:snapToGrid w:val="0"/>
        <w:spacing w:line="360" w:lineRule="auto"/>
        <w:ind w:firstLine="0"/>
        <w:rPr>
          <w:rFonts w:ascii="仿宋_GB2312" w:hAnsi="仿宋_GB2312" w:eastAsia="仿宋_GB2312" w:cs="仿宋_GB2312"/>
          <w:sz w:val="24"/>
          <w:lang w:bidi="en-US"/>
        </w:rPr>
      </w:pPr>
      <w:r>
        <w:rPr>
          <w:rFonts w:hint="eastAsia" w:ascii="仿宋_GB2312" w:hAnsi="仿宋_GB2312" w:eastAsia="仿宋_GB2312" w:cs="仿宋_GB2312"/>
          <w:sz w:val="24"/>
          <w:lang w:bidi="en-US"/>
        </w:rPr>
        <w:t>乙方（全称）：</w:t>
      </w:r>
      <w:r>
        <w:rPr>
          <w:rFonts w:hint="eastAsia" w:ascii="仿宋_GB2312" w:hAnsi="仿宋_GB2312" w:cs="仿宋_GB2312"/>
          <w:sz w:val="24"/>
          <w:szCs w:val="24"/>
          <w:u w:val="single"/>
        </w:rPr>
        <w:t xml:space="preserve">                          </w:t>
      </w:r>
    </w:p>
    <w:p>
      <w:pPr>
        <w:widowControl/>
        <w:snapToGrid w:val="0"/>
        <w:spacing w:line="360" w:lineRule="auto"/>
        <w:ind w:firstLine="480" w:firstLineChars="200"/>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鉴于甲方和乙方签订的</w:t>
      </w:r>
      <w:r>
        <w:rPr>
          <w:rFonts w:ascii="仿宋_GB2312" w:hAnsi="仿宋_GB2312" w:eastAsia="仿宋_GB2312" w:cs="仿宋_GB2312"/>
          <w:kern w:val="0"/>
          <w:sz w:val="24"/>
          <w:u w:val="single"/>
          <w:lang w:bidi="en-US"/>
        </w:rPr>
        <w:t xml:space="preserve"> </w:t>
      </w:r>
      <w:r>
        <w:rPr>
          <w:rFonts w:hint="eastAsia" w:ascii="仿宋_GB2312" w:hAnsi="仿宋_GB2312" w:eastAsia="仿宋_GB2312" w:cs="仿宋_GB2312"/>
          <w:kern w:val="0"/>
          <w:sz w:val="24"/>
          <w:u w:val="single"/>
          <w:lang w:bidi="en-US"/>
        </w:rPr>
        <w:t>长沙市轨道交通2号线运营期2022年-2024年EAP员工帮扶计划服务项目</w:t>
      </w:r>
      <w:r>
        <w:rPr>
          <w:rFonts w:ascii="仿宋_GB2312" w:hAnsi="仿宋_GB2312" w:eastAsia="仿宋_GB2312" w:cs="仿宋_GB2312"/>
          <w:kern w:val="0"/>
          <w:sz w:val="24"/>
          <w:u w:val="single"/>
          <w:lang w:bidi="en-US"/>
        </w:rPr>
        <w:t xml:space="preserve"> </w:t>
      </w:r>
      <w:r>
        <w:rPr>
          <w:rFonts w:hint="eastAsia" w:ascii="仿宋_GB2312" w:hAnsi="仿宋_GB2312" w:eastAsia="仿宋_GB2312" w:cs="仿宋_GB2312"/>
          <w:kern w:val="0"/>
          <w:sz w:val="24"/>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第一条</w:t>
      </w:r>
      <w:r>
        <w:rPr>
          <w:rFonts w:ascii="仿宋_GB2312" w:hAnsi="仿宋_GB2312" w:eastAsia="仿宋_GB2312" w:cs="仿宋_GB2312"/>
          <w:b/>
          <w:kern w:val="0"/>
          <w:sz w:val="24"/>
          <w:lang w:bidi="en-US"/>
        </w:rPr>
        <w:t xml:space="preserve"> </w:t>
      </w:r>
      <w:r>
        <w:rPr>
          <w:rFonts w:hint="eastAsia" w:ascii="仿宋_GB2312" w:hAnsi="仿宋_GB2312" w:eastAsia="仿宋_GB2312" w:cs="仿宋_GB2312"/>
          <w:b/>
          <w:kern w:val="0"/>
          <w:sz w:val="24"/>
          <w:lang w:bidi="en-US"/>
        </w:rPr>
        <w:t>保密内容</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甲、乙双方确认，乙方应承担保密义务的内容为：</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1、技术信息：包括技术方案、设计要求、工作内容、实现方法、运作流程、技术指标、软件系统、数据库、运行环境、作业平台、测试结果、图纸、样本、模型、技术文档、涉及技术秘密的业务函电等；</w:t>
      </w:r>
      <w:r>
        <w:rPr>
          <w:rFonts w:hint="eastAsia" w:ascii="宋体" w:hAnsi="宋体" w:cs="宋体"/>
          <w:kern w:val="0"/>
          <w:sz w:val="24"/>
          <w:lang w:bidi="en-US"/>
        </w:rPr>
        <w:t> </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第二条</w:t>
      </w:r>
      <w:r>
        <w:rPr>
          <w:rFonts w:ascii="仿宋_GB2312" w:hAnsi="仿宋_GB2312" w:eastAsia="仿宋_GB2312" w:cs="仿宋_GB2312"/>
          <w:b/>
          <w:kern w:val="0"/>
          <w:sz w:val="24"/>
          <w:lang w:bidi="en-US"/>
        </w:rPr>
        <w:t xml:space="preserve"> </w:t>
      </w:r>
      <w:r>
        <w:rPr>
          <w:rFonts w:hint="eastAsia" w:ascii="仿宋_GB2312" w:hAnsi="仿宋_GB2312" w:eastAsia="仿宋_GB2312" w:cs="仿宋_GB2312"/>
          <w:b/>
          <w:kern w:val="0"/>
          <w:sz w:val="24"/>
          <w:lang w:bidi="en-US"/>
        </w:rPr>
        <w:t>乙方的保密义务</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1、乙方应主动采取加密措施对上述第一条所列内容进行保密，防止不承担同等保密义务的任何第三者知悉及使用。</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2、乙方不得刺探或者以其他不正当手段（包括利用计算机进行检索、浏览、复制等）获取主合同及主合同执行过程中的甲方秘密。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3、乙方不得向不承担同等保密义务的任何第三人披露上述第一条所列内容。</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4、乙方不得允许（包括出借、赠与、出租、转让等行为）或协助不承担同等保密义务的任何第三人使用上述第一条所列内容。</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7、乙方如发现上述第一条所列内容被泄露或者自己过失泄露秘密，应当采取有效措施防止泄密进一步扩大，并及时向甲方报告。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第三条</w:t>
      </w:r>
      <w:r>
        <w:rPr>
          <w:rFonts w:ascii="仿宋_GB2312" w:hAnsi="仿宋_GB2312" w:eastAsia="仿宋_GB2312" w:cs="仿宋_GB2312"/>
          <w:b/>
          <w:kern w:val="0"/>
          <w:sz w:val="24"/>
          <w:lang w:bidi="en-US"/>
        </w:rPr>
        <w:t xml:space="preserve"> </w:t>
      </w:r>
      <w:r>
        <w:rPr>
          <w:rFonts w:hint="eastAsia" w:ascii="仿宋_GB2312" w:hAnsi="仿宋_GB2312" w:eastAsia="仿宋_GB2312" w:cs="仿宋_GB2312"/>
          <w:b/>
          <w:kern w:val="0"/>
          <w:sz w:val="24"/>
          <w:lang w:bidi="en-US"/>
        </w:rPr>
        <w:t>保密期限</w:t>
      </w:r>
    </w:p>
    <w:p>
      <w:pPr>
        <w:widowControl/>
        <w:snapToGrid w:val="0"/>
        <w:spacing w:line="360" w:lineRule="auto"/>
        <w:ind w:firstLine="480"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kern w:val="0"/>
          <w:sz w:val="24"/>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第四条</w:t>
      </w:r>
      <w:r>
        <w:rPr>
          <w:rFonts w:ascii="仿宋_GB2312" w:hAnsi="仿宋_GB2312" w:eastAsia="仿宋_GB2312" w:cs="仿宋_GB2312"/>
          <w:b/>
          <w:kern w:val="0"/>
          <w:sz w:val="24"/>
          <w:lang w:bidi="en-US"/>
        </w:rPr>
        <w:t xml:space="preserve"> </w:t>
      </w:r>
      <w:r>
        <w:rPr>
          <w:rFonts w:hint="eastAsia" w:ascii="仿宋_GB2312" w:hAnsi="仿宋_GB2312" w:eastAsia="仿宋_GB2312" w:cs="仿宋_GB2312"/>
          <w:b/>
          <w:kern w:val="0"/>
          <w:sz w:val="24"/>
          <w:lang w:bidi="en-US"/>
        </w:rPr>
        <w:t>违约责任</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kern w:val="0"/>
          <w:sz w:val="24"/>
          <w:lang w:bidi="en-US"/>
        </w:rPr>
        <w:t>人民币</w:t>
      </w:r>
      <w:r>
        <w:rPr>
          <w:rFonts w:ascii="仿宋_GB2312" w:hAnsi="仿宋_GB2312" w:eastAsia="仿宋_GB2312" w:cs="仿宋_GB2312"/>
          <w:b/>
          <w:kern w:val="0"/>
          <w:sz w:val="24"/>
          <w:u w:val="single"/>
          <w:lang w:bidi="en-US"/>
        </w:rPr>
        <w:t>1000</w:t>
      </w:r>
      <w:r>
        <w:rPr>
          <w:rFonts w:hint="eastAsia" w:ascii="仿宋_GB2312" w:hAnsi="仿宋_GB2312" w:eastAsia="仿宋_GB2312" w:cs="仿宋_GB2312"/>
          <w:b/>
          <w:kern w:val="0"/>
          <w:sz w:val="24"/>
          <w:lang w:bidi="en-US"/>
        </w:rPr>
        <w:t>元</w:t>
      </w:r>
      <w:r>
        <w:rPr>
          <w:rFonts w:hint="eastAsia" w:ascii="仿宋_GB2312" w:hAnsi="仿宋_GB2312" w:eastAsia="仿宋_GB2312" w:cs="仿宋_GB2312"/>
          <w:kern w:val="0"/>
          <w:sz w:val="24"/>
          <w:lang w:bidi="en-US"/>
        </w:rPr>
        <w:t>的违约金。</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2、因乙方未履行本协议第二条规定的保密义务，给甲方造成损失或严重后果的，每发生一次，乙方应承担以下赔偿责任：</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w:t>
      </w:r>
      <w:r>
        <w:rPr>
          <w:rFonts w:ascii="仿宋_GB2312" w:hAnsi="仿宋_GB2312" w:eastAsia="仿宋_GB2312" w:cs="仿宋_GB2312"/>
          <w:kern w:val="0"/>
          <w:sz w:val="24"/>
          <w:lang w:bidi="en-US"/>
        </w:rPr>
        <w:t>1）甲方调查乙方的违反协议行为而发生的所有费用；</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w:t>
      </w:r>
      <w:r>
        <w:rPr>
          <w:rFonts w:ascii="仿宋_GB2312" w:hAnsi="仿宋_GB2312" w:eastAsia="仿宋_GB2312" w:cs="仿宋_GB2312"/>
          <w:kern w:val="0"/>
          <w:sz w:val="24"/>
          <w:lang w:bidi="en-US"/>
        </w:rPr>
        <w:t>2）因乙方的违反协议行为给甲方造成的经济损失，损失赔偿金额为</w:t>
      </w:r>
      <w:r>
        <w:rPr>
          <w:rFonts w:hint="eastAsia" w:ascii="仿宋_GB2312" w:hAnsi="仿宋_GB2312" w:eastAsia="仿宋_GB2312" w:cs="仿宋_GB2312"/>
          <w:b/>
          <w:kern w:val="0"/>
          <w:sz w:val="24"/>
          <w:lang w:bidi="en-US"/>
        </w:rPr>
        <w:t>主合同签约合同价的</w:t>
      </w:r>
      <w:r>
        <w:rPr>
          <w:rFonts w:ascii="仿宋_GB2312" w:hAnsi="仿宋_GB2312" w:eastAsia="仿宋_GB2312" w:cs="仿宋_GB2312"/>
          <w:b/>
          <w:kern w:val="0"/>
          <w:sz w:val="24"/>
          <w:u w:val="single"/>
          <w:lang w:bidi="en-US"/>
        </w:rPr>
        <w:t>1</w:t>
      </w:r>
      <w:r>
        <w:rPr>
          <w:rFonts w:hint="eastAsia" w:ascii="仿宋_GB2312" w:hAnsi="仿宋_GB2312" w:eastAsia="仿宋_GB2312" w:cs="仿宋_GB2312"/>
          <w:b/>
          <w:kern w:val="0"/>
          <w:sz w:val="24"/>
          <w:lang w:bidi="en-US"/>
        </w:rPr>
        <w:t>％</w:t>
      </w:r>
      <w:r>
        <w:rPr>
          <w:rFonts w:hint="eastAsia" w:ascii="仿宋_GB2312" w:hAnsi="仿宋_GB2312" w:eastAsia="仿宋_GB2312" w:cs="仿宋_GB2312"/>
          <w:kern w:val="0"/>
          <w:sz w:val="24"/>
          <w:lang w:bidi="en-US"/>
        </w:rPr>
        <w:t>（有证据证明甲方实际损失超过这一金额的，以甲方实际损失为准）。</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第五条</w:t>
      </w:r>
      <w:r>
        <w:rPr>
          <w:rFonts w:ascii="仿宋_GB2312" w:hAnsi="仿宋_GB2312" w:eastAsia="仿宋_GB2312" w:cs="仿宋_GB2312"/>
          <w:b/>
          <w:kern w:val="0"/>
          <w:sz w:val="24"/>
          <w:lang w:bidi="en-US"/>
        </w:rPr>
        <w:t xml:space="preserve"> </w:t>
      </w:r>
      <w:r>
        <w:rPr>
          <w:rFonts w:hint="eastAsia" w:ascii="仿宋_GB2312" w:hAnsi="仿宋_GB2312" w:eastAsia="仿宋_GB2312" w:cs="仿宋_GB2312"/>
          <w:b/>
          <w:kern w:val="0"/>
          <w:sz w:val="24"/>
          <w:lang w:bidi="en-US"/>
        </w:rPr>
        <w:t>争议的解决</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因执行本协议而发生的纠纷，可由双方协商解决；协商不成的，任何一方有权向</w:t>
      </w:r>
      <w:r>
        <w:rPr>
          <w:rFonts w:hint="eastAsia" w:ascii="仿宋_GB2312" w:hAnsi="仿宋_GB2312" w:eastAsia="仿宋_GB2312" w:cs="仿宋_GB2312"/>
          <w:kern w:val="0"/>
          <w:sz w:val="24"/>
          <w:u w:val="single"/>
          <w:lang w:bidi="en-US"/>
        </w:rPr>
        <w:t>甲方所在地人民法院</w:t>
      </w:r>
      <w:r>
        <w:rPr>
          <w:rFonts w:hint="eastAsia" w:ascii="仿宋_GB2312" w:hAnsi="仿宋_GB2312" w:eastAsia="仿宋_GB2312" w:cs="仿宋_GB2312"/>
          <w:kern w:val="0"/>
          <w:sz w:val="24"/>
          <w:lang w:bidi="en-US"/>
        </w:rPr>
        <w:t>提起诉讼。</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第六条</w:t>
      </w:r>
      <w:r>
        <w:rPr>
          <w:rFonts w:ascii="仿宋_GB2312" w:hAnsi="仿宋_GB2312" w:eastAsia="仿宋_GB2312" w:cs="仿宋_GB2312"/>
          <w:b/>
          <w:kern w:val="0"/>
          <w:sz w:val="24"/>
          <w:lang w:bidi="en-US"/>
        </w:rPr>
        <w:t xml:space="preserve"> </w:t>
      </w:r>
      <w:r>
        <w:rPr>
          <w:rFonts w:hint="eastAsia" w:ascii="仿宋_GB2312" w:hAnsi="仿宋_GB2312" w:eastAsia="仿宋_GB2312" w:cs="仿宋_GB2312"/>
          <w:b/>
          <w:kern w:val="0"/>
          <w:sz w:val="24"/>
          <w:lang w:bidi="en-US"/>
        </w:rPr>
        <w:t>协议的效力和变更</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1、本协议自双方法定代表人或其授权代表签字并加盖公章后生效。</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2、任何对本协议所作的任何增补和修改，除非由双方合法指派的代表书面做出，否则视为无效或对双方均无约束力。</w:t>
      </w:r>
    </w:p>
    <w:p>
      <w:pPr>
        <w:widowControl/>
        <w:snapToGrid w:val="0"/>
        <w:spacing w:line="360" w:lineRule="auto"/>
        <w:ind w:firstLine="480" w:firstLineChars="200"/>
        <w:jc w:val="left"/>
        <w:rPr>
          <w:rFonts w:ascii="仿宋_GB2312" w:hAnsi="仿宋_GB2312" w:eastAsia="仿宋_GB2312" w:cs="仿宋_GB2312"/>
          <w:kern w:val="0"/>
          <w:sz w:val="24"/>
          <w:lang w:bidi="en-US"/>
        </w:rPr>
      </w:pPr>
    </w:p>
    <w:p>
      <w:pPr>
        <w:widowControl/>
        <w:snapToGrid w:val="0"/>
        <w:spacing w:line="360" w:lineRule="auto"/>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br w:type="page"/>
      </w:r>
      <w:r>
        <w:rPr>
          <w:rFonts w:hint="eastAsia" w:ascii="仿宋_GB2312" w:hAnsi="仿宋_GB2312" w:eastAsia="仿宋_GB2312" w:cs="仿宋_GB2312"/>
          <w:kern w:val="0"/>
          <w:sz w:val="24"/>
          <w:lang w:bidi="en-US"/>
        </w:rPr>
        <w:t>（本页无正文）</w:t>
      </w:r>
    </w:p>
    <w:p>
      <w:pPr>
        <w:widowControl/>
        <w:snapToGrid w:val="0"/>
        <w:spacing w:line="360" w:lineRule="auto"/>
        <w:ind w:firstLine="480" w:firstLineChars="200"/>
        <w:jc w:val="left"/>
        <w:rPr>
          <w:rFonts w:ascii="仿宋_GB2312" w:hAnsi="仿宋_GB2312" w:eastAsia="仿宋_GB2312" w:cs="仿宋_GB2312"/>
          <w:kern w:val="0"/>
          <w:sz w:val="24"/>
          <w:lang w:bidi="en-US"/>
        </w:rPr>
      </w:pPr>
    </w:p>
    <w:p>
      <w:pPr>
        <w:widowControl/>
        <w:snapToGrid w:val="0"/>
        <w:spacing w:line="360" w:lineRule="auto"/>
        <w:ind w:firstLine="480" w:firstLineChars="200"/>
        <w:jc w:val="left"/>
        <w:rPr>
          <w:rFonts w:ascii="仿宋_GB2312" w:hAnsi="仿宋_GB2312" w:eastAsia="仿宋_GB2312" w:cs="仿宋_GB2312"/>
          <w:kern w:val="0"/>
          <w:sz w:val="24"/>
          <w:lang w:bidi="en-US"/>
        </w:rPr>
      </w:pPr>
    </w:p>
    <w:p>
      <w:pPr>
        <w:widowControl/>
        <w:snapToGrid w:val="0"/>
        <w:spacing w:line="360" w:lineRule="auto"/>
        <w:ind w:firstLine="480" w:firstLineChars="200"/>
        <w:jc w:val="left"/>
        <w:rPr>
          <w:rFonts w:ascii="仿宋_GB2312" w:hAnsi="仿宋_GB2312" w:eastAsia="仿宋_GB2312" w:cs="仿宋_GB2312"/>
          <w:kern w:val="0"/>
          <w:sz w:val="24"/>
          <w:lang w:bidi="en-US"/>
        </w:rPr>
      </w:pPr>
    </w:p>
    <w:tbl>
      <w:tblPr>
        <w:tblStyle w:val="47"/>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Pr>
          <w:p>
            <w:pPr>
              <w:adjustRightInd w:val="0"/>
              <w:snapToGrid w:val="0"/>
              <w:spacing w:line="360" w:lineRule="auto"/>
              <w:textAlignment w:val="baseline"/>
              <w:rPr>
                <w:rFonts w:ascii="仿宋_GB2312" w:hAnsi="仿宋_GB2312" w:eastAsia="仿宋_GB2312" w:cs="仿宋_GB2312"/>
                <w:kern w:val="0"/>
                <w:sz w:val="24"/>
              </w:rPr>
            </w:pPr>
            <w:bookmarkStart w:id="91" w:name="3"/>
            <w:bookmarkEnd w:id="91"/>
            <w:r>
              <w:rPr>
                <w:rFonts w:hint="eastAsia" w:ascii="仿宋_GB2312" w:hAnsi="仿宋_GB2312" w:eastAsia="仿宋_GB2312" w:cs="仿宋_GB2312"/>
                <w:kern w:val="0"/>
                <w:sz w:val="24"/>
              </w:rPr>
              <w:t>甲方：</w:t>
            </w:r>
            <w:r>
              <w:rPr>
                <w:rFonts w:ascii="仿宋_GB2312" w:hAnsi="仿宋_GB2312" w:eastAsia="仿宋_GB2312" w:cs="仿宋_GB2312"/>
                <w:kern w:val="0"/>
                <w:sz w:val="24"/>
              </w:rPr>
              <w:t>(盖章)</w:t>
            </w:r>
          </w:p>
        </w:tc>
        <w:tc>
          <w:tcPr>
            <w:tcW w:w="4252" w:type="dxa"/>
          </w:tcPr>
          <w:p>
            <w:pPr>
              <w:adjustRightInd w:val="0"/>
              <w:snapToGrid w:val="0"/>
              <w:spacing w:line="360" w:lineRule="auto"/>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乙方：（盖章）</w:t>
            </w:r>
          </w:p>
        </w:tc>
      </w:tr>
      <w:tr>
        <w:tblPrEx>
          <w:tblCellMar>
            <w:top w:w="0" w:type="dxa"/>
            <w:left w:w="108" w:type="dxa"/>
            <w:bottom w:w="0" w:type="dxa"/>
            <w:right w:w="108" w:type="dxa"/>
          </w:tblCellMar>
        </w:tblPrEx>
        <w:trPr>
          <w:trHeight w:val="777" w:hRule="atLeast"/>
          <w:jc w:val="center"/>
        </w:trPr>
        <w:tc>
          <w:tcPr>
            <w:tcW w:w="4467" w:type="dxa"/>
          </w:tcPr>
          <w:p>
            <w:pPr>
              <w:adjustRightInd w:val="0"/>
              <w:snapToGrid w:val="0"/>
              <w:spacing w:line="360" w:lineRule="auto"/>
              <w:ind w:left="19" w:leftChars="9"/>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法定代表人或其授权代表：（签字）</w:t>
            </w:r>
          </w:p>
          <w:p>
            <w:pPr>
              <w:adjustRightInd w:val="0"/>
              <w:snapToGrid w:val="0"/>
              <w:spacing w:line="360" w:lineRule="auto"/>
              <w:ind w:left="19" w:leftChars="9"/>
              <w:textAlignment w:val="baseline"/>
              <w:rPr>
                <w:rFonts w:ascii="仿宋_GB2312" w:hAnsi="仿宋_GB2312" w:eastAsia="仿宋_GB2312" w:cs="仿宋_GB2312"/>
                <w:kern w:val="0"/>
                <w:sz w:val="24"/>
              </w:rPr>
            </w:pPr>
          </w:p>
        </w:tc>
        <w:tc>
          <w:tcPr>
            <w:tcW w:w="4252" w:type="dxa"/>
          </w:tcPr>
          <w:p>
            <w:pPr>
              <w:adjustRightInd w:val="0"/>
              <w:snapToGrid w:val="0"/>
              <w:spacing w:line="360" w:lineRule="auto"/>
              <w:ind w:left="34" w:leftChars="16"/>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tcPr>
          <w:p>
            <w:pPr>
              <w:adjustRightInd w:val="0"/>
              <w:snapToGrid w:val="0"/>
              <w:spacing w:line="360" w:lineRule="auto"/>
              <w:ind w:left="19" w:leftChars="9"/>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时间：</w:t>
            </w:r>
          </w:p>
        </w:tc>
        <w:tc>
          <w:tcPr>
            <w:tcW w:w="4252" w:type="dxa"/>
          </w:tcPr>
          <w:p>
            <w:pPr>
              <w:adjustRightInd w:val="0"/>
              <w:snapToGrid w:val="0"/>
              <w:spacing w:line="360" w:lineRule="auto"/>
              <w:ind w:left="34" w:leftChars="16"/>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时间：</w:t>
            </w:r>
          </w:p>
        </w:tc>
      </w:tr>
    </w:tbl>
    <w:p>
      <w:pPr>
        <w:adjustRightInd w:val="0"/>
        <w:snapToGrid w:val="0"/>
        <w:spacing w:line="444" w:lineRule="exact"/>
        <w:jc w:val="left"/>
        <w:rPr>
          <w:rFonts w:ascii="仿宋_GB2312" w:hAnsi="仿宋_GB2312" w:eastAsia="仿宋_GB2312" w:cs="仿宋_GB2312"/>
          <w:b/>
          <w:sz w:val="24"/>
        </w:rPr>
      </w:pPr>
    </w:p>
    <w:p>
      <w:pPr>
        <w:pStyle w:val="2"/>
      </w:pPr>
    </w:p>
    <w:p>
      <w:pPr>
        <w:pStyle w:val="2"/>
        <w:rPr>
          <w:rFonts w:ascii="仿宋_GB2312" w:hAnsi="仿宋_GB2312" w:eastAsia="仿宋_GB2312" w:cs="仿宋_GB2312"/>
          <w:b/>
          <w:sz w:val="24"/>
        </w:rPr>
      </w:pPr>
    </w:p>
    <w:p>
      <w:pPr>
        <w:rPr>
          <w:rFonts w:ascii="仿宋_GB2312" w:hAnsi="仿宋_GB2312" w:eastAsia="仿宋_GB2312" w:cs="仿宋_GB2312"/>
          <w:b/>
          <w:sz w:val="24"/>
        </w:rPr>
      </w:pPr>
    </w:p>
    <w:p>
      <w:pPr>
        <w:pStyle w:val="2"/>
      </w:pPr>
    </w:p>
    <w:p>
      <w:pPr>
        <w:pStyle w:val="13"/>
        <w:pageBreakBefore/>
        <w:snapToGrid w:val="0"/>
        <w:spacing w:line="360" w:lineRule="auto"/>
        <w:ind w:firstLine="0"/>
        <w:outlineLvl w:val="1"/>
        <w:rPr>
          <w:rFonts w:ascii="仿宋_GB2312" w:hAnsi="仿宋_GB2312" w:eastAsia="仿宋_GB2312" w:cs="仿宋_GB2312"/>
          <w:b/>
          <w:sz w:val="24"/>
        </w:rPr>
      </w:pPr>
      <w:r>
        <w:rPr>
          <w:rFonts w:hint="eastAsia" w:ascii="仿宋_GB2312" w:hAnsi="仿宋_GB2312" w:eastAsia="仿宋_GB2312" w:cs="仿宋_GB2312"/>
          <w:b/>
          <w:sz w:val="24"/>
        </w:rPr>
        <w:t>附件3 中标通知书/中选通知书/谈判记录表</w:t>
      </w:r>
    </w:p>
    <w:p>
      <w:pPr>
        <w:pStyle w:val="13"/>
        <w:snapToGrid w:val="0"/>
        <w:spacing w:line="360" w:lineRule="auto"/>
        <w:ind w:firstLine="0"/>
        <w:outlineLvl w:val="1"/>
        <w:rPr>
          <w:rFonts w:ascii="仿宋_GB2312" w:hAnsi="仿宋_GB2312" w:eastAsia="仿宋_GB2312" w:cs="仿宋_GB2312"/>
          <w:b/>
          <w:sz w:val="24"/>
        </w:rPr>
      </w:pPr>
      <w:r>
        <w:rPr>
          <w:rFonts w:ascii="仿宋_GB2312" w:hAnsi="仿宋_GB2312" w:eastAsia="仿宋_GB2312" w:cs="仿宋_GB2312"/>
          <w:b/>
          <w:sz w:val="24"/>
        </w:rPr>
        <w:br w:type="page"/>
      </w:r>
      <w:r>
        <w:rPr>
          <w:rFonts w:hint="eastAsia" w:ascii="仿宋_GB2312" w:hAnsi="仿宋_GB2312" w:eastAsia="仿宋_GB2312" w:cs="仿宋_GB2312"/>
          <w:b/>
          <w:sz w:val="24"/>
        </w:rPr>
        <w:t>附件4 签约合同价清单</w:t>
      </w:r>
    </w:p>
    <w:p>
      <w:pPr>
        <w:pStyle w:val="13"/>
        <w:snapToGrid w:val="0"/>
        <w:spacing w:line="360" w:lineRule="auto"/>
        <w:ind w:firstLine="0"/>
        <w:outlineLvl w:val="1"/>
        <w:rPr>
          <w:rFonts w:ascii="仿宋_GB2312" w:hAnsi="仿宋_GB2312" w:eastAsia="仿宋_GB2312" w:cs="仿宋_GB2312"/>
          <w:b/>
          <w:sz w:val="24"/>
        </w:rPr>
      </w:pPr>
      <w:bookmarkStart w:id="92" w:name="_Toc501718836"/>
      <w:r>
        <w:rPr>
          <w:rFonts w:ascii="仿宋_GB2312" w:hAnsi="仿宋_GB2312" w:eastAsia="仿宋_GB2312" w:cs="仿宋_GB2312"/>
          <w:b/>
          <w:sz w:val="24"/>
        </w:rPr>
        <w:br w:type="page"/>
      </w:r>
      <w:r>
        <w:rPr>
          <w:rFonts w:hint="eastAsia" w:ascii="仿宋_GB2312" w:hAnsi="仿宋_GB2312" w:eastAsia="仿宋_GB2312" w:cs="仿宋_GB2312"/>
          <w:b/>
          <w:sz w:val="24"/>
        </w:rPr>
        <w:t>附件5 项目关键岗位人员表</w:t>
      </w:r>
      <w:bookmarkEnd w:id="92"/>
    </w:p>
    <w:p>
      <w:pPr>
        <w:pStyle w:val="13"/>
        <w:snapToGrid w:val="0"/>
        <w:spacing w:line="360" w:lineRule="auto"/>
        <w:ind w:firstLine="0"/>
        <w:outlineLvl w:val="1"/>
        <w:rPr>
          <w:rFonts w:ascii="仿宋_GB2312" w:hAnsi="仿宋_GB2312" w:eastAsia="仿宋_GB2312" w:cs="仿宋_GB2312"/>
          <w:b/>
          <w:sz w:val="24"/>
        </w:rPr>
      </w:pPr>
      <w:r>
        <w:rPr>
          <w:rFonts w:ascii="仿宋_GB2312" w:hAnsi="仿宋_GB2312" w:eastAsia="仿宋_GB2312" w:cs="仿宋_GB2312"/>
          <w:b/>
          <w:sz w:val="24"/>
        </w:rPr>
        <w:br w:type="page"/>
      </w:r>
      <w:r>
        <w:rPr>
          <w:rFonts w:hint="eastAsia" w:ascii="仿宋_GB2312" w:hAnsi="仿宋_GB2312" w:eastAsia="仿宋_GB2312" w:cs="仿宋_GB2312"/>
          <w:b/>
          <w:sz w:val="24"/>
        </w:rPr>
        <w:t>附件6 澄清与答疑文件</w:t>
      </w:r>
    </w:p>
    <w:p>
      <w:pPr>
        <w:pStyle w:val="13"/>
        <w:snapToGrid w:val="0"/>
        <w:spacing w:line="360" w:lineRule="auto"/>
        <w:ind w:firstLine="0"/>
        <w:outlineLvl w:val="1"/>
        <w:rPr>
          <w:rFonts w:ascii="仿宋_GB2312" w:hAnsi="仿宋_GB2312" w:eastAsia="仿宋_GB2312" w:cs="仿宋_GB2312"/>
          <w:b/>
          <w:sz w:val="24"/>
        </w:rPr>
      </w:pPr>
      <w:r>
        <w:rPr>
          <w:rFonts w:ascii="仿宋_GB2312" w:hAnsi="仿宋_GB2312" w:eastAsia="仿宋_GB2312" w:cs="仿宋_GB2312"/>
          <w:b/>
          <w:sz w:val="24"/>
        </w:rPr>
        <w:br w:type="page"/>
      </w:r>
      <w:r>
        <w:rPr>
          <w:rFonts w:hint="eastAsia" w:ascii="仿宋_GB2312" w:hAnsi="仿宋_GB2312" w:eastAsia="仿宋_GB2312" w:cs="仿宋_GB2312"/>
          <w:b/>
          <w:sz w:val="24"/>
        </w:rPr>
        <w:t>附件7 最高投标限价公示说明</w:t>
      </w:r>
    </w:p>
    <w:p>
      <w:pPr>
        <w:pStyle w:val="13"/>
        <w:snapToGrid w:val="0"/>
        <w:spacing w:line="360" w:lineRule="auto"/>
        <w:ind w:firstLine="0"/>
        <w:outlineLvl w:val="1"/>
        <w:rPr>
          <w:rFonts w:ascii="仿宋_GB2312" w:hAnsi="仿宋_GB2312" w:eastAsia="仿宋_GB2312" w:cs="仿宋_GB2312"/>
          <w:b/>
          <w:sz w:val="24"/>
        </w:rPr>
      </w:pPr>
      <w:bookmarkStart w:id="93" w:name="_Toc501718837"/>
      <w:r>
        <w:rPr>
          <w:rFonts w:ascii="仿宋_GB2312" w:hAnsi="仿宋_GB2312" w:eastAsia="仿宋_GB2312" w:cs="仿宋_GB2312"/>
          <w:b/>
          <w:sz w:val="24"/>
        </w:rPr>
        <w:br w:type="page"/>
      </w:r>
      <w:r>
        <w:rPr>
          <w:rFonts w:hint="eastAsia" w:ascii="仿宋_GB2312" w:hAnsi="仿宋_GB2312" w:eastAsia="仿宋_GB2312" w:cs="仿宋_GB2312"/>
          <w:b/>
          <w:sz w:val="24"/>
        </w:rPr>
        <w:t xml:space="preserve">附件8 </w:t>
      </w:r>
      <w:bookmarkEnd w:id="93"/>
      <w:r>
        <w:rPr>
          <w:rFonts w:hint="eastAsia" w:ascii="仿宋_GB2312" w:hAnsi="仿宋_GB2312" w:eastAsia="仿宋_GB2312" w:cs="仿宋_GB2312"/>
          <w:b/>
          <w:sz w:val="24"/>
        </w:rPr>
        <w:t>用户需求书/技术规格书</w:t>
      </w:r>
    </w:p>
    <w:p>
      <w:pPr>
        <w:widowControl/>
        <w:jc w:val="left"/>
        <w:rPr>
          <w:rFonts w:ascii="仿宋_GB2312" w:hAnsi="仿宋_GB2312" w:eastAsia="仿宋_GB2312" w:cs="仿宋_GB2312"/>
          <w:b/>
          <w:sz w:val="24"/>
        </w:rPr>
      </w:pPr>
      <w:r>
        <w:rPr>
          <w:rFonts w:hint="eastAsia" w:ascii="仿宋_GB2312" w:hAnsi="仿宋_GB2312" w:eastAsia="仿宋_GB2312" w:cs="仿宋_GB2312"/>
          <w:b/>
          <w:sz w:val="24"/>
        </w:rPr>
        <w:br w:type="page"/>
      </w:r>
    </w:p>
    <w:p>
      <w:pPr>
        <w:tabs>
          <w:tab w:val="left" w:pos="2580"/>
          <w:tab w:val="center" w:pos="5121"/>
        </w:tabs>
        <w:snapToGrid w:val="0"/>
        <w:spacing w:line="360" w:lineRule="auto"/>
        <w:jc w:val="center"/>
        <w:outlineLvl w:val="0"/>
        <w:rPr>
          <w:rFonts w:ascii="仿宋_GB2312" w:hAnsi="仿宋_GB2312" w:eastAsia="仿宋_GB2312" w:cs="仿宋_GB2312"/>
          <w:b/>
          <w:bCs/>
        </w:rPr>
      </w:pPr>
      <w:bookmarkStart w:id="94" w:name="_Toc499044865"/>
      <w:bookmarkStart w:id="95" w:name="_Toc494117897"/>
      <w:bookmarkStart w:id="96" w:name="_Toc492458579"/>
      <w:r>
        <w:rPr>
          <w:rFonts w:hint="eastAsia" w:ascii="仿宋_GB2312" w:hAnsi="仿宋_GB2312" w:eastAsia="仿宋_GB2312" w:cs="仿宋_GB2312"/>
          <w:b/>
          <w:bCs/>
        </w:rPr>
        <w:t>第三部分 合同附录</w:t>
      </w:r>
      <w:bookmarkEnd w:id="94"/>
      <w:bookmarkEnd w:id="95"/>
      <w:bookmarkEnd w:id="96"/>
    </w:p>
    <w:p>
      <w:pPr>
        <w:snapToGrid w:val="0"/>
        <w:spacing w:line="360" w:lineRule="auto"/>
        <w:outlineLvl w:val="1"/>
        <w:rPr>
          <w:rFonts w:ascii="仿宋_GB2312" w:hAnsi="仿宋_GB2312" w:eastAsia="仿宋_GB2312" w:cs="仿宋_GB2312"/>
          <w:b/>
          <w:sz w:val="24"/>
        </w:rPr>
      </w:pPr>
      <w:bookmarkStart w:id="97" w:name="_Toc494117899"/>
      <w:bookmarkStart w:id="98" w:name="_Toc499044867"/>
      <w:bookmarkStart w:id="99" w:name="_Toc492458581"/>
      <w:r>
        <w:rPr>
          <w:rFonts w:hint="eastAsia" w:ascii="仿宋_GB2312" w:hAnsi="仿宋_GB2312" w:eastAsia="仿宋_GB2312" w:cs="仿宋_GB2312"/>
          <w:b/>
          <w:sz w:val="24"/>
        </w:rPr>
        <w:t>附录1银行履约保函（格式）</w:t>
      </w:r>
      <w:bookmarkEnd w:id="97"/>
      <w:bookmarkEnd w:id="98"/>
      <w:bookmarkEnd w:id="99"/>
    </w:p>
    <w:p>
      <w:pPr>
        <w:snapToGrid w:val="0"/>
        <w:spacing w:line="360" w:lineRule="auto"/>
        <w:jc w:val="center"/>
        <w:rPr>
          <w:rFonts w:ascii="仿宋_GB2312" w:hAnsi="仿宋_GB2312" w:eastAsia="仿宋_GB2312" w:cs="仿宋_GB2312"/>
          <w:b/>
          <w:sz w:val="24"/>
        </w:rPr>
      </w:pPr>
    </w:p>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 xml:space="preserve">                            保函编号：</w:t>
      </w:r>
    </w:p>
    <w:p>
      <w:pPr>
        <w:jc w:val="center"/>
        <w:rPr>
          <w:rFonts w:ascii="仿宋_GB2312" w:hAnsi="仿宋_GB2312" w:eastAsia="仿宋_GB2312" w:cs="仿宋_GB2312"/>
          <w:b/>
          <w:sz w:val="24"/>
        </w:rPr>
      </w:pPr>
    </w:p>
    <w:p>
      <w:pPr>
        <w:jc w:val="center"/>
        <w:rPr>
          <w:rFonts w:ascii="仿宋_GB2312" w:hAnsi="仿宋_GB2312" w:eastAsia="仿宋_GB2312" w:cs="仿宋_GB2312"/>
          <w:b/>
        </w:rPr>
      </w:pPr>
      <w:r>
        <w:rPr>
          <w:rFonts w:hint="eastAsia" w:ascii="仿宋_GB2312" w:hAnsi="仿宋_GB2312" w:eastAsia="仿宋_GB2312" w:cs="仿宋_GB2312"/>
          <w:b/>
        </w:rPr>
        <w:t>银行履约保函</w:t>
      </w:r>
    </w:p>
    <w:p>
      <w:pPr>
        <w:jc w:val="center"/>
        <w:rPr>
          <w:rFonts w:ascii="仿宋_GB2312" w:hAnsi="仿宋_GB2312" w:eastAsia="仿宋_GB2312" w:cs="仿宋_GB2312"/>
          <w:b/>
          <w:sz w:val="24"/>
        </w:rPr>
      </w:pPr>
    </w:p>
    <w:p>
      <w:pPr>
        <w:adjustRightInd w:val="0"/>
        <w:snapToGrid w:val="0"/>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甲方（全称）：</w:t>
      </w:r>
      <w:r>
        <w:rPr>
          <w:rFonts w:hint="eastAsia" w:ascii="仿宋_GB2312" w:hAnsi="仿宋_GB2312" w:eastAsia="仿宋_GB2312" w:cs="仿宋_GB2312"/>
          <w:sz w:val="24"/>
          <w:u w:val="single"/>
        </w:rPr>
        <w:t xml:space="preserve">                  </w:t>
      </w:r>
    </w:p>
    <w:p>
      <w:pPr>
        <w:adjustRightInd w:val="0"/>
        <w:snapToGrid w:val="0"/>
        <w:spacing w:line="360" w:lineRule="auto"/>
        <w:ind w:left="15" w:leftChars="7" w:firstLine="480"/>
        <w:rPr>
          <w:rFonts w:ascii="仿宋_GB2312" w:hAnsi="仿宋_GB2312" w:eastAsia="仿宋_GB2312" w:cs="仿宋_GB2312"/>
          <w:sz w:val="24"/>
        </w:rPr>
      </w:pPr>
      <w:r>
        <w:rPr>
          <w:rFonts w:hint="eastAsia" w:ascii="仿宋_GB2312" w:hAnsi="仿宋_GB2312" w:eastAsia="仿宋_GB2312" w:cs="仿宋_GB2312"/>
          <w:sz w:val="24"/>
        </w:rPr>
        <w:t>鉴于甲方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（以下简称“你方”）与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（乙方全称，以下简称“乙方”）于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日协商一致共同签订合同编号为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1、担保金额为人民币（大写）</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元（小写：¥</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w:t>
      </w:r>
    </w:p>
    <w:p>
      <w:pPr>
        <w:adjustRightInd w:val="0"/>
        <w:snapToGrid w:val="0"/>
        <w:spacing w:line="360" w:lineRule="auto"/>
        <w:ind w:left="15"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2、担保期限为自本保函生效之日起至</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之日止。</w:t>
      </w:r>
    </w:p>
    <w:p>
      <w:pPr>
        <w:adjustRightInd w:val="0"/>
        <w:snapToGrid w:val="0"/>
        <w:spacing w:line="360" w:lineRule="auto"/>
        <w:ind w:left="15"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4、你方和乙方按合同约定变更合同时，我方承担本担保规定的义务不变。</w:t>
      </w:r>
    </w:p>
    <w:p>
      <w:pPr>
        <w:adjustRightInd w:val="0"/>
        <w:snapToGrid w:val="0"/>
        <w:spacing w:line="360" w:lineRule="auto"/>
        <w:ind w:left="15" w:leftChars="7" w:firstLine="480"/>
        <w:rPr>
          <w:rFonts w:ascii="仿宋_GB2312" w:hAnsi="仿宋_GB2312" w:eastAsia="仿宋_GB2312" w:cs="仿宋_GB2312"/>
          <w:sz w:val="24"/>
        </w:rPr>
      </w:pPr>
      <w:r>
        <w:rPr>
          <w:rFonts w:hint="eastAsia" w:ascii="仿宋_GB2312" w:hAnsi="仿宋_GB2312" w:eastAsia="仿宋_GB2312" w:cs="仿宋_GB2312"/>
          <w:sz w:val="24"/>
        </w:rPr>
        <w:t>5、因本保函发生的纠纷，可由双方协商解决，协商不成的，任何一方均可提请在你方所在地人民法院起诉。</w:t>
      </w:r>
    </w:p>
    <w:p>
      <w:pPr>
        <w:adjustRightInd w:val="0"/>
        <w:snapToGrid w:val="0"/>
        <w:spacing w:line="360" w:lineRule="auto"/>
        <w:ind w:left="15"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本保函自我方加盖公章之日起生效。</w:t>
      </w:r>
    </w:p>
    <w:p>
      <w:pPr>
        <w:adjustRightInd w:val="0"/>
        <w:snapToGrid w:val="0"/>
        <w:spacing w:line="360" w:lineRule="auto"/>
        <w:ind w:left="15" w:leftChars="7" w:firstLine="403" w:firstLineChars="168"/>
        <w:rPr>
          <w:rFonts w:ascii="仿宋_GB2312" w:hAnsi="仿宋_GB2312" w:eastAsia="仿宋_GB2312" w:cs="仿宋_GB2312"/>
          <w:sz w:val="24"/>
          <w:szCs w:val="20"/>
        </w:rPr>
      </w:pPr>
    </w:p>
    <w:p>
      <w:pPr>
        <w:adjustRightInd w:val="0"/>
        <w:snapToGrid w:val="0"/>
        <w:spacing w:line="360" w:lineRule="auto"/>
        <w:ind w:firstLine="480" w:firstLineChars="200"/>
        <w:rPr>
          <w:rFonts w:ascii="仿宋_GB2312" w:hAnsi="仿宋_GB2312" w:eastAsia="仿宋_GB2312" w:cs="仿宋_GB2312"/>
          <w:sz w:val="24"/>
          <w:szCs w:val="20"/>
        </w:rPr>
      </w:pPr>
      <w:r>
        <w:rPr>
          <w:rFonts w:hint="eastAsia" w:ascii="仿宋_GB2312" w:hAnsi="仿宋_GB2312" w:eastAsia="仿宋_GB2312" w:cs="仿宋_GB2312"/>
          <w:sz w:val="24"/>
          <w:szCs w:val="20"/>
        </w:rPr>
        <w:t>担保人（盖公章）：</w:t>
      </w:r>
    </w:p>
    <w:p>
      <w:pPr>
        <w:adjustRightInd w:val="0"/>
        <w:snapToGrid w:val="0"/>
        <w:spacing w:line="360" w:lineRule="auto"/>
        <w:ind w:firstLine="480" w:firstLineChars="200"/>
        <w:rPr>
          <w:rFonts w:ascii="仿宋_GB2312" w:hAnsi="仿宋_GB2312" w:eastAsia="仿宋_GB2312" w:cs="仿宋_GB2312"/>
          <w:sz w:val="24"/>
          <w:szCs w:val="20"/>
        </w:rPr>
      </w:pPr>
      <w:r>
        <w:rPr>
          <w:rFonts w:hint="eastAsia" w:ascii="仿宋_GB2312" w:hAnsi="仿宋_GB2312" w:eastAsia="仿宋_GB2312" w:cs="仿宋_GB2312"/>
          <w:sz w:val="24"/>
          <w:szCs w:val="20"/>
        </w:rPr>
        <w:t>签字：</w:t>
      </w:r>
    </w:p>
    <w:p>
      <w:pPr>
        <w:adjustRightInd w:val="0"/>
        <w:snapToGrid w:val="0"/>
        <w:spacing w:line="360" w:lineRule="auto"/>
        <w:ind w:firstLine="480" w:firstLineChars="200"/>
        <w:rPr>
          <w:rFonts w:ascii="仿宋_GB2312" w:hAnsi="仿宋_GB2312" w:eastAsia="仿宋_GB2312" w:cs="仿宋_GB2312"/>
          <w:sz w:val="24"/>
          <w:szCs w:val="20"/>
        </w:rPr>
      </w:pPr>
      <w:r>
        <w:rPr>
          <w:rFonts w:hint="eastAsia" w:ascii="仿宋_GB2312" w:hAnsi="仿宋_GB2312" w:eastAsia="仿宋_GB2312" w:cs="仿宋_GB2312"/>
          <w:sz w:val="24"/>
          <w:szCs w:val="20"/>
        </w:rPr>
        <w:t>地址：</w:t>
      </w:r>
    </w:p>
    <w:p>
      <w:pPr>
        <w:adjustRightInd w:val="0"/>
        <w:snapToGrid w:val="0"/>
        <w:spacing w:line="360" w:lineRule="auto"/>
        <w:ind w:firstLine="480" w:firstLineChars="200"/>
        <w:rPr>
          <w:rFonts w:ascii="仿宋_GB2312" w:hAnsi="仿宋_GB2312" w:eastAsia="仿宋_GB2312" w:cs="仿宋_GB2312"/>
          <w:sz w:val="24"/>
          <w:szCs w:val="20"/>
        </w:rPr>
      </w:pPr>
      <w:r>
        <w:rPr>
          <w:rFonts w:hint="eastAsia" w:ascii="仿宋_GB2312" w:hAnsi="仿宋_GB2312" w:eastAsia="仿宋_GB2312" w:cs="仿宋_GB2312"/>
          <w:sz w:val="24"/>
          <w:szCs w:val="20"/>
        </w:rPr>
        <w:t>邮政编码：</w:t>
      </w:r>
    </w:p>
    <w:p>
      <w:pPr>
        <w:adjustRightInd w:val="0"/>
        <w:snapToGrid w:val="0"/>
        <w:spacing w:line="360" w:lineRule="auto"/>
        <w:ind w:firstLine="480" w:firstLineChars="200"/>
        <w:rPr>
          <w:rFonts w:ascii="仿宋_GB2312" w:hAnsi="仿宋_GB2312" w:eastAsia="仿宋_GB2312" w:cs="仿宋_GB2312"/>
          <w:sz w:val="24"/>
          <w:szCs w:val="20"/>
        </w:rPr>
      </w:pPr>
      <w:r>
        <w:rPr>
          <w:rFonts w:hint="eastAsia" w:ascii="仿宋_GB2312" w:hAnsi="仿宋_GB2312" w:eastAsia="仿宋_GB2312" w:cs="仿宋_GB2312"/>
          <w:sz w:val="24"/>
          <w:szCs w:val="20"/>
        </w:rPr>
        <w:t>电话：</w:t>
      </w:r>
    </w:p>
    <w:p>
      <w:pPr>
        <w:adjustRightInd w:val="0"/>
        <w:snapToGrid w:val="0"/>
        <w:spacing w:line="360" w:lineRule="auto"/>
        <w:ind w:firstLine="480" w:firstLineChars="200"/>
        <w:rPr>
          <w:rFonts w:ascii="仿宋_GB2312" w:hAnsi="仿宋_GB2312" w:eastAsia="仿宋_GB2312" w:cs="仿宋_GB2312"/>
          <w:sz w:val="24"/>
          <w:szCs w:val="20"/>
        </w:rPr>
      </w:pPr>
      <w:r>
        <w:rPr>
          <w:rFonts w:hint="eastAsia" w:ascii="仿宋_GB2312" w:hAnsi="仿宋_GB2312" w:eastAsia="仿宋_GB2312" w:cs="仿宋_GB2312"/>
          <w:sz w:val="24"/>
          <w:szCs w:val="20"/>
        </w:rPr>
        <w:t>传真：</w:t>
      </w:r>
    </w:p>
    <w:p>
      <w:pPr>
        <w:adjustRightInd w:val="0"/>
        <w:snapToGrid w:val="0"/>
        <w:spacing w:line="360" w:lineRule="auto"/>
        <w:ind w:firstLine="480" w:firstLineChars="200"/>
        <w:rPr>
          <w:rFonts w:ascii="仿宋_GB2312" w:hAnsi="仿宋_GB2312" w:eastAsia="仿宋_GB2312" w:cs="仿宋_GB2312"/>
          <w:sz w:val="24"/>
          <w:szCs w:val="20"/>
        </w:rPr>
      </w:pPr>
      <w:r>
        <w:rPr>
          <w:rFonts w:hint="eastAsia" w:ascii="仿宋_GB2312" w:hAnsi="仿宋_GB2312" w:eastAsia="仿宋_GB2312" w:cs="仿宋_GB2312"/>
          <w:sz w:val="24"/>
          <w:szCs w:val="20"/>
        </w:rPr>
        <w:t>时间：</w:t>
      </w:r>
    </w:p>
    <w:p>
      <w:pPr>
        <w:pStyle w:val="13"/>
        <w:snapToGrid w:val="0"/>
        <w:spacing w:line="360" w:lineRule="auto"/>
        <w:ind w:firstLine="0"/>
        <w:outlineLvl w:val="1"/>
        <w:rPr>
          <w:rFonts w:ascii="仿宋_GB2312" w:hAnsi="仿宋_GB2312" w:eastAsia="仿宋_GB2312" w:cs="仿宋_GB2312"/>
          <w:b/>
          <w:sz w:val="24"/>
        </w:rPr>
      </w:pPr>
      <w:r>
        <w:rPr>
          <w:rFonts w:ascii="仿宋_GB2312" w:hAnsi="仿宋_GB2312" w:eastAsia="仿宋_GB2312" w:cs="仿宋_GB2312"/>
          <w:sz w:val="24"/>
          <w:lang w:bidi="en-US"/>
        </w:rPr>
        <w:br w:type="page"/>
      </w:r>
    </w:p>
    <w:p>
      <w:pPr>
        <w:widowControl/>
        <w:snapToGrid w:val="0"/>
        <w:spacing w:line="360" w:lineRule="auto"/>
        <w:jc w:val="left"/>
        <w:rPr>
          <w:rFonts w:ascii="仿宋_GB2312" w:hAnsi="仿宋_GB2312" w:eastAsia="仿宋_GB2312" w:cs="仿宋_GB2312"/>
          <w:sz w:val="24"/>
          <w:lang w:bidi="en-US"/>
        </w:rPr>
      </w:pPr>
    </w:p>
    <w:p>
      <w:pPr>
        <w:tabs>
          <w:tab w:val="left" w:pos="2580"/>
          <w:tab w:val="center" w:pos="5121"/>
        </w:tabs>
        <w:snapToGrid w:val="0"/>
        <w:jc w:val="left"/>
        <w:outlineLvl w:val="0"/>
        <w:rPr>
          <w:rFonts w:ascii="仿宋_GB2312" w:hAnsi="仿宋_GB2312" w:eastAsia="仿宋_GB2312" w:cs="仿宋_GB2312"/>
          <w:b/>
          <w:bCs/>
        </w:rPr>
      </w:pPr>
      <w:r>
        <w:rPr>
          <w:rFonts w:hint="eastAsia" w:ascii="仿宋_GB2312" w:hAnsi="仿宋_GB2312" w:eastAsia="仿宋_GB2312" w:cs="仿宋_GB2312"/>
          <w:b/>
          <w:bCs/>
        </w:rPr>
        <w:t>第四部分  招标文件/自主竞争性谈判文件/直接委托谈判文件、澄清与答疑文件及其他补充资料（如有，另册）</w:t>
      </w:r>
    </w:p>
    <w:p>
      <w:pPr>
        <w:widowControl/>
        <w:snapToGrid w:val="0"/>
        <w:spacing w:line="360" w:lineRule="auto"/>
        <w:jc w:val="left"/>
        <w:rPr>
          <w:rFonts w:ascii="仿宋_GB2312" w:hAnsi="仿宋_GB2312" w:eastAsia="仿宋_GB2312" w:cs="仿宋_GB2312"/>
          <w:sz w:val="24"/>
          <w:lang w:bidi="en-US"/>
        </w:rPr>
      </w:pPr>
    </w:p>
    <w:p>
      <w:pPr>
        <w:widowControl/>
        <w:snapToGrid w:val="0"/>
        <w:spacing w:line="360" w:lineRule="auto"/>
        <w:jc w:val="left"/>
        <w:rPr>
          <w:rFonts w:ascii="仿宋_GB2312" w:hAnsi="仿宋_GB2312" w:eastAsia="仿宋_GB2312" w:cs="仿宋_GB2312"/>
          <w:sz w:val="24"/>
          <w:lang w:bidi="en-US"/>
        </w:rPr>
      </w:pPr>
    </w:p>
    <w:p>
      <w:pPr>
        <w:widowControl/>
        <w:snapToGrid w:val="0"/>
        <w:spacing w:line="360" w:lineRule="auto"/>
        <w:jc w:val="left"/>
        <w:rPr>
          <w:rFonts w:ascii="仿宋_GB2312" w:hAnsi="仿宋_GB2312" w:eastAsia="仿宋_GB2312" w:cs="仿宋_GB2312"/>
          <w:sz w:val="24"/>
          <w:lang w:bidi="en-US"/>
        </w:rPr>
      </w:pPr>
    </w:p>
    <w:p>
      <w:pPr>
        <w:widowControl/>
        <w:snapToGrid w:val="0"/>
        <w:spacing w:line="360" w:lineRule="auto"/>
        <w:jc w:val="left"/>
        <w:rPr>
          <w:rFonts w:ascii="仿宋_GB2312" w:hAnsi="仿宋_GB2312" w:eastAsia="仿宋_GB2312" w:cs="仿宋_GB2312"/>
          <w:sz w:val="24"/>
          <w:lang w:bidi="en-US"/>
        </w:rPr>
      </w:pPr>
    </w:p>
    <w:p>
      <w:pPr>
        <w:widowControl/>
        <w:snapToGrid w:val="0"/>
        <w:spacing w:line="360" w:lineRule="auto"/>
        <w:jc w:val="left"/>
        <w:rPr>
          <w:rFonts w:ascii="仿宋_GB2312" w:hAnsi="仿宋_GB2312" w:eastAsia="仿宋_GB2312" w:cs="仿宋_GB2312"/>
          <w:sz w:val="24"/>
          <w:lang w:bidi="en-US"/>
        </w:rPr>
      </w:pPr>
    </w:p>
    <w:p>
      <w:pPr>
        <w:tabs>
          <w:tab w:val="left" w:pos="2580"/>
          <w:tab w:val="center" w:pos="5121"/>
        </w:tabs>
        <w:snapToGrid w:val="0"/>
        <w:jc w:val="left"/>
        <w:outlineLvl w:val="0"/>
        <w:rPr>
          <w:rFonts w:ascii="仿宋_GB2312" w:hAnsi="仿宋_GB2312" w:eastAsia="仿宋_GB2312" w:cs="仿宋_GB2312"/>
          <w:b/>
          <w:bCs/>
        </w:rPr>
      </w:pPr>
      <w:r>
        <w:rPr>
          <w:rFonts w:hint="eastAsia" w:ascii="仿宋_GB2312" w:hAnsi="仿宋_GB2312" w:eastAsia="仿宋_GB2312" w:cs="仿宋_GB2312"/>
          <w:b/>
          <w:bCs/>
        </w:rPr>
        <w:t>第五部分  投标文件/谈判响应文件、澄清文件及其他补充资料（如有，另册）</w:t>
      </w:r>
    </w:p>
    <w:p>
      <w:pPr>
        <w:widowControl/>
        <w:snapToGrid w:val="0"/>
        <w:spacing w:line="360" w:lineRule="auto"/>
        <w:jc w:val="left"/>
        <w:rPr>
          <w:rFonts w:ascii="仿宋_GB2312" w:hAnsi="仿宋_GB2312" w:eastAsia="仿宋_GB2312" w:cs="仿宋_GB2312"/>
        </w:rPr>
      </w:pPr>
    </w:p>
    <w:p/>
    <w:p>
      <w:pPr>
        <w:pStyle w:val="46"/>
        <w:sectPr>
          <w:pgSz w:w="11906" w:h="16838"/>
          <w:pgMar w:top="2098" w:right="1474" w:bottom="1984" w:left="1587" w:header="851" w:footer="992" w:gutter="0"/>
          <w:cols w:space="0" w:num="1"/>
          <w:docGrid w:type="lines" w:linePitch="319" w:charSpace="0"/>
        </w:sectPr>
      </w:pPr>
    </w:p>
    <w:p>
      <w:pPr>
        <w:snapToGrid w:val="0"/>
        <w:spacing w:line="360" w:lineRule="auto"/>
        <w:jc w:val="center"/>
        <w:outlineLvl w:val="0"/>
        <w:rPr>
          <w:rFonts w:ascii="宋体" w:hAnsi="宋体" w:cs="宋体"/>
          <w:bCs/>
          <w:sz w:val="32"/>
          <w:szCs w:val="32"/>
        </w:rPr>
      </w:pPr>
      <w:bookmarkStart w:id="100" w:name="_Toc111"/>
      <w:r>
        <w:rPr>
          <w:rFonts w:hint="eastAsia"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61312;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b/>
          <w:sz w:val="32"/>
          <w:szCs w:val="32"/>
        </w:rPr>
        <w:t>第七章</w:t>
      </w:r>
      <w:bookmarkStart w:id="101" w:name="_Toc14891079"/>
      <w:r>
        <w:rPr>
          <w:rFonts w:hint="eastAsia" w:ascii="宋体" w:hAnsi="宋体" w:cs="宋体"/>
          <w:b/>
          <w:sz w:val="32"/>
          <w:szCs w:val="32"/>
        </w:rPr>
        <w:t xml:space="preserve">  </w:t>
      </w:r>
      <w:r>
        <w:rPr>
          <w:rFonts w:hint="eastAsia" w:ascii="宋体" w:hAnsi="宋体" w:cs="宋体"/>
          <w:b/>
          <w:bCs/>
          <w:sz w:val="32"/>
          <w:szCs w:val="32"/>
        </w:rPr>
        <w:t>响应文件组成</w:t>
      </w:r>
      <w:bookmarkEnd w:id="71"/>
      <w:bookmarkEnd w:id="72"/>
      <w:bookmarkEnd w:id="73"/>
      <w:bookmarkEnd w:id="74"/>
      <w:bookmarkEnd w:id="100"/>
      <w:bookmarkEnd w:id="101"/>
    </w:p>
    <w:p>
      <w:pPr>
        <w:spacing w:line="360" w:lineRule="auto"/>
        <w:rPr>
          <w:rFonts w:ascii="宋体" w:hAnsi="宋体"/>
          <w:b/>
          <w:bCs/>
          <w:sz w:val="52"/>
          <w:szCs w:val="52"/>
        </w:rPr>
      </w:pPr>
    </w:p>
    <w:p>
      <w:pPr>
        <w:spacing w:line="360" w:lineRule="auto"/>
        <w:jc w:val="center"/>
        <w:rPr>
          <w:rFonts w:ascii="宋体" w:hAnsi="宋体"/>
          <w:b/>
          <w:bCs/>
          <w:sz w:val="52"/>
          <w:szCs w:val="52"/>
        </w:rPr>
      </w:pPr>
      <w:r>
        <w:rPr>
          <w:rFonts w:hint="eastAsia" w:ascii="宋体" w:hAnsi="宋体"/>
          <w:b/>
          <w:bCs/>
          <w:sz w:val="52"/>
          <w:szCs w:val="52"/>
        </w:rPr>
        <w:t>自主竞争性谈判</w:t>
      </w:r>
    </w:p>
    <w:p>
      <w:pPr>
        <w:adjustRightInd w:val="0"/>
        <w:snapToGrid w:val="0"/>
        <w:spacing w:line="360" w:lineRule="auto"/>
        <w:jc w:val="center"/>
        <w:rPr>
          <w:rFonts w:ascii="宋体" w:hAnsi="宋体"/>
          <w:b/>
          <w:bCs/>
          <w:sz w:val="52"/>
          <w:szCs w:val="52"/>
        </w:rPr>
      </w:pPr>
      <w:r>
        <w:rPr>
          <w:rFonts w:hint="eastAsia" w:ascii="宋体" w:hAnsi="宋体"/>
          <w:b/>
          <w:bCs/>
          <w:sz w:val="52"/>
          <w:szCs w:val="52"/>
        </w:rPr>
        <w:t>响应文件</w:t>
      </w:r>
    </w:p>
    <w:p>
      <w:pPr>
        <w:spacing w:line="360" w:lineRule="auto"/>
        <w:rPr>
          <w:rFonts w:ascii="宋体" w:hAnsi="宋体"/>
          <w:b/>
          <w:bCs/>
          <w:sz w:val="28"/>
          <w:szCs w:val="28"/>
        </w:rPr>
      </w:pPr>
    </w:p>
    <w:p>
      <w:pPr>
        <w:pStyle w:val="25"/>
        <w:spacing w:line="360" w:lineRule="auto"/>
        <w:rPr>
          <w:rFonts w:hAnsi="宋体"/>
          <w:b/>
          <w:bCs/>
          <w:sz w:val="32"/>
          <w:szCs w:val="32"/>
        </w:rPr>
      </w:pPr>
    </w:p>
    <w:p>
      <w:pPr>
        <w:pStyle w:val="25"/>
        <w:adjustRightInd w:val="0"/>
        <w:snapToGrid w:val="0"/>
        <w:spacing w:line="360" w:lineRule="auto"/>
        <w:rPr>
          <w:rFonts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jc w:val="center"/>
        <w:rPr>
          <w:rFonts w:hAnsi="宋体"/>
          <w:b/>
          <w:bCs/>
          <w:sz w:val="32"/>
          <w:szCs w:val="32"/>
        </w:rPr>
      </w:pPr>
      <w:r>
        <w:rPr>
          <w:rFonts w:hint="eastAsia" w:hAnsi="宋体"/>
          <w:b/>
          <w:bCs/>
          <w:sz w:val="32"/>
          <w:szCs w:val="32"/>
        </w:rPr>
        <w:t>日  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Pr>
        <w:spacing w:line="360" w:lineRule="exact"/>
        <w:rPr>
          <w:rFonts w:ascii="宋体" w:hAnsi="宋体"/>
          <w:b/>
        </w:rPr>
      </w:pPr>
    </w:p>
    <w:p>
      <w:pPr>
        <w:adjustRightInd w:val="0"/>
        <w:snapToGrid w:val="0"/>
        <w:spacing w:line="360" w:lineRule="auto"/>
        <w:jc w:val="center"/>
        <w:outlineLvl w:val="0"/>
        <w:rPr>
          <w:rFonts w:ascii="黑体" w:eastAsia="黑体"/>
          <w:b/>
          <w:sz w:val="32"/>
          <w:szCs w:val="32"/>
        </w:rPr>
        <w:sectPr>
          <w:pgSz w:w="11906" w:h="16838"/>
          <w:pgMar w:top="2098" w:right="1474" w:bottom="1984" w:left="1587" w:header="851" w:footer="992" w:gutter="0"/>
          <w:cols w:space="0" w:num="1"/>
          <w:docGrid w:type="lines" w:linePitch="319" w:charSpace="0"/>
        </w:sectPr>
      </w:pPr>
    </w:p>
    <w:p>
      <w:pPr>
        <w:widowControl/>
        <w:spacing w:line="360" w:lineRule="auto"/>
        <w:jc w:val="center"/>
        <w:rPr>
          <w:rFonts w:hAnsi="宋体" w:cs="宋体"/>
          <w:b/>
          <w:bCs/>
          <w:sz w:val="32"/>
          <w:szCs w:val="32"/>
        </w:rPr>
      </w:pPr>
      <w:r>
        <w:rPr>
          <w:rFonts w:hint="eastAsia" w:ascii="宋体" w:hAnsi="宋体"/>
          <w:b/>
          <w:sz w:val="32"/>
          <w:szCs w:val="32"/>
        </w:rPr>
        <w:t>目   录</w:t>
      </w:r>
    </w:p>
    <w:p>
      <w:pPr>
        <w:adjustRightInd w:val="0"/>
        <w:snapToGrid w:val="0"/>
        <w:spacing w:line="360" w:lineRule="auto"/>
        <w:ind w:firstLine="480" w:firstLineChars="200"/>
        <w:outlineLvl w:val="0"/>
        <w:rPr>
          <w:rFonts w:ascii="宋体" w:hAnsi="宋体"/>
          <w:sz w:val="24"/>
        </w:rPr>
      </w:pPr>
    </w:p>
    <w:p>
      <w:pPr>
        <w:adjustRightInd w:val="0"/>
        <w:snapToGrid w:val="0"/>
        <w:spacing w:line="360" w:lineRule="auto"/>
        <w:rPr>
          <w:rFonts w:ascii="宋体" w:hAnsi="宋体"/>
          <w:szCs w:val="21"/>
        </w:rPr>
      </w:pPr>
      <w:r>
        <w:rPr>
          <w:rFonts w:hint="eastAsia" w:ascii="宋体" w:hAnsi="宋体"/>
          <w:szCs w:val="21"/>
        </w:rPr>
        <w:t>一、谈判承诺书</w:t>
      </w:r>
    </w:p>
    <w:p>
      <w:pPr>
        <w:adjustRightInd w:val="0"/>
        <w:snapToGrid w:val="0"/>
        <w:spacing w:line="360" w:lineRule="auto"/>
        <w:jc w:val="left"/>
        <w:rPr>
          <w:rFonts w:ascii="宋体" w:hAnsi="宋体"/>
          <w:szCs w:val="21"/>
        </w:rPr>
      </w:pPr>
      <w:r>
        <w:rPr>
          <w:rFonts w:hint="eastAsia" w:ascii="宋体" w:hAnsi="宋体"/>
          <w:szCs w:val="21"/>
        </w:rPr>
        <w:t>二、法定代表人身份证明书</w:t>
      </w:r>
    </w:p>
    <w:p>
      <w:pPr>
        <w:adjustRightInd w:val="0"/>
        <w:snapToGrid w:val="0"/>
        <w:spacing w:line="360" w:lineRule="auto"/>
        <w:jc w:val="left"/>
        <w:rPr>
          <w:rFonts w:ascii="宋体" w:hAnsi="宋体"/>
          <w:szCs w:val="21"/>
        </w:rPr>
      </w:pPr>
      <w:r>
        <w:rPr>
          <w:rFonts w:hint="eastAsia" w:ascii="宋体" w:hAnsi="宋体"/>
          <w:szCs w:val="21"/>
        </w:rPr>
        <w:t>三、授权委托书</w:t>
      </w:r>
    </w:p>
    <w:p>
      <w:pPr>
        <w:adjustRightInd w:val="0"/>
        <w:snapToGrid w:val="0"/>
        <w:spacing w:line="360" w:lineRule="auto"/>
        <w:jc w:val="left"/>
        <w:rPr>
          <w:rFonts w:hAnsi="宋体"/>
          <w:szCs w:val="21"/>
        </w:rPr>
      </w:pPr>
      <w:r>
        <w:rPr>
          <w:rFonts w:hint="eastAsia" w:ascii="宋体" w:hAnsi="宋体"/>
          <w:szCs w:val="21"/>
        </w:rPr>
        <w:t>四、</w:t>
      </w:r>
      <w:r>
        <w:rPr>
          <w:rFonts w:hint="eastAsia" w:hAnsi="宋体"/>
          <w:szCs w:val="21"/>
        </w:rPr>
        <w:t>谈判单位资格条件证明文件</w:t>
      </w:r>
    </w:p>
    <w:p>
      <w:pPr>
        <w:adjustRightInd w:val="0"/>
        <w:snapToGrid w:val="0"/>
        <w:spacing w:line="360" w:lineRule="auto"/>
        <w:rPr>
          <w:rFonts w:ascii="宋体" w:hAnsi="宋体"/>
          <w:szCs w:val="21"/>
        </w:rPr>
      </w:pPr>
      <w:r>
        <w:rPr>
          <w:rFonts w:hint="eastAsia" w:ascii="宋体" w:hAnsi="宋体"/>
          <w:szCs w:val="21"/>
        </w:rPr>
        <w:t>五、</w:t>
      </w:r>
      <w:r>
        <w:rPr>
          <w:rFonts w:hint="eastAsia" w:hAnsi="宋体"/>
          <w:bCs/>
          <w:szCs w:val="21"/>
        </w:rPr>
        <w:t>服务方案</w:t>
      </w:r>
    </w:p>
    <w:p>
      <w:pPr>
        <w:adjustRightInd w:val="0"/>
        <w:snapToGrid w:val="0"/>
        <w:spacing w:line="360" w:lineRule="auto"/>
        <w:rPr>
          <w:rFonts w:hint="eastAsia" w:ascii="宋体" w:hAnsi="宋体"/>
          <w:szCs w:val="21"/>
        </w:rPr>
      </w:pPr>
      <w:r>
        <w:rPr>
          <w:rFonts w:hint="eastAsia" w:ascii="宋体" w:hAnsi="宋体"/>
          <w:szCs w:val="21"/>
        </w:rPr>
        <w:t>六、报价一览表</w:t>
      </w:r>
    </w:p>
    <w:p>
      <w:pPr>
        <w:adjustRightInd w:val="0"/>
        <w:snapToGrid w:val="0"/>
        <w:spacing w:line="360" w:lineRule="auto"/>
        <w:rPr>
          <w:rFonts w:hint="default" w:ascii="宋体" w:hAnsi="宋体"/>
          <w:szCs w:val="21"/>
          <w:lang w:val="en-US" w:eastAsia="zh-CN"/>
        </w:rPr>
      </w:pPr>
      <w:r>
        <w:rPr>
          <w:rFonts w:hint="eastAsia" w:ascii="宋体" w:hAnsi="宋体"/>
          <w:szCs w:val="21"/>
          <w:lang w:val="en-US" w:eastAsia="zh-CN"/>
        </w:rPr>
        <w:t>七、分项价格表</w:t>
      </w:r>
    </w:p>
    <w:p>
      <w:pPr>
        <w:adjustRightInd w:val="0"/>
        <w:snapToGrid w:val="0"/>
        <w:spacing w:line="360" w:lineRule="auto"/>
        <w:rPr>
          <w:rFonts w:hint="eastAsia" w:ascii="宋体" w:hAnsi="宋体"/>
          <w:szCs w:val="21"/>
        </w:rPr>
      </w:pPr>
      <w:r>
        <w:rPr>
          <w:rFonts w:hint="eastAsia" w:ascii="宋体" w:hAnsi="宋体"/>
          <w:szCs w:val="21"/>
          <w:lang w:val="en-US" w:eastAsia="zh-CN"/>
        </w:rPr>
        <w:t>八</w:t>
      </w:r>
      <w:r>
        <w:rPr>
          <w:rFonts w:hint="eastAsia" w:ascii="宋体" w:hAnsi="宋体"/>
          <w:szCs w:val="21"/>
        </w:rPr>
        <w:t>、其他资料（如有）</w:t>
      </w:r>
    </w:p>
    <w:p>
      <w:pPr>
        <w:ind w:firstLine="480" w:firstLineChars="200"/>
        <w:jc w:val="center"/>
        <w:outlineLvl w:val="1"/>
        <w:rPr>
          <w:rFonts w:ascii="黑体" w:hAnsi="黑体" w:eastAsia="黑体"/>
          <w:b/>
          <w:sz w:val="32"/>
          <w:szCs w:val="32"/>
        </w:rPr>
      </w:pPr>
      <w:r>
        <w:rPr>
          <w:rFonts w:hint="eastAsia" w:ascii="宋体" w:hAnsi="宋体"/>
          <w:sz w:val="24"/>
        </w:rPr>
        <w:br w:type="page"/>
      </w:r>
      <w:bookmarkStart w:id="102" w:name="_Toc7657"/>
      <w:bookmarkStart w:id="103" w:name="_Toc10329"/>
      <w:bookmarkStart w:id="104" w:name="_Toc32600"/>
      <w:bookmarkStart w:id="105" w:name="_Toc14530"/>
      <w:bookmarkStart w:id="106" w:name="_Toc32569"/>
      <w:r>
        <w:rPr>
          <w:rFonts w:hint="eastAsia" w:ascii="宋体" w:hAnsi="宋体" w:cs="宋体"/>
          <w:b/>
          <w:sz w:val="32"/>
          <w:szCs w:val="32"/>
        </w:rPr>
        <w:t>一、谈判承诺书</w:t>
      </w:r>
      <w:bookmarkEnd w:id="102"/>
      <w:bookmarkEnd w:id="103"/>
      <w:bookmarkEnd w:id="104"/>
      <w:bookmarkEnd w:id="105"/>
      <w:bookmarkEnd w:id="106"/>
    </w:p>
    <w:p>
      <w:pPr>
        <w:adjustRightInd w:val="0"/>
        <w:snapToGrid w:val="0"/>
        <w:spacing w:line="400" w:lineRule="exact"/>
        <w:rPr>
          <w:rFonts w:ascii="仿宋_GB2312" w:hAnsi="宋体" w:eastAsia="仿宋_GB2312"/>
          <w:szCs w:val="21"/>
        </w:rPr>
      </w:pPr>
    </w:p>
    <w:p>
      <w:pPr>
        <w:adjustRightInd w:val="0"/>
        <w:snapToGrid w:val="0"/>
        <w:spacing w:line="400" w:lineRule="exact"/>
        <w:rPr>
          <w:rFonts w:ascii="宋体" w:hAnsi="宋体"/>
          <w:szCs w:val="21"/>
        </w:rPr>
      </w:pPr>
      <w:r>
        <w:rPr>
          <w:rFonts w:hint="eastAsia" w:ascii="宋体" w:hAnsi="宋体"/>
          <w:szCs w:val="21"/>
        </w:rPr>
        <w:t>致</w:t>
      </w:r>
      <w:r>
        <w:rPr>
          <w:rFonts w:hint="eastAsia" w:ascii="宋体" w:hAnsi="宋体" w:cs="宋体"/>
          <w:szCs w:val="21"/>
          <w:u w:val="single"/>
        </w:rPr>
        <w:t xml:space="preserve">      (采购单位)      </w:t>
      </w:r>
      <w:r>
        <w:rPr>
          <w:rFonts w:hint="eastAsia" w:ascii="宋体" w:hAnsi="宋体" w:cs="宋体"/>
          <w:szCs w:val="21"/>
        </w:rPr>
        <w:t>：</w:t>
      </w:r>
    </w:p>
    <w:p>
      <w:pPr>
        <w:adjustRightInd w:val="0"/>
        <w:snapToGrid w:val="0"/>
        <w:spacing w:line="400" w:lineRule="exact"/>
        <w:ind w:firstLine="420" w:firstLineChars="200"/>
        <w:rPr>
          <w:rFonts w:ascii="宋体" w:hAnsi="宋体"/>
          <w:szCs w:val="21"/>
        </w:rPr>
      </w:pPr>
      <w:r>
        <w:rPr>
          <w:rFonts w:hint="eastAsia" w:ascii="宋体" w:hAnsi="宋体"/>
          <w:szCs w:val="21"/>
        </w:rPr>
        <w:t>我方已仔细研究了</w:t>
      </w:r>
      <w:r>
        <w:rPr>
          <w:rFonts w:hint="eastAsia" w:ascii="宋体" w:hAnsi="宋体"/>
          <w:szCs w:val="21"/>
          <w:u w:val="single"/>
        </w:rPr>
        <w:t xml:space="preserve">     (项目名称)        </w:t>
      </w:r>
      <w:r>
        <w:rPr>
          <w:rFonts w:hint="eastAsia" w:ascii="宋体" w:hAnsi="宋体"/>
          <w:szCs w:val="21"/>
        </w:rPr>
        <w:t>的竞争性谈判文件（谈判项目编号：</w:t>
      </w:r>
      <w:r>
        <w:rPr>
          <w:rFonts w:hint="eastAsia" w:ascii="宋体" w:hAnsi="宋体"/>
          <w:szCs w:val="21"/>
          <w:u w:val="single"/>
        </w:rPr>
        <w:t xml:space="preserve">         </w:t>
      </w:r>
      <w:r>
        <w:rPr>
          <w:rFonts w:hint="eastAsia" w:ascii="宋体" w:hAnsi="宋体"/>
          <w:szCs w:val="21"/>
        </w:rPr>
        <w:t>）的全部内容，</w:t>
      </w:r>
      <w:r>
        <w:rPr>
          <w:rFonts w:hint="eastAsia" w:hAnsi="宋体"/>
          <w:szCs w:val="21"/>
        </w:rPr>
        <w:t>知悉参加竞争性谈判的风险，我方承诺接受谈判文件的全部条款且无任何异议。</w:t>
      </w:r>
    </w:p>
    <w:p>
      <w:pPr>
        <w:pStyle w:val="25"/>
        <w:numPr>
          <w:ilvl w:val="0"/>
          <w:numId w:val="17"/>
        </w:numPr>
        <w:adjustRightInd w:val="0"/>
        <w:snapToGrid w:val="0"/>
        <w:spacing w:line="400" w:lineRule="exact"/>
        <w:rPr>
          <w:rFonts w:hAnsi="宋体"/>
        </w:rPr>
      </w:pPr>
      <w:r>
        <w:rPr>
          <w:rFonts w:hint="eastAsia"/>
        </w:rPr>
        <w:t>参与本项目竞争性谈判活动系本公司自愿行为。</w:t>
      </w:r>
    </w:p>
    <w:p>
      <w:pPr>
        <w:pStyle w:val="25"/>
        <w:numPr>
          <w:ilvl w:val="0"/>
          <w:numId w:val="17"/>
        </w:numPr>
        <w:adjustRightInd w:val="0"/>
        <w:snapToGrid w:val="0"/>
        <w:spacing w:line="400" w:lineRule="exact"/>
      </w:pPr>
      <w:r>
        <w:rPr>
          <w:rFonts w:hint="eastAsia"/>
        </w:rPr>
        <w:t>我方同意在谈判文件中规定的提交响应文件截止时间起</w:t>
      </w:r>
      <w:r>
        <w:rPr>
          <w:rFonts w:hint="eastAsia"/>
          <w:u w:val="single"/>
        </w:rPr>
        <w:t>180</w:t>
      </w:r>
      <w:r>
        <w:rPr>
          <w:rFonts w:hint="eastAsia"/>
        </w:rPr>
        <w:t>日历天内(响应文件有效期)遵守本响应文件中的承诺且在此期限期满之前均具有法律约束力。</w:t>
      </w:r>
    </w:p>
    <w:p>
      <w:pPr>
        <w:pStyle w:val="25"/>
        <w:numPr>
          <w:ilvl w:val="0"/>
          <w:numId w:val="17"/>
        </w:numPr>
        <w:adjustRightInd w:val="0"/>
        <w:snapToGrid w:val="0"/>
        <w:spacing w:line="400" w:lineRule="exact"/>
      </w:pPr>
      <w:r>
        <w:rPr>
          <w:rFonts w:hint="eastAsia"/>
        </w:rPr>
        <w:t>我方提交的响应文件均为</w:t>
      </w:r>
      <w:r>
        <w:rPr>
          <w:rFonts w:hint="eastAsia"/>
          <w:b/>
          <w:bCs/>
        </w:rPr>
        <w:t>正本一份和副本两份</w:t>
      </w:r>
      <w:r>
        <w:rPr>
          <w:rFonts w:hint="eastAsia"/>
        </w:rPr>
        <w:t>，电子文件（包括响应文件全部内容）一份，并保证响应文件提供的数据和材料是真实、准确的，</w:t>
      </w:r>
      <w:r>
        <w:rPr>
          <w:rFonts w:hint="eastAsia"/>
          <w:b/>
          <w:bCs/>
        </w:rPr>
        <w:t>均无复制、粘贴之情形，且无低于成本的恶意报价行为</w:t>
      </w:r>
      <w:r>
        <w:rPr>
          <w:rFonts w:hint="eastAsia"/>
        </w:rPr>
        <w:t>。否则，愿承担由此引起的一切法律责任。</w:t>
      </w:r>
    </w:p>
    <w:p>
      <w:pPr>
        <w:pStyle w:val="25"/>
        <w:numPr>
          <w:ilvl w:val="0"/>
          <w:numId w:val="17"/>
        </w:numPr>
        <w:adjustRightInd w:val="0"/>
        <w:snapToGrid w:val="0"/>
        <w:spacing w:line="400" w:lineRule="exact"/>
      </w:pPr>
      <w:r>
        <w:rPr>
          <w:rFonts w:hint="eastAsia"/>
        </w:rPr>
        <w:t>遵守贵司各项管理制度和谈判现场纪律，服从现场工作人员管理，自觉维护贵司谈判活动秩序。</w:t>
      </w:r>
    </w:p>
    <w:p>
      <w:pPr>
        <w:pStyle w:val="25"/>
        <w:numPr>
          <w:ilvl w:val="0"/>
          <w:numId w:val="17"/>
        </w:numPr>
        <w:adjustRightInd w:val="0"/>
        <w:snapToGrid w:val="0"/>
        <w:spacing w:line="400" w:lineRule="exact"/>
      </w:pPr>
      <w:r>
        <w:rPr>
          <w:rFonts w:hint="eastAsia"/>
        </w:rPr>
        <w:t>保证没有组织、参与围标、串标行为。</w:t>
      </w:r>
    </w:p>
    <w:p>
      <w:pPr>
        <w:pStyle w:val="25"/>
        <w:numPr>
          <w:ilvl w:val="0"/>
          <w:numId w:val="17"/>
        </w:numPr>
        <w:adjustRightInd w:val="0"/>
        <w:snapToGrid w:val="0"/>
        <w:spacing w:line="400" w:lineRule="exact"/>
      </w:pPr>
      <w:r>
        <w:rPr>
          <w:rFonts w:hint="eastAsia"/>
        </w:rPr>
        <w:t>不与采购单位或采购代理机构或谈判评审小组成员私下联络和串通以牟取中选；不以他人名义参与谈判或者以其他方式弄虚作假骗取中选；不在谈判结束后进行虚假、恶意质疑和投诉。</w:t>
      </w:r>
    </w:p>
    <w:p>
      <w:pPr>
        <w:pStyle w:val="25"/>
        <w:numPr>
          <w:ilvl w:val="0"/>
          <w:numId w:val="17"/>
        </w:numPr>
        <w:adjustRightInd w:val="0"/>
        <w:snapToGrid w:val="0"/>
        <w:spacing w:line="400" w:lineRule="exact"/>
      </w:pPr>
      <w:r>
        <w:rPr>
          <w:rFonts w:hint="eastAsia"/>
        </w:rPr>
        <w:t>我方承诺为本项目拟配备人员均满足技术标准及要求且均为我方正式在职人员。若拟配备人员不满足技术标准及要求或证件造假或非我方正式在职人员，视为虚假响应，贵方有权取消我方谈判资格；如已中选，贵方有权取消我方中选供应商资格。</w:t>
      </w:r>
    </w:p>
    <w:p>
      <w:pPr>
        <w:pStyle w:val="25"/>
        <w:numPr>
          <w:ilvl w:val="0"/>
          <w:numId w:val="17"/>
        </w:numPr>
        <w:adjustRightInd w:val="0"/>
        <w:snapToGrid w:val="0"/>
        <w:spacing w:line="400" w:lineRule="exact"/>
      </w:pPr>
      <w:r>
        <w:rPr>
          <w:rFonts w:hint="eastAsia"/>
        </w:rPr>
        <w:t>我方承诺，若贵方需要，我方愿意提供任何与本次谈判有关的数据、情况和技术资料。</w:t>
      </w:r>
    </w:p>
    <w:p>
      <w:pPr>
        <w:pStyle w:val="25"/>
        <w:numPr>
          <w:ilvl w:val="0"/>
          <w:numId w:val="17"/>
        </w:numPr>
        <w:adjustRightInd w:val="0"/>
        <w:snapToGrid w:val="0"/>
        <w:spacing w:line="400" w:lineRule="exact"/>
      </w:pPr>
      <w:r>
        <w:rPr>
          <w:rFonts w:hint="eastAsia"/>
        </w:rPr>
        <w:t>我方承诺遵守相关法律法规及贵司的有关规定，保证在获得成交资格后，按照谈判文件确定的事项签订合同，履行双方所签订的合同，并承担合同规定的责任和义务。</w:t>
      </w:r>
    </w:p>
    <w:p>
      <w:pPr>
        <w:pStyle w:val="25"/>
        <w:numPr>
          <w:ilvl w:val="0"/>
          <w:numId w:val="17"/>
        </w:numPr>
        <w:adjustRightInd w:val="0"/>
        <w:snapToGrid w:val="0"/>
        <w:spacing w:line="400" w:lineRule="exact"/>
      </w:pPr>
      <w:r>
        <w:rPr>
          <w:rFonts w:hint="eastAsia"/>
        </w:rPr>
        <w:t>我方承诺在参与本次竞争性谈判过程中，若出现本文件</w:t>
      </w:r>
      <w:r>
        <w:rPr>
          <w:rFonts w:hint="eastAsia"/>
          <w:b/>
          <w:bCs/>
        </w:rPr>
        <w:t>谈判须知正文</w:t>
      </w:r>
      <w:r>
        <w:rPr>
          <w:rFonts w:hint="eastAsia"/>
        </w:rPr>
        <w:t>第26条规定之情形，我方无条件接受条款规定作出的处罚。</w:t>
      </w:r>
    </w:p>
    <w:p>
      <w:pPr>
        <w:pStyle w:val="25"/>
        <w:numPr>
          <w:ilvl w:val="0"/>
          <w:numId w:val="17"/>
        </w:numPr>
        <w:adjustRightInd w:val="0"/>
        <w:snapToGrid w:val="0"/>
        <w:spacing w:line="400" w:lineRule="exact"/>
      </w:pPr>
      <w:r>
        <w:rPr>
          <w:rFonts w:hint="eastAsia"/>
        </w:rPr>
        <w:t>我方承诺完全响应本文件第四章“用户需求书”及第六章“合同格式条款”内的全部内容。</w:t>
      </w:r>
    </w:p>
    <w:p>
      <w:pPr>
        <w:pStyle w:val="25"/>
        <w:numPr>
          <w:ilvl w:val="0"/>
          <w:numId w:val="17"/>
        </w:numPr>
        <w:adjustRightInd w:val="0"/>
        <w:snapToGrid w:val="0"/>
        <w:spacing w:line="400" w:lineRule="exact"/>
      </w:pPr>
      <w:r>
        <w:rPr>
          <w:rFonts w:hint="eastAsia"/>
        </w:rPr>
        <w:t>如有违反本承诺书内容的行为，愿意承担由此产生的法律责任及后果。</w:t>
      </w:r>
    </w:p>
    <w:p>
      <w:pPr>
        <w:spacing w:line="400" w:lineRule="exact"/>
        <w:rPr>
          <w:rFonts w:ascii="宋体" w:hAnsi="宋体" w:cs="宋体"/>
          <w:szCs w:val="21"/>
        </w:rPr>
      </w:pPr>
    </w:p>
    <w:p>
      <w:pPr>
        <w:spacing w:line="400" w:lineRule="exact"/>
        <w:rPr>
          <w:rFonts w:ascii="宋体" w:hAnsi="宋体" w:cs="宋体"/>
          <w:szCs w:val="21"/>
          <w:u w:val="single"/>
        </w:rPr>
      </w:pPr>
      <w:r>
        <w:rPr>
          <w:rFonts w:hint="eastAsia" w:ascii="宋体" w:hAnsi="宋体" w:cs="宋体"/>
          <w:szCs w:val="21"/>
        </w:rPr>
        <w:t>谈判单位名称：</w:t>
      </w:r>
      <w:r>
        <w:rPr>
          <w:rFonts w:hint="eastAsia" w:ascii="宋体" w:hAnsi="宋体" w:cs="宋体"/>
          <w:szCs w:val="21"/>
          <w:u w:val="single"/>
        </w:rPr>
        <w:t xml:space="preserve">    （盖单位章）         </w:t>
      </w:r>
    </w:p>
    <w:p>
      <w:pPr>
        <w:spacing w:line="400" w:lineRule="exact"/>
        <w:rPr>
          <w:rFonts w:ascii="宋体" w:hAnsi="宋体" w:cs="宋体"/>
          <w:szCs w:val="21"/>
        </w:rPr>
      </w:pPr>
      <w:r>
        <w:rPr>
          <w:rFonts w:hint="eastAsia" w:ascii="宋体" w:hAnsi="宋体" w:cs="宋体"/>
          <w:szCs w:val="21"/>
        </w:rPr>
        <w:t>法定代表人(签字或盖章)：</w:t>
      </w:r>
      <w:r>
        <w:rPr>
          <w:rFonts w:hint="eastAsia" w:ascii="宋体" w:hAnsi="宋体" w:cs="宋体"/>
          <w:szCs w:val="21"/>
          <w:u w:val="single"/>
        </w:rPr>
        <w:t xml:space="preserve">               </w:t>
      </w:r>
    </w:p>
    <w:p>
      <w:pPr>
        <w:spacing w:line="400" w:lineRule="exac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rPr>
          <w:rFonts w:ascii="宋体" w:hAnsi="宋体"/>
          <w:szCs w:val="21"/>
        </w:rPr>
      </w:pPr>
      <w:r>
        <w:rPr>
          <w:rFonts w:hint="eastAsia" w:ascii="宋体" w:hAnsi="宋体"/>
          <w:szCs w:val="21"/>
        </w:rPr>
        <w:br w:type="page"/>
      </w:r>
    </w:p>
    <w:p>
      <w:pPr>
        <w:adjustRightInd w:val="0"/>
        <w:snapToGrid w:val="0"/>
        <w:spacing w:line="360" w:lineRule="auto"/>
        <w:ind w:right="24"/>
        <w:jc w:val="center"/>
        <w:outlineLvl w:val="1"/>
        <w:rPr>
          <w:rFonts w:ascii="宋体" w:hAnsi="宋体" w:cs="宋体"/>
          <w:b/>
          <w:sz w:val="32"/>
          <w:szCs w:val="32"/>
        </w:rPr>
      </w:pPr>
      <w:bookmarkStart w:id="107" w:name="_Toc10496"/>
      <w:bookmarkStart w:id="108" w:name="_Toc31277"/>
      <w:bookmarkStart w:id="109" w:name="_Toc3026"/>
      <w:bookmarkStart w:id="110" w:name="_Toc1313"/>
      <w:bookmarkStart w:id="111" w:name="_Toc23913"/>
      <w:r>
        <w:rPr>
          <w:rFonts w:hint="eastAsia" w:ascii="宋体" w:hAnsi="宋体" w:cs="宋体"/>
          <w:b/>
          <w:sz w:val="32"/>
          <w:szCs w:val="32"/>
        </w:rPr>
        <w:t>二、法定代表人身份证明书</w:t>
      </w:r>
      <w:bookmarkEnd w:id="107"/>
      <w:bookmarkEnd w:id="108"/>
      <w:bookmarkEnd w:id="109"/>
      <w:bookmarkEnd w:id="110"/>
      <w:bookmarkEnd w:id="111"/>
    </w:p>
    <w:p>
      <w:pPr>
        <w:snapToGrid w:val="0"/>
        <w:spacing w:line="480" w:lineRule="auto"/>
        <w:rPr>
          <w:rFonts w:ascii="宋体" w:hAnsi="宋体"/>
          <w:szCs w:val="21"/>
        </w:rPr>
      </w:pPr>
    </w:p>
    <w:p>
      <w:pPr>
        <w:autoSpaceDE w:val="0"/>
        <w:autoSpaceDN w:val="0"/>
        <w:adjustRightInd w:val="0"/>
        <w:snapToGrid w:val="0"/>
        <w:spacing w:before="159" w:beforeLines="50" w:line="360" w:lineRule="auto"/>
        <w:jc w:val="left"/>
        <w:rPr>
          <w:rFonts w:ascii="宋体" w:hAnsi="宋体" w:cs="宋体"/>
          <w:kern w:val="0"/>
          <w:szCs w:val="21"/>
        </w:rPr>
      </w:pPr>
      <w:r>
        <w:rPr>
          <w:rFonts w:hint="eastAsia" w:ascii="宋体" w:hAnsi="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159" w:beforeLines="50" w:line="36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szCs w:val="21"/>
          <w:u w:val="single"/>
        </w:rPr>
        <w:t>谈判单位</w:t>
      </w:r>
      <w:r>
        <w:rPr>
          <w:rFonts w:hint="eastAsia" w:ascii="宋体" w:hAnsi="宋体" w:cs="宋体"/>
          <w:kern w:val="0"/>
          <w:szCs w:val="21"/>
          <w:u w:val="single"/>
        </w:rPr>
        <w:t xml:space="preserve">名称）    </w:t>
      </w:r>
      <w:r>
        <w:rPr>
          <w:rFonts w:hint="eastAsia" w:ascii="宋体" w:hAnsi="宋体" w:cs="宋体"/>
          <w:kern w:val="0"/>
          <w:szCs w:val="21"/>
        </w:rPr>
        <w:t>的法定代表人。</w:t>
      </w:r>
    </w:p>
    <w:p>
      <w:pPr>
        <w:autoSpaceDE w:val="0"/>
        <w:autoSpaceDN w:val="0"/>
        <w:adjustRightInd w:val="0"/>
        <w:snapToGrid w:val="0"/>
        <w:spacing w:before="159" w:beforeLines="50" w:line="360" w:lineRule="auto"/>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rPr>
          <w:rFonts w:ascii="宋体" w:hAnsi="宋体"/>
          <w:szCs w:val="21"/>
        </w:rPr>
      </w:pPr>
      <w:r>
        <w:rPr>
          <w:rFonts w:ascii="宋体" w:hAnsi="宋体"/>
          <w:szCs w:val="21"/>
        </w:rPr>
        <mc:AlternateContent>
          <mc:Choice Requires="wps">
            <w:drawing>
              <wp:anchor distT="0" distB="0" distL="114300" distR="114300" simplePos="0" relativeHeight="251664384" behindDoc="1" locked="0" layoutInCell="1" allowOverlap="1">
                <wp:simplePos x="0" y="0"/>
                <wp:positionH relativeFrom="column">
                  <wp:posOffset>2971800</wp:posOffset>
                </wp:positionH>
                <wp:positionV relativeFrom="paragraph">
                  <wp:posOffset>135255</wp:posOffset>
                </wp:positionV>
                <wp:extent cx="2355850" cy="1221105"/>
                <wp:effectExtent l="4445" t="4445" r="20955" b="12700"/>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34pt;margin-top:10.65pt;height:96.15pt;width:185.5pt;z-index:-251652096;mso-width-relative:page;mso-height-relative:page;" fillcolor="#FFFFFF" filled="t" stroked="t" coordsize="21600,21600" o:gfxdata="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w68pdcAAAAKAQAADwAAAAAAAAABACAAAAAi&#10;AAAAZHJzL2Rvd25yZXYueG1sUEsBAhQAFAAAAAgAh07iQG73B9R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mc:Fallback>
        </mc:AlternateContent>
      </w:r>
      <w:r>
        <w:rPr>
          <w:rFonts w:ascii="宋体" w:hAnsi="宋体"/>
          <w:szCs w:val="21"/>
        </w:rPr>
        <mc:AlternateContent>
          <mc:Choice Requires="wps">
            <w:drawing>
              <wp:anchor distT="0" distB="0" distL="114300" distR="114300" simplePos="0" relativeHeight="251662336"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54144;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N022QAAAAoBAAAPAAAAAAAAAAEAIAAA&#10;ACIAAABkcnMvZG93bnJldi54bWxQSwECFAAUAAAACACHTuJA1vkRP0QCAACUBAAADgAAAAAAAAAB&#10;ACAAAAAo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b/>
          <w:szCs w:val="21"/>
        </w:rPr>
      </w:pPr>
      <w:r>
        <w:rPr>
          <w:rFonts w:ascii="宋体" w:hAnsi="宋体"/>
          <w:szCs w:val="21"/>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85090</wp:posOffset>
                </wp:positionV>
                <wp:extent cx="2355850" cy="1221105"/>
                <wp:effectExtent l="4445" t="4445" r="2095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6.7pt;height:96.15pt;width:185.5pt;z-index:251663360;mso-width-relative:page;mso-height-relative:page;" fillcolor="#FFFFFF" filled="t" stroked="t" coordsize="21600,21600" o:gfxdata="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UhRWjYAAAACgEAAA8AAAAAAAAAAQAgAAAA&#10;IgAAAGRycy9kb3ducmV2LnhtbFBLAQIUABQAAAAIAIdO4kBzlQ+M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备注：上述证件复印件可另附页，另附页时，证件复印件均须加盖单位公章。</w:t>
      </w: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谈判单位名称（盖单位章）：</w:t>
      </w:r>
      <w:r>
        <w:rPr>
          <w:rFonts w:hint="eastAsia"/>
          <w:u w:val="single"/>
        </w:rPr>
        <w:t xml:space="preserve">    （盖单位章）    </w:t>
      </w:r>
    </w:p>
    <w:p>
      <w:pPr>
        <w:spacing w:line="360" w:lineRule="auto"/>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黑体" w:hAnsi="宋体" w:eastAsia="黑体"/>
          <w:b/>
          <w:sz w:val="32"/>
          <w:szCs w:val="32"/>
        </w:rPr>
      </w:pPr>
      <w:r>
        <w:rPr>
          <w:rFonts w:ascii="黑体" w:hAnsi="华文中宋" w:eastAsia="黑体"/>
          <w:bCs/>
          <w:sz w:val="24"/>
        </w:rPr>
        <w:br w:type="page"/>
      </w:r>
      <w:bookmarkStart w:id="112" w:name="_Toc20606"/>
      <w:bookmarkStart w:id="113" w:name="_Toc21066"/>
      <w:bookmarkStart w:id="114" w:name="_Toc14170"/>
      <w:bookmarkStart w:id="115" w:name="_Toc761"/>
      <w:bookmarkStart w:id="116" w:name="_Toc27642"/>
      <w:r>
        <w:rPr>
          <w:rFonts w:hint="eastAsia" w:ascii="宋体" w:hAnsi="宋体" w:cs="宋体"/>
          <w:b/>
          <w:sz w:val="32"/>
          <w:szCs w:val="32"/>
        </w:rPr>
        <w:t>三、授权委托书</w:t>
      </w:r>
      <w:bookmarkEnd w:id="112"/>
      <w:bookmarkEnd w:id="113"/>
      <w:bookmarkEnd w:id="114"/>
      <w:bookmarkEnd w:id="115"/>
      <w:bookmarkEnd w:id="116"/>
    </w:p>
    <w:p>
      <w:pPr>
        <w:adjustRightInd w:val="0"/>
        <w:snapToGrid w:val="0"/>
        <w:spacing w:line="360" w:lineRule="auto"/>
        <w:jc w:val="center"/>
        <w:rPr>
          <w:rFonts w:ascii="黑体" w:hAnsi="华文中宋" w:eastAsia="黑体"/>
          <w:b/>
          <w:sz w:val="28"/>
          <w:szCs w:val="28"/>
        </w:rPr>
      </w:pPr>
    </w:p>
    <w:p>
      <w:pPr>
        <w:autoSpaceDE w:val="0"/>
        <w:autoSpaceDN w:val="0"/>
        <w:adjustRightInd w:val="0"/>
        <w:snapToGrid w:val="0"/>
        <w:spacing w:before="159" w:beforeLines="50" w:line="360" w:lineRule="auto"/>
        <w:ind w:firstLine="420" w:firstLineChars="200"/>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响应文件及与本谈判项目的有关事宜，其法律后果由我方承担。</w:t>
      </w:r>
    </w:p>
    <w:p>
      <w:pPr>
        <w:spacing w:line="360" w:lineRule="auto"/>
        <w:ind w:firstLine="420" w:firstLineChars="200"/>
        <w:rPr>
          <w:rFonts w:ascii="宋体" w:hAnsi="宋体" w:cs="宋体"/>
          <w:kern w:val="0"/>
          <w:szCs w:val="21"/>
        </w:rPr>
      </w:pPr>
    </w:p>
    <w:p>
      <w:pPr>
        <w:pStyle w:val="2"/>
        <w:spacing w:line="360" w:lineRule="auto"/>
        <w:ind w:left="0" w:leftChars="0" w:firstLine="420" w:firstLineChars="200"/>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spacing w:line="360" w:lineRule="auto"/>
        <w:ind w:firstLine="420" w:firstLineChars="200"/>
        <w:rPr>
          <w:rFonts w:ascii="宋体" w:hAnsi="宋体" w:cs="宋体"/>
          <w:kern w:val="0"/>
          <w:szCs w:val="21"/>
        </w:rPr>
      </w:pPr>
    </w:p>
    <w:p>
      <w:pPr>
        <w:pStyle w:val="46"/>
        <w:spacing w:after="0" w:line="360" w:lineRule="auto"/>
        <w:ind w:left="0" w:leftChars="0" w:firstLineChars="200"/>
        <w:rPr>
          <w:rFonts w:ascii="宋体" w:hAnsi="宋体" w:cs="宋体"/>
          <w:szCs w:val="21"/>
        </w:rPr>
      </w:pPr>
      <w:r>
        <w:rPr>
          <w:rFonts w:hint="eastAsia" w:ascii="宋体" w:hAnsi="宋体" w:cs="宋体"/>
          <w:szCs w:val="21"/>
        </w:rPr>
        <w:t>委托期限：</w:t>
      </w:r>
      <w:r>
        <w:rPr>
          <w:rFonts w:hint="eastAsia" w:ascii="宋体" w:hAnsi="宋体" w:cs="宋体"/>
          <w:szCs w:val="21"/>
          <w:u w:val="single"/>
        </w:rPr>
        <w:t xml:space="preserve">  </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年</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月</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日</w:t>
      </w:r>
      <w:r>
        <w:rPr>
          <w:rFonts w:hint="eastAsia" w:ascii="宋体" w:hAnsi="宋体" w:cs="宋体"/>
          <w:szCs w:val="21"/>
        </w:rPr>
        <w:t>至</w:t>
      </w:r>
      <w:r>
        <w:rPr>
          <w:rFonts w:hint="eastAsia" w:ascii="宋体" w:hAnsi="宋体" w:cs="宋体"/>
          <w:szCs w:val="21"/>
          <w:u w:val="single"/>
        </w:rPr>
        <w:t xml:space="preserve">  </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年</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月</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日</w:t>
      </w:r>
    </w:p>
    <w:p>
      <w:pPr>
        <w:spacing w:line="360" w:lineRule="auto"/>
        <w:ind w:firstLine="420" w:firstLineChars="200"/>
        <w:rPr>
          <w:rFonts w:ascii="宋体" w:hAnsi="宋体" w:cs="宋体"/>
          <w:kern w:val="0"/>
          <w:szCs w:val="21"/>
        </w:rPr>
      </w:pPr>
      <w:r>
        <w:rPr>
          <w:rFonts w:hint="eastAsia" w:ascii="宋体" w:hAnsi="宋体" w:cs="宋体"/>
          <w:kern w:val="0"/>
          <w:szCs w:val="21"/>
        </w:rPr>
        <w:t>代理人无转委托权。</w:t>
      </w:r>
    </w:p>
    <w:p>
      <w:pPr>
        <w:spacing w:line="360" w:lineRule="auto"/>
        <w:rPr>
          <w:rFonts w:ascii="宋体" w:hAnsi="宋体"/>
          <w:szCs w:val="21"/>
        </w:rPr>
      </w:pPr>
      <w:r>
        <w:rPr>
          <w:rFonts w:ascii="宋体" w:hAnsi="宋体"/>
          <w:szCs w:val="21"/>
        </w:rPr>
        <mc:AlternateContent>
          <mc:Choice Requires="wps">
            <w:drawing>
              <wp:anchor distT="0" distB="0" distL="114300" distR="114300" simplePos="0" relativeHeight="251659264" behindDoc="1" locked="0" layoutInCell="1" allowOverlap="1">
                <wp:simplePos x="0" y="0"/>
                <wp:positionH relativeFrom="column">
                  <wp:posOffset>-121920</wp:posOffset>
                </wp:positionH>
                <wp:positionV relativeFrom="paragraph">
                  <wp:posOffset>293370</wp:posOffset>
                </wp:positionV>
                <wp:extent cx="1343025" cy="1221105"/>
                <wp:effectExtent l="0" t="0" r="28575" b="17145"/>
                <wp:wrapNone/>
                <wp:docPr id="5" name="矩形 3"/>
                <wp:cNvGraphicFramePr/>
                <a:graphic xmlns:a="http://schemas.openxmlformats.org/drawingml/2006/main">
                  <a:graphicData uri="http://schemas.microsoft.com/office/word/2010/wordprocessingShape">
                    <wps:wsp>
                      <wps:cNvSpPr>
                        <a:spLocks noChangeArrowheads="1"/>
                      </wps:cNvSpPr>
                      <wps:spPr bwMode="auto">
                        <a:xfrm>
                          <a:off x="0" y="0"/>
                          <a:ext cx="1343025"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9.6pt;margin-top:23.1pt;height:96.15pt;width:105.75pt;z-index:-251657216;mso-width-relative:page;mso-height-relative:page;" fillcolor="#FFFFFF" filled="t" stroked="t" coordsize="21600,21600" o:gfxdata="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Wu70rZAAAACgEAAA8AAAAAAAAAAQAgAAAA&#10;IgAAAGRycy9kb3ducmV2LnhtbFBLAQIUABQAAAAIAIdO4kAEB7jXQwIAAJQEAAAOAAAAAAAAAAEA&#10;IAAAACg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p>
    <w:p>
      <w:pPr>
        <w:spacing w:line="360" w:lineRule="auto"/>
        <w:ind w:firstLine="435"/>
        <w:rPr>
          <w:rFonts w:ascii="宋体" w:hAnsi="宋体"/>
          <w:szCs w:val="21"/>
        </w:rPr>
      </w:pPr>
      <w:r>
        <w:rPr>
          <w:rFonts w:ascii="宋体" w:hAnsi="宋体"/>
          <w:szCs w:val="21"/>
        </w:rPr>
        <mc:AlternateContent>
          <mc:Choice Requires="wps">
            <w:drawing>
              <wp:anchor distT="0" distB="0" distL="114300" distR="114300" simplePos="0" relativeHeight="251662336" behindDoc="0" locked="0" layoutInCell="1" allowOverlap="1">
                <wp:simplePos x="0" y="0"/>
                <wp:positionH relativeFrom="column">
                  <wp:posOffset>3573780</wp:posOffset>
                </wp:positionH>
                <wp:positionV relativeFrom="paragraph">
                  <wp:posOffset>43180</wp:posOffset>
                </wp:positionV>
                <wp:extent cx="1511300" cy="1221105"/>
                <wp:effectExtent l="4445" t="4445" r="8255" b="12700"/>
                <wp:wrapNone/>
                <wp:docPr id="9" name="矩形 4"/>
                <wp:cNvGraphicFramePr/>
                <a:graphic xmlns:a="http://schemas.openxmlformats.org/drawingml/2006/main">
                  <a:graphicData uri="http://schemas.microsoft.com/office/word/2010/wordprocessingShape">
                    <wps:wsp>
                      <wps:cNvSpPr>
                        <a:spLocks noChangeArrowheads="1"/>
                      </wps:cNvSpPr>
                      <wps:spPr bwMode="auto">
                        <a:xfrm>
                          <a:off x="0" y="0"/>
                          <a:ext cx="151130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81.4pt;margin-top:3.4pt;height:96.15pt;width:119pt;z-index:251662336;mso-width-relative:page;mso-height-relative:page;" fillcolor="#FFFFFF" filled="t" stroked="t" coordsize="21600,21600" o:gfxdata="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hyqsrWAAAACQEAAA8AAAAAAAAAAQAgAAAAIgAA&#10;AGRycy9kb3ducmV2LnhtbFBLAQIUABQAAAAIAIdO4kB8oJUsQwIAAJQEAAAOAAAAAAAAAAEAIAAA&#10;ACUBAABkcnMvZTJvRG9jLnhtbFBLBQYAAAAABgAGAFkBAADa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r>
        <w:rPr>
          <w:rFonts w:ascii="宋体" w:hAnsi="宋体"/>
          <w:szCs w:val="21"/>
        </w:rPr>
        <mc:AlternateContent>
          <mc:Choice Requires="wps">
            <w:drawing>
              <wp:anchor distT="0" distB="0" distL="114300" distR="114300" simplePos="0" relativeHeight="251660288" behindDoc="1" locked="0" layoutInCell="1" allowOverlap="1">
                <wp:simplePos x="0" y="0"/>
                <wp:positionH relativeFrom="column">
                  <wp:posOffset>1697355</wp:posOffset>
                </wp:positionH>
                <wp:positionV relativeFrom="paragraph">
                  <wp:posOffset>33655</wp:posOffset>
                </wp:positionV>
                <wp:extent cx="1450340" cy="1221105"/>
                <wp:effectExtent l="4445" t="4445" r="12065" b="12700"/>
                <wp:wrapNone/>
                <wp:docPr id="7" name="矩形 4"/>
                <wp:cNvGraphicFramePr/>
                <a:graphic xmlns:a="http://schemas.openxmlformats.org/drawingml/2006/main">
                  <a:graphicData uri="http://schemas.microsoft.com/office/word/2010/wordprocessingShape">
                    <wps:wsp>
                      <wps:cNvSpPr>
                        <a:spLocks noChangeArrowheads="1"/>
                      </wps:cNvSpPr>
                      <wps:spPr bwMode="auto">
                        <a:xfrm>
                          <a:off x="0" y="0"/>
                          <a:ext cx="145034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133.65pt;margin-top:2.65pt;height:96.15pt;width:114.2pt;z-index:-251656192;mso-width-relative:page;mso-height-relative:page;" fillcolor="#FFFFFF" filled="t" stroked="t" coordsize="21600,21600" o:gfxdata="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SgMVbYAAAACQEAAA8AAAAAAAAAAQAgAAAA&#10;IgAAAGRycy9kb3ducmV2LnhtbFBLAQIUABQAAAAIAIdO4kCHImU+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pPr>
        <w:spacing w:line="360" w:lineRule="auto"/>
        <w:ind w:firstLine="435"/>
        <w:rPr>
          <w:rFonts w:ascii="宋体" w:hAnsi="宋体"/>
          <w:szCs w:val="21"/>
        </w:rPr>
      </w:pPr>
    </w:p>
    <w:p>
      <w:pPr>
        <w:spacing w:line="360" w:lineRule="auto"/>
        <w:ind w:firstLine="435"/>
        <w:rPr>
          <w:rFonts w:ascii="宋体" w:hAnsi="宋体"/>
          <w:szCs w:val="21"/>
        </w:rPr>
      </w:pPr>
    </w:p>
    <w:p>
      <w:pPr>
        <w:spacing w:line="360" w:lineRule="auto"/>
        <w:ind w:firstLine="435"/>
        <w:rPr>
          <w:rFonts w:ascii="宋体" w:hAnsi="宋体"/>
          <w:szCs w:val="21"/>
        </w:rPr>
      </w:pPr>
    </w:p>
    <w:p>
      <w:pPr>
        <w:spacing w:line="360" w:lineRule="auto"/>
        <w:ind w:firstLine="435"/>
        <w:rPr>
          <w:rFonts w:ascii="宋体" w:hAnsi="宋体"/>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 xml:space="preserve">备注：上述证件复印件可另附页，另附页时，证件复印件均须加盖单位公章。 </w:t>
      </w: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pStyle w:val="2"/>
        <w:ind w:left="0" w:leftChars="0"/>
      </w:pPr>
    </w:p>
    <w:p>
      <w:pPr>
        <w:adjustRightInd w:val="0"/>
        <w:snapToGrid w:val="0"/>
        <w:spacing w:line="360" w:lineRule="auto"/>
        <w:ind w:right="420"/>
        <w:rPr>
          <w:rFonts w:ascii="宋体" w:hAnsi="宋体"/>
          <w:szCs w:val="21"/>
        </w:rPr>
      </w:pPr>
      <w:r>
        <w:rPr>
          <w:rFonts w:hint="eastAsia" w:ascii="宋体" w:hAnsi="宋体"/>
          <w:szCs w:val="21"/>
        </w:rPr>
        <w:t>谈判单位名称（盖单位章）：</w:t>
      </w:r>
      <w:r>
        <w:rPr>
          <w:rFonts w:hint="eastAsia" w:ascii="宋体" w:hAnsi="宋体" w:cs="宋体"/>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法定代表人（亲笔签字）：</w:t>
      </w:r>
      <w:r>
        <w:rPr>
          <w:rFonts w:hint="eastAsia" w:ascii="宋体" w:hAnsi="宋体" w:cs="宋体"/>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委托代理人（亲笔签字）：</w:t>
      </w:r>
      <w:r>
        <w:rPr>
          <w:rFonts w:hint="eastAsia" w:ascii="宋体" w:hAnsi="宋体" w:cs="宋体"/>
          <w:u w:val="single"/>
        </w:rPr>
        <w:t xml:space="preserve">                      </w:t>
      </w:r>
    </w:p>
    <w:p>
      <w:pPr>
        <w:spacing w:line="360" w:lineRule="auto"/>
        <w:rPr>
          <w:rFonts w:ascii="宋体" w:hAnsi="宋体"/>
          <w:szCs w:val="21"/>
        </w:rPr>
        <w:sectPr>
          <w:pgSz w:w="11906" w:h="16838"/>
          <w:pgMar w:top="2098" w:right="1474" w:bottom="1984" w:left="1587" w:header="851" w:footer="992" w:gutter="0"/>
          <w:cols w:space="0" w:num="1"/>
          <w:docGrid w:type="lines" w:linePitch="319" w:charSpace="0"/>
        </w:sect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宋体" w:hAnsi="宋体" w:cs="宋体"/>
          <w:b/>
          <w:sz w:val="32"/>
          <w:szCs w:val="32"/>
        </w:rPr>
      </w:pPr>
      <w:bookmarkStart w:id="117" w:name="_Toc13921"/>
      <w:bookmarkStart w:id="118" w:name="_Toc2295"/>
      <w:bookmarkStart w:id="119" w:name="_Toc18944"/>
      <w:bookmarkStart w:id="120" w:name="_Toc11357"/>
      <w:bookmarkStart w:id="121" w:name="_Toc8191"/>
      <w:r>
        <w:rPr>
          <w:rFonts w:hint="eastAsia" w:ascii="宋体" w:hAnsi="宋体" w:cs="宋体"/>
          <w:b/>
          <w:sz w:val="32"/>
          <w:szCs w:val="32"/>
        </w:rPr>
        <w:t>四、谈判单位资格证明文件</w:t>
      </w:r>
      <w:bookmarkEnd w:id="117"/>
      <w:bookmarkEnd w:id="118"/>
      <w:bookmarkEnd w:id="119"/>
      <w:bookmarkEnd w:id="120"/>
      <w:bookmarkEnd w:id="121"/>
    </w:p>
    <w:p>
      <w:pPr>
        <w:adjustRightInd w:val="0"/>
        <w:snapToGrid w:val="0"/>
        <w:spacing w:line="360" w:lineRule="auto"/>
        <w:rPr>
          <w:rFonts w:ascii="仿宋" w:hAnsi="仿宋" w:eastAsia="仿宋"/>
          <w:bCs/>
          <w:szCs w:val="21"/>
        </w:rPr>
      </w:pPr>
    </w:p>
    <w:p>
      <w:pPr>
        <w:adjustRightInd w:val="0"/>
        <w:snapToGrid w:val="0"/>
        <w:spacing w:line="360" w:lineRule="auto"/>
        <w:ind w:firstLine="420" w:firstLineChars="200"/>
        <w:rPr>
          <w:rFonts w:ascii="宋体" w:hAnsi="宋体"/>
          <w:bCs/>
          <w:szCs w:val="21"/>
          <w:highlight w:val="cyan"/>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w:t>
      </w:r>
      <w:r>
        <w:rPr>
          <w:rStyle w:val="56"/>
          <w:rFonts w:hint="eastAsia"/>
          <w:b/>
          <w:bCs/>
          <w:color w:val="auto"/>
          <w:u w:val="none"/>
          <w:shd w:val="clear" w:color="auto" w:fill="FFFFFF"/>
        </w:rPr>
        <w:t>原件扫描件打印版</w:t>
      </w:r>
      <w:r>
        <w:rPr>
          <w:rFonts w:hint="eastAsia" w:ascii="宋体" w:hAnsi="宋体"/>
          <w:bCs/>
          <w:szCs w:val="21"/>
        </w:rPr>
        <w:t>：</w:t>
      </w:r>
    </w:p>
    <w:p>
      <w:pPr>
        <w:numPr>
          <w:ilvl w:val="0"/>
          <w:numId w:val="18"/>
        </w:numPr>
        <w:spacing w:line="360" w:lineRule="auto"/>
        <w:ind w:firstLine="420" w:firstLineChars="200"/>
        <w:rPr>
          <w:rFonts w:ascii="宋体" w:hAnsi="宋体" w:cs="宋体"/>
          <w:color w:val="000000"/>
        </w:rPr>
      </w:pPr>
      <w:r>
        <w:rPr>
          <w:rFonts w:hint="eastAsia" w:ascii="宋体" w:hAnsi="宋体" w:cs="宋体"/>
          <w:color w:val="000000"/>
        </w:rPr>
        <w:t>提供谈判单位营业执照/事业单位法人证书。</w:t>
      </w:r>
    </w:p>
    <w:p>
      <w:pPr>
        <w:numPr>
          <w:ilvl w:val="0"/>
          <w:numId w:val="18"/>
        </w:numPr>
        <w:spacing w:line="360" w:lineRule="auto"/>
        <w:ind w:firstLine="420" w:firstLineChars="200"/>
        <w:rPr>
          <w:rFonts w:ascii="宋体" w:hAnsi="宋体" w:cs="宋体"/>
          <w:color w:val="000000"/>
        </w:rPr>
      </w:pPr>
      <w:r>
        <w:rPr>
          <w:rFonts w:hint="eastAsia" w:ascii="宋体" w:hAnsi="宋体" w:cs="宋体"/>
          <w:color w:val="000000"/>
        </w:rPr>
        <w:t>须提供项目负责人劳动社会保障部门颁发的二级（含）以上心理咨询师职业资格证书。</w:t>
      </w:r>
    </w:p>
    <w:p>
      <w:pPr>
        <w:numPr>
          <w:ilvl w:val="0"/>
          <w:numId w:val="18"/>
        </w:numPr>
        <w:spacing w:line="360" w:lineRule="auto"/>
        <w:ind w:firstLine="420" w:firstLineChars="200"/>
        <w:rPr>
          <w:rFonts w:ascii="宋体" w:hAnsi="宋体" w:cs="宋体"/>
          <w:color w:val="000000"/>
        </w:rPr>
      </w:pPr>
      <w:r>
        <w:rPr>
          <w:rFonts w:hint="eastAsia" w:ascii="宋体" w:hAnsi="宋体" w:cs="宋体"/>
          <w:color w:val="000000"/>
        </w:rPr>
        <w:t>提供在本项目谈判截止之日前36个月内心理咨询类项目业绩。不接受联合体业绩、港澳台或境外业绩。</w:t>
      </w:r>
    </w:p>
    <w:p>
      <w:pPr>
        <w:spacing w:line="360" w:lineRule="auto"/>
        <w:ind w:firstLine="420" w:firstLineChars="200"/>
        <w:rPr>
          <w:rFonts w:ascii="宋体" w:hAnsi="宋体" w:cs="宋体"/>
          <w:color w:val="000000"/>
        </w:rPr>
      </w:pPr>
      <w:r>
        <w:rPr>
          <w:rFonts w:hint="eastAsia" w:ascii="宋体" w:hAnsi="宋体" w:cs="宋体"/>
          <w:color w:val="000000"/>
        </w:rPr>
        <w:t>业绩证明材料以同时提供的合同原件扫描件和可查验的增值税发票（开票金额不少于合同金额的10%）原件扫描件为准（均须加盖谈判单位公章），业绩金额以合同中的金额为准，时间以合同中甲方签订时间为准。</w:t>
      </w:r>
    </w:p>
    <w:p>
      <w:pPr>
        <w:spacing w:line="360" w:lineRule="auto"/>
        <w:ind w:left="420" w:leftChars="200"/>
        <w:rPr>
          <w:rFonts w:ascii="宋体" w:hAnsi="宋体" w:cs="宋体"/>
        </w:rPr>
      </w:pPr>
      <w:r>
        <w:rPr>
          <w:rFonts w:hint="eastAsia" w:ascii="宋体" w:hAnsi="宋体" w:cs="宋体"/>
        </w:rPr>
        <w:t>4.谈判单位认为与本项目资格条件有关的其它证明文件（如有，格式自拟）。</w:t>
      </w:r>
    </w:p>
    <w:p>
      <w:pPr>
        <w:pStyle w:val="2"/>
      </w:pPr>
    </w:p>
    <w:p>
      <w:pPr>
        <w:adjustRightInd w:val="0"/>
        <w:snapToGrid w:val="0"/>
        <w:spacing w:line="360" w:lineRule="auto"/>
        <w:ind w:firstLine="422" w:firstLineChars="200"/>
        <w:rPr>
          <w:rFonts w:ascii="宋体" w:hAnsi="宋体"/>
          <w:b/>
          <w:bCs/>
          <w:szCs w:val="21"/>
        </w:rPr>
      </w:pPr>
      <w:r>
        <w:rPr>
          <w:rFonts w:hint="eastAsia" w:ascii="宋体" w:hAnsi="宋体"/>
          <w:b/>
          <w:bCs/>
          <w:szCs w:val="21"/>
        </w:rPr>
        <w:t>备注：上述证明文件扫描件打印版均须加盖谈判单位公章。</w:t>
      </w:r>
    </w:p>
    <w:p>
      <w:pPr>
        <w:pStyle w:val="2"/>
      </w:pPr>
    </w:p>
    <w:p/>
    <w:p>
      <w:pPr>
        <w:pStyle w:val="46"/>
      </w:pPr>
    </w:p>
    <w:p>
      <w:pPr>
        <w:pStyle w:val="46"/>
        <w:sectPr>
          <w:pgSz w:w="11906" w:h="16838"/>
          <w:pgMar w:top="2098" w:right="1474" w:bottom="1984" w:left="1587" w:header="851" w:footer="992" w:gutter="0"/>
          <w:cols w:space="720" w:num="1"/>
          <w:docGrid w:type="lines" w:linePitch="319" w:charSpace="0"/>
        </w:sectPr>
      </w:pPr>
    </w:p>
    <w:p>
      <w:pPr>
        <w:spacing w:line="360" w:lineRule="auto"/>
        <w:jc w:val="center"/>
        <w:rPr>
          <w:rFonts w:ascii="黑体" w:hAnsi="宋体" w:eastAsia="黑体"/>
          <w:bCs/>
          <w:sz w:val="32"/>
          <w:szCs w:val="32"/>
        </w:rPr>
      </w:pPr>
      <w:r>
        <w:rPr>
          <w:rFonts w:hint="eastAsia" w:ascii="黑体" w:hAnsi="宋体" w:eastAsia="黑体"/>
          <w:bCs/>
          <w:sz w:val="32"/>
          <w:szCs w:val="32"/>
        </w:rPr>
        <w:t>业绩合同扫描件</w:t>
      </w:r>
    </w:p>
    <w:p>
      <w:pPr>
        <w:pStyle w:val="46"/>
        <w:spacing w:after="0" w:line="360" w:lineRule="auto"/>
        <w:ind w:left="0" w:leftChars="0" w:firstLine="0"/>
        <w:jc w:val="both"/>
        <w:rPr>
          <w:rStyle w:val="56"/>
          <w:rFonts w:ascii="Times New Roman" w:hAnsi="Times New Roman" w:cs="Times New Roman"/>
          <w:color w:val="auto"/>
          <w:u w:val="none"/>
          <w:shd w:val="clear" w:color="auto" w:fill="FFFFFF"/>
        </w:rPr>
      </w:pPr>
    </w:p>
    <w:tbl>
      <w:tblPr>
        <w:tblStyle w:val="47"/>
        <w:tblW w:w="93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1045"/>
        <w:gridCol w:w="1302"/>
        <w:gridCol w:w="1170"/>
        <w:gridCol w:w="1334"/>
        <w:gridCol w:w="1169"/>
        <w:gridCol w:w="1290"/>
        <w:gridCol w:w="8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9338" w:type="dxa"/>
            <w:gridSpan w:val="8"/>
            <w:tcBorders>
              <w:top w:val="single" w:color="auto" w:sz="8" w:space="0"/>
              <w:left w:val="single" w:color="auto" w:sz="8" w:space="0"/>
              <w:right w:val="single" w:color="auto" w:sz="8" w:space="0"/>
            </w:tcBorders>
            <w:vAlign w:val="center"/>
          </w:tcPr>
          <w:p>
            <w:pPr>
              <w:spacing w:line="360" w:lineRule="auto"/>
              <w:jc w:val="center"/>
              <w:rPr>
                <w:rFonts w:hAnsi="宋体" w:cs="宋体"/>
                <w:szCs w:val="21"/>
              </w:rPr>
            </w:pPr>
            <w:r>
              <w:rPr>
                <w:rFonts w:hint="eastAsia" w:ascii="黑体" w:hAnsi="黑体" w:eastAsia="黑体" w:cs="黑体"/>
                <w:bCs/>
                <w:sz w:val="28"/>
                <w:szCs w:val="28"/>
              </w:rPr>
              <w:t>谈判单位合同业绩情况汇总表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158"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项目名称</w:t>
            </w:r>
          </w:p>
        </w:tc>
        <w:tc>
          <w:tcPr>
            <w:tcW w:w="1045"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采购人名称</w:t>
            </w:r>
          </w:p>
        </w:tc>
        <w:tc>
          <w:tcPr>
            <w:tcW w:w="1302"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合同金额（总金额）</w:t>
            </w:r>
          </w:p>
        </w:tc>
        <w:tc>
          <w:tcPr>
            <w:tcW w:w="1170"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服务期限</w:t>
            </w:r>
          </w:p>
        </w:tc>
        <w:tc>
          <w:tcPr>
            <w:tcW w:w="1334"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合同金额</w:t>
            </w:r>
          </w:p>
          <w:p>
            <w:pPr>
              <w:jc w:val="center"/>
              <w:rPr>
                <w:rFonts w:hAnsi="宋体" w:cs="宋体"/>
                <w:b/>
                <w:bCs/>
                <w:szCs w:val="21"/>
              </w:rPr>
            </w:pPr>
            <w:r>
              <w:rPr>
                <w:rFonts w:hint="eastAsia" w:hAnsi="宋体" w:cs="宋体"/>
                <w:b/>
                <w:bCs/>
                <w:szCs w:val="21"/>
              </w:rPr>
              <w:t>（万元/年）</w:t>
            </w:r>
          </w:p>
        </w:tc>
        <w:tc>
          <w:tcPr>
            <w:tcW w:w="1169"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合同签订</w:t>
            </w:r>
          </w:p>
          <w:p>
            <w:pPr>
              <w:jc w:val="center"/>
              <w:rPr>
                <w:rFonts w:hAnsi="宋体" w:cs="宋体"/>
                <w:b/>
                <w:bCs/>
                <w:szCs w:val="21"/>
              </w:rPr>
            </w:pPr>
            <w:r>
              <w:rPr>
                <w:rFonts w:hint="eastAsia" w:hAnsi="宋体" w:cs="宋体"/>
                <w:b/>
                <w:bCs/>
                <w:szCs w:val="21"/>
              </w:rPr>
              <w:t>时间</w:t>
            </w:r>
          </w:p>
        </w:tc>
        <w:tc>
          <w:tcPr>
            <w:tcW w:w="1290"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甲方单位</w:t>
            </w:r>
          </w:p>
          <w:p>
            <w:pPr>
              <w:jc w:val="center"/>
              <w:rPr>
                <w:rFonts w:hAnsi="宋体" w:cs="宋体"/>
                <w:b/>
                <w:bCs/>
                <w:szCs w:val="21"/>
              </w:rPr>
            </w:pPr>
            <w:r>
              <w:rPr>
                <w:rFonts w:hint="eastAsia" w:hAnsi="宋体" w:cs="宋体"/>
                <w:b/>
                <w:bCs/>
                <w:szCs w:val="21"/>
              </w:rPr>
              <w:t>及联系方式</w:t>
            </w:r>
          </w:p>
        </w:tc>
        <w:tc>
          <w:tcPr>
            <w:tcW w:w="870"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58" w:type="dxa"/>
            <w:tcBorders>
              <w:left w:val="single" w:color="auto" w:sz="8" w:space="0"/>
              <w:right w:val="single" w:color="auto" w:sz="8" w:space="0"/>
            </w:tcBorders>
            <w:vAlign w:val="center"/>
          </w:tcPr>
          <w:p>
            <w:pPr>
              <w:spacing w:line="360" w:lineRule="auto"/>
              <w:jc w:val="center"/>
              <w:rPr>
                <w:rFonts w:hAnsi="宋体" w:cs="宋体"/>
                <w:szCs w:val="21"/>
              </w:rPr>
            </w:pPr>
          </w:p>
        </w:tc>
        <w:tc>
          <w:tcPr>
            <w:tcW w:w="1045" w:type="dxa"/>
            <w:tcBorders>
              <w:left w:val="single" w:color="auto" w:sz="8" w:space="0"/>
              <w:right w:val="single" w:color="auto" w:sz="8" w:space="0"/>
            </w:tcBorders>
          </w:tcPr>
          <w:p>
            <w:pPr>
              <w:spacing w:line="360" w:lineRule="auto"/>
              <w:jc w:val="center"/>
              <w:rPr>
                <w:rFonts w:hAnsi="宋体" w:cs="宋体"/>
                <w:szCs w:val="21"/>
              </w:rPr>
            </w:pPr>
          </w:p>
        </w:tc>
        <w:tc>
          <w:tcPr>
            <w:tcW w:w="1302" w:type="dxa"/>
            <w:tcBorders>
              <w:left w:val="single" w:color="auto" w:sz="8" w:space="0"/>
              <w:right w:val="single" w:color="auto" w:sz="8" w:space="0"/>
            </w:tcBorders>
            <w:vAlign w:val="center"/>
          </w:tcPr>
          <w:p>
            <w:pPr>
              <w:spacing w:line="360" w:lineRule="auto"/>
              <w:jc w:val="center"/>
              <w:rPr>
                <w:rFonts w:hAnsi="宋体" w:cs="宋体"/>
                <w:szCs w:val="21"/>
              </w:rPr>
            </w:pPr>
          </w:p>
        </w:tc>
        <w:tc>
          <w:tcPr>
            <w:tcW w:w="1170" w:type="dxa"/>
            <w:tcBorders>
              <w:left w:val="single" w:color="auto" w:sz="8" w:space="0"/>
              <w:right w:val="single" w:color="auto" w:sz="8" w:space="0"/>
            </w:tcBorders>
          </w:tcPr>
          <w:p>
            <w:pPr>
              <w:spacing w:line="360" w:lineRule="auto"/>
              <w:jc w:val="center"/>
              <w:rPr>
                <w:rFonts w:hAnsi="宋体" w:cs="宋体"/>
                <w:szCs w:val="21"/>
              </w:rPr>
            </w:pPr>
          </w:p>
        </w:tc>
        <w:tc>
          <w:tcPr>
            <w:tcW w:w="1334" w:type="dxa"/>
            <w:tcBorders>
              <w:left w:val="single" w:color="auto" w:sz="8" w:space="0"/>
              <w:right w:val="single" w:color="auto" w:sz="8" w:space="0"/>
            </w:tcBorders>
            <w:vAlign w:val="center"/>
          </w:tcPr>
          <w:p>
            <w:pPr>
              <w:spacing w:line="360" w:lineRule="auto"/>
              <w:jc w:val="center"/>
              <w:rPr>
                <w:rFonts w:hAnsi="宋体" w:cs="宋体"/>
                <w:szCs w:val="21"/>
              </w:rPr>
            </w:pPr>
          </w:p>
        </w:tc>
        <w:tc>
          <w:tcPr>
            <w:tcW w:w="1169" w:type="dxa"/>
            <w:tcBorders>
              <w:left w:val="single" w:color="auto" w:sz="8" w:space="0"/>
              <w:right w:val="single" w:color="auto" w:sz="8" w:space="0"/>
            </w:tcBorders>
            <w:vAlign w:val="center"/>
          </w:tcPr>
          <w:p>
            <w:pPr>
              <w:spacing w:line="360" w:lineRule="auto"/>
              <w:jc w:val="center"/>
              <w:rPr>
                <w:rFonts w:hAnsi="宋体" w:cs="宋体"/>
                <w:szCs w:val="21"/>
              </w:rPr>
            </w:pPr>
          </w:p>
        </w:tc>
        <w:tc>
          <w:tcPr>
            <w:tcW w:w="1290" w:type="dxa"/>
            <w:tcBorders>
              <w:left w:val="single" w:color="auto" w:sz="8" w:space="0"/>
              <w:right w:val="single" w:color="auto" w:sz="8" w:space="0"/>
            </w:tcBorders>
            <w:vAlign w:val="center"/>
          </w:tcPr>
          <w:p>
            <w:pPr>
              <w:spacing w:line="360" w:lineRule="auto"/>
              <w:jc w:val="center"/>
              <w:rPr>
                <w:rFonts w:hAnsi="宋体" w:cs="宋体"/>
                <w:szCs w:val="21"/>
              </w:rPr>
            </w:pPr>
          </w:p>
        </w:tc>
        <w:tc>
          <w:tcPr>
            <w:tcW w:w="870" w:type="dxa"/>
            <w:tcBorders>
              <w:left w:val="single" w:color="auto" w:sz="8" w:space="0"/>
              <w:right w:val="single" w:color="auto" w:sz="8" w:space="0"/>
            </w:tcBorders>
          </w:tcPr>
          <w:p>
            <w:pPr>
              <w:spacing w:line="360" w:lineRule="auto"/>
              <w:jc w:val="center"/>
              <w:rPr>
                <w:rFonts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158" w:type="dxa"/>
            <w:tcBorders>
              <w:left w:val="single" w:color="auto" w:sz="8" w:space="0"/>
              <w:bottom w:val="single" w:color="auto" w:sz="8" w:space="0"/>
              <w:right w:val="single" w:color="auto" w:sz="8" w:space="0"/>
            </w:tcBorders>
            <w:vAlign w:val="center"/>
          </w:tcPr>
          <w:p>
            <w:pPr>
              <w:spacing w:line="360" w:lineRule="auto"/>
              <w:jc w:val="center"/>
              <w:rPr>
                <w:rFonts w:hAnsi="宋体" w:cs="宋体"/>
                <w:szCs w:val="21"/>
              </w:rPr>
            </w:pPr>
          </w:p>
        </w:tc>
        <w:tc>
          <w:tcPr>
            <w:tcW w:w="1045" w:type="dxa"/>
            <w:tcBorders>
              <w:left w:val="single" w:color="auto" w:sz="8" w:space="0"/>
              <w:bottom w:val="single" w:color="auto" w:sz="8" w:space="0"/>
              <w:right w:val="single" w:color="auto" w:sz="8" w:space="0"/>
            </w:tcBorders>
          </w:tcPr>
          <w:p>
            <w:pPr>
              <w:spacing w:line="360" w:lineRule="auto"/>
              <w:jc w:val="center"/>
              <w:rPr>
                <w:rFonts w:hAnsi="宋体" w:cs="宋体"/>
                <w:szCs w:val="21"/>
              </w:rPr>
            </w:pPr>
          </w:p>
        </w:tc>
        <w:tc>
          <w:tcPr>
            <w:tcW w:w="1302" w:type="dxa"/>
            <w:tcBorders>
              <w:left w:val="single" w:color="auto" w:sz="8" w:space="0"/>
              <w:bottom w:val="single" w:color="auto" w:sz="8" w:space="0"/>
              <w:right w:val="single" w:color="auto" w:sz="8" w:space="0"/>
            </w:tcBorders>
            <w:vAlign w:val="center"/>
          </w:tcPr>
          <w:p>
            <w:pPr>
              <w:spacing w:line="360" w:lineRule="auto"/>
              <w:jc w:val="center"/>
              <w:rPr>
                <w:rFonts w:hAnsi="宋体" w:cs="宋体"/>
                <w:szCs w:val="21"/>
              </w:rPr>
            </w:pPr>
          </w:p>
        </w:tc>
        <w:tc>
          <w:tcPr>
            <w:tcW w:w="1170" w:type="dxa"/>
            <w:tcBorders>
              <w:left w:val="single" w:color="auto" w:sz="8" w:space="0"/>
              <w:bottom w:val="single" w:color="auto" w:sz="8" w:space="0"/>
              <w:right w:val="single" w:color="auto" w:sz="8" w:space="0"/>
            </w:tcBorders>
          </w:tcPr>
          <w:p>
            <w:pPr>
              <w:spacing w:line="360" w:lineRule="auto"/>
              <w:jc w:val="center"/>
              <w:rPr>
                <w:rFonts w:hAnsi="宋体" w:cs="宋体"/>
                <w:szCs w:val="21"/>
              </w:rPr>
            </w:pPr>
          </w:p>
        </w:tc>
        <w:tc>
          <w:tcPr>
            <w:tcW w:w="1334" w:type="dxa"/>
            <w:tcBorders>
              <w:left w:val="single" w:color="auto" w:sz="8" w:space="0"/>
              <w:bottom w:val="single" w:color="auto" w:sz="8" w:space="0"/>
              <w:right w:val="single" w:color="auto" w:sz="8" w:space="0"/>
            </w:tcBorders>
            <w:vAlign w:val="center"/>
          </w:tcPr>
          <w:p>
            <w:pPr>
              <w:spacing w:line="360" w:lineRule="auto"/>
              <w:jc w:val="center"/>
              <w:rPr>
                <w:rFonts w:hAnsi="宋体" w:cs="宋体"/>
                <w:szCs w:val="21"/>
              </w:rPr>
            </w:pPr>
          </w:p>
        </w:tc>
        <w:tc>
          <w:tcPr>
            <w:tcW w:w="1169" w:type="dxa"/>
            <w:tcBorders>
              <w:left w:val="single" w:color="auto" w:sz="8" w:space="0"/>
              <w:bottom w:val="single" w:color="auto" w:sz="8" w:space="0"/>
              <w:right w:val="single" w:color="auto" w:sz="8" w:space="0"/>
            </w:tcBorders>
            <w:vAlign w:val="center"/>
          </w:tcPr>
          <w:p>
            <w:pPr>
              <w:spacing w:line="360" w:lineRule="auto"/>
              <w:jc w:val="center"/>
              <w:rPr>
                <w:rFonts w:hAnsi="宋体" w:cs="宋体"/>
                <w:szCs w:val="21"/>
              </w:rPr>
            </w:pPr>
          </w:p>
        </w:tc>
        <w:tc>
          <w:tcPr>
            <w:tcW w:w="1290" w:type="dxa"/>
            <w:tcBorders>
              <w:left w:val="single" w:color="auto" w:sz="8" w:space="0"/>
              <w:bottom w:val="single" w:color="auto" w:sz="8" w:space="0"/>
              <w:right w:val="single" w:color="auto" w:sz="8" w:space="0"/>
            </w:tcBorders>
            <w:vAlign w:val="center"/>
          </w:tcPr>
          <w:p>
            <w:pPr>
              <w:spacing w:line="360" w:lineRule="auto"/>
              <w:jc w:val="center"/>
              <w:rPr>
                <w:rFonts w:hAnsi="宋体" w:cs="宋体"/>
                <w:szCs w:val="21"/>
              </w:rPr>
            </w:pPr>
          </w:p>
        </w:tc>
        <w:tc>
          <w:tcPr>
            <w:tcW w:w="870" w:type="dxa"/>
            <w:tcBorders>
              <w:left w:val="single" w:color="auto" w:sz="8" w:space="0"/>
              <w:bottom w:val="single" w:color="auto" w:sz="8" w:space="0"/>
              <w:right w:val="single" w:color="auto" w:sz="8" w:space="0"/>
            </w:tcBorders>
          </w:tcPr>
          <w:p>
            <w:pPr>
              <w:spacing w:line="360" w:lineRule="auto"/>
              <w:jc w:val="center"/>
              <w:rPr>
                <w:rFonts w:hAnsi="宋体" w:cs="宋体"/>
                <w:szCs w:val="21"/>
              </w:rPr>
            </w:pPr>
          </w:p>
        </w:tc>
      </w:tr>
    </w:tbl>
    <w:p>
      <w:pPr>
        <w:pStyle w:val="46"/>
        <w:spacing w:after="0" w:line="360" w:lineRule="auto"/>
        <w:ind w:left="0" w:leftChars="0" w:firstLine="0"/>
        <w:jc w:val="both"/>
        <w:rPr>
          <w:rStyle w:val="56"/>
          <w:rFonts w:ascii="Times New Roman" w:hAnsi="Times New Roman" w:cs="Times New Roman"/>
          <w:color w:val="auto"/>
          <w:u w:val="none"/>
          <w:shd w:val="clear" w:color="auto" w:fill="FFFFFF"/>
        </w:rPr>
      </w:pPr>
    </w:p>
    <w:p>
      <w:pPr>
        <w:pStyle w:val="46"/>
        <w:spacing w:after="0" w:line="360" w:lineRule="auto"/>
        <w:ind w:left="0" w:leftChars="0" w:firstLine="0"/>
        <w:jc w:val="both"/>
        <w:rPr>
          <w:rStyle w:val="56"/>
          <w:rFonts w:ascii="Times New Roman" w:hAnsi="Times New Roman" w:cs="Times New Roman"/>
          <w:color w:val="auto"/>
          <w:u w:val="none"/>
          <w:shd w:val="clear" w:color="auto" w:fill="FFFFFF"/>
        </w:rPr>
      </w:pPr>
    </w:p>
    <w:p>
      <w:r>
        <w:rPr>
          <w:rStyle w:val="56"/>
          <w:color w:val="auto"/>
          <w:u w:val="none"/>
          <w:shd w:val="clear" w:color="auto" w:fill="FFFFFF"/>
        </w:rPr>
        <w:t>业绩</w:t>
      </w:r>
      <w:r>
        <w:rPr>
          <w:rStyle w:val="56"/>
          <w:rFonts w:hint="eastAsia"/>
          <w:color w:val="auto"/>
          <w:u w:val="none"/>
          <w:shd w:val="clear" w:color="auto" w:fill="FFFFFF"/>
        </w:rPr>
        <w:t>合同</w:t>
      </w:r>
      <w:r>
        <w:rPr>
          <w:rStyle w:val="56"/>
          <w:color w:val="auto"/>
          <w:u w:val="none"/>
          <w:shd w:val="clear" w:color="auto" w:fill="FFFFFF"/>
        </w:rPr>
        <w:t>证明材料</w:t>
      </w:r>
      <w:r>
        <w:rPr>
          <w:rStyle w:val="56"/>
          <w:rFonts w:hint="eastAsia"/>
          <w:color w:val="auto"/>
          <w:u w:val="none"/>
          <w:shd w:val="clear" w:color="auto" w:fill="FFFFFF"/>
        </w:rPr>
        <w:t>须为</w:t>
      </w:r>
      <w:r>
        <w:rPr>
          <w:rStyle w:val="56"/>
          <w:color w:val="auto"/>
          <w:u w:val="none"/>
          <w:shd w:val="clear" w:color="auto" w:fill="FFFFFF"/>
        </w:rPr>
        <w:t>合同</w:t>
      </w:r>
      <w:r>
        <w:rPr>
          <w:rStyle w:val="56"/>
          <w:rFonts w:hint="eastAsia"/>
          <w:color w:val="auto"/>
          <w:u w:val="none"/>
          <w:shd w:val="clear" w:color="auto" w:fill="FFFFFF"/>
        </w:rPr>
        <w:t>原件扫描件打印版，并按顺序附后。</w:t>
      </w:r>
    </w:p>
    <w:p/>
    <w:p>
      <w:pPr>
        <w:pStyle w:val="46"/>
        <w:ind w:left="0" w:leftChars="0" w:firstLine="0"/>
      </w:pPr>
    </w:p>
    <w:p>
      <w:pPr>
        <w:pStyle w:val="46"/>
        <w:ind w:left="0" w:leftChars="0" w:firstLine="0"/>
      </w:pPr>
    </w:p>
    <w:p>
      <w:pPr>
        <w:pStyle w:val="2"/>
        <w:rPr>
          <w:color w:val="FF0000"/>
          <w:highlight w:val="cyan"/>
        </w:rPr>
        <w:sectPr>
          <w:pgSz w:w="11906" w:h="16838"/>
          <w:pgMar w:top="2098" w:right="1474" w:bottom="1984" w:left="1587" w:header="851" w:footer="992" w:gutter="0"/>
          <w:cols w:space="0" w:num="1"/>
          <w:docGrid w:type="lines" w:linePitch="319" w:charSpace="0"/>
        </w:sectPr>
      </w:pPr>
    </w:p>
    <w:p>
      <w:pPr>
        <w:adjustRightInd w:val="0"/>
        <w:snapToGrid w:val="0"/>
        <w:spacing w:line="360" w:lineRule="auto"/>
        <w:ind w:right="24"/>
        <w:jc w:val="center"/>
        <w:outlineLvl w:val="1"/>
        <w:rPr>
          <w:rFonts w:ascii="宋体" w:hAnsi="宋体" w:cs="宋体"/>
          <w:b/>
          <w:sz w:val="32"/>
          <w:szCs w:val="32"/>
        </w:rPr>
      </w:pPr>
      <w:bookmarkStart w:id="122" w:name="_Toc30403"/>
      <w:bookmarkStart w:id="123" w:name="_Toc9230"/>
      <w:bookmarkStart w:id="124" w:name="_Toc7528"/>
      <w:bookmarkStart w:id="125" w:name="_Toc9602"/>
      <w:bookmarkStart w:id="126" w:name="_Toc20484"/>
      <w:r>
        <w:rPr>
          <w:rFonts w:hint="eastAsia" w:ascii="宋体" w:hAnsi="宋体" w:cs="宋体"/>
          <w:b/>
          <w:sz w:val="32"/>
          <w:szCs w:val="32"/>
        </w:rPr>
        <w:t>五、服务方案</w:t>
      </w:r>
      <w:bookmarkEnd w:id="122"/>
      <w:bookmarkEnd w:id="123"/>
      <w:bookmarkEnd w:id="124"/>
      <w:bookmarkEnd w:id="125"/>
      <w:bookmarkEnd w:id="126"/>
    </w:p>
    <w:p>
      <w:pPr>
        <w:adjustRightInd w:val="0"/>
        <w:snapToGrid w:val="0"/>
        <w:ind w:left="-88" w:leftChars="-42" w:firstLine="211" w:firstLineChars="100"/>
        <w:jc w:val="center"/>
        <w:rPr>
          <w:rFonts w:ascii="黑体" w:hAnsi="宋体" w:eastAsia="黑体"/>
          <w:b/>
          <w:bCs/>
          <w:szCs w:val="21"/>
        </w:rPr>
      </w:pPr>
    </w:p>
    <w:p>
      <w:pPr>
        <w:adjustRightInd w:val="0"/>
        <w:snapToGrid w:val="0"/>
        <w:rPr>
          <w:rFonts w:ascii="宋体" w:hAnsi="宋体"/>
          <w:b/>
          <w:szCs w:val="21"/>
        </w:rPr>
      </w:pPr>
      <w:r>
        <w:rPr>
          <w:rFonts w:hint="eastAsia" w:ascii="宋体" w:hAnsi="宋体"/>
          <w:b/>
          <w:szCs w:val="21"/>
        </w:rPr>
        <w:t>1.服务方案说明</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r>
        <w:rPr>
          <w:rFonts w:hint="eastAsia" w:ascii="宋体" w:hAnsi="宋体"/>
          <w:szCs w:val="21"/>
        </w:rPr>
        <w:t>1.1谈判单位应根据“用户需求书”规定编写服务方案或服务大纲。</w:t>
      </w:r>
    </w:p>
    <w:p>
      <w:pPr>
        <w:adjustRightInd w:val="0"/>
        <w:snapToGrid w:val="0"/>
        <w:spacing w:line="360" w:lineRule="auto"/>
        <w:ind w:firstLine="420" w:firstLineChars="200"/>
        <w:rPr>
          <w:rFonts w:ascii="宋体" w:hAnsi="宋体"/>
          <w:szCs w:val="21"/>
        </w:rPr>
      </w:pPr>
      <w:r>
        <w:rPr>
          <w:rFonts w:hint="eastAsia" w:ascii="宋体" w:hAnsi="宋体"/>
          <w:szCs w:val="21"/>
        </w:rPr>
        <w:t>1.2服务方案或服务大纲应包括：(1)服务目标、范围和任务；(2)服务方案；(3)服务团队组织安排计划；(4)工作流程；(5)进度计划及保证措施；(6)质量保证措施；(7)合理化建议；(8)其他。</w:t>
      </w: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pStyle w:val="27"/>
        <w:adjustRightInd w:val="0"/>
        <w:snapToGrid w:val="0"/>
        <w:spacing w:line="360" w:lineRule="auto"/>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spacing w:line="360" w:lineRule="exac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黑体" w:hAnsi="宋体" w:eastAsia="黑体"/>
          <w:b/>
          <w:sz w:val="28"/>
          <w:szCs w:val="28"/>
        </w:rPr>
      </w:pPr>
      <w:r>
        <w:rPr>
          <w:rFonts w:ascii="宋体" w:hAnsi="宋体"/>
          <w:sz w:val="24"/>
        </w:rPr>
        <w:br w:type="page"/>
      </w:r>
      <w:bookmarkStart w:id="127" w:name="_Toc15835"/>
      <w:bookmarkStart w:id="128" w:name="_Toc21225"/>
      <w:bookmarkStart w:id="129" w:name="_Toc6959"/>
      <w:bookmarkStart w:id="130" w:name="_Toc5387"/>
      <w:bookmarkStart w:id="131" w:name="_Toc25553"/>
      <w:r>
        <w:rPr>
          <w:rFonts w:hint="eastAsia" w:ascii="宋体" w:hAnsi="宋体" w:cs="宋体"/>
          <w:b/>
          <w:sz w:val="32"/>
          <w:szCs w:val="32"/>
        </w:rPr>
        <w:t>六、报价一览表</w:t>
      </w:r>
      <w:bookmarkEnd w:id="127"/>
      <w:bookmarkEnd w:id="128"/>
      <w:bookmarkEnd w:id="129"/>
      <w:bookmarkEnd w:id="130"/>
      <w:bookmarkEnd w:id="131"/>
    </w:p>
    <w:p>
      <w:pPr>
        <w:adjustRightInd w:val="0"/>
        <w:snapToGrid w:val="0"/>
        <w:jc w:val="right"/>
        <w:rPr>
          <w:rFonts w:ascii="黑体" w:hAnsi="宋体" w:eastAsia="黑体"/>
          <w:sz w:val="24"/>
        </w:rPr>
      </w:pPr>
    </w:p>
    <w:tbl>
      <w:tblPr>
        <w:tblStyle w:val="47"/>
        <w:tblW w:w="88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23"/>
        <w:gridCol w:w="62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Align w:val="center"/>
          </w:tcPr>
          <w:p>
            <w:pPr>
              <w:spacing w:line="420" w:lineRule="exact"/>
              <w:jc w:val="center"/>
              <w:rPr>
                <w:b/>
                <w:bCs/>
              </w:rPr>
            </w:pPr>
            <w:r>
              <w:rPr>
                <w:rFonts w:hint="eastAsia" w:ascii="宋体" w:hAnsi="宋体" w:cs="宋体"/>
                <w:b/>
                <w:bCs/>
                <w:szCs w:val="21"/>
              </w:rPr>
              <w:t>项目名称</w:t>
            </w:r>
          </w:p>
        </w:tc>
        <w:tc>
          <w:tcPr>
            <w:tcW w:w="6297" w:type="dxa"/>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Align w:val="center"/>
          </w:tcPr>
          <w:p>
            <w:pPr>
              <w:spacing w:line="420" w:lineRule="exact"/>
              <w:jc w:val="center"/>
              <w:rPr>
                <w:b/>
                <w:bCs/>
              </w:rPr>
            </w:pPr>
            <w:r>
              <w:rPr>
                <w:rFonts w:hint="eastAsia" w:ascii="宋体" w:hAnsi="宋体" w:cs="宋体"/>
                <w:b/>
                <w:bCs/>
                <w:szCs w:val="21"/>
              </w:rPr>
              <w:t>项目编号</w:t>
            </w:r>
          </w:p>
        </w:tc>
        <w:tc>
          <w:tcPr>
            <w:tcW w:w="6297" w:type="dxa"/>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Align w:val="center"/>
          </w:tcPr>
          <w:p>
            <w:pPr>
              <w:spacing w:line="420" w:lineRule="exact"/>
              <w:jc w:val="center"/>
              <w:rPr>
                <w:b/>
                <w:bCs/>
              </w:rPr>
            </w:pPr>
            <w:r>
              <w:rPr>
                <w:rFonts w:hint="eastAsia"/>
                <w:b/>
                <w:bCs/>
              </w:rPr>
              <w:t>服务期限</w:t>
            </w:r>
          </w:p>
        </w:tc>
        <w:tc>
          <w:tcPr>
            <w:tcW w:w="6297" w:type="dxa"/>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restart"/>
            <w:vAlign w:val="center"/>
          </w:tcPr>
          <w:p>
            <w:pPr>
              <w:spacing w:line="420" w:lineRule="exact"/>
              <w:jc w:val="center"/>
              <w:rPr>
                <w:rFonts w:ascii="宋体" w:hAnsi="宋体"/>
                <w:b/>
                <w:bCs/>
                <w:szCs w:val="21"/>
              </w:rPr>
            </w:pPr>
            <w:r>
              <w:rPr>
                <w:rFonts w:hint="eastAsia" w:ascii="宋体" w:hAnsi="宋体"/>
                <w:b/>
                <w:bCs/>
                <w:szCs w:val="21"/>
              </w:rPr>
              <w:t>谈判不含增值税</w:t>
            </w:r>
            <w:r>
              <w:rPr>
                <w:rFonts w:ascii="宋体" w:hAnsi="宋体"/>
                <w:b/>
                <w:bCs/>
                <w:szCs w:val="21"/>
              </w:rPr>
              <w:t>总报价</w:t>
            </w:r>
          </w:p>
        </w:tc>
        <w:tc>
          <w:tcPr>
            <w:tcW w:w="6297" w:type="dxa"/>
            <w:vAlign w:val="center"/>
          </w:tcPr>
          <w:p>
            <w:pPr>
              <w:spacing w:line="420" w:lineRule="exact"/>
              <w:jc w:val="left"/>
              <w:rPr>
                <w:rFonts w:ascii="宋体" w:hAnsi="宋体"/>
                <w:szCs w:val="21"/>
                <w:u w:val="single"/>
              </w:rPr>
            </w:pPr>
            <w:r>
              <w:rPr>
                <w:rFonts w:hint="eastAsia" w:ascii="宋体" w:hAnsi="宋体"/>
                <w:szCs w:val="21"/>
              </w:rPr>
              <w:t>大写：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continue"/>
            <w:vAlign w:val="center"/>
          </w:tcPr>
          <w:p>
            <w:pPr>
              <w:spacing w:line="420" w:lineRule="exact"/>
              <w:jc w:val="center"/>
              <w:rPr>
                <w:rFonts w:ascii="宋体" w:hAnsi="宋体"/>
                <w:b/>
                <w:bCs/>
                <w:szCs w:val="21"/>
              </w:rPr>
            </w:pPr>
          </w:p>
        </w:tc>
        <w:tc>
          <w:tcPr>
            <w:tcW w:w="6297" w:type="dxa"/>
            <w:vAlign w:val="center"/>
          </w:tcPr>
          <w:p>
            <w:pPr>
              <w:spacing w:line="420" w:lineRule="exact"/>
              <w:jc w:val="left"/>
              <w:rPr>
                <w:rFonts w:ascii="宋体" w:hAnsi="宋体"/>
                <w:szCs w:val="21"/>
              </w:rPr>
            </w:pPr>
            <w:r>
              <w:rPr>
                <w:rFonts w:hint="eastAsia" w:ascii="宋体" w:hAnsi="宋体"/>
                <w:szCs w:val="21"/>
              </w:rPr>
              <w:t>小写：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2523" w:type="dxa"/>
            <w:vAlign w:val="center"/>
          </w:tcPr>
          <w:p>
            <w:pPr>
              <w:spacing w:line="420" w:lineRule="exact"/>
              <w:jc w:val="center"/>
              <w:rPr>
                <w:rFonts w:ascii="宋体" w:hAnsi="宋体"/>
                <w:b/>
                <w:bCs/>
                <w:szCs w:val="21"/>
              </w:rPr>
            </w:pPr>
            <w:r>
              <w:rPr>
                <w:rFonts w:hint="eastAsia" w:ascii="宋体" w:hAnsi="宋体"/>
                <w:b/>
                <w:bCs/>
                <w:szCs w:val="21"/>
              </w:rPr>
              <w:t>税费</w:t>
            </w:r>
          </w:p>
        </w:tc>
        <w:tc>
          <w:tcPr>
            <w:tcW w:w="6297" w:type="dxa"/>
            <w:vAlign w:val="center"/>
          </w:tcPr>
          <w:p>
            <w:pPr>
              <w:spacing w:line="420" w:lineRule="exact"/>
              <w:jc w:val="left"/>
              <w:rPr>
                <w:rFonts w:ascii="宋体" w:hAnsi="宋体"/>
                <w:szCs w:val="21"/>
              </w:rPr>
            </w:pP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0" w:hRule="atLeast"/>
          <w:jc w:val="center"/>
        </w:trPr>
        <w:tc>
          <w:tcPr>
            <w:tcW w:w="2523" w:type="dxa"/>
            <w:vAlign w:val="center"/>
          </w:tcPr>
          <w:p>
            <w:pPr>
              <w:spacing w:line="420" w:lineRule="exact"/>
              <w:jc w:val="center"/>
              <w:rPr>
                <w:rFonts w:ascii="宋体" w:hAnsi="宋体"/>
                <w:b/>
                <w:bCs/>
                <w:szCs w:val="21"/>
              </w:rPr>
            </w:pPr>
            <w:r>
              <w:rPr>
                <w:rFonts w:hint="eastAsia" w:ascii="宋体" w:hAnsi="宋体"/>
                <w:b/>
                <w:bCs/>
                <w:szCs w:val="21"/>
              </w:rPr>
              <w:t>增值税税率</w:t>
            </w:r>
          </w:p>
        </w:tc>
        <w:tc>
          <w:tcPr>
            <w:tcW w:w="6297" w:type="dxa"/>
            <w:vAlign w:val="center"/>
          </w:tcPr>
          <w:p>
            <w:pPr>
              <w:spacing w:line="42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restart"/>
            <w:vAlign w:val="center"/>
          </w:tcPr>
          <w:p>
            <w:pPr>
              <w:spacing w:line="420" w:lineRule="exact"/>
              <w:jc w:val="center"/>
              <w:rPr>
                <w:rFonts w:ascii="宋体" w:hAnsi="宋体"/>
                <w:b/>
                <w:bCs/>
                <w:szCs w:val="21"/>
              </w:rPr>
            </w:pPr>
            <w:r>
              <w:rPr>
                <w:rFonts w:hint="eastAsia" w:ascii="宋体" w:hAnsi="宋体"/>
                <w:b/>
                <w:bCs/>
                <w:szCs w:val="21"/>
              </w:rPr>
              <w:t>谈判</w:t>
            </w:r>
            <w:r>
              <w:rPr>
                <w:rFonts w:ascii="宋体" w:hAnsi="宋体"/>
                <w:b/>
                <w:bCs/>
                <w:szCs w:val="21"/>
              </w:rPr>
              <w:t>总报价</w:t>
            </w:r>
          </w:p>
        </w:tc>
        <w:tc>
          <w:tcPr>
            <w:tcW w:w="6297" w:type="dxa"/>
            <w:vAlign w:val="center"/>
          </w:tcPr>
          <w:p>
            <w:pPr>
              <w:spacing w:line="420" w:lineRule="exact"/>
              <w:jc w:val="left"/>
              <w:rPr>
                <w:rFonts w:ascii="宋体" w:hAnsi="宋体"/>
                <w:szCs w:val="21"/>
              </w:rPr>
            </w:pPr>
            <w:r>
              <w:rPr>
                <w:rFonts w:hint="eastAsia" w:ascii="宋体" w:hAnsi="宋体"/>
                <w:szCs w:val="21"/>
              </w:rPr>
              <w:t>大写：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continue"/>
            <w:vAlign w:val="center"/>
          </w:tcPr>
          <w:p>
            <w:pPr>
              <w:spacing w:line="420" w:lineRule="exact"/>
              <w:jc w:val="center"/>
              <w:rPr>
                <w:rFonts w:ascii="宋体" w:hAnsi="宋体"/>
                <w:b/>
                <w:bCs/>
                <w:szCs w:val="21"/>
              </w:rPr>
            </w:pPr>
          </w:p>
        </w:tc>
        <w:tc>
          <w:tcPr>
            <w:tcW w:w="6297" w:type="dxa"/>
            <w:vAlign w:val="center"/>
          </w:tcPr>
          <w:p>
            <w:pPr>
              <w:spacing w:line="420" w:lineRule="exact"/>
              <w:jc w:val="left"/>
              <w:rPr>
                <w:rFonts w:ascii="宋体" w:hAnsi="宋体"/>
                <w:szCs w:val="21"/>
              </w:rPr>
            </w:pPr>
            <w:r>
              <w:rPr>
                <w:rFonts w:hint="eastAsia" w:ascii="宋体" w:hAnsi="宋体"/>
                <w:szCs w:val="21"/>
              </w:rPr>
              <w:t>小写：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2523" w:type="dxa"/>
            <w:vAlign w:val="center"/>
          </w:tcPr>
          <w:p>
            <w:pPr>
              <w:spacing w:line="420" w:lineRule="exact"/>
              <w:jc w:val="center"/>
              <w:rPr>
                <w:rFonts w:ascii="宋体" w:hAnsi="宋体"/>
                <w:b/>
                <w:bCs/>
                <w:szCs w:val="21"/>
              </w:rPr>
            </w:pPr>
            <w:r>
              <w:rPr>
                <w:rFonts w:ascii="宋体" w:hAnsi="宋体"/>
                <w:b/>
                <w:bCs/>
                <w:szCs w:val="21"/>
              </w:rPr>
              <w:t>备  注</w:t>
            </w:r>
          </w:p>
        </w:tc>
        <w:tc>
          <w:tcPr>
            <w:tcW w:w="6297" w:type="dxa"/>
            <w:vAlign w:val="center"/>
          </w:tcPr>
          <w:p>
            <w:pPr>
              <w:spacing w:line="420" w:lineRule="exact"/>
              <w:rPr>
                <w:rFonts w:ascii="宋体" w:hAnsi="宋体"/>
                <w:szCs w:val="21"/>
              </w:rPr>
            </w:pPr>
            <w:r>
              <w:rPr>
                <w:rFonts w:hint="eastAsia" w:ascii="宋体" w:hAnsi="宋体"/>
                <w:b/>
                <w:szCs w:val="21"/>
              </w:rPr>
              <w:t>*本项目报价须满足“谈判不含增值税总报价=谈判总报价/（1+增值税税率）”</w:t>
            </w:r>
          </w:p>
        </w:tc>
      </w:tr>
    </w:tbl>
    <w:p>
      <w:pPr>
        <w:adjustRightInd w:val="0"/>
        <w:snapToGrid w:val="0"/>
        <w:spacing w:line="360" w:lineRule="auto"/>
        <w:rPr>
          <w:rFonts w:ascii="宋体" w:hAnsi="宋体" w:cs="宋体"/>
          <w:b/>
          <w:szCs w:val="21"/>
        </w:rPr>
      </w:pPr>
      <w:bookmarkStart w:id="132" w:name="_Toc5231"/>
      <w:r>
        <w:rPr>
          <w:rFonts w:hint="eastAsia" w:ascii="宋体" w:hAnsi="宋体" w:cs="宋体"/>
          <w:b/>
          <w:szCs w:val="21"/>
        </w:rPr>
        <w:t>注：1.所有报价保留小数点后两位，小数点后第三位“四舍五入”。</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2.本表内“谈判总报价”是包含了所有隐含的管理费、税金和利润等其他费用的报价。</w:t>
      </w:r>
    </w:p>
    <w:p>
      <w:pPr>
        <w:pStyle w:val="2"/>
        <w:ind w:left="0" w:leftChars="0" w:firstLine="422" w:firstLineChars="200"/>
        <w:rPr>
          <w:rFonts w:ascii="宋体" w:hAnsi="宋体" w:cs="宋体"/>
          <w:b/>
          <w:szCs w:val="21"/>
        </w:rPr>
      </w:pPr>
      <w:r>
        <w:rPr>
          <w:rFonts w:hint="eastAsia" w:ascii="宋体" w:hAnsi="宋体" w:cs="宋体"/>
          <w:b/>
          <w:szCs w:val="21"/>
        </w:rPr>
        <w:t>3.本项目设置最高限价，谈判单位所报总价不能超过最高限价，不超过最高限价的谈判总报价为有效报价。</w:t>
      </w:r>
    </w:p>
    <w:p>
      <w:pPr>
        <w:adjustRightInd w:val="0"/>
        <w:snapToGrid w:val="0"/>
        <w:spacing w:line="360" w:lineRule="auto"/>
        <w:ind w:firstLine="422" w:firstLineChars="200"/>
        <w:rPr>
          <w:rFonts w:ascii="宋体" w:hAnsi="宋体"/>
          <w:b/>
          <w:szCs w:val="21"/>
        </w:rPr>
      </w:pPr>
      <w:r>
        <w:rPr>
          <w:rFonts w:hint="eastAsia" w:ascii="宋体" w:hAnsi="宋体"/>
          <w:b/>
          <w:szCs w:val="21"/>
        </w:rPr>
        <w:t>4.本项目谈判报价评审时，以“谈判不含增值税总报价”进行评审。</w:t>
      </w:r>
    </w:p>
    <w:p>
      <w:pPr>
        <w:adjustRightInd w:val="0"/>
        <w:snapToGrid w:val="0"/>
        <w:spacing w:line="360" w:lineRule="auto"/>
        <w:ind w:firstLine="422" w:firstLineChars="200"/>
        <w:rPr>
          <w:rFonts w:ascii="宋体" w:hAnsi="宋体"/>
          <w:b/>
          <w:szCs w:val="21"/>
        </w:rPr>
      </w:pPr>
      <w:r>
        <w:rPr>
          <w:rFonts w:hint="eastAsia" w:ascii="宋体" w:hAnsi="宋体"/>
          <w:b/>
          <w:szCs w:val="21"/>
        </w:rPr>
        <w:t>5.本项目谈判总报价为含税总价（即谈判不含税增值税总报价与税费之和）。谈判单位在填写谈判报价时应当注意区分“谈判不含增值税总价”“税费”“谈判总报价”。</w:t>
      </w:r>
    </w:p>
    <w:p>
      <w:pPr>
        <w:pStyle w:val="27"/>
        <w:adjustRightInd w:val="0"/>
        <w:snapToGrid w:val="0"/>
        <w:spacing w:line="360" w:lineRule="auto"/>
        <w:rPr>
          <w:rFonts w:ascii="宋体" w:hAnsi="宋体"/>
          <w:sz w:val="21"/>
          <w:szCs w:val="21"/>
        </w:rPr>
      </w:pPr>
    </w:p>
    <w:p>
      <w:pPr>
        <w:pStyle w:val="27"/>
        <w:adjustRightInd w:val="0"/>
        <w:snapToGrid w:val="0"/>
        <w:spacing w:line="360" w:lineRule="auto"/>
        <w:rPr>
          <w:rFonts w:ascii="宋体" w:hAnsi="宋体"/>
          <w:sz w:val="21"/>
          <w:szCs w:val="21"/>
        </w:rPr>
      </w:pPr>
    </w:p>
    <w:p>
      <w:pPr>
        <w:pStyle w:val="27"/>
        <w:adjustRightInd w:val="0"/>
        <w:snapToGrid w:val="0"/>
        <w:spacing w:line="360" w:lineRule="auto"/>
        <w:rPr>
          <w:rFonts w:ascii="宋体" w:hAnsi="宋体"/>
          <w:sz w:val="21"/>
          <w:szCs w:val="21"/>
        </w:rPr>
      </w:pPr>
    </w:p>
    <w:p>
      <w:pPr>
        <w:pStyle w:val="27"/>
        <w:adjustRightInd w:val="0"/>
        <w:snapToGrid w:val="0"/>
        <w:spacing w:line="360" w:lineRule="auto"/>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w:t>
      </w:r>
      <w:bookmarkEnd w:id="132"/>
      <w:r>
        <w:rPr>
          <w:rFonts w:hint="eastAsia" w:ascii="宋体" w:hAnsi="宋体"/>
          <w:sz w:val="21"/>
          <w:szCs w:val="21"/>
          <w:u w:val="single"/>
        </w:rPr>
        <w:t xml:space="preserve">    </w:t>
      </w:r>
    </w:p>
    <w:p>
      <w:pPr>
        <w:adjustRightInd w:val="0"/>
        <w:snapToGrid w:val="0"/>
        <w:spacing w:line="360" w:lineRule="auto"/>
        <w:rPr>
          <w:rFonts w:ascii="宋体" w:hAnsi="宋体"/>
          <w:szCs w:val="21"/>
        </w:rPr>
      </w:pPr>
      <w:bookmarkStart w:id="133" w:name="_Toc28605"/>
      <w:r>
        <w:rPr>
          <w:rFonts w:hint="eastAsia" w:ascii="宋体" w:hAnsi="宋体"/>
          <w:szCs w:val="21"/>
        </w:rPr>
        <w:t>法定代表人或其委托代理人(签字或盖章)：</w:t>
      </w:r>
      <w:bookmarkEnd w:id="133"/>
      <w:r>
        <w:rPr>
          <w:rFonts w:hint="eastAsia" w:ascii="宋体" w:hAnsi="宋体"/>
          <w:szCs w:val="21"/>
          <w:u w:val="single"/>
        </w:rPr>
        <w:t xml:space="preserve">               </w:t>
      </w:r>
    </w:p>
    <w:p>
      <w:pPr>
        <w:spacing w:line="360" w:lineRule="auto"/>
        <w:rPr>
          <w:rFonts w:ascii="黑体" w:eastAsia="黑体"/>
          <w:b/>
          <w:bCs/>
          <w:sz w:val="32"/>
          <w:szCs w:val="32"/>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jc w:val="center"/>
        <w:rPr>
          <w:rFonts w:ascii="黑体" w:eastAsia="黑体"/>
          <w:b/>
          <w:bCs/>
          <w:sz w:val="32"/>
          <w:szCs w:val="32"/>
        </w:rPr>
      </w:pPr>
    </w:p>
    <w:p>
      <w:r>
        <w:br w:type="page"/>
      </w:r>
    </w:p>
    <w:p>
      <w:pPr>
        <w:sectPr>
          <w:pgSz w:w="11906" w:h="16838"/>
          <w:pgMar w:top="2098" w:right="1474" w:bottom="1984" w:left="1587" w:header="851" w:footer="992" w:gutter="0"/>
          <w:cols w:space="0" w:num="1"/>
          <w:docGrid w:type="lines" w:linePitch="319" w:charSpace="0"/>
        </w:sectPr>
      </w:pPr>
      <w:r>
        <w:br w:type="page"/>
      </w:r>
    </w:p>
    <w:p>
      <w:pPr>
        <w:pStyle w:val="2"/>
      </w:pPr>
    </w:p>
    <w:p/>
    <w:p>
      <w:pPr>
        <w:numPr>
          <w:ilvl w:val="0"/>
          <w:numId w:val="19"/>
        </w:numPr>
        <w:adjustRightInd w:val="0"/>
        <w:snapToGrid w:val="0"/>
        <w:jc w:val="center"/>
        <w:rPr>
          <w:rFonts w:hint="eastAsia" w:ascii="宋体" w:hAnsi="宋体" w:cs="宋体"/>
          <w:b/>
          <w:sz w:val="32"/>
          <w:szCs w:val="32"/>
        </w:rPr>
      </w:pPr>
      <w:r>
        <w:rPr>
          <w:rFonts w:hint="eastAsia" w:ascii="宋体" w:hAnsi="宋体" w:cs="宋体"/>
          <w:b/>
          <w:sz w:val="32"/>
          <w:szCs w:val="32"/>
          <w:lang w:val="en-US" w:eastAsia="zh-CN"/>
        </w:rPr>
        <w:t>分项价格</w:t>
      </w:r>
      <w:r>
        <w:rPr>
          <w:rFonts w:hint="eastAsia" w:ascii="宋体" w:hAnsi="宋体" w:cs="宋体"/>
          <w:b/>
          <w:sz w:val="32"/>
          <w:szCs w:val="32"/>
        </w:rPr>
        <w:t>表</w:t>
      </w:r>
    </w:p>
    <w:p>
      <w:pPr>
        <w:pStyle w:val="2"/>
        <w:widowControl w:val="0"/>
        <w:numPr>
          <w:ilvl w:val="0"/>
          <w:numId w:val="0"/>
        </w:numPr>
        <w:jc w:val="both"/>
      </w:pPr>
    </w:p>
    <w:tbl>
      <w:tblPr>
        <w:tblW w:w="1480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48"/>
        <w:gridCol w:w="1377"/>
        <w:gridCol w:w="2052"/>
        <w:gridCol w:w="3254"/>
        <w:gridCol w:w="986"/>
        <w:gridCol w:w="864"/>
        <w:gridCol w:w="1024"/>
        <w:gridCol w:w="971"/>
        <w:gridCol w:w="3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3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服务名称</w:t>
            </w:r>
          </w:p>
        </w:tc>
        <w:tc>
          <w:tcPr>
            <w:tcW w:w="2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分类</w:t>
            </w:r>
          </w:p>
        </w:tc>
        <w:tc>
          <w:tcPr>
            <w:tcW w:w="32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内容</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w:t>
            </w: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10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不含增值税单价 （元）</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不含增值税合价 （元）</w:t>
            </w:r>
          </w:p>
        </w:tc>
        <w:tc>
          <w:tcPr>
            <w:tcW w:w="3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项目宣传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运营宣传</w:t>
            </w:r>
          </w:p>
        </w:tc>
        <w:tc>
          <w:tcPr>
            <w:tcW w:w="3254"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结合整年心理健康活动团辅、测评等设计宣传电子材料，如海报、H5、物化宣传品等，推动项目宣传和落地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次</w:t>
            </w:r>
          </w:p>
        </w:tc>
        <w:tc>
          <w:tcPr>
            <w:tcW w:w="1026" w:type="dxa"/>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每月一次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60" w:hRule="atLeast"/>
        </w:trPr>
        <w:tc>
          <w:tcPr>
            <w:tcW w:w="0" w:type="auto"/>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心理测评</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司机（含电客车队长、电客车指导、电客车司机、工程车指导、工程车操作工）</w:t>
            </w:r>
          </w:p>
        </w:tc>
        <w:tc>
          <w:tcPr>
            <w:tcW w:w="325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测评量表、工作环境质量评估问卷等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人</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36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司机约1000人/年，心理机构出具团体报告，每年一次（1000人/年以内按实际人数算，超过1000人/年按1000人/年算）。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新员工（除司机）</w:t>
            </w:r>
          </w:p>
        </w:tc>
        <w:tc>
          <w:tcPr>
            <w:tcW w:w="325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心理健康、组织态度、人格等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人</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36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新入司员工预计1000人/年，心理机构按新员工批次出具团体报告（人数1000人/年以内按实际人数算，超过1000人/年按1000人算）。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60" w:hRule="atLeast"/>
        </w:trPr>
        <w:tc>
          <w:tcPr>
            <w:tcW w:w="0" w:type="auto"/>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377" w:type="dxa"/>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科普性讲座</w:t>
            </w: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心理志愿服务团队培养</w:t>
            </w:r>
          </w:p>
        </w:tc>
        <w:tc>
          <w:tcPr>
            <w:tcW w:w="3254"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组建并孵化一支有爱心、懂技术、乐奉献的EAP服务队（或志愿者服务队）,能够执行简单的心理健康辅导和讲授科普心理课程，经过培训后，能开展简单的心理服务。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场</w:t>
            </w:r>
          </w:p>
        </w:tc>
        <w:tc>
          <w:tcPr>
            <w:tcW w:w="1026" w:type="dxa"/>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3632"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培训采取室内讲座，每季度开展1次，时长为4小时/场。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0" w:type="auto"/>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377"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大型讲座</w:t>
            </w:r>
          </w:p>
        </w:tc>
        <w:tc>
          <w:tcPr>
            <w:tcW w:w="325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情绪管理、压力与心理健康、团队建设、人际关系、职场心理、家庭教育等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场</w:t>
            </w:r>
          </w:p>
        </w:tc>
        <w:tc>
          <w:tcPr>
            <w:tcW w:w="1026" w:type="dxa"/>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3632"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培训采取室内讲座，每半年开展1次，时长为4小时/场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60" w:hRule="atLeast"/>
        </w:trPr>
        <w:tc>
          <w:tcPr>
            <w:tcW w:w="0" w:type="auto"/>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377"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小团体辅导</w:t>
            </w:r>
          </w:p>
        </w:tc>
        <w:tc>
          <w:tcPr>
            <w:tcW w:w="325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情绪疏导、人际关系、个人成长、和谐婚姻与亲子互动等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场</w:t>
            </w:r>
          </w:p>
        </w:tc>
        <w:tc>
          <w:tcPr>
            <w:tcW w:w="1026" w:type="dxa"/>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36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培训采取室内讲座，每季度开展1次，时长为4小时/场，参与人数为40人以内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0" w:type="auto"/>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377"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线上主题式培训（针对管理层）</w:t>
            </w:r>
          </w:p>
        </w:tc>
        <w:tc>
          <w:tcPr>
            <w:tcW w:w="325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人际沟通与分析、管理心理、安全心理、工作与生活的平衡等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场</w:t>
            </w:r>
          </w:p>
        </w:tc>
        <w:tc>
          <w:tcPr>
            <w:tcW w:w="1026" w:type="dxa"/>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3632"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采取线上培训，课程主题符合企业需求，每年开展1次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377"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线上心理微课</w:t>
            </w:r>
          </w:p>
        </w:tc>
        <w:tc>
          <w:tcPr>
            <w:tcW w:w="3254"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6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季度免费开展线上微课，支持回听回看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3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即时沟通</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24小时心理咨询服务热线</w:t>
            </w:r>
          </w:p>
        </w:tc>
        <w:tc>
          <w:tcPr>
            <w:tcW w:w="325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给全员及其直系亲属提供心理关爱咨询及留言答复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36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不限时咨询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00" w:hRule="atLeast"/>
        </w:trPr>
        <w:tc>
          <w:tcPr>
            <w:tcW w:w="0" w:type="auto"/>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3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一对一面询</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面对面咨询（个体咨询）</w:t>
            </w:r>
          </w:p>
        </w:tc>
        <w:tc>
          <w:tcPr>
            <w:tcW w:w="325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ascii="宋体 ( 正文 )" w:hAnsi="宋体 ( 正文 )" w:eastAsia="宋体 ( 正文 )" w:cs="宋体 ( 正文 )"/>
                <w:i w:val="0"/>
                <w:iCs w:val="0"/>
                <w:color w:val="000000"/>
                <w:sz w:val="20"/>
                <w:szCs w:val="20"/>
                <w:u w:val="none"/>
              </w:rPr>
            </w:pPr>
            <w:r>
              <w:rPr>
                <w:rFonts w:hint="default" w:ascii="宋体 ( 正文 )" w:hAnsi="宋体 ( 正文 )" w:eastAsia="宋体 ( 正文 )" w:cs="宋体 ( 正文 )"/>
                <w:i w:val="0"/>
                <w:iCs w:val="0"/>
                <w:color w:val="000000"/>
                <w:kern w:val="0"/>
                <w:sz w:val="20"/>
                <w:szCs w:val="20"/>
                <w:u w:val="none"/>
                <w:bdr w:val="none" w:color="auto" w:sz="0" w:space="0"/>
                <w:lang w:val="en-US" w:eastAsia="zh-CN" w:bidi="ar"/>
              </w:rPr>
              <w:t>和咨询师进行面对面心理咨询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人次</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 正文 )" w:hAnsi="宋体 ( 正文 )" w:eastAsia="宋体 ( 正文 )" w:cs="宋体 ( 正文 )"/>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36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驻点咨询，咨询师进驻约定场地，针对高因分子人群提供定期面对面心理咨询服务，部门提供面询申请表，经分管领导同意后预约一对一面询服务，时长1-2小时/每次。费用按实际次数结算。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3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危机干预</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个体危机（达到心理危机状态员工）</w:t>
            </w:r>
          </w:p>
        </w:tc>
        <w:tc>
          <w:tcPr>
            <w:tcW w:w="325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default" w:ascii="宋体 ( 正文 )" w:hAnsi="宋体 ( 正文 )" w:eastAsia="宋体 ( 正文 )" w:cs="宋体 ( 正文 )"/>
                <w:i w:val="0"/>
                <w:iCs w:val="0"/>
                <w:color w:val="000000"/>
                <w:sz w:val="20"/>
                <w:szCs w:val="20"/>
                <w:u w:val="none"/>
              </w:rPr>
            </w:pPr>
            <w:r>
              <w:rPr>
                <w:rFonts w:hint="default" w:ascii="宋体 ( 正文 )" w:hAnsi="宋体 ( 正文 )" w:eastAsia="宋体 ( 正文 )" w:cs="宋体 ( 正文 )"/>
                <w:i w:val="0"/>
                <w:iCs w:val="0"/>
                <w:color w:val="000000"/>
                <w:kern w:val="0"/>
                <w:sz w:val="20"/>
                <w:szCs w:val="20"/>
                <w:u w:val="none"/>
                <w:bdr w:val="none" w:color="auto" w:sz="0" w:space="0"/>
                <w:lang w:val="en-US" w:eastAsia="zh-CN" w:bidi="ar"/>
              </w:rPr>
              <w:t>发生临时性员工心理危机情况时，第一时间（2-5小时）响应并予以协助处理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次</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 正文 )" w:hAnsi="宋体 ( 正文 )" w:eastAsia="宋体 ( 正文 )" w:cs="宋体 ( 正文 )"/>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36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临时性心理危机干预协助处理、重大任务心理保障服务，按需开展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3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义诊</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325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有三甲医院专业资质医生驻点开展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6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一年免费开展义诊4次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3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转介绿色通道</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转本地三甲医院</w:t>
            </w:r>
          </w:p>
        </w:tc>
        <w:tc>
          <w:tcPr>
            <w:tcW w:w="325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提供心理专管联系电话，提前一天或在紧急情况下当天联络本地三甲医院，根据患者病情需求针对性匹配专家教授进行诊断或组织专家会诊，解决个人挂号难、针对性不强及住院困难等问题。</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6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免费按需开展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EAP回顾总结</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季度报告</w:t>
            </w:r>
          </w:p>
        </w:tc>
        <w:tc>
          <w:tcPr>
            <w:tcW w:w="325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对项目开展情况做季度总结分析报告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6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免费提供服务报告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年度报告</w:t>
            </w:r>
          </w:p>
        </w:tc>
        <w:tc>
          <w:tcPr>
            <w:tcW w:w="325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对项目开展情况做年度总结分析报告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6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不含增值税总报价（元）</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增值税税率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税费（税费=不含增值税总报价*增值税税率）（元）</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含增值税总报价（含增值税总计=不含增值税总报价+税费）（元）</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11" w:type="dxa"/>
            <w:gridSpan w:val="9"/>
            <w:tcBorders>
              <w:top w:val="nil"/>
              <w:left w:val="nil"/>
              <w:bottom w:val="nil"/>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注：1.所有报价保留小数点后两位，小数点后第三位“四舍五入”。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    2.报价须满足不含增值税合价=不含增值税单价x数量。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    3.表格中“/”处无需填报。</w:t>
            </w:r>
          </w:p>
        </w:tc>
      </w:tr>
    </w:tbl>
    <w:p>
      <w:pPr>
        <w:sectPr>
          <w:pgSz w:w="16838" w:h="11906" w:orient="landscape"/>
          <w:pgMar w:top="1440" w:right="1080" w:bottom="1440" w:left="1080" w:header="851" w:footer="992" w:gutter="0"/>
          <w:cols w:space="0" w:num="1"/>
          <w:docGrid w:type="lines" w:linePitch="319" w:charSpace="0"/>
        </w:sectPr>
      </w:pPr>
    </w:p>
    <w:p>
      <w:pPr>
        <w:adjustRightInd w:val="0"/>
        <w:snapToGrid w:val="0"/>
        <w:spacing w:line="360" w:lineRule="auto"/>
        <w:ind w:right="24"/>
        <w:jc w:val="center"/>
        <w:outlineLvl w:val="1"/>
        <w:rPr>
          <w:rFonts w:ascii="宋体" w:hAnsi="宋体" w:cs="宋体"/>
          <w:b/>
          <w:sz w:val="32"/>
          <w:szCs w:val="32"/>
        </w:rPr>
      </w:pPr>
      <w:bookmarkStart w:id="134" w:name="_Toc22739"/>
      <w:bookmarkStart w:id="135" w:name="_Toc9077"/>
      <w:bookmarkStart w:id="136" w:name="_Toc27585"/>
      <w:bookmarkStart w:id="137" w:name="_Toc15234"/>
      <w:bookmarkStart w:id="138" w:name="_Toc27918"/>
      <w:r>
        <w:rPr>
          <w:rFonts w:hint="eastAsia" w:ascii="宋体" w:hAnsi="宋体" w:cs="宋体"/>
          <w:b/>
          <w:sz w:val="32"/>
          <w:szCs w:val="32"/>
          <w:lang w:val="en-US" w:eastAsia="zh-CN"/>
        </w:rPr>
        <w:t>八</w:t>
      </w:r>
      <w:r>
        <w:rPr>
          <w:rFonts w:hint="eastAsia" w:ascii="宋体" w:hAnsi="宋体" w:cs="宋体"/>
          <w:b/>
          <w:sz w:val="32"/>
          <w:szCs w:val="32"/>
        </w:rPr>
        <w:t>、其他资料</w:t>
      </w:r>
      <w:bookmarkEnd w:id="134"/>
      <w:bookmarkEnd w:id="135"/>
      <w:bookmarkEnd w:id="136"/>
      <w:r>
        <w:rPr>
          <w:rFonts w:hint="eastAsia" w:ascii="宋体" w:hAnsi="宋体" w:cs="宋体"/>
          <w:b/>
          <w:sz w:val="32"/>
          <w:szCs w:val="32"/>
        </w:rPr>
        <w:t>（如有）</w:t>
      </w:r>
      <w:bookmarkEnd w:id="137"/>
      <w:bookmarkEnd w:id="138"/>
    </w:p>
    <w:p>
      <w:pPr>
        <w:adjustRightInd w:val="0"/>
        <w:snapToGrid w:val="0"/>
        <w:spacing w:before="159" w:beforeLines="50" w:line="360" w:lineRule="auto"/>
        <w:ind w:firstLine="420" w:firstLineChars="200"/>
        <w:jc w:val="left"/>
        <w:rPr>
          <w:rFonts w:ascii="宋体" w:hAnsi="宋体"/>
          <w:szCs w:val="21"/>
        </w:rPr>
      </w:pPr>
      <w:bookmarkStart w:id="139" w:name="_Toc10648"/>
      <w:bookmarkStart w:id="140" w:name="_Toc5412"/>
      <w:bookmarkStart w:id="141" w:name="_Toc18188"/>
      <w:bookmarkStart w:id="142" w:name="_Toc22084"/>
      <w:r>
        <w:rPr>
          <w:rFonts w:hint="eastAsia" w:ascii="宋体" w:hAnsi="宋体"/>
          <w:szCs w:val="21"/>
        </w:rPr>
        <w:t>谈判单位认为需要提供的其他</w:t>
      </w:r>
      <w:r>
        <w:rPr>
          <w:rFonts w:hint="eastAsia" w:ascii="宋体" w:hAnsi="宋体"/>
          <w:color w:val="auto"/>
          <w:szCs w:val="21"/>
        </w:rPr>
        <w:t>谈判</w:t>
      </w:r>
      <w:r>
        <w:rPr>
          <w:rFonts w:hint="eastAsia" w:ascii="宋体" w:hAnsi="宋体"/>
          <w:szCs w:val="21"/>
        </w:rPr>
        <w:t>资料，格式自拟。</w:t>
      </w:r>
      <w:bookmarkEnd w:id="139"/>
      <w:bookmarkEnd w:id="140"/>
      <w:bookmarkEnd w:id="141"/>
      <w:bookmarkEnd w:id="142"/>
    </w:p>
    <w:sectPr>
      <w:pgSz w:w="11906" w:h="16838"/>
      <w:pgMar w:top="2098" w:right="1474" w:bottom="1984" w:left="158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宋体 ( 正文 )">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p>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G99MEBAACP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k5FrQLg9Jixc+smoI9RUDOdUGE07lRfh8b1kPfxH2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5EG99MEBAACPAwAADgAAAAAAAAABACAAAAAeAQAAZHJzL2Uyb0RvYy54bWxQSwUG&#10;AAAAAAYABgBZAQAAUQUAAAAA&#10;">
              <v:fill on="f" focussize="0,0"/>
              <v:stroke on="f"/>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AC4CA"/>
    <w:multiLevelType w:val="singleLevel"/>
    <w:tmpl w:val="8EBAC4CA"/>
    <w:lvl w:ilvl="0" w:tentative="0">
      <w:start w:val="1"/>
      <w:numFmt w:val="chineseCounting"/>
      <w:suff w:val="space"/>
      <w:lvlText w:val="第%1章"/>
      <w:lvlJc w:val="left"/>
      <w:rPr>
        <w:rFonts w:hint="eastAsia"/>
      </w:rPr>
    </w:lvl>
  </w:abstractNum>
  <w:abstractNum w:abstractNumId="1">
    <w:nsid w:val="A7F69D74"/>
    <w:multiLevelType w:val="singleLevel"/>
    <w:tmpl w:val="A7F69D74"/>
    <w:lvl w:ilvl="0" w:tentative="0">
      <w:start w:val="1"/>
      <w:numFmt w:val="decimal"/>
      <w:suff w:val="nothing"/>
      <w:lvlText w:val="%1．"/>
      <w:lvlJc w:val="left"/>
      <w:pPr>
        <w:ind w:left="0" w:firstLine="400"/>
      </w:pPr>
      <w:rPr>
        <w:rFonts w:hint="default"/>
      </w:rPr>
    </w:lvl>
  </w:abstractNum>
  <w:abstractNum w:abstractNumId="2">
    <w:nsid w:val="AF42D0C1"/>
    <w:multiLevelType w:val="singleLevel"/>
    <w:tmpl w:val="AF42D0C1"/>
    <w:lvl w:ilvl="0" w:tentative="0">
      <w:start w:val="1"/>
      <w:numFmt w:val="decimal"/>
      <w:lvlText w:val="(%1)"/>
      <w:lvlJc w:val="left"/>
      <w:pPr>
        <w:ind w:left="425" w:hanging="425"/>
      </w:pPr>
      <w:rPr>
        <w:rFonts w:hint="default"/>
      </w:rPr>
    </w:lvl>
  </w:abstractNum>
  <w:abstractNum w:abstractNumId="3">
    <w:nsid w:val="B2B2FE05"/>
    <w:multiLevelType w:val="singleLevel"/>
    <w:tmpl w:val="B2B2FE05"/>
    <w:lvl w:ilvl="0" w:tentative="0">
      <w:start w:val="1"/>
      <w:numFmt w:val="decimal"/>
      <w:suff w:val="nothing"/>
      <w:lvlText w:val="%1．"/>
      <w:lvlJc w:val="left"/>
      <w:pPr>
        <w:ind w:left="0" w:firstLine="400"/>
      </w:pPr>
      <w:rPr>
        <w:rFonts w:hint="default"/>
      </w:rPr>
    </w:lvl>
  </w:abstractNum>
  <w:abstractNum w:abstractNumId="4">
    <w:nsid w:val="C29E6077"/>
    <w:multiLevelType w:val="singleLevel"/>
    <w:tmpl w:val="C29E6077"/>
    <w:lvl w:ilvl="0" w:tentative="0">
      <w:start w:val="1"/>
      <w:numFmt w:val="decimal"/>
      <w:lvlText w:val="(%1)"/>
      <w:lvlJc w:val="left"/>
      <w:pPr>
        <w:ind w:left="425" w:hanging="425"/>
      </w:pPr>
      <w:rPr>
        <w:rFonts w:hint="default"/>
      </w:rPr>
    </w:lvl>
  </w:abstractNum>
  <w:abstractNum w:abstractNumId="5">
    <w:nsid w:val="D3285168"/>
    <w:multiLevelType w:val="singleLevel"/>
    <w:tmpl w:val="D3285168"/>
    <w:lvl w:ilvl="0" w:tentative="0">
      <w:start w:val="1"/>
      <w:numFmt w:val="decimal"/>
      <w:suff w:val="nothing"/>
      <w:lvlText w:val="%1．"/>
      <w:lvlJc w:val="left"/>
      <w:pPr>
        <w:ind w:left="0" w:firstLine="400"/>
      </w:pPr>
      <w:rPr>
        <w:rFonts w:hint="default"/>
      </w:rPr>
    </w:lvl>
  </w:abstractNum>
  <w:abstractNum w:abstractNumId="6">
    <w:nsid w:val="F0D0D4C7"/>
    <w:multiLevelType w:val="singleLevel"/>
    <w:tmpl w:val="F0D0D4C7"/>
    <w:lvl w:ilvl="0" w:tentative="0">
      <w:start w:val="7"/>
      <w:numFmt w:val="chineseCounting"/>
      <w:suff w:val="nothing"/>
      <w:lvlText w:val="%1、"/>
      <w:lvlJc w:val="left"/>
      <w:rPr>
        <w:rFonts w:hint="eastAsia"/>
      </w:rPr>
    </w:lvl>
  </w:abstractNum>
  <w:abstractNum w:abstractNumId="7">
    <w:nsid w:val="F6733FC5"/>
    <w:multiLevelType w:val="singleLevel"/>
    <w:tmpl w:val="F6733FC5"/>
    <w:lvl w:ilvl="0" w:tentative="0">
      <w:start w:val="1"/>
      <w:numFmt w:val="decimal"/>
      <w:suff w:val="nothing"/>
      <w:lvlText w:val="%1．"/>
      <w:lvlJc w:val="left"/>
      <w:pPr>
        <w:ind w:left="0" w:firstLine="400"/>
      </w:pPr>
      <w:rPr>
        <w:rFonts w:hint="default"/>
      </w:rPr>
    </w:lvl>
  </w:abstractNum>
  <w:abstractNum w:abstractNumId="8">
    <w:nsid w:val="F90AF49E"/>
    <w:multiLevelType w:val="singleLevel"/>
    <w:tmpl w:val="F90AF49E"/>
    <w:lvl w:ilvl="0" w:tentative="0">
      <w:start w:val="1"/>
      <w:numFmt w:val="decimal"/>
      <w:suff w:val="nothing"/>
      <w:lvlText w:val="%1．"/>
      <w:lvlJc w:val="left"/>
      <w:pPr>
        <w:ind w:left="0" w:firstLine="400"/>
      </w:pPr>
      <w:rPr>
        <w:rFonts w:hint="default"/>
      </w:rPr>
    </w:lvl>
  </w:abstractNum>
  <w:abstractNum w:abstractNumId="9">
    <w:nsid w:val="FE293A88"/>
    <w:multiLevelType w:val="singleLevel"/>
    <w:tmpl w:val="FE293A88"/>
    <w:lvl w:ilvl="0" w:tentative="0">
      <w:start w:val="3"/>
      <w:numFmt w:val="chineseCounting"/>
      <w:pStyle w:val="359"/>
      <w:suff w:val="nothing"/>
      <w:lvlText w:val="%1、"/>
      <w:lvlJc w:val="left"/>
      <w:rPr>
        <w:rFonts w:hint="eastAsia"/>
      </w:rPr>
    </w:lvl>
  </w:abstractNum>
  <w:abstractNum w:abstractNumId="10">
    <w:nsid w:val="00000006"/>
    <w:multiLevelType w:val="multilevel"/>
    <w:tmpl w:val="00000006"/>
    <w:lvl w:ilvl="0" w:tentative="0">
      <w:start w:val="1"/>
      <w:numFmt w:val="decimal"/>
      <w:pStyle w:val="247"/>
      <w:lvlText w:val="%1"/>
      <w:lvlJc w:val="left"/>
      <w:pPr>
        <w:tabs>
          <w:tab w:val="left" w:pos="2238"/>
        </w:tabs>
        <w:ind w:left="2238" w:hanging="432"/>
      </w:pPr>
      <w:rPr>
        <w:rFonts w:hint="default"/>
        <w:u w:val="none"/>
      </w:rPr>
    </w:lvl>
    <w:lvl w:ilvl="1" w:tentative="0">
      <w:start w:val="1"/>
      <w:numFmt w:val="decimal"/>
      <w:pStyle w:val="323"/>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11">
    <w:nsid w:val="0B70834F"/>
    <w:multiLevelType w:val="singleLevel"/>
    <w:tmpl w:val="0B70834F"/>
    <w:lvl w:ilvl="0" w:tentative="0">
      <w:start w:val="1"/>
      <w:numFmt w:val="decimal"/>
      <w:suff w:val="nothing"/>
      <w:lvlText w:val="%1．"/>
      <w:lvlJc w:val="left"/>
      <w:pPr>
        <w:ind w:left="0" w:firstLine="400"/>
      </w:pPr>
      <w:rPr>
        <w:rFonts w:hint="default"/>
      </w:rPr>
    </w:lvl>
  </w:abstractNum>
  <w:abstractNum w:abstractNumId="12">
    <w:nsid w:val="0BEDCE8E"/>
    <w:multiLevelType w:val="singleLevel"/>
    <w:tmpl w:val="0BEDCE8E"/>
    <w:lvl w:ilvl="0" w:tentative="0">
      <w:start w:val="1"/>
      <w:numFmt w:val="decimal"/>
      <w:suff w:val="nothing"/>
      <w:lvlText w:val="%1．"/>
      <w:lvlJc w:val="left"/>
      <w:pPr>
        <w:ind w:left="0" w:firstLine="400"/>
      </w:pPr>
      <w:rPr>
        <w:rFonts w:hint="default"/>
      </w:rPr>
    </w:lvl>
  </w:abstractNum>
  <w:abstractNum w:abstractNumId="13">
    <w:nsid w:val="0D1516BE"/>
    <w:multiLevelType w:val="multilevel"/>
    <w:tmpl w:val="0D1516BE"/>
    <w:lvl w:ilvl="0" w:tentative="0">
      <w:start w:val="1"/>
      <w:numFmt w:val="chineseCountingThousand"/>
      <w:pStyle w:val="363"/>
      <w:suff w:val="space"/>
      <w:lvlText w:val="(%1)"/>
      <w:lvlJc w:val="left"/>
      <w:pPr>
        <w:ind w:left="640" w:firstLine="0"/>
      </w:pPr>
      <w:rPr>
        <w:rFonts w:hint="eastAsia" w:ascii="楷体_GB2312" w:eastAsia="楷体_GB2312"/>
        <w:sz w:val="32"/>
        <w:szCs w:val="32"/>
      </w:rPr>
    </w:lvl>
    <w:lvl w:ilvl="1" w:tentative="0">
      <w:start w:val="1"/>
      <w:numFmt w:val="lowerLetter"/>
      <w:pStyle w:val="358"/>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4">
    <w:nsid w:val="16516015"/>
    <w:multiLevelType w:val="multilevel"/>
    <w:tmpl w:val="16516015"/>
    <w:lvl w:ilvl="0" w:tentative="0">
      <w:start w:val="1"/>
      <w:numFmt w:val="chineseCountingThousand"/>
      <w:pStyle w:val="361"/>
      <w:suff w:val="space"/>
      <w:lvlText w:val="(%1)"/>
      <w:lvlJc w:val="left"/>
      <w:pPr>
        <w:ind w:left="0" w:firstLine="0"/>
      </w:pPr>
      <w:rPr>
        <w:rFonts w:hint="eastAsia" w:ascii="楷体_GB2312" w:eastAsia="楷体_GB2312"/>
        <w:sz w:val="32"/>
        <w:szCs w:val="32"/>
      </w:rPr>
    </w:lvl>
    <w:lvl w:ilvl="1" w:tentative="0">
      <w:start w:val="1"/>
      <w:numFmt w:val="lowerLetter"/>
      <w:pStyle w:val="360"/>
      <w:lvlText w:val="%2)"/>
      <w:lvlJc w:val="left"/>
      <w:pPr>
        <w:ind w:left="840" w:hanging="420"/>
      </w:pPr>
    </w:lvl>
    <w:lvl w:ilvl="2" w:tentative="0">
      <w:start w:val="1"/>
      <w:numFmt w:val="lowerRoman"/>
      <w:pStyle w:val="362"/>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69FB15F"/>
    <w:multiLevelType w:val="singleLevel"/>
    <w:tmpl w:val="269FB15F"/>
    <w:lvl w:ilvl="0" w:tentative="0">
      <w:start w:val="1"/>
      <w:numFmt w:val="chineseCounting"/>
      <w:suff w:val="nothing"/>
      <w:lvlText w:val="%1、"/>
      <w:lvlJc w:val="left"/>
      <w:pPr>
        <w:ind w:left="0" w:firstLine="420"/>
      </w:pPr>
      <w:rPr>
        <w:rFonts w:hint="eastAsia"/>
      </w:rPr>
    </w:lvl>
  </w:abstractNum>
  <w:abstractNum w:abstractNumId="16">
    <w:nsid w:val="28838A2B"/>
    <w:multiLevelType w:val="singleLevel"/>
    <w:tmpl w:val="28838A2B"/>
    <w:lvl w:ilvl="0" w:tentative="0">
      <w:start w:val="1"/>
      <w:numFmt w:val="chineseCounting"/>
      <w:suff w:val="nothing"/>
      <w:lvlText w:val="%1、"/>
      <w:lvlJc w:val="left"/>
      <w:pPr>
        <w:ind w:left="0" w:firstLine="420"/>
      </w:pPr>
      <w:rPr>
        <w:rFonts w:hint="eastAsia"/>
      </w:rPr>
    </w:lvl>
  </w:abstractNum>
  <w:abstractNum w:abstractNumId="17">
    <w:nsid w:val="5B7454C8"/>
    <w:multiLevelType w:val="singleLevel"/>
    <w:tmpl w:val="5B7454C8"/>
    <w:lvl w:ilvl="0" w:tentative="0">
      <w:start w:val="1"/>
      <w:numFmt w:val="decimal"/>
      <w:suff w:val="nothing"/>
      <w:lvlText w:val="%1．"/>
      <w:lvlJc w:val="left"/>
      <w:pPr>
        <w:ind w:left="0" w:firstLine="400"/>
      </w:pPr>
      <w:rPr>
        <w:rFonts w:hint="default"/>
      </w:rPr>
    </w:lvl>
  </w:abstractNum>
  <w:abstractNum w:abstractNumId="18">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4"/>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10"/>
  </w:num>
  <w:num w:numId="2">
    <w:abstractNumId w:val="13"/>
  </w:num>
  <w:num w:numId="3">
    <w:abstractNumId w:val="9"/>
  </w:num>
  <w:num w:numId="4">
    <w:abstractNumId w:val="14"/>
  </w:num>
  <w:num w:numId="5">
    <w:abstractNumId w:val="18"/>
  </w:num>
  <w:num w:numId="6">
    <w:abstractNumId w:val="0"/>
  </w:num>
  <w:num w:numId="7">
    <w:abstractNumId w:val="15"/>
  </w:num>
  <w:num w:numId="8">
    <w:abstractNumId w:val="3"/>
  </w:num>
  <w:num w:numId="9">
    <w:abstractNumId w:val="8"/>
  </w:num>
  <w:num w:numId="10">
    <w:abstractNumId w:val="11"/>
  </w:num>
  <w:num w:numId="11">
    <w:abstractNumId w:val="12"/>
  </w:num>
  <w:num w:numId="12">
    <w:abstractNumId w:val="2"/>
  </w:num>
  <w:num w:numId="13">
    <w:abstractNumId w:val="7"/>
  </w:num>
  <w:num w:numId="14">
    <w:abstractNumId w:val="1"/>
  </w:num>
  <w:num w:numId="15">
    <w:abstractNumId w:val="5"/>
  </w:num>
  <w:num w:numId="16">
    <w:abstractNumId w:val="4"/>
  </w:num>
  <w:num w:numId="17">
    <w:abstractNumId w:val="16"/>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lNjNjMjM0ZmY4NzJiZmUzZjliYmY1OTE4ODk4YjEifQ=="/>
  </w:docVars>
  <w:rsids>
    <w:rsidRoot w:val="00172A27"/>
    <w:rsid w:val="00005EC9"/>
    <w:rsid w:val="00006D21"/>
    <w:rsid w:val="00016902"/>
    <w:rsid w:val="000274C6"/>
    <w:rsid w:val="00052640"/>
    <w:rsid w:val="00063D15"/>
    <w:rsid w:val="00074928"/>
    <w:rsid w:val="00091C9D"/>
    <w:rsid w:val="000C106E"/>
    <w:rsid w:val="000C21C5"/>
    <w:rsid w:val="000E0193"/>
    <w:rsid w:val="000E7968"/>
    <w:rsid w:val="000F4DE1"/>
    <w:rsid w:val="00115FE6"/>
    <w:rsid w:val="00116BAE"/>
    <w:rsid w:val="001453A1"/>
    <w:rsid w:val="00162D59"/>
    <w:rsid w:val="00172A27"/>
    <w:rsid w:val="00186162"/>
    <w:rsid w:val="0019086A"/>
    <w:rsid w:val="001C23BF"/>
    <w:rsid w:val="001D6D72"/>
    <w:rsid w:val="001E02FE"/>
    <w:rsid w:val="002067E8"/>
    <w:rsid w:val="002069C8"/>
    <w:rsid w:val="002117C9"/>
    <w:rsid w:val="002139EB"/>
    <w:rsid w:val="0022188F"/>
    <w:rsid w:val="00222DFA"/>
    <w:rsid w:val="00230A1A"/>
    <w:rsid w:val="002314A3"/>
    <w:rsid w:val="002371E9"/>
    <w:rsid w:val="00237FEC"/>
    <w:rsid w:val="002504FF"/>
    <w:rsid w:val="002523FD"/>
    <w:rsid w:val="0025312F"/>
    <w:rsid w:val="00255546"/>
    <w:rsid w:val="00286014"/>
    <w:rsid w:val="002B1D56"/>
    <w:rsid w:val="002F262C"/>
    <w:rsid w:val="00306794"/>
    <w:rsid w:val="003102A2"/>
    <w:rsid w:val="003268C0"/>
    <w:rsid w:val="00331810"/>
    <w:rsid w:val="003469C0"/>
    <w:rsid w:val="00372ECC"/>
    <w:rsid w:val="00375CC4"/>
    <w:rsid w:val="00380064"/>
    <w:rsid w:val="00381105"/>
    <w:rsid w:val="00381BB4"/>
    <w:rsid w:val="003958B2"/>
    <w:rsid w:val="0039632C"/>
    <w:rsid w:val="003B1109"/>
    <w:rsid w:val="003D080C"/>
    <w:rsid w:val="003D6204"/>
    <w:rsid w:val="003F46A7"/>
    <w:rsid w:val="004014FD"/>
    <w:rsid w:val="004129B9"/>
    <w:rsid w:val="00423B85"/>
    <w:rsid w:val="004263EB"/>
    <w:rsid w:val="00426543"/>
    <w:rsid w:val="00453EE9"/>
    <w:rsid w:val="0045503A"/>
    <w:rsid w:val="0046304B"/>
    <w:rsid w:val="00473865"/>
    <w:rsid w:val="0048093D"/>
    <w:rsid w:val="00495DBC"/>
    <w:rsid w:val="00495F57"/>
    <w:rsid w:val="004978CA"/>
    <w:rsid w:val="004B3D80"/>
    <w:rsid w:val="004B41B1"/>
    <w:rsid w:val="00500B91"/>
    <w:rsid w:val="00504DED"/>
    <w:rsid w:val="00526589"/>
    <w:rsid w:val="00545140"/>
    <w:rsid w:val="0055214F"/>
    <w:rsid w:val="005556A5"/>
    <w:rsid w:val="0056117D"/>
    <w:rsid w:val="0056143E"/>
    <w:rsid w:val="005837A3"/>
    <w:rsid w:val="0058523E"/>
    <w:rsid w:val="0058754B"/>
    <w:rsid w:val="005C688B"/>
    <w:rsid w:val="005E6BBB"/>
    <w:rsid w:val="005F037B"/>
    <w:rsid w:val="005F4513"/>
    <w:rsid w:val="00607C42"/>
    <w:rsid w:val="00641E72"/>
    <w:rsid w:val="00642B10"/>
    <w:rsid w:val="00654D1D"/>
    <w:rsid w:val="0066697A"/>
    <w:rsid w:val="00677C6C"/>
    <w:rsid w:val="0068504A"/>
    <w:rsid w:val="0068515F"/>
    <w:rsid w:val="00687C87"/>
    <w:rsid w:val="006B467A"/>
    <w:rsid w:val="006B6300"/>
    <w:rsid w:val="006D0A13"/>
    <w:rsid w:val="006E025D"/>
    <w:rsid w:val="006F5FAC"/>
    <w:rsid w:val="00707592"/>
    <w:rsid w:val="0070784A"/>
    <w:rsid w:val="00730CC6"/>
    <w:rsid w:val="00740D0D"/>
    <w:rsid w:val="007656DC"/>
    <w:rsid w:val="007821C6"/>
    <w:rsid w:val="0078370F"/>
    <w:rsid w:val="00787C0E"/>
    <w:rsid w:val="00793ABB"/>
    <w:rsid w:val="0079784E"/>
    <w:rsid w:val="007D0446"/>
    <w:rsid w:val="007F3811"/>
    <w:rsid w:val="00802770"/>
    <w:rsid w:val="0081382B"/>
    <w:rsid w:val="00820369"/>
    <w:rsid w:val="0084147A"/>
    <w:rsid w:val="00842E06"/>
    <w:rsid w:val="0084367C"/>
    <w:rsid w:val="008511F3"/>
    <w:rsid w:val="00864C78"/>
    <w:rsid w:val="008B6242"/>
    <w:rsid w:val="008C7C9F"/>
    <w:rsid w:val="008D7CB4"/>
    <w:rsid w:val="00901FFA"/>
    <w:rsid w:val="00915948"/>
    <w:rsid w:val="00923E97"/>
    <w:rsid w:val="009407F4"/>
    <w:rsid w:val="009955C7"/>
    <w:rsid w:val="009A0679"/>
    <w:rsid w:val="009A5642"/>
    <w:rsid w:val="009B5270"/>
    <w:rsid w:val="009C10AF"/>
    <w:rsid w:val="009D41D7"/>
    <w:rsid w:val="009D7D4A"/>
    <w:rsid w:val="009E03FD"/>
    <w:rsid w:val="009E2384"/>
    <w:rsid w:val="00A34DC1"/>
    <w:rsid w:val="00A41E73"/>
    <w:rsid w:val="00A46FA2"/>
    <w:rsid w:val="00A618F2"/>
    <w:rsid w:val="00A61CCE"/>
    <w:rsid w:val="00A92B7C"/>
    <w:rsid w:val="00AA1709"/>
    <w:rsid w:val="00AA21B6"/>
    <w:rsid w:val="00AB013C"/>
    <w:rsid w:val="00AC26D2"/>
    <w:rsid w:val="00AD758B"/>
    <w:rsid w:val="00AF11ED"/>
    <w:rsid w:val="00B01BA0"/>
    <w:rsid w:val="00B2613B"/>
    <w:rsid w:val="00B32406"/>
    <w:rsid w:val="00B74689"/>
    <w:rsid w:val="00B82298"/>
    <w:rsid w:val="00B832A9"/>
    <w:rsid w:val="00B92FA2"/>
    <w:rsid w:val="00BD47EB"/>
    <w:rsid w:val="00BD51DE"/>
    <w:rsid w:val="00BE15B5"/>
    <w:rsid w:val="00C0069B"/>
    <w:rsid w:val="00C1468A"/>
    <w:rsid w:val="00C20479"/>
    <w:rsid w:val="00C21D69"/>
    <w:rsid w:val="00C24579"/>
    <w:rsid w:val="00C26D33"/>
    <w:rsid w:val="00C34E11"/>
    <w:rsid w:val="00C532E5"/>
    <w:rsid w:val="00C57914"/>
    <w:rsid w:val="00C6008B"/>
    <w:rsid w:val="00C668B4"/>
    <w:rsid w:val="00C758E3"/>
    <w:rsid w:val="00C84172"/>
    <w:rsid w:val="00CB534B"/>
    <w:rsid w:val="00CE51F2"/>
    <w:rsid w:val="00CE631C"/>
    <w:rsid w:val="00CE703D"/>
    <w:rsid w:val="00CF0192"/>
    <w:rsid w:val="00CF040C"/>
    <w:rsid w:val="00D069C6"/>
    <w:rsid w:val="00D164FE"/>
    <w:rsid w:val="00D31733"/>
    <w:rsid w:val="00D40D79"/>
    <w:rsid w:val="00D43330"/>
    <w:rsid w:val="00D45708"/>
    <w:rsid w:val="00D6362F"/>
    <w:rsid w:val="00D84A7F"/>
    <w:rsid w:val="00D95761"/>
    <w:rsid w:val="00D958E3"/>
    <w:rsid w:val="00DA51BD"/>
    <w:rsid w:val="00DE5673"/>
    <w:rsid w:val="00DF363F"/>
    <w:rsid w:val="00E24889"/>
    <w:rsid w:val="00E32EEF"/>
    <w:rsid w:val="00E342DB"/>
    <w:rsid w:val="00E5084D"/>
    <w:rsid w:val="00E74692"/>
    <w:rsid w:val="00E761DC"/>
    <w:rsid w:val="00E77817"/>
    <w:rsid w:val="00E944EE"/>
    <w:rsid w:val="00EC7F43"/>
    <w:rsid w:val="00EF6911"/>
    <w:rsid w:val="00F00894"/>
    <w:rsid w:val="00F02213"/>
    <w:rsid w:val="00F175B5"/>
    <w:rsid w:val="00F338DB"/>
    <w:rsid w:val="00F37996"/>
    <w:rsid w:val="00F410E0"/>
    <w:rsid w:val="00F52B22"/>
    <w:rsid w:val="00F579E9"/>
    <w:rsid w:val="00FA17B5"/>
    <w:rsid w:val="00FA6734"/>
    <w:rsid w:val="00FE331E"/>
    <w:rsid w:val="00FE3699"/>
    <w:rsid w:val="00FE6AFF"/>
    <w:rsid w:val="011E3D92"/>
    <w:rsid w:val="0123584C"/>
    <w:rsid w:val="01375331"/>
    <w:rsid w:val="01403F6F"/>
    <w:rsid w:val="014D6F55"/>
    <w:rsid w:val="01791910"/>
    <w:rsid w:val="01873122"/>
    <w:rsid w:val="01932790"/>
    <w:rsid w:val="01D94140"/>
    <w:rsid w:val="01EA6EEC"/>
    <w:rsid w:val="01F95304"/>
    <w:rsid w:val="01FA47FF"/>
    <w:rsid w:val="021B19D1"/>
    <w:rsid w:val="02263AD9"/>
    <w:rsid w:val="023870D5"/>
    <w:rsid w:val="024C0DC0"/>
    <w:rsid w:val="02787973"/>
    <w:rsid w:val="02787D91"/>
    <w:rsid w:val="029749D1"/>
    <w:rsid w:val="029A1968"/>
    <w:rsid w:val="02A84E4A"/>
    <w:rsid w:val="02AB7973"/>
    <w:rsid w:val="02BF5617"/>
    <w:rsid w:val="02DF0C01"/>
    <w:rsid w:val="02FB4FEB"/>
    <w:rsid w:val="03190CB5"/>
    <w:rsid w:val="036A7762"/>
    <w:rsid w:val="03727DAF"/>
    <w:rsid w:val="037C1244"/>
    <w:rsid w:val="03C055D4"/>
    <w:rsid w:val="03D41287"/>
    <w:rsid w:val="03F31A5E"/>
    <w:rsid w:val="03F91117"/>
    <w:rsid w:val="03FC0CEA"/>
    <w:rsid w:val="04107C23"/>
    <w:rsid w:val="04240981"/>
    <w:rsid w:val="042B3AFB"/>
    <w:rsid w:val="04EE0D07"/>
    <w:rsid w:val="05031B6B"/>
    <w:rsid w:val="054E6891"/>
    <w:rsid w:val="055967E4"/>
    <w:rsid w:val="057228FE"/>
    <w:rsid w:val="05B01562"/>
    <w:rsid w:val="05BA17D7"/>
    <w:rsid w:val="05CA44E8"/>
    <w:rsid w:val="05DC14A7"/>
    <w:rsid w:val="05E36661"/>
    <w:rsid w:val="05EB6762"/>
    <w:rsid w:val="05F607BC"/>
    <w:rsid w:val="05F777CC"/>
    <w:rsid w:val="061842D1"/>
    <w:rsid w:val="062F07EF"/>
    <w:rsid w:val="067362CB"/>
    <w:rsid w:val="067428EB"/>
    <w:rsid w:val="0676319E"/>
    <w:rsid w:val="067B6F39"/>
    <w:rsid w:val="069C40D7"/>
    <w:rsid w:val="06A765D7"/>
    <w:rsid w:val="06C96275"/>
    <w:rsid w:val="06D118A6"/>
    <w:rsid w:val="06D605B3"/>
    <w:rsid w:val="06F105E4"/>
    <w:rsid w:val="06FA0280"/>
    <w:rsid w:val="07076C16"/>
    <w:rsid w:val="070C68F7"/>
    <w:rsid w:val="071C6A43"/>
    <w:rsid w:val="071F0B70"/>
    <w:rsid w:val="072B22BC"/>
    <w:rsid w:val="074C43F1"/>
    <w:rsid w:val="07650D5D"/>
    <w:rsid w:val="076619FA"/>
    <w:rsid w:val="07A76048"/>
    <w:rsid w:val="07B16F85"/>
    <w:rsid w:val="07C94578"/>
    <w:rsid w:val="07F615C4"/>
    <w:rsid w:val="08232382"/>
    <w:rsid w:val="08246E93"/>
    <w:rsid w:val="082F5114"/>
    <w:rsid w:val="083D23B2"/>
    <w:rsid w:val="08534C69"/>
    <w:rsid w:val="086136BB"/>
    <w:rsid w:val="08786792"/>
    <w:rsid w:val="08807627"/>
    <w:rsid w:val="08832554"/>
    <w:rsid w:val="0896057A"/>
    <w:rsid w:val="089F6734"/>
    <w:rsid w:val="08D54CEA"/>
    <w:rsid w:val="08FC61FE"/>
    <w:rsid w:val="093252EE"/>
    <w:rsid w:val="09422E59"/>
    <w:rsid w:val="094A4EE7"/>
    <w:rsid w:val="0959407C"/>
    <w:rsid w:val="095E38C5"/>
    <w:rsid w:val="097D1C20"/>
    <w:rsid w:val="098552EA"/>
    <w:rsid w:val="098A3350"/>
    <w:rsid w:val="09A23D38"/>
    <w:rsid w:val="09AB154E"/>
    <w:rsid w:val="09B259BF"/>
    <w:rsid w:val="0A0A57FB"/>
    <w:rsid w:val="0A0F1CA7"/>
    <w:rsid w:val="0A2948BE"/>
    <w:rsid w:val="0A316A36"/>
    <w:rsid w:val="0A451CA7"/>
    <w:rsid w:val="0A57416B"/>
    <w:rsid w:val="0A5B6057"/>
    <w:rsid w:val="0A6F1B02"/>
    <w:rsid w:val="0A8258AD"/>
    <w:rsid w:val="0AA7304A"/>
    <w:rsid w:val="0AE15667"/>
    <w:rsid w:val="0AE24958"/>
    <w:rsid w:val="0AF46E84"/>
    <w:rsid w:val="0AF74A1D"/>
    <w:rsid w:val="0B254E0F"/>
    <w:rsid w:val="0B2D2864"/>
    <w:rsid w:val="0B4432D5"/>
    <w:rsid w:val="0B590F4A"/>
    <w:rsid w:val="0B8511E8"/>
    <w:rsid w:val="0B8E420A"/>
    <w:rsid w:val="0BA81653"/>
    <w:rsid w:val="0BAA700E"/>
    <w:rsid w:val="0BD7795F"/>
    <w:rsid w:val="0BEB10E2"/>
    <w:rsid w:val="0C1A66D1"/>
    <w:rsid w:val="0C411CD0"/>
    <w:rsid w:val="0C596A1F"/>
    <w:rsid w:val="0C5B1FA9"/>
    <w:rsid w:val="0C8E4136"/>
    <w:rsid w:val="0CA062F8"/>
    <w:rsid w:val="0CED2457"/>
    <w:rsid w:val="0D165872"/>
    <w:rsid w:val="0D232FE9"/>
    <w:rsid w:val="0D2C1377"/>
    <w:rsid w:val="0D301CA7"/>
    <w:rsid w:val="0D5C5AB2"/>
    <w:rsid w:val="0D614F04"/>
    <w:rsid w:val="0D691927"/>
    <w:rsid w:val="0D6A4C3D"/>
    <w:rsid w:val="0D6B79A8"/>
    <w:rsid w:val="0D894C89"/>
    <w:rsid w:val="0D904269"/>
    <w:rsid w:val="0DB37F58"/>
    <w:rsid w:val="0DBD7268"/>
    <w:rsid w:val="0DCC335E"/>
    <w:rsid w:val="0DF87606"/>
    <w:rsid w:val="0E04554D"/>
    <w:rsid w:val="0E0C0187"/>
    <w:rsid w:val="0E197CD6"/>
    <w:rsid w:val="0E3C619F"/>
    <w:rsid w:val="0E4137B5"/>
    <w:rsid w:val="0E720AFA"/>
    <w:rsid w:val="0E760DED"/>
    <w:rsid w:val="0E94477A"/>
    <w:rsid w:val="0EA93835"/>
    <w:rsid w:val="0EBC2000"/>
    <w:rsid w:val="0EE07C71"/>
    <w:rsid w:val="0F143C2E"/>
    <w:rsid w:val="0F340DCE"/>
    <w:rsid w:val="0F3918CC"/>
    <w:rsid w:val="0F397095"/>
    <w:rsid w:val="0F4006B3"/>
    <w:rsid w:val="0F904BE6"/>
    <w:rsid w:val="0FB64C56"/>
    <w:rsid w:val="0FD663C6"/>
    <w:rsid w:val="0FEA3549"/>
    <w:rsid w:val="0FED06EC"/>
    <w:rsid w:val="0FF52AA9"/>
    <w:rsid w:val="10044A9B"/>
    <w:rsid w:val="1008523D"/>
    <w:rsid w:val="10190CBD"/>
    <w:rsid w:val="102D14D1"/>
    <w:rsid w:val="103A56ED"/>
    <w:rsid w:val="105F6F02"/>
    <w:rsid w:val="106119F9"/>
    <w:rsid w:val="108711C7"/>
    <w:rsid w:val="10A05079"/>
    <w:rsid w:val="10A34515"/>
    <w:rsid w:val="10BB784F"/>
    <w:rsid w:val="10D355A2"/>
    <w:rsid w:val="1102722C"/>
    <w:rsid w:val="113118BF"/>
    <w:rsid w:val="11342822"/>
    <w:rsid w:val="11627CCB"/>
    <w:rsid w:val="1165541F"/>
    <w:rsid w:val="117935E0"/>
    <w:rsid w:val="118640B3"/>
    <w:rsid w:val="11FB35F8"/>
    <w:rsid w:val="121F52D5"/>
    <w:rsid w:val="12321665"/>
    <w:rsid w:val="123C49C0"/>
    <w:rsid w:val="124273CB"/>
    <w:rsid w:val="12440908"/>
    <w:rsid w:val="12492C39"/>
    <w:rsid w:val="125862DF"/>
    <w:rsid w:val="126741BF"/>
    <w:rsid w:val="126C7EC0"/>
    <w:rsid w:val="1277417D"/>
    <w:rsid w:val="12BE7F96"/>
    <w:rsid w:val="12E70400"/>
    <w:rsid w:val="12F068F7"/>
    <w:rsid w:val="12F745E0"/>
    <w:rsid w:val="12F96D8F"/>
    <w:rsid w:val="1319085D"/>
    <w:rsid w:val="13286CF2"/>
    <w:rsid w:val="13294F44"/>
    <w:rsid w:val="133B07D3"/>
    <w:rsid w:val="1342515B"/>
    <w:rsid w:val="1356443E"/>
    <w:rsid w:val="135A4326"/>
    <w:rsid w:val="1360694E"/>
    <w:rsid w:val="136253A7"/>
    <w:rsid w:val="136544CD"/>
    <w:rsid w:val="13A72C3B"/>
    <w:rsid w:val="13A934D3"/>
    <w:rsid w:val="13B4150B"/>
    <w:rsid w:val="13C0328F"/>
    <w:rsid w:val="13C719E1"/>
    <w:rsid w:val="13DC2553"/>
    <w:rsid w:val="14215CAB"/>
    <w:rsid w:val="142F3F7D"/>
    <w:rsid w:val="143E367B"/>
    <w:rsid w:val="14760CCE"/>
    <w:rsid w:val="149B2B25"/>
    <w:rsid w:val="149C34F4"/>
    <w:rsid w:val="15007F26"/>
    <w:rsid w:val="15127621"/>
    <w:rsid w:val="15684FD5"/>
    <w:rsid w:val="157939BE"/>
    <w:rsid w:val="158076D1"/>
    <w:rsid w:val="15836462"/>
    <w:rsid w:val="158B1288"/>
    <w:rsid w:val="15B360ED"/>
    <w:rsid w:val="15CA4090"/>
    <w:rsid w:val="15E46AEA"/>
    <w:rsid w:val="15E5196C"/>
    <w:rsid w:val="15F25C65"/>
    <w:rsid w:val="161C194F"/>
    <w:rsid w:val="165805AA"/>
    <w:rsid w:val="167D6633"/>
    <w:rsid w:val="1695644C"/>
    <w:rsid w:val="16A6065A"/>
    <w:rsid w:val="16C7330C"/>
    <w:rsid w:val="16CE41FA"/>
    <w:rsid w:val="16E77616"/>
    <w:rsid w:val="16E80C72"/>
    <w:rsid w:val="16F862E2"/>
    <w:rsid w:val="170B4961"/>
    <w:rsid w:val="172D2B29"/>
    <w:rsid w:val="17374F68"/>
    <w:rsid w:val="176159C8"/>
    <w:rsid w:val="17762075"/>
    <w:rsid w:val="17C50F2C"/>
    <w:rsid w:val="17C57205"/>
    <w:rsid w:val="17CB2366"/>
    <w:rsid w:val="181F4751"/>
    <w:rsid w:val="182E1E5C"/>
    <w:rsid w:val="186407CC"/>
    <w:rsid w:val="1871686D"/>
    <w:rsid w:val="187F73B4"/>
    <w:rsid w:val="188416DE"/>
    <w:rsid w:val="188542AB"/>
    <w:rsid w:val="1888103C"/>
    <w:rsid w:val="18940F06"/>
    <w:rsid w:val="189E1726"/>
    <w:rsid w:val="18AE213F"/>
    <w:rsid w:val="18EF3A7F"/>
    <w:rsid w:val="19024447"/>
    <w:rsid w:val="19160AEA"/>
    <w:rsid w:val="19202945"/>
    <w:rsid w:val="19266EAE"/>
    <w:rsid w:val="193E61A9"/>
    <w:rsid w:val="1977008B"/>
    <w:rsid w:val="19A52E4A"/>
    <w:rsid w:val="19AC41D9"/>
    <w:rsid w:val="19B175FE"/>
    <w:rsid w:val="19BA2DA6"/>
    <w:rsid w:val="19CB3F91"/>
    <w:rsid w:val="19D43730"/>
    <w:rsid w:val="19DE29A1"/>
    <w:rsid w:val="19E17184"/>
    <w:rsid w:val="19E716B5"/>
    <w:rsid w:val="19FB2C3C"/>
    <w:rsid w:val="1A1B5EE6"/>
    <w:rsid w:val="1A351A94"/>
    <w:rsid w:val="1A3B188F"/>
    <w:rsid w:val="1A416618"/>
    <w:rsid w:val="1A4F4961"/>
    <w:rsid w:val="1A527E86"/>
    <w:rsid w:val="1A5F0DA7"/>
    <w:rsid w:val="1A8011C2"/>
    <w:rsid w:val="1A864FC7"/>
    <w:rsid w:val="1A967D50"/>
    <w:rsid w:val="1A970FB3"/>
    <w:rsid w:val="1AAB45F6"/>
    <w:rsid w:val="1AC35813"/>
    <w:rsid w:val="1AC402FB"/>
    <w:rsid w:val="1AC83294"/>
    <w:rsid w:val="1ADC4BA2"/>
    <w:rsid w:val="1AF205C1"/>
    <w:rsid w:val="1AFA5418"/>
    <w:rsid w:val="1B106349"/>
    <w:rsid w:val="1B133EBD"/>
    <w:rsid w:val="1B3F107D"/>
    <w:rsid w:val="1B4628AD"/>
    <w:rsid w:val="1B4A3CA9"/>
    <w:rsid w:val="1B524AC2"/>
    <w:rsid w:val="1B59326E"/>
    <w:rsid w:val="1B791B76"/>
    <w:rsid w:val="1BA82FED"/>
    <w:rsid w:val="1BB6133F"/>
    <w:rsid w:val="1BBD3D34"/>
    <w:rsid w:val="1BBE13E9"/>
    <w:rsid w:val="1BC54211"/>
    <w:rsid w:val="1BCC07FF"/>
    <w:rsid w:val="1BED31A7"/>
    <w:rsid w:val="1C2416AE"/>
    <w:rsid w:val="1C2D03AA"/>
    <w:rsid w:val="1C60574F"/>
    <w:rsid w:val="1C694603"/>
    <w:rsid w:val="1CB3587E"/>
    <w:rsid w:val="1CD56934"/>
    <w:rsid w:val="1CE400B3"/>
    <w:rsid w:val="1CE442E3"/>
    <w:rsid w:val="1D012A8E"/>
    <w:rsid w:val="1D0B7468"/>
    <w:rsid w:val="1D10120A"/>
    <w:rsid w:val="1D1736BA"/>
    <w:rsid w:val="1D2119DA"/>
    <w:rsid w:val="1D2530AE"/>
    <w:rsid w:val="1D383045"/>
    <w:rsid w:val="1D481945"/>
    <w:rsid w:val="1D497F91"/>
    <w:rsid w:val="1D4E6BA1"/>
    <w:rsid w:val="1D6651E0"/>
    <w:rsid w:val="1D7F1E81"/>
    <w:rsid w:val="1D9F6122"/>
    <w:rsid w:val="1DE63A32"/>
    <w:rsid w:val="1DEB189E"/>
    <w:rsid w:val="1E2B1E83"/>
    <w:rsid w:val="1E453774"/>
    <w:rsid w:val="1E58492F"/>
    <w:rsid w:val="1E5B7F7C"/>
    <w:rsid w:val="1E5E5C12"/>
    <w:rsid w:val="1E7277E4"/>
    <w:rsid w:val="1E8D7EC4"/>
    <w:rsid w:val="1E9811D0"/>
    <w:rsid w:val="1EB05FC3"/>
    <w:rsid w:val="1EB06519"/>
    <w:rsid w:val="1EB57C64"/>
    <w:rsid w:val="1EB75293"/>
    <w:rsid w:val="1EDA17E8"/>
    <w:rsid w:val="1EDD61C5"/>
    <w:rsid w:val="1EDE506D"/>
    <w:rsid w:val="1EE456C8"/>
    <w:rsid w:val="1EFA23B0"/>
    <w:rsid w:val="1F1C3BAF"/>
    <w:rsid w:val="1F2F00D5"/>
    <w:rsid w:val="1F3031B6"/>
    <w:rsid w:val="1F375C0D"/>
    <w:rsid w:val="1F3D0CE1"/>
    <w:rsid w:val="1F444EB4"/>
    <w:rsid w:val="1F541C2F"/>
    <w:rsid w:val="1FA00F50"/>
    <w:rsid w:val="1FA7260B"/>
    <w:rsid w:val="1FCC5AE8"/>
    <w:rsid w:val="1FE0333B"/>
    <w:rsid w:val="1FEE3736"/>
    <w:rsid w:val="2034266D"/>
    <w:rsid w:val="20441BF7"/>
    <w:rsid w:val="20567811"/>
    <w:rsid w:val="206472BB"/>
    <w:rsid w:val="207B20B8"/>
    <w:rsid w:val="208F3298"/>
    <w:rsid w:val="20AE2C72"/>
    <w:rsid w:val="20B47E17"/>
    <w:rsid w:val="20C87EE6"/>
    <w:rsid w:val="20DF6696"/>
    <w:rsid w:val="21156537"/>
    <w:rsid w:val="21584C46"/>
    <w:rsid w:val="218469C1"/>
    <w:rsid w:val="21FB6487"/>
    <w:rsid w:val="22511F8F"/>
    <w:rsid w:val="22590C76"/>
    <w:rsid w:val="225B5552"/>
    <w:rsid w:val="22620C72"/>
    <w:rsid w:val="226811CD"/>
    <w:rsid w:val="22753215"/>
    <w:rsid w:val="22754B37"/>
    <w:rsid w:val="22AE5F02"/>
    <w:rsid w:val="22B71369"/>
    <w:rsid w:val="22C70E9C"/>
    <w:rsid w:val="22E54FD6"/>
    <w:rsid w:val="23156267"/>
    <w:rsid w:val="231F3C6E"/>
    <w:rsid w:val="23305E7B"/>
    <w:rsid w:val="23641680"/>
    <w:rsid w:val="23B24AE2"/>
    <w:rsid w:val="23BA37D0"/>
    <w:rsid w:val="23D26F32"/>
    <w:rsid w:val="23F724F4"/>
    <w:rsid w:val="24207C9D"/>
    <w:rsid w:val="2432177F"/>
    <w:rsid w:val="243A6885"/>
    <w:rsid w:val="244A7E06"/>
    <w:rsid w:val="24552B00"/>
    <w:rsid w:val="24582CE4"/>
    <w:rsid w:val="246C3202"/>
    <w:rsid w:val="2483022C"/>
    <w:rsid w:val="24CD7C86"/>
    <w:rsid w:val="250462EA"/>
    <w:rsid w:val="252D7657"/>
    <w:rsid w:val="25355DF2"/>
    <w:rsid w:val="25390605"/>
    <w:rsid w:val="253A3746"/>
    <w:rsid w:val="25671777"/>
    <w:rsid w:val="256C29A0"/>
    <w:rsid w:val="25716113"/>
    <w:rsid w:val="25752417"/>
    <w:rsid w:val="25933BDB"/>
    <w:rsid w:val="25B66BA8"/>
    <w:rsid w:val="25C37B84"/>
    <w:rsid w:val="25E70ABF"/>
    <w:rsid w:val="262732E8"/>
    <w:rsid w:val="266E4660"/>
    <w:rsid w:val="26A45747"/>
    <w:rsid w:val="26B20955"/>
    <w:rsid w:val="26CF4594"/>
    <w:rsid w:val="271E4DAB"/>
    <w:rsid w:val="27255727"/>
    <w:rsid w:val="274759C4"/>
    <w:rsid w:val="274B7559"/>
    <w:rsid w:val="278E4F1E"/>
    <w:rsid w:val="27944F81"/>
    <w:rsid w:val="27BF157B"/>
    <w:rsid w:val="27FA6A57"/>
    <w:rsid w:val="28166B73"/>
    <w:rsid w:val="282442D9"/>
    <w:rsid w:val="284367B5"/>
    <w:rsid w:val="285718A5"/>
    <w:rsid w:val="28D42DB2"/>
    <w:rsid w:val="28EB4C69"/>
    <w:rsid w:val="28F865CB"/>
    <w:rsid w:val="29053276"/>
    <w:rsid w:val="29250E1B"/>
    <w:rsid w:val="292A336C"/>
    <w:rsid w:val="295A53EB"/>
    <w:rsid w:val="297665B1"/>
    <w:rsid w:val="29802F8C"/>
    <w:rsid w:val="29803AA3"/>
    <w:rsid w:val="29884B07"/>
    <w:rsid w:val="298957C4"/>
    <w:rsid w:val="29BD5F8E"/>
    <w:rsid w:val="29CF1324"/>
    <w:rsid w:val="29DF4E52"/>
    <w:rsid w:val="2A1D6A45"/>
    <w:rsid w:val="2A2102CB"/>
    <w:rsid w:val="2A6F6EBA"/>
    <w:rsid w:val="2A774E1D"/>
    <w:rsid w:val="2A780C4F"/>
    <w:rsid w:val="2A830C79"/>
    <w:rsid w:val="2A8D5961"/>
    <w:rsid w:val="2AD11736"/>
    <w:rsid w:val="2AE65071"/>
    <w:rsid w:val="2B0E0405"/>
    <w:rsid w:val="2B1029CF"/>
    <w:rsid w:val="2B1D6E88"/>
    <w:rsid w:val="2B1F7D54"/>
    <w:rsid w:val="2B2032D9"/>
    <w:rsid w:val="2B4D51E4"/>
    <w:rsid w:val="2B5F0E77"/>
    <w:rsid w:val="2B720245"/>
    <w:rsid w:val="2B7F64C1"/>
    <w:rsid w:val="2BA3212D"/>
    <w:rsid w:val="2BE7007A"/>
    <w:rsid w:val="2BEE09B1"/>
    <w:rsid w:val="2BFE408A"/>
    <w:rsid w:val="2C234403"/>
    <w:rsid w:val="2C2A1060"/>
    <w:rsid w:val="2C916010"/>
    <w:rsid w:val="2CA927FA"/>
    <w:rsid w:val="2CC9059D"/>
    <w:rsid w:val="2CDF0482"/>
    <w:rsid w:val="2D22640D"/>
    <w:rsid w:val="2D464D5F"/>
    <w:rsid w:val="2D4E5097"/>
    <w:rsid w:val="2D592D22"/>
    <w:rsid w:val="2D8C0151"/>
    <w:rsid w:val="2DA27975"/>
    <w:rsid w:val="2DB5450D"/>
    <w:rsid w:val="2DFB00B5"/>
    <w:rsid w:val="2E474078"/>
    <w:rsid w:val="2E556795"/>
    <w:rsid w:val="2E681342"/>
    <w:rsid w:val="2E697CA3"/>
    <w:rsid w:val="2E6D4E98"/>
    <w:rsid w:val="2E7931EC"/>
    <w:rsid w:val="2E7B0389"/>
    <w:rsid w:val="2E944745"/>
    <w:rsid w:val="2E9705D3"/>
    <w:rsid w:val="2E9C3022"/>
    <w:rsid w:val="2E9F2106"/>
    <w:rsid w:val="2EBC6814"/>
    <w:rsid w:val="2EBE0475"/>
    <w:rsid w:val="2EC1790D"/>
    <w:rsid w:val="2ED718A0"/>
    <w:rsid w:val="2EE23871"/>
    <w:rsid w:val="2EE71A9D"/>
    <w:rsid w:val="2EEF6BEA"/>
    <w:rsid w:val="2EFF1CE5"/>
    <w:rsid w:val="2F1D1D68"/>
    <w:rsid w:val="2F2A65B2"/>
    <w:rsid w:val="2F6C2DFA"/>
    <w:rsid w:val="2F7F39E1"/>
    <w:rsid w:val="2FAD2438"/>
    <w:rsid w:val="2FC811E9"/>
    <w:rsid w:val="3022617D"/>
    <w:rsid w:val="303A1CAD"/>
    <w:rsid w:val="303E6666"/>
    <w:rsid w:val="30464B56"/>
    <w:rsid w:val="30473068"/>
    <w:rsid w:val="307C2C0D"/>
    <w:rsid w:val="30896BCA"/>
    <w:rsid w:val="308C66BA"/>
    <w:rsid w:val="30965B9C"/>
    <w:rsid w:val="30967620"/>
    <w:rsid w:val="30BD1FE5"/>
    <w:rsid w:val="30F36C74"/>
    <w:rsid w:val="30F90CD1"/>
    <w:rsid w:val="30F9318B"/>
    <w:rsid w:val="31272F44"/>
    <w:rsid w:val="31362C1F"/>
    <w:rsid w:val="31605B7D"/>
    <w:rsid w:val="31662A68"/>
    <w:rsid w:val="316B62D0"/>
    <w:rsid w:val="31936105"/>
    <w:rsid w:val="319475D5"/>
    <w:rsid w:val="31A57A34"/>
    <w:rsid w:val="31AE740B"/>
    <w:rsid w:val="31B658D4"/>
    <w:rsid w:val="31B9385A"/>
    <w:rsid w:val="32316E69"/>
    <w:rsid w:val="325B404D"/>
    <w:rsid w:val="3264576A"/>
    <w:rsid w:val="32742ADC"/>
    <w:rsid w:val="32887E5F"/>
    <w:rsid w:val="329A50AF"/>
    <w:rsid w:val="329E5AD1"/>
    <w:rsid w:val="329E6A56"/>
    <w:rsid w:val="32C02899"/>
    <w:rsid w:val="32CC51E5"/>
    <w:rsid w:val="32E6051A"/>
    <w:rsid w:val="32F02F31"/>
    <w:rsid w:val="32F33B15"/>
    <w:rsid w:val="330B7D6A"/>
    <w:rsid w:val="332A2B6E"/>
    <w:rsid w:val="332B5568"/>
    <w:rsid w:val="335A3660"/>
    <w:rsid w:val="337176F8"/>
    <w:rsid w:val="33753436"/>
    <w:rsid w:val="33A40443"/>
    <w:rsid w:val="33A718ED"/>
    <w:rsid w:val="33AA3E3F"/>
    <w:rsid w:val="33C61EE3"/>
    <w:rsid w:val="33EF143A"/>
    <w:rsid w:val="3402290E"/>
    <w:rsid w:val="341D5FA7"/>
    <w:rsid w:val="344A35D0"/>
    <w:rsid w:val="34873182"/>
    <w:rsid w:val="34AC6BE3"/>
    <w:rsid w:val="34EB329F"/>
    <w:rsid w:val="34F942C8"/>
    <w:rsid w:val="34FE1F7D"/>
    <w:rsid w:val="35064D89"/>
    <w:rsid w:val="35266C07"/>
    <w:rsid w:val="35270865"/>
    <w:rsid w:val="356F6C4A"/>
    <w:rsid w:val="3594762C"/>
    <w:rsid w:val="35A87AF3"/>
    <w:rsid w:val="35C42A65"/>
    <w:rsid w:val="36041B6D"/>
    <w:rsid w:val="3609516B"/>
    <w:rsid w:val="361B7BDC"/>
    <w:rsid w:val="364221AD"/>
    <w:rsid w:val="36627D01"/>
    <w:rsid w:val="36AC6FD2"/>
    <w:rsid w:val="36AE45FE"/>
    <w:rsid w:val="36D4159F"/>
    <w:rsid w:val="36E67798"/>
    <w:rsid w:val="36E7289C"/>
    <w:rsid w:val="36FF0DB1"/>
    <w:rsid w:val="37067020"/>
    <w:rsid w:val="372649E2"/>
    <w:rsid w:val="372C02AF"/>
    <w:rsid w:val="372C59AA"/>
    <w:rsid w:val="372E2279"/>
    <w:rsid w:val="373000B7"/>
    <w:rsid w:val="37412D8C"/>
    <w:rsid w:val="37424DCB"/>
    <w:rsid w:val="377A54BF"/>
    <w:rsid w:val="37824D2F"/>
    <w:rsid w:val="37963F54"/>
    <w:rsid w:val="379A6B89"/>
    <w:rsid w:val="37B7401D"/>
    <w:rsid w:val="37BF2E3D"/>
    <w:rsid w:val="37D107AA"/>
    <w:rsid w:val="37FD7E74"/>
    <w:rsid w:val="380A6843"/>
    <w:rsid w:val="38617BEC"/>
    <w:rsid w:val="38926D93"/>
    <w:rsid w:val="38B04B0E"/>
    <w:rsid w:val="38E54BBA"/>
    <w:rsid w:val="38FD54AF"/>
    <w:rsid w:val="390741E5"/>
    <w:rsid w:val="391F264A"/>
    <w:rsid w:val="39243472"/>
    <w:rsid w:val="392B2144"/>
    <w:rsid w:val="394205BC"/>
    <w:rsid w:val="3997588E"/>
    <w:rsid w:val="39B46D56"/>
    <w:rsid w:val="39C828E7"/>
    <w:rsid w:val="39DD557C"/>
    <w:rsid w:val="39F552D0"/>
    <w:rsid w:val="39FC4298"/>
    <w:rsid w:val="3A4536A9"/>
    <w:rsid w:val="3A552184"/>
    <w:rsid w:val="3A60099C"/>
    <w:rsid w:val="3A672F16"/>
    <w:rsid w:val="3A7900EF"/>
    <w:rsid w:val="3A800711"/>
    <w:rsid w:val="3A810CA0"/>
    <w:rsid w:val="3A9446EC"/>
    <w:rsid w:val="3A96496C"/>
    <w:rsid w:val="3A9F3479"/>
    <w:rsid w:val="3ABC7EEE"/>
    <w:rsid w:val="3AC0768C"/>
    <w:rsid w:val="3AED2009"/>
    <w:rsid w:val="3B1771AB"/>
    <w:rsid w:val="3B1939D0"/>
    <w:rsid w:val="3B581890"/>
    <w:rsid w:val="3BA96372"/>
    <w:rsid w:val="3BAB1C70"/>
    <w:rsid w:val="3BAB26D3"/>
    <w:rsid w:val="3BD009CC"/>
    <w:rsid w:val="3BDE0A34"/>
    <w:rsid w:val="3BF45BDB"/>
    <w:rsid w:val="3C0812EB"/>
    <w:rsid w:val="3C2B1FE6"/>
    <w:rsid w:val="3C541C9F"/>
    <w:rsid w:val="3C8779B9"/>
    <w:rsid w:val="3C8B2C2B"/>
    <w:rsid w:val="3C940215"/>
    <w:rsid w:val="3C9F058C"/>
    <w:rsid w:val="3CA60B04"/>
    <w:rsid w:val="3CB74ABF"/>
    <w:rsid w:val="3CC97C4F"/>
    <w:rsid w:val="3CCA29EB"/>
    <w:rsid w:val="3CCC5DBF"/>
    <w:rsid w:val="3CD74C46"/>
    <w:rsid w:val="3D3B124C"/>
    <w:rsid w:val="3D481758"/>
    <w:rsid w:val="3D497E6A"/>
    <w:rsid w:val="3D567E34"/>
    <w:rsid w:val="3D634958"/>
    <w:rsid w:val="3D6C6B53"/>
    <w:rsid w:val="3D8A01C7"/>
    <w:rsid w:val="3D8C6BB2"/>
    <w:rsid w:val="3D987150"/>
    <w:rsid w:val="3D9D71C0"/>
    <w:rsid w:val="3D9E333B"/>
    <w:rsid w:val="3DBC00BF"/>
    <w:rsid w:val="3DCB1A6B"/>
    <w:rsid w:val="3DED30AA"/>
    <w:rsid w:val="3DEE3528"/>
    <w:rsid w:val="3DFF671E"/>
    <w:rsid w:val="3E3102BB"/>
    <w:rsid w:val="3E614AA5"/>
    <w:rsid w:val="3E704F26"/>
    <w:rsid w:val="3EB02545"/>
    <w:rsid w:val="3EB21D54"/>
    <w:rsid w:val="3EF93562"/>
    <w:rsid w:val="3F12422F"/>
    <w:rsid w:val="3F18661A"/>
    <w:rsid w:val="3F6D4287"/>
    <w:rsid w:val="3F7512EA"/>
    <w:rsid w:val="3F850EA5"/>
    <w:rsid w:val="3F9730B9"/>
    <w:rsid w:val="3FBD58AF"/>
    <w:rsid w:val="3FC15168"/>
    <w:rsid w:val="3FC55901"/>
    <w:rsid w:val="3FC92B3F"/>
    <w:rsid w:val="3FC9458D"/>
    <w:rsid w:val="3FD033AD"/>
    <w:rsid w:val="3FE12547"/>
    <w:rsid w:val="3FE23C01"/>
    <w:rsid w:val="401924B3"/>
    <w:rsid w:val="401F021A"/>
    <w:rsid w:val="403D0C6D"/>
    <w:rsid w:val="404148A6"/>
    <w:rsid w:val="40572AB6"/>
    <w:rsid w:val="405D3459"/>
    <w:rsid w:val="4068264C"/>
    <w:rsid w:val="407728FD"/>
    <w:rsid w:val="40983992"/>
    <w:rsid w:val="40CA0DB3"/>
    <w:rsid w:val="40D64B0A"/>
    <w:rsid w:val="40DB2B57"/>
    <w:rsid w:val="40DC5CDB"/>
    <w:rsid w:val="410603FC"/>
    <w:rsid w:val="410D06B8"/>
    <w:rsid w:val="4156426C"/>
    <w:rsid w:val="415D2E43"/>
    <w:rsid w:val="41A274B6"/>
    <w:rsid w:val="41C034AF"/>
    <w:rsid w:val="41C061C4"/>
    <w:rsid w:val="42107DDD"/>
    <w:rsid w:val="42311D52"/>
    <w:rsid w:val="424A712C"/>
    <w:rsid w:val="42563698"/>
    <w:rsid w:val="4263268C"/>
    <w:rsid w:val="426C12DA"/>
    <w:rsid w:val="428C44AE"/>
    <w:rsid w:val="429F7E60"/>
    <w:rsid w:val="42A66B85"/>
    <w:rsid w:val="42B615E6"/>
    <w:rsid w:val="42CB2D35"/>
    <w:rsid w:val="42D21256"/>
    <w:rsid w:val="42F42EB4"/>
    <w:rsid w:val="42F759C4"/>
    <w:rsid w:val="43023463"/>
    <w:rsid w:val="43144A19"/>
    <w:rsid w:val="431C38CE"/>
    <w:rsid w:val="433F0A06"/>
    <w:rsid w:val="434660D0"/>
    <w:rsid w:val="43554BAC"/>
    <w:rsid w:val="435D3A52"/>
    <w:rsid w:val="43770B04"/>
    <w:rsid w:val="438751EB"/>
    <w:rsid w:val="43A027A3"/>
    <w:rsid w:val="43AA1E91"/>
    <w:rsid w:val="43AF27CC"/>
    <w:rsid w:val="43BA343C"/>
    <w:rsid w:val="43DD4C6D"/>
    <w:rsid w:val="43F8127E"/>
    <w:rsid w:val="4428525F"/>
    <w:rsid w:val="444A0170"/>
    <w:rsid w:val="44621887"/>
    <w:rsid w:val="44667276"/>
    <w:rsid w:val="448259B3"/>
    <w:rsid w:val="44A37922"/>
    <w:rsid w:val="44B63420"/>
    <w:rsid w:val="44B71DE6"/>
    <w:rsid w:val="44BE70AA"/>
    <w:rsid w:val="44D7718A"/>
    <w:rsid w:val="44DB6B8D"/>
    <w:rsid w:val="45561319"/>
    <w:rsid w:val="45DE130F"/>
    <w:rsid w:val="45F8252B"/>
    <w:rsid w:val="46153B79"/>
    <w:rsid w:val="4625595A"/>
    <w:rsid w:val="4655670F"/>
    <w:rsid w:val="46690BD8"/>
    <w:rsid w:val="469236DF"/>
    <w:rsid w:val="46CD6A3D"/>
    <w:rsid w:val="46D23AA8"/>
    <w:rsid w:val="46D446A7"/>
    <w:rsid w:val="46ED7A5B"/>
    <w:rsid w:val="47165D61"/>
    <w:rsid w:val="475D1752"/>
    <w:rsid w:val="476E2F0C"/>
    <w:rsid w:val="47767BD4"/>
    <w:rsid w:val="477737C9"/>
    <w:rsid w:val="477766D9"/>
    <w:rsid w:val="477D0471"/>
    <w:rsid w:val="47E250E6"/>
    <w:rsid w:val="47E31939"/>
    <w:rsid w:val="47FB44E3"/>
    <w:rsid w:val="4804332F"/>
    <w:rsid w:val="48117779"/>
    <w:rsid w:val="482374AD"/>
    <w:rsid w:val="48523ECB"/>
    <w:rsid w:val="48527D6A"/>
    <w:rsid w:val="48594C7C"/>
    <w:rsid w:val="48677399"/>
    <w:rsid w:val="48767191"/>
    <w:rsid w:val="488A747A"/>
    <w:rsid w:val="489640A7"/>
    <w:rsid w:val="489E300A"/>
    <w:rsid w:val="4909055C"/>
    <w:rsid w:val="492152AE"/>
    <w:rsid w:val="4955748F"/>
    <w:rsid w:val="49634005"/>
    <w:rsid w:val="49694B92"/>
    <w:rsid w:val="496D4E83"/>
    <w:rsid w:val="49737357"/>
    <w:rsid w:val="49E36EF3"/>
    <w:rsid w:val="4A0366CF"/>
    <w:rsid w:val="4A256483"/>
    <w:rsid w:val="4A38641F"/>
    <w:rsid w:val="4A4E6A63"/>
    <w:rsid w:val="4A800E57"/>
    <w:rsid w:val="4A9F5D83"/>
    <w:rsid w:val="4AB5099E"/>
    <w:rsid w:val="4AB52052"/>
    <w:rsid w:val="4AF859CC"/>
    <w:rsid w:val="4B5E5853"/>
    <w:rsid w:val="4B657DEC"/>
    <w:rsid w:val="4B683B54"/>
    <w:rsid w:val="4B6B5BFE"/>
    <w:rsid w:val="4B6F63D5"/>
    <w:rsid w:val="4B8152D3"/>
    <w:rsid w:val="4B83273C"/>
    <w:rsid w:val="4B965649"/>
    <w:rsid w:val="4B9A1834"/>
    <w:rsid w:val="4BAF2CE6"/>
    <w:rsid w:val="4BB30958"/>
    <w:rsid w:val="4BBA0F4B"/>
    <w:rsid w:val="4BC03621"/>
    <w:rsid w:val="4BC22F72"/>
    <w:rsid w:val="4BEC1DA9"/>
    <w:rsid w:val="4C431ECB"/>
    <w:rsid w:val="4C454D9D"/>
    <w:rsid w:val="4C6D4FD8"/>
    <w:rsid w:val="4C956109"/>
    <w:rsid w:val="4CB12B2C"/>
    <w:rsid w:val="4CBC2827"/>
    <w:rsid w:val="4CC312B6"/>
    <w:rsid w:val="4CC748AA"/>
    <w:rsid w:val="4CCE79E7"/>
    <w:rsid w:val="4CDD2221"/>
    <w:rsid w:val="4CEC7C13"/>
    <w:rsid w:val="4D1737DC"/>
    <w:rsid w:val="4D225F85"/>
    <w:rsid w:val="4D297313"/>
    <w:rsid w:val="4D2E5116"/>
    <w:rsid w:val="4D4946C3"/>
    <w:rsid w:val="4D553C64"/>
    <w:rsid w:val="4D6215E1"/>
    <w:rsid w:val="4D667D39"/>
    <w:rsid w:val="4D6A6CFA"/>
    <w:rsid w:val="4D6F53B7"/>
    <w:rsid w:val="4D8C427F"/>
    <w:rsid w:val="4D9739B2"/>
    <w:rsid w:val="4D973F59"/>
    <w:rsid w:val="4D97704E"/>
    <w:rsid w:val="4DB579D1"/>
    <w:rsid w:val="4DBD70EB"/>
    <w:rsid w:val="4DD51249"/>
    <w:rsid w:val="4DD76CA3"/>
    <w:rsid w:val="4E5B174E"/>
    <w:rsid w:val="4E6E459C"/>
    <w:rsid w:val="4E817FEA"/>
    <w:rsid w:val="4E98618A"/>
    <w:rsid w:val="4E9D352C"/>
    <w:rsid w:val="4EB95E17"/>
    <w:rsid w:val="4EB96475"/>
    <w:rsid w:val="4EF253F4"/>
    <w:rsid w:val="4EFB4CDF"/>
    <w:rsid w:val="4F0A4F22"/>
    <w:rsid w:val="4F500538"/>
    <w:rsid w:val="4F6B02B8"/>
    <w:rsid w:val="4F7156E6"/>
    <w:rsid w:val="4FA43165"/>
    <w:rsid w:val="4FB6214D"/>
    <w:rsid w:val="4FF82FCD"/>
    <w:rsid w:val="4FFA116E"/>
    <w:rsid w:val="4FFA2095"/>
    <w:rsid w:val="50151DD1"/>
    <w:rsid w:val="502A1801"/>
    <w:rsid w:val="504C7A9D"/>
    <w:rsid w:val="509E6F0D"/>
    <w:rsid w:val="50AA42C7"/>
    <w:rsid w:val="50D41344"/>
    <w:rsid w:val="50D47596"/>
    <w:rsid w:val="50E2544B"/>
    <w:rsid w:val="50E65CE2"/>
    <w:rsid w:val="511E0033"/>
    <w:rsid w:val="51202751"/>
    <w:rsid w:val="51366F1E"/>
    <w:rsid w:val="5143280B"/>
    <w:rsid w:val="51546F21"/>
    <w:rsid w:val="515D758B"/>
    <w:rsid w:val="517A638F"/>
    <w:rsid w:val="517F2D8F"/>
    <w:rsid w:val="51826FF2"/>
    <w:rsid w:val="518A1586"/>
    <w:rsid w:val="519C4558"/>
    <w:rsid w:val="51A86476"/>
    <w:rsid w:val="51C8534D"/>
    <w:rsid w:val="51D05FAF"/>
    <w:rsid w:val="51D51C1A"/>
    <w:rsid w:val="51DD620D"/>
    <w:rsid w:val="51F83F85"/>
    <w:rsid w:val="52051862"/>
    <w:rsid w:val="52100AA2"/>
    <w:rsid w:val="52245275"/>
    <w:rsid w:val="52262073"/>
    <w:rsid w:val="522A5D40"/>
    <w:rsid w:val="52535651"/>
    <w:rsid w:val="5278011C"/>
    <w:rsid w:val="52AB2578"/>
    <w:rsid w:val="52E972F6"/>
    <w:rsid w:val="53043BBE"/>
    <w:rsid w:val="53163533"/>
    <w:rsid w:val="53274B28"/>
    <w:rsid w:val="535C0EA9"/>
    <w:rsid w:val="537F1DE8"/>
    <w:rsid w:val="53876B42"/>
    <w:rsid w:val="53E43F94"/>
    <w:rsid w:val="53EC2A4F"/>
    <w:rsid w:val="541E4FD7"/>
    <w:rsid w:val="54333B92"/>
    <w:rsid w:val="5444354A"/>
    <w:rsid w:val="544D7D8B"/>
    <w:rsid w:val="545F7AE6"/>
    <w:rsid w:val="547A6B2A"/>
    <w:rsid w:val="54905ECA"/>
    <w:rsid w:val="54C51909"/>
    <w:rsid w:val="54D049E4"/>
    <w:rsid w:val="54F16968"/>
    <w:rsid w:val="54F75F49"/>
    <w:rsid w:val="551D6AF9"/>
    <w:rsid w:val="554D7917"/>
    <w:rsid w:val="556324F2"/>
    <w:rsid w:val="55A60ADC"/>
    <w:rsid w:val="55D857C5"/>
    <w:rsid w:val="56253A26"/>
    <w:rsid w:val="56257414"/>
    <w:rsid w:val="5638334C"/>
    <w:rsid w:val="56725887"/>
    <w:rsid w:val="56780FF9"/>
    <w:rsid w:val="567A0BDF"/>
    <w:rsid w:val="56870578"/>
    <w:rsid w:val="568F259A"/>
    <w:rsid w:val="569241C0"/>
    <w:rsid w:val="56973027"/>
    <w:rsid w:val="56A1616C"/>
    <w:rsid w:val="56A33B67"/>
    <w:rsid w:val="56A40E03"/>
    <w:rsid w:val="56C45A8D"/>
    <w:rsid w:val="56E20A0E"/>
    <w:rsid w:val="57034731"/>
    <w:rsid w:val="5737516A"/>
    <w:rsid w:val="57431AE0"/>
    <w:rsid w:val="576A2A02"/>
    <w:rsid w:val="57730A91"/>
    <w:rsid w:val="57A27BD5"/>
    <w:rsid w:val="57C762A2"/>
    <w:rsid w:val="57DE6F4C"/>
    <w:rsid w:val="58005114"/>
    <w:rsid w:val="5812512F"/>
    <w:rsid w:val="58207565"/>
    <w:rsid w:val="58402143"/>
    <w:rsid w:val="588C140C"/>
    <w:rsid w:val="58A00649"/>
    <w:rsid w:val="58B21650"/>
    <w:rsid w:val="58C00F3E"/>
    <w:rsid w:val="58C21630"/>
    <w:rsid w:val="58C919AA"/>
    <w:rsid w:val="59103E6F"/>
    <w:rsid w:val="59373C72"/>
    <w:rsid w:val="5945207E"/>
    <w:rsid w:val="595B4F2E"/>
    <w:rsid w:val="596C42A4"/>
    <w:rsid w:val="596D221D"/>
    <w:rsid w:val="59A237B5"/>
    <w:rsid w:val="59A77712"/>
    <w:rsid w:val="59B02759"/>
    <w:rsid w:val="59D32AE1"/>
    <w:rsid w:val="5A144EA7"/>
    <w:rsid w:val="5A706348"/>
    <w:rsid w:val="5A72604D"/>
    <w:rsid w:val="5A743572"/>
    <w:rsid w:val="5A7F77CE"/>
    <w:rsid w:val="5AA20C09"/>
    <w:rsid w:val="5ABC5F71"/>
    <w:rsid w:val="5AF81EC0"/>
    <w:rsid w:val="5AF8422D"/>
    <w:rsid w:val="5B0E4DAE"/>
    <w:rsid w:val="5B0E6862"/>
    <w:rsid w:val="5B58464F"/>
    <w:rsid w:val="5B8509D1"/>
    <w:rsid w:val="5B90297B"/>
    <w:rsid w:val="5BC70423"/>
    <w:rsid w:val="5BF154A0"/>
    <w:rsid w:val="5C076A71"/>
    <w:rsid w:val="5C11606C"/>
    <w:rsid w:val="5C4E0A2D"/>
    <w:rsid w:val="5C524815"/>
    <w:rsid w:val="5C64452B"/>
    <w:rsid w:val="5C7719CE"/>
    <w:rsid w:val="5C8E79BD"/>
    <w:rsid w:val="5C9407AC"/>
    <w:rsid w:val="5C981DBF"/>
    <w:rsid w:val="5CE96177"/>
    <w:rsid w:val="5D23703E"/>
    <w:rsid w:val="5D2719C9"/>
    <w:rsid w:val="5D2773E7"/>
    <w:rsid w:val="5D285026"/>
    <w:rsid w:val="5D373386"/>
    <w:rsid w:val="5D5C0E3F"/>
    <w:rsid w:val="5D5D2953"/>
    <w:rsid w:val="5D5E619D"/>
    <w:rsid w:val="5D697358"/>
    <w:rsid w:val="5D747A99"/>
    <w:rsid w:val="5D9249ED"/>
    <w:rsid w:val="5DA1646B"/>
    <w:rsid w:val="5DB03139"/>
    <w:rsid w:val="5DC32A29"/>
    <w:rsid w:val="5DDB1F64"/>
    <w:rsid w:val="5DDC5DDB"/>
    <w:rsid w:val="5DE55498"/>
    <w:rsid w:val="5DF04FFA"/>
    <w:rsid w:val="5DF905DA"/>
    <w:rsid w:val="5E063C72"/>
    <w:rsid w:val="5E19167C"/>
    <w:rsid w:val="5E2E51B3"/>
    <w:rsid w:val="5E3653EC"/>
    <w:rsid w:val="5E3C01D4"/>
    <w:rsid w:val="5E5166CA"/>
    <w:rsid w:val="5E6F443D"/>
    <w:rsid w:val="5E70354F"/>
    <w:rsid w:val="5E781EA8"/>
    <w:rsid w:val="5E802B0B"/>
    <w:rsid w:val="5E8C7523"/>
    <w:rsid w:val="5E94632E"/>
    <w:rsid w:val="5E9C2B92"/>
    <w:rsid w:val="5EA762EA"/>
    <w:rsid w:val="5F111534"/>
    <w:rsid w:val="5F3A0F0C"/>
    <w:rsid w:val="5F5E606D"/>
    <w:rsid w:val="5F9A0CFC"/>
    <w:rsid w:val="5FA840C8"/>
    <w:rsid w:val="5FB20DDC"/>
    <w:rsid w:val="5FBC6FFC"/>
    <w:rsid w:val="5FD91B32"/>
    <w:rsid w:val="5FDE3D1C"/>
    <w:rsid w:val="5FEB36B0"/>
    <w:rsid w:val="600037C3"/>
    <w:rsid w:val="60070235"/>
    <w:rsid w:val="600B76B1"/>
    <w:rsid w:val="60117D06"/>
    <w:rsid w:val="60247960"/>
    <w:rsid w:val="60337FBD"/>
    <w:rsid w:val="604A33D1"/>
    <w:rsid w:val="60557909"/>
    <w:rsid w:val="60600E46"/>
    <w:rsid w:val="608A1A1F"/>
    <w:rsid w:val="608B596D"/>
    <w:rsid w:val="608E7CA1"/>
    <w:rsid w:val="60B20DDE"/>
    <w:rsid w:val="60B53DBD"/>
    <w:rsid w:val="60B86965"/>
    <w:rsid w:val="60C43183"/>
    <w:rsid w:val="60CF6017"/>
    <w:rsid w:val="60E84D86"/>
    <w:rsid w:val="60EC58A1"/>
    <w:rsid w:val="60F765D6"/>
    <w:rsid w:val="61194815"/>
    <w:rsid w:val="61273959"/>
    <w:rsid w:val="61402D8F"/>
    <w:rsid w:val="616D02E8"/>
    <w:rsid w:val="619B0A4D"/>
    <w:rsid w:val="619E6915"/>
    <w:rsid w:val="619F45F8"/>
    <w:rsid w:val="61BC5698"/>
    <w:rsid w:val="61C05E29"/>
    <w:rsid w:val="61C4413E"/>
    <w:rsid w:val="61E220CA"/>
    <w:rsid w:val="620B4DE2"/>
    <w:rsid w:val="620F48D2"/>
    <w:rsid w:val="621F3A28"/>
    <w:rsid w:val="622D4D58"/>
    <w:rsid w:val="623817CD"/>
    <w:rsid w:val="623D05EF"/>
    <w:rsid w:val="625671C6"/>
    <w:rsid w:val="626D5F1F"/>
    <w:rsid w:val="62774225"/>
    <w:rsid w:val="627E2DFB"/>
    <w:rsid w:val="628D5A05"/>
    <w:rsid w:val="629635F2"/>
    <w:rsid w:val="62A757FE"/>
    <w:rsid w:val="62B9713E"/>
    <w:rsid w:val="62DB156F"/>
    <w:rsid w:val="62E35C5C"/>
    <w:rsid w:val="62EA49F7"/>
    <w:rsid w:val="6308602C"/>
    <w:rsid w:val="631B2082"/>
    <w:rsid w:val="6324615B"/>
    <w:rsid w:val="63655BF1"/>
    <w:rsid w:val="6381414F"/>
    <w:rsid w:val="639869FA"/>
    <w:rsid w:val="63A6496D"/>
    <w:rsid w:val="63A83FEC"/>
    <w:rsid w:val="63D92053"/>
    <w:rsid w:val="63E37B79"/>
    <w:rsid w:val="63FC1B88"/>
    <w:rsid w:val="63FF5094"/>
    <w:rsid w:val="64035403"/>
    <w:rsid w:val="642B1E03"/>
    <w:rsid w:val="64334D4A"/>
    <w:rsid w:val="644D4301"/>
    <w:rsid w:val="6477289B"/>
    <w:rsid w:val="649176C0"/>
    <w:rsid w:val="64987293"/>
    <w:rsid w:val="649B2A1E"/>
    <w:rsid w:val="649E57C1"/>
    <w:rsid w:val="64A11F98"/>
    <w:rsid w:val="64B0249D"/>
    <w:rsid w:val="64D179F6"/>
    <w:rsid w:val="64D442AC"/>
    <w:rsid w:val="64FD012C"/>
    <w:rsid w:val="650401CF"/>
    <w:rsid w:val="65040F88"/>
    <w:rsid w:val="65256ED5"/>
    <w:rsid w:val="653D52DC"/>
    <w:rsid w:val="655373D5"/>
    <w:rsid w:val="657A0FFC"/>
    <w:rsid w:val="6593581A"/>
    <w:rsid w:val="659F7D1B"/>
    <w:rsid w:val="65A300A1"/>
    <w:rsid w:val="65DB5C3D"/>
    <w:rsid w:val="65DC330D"/>
    <w:rsid w:val="65ED11DD"/>
    <w:rsid w:val="65F00576"/>
    <w:rsid w:val="66126967"/>
    <w:rsid w:val="66383CCB"/>
    <w:rsid w:val="66780DEE"/>
    <w:rsid w:val="668E1E21"/>
    <w:rsid w:val="66926F8C"/>
    <w:rsid w:val="66966882"/>
    <w:rsid w:val="66A7157D"/>
    <w:rsid w:val="66B703DE"/>
    <w:rsid w:val="66D51A3C"/>
    <w:rsid w:val="66F269C9"/>
    <w:rsid w:val="67285BDC"/>
    <w:rsid w:val="673D5663"/>
    <w:rsid w:val="67C1521F"/>
    <w:rsid w:val="67C541F4"/>
    <w:rsid w:val="67D41EE5"/>
    <w:rsid w:val="67E1461B"/>
    <w:rsid w:val="67FB2FC2"/>
    <w:rsid w:val="67FB3202"/>
    <w:rsid w:val="67FC180B"/>
    <w:rsid w:val="6838125F"/>
    <w:rsid w:val="684E7153"/>
    <w:rsid w:val="68572B2F"/>
    <w:rsid w:val="689070BF"/>
    <w:rsid w:val="68942469"/>
    <w:rsid w:val="68996F46"/>
    <w:rsid w:val="68A270B1"/>
    <w:rsid w:val="68E63EB3"/>
    <w:rsid w:val="69180510"/>
    <w:rsid w:val="69522C18"/>
    <w:rsid w:val="6975567D"/>
    <w:rsid w:val="699D0A15"/>
    <w:rsid w:val="69A41F02"/>
    <w:rsid w:val="69A85914"/>
    <w:rsid w:val="69B54893"/>
    <w:rsid w:val="69D4612E"/>
    <w:rsid w:val="69F0666F"/>
    <w:rsid w:val="69FA018D"/>
    <w:rsid w:val="6A25465E"/>
    <w:rsid w:val="6A31115D"/>
    <w:rsid w:val="6A530131"/>
    <w:rsid w:val="6A572716"/>
    <w:rsid w:val="6A732B1A"/>
    <w:rsid w:val="6A87076D"/>
    <w:rsid w:val="6A9454E3"/>
    <w:rsid w:val="6A945F72"/>
    <w:rsid w:val="6AA3205B"/>
    <w:rsid w:val="6AA47B81"/>
    <w:rsid w:val="6ACF2D0F"/>
    <w:rsid w:val="6ADD27C8"/>
    <w:rsid w:val="6AFC23BD"/>
    <w:rsid w:val="6AFF188E"/>
    <w:rsid w:val="6B030F7C"/>
    <w:rsid w:val="6B1F5D43"/>
    <w:rsid w:val="6B287CCA"/>
    <w:rsid w:val="6B37191E"/>
    <w:rsid w:val="6B3724F2"/>
    <w:rsid w:val="6B3B6738"/>
    <w:rsid w:val="6B447D73"/>
    <w:rsid w:val="6B4D0219"/>
    <w:rsid w:val="6B607F4C"/>
    <w:rsid w:val="6B67752D"/>
    <w:rsid w:val="6B6F1752"/>
    <w:rsid w:val="6B756B33"/>
    <w:rsid w:val="6BA33D44"/>
    <w:rsid w:val="6BDD77EF"/>
    <w:rsid w:val="6C3A4C18"/>
    <w:rsid w:val="6C4068D5"/>
    <w:rsid w:val="6C8568B5"/>
    <w:rsid w:val="6CAB51F7"/>
    <w:rsid w:val="6CB00C5D"/>
    <w:rsid w:val="6CCB7647"/>
    <w:rsid w:val="6D0441AB"/>
    <w:rsid w:val="6D481945"/>
    <w:rsid w:val="6D524B22"/>
    <w:rsid w:val="6D6650F6"/>
    <w:rsid w:val="6D6D32A5"/>
    <w:rsid w:val="6D96704E"/>
    <w:rsid w:val="6E6A491D"/>
    <w:rsid w:val="6ECD14C3"/>
    <w:rsid w:val="6ED609B9"/>
    <w:rsid w:val="6EF06A3A"/>
    <w:rsid w:val="6F231086"/>
    <w:rsid w:val="6F2C1077"/>
    <w:rsid w:val="6F4412DE"/>
    <w:rsid w:val="6F4831D1"/>
    <w:rsid w:val="6F525DFE"/>
    <w:rsid w:val="6F6649B1"/>
    <w:rsid w:val="6FB01FF6"/>
    <w:rsid w:val="6FEC5DB0"/>
    <w:rsid w:val="6FFA5FC3"/>
    <w:rsid w:val="700E441B"/>
    <w:rsid w:val="702D3037"/>
    <w:rsid w:val="703379DD"/>
    <w:rsid w:val="705624B2"/>
    <w:rsid w:val="70774D12"/>
    <w:rsid w:val="70854008"/>
    <w:rsid w:val="70A00296"/>
    <w:rsid w:val="70D07922"/>
    <w:rsid w:val="70D32F6E"/>
    <w:rsid w:val="70F21646"/>
    <w:rsid w:val="71170489"/>
    <w:rsid w:val="71902C0D"/>
    <w:rsid w:val="71945132"/>
    <w:rsid w:val="71E84DCD"/>
    <w:rsid w:val="72511D57"/>
    <w:rsid w:val="72525910"/>
    <w:rsid w:val="7272141E"/>
    <w:rsid w:val="72920575"/>
    <w:rsid w:val="729A51BF"/>
    <w:rsid w:val="72C267D6"/>
    <w:rsid w:val="72C31F67"/>
    <w:rsid w:val="73075151"/>
    <w:rsid w:val="730D7B4F"/>
    <w:rsid w:val="730F2443"/>
    <w:rsid w:val="73487C44"/>
    <w:rsid w:val="738A19B2"/>
    <w:rsid w:val="73906864"/>
    <w:rsid w:val="73986D48"/>
    <w:rsid w:val="73E3664B"/>
    <w:rsid w:val="74221866"/>
    <w:rsid w:val="74460C31"/>
    <w:rsid w:val="745948C9"/>
    <w:rsid w:val="74782083"/>
    <w:rsid w:val="74786307"/>
    <w:rsid w:val="74933140"/>
    <w:rsid w:val="74B36971"/>
    <w:rsid w:val="74F00783"/>
    <w:rsid w:val="74F21A8E"/>
    <w:rsid w:val="74F23FC5"/>
    <w:rsid w:val="75092D2E"/>
    <w:rsid w:val="751F35C6"/>
    <w:rsid w:val="7521074C"/>
    <w:rsid w:val="752124FA"/>
    <w:rsid w:val="752673FA"/>
    <w:rsid w:val="75445278"/>
    <w:rsid w:val="75616D9B"/>
    <w:rsid w:val="756D2420"/>
    <w:rsid w:val="757A60AE"/>
    <w:rsid w:val="75842A89"/>
    <w:rsid w:val="75D33B60"/>
    <w:rsid w:val="75EB0030"/>
    <w:rsid w:val="75FB2A78"/>
    <w:rsid w:val="7608635A"/>
    <w:rsid w:val="761E2EDE"/>
    <w:rsid w:val="764346F2"/>
    <w:rsid w:val="767A1884"/>
    <w:rsid w:val="767A70FF"/>
    <w:rsid w:val="7681376B"/>
    <w:rsid w:val="76CE66B2"/>
    <w:rsid w:val="76E7048B"/>
    <w:rsid w:val="76F679B7"/>
    <w:rsid w:val="771405C6"/>
    <w:rsid w:val="77186802"/>
    <w:rsid w:val="77244002"/>
    <w:rsid w:val="774626EC"/>
    <w:rsid w:val="7759121E"/>
    <w:rsid w:val="77844FC2"/>
    <w:rsid w:val="778C19C1"/>
    <w:rsid w:val="77BA4E88"/>
    <w:rsid w:val="77DE7388"/>
    <w:rsid w:val="77E617D9"/>
    <w:rsid w:val="78123276"/>
    <w:rsid w:val="781B6350"/>
    <w:rsid w:val="782A528E"/>
    <w:rsid w:val="784234F5"/>
    <w:rsid w:val="78606B54"/>
    <w:rsid w:val="78661D77"/>
    <w:rsid w:val="787542C9"/>
    <w:rsid w:val="787C4A52"/>
    <w:rsid w:val="787D1A38"/>
    <w:rsid w:val="78833D88"/>
    <w:rsid w:val="78970D25"/>
    <w:rsid w:val="78C70562"/>
    <w:rsid w:val="78F148D9"/>
    <w:rsid w:val="7908482C"/>
    <w:rsid w:val="792279DB"/>
    <w:rsid w:val="7948489C"/>
    <w:rsid w:val="797C1AA1"/>
    <w:rsid w:val="79A731EA"/>
    <w:rsid w:val="79AB2C72"/>
    <w:rsid w:val="79B25E17"/>
    <w:rsid w:val="7A224071"/>
    <w:rsid w:val="7A2E4173"/>
    <w:rsid w:val="7A6A2399"/>
    <w:rsid w:val="7A6F26A9"/>
    <w:rsid w:val="7A934CC7"/>
    <w:rsid w:val="7AAD65DE"/>
    <w:rsid w:val="7AAD7251"/>
    <w:rsid w:val="7AB93CAD"/>
    <w:rsid w:val="7AC027B5"/>
    <w:rsid w:val="7ACC2F08"/>
    <w:rsid w:val="7AD43747"/>
    <w:rsid w:val="7ADD5745"/>
    <w:rsid w:val="7AFB7263"/>
    <w:rsid w:val="7B062FF2"/>
    <w:rsid w:val="7B4771D3"/>
    <w:rsid w:val="7B4969DA"/>
    <w:rsid w:val="7B4B57FE"/>
    <w:rsid w:val="7BBA7BC4"/>
    <w:rsid w:val="7BF444AB"/>
    <w:rsid w:val="7BFE0356"/>
    <w:rsid w:val="7C050FEE"/>
    <w:rsid w:val="7C152DB6"/>
    <w:rsid w:val="7C1F696C"/>
    <w:rsid w:val="7C241FA4"/>
    <w:rsid w:val="7C2F7F24"/>
    <w:rsid w:val="7C4F6127"/>
    <w:rsid w:val="7C557027"/>
    <w:rsid w:val="7C705B15"/>
    <w:rsid w:val="7C743857"/>
    <w:rsid w:val="7C774202"/>
    <w:rsid w:val="7CF32D47"/>
    <w:rsid w:val="7CF47DC4"/>
    <w:rsid w:val="7D2D7E4F"/>
    <w:rsid w:val="7D3D1C6F"/>
    <w:rsid w:val="7D7D2444"/>
    <w:rsid w:val="7DC17AA5"/>
    <w:rsid w:val="7DC225BC"/>
    <w:rsid w:val="7DD947CA"/>
    <w:rsid w:val="7DD949C1"/>
    <w:rsid w:val="7E3F400C"/>
    <w:rsid w:val="7E3F5C67"/>
    <w:rsid w:val="7E485A8B"/>
    <w:rsid w:val="7E710432"/>
    <w:rsid w:val="7E723DC7"/>
    <w:rsid w:val="7E784FFE"/>
    <w:rsid w:val="7E985A2E"/>
    <w:rsid w:val="7EAF56A8"/>
    <w:rsid w:val="7EBF2EFE"/>
    <w:rsid w:val="7F0D36A8"/>
    <w:rsid w:val="7F0D6F9B"/>
    <w:rsid w:val="7F267E5E"/>
    <w:rsid w:val="7F315A30"/>
    <w:rsid w:val="7F511034"/>
    <w:rsid w:val="7F531E4A"/>
    <w:rsid w:val="7F5C1736"/>
    <w:rsid w:val="7F6F772F"/>
    <w:rsid w:val="7FA8044F"/>
    <w:rsid w:val="7FB12B06"/>
    <w:rsid w:val="7FD12D6F"/>
    <w:rsid w:val="7FD840FD"/>
    <w:rsid w:val="7FF30DF3"/>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6"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4"/>
    <w:qFormat/>
    <w:uiPriority w:val="0"/>
    <w:pPr>
      <w:keepNext/>
      <w:jc w:val="center"/>
      <w:outlineLvl w:val="0"/>
    </w:pPr>
    <w:rPr>
      <w:b/>
      <w:bCs/>
      <w:kern w:val="0"/>
      <w:sz w:val="24"/>
      <w:szCs w:val="20"/>
    </w:rPr>
  </w:style>
  <w:style w:type="paragraph" w:styleId="4">
    <w:name w:val="heading 2"/>
    <w:basedOn w:val="1"/>
    <w:next w:val="1"/>
    <w:link w:val="65"/>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6"/>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7"/>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8"/>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9"/>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70"/>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2"/>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94"/>
    <w:qFormat/>
    <w:uiPriority w:val="99"/>
    <w:pPr>
      <w:widowControl/>
      <w:ind w:firstLine="420"/>
      <w:jc w:val="left"/>
    </w:pPr>
    <w:rPr>
      <w:kern w:val="0"/>
      <w:sz w:val="20"/>
      <w:szCs w:val="20"/>
    </w:rPr>
  </w:style>
  <w:style w:type="paragraph" w:styleId="14">
    <w:name w:val="Document Map"/>
    <w:basedOn w:val="1"/>
    <w:link w:val="128"/>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110"/>
    <w:unhideWhenUsed/>
    <w:qFormat/>
    <w:uiPriority w:val="99"/>
    <w:pPr>
      <w:jc w:val="left"/>
    </w:pPr>
  </w:style>
  <w:style w:type="paragraph" w:styleId="17">
    <w:name w:val="Salutation"/>
    <w:basedOn w:val="1"/>
    <w:next w:val="1"/>
    <w:link w:val="115"/>
    <w:qFormat/>
    <w:uiPriority w:val="0"/>
    <w:rPr>
      <w:rFonts w:ascii="仿宋_GB2312" w:eastAsia="仿宋_GB2312"/>
      <w:sz w:val="24"/>
    </w:rPr>
  </w:style>
  <w:style w:type="paragraph" w:styleId="18">
    <w:name w:val="Body Text 3"/>
    <w:basedOn w:val="1"/>
    <w:link w:val="149"/>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next w:val="1"/>
    <w:link w:val="118"/>
    <w:qFormat/>
    <w:uiPriority w:val="99"/>
    <w:pPr>
      <w:spacing w:after="120"/>
    </w:pPr>
  </w:style>
  <w:style w:type="paragraph" w:styleId="20">
    <w:name w:val="Body Text Indent"/>
    <w:basedOn w:val="1"/>
    <w:link w:val="98"/>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07"/>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140"/>
    <w:qFormat/>
    <w:uiPriority w:val="0"/>
    <w:rPr>
      <w:rFonts w:ascii="Calibri" w:hAnsi="Calibri" w:cs="黑体"/>
      <w:sz w:val="24"/>
      <w:szCs w:val="22"/>
    </w:rPr>
  </w:style>
  <w:style w:type="paragraph" w:styleId="28">
    <w:name w:val="Body Text Indent 2"/>
    <w:basedOn w:val="1"/>
    <w:link w:val="102"/>
    <w:qFormat/>
    <w:uiPriority w:val="0"/>
    <w:pPr>
      <w:spacing w:after="120" w:line="480" w:lineRule="auto"/>
      <w:ind w:left="420" w:leftChars="200"/>
    </w:pPr>
  </w:style>
  <w:style w:type="paragraph" w:styleId="29">
    <w:name w:val="Balloon Text"/>
    <w:basedOn w:val="1"/>
    <w:link w:val="97"/>
    <w:qFormat/>
    <w:uiPriority w:val="0"/>
    <w:rPr>
      <w:rFonts w:ascii="Calibri" w:hAnsi="Calibri" w:cs="黑体"/>
      <w:sz w:val="18"/>
      <w:szCs w:val="18"/>
    </w:rPr>
  </w:style>
  <w:style w:type="paragraph" w:styleId="30">
    <w:name w:val="footer"/>
    <w:basedOn w:val="1"/>
    <w:link w:val="63"/>
    <w:unhideWhenUsed/>
    <w:qFormat/>
    <w:uiPriority w:val="0"/>
    <w:pPr>
      <w:tabs>
        <w:tab w:val="center" w:pos="4153"/>
        <w:tab w:val="right" w:pos="8306"/>
      </w:tabs>
      <w:snapToGrid w:val="0"/>
      <w:jc w:val="left"/>
    </w:pPr>
    <w:rPr>
      <w:sz w:val="18"/>
      <w:szCs w:val="18"/>
    </w:rPr>
  </w:style>
  <w:style w:type="paragraph" w:styleId="31">
    <w:name w:val="header"/>
    <w:basedOn w:val="1"/>
    <w:link w:val="62"/>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126"/>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25"/>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73"/>
    <w:qFormat/>
    <w:uiPriority w:val="0"/>
    <w:pPr>
      <w:spacing w:after="120" w:line="480" w:lineRule="auto"/>
    </w:pPr>
  </w:style>
  <w:style w:type="paragraph" w:styleId="40">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01"/>
    <w:qFormat/>
    <w:uiPriority w:val="0"/>
    <w:pPr>
      <w:spacing w:before="240" w:after="60"/>
      <w:jc w:val="center"/>
      <w:outlineLvl w:val="0"/>
    </w:pPr>
    <w:rPr>
      <w:rFonts w:ascii="Cambria" w:hAnsi="Cambria"/>
      <w:b/>
      <w:sz w:val="32"/>
    </w:rPr>
  </w:style>
  <w:style w:type="paragraph" w:styleId="44">
    <w:name w:val="annotation subject"/>
    <w:basedOn w:val="16"/>
    <w:next w:val="16"/>
    <w:link w:val="87"/>
    <w:qFormat/>
    <w:uiPriority w:val="0"/>
    <w:rPr>
      <w:rFonts w:ascii="Calibri" w:hAnsi="Calibri" w:cs="黑体"/>
      <w:b/>
      <w:bCs/>
    </w:rPr>
  </w:style>
  <w:style w:type="paragraph" w:styleId="45">
    <w:name w:val="Body Text First Indent"/>
    <w:basedOn w:val="19"/>
    <w:link w:val="176"/>
    <w:unhideWhenUsed/>
    <w:qFormat/>
    <w:uiPriority w:val="0"/>
    <w:pPr>
      <w:spacing w:line="500" w:lineRule="exact"/>
      <w:ind w:firstLine="420" w:firstLineChars="200"/>
    </w:pPr>
  </w:style>
  <w:style w:type="paragraph" w:styleId="46">
    <w:name w:val="Body Text First Indent 2"/>
    <w:basedOn w:val="20"/>
    <w:qFormat/>
    <w:uiPriority w:val="6"/>
    <w:pPr>
      <w:ind w:firstLine="420"/>
      <w:jc w:val="left"/>
    </w:pPr>
    <w:rPr>
      <w:rFonts w:cs="Calibri"/>
      <w:kern w:val="0"/>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basedOn w:val="49"/>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character" w:customStyle="1" w:styleId="62">
    <w:name w:val="页眉 字符"/>
    <w:basedOn w:val="49"/>
    <w:link w:val="31"/>
    <w:qFormat/>
    <w:uiPriority w:val="0"/>
    <w:rPr>
      <w:sz w:val="18"/>
      <w:szCs w:val="18"/>
    </w:rPr>
  </w:style>
  <w:style w:type="character" w:customStyle="1" w:styleId="63">
    <w:name w:val="页脚 字符"/>
    <w:basedOn w:val="49"/>
    <w:link w:val="30"/>
    <w:qFormat/>
    <w:uiPriority w:val="0"/>
    <w:rPr>
      <w:sz w:val="18"/>
      <w:szCs w:val="18"/>
    </w:rPr>
  </w:style>
  <w:style w:type="character" w:customStyle="1" w:styleId="64">
    <w:name w:val="标题 1 字符"/>
    <w:basedOn w:val="49"/>
    <w:link w:val="3"/>
    <w:qFormat/>
    <w:uiPriority w:val="0"/>
    <w:rPr>
      <w:rFonts w:ascii="Times New Roman" w:hAnsi="Times New Roman" w:eastAsia="宋体" w:cs="Times New Roman"/>
      <w:b/>
      <w:bCs/>
      <w:kern w:val="0"/>
      <w:sz w:val="24"/>
      <w:szCs w:val="20"/>
    </w:rPr>
  </w:style>
  <w:style w:type="character" w:customStyle="1" w:styleId="65">
    <w:name w:val="标题 2 字符"/>
    <w:basedOn w:val="49"/>
    <w:link w:val="4"/>
    <w:qFormat/>
    <w:uiPriority w:val="0"/>
    <w:rPr>
      <w:rFonts w:ascii="Arial" w:hAnsi="Arial" w:eastAsia="宋体" w:cs="Times New Roman"/>
      <w:b/>
      <w:bCs/>
      <w:kern w:val="0"/>
      <w:sz w:val="24"/>
      <w:szCs w:val="32"/>
    </w:rPr>
  </w:style>
  <w:style w:type="character" w:customStyle="1" w:styleId="66">
    <w:name w:val="标题 3 字符"/>
    <w:basedOn w:val="49"/>
    <w:link w:val="5"/>
    <w:qFormat/>
    <w:uiPriority w:val="0"/>
    <w:rPr>
      <w:rFonts w:ascii="Times New Roman" w:hAnsi="Times New Roman" w:eastAsia="宋体" w:cs="Times New Roman"/>
      <w:b/>
      <w:bCs/>
      <w:kern w:val="0"/>
      <w:sz w:val="32"/>
      <w:szCs w:val="32"/>
    </w:rPr>
  </w:style>
  <w:style w:type="character" w:customStyle="1" w:styleId="67">
    <w:name w:val="标题 4 字符"/>
    <w:basedOn w:val="49"/>
    <w:link w:val="6"/>
    <w:qFormat/>
    <w:uiPriority w:val="0"/>
    <w:rPr>
      <w:rFonts w:ascii="Arial" w:hAnsi="Arial" w:eastAsia="黑体" w:cs="Times New Roman"/>
      <w:b/>
      <w:bCs/>
      <w:kern w:val="0"/>
      <w:sz w:val="28"/>
      <w:szCs w:val="28"/>
    </w:rPr>
  </w:style>
  <w:style w:type="character" w:customStyle="1" w:styleId="68">
    <w:name w:val="标题 5 字符"/>
    <w:basedOn w:val="49"/>
    <w:link w:val="7"/>
    <w:qFormat/>
    <w:uiPriority w:val="0"/>
    <w:rPr>
      <w:rFonts w:ascii="Times New Roman" w:hAnsi="Times New Roman" w:eastAsia="宋体" w:cs="Times New Roman"/>
      <w:b/>
      <w:bCs/>
      <w:kern w:val="0"/>
      <w:sz w:val="28"/>
      <w:szCs w:val="28"/>
    </w:rPr>
  </w:style>
  <w:style w:type="character" w:customStyle="1" w:styleId="69">
    <w:name w:val="标题 6 字符"/>
    <w:basedOn w:val="49"/>
    <w:link w:val="8"/>
    <w:qFormat/>
    <w:uiPriority w:val="0"/>
    <w:rPr>
      <w:rFonts w:ascii="Arial" w:hAnsi="Arial" w:eastAsia="黑体" w:cs="Times New Roman"/>
      <w:b/>
      <w:bCs/>
      <w:kern w:val="0"/>
      <w:sz w:val="24"/>
      <w:szCs w:val="24"/>
    </w:rPr>
  </w:style>
  <w:style w:type="character" w:customStyle="1" w:styleId="70">
    <w:name w:val="标题 7 字符"/>
    <w:basedOn w:val="49"/>
    <w:link w:val="9"/>
    <w:qFormat/>
    <w:uiPriority w:val="0"/>
    <w:rPr>
      <w:rFonts w:ascii="Times New Roman" w:hAnsi="Times New Roman" w:eastAsia="宋体" w:cs="Times New Roman"/>
      <w:b/>
      <w:bCs/>
      <w:kern w:val="0"/>
      <w:sz w:val="24"/>
      <w:szCs w:val="24"/>
    </w:rPr>
  </w:style>
  <w:style w:type="character" w:customStyle="1" w:styleId="71">
    <w:name w:val="标题 8 字符"/>
    <w:basedOn w:val="49"/>
    <w:link w:val="10"/>
    <w:qFormat/>
    <w:uiPriority w:val="0"/>
    <w:rPr>
      <w:rFonts w:ascii="Arial" w:hAnsi="Arial" w:eastAsia="黑体" w:cs="Times New Roman"/>
      <w:kern w:val="0"/>
      <w:sz w:val="24"/>
      <w:szCs w:val="24"/>
    </w:rPr>
  </w:style>
  <w:style w:type="character" w:customStyle="1" w:styleId="72">
    <w:name w:val="标题 9 字符"/>
    <w:basedOn w:val="49"/>
    <w:link w:val="11"/>
    <w:qFormat/>
    <w:uiPriority w:val="0"/>
    <w:rPr>
      <w:rFonts w:ascii="Arial" w:hAnsi="Arial" w:eastAsia="黑体" w:cs="Times New Roman"/>
      <w:kern w:val="0"/>
      <w:sz w:val="20"/>
      <w:szCs w:val="21"/>
    </w:rPr>
  </w:style>
  <w:style w:type="character" w:customStyle="1" w:styleId="73">
    <w:name w:val="正文文本 2 字符"/>
    <w:basedOn w:val="49"/>
    <w:link w:val="39"/>
    <w:qFormat/>
    <w:uiPriority w:val="0"/>
    <w:rPr>
      <w:rFonts w:ascii="Times New Roman" w:hAnsi="Times New Roman" w:eastAsia="宋体" w:cs="Times New Roman"/>
      <w:szCs w:val="24"/>
    </w:rPr>
  </w:style>
  <w:style w:type="character" w:customStyle="1" w:styleId="74">
    <w:name w:val="Font Style104"/>
    <w:unhideWhenUsed/>
    <w:qFormat/>
    <w:uiPriority w:val="0"/>
    <w:rPr>
      <w:rFonts w:hint="eastAsia" w:ascii="宋体" w:hAnsi="宋体" w:eastAsia="宋体"/>
      <w:spacing w:val="30"/>
      <w:sz w:val="18"/>
    </w:rPr>
  </w:style>
  <w:style w:type="character" w:customStyle="1" w:styleId="75">
    <w:name w:val="Font Style128"/>
    <w:unhideWhenUsed/>
    <w:qFormat/>
    <w:uiPriority w:val="0"/>
    <w:rPr>
      <w:rFonts w:hint="eastAsia" w:ascii="Times New Roman" w:hAnsi="Times New Roman" w:eastAsia="Times New Roman"/>
      <w:sz w:val="16"/>
    </w:rPr>
  </w:style>
  <w:style w:type="character" w:customStyle="1" w:styleId="76">
    <w:name w:val="页脚 Char1"/>
    <w:qFormat/>
    <w:uiPriority w:val="0"/>
    <w:rPr>
      <w:rFonts w:eastAsia="宋体"/>
      <w:kern w:val="2"/>
      <w:sz w:val="18"/>
      <w:szCs w:val="18"/>
      <w:lang w:val="en-US" w:eastAsia="zh-CN" w:bidi="ar-SA"/>
    </w:rPr>
  </w:style>
  <w:style w:type="character" w:customStyle="1" w:styleId="77">
    <w:name w:val="标题 4 Char"/>
    <w:basedOn w:val="49"/>
    <w:qFormat/>
    <w:uiPriority w:val="0"/>
    <w:rPr>
      <w:rFonts w:ascii="Cambria" w:hAnsi="Cambria" w:eastAsia="宋体" w:cs="Times New Roman"/>
      <w:b/>
      <w:bCs/>
      <w:sz w:val="28"/>
      <w:szCs w:val="28"/>
    </w:rPr>
  </w:style>
  <w:style w:type="character" w:customStyle="1" w:styleId="78">
    <w:name w:val="日期 Char"/>
    <w:basedOn w:val="49"/>
    <w:qFormat/>
    <w:uiPriority w:val="0"/>
    <w:rPr>
      <w:rFonts w:ascii="Times New Roman" w:hAnsi="Times New Roman" w:eastAsia="宋体" w:cs="Times New Roman"/>
      <w:szCs w:val="24"/>
    </w:rPr>
  </w:style>
  <w:style w:type="character" w:customStyle="1" w:styleId="79">
    <w:name w:val="Font Style123"/>
    <w:unhideWhenUsed/>
    <w:qFormat/>
    <w:uiPriority w:val="0"/>
    <w:rPr>
      <w:rFonts w:hint="eastAsia" w:ascii="宋体" w:hAnsi="宋体" w:eastAsia="宋体"/>
      <w:b/>
      <w:sz w:val="32"/>
    </w:rPr>
  </w:style>
  <w:style w:type="character" w:customStyle="1" w:styleId="80">
    <w:name w:val="bds_nopic2"/>
    <w:qFormat/>
    <w:uiPriority w:val="0"/>
    <w:rPr>
      <w:rFonts w:ascii="Times New Roman" w:hAnsi="Times New Roman" w:eastAsia="宋体"/>
    </w:rPr>
  </w:style>
  <w:style w:type="character" w:customStyle="1" w:styleId="81">
    <w:name w:val="lemmatitleh12"/>
    <w:qFormat/>
    <w:uiPriority w:val="0"/>
    <w:rPr>
      <w:rFonts w:ascii="Times New Roman" w:hAnsi="Times New Roman" w:eastAsia="宋体"/>
    </w:rPr>
  </w:style>
  <w:style w:type="character" w:customStyle="1" w:styleId="82">
    <w:name w:val="Char Char13"/>
    <w:qFormat/>
    <w:uiPriority w:val="0"/>
    <w:rPr>
      <w:rFonts w:eastAsia="宋体"/>
      <w:b/>
      <w:bCs/>
      <w:kern w:val="2"/>
      <w:sz w:val="24"/>
      <w:lang w:val="en-US" w:eastAsia="zh-CN" w:bidi="ar-SA"/>
    </w:rPr>
  </w:style>
  <w:style w:type="character" w:customStyle="1" w:styleId="83">
    <w:name w:val="Font Style94"/>
    <w:unhideWhenUsed/>
    <w:qFormat/>
    <w:uiPriority w:val="0"/>
    <w:rPr>
      <w:rFonts w:hint="eastAsia" w:ascii="Times New Roman" w:hAnsi="Times New Roman" w:eastAsia="Times New Roman"/>
      <w:sz w:val="28"/>
    </w:rPr>
  </w:style>
  <w:style w:type="character" w:customStyle="1" w:styleId="84">
    <w:name w:val="Font Style125"/>
    <w:unhideWhenUsed/>
    <w:qFormat/>
    <w:uiPriority w:val="0"/>
    <w:rPr>
      <w:rFonts w:hint="eastAsia" w:ascii="宋体" w:hAnsi="宋体" w:eastAsia="宋体"/>
      <w:b/>
      <w:sz w:val="26"/>
    </w:rPr>
  </w:style>
  <w:style w:type="character" w:customStyle="1" w:styleId="85">
    <w:name w:val="Font Style133"/>
    <w:unhideWhenUsed/>
    <w:qFormat/>
    <w:uiPriority w:val="0"/>
    <w:rPr>
      <w:rFonts w:hint="eastAsia" w:ascii="宋体" w:hAnsi="宋体" w:eastAsia="宋体"/>
      <w:spacing w:val="30"/>
      <w:sz w:val="24"/>
    </w:rPr>
  </w:style>
  <w:style w:type="character" w:customStyle="1" w:styleId="86">
    <w:name w:val="polysemyred"/>
    <w:qFormat/>
    <w:uiPriority w:val="0"/>
    <w:rPr>
      <w:rFonts w:ascii="Times New Roman" w:hAnsi="Times New Roman" w:eastAsia="宋体"/>
      <w:color w:val="FF6666"/>
      <w:sz w:val="18"/>
      <w:szCs w:val="18"/>
    </w:rPr>
  </w:style>
  <w:style w:type="character" w:customStyle="1" w:styleId="87">
    <w:name w:val="批注主题 字符"/>
    <w:link w:val="44"/>
    <w:qFormat/>
    <w:uiPriority w:val="0"/>
    <w:rPr>
      <w:rFonts w:ascii="Calibri" w:hAnsi="Calibri" w:eastAsia="宋体" w:cs="黑体"/>
      <w:b/>
      <w:bCs/>
      <w:szCs w:val="24"/>
    </w:rPr>
  </w:style>
  <w:style w:type="character" w:customStyle="1" w:styleId="88">
    <w:name w:val="p0 Char"/>
    <w:link w:val="89"/>
    <w:qFormat/>
    <w:uiPriority w:val="0"/>
    <w:rPr>
      <w:rFonts w:ascii="Calibri" w:hAnsi="Calibri" w:eastAsia="宋体" w:cs="黑体"/>
      <w:szCs w:val="21"/>
    </w:rPr>
  </w:style>
  <w:style w:type="paragraph" w:customStyle="1" w:styleId="89">
    <w:name w:val="p0"/>
    <w:basedOn w:val="1"/>
    <w:link w:val="88"/>
    <w:qFormat/>
    <w:uiPriority w:val="0"/>
    <w:pPr>
      <w:widowControl/>
    </w:pPr>
    <w:rPr>
      <w:rFonts w:ascii="Calibri" w:hAnsi="Calibri" w:cs="黑体"/>
      <w:szCs w:val="21"/>
    </w:rPr>
  </w:style>
  <w:style w:type="character" w:customStyle="1" w:styleId="90">
    <w:name w:val="Char Char12"/>
    <w:qFormat/>
    <w:uiPriority w:val="0"/>
    <w:rPr>
      <w:rFonts w:ascii="Arial" w:hAnsi="Arial" w:eastAsia="黑体"/>
      <w:b/>
      <w:bCs/>
      <w:kern w:val="2"/>
      <w:sz w:val="28"/>
      <w:szCs w:val="28"/>
      <w:lang w:val="en-US" w:eastAsia="zh-CN" w:bidi="ar-SA"/>
    </w:rPr>
  </w:style>
  <w:style w:type="character" w:customStyle="1" w:styleId="91">
    <w:name w:val="标题 4 Char Char"/>
    <w:qFormat/>
    <w:uiPriority w:val="0"/>
    <w:rPr>
      <w:rFonts w:ascii="Arial" w:hAnsi="Arial" w:eastAsia="宋体"/>
      <w:b/>
      <w:bCs/>
      <w:kern w:val="2"/>
      <w:sz w:val="21"/>
      <w:szCs w:val="28"/>
      <w:lang w:val="en-US" w:eastAsia="zh-CN" w:bidi="ar-SA"/>
    </w:rPr>
  </w:style>
  <w:style w:type="character" w:customStyle="1" w:styleId="92">
    <w:name w:val="font11"/>
    <w:basedOn w:val="49"/>
    <w:qFormat/>
    <w:uiPriority w:val="0"/>
    <w:rPr>
      <w:rFonts w:hint="eastAsia" w:ascii="宋体" w:hAnsi="宋体" w:eastAsia="宋体" w:cs="宋体"/>
      <w:color w:val="000000"/>
      <w:sz w:val="18"/>
      <w:szCs w:val="18"/>
      <w:u w:val="none"/>
    </w:rPr>
  </w:style>
  <w:style w:type="character" w:customStyle="1" w:styleId="93">
    <w:name w:val="font01"/>
    <w:basedOn w:val="49"/>
    <w:qFormat/>
    <w:uiPriority w:val="0"/>
    <w:rPr>
      <w:rFonts w:hint="eastAsia" w:ascii="宋体" w:hAnsi="宋体" w:eastAsia="宋体" w:cs="宋体"/>
      <w:color w:val="000000"/>
      <w:sz w:val="22"/>
      <w:szCs w:val="22"/>
      <w:u w:val="single"/>
    </w:rPr>
  </w:style>
  <w:style w:type="character" w:customStyle="1" w:styleId="94">
    <w:name w:val="sidecatalog-dot1"/>
    <w:qFormat/>
    <w:uiPriority w:val="0"/>
    <w:rPr>
      <w:rFonts w:ascii="Times New Roman" w:hAnsi="Times New Roman" w:eastAsia="宋体"/>
    </w:rPr>
  </w:style>
  <w:style w:type="character" w:customStyle="1" w:styleId="95">
    <w:name w:val="Font Style124"/>
    <w:unhideWhenUsed/>
    <w:qFormat/>
    <w:uiPriority w:val="0"/>
    <w:rPr>
      <w:rFonts w:hint="eastAsia" w:ascii="宋体" w:hAnsi="宋体" w:eastAsia="宋体"/>
      <w:spacing w:val="30"/>
      <w:sz w:val="24"/>
    </w:rPr>
  </w:style>
  <w:style w:type="character" w:customStyle="1" w:styleId="96">
    <w:name w:val="批注框文本 Char"/>
    <w:basedOn w:val="49"/>
    <w:qFormat/>
    <w:uiPriority w:val="0"/>
    <w:rPr>
      <w:rFonts w:ascii="Times New Roman" w:hAnsi="Times New Roman" w:eastAsia="宋体" w:cs="Times New Roman"/>
      <w:sz w:val="18"/>
      <w:szCs w:val="18"/>
    </w:rPr>
  </w:style>
  <w:style w:type="character" w:customStyle="1" w:styleId="97">
    <w:name w:val="批注框文本 字符"/>
    <w:link w:val="29"/>
    <w:qFormat/>
    <w:locked/>
    <w:uiPriority w:val="0"/>
    <w:rPr>
      <w:rFonts w:ascii="Calibri" w:hAnsi="Calibri" w:eastAsia="宋体" w:cs="黑体"/>
      <w:sz w:val="18"/>
      <w:szCs w:val="18"/>
    </w:rPr>
  </w:style>
  <w:style w:type="character" w:customStyle="1" w:styleId="98">
    <w:name w:val="正文文本缩进 字符"/>
    <w:basedOn w:val="49"/>
    <w:link w:val="20"/>
    <w:qFormat/>
    <w:uiPriority w:val="0"/>
    <w:rPr>
      <w:rFonts w:ascii="Calibri" w:hAnsi="Calibri" w:eastAsia="宋体" w:cs="黑体"/>
      <w:szCs w:val="24"/>
    </w:rPr>
  </w:style>
  <w:style w:type="character" w:customStyle="1" w:styleId="99">
    <w:name w:val="bds_more9"/>
    <w:qFormat/>
    <w:uiPriority w:val="0"/>
    <w:rPr>
      <w:rFonts w:ascii="Times New Roman" w:hAnsi="Times New Roman" w:eastAsia="宋体"/>
    </w:rPr>
  </w:style>
  <w:style w:type="character" w:customStyle="1" w:styleId="100">
    <w:name w:val="Char Char17"/>
    <w:qFormat/>
    <w:uiPriority w:val="0"/>
    <w:rPr>
      <w:rFonts w:ascii="宋体" w:hAnsi="Times New Roman" w:eastAsia="宋体"/>
      <w:b/>
      <w:sz w:val="28"/>
      <w:lang w:val="en-US" w:eastAsia="zh-CN" w:bidi="ar-SA"/>
    </w:rPr>
  </w:style>
  <w:style w:type="character" w:customStyle="1" w:styleId="101">
    <w:name w:val="标题 字符"/>
    <w:basedOn w:val="49"/>
    <w:link w:val="43"/>
    <w:qFormat/>
    <w:uiPriority w:val="0"/>
    <w:rPr>
      <w:rFonts w:ascii="Cambria" w:hAnsi="Cambria" w:eastAsia="宋体" w:cs="Times New Roman"/>
      <w:b/>
      <w:sz w:val="32"/>
      <w:szCs w:val="24"/>
    </w:rPr>
  </w:style>
  <w:style w:type="character" w:customStyle="1" w:styleId="102">
    <w:name w:val="正文文本缩进 2 字符"/>
    <w:basedOn w:val="49"/>
    <w:link w:val="28"/>
    <w:qFormat/>
    <w:uiPriority w:val="0"/>
    <w:rPr>
      <w:rFonts w:ascii="Times New Roman" w:hAnsi="Times New Roman" w:eastAsia="宋体" w:cs="Times New Roman"/>
      <w:szCs w:val="24"/>
    </w:rPr>
  </w:style>
  <w:style w:type="character" w:customStyle="1" w:styleId="103">
    <w:name w:val="Font Style105"/>
    <w:unhideWhenUsed/>
    <w:qFormat/>
    <w:uiPriority w:val="0"/>
    <w:rPr>
      <w:rFonts w:hint="eastAsia" w:ascii="Times New Roman" w:hAnsi="Times New Roman" w:eastAsia="Times New Roman"/>
      <w:w w:val="60"/>
      <w:sz w:val="26"/>
    </w:rPr>
  </w:style>
  <w:style w:type="character" w:customStyle="1" w:styleId="104">
    <w:name w:val="标题 6 Char"/>
    <w:basedOn w:val="49"/>
    <w:qFormat/>
    <w:uiPriority w:val="0"/>
    <w:rPr>
      <w:rFonts w:ascii="Cambria" w:hAnsi="Cambria" w:eastAsia="宋体" w:cs="Times New Roman"/>
      <w:b/>
      <w:bCs/>
      <w:sz w:val="24"/>
      <w:szCs w:val="24"/>
    </w:rPr>
  </w:style>
  <w:style w:type="character" w:customStyle="1" w:styleId="105">
    <w:name w:val="morelink-item"/>
    <w:qFormat/>
    <w:uiPriority w:val="0"/>
    <w:rPr>
      <w:rFonts w:ascii="Times New Roman" w:hAnsi="Times New Roman" w:eastAsia="宋体"/>
    </w:rPr>
  </w:style>
  <w:style w:type="character" w:customStyle="1" w:styleId="106">
    <w:name w:val="bds_more7"/>
    <w:qFormat/>
    <w:uiPriority w:val="0"/>
    <w:rPr>
      <w:rFonts w:ascii="Times New Roman" w:hAnsi="Times New Roman" w:eastAsia="宋体"/>
    </w:rPr>
  </w:style>
  <w:style w:type="character" w:customStyle="1" w:styleId="107">
    <w:name w:val="纯文本 字符"/>
    <w:basedOn w:val="49"/>
    <w:link w:val="25"/>
    <w:qFormat/>
    <w:uiPriority w:val="0"/>
    <w:rPr>
      <w:rFonts w:ascii="宋体" w:hAnsi="Courier New" w:eastAsia="宋体" w:cs="Courier New"/>
      <w:szCs w:val="21"/>
    </w:rPr>
  </w:style>
  <w:style w:type="character" w:customStyle="1" w:styleId="108">
    <w:name w:val="Char Char16"/>
    <w:qFormat/>
    <w:uiPriority w:val="0"/>
    <w:rPr>
      <w:rFonts w:ascii="宋体" w:hAnsi="Times New Roman" w:eastAsia="宋体"/>
      <w:b/>
      <w:sz w:val="24"/>
      <w:lang w:val="en-US" w:eastAsia="zh-CN" w:bidi="ar-SA"/>
    </w:rPr>
  </w:style>
  <w:style w:type="character" w:customStyle="1" w:styleId="109">
    <w:name w:val="批注主题 Char"/>
    <w:basedOn w:val="110"/>
    <w:qFormat/>
    <w:uiPriority w:val="0"/>
    <w:rPr>
      <w:rFonts w:ascii="Times New Roman" w:hAnsi="Times New Roman" w:eastAsia="宋体" w:cs="Times New Roman"/>
      <w:b/>
      <w:bCs/>
      <w:szCs w:val="24"/>
    </w:rPr>
  </w:style>
  <w:style w:type="character" w:customStyle="1" w:styleId="110">
    <w:name w:val="批注文字 字符"/>
    <w:basedOn w:val="49"/>
    <w:link w:val="16"/>
    <w:qFormat/>
    <w:uiPriority w:val="99"/>
    <w:rPr>
      <w:rFonts w:ascii="Times New Roman" w:hAnsi="Times New Roman" w:eastAsia="宋体" w:cs="Times New Roman"/>
      <w:szCs w:val="24"/>
    </w:rPr>
  </w:style>
  <w:style w:type="character" w:customStyle="1" w:styleId="111">
    <w:name w:val="Font Style126"/>
    <w:unhideWhenUsed/>
    <w:qFormat/>
    <w:uiPriority w:val="0"/>
    <w:rPr>
      <w:rFonts w:hint="eastAsia" w:ascii="宋体" w:hAnsi="宋体" w:eastAsia="宋体"/>
      <w:b/>
      <w:spacing w:val="-30"/>
      <w:sz w:val="28"/>
    </w:rPr>
  </w:style>
  <w:style w:type="character" w:customStyle="1" w:styleId="112">
    <w:name w:val="标题 Char1"/>
    <w:qFormat/>
    <w:uiPriority w:val="0"/>
    <w:rPr>
      <w:rFonts w:ascii="Cambria" w:hAnsi="Cambria" w:eastAsia="宋体" w:cs="Times New Roman"/>
      <w:b/>
      <w:bCs/>
      <w:sz w:val="32"/>
      <w:szCs w:val="32"/>
    </w:rPr>
  </w:style>
  <w:style w:type="character" w:customStyle="1" w:styleId="113">
    <w:name w:val="plus"/>
    <w:qFormat/>
    <w:uiPriority w:val="0"/>
    <w:rPr>
      <w:rFonts w:ascii="Times New Roman" w:hAnsi="Times New Roman" w:eastAsia="宋体"/>
      <w:b/>
      <w:vanish/>
      <w:color w:val="1F8DEF"/>
      <w:sz w:val="24"/>
      <w:szCs w:val="24"/>
    </w:rPr>
  </w:style>
  <w:style w:type="character" w:customStyle="1" w:styleId="114">
    <w:name w:val="HTML 预设格式 字符"/>
    <w:basedOn w:val="49"/>
    <w:link w:val="40"/>
    <w:qFormat/>
    <w:uiPriority w:val="0"/>
    <w:rPr>
      <w:rFonts w:ascii="Arial" w:hAnsi="Arial" w:eastAsia="宋体" w:cs="Arial"/>
      <w:kern w:val="0"/>
      <w:sz w:val="24"/>
      <w:szCs w:val="24"/>
    </w:rPr>
  </w:style>
  <w:style w:type="character" w:customStyle="1" w:styleId="115">
    <w:name w:val="称呼 字符"/>
    <w:basedOn w:val="49"/>
    <w:link w:val="17"/>
    <w:qFormat/>
    <w:uiPriority w:val="0"/>
    <w:rPr>
      <w:rFonts w:ascii="仿宋_GB2312" w:hAnsi="Times New Roman" w:eastAsia="仿宋_GB2312" w:cs="Times New Roman"/>
      <w:sz w:val="24"/>
      <w:szCs w:val="24"/>
    </w:rPr>
  </w:style>
  <w:style w:type="character" w:customStyle="1" w:styleId="116">
    <w:name w:val="批注文字 Char Char"/>
    <w:qFormat/>
    <w:uiPriority w:val="0"/>
    <w:rPr>
      <w:kern w:val="2"/>
      <w:sz w:val="21"/>
      <w:szCs w:val="24"/>
      <w:lang w:bidi="ar-SA"/>
    </w:rPr>
  </w:style>
  <w:style w:type="character" w:customStyle="1" w:styleId="117">
    <w:name w:val="p0 Char Char"/>
    <w:qFormat/>
    <w:uiPriority w:val="0"/>
    <w:rPr>
      <w:rFonts w:eastAsia="宋体"/>
      <w:kern w:val="2"/>
      <w:sz w:val="21"/>
      <w:szCs w:val="21"/>
      <w:lang w:val="en-US" w:eastAsia="zh-CN" w:bidi="ar-SA"/>
    </w:rPr>
  </w:style>
  <w:style w:type="character" w:customStyle="1" w:styleId="118">
    <w:name w:val="正文文本 字符"/>
    <w:basedOn w:val="49"/>
    <w:link w:val="19"/>
    <w:qFormat/>
    <w:uiPriority w:val="99"/>
    <w:rPr>
      <w:rFonts w:ascii="Times New Roman" w:hAnsi="Times New Roman" w:eastAsia="宋体" w:cs="Times New Roman"/>
      <w:szCs w:val="24"/>
    </w:rPr>
  </w:style>
  <w:style w:type="character" w:customStyle="1" w:styleId="119">
    <w:name w:val="批注文字 Char1"/>
    <w:qFormat/>
    <w:uiPriority w:val="0"/>
    <w:rPr>
      <w:rFonts w:eastAsia="宋体"/>
      <w:kern w:val="2"/>
      <w:sz w:val="21"/>
      <w:szCs w:val="24"/>
      <w:lang w:val="en-US" w:eastAsia="zh-CN" w:bidi="ar-SA"/>
    </w:rPr>
  </w:style>
  <w:style w:type="character" w:customStyle="1" w:styleId="120">
    <w:name w:val="Font Style131"/>
    <w:unhideWhenUsed/>
    <w:qFormat/>
    <w:uiPriority w:val="0"/>
    <w:rPr>
      <w:rFonts w:hint="eastAsia" w:ascii="Times New Roman" w:hAnsi="Times New Roman" w:eastAsia="Times New Roman"/>
      <w:sz w:val="18"/>
    </w:rPr>
  </w:style>
  <w:style w:type="character" w:customStyle="1" w:styleId="121">
    <w:name w:val="Font Style127"/>
    <w:unhideWhenUsed/>
    <w:qFormat/>
    <w:uiPriority w:val="0"/>
    <w:rPr>
      <w:rFonts w:hint="eastAsia" w:ascii="Times New Roman" w:hAnsi="Times New Roman" w:eastAsia="Times New Roman"/>
      <w:sz w:val="20"/>
    </w:rPr>
  </w:style>
  <w:style w:type="character" w:customStyle="1" w:styleId="122">
    <w:name w:val="Font Style122"/>
    <w:unhideWhenUsed/>
    <w:qFormat/>
    <w:uiPriority w:val="0"/>
    <w:rPr>
      <w:rFonts w:hint="eastAsia" w:ascii="宋体" w:hAnsi="宋体" w:eastAsia="宋体"/>
      <w:spacing w:val="20"/>
      <w:sz w:val="24"/>
    </w:rPr>
  </w:style>
  <w:style w:type="character" w:customStyle="1" w:styleId="123">
    <w:name w:val="标题 3 Char"/>
    <w:basedOn w:val="49"/>
    <w:qFormat/>
    <w:uiPriority w:val="0"/>
    <w:rPr>
      <w:rFonts w:ascii="Times New Roman" w:hAnsi="Times New Roman" w:eastAsia="宋体" w:cs="Times New Roman"/>
      <w:b/>
      <w:bCs/>
      <w:sz w:val="32"/>
      <w:szCs w:val="32"/>
    </w:rPr>
  </w:style>
  <w:style w:type="character" w:customStyle="1" w:styleId="124">
    <w:name w:val="sidecatalog-dot"/>
    <w:qFormat/>
    <w:uiPriority w:val="0"/>
    <w:rPr>
      <w:rFonts w:ascii="Times New Roman" w:hAnsi="Times New Roman" w:eastAsia="宋体"/>
    </w:rPr>
  </w:style>
  <w:style w:type="character" w:customStyle="1" w:styleId="125">
    <w:name w:val="正文文本缩进 3 字符"/>
    <w:link w:val="36"/>
    <w:qFormat/>
    <w:uiPriority w:val="0"/>
    <w:rPr>
      <w:rFonts w:ascii="Calibri" w:hAnsi="Calibri" w:eastAsia="宋体" w:cs="黑体"/>
      <w:sz w:val="16"/>
      <w:szCs w:val="16"/>
    </w:rPr>
  </w:style>
  <w:style w:type="character" w:customStyle="1" w:styleId="126">
    <w:name w:val="副标题 字符"/>
    <w:basedOn w:val="49"/>
    <w:link w:val="34"/>
    <w:qFormat/>
    <w:uiPriority w:val="99"/>
    <w:rPr>
      <w:sz w:val="18"/>
      <w:szCs w:val="18"/>
    </w:rPr>
  </w:style>
  <w:style w:type="character" w:customStyle="1" w:styleId="127">
    <w:name w:val="页码1"/>
    <w:qFormat/>
    <w:uiPriority w:val="0"/>
    <w:rPr>
      <w:lang w:val="zh-TW" w:eastAsia="zh-TW"/>
    </w:rPr>
  </w:style>
  <w:style w:type="character" w:customStyle="1" w:styleId="128">
    <w:name w:val="文档结构图 字符"/>
    <w:basedOn w:val="49"/>
    <w:link w:val="14"/>
    <w:qFormat/>
    <w:uiPriority w:val="0"/>
    <w:rPr>
      <w:rFonts w:ascii="Times New Roman" w:hAnsi="Times New Roman" w:eastAsia="宋体" w:cs="Times New Roman"/>
      <w:szCs w:val="24"/>
      <w:shd w:val="clear" w:color="auto" w:fill="000080"/>
    </w:rPr>
  </w:style>
  <w:style w:type="character" w:customStyle="1" w:styleId="129">
    <w:name w:val="标题 1 Char"/>
    <w:basedOn w:val="49"/>
    <w:qFormat/>
    <w:uiPriority w:val="0"/>
    <w:rPr>
      <w:rFonts w:ascii="Times New Roman" w:hAnsi="Times New Roman" w:eastAsia="宋体" w:cs="Times New Roman"/>
      <w:b/>
      <w:bCs/>
      <w:kern w:val="44"/>
      <w:sz w:val="44"/>
      <w:szCs w:val="44"/>
    </w:rPr>
  </w:style>
  <w:style w:type="character" w:customStyle="1" w:styleId="130">
    <w:name w:val="bds_nopic"/>
    <w:qFormat/>
    <w:uiPriority w:val="0"/>
    <w:rPr>
      <w:rFonts w:ascii="Times New Roman" w:hAnsi="Times New Roman" w:eastAsia="宋体"/>
    </w:rPr>
  </w:style>
  <w:style w:type="character" w:customStyle="1" w:styleId="131">
    <w:name w:val="Font Style116"/>
    <w:unhideWhenUsed/>
    <w:qFormat/>
    <w:uiPriority w:val="0"/>
    <w:rPr>
      <w:rFonts w:hint="eastAsia" w:ascii="宋体" w:hAnsi="宋体" w:eastAsia="宋体"/>
      <w:spacing w:val="-20"/>
      <w:sz w:val="24"/>
    </w:rPr>
  </w:style>
  <w:style w:type="character" w:customStyle="1" w:styleId="132">
    <w:name w:val="标题 2 Char"/>
    <w:basedOn w:val="49"/>
    <w:qFormat/>
    <w:uiPriority w:val="0"/>
    <w:rPr>
      <w:rFonts w:ascii="Cambria" w:hAnsi="Cambria" w:eastAsia="宋体" w:cs="Times New Roman"/>
      <w:b/>
      <w:bCs/>
      <w:sz w:val="32"/>
      <w:szCs w:val="32"/>
    </w:rPr>
  </w:style>
  <w:style w:type="character" w:customStyle="1" w:styleId="133">
    <w:name w:val="纯文本 Char1"/>
    <w:basedOn w:val="49"/>
    <w:qFormat/>
    <w:uiPriority w:val="0"/>
    <w:rPr>
      <w:rFonts w:ascii="宋体" w:hAnsi="Courier New" w:eastAsia="宋体" w:cs="Courier New"/>
      <w:kern w:val="2"/>
      <w:sz w:val="21"/>
      <w:szCs w:val="21"/>
    </w:rPr>
  </w:style>
  <w:style w:type="character" w:customStyle="1" w:styleId="134">
    <w:name w:val="Font Style117"/>
    <w:unhideWhenUsed/>
    <w:qFormat/>
    <w:uiPriority w:val="0"/>
    <w:rPr>
      <w:rFonts w:hint="eastAsia" w:ascii="宋体" w:hAnsi="宋体" w:eastAsia="宋体"/>
      <w:spacing w:val="20"/>
      <w:sz w:val="24"/>
    </w:rPr>
  </w:style>
  <w:style w:type="character" w:customStyle="1" w:styleId="135">
    <w:name w:val="正文文本缩进 3 Char"/>
    <w:basedOn w:val="49"/>
    <w:qFormat/>
    <w:uiPriority w:val="0"/>
    <w:rPr>
      <w:rFonts w:ascii="Times New Roman" w:hAnsi="Times New Roman" w:eastAsia="宋体" w:cs="Times New Roman"/>
      <w:sz w:val="16"/>
      <w:szCs w:val="16"/>
    </w:rPr>
  </w:style>
  <w:style w:type="character" w:customStyle="1" w:styleId="136">
    <w:name w:val="Font Style90"/>
    <w:unhideWhenUsed/>
    <w:qFormat/>
    <w:uiPriority w:val="0"/>
    <w:rPr>
      <w:rFonts w:hint="eastAsia" w:ascii="宋体" w:hAnsi="宋体" w:eastAsia="宋体"/>
      <w:b/>
      <w:spacing w:val="-20"/>
      <w:sz w:val="40"/>
    </w:rPr>
  </w:style>
  <w:style w:type="character" w:customStyle="1" w:styleId="137">
    <w:name w:val="sidecatalog-index2"/>
    <w:qFormat/>
    <w:uiPriority w:val="0"/>
    <w:rPr>
      <w:rFonts w:ascii="Arail" w:hAnsi="Arail" w:eastAsia="Arail" w:cs="Arail"/>
      <w:color w:val="999999"/>
      <w:sz w:val="21"/>
      <w:szCs w:val="21"/>
    </w:rPr>
  </w:style>
  <w:style w:type="character" w:customStyle="1" w:styleId="138">
    <w:name w:val="标题 Char"/>
    <w:basedOn w:val="49"/>
    <w:qFormat/>
    <w:uiPriority w:val="0"/>
    <w:rPr>
      <w:rFonts w:ascii="Cambria" w:hAnsi="Cambria" w:eastAsia="宋体" w:cs="Times New Roman"/>
      <w:b/>
      <w:bCs/>
      <w:sz w:val="32"/>
      <w:szCs w:val="32"/>
    </w:rPr>
  </w:style>
  <w:style w:type="character" w:customStyle="1" w:styleId="139">
    <w:name w:val="font41"/>
    <w:basedOn w:val="49"/>
    <w:qFormat/>
    <w:uiPriority w:val="0"/>
    <w:rPr>
      <w:rFonts w:hint="eastAsia" w:ascii="宋体" w:hAnsi="宋体" w:eastAsia="宋体" w:cs="宋体"/>
      <w:color w:val="000000"/>
      <w:sz w:val="22"/>
      <w:szCs w:val="22"/>
      <w:u w:val="single"/>
    </w:rPr>
  </w:style>
  <w:style w:type="character" w:customStyle="1" w:styleId="140">
    <w:name w:val="日期 字符"/>
    <w:link w:val="27"/>
    <w:qFormat/>
    <w:uiPriority w:val="0"/>
    <w:rPr>
      <w:rFonts w:ascii="Calibri" w:hAnsi="Calibri" w:eastAsia="宋体" w:cs="黑体"/>
      <w:sz w:val="24"/>
    </w:rPr>
  </w:style>
  <w:style w:type="character" w:customStyle="1" w:styleId="141">
    <w:name w:val="Font Style86"/>
    <w:unhideWhenUsed/>
    <w:qFormat/>
    <w:uiPriority w:val="0"/>
    <w:rPr>
      <w:rFonts w:hint="eastAsia" w:ascii="黑体" w:hAnsi="黑体" w:eastAsia="黑体"/>
      <w:spacing w:val="10"/>
      <w:sz w:val="30"/>
    </w:rPr>
  </w:style>
  <w:style w:type="character" w:customStyle="1" w:styleId="142">
    <w:name w:val="Font Style121"/>
    <w:unhideWhenUsed/>
    <w:qFormat/>
    <w:uiPriority w:val="0"/>
    <w:rPr>
      <w:rFonts w:hint="eastAsia" w:ascii="宋体" w:hAnsi="宋体" w:eastAsia="宋体"/>
      <w:spacing w:val="-10"/>
      <w:sz w:val="30"/>
    </w:rPr>
  </w:style>
  <w:style w:type="character" w:customStyle="1" w:styleId="143">
    <w:name w:val="Font Style134"/>
    <w:unhideWhenUsed/>
    <w:qFormat/>
    <w:uiPriority w:val="0"/>
    <w:rPr>
      <w:rFonts w:hint="eastAsia" w:ascii="宋体" w:hAnsi="宋体" w:eastAsia="宋体"/>
      <w:spacing w:val="20"/>
      <w:sz w:val="22"/>
    </w:rPr>
  </w:style>
  <w:style w:type="character" w:customStyle="1" w:styleId="144">
    <w:name w:val="页眉 Char1"/>
    <w:qFormat/>
    <w:uiPriority w:val="0"/>
    <w:rPr>
      <w:rFonts w:eastAsia="宋体"/>
      <w:kern w:val="2"/>
      <w:sz w:val="18"/>
      <w:szCs w:val="18"/>
      <w:lang w:val="en-US" w:eastAsia="zh-CN" w:bidi="ar-SA"/>
    </w:rPr>
  </w:style>
  <w:style w:type="character" w:customStyle="1" w:styleId="145">
    <w:name w:val="sort"/>
    <w:qFormat/>
    <w:uiPriority w:val="0"/>
    <w:rPr>
      <w:rFonts w:ascii="Times New Roman" w:hAnsi="Times New Roman" w:eastAsia="宋体"/>
      <w:color w:val="FFFFFF"/>
      <w:bdr w:val="single" w:color="auto" w:sz="24" w:space="0"/>
    </w:rPr>
  </w:style>
  <w:style w:type="character" w:customStyle="1" w:styleId="146">
    <w:name w:val="Font Style115"/>
    <w:unhideWhenUsed/>
    <w:qFormat/>
    <w:uiPriority w:val="0"/>
    <w:rPr>
      <w:rFonts w:hint="eastAsia" w:ascii="Times New Roman" w:hAnsi="Times New Roman" w:eastAsia="Times New Roman"/>
      <w:sz w:val="16"/>
    </w:rPr>
  </w:style>
  <w:style w:type="character" w:customStyle="1" w:styleId="147">
    <w:name w:val="bds_more6"/>
    <w:qFormat/>
    <w:uiPriority w:val="0"/>
    <w:rPr>
      <w:rFonts w:hint="eastAsia" w:ascii="宋体" w:hAnsi="宋体" w:eastAsia="宋体" w:cs="宋体"/>
    </w:rPr>
  </w:style>
  <w:style w:type="character" w:customStyle="1" w:styleId="148">
    <w:name w:val="标题 8 Char"/>
    <w:basedOn w:val="49"/>
    <w:qFormat/>
    <w:uiPriority w:val="0"/>
    <w:rPr>
      <w:rFonts w:ascii="Cambria" w:hAnsi="Cambria" w:eastAsia="宋体" w:cs="Times New Roman"/>
      <w:sz w:val="24"/>
      <w:szCs w:val="24"/>
    </w:rPr>
  </w:style>
  <w:style w:type="character" w:customStyle="1" w:styleId="149">
    <w:name w:val="正文文本 3 字符"/>
    <w:basedOn w:val="49"/>
    <w:link w:val="18"/>
    <w:qFormat/>
    <w:uiPriority w:val="0"/>
    <w:rPr>
      <w:rFonts w:ascii="宋体" w:hAnsi="Times New Roman" w:eastAsia="宋体" w:cs="Times New Roman"/>
      <w:color w:val="000000"/>
      <w:kern w:val="0"/>
      <w:sz w:val="24"/>
      <w:szCs w:val="20"/>
    </w:rPr>
  </w:style>
  <w:style w:type="character" w:customStyle="1" w:styleId="150">
    <w:name w:val="font71"/>
    <w:basedOn w:val="49"/>
    <w:qFormat/>
    <w:uiPriority w:val="0"/>
    <w:rPr>
      <w:rFonts w:hint="eastAsia" w:ascii="宋体" w:hAnsi="宋体" w:eastAsia="宋体" w:cs="宋体"/>
      <w:b/>
      <w:color w:val="000000"/>
      <w:sz w:val="22"/>
      <w:szCs w:val="22"/>
      <w:u w:val="none"/>
    </w:rPr>
  </w:style>
  <w:style w:type="character" w:customStyle="1" w:styleId="151">
    <w:name w:val="font21"/>
    <w:basedOn w:val="49"/>
    <w:qFormat/>
    <w:uiPriority w:val="0"/>
    <w:rPr>
      <w:rFonts w:hint="eastAsia" w:ascii="宋体" w:hAnsi="宋体" w:eastAsia="宋体" w:cs="宋体"/>
      <w:color w:val="000000"/>
      <w:sz w:val="18"/>
      <w:szCs w:val="18"/>
      <w:u w:val="none"/>
    </w:rPr>
  </w:style>
  <w:style w:type="character" w:customStyle="1" w:styleId="152">
    <w:name w:val="标题 9 Char"/>
    <w:basedOn w:val="49"/>
    <w:qFormat/>
    <w:uiPriority w:val="0"/>
    <w:rPr>
      <w:rFonts w:ascii="Cambria" w:hAnsi="Cambria" w:eastAsia="宋体" w:cs="Times New Roman"/>
      <w:szCs w:val="21"/>
    </w:rPr>
  </w:style>
  <w:style w:type="character" w:customStyle="1" w:styleId="153">
    <w:name w:val="Char Char14"/>
    <w:qFormat/>
    <w:uiPriority w:val="0"/>
    <w:rPr>
      <w:rFonts w:ascii="Arial" w:hAnsi="Arial" w:eastAsia="黑体"/>
      <w:b/>
      <w:bCs/>
      <w:sz w:val="28"/>
      <w:szCs w:val="28"/>
      <w:lang w:val="en-US" w:eastAsia="zh-CN" w:bidi="ar-SA"/>
    </w:rPr>
  </w:style>
  <w:style w:type="character" w:customStyle="1" w:styleId="154">
    <w:name w:val="Font Style119"/>
    <w:unhideWhenUsed/>
    <w:qFormat/>
    <w:uiPriority w:val="0"/>
    <w:rPr>
      <w:rFonts w:hint="eastAsia" w:ascii="宋体" w:hAnsi="宋体" w:eastAsia="宋体"/>
      <w:sz w:val="24"/>
    </w:rPr>
  </w:style>
  <w:style w:type="character" w:customStyle="1" w:styleId="155">
    <w:name w:val="标题 5 Char"/>
    <w:basedOn w:val="49"/>
    <w:qFormat/>
    <w:uiPriority w:val="0"/>
    <w:rPr>
      <w:rFonts w:ascii="Times New Roman" w:hAnsi="Times New Roman" w:eastAsia="宋体" w:cs="Times New Roman"/>
      <w:b/>
      <w:bCs/>
      <w:sz w:val="28"/>
      <w:szCs w:val="28"/>
    </w:rPr>
  </w:style>
  <w:style w:type="character" w:customStyle="1" w:styleId="156">
    <w:name w:val="Char Char15"/>
    <w:qFormat/>
    <w:uiPriority w:val="0"/>
    <w:rPr>
      <w:b/>
      <w:bCs/>
      <w:sz w:val="24"/>
      <w:szCs w:val="24"/>
    </w:rPr>
  </w:style>
  <w:style w:type="character" w:customStyle="1" w:styleId="157">
    <w:name w:val="polysemyexp"/>
    <w:qFormat/>
    <w:uiPriority w:val="0"/>
    <w:rPr>
      <w:rFonts w:ascii="Times New Roman" w:hAnsi="Times New Roman" w:eastAsia="宋体"/>
      <w:color w:val="AAAAAA"/>
      <w:sz w:val="18"/>
      <w:szCs w:val="18"/>
    </w:rPr>
  </w:style>
  <w:style w:type="character" w:customStyle="1" w:styleId="158">
    <w:name w:val="bds_nopic1"/>
    <w:qFormat/>
    <w:uiPriority w:val="0"/>
    <w:rPr>
      <w:rFonts w:ascii="Times New Roman" w:hAnsi="Times New Roman" w:eastAsia="宋体"/>
    </w:rPr>
  </w:style>
  <w:style w:type="character" w:customStyle="1" w:styleId="159">
    <w:name w:val="bds_more8"/>
    <w:qFormat/>
    <w:uiPriority w:val="0"/>
    <w:rPr>
      <w:rFonts w:ascii="Times New Roman" w:hAnsi="Times New Roman" w:eastAsia="宋体"/>
    </w:rPr>
  </w:style>
  <w:style w:type="character" w:customStyle="1" w:styleId="160">
    <w:name w:val="sort1"/>
    <w:qFormat/>
    <w:uiPriority w:val="0"/>
    <w:rPr>
      <w:rFonts w:ascii="Times New Roman" w:hAnsi="Times New Roman" w:eastAsia="宋体"/>
    </w:rPr>
  </w:style>
  <w:style w:type="character" w:customStyle="1" w:styleId="161">
    <w:name w:val="bds_more10"/>
    <w:qFormat/>
    <w:uiPriority w:val="0"/>
    <w:rPr>
      <w:rFonts w:ascii="Times New Roman" w:hAnsi="Times New Roman" w:eastAsia="宋体"/>
    </w:rPr>
  </w:style>
  <w:style w:type="character" w:customStyle="1" w:styleId="162">
    <w:name w:val="sidecatalog-index1"/>
    <w:qFormat/>
    <w:uiPriority w:val="0"/>
    <w:rPr>
      <w:rFonts w:ascii="Arial" w:hAnsi="Arial" w:eastAsia="宋体" w:cs="Arial"/>
      <w:b/>
      <w:color w:val="999999"/>
      <w:sz w:val="21"/>
      <w:szCs w:val="21"/>
    </w:rPr>
  </w:style>
  <w:style w:type="character" w:customStyle="1" w:styleId="163">
    <w:name w:val="标题 7 Char"/>
    <w:basedOn w:val="49"/>
    <w:qFormat/>
    <w:uiPriority w:val="0"/>
    <w:rPr>
      <w:rFonts w:ascii="Times New Roman" w:hAnsi="Times New Roman" w:eastAsia="宋体" w:cs="Times New Roman"/>
      <w:b/>
      <w:bCs/>
      <w:sz w:val="24"/>
      <w:szCs w:val="24"/>
    </w:rPr>
  </w:style>
  <w:style w:type="character" w:customStyle="1" w:styleId="164">
    <w:name w:val="desc"/>
    <w:qFormat/>
    <w:uiPriority w:val="0"/>
    <w:rPr>
      <w:rFonts w:ascii="Times New Roman" w:hAnsi="Times New Roman" w:eastAsia="宋体"/>
      <w:color w:val="000000"/>
      <w:sz w:val="18"/>
      <w:szCs w:val="18"/>
    </w:rPr>
  </w:style>
  <w:style w:type="character" w:customStyle="1" w:styleId="165">
    <w:name w:val="正文文本缩进 2 字符1"/>
    <w:basedOn w:val="49"/>
    <w:semiHidden/>
    <w:qFormat/>
    <w:uiPriority w:val="99"/>
    <w:rPr>
      <w:rFonts w:ascii="Times New Roman" w:hAnsi="Times New Roman" w:eastAsia="宋体" w:cs="Times New Roman"/>
      <w:szCs w:val="24"/>
    </w:rPr>
  </w:style>
  <w:style w:type="character" w:customStyle="1" w:styleId="166">
    <w:name w:val="正文文本缩进 字符1"/>
    <w:basedOn w:val="49"/>
    <w:semiHidden/>
    <w:qFormat/>
    <w:uiPriority w:val="99"/>
    <w:rPr>
      <w:rFonts w:ascii="Times New Roman" w:hAnsi="Times New Roman" w:eastAsia="宋体" w:cs="Times New Roman"/>
      <w:szCs w:val="24"/>
    </w:rPr>
  </w:style>
  <w:style w:type="character" w:customStyle="1" w:styleId="167">
    <w:name w:val="正文文本 3 字符1"/>
    <w:basedOn w:val="49"/>
    <w:semiHidden/>
    <w:qFormat/>
    <w:uiPriority w:val="99"/>
    <w:rPr>
      <w:rFonts w:ascii="Times New Roman" w:hAnsi="Times New Roman" w:eastAsia="宋体" w:cs="Times New Roman"/>
      <w:sz w:val="16"/>
      <w:szCs w:val="16"/>
    </w:rPr>
  </w:style>
  <w:style w:type="character" w:customStyle="1" w:styleId="168">
    <w:name w:val="称呼 字符1"/>
    <w:basedOn w:val="49"/>
    <w:semiHidden/>
    <w:qFormat/>
    <w:uiPriority w:val="99"/>
    <w:rPr>
      <w:rFonts w:ascii="Times New Roman" w:hAnsi="Times New Roman" w:eastAsia="宋体" w:cs="Times New Roman"/>
      <w:szCs w:val="24"/>
    </w:rPr>
  </w:style>
  <w:style w:type="character" w:customStyle="1" w:styleId="169">
    <w:name w:val="批注框文本 字符1"/>
    <w:basedOn w:val="49"/>
    <w:semiHidden/>
    <w:qFormat/>
    <w:uiPriority w:val="99"/>
    <w:rPr>
      <w:rFonts w:ascii="Times New Roman" w:hAnsi="Times New Roman" w:eastAsia="宋体" w:cs="Times New Roman"/>
      <w:sz w:val="18"/>
      <w:szCs w:val="18"/>
    </w:rPr>
  </w:style>
  <w:style w:type="character" w:customStyle="1" w:styleId="170">
    <w:name w:val="正文文本缩进 3 字符1"/>
    <w:basedOn w:val="49"/>
    <w:semiHidden/>
    <w:qFormat/>
    <w:uiPriority w:val="99"/>
    <w:rPr>
      <w:rFonts w:ascii="Times New Roman" w:hAnsi="Times New Roman" w:eastAsia="宋体" w:cs="Times New Roman"/>
      <w:sz w:val="16"/>
      <w:szCs w:val="16"/>
    </w:rPr>
  </w:style>
  <w:style w:type="character" w:customStyle="1" w:styleId="171">
    <w:name w:val="文档结构图 字符1"/>
    <w:basedOn w:val="49"/>
    <w:semiHidden/>
    <w:qFormat/>
    <w:uiPriority w:val="99"/>
    <w:rPr>
      <w:rFonts w:ascii="Microsoft YaHei UI" w:hAnsi="Times New Roman" w:eastAsia="Microsoft YaHei UI" w:cs="Times New Roman"/>
      <w:sz w:val="18"/>
      <w:szCs w:val="18"/>
    </w:rPr>
  </w:style>
  <w:style w:type="character" w:customStyle="1" w:styleId="172">
    <w:name w:val="日期 字符1"/>
    <w:basedOn w:val="49"/>
    <w:semiHidden/>
    <w:qFormat/>
    <w:uiPriority w:val="99"/>
    <w:rPr>
      <w:rFonts w:ascii="Times New Roman" w:hAnsi="Times New Roman" w:eastAsia="宋体" w:cs="Times New Roman"/>
      <w:szCs w:val="24"/>
    </w:rPr>
  </w:style>
  <w:style w:type="character" w:customStyle="1" w:styleId="173">
    <w:name w:val="正文文本 字符1"/>
    <w:basedOn w:val="49"/>
    <w:semiHidden/>
    <w:qFormat/>
    <w:uiPriority w:val="99"/>
    <w:rPr>
      <w:rFonts w:ascii="Times New Roman" w:hAnsi="Times New Roman" w:eastAsia="宋体" w:cs="Times New Roman"/>
      <w:szCs w:val="24"/>
    </w:rPr>
  </w:style>
  <w:style w:type="character" w:customStyle="1" w:styleId="174">
    <w:name w:val="批注文字 字符1"/>
    <w:basedOn w:val="49"/>
    <w:semiHidden/>
    <w:qFormat/>
    <w:uiPriority w:val="99"/>
    <w:rPr>
      <w:rFonts w:ascii="Times New Roman" w:hAnsi="Times New Roman" w:eastAsia="宋体" w:cs="Times New Roman"/>
      <w:szCs w:val="24"/>
    </w:rPr>
  </w:style>
  <w:style w:type="character" w:customStyle="1" w:styleId="175">
    <w:name w:val="HTML 预设格式 字符1"/>
    <w:basedOn w:val="49"/>
    <w:semiHidden/>
    <w:qFormat/>
    <w:uiPriority w:val="99"/>
    <w:rPr>
      <w:rFonts w:ascii="Courier New" w:hAnsi="Courier New" w:eastAsia="宋体" w:cs="Courier New"/>
      <w:sz w:val="20"/>
      <w:szCs w:val="20"/>
    </w:rPr>
  </w:style>
  <w:style w:type="character" w:customStyle="1" w:styleId="176">
    <w:name w:val="正文文本首行缩进 字符"/>
    <w:basedOn w:val="173"/>
    <w:link w:val="45"/>
    <w:qFormat/>
    <w:uiPriority w:val="0"/>
    <w:rPr>
      <w:rFonts w:ascii="Times New Roman" w:hAnsi="Times New Roman" w:eastAsia="宋体" w:cs="Times New Roman"/>
      <w:szCs w:val="24"/>
    </w:rPr>
  </w:style>
  <w:style w:type="character" w:customStyle="1" w:styleId="177">
    <w:name w:val="正文文本 2 字符1"/>
    <w:basedOn w:val="49"/>
    <w:semiHidden/>
    <w:qFormat/>
    <w:uiPriority w:val="99"/>
    <w:rPr>
      <w:rFonts w:ascii="Times New Roman" w:hAnsi="Times New Roman" w:eastAsia="宋体" w:cs="Times New Roman"/>
      <w:szCs w:val="24"/>
    </w:rPr>
  </w:style>
  <w:style w:type="character" w:customStyle="1" w:styleId="178">
    <w:name w:val="副标题 字符1"/>
    <w:basedOn w:val="49"/>
    <w:qFormat/>
    <w:uiPriority w:val="11"/>
    <w:rPr>
      <w:b/>
      <w:bCs/>
      <w:kern w:val="28"/>
      <w:sz w:val="32"/>
      <w:szCs w:val="32"/>
    </w:rPr>
  </w:style>
  <w:style w:type="character" w:customStyle="1" w:styleId="179">
    <w:name w:val="批注主题 字符1"/>
    <w:basedOn w:val="174"/>
    <w:semiHidden/>
    <w:qFormat/>
    <w:uiPriority w:val="99"/>
    <w:rPr>
      <w:rFonts w:ascii="Times New Roman" w:hAnsi="Times New Roman" w:eastAsia="宋体" w:cs="Times New Roman"/>
      <w:b/>
      <w:bCs/>
      <w:szCs w:val="24"/>
    </w:rPr>
  </w:style>
  <w:style w:type="character" w:customStyle="1" w:styleId="180">
    <w:name w:val="标题 字符1"/>
    <w:basedOn w:val="49"/>
    <w:qFormat/>
    <w:uiPriority w:val="10"/>
    <w:rPr>
      <w:rFonts w:asciiTheme="majorHAnsi" w:hAnsiTheme="majorHAnsi" w:eastAsiaTheme="majorEastAsia" w:cstheme="majorBidi"/>
      <w:b/>
      <w:bCs/>
      <w:sz w:val="32"/>
      <w:szCs w:val="32"/>
    </w:rPr>
  </w:style>
  <w:style w:type="character" w:customStyle="1" w:styleId="181">
    <w:name w:val="纯文本 字符1"/>
    <w:basedOn w:val="49"/>
    <w:semiHidden/>
    <w:qFormat/>
    <w:uiPriority w:val="99"/>
    <w:rPr>
      <w:rFonts w:hAnsi="Courier New" w:cs="Courier New" w:asciiTheme="minorEastAsia"/>
      <w:szCs w:val="24"/>
    </w:rPr>
  </w:style>
  <w:style w:type="paragraph" w:customStyle="1" w:styleId="18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3">
    <w:name w:val="Char Char Char"/>
    <w:basedOn w:val="1"/>
    <w:qFormat/>
    <w:uiPriority w:val="0"/>
    <w:rPr>
      <w:rFonts w:ascii="宋体" w:hAnsi="宋体"/>
      <w:b/>
      <w:sz w:val="28"/>
      <w:szCs w:val="28"/>
    </w:rPr>
  </w:style>
  <w:style w:type="paragraph" w:customStyle="1" w:styleId="184">
    <w:name w:val="Style29"/>
    <w:basedOn w:val="1"/>
    <w:unhideWhenUsed/>
    <w:qFormat/>
    <w:uiPriority w:val="0"/>
    <w:pPr>
      <w:spacing w:line="547" w:lineRule="exact"/>
      <w:ind w:firstLine="547"/>
    </w:pPr>
  </w:style>
  <w:style w:type="paragraph" w:customStyle="1" w:styleId="18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6">
    <w:name w:val="Style13"/>
    <w:basedOn w:val="1"/>
    <w:unhideWhenUsed/>
    <w:qFormat/>
    <w:uiPriority w:val="0"/>
  </w:style>
  <w:style w:type="paragraph" w:customStyle="1" w:styleId="18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8">
    <w:name w:val="正文缩进2"/>
    <w:basedOn w:val="1"/>
    <w:qFormat/>
    <w:uiPriority w:val="0"/>
    <w:pPr>
      <w:tabs>
        <w:tab w:val="left" w:pos="720"/>
      </w:tabs>
      <w:ind w:left="624" w:hanging="624"/>
      <w:textAlignment w:val="baseline"/>
    </w:pPr>
    <w:rPr>
      <w:rFonts w:hint="eastAsia" w:ascii="宋体"/>
    </w:rPr>
  </w:style>
  <w:style w:type="paragraph" w:customStyle="1" w:styleId="189">
    <w:name w:val="Style23"/>
    <w:basedOn w:val="1"/>
    <w:unhideWhenUsed/>
    <w:qFormat/>
    <w:uiPriority w:val="0"/>
  </w:style>
  <w:style w:type="paragraph" w:customStyle="1" w:styleId="190">
    <w:name w:val="Style81"/>
    <w:basedOn w:val="1"/>
    <w:unhideWhenUsed/>
    <w:qFormat/>
    <w:uiPriority w:val="0"/>
    <w:pPr>
      <w:spacing w:line="547" w:lineRule="exact"/>
    </w:pPr>
  </w:style>
  <w:style w:type="paragraph" w:customStyle="1" w:styleId="191">
    <w:name w:val="Style73"/>
    <w:basedOn w:val="1"/>
    <w:unhideWhenUsed/>
    <w:qFormat/>
    <w:uiPriority w:val="0"/>
    <w:pPr>
      <w:spacing w:line="538" w:lineRule="exact"/>
      <w:ind w:firstLine="533"/>
    </w:pPr>
  </w:style>
  <w:style w:type="paragraph" w:customStyle="1" w:styleId="192">
    <w:name w:val="Style47"/>
    <w:basedOn w:val="1"/>
    <w:unhideWhenUsed/>
    <w:qFormat/>
    <w:uiPriority w:val="0"/>
  </w:style>
  <w:style w:type="paragraph" w:customStyle="1" w:styleId="19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4">
    <w:name w:val="Style77"/>
    <w:basedOn w:val="1"/>
    <w:unhideWhenUsed/>
    <w:qFormat/>
    <w:uiPriority w:val="0"/>
  </w:style>
  <w:style w:type="paragraph" w:customStyle="1" w:styleId="195">
    <w:name w:val="Style8"/>
    <w:basedOn w:val="1"/>
    <w:unhideWhenUsed/>
    <w:qFormat/>
    <w:uiPriority w:val="0"/>
    <w:pPr>
      <w:spacing w:line="566" w:lineRule="exact"/>
      <w:jc w:val="center"/>
    </w:pPr>
  </w:style>
  <w:style w:type="paragraph" w:customStyle="1" w:styleId="196">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7">
    <w:name w:val="Char1 Char Char Char Char Char Char Char Char Char"/>
    <w:basedOn w:val="1"/>
    <w:qFormat/>
    <w:uiPriority w:val="0"/>
    <w:rPr>
      <w:szCs w:val="20"/>
    </w:rPr>
  </w:style>
  <w:style w:type="paragraph" w:customStyle="1" w:styleId="198">
    <w:name w:val="_Style 1"/>
    <w:basedOn w:val="1"/>
    <w:qFormat/>
    <w:uiPriority w:val="34"/>
    <w:pPr>
      <w:ind w:firstLine="420" w:firstLineChars="200"/>
    </w:pPr>
    <w:rPr>
      <w:rFonts w:ascii="Calibri" w:hAnsi="Calibri" w:cs="黑体"/>
    </w:rPr>
  </w:style>
  <w:style w:type="paragraph" w:customStyle="1" w:styleId="199">
    <w:name w:val="_Style 39"/>
    <w:basedOn w:val="200"/>
    <w:qFormat/>
    <w:uiPriority w:val="0"/>
  </w:style>
  <w:style w:type="paragraph" w:customStyle="1" w:styleId="20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Style24"/>
    <w:basedOn w:val="1"/>
    <w:unhideWhenUsed/>
    <w:qFormat/>
    <w:uiPriority w:val="0"/>
  </w:style>
  <w:style w:type="paragraph" w:customStyle="1" w:styleId="202">
    <w:name w:val="Style34"/>
    <w:basedOn w:val="1"/>
    <w:unhideWhenUsed/>
    <w:qFormat/>
    <w:uiPriority w:val="0"/>
    <w:pPr>
      <w:spacing w:line="375" w:lineRule="exact"/>
    </w:pPr>
  </w:style>
  <w:style w:type="paragraph" w:customStyle="1" w:styleId="20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4">
    <w:name w:val="Style69"/>
    <w:basedOn w:val="1"/>
    <w:unhideWhenUsed/>
    <w:qFormat/>
    <w:uiPriority w:val="0"/>
    <w:pPr>
      <w:spacing w:line="557" w:lineRule="exact"/>
      <w:ind w:firstLine="1666"/>
    </w:pPr>
  </w:style>
  <w:style w:type="paragraph" w:customStyle="1" w:styleId="20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6">
    <w:name w:val="表格内容"/>
    <w:basedOn w:val="19"/>
    <w:qFormat/>
    <w:uiPriority w:val="0"/>
    <w:pPr>
      <w:suppressLineNumbers/>
      <w:suppressAutoHyphens/>
      <w:jc w:val="left"/>
    </w:pPr>
    <w:rPr>
      <w:rFonts w:cs="Tahoma"/>
      <w:kern w:val="0"/>
      <w:sz w:val="24"/>
    </w:rPr>
  </w:style>
  <w:style w:type="paragraph" w:customStyle="1" w:styleId="207">
    <w:name w:val="Style54"/>
    <w:basedOn w:val="1"/>
    <w:unhideWhenUsed/>
    <w:qFormat/>
    <w:uiPriority w:val="0"/>
  </w:style>
  <w:style w:type="paragraph" w:customStyle="1" w:styleId="208">
    <w:name w:val="标题 31"/>
    <w:basedOn w:val="1"/>
    <w:next w:val="209"/>
    <w:qFormat/>
    <w:uiPriority w:val="0"/>
    <w:pPr>
      <w:spacing w:before="60" w:line="300" w:lineRule="auto"/>
      <w:outlineLvl w:val="2"/>
    </w:pPr>
    <w:rPr>
      <w:rFonts w:ascii="宋体" w:hAnsi="宋体"/>
      <w:snapToGrid w:val="0"/>
      <w:kern w:val="0"/>
      <w:sz w:val="24"/>
    </w:rPr>
  </w:style>
  <w:style w:type="paragraph" w:customStyle="1" w:styleId="209">
    <w:name w:val="正文缩进3"/>
    <w:basedOn w:val="1"/>
    <w:qFormat/>
    <w:uiPriority w:val="0"/>
    <w:pPr>
      <w:tabs>
        <w:tab w:val="left" w:pos="720"/>
      </w:tabs>
      <w:ind w:left="624" w:hanging="624"/>
      <w:textAlignment w:val="baseline"/>
    </w:pPr>
    <w:rPr>
      <w:rFonts w:hint="eastAsia" w:ascii="宋体"/>
    </w:rPr>
  </w:style>
  <w:style w:type="paragraph" w:customStyle="1" w:styleId="21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1">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2">
    <w:name w:val="Style21"/>
    <w:basedOn w:val="1"/>
    <w:unhideWhenUsed/>
    <w:qFormat/>
    <w:uiPriority w:val="0"/>
    <w:pPr>
      <w:spacing w:line="566" w:lineRule="exact"/>
      <w:ind w:firstLine="682"/>
    </w:pPr>
  </w:style>
  <w:style w:type="paragraph" w:customStyle="1" w:styleId="21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4">
    <w:name w:val="Style12"/>
    <w:basedOn w:val="1"/>
    <w:unhideWhenUsed/>
    <w:qFormat/>
    <w:uiPriority w:val="0"/>
    <w:pPr>
      <w:spacing w:line="564" w:lineRule="exact"/>
      <w:ind w:hanging="115"/>
    </w:pPr>
  </w:style>
  <w:style w:type="paragraph" w:customStyle="1" w:styleId="215">
    <w:name w:val="Style58"/>
    <w:basedOn w:val="1"/>
    <w:unhideWhenUsed/>
    <w:qFormat/>
    <w:uiPriority w:val="0"/>
    <w:pPr>
      <w:spacing w:line="413" w:lineRule="exact"/>
    </w:pPr>
  </w:style>
  <w:style w:type="paragraph" w:customStyle="1" w:styleId="21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7">
    <w:name w:val="默认段落字体 Para Char Char Char Char Char Char Char Char Char Char Char Char Char Char Char Char Char Char Char"/>
    <w:basedOn w:val="1"/>
    <w:qFormat/>
    <w:uiPriority w:val="0"/>
  </w:style>
  <w:style w:type="paragraph" w:customStyle="1" w:styleId="218">
    <w:name w:val="p16"/>
    <w:basedOn w:val="1"/>
    <w:qFormat/>
    <w:uiPriority w:val="0"/>
    <w:pPr>
      <w:widowControl/>
      <w:jc w:val="left"/>
    </w:pPr>
    <w:rPr>
      <w:kern w:val="0"/>
      <w:szCs w:val="21"/>
    </w:rPr>
  </w:style>
  <w:style w:type="paragraph" w:customStyle="1" w:styleId="219">
    <w:name w:val="Char Char1 Char Char Char"/>
    <w:basedOn w:val="1"/>
    <w:qFormat/>
    <w:uiPriority w:val="0"/>
    <w:rPr>
      <w:kern w:val="0"/>
      <w:sz w:val="20"/>
      <w:szCs w:val="20"/>
    </w:rPr>
  </w:style>
  <w:style w:type="paragraph" w:customStyle="1" w:styleId="220">
    <w:name w:val="Style42"/>
    <w:basedOn w:val="1"/>
    <w:unhideWhenUsed/>
    <w:qFormat/>
    <w:uiPriority w:val="0"/>
    <w:pPr>
      <w:spacing w:line="542" w:lineRule="exact"/>
      <w:ind w:firstLine="547"/>
    </w:pPr>
  </w:style>
  <w:style w:type="paragraph" w:customStyle="1" w:styleId="221">
    <w:name w:val="Style11"/>
    <w:basedOn w:val="1"/>
    <w:unhideWhenUsed/>
    <w:qFormat/>
    <w:uiPriority w:val="0"/>
    <w:pPr>
      <w:spacing w:line="559" w:lineRule="exact"/>
      <w:ind w:firstLine="590"/>
    </w:pPr>
  </w:style>
  <w:style w:type="paragraph" w:customStyle="1" w:styleId="222">
    <w:name w:val="Style27"/>
    <w:basedOn w:val="1"/>
    <w:unhideWhenUsed/>
    <w:qFormat/>
    <w:uiPriority w:val="0"/>
  </w:style>
  <w:style w:type="paragraph" w:customStyle="1" w:styleId="223">
    <w:name w:val="1"/>
    <w:basedOn w:val="1"/>
    <w:qFormat/>
    <w:uiPriority w:val="0"/>
    <w:pPr>
      <w:spacing w:afterLines="50" w:line="360" w:lineRule="auto"/>
    </w:pPr>
    <w:rPr>
      <w:rFonts w:ascii="宋体" w:hAnsi="宋体"/>
      <w:b/>
      <w:sz w:val="30"/>
      <w:szCs w:val="21"/>
    </w:rPr>
  </w:style>
  <w:style w:type="paragraph" w:customStyle="1" w:styleId="224">
    <w:name w:val="标题 311"/>
    <w:basedOn w:val="1"/>
    <w:next w:val="225"/>
    <w:qFormat/>
    <w:uiPriority w:val="0"/>
    <w:pPr>
      <w:spacing w:line="300" w:lineRule="auto"/>
      <w:outlineLvl w:val="2"/>
    </w:pPr>
    <w:rPr>
      <w:rFonts w:hint="eastAsia" w:ascii="宋体" w:hAnsi="宋体"/>
      <w:snapToGrid w:val="0"/>
      <w:kern w:val="0"/>
      <w:sz w:val="24"/>
      <w:szCs w:val="22"/>
    </w:rPr>
  </w:style>
  <w:style w:type="paragraph" w:customStyle="1" w:styleId="22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7">
    <w:name w:val="Style68"/>
    <w:basedOn w:val="1"/>
    <w:unhideWhenUsed/>
    <w:qFormat/>
    <w:uiPriority w:val="0"/>
    <w:pPr>
      <w:spacing w:line="547" w:lineRule="exact"/>
    </w:pPr>
  </w:style>
  <w:style w:type="paragraph" w:customStyle="1" w:styleId="228">
    <w:name w:val="Char1 Char Char Char"/>
    <w:basedOn w:val="1"/>
    <w:qFormat/>
    <w:uiPriority w:val="0"/>
    <w:pPr>
      <w:widowControl/>
      <w:spacing w:after="160" w:line="240" w:lineRule="exact"/>
      <w:jc w:val="left"/>
    </w:pPr>
    <w:rPr>
      <w:kern w:val="0"/>
      <w:sz w:val="24"/>
      <w:szCs w:val="20"/>
    </w:rPr>
  </w:style>
  <w:style w:type="paragraph" w:customStyle="1" w:styleId="229">
    <w:name w:val="Style46"/>
    <w:basedOn w:val="1"/>
    <w:unhideWhenUsed/>
    <w:qFormat/>
    <w:uiPriority w:val="0"/>
    <w:pPr>
      <w:spacing w:line="672" w:lineRule="exact"/>
    </w:pPr>
  </w:style>
  <w:style w:type="paragraph" w:customStyle="1" w:styleId="230">
    <w:name w:val="Style67"/>
    <w:basedOn w:val="1"/>
    <w:unhideWhenUsed/>
    <w:qFormat/>
    <w:uiPriority w:val="0"/>
    <w:pPr>
      <w:spacing w:line="566" w:lineRule="exact"/>
      <w:ind w:firstLine="552"/>
    </w:pPr>
  </w:style>
  <w:style w:type="paragraph" w:customStyle="1" w:styleId="231">
    <w:name w:val="Char1 Char Char Char 字元 Char Char 字元 Char 字元 Char1 Char Char Char"/>
    <w:basedOn w:val="1"/>
    <w:qFormat/>
    <w:uiPriority w:val="0"/>
    <w:rPr>
      <w:szCs w:val="20"/>
    </w:rPr>
  </w:style>
  <w:style w:type="paragraph" w:customStyle="1" w:styleId="232">
    <w:name w:val="Style50"/>
    <w:basedOn w:val="1"/>
    <w:unhideWhenUsed/>
    <w:qFormat/>
    <w:uiPriority w:val="0"/>
  </w:style>
  <w:style w:type="paragraph" w:customStyle="1" w:styleId="233">
    <w:name w:val="Style41"/>
    <w:basedOn w:val="1"/>
    <w:unhideWhenUsed/>
    <w:qFormat/>
    <w:uiPriority w:val="0"/>
    <w:pPr>
      <w:spacing w:line="542" w:lineRule="exact"/>
      <w:ind w:firstLine="125"/>
    </w:pPr>
  </w:style>
  <w:style w:type="paragraph" w:customStyle="1" w:styleId="234">
    <w:name w:val="Style62"/>
    <w:basedOn w:val="1"/>
    <w:unhideWhenUsed/>
    <w:qFormat/>
    <w:uiPriority w:val="0"/>
  </w:style>
  <w:style w:type="paragraph" w:customStyle="1" w:styleId="23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6">
    <w:name w:val="Style5"/>
    <w:basedOn w:val="1"/>
    <w:unhideWhenUsed/>
    <w:qFormat/>
    <w:uiPriority w:val="0"/>
  </w:style>
  <w:style w:type="paragraph" w:customStyle="1" w:styleId="23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Style15"/>
    <w:basedOn w:val="1"/>
    <w:unhideWhenUsed/>
    <w:qFormat/>
    <w:uiPriority w:val="0"/>
    <w:pPr>
      <w:spacing w:line="557" w:lineRule="exact"/>
      <w:ind w:firstLine="672"/>
    </w:pPr>
  </w:style>
  <w:style w:type="paragraph" w:customStyle="1" w:styleId="23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40">
    <w:name w:val="列出段落1"/>
    <w:basedOn w:val="1"/>
    <w:qFormat/>
    <w:uiPriority w:val="99"/>
    <w:pPr>
      <w:ind w:firstLine="420" w:firstLineChars="200"/>
    </w:pPr>
    <w:rPr>
      <w:rFonts w:ascii="Calibri" w:hAnsi="Calibri" w:cs="Calibri"/>
      <w:szCs w:val="21"/>
    </w:rPr>
  </w:style>
  <w:style w:type="paragraph" w:customStyle="1" w:styleId="24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2">
    <w:name w:val="Style44"/>
    <w:basedOn w:val="1"/>
    <w:unhideWhenUsed/>
    <w:qFormat/>
    <w:uiPriority w:val="0"/>
  </w:style>
  <w:style w:type="paragraph" w:customStyle="1" w:styleId="243">
    <w:name w:val="Char Char1 Char Char Char Char Char1 Char Char Char Char"/>
    <w:basedOn w:val="14"/>
    <w:qFormat/>
    <w:uiPriority w:val="0"/>
    <w:rPr>
      <w:rFonts w:ascii="Tahoma" w:hAnsi="Tahoma"/>
    </w:rPr>
  </w:style>
  <w:style w:type="paragraph" w:customStyle="1" w:styleId="24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5">
    <w:name w:val="标题2"/>
    <w:basedOn w:val="43"/>
    <w:qFormat/>
    <w:uiPriority w:val="0"/>
    <w:pPr>
      <w:spacing w:after="240"/>
      <w:jc w:val="left"/>
    </w:pPr>
    <w:rPr>
      <w:sz w:val="30"/>
    </w:rPr>
  </w:style>
  <w:style w:type="paragraph" w:customStyle="1" w:styleId="246">
    <w:name w:val="Style52"/>
    <w:basedOn w:val="1"/>
    <w:unhideWhenUsed/>
    <w:qFormat/>
    <w:uiPriority w:val="0"/>
    <w:pPr>
      <w:spacing w:line="682" w:lineRule="exact"/>
      <w:ind w:firstLine="557"/>
    </w:pPr>
  </w:style>
  <w:style w:type="paragraph" w:customStyle="1" w:styleId="24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8">
    <w:name w:val="Style53"/>
    <w:basedOn w:val="1"/>
    <w:unhideWhenUsed/>
    <w:qFormat/>
    <w:uiPriority w:val="0"/>
    <w:pPr>
      <w:spacing w:line="533" w:lineRule="exact"/>
      <w:ind w:firstLine="581"/>
    </w:pPr>
  </w:style>
  <w:style w:type="paragraph" w:customStyle="1" w:styleId="249">
    <w:name w:val="Style56"/>
    <w:basedOn w:val="1"/>
    <w:unhideWhenUsed/>
    <w:qFormat/>
    <w:uiPriority w:val="0"/>
  </w:style>
  <w:style w:type="paragraph" w:customStyle="1" w:styleId="250">
    <w:name w:val="Style9"/>
    <w:basedOn w:val="1"/>
    <w:unhideWhenUsed/>
    <w:qFormat/>
    <w:uiPriority w:val="0"/>
  </w:style>
  <w:style w:type="paragraph" w:customStyle="1" w:styleId="251">
    <w:name w:val="列出段落2"/>
    <w:basedOn w:val="1"/>
    <w:qFormat/>
    <w:uiPriority w:val="0"/>
    <w:pPr>
      <w:ind w:firstLine="420" w:firstLineChars="200"/>
    </w:pPr>
    <w:rPr>
      <w:rFonts w:ascii="Calibri" w:hAnsi="Calibri"/>
      <w:szCs w:val="22"/>
    </w:rPr>
  </w:style>
  <w:style w:type="paragraph" w:customStyle="1" w:styleId="252">
    <w:name w:val="1 Char Char Char Char"/>
    <w:basedOn w:val="1"/>
    <w:qFormat/>
    <w:uiPriority w:val="0"/>
  </w:style>
  <w:style w:type="paragraph" w:customStyle="1" w:styleId="253">
    <w:name w:val="标题 1 +"/>
    <w:basedOn w:val="3"/>
    <w:next w:val="1"/>
    <w:qFormat/>
    <w:uiPriority w:val="0"/>
    <w:pPr>
      <w:keepLines/>
      <w:spacing w:line="600" w:lineRule="auto"/>
    </w:pPr>
    <w:rPr>
      <w:rFonts w:eastAsia="黑体"/>
      <w:sz w:val="32"/>
      <w:szCs w:val="32"/>
    </w:rPr>
  </w:style>
  <w:style w:type="paragraph" w:customStyle="1" w:styleId="254">
    <w:name w:val="Style59"/>
    <w:basedOn w:val="1"/>
    <w:unhideWhenUsed/>
    <w:qFormat/>
    <w:uiPriority w:val="0"/>
  </w:style>
  <w:style w:type="paragraph" w:customStyle="1" w:styleId="255">
    <w:name w:val="标题 41"/>
    <w:basedOn w:val="1"/>
    <w:next w:val="225"/>
    <w:qFormat/>
    <w:uiPriority w:val="0"/>
    <w:pPr>
      <w:tabs>
        <w:tab w:val="left" w:pos="1021"/>
        <w:tab w:val="left" w:pos="1175"/>
      </w:tabs>
      <w:ind w:left="2" w:firstLine="2"/>
      <w:outlineLvl w:val="3"/>
    </w:pPr>
    <w:rPr>
      <w:snapToGrid w:val="0"/>
      <w:color w:val="000000"/>
      <w:kern w:val="0"/>
      <w:sz w:val="24"/>
      <w:szCs w:val="22"/>
    </w:rPr>
  </w:style>
  <w:style w:type="paragraph" w:customStyle="1" w:styleId="256">
    <w:name w:val="Style16"/>
    <w:basedOn w:val="1"/>
    <w:unhideWhenUsed/>
    <w:qFormat/>
    <w:uiPriority w:val="0"/>
    <w:pPr>
      <w:jc w:val="right"/>
    </w:pPr>
  </w:style>
  <w:style w:type="paragraph" w:customStyle="1" w:styleId="257">
    <w:name w:val="Style4"/>
    <w:basedOn w:val="1"/>
    <w:unhideWhenUsed/>
    <w:qFormat/>
    <w:uiPriority w:val="0"/>
  </w:style>
  <w:style w:type="paragraph" w:customStyle="1" w:styleId="258">
    <w:name w:val="Style63"/>
    <w:basedOn w:val="1"/>
    <w:unhideWhenUsed/>
    <w:qFormat/>
    <w:uiPriority w:val="0"/>
    <w:pPr>
      <w:spacing w:line="564" w:lineRule="exact"/>
      <w:ind w:firstLine="682"/>
    </w:pPr>
  </w:style>
  <w:style w:type="paragraph" w:customStyle="1" w:styleId="259">
    <w:name w:val="标题3"/>
    <w:basedOn w:val="3"/>
    <w:qFormat/>
    <w:uiPriority w:val="0"/>
    <w:pPr>
      <w:spacing w:beforeLines="50" w:afterLines="50" w:line="400" w:lineRule="exact"/>
      <w:jc w:val="both"/>
    </w:pPr>
    <w:rPr>
      <w:rFonts w:ascii="宋体" w:hAnsi="宋体"/>
      <w:kern w:val="32"/>
      <w:szCs w:val="32"/>
    </w:rPr>
  </w:style>
  <w:style w:type="paragraph" w:customStyle="1" w:styleId="260">
    <w:name w:val="Style26"/>
    <w:basedOn w:val="1"/>
    <w:unhideWhenUsed/>
    <w:qFormat/>
    <w:uiPriority w:val="0"/>
  </w:style>
  <w:style w:type="paragraph" w:customStyle="1" w:styleId="261">
    <w:name w:val="Style64"/>
    <w:basedOn w:val="1"/>
    <w:unhideWhenUsed/>
    <w:qFormat/>
    <w:uiPriority w:val="0"/>
  </w:style>
  <w:style w:type="paragraph" w:customStyle="1" w:styleId="262">
    <w:name w:val="Style48"/>
    <w:basedOn w:val="1"/>
    <w:unhideWhenUsed/>
    <w:qFormat/>
    <w:uiPriority w:val="0"/>
    <w:pPr>
      <w:spacing w:line="542" w:lineRule="exact"/>
      <w:jc w:val="right"/>
    </w:pPr>
  </w:style>
  <w:style w:type="paragraph" w:customStyle="1" w:styleId="263">
    <w:name w:val="Style70"/>
    <w:basedOn w:val="1"/>
    <w:unhideWhenUsed/>
    <w:qFormat/>
    <w:uiPriority w:val="0"/>
    <w:pPr>
      <w:spacing w:line="549" w:lineRule="exact"/>
      <w:ind w:firstLine="686"/>
    </w:pPr>
  </w:style>
  <w:style w:type="paragraph" w:customStyle="1" w:styleId="264">
    <w:name w:val="Style78"/>
    <w:basedOn w:val="1"/>
    <w:unhideWhenUsed/>
    <w:qFormat/>
    <w:uiPriority w:val="0"/>
  </w:style>
  <w:style w:type="paragraph" w:customStyle="1" w:styleId="265">
    <w:name w:val="Style60"/>
    <w:basedOn w:val="1"/>
    <w:unhideWhenUsed/>
    <w:qFormat/>
    <w:uiPriority w:val="0"/>
    <w:pPr>
      <w:spacing w:line="566" w:lineRule="exact"/>
    </w:pPr>
  </w:style>
  <w:style w:type="paragraph" w:customStyle="1" w:styleId="266">
    <w:name w:val="NO3"/>
    <w:basedOn w:val="1"/>
    <w:qFormat/>
    <w:uiPriority w:val="0"/>
    <w:pPr>
      <w:tabs>
        <w:tab w:val="left" w:pos="907"/>
      </w:tabs>
      <w:spacing w:line="360" w:lineRule="auto"/>
    </w:pPr>
    <w:rPr>
      <w:rFonts w:ascii="宋体" w:hAnsi="宋体"/>
      <w:sz w:val="24"/>
    </w:rPr>
  </w:style>
  <w:style w:type="paragraph" w:customStyle="1" w:styleId="267">
    <w:name w:val="Char"/>
    <w:basedOn w:val="1"/>
    <w:qFormat/>
    <w:uiPriority w:val="0"/>
    <w:pPr>
      <w:tabs>
        <w:tab w:val="left" w:pos="360"/>
      </w:tabs>
      <w:ind w:left="360" w:hanging="360" w:hangingChars="200"/>
    </w:pPr>
    <w:rPr>
      <w:sz w:val="24"/>
    </w:rPr>
  </w:style>
  <w:style w:type="paragraph" w:customStyle="1" w:styleId="268">
    <w:name w:val="附录标识"/>
    <w:basedOn w:val="210"/>
    <w:qFormat/>
    <w:uiPriority w:val="0"/>
    <w:pPr>
      <w:tabs>
        <w:tab w:val="left" w:pos="6405"/>
        <w:tab w:val="clear" w:pos="360"/>
        <w:tab w:val="clear" w:pos="720"/>
      </w:tabs>
      <w:spacing w:after="200"/>
    </w:pPr>
    <w:rPr>
      <w:sz w:val="21"/>
    </w:rPr>
  </w:style>
  <w:style w:type="paragraph" w:customStyle="1" w:styleId="269">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70">
    <w:name w:val="Style74"/>
    <w:basedOn w:val="1"/>
    <w:unhideWhenUsed/>
    <w:qFormat/>
    <w:uiPriority w:val="0"/>
    <w:pPr>
      <w:spacing w:line="437" w:lineRule="exact"/>
    </w:pPr>
  </w:style>
  <w:style w:type="paragraph" w:customStyle="1" w:styleId="271">
    <w:name w:val="Style36"/>
    <w:basedOn w:val="1"/>
    <w:unhideWhenUsed/>
    <w:qFormat/>
    <w:uiPriority w:val="0"/>
  </w:style>
  <w:style w:type="paragraph" w:customStyle="1" w:styleId="272">
    <w:name w:val="Style61"/>
    <w:basedOn w:val="1"/>
    <w:unhideWhenUsed/>
    <w:qFormat/>
    <w:uiPriority w:val="0"/>
  </w:style>
  <w:style w:type="paragraph" w:customStyle="1" w:styleId="273">
    <w:name w:val="标题 21"/>
    <w:basedOn w:val="1"/>
    <w:next w:val="225"/>
    <w:qFormat/>
    <w:uiPriority w:val="0"/>
    <w:pPr>
      <w:spacing w:line="300" w:lineRule="auto"/>
      <w:outlineLvl w:val="1"/>
    </w:pPr>
    <w:rPr>
      <w:rFonts w:hint="eastAsia" w:ascii="宋体" w:hAnsi="宋体"/>
      <w:b/>
      <w:snapToGrid w:val="0"/>
      <w:kern w:val="0"/>
      <w:sz w:val="28"/>
      <w:szCs w:val="22"/>
    </w:rPr>
  </w:style>
  <w:style w:type="paragraph" w:customStyle="1" w:styleId="274">
    <w:name w:val="Style76"/>
    <w:basedOn w:val="1"/>
    <w:unhideWhenUsed/>
    <w:qFormat/>
    <w:uiPriority w:val="0"/>
  </w:style>
  <w:style w:type="paragraph" w:customStyle="1" w:styleId="275">
    <w:name w:val="列表段落1"/>
    <w:basedOn w:val="1"/>
    <w:qFormat/>
    <w:uiPriority w:val="0"/>
    <w:pPr>
      <w:ind w:firstLine="420" w:firstLineChars="200"/>
    </w:pPr>
  </w:style>
  <w:style w:type="paragraph" w:customStyle="1" w:styleId="276">
    <w:name w:val="修订1"/>
    <w:qFormat/>
    <w:uiPriority w:val="0"/>
    <w:rPr>
      <w:rFonts w:ascii="Times New Roman" w:hAnsi="Times New Roman" w:eastAsia="宋体" w:cs="Times New Roman"/>
      <w:kern w:val="2"/>
      <w:sz w:val="21"/>
      <w:szCs w:val="24"/>
      <w:lang w:val="en-US" w:eastAsia="zh-CN" w:bidi="ar-SA"/>
    </w:rPr>
  </w:style>
  <w:style w:type="paragraph" w:customStyle="1" w:styleId="27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8">
    <w:name w:val="_Style 7"/>
    <w:basedOn w:val="1"/>
    <w:qFormat/>
    <w:uiPriority w:val="0"/>
    <w:pPr>
      <w:ind w:firstLine="420" w:firstLineChars="200"/>
    </w:pPr>
    <w:rPr>
      <w:rFonts w:ascii="Calibri" w:hAnsi="Calibri" w:cs="黑体"/>
    </w:rPr>
  </w:style>
  <w:style w:type="paragraph" w:customStyle="1" w:styleId="279">
    <w:name w:val="Char Char1 Char Char Char Char Char Char Char"/>
    <w:basedOn w:val="1"/>
    <w:qFormat/>
    <w:uiPriority w:val="0"/>
    <w:pPr>
      <w:widowControl/>
      <w:spacing w:after="160" w:line="240" w:lineRule="exact"/>
      <w:jc w:val="left"/>
    </w:pPr>
  </w:style>
  <w:style w:type="paragraph" w:customStyle="1" w:styleId="28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2">
    <w:name w:val="Style10"/>
    <w:basedOn w:val="1"/>
    <w:unhideWhenUsed/>
    <w:qFormat/>
    <w:uiPriority w:val="0"/>
    <w:pPr>
      <w:spacing w:line="538" w:lineRule="exact"/>
    </w:pPr>
  </w:style>
  <w:style w:type="paragraph" w:customStyle="1" w:styleId="28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4">
    <w:name w:val="Style72"/>
    <w:basedOn w:val="1"/>
    <w:unhideWhenUsed/>
    <w:qFormat/>
    <w:uiPriority w:val="0"/>
  </w:style>
  <w:style w:type="paragraph" w:customStyle="1" w:styleId="285">
    <w:name w:val="Style45"/>
    <w:basedOn w:val="1"/>
    <w:unhideWhenUsed/>
    <w:qFormat/>
    <w:uiPriority w:val="0"/>
  </w:style>
  <w:style w:type="paragraph" w:customStyle="1" w:styleId="28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7">
    <w:name w:val="Style80"/>
    <w:basedOn w:val="1"/>
    <w:unhideWhenUsed/>
    <w:qFormat/>
    <w:uiPriority w:val="0"/>
  </w:style>
  <w:style w:type="paragraph" w:customStyle="1" w:styleId="288">
    <w:name w:val="Style71"/>
    <w:basedOn w:val="1"/>
    <w:unhideWhenUsed/>
    <w:qFormat/>
    <w:uiPriority w:val="0"/>
    <w:pPr>
      <w:spacing w:line="538" w:lineRule="exact"/>
      <w:ind w:firstLine="101"/>
    </w:pPr>
  </w:style>
  <w:style w:type="paragraph" w:customStyle="1" w:styleId="289">
    <w:name w:val="Style65"/>
    <w:basedOn w:val="1"/>
    <w:unhideWhenUsed/>
    <w:qFormat/>
    <w:uiPriority w:val="0"/>
  </w:style>
  <w:style w:type="paragraph" w:customStyle="1" w:styleId="290">
    <w:name w:val="Style28"/>
    <w:basedOn w:val="1"/>
    <w:unhideWhenUsed/>
    <w:qFormat/>
    <w:uiPriority w:val="0"/>
    <w:pPr>
      <w:spacing w:line="552" w:lineRule="exact"/>
      <w:ind w:firstLine="547"/>
    </w:pPr>
  </w:style>
  <w:style w:type="paragraph" w:customStyle="1" w:styleId="291">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2">
    <w:name w:val="标题 32"/>
    <w:basedOn w:val="1"/>
    <w:next w:val="188"/>
    <w:qFormat/>
    <w:uiPriority w:val="0"/>
    <w:pPr>
      <w:spacing w:before="60" w:line="300" w:lineRule="auto"/>
      <w:outlineLvl w:val="2"/>
    </w:pPr>
    <w:rPr>
      <w:rFonts w:hint="eastAsia" w:ascii="宋体" w:hAnsi="宋体" w:cs="黑体"/>
      <w:snapToGrid w:val="0"/>
      <w:kern w:val="0"/>
      <w:sz w:val="24"/>
      <w:szCs w:val="20"/>
    </w:rPr>
  </w:style>
  <w:style w:type="paragraph" w:customStyle="1" w:styleId="29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4">
    <w:name w:val="正文缩进 字符"/>
    <w:link w:val="13"/>
    <w:qFormat/>
    <w:uiPriority w:val="0"/>
    <w:rPr>
      <w:rFonts w:ascii="Times New Roman" w:hAnsi="Times New Roman" w:eastAsia="宋体" w:cs="Times New Roman"/>
      <w:kern w:val="0"/>
      <w:sz w:val="20"/>
      <w:szCs w:val="20"/>
    </w:rPr>
  </w:style>
  <w:style w:type="character" w:customStyle="1" w:styleId="295">
    <w:name w:val="公文正文 Char Char"/>
    <w:link w:val="296"/>
    <w:qFormat/>
    <w:uiPriority w:val="0"/>
    <w:rPr>
      <w:rFonts w:ascii="仿宋_GB2312" w:hAnsi="Calisto MT" w:eastAsia="仿宋_GB2312"/>
      <w:color w:val="000000"/>
      <w:sz w:val="32"/>
    </w:rPr>
  </w:style>
  <w:style w:type="paragraph" w:customStyle="1" w:styleId="296">
    <w:name w:val="公文正文"/>
    <w:link w:val="295"/>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7">
    <w:name w:val="普通文字 Char Char"/>
    <w:qFormat/>
    <w:uiPriority w:val="0"/>
    <w:rPr>
      <w:rFonts w:ascii="宋体" w:hAnsi="Courier New" w:eastAsia="宋体"/>
      <w:kern w:val="2"/>
      <w:sz w:val="21"/>
      <w:lang w:val="en-US" w:eastAsia="zh-CN" w:bidi="ar-SA"/>
    </w:rPr>
  </w:style>
  <w:style w:type="character" w:customStyle="1" w:styleId="298">
    <w:name w:val="副标题 Char1"/>
    <w:qFormat/>
    <w:uiPriority w:val="0"/>
    <w:rPr>
      <w:rFonts w:ascii="Cambria" w:hAnsi="Cambria" w:cs="Times New Roman"/>
      <w:b/>
      <w:bCs/>
      <w:kern w:val="28"/>
      <w:sz w:val="32"/>
      <w:szCs w:val="32"/>
    </w:rPr>
  </w:style>
  <w:style w:type="character" w:customStyle="1" w:styleId="299">
    <w:name w:val="无间隔 字符"/>
    <w:link w:val="300"/>
    <w:qFormat/>
    <w:uiPriority w:val="1"/>
    <w:rPr>
      <w:rFonts w:ascii="Calibri" w:hAnsi="Calibri"/>
      <w:sz w:val="22"/>
      <w:szCs w:val="22"/>
    </w:rPr>
  </w:style>
  <w:style w:type="paragraph" w:styleId="300">
    <w:name w:val="No Spacing"/>
    <w:link w:val="299"/>
    <w:qFormat/>
    <w:uiPriority w:val="1"/>
    <w:rPr>
      <w:rFonts w:ascii="Calibri" w:hAnsi="Calibri" w:eastAsiaTheme="minorEastAsia" w:cstheme="minorBidi"/>
      <w:sz w:val="22"/>
      <w:szCs w:val="22"/>
      <w:lang w:val="en-US" w:eastAsia="zh-CN" w:bidi="ar-SA"/>
    </w:rPr>
  </w:style>
  <w:style w:type="character" w:customStyle="1" w:styleId="301">
    <w:name w:val="样式 样式 样式 标题 2标题 1.1第一层条第二层论文标题 1Para2Title1H2h22l2list + ch...1 ... Char Char"/>
    <w:link w:val="302"/>
    <w:qFormat/>
    <w:uiPriority w:val="0"/>
    <w:rPr>
      <w:rFonts w:ascii="Arial" w:hAnsi="Arial" w:cs="宋体"/>
      <w:b/>
      <w:color w:val="000000"/>
      <w:sz w:val="28"/>
      <w:szCs w:val="28"/>
    </w:rPr>
  </w:style>
  <w:style w:type="paragraph" w:customStyle="1" w:styleId="302">
    <w:name w:val="样式 样式 样式 标题 2标题 1.1第一层条第二层论文标题 1Para2Title1H2h22l2list + ch...1 ..."/>
    <w:basedOn w:val="303"/>
    <w:link w:val="301"/>
    <w:qFormat/>
    <w:uiPriority w:val="0"/>
    <w:pPr>
      <w:tabs>
        <w:tab w:val="left" w:pos="567"/>
        <w:tab w:val="left" w:pos="840"/>
        <w:tab w:val="left" w:pos="965"/>
      </w:tabs>
      <w:spacing w:beforeLines="0" w:afterLines="0"/>
      <w:ind w:left="965" w:right="105" w:hanging="425"/>
    </w:pPr>
    <w:rPr>
      <w:sz w:val="28"/>
      <w:szCs w:val="28"/>
    </w:rPr>
  </w:style>
  <w:style w:type="paragraph" w:customStyle="1" w:styleId="303">
    <w:name w:val="样式 样式 标题 2标题 1.1第一层条第二层论文标题 1Para2Title1H2h22l2list + ch...1 + 右...1"/>
    <w:basedOn w:val="304"/>
    <w:link w:val="316"/>
    <w:qFormat/>
    <w:uiPriority w:val="0"/>
    <w:pPr>
      <w:tabs>
        <w:tab w:val="left" w:pos="567"/>
        <w:tab w:val="left" w:pos="840"/>
      </w:tabs>
      <w:spacing w:beforeLines="50" w:afterLines="50"/>
      <w:ind w:left="576"/>
    </w:pPr>
  </w:style>
  <w:style w:type="paragraph" w:customStyle="1" w:styleId="304">
    <w:name w:val="样式 标题 2标题 1.1第一层条第二层论文标题 1Para2Title1H2h22l2list + ch...1"/>
    <w:basedOn w:val="4"/>
    <w:link w:val="317"/>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5">
    <w:name w:val="列表框1 Char Char"/>
    <w:link w:val="306"/>
    <w:qFormat/>
    <w:uiPriority w:val="0"/>
    <w:rPr>
      <w:rFonts w:ascii="Arial" w:hAnsi="Arial" w:eastAsia="楷体_GB2312" w:cs="Arial"/>
      <w:spacing w:val="10"/>
      <w:szCs w:val="24"/>
    </w:rPr>
  </w:style>
  <w:style w:type="paragraph" w:customStyle="1" w:styleId="306">
    <w:name w:val="列表框1"/>
    <w:basedOn w:val="307"/>
    <w:next w:val="307"/>
    <w:link w:val="305"/>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7">
    <w:name w:val="应答文本"/>
    <w:basedOn w:val="1"/>
    <w:link w:val="322"/>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8">
    <w:name w:val="普通文字 Char2"/>
    <w:qFormat/>
    <w:uiPriority w:val="0"/>
    <w:rPr>
      <w:rFonts w:ascii="宋体" w:hAnsi="Courier New" w:eastAsia="宋体"/>
      <w:kern w:val="2"/>
      <w:sz w:val="21"/>
      <w:lang w:val="en-US" w:eastAsia="zh-CN" w:bidi="ar-SA"/>
    </w:rPr>
  </w:style>
  <w:style w:type="character" w:customStyle="1" w:styleId="309">
    <w:name w:val="样式 标题 1标题 1 111121314151111211311611212213217113... Char Char"/>
    <w:link w:val="310"/>
    <w:qFormat/>
    <w:uiPriority w:val="0"/>
    <w:rPr>
      <w:rFonts w:ascii="宋体" w:hAnsi="宋体" w:eastAsia="黑体"/>
      <w:bCs/>
      <w:kern w:val="44"/>
      <w:sz w:val="48"/>
      <w:szCs w:val="32"/>
    </w:rPr>
  </w:style>
  <w:style w:type="paragraph" w:customStyle="1" w:styleId="310">
    <w:name w:val="样式 标题 1标题 1 111121314151111211311611212213217113..."/>
    <w:basedOn w:val="3"/>
    <w:link w:val="309"/>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1">
    <w:name w:val="even Char Char"/>
    <w:qFormat/>
    <w:uiPriority w:val="0"/>
    <w:rPr>
      <w:rFonts w:eastAsia="宋体"/>
      <w:kern w:val="2"/>
      <w:sz w:val="18"/>
      <w:szCs w:val="24"/>
      <w:lang w:val="en-US" w:eastAsia="zh-CN" w:bidi="ar-SA"/>
    </w:rPr>
  </w:style>
  <w:style w:type="character" w:customStyle="1" w:styleId="312">
    <w:name w:val="样式 标题 4Para4CDR_Lev 4Title3h44 dashddash + (符号) 宋体 加粗 Char Char"/>
    <w:link w:val="313"/>
    <w:qFormat/>
    <w:uiPriority w:val="0"/>
    <w:rPr>
      <w:rFonts w:ascii="Arial" w:hAnsi="Arial" w:eastAsia="黑体"/>
      <w:snapToGrid w:val="0"/>
      <w:sz w:val="28"/>
      <w:szCs w:val="24"/>
    </w:rPr>
  </w:style>
  <w:style w:type="paragraph" w:customStyle="1" w:styleId="313">
    <w:name w:val="样式 标题 4Para4CDR_Lev 4Title3h44 dashddash + (符号) 宋体 加粗"/>
    <w:basedOn w:val="6"/>
    <w:link w:val="312"/>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4">
    <w:name w:val="纯文本 Char"/>
    <w:qFormat/>
    <w:uiPriority w:val="0"/>
    <w:rPr>
      <w:rFonts w:ascii="宋体" w:hAnsi="Courier New" w:cs="Courier New"/>
      <w:kern w:val="2"/>
      <w:sz w:val="21"/>
      <w:szCs w:val="21"/>
    </w:rPr>
  </w:style>
  <w:style w:type="character" w:customStyle="1" w:styleId="315">
    <w:name w:val="style131"/>
    <w:qFormat/>
    <w:uiPriority w:val="0"/>
    <w:rPr>
      <w:rFonts w:eastAsia="宋体"/>
      <w:kern w:val="2"/>
      <w:sz w:val="24"/>
      <w:szCs w:val="24"/>
      <w:lang w:val="en-US" w:eastAsia="zh-CN" w:bidi="ar-SA"/>
    </w:rPr>
  </w:style>
  <w:style w:type="character" w:customStyle="1" w:styleId="316">
    <w:name w:val="样式 样式 标题 2标题 1.1第一层条第二层论文标题 1Para2Title1H2h22l2list + ch...1 + 右...1 Char Char"/>
    <w:basedOn w:val="317"/>
    <w:link w:val="303"/>
    <w:qFormat/>
    <w:uiPriority w:val="0"/>
    <w:rPr>
      <w:rFonts w:ascii="Arial" w:hAnsi="Arial" w:cs="宋体"/>
      <w:color w:val="000000"/>
      <w:sz w:val="24"/>
      <w:szCs w:val="24"/>
    </w:rPr>
  </w:style>
  <w:style w:type="character" w:customStyle="1" w:styleId="317">
    <w:name w:val="样式 标题 2标题 1.1第一层条第二层论文标题 1Para2Title1H2h22l2list + ch...1 Char Char"/>
    <w:link w:val="304"/>
    <w:qFormat/>
    <w:uiPriority w:val="0"/>
    <w:rPr>
      <w:rFonts w:ascii="Arial" w:hAnsi="Arial" w:cs="宋体"/>
      <w:b/>
      <w:color w:val="000000"/>
      <w:sz w:val="24"/>
      <w:szCs w:val="24"/>
    </w:rPr>
  </w:style>
  <w:style w:type="character" w:customStyle="1" w:styleId="318">
    <w:name w:val="Char Char Char Char Char Char"/>
    <w:qFormat/>
    <w:uiPriority w:val="0"/>
    <w:rPr>
      <w:rFonts w:ascii="宋体" w:hAnsi="Courier New" w:eastAsia="宋体"/>
      <w:kern w:val="2"/>
      <w:sz w:val="21"/>
      <w:lang w:val="en-US" w:eastAsia="zh-CN" w:bidi="ar-SA"/>
    </w:rPr>
  </w:style>
  <w:style w:type="character" w:customStyle="1" w:styleId="319">
    <w:name w:val="页码2"/>
    <w:basedOn w:val="49"/>
    <w:qFormat/>
    <w:uiPriority w:val="0"/>
  </w:style>
  <w:style w:type="character" w:customStyle="1" w:styleId="320">
    <w:name w:val="样式 样式 样式 样式 标题 2标题 1.1第一层条第二层论文标题 1Para2Title1H2h22l2list + ch..... Char Char"/>
    <w:link w:val="321"/>
    <w:qFormat/>
    <w:uiPriority w:val="0"/>
    <w:rPr>
      <w:rFonts w:ascii="宋体" w:hAnsi="宋体" w:cs="宋体"/>
      <w:b/>
      <w:color w:val="000000"/>
      <w:szCs w:val="28"/>
    </w:rPr>
  </w:style>
  <w:style w:type="paragraph" w:customStyle="1" w:styleId="321">
    <w:name w:val="样式 样式 样式 样式 标题 2标题 1.1第一层条第二层论文标题 1Para2Title1H2h22l2list + ch....."/>
    <w:basedOn w:val="302"/>
    <w:link w:val="320"/>
    <w:qFormat/>
    <w:uiPriority w:val="0"/>
    <w:pPr>
      <w:spacing w:before="50" w:after="50"/>
      <w:ind w:left="1134" w:right="50" w:hanging="1134"/>
    </w:pPr>
    <w:rPr>
      <w:rFonts w:ascii="宋体" w:hAnsi="宋体"/>
      <w:sz w:val="20"/>
    </w:rPr>
  </w:style>
  <w:style w:type="character" w:customStyle="1" w:styleId="322">
    <w:name w:val="应答文本 Char Char"/>
    <w:link w:val="307"/>
    <w:qFormat/>
    <w:uiPriority w:val="0"/>
    <w:rPr>
      <w:rFonts w:ascii="Arial" w:hAnsi="Arial" w:eastAsia="楷体_GB2312" w:cs="宋体"/>
      <w:spacing w:val="10"/>
      <w:szCs w:val="24"/>
    </w:rPr>
  </w:style>
  <w:style w:type="paragraph" w:customStyle="1" w:styleId="323">
    <w:name w:val="章标题"/>
    <w:next w:val="324"/>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5">
    <w:name w:val="表格"/>
    <w:basedOn w:val="1"/>
    <w:qFormat/>
    <w:uiPriority w:val="0"/>
    <w:pPr>
      <w:jc w:val="center"/>
    </w:pPr>
    <w:rPr>
      <w:rFonts w:ascii="华文细黑" w:hAnsi="华文细黑"/>
      <w:kern w:val="0"/>
      <w:szCs w:val="20"/>
    </w:rPr>
  </w:style>
  <w:style w:type="paragraph" w:customStyle="1" w:styleId="326">
    <w:name w:val="_Style 11"/>
    <w:basedOn w:val="14"/>
    <w:qFormat/>
    <w:uiPriority w:val="0"/>
  </w:style>
  <w:style w:type="paragraph" w:customStyle="1" w:styleId="327">
    <w:name w:val="Char2"/>
    <w:basedOn w:val="1"/>
    <w:qFormat/>
    <w:uiPriority w:val="0"/>
    <w:rPr>
      <w:sz w:val="24"/>
    </w:rPr>
  </w:style>
  <w:style w:type="paragraph" w:customStyle="1" w:styleId="328">
    <w:name w:val="正文文本缩进1"/>
    <w:basedOn w:val="1"/>
    <w:qFormat/>
    <w:uiPriority w:val="0"/>
    <w:pPr>
      <w:ind w:firstLine="420" w:firstLineChars="200"/>
    </w:pPr>
  </w:style>
  <w:style w:type="paragraph" w:customStyle="1" w:styleId="329">
    <w:name w:val="正文缩进11"/>
    <w:basedOn w:val="1"/>
    <w:qFormat/>
    <w:uiPriority w:val="0"/>
    <w:pPr>
      <w:tabs>
        <w:tab w:val="left" w:pos="720"/>
      </w:tabs>
      <w:ind w:left="624" w:hanging="624"/>
      <w:textAlignment w:val="baseline"/>
    </w:pPr>
    <w:rPr>
      <w:rFonts w:hint="eastAsia" w:ascii="宋体"/>
      <w:szCs w:val="22"/>
    </w:rPr>
  </w:style>
  <w:style w:type="paragraph" w:customStyle="1" w:styleId="330">
    <w:name w:val="样式 行距: 1.5 倍行距"/>
    <w:basedOn w:val="1"/>
    <w:qFormat/>
    <w:uiPriority w:val="0"/>
    <w:pPr>
      <w:spacing w:line="360" w:lineRule="auto"/>
    </w:pPr>
    <w:rPr>
      <w:rFonts w:cs="宋体"/>
      <w:szCs w:val="20"/>
    </w:rPr>
  </w:style>
  <w:style w:type="paragraph" w:customStyle="1" w:styleId="331">
    <w:name w:val="Char Char1 Char Char Char Char Char Char Char Char Char Char"/>
    <w:basedOn w:val="1"/>
    <w:qFormat/>
    <w:uiPriority w:val="0"/>
    <w:rPr>
      <w:sz w:val="24"/>
    </w:rPr>
  </w:style>
  <w:style w:type="paragraph" w:customStyle="1" w:styleId="332">
    <w:name w:val="Char Char17 Char Char"/>
    <w:basedOn w:val="14"/>
    <w:qFormat/>
    <w:uiPriority w:val="0"/>
    <w:pPr>
      <w:widowControl/>
      <w:jc w:val="left"/>
    </w:pPr>
  </w:style>
  <w:style w:type="paragraph" w:customStyle="1" w:styleId="333">
    <w:name w:val="目录文字"/>
    <w:basedOn w:val="1"/>
    <w:qFormat/>
    <w:uiPriority w:val="0"/>
    <w:pPr>
      <w:widowControl/>
      <w:spacing w:line="480" w:lineRule="auto"/>
      <w:jc w:val="left"/>
    </w:pPr>
    <w:rPr>
      <w:rFonts w:ascii="宋体" w:hAnsi="宋体"/>
      <w:kern w:val="0"/>
      <w:sz w:val="24"/>
      <w:szCs w:val="20"/>
    </w:rPr>
  </w:style>
  <w:style w:type="paragraph" w:customStyle="1" w:styleId="334">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5">
    <w:name w:val="Char Char Char Char Char Char Char Char Char Char Char Char Char Char Char Char"/>
    <w:basedOn w:val="1"/>
    <w:qFormat/>
    <w:uiPriority w:val="0"/>
    <w:rPr>
      <w:szCs w:val="20"/>
    </w:rPr>
  </w:style>
  <w:style w:type="paragraph" w:styleId="336">
    <w:name w:val="List Paragraph"/>
    <w:basedOn w:val="1"/>
    <w:qFormat/>
    <w:uiPriority w:val="0"/>
    <w:pPr>
      <w:ind w:firstLine="420" w:firstLineChars="200"/>
    </w:pPr>
  </w:style>
  <w:style w:type="paragraph" w:customStyle="1" w:styleId="337">
    <w:name w:val="日期1"/>
    <w:basedOn w:val="1"/>
    <w:next w:val="1"/>
    <w:qFormat/>
    <w:uiPriority w:val="0"/>
    <w:pPr>
      <w:ind w:left="100" w:leftChars="2500"/>
    </w:pPr>
  </w:style>
  <w:style w:type="paragraph" w:customStyle="1" w:styleId="338">
    <w:name w:val="普通(网站)1"/>
    <w:basedOn w:val="1"/>
    <w:qFormat/>
    <w:uiPriority w:val="0"/>
    <w:pPr>
      <w:widowControl/>
      <w:jc w:val="left"/>
    </w:pPr>
    <w:rPr>
      <w:rFonts w:hint="eastAsia" w:ascii="宋体" w:hAnsi="宋体"/>
      <w:sz w:val="24"/>
    </w:rPr>
  </w:style>
  <w:style w:type="paragraph" w:customStyle="1" w:styleId="339">
    <w:name w:val="文档结构图1"/>
    <w:basedOn w:val="1"/>
    <w:qFormat/>
    <w:uiPriority w:val="0"/>
    <w:pPr>
      <w:shd w:val="clear" w:color="auto" w:fill="000080"/>
    </w:pPr>
  </w:style>
  <w:style w:type="paragraph" w:customStyle="1" w:styleId="340">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1">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2">
    <w:name w:val="正文文本 22"/>
    <w:basedOn w:val="1"/>
    <w:qFormat/>
    <w:uiPriority w:val="0"/>
    <w:pPr>
      <w:spacing w:after="120" w:line="480" w:lineRule="auto"/>
    </w:pPr>
  </w:style>
  <w:style w:type="paragraph" w:customStyle="1" w:styleId="343">
    <w:name w:val="Char Char Char Char"/>
    <w:basedOn w:val="1"/>
    <w:qFormat/>
    <w:uiPriority w:val="0"/>
  </w:style>
  <w:style w:type="paragraph" w:customStyle="1" w:styleId="344">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5">
    <w:name w:val="右侧正文"/>
    <w:basedOn w:val="1"/>
    <w:qFormat/>
    <w:uiPriority w:val="0"/>
    <w:pPr>
      <w:spacing w:line="360" w:lineRule="auto"/>
    </w:pPr>
    <w:rPr>
      <w:rFonts w:ascii="宋体" w:hAnsi="宋体"/>
      <w:sz w:val="24"/>
      <w:szCs w:val="28"/>
    </w:rPr>
  </w:style>
  <w:style w:type="paragraph" w:customStyle="1" w:styleId="346">
    <w:name w:val="WPSOffice手动目录 1"/>
    <w:qFormat/>
    <w:uiPriority w:val="0"/>
    <w:rPr>
      <w:rFonts w:ascii="Times New Roman" w:hAnsi="Times New Roman" w:eastAsia="宋体" w:cs="Times New Roman"/>
      <w:lang w:val="en-US" w:eastAsia="zh-CN" w:bidi="ar-SA"/>
    </w:rPr>
  </w:style>
  <w:style w:type="paragraph" w:customStyle="1" w:styleId="34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8">
    <w:name w:val="页码3"/>
    <w:basedOn w:val="49"/>
    <w:qFormat/>
    <w:uiPriority w:val="0"/>
  </w:style>
  <w:style w:type="paragraph" w:customStyle="1" w:styleId="349">
    <w:name w:val="普通(网站)2"/>
    <w:basedOn w:val="1"/>
    <w:qFormat/>
    <w:uiPriority w:val="0"/>
    <w:pPr>
      <w:widowControl/>
      <w:jc w:val="left"/>
    </w:pPr>
    <w:rPr>
      <w:rFonts w:hint="eastAsia" w:ascii="宋体" w:hAnsi="宋体"/>
      <w:sz w:val="24"/>
    </w:rPr>
  </w:style>
  <w:style w:type="character" w:customStyle="1" w:styleId="350">
    <w:name w:val="页脚 字符1"/>
    <w:basedOn w:val="49"/>
    <w:semiHidden/>
    <w:qFormat/>
    <w:uiPriority w:val="99"/>
    <w:rPr>
      <w:kern w:val="2"/>
      <w:sz w:val="18"/>
      <w:szCs w:val="18"/>
    </w:rPr>
  </w:style>
  <w:style w:type="paragraph" w:customStyle="1" w:styleId="351">
    <w:name w:val="正文文本 23"/>
    <w:basedOn w:val="1"/>
    <w:qFormat/>
    <w:uiPriority w:val="0"/>
    <w:pPr>
      <w:spacing w:after="120" w:line="480" w:lineRule="auto"/>
    </w:pPr>
  </w:style>
  <w:style w:type="character" w:customStyle="1" w:styleId="352">
    <w:name w:val="页眉 字符1"/>
    <w:basedOn w:val="49"/>
    <w:semiHidden/>
    <w:qFormat/>
    <w:uiPriority w:val="99"/>
    <w:rPr>
      <w:kern w:val="2"/>
      <w:sz w:val="18"/>
      <w:szCs w:val="18"/>
    </w:rPr>
  </w:style>
  <w:style w:type="paragraph" w:customStyle="1" w:styleId="353">
    <w:name w:val="文档结构图2"/>
    <w:basedOn w:val="1"/>
    <w:qFormat/>
    <w:uiPriority w:val="0"/>
    <w:pPr>
      <w:shd w:val="clear" w:color="auto" w:fill="000080"/>
    </w:pPr>
  </w:style>
  <w:style w:type="paragraph" w:customStyle="1" w:styleId="3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5">
    <w:name w:val="正文文本缩进2"/>
    <w:basedOn w:val="1"/>
    <w:qFormat/>
    <w:uiPriority w:val="0"/>
    <w:pPr>
      <w:ind w:firstLine="420" w:firstLineChars="200"/>
    </w:pPr>
  </w:style>
  <w:style w:type="paragraph" w:customStyle="1" w:styleId="356">
    <w:name w:val="日期2"/>
    <w:basedOn w:val="1"/>
    <w:next w:val="1"/>
    <w:qFormat/>
    <w:uiPriority w:val="0"/>
    <w:pPr>
      <w:ind w:left="100" w:leftChars="2500"/>
    </w:pPr>
  </w:style>
  <w:style w:type="paragraph" w:customStyle="1" w:styleId="357">
    <w:name w:val="样式3"/>
    <w:basedOn w:val="1"/>
    <w:qFormat/>
    <w:uiPriority w:val="0"/>
    <w:pPr>
      <w:spacing w:line="360" w:lineRule="auto"/>
      <w:ind w:firstLine="480"/>
      <w:jc w:val="left"/>
    </w:pPr>
    <w:rPr>
      <w:rFonts w:ascii="宋体"/>
      <w:sz w:val="24"/>
      <w:szCs w:val="22"/>
    </w:rPr>
  </w:style>
  <w:style w:type="paragraph" w:customStyle="1" w:styleId="358">
    <w:name w:val="附录图标题"/>
    <w:basedOn w:val="1"/>
    <w:next w:val="324"/>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9">
    <w:name w:val="正文表标题"/>
    <w:next w:val="324"/>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60">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1">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2">
    <w:name w:val="列项◆（三级）"/>
    <w:basedOn w:val="1"/>
    <w:qFormat/>
    <w:uiPriority w:val="0"/>
    <w:pPr>
      <w:numPr>
        <w:ilvl w:val="2"/>
        <w:numId w:val="4"/>
      </w:numPr>
      <w:tabs>
        <w:tab w:val="left" w:pos="1678"/>
      </w:tabs>
    </w:pPr>
    <w:rPr>
      <w:rFonts w:ascii="宋体"/>
      <w:szCs w:val="21"/>
    </w:rPr>
  </w:style>
  <w:style w:type="paragraph" w:customStyle="1" w:styleId="363">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4">
    <w:name w:val="附录章标题"/>
    <w:next w:val="324"/>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5">
    <w:name w:val="fontstyle01"/>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E7CA47-0283-4058-B383-FCC9AD4C6B5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65</Pages>
  <Words>23568</Words>
  <Characters>5045</Characters>
  <Lines>42</Lines>
  <Paragraphs>57</Paragraphs>
  <TotalTime>41</TotalTime>
  <ScaleCrop>false</ScaleCrop>
  <LinksUpToDate>false</LinksUpToDate>
  <CharactersWithSpaces>28556</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2021-05-17T02:20:00Z</dcterms:created>
  <dc:creator>李 毅</dc:creator>
  <cp:lastModifiedBy>杨喜笑</cp:lastModifiedBy>
  <cp:lastPrinted>2019-09-10T07:16:00Z</cp:lastPrinted>
  <dcterms:modified xsi:type="dcterms:W3CDTF">2022-12-08T07:28:41Z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7C874A77AA8D4DEBB146A54206B9C58F</vt:lpwstr>
  </property>
</Properties>
</file>