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bCs/>
          <w:color w:val="auto"/>
          <w:sz w:val="52"/>
          <w:szCs w:val="52"/>
          <w:highlight w:val="none"/>
        </w:rPr>
      </w:pPr>
      <w:r>
        <w:rPr>
          <w:rFonts w:hint="eastAsia" w:hAnsi="宋体"/>
          <w:b/>
          <w:color w:val="auto"/>
          <w:sz w:val="52"/>
          <w:szCs w:val="52"/>
          <w:highlight w:val="none"/>
        </w:rPr>
        <w:t>长沙市轨道交通运营有限公司</w:t>
      </w:r>
    </w:p>
    <w:p>
      <w:pPr>
        <w:pStyle w:val="25"/>
        <w:adjustRightInd w:val="0"/>
        <w:snapToGrid w:val="0"/>
        <w:spacing w:line="360" w:lineRule="auto"/>
        <w:jc w:val="center"/>
        <w:rPr>
          <w:rFonts w:hAnsi="宋体"/>
          <w:color w:val="auto"/>
          <w:highlight w:val="none"/>
        </w:rPr>
      </w:pPr>
      <w:r>
        <w:rPr>
          <w:rFonts w:hint="eastAsia" w:hAnsi="宋体"/>
          <w:b/>
          <w:color w:val="auto"/>
          <w:sz w:val="52"/>
          <w:szCs w:val="52"/>
          <w:highlight w:val="none"/>
        </w:rPr>
        <w:t>自主竞争性谈判文件</w:t>
      </w:r>
    </w:p>
    <w:p>
      <w:pPr>
        <w:pStyle w:val="25"/>
        <w:adjustRightInd w:val="0"/>
        <w:snapToGrid w:val="0"/>
        <w:spacing w:before="120" w:beforeLines="50" w:line="360" w:lineRule="auto"/>
        <w:rPr>
          <w:rFonts w:hAnsi="宋体"/>
          <w:b/>
          <w:color w:val="auto"/>
          <w:sz w:val="32"/>
          <w:szCs w:val="32"/>
          <w:highlight w:val="none"/>
        </w:rPr>
      </w:pPr>
    </w:p>
    <w:p>
      <w:pPr>
        <w:pStyle w:val="25"/>
        <w:adjustRightInd w:val="0"/>
        <w:snapToGrid w:val="0"/>
        <w:spacing w:line="360" w:lineRule="auto"/>
        <w:rPr>
          <w:rFonts w:hAnsi="宋体"/>
          <w:color w:val="auto"/>
          <w:sz w:val="32"/>
          <w:szCs w:val="32"/>
          <w:highlight w:val="none"/>
        </w:rPr>
      </w:pPr>
    </w:p>
    <w:p>
      <w:pPr>
        <w:spacing w:line="360" w:lineRule="auto"/>
        <w:ind w:left="2568" w:leftChars="152" w:hanging="2249" w:hangingChars="700"/>
        <w:rPr>
          <w:rFonts w:ascii="宋体" w:hAnsi="宋体" w:cs="Courier New"/>
          <w:b/>
          <w:color w:val="auto"/>
          <w:sz w:val="32"/>
          <w:szCs w:val="21"/>
          <w:highlight w:val="none"/>
        </w:rPr>
      </w:pPr>
      <w:r>
        <w:rPr>
          <w:rFonts w:hint="eastAsia" w:ascii="宋体" w:hAnsi="宋体" w:cs="Courier New"/>
          <w:b/>
          <w:color w:val="auto"/>
          <w:sz w:val="32"/>
          <w:szCs w:val="21"/>
          <w:highlight w:val="none"/>
        </w:rPr>
        <w:t>谈判项目名称：</w:t>
      </w:r>
      <w:r>
        <w:rPr>
          <w:rFonts w:hint="eastAsia" w:ascii="宋体" w:hAnsi="宋体" w:cs="Courier New"/>
          <w:b/>
          <w:color w:val="auto"/>
          <w:sz w:val="32"/>
          <w:szCs w:val="21"/>
          <w:highlight w:val="none"/>
          <w:u w:val="single"/>
        </w:rPr>
        <w:t>长沙市轨道交通1、2、4号线运营期2022年多功能垂直钢轨打磨机、双轨波浪磨耗测量仪等5项轨道维修设备采购项目</w:t>
      </w:r>
    </w:p>
    <w:p>
      <w:pPr>
        <w:pStyle w:val="25"/>
        <w:adjustRightInd w:val="0"/>
        <w:snapToGrid w:val="0"/>
        <w:spacing w:line="360" w:lineRule="auto"/>
        <w:ind w:firstLine="321" w:firstLineChars="100"/>
        <w:rPr>
          <w:rFonts w:hAnsi="宋体"/>
          <w:b/>
          <w:color w:val="auto"/>
          <w:sz w:val="32"/>
          <w:highlight w:val="none"/>
        </w:rPr>
      </w:pPr>
      <w:r>
        <w:rPr>
          <w:rFonts w:hint="eastAsia" w:hAnsi="宋体"/>
          <w:b/>
          <w:color w:val="auto"/>
          <w:sz w:val="32"/>
          <w:highlight w:val="none"/>
        </w:rPr>
        <w:t>采购单位名称：</w:t>
      </w:r>
      <w:r>
        <w:rPr>
          <w:rFonts w:hint="eastAsia" w:hAnsi="宋体"/>
          <w:b/>
          <w:color w:val="auto"/>
          <w:sz w:val="32"/>
          <w:highlight w:val="none"/>
          <w:u w:val="single"/>
        </w:rPr>
        <w:t>长沙市轨道交通一号线建设发展有限公司</w:t>
      </w:r>
    </w:p>
    <w:p>
      <w:pPr>
        <w:pStyle w:val="25"/>
        <w:adjustRightInd w:val="0"/>
        <w:snapToGrid w:val="0"/>
        <w:spacing w:line="360" w:lineRule="auto"/>
        <w:ind w:firstLine="2570" w:firstLineChars="800"/>
        <w:rPr>
          <w:rFonts w:hAnsi="宋体"/>
          <w:b/>
          <w:color w:val="auto"/>
          <w:sz w:val="32"/>
          <w:highlight w:val="none"/>
          <w:u w:val="single"/>
        </w:rPr>
      </w:pPr>
      <w:r>
        <w:rPr>
          <w:rFonts w:hint="eastAsia" w:hAnsi="宋体"/>
          <w:b/>
          <w:color w:val="auto"/>
          <w:sz w:val="32"/>
          <w:highlight w:val="none"/>
          <w:u w:val="single"/>
        </w:rPr>
        <w:t>长沙市轨道交通运营有限公司</w:t>
      </w:r>
    </w:p>
    <w:p>
      <w:pPr>
        <w:pStyle w:val="25"/>
        <w:adjustRightInd w:val="0"/>
        <w:snapToGrid w:val="0"/>
        <w:spacing w:line="360" w:lineRule="auto"/>
        <w:ind w:firstLine="2570" w:firstLineChars="800"/>
        <w:rPr>
          <w:rFonts w:hAnsi="宋体"/>
          <w:b/>
          <w:color w:val="auto"/>
          <w:sz w:val="32"/>
          <w:highlight w:val="none"/>
          <w:u w:val="single"/>
        </w:rPr>
      </w:pPr>
      <w:r>
        <w:rPr>
          <w:rFonts w:hint="eastAsia" w:hAnsi="宋体"/>
          <w:b/>
          <w:color w:val="auto"/>
          <w:sz w:val="32"/>
          <w:highlight w:val="none"/>
          <w:u w:val="single"/>
        </w:rPr>
        <w:t>长沙市轨道交通四号线建设发展有限公司</w:t>
      </w:r>
    </w:p>
    <w:p>
      <w:pPr>
        <w:pStyle w:val="25"/>
        <w:adjustRightInd w:val="0"/>
        <w:snapToGrid w:val="0"/>
        <w:spacing w:line="360" w:lineRule="auto"/>
        <w:ind w:firstLine="321" w:firstLineChars="100"/>
        <w:rPr>
          <w:rFonts w:hAnsi="宋体"/>
          <w:b/>
          <w:color w:val="auto"/>
          <w:sz w:val="32"/>
          <w:highlight w:val="none"/>
        </w:rPr>
      </w:pPr>
    </w:p>
    <w:p>
      <w:pPr>
        <w:pStyle w:val="25"/>
        <w:adjustRightInd w:val="0"/>
        <w:snapToGrid w:val="0"/>
        <w:spacing w:line="360" w:lineRule="auto"/>
        <w:ind w:firstLine="321" w:firstLineChars="100"/>
        <w:rPr>
          <w:rFonts w:hAnsi="宋体"/>
          <w:b/>
          <w:color w:val="auto"/>
          <w:sz w:val="32"/>
          <w:highlight w:val="none"/>
        </w:rPr>
      </w:pPr>
      <w:r>
        <w:rPr>
          <w:rFonts w:hint="eastAsia" w:hAnsi="宋体"/>
          <w:b/>
          <w:color w:val="auto"/>
          <w:sz w:val="32"/>
          <w:highlight w:val="none"/>
        </w:rPr>
        <w:t>谈判项目编号：</w:t>
      </w:r>
      <w:r>
        <w:rPr>
          <w:rFonts w:hint="eastAsia" w:hAnsi="宋体"/>
          <w:b/>
          <w:color w:val="auto"/>
          <w:sz w:val="32"/>
          <w:highlight w:val="none"/>
          <w:u w:val="single"/>
        </w:rPr>
        <w:t>长轨运物采【2022】035号</w:t>
      </w:r>
    </w:p>
    <w:p>
      <w:pPr>
        <w:pStyle w:val="25"/>
        <w:adjustRightInd w:val="0"/>
        <w:snapToGrid w:val="0"/>
        <w:spacing w:before="120" w:beforeLines="50" w:line="360" w:lineRule="auto"/>
        <w:rPr>
          <w:rFonts w:hAnsi="宋体"/>
          <w:b/>
          <w:color w:val="auto"/>
          <w:sz w:val="32"/>
          <w:szCs w:val="32"/>
          <w:highlight w:val="none"/>
        </w:rPr>
      </w:pPr>
    </w:p>
    <w:p>
      <w:pPr>
        <w:pStyle w:val="25"/>
        <w:adjustRightInd w:val="0"/>
        <w:snapToGrid w:val="0"/>
        <w:spacing w:before="120" w:beforeLines="50" w:line="360" w:lineRule="auto"/>
        <w:rPr>
          <w:rFonts w:hAnsi="宋体"/>
          <w:b/>
          <w:color w:val="auto"/>
          <w:sz w:val="32"/>
          <w:szCs w:val="32"/>
          <w:highlight w:val="none"/>
        </w:rPr>
      </w:pPr>
    </w:p>
    <w:p>
      <w:pPr>
        <w:pStyle w:val="25"/>
        <w:adjustRightInd w:val="0"/>
        <w:snapToGrid w:val="0"/>
        <w:spacing w:before="120" w:beforeLines="50" w:line="360" w:lineRule="auto"/>
        <w:rPr>
          <w:rFonts w:hAnsi="宋体"/>
          <w:b/>
          <w:color w:val="auto"/>
          <w:sz w:val="32"/>
          <w:szCs w:val="32"/>
          <w:highlight w:val="none"/>
        </w:rPr>
      </w:pPr>
    </w:p>
    <w:p>
      <w:pPr>
        <w:pStyle w:val="25"/>
        <w:adjustRightInd w:val="0"/>
        <w:snapToGrid w:val="0"/>
        <w:spacing w:before="120" w:beforeLines="50" w:line="360" w:lineRule="auto"/>
        <w:rPr>
          <w:rFonts w:hAnsi="宋体"/>
          <w:b/>
          <w:color w:val="auto"/>
          <w:sz w:val="32"/>
          <w:szCs w:val="32"/>
          <w:highlight w:val="none"/>
        </w:rPr>
      </w:pPr>
    </w:p>
    <w:p>
      <w:pPr>
        <w:pStyle w:val="25"/>
        <w:adjustRightInd w:val="0"/>
        <w:snapToGrid w:val="0"/>
        <w:spacing w:line="360" w:lineRule="auto"/>
        <w:rPr>
          <w:rFonts w:hAnsi="宋体"/>
          <w:b/>
          <w:color w:val="auto"/>
          <w:sz w:val="32"/>
          <w:highlight w:val="none"/>
        </w:rPr>
      </w:pPr>
    </w:p>
    <w:p>
      <w:pPr>
        <w:pStyle w:val="25"/>
        <w:adjustRightInd w:val="0"/>
        <w:snapToGrid w:val="0"/>
        <w:spacing w:line="360" w:lineRule="auto"/>
        <w:rPr>
          <w:rFonts w:hAnsi="宋体"/>
          <w:bCs/>
          <w:color w:val="auto"/>
          <w:sz w:val="32"/>
          <w:highlight w:val="none"/>
        </w:rPr>
      </w:pPr>
    </w:p>
    <w:p>
      <w:pPr>
        <w:pStyle w:val="25"/>
        <w:adjustRightInd w:val="0"/>
        <w:snapToGrid w:val="0"/>
        <w:spacing w:line="360" w:lineRule="auto"/>
        <w:jc w:val="center"/>
        <w:rPr>
          <w:rFonts w:hAnsi="宋体"/>
          <w:bCs/>
          <w:color w:val="auto"/>
          <w:sz w:val="32"/>
          <w:highlight w:val="none"/>
        </w:rPr>
      </w:pPr>
      <w:r>
        <w:rPr>
          <w:rFonts w:hint="eastAsia" w:hAnsi="宋体"/>
          <w:b/>
          <w:color w:val="auto"/>
          <w:sz w:val="32"/>
          <w:highlight w:val="none"/>
        </w:rPr>
        <w:t>二〇二二年十二月</w:t>
      </w:r>
    </w:p>
    <w:p>
      <w:pPr>
        <w:pStyle w:val="25"/>
        <w:adjustRightInd w:val="0"/>
        <w:snapToGrid w:val="0"/>
        <w:spacing w:line="360" w:lineRule="auto"/>
        <w:jc w:val="center"/>
        <w:rPr>
          <w:rFonts w:hAnsi="宋体"/>
          <w:b/>
          <w:color w:val="auto"/>
          <w:sz w:val="32"/>
          <w:highlight w:val="none"/>
        </w:rPr>
        <w:sectPr>
          <w:footerReference r:id="rId3" w:type="default"/>
          <w:pgSz w:w="11905" w:h="16838"/>
          <w:pgMar w:top="2098" w:right="1474" w:bottom="1984" w:left="1587" w:header="851" w:footer="850" w:gutter="0"/>
          <w:pgNumType w:start="1"/>
          <w:cols w:space="0" w:num="1"/>
          <w:docGrid w:linePitch="312" w:charSpace="0"/>
        </w:sectPr>
      </w:pPr>
    </w:p>
    <w:p>
      <w:pPr>
        <w:jc w:val="center"/>
        <w:rPr>
          <w:rFonts w:ascii="宋体" w:hAnsi="宋体" w:cs="宋体"/>
          <w:b/>
          <w:bCs/>
          <w:color w:val="auto"/>
          <w:sz w:val="32"/>
          <w:szCs w:val="32"/>
          <w:highlight w:val="none"/>
        </w:rPr>
      </w:pPr>
      <w:bookmarkStart w:id="0" w:name="_Toc14891064"/>
      <w:r>
        <w:rPr>
          <w:rFonts w:hint="eastAsia" w:ascii="宋体" w:hAnsi="宋体" w:cs="宋体"/>
          <w:b/>
          <w:bCs/>
          <w:color w:val="auto"/>
          <w:sz w:val="32"/>
          <w:szCs w:val="32"/>
          <w:highlight w:val="none"/>
        </w:rPr>
        <w:t>目   录</w:t>
      </w:r>
    </w:p>
    <w:p>
      <w:pPr>
        <w:spacing w:line="360" w:lineRule="auto"/>
        <w:jc w:val="center"/>
        <w:rPr>
          <w:rFonts w:ascii="宋体" w:hAnsi="宋体" w:cs="宋体"/>
          <w:b/>
          <w:bCs/>
          <w:color w:val="auto"/>
          <w:szCs w:val="21"/>
          <w:highlight w:val="none"/>
        </w:rPr>
      </w:pPr>
    </w:p>
    <w:p>
      <w:pPr>
        <w:pStyle w:val="32"/>
        <w:tabs>
          <w:tab w:val="right" w:leader="dot" w:pos="8844"/>
        </w:tabs>
        <w:spacing w:line="400" w:lineRule="exact"/>
        <w:rPr>
          <w:color w:val="auto"/>
          <w:highlight w:val="none"/>
        </w:rPr>
      </w:pPr>
      <w:r>
        <w:rPr>
          <w:rFonts w:hint="eastAsia" w:ascii="仿宋_GB2312" w:hAnsi="仿宋_GB2312" w:eastAsia="仿宋_GB2312" w:cs="仿宋_GB2312"/>
          <w:color w:val="auto"/>
          <w:szCs w:val="21"/>
          <w:highlight w:val="none"/>
        </w:rPr>
        <w:fldChar w:fldCharType="begin"/>
      </w:r>
      <w:r>
        <w:rPr>
          <w:rFonts w:hint="eastAsia" w:ascii="仿宋_GB2312" w:hAnsi="仿宋_GB2312" w:eastAsia="仿宋_GB2312" w:cs="仿宋_GB2312"/>
          <w:color w:val="auto"/>
          <w:szCs w:val="21"/>
          <w:highlight w:val="none"/>
        </w:rPr>
        <w:instrText xml:space="preserve">TOC \o "1-2" \h \u </w:instrText>
      </w:r>
      <w:r>
        <w:rPr>
          <w:rFonts w:hint="eastAsia" w:ascii="仿宋_GB2312" w:hAnsi="仿宋_GB2312" w:eastAsia="仿宋_GB2312" w:cs="仿宋_GB2312"/>
          <w:color w:val="auto"/>
          <w:szCs w:val="21"/>
          <w:highlight w:val="none"/>
        </w:rPr>
        <w:fldChar w:fldCharType="separate"/>
      </w:r>
      <w:r>
        <w:rPr>
          <w:color w:val="auto"/>
          <w:highlight w:val="none"/>
        </w:rPr>
        <w:fldChar w:fldCharType="begin"/>
      </w:r>
      <w:r>
        <w:rPr>
          <w:color w:val="auto"/>
          <w:highlight w:val="none"/>
        </w:rPr>
        <w:instrText xml:space="preserve"> HYPERLINK \l "_Toc3889" </w:instrText>
      </w:r>
      <w:r>
        <w:rPr>
          <w:color w:val="auto"/>
          <w:highlight w:val="none"/>
        </w:rPr>
        <w:fldChar w:fldCharType="separate"/>
      </w:r>
      <w:r>
        <w:rPr>
          <w:rFonts w:hint="eastAsia" w:ascii="宋体" w:hAnsi="宋体" w:cs="宋体"/>
          <w:bCs/>
          <w:color w:val="auto"/>
          <w:szCs w:val="32"/>
          <w:highlight w:val="none"/>
        </w:rPr>
        <w:t>第一章  谈判邀请公告</w:t>
      </w:r>
      <w:r>
        <w:rPr>
          <w:color w:val="auto"/>
          <w:highlight w:val="none"/>
        </w:rPr>
        <w:tab/>
      </w:r>
      <w:r>
        <w:rPr>
          <w:color w:val="auto"/>
          <w:highlight w:val="none"/>
        </w:rPr>
        <w:fldChar w:fldCharType="begin"/>
      </w:r>
      <w:r>
        <w:rPr>
          <w:color w:val="auto"/>
          <w:highlight w:val="none"/>
        </w:rPr>
        <w:instrText xml:space="preserve"> PAGEREF _Toc3889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2"/>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"_Toc25708" </w:instrText>
      </w:r>
      <w:r>
        <w:rPr>
          <w:color w:val="auto"/>
          <w:highlight w:val="none"/>
        </w:rPr>
        <w:fldChar w:fldCharType="separate"/>
      </w:r>
      <w:r>
        <w:rPr>
          <w:rFonts w:hint="eastAsia" w:ascii="宋体" w:hAnsi="宋体" w:cs="宋体"/>
          <w:bCs/>
          <w:color w:val="auto"/>
          <w:szCs w:val="32"/>
          <w:highlight w:val="none"/>
        </w:rPr>
        <w:t>第二章  谈判须知</w:t>
      </w:r>
      <w:r>
        <w:rPr>
          <w:color w:val="auto"/>
          <w:highlight w:val="none"/>
        </w:rPr>
        <w:tab/>
      </w:r>
      <w:r>
        <w:rPr>
          <w:color w:val="auto"/>
          <w:highlight w:val="none"/>
        </w:rPr>
        <w:fldChar w:fldCharType="begin"/>
      </w:r>
      <w:r>
        <w:rPr>
          <w:color w:val="auto"/>
          <w:highlight w:val="none"/>
        </w:rPr>
        <w:instrText xml:space="preserve"> PAGEREF _Toc25708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"_Toc29237" </w:instrText>
      </w:r>
      <w:r>
        <w:rPr>
          <w:color w:val="auto"/>
          <w:highlight w:val="none"/>
        </w:rPr>
        <w:fldChar w:fldCharType="separate"/>
      </w:r>
      <w:r>
        <w:rPr>
          <w:rFonts w:hint="eastAsia" w:ascii="宋体" w:hAnsi="宋体" w:cs="宋体"/>
          <w:bCs/>
          <w:color w:val="auto"/>
          <w:szCs w:val="32"/>
          <w:highlight w:val="none"/>
        </w:rPr>
        <w:t>谈判须知前附表</w:t>
      </w:r>
      <w:r>
        <w:rPr>
          <w:color w:val="auto"/>
          <w:highlight w:val="none"/>
        </w:rPr>
        <w:tab/>
      </w:r>
      <w:r>
        <w:rPr>
          <w:color w:val="auto"/>
          <w:highlight w:val="none"/>
        </w:rPr>
        <w:fldChar w:fldCharType="begin"/>
      </w:r>
      <w:r>
        <w:rPr>
          <w:color w:val="auto"/>
          <w:highlight w:val="none"/>
        </w:rPr>
        <w:instrText xml:space="preserve"> PAGEREF _Toc29237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"_Toc28895" </w:instrText>
      </w:r>
      <w:r>
        <w:rPr>
          <w:color w:val="auto"/>
          <w:highlight w:val="none"/>
        </w:rPr>
        <w:fldChar w:fldCharType="separate"/>
      </w:r>
      <w:r>
        <w:rPr>
          <w:rFonts w:hint="eastAsia" w:ascii="宋体" w:hAnsi="宋体" w:cs="宋体"/>
          <w:bCs/>
          <w:color w:val="auto"/>
          <w:szCs w:val="32"/>
          <w:highlight w:val="none"/>
        </w:rPr>
        <w:t>谈判须知正文</w:t>
      </w:r>
      <w:r>
        <w:rPr>
          <w:color w:val="auto"/>
          <w:highlight w:val="none"/>
        </w:rPr>
        <w:tab/>
      </w:r>
      <w:r>
        <w:rPr>
          <w:color w:val="auto"/>
          <w:highlight w:val="none"/>
        </w:rPr>
        <w:fldChar w:fldCharType="begin"/>
      </w:r>
      <w:r>
        <w:rPr>
          <w:color w:val="auto"/>
          <w:highlight w:val="none"/>
        </w:rPr>
        <w:instrText xml:space="preserve"> PAGEREF _Toc28895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"_Toc19332" </w:instrText>
      </w:r>
      <w:r>
        <w:rPr>
          <w:color w:val="auto"/>
          <w:highlight w:val="none"/>
        </w:rPr>
        <w:fldChar w:fldCharType="separate"/>
      </w:r>
      <w:r>
        <w:rPr>
          <w:rFonts w:hint="eastAsia" w:ascii="宋体" w:hAnsi="宋体" w:cs="宋体"/>
          <w:bCs/>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_Toc19332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"_Toc2969" </w:instrText>
      </w:r>
      <w:r>
        <w:rPr>
          <w:color w:val="auto"/>
          <w:highlight w:val="none"/>
        </w:rPr>
        <w:fldChar w:fldCharType="separate"/>
      </w:r>
      <w:r>
        <w:rPr>
          <w:rFonts w:hint="eastAsia" w:ascii="宋体" w:hAnsi="宋体" w:cs="宋体"/>
          <w:bCs/>
          <w:color w:val="auto"/>
          <w:szCs w:val="21"/>
          <w:highlight w:val="none"/>
        </w:rPr>
        <w:t>二、谈判文件</w:t>
      </w:r>
      <w:r>
        <w:rPr>
          <w:color w:val="auto"/>
          <w:highlight w:val="none"/>
        </w:rPr>
        <w:tab/>
      </w:r>
      <w:r>
        <w:rPr>
          <w:color w:val="auto"/>
          <w:highlight w:val="none"/>
        </w:rPr>
        <w:fldChar w:fldCharType="begin"/>
      </w:r>
      <w:r>
        <w:rPr>
          <w:color w:val="auto"/>
          <w:highlight w:val="none"/>
        </w:rPr>
        <w:instrText xml:space="preserve"> PAGEREF _Toc2969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"_Toc8063" </w:instrText>
      </w:r>
      <w:r>
        <w:rPr>
          <w:color w:val="auto"/>
          <w:highlight w:val="none"/>
        </w:rPr>
        <w:fldChar w:fldCharType="separate"/>
      </w:r>
      <w:r>
        <w:rPr>
          <w:rFonts w:hint="eastAsia" w:ascii="宋体" w:hAnsi="宋体" w:cs="宋体"/>
          <w:bCs/>
          <w:color w:val="auto"/>
          <w:szCs w:val="21"/>
          <w:highlight w:val="none"/>
        </w:rPr>
        <w:t>三、响应文件</w:t>
      </w:r>
      <w:r>
        <w:rPr>
          <w:color w:val="auto"/>
          <w:highlight w:val="none"/>
        </w:rPr>
        <w:tab/>
      </w:r>
      <w:r>
        <w:rPr>
          <w:color w:val="auto"/>
          <w:highlight w:val="none"/>
        </w:rPr>
        <w:fldChar w:fldCharType="begin"/>
      </w:r>
      <w:r>
        <w:rPr>
          <w:color w:val="auto"/>
          <w:highlight w:val="none"/>
        </w:rPr>
        <w:instrText xml:space="preserve"> PAGEREF _Toc8063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"_Toc23242" </w:instrText>
      </w:r>
      <w:r>
        <w:rPr>
          <w:color w:val="auto"/>
          <w:highlight w:val="none"/>
        </w:rPr>
        <w:fldChar w:fldCharType="separate"/>
      </w:r>
      <w:r>
        <w:rPr>
          <w:rFonts w:hint="eastAsia" w:ascii="宋体" w:hAnsi="宋体" w:cs="宋体"/>
          <w:bCs/>
          <w:color w:val="auto"/>
          <w:szCs w:val="21"/>
          <w:highlight w:val="none"/>
        </w:rPr>
        <w:t>四、响应文件的递交</w:t>
      </w:r>
      <w:r>
        <w:rPr>
          <w:color w:val="auto"/>
          <w:highlight w:val="none"/>
        </w:rPr>
        <w:tab/>
      </w:r>
      <w:r>
        <w:rPr>
          <w:color w:val="auto"/>
          <w:highlight w:val="none"/>
        </w:rPr>
        <w:fldChar w:fldCharType="begin"/>
      </w:r>
      <w:r>
        <w:rPr>
          <w:color w:val="auto"/>
          <w:highlight w:val="none"/>
        </w:rPr>
        <w:instrText xml:space="preserve"> PAGEREF _Toc23242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"_Toc10658" </w:instrText>
      </w:r>
      <w:r>
        <w:rPr>
          <w:color w:val="auto"/>
          <w:highlight w:val="none"/>
        </w:rPr>
        <w:fldChar w:fldCharType="separate"/>
      </w:r>
      <w:r>
        <w:rPr>
          <w:rFonts w:hint="eastAsia" w:ascii="宋体" w:hAnsi="宋体" w:cs="宋体"/>
          <w:bCs/>
          <w:color w:val="auto"/>
          <w:szCs w:val="21"/>
          <w:highlight w:val="none"/>
        </w:rPr>
        <w:t>五、响应文件的评审</w:t>
      </w:r>
      <w:r>
        <w:rPr>
          <w:color w:val="auto"/>
          <w:highlight w:val="none"/>
        </w:rPr>
        <w:tab/>
      </w:r>
      <w:r>
        <w:rPr>
          <w:color w:val="auto"/>
          <w:highlight w:val="none"/>
        </w:rPr>
        <w:fldChar w:fldCharType="begin"/>
      </w:r>
      <w:r>
        <w:rPr>
          <w:color w:val="auto"/>
          <w:highlight w:val="none"/>
        </w:rPr>
        <w:instrText xml:space="preserve"> PAGEREF _Toc10658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"_Toc18917" </w:instrText>
      </w:r>
      <w:r>
        <w:rPr>
          <w:color w:val="auto"/>
          <w:highlight w:val="none"/>
        </w:rPr>
        <w:fldChar w:fldCharType="separate"/>
      </w:r>
      <w:r>
        <w:rPr>
          <w:rFonts w:hint="eastAsia" w:ascii="宋体" w:hAnsi="宋体" w:cs="宋体"/>
          <w:bCs/>
          <w:color w:val="auto"/>
          <w:szCs w:val="21"/>
          <w:highlight w:val="none"/>
        </w:rPr>
        <w:t>六、响应文件的澄清、说明及补正</w:t>
      </w:r>
      <w:r>
        <w:rPr>
          <w:color w:val="auto"/>
          <w:highlight w:val="none"/>
        </w:rPr>
        <w:tab/>
      </w:r>
      <w:r>
        <w:rPr>
          <w:color w:val="auto"/>
          <w:highlight w:val="none"/>
        </w:rPr>
        <w:fldChar w:fldCharType="begin"/>
      </w:r>
      <w:r>
        <w:rPr>
          <w:color w:val="auto"/>
          <w:highlight w:val="none"/>
        </w:rPr>
        <w:instrText xml:space="preserve"> PAGEREF _Toc18917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"_Toc21993" </w:instrText>
      </w:r>
      <w:r>
        <w:rPr>
          <w:color w:val="auto"/>
          <w:highlight w:val="none"/>
        </w:rPr>
        <w:fldChar w:fldCharType="separate"/>
      </w:r>
      <w:r>
        <w:rPr>
          <w:rFonts w:hint="eastAsia" w:ascii="宋体" w:hAnsi="宋体" w:cs="宋体"/>
          <w:bCs/>
          <w:color w:val="auto"/>
          <w:szCs w:val="21"/>
          <w:highlight w:val="none"/>
        </w:rPr>
        <w:t>七、中选结果与授予合同</w:t>
      </w:r>
      <w:r>
        <w:rPr>
          <w:color w:val="auto"/>
          <w:highlight w:val="none"/>
        </w:rPr>
        <w:tab/>
      </w:r>
      <w:r>
        <w:rPr>
          <w:color w:val="auto"/>
          <w:highlight w:val="none"/>
        </w:rPr>
        <w:fldChar w:fldCharType="begin"/>
      </w:r>
      <w:r>
        <w:rPr>
          <w:color w:val="auto"/>
          <w:highlight w:val="none"/>
        </w:rPr>
        <w:instrText xml:space="preserve"> PAGEREF _Toc21993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"_Toc29154" </w:instrText>
      </w:r>
      <w:r>
        <w:rPr>
          <w:color w:val="auto"/>
          <w:highlight w:val="none"/>
        </w:rPr>
        <w:fldChar w:fldCharType="separate"/>
      </w:r>
      <w:r>
        <w:rPr>
          <w:rFonts w:hint="eastAsia" w:ascii="宋体" w:hAnsi="宋体" w:cs="宋体"/>
          <w:bCs/>
          <w:color w:val="auto"/>
          <w:szCs w:val="21"/>
          <w:highlight w:val="none"/>
        </w:rPr>
        <w:t>八、其他</w:t>
      </w:r>
      <w:r>
        <w:rPr>
          <w:color w:val="auto"/>
          <w:highlight w:val="none"/>
        </w:rPr>
        <w:tab/>
      </w:r>
      <w:r>
        <w:rPr>
          <w:color w:val="auto"/>
          <w:highlight w:val="none"/>
        </w:rPr>
        <w:fldChar w:fldCharType="begin"/>
      </w:r>
      <w:r>
        <w:rPr>
          <w:color w:val="auto"/>
          <w:highlight w:val="none"/>
        </w:rPr>
        <w:instrText xml:space="preserve"> PAGEREF _Toc29154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32"/>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"_Toc2716" </w:instrText>
      </w:r>
      <w:r>
        <w:rPr>
          <w:color w:val="auto"/>
          <w:highlight w:val="none"/>
        </w:rPr>
        <w:fldChar w:fldCharType="separate"/>
      </w:r>
      <w:r>
        <w:rPr>
          <w:rFonts w:hint="eastAsia" w:ascii="宋体" w:hAnsi="宋体" w:cs="宋体"/>
          <w:bCs/>
          <w:color w:val="auto"/>
          <w:szCs w:val="32"/>
          <w:highlight w:val="none"/>
        </w:rPr>
        <w:t>第三章  评审办法及标准</w:t>
      </w:r>
      <w:r>
        <w:rPr>
          <w:color w:val="auto"/>
          <w:highlight w:val="none"/>
        </w:rPr>
        <w:tab/>
      </w:r>
      <w:r>
        <w:rPr>
          <w:color w:val="auto"/>
          <w:highlight w:val="none"/>
        </w:rPr>
        <w:fldChar w:fldCharType="begin"/>
      </w:r>
      <w:r>
        <w:rPr>
          <w:color w:val="auto"/>
          <w:highlight w:val="none"/>
        </w:rPr>
        <w:instrText xml:space="preserve"> PAGEREF _Toc2716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2"/>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"_Toc13420" </w:instrText>
      </w:r>
      <w:r>
        <w:rPr>
          <w:color w:val="auto"/>
          <w:highlight w:val="none"/>
        </w:rPr>
        <w:fldChar w:fldCharType="separate"/>
      </w:r>
      <w:r>
        <w:rPr>
          <w:rFonts w:hint="eastAsia" w:ascii="宋体" w:hAnsi="宋体" w:cs="宋体"/>
          <w:bCs/>
          <w:color w:val="auto"/>
          <w:szCs w:val="32"/>
          <w:highlight w:val="none"/>
        </w:rPr>
        <w:t>第四章  用户需求书（另册）</w:t>
      </w:r>
      <w:r>
        <w:rPr>
          <w:color w:val="auto"/>
          <w:highlight w:val="none"/>
        </w:rPr>
        <w:tab/>
      </w:r>
      <w:r>
        <w:rPr>
          <w:color w:val="auto"/>
          <w:highlight w:val="none"/>
        </w:rPr>
        <w:fldChar w:fldCharType="begin"/>
      </w:r>
      <w:r>
        <w:rPr>
          <w:color w:val="auto"/>
          <w:highlight w:val="none"/>
        </w:rPr>
        <w:instrText xml:space="preserve"> PAGEREF _Toc13420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32"/>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"_Toc27953" </w:instrText>
      </w:r>
      <w:r>
        <w:rPr>
          <w:color w:val="auto"/>
          <w:highlight w:val="none"/>
        </w:rPr>
        <w:fldChar w:fldCharType="separate"/>
      </w:r>
      <w:r>
        <w:rPr>
          <w:rFonts w:hint="eastAsia" w:ascii="宋体" w:hAnsi="宋体" w:cs="宋体"/>
          <w:bCs/>
          <w:color w:val="auto"/>
          <w:szCs w:val="32"/>
          <w:highlight w:val="none"/>
        </w:rPr>
        <w:t>第五章  合同格式条款</w:t>
      </w:r>
      <w:r>
        <w:rPr>
          <w:color w:val="auto"/>
          <w:highlight w:val="none"/>
        </w:rPr>
        <w:tab/>
      </w:r>
      <w:r>
        <w:rPr>
          <w:color w:val="auto"/>
          <w:highlight w:val="none"/>
        </w:rPr>
        <w:fldChar w:fldCharType="begin"/>
      </w:r>
      <w:r>
        <w:rPr>
          <w:color w:val="auto"/>
          <w:highlight w:val="none"/>
        </w:rPr>
        <w:instrText xml:space="preserve"> PAGEREF _Toc27953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32"/>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"_Toc10678" </w:instrText>
      </w:r>
      <w:r>
        <w:rPr>
          <w:color w:val="auto"/>
          <w:highlight w:val="none"/>
        </w:rPr>
        <w:fldChar w:fldCharType="separate"/>
      </w:r>
      <w:r>
        <w:rPr>
          <w:rFonts w:hint="eastAsia" w:ascii="宋体" w:hAnsi="宋体" w:cs="宋体"/>
          <w:bCs/>
          <w:color w:val="auto"/>
          <w:szCs w:val="32"/>
          <w:highlight w:val="none"/>
        </w:rPr>
        <w:t>第六章  响应文件组成</w:t>
      </w:r>
      <w:r>
        <w:rPr>
          <w:color w:val="auto"/>
          <w:highlight w:val="none"/>
        </w:rPr>
        <w:tab/>
      </w:r>
      <w:r>
        <w:rPr>
          <w:color w:val="auto"/>
          <w:highlight w:val="none"/>
        </w:rPr>
        <w:fldChar w:fldCharType="begin"/>
      </w:r>
      <w:r>
        <w:rPr>
          <w:color w:val="auto"/>
          <w:highlight w:val="none"/>
        </w:rPr>
        <w:instrText xml:space="preserve"> PAGEREF _Toc10678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"_Toc25432" </w:instrText>
      </w:r>
      <w:r>
        <w:rPr>
          <w:color w:val="auto"/>
          <w:highlight w:val="none"/>
        </w:rPr>
        <w:fldChar w:fldCharType="separate"/>
      </w:r>
      <w:r>
        <w:rPr>
          <w:rFonts w:hint="eastAsia" w:ascii="宋体" w:hAnsi="宋体" w:cs="宋体"/>
          <w:color w:val="auto"/>
          <w:szCs w:val="32"/>
          <w:highlight w:val="none"/>
        </w:rPr>
        <w:t>一、谈判承诺书</w:t>
      </w:r>
      <w:r>
        <w:rPr>
          <w:color w:val="auto"/>
          <w:highlight w:val="none"/>
        </w:rPr>
        <w:tab/>
      </w:r>
      <w:r>
        <w:rPr>
          <w:color w:val="auto"/>
          <w:highlight w:val="none"/>
        </w:rPr>
        <w:fldChar w:fldCharType="begin"/>
      </w:r>
      <w:r>
        <w:rPr>
          <w:color w:val="auto"/>
          <w:highlight w:val="none"/>
        </w:rPr>
        <w:instrText xml:space="preserve"> PAGEREF _Toc25432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"_Toc15824" </w:instrText>
      </w:r>
      <w:r>
        <w:rPr>
          <w:color w:val="auto"/>
          <w:highlight w:val="none"/>
        </w:rPr>
        <w:fldChar w:fldCharType="separate"/>
      </w:r>
      <w:r>
        <w:rPr>
          <w:rFonts w:hint="eastAsia" w:ascii="宋体" w:hAnsi="宋体" w:cs="宋体"/>
          <w:color w:val="auto"/>
          <w:szCs w:val="32"/>
          <w:highlight w:val="none"/>
        </w:rPr>
        <w:t>二、法定代表人身份证明书</w:t>
      </w:r>
      <w:r>
        <w:rPr>
          <w:color w:val="auto"/>
          <w:highlight w:val="none"/>
        </w:rPr>
        <w:tab/>
      </w:r>
      <w:r>
        <w:rPr>
          <w:color w:val="auto"/>
          <w:highlight w:val="none"/>
        </w:rPr>
        <w:fldChar w:fldCharType="begin"/>
      </w:r>
      <w:r>
        <w:rPr>
          <w:color w:val="auto"/>
          <w:highlight w:val="none"/>
        </w:rPr>
        <w:instrText xml:space="preserve"> PAGEREF _Toc15824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"_Toc22909" </w:instrText>
      </w:r>
      <w:r>
        <w:rPr>
          <w:color w:val="auto"/>
          <w:highlight w:val="none"/>
        </w:rPr>
        <w:fldChar w:fldCharType="separate"/>
      </w:r>
      <w:r>
        <w:rPr>
          <w:rFonts w:hint="eastAsia" w:ascii="宋体" w:hAnsi="宋体" w:cs="宋体"/>
          <w:color w:val="auto"/>
          <w:szCs w:val="32"/>
          <w:highlight w:val="none"/>
        </w:rPr>
        <w:t>三、授权委托书</w:t>
      </w:r>
      <w:r>
        <w:rPr>
          <w:color w:val="auto"/>
          <w:highlight w:val="none"/>
        </w:rPr>
        <w:tab/>
      </w:r>
      <w:r>
        <w:rPr>
          <w:color w:val="auto"/>
          <w:highlight w:val="none"/>
        </w:rPr>
        <w:fldChar w:fldCharType="begin"/>
      </w:r>
      <w:r>
        <w:rPr>
          <w:color w:val="auto"/>
          <w:highlight w:val="none"/>
        </w:rPr>
        <w:instrText xml:space="preserve"> PAGEREF _Toc22909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"_Toc424" </w:instrText>
      </w:r>
      <w:r>
        <w:rPr>
          <w:color w:val="auto"/>
          <w:highlight w:val="none"/>
        </w:rPr>
        <w:fldChar w:fldCharType="separate"/>
      </w:r>
      <w:r>
        <w:rPr>
          <w:rFonts w:hint="eastAsia" w:ascii="宋体" w:hAnsi="宋体" w:cs="宋体"/>
          <w:color w:val="auto"/>
          <w:szCs w:val="32"/>
          <w:highlight w:val="none"/>
        </w:rPr>
        <w:t>四、谈判单位资格证明文件</w:t>
      </w:r>
      <w:r>
        <w:rPr>
          <w:color w:val="auto"/>
          <w:highlight w:val="none"/>
        </w:rPr>
        <w:tab/>
      </w:r>
      <w:r>
        <w:rPr>
          <w:color w:val="auto"/>
          <w:highlight w:val="none"/>
        </w:rPr>
        <w:fldChar w:fldCharType="begin"/>
      </w:r>
      <w:r>
        <w:rPr>
          <w:color w:val="auto"/>
          <w:highlight w:val="none"/>
        </w:rPr>
        <w:instrText xml:space="preserve"> PAGEREF _Toc424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"_Toc25152" </w:instrText>
      </w:r>
      <w:r>
        <w:rPr>
          <w:color w:val="auto"/>
          <w:highlight w:val="none"/>
        </w:rPr>
        <w:fldChar w:fldCharType="separate"/>
      </w:r>
      <w:r>
        <w:rPr>
          <w:rFonts w:hint="eastAsia" w:ascii="宋体" w:hAnsi="宋体" w:cs="宋体"/>
          <w:color w:val="auto"/>
          <w:szCs w:val="32"/>
          <w:highlight w:val="none"/>
        </w:rPr>
        <w:t>五、设备主要技术参数对比表</w:t>
      </w:r>
      <w:r>
        <w:rPr>
          <w:color w:val="auto"/>
          <w:highlight w:val="none"/>
        </w:rPr>
        <w:tab/>
      </w:r>
      <w:r>
        <w:rPr>
          <w:color w:val="auto"/>
          <w:highlight w:val="none"/>
        </w:rPr>
        <w:fldChar w:fldCharType="begin"/>
      </w:r>
      <w:r>
        <w:rPr>
          <w:color w:val="auto"/>
          <w:highlight w:val="none"/>
        </w:rPr>
        <w:instrText xml:space="preserve"> PAGEREF _Toc25152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"_Toc5411" </w:instrText>
      </w:r>
      <w:r>
        <w:rPr>
          <w:color w:val="auto"/>
          <w:highlight w:val="none"/>
        </w:rPr>
        <w:fldChar w:fldCharType="separate"/>
      </w:r>
      <w:r>
        <w:rPr>
          <w:rFonts w:hint="eastAsia" w:ascii="宋体" w:hAnsi="宋体" w:cs="宋体"/>
          <w:color w:val="auto"/>
          <w:szCs w:val="32"/>
          <w:highlight w:val="none"/>
        </w:rPr>
        <w:t>六、技术服务方案</w:t>
      </w:r>
      <w:r>
        <w:rPr>
          <w:color w:val="auto"/>
          <w:highlight w:val="none"/>
        </w:rPr>
        <w:tab/>
      </w:r>
      <w:r>
        <w:rPr>
          <w:color w:val="auto"/>
          <w:highlight w:val="none"/>
        </w:rPr>
        <w:fldChar w:fldCharType="begin"/>
      </w:r>
      <w:r>
        <w:rPr>
          <w:color w:val="auto"/>
          <w:highlight w:val="none"/>
        </w:rPr>
        <w:instrText xml:space="preserve"> PAGEREF _Toc5411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"_Toc7850" </w:instrText>
      </w:r>
      <w:r>
        <w:rPr>
          <w:color w:val="auto"/>
          <w:highlight w:val="none"/>
        </w:rPr>
        <w:fldChar w:fldCharType="separate"/>
      </w:r>
      <w:r>
        <w:rPr>
          <w:rFonts w:hint="eastAsia"/>
          <w:color w:val="auto"/>
          <w:szCs w:val="32"/>
          <w:highlight w:val="none"/>
        </w:rPr>
        <w:t>七、承诺函</w:t>
      </w:r>
      <w:r>
        <w:rPr>
          <w:color w:val="auto"/>
          <w:highlight w:val="none"/>
        </w:rPr>
        <w:tab/>
      </w:r>
      <w:r>
        <w:rPr>
          <w:color w:val="auto"/>
          <w:highlight w:val="none"/>
        </w:rPr>
        <w:fldChar w:fldCharType="begin"/>
      </w:r>
      <w:r>
        <w:rPr>
          <w:color w:val="auto"/>
          <w:highlight w:val="none"/>
        </w:rPr>
        <w:instrText xml:space="preserve"> PAGEREF _Toc7850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"_Toc31473" </w:instrText>
      </w:r>
      <w:r>
        <w:rPr>
          <w:color w:val="auto"/>
          <w:highlight w:val="none"/>
        </w:rPr>
        <w:fldChar w:fldCharType="separate"/>
      </w:r>
      <w:r>
        <w:rPr>
          <w:rFonts w:hint="eastAsia" w:ascii="宋体" w:hAnsi="宋体" w:cs="宋体"/>
          <w:color w:val="auto"/>
          <w:szCs w:val="32"/>
          <w:highlight w:val="none"/>
        </w:rPr>
        <w:t>八、合理化建议</w:t>
      </w:r>
      <w:r>
        <w:rPr>
          <w:color w:val="auto"/>
          <w:highlight w:val="none"/>
        </w:rPr>
        <w:tab/>
      </w:r>
      <w:r>
        <w:rPr>
          <w:color w:val="auto"/>
          <w:highlight w:val="none"/>
        </w:rPr>
        <w:fldChar w:fldCharType="begin"/>
      </w:r>
      <w:r>
        <w:rPr>
          <w:color w:val="auto"/>
          <w:highlight w:val="none"/>
        </w:rPr>
        <w:instrText xml:space="preserve"> PAGEREF _Toc31473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"_Toc7479" </w:instrText>
      </w:r>
      <w:r>
        <w:rPr>
          <w:color w:val="auto"/>
          <w:highlight w:val="none"/>
        </w:rPr>
        <w:fldChar w:fldCharType="separate"/>
      </w:r>
      <w:r>
        <w:rPr>
          <w:rFonts w:hint="eastAsia" w:ascii="宋体" w:hAnsi="宋体" w:cs="宋体"/>
          <w:color w:val="auto"/>
          <w:szCs w:val="32"/>
          <w:highlight w:val="none"/>
        </w:rPr>
        <w:t>九、报价一览表</w:t>
      </w:r>
      <w:r>
        <w:rPr>
          <w:color w:val="auto"/>
          <w:highlight w:val="none"/>
        </w:rPr>
        <w:tab/>
      </w:r>
      <w:r>
        <w:rPr>
          <w:color w:val="auto"/>
          <w:highlight w:val="none"/>
        </w:rPr>
        <w:fldChar w:fldCharType="begin"/>
      </w:r>
      <w:r>
        <w:rPr>
          <w:color w:val="auto"/>
          <w:highlight w:val="none"/>
        </w:rPr>
        <w:instrText xml:space="preserve"> PAGEREF _Toc7479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"_Toc27655" </w:instrText>
      </w:r>
      <w:r>
        <w:rPr>
          <w:color w:val="auto"/>
          <w:highlight w:val="none"/>
        </w:rPr>
        <w:fldChar w:fldCharType="separate"/>
      </w:r>
      <w:r>
        <w:rPr>
          <w:rFonts w:hint="eastAsia" w:ascii="宋体" w:hAnsi="宋体" w:cs="宋体"/>
          <w:color w:val="auto"/>
          <w:szCs w:val="32"/>
          <w:highlight w:val="none"/>
        </w:rPr>
        <w:t>十、分项价格表</w:t>
      </w:r>
      <w:r>
        <w:rPr>
          <w:color w:val="auto"/>
          <w:highlight w:val="none"/>
        </w:rPr>
        <w:tab/>
      </w:r>
      <w:r>
        <w:rPr>
          <w:color w:val="auto"/>
          <w:highlight w:val="none"/>
        </w:rPr>
        <w:fldChar w:fldCharType="begin"/>
      </w:r>
      <w:r>
        <w:rPr>
          <w:color w:val="auto"/>
          <w:highlight w:val="none"/>
        </w:rPr>
        <w:instrText xml:space="preserve"> PAGEREF _Toc27655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37"/>
        <w:tabs>
          <w:tab w:val="right" w:leader="dot" w:pos="8844"/>
        </w:tabs>
        <w:spacing w:line="400" w:lineRule="exact"/>
        <w:rPr>
          <w:color w:val="auto"/>
          <w:highlight w:val="none"/>
        </w:rPr>
      </w:pPr>
      <w:r>
        <w:rPr>
          <w:color w:val="auto"/>
          <w:highlight w:val="none"/>
        </w:rPr>
        <w:fldChar w:fldCharType="begin"/>
      </w:r>
      <w:r>
        <w:rPr>
          <w:color w:val="auto"/>
          <w:highlight w:val="none"/>
        </w:rPr>
        <w:instrText xml:space="preserve"> HYPERLINK \l "_Toc3553" </w:instrText>
      </w:r>
      <w:r>
        <w:rPr>
          <w:color w:val="auto"/>
          <w:highlight w:val="none"/>
        </w:rPr>
        <w:fldChar w:fldCharType="separate"/>
      </w:r>
      <w:r>
        <w:rPr>
          <w:rFonts w:hint="eastAsia" w:ascii="宋体" w:hAnsi="宋体" w:cs="宋体"/>
          <w:color w:val="auto"/>
          <w:szCs w:val="32"/>
          <w:highlight w:val="none"/>
        </w:rPr>
        <w:t>十一、其他资料（如有）</w:t>
      </w:r>
      <w:r>
        <w:rPr>
          <w:color w:val="auto"/>
          <w:highlight w:val="none"/>
        </w:rPr>
        <w:tab/>
      </w:r>
      <w:r>
        <w:rPr>
          <w:color w:val="auto"/>
          <w:highlight w:val="none"/>
        </w:rPr>
        <w:fldChar w:fldCharType="begin"/>
      </w:r>
      <w:r>
        <w:rPr>
          <w:color w:val="auto"/>
          <w:highlight w:val="none"/>
        </w:rPr>
        <w:instrText xml:space="preserve"> PAGEREF _Toc3553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pPr>
        <w:spacing w:line="400" w:lineRule="exact"/>
        <w:rPr>
          <w:rFonts w:ascii="宋体" w:hAnsi="宋体"/>
          <w:color w:val="auto"/>
          <w:highlight w:val="none"/>
        </w:rPr>
      </w:pPr>
      <w:r>
        <w:rPr>
          <w:rFonts w:hint="eastAsia" w:ascii="仿宋_GB2312" w:hAnsi="仿宋_GB2312" w:eastAsia="仿宋_GB2312" w:cs="仿宋_GB2312"/>
          <w:color w:val="auto"/>
          <w:szCs w:val="21"/>
          <w:highlight w:val="none"/>
        </w:rPr>
        <w:fldChar w:fldCharType="end"/>
      </w:r>
    </w:p>
    <w:p>
      <w:pPr>
        <w:pStyle w:val="3"/>
        <w:keepNext w:val="0"/>
        <w:rPr>
          <w:rFonts w:ascii="宋体" w:hAnsi="宋体" w:cs="宋体"/>
          <w:color w:val="auto"/>
          <w:sz w:val="32"/>
          <w:szCs w:val="32"/>
          <w:highlight w:val="none"/>
        </w:rPr>
        <w:sectPr>
          <w:footerReference r:id="rId4" w:type="default"/>
          <w:pgSz w:w="11905" w:h="16838"/>
          <w:pgMar w:top="2098" w:right="1474" w:bottom="1984" w:left="1587" w:header="851" w:footer="850" w:gutter="0"/>
          <w:cols w:space="0" w:num="1"/>
          <w:docGrid w:linePitch="312" w:charSpace="0"/>
        </w:sectPr>
      </w:pPr>
      <w:bookmarkStart w:id="1" w:name="_Toc5016"/>
      <w:bookmarkStart w:id="2" w:name="_Toc29614"/>
    </w:p>
    <w:p>
      <w:pPr>
        <w:spacing w:line="360" w:lineRule="auto"/>
        <w:jc w:val="center"/>
        <w:outlineLvl w:val="0"/>
        <w:rPr>
          <w:rFonts w:ascii="宋体" w:hAnsi="宋体" w:cs="宋体"/>
          <w:b/>
          <w:bCs/>
          <w:color w:val="auto"/>
          <w:sz w:val="32"/>
          <w:szCs w:val="32"/>
          <w:highlight w:val="none"/>
        </w:rPr>
      </w:pPr>
      <w:bookmarkStart w:id="3" w:name="_Toc12297"/>
      <w:bookmarkStart w:id="4" w:name="_Toc3889"/>
      <w:bookmarkStart w:id="5" w:name="_Toc13376"/>
      <w:bookmarkStart w:id="6" w:name="_Toc12511"/>
      <w:r>
        <w:rPr>
          <w:rFonts w:hint="eastAsia" w:ascii="宋体" w:hAnsi="宋体" w:cs="宋体"/>
          <w:b/>
          <w:bCs/>
          <w:color w:val="auto"/>
          <w:sz w:val="32"/>
          <w:szCs w:val="32"/>
          <w:highlight w:val="none"/>
        </w:rPr>
        <w:t>第一章  谈判邀请公告</w:t>
      </w:r>
      <w:bookmarkEnd w:id="0"/>
      <w:bookmarkEnd w:id="1"/>
      <w:bookmarkEnd w:id="2"/>
      <w:bookmarkEnd w:id="3"/>
      <w:bookmarkEnd w:id="4"/>
      <w:bookmarkEnd w:id="5"/>
      <w:bookmarkEnd w:id="6"/>
    </w:p>
    <w:p>
      <w:pPr>
        <w:spacing w:line="360" w:lineRule="auto"/>
        <w:ind w:firstLine="420" w:firstLineChars="200"/>
        <w:jc w:val="left"/>
        <w:rPr>
          <w:rFonts w:ascii="宋体" w:hAnsi="宋体" w:cs="宋体"/>
          <w:iCs/>
          <w:color w:val="auto"/>
          <w:szCs w:val="21"/>
          <w:highlight w:val="none"/>
          <w:u w:val="single"/>
        </w:rPr>
      </w:pPr>
      <w:r>
        <w:rPr>
          <w:rStyle w:val="56"/>
          <w:rFonts w:hint="eastAsia"/>
          <w:color w:val="auto"/>
          <w:kern w:val="0"/>
          <w:highlight w:val="none"/>
          <w:shd w:val="clear" w:color="auto" w:fill="FFFFFF"/>
        </w:rPr>
        <w:t>中科标禾工程项目管理有限公司</w:t>
      </w:r>
      <w:r>
        <w:rPr>
          <w:rStyle w:val="56"/>
          <w:rFonts w:hint="eastAsia"/>
          <w:color w:val="auto"/>
          <w:kern w:val="0"/>
          <w:highlight w:val="none"/>
          <w:u w:val="none"/>
          <w:shd w:val="clear" w:color="auto" w:fill="FFFFFF"/>
        </w:rPr>
        <w:t>受</w:t>
      </w:r>
      <w:r>
        <w:rPr>
          <w:rStyle w:val="56"/>
          <w:rFonts w:hint="eastAsia"/>
          <w:color w:val="auto"/>
          <w:kern w:val="0"/>
          <w:highlight w:val="none"/>
          <w:shd w:val="clear" w:color="auto" w:fill="FFFFFF"/>
        </w:rPr>
        <w:t>长沙市轨道交通一号线建设发展有限公司、长沙市轨道交通运营有限公司、长沙市轨道交通四号线建设发展有限公司</w:t>
      </w:r>
      <w:r>
        <w:rPr>
          <w:rStyle w:val="56"/>
          <w:rFonts w:hint="eastAsia"/>
          <w:color w:val="auto"/>
          <w:kern w:val="0"/>
          <w:highlight w:val="none"/>
          <w:u w:val="none"/>
          <w:shd w:val="clear" w:color="auto" w:fill="FFFFFF"/>
        </w:rPr>
        <w:t>的委托，对</w:t>
      </w:r>
      <w:r>
        <w:rPr>
          <w:rStyle w:val="56"/>
          <w:rFonts w:hint="eastAsia"/>
          <w:color w:val="auto"/>
          <w:kern w:val="0"/>
          <w:highlight w:val="none"/>
          <w:shd w:val="clear" w:color="auto" w:fill="FFFFFF"/>
        </w:rPr>
        <w:t>长沙市轨道交通1、2、4号线运营期2022年多功能垂直钢轨打磨机、双轨波浪磨耗测量仪等5项轨道维修设备采购项目</w:t>
      </w:r>
      <w:r>
        <w:rPr>
          <w:rStyle w:val="56"/>
          <w:rFonts w:hint="eastAsia"/>
          <w:color w:val="auto"/>
          <w:kern w:val="0"/>
          <w:highlight w:val="none"/>
          <w:u w:val="none"/>
          <w:shd w:val="clear" w:color="auto" w:fill="FFFFFF"/>
        </w:rPr>
        <w:t>进行自主竞争性谈判采购，现发布公告，邀请符合条件的单位参与谈判采购活动，本项目为不含税报价。</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项目概况</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项目名称：长沙市轨道交通1、2、4号线运营期2022年多功能垂直钢轨打磨机、双轨波浪磨耗测量仪等5项轨道维修设备采购项目</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项目编号：长轨运物采【2022】035号</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项目预算：</w:t>
      </w:r>
      <w:r>
        <w:rPr>
          <w:rStyle w:val="56"/>
          <w:color w:val="auto"/>
          <w:kern w:val="0"/>
          <w:highlight w:val="none"/>
          <w:u w:val="none"/>
          <w:shd w:val="clear" w:color="auto" w:fill="FFFFFF"/>
        </w:rPr>
        <w:t>178</w:t>
      </w:r>
      <w:r>
        <w:rPr>
          <w:rStyle w:val="56"/>
          <w:rFonts w:hint="eastAsia"/>
          <w:color w:val="auto"/>
          <w:kern w:val="0"/>
          <w:highlight w:val="none"/>
          <w:u w:val="none"/>
          <w:shd w:val="clear" w:color="auto" w:fill="FFFFFF"/>
        </w:rPr>
        <w:t>4</w:t>
      </w:r>
      <w:r>
        <w:rPr>
          <w:rStyle w:val="56"/>
          <w:color w:val="auto"/>
          <w:kern w:val="0"/>
          <w:highlight w:val="none"/>
          <w:u w:val="none"/>
          <w:shd w:val="clear" w:color="auto" w:fill="FFFFFF"/>
        </w:rPr>
        <w:t>253</w:t>
      </w:r>
      <w:r>
        <w:rPr>
          <w:rStyle w:val="56"/>
          <w:rFonts w:hint="eastAsia"/>
          <w:color w:val="auto"/>
          <w:kern w:val="0"/>
          <w:highlight w:val="none"/>
          <w:u w:val="none"/>
          <w:shd w:val="clear" w:color="auto" w:fill="FFFFFF"/>
        </w:rPr>
        <w:t>.</w:t>
      </w:r>
      <w:r>
        <w:rPr>
          <w:rStyle w:val="56"/>
          <w:color w:val="auto"/>
          <w:kern w:val="0"/>
          <w:highlight w:val="none"/>
          <w:u w:val="none"/>
          <w:shd w:val="clear" w:color="auto" w:fill="FFFFFF"/>
        </w:rPr>
        <w:t>18</w:t>
      </w:r>
      <w:r>
        <w:rPr>
          <w:rStyle w:val="56"/>
          <w:rFonts w:hint="eastAsia"/>
          <w:color w:val="auto"/>
          <w:kern w:val="0"/>
          <w:highlight w:val="none"/>
          <w:u w:val="none"/>
          <w:shd w:val="clear" w:color="auto" w:fill="FFFFFF"/>
        </w:rPr>
        <w:t>元</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标段划分：共划分1个标段。</w:t>
      </w:r>
    </w:p>
    <w:p>
      <w:pPr>
        <w:numPr>
          <w:ilvl w:val="0"/>
          <w:numId w:val="7"/>
        </w:numPr>
        <w:spacing w:line="360" w:lineRule="auto"/>
        <w:ind w:firstLine="420" w:firstLineChars="200"/>
        <w:rPr>
          <w:rStyle w:val="56"/>
          <w:color w:val="auto"/>
          <w:kern w:val="0"/>
          <w:highlight w:val="none"/>
          <w:u w:val="none"/>
          <w:shd w:val="clear" w:color="auto" w:fill="FFFFFF"/>
        </w:rPr>
      </w:pPr>
      <w:r>
        <w:rPr>
          <w:rFonts w:hint="eastAsia" w:ascii="宋体" w:hAnsi="宋体" w:cs="宋体"/>
          <w:bCs/>
          <w:color w:val="auto"/>
          <w:szCs w:val="21"/>
          <w:highlight w:val="none"/>
        </w:rPr>
        <w:t>质保期：</w:t>
      </w:r>
      <w:r>
        <w:rPr>
          <w:rFonts w:hint="eastAsia" w:ascii="宋体" w:hAnsi="宋体" w:cs="宋体"/>
          <w:color w:val="auto"/>
          <w:szCs w:val="21"/>
          <w:highlight w:val="none"/>
        </w:rPr>
        <w:t>需求清单中所有设备（打磨设备锂电池除外）的质保期从全部物资验收合格之日算起24个月，打磨设备锂电池质保期按照满足环充电次数达到1000次时放电容量不应低于初始容量的80%的要求计算；如需求清单中物资的原品牌生产商质保期/有效期高于24个月的，按原品牌生产商承诺的质保期执行。（具体详见用户需求书）</w:t>
      </w:r>
    </w:p>
    <w:p>
      <w:pPr>
        <w:numPr>
          <w:ilvl w:val="0"/>
          <w:numId w:val="7"/>
        </w:numPr>
        <w:spacing w:line="360" w:lineRule="auto"/>
        <w:ind w:firstLine="420" w:firstLineChars="200"/>
        <w:rPr>
          <w:rStyle w:val="56"/>
          <w:color w:val="auto"/>
          <w:kern w:val="0"/>
          <w:highlight w:val="none"/>
          <w:u w:val="none"/>
          <w:shd w:val="clear" w:color="auto" w:fill="FFFFFF"/>
        </w:rPr>
      </w:pPr>
      <w:r>
        <w:rPr>
          <w:rFonts w:hint="eastAsia" w:ascii="宋体" w:hAnsi="宋体" w:cs="宋体"/>
          <w:bCs/>
          <w:color w:val="auto"/>
          <w:szCs w:val="21"/>
          <w:highlight w:val="none"/>
        </w:rPr>
        <w:t>供货期：</w:t>
      </w:r>
      <w:r>
        <w:rPr>
          <w:rFonts w:hint="eastAsia" w:ascii="宋体" w:hAnsi="宋体" w:cs="宋体"/>
          <w:color w:val="auto"/>
          <w:szCs w:val="21"/>
          <w:highlight w:val="none"/>
        </w:rPr>
        <w:t>从长沙市轨道交通运营有限公司发出书面供货通知之日起180个自然日内完成</w:t>
      </w:r>
      <w:r>
        <w:rPr>
          <w:rFonts w:hint="eastAsia" w:ascii="宋体" w:hAnsi="宋体" w:cs="宋体"/>
          <w:bCs/>
          <w:color w:val="auto"/>
          <w:szCs w:val="21"/>
          <w:highlight w:val="none"/>
        </w:rPr>
        <w:t>供货</w:t>
      </w:r>
      <w:r>
        <w:rPr>
          <w:rFonts w:hint="eastAsia" w:ascii="宋体" w:hAnsi="宋体" w:cs="宋体"/>
          <w:color w:val="auto"/>
          <w:szCs w:val="21"/>
          <w:highlight w:val="none"/>
        </w:rPr>
        <w:t>。（具体详见用户需求书）</w:t>
      </w:r>
    </w:p>
    <w:p>
      <w:pPr>
        <w:numPr>
          <w:ilvl w:val="0"/>
          <w:numId w:val="7"/>
        </w:num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采购范围：主要对1、2、4号线多功能垂直钢轨打磨机、双轨波浪磨耗测量仪等5项物资进行采购。（具体详见用户需求书）</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资格要求</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谈判单位须为具有独立法人资格、自主经营、独立核算的公司/单位。</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w:t>
      </w:r>
      <w:r>
        <w:rPr>
          <w:rFonts w:hint="eastAsia" w:ascii="宋体" w:hAnsi="宋体"/>
          <w:color w:val="auto"/>
          <w:szCs w:val="21"/>
          <w:highlight w:val="none"/>
          <w:lang w:bidi="ar"/>
        </w:rPr>
        <w:t>须具</w:t>
      </w:r>
      <w:r>
        <w:rPr>
          <w:rFonts w:hint="eastAsia" w:ascii="宋体" w:hAnsi="宋体" w:cs="宋体"/>
          <w:color w:val="auto"/>
          <w:szCs w:val="21"/>
          <w:highlight w:val="none"/>
          <w:lang w:bidi="ar"/>
        </w:rPr>
        <w:t>有一项入围业绩，入围业绩是指</w:t>
      </w:r>
      <w:r>
        <w:rPr>
          <w:rStyle w:val="56"/>
          <w:rFonts w:hint="eastAsia"/>
          <w:color w:val="auto"/>
          <w:kern w:val="0"/>
          <w:highlight w:val="none"/>
          <w:u w:val="none"/>
          <w:shd w:val="clear" w:color="auto" w:fill="FFFFFF"/>
        </w:rPr>
        <w:t>在本项目谈判截止之日前36个月内须具有</w:t>
      </w:r>
    </w:p>
    <w:p>
      <w:pPr>
        <w:spacing w:line="360" w:lineRule="auto"/>
        <w:rPr>
          <w:rStyle w:val="56"/>
          <w:color w:val="auto"/>
          <w:kern w:val="0"/>
          <w:highlight w:val="none"/>
          <w:u w:val="none"/>
          <w:shd w:val="clear" w:color="auto" w:fill="FFFFFF"/>
        </w:rPr>
      </w:pPr>
      <w:r>
        <w:rPr>
          <w:rStyle w:val="56"/>
          <w:rFonts w:hint="eastAsia"/>
          <w:color w:val="auto"/>
          <w:kern w:val="0"/>
          <w:highlight w:val="none"/>
          <w:u w:val="none"/>
          <w:shd w:val="clear" w:color="auto" w:fill="FFFFFF"/>
        </w:rPr>
        <w:t>1个高铁或铁路或城际铁路或地铁或轻轨等轨道维修类设备供货业绩</w:t>
      </w:r>
      <w:r>
        <w:rPr>
          <w:rFonts w:hint="eastAsia" w:ascii="宋体" w:hAnsi="宋体" w:cs="宋体"/>
          <w:color w:val="auto"/>
          <w:kern w:val="0"/>
          <w:szCs w:val="21"/>
          <w:highlight w:val="none"/>
          <w:lang w:bidi="ar"/>
        </w:rPr>
        <w:t>（合同范围至少包含本次需求清单中的1项类似物资）</w:t>
      </w:r>
      <w:r>
        <w:rPr>
          <w:rStyle w:val="56"/>
          <w:rFonts w:hint="eastAsia"/>
          <w:color w:val="auto"/>
          <w:kern w:val="0"/>
          <w:highlight w:val="none"/>
          <w:u w:val="none"/>
          <w:shd w:val="clear" w:color="auto" w:fill="FFFFFF"/>
        </w:rPr>
        <w:t>。不接受联合体业绩、港澳台或境外业绩。</w:t>
      </w:r>
    </w:p>
    <w:p>
      <w:pPr>
        <w:spacing w:line="360" w:lineRule="auto"/>
        <w:ind w:firstLine="420" w:firstLineChars="200"/>
        <w:rPr>
          <w:rStyle w:val="56"/>
          <w:color w:val="auto"/>
          <w:kern w:val="0"/>
          <w:highlight w:val="none"/>
          <w:u w:val="none"/>
          <w:shd w:val="clear" w:color="auto" w:fill="FFFFFF"/>
        </w:rPr>
      </w:pPr>
      <w:r>
        <w:rPr>
          <w:rStyle w:val="56"/>
          <w:color w:val="auto"/>
          <w:highlight w:val="none"/>
          <w:u w:val="none"/>
          <w:shd w:val="clear" w:color="auto" w:fill="FFFFFF"/>
        </w:rPr>
        <w:t>业绩证明材料以同时</w:t>
      </w:r>
      <w:r>
        <w:rPr>
          <w:rStyle w:val="56"/>
          <w:rFonts w:hint="eastAsia"/>
          <w:color w:val="auto"/>
          <w:highlight w:val="none"/>
          <w:u w:val="none"/>
          <w:shd w:val="clear" w:color="auto" w:fill="FFFFFF"/>
        </w:rPr>
        <w:t>提供</w:t>
      </w:r>
      <w:r>
        <w:rPr>
          <w:rStyle w:val="56"/>
          <w:color w:val="auto"/>
          <w:highlight w:val="none"/>
          <w:u w:val="none"/>
          <w:shd w:val="clear" w:color="auto" w:fill="FFFFFF"/>
        </w:rPr>
        <w:t>的合同</w:t>
      </w:r>
      <w:r>
        <w:rPr>
          <w:rStyle w:val="56"/>
          <w:rFonts w:hint="eastAsia"/>
          <w:color w:val="auto"/>
          <w:highlight w:val="none"/>
          <w:u w:val="none"/>
          <w:shd w:val="clear" w:color="auto" w:fill="FFFFFF"/>
        </w:rPr>
        <w:t>原件扫描件</w:t>
      </w:r>
      <w:r>
        <w:rPr>
          <w:rStyle w:val="56"/>
          <w:color w:val="auto"/>
          <w:highlight w:val="none"/>
          <w:u w:val="none"/>
          <w:shd w:val="clear" w:color="auto" w:fill="FFFFFF"/>
        </w:rPr>
        <w:t>和</w:t>
      </w:r>
      <w:r>
        <w:rPr>
          <w:rStyle w:val="56"/>
          <w:rFonts w:hint="eastAsia"/>
          <w:color w:val="auto"/>
          <w:highlight w:val="none"/>
          <w:u w:val="none"/>
          <w:shd w:val="clear" w:color="auto" w:fill="FFFFFF"/>
        </w:rPr>
        <w:t>可查验的增值税发票</w:t>
      </w:r>
      <w:r>
        <w:rPr>
          <w:rStyle w:val="56"/>
          <w:color w:val="auto"/>
          <w:highlight w:val="none"/>
          <w:u w:val="none"/>
          <w:shd w:val="clear" w:color="auto" w:fill="FFFFFF"/>
        </w:rPr>
        <w:t>（开票金额不少于合同金额的10%）</w:t>
      </w:r>
      <w:r>
        <w:rPr>
          <w:rStyle w:val="56"/>
          <w:rFonts w:hint="eastAsia"/>
          <w:color w:val="auto"/>
          <w:highlight w:val="none"/>
          <w:u w:val="none"/>
          <w:shd w:val="clear" w:color="auto" w:fill="FFFFFF"/>
        </w:rPr>
        <w:t>原件扫描件为准</w:t>
      </w:r>
      <w:r>
        <w:rPr>
          <w:rStyle w:val="56"/>
          <w:color w:val="auto"/>
          <w:highlight w:val="none"/>
          <w:u w:val="none"/>
          <w:shd w:val="clear" w:color="auto" w:fill="FFFFFF"/>
        </w:rPr>
        <w:t>（均须加盖</w:t>
      </w:r>
      <w:r>
        <w:rPr>
          <w:rStyle w:val="56"/>
          <w:rFonts w:hint="eastAsia"/>
          <w:color w:val="auto"/>
          <w:highlight w:val="none"/>
          <w:u w:val="none"/>
          <w:shd w:val="clear" w:color="auto" w:fill="FFFFFF"/>
        </w:rPr>
        <w:t>谈判单位</w:t>
      </w:r>
      <w:r>
        <w:rPr>
          <w:rStyle w:val="56"/>
          <w:color w:val="auto"/>
          <w:highlight w:val="none"/>
          <w:u w:val="none"/>
          <w:shd w:val="clear" w:color="auto" w:fill="FFFFFF"/>
        </w:rPr>
        <w:t>公章），</w:t>
      </w:r>
      <w:r>
        <w:rPr>
          <w:rStyle w:val="56"/>
          <w:rFonts w:hint="eastAsia"/>
          <w:color w:val="auto"/>
          <w:highlight w:val="none"/>
          <w:u w:val="none"/>
          <w:shd w:val="clear" w:color="auto" w:fill="FFFFFF"/>
        </w:rPr>
        <w:t>时间以合同中甲方签订时间为准。</w:t>
      </w:r>
    </w:p>
    <w:p>
      <w:pPr>
        <w:numPr>
          <w:ilvl w:val="0"/>
          <w:numId w:val="8"/>
        </w:numPr>
        <w:spacing w:line="360" w:lineRule="auto"/>
        <w:ind w:firstLine="420" w:firstLineChars="200"/>
        <w:rPr>
          <w:rStyle w:val="56"/>
          <w:color w:val="auto"/>
          <w:kern w:val="0"/>
          <w:highlight w:val="none"/>
          <w:u w:val="none"/>
          <w:shd w:val="clear" w:color="auto" w:fill="FFFFFF"/>
        </w:rPr>
      </w:pPr>
      <w:r>
        <w:rPr>
          <w:rStyle w:val="56"/>
          <w:color w:val="auto"/>
          <w:highlight w:val="none"/>
          <w:u w:val="none"/>
          <w:shd w:val="clear" w:color="auto" w:fill="FFFFFF"/>
        </w:rPr>
        <w:t>本</w:t>
      </w:r>
      <w:r>
        <w:rPr>
          <w:rStyle w:val="56"/>
          <w:rFonts w:hint="eastAsia"/>
          <w:color w:val="auto"/>
          <w:highlight w:val="none"/>
          <w:u w:val="none"/>
          <w:shd w:val="clear" w:color="auto" w:fill="FFFFFF"/>
        </w:rPr>
        <w:t>次采购</w:t>
      </w:r>
      <w:r>
        <w:rPr>
          <w:rStyle w:val="56"/>
          <w:color w:val="auto"/>
          <w:highlight w:val="none"/>
          <w:u w:val="none"/>
          <w:shd w:val="clear" w:color="auto" w:fill="FFFFFF"/>
        </w:rPr>
        <w:t>不接受联合体</w:t>
      </w:r>
      <w:r>
        <w:rPr>
          <w:rStyle w:val="56"/>
          <w:rFonts w:hint="eastAsia"/>
          <w:color w:val="auto"/>
          <w:kern w:val="0"/>
          <w:highlight w:val="none"/>
          <w:u w:val="none"/>
          <w:shd w:val="clear" w:color="auto" w:fill="FFFFFF"/>
        </w:rPr>
        <w:t>。</w:t>
      </w:r>
    </w:p>
    <w:p>
      <w:pPr>
        <w:numPr>
          <w:ilvl w:val="0"/>
          <w:numId w:val="8"/>
        </w:numPr>
        <w:spacing w:line="360" w:lineRule="auto"/>
        <w:ind w:firstLine="420" w:firstLineChars="200"/>
        <w:rPr>
          <w:rStyle w:val="56"/>
          <w:color w:val="auto"/>
          <w:kern w:val="0"/>
          <w:highlight w:val="none"/>
          <w:u w:val="none"/>
          <w:shd w:val="clear" w:color="auto" w:fill="FFFFFF"/>
        </w:rPr>
      </w:pPr>
      <w:r>
        <w:rPr>
          <w:rStyle w:val="56"/>
          <w:color w:val="auto"/>
          <w:highlight w:val="none"/>
          <w:u w:val="none"/>
          <w:shd w:val="clear" w:color="auto" w:fill="FFFFFF"/>
        </w:rPr>
        <w:t>被长沙市轨道交通集团</w:t>
      </w:r>
      <w:r>
        <w:rPr>
          <w:rStyle w:val="56"/>
          <w:rFonts w:hint="eastAsia"/>
          <w:color w:val="auto"/>
          <w:highlight w:val="none"/>
          <w:u w:val="none"/>
          <w:shd w:val="clear" w:color="auto" w:fill="FFFFFF"/>
        </w:rPr>
        <w:t>有限公司或长沙市轨道交通运营有限公司函告禁止在一定期限内参与投标的单位按函告内容执行</w:t>
      </w:r>
      <w:r>
        <w:rPr>
          <w:rStyle w:val="56"/>
          <w:rFonts w:hint="eastAsia"/>
          <w:color w:val="auto"/>
          <w:kern w:val="0"/>
          <w:highlight w:val="none"/>
          <w:u w:val="none"/>
          <w:shd w:val="clear" w:color="auto" w:fill="FFFFFF"/>
        </w:rPr>
        <w:t>。</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评审办法</w:t>
      </w:r>
    </w:p>
    <w:p>
      <w:pPr>
        <w:adjustRightInd w:val="0"/>
        <w:snapToGrid w:val="0"/>
        <w:spacing w:line="360" w:lineRule="auto"/>
        <w:ind w:firstLine="420" w:firstLineChars="200"/>
        <w:rPr>
          <w:rFonts w:ascii="宋体" w:hAnsi="宋体" w:cs="宋体"/>
          <w:color w:val="auto"/>
          <w:szCs w:val="21"/>
          <w:highlight w:val="none"/>
        </w:rPr>
      </w:pPr>
      <w:r>
        <w:rPr>
          <w:rStyle w:val="56"/>
          <w:rFonts w:hint="eastAsia"/>
          <w:color w:val="auto"/>
          <w:kern w:val="0"/>
          <w:highlight w:val="none"/>
          <w:u w:val="none"/>
          <w:shd w:val="clear" w:color="auto" w:fill="FFFFFF"/>
        </w:rPr>
        <w:t>本项目评审办法采用：</w:t>
      </w:r>
      <w:r>
        <w:rPr>
          <w:rFonts w:hint="eastAsia"/>
          <w:color w:val="auto"/>
          <w:szCs w:val="21"/>
          <w:highlight w:val="none"/>
          <w:shd w:val="clear" w:color="auto" w:fill="FFFFFF"/>
          <w:lang w:bidi="ar"/>
        </w:rPr>
        <w:sym w:font="Wingdings" w:char="00A8"/>
      </w:r>
      <w:r>
        <w:rPr>
          <w:rStyle w:val="56"/>
          <w:rFonts w:hint="eastAsia"/>
          <w:color w:val="auto"/>
          <w:kern w:val="0"/>
          <w:highlight w:val="none"/>
          <w:u w:val="none"/>
          <w:shd w:val="clear" w:color="auto" w:fill="FFFFFF"/>
        </w:rPr>
        <w:t xml:space="preserve">经符合性审查合格后的最低价法   </w:t>
      </w:r>
      <w:r>
        <w:rPr>
          <w:rFonts w:hint="eastAsia"/>
          <w:color w:val="auto"/>
          <w:szCs w:val="21"/>
          <w:highlight w:val="none"/>
          <w:shd w:val="clear" w:color="auto" w:fill="FFFFFF"/>
          <w:lang w:bidi="ar"/>
        </w:rPr>
        <w:sym w:font="Wingdings" w:char="00FE"/>
      </w:r>
      <w:r>
        <w:rPr>
          <w:rStyle w:val="56"/>
          <w:rFonts w:hint="eastAsia"/>
          <w:color w:val="auto"/>
          <w:kern w:val="0"/>
          <w:highlight w:val="none"/>
          <w:u w:val="none"/>
          <w:shd w:val="clear" w:color="auto" w:fill="FFFFFF"/>
        </w:rPr>
        <w:t>综合评审法</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自主竞争性谈判文件的获取</w:t>
      </w:r>
    </w:p>
    <w:p>
      <w:p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凡有意参加谈判的单位，自本公告发布之日起登录长沙市轨道交通集团有限公司官方网站（http://www.hncsmtr.com/）获取自主竞争性谈判文件。</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谈判文件的澄清与答疑</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本项目不组织答疑会和现场踏勘。</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谈判单位若对谈判文件有任何疑问，应于</w:t>
      </w:r>
      <w:r>
        <w:rPr>
          <w:rStyle w:val="56"/>
          <w:rFonts w:hint="eastAsia" w:ascii="Times New Roman" w:hAnsi="Times New Roman" w:cs="Times New Roman"/>
          <w:color w:val="auto"/>
          <w:sz w:val="21"/>
          <w:highlight w:val="none"/>
          <w:shd w:val="clear" w:color="auto" w:fill="FFFFFF"/>
        </w:rPr>
        <w:t>2022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rPr>
        <w:t>12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single"/>
          <w:shd w:val="clear" w:color="auto" w:fill="FFFFFF"/>
          <w:lang w:val="en-US" w:eastAsia="zh-CN"/>
        </w:rPr>
        <w:t>19</w:t>
      </w:r>
      <w:r>
        <w:rPr>
          <w:rStyle w:val="56"/>
          <w:rFonts w:hint="eastAsia" w:ascii="Times New Roman" w:hAnsi="Times New Roman" w:cs="Times New Roman"/>
          <w:color w:val="auto"/>
          <w:sz w:val="21"/>
          <w:highlight w:val="none"/>
          <w:u w:val="none"/>
          <w:shd w:val="clear" w:color="auto" w:fill="FFFFFF"/>
        </w:rPr>
        <w:t>日17：00时（含）前（节假日除外）以书面形式（经法定代表人签字或盖章，并加盖单位公章）递交至采购代理机构。</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在谈判截止时间前，采购单位或采购代理机构可主动地或在解答谈判单位提出的问题时对谈判文件进行澄清或修改。</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谈判保证金提交与退还</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A8"/>
      </w:r>
      <w:r>
        <w:rPr>
          <w:rStyle w:val="56"/>
          <w:rFonts w:hint="eastAsia" w:ascii="Times New Roman" w:hAnsi="Times New Roman" w:cs="Times New Roman"/>
          <w:color w:val="auto"/>
          <w:sz w:val="21"/>
          <w:highlight w:val="none"/>
          <w:u w:val="none"/>
          <w:shd w:val="clear" w:color="auto" w:fill="FFFFFF"/>
        </w:rPr>
        <w:t>不要求提交谈判保证金。</w:t>
      </w:r>
    </w:p>
    <w:p>
      <w:pPr>
        <w:pStyle w:val="41"/>
        <w:shd w:val="clear" w:color="auto" w:fill="FFFFFF"/>
        <w:spacing w:before="0" w:beforeAutospacing="0" w:after="0" w:afterAutospacing="0" w:line="360" w:lineRule="auto"/>
        <w:ind w:left="420" w:left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FE"/>
      </w:r>
      <w:r>
        <w:rPr>
          <w:rFonts w:hint="eastAsia"/>
          <w:color w:val="auto"/>
          <w:sz w:val="21"/>
          <w:szCs w:val="21"/>
          <w:highlight w:val="none"/>
          <w:shd w:val="clear" w:color="auto" w:fill="FFFFFF"/>
          <w:lang w:bidi="ar"/>
        </w:rPr>
        <w:t>要求提交谈判保证金，具体要求如下：</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谈判单位须在城轨采购网（网址：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Style w:val="56"/>
          <w:rFonts w:hint="eastAsia" w:ascii="Times New Roman" w:hAnsi="Times New Roman" w:cs="Times New Roman"/>
          <w:color w:val="auto"/>
          <w:sz w:val="21"/>
          <w:highlight w:val="none"/>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highlight w:val="none"/>
          <w:u w:val="none"/>
          <w:shd w:val="clear" w:color="auto" w:fill="FFFFFF"/>
        </w:rPr>
        <w:fldChar w:fldCharType="end"/>
      </w:r>
      <w:r>
        <w:rPr>
          <w:rStyle w:val="56"/>
          <w:rFonts w:hint="eastAsia" w:ascii="Times New Roman" w:hAnsi="Times New Roman" w:cs="Times New Roman"/>
          <w:color w:val="auto"/>
          <w:sz w:val="21"/>
          <w:highlight w:val="none"/>
          <w:shd w:val="clear" w:color="auto" w:fill="FFFFFF"/>
        </w:rPr>
        <w:t>叁万伍仟陆佰元整</w:t>
      </w:r>
      <w:r>
        <w:rPr>
          <w:rFonts w:hint="eastAsia"/>
          <w:color w:val="auto"/>
          <w:sz w:val="21"/>
          <w:szCs w:val="21"/>
          <w:highlight w:val="none"/>
          <w:shd w:val="clear" w:color="auto" w:fill="FFFFFF"/>
          <w:lang w:bidi="ar"/>
        </w:rPr>
        <w:t>（¥</w:t>
      </w:r>
      <w:r>
        <w:rPr>
          <w:rFonts w:hint="eastAsia"/>
          <w:color w:val="auto"/>
          <w:sz w:val="21"/>
          <w:szCs w:val="21"/>
          <w:highlight w:val="none"/>
          <w:u w:val="single"/>
          <w:shd w:val="clear" w:color="auto" w:fill="FFFFFF"/>
          <w:lang w:bidi="ar"/>
        </w:rPr>
        <w:t>35</w:t>
      </w:r>
      <w:r>
        <w:rPr>
          <w:color w:val="auto"/>
          <w:sz w:val="21"/>
          <w:szCs w:val="21"/>
          <w:highlight w:val="none"/>
          <w:u w:val="single"/>
          <w:shd w:val="clear" w:color="auto" w:fill="FFFFFF"/>
          <w:lang w:bidi="ar"/>
        </w:rPr>
        <w:t>6</w:t>
      </w:r>
      <w:r>
        <w:rPr>
          <w:rFonts w:hint="eastAsia"/>
          <w:color w:val="auto"/>
          <w:sz w:val="21"/>
          <w:szCs w:val="21"/>
          <w:highlight w:val="none"/>
          <w:u w:val="single"/>
          <w:shd w:val="clear" w:color="auto" w:fill="FFFFFF"/>
          <w:lang w:bidi="ar"/>
        </w:rPr>
        <w:t>00</w:t>
      </w:r>
      <w:r>
        <w:rPr>
          <w:rFonts w:hint="eastAsia"/>
          <w:color w:val="auto"/>
          <w:sz w:val="21"/>
          <w:szCs w:val="21"/>
          <w:highlight w:val="none"/>
          <w:shd w:val="clear" w:color="auto" w:fill="FFFFFF"/>
          <w:lang w:bidi="ar"/>
        </w:rPr>
        <w:t>元）</w:t>
      </w:r>
      <w:r>
        <w:rPr>
          <w:rStyle w:val="56"/>
          <w:rFonts w:hint="eastAsia" w:ascii="Times New Roman" w:hAnsi="Times New Roman" w:cs="Times New Roman"/>
          <w:color w:val="auto"/>
          <w:sz w:val="21"/>
          <w:highlight w:val="none"/>
          <w:u w:val="none"/>
          <w:shd w:val="clear" w:color="auto" w:fill="FFFFFF"/>
        </w:rPr>
        <w:t>，谈判保证金必须由谈判单位的银行对公账户一次性足额转出，提交谈判保证金的账户名称应与谈判单位的名称一致，不得以分支机构等其他名义提交。否则将无权限参加本次谈判。</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本次参与谈判单位的谈判保证金必须在</w:t>
      </w:r>
      <w:r>
        <w:rPr>
          <w:rStyle w:val="56"/>
          <w:rFonts w:hint="eastAsia" w:ascii="Times New Roman" w:hAnsi="Times New Roman" w:cs="Times New Roman"/>
          <w:color w:val="auto"/>
          <w:sz w:val="21"/>
          <w:highlight w:val="none"/>
          <w:u w:val="single"/>
          <w:shd w:val="clear" w:color="auto" w:fill="FFFFFF"/>
        </w:rPr>
        <w:t>2022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rPr>
        <w:t>12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single"/>
          <w:shd w:val="clear" w:color="auto" w:fill="FFFFFF"/>
          <w:lang w:val="en-US" w:eastAsia="zh-CN"/>
        </w:rPr>
        <w:t>9</w:t>
      </w:r>
      <w:r>
        <w:rPr>
          <w:rStyle w:val="56"/>
          <w:rFonts w:hint="eastAsia" w:ascii="Times New Roman" w:hAnsi="Times New Roman" w:cs="Times New Roman"/>
          <w:color w:val="auto"/>
          <w:sz w:val="21"/>
          <w:highlight w:val="none"/>
          <w:u w:val="single"/>
          <w:shd w:val="clear" w:color="auto" w:fill="FFFFFF"/>
        </w:rPr>
        <w:t>：00</w:t>
      </w:r>
      <w:r>
        <w:rPr>
          <w:rStyle w:val="56"/>
          <w:rFonts w:hint="eastAsia" w:ascii="Times New Roman" w:hAnsi="Times New Roman" w:cs="Times New Roman"/>
          <w:color w:val="auto"/>
          <w:sz w:val="21"/>
          <w:highlight w:val="none"/>
          <w:u w:val="none"/>
          <w:shd w:val="clear" w:color="auto" w:fill="FFFFFF"/>
        </w:rPr>
        <w:t>前(含)到达专用账户（以托管银行到账的日期为准），逾期或未提交谈判保证金的谈判单位，将无权限参加本次谈判。</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谈判单位在谈判截止时间前撤回已提交的响应文件的，将在收到供应商书面撤回通知后，退还已收取的谈判保证金。</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1"/>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谈判单位提出撤回或撤销或放弃中选资格或对报价提出实质性修改；</w:t>
      </w:r>
    </w:p>
    <w:p>
      <w:pPr>
        <w:pStyle w:val="41"/>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中选单位未能在规定期限内签订合同或不按报价结果签订合同；</w:t>
      </w:r>
    </w:p>
    <w:p>
      <w:pPr>
        <w:pStyle w:val="41"/>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中选单位未能在规定期限内提交履约保证金；</w:t>
      </w:r>
    </w:p>
    <w:p>
      <w:pPr>
        <w:pStyle w:val="41"/>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中选单位在合同订立过程中未能完全响应采购文件、清单、附件、合同要求以致合同无法订立的；</w:t>
      </w:r>
    </w:p>
    <w:p>
      <w:pPr>
        <w:pStyle w:val="41"/>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经查实谈判单位报价资料弄虚作假的；</w:t>
      </w:r>
    </w:p>
    <w:p>
      <w:pPr>
        <w:pStyle w:val="41"/>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串通参与谈判相关行为的。如不同谈判单位的谈判保证金从同一账户转出。</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响应文件的递交</w:t>
      </w:r>
    </w:p>
    <w:p>
      <w:pPr>
        <w:pStyle w:val="41"/>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响应文件递交的截止时间及谈判时间为</w:t>
      </w:r>
      <w:r>
        <w:rPr>
          <w:rStyle w:val="56"/>
          <w:rFonts w:hint="eastAsia" w:ascii="Times New Roman" w:hAnsi="Times New Roman" w:cs="Times New Roman"/>
          <w:color w:val="auto"/>
          <w:sz w:val="21"/>
          <w:highlight w:val="none"/>
          <w:u w:val="single"/>
          <w:shd w:val="clear" w:color="auto" w:fill="FFFFFF"/>
        </w:rPr>
        <w:t>202</w:t>
      </w:r>
      <w:r>
        <w:rPr>
          <w:rStyle w:val="56"/>
          <w:rFonts w:hint="eastAsia" w:ascii="Times New Roman" w:hAnsi="Times New Roman" w:cs="Times New Roman"/>
          <w:color w:val="auto"/>
          <w:sz w:val="21"/>
          <w:highlight w:val="none"/>
          <w:shd w:val="clear" w:color="auto" w:fill="FFFFFF"/>
        </w:rPr>
        <w:t>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rPr>
        <w:t>12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14</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分，地点为长沙市劳动东路二段48号黄兴车辆段综合楼9楼910电子评标室。</w:t>
      </w:r>
    </w:p>
    <w:p>
      <w:pPr>
        <w:pStyle w:val="41"/>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逾期送达的或者未送达指定地点的或者未密封的响应文件（含电子文件），采购单位或采购代理机构将予以拒收。</w:t>
      </w:r>
    </w:p>
    <w:p>
      <w:pPr>
        <w:pStyle w:val="41"/>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谈判单位代表应佩戴口罩，携带身份证进行实名登记，配合做好体温检测，提供“健康码”、“行程码”及24小时内核酸检测证明，否则响应文件将予以拒收。</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中选原则</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1"/>
        <w:numPr>
          <w:ilvl w:val="0"/>
          <w:numId w:val="6"/>
        </w:numPr>
        <w:shd w:val="clear" w:color="auto" w:fill="FFFFFF"/>
        <w:spacing w:before="0" w:beforeAutospacing="0" w:after="0" w:afterAutospacing="0" w:line="360" w:lineRule="auto"/>
        <w:ind w:left="-2" w:firstLine="422"/>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异议与投诉</w:t>
      </w:r>
    </w:p>
    <w:p>
      <w:pPr>
        <w:pStyle w:val="41"/>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供应商或者其他利害关系人对评审结果有异议的，应当在结果公示规定的期限内向采购人提出。异议的提出与处理按《长沙市轨道交通运营有限公司货物类采购管理办法(试行）》执行。</w:t>
      </w:r>
    </w:p>
    <w:p>
      <w:pPr>
        <w:pStyle w:val="41"/>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1"/>
        <w:numPr>
          <w:ilvl w:val="0"/>
          <w:numId w:val="6"/>
        </w:numPr>
        <w:shd w:val="clear" w:color="auto" w:fill="FFFFFF"/>
        <w:spacing w:before="0" w:beforeAutospacing="0" w:after="0" w:afterAutospacing="0" w:line="360" w:lineRule="auto"/>
        <w:ind w:firstLine="422"/>
        <w:jc w:val="both"/>
        <w:rPr>
          <w:rStyle w:val="56"/>
          <w:rFonts w:ascii="Times New Roman" w:hAnsi="Times New Roman" w:cs="Times New Roman"/>
          <w:b/>
          <w:bCs/>
          <w:color w:val="auto"/>
          <w:sz w:val="21"/>
          <w:highlight w:val="none"/>
          <w:u w:val="none"/>
          <w:shd w:val="clear" w:color="auto" w:fill="FFFFFF"/>
        </w:rPr>
      </w:pPr>
      <w:r>
        <w:rPr>
          <w:rStyle w:val="56"/>
          <w:rFonts w:ascii="Times New Roman" w:hAnsi="Times New Roman" w:cs="Times New Roman"/>
          <w:b/>
          <w:bCs/>
          <w:color w:val="auto"/>
          <w:sz w:val="21"/>
          <w:highlight w:val="none"/>
          <w:u w:val="none"/>
          <w:shd w:val="clear" w:color="auto" w:fill="FFFFFF"/>
        </w:rPr>
        <w:t>联系方式</w:t>
      </w:r>
    </w:p>
    <w:p>
      <w:pPr>
        <w:pStyle w:val="25"/>
        <w:adjustRightInd w:val="0"/>
        <w:snapToGrid w:val="0"/>
        <w:spacing w:line="360" w:lineRule="auto"/>
        <w:ind w:firstLine="420" w:firstLineChars="200"/>
        <w:rPr>
          <w:rStyle w:val="56"/>
          <w:rFonts w:ascii="Times New Roman" w:hAnsi="Times New Roman" w:cs="Times New Roman"/>
          <w:color w:val="auto"/>
          <w:kern w:val="0"/>
          <w:highlight w:val="none"/>
          <w:u w:val="none"/>
          <w:shd w:val="clear" w:color="auto" w:fill="FFFFFF"/>
        </w:rPr>
      </w:pPr>
      <w:r>
        <w:rPr>
          <w:rStyle w:val="56"/>
          <w:rFonts w:ascii="Times New Roman" w:hAnsi="Times New Roman" w:cs="Times New Roman"/>
          <w:color w:val="auto"/>
          <w:highlight w:val="none"/>
          <w:u w:val="none"/>
          <w:shd w:val="clear" w:color="auto" w:fill="FFFFFF"/>
        </w:rPr>
        <w:t>采购人：</w:t>
      </w:r>
      <w:r>
        <w:rPr>
          <w:rStyle w:val="56"/>
          <w:rFonts w:hint="eastAsia" w:ascii="Times New Roman" w:hAnsi="Times New Roman" w:cs="Times New Roman"/>
          <w:color w:val="auto"/>
          <w:kern w:val="0"/>
          <w:highlight w:val="none"/>
          <w:u w:val="none"/>
          <w:shd w:val="clear" w:color="auto" w:fill="FFFFFF"/>
        </w:rPr>
        <w:t>长沙市轨道交通一号线建设发展有限公司</w:t>
      </w:r>
    </w:p>
    <w:p>
      <w:pPr>
        <w:pStyle w:val="25"/>
        <w:adjustRightInd w:val="0"/>
        <w:snapToGrid w:val="0"/>
        <w:spacing w:line="360" w:lineRule="auto"/>
        <w:ind w:firstLine="1260" w:firstLineChars="600"/>
        <w:rPr>
          <w:rStyle w:val="56"/>
          <w:rFonts w:ascii="Times New Roman" w:hAnsi="Times New Roman" w:cs="Times New Roman"/>
          <w:color w:val="auto"/>
          <w:kern w:val="0"/>
          <w:highlight w:val="none"/>
          <w:u w:val="none"/>
          <w:shd w:val="clear" w:color="auto" w:fill="FFFFFF"/>
        </w:rPr>
      </w:pPr>
      <w:r>
        <w:rPr>
          <w:rStyle w:val="56"/>
          <w:rFonts w:hint="eastAsia" w:ascii="Times New Roman" w:hAnsi="Times New Roman" w:cs="Times New Roman"/>
          <w:color w:val="auto"/>
          <w:kern w:val="0"/>
          <w:highlight w:val="none"/>
          <w:u w:val="none"/>
          <w:shd w:val="clear" w:color="auto" w:fill="FFFFFF"/>
        </w:rPr>
        <w:t>长沙市轨道交通运营有限公司</w:t>
      </w:r>
    </w:p>
    <w:p>
      <w:pPr>
        <w:pStyle w:val="25"/>
        <w:adjustRightInd w:val="0"/>
        <w:snapToGrid w:val="0"/>
        <w:spacing w:line="360" w:lineRule="auto"/>
        <w:ind w:firstLine="1260" w:firstLineChars="600"/>
        <w:rPr>
          <w:rStyle w:val="56"/>
          <w:rFonts w:ascii="Times New Roman" w:hAnsi="Times New Roman" w:cs="Times New Roman"/>
          <w:color w:val="auto"/>
          <w:kern w:val="0"/>
          <w:highlight w:val="none"/>
          <w:u w:val="none"/>
          <w:shd w:val="clear" w:color="auto" w:fill="FFFFFF"/>
        </w:rPr>
      </w:pPr>
      <w:r>
        <w:rPr>
          <w:rStyle w:val="56"/>
          <w:rFonts w:hint="eastAsia" w:ascii="Times New Roman" w:hAnsi="Times New Roman" w:cs="Times New Roman"/>
          <w:color w:val="auto"/>
          <w:kern w:val="0"/>
          <w:highlight w:val="none"/>
          <w:u w:val="none"/>
          <w:shd w:val="clear" w:color="auto" w:fill="FFFFFF"/>
        </w:rPr>
        <w:t>长沙市轨道交通四号线建设发展有限公司</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地</w:t>
      </w:r>
      <w:r>
        <w:rPr>
          <w:rStyle w:val="56"/>
          <w:rFonts w:hint="eastAsia" w:ascii="Times New Roman" w:hAnsi="Times New Roman" w:cs="Times New Roman"/>
          <w:color w:val="auto"/>
          <w:sz w:val="21"/>
          <w:highlight w:val="none"/>
          <w:u w:val="none"/>
          <w:shd w:val="clear" w:color="auto" w:fill="FFFFFF"/>
        </w:rPr>
        <w:t xml:space="preserve">  </w:t>
      </w:r>
      <w:r>
        <w:rPr>
          <w:rStyle w:val="56"/>
          <w:rFonts w:ascii="Times New Roman" w:hAnsi="Times New Roman" w:cs="Times New Roman"/>
          <w:color w:val="auto"/>
          <w:sz w:val="21"/>
          <w:highlight w:val="none"/>
          <w:u w:val="none"/>
          <w:shd w:val="clear" w:color="auto" w:fill="FFFFFF"/>
        </w:rPr>
        <w:t>址：</w:t>
      </w:r>
      <w:r>
        <w:rPr>
          <w:rStyle w:val="56"/>
          <w:rFonts w:hint="eastAsia" w:ascii="Times New Roman" w:hAnsi="Times New Roman" w:cs="Times New Roman"/>
          <w:color w:val="auto"/>
          <w:sz w:val="21"/>
          <w:highlight w:val="none"/>
          <w:u w:val="none"/>
          <w:shd w:val="clear" w:color="auto" w:fill="FFFFFF"/>
        </w:rPr>
        <w:t>湖南省</w:t>
      </w:r>
      <w:r>
        <w:rPr>
          <w:rStyle w:val="56"/>
          <w:rFonts w:ascii="Times New Roman" w:hAnsi="Times New Roman" w:cs="Times New Roman"/>
          <w:color w:val="auto"/>
          <w:sz w:val="21"/>
          <w:highlight w:val="none"/>
          <w:u w:val="none"/>
          <w:shd w:val="clear" w:color="auto" w:fill="FFFFFF"/>
        </w:rPr>
        <w:t>长沙市劳动东路二段48号黄兴车辆段</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联系人：</w:t>
      </w:r>
      <w:r>
        <w:rPr>
          <w:rStyle w:val="56"/>
          <w:rFonts w:hint="eastAsia" w:ascii="Times New Roman" w:hAnsi="Times New Roman" w:cs="Times New Roman"/>
          <w:color w:val="auto"/>
          <w:sz w:val="21"/>
          <w:highlight w:val="none"/>
          <w:u w:val="none"/>
          <w:shd w:val="clear" w:color="auto" w:fill="FFFFFF"/>
        </w:rPr>
        <w:t>沈工</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电</w:t>
      </w:r>
      <w:r>
        <w:rPr>
          <w:rStyle w:val="56"/>
          <w:rFonts w:hint="eastAsia" w:ascii="Times New Roman" w:hAnsi="Times New Roman" w:cs="Times New Roman"/>
          <w:color w:val="auto"/>
          <w:sz w:val="21"/>
          <w:highlight w:val="none"/>
          <w:u w:val="none"/>
          <w:shd w:val="clear" w:color="auto" w:fill="FFFFFF"/>
        </w:rPr>
        <w:t xml:space="preserve">  </w:t>
      </w:r>
      <w:r>
        <w:rPr>
          <w:rStyle w:val="56"/>
          <w:rFonts w:ascii="Times New Roman" w:hAnsi="Times New Roman" w:cs="Times New Roman"/>
          <w:color w:val="auto"/>
          <w:sz w:val="21"/>
          <w:highlight w:val="none"/>
          <w:u w:val="none"/>
          <w:shd w:val="clear" w:color="auto" w:fill="FFFFFF"/>
        </w:rPr>
        <w:t>话：0731-86852506</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采购代理机构：中科标禾工程项目管理有限公司</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地  址：长沙市开福区四方坪街道双拥路9号长城万富汇大厦银座10036号房</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联系人：陈学文  张琼</w:t>
      </w:r>
    </w:p>
    <w:p>
      <w:pPr>
        <w:spacing w:line="360" w:lineRule="auto"/>
        <w:ind w:firstLine="420" w:firstLineChars="200"/>
        <w:rPr>
          <w:rFonts w:ascii="宋体" w:hAnsi="宋体" w:cs="宋体"/>
          <w:color w:val="auto"/>
          <w:szCs w:val="21"/>
          <w:highlight w:val="none"/>
        </w:rPr>
      </w:pPr>
      <w:r>
        <w:rPr>
          <w:rStyle w:val="56"/>
          <w:rFonts w:hint="eastAsia"/>
          <w:color w:val="auto"/>
          <w:highlight w:val="none"/>
          <w:u w:val="none"/>
          <w:shd w:val="clear" w:color="auto" w:fill="FFFFFF"/>
        </w:rPr>
        <w:t>电  话：0731-88065699</w:t>
      </w:r>
    </w:p>
    <w:p>
      <w:pPr>
        <w:spacing w:line="360" w:lineRule="auto"/>
        <w:ind w:firstLine="420" w:firstLineChars="200"/>
        <w:rPr>
          <w:rFonts w:ascii="宋体" w:hAnsi="宋体" w:cs="宋体"/>
          <w:color w:val="auto"/>
          <w:szCs w:val="21"/>
          <w:highlight w:val="none"/>
        </w:rPr>
      </w:pPr>
    </w:p>
    <w:p>
      <w:pPr>
        <w:pStyle w:val="25"/>
        <w:adjustRightInd w:val="0"/>
        <w:snapToGrid w:val="0"/>
        <w:spacing w:line="360" w:lineRule="auto"/>
        <w:jc w:val="right"/>
        <w:rPr>
          <w:rFonts w:hAnsi="宋体" w:cs="宋体"/>
          <w:color w:val="auto"/>
          <w:highlight w:val="none"/>
        </w:rPr>
      </w:pPr>
      <w:r>
        <w:rPr>
          <w:rFonts w:hint="eastAsia" w:hAnsi="宋体" w:cs="宋体"/>
          <w:color w:val="auto"/>
          <w:highlight w:val="none"/>
        </w:rPr>
        <w:t>2022年12月</w:t>
      </w:r>
      <w:r>
        <w:rPr>
          <w:rFonts w:hint="eastAsia" w:hAnsi="宋体" w:cs="宋体"/>
          <w:color w:val="auto"/>
          <w:highlight w:val="none"/>
          <w:lang w:val="en-US" w:eastAsia="zh-CN"/>
        </w:rPr>
        <w:t>12</w:t>
      </w:r>
      <w:r>
        <w:rPr>
          <w:rFonts w:hint="eastAsia" w:hAnsi="宋体" w:cs="宋体"/>
          <w:color w:val="auto"/>
          <w:highlight w:val="none"/>
        </w:rPr>
        <w:t>日</w:t>
      </w:r>
    </w:p>
    <w:p>
      <w:pPr>
        <w:spacing w:after="240"/>
        <w:jc w:val="center"/>
        <w:outlineLvl w:val="0"/>
        <w:rPr>
          <w:rFonts w:ascii="宋体" w:hAnsi="宋体" w:cs="宋体"/>
          <w:b/>
          <w:bCs/>
          <w:color w:val="auto"/>
          <w:sz w:val="32"/>
          <w:szCs w:val="32"/>
          <w:highlight w:val="none"/>
        </w:rPr>
      </w:pPr>
      <w:r>
        <w:rPr>
          <w:rFonts w:ascii="宋体" w:hAnsi="宋体"/>
          <w:color w:val="auto"/>
          <w:sz w:val="32"/>
          <w:szCs w:val="32"/>
          <w:highlight w:val="none"/>
        </w:rPr>
        <w:br w:type="page"/>
      </w:r>
      <w:bookmarkStart w:id="7" w:name="_Toc32320"/>
      <w:bookmarkStart w:id="8" w:name="_Toc24592"/>
      <w:bookmarkStart w:id="9" w:name="_Toc14891065"/>
      <w:bookmarkStart w:id="10" w:name="_Toc5145"/>
      <w:bookmarkStart w:id="11" w:name="_Toc25708"/>
      <w:bookmarkStart w:id="12" w:name="_Toc6753"/>
      <w:bookmarkStart w:id="13" w:name="_Toc8914"/>
      <w:r>
        <w:rPr>
          <w:rFonts w:hint="eastAsia" w:ascii="宋体" w:hAnsi="宋体" w:cs="宋体"/>
          <w:b/>
          <w:bCs/>
          <w:color w:val="auto"/>
          <w:sz w:val="32"/>
          <w:szCs w:val="32"/>
          <w:highlight w:val="none"/>
        </w:rPr>
        <w:t>第二章  谈判须知</w:t>
      </w:r>
      <w:bookmarkEnd w:id="7"/>
      <w:bookmarkEnd w:id="8"/>
      <w:bookmarkEnd w:id="9"/>
      <w:bookmarkEnd w:id="10"/>
      <w:bookmarkEnd w:id="11"/>
      <w:bookmarkEnd w:id="12"/>
      <w:bookmarkEnd w:id="13"/>
    </w:p>
    <w:p>
      <w:pPr>
        <w:jc w:val="center"/>
        <w:outlineLvl w:val="1"/>
        <w:rPr>
          <w:rFonts w:ascii="宋体" w:hAnsi="宋体" w:cs="宋体"/>
          <w:b/>
          <w:bCs/>
          <w:color w:val="auto"/>
          <w:sz w:val="32"/>
          <w:szCs w:val="32"/>
          <w:highlight w:val="none"/>
        </w:rPr>
      </w:pPr>
      <w:bookmarkStart w:id="14" w:name="_Toc6617"/>
      <w:bookmarkStart w:id="15" w:name="_Toc29237"/>
      <w:bookmarkStart w:id="16" w:name="_Toc3316"/>
      <w:bookmarkStart w:id="17" w:name="_Toc9591"/>
      <w:bookmarkStart w:id="18" w:name="_Toc14898"/>
      <w:bookmarkStart w:id="19" w:name="_Toc5430"/>
      <w:bookmarkStart w:id="20" w:name="_Toc14891066"/>
      <w:r>
        <w:rPr>
          <w:rFonts w:hint="eastAsia" w:ascii="宋体" w:hAnsi="宋体" w:cs="宋体"/>
          <w:b/>
          <w:bCs/>
          <w:color w:val="auto"/>
          <w:sz w:val="32"/>
          <w:szCs w:val="32"/>
          <w:highlight w:val="none"/>
        </w:rPr>
        <w:t>谈判须知前附表</w:t>
      </w:r>
      <w:bookmarkEnd w:id="14"/>
      <w:bookmarkEnd w:id="15"/>
      <w:bookmarkEnd w:id="16"/>
      <w:bookmarkEnd w:id="17"/>
      <w:bookmarkEnd w:id="18"/>
      <w:bookmarkEnd w:id="19"/>
      <w:bookmarkEnd w:id="20"/>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7"/>
        <w:gridCol w:w="74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8" w:hRule="atLeast"/>
          <w:tblHeader/>
          <w:jc w:val="center"/>
        </w:trPr>
        <w:tc>
          <w:tcPr>
            <w:tcW w:w="2167"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名  称</w:t>
            </w:r>
          </w:p>
        </w:tc>
        <w:tc>
          <w:tcPr>
            <w:tcW w:w="7485"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167"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7485" w:type="dxa"/>
            <w:vAlign w:val="center"/>
          </w:tcPr>
          <w:p>
            <w:pPr>
              <w:rPr>
                <w:rFonts w:ascii="宋体" w:hAnsi="宋体" w:cs="宋体"/>
                <w:color w:val="auto"/>
                <w:szCs w:val="21"/>
                <w:highlight w:val="none"/>
              </w:rPr>
            </w:pPr>
            <w:r>
              <w:rPr>
                <w:rFonts w:hint="eastAsia"/>
                <w:color w:val="auto"/>
                <w:highlight w:val="none"/>
              </w:rPr>
              <w:t>长沙市轨道交通1、2、4号线运营期2022年多功能垂直钢轨打磨机、双轨波浪磨耗测量仪等5项轨道维修设备采购项目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2" w:hRule="atLeast"/>
          <w:jc w:val="center"/>
        </w:trPr>
        <w:tc>
          <w:tcPr>
            <w:tcW w:w="2167"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采购单位</w:t>
            </w:r>
          </w:p>
        </w:tc>
        <w:tc>
          <w:tcPr>
            <w:tcW w:w="7485" w:type="dxa"/>
            <w:vAlign w:val="center"/>
          </w:tcPr>
          <w:p>
            <w:pPr>
              <w:adjustRightInd w:val="0"/>
              <w:snapToGrid w:val="0"/>
              <w:jc w:val="left"/>
              <w:rPr>
                <w:rFonts w:ascii="宋体" w:hAnsi="宋体" w:cs="宋体"/>
                <w:iCs/>
                <w:color w:val="auto"/>
                <w:szCs w:val="21"/>
                <w:highlight w:val="none"/>
              </w:rPr>
            </w:pPr>
            <w:r>
              <w:rPr>
                <w:rFonts w:hint="eastAsia" w:ascii="宋体" w:hAnsi="宋体" w:cs="宋体"/>
                <w:iCs/>
                <w:color w:val="auto"/>
                <w:szCs w:val="21"/>
                <w:highlight w:val="none"/>
              </w:rPr>
              <w:t>长沙市轨道交通一号线建设发展有限公司、长沙市轨道交通运营有限公司、长沙市轨道交通四号线建设发展有限公司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167"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采购代理机构</w:t>
            </w:r>
          </w:p>
        </w:tc>
        <w:tc>
          <w:tcPr>
            <w:tcW w:w="7485" w:type="dxa"/>
            <w:vAlign w:val="center"/>
          </w:tcPr>
          <w:p>
            <w:pPr>
              <w:adjustRightInd w:val="0"/>
              <w:snapToGrid w:val="0"/>
              <w:jc w:val="left"/>
              <w:rPr>
                <w:rFonts w:ascii="宋体" w:hAnsi="宋体" w:cs="宋体"/>
                <w:iCs/>
                <w:color w:val="auto"/>
                <w:szCs w:val="21"/>
                <w:highlight w:val="none"/>
              </w:rPr>
            </w:pPr>
            <w:r>
              <w:rPr>
                <w:rFonts w:hint="eastAsia" w:ascii="宋体" w:hAnsi="宋体" w:cs="宋体"/>
                <w:iCs/>
                <w:color w:val="auto"/>
                <w:szCs w:val="21"/>
                <w:highlight w:val="none"/>
              </w:rPr>
              <w:t>中科标禾工程项目管理有限公司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167"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项目预算</w:t>
            </w:r>
          </w:p>
        </w:tc>
        <w:tc>
          <w:tcPr>
            <w:tcW w:w="7485" w:type="dxa"/>
            <w:vAlign w:val="center"/>
          </w:tcPr>
          <w:p>
            <w:pPr>
              <w:adjustRightInd w:val="0"/>
              <w:snapToGrid w:val="0"/>
              <w:jc w:val="left"/>
              <w:rPr>
                <w:rFonts w:ascii="宋体" w:hAnsi="宋体" w:cs="宋体"/>
                <w:iCs/>
                <w:color w:val="auto"/>
                <w:szCs w:val="21"/>
                <w:highlight w:val="none"/>
              </w:rPr>
            </w:pPr>
            <w:r>
              <w:rPr>
                <w:rStyle w:val="56"/>
                <w:rFonts w:hint="eastAsia"/>
                <w:color w:val="auto"/>
                <w:kern w:val="0"/>
                <w:highlight w:val="none"/>
                <w:u w:val="none"/>
                <w:shd w:val="clear" w:color="auto" w:fill="FFFFFF"/>
              </w:rPr>
              <w:t>1784</w:t>
            </w:r>
            <w:r>
              <w:rPr>
                <w:rStyle w:val="56"/>
                <w:color w:val="auto"/>
                <w:kern w:val="0"/>
                <w:highlight w:val="none"/>
                <w:u w:val="none"/>
                <w:shd w:val="clear" w:color="auto" w:fill="FFFFFF"/>
              </w:rPr>
              <w:t>253</w:t>
            </w:r>
            <w:r>
              <w:rPr>
                <w:rStyle w:val="56"/>
                <w:rFonts w:hint="eastAsia"/>
                <w:color w:val="auto"/>
                <w:kern w:val="0"/>
                <w:highlight w:val="none"/>
                <w:u w:val="none"/>
                <w:shd w:val="clear" w:color="auto" w:fill="FFFFFF"/>
              </w:rPr>
              <w:t>.</w:t>
            </w:r>
            <w:r>
              <w:rPr>
                <w:rStyle w:val="56"/>
                <w:color w:val="auto"/>
                <w:kern w:val="0"/>
                <w:highlight w:val="none"/>
                <w:u w:val="none"/>
                <w:shd w:val="clear" w:color="auto" w:fill="FFFFFF"/>
              </w:rPr>
              <w:t>18</w:t>
            </w:r>
            <w:r>
              <w:rPr>
                <w:rStyle w:val="56"/>
                <w:rFonts w:hint="eastAsia"/>
                <w:color w:val="auto"/>
                <w:kern w:val="0"/>
                <w:highlight w:val="none"/>
                <w:u w:val="none"/>
                <w:shd w:val="clear" w:color="auto" w:fill="FFFFFF"/>
              </w:rPr>
              <w:t>元</w:t>
            </w:r>
            <w:r>
              <w:rPr>
                <w:rFonts w:hint="eastAsia" w:ascii="宋体" w:hAnsi="宋体" w:cs="宋体"/>
                <w:color w:val="auto"/>
                <w:szCs w:val="21"/>
                <w:highlight w:val="none"/>
              </w:rPr>
              <w:t>，不超过项目预算的谈判总报价为有效报价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2167"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评审办法</w:t>
            </w:r>
          </w:p>
        </w:tc>
        <w:tc>
          <w:tcPr>
            <w:tcW w:w="7485" w:type="dxa"/>
            <w:vAlign w:val="center"/>
          </w:tcPr>
          <w:p>
            <w:pPr>
              <w:adjustRightInd w:val="0"/>
              <w:snapToGrid w:val="0"/>
              <w:jc w:val="left"/>
              <w:rPr>
                <w:rFonts w:ascii="宋体" w:hAnsi="宋体" w:cs="宋体"/>
                <w:iCs/>
                <w:color w:val="auto"/>
                <w:szCs w:val="21"/>
                <w:highlight w:val="none"/>
              </w:rPr>
            </w:pPr>
            <w:r>
              <w:rPr>
                <w:rStyle w:val="56"/>
                <w:rFonts w:hint="eastAsia"/>
                <w:color w:val="auto"/>
                <w:kern w:val="0"/>
                <w:highlight w:val="none"/>
                <w:u w:val="none"/>
                <w:shd w:val="clear" w:color="auto" w:fill="FFFFFF"/>
              </w:rPr>
              <w:t xml:space="preserve">□经符合性审查合格后的最低价法  </w:t>
            </w:r>
            <w:r>
              <w:rPr>
                <w:rFonts w:hint="eastAsia"/>
                <w:color w:val="auto"/>
                <w:szCs w:val="21"/>
                <w:highlight w:val="none"/>
                <w:shd w:val="clear" w:color="auto" w:fill="FFFFFF"/>
                <w:lang w:bidi="ar"/>
              </w:rPr>
              <w:sym w:font="Wingdings" w:char="00FE"/>
            </w:r>
            <w:r>
              <w:rPr>
                <w:rStyle w:val="56"/>
                <w:rFonts w:hint="eastAsia"/>
                <w:color w:val="auto"/>
                <w:kern w:val="0"/>
                <w:highlight w:val="none"/>
                <w:u w:val="none"/>
                <w:shd w:val="clear" w:color="auto" w:fill="FFFFFF"/>
              </w:rPr>
              <w:t>综合评审法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资格要求</w:t>
            </w:r>
          </w:p>
        </w:tc>
        <w:tc>
          <w:tcPr>
            <w:tcW w:w="7485" w:type="dxa"/>
            <w:vAlign w:val="center"/>
          </w:tcPr>
          <w:p>
            <w:pPr>
              <w:numPr>
                <w:ilvl w:val="0"/>
                <w:numId w:val="15"/>
              </w:numPr>
              <w:spacing w:line="360" w:lineRule="auto"/>
              <w:ind w:firstLine="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谈判单位须为具有独立法人资格、自主经营、独立核算的公司/单位。</w:t>
            </w:r>
          </w:p>
          <w:p>
            <w:pPr>
              <w:numPr>
                <w:ilvl w:val="0"/>
                <w:numId w:val="15"/>
              </w:numPr>
              <w:spacing w:line="360" w:lineRule="auto"/>
              <w:ind w:firstLine="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w:t>
            </w:r>
            <w:r>
              <w:rPr>
                <w:rFonts w:hint="eastAsia" w:ascii="宋体" w:hAnsi="宋体"/>
                <w:color w:val="auto"/>
                <w:szCs w:val="21"/>
                <w:highlight w:val="none"/>
                <w:lang w:bidi="ar"/>
              </w:rPr>
              <w:t>须具</w:t>
            </w:r>
            <w:r>
              <w:rPr>
                <w:rFonts w:hint="eastAsia" w:ascii="宋体" w:hAnsi="宋体" w:cs="宋体"/>
                <w:color w:val="auto"/>
                <w:szCs w:val="21"/>
                <w:highlight w:val="none"/>
                <w:lang w:bidi="ar"/>
              </w:rPr>
              <w:t>有一项入围业绩，入围业绩是指在本项目谈判截止之日前36个月内须具有1个高铁或铁路或城际铁路或地铁或轻轨等轨道维修类设备供货</w:t>
            </w:r>
            <w:r>
              <w:rPr>
                <w:rStyle w:val="56"/>
                <w:rFonts w:hint="eastAsia"/>
                <w:color w:val="auto"/>
                <w:kern w:val="0"/>
                <w:highlight w:val="none"/>
                <w:u w:val="none"/>
                <w:shd w:val="clear" w:color="auto" w:fill="FFFFFF"/>
              </w:rPr>
              <w:t>业绩</w:t>
            </w:r>
            <w:r>
              <w:rPr>
                <w:rFonts w:hint="eastAsia" w:ascii="宋体" w:hAnsi="宋体" w:cs="宋体"/>
                <w:color w:val="auto"/>
                <w:kern w:val="0"/>
                <w:szCs w:val="21"/>
                <w:highlight w:val="none"/>
                <w:lang w:bidi="ar"/>
              </w:rPr>
              <w:t>（合同范围至少包含本次需求清单中的1项类似物资）</w:t>
            </w:r>
            <w:r>
              <w:rPr>
                <w:rStyle w:val="56"/>
                <w:rFonts w:hint="eastAsia"/>
                <w:color w:val="auto"/>
                <w:kern w:val="0"/>
                <w:highlight w:val="none"/>
                <w:u w:val="none"/>
                <w:shd w:val="clear" w:color="auto" w:fill="FFFFFF"/>
              </w:rPr>
              <w:t>。不接受联合体业绩、港澳台或境外业绩。</w:t>
            </w:r>
          </w:p>
          <w:p>
            <w:pPr>
              <w:spacing w:line="360" w:lineRule="auto"/>
              <w:ind w:firstLine="420" w:firstLineChars="200"/>
              <w:rPr>
                <w:rStyle w:val="56"/>
                <w:color w:val="auto"/>
                <w:kern w:val="0"/>
                <w:highlight w:val="none"/>
                <w:u w:val="none"/>
                <w:shd w:val="clear" w:color="auto" w:fill="FFFFFF"/>
              </w:rPr>
            </w:pPr>
            <w:r>
              <w:rPr>
                <w:rStyle w:val="56"/>
                <w:color w:val="auto"/>
                <w:highlight w:val="none"/>
                <w:u w:val="none"/>
                <w:shd w:val="clear" w:color="auto" w:fill="FFFFFF"/>
              </w:rPr>
              <w:t>业绩证明材料以同时</w:t>
            </w:r>
            <w:r>
              <w:rPr>
                <w:rStyle w:val="56"/>
                <w:rFonts w:hint="eastAsia"/>
                <w:color w:val="auto"/>
                <w:highlight w:val="none"/>
                <w:u w:val="none"/>
                <w:shd w:val="clear" w:color="auto" w:fill="FFFFFF"/>
              </w:rPr>
              <w:t>提供</w:t>
            </w:r>
            <w:r>
              <w:rPr>
                <w:rStyle w:val="56"/>
                <w:color w:val="auto"/>
                <w:highlight w:val="none"/>
                <w:u w:val="none"/>
                <w:shd w:val="clear" w:color="auto" w:fill="FFFFFF"/>
              </w:rPr>
              <w:t>的合同</w:t>
            </w:r>
            <w:r>
              <w:rPr>
                <w:rStyle w:val="56"/>
                <w:rFonts w:hint="eastAsia"/>
                <w:color w:val="auto"/>
                <w:highlight w:val="none"/>
                <w:u w:val="none"/>
                <w:shd w:val="clear" w:color="auto" w:fill="FFFFFF"/>
              </w:rPr>
              <w:t>原件扫描件</w:t>
            </w:r>
            <w:r>
              <w:rPr>
                <w:rStyle w:val="56"/>
                <w:color w:val="auto"/>
                <w:highlight w:val="none"/>
                <w:u w:val="none"/>
                <w:shd w:val="clear" w:color="auto" w:fill="FFFFFF"/>
              </w:rPr>
              <w:t>和</w:t>
            </w:r>
            <w:r>
              <w:rPr>
                <w:rStyle w:val="56"/>
                <w:rFonts w:hint="eastAsia"/>
                <w:color w:val="auto"/>
                <w:highlight w:val="none"/>
                <w:u w:val="none"/>
                <w:shd w:val="clear" w:color="auto" w:fill="FFFFFF"/>
              </w:rPr>
              <w:t>可查验的增值税发票</w:t>
            </w:r>
            <w:r>
              <w:rPr>
                <w:rStyle w:val="56"/>
                <w:color w:val="auto"/>
                <w:highlight w:val="none"/>
                <w:u w:val="none"/>
                <w:shd w:val="clear" w:color="auto" w:fill="FFFFFF"/>
              </w:rPr>
              <w:t>（开票金额不少于合同金额的10%）</w:t>
            </w:r>
            <w:r>
              <w:rPr>
                <w:rStyle w:val="56"/>
                <w:rFonts w:hint="eastAsia"/>
                <w:color w:val="auto"/>
                <w:highlight w:val="none"/>
                <w:u w:val="none"/>
                <w:shd w:val="clear" w:color="auto" w:fill="FFFFFF"/>
              </w:rPr>
              <w:t>原件扫描件为准</w:t>
            </w:r>
            <w:r>
              <w:rPr>
                <w:rStyle w:val="56"/>
                <w:color w:val="auto"/>
                <w:highlight w:val="none"/>
                <w:u w:val="none"/>
                <w:shd w:val="clear" w:color="auto" w:fill="FFFFFF"/>
              </w:rPr>
              <w:t>（均须加盖</w:t>
            </w:r>
            <w:r>
              <w:rPr>
                <w:rStyle w:val="56"/>
                <w:rFonts w:hint="eastAsia"/>
                <w:color w:val="auto"/>
                <w:highlight w:val="none"/>
                <w:u w:val="none"/>
                <w:shd w:val="clear" w:color="auto" w:fill="FFFFFF"/>
              </w:rPr>
              <w:t>谈判单位</w:t>
            </w:r>
            <w:r>
              <w:rPr>
                <w:rStyle w:val="56"/>
                <w:color w:val="auto"/>
                <w:highlight w:val="none"/>
                <w:u w:val="none"/>
                <w:shd w:val="clear" w:color="auto" w:fill="FFFFFF"/>
              </w:rPr>
              <w:t>公章），</w:t>
            </w:r>
            <w:r>
              <w:rPr>
                <w:rStyle w:val="56"/>
                <w:rFonts w:hint="eastAsia"/>
                <w:color w:val="auto"/>
                <w:highlight w:val="none"/>
                <w:u w:val="none"/>
                <w:shd w:val="clear" w:color="auto" w:fill="FFFFFF"/>
              </w:rPr>
              <w:t>时间以合同中甲方签订时间为准。</w:t>
            </w:r>
          </w:p>
          <w:p>
            <w:pPr>
              <w:numPr>
                <w:ilvl w:val="0"/>
                <w:numId w:val="15"/>
              </w:numPr>
              <w:spacing w:line="360" w:lineRule="auto"/>
              <w:ind w:firstLine="0"/>
              <w:rPr>
                <w:rStyle w:val="56"/>
                <w:color w:val="auto"/>
                <w:kern w:val="0"/>
                <w:highlight w:val="none"/>
                <w:u w:val="none"/>
                <w:shd w:val="clear" w:color="auto" w:fill="FFFFFF"/>
              </w:rPr>
            </w:pPr>
            <w:r>
              <w:rPr>
                <w:rStyle w:val="56"/>
                <w:color w:val="auto"/>
                <w:highlight w:val="none"/>
                <w:u w:val="none"/>
                <w:shd w:val="clear" w:color="auto" w:fill="FFFFFF"/>
              </w:rPr>
              <w:t>本</w:t>
            </w:r>
            <w:r>
              <w:rPr>
                <w:rStyle w:val="56"/>
                <w:rFonts w:hint="eastAsia"/>
                <w:color w:val="auto"/>
                <w:highlight w:val="none"/>
                <w:u w:val="none"/>
                <w:shd w:val="clear" w:color="auto" w:fill="FFFFFF"/>
              </w:rPr>
              <w:t>次采购</w:t>
            </w:r>
            <w:r>
              <w:rPr>
                <w:rStyle w:val="56"/>
                <w:color w:val="auto"/>
                <w:highlight w:val="none"/>
                <w:u w:val="none"/>
                <w:shd w:val="clear" w:color="auto" w:fill="FFFFFF"/>
              </w:rPr>
              <w:t>不接受联合体</w:t>
            </w:r>
            <w:r>
              <w:rPr>
                <w:rStyle w:val="56"/>
                <w:rFonts w:hint="eastAsia"/>
                <w:color w:val="auto"/>
                <w:kern w:val="0"/>
                <w:highlight w:val="none"/>
                <w:u w:val="none"/>
                <w:shd w:val="clear" w:color="auto" w:fill="FFFFFF"/>
              </w:rPr>
              <w:t>。</w:t>
            </w:r>
          </w:p>
          <w:p>
            <w:pPr>
              <w:numPr>
                <w:ilvl w:val="0"/>
                <w:numId w:val="15"/>
              </w:numPr>
              <w:spacing w:line="360" w:lineRule="auto"/>
              <w:ind w:firstLine="0"/>
              <w:rPr>
                <w:rFonts w:ascii="宋体" w:hAnsi="宋体" w:cs="宋体"/>
                <w:color w:val="auto"/>
                <w:szCs w:val="21"/>
                <w:highlight w:val="none"/>
              </w:rPr>
            </w:pPr>
            <w:r>
              <w:rPr>
                <w:rStyle w:val="56"/>
                <w:color w:val="auto"/>
                <w:highlight w:val="none"/>
                <w:u w:val="none"/>
                <w:shd w:val="clear" w:color="auto" w:fill="FFFFFF"/>
              </w:rPr>
              <w:t>被长沙市轨道交通集团</w:t>
            </w:r>
            <w:r>
              <w:rPr>
                <w:rStyle w:val="56"/>
                <w:rFonts w:hint="eastAsia"/>
                <w:color w:val="auto"/>
                <w:highlight w:val="none"/>
                <w:u w:val="none"/>
                <w:shd w:val="clear" w:color="auto" w:fill="FFFFFF"/>
              </w:rPr>
              <w:t>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递交截止时间</w:t>
            </w:r>
          </w:p>
        </w:tc>
        <w:tc>
          <w:tcPr>
            <w:tcW w:w="7485" w:type="dxa"/>
            <w:vAlign w:val="center"/>
          </w:tcPr>
          <w:p>
            <w:pPr>
              <w:pStyle w:val="25"/>
              <w:adjustRightInd w:val="0"/>
              <w:snapToGrid w:val="0"/>
              <w:spacing w:line="360" w:lineRule="auto"/>
              <w:rPr>
                <w:rFonts w:hAnsi="宋体" w:cs="宋体"/>
                <w:color w:val="auto"/>
                <w:highlight w:val="none"/>
              </w:rPr>
            </w:pPr>
            <w:r>
              <w:rPr>
                <w:rFonts w:hint="eastAsia" w:hAnsi="宋体" w:cs="宋体"/>
                <w:color w:val="auto"/>
                <w:highlight w:val="none"/>
              </w:rPr>
              <w:t>2022年12月</w:t>
            </w:r>
            <w:r>
              <w:rPr>
                <w:rFonts w:hint="eastAsia" w:hAnsi="宋体" w:cs="宋体"/>
                <w:color w:val="auto"/>
                <w:highlight w:val="none"/>
                <w:lang w:val="en-US" w:eastAsia="zh-CN"/>
              </w:rPr>
              <w:t>19</w:t>
            </w:r>
            <w:bookmarkStart w:id="240" w:name="_GoBack"/>
            <w:bookmarkEnd w:id="240"/>
            <w:r>
              <w:rPr>
                <w:rFonts w:hint="eastAsia" w:hAnsi="宋体" w:cs="宋体"/>
                <w:color w:val="auto"/>
                <w:highlight w:val="none"/>
              </w:rPr>
              <w:t>日17时00分(北京时间)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递交方式及地点</w:t>
            </w:r>
          </w:p>
        </w:tc>
        <w:tc>
          <w:tcPr>
            <w:tcW w:w="7485" w:type="dxa"/>
            <w:vAlign w:val="center"/>
          </w:tcPr>
          <w:p>
            <w:pPr>
              <w:pStyle w:val="25"/>
              <w:adjustRightInd w:val="0"/>
              <w:snapToGrid w:val="0"/>
              <w:spacing w:line="360" w:lineRule="auto"/>
              <w:rPr>
                <w:rFonts w:hAnsi="宋体" w:cs="宋体"/>
                <w:iCs/>
                <w:color w:val="auto"/>
                <w:highlight w:val="none"/>
              </w:rPr>
            </w:pPr>
            <w:r>
              <w:rPr>
                <w:rFonts w:hint="eastAsia" w:hAnsi="宋体" w:cs="宋体"/>
                <w:color w:val="auto"/>
                <w:highlight w:val="none"/>
              </w:rPr>
              <w:t>谈判答疑文件应以书面形式递交至长沙市开福区四方坪街道双拥路9号长城万富汇大厦银座10036号房。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截止及谈判时间</w:t>
            </w:r>
          </w:p>
        </w:tc>
        <w:tc>
          <w:tcPr>
            <w:tcW w:w="7485"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2022年12月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及谈判地点</w:t>
            </w:r>
          </w:p>
        </w:tc>
        <w:tc>
          <w:tcPr>
            <w:tcW w:w="7485"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谈判现场验证</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须提交的资料</w:t>
            </w:r>
          </w:p>
        </w:tc>
        <w:tc>
          <w:tcPr>
            <w:tcW w:w="7485"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iCs/>
                <w:color w:val="auto"/>
                <w:szCs w:val="21"/>
                <w:highlight w:val="none"/>
              </w:rPr>
              <w:t>1.谈判单位代表是谈判单位法定代表人参加的，法定代表人须提供法定代表人身份证明书原件</w:t>
            </w:r>
            <w:r>
              <w:rPr>
                <w:rFonts w:hint="eastAsia" w:ascii="宋体" w:hAnsi="宋体" w:cs="宋体"/>
                <w:b/>
                <w:bCs/>
                <w:iCs/>
                <w:color w:val="auto"/>
                <w:szCs w:val="21"/>
                <w:highlight w:val="none"/>
              </w:rPr>
              <w:t>（格式详见本文件第六章）</w:t>
            </w:r>
            <w:r>
              <w:rPr>
                <w:rFonts w:hint="eastAsia" w:ascii="宋体" w:hAnsi="宋体" w:cs="宋体"/>
                <w:color w:val="auto"/>
                <w:szCs w:val="21"/>
                <w:highlight w:val="none"/>
              </w:rPr>
              <w:t>及本人身份证原件。</w:t>
            </w:r>
          </w:p>
          <w:p>
            <w:pPr>
              <w:adjustRightInd w:val="0"/>
              <w:snapToGrid w:val="0"/>
              <w:spacing w:line="360" w:lineRule="auto"/>
              <w:jc w:val="left"/>
              <w:rPr>
                <w:rFonts w:ascii="宋体" w:hAnsi="宋体" w:cs="宋体"/>
                <w:iCs/>
                <w:color w:val="auto"/>
                <w:szCs w:val="21"/>
                <w:highlight w:val="none"/>
              </w:rPr>
            </w:pPr>
            <w:r>
              <w:rPr>
                <w:rFonts w:hint="eastAsia" w:ascii="宋体" w:hAnsi="宋体" w:cs="宋体"/>
                <w:color w:val="auto"/>
                <w:szCs w:val="21"/>
                <w:highlight w:val="none"/>
              </w:rPr>
              <w:t>2.谈判单位代表是由谈判单位法定代表人授权的委托代理人参加的，其授权委托代理人须提供授权委托书原件</w:t>
            </w:r>
            <w:r>
              <w:rPr>
                <w:rFonts w:hint="eastAsia" w:ascii="宋体" w:hAnsi="宋体" w:cs="宋体"/>
                <w:b/>
                <w:color w:val="auto"/>
                <w:szCs w:val="21"/>
                <w:highlight w:val="none"/>
              </w:rPr>
              <w:t>（格式详见本文件</w:t>
            </w:r>
            <w:r>
              <w:rPr>
                <w:rFonts w:hint="eastAsia" w:ascii="宋体" w:hAnsi="宋体" w:cs="宋体"/>
                <w:b/>
                <w:bCs/>
                <w:iCs/>
                <w:color w:val="auto"/>
                <w:szCs w:val="21"/>
                <w:highlight w:val="none"/>
              </w:rPr>
              <w:t>第六章</w:t>
            </w:r>
            <w:r>
              <w:rPr>
                <w:rFonts w:hint="eastAsia" w:ascii="宋体" w:hAnsi="宋体" w:cs="宋体"/>
                <w:b/>
                <w:color w:val="auto"/>
                <w:szCs w:val="21"/>
                <w:highlight w:val="none"/>
              </w:rPr>
              <w:t>）</w:t>
            </w:r>
            <w:r>
              <w:rPr>
                <w:rFonts w:hint="eastAsia" w:ascii="宋体" w:hAnsi="宋体" w:cs="宋体"/>
                <w:color w:val="auto"/>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167"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资格的符合性审查</w:t>
            </w:r>
          </w:p>
          <w:p>
            <w:pPr>
              <w:adjustRightInd w:val="0"/>
              <w:snapToGrid w:val="0"/>
              <w:jc w:val="center"/>
              <w:rPr>
                <w:color w:val="auto"/>
                <w:highlight w:val="none"/>
              </w:rPr>
            </w:pPr>
            <w:r>
              <w:rPr>
                <w:rFonts w:hint="eastAsia" w:ascii="宋体" w:hAnsi="宋体" w:cs="宋体"/>
                <w:b/>
                <w:color w:val="auto"/>
                <w:szCs w:val="21"/>
                <w:highlight w:val="none"/>
              </w:rPr>
              <w:t>须单独提交的资料</w:t>
            </w:r>
          </w:p>
        </w:tc>
        <w:tc>
          <w:tcPr>
            <w:tcW w:w="7485"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b/>
                <w:bCs/>
                <w:iCs/>
                <w:color w:val="auto"/>
                <w:szCs w:val="21"/>
                <w:highlight w:val="none"/>
              </w:rPr>
              <w:t>谈判单位应按照</w:t>
            </w:r>
            <w:r>
              <w:rPr>
                <w:rFonts w:hint="eastAsia" w:ascii="宋体" w:hAnsi="宋体" w:cs="宋体"/>
                <w:b/>
                <w:bCs/>
                <w:color w:val="auto"/>
                <w:szCs w:val="21"/>
                <w:highlight w:val="none"/>
              </w:rPr>
              <w:t>本前附表内规定的《资格要求》内容，单独提供一份资格</w:t>
            </w:r>
            <w:r>
              <w:rPr>
                <w:rFonts w:hint="eastAsia" w:ascii="宋体" w:hAnsi="宋体"/>
                <w:b/>
                <w:bCs/>
                <w:color w:val="auto"/>
                <w:szCs w:val="21"/>
                <w:highlight w:val="none"/>
              </w:rPr>
              <w:t>证明文件（营业执照及业绩合同）</w:t>
            </w:r>
            <w:r>
              <w:rPr>
                <w:rStyle w:val="56"/>
                <w:rFonts w:hint="eastAsia"/>
                <w:b/>
                <w:bCs/>
                <w:color w:val="auto"/>
                <w:highlight w:val="none"/>
                <w:u w:val="none"/>
                <w:shd w:val="clear" w:color="auto" w:fill="FFFFFF"/>
              </w:rPr>
              <w:t>原件扫描件打印版，且提供的文件内容应与“</w:t>
            </w:r>
            <w:r>
              <w:rPr>
                <w:rFonts w:hint="eastAsia" w:ascii="宋体" w:hAnsi="宋体" w:cs="宋体"/>
                <w:b/>
                <w:bCs/>
                <w:iCs/>
                <w:color w:val="auto"/>
                <w:szCs w:val="21"/>
                <w:highlight w:val="none"/>
              </w:rPr>
              <w:t>本文件第六章第四节</w:t>
            </w:r>
            <w:r>
              <w:rPr>
                <w:rStyle w:val="56"/>
                <w:rFonts w:hint="eastAsia"/>
                <w:b/>
                <w:bCs/>
                <w:color w:val="auto"/>
                <w:highlight w:val="none"/>
                <w:u w:val="none"/>
                <w:shd w:val="clear" w:color="auto" w:fill="FFFFFF"/>
              </w:rPr>
              <w:t>”</w:t>
            </w:r>
            <w:r>
              <w:rPr>
                <w:rFonts w:hint="eastAsia" w:ascii="宋体" w:hAnsi="宋体" w:cs="宋体"/>
                <w:b/>
                <w:bCs/>
                <w:iCs/>
                <w:color w:val="auto"/>
                <w:szCs w:val="21"/>
                <w:highlight w:val="none"/>
              </w:rPr>
              <w:t>内容保持一致（格式详见本文件第六章第四节）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响应文件有效期</w:t>
            </w:r>
          </w:p>
        </w:tc>
        <w:tc>
          <w:tcPr>
            <w:tcW w:w="7485"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0"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响应文件份数及要求</w:t>
            </w:r>
          </w:p>
        </w:tc>
        <w:tc>
          <w:tcPr>
            <w:tcW w:w="7485" w:type="dxa"/>
            <w:vAlign w:val="center"/>
          </w:tcPr>
          <w:p>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价格承包内容</w:t>
            </w:r>
          </w:p>
        </w:tc>
        <w:tc>
          <w:tcPr>
            <w:tcW w:w="7485"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单价合同（除税率调整外，合同单价（即中标单价/中选单价/成交单价）在合同执行过程中固定不变，不受政策法规变化以及汇率浮动、物价指数浮动等因素的影响）。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项目支付方式</w:t>
            </w:r>
          </w:p>
        </w:tc>
        <w:tc>
          <w:tcPr>
            <w:tcW w:w="7485" w:type="dxa"/>
            <w:vAlign w:val="center"/>
          </w:tcPr>
          <w:p>
            <w:pPr>
              <w:pStyle w:val="45"/>
              <w:adjustRightInd w:val="0"/>
              <w:snapToGrid w:val="0"/>
              <w:spacing w:after="0" w:line="360" w:lineRule="auto"/>
              <w:ind w:firstLine="0" w:firstLineChars="0"/>
              <w:rPr>
                <w:rFonts w:ascii="宋体" w:hAnsi="宋体" w:cs="宋体"/>
                <w:color w:val="auto"/>
                <w:highlight w:val="none"/>
              </w:rPr>
            </w:pPr>
            <w:r>
              <w:rPr>
                <w:rFonts w:hint="eastAsia" w:ascii="宋体" w:hAnsi="宋体" w:cs="宋体"/>
                <w:color w:val="auto"/>
                <w:highlight w:val="none"/>
              </w:rPr>
              <w:t>1.预付款</w:t>
            </w:r>
          </w:p>
          <w:p>
            <w:pPr>
              <w:pStyle w:val="45"/>
              <w:adjustRightInd w:val="0"/>
              <w:snapToGrid w:val="0"/>
              <w:spacing w:after="0" w:line="360" w:lineRule="auto"/>
              <w:ind w:firstLine="0" w:firstLineChars="0"/>
              <w:rPr>
                <w:rFonts w:ascii="宋体" w:hAnsi="宋体" w:cs="宋体"/>
                <w:color w:val="auto"/>
                <w:highlight w:val="none"/>
              </w:rPr>
            </w:pPr>
            <w:r>
              <w:rPr>
                <w:rFonts w:hint="eastAsia" w:ascii="宋体" w:hAnsi="宋体" w:cs="宋体"/>
                <w:color w:val="auto"/>
                <w:highlight w:val="none"/>
              </w:rPr>
              <w:t>本项目无预付款。</w:t>
            </w:r>
          </w:p>
          <w:p>
            <w:pPr>
              <w:pStyle w:val="45"/>
              <w:adjustRightInd w:val="0"/>
              <w:snapToGrid w:val="0"/>
              <w:spacing w:after="0" w:line="360" w:lineRule="auto"/>
              <w:ind w:firstLine="0" w:firstLineChars="0"/>
              <w:rPr>
                <w:rFonts w:ascii="宋体" w:hAnsi="宋体" w:cs="宋体"/>
                <w:color w:val="auto"/>
                <w:highlight w:val="none"/>
              </w:rPr>
            </w:pPr>
            <w:r>
              <w:rPr>
                <w:rFonts w:hint="eastAsia" w:ascii="宋体" w:hAnsi="宋体" w:cs="宋体"/>
                <w:color w:val="auto"/>
                <w:highlight w:val="none"/>
              </w:rPr>
              <w:t>2.中间付款</w:t>
            </w:r>
          </w:p>
          <w:p>
            <w:pPr>
              <w:pStyle w:val="45"/>
              <w:adjustRightInd w:val="0"/>
              <w:snapToGrid w:val="0"/>
              <w:spacing w:after="0" w:line="360" w:lineRule="auto"/>
              <w:ind w:firstLine="0" w:firstLineChars="0"/>
              <w:rPr>
                <w:rFonts w:ascii="宋体" w:hAnsi="宋体" w:cs="宋体"/>
                <w:color w:val="auto"/>
                <w:highlight w:val="none"/>
              </w:rPr>
            </w:pPr>
            <w:r>
              <w:rPr>
                <w:rFonts w:hint="eastAsia" w:ascii="宋体" w:hAnsi="宋体" w:cs="宋体"/>
                <w:color w:val="auto"/>
                <w:highlight w:val="none"/>
              </w:rPr>
              <w:t>乙方按合同约定完成所有物资供货及相关工作，且本项目履约验收合格，在收到经甲方批复的支付申请等资料并证实完整无误后28个工作日内，支付至合同价格的97%。</w:t>
            </w:r>
          </w:p>
          <w:p>
            <w:pPr>
              <w:pStyle w:val="45"/>
              <w:adjustRightInd w:val="0"/>
              <w:snapToGrid w:val="0"/>
              <w:spacing w:after="0" w:line="360" w:lineRule="auto"/>
              <w:ind w:firstLine="0" w:firstLineChars="0"/>
              <w:rPr>
                <w:rFonts w:ascii="宋体" w:hAnsi="宋体" w:cs="宋体"/>
                <w:color w:val="auto"/>
                <w:highlight w:val="none"/>
              </w:rPr>
            </w:pPr>
            <w:r>
              <w:rPr>
                <w:rFonts w:hint="eastAsia" w:ascii="宋体" w:hAnsi="宋体" w:cs="宋体"/>
                <w:color w:val="auto"/>
                <w:highlight w:val="none"/>
              </w:rPr>
              <w:t>3.最终付款</w:t>
            </w:r>
          </w:p>
          <w:p>
            <w:pPr>
              <w:pStyle w:val="45"/>
              <w:adjustRightInd w:val="0"/>
              <w:snapToGrid w:val="0"/>
              <w:spacing w:after="0" w:line="360" w:lineRule="auto"/>
              <w:ind w:firstLine="0" w:firstLineChars="0"/>
              <w:rPr>
                <w:rFonts w:ascii="宋体" w:hAnsi="宋体" w:cs="宋体"/>
                <w:color w:val="auto"/>
                <w:highlight w:val="none"/>
              </w:rPr>
            </w:pPr>
            <w:r>
              <w:rPr>
                <w:rFonts w:hint="eastAsia" w:ascii="宋体" w:hAnsi="宋体" w:cs="宋体"/>
                <w:color w:val="auto"/>
                <w:highlight w:val="none"/>
              </w:rPr>
              <w:t>质保期满且物资无质量问题，收到经甲方批复的支付请求等资料并证实完整无误后28个工作日内，支付合同价格的剩余款项。</w:t>
            </w:r>
          </w:p>
          <w:p>
            <w:pPr>
              <w:pStyle w:val="45"/>
              <w:adjustRightInd w:val="0"/>
              <w:snapToGrid w:val="0"/>
              <w:spacing w:after="0" w:line="360" w:lineRule="auto"/>
              <w:ind w:firstLine="0" w:firstLineChars="0"/>
              <w:rPr>
                <w:rFonts w:ascii="宋体" w:hAnsi="宋体" w:cs="宋体"/>
                <w:color w:val="auto"/>
                <w:highlight w:val="none"/>
              </w:rPr>
            </w:pPr>
            <w:r>
              <w:rPr>
                <w:rFonts w:hint="eastAsia" w:ascii="宋体" w:hAnsi="宋体" w:cs="宋体"/>
                <w:color w:val="auto"/>
                <w:highlight w:val="none"/>
              </w:rPr>
              <w:t>4.乙方应理解本合同的资金来源为政府资金，款项的拨付须经有关部门批准，若甲方在规定的支付期限内未支付合同价款，乙方不得以款项延迟支付而停止、拒绝履行本合同或要求甲方支付任何利息。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信息发布</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指定媒体</w:t>
            </w:r>
          </w:p>
        </w:tc>
        <w:tc>
          <w:tcPr>
            <w:tcW w:w="7485"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长沙市轨道交通集团有限公司</w:t>
            </w:r>
            <w:r>
              <w:rPr>
                <w:color w:val="auto"/>
                <w:highlight w:val="none"/>
              </w:rPr>
              <w:fldChar w:fldCharType="begin"/>
            </w:r>
            <w:r>
              <w:rPr>
                <w:color w:val="auto"/>
                <w:highlight w:val="none"/>
              </w:rPr>
              <w:instrText xml:space="preserve"> HYPERLINK "http://www.hncsmtr.com/" </w:instrText>
            </w:r>
            <w:r>
              <w:rPr>
                <w:color w:val="auto"/>
                <w:highlight w:val="none"/>
              </w:rPr>
              <w:fldChar w:fldCharType="separate"/>
            </w:r>
            <w:r>
              <w:rPr>
                <w:rStyle w:val="56"/>
                <w:rFonts w:hint="eastAsia" w:ascii="宋体" w:hAnsi="宋体" w:cs="宋体"/>
                <w:color w:val="auto"/>
                <w:szCs w:val="21"/>
                <w:highlight w:val="none"/>
              </w:rPr>
              <w:t>http://www.hncsmtr.com/</w:t>
            </w:r>
            <w:r>
              <w:rPr>
                <w:rStyle w:val="56"/>
                <w:rFonts w:hint="eastAsia" w:ascii="宋体"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谈判保证金</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提交渠道</w:t>
            </w:r>
          </w:p>
        </w:tc>
        <w:tc>
          <w:tcPr>
            <w:tcW w:w="7485"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Fonts w:hint="eastAsia" w:ascii="宋体" w:hAnsi="宋体" w:cs="宋体"/>
                <w:color w:val="auto"/>
                <w:szCs w:val="21"/>
                <w:highlight w:val="none"/>
              </w:rPr>
              <w:t>www.mtrmart.com）</w:t>
            </w:r>
            <w:r>
              <w:rPr>
                <w:rFonts w:hint="eastAsia" w:ascii="宋体"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167" w:type="dxa"/>
            <w:vAlign w:val="center"/>
          </w:tcPr>
          <w:p>
            <w:pPr>
              <w:adjustRightInd w:val="0"/>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自主竞争性谈判</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文件的获取</w:t>
            </w:r>
          </w:p>
        </w:tc>
        <w:tc>
          <w:tcPr>
            <w:tcW w:w="7485"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“信息发布指定媒介”中对应采购项目谈判邀请公告附件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采购代理服务费</w:t>
            </w:r>
          </w:p>
        </w:tc>
        <w:tc>
          <w:tcPr>
            <w:tcW w:w="7485"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项目采购代理服务费以中选价为基数，按《采购代理服务费收费参照汇率表》(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jc w:val="center"/>
        </w:trPr>
        <w:tc>
          <w:tcPr>
            <w:tcW w:w="2167"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其他规定</w:t>
            </w:r>
          </w:p>
        </w:tc>
        <w:tc>
          <w:tcPr>
            <w:tcW w:w="7485" w:type="dxa"/>
            <w:vAlign w:val="center"/>
          </w:tcPr>
          <w:p>
            <w:pPr>
              <w:pStyle w:val="46"/>
              <w:spacing w:line="360" w:lineRule="auto"/>
              <w:ind w:left="0" w:leftChars="0" w:firstLine="0"/>
              <w:rPr>
                <w:color w:val="auto"/>
                <w:highlight w:val="none"/>
              </w:rPr>
            </w:pPr>
            <w:r>
              <w:rPr>
                <w:rFonts w:hint="eastAsia"/>
                <w:color w:val="auto"/>
                <w:highlight w:val="none"/>
              </w:rPr>
              <w:t>/</w:t>
            </w:r>
          </w:p>
        </w:tc>
      </w:tr>
    </w:tbl>
    <w:p>
      <w:pPr>
        <w:jc w:val="center"/>
        <w:rPr>
          <w:rFonts w:ascii="宋体" w:hAnsi="宋体"/>
          <w:color w:val="auto"/>
          <w:sz w:val="30"/>
          <w:szCs w:val="30"/>
          <w:highlight w:val="none"/>
        </w:rPr>
      </w:pPr>
      <w:bookmarkStart w:id="21" w:name="_Toc14891067"/>
    </w:p>
    <w:p>
      <w:pPr>
        <w:widowControl/>
        <w:jc w:val="left"/>
        <w:rPr>
          <w:rFonts w:ascii="宋体" w:hAnsi="宋体"/>
          <w:color w:val="auto"/>
          <w:highlight w:val="none"/>
        </w:rPr>
        <w:sectPr>
          <w:footerReference r:id="rId5" w:type="default"/>
          <w:pgSz w:w="11905" w:h="16838"/>
          <w:pgMar w:top="2098" w:right="1474" w:bottom="1984" w:left="1587" w:header="851" w:footer="850" w:gutter="0"/>
          <w:pgNumType w:start="1"/>
          <w:cols w:space="0" w:num="1"/>
          <w:docGrid w:linePitch="312" w:charSpace="0"/>
        </w:sectPr>
      </w:pPr>
    </w:p>
    <w:p>
      <w:pPr>
        <w:spacing w:line="360" w:lineRule="auto"/>
        <w:jc w:val="center"/>
        <w:outlineLvl w:val="1"/>
        <w:rPr>
          <w:rFonts w:ascii="宋体" w:hAnsi="宋体" w:cs="宋体"/>
          <w:b/>
          <w:bCs/>
          <w:color w:val="auto"/>
          <w:sz w:val="32"/>
          <w:szCs w:val="32"/>
          <w:highlight w:val="none"/>
        </w:rPr>
      </w:pPr>
      <w:bookmarkStart w:id="22" w:name="_Toc30640"/>
      <w:bookmarkStart w:id="23" w:name="_Toc28895"/>
      <w:bookmarkStart w:id="24" w:name="_Toc25165"/>
      <w:bookmarkStart w:id="25" w:name="_Toc16143"/>
      <w:bookmarkStart w:id="26" w:name="_Toc16939"/>
      <w:bookmarkStart w:id="27" w:name="_Toc26157"/>
      <w:r>
        <w:rPr>
          <w:rFonts w:hint="eastAsia" w:ascii="宋体" w:hAnsi="宋体" w:cs="宋体"/>
          <w:b/>
          <w:bCs/>
          <w:color w:val="auto"/>
          <w:sz w:val="32"/>
          <w:szCs w:val="32"/>
          <w:highlight w:val="none"/>
        </w:rPr>
        <w:t>谈判须知正文</w:t>
      </w:r>
      <w:bookmarkEnd w:id="21"/>
      <w:bookmarkEnd w:id="22"/>
      <w:bookmarkEnd w:id="23"/>
      <w:bookmarkEnd w:id="24"/>
      <w:bookmarkEnd w:id="25"/>
      <w:bookmarkEnd w:id="26"/>
      <w:bookmarkEnd w:id="27"/>
    </w:p>
    <w:p>
      <w:pPr>
        <w:spacing w:line="360" w:lineRule="auto"/>
        <w:outlineLvl w:val="1"/>
        <w:rPr>
          <w:rFonts w:ascii="宋体" w:hAnsi="宋体" w:cs="宋体"/>
          <w:b/>
          <w:bCs/>
          <w:color w:val="auto"/>
          <w:szCs w:val="21"/>
          <w:highlight w:val="none"/>
        </w:rPr>
      </w:pPr>
      <w:bookmarkStart w:id="28" w:name="_Toc15764"/>
      <w:bookmarkStart w:id="29" w:name="_Toc19332"/>
      <w:bookmarkStart w:id="30" w:name="_Toc14891068"/>
      <w:bookmarkStart w:id="31" w:name="_Toc28504"/>
      <w:r>
        <w:rPr>
          <w:rFonts w:hint="eastAsia" w:ascii="宋体" w:hAnsi="宋体" w:cs="宋体"/>
          <w:b/>
          <w:bCs/>
          <w:color w:val="auto"/>
          <w:szCs w:val="21"/>
          <w:highlight w:val="none"/>
        </w:rPr>
        <w:t>一、说明</w:t>
      </w:r>
      <w:bookmarkEnd w:id="28"/>
      <w:bookmarkEnd w:id="29"/>
      <w:bookmarkEnd w:id="30"/>
      <w:bookmarkEnd w:id="31"/>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3.定义</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3.1“采购单位”是指依法进行采购的法人组织。本项目的采购单位名称见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3.2“谈判单位”是指响应本谈判文件要求、参加谈判的法人组织。</w:t>
      </w:r>
      <w:r>
        <w:rPr>
          <w:rFonts w:hint="eastAsia" w:ascii="宋体" w:hAnsi="宋体"/>
          <w:color w:val="auto"/>
          <w:szCs w:val="21"/>
          <w:highlight w:val="none"/>
        </w:rPr>
        <w:t>参与本项目的谈判单位</w:t>
      </w:r>
      <w:r>
        <w:rPr>
          <w:rFonts w:hint="eastAsia" w:hAnsi="宋体"/>
          <w:color w:val="auto"/>
          <w:highlight w:val="none"/>
        </w:rPr>
        <w:t>应按</w:t>
      </w:r>
      <w:r>
        <w:rPr>
          <w:rFonts w:hint="eastAsia" w:hAnsi="宋体"/>
          <w:b/>
          <w:color w:val="auto"/>
          <w:highlight w:val="none"/>
        </w:rPr>
        <w:t>前附表</w:t>
      </w:r>
      <w:r>
        <w:rPr>
          <w:rFonts w:hint="eastAsia" w:hAnsi="宋体"/>
          <w:color w:val="auto"/>
          <w:highlight w:val="none"/>
        </w:rPr>
        <w:t>规定的要求获取谈判文件。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3.3“采购代理机构”是指接受采购人委托，代理采购项目的机构。本采购项目的采购代理机构名称见</w:t>
      </w:r>
      <w:r>
        <w:rPr>
          <w:rFonts w:hint="eastAsia" w:ascii="宋体" w:hAnsi="宋体" w:cs="宋体"/>
          <w:b/>
          <w:bCs/>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3.4“谈判评审小组”是指采购单位按其规定组建，依法依规履行其职责和义务的机构。</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4.谈判单位资格要求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4.1参与谈判的单位应当符合</w:t>
      </w:r>
      <w:r>
        <w:rPr>
          <w:rFonts w:hint="eastAsia" w:ascii="宋体" w:hAnsi="宋体" w:cs="宋体"/>
          <w:b/>
          <w:color w:val="auto"/>
          <w:szCs w:val="21"/>
          <w:highlight w:val="none"/>
        </w:rPr>
        <w:t>前附表</w:t>
      </w:r>
      <w:r>
        <w:rPr>
          <w:rFonts w:hint="eastAsia" w:ascii="宋体" w:hAnsi="宋体" w:cs="宋体"/>
          <w:color w:val="auto"/>
          <w:szCs w:val="21"/>
          <w:highlight w:val="none"/>
        </w:rPr>
        <w:t>中规定的资格要求；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4.2参与谈判的单位存在下列情形之一的，其</w:t>
      </w:r>
      <w:r>
        <w:rPr>
          <w:rFonts w:hint="eastAsia" w:ascii="宋体" w:hAnsi="宋体" w:cs="宋体"/>
          <w:bCs/>
          <w:color w:val="auto"/>
          <w:szCs w:val="21"/>
          <w:highlight w:val="none"/>
        </w:rPr>
        <w:t>谈判</w:t>
      </w:r>
      <w:r>
        <w:rPr>
          <w:rFonts w:hint="eastAsia" w:ascii="宋体" w:hAnsi="宋体" w:cs="宋体"/>
          <w:color w:val="auto"/>
          <w:szCs w:val="21"/>
          <w:highlight w:val="none"/>
        </w:rPr>
        <w:t>将被</w:t>
      </w:r>
      <w:r>
        <w:rPr>
          <w:rFonts w:hint="eastAsia" w:ascii="宋体" w:hAnsi="宋体" w:cs="宋体"/>
          <w:b/>
          <w:bCs/>
          <w:color w:val="auto"/>
          <w:szCs w:val="21"/>
          <w:highlight w:val="none"/>
        </w:rPr>
        <w:t>否决</w:t>
      </w:r>
      <w:r>
        <w:rPr>
          <w:rFonts w:hint="eastAsia" w:ascii="宋体" w:hAnsi="宋体" w:cs="宋体"/>
          <w:color w:val="auto"/>
          <w:szCs w:val="21"/>
          <w:highlight w:val="none"/>
        </w:rPr>
        <w:t>：</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（1）与采购单位（或本项目采购代理机构）存在利害关系且可能影响采购公正性；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（2）谈判单位法定代表人或负责人与其他谈判单位法定代表人或负责人为同一人；</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（3）与本采购项目的其他谈判单位存在控股、管理关系；</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（4）被责令停产停业、暂扣或者吊销许可证、暂扣或者吊销执照；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（5）进入破产、清算、注销程序，或存在其他可能丧失履约能力的情形；</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（7）在“信用中国”网站（www.creditchina.gov.cn）或“信用湖南”网站（www.credithunan.gov.cn）中显示已被列入失信被执行人名单。</w:t>
      </w:r>
    </w:p>
    <w:p>
      <w:pPr>
        <w:adjustRightInd w:val="0"/>
        <w:snapToGrid w:val="0"/>
        <w:spacing w:line="360" w:lineRule="auto"/>
        <w:ind w:firstLine="420" w:firstLineChars="200"/>
        <w:rPr>
          <w:color w:val="auto"/>
          <w:highlight w:val="none"/>
        </w:rPr>
      </w:pPr>
      <w:r>
        <w:rPr>
          <w:rFonts w:hint="eastAsia" w:ascii="宋体" w:hAnsi="宋体" w:cs="宋体"/>
          <w:color w:val="auto"/>
          <w:szCs w:val="21"/>
          <w:highlight w:val="none"/>
        </w:rPr>
        <w:t>（8）不同谈判单位的谈判保证金从同一账户转出的情形。</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5.参与谈判的费用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5.2采购代理服务费由中选单位全额承担。本项目采购代理服务费以中选价为基数，按谈判须知</w:t>
      </w:r>
      <w:r>
        <w:rPr>
          <w:rFonts w:hint="eastAsia" w:ascii="宋体" w:hAnsi="宋体" w:cs="宋体"/>
          <w:b/>
          <w:bCs/>
          <w:color w:val="auto"/>
          <w:szCs w:val="21"/>
          <w:highlight w:val="none"/>
        </w:rPr>
        <w:t>《采购代理服务费收费标准》（详见本须知附件）</w:t>
      </w:r>
      <w:r>
        <w:rPr>
          <w:rFonts w:hint="eastAsia" w:ascii="宋体" w:hAnsi="宋体" w:cs="宋体"/>
          <w:color w:val="auto"/>
          <w:szCs w:val="21"/>
          <w:highlight w:val="none"/>
        </w:rPr>
        <w:t>向中选单位收取。</w:t>
      </w:r>
    </w:p>
    <w:p>
      <w:pPr>
        <w:pStyle w:val="25"/>
        <w:adjustRightInd w:val="0"/>
        <w:snapToGrid w:val="0"/>
        <w:spacing w:line="360" w:lineRule="auto"/>
        <w:ind w:firstLine="422" w:firstLineChars="200"/>
        <w:rPr>
          <w:rFonts w:hAnsi="宋体" w:cs="宋体"/>
          <w:b/>
          <w:bCs/>
          <w:color w:val="auto"/>
          <w:highlight w:val="none"/>
        </w:rPr>
      </w:pPr>
      <w:r>
        <w:rPr>
          <w:rFonts w:hint="eastAsia" w:hAnsi="宋体" w:cs="宋体"/>
          <w:b/>
          <w:color w:val="auto"/>
          <w:highlight w:val="none"/>
        </w:rPr>
        <w:t>6．</w:t>
      </w:r>
      <w:r>
        <w:rPr>
          <w:rFonts w:hint="eastAsia" w:hAnsi="宋体"/>
          <w:b/>
          <w:bCs/>
          <w:color w:val="auto"/>
          <w:highlight w:val="none"/>
        </w:rPr>
        <w:t>谈判现场验证资料</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6.1谈判单位代表为谈判单位法定代表人的：应提供法定代表人身份证明书</w:t>
      </w:r>
      <w:r>
        <w:rPr>
          <w:rFonts w:hint="eastAsia" w:hAnsi="宋体" w:cs="宋体"/>
          <w:b/>
          <w:bCs/>
          <w:color w:val="auto"/>
          <w:highlight w:val="none"/>
        </w:rPr>
        <w:t>（见</w:t>
      </w:r>
      <w:r>
        <w:rPr>
          <w:rFonts w:hint="eastAsia" w:hAnsi="宋体" w:cs="宋体"/>
          <w:b/>
          <w:bCs/>
          <w:iCs/>
          <w:color w:val="auto"/>
          <w:highlight w:val="none"/>
        </w:rPr>
        <w:t>第六章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25"/>
        <w:adjustRightInd w:val="0"/>
        <w:snapToGrid w:val="0"/>
        <w:spacing w:line="360" w:lineRule="auto"/>
        <w:ind w:firstLine="420" w:firstLineChars="200"/>
        <w:rPr>
          <w:rFonts w:hAnsi="宋体" w:cs="宋体"/>
          <w:b/>
          <w:strike/>
          <w:color w:val="auto"/>
          <w:highlight w:val="none"/>
        </w:rPr>
      </w:pPr>
      <w:r>
        <w:rPr>
          <w:rFonts w:hint="eastAsia" w:hAnsi="宋体" w:cs="宋体"/>
          <w:color w:val="auto"/>
          <w:highlight w:val="none"/>
        </w:rPr>
        <w:t>6.2谈判单位代表不是谈判单位法定代表人的：应提供授权委托书</w:t>
      </w:r>
      <w:r>
        <w:rPr>
          <w:rFonts w:hint="eastAsia" w:hAnsi="宋体" w:cs="宋体"/>
          <w:b/>
          <w:bCs/>
          <w:color w:val="auto"/>
          <w:highlight w:val="none"/>
        </w:rPr>
        <w:t>（见</w:t>
      </w:r>
      <w:r>
        <w:rPr>
          <w:rFonts w:hint="eastAsia" w:hAnsi="宋体" w:cs="宋体"/>
          <w:b/>
          <w:bCs/>
          <w:iCs/>
          <w:color w:val="auto"/>
          <w:highlight w:val="none"/>
        </w:rPr>
        <w:t>第六章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spacing w:line="360" w:lineRule="auto"/>
        <w:outlineLvl w:val="1"/>
        <w:rPr>
          <w:rFonts w:ascii="宋体" w:hAnsi="宋体" w:cs="宋体"/>
          <w:b/>
          <w:bCs/>
          <w:color w:val="auto"/>
          <w:szCs w:val="21"/>
          <w:highlight w:val="none"/>
        </w:rPr>
      </w:pPr>
      <w:bookmarkStart w:id="32" w:name="_Toc15020"/>
      <w:bookmarkStart w:id="33" w:name="_Toc2969"/>
      <w:bookmarkStart w:id="34" w:name="_Toc30689"/>
      <w:bookmarkStart w:id="35" w:name="_Toc14891069"/>
      <w:r>
        <w:rPr>
          <w:rFonts w:hint="eastAsia" w:ascii="宋体" w:hAnsi="宋体" w:cs="宋体"/>
          <w:b/>
          <w:bCs/>
          <w:color w:val="auto"/>
          <w:szCs w:val="21"/>
          <w:highlight w:val="none"/>
        </w:rPr>
        <w:t>二、谈判文件</w:t>
      </w:r>
      <w:bookmarkEnd w:id="32"/>
      <w:bookmarkEnd w:id="33"/>
      <w:bookmarkEnd w:id="34"/>
      <w:bookmarkEnd w:id="35"/>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7．谈判文件的组成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7.1谈判文件由下列文件组成：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第一章 谈判邀请公告</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第二章 谈判须知</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第三章 评审办法及标准</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第四章 用户需求书</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第五章 合同格式条款</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第六章 响应文件组成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7.3谈判单位应仔细阅读</w:t>
      </w:r>
      <w:r>
        <w:rPr>
          <w:rFonts w:hint="eastAsia" w:ascii="宋体" w:hAnsi="宋体" w:cs="宋体"/>
          <w:bCs/>
          <w:color w:val="auto"/>
          <w:szCs w:val="21"/>
          <w:highlight w:val="none"/>
        </w:rPr>
        <w:t>谈判</w:t>
      </w:r>
      <w:r>
        <w:rPr>
          <w:rFonts w:hint="eastAsia" w:ascii="宋体" w:hAnsi="宋体" w:cs="宋体"/>
          <w:color w:val="auto"/>
          <w:szCs w:val="21"/>
          <w:highlight w:val="none"/>
        </w:rPr>
        <w:t>文件的全部内容，按照</w:t>
      </w:r>
      <w:r>
        <w:rPr>
          <w:rFonts w:hint="eastAsia" w:ascii="宋体" w:hAnsi="宋体" w:cs="宋体"/>
          <w:bCs/>
          <w:color w:val="auto"/>
          <w:szCs w:val="21"/>
          <w:highlight w:val="none"/>
        </w:rPr>
        <w:t>谈判</w:t>
      </w:r>
      <w:r>
        <w:rPr>
          <w:rFonts w:hint="eastAsia" w:ascii="宋体" w:hAnsi="宋体" w:cs="宋体"/>
          <w:color w:val="auto"/>
          <w:szCs w:val="21"/>
          <w:highlight w:val="none"/>
        </w:rPr>
        <w:t>文件要求编制响应文件。任何对</w:t>
      </w:r>
      <w:r>
        <w:rPr>
          <w:rFonts w:hint="eastAsia" w:ascii="宋体" w:hAnsi="宋体" w:cs="宋体"/>
          <w:bCs/>
          <w:color w:val="auto"/>
          <w:szCs w:val="21"/>
          <w:highlight w:val="none"/>
        </w:rPr>
        <w:t>谈判</w:t>
      </w:r>
      <w:r>
        <w:rPr>
          <w:rFonts w:hint="eastAsia" w:ascii="宋体" w:hAnsi="宋体" w:cs="宋体"/>
          <w:color w:val="auto"/>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bCs/>
          <w:color w:val="auto"/>
          <w:szCs w:val="21"/>
          <w:highlight w:val="none"/>
        </w:rPr>
        <w:t>8.</w:t>
      </w:r>
      <w:r>
        <w:rPr>
          <w:rFonts w:hint="eastAsia" w:ascii="宋体" w:hAnsi="宋体" w:cs="宋体"/>
          <w:b/>
          <w:color w:val="auto"/>
          <w:kern w:val="0"/>
          <w:szCs w:val="21"/>
          <w:highlight w:val="none"/>
        </w:rPr>
        <w:t>谈判文件的澄清及答疑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8.1.谈判单位应仔细阅读和检查谈判文件的全部内容，如有疑问，</w:t>
      </w:r>
      <w:r>
        <w:rPr>
          <w:rFonts w:hint="eastAsia" w:ascii="宋体" w:hAnsi="宋体" w:cs="宋体"/>
          <w:color w:val="auto"/>
          <w:szCs w:val="21"/>
          <w:highlight w:val="none"/>
        </w:rPr>
        <w:t>应按</w:t>
      </w:r>
      <w:r>
        <w:rPr>
          <w:rFonts w:hint="eastAsia" w:ascii="宋体" w:hAnsi="宋体" w:cs="宋体"/>
          <w:b/>
          <w:bCs/>
          <w:color w:val="auto"/>
          <w:szCs w:val="21"/>
          <w:highlight w:val="none"/>
        </w:rPr>
        <w:t>前附表</w:t>
      </w:r>
      <w:r>
        <w:rPr>
          <w:rFonts w:hint="eastAsia" w:ascii="宋体" w:hAnsi="宋体" w:cs="宋体"/>
          <w:color w:val="auto"/>
          <w:szCs w:val="21"/>
          <w:highlight w:val="none"/>
        </w:rPr>
        <w:t>规定的时间、方式及地点</w:t>
      </w:r>
      <w:r>
        <w:rPr>
          <w:rFonts w:hint="eastAsia" w:ascii="宋体" w:hAnsi="宋体" w:cs="宋体"/>
          <w:iCs/>
          <w:color w:val="auto"/>
          <w:szCs w:val="21"/>
          <w:highlight w:val="none"/>
        </w:rPr>
        <w:t>向采购代理机构提出，</w:t>
      </w:r>
      <w:r>
        <w:rPr>
          <w:rFonts w:hint="eastAsia" w:ascii="宋体" w:hAnsi="宋体" w:cs="宋体"/>
          <w:color w:val="auto"/>
          <w:szCs w:val="21"/>
          <w:highlight w:val="none"/>
        </w:rPr>
        <w:t>否则，由此引起的损失由谈判单位自己承担。</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8.3</w:t>
      </w:r>
      <w:r>
        <w:rPr>
          <w:rFonts w:hint="eastAsia" w:ascii="宋体" w:hAnsi="宋体" w:cs="宋体"/>
          <w:color w:val="auto"/>
          <w:kern w:val="0"/>
          <w:szCs w:val="21"/>
          <w:highlight w:val="none"/>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9.</w:t>
      </w:r>
      <w:r>
        <w:rPr>
          <w:rFonts w:hint="eastAsia" w:ascii="宋体" w:hAnsi="宋体" w:cs="宋体"/>
          <w:b/>
          <w:color w:val="auto"/>
          <w:kern w:val="0"/>
          <w:szCs w:val="21"/>
          <w:highlight w:val="none"/>
        </w:rPr>
        <w:t>响应文件递交截止时间、谈判会议时间及地点</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9.1</w:t>
      </w:r>
      <w:r>
        <w:rPr>
          <w:rFonts w:hint="eastAsia" w:hAnsi="宋体" w:cs="宋体"/>
          <w:color w:val="auto"/>
          <w:kern w:val="0"/>
          <w:highlight w:val="none"/>
        </w:rPr>
        <w:t>谈判单位递交响应文件截止时间、谈判会议</w:t>
      </w:r>
      <w:r>
        <w:rPr>
          <w:rFonts w:hint="eastAsia" w:hAnsi="宋体" w:cs="宋体"/>
          <w:color w:val="auto"/>
          <w:highlight w:val="none"/>
        </w:rPr>
        <w:t>时间及地点见</w:t>
      </w:r>
      <w:r>
        <w:rPr>
          <w:rFonts w:hint="eastAsia" w:hAnsi="宋体" w:cs="宋体"/>
          <w:b/>
          <w:color w:val="auto"/>
          <w:highlight w:val="none"/>
        </w:rPr>
        <w:t>前附表</w:t>
      </w:r>
      <w:r>
        <w:rPr>
          <w:rFonts w:hint="eastAsia" w:hAnsi="宋体" w:cs="宋体"/>
          <w:color w:val="auto"/>
          <w:highlight w:val="none"/>
        </w:rPr>
        <w:t>。</w:t>
      </w:r>
    </w:p>
    <w:p>
      <w:pPr>
        <w:spacing w:line="360" w:lineRule="auto"/>
        <w:outlineLvl w:val="1"/>
        <w:rPr>
          <w:rFonts w:ascii="宋体" w:hAnsi="宋体" w:cs="宋体"/>
          <w:b/>
          <w:bCs/>
          <w:color w:val="auto"/>
          <w:szCs w:val="21"/>
          <w:highlight w:val="none"/>
        </w:rPr>
      </w:pPr>
      <w:bookmarkStart w:id="36" w:name="_Toc2701"/>
      <w:bookmarkStart w:id="37" w:name="_Toc14734"/>
      <w:bookmarkStart w:id="38" w:name="_Toc14891070"/>
      <w:bookmarkStart w:id="39" w:name="_Toc8063"/>
      <w:r>
        <w:rPr>
          <w:rFonts w:hint="eastAsia" w:ascii="宋体" w:hAnsi="宋体" w:cs="宋体"/>
          <w:b/>
          <w:bCs/>
          <w:color w:val="auto"/>
          <w:szCs w:val="21"/>
          <w:highlight w:val="none"/>
        </w:rPr>
        <w:t>三、响应文件</w:t>
      </w:r>
      <w:bookmarkEnd w:id="36"/>
      <w:bookmarkEnd w:id="37"/>
      <w:bookmarkEnd w:id="38"/>
      <w:bookmarkEnd w:id="39"/>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10.一般要求</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w:t>
      </w:r>
      <w:bookmarkStart w:id="40" w:name="_Hlk68706641"/>
      <w:r>
        <w:rPr>
          <w:rFonts w:hint="eastAsia" w:ascii="宋体" w:hAnsi="宋体" w:cs="宋体"/>
          <w:bCs/>
          <w:color w:val="auto"/>
          <w:szCs w:val="21"/>
          <w:highlight w:val="none"/>
        </w:rPr>
        <w:t>谈判单位应仔细阅读谈判文件的所有内容，按谈判文件的要求编制响应文件，</w:t>
      </w:r>
      <w:r>
        <w:rPr>
          <w:rFonts w:hint="eastAsia" w:ascii="宋体" w:hAnsi="宋体" w:cs="宋体"/>
          <w:b/>
          <w:color w:val="auto"/>
          <w:szCs w:val="21"/>
          <w:highlight w:val="none"/>
        </w:rPr>
        <w:t>严禁复制、粘贴，</w:t>
      </w:r>
      <w:r>
        <w:rPr>
          <w:rFonts w:hint="eastAsia" w:ascii="宋体" w:hAnsi="宋体" w:cs="宋体"/>
          <w:bCs/>
          <w:color w:val="auto"/>
          <w:szCs w:val="21"/>
          <w:highlight w:val="none"/>
        </w:rPr>
        <w:t>并保证所提供的全部资料的真实性。</w:t>
      </w:r>
      <w:bookmarkEnd w:id="40"/>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w:t>
      </w:r>
      <w:r>
        <w:rPr>
          <w:rFonts w:hint="eastAsia" w:ascii="宋体" w:hAnsi="宋体" w:cs="宋体"/>
          <w:color w:val="auto"/>
          <w:szCs w:val="21"/>
          <w:highlight w:val="none"/>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color w:val="auto"/>
          <w:highlight w:val="none"/>
        </w:rPr>
      </w:pPr>
      <w:r>
        <w:rPr>
          <w:rFonts w:hint="eastAsia" w:hAnsi="宋体" w:cs="宋体"/>
          <w:bCs/>
          <w:color w:val="auto"/>
          <w:highlight w:val="none"/>
        </w:rPr>
        <w:t>10.3</w:t>
      </w:r>
      <w:r>
        <w:rPr>
          <w:rFonts w:hint="eastAsia" w:hAnsi="宋体" w:cs="宋体"/>
          <w:color w:val="auto"/>
          <w:highlight w:val="none"/>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11.1响应文件应包括下列内容：</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（1）谈判承诺书</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（2）法定代表人身份证明书</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（3）授权委托书</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（4）谈判单位资格证明文件</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（5）设备主要技术参数对比表</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（6）承诺函</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（7）技术服务方案</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w:t>
      </w:r>
      <w:r>
        <w:rPr>
          <w:rFonts w:hAnsi="宋体" w:cs="宋体"/>
          <w:color w:val="auto"/>
          <w:highlight w:val="none"/>
        </w:rPr>
        <w:t>8</w:t>
      </w:r>
      <w:r>
        <w:rPr>
          <w:rFonts w:hint="eastAsia" w:hAnsi="宋体" w:cs="宋体"/>
          <w:color w:val="auto"/>
          <w:highlight w:val="none"/>
        </w:rPr>
        <w:t>）合理化建议</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w:t>
      </w:r>
      <w:r>
        <w:rPr>
          <w:rFonts w:hAnsi="宋体" w:cs="宋体"/>
          <w:color w:val="auto"/>
          <w:highlight w:val="none"/>
        </w:rPr>
        <w:t>9</w:t>
      </w:r>
      <w:r>
        <w:rPr>
          <w:rFonts w:hint="eastAsia" w:hAnsi="宋体" w:cs="宋体"/>
          <w:color w:val="auto"/>
          <w:highlight w:val="none"/>
        </w:rPr>
        <w:t>）报价一览表</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w:t>
      </w:r>
      <w:r>
        <w:rPr>
          <w:rFonts w:hAnsi="宋体" w:cs="宋体"/>
          <w:color w:val="auto"/>
          <w:highlight w:val="none"/>
        </w:rPr>
        <w:t>10</w:t>
      </w:r>
      <w:r>
        <w:rPr>
          <w:rFonts w:hint="eastAsia" w:hAnsi="宋体" w:cs="宋体"/>
          <w:color w:val="auto"/>
          <w:highlight w:val="none"/>
        </w:rPr>
        <w:t>）分项价格表</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w:t>
      </w:r>
      <w:r>
        <w:rPr>
          <w:rFonts w:hAnsi="宋体" w:cs="宋体"/>
          <w:color w:val="auto"/>
          <w:highlight w:val="none"/>
        </w:rPr>
        <w:t>1</w:t>
      </w:r>
      <w:r>
        <w:rPr>
          <w:rFonts w:hint="eastAsia" w:hAnsi="宋体" w:cs="宋体"/>
          <w:color w:val="auto"/>
          <w:highlight w:val="none"/>
        </w:rPr>
        <w:t>）其他资料（如有）</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11.2在谈判过程中，谈判单位根据</w:t>
      </w:r>
      <w:r>
        <w:rPr>
          <w:rFonts w:hint="eastAsia" w:hAnsi="宋体" w:cs="宋体"/>
          <w:color w:val="auto"/>
          <w:kern w:val="0"/>
          <w:highlight w:val="none"/>
        </w:rPr>
        <w:t>谈判评审小组</w:t>
      </w:r>
      <w:r>
        <w:rPr>
          <w:rFonts w:hint="eastAsia" w:hAnsi="宋体" w:cs="宋体"/>
          <w:bCs/>
          <w:color w:val="auto"/>
          <w:highlight w:val="none"/>
        </w:rPr>
        <w:t>要求</w:t>
      </w:r>
      <w:r>
        <w:rPr>
          <w:rFonts w:hint="eastAsia" w:hAnsi="宋体" w:cs="宋体"/>
          <w:color w:val="auto"/>
          <w:kern w:val="0"/>
          <w:highlight w:val="none"/>
        </w:rPr>
        <w:t>提交的</w:t>
      </w:r>
      <w:r>
        <w:rPr>
          <w:rFonts w:hint="eastAsia" w:hAnsi="宋体" w:cs="宋体"/>
          <w:color w:val="auto"/>
          <w:highlight w:val="none"/>
        </w:rPr>
        <w:t>书面承诺或其他文件是响应文件的有效组成部分。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11.3谈判单位无论成交与否，其递交的响应文件均不予退还。</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12.报价要求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本项目为一轮报价。谈判单位应按第六章“响应文件格式”的要求在报价文件中进行报价。谈判单位所报的总价及综合单价均不得超过谈判项目预算，不超过谈判项目预算的的谈判总报价为有效报价，谈判时需明确税费，税率必须符合国家政策法规规定，合同支付时服务单位需开具经采购单位认可的合法完税单据。</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12.2本项目以不含增值税总价进行评审。谈判单位报价须满足“谈判不含增值税总报价=谈判总报价/（1+增值税税率）”和“不含增值税单价=含税单价/（1+增值税税率）”，否则视为无效报价。</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12.3谈判单位应充分了解该项目的总体情况以及影响谈判报价的其他要素。</w:t>
      </w:r>
      <w:r>
        <w:rPr>
          <w:rFonts w:hint="eastAsia" w:ascii="宋体" w:hAnsi="宋体" w:cs="宋体"/>
          <w:b/>
          <w:color w:val="auto"/>
          <w:szCs w:val="21"/>
          <w:highlight w:val="none"/>
        </w:rPr>
        <w:t>最终结算以长沙市轨道交通运营有限公司审核为准。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12.4谈判总报价为各分项报价金额之和，谈判总报价与分项报价的合价不一致的，应以各分项合价累计数为准，修正谈判总报价；如分项报价中存在缺漏项，则视为缺漏项价格已包含在其他分项报价之中。</w:t>
      </w:r>
      <w:r>
        <w:rPr>
          <w:rFonts w:hAnsi="宋体"/>
          <w:color w:val="auto"/>
          <w:szCs w:val="21"/>
          <w:highlight w:val="none"/>
        </w:rPr>
        <w:t>如分项报价中存在直接填写为零的情况，则视为其价格已包含在其他分项报价之中。</w:t>
      </w:r>
      <w:r>
        <w:rPr>
          <w:rFonts w:hint="eastAsia" w:ascii="宋体" w:hAnsi="宋体" w:cs="宋体"/>
          <w:color w:val="auto"/>
          <w:szCs w:val="21"/>
          <w:highlight w:val="none"/>
        </w:rPr>
        <w:t>谈判单位在谈判截止时间前修改响应文件中的谈判总报价，应同时修改报价文件《报价一览表》和《分项价格表》中的相应报价。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12.5谈判单位所报</w:t>
      </w:r>
      <w:r>
        <w:rPr>
          <w:rFonts w:hint="eastAsia" w:ascii="宋体" w:hAnsi="宋体" w:cs="宋体"/>
          <w:b/>
          <w:bCs/>
          <w:color w:val="auto"/>
          <w:szCs w:val="21"/>
          <w:highlight w:val="none"/>
        </w:rPr>
        <w:t>含税总价不能超过项目预算，不超过项目预算的报价为有效报价</w:t>
      </w:r>
      <w:r>
        <w:rPr>
          <w:rFonts w:hint="eastAsia" w:ascii="宋体" w:hAnsi="宋体" w:cs="宋体"/>
          <w:color w:val="auto"/>
          <w:szCs w:val="21"/>
          <w:highlight w:val="none"/>
        </w:rPr>
        <w:t>。本项目预算见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12.6谈判单位应按谈判文件规定的要求、责任范围和合同条件，</w:t>
      </w:r>
      <w:r>
        <w:rPr>
          <w:rFonts w:hint="eastAsia" w:ascii="宋体" w:hAnsi="宋体" w:cs="宋体"/>
          <w:b/>
          <w:bCs/>
          <w:color w:val="auto"/>
          <w:szCs w:val="21"/>
          <w:highlight w:val="none"/>
        </w:rPr>
        <w:t>以人民币报价，以元为单位，保留小数点后两位</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12.7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12.8谈判单位递交两份或多份内容不同的报价文件，或在一份报价文件中对同一项目报有两个或多个报价，且未声明哪一个有效的，将被认为是非实质响应而被拒绝。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12.9最低报价不能作为中选的保证。</w:t>
      </w:r>
    </w:p>
    <w:p>
      <w:pPr>
        <w:tabs>
          <w:tab w:val="left" w:pos="1248"/>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12.10本项目为单价合同（除税率调整外，合同单价（即中标单价/中选单价/成交单价）在合同执行过程中固定不变，不受政策法规变化以及汇率浮动、物价指数浮动等因素的影响）。</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13.响应文件有效期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13.1响应文件有效期见</w:t>
      </w:r>
      <w:r>
        <w:rPr>
          <w:rFonts w:hint="eastAsia" w:ascii="宋体" w:hAnsi="宋体" w:cs="宋体"/>
          <w:b/>
          <w:color w:val="auto"/>
          <w:szCs w:val="21"/>
          <w:highlight w:val="none"/>
        </w:rPr>
        <w:t>前附表</w:t>
      </w:r>
      <w:r>
        <w:rPr>
          <w:rFonts w:hint="eastAsia" w:ascii="宋体" w:hAnsi="宋体" w:cs="宋体"/>
          <w:color w:val="auto"/>
          <w:szCs w:val="21"/>
          <w:highlight w:val="none"/>
        </w:rPr>
        <w:t>，在此期间响应文件对谈判单位具有法律约束力，从</w:t>
      </w:r>
      <w:r>
        <w:rPr>
          <w:rFonts w:hint="eastAsia" w:ascii="宋体" w:hAnsi="宋体" w:cs="宋体"/>
          <w:b/>
          <w:color w:val="auto"/>
          <w:szCs w:val="21"/>
          <w:highlight w:val="none"/>
        </w:rPr>
        <w:t>前附表</w:t>
      </w:r>
      <w:r>
        <w:rPr>
          <w:rFonts w:hint="eastAsia" w:ascii="宋体" w:hAnsi="宋体" w:cs="宋体"/>
          <w:color w:val="auto"/>
          <w:szCs w:val="21"/>
          <w:highlight w:val="none"/>
        </w:rPr>
        <w:t>规定的</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14.响应文件的编制</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14.1响应文件应按</w:t>
      </w:r>
      <w:r>
        <w:rPr>
          <w:rFonts w:hint="eastAsia" w:hAnsi="宋体" w:cs="宋体"/>
          <w:b/>
          <w:bCs/>
          <w:color w:val="auto"/>
          <w:sz w:val="21"/>
          <w:szCs w:val="21"/>
          <w:highlight w:val="none"/>
        </w:rPr>
        <w:t>第六章</w:t>
      </w:r>
      <w:r>
        <w:rPr>
          <w:rFonts w:hint="eastAsia" w:hAnsi="宋体" w:cs="宋体"/>
          <w:color w:val="auto"/>
          <w:sz w:val="21"/>
          <w:szCs w:val="21"/>
          <w:highlight w:val="none"/>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14.2响应文件应用不褪色的材料书写或打印（建议双面打印），并按</w:t>
      </w:r>
      <w:r>
        <w:rPr>
          <w:rFonts w:hint="eastAsia" w:hAnsi="宋体" w:cs="宋体"/>
          <w:b/>
          <w:bCs/>
          <w:color w:val="auto"/>
          <w:highlight w:val="none"/>
        </w:rPr>
        <w:t>第六章</w:t>
      </w:r>
      <w:r>
        <w:rPr>
          <w:rFonts w:hint="eastAsia" w:hAnsi="宋体" w:cs="宋体"/>
          <w:color w:val="auto"/>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color w:val="auto"/>
          <w:highlight w:val="none"/>
        </w:rPr>
        <w:t>第六章</w:t>
      </w:r>
      <w:r>
        <w:rPr>
          <w:rFonts w:hint="eastAsia" w:hAnsi="宋体" w:cs="宋体"/>
          <w:color w:val="auto"/>
          <w:highlight w:val="none"/>
        </w:rPr>
        <w:t>“响应文件格式”的要求。</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color w:val="auto"/>
          <w:highlight w:val="none"/>
        </w:rPr>
        <w:t>“正本”</w:t>
      </w:r>
      <w:r>
        <w:rPr>
          <w:rFonts w:hint="eastAsia" w:hAnsi="宋体" w:cs="宋体"/>
          <w:color w:val="auto"/>
          <w:highlight w:val="none"/>
        </w:rPr>
        <w:t>或</w:t>
      </w:r>
      <w:r>
        <w:rPr>
          <w:rFonts w:hint="eastAsia" w:hAnsi="宋体" w:cs="宋体"/>
          <w:b/>
          <w:bCs/>
          <w:color w:val="auto"/>
          <w:highlight w:val="none"/>
        </w:rPr>
        <w:t>“副本”</w:t>
      </w:r>
      <w:r>
        <w:rPr>
          <w:rFonts w:hint="eastAsia" w:hAnsi="宋体" w:cs="宋体"/>
          <w:color w:val="auto"/>
          <w:highlight w:val="none"/>
        </w:rPr>
        <w:t>的字样，若响应文件副本为正本的复印件，还需在谈判文件要求盖章处加盖单位公章。当正本和副本有差异时，以正本为准。</w:t>
      </w:r>
    </w:p>
    <w:p>
      <w:pPr>
        <w:spacing w:line="360" w:lineRule="auto"/>
        <w:outlineLvl w:val="1"/>
        <w:rPr>
          <w:rFonts w:ascii="宋体" w:hAnsi="宋体" w:cs="宋体"/>
          <w:b/>
          <w:bCs/>
          <w:color w:val="auto"/>
          <w:szCs w:val="21"/>
          <w:highlight w:val="none"/>
        </w:rPr>
      </w:pPr>
      <w:bookmarkStart w:id="41" w:name="_Toc14891071"/>
      <w:bookmarkStart w:id="42" w:name="_Toc12692"/>
      <w:bookmarkStart w:id="43" w:name="_Toc23242"/>
      <w:bookmarkStart w:id="44" w:name="_Toc9319"/>
      <w:r>
        <w:rPr>
          <w:rFonts w:hint="eastAsia" w:ascii="宋体" w:hAnsi="宋体" w:cs="宋体"/>
          <w:b/>
          <w:bCs/>
          <w:color w:val="auto"/>
          <w:szCs w:val="21"/>
          <w:highlight w:val="none"/>
        </w:rPr>
        <w:t>四、响应文件的递交</w:t>
      </w:r>
      <w:bookmarkEnd w:id="41"/>
      <w:bookmarkEnd w:id="42"/>
      <w:bookmarkEnd w:id="43"/>
      <w:bookmarkEnd w:id="44"/>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15.1谈判单位须将响应文件一正两副与电子文件一起密封包装。</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16.响应文件的标记</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16.1</w:t>
      </w:r>
      <w:r>
        <w:rPr>
          <w:rFonts w:hint="eastAsia" w:ascii="宋体" w:hAnsi="宋体" w:cs="宋体"/>
          <w:bCs/>
          <w:color w:val="auto"/>
          <w:szCs w:val="21"/>
          <w:highlight w:val="none"/>
        </w:rPr>
        <w:t>响应文件的密封封套上须写明如下内容</w:t>
      </w:r>
      <w:r>
        <w:rPr>
          <w:rFonts w:hint="eastAsia" w:ascii="宋体" w:hAnsi="宋体" w:cs="宋体"/>
          <w:color w:val="auto"/>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谈判单位：</w:t>
            </w:r>
            <w:r>
              <w:rPr>
                <w:rFonts w:hint="eastAsia" w:ascii="宋体" w:hAnsi="宋体" w:cs="宋体"/>
                <w:color w:val="auto"/>
                <w:szCs w:val="21"/>
                <w:highlight w:val="none"/>
                <w:u w:val="single"/>
              </w:rPr>
              <w:t xml:space="preserve">（填写单位名称并加盖单位公章）        </w:t>
            </w:r>
          </w:p>
          <w:p>
            <w:pPr>
              <w:spacing w:line="360" w:lineRule="auto"/>
              <w:ind w:firstLine="840" w:firstLineChars="400"/>
              <w:rPr>
                <w:rFonts w:ascii="宋体" w:hAnsi="宋体" w:cs="宋体"/>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i/>
                <w:iCs/>
                <w:color w:val="auto"/>
                <w:szCs w:val="21"/>
                <w:highlight w:val="none"/>
                <w:u w:val="single"/>
              </w:rPr>
              <w:t xml:space="preserve">    </w:t>
            </w:r>
            <w:r>
              <w:rPr>
                <w:rFonts w:hint="eastAsia" w:ascii="宋体" w:hAnsi="宋体"/>
                <w:bCs/>
                <w:color w:val="auto"/>
                <w:szCs w:val="21"/>
                <w:highlight w:val="none"/>
              </w:rPr>
              <w:t>日</w:t>
            </w:r>
          </w:p>
        </w:tc>
      </w:tr>
    </w:tbl>
    <w:p>
      <w:pPr>
        <w:adjustRightInd w:val="0"/>
        <w:snapToGrid w:val="0"/>
        <w:spacing w:line="360" w:lineRule="auto"/>
        <w:ind w:firstLine="422" w:firstLineChars="200"/>
        <w:rPr>
          <w:rFonts w:ascii="宋体" w:hAnsi="宋体" w:cs="宋体"/>
          <w:b/>
          <w:bCs/>
          <w:color w:val="auto"/>
          <w:szCs w:val="21"/>
          <w:highlight w:val="none"/>
        </w:rPr>
      </w:pP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17.响应文件的递交与接收</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17.1谈判单位应按要求在</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前，将响应文件送达指定地点，响应文件递交截止时间、地点及要求见</w:t>
      </w:r>
      <w:r>
        <w:rPr>
          <w:rFonts w:hint="eastAsia" w:ascii="宋体" w:hAnsi="宋体" w:cs="宋体"/>
          <w:b/>
          <w:color w:val="auto"/>
          <w:szCs w:val="21"/>
          <w:highlight w:val="none"/>
        </w:rPr>
        <w:t>前附表</w:t>
      </w:r>
      <w:r>
        <w:rPr>
          <w:rFonts w:hint="eastAsia" w:ascii="宋体" w:hAnsi="宋体" w:cs="宋体"/>
          <w:color w:val="auto"/>
          <w:szCs w:val="21"/>
          <w:highlight w:val="none"/>
        </w:rPr>
        <w:t>。</w:t>
      </w:r>
      <w:r>
        <w:rPr>
          <w:rFonts w:hint="eastAsia" w:ascii="宋体" w:hAnsi="宋体" w:cs="宋体"/>
          <w:color w:val="auto"/>
          <w:kern w:val="0"/>
          <w:szCs w:val="21"/>
          <w:highlight w:val="none"/>
        </w:rPr>
        <w:t>在截止时间后送达的响应文件，</w:t>
      </w:r>
      <w:r>
        <w:rPr>
          <w:rFonts w:hint="eastAsia" w:hAnsi="宋体" w:cs="宋体"/>
          <w:color w:val="auto"/>
          <w:kern w:val="0"/>
          <w:highlight w:val="none"/>
        </w:rPr>
        <w:t>采购单位、采购代理机构应当拒收。</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17.2采购单位、</w:t>
      </w:r>
      <w:r>
        <w:rPr>
          <w:rFonts w:hint="eastAsia" w:hAnsi="宋体" w:cs="宋体"/>
          <w:color w:val="auto"/>
          <w:kern w:val="0"/>
          <w:highlight w:val="none"/>
        </w:rPr>
        <w:t>采购代理机构</w:t>
      </w:r>
      <w:r>
        <w:rPr>
          <w:rFonts w:hint="eastAsia" w:ascii="宋体" w:hAnsi="宋体" w:cs="宋体"/>
          <w:bCs/>
          <w:color w:val="auto"/>
          <w:szCs w:val="21"/>
          <w:highlight w:val="none"/>
        </w:rPr>
        <w:t>在</w:t>
      </w:r>
      <w:r>
        <w:rPr>
          <w:rFonts w:hint="eastAsia" w:ascii="宋体" w:hAnsi="宋体" w:cs="宋体"/>
          <w:b/>
          <w:bCs/>
          <w:color w:val="auto"/>
          <w:szCs w:val="21"/>
          <w:highlight w:val="none"/>
        </w:rPr>
        <w:t>前附表</w:t>
      </w:r>
      <w:r>
        <w:rPr>
          <w:rFonts w:hint="eastAsia" w:ascii="宋体" w:hAnsi="宋体" w:cs="宋体"/>
          <w:bCs/>
          <w:color w:val="auto"/>
          <w:szCs w:val="21"/>
          <w:highlight w:val="none"/>
        </w:rPr>
        <w:t>规定的谈判时间和地点，组织谈判单位签到并接收响应文件。</w:t>
      </w:r>
    </w:p>
    <w:p>
      <w:pPr>
        <w:spacing w:line="360" w:lineRule="auto"/>
        <w:outlineLvl w:val="1"/>
        <w:rPr>
          <w:rFonts w:ascii="宋体" w:hAnsi="宋体" w:cs="宋体"/>
          <w:b/>
          <w:bCs/>
          <w:color w:val="auto"/>
          <w:szCs w:val="21"/>
          <w:highlight w:val="none"/>
        </w:rPr>
      </w:pPr>
      <w:bookmarkStart w:id="45" w:name="_Toc9712"/>
      <w:bookmarkStart w:id="46" w:name="_Toc10658"/>
      <w:bookmarkStart w:id="47" w:name="_Toc14891072"/>
      <w:bookmarkStart w:id="48" w:name="_Toc7470"/>
      <w:r>
        <w:rPr>
          <w:rFonts w:hint="eastAsia" w:ascii="宋体" w:hAnsi="宋体" w:cs="宋体"/>
          <w:b/>
          <w:bCs/>
          <w:color w:val="auto"/>
          <w:szCs w:val="21"/>
          <w:highlight w:val="none"/>
        </w:rPr>
        <w:t>五、响应文件的评审</w:t>
      </w:r>
      <w:bookmarkEnd w:id="45"/>
      <w:bookmarkEnd w:id="46"/>
      <w:bookmarkEnd w:id="47"/>
      <w:bookmarkEnd w:id="48"/>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18.</w:t>
      </w:r>
      <w:r>
        <w:rPr>
          <w:rFonts w:hint="eastAsia" w:ascii="宋体" w:hAnsi="宋体" w:cs="宋体"/>
          <w:bCs/>
          <w:color w:val="auto"/>
          <w:szCs w:val="21"/>
          <w:highlight w:val="none"/>
        </w:rPr>
        <w:t>评审由谈判评审小组负责，谈判评审小组应按照本谈判文件</w:t>
      </w:r>
      <w:r>
        <w:rPr>
          <w:rFonts w:hint="eastAsia" w:ascii="宋体" w:hAnsi="宋体" w:cs="宋体"/>
          <w:b/>
          <w:color w:val="auto"/>
          <w:szCs w:val="21"/>
          <w:highlight w:val="none"/>
        </w:rPr>
        <w:t>第三章</w:t>
      </w:r>
      <w:r>
        <w:rPr>
          <w:rFonts w:hint="eastAsia" w:ascii="宋体" w:hAnsi="宋体" w:cs="宋体"/>
          <w:bCs/>
          <w:color w:val="auto"/>
          <w:szCs w:val="21"/>
          <w:highlight w:val="none"/>
        </w:rPr>
        <w:t>“评审办法及标准”的内容和程序对响应文件进行评审。</w:t>
      </w:r>
    </w:p>
    <w:p>
      <w:pPr>
        <w:spacing w:line="360" w:lineRule="auto"/>
        <w:outlineLvl w:val="1"/>
        <w:rPr>
          <w:rFonts w:ascii="宋体" w:hAnsi="宋体" w:cs="宋体"/>
          <w:b/>
          <w:bCs/>
          <w:color w:val="auto"/>
          <w:szCs w:val="21"/>
          <w:highlight w:val="none"/>
        </w:rPr>
      </w:pPr>
      <w:bookmarkStart w:id="49" w:name="_Toc17478"/>
      <w:bookmarkStart w:id="50" w:name="_Toc14891073"/>
      <w:bookmarkStart w:id="51" w:name="_Toc27657"/>
      <w:bookmarkStart w:id="52" w:name="_Toc18917"/>
      <w:r>
        <w:rPr>
          <w:rFonts w:hint="eastAsia" w:ascii="宋体" w:hAnsi="宋体" w:cs="宋体"/>
          <w:b/>
          <w:bCs/>
          <w:color w:val="auto"/>
          <w:szCs w:val="21"/>
          <w:highlight w:val="none"/>
        </w:rPr>
        <w:t>六、响应文件的澄清、说明及补正</w:t>
      </w:r>
      <w:bookmarkEnd w:id="49"/>
      <w:bookmarkEnd w:id="50"/>
      <w:bookmarkEnd w:id="51"/>
      <w:bookmarkEnd w:id="52"/>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19.澄清</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20.说明及补正</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kern w:val="0"/>
          <w:szCs w:val="21"/>
          <w:highlight w:val="none"/>
        </w:rPr>
        <w:t>20.3与谈判文件有重大偏离的响应文件将被拒绝。重大偏离指谈判总报价、谈判不含增值税总报价、谈判有效期、供货期明显不能满足谈判文件的要求。这些偏离不允许在响应文件递交截止时间之后修正。</w:t>
      </w:r>
    </w:p>
    <w:p>
      <w:pPr>
        <w:spacing w:line="360" w:lineRule="auto"/>
        <w:outlineLvl w:val="1"/>
        <w:rPr>
          <w:rFonts w:ascii="宋体" w:hAnsi="宋体" w:cs="宋体"/>
          <w:b/>
          <w:bCs/>
          <w:color w:val="auto"/>
          <w:szCs w:val="21"/>
          <w:highlight w:val="none"/>
        </w:rPr>
      </w:pPr>
      <w:bookmarkStart w:id="53" w:name="_Toc21993"/>
      <w:bookmarkStart w:id="54" w:name="_Toc14891074"/>
      <w:bookmarkStart w:id="55" w:name="_Toc28503"/>
      <w:bookmarkStart w:id="56" w:name="_Toc1266"/>
      <w:r>
        <w:rPr>
          <w:rFonts w:hint="eastAsia" w:ascii="宋体" w:hAnsi="宋体" w:cs="宋体"/>
          <w:b/>
          <w:bCs/>
          <w:color w:val="auto"/>
          <w:szCs w:val="21"/>
          <w:highlight w:val="none"/>
        </w:rPr>
        <w:t>七、中选结果与授予合同</w:t>
      </w:r>
      <w:bookmarkEnd w:id="53"/>
      <w:bookmarkEnd w:id="54"/>
      <w:bookmarkEnd w:id="55"/>
      <w:bookmarkEnd w:id="56"/>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21.中选信息的公布</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21.1中选单位确定后，采购单位应将结果信息在</w:t>
      </w:r>
      <w:r>
        <w:rPr>
          <w:rFonts w:hint="eastAsia" w:hAnsi="宋体" w:cs="宋体"/>
          <w:b/>
          <w:color w:val="auto"/>
          <w:highlight w:val="none"/>
        </w:rPr>
        <w:t>前附表</w:t>
      </w:r>
      <w:r>
        <w:rPr>
          <w:rFonts w:hint="eastAsia" w:hAnsi="宋体" w:cs="宋体"/>
          <w:color w:val="auto"/>
          <w:highlight w:val="none"/>
        </w:rPr>
        <w:t>指定的媒体上公布，</w:t>
      </w:r>
      <w:r>
        <w:rPr>
          <w:rFonts w:hint="eastAsia" w:hAnsi="宋体" w:cs="宋体"/>
          <w:b/>
          <w:bCs/>
          <w:color w:val="auto"/>
          <w:highlight w:val="none"/>
        </w:rPr>
        <w:t>公示期限为3个工作日</w:t>
      </w:r>
      <w:r>
        <w:rPr>
          <w:rFonts w:hint="eastAsia" w:hAnsi="宋体" w:cs="宋体"/>
          <w:color w:val="auto"/>
          <w:highlight w:val="none"/>
        </w:rPr>
        <w:t>。</w:t>
      </w:r>
    </w:p>
    <w:p>
      <w:pPr>
        <w:pStyle w:val="25"/>
        <w:adjustRightInd w:val="0"/>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22.评审结果异议</w:t>
      </w:r>
    </w:p>
    <w:p>
      <w:pPr>
        <w:pStyle w:val="25"/>
        <w:adjustRightInd w:val="0"/>
        <w:snapToGrid w:val="0"/>
        <w:spacing w:line="360" w:lineRule="auto"/>
        <w:ind w:firstLine="420" w:firstLineChars="200"/>
        <w:rPr>
          <w:rFonts w:hAnsi="宋体" w:cs="宋体"/>
          <w:b/>
          <w:color w:val="auto"/>
          <w:highlight w:val="none"/>
        </w:rPr>
      </w:pPr>
      <w:r>
        <w:rPr>
          <w:rFonts w:hint="eastAsia" w:hAnsi="宋体" w:cs="宋体"/>
          <w:color w:val="auto"/>
          <w:kern w:val="0"/>
          <w:highlight w:val="none"/>
        </w:rPr>
        <w:t>22.1谈判单位对评审结果有异议的，应当在结果公示期间提出。</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23.中选通知</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24.签订合同</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24.2中选单位应当在中选通知书发出后及时与采购单位签订合同。</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24.3中选单位应当按照合同约定履行义务。</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25.纪律和监督</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25.1对采购单位的纪律要求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25.2对谈判单位的纪律要求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25.3对</w:t>
      </w:r>
      <w:r>
        <w:rPr>
          <w:rFonts w:hint="eastAsia" w:ascii="宋体" w:hAnsi="宋体" w:cs="宋体"/>
          <w:b/>
          <w:color w:val="auto"/>
          <w:szCs w:val="21"/>
          <w:highlight w:val="none"/>
        </w:rPr>
        <w:t>谈判评审小组</w:t>
      </w:r>
      <w:r>
        <w:rPr>
          <w:rFonts w:hint="eastAsia" w:ascii="宋体" w:hAnsi="宋体" w:cs="宋体"/>
          <w:b/>
          <w:bCs/>
          <w:color w:val="auto"/>
          <w:szCs w:val="21"/>
          <w:highlight w:val="none"/>
        </w:rPr>
        <w:t>成员的纪律要求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57" w:name="page32"/>
      <w:bookmarkEnd w:id="57"/>
      <w:r>
        <w:rPr>
          <w:rFonts w:hint="eastAsia" w:hAnsi="宋体" w:cs="宋体"/>
          <w:color w:val="auto"/>
          <w:sz w:val="21"/>
          <w:szCs w:val="21"/>
          <w:highlight w:val="none"/>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25.4对与评审活动有关的工作人员的纪律要求</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spacing w:line="360" w:lineRule="auto"/>
        <w:outlineLvl w:val="1"/>
        <w:rPr>
          <w:rFonts w:ascii="宋体" w:hAnsi="宋体" w:cs="宋体"/>
          <w:b/>
          <w:bCs/>
          <w:color w:val="auto"/>
          <w:szCs w:val="21"/>
          <w:highlight w:val="none"/>
        </w:rPr>
      </w:pPr>
      <w:bookmarkStart w:id="58" w:name="_Toc14891075"/>
      <w:bookmarkStart w:id="59" w:name="_Toc29154"/>
      <w:bookmarkStart w:id="60" w:name="_Toc894"/>
      <w:bookmarkStart w:id="61" w:name="_Toc1552"/>
      <w:r>
        <w:rPr>
          <w:rFonts w:hint="eastAsia" w:ascii="宋体" w:hAnsi="宋体" w:cs="宋体"/>
          <w:b/>
          <w:bCs/>
          <w:color w:val="auto"/>
          <w:szCs w:val="21"/>
          <w:highlight w:val="none"/>
        </w:rPr>
        <w:t>八、其他</w:t>
      </w:r>
      <w:bookmarkEnd w:id="58"/>
      <w:bookmarkEnd w:id="59"/>
      <w:bookmarkEnd w:id="60"/>
      <w:bookmarkEnd w:id="61"/>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26.处罚规定</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w:t>
      </w:r>
      <w:r>
        <w:rPr>
          <w:rStyle w:val="56"/>
          <w:rFonts w:ascii="Times New Roman" w:hAnsi="Times New Roman" w:cs="Times New Roman"/>
          <w:color w:val="auto"/>
          <w:highlight w:val="none"/>
          <w:u w:val="none"/>
          <w:shd w:val="clear" w:color="auto" w:fill="FFFFFF"/>
        </w:rPr>
        <w:t>包括但不限于下列</w:t>
      </w:r>
      <w:r>
        <w:rPr>
          <w:rStyle w:val="56"/>
          <w:rFonts w:hint="eastAsia" w:ascii="Times New Roman" w:hAnsi="Times New Roman" w:cs="Times New Roman"/>
          <w:color w:val="auto"/>
          <w:highlight w:val="none"/>
          <w:u w:val="none"/>
          <w:shd w:val="clear" w:color="auto" w:fill="FFFFFF"/>
        </w:rPr>
        <w:t>情形：</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谈判单位提出撤回或撤销或放弃中选资格或对报价提出实质性修改；</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中选单位未能在规定期限内签订合同或不按报价结果签订合同；</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中选单位未能在规定期限内提交履约保证金；</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中选单位在合同订立过程中未能完全响应采购文件、清单、附件、合同要求以致合同无法订立的；</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经查实谈判单位报价资料弄虚作假的；</w:t>
      </w:r>
    </w:p>
    <w:p>
      <w:pPr>
        <w:pStyle w:val="25"/>
        <w:numPr>
          <w:ilvl w:val="0"/>
          <w:numId w:val="16"/>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串通参与谈判相关行为的。如不同谈判单位的谈判保证金从同一账户转出。</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26.2谈判单位不允许有挂靠或转包的行为，采购单位或评审小组在任何时候发现谈判单位是挂靠或转包的，该谈判单位按照不合格供应商处理，采购单位有权取消其中选资格或（和）没收谈判保证金，已签订合同的，终止合同，没收履约保证金，并追究该谈判单位的有关法律责任。</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26.3.法律法规中规定的其他情形。</w:t>
      </w:r>
    </w:p>
    <w:p>
      <w:pPr>
        <w:pStyle w:val="12"/>
        <w:rPr>
          <w:color w:val="auto"/>
          <w:highlight w:val="none"/>
        </w:rPr>
      </w:pPr>
    </w:p>
    <w:p>
      <w:pPr>
        <w:adjustRightInd w:val="0"/>
        <w:snapToGrid w:val="0"/>
        <w:spacing w:line="360" w:lineRule="auto"/>
        <w:ind w:left="964" w:hanging="964" w:hangingChars="300"/>
        <w:jc w:val="center"/>
        <w:rPr>
          <w:rFonts w:ascii="宋体" w:hAnsi="宋体"/>
          <w:b/>
          <w:color w:val="auto"/>
          <w:sz w:val="32"/>
          <w:szCs w:val="32"/>
          <w:highlight w:val="none"/>
        </w:rPr>
        <w:sectPr>
          <w:pgSz w:w="11905" w:h="16838"/>
          <w:pgMar w:top="2098" w:right="1474" w:bottom="1984" w:left="1587" w:header="851" w:footer="850" w:gutter="0"/>
          <w:cols w:space="0" w:num="1"/>
          <w:docGrid w:linePitch="312" w:charSpace="0"/>
        </w:sectPr>
      </w:pPr>
    </w:p>
    <w:p>
      <w:pPr>
        <w:adjustRightInd w:val="0"/>
        <w:snapToGrid w:val="0"/>
        <w:spacing w:line="360" w:lineRule="auto"/>
        <w:rPr>
          <w:rFonts w:ascii="宋体" w:hAnsi="宋体"/>
          <w:color w:val="auto"/>
          <w:highlight w:val="none"/>
        </w:rPr>
      </w:pPr>
      <w:r>
        <w:rPr>
          <w:rFonts w:hint="eastAsia" w:ascii="宋体" w:hAnsi="宋体" w:cs="宋体"/>
          <w:b/>
          <w:bCs/>
          <w:color w:val="auto"/>
          <w:szCs w:val="21"/>
          <w:highlight w:val="none"/>
        </w:rPr>
        <w:t>附件：</w:t>
      </w:r>
    </w:p>
    <w:p>
      <w:pPr>
        <w:pStyle w:val="19"/>
        <w:rPr>
          <w:color w:val="auto"/>
          <w:highlight w:val="none"/>
        </w:rPr>
      </w:pP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采购代理服务费收费参照汇率表</w:t>
      </w:r>
    </w:p>
    <w:p>
      <w:pPr>
        <w:pStyle w:val="12"/>
        <w:rPr>
          <w:color w:val="auto"/>
          <w:highlight w:val="none"/>
        </w:rPr>
      </w:pPr>
    </w:p>
    <w:tbl>
      <w:tblPr>
        <w:tblStyle w:val="48"/>
        <w:tblpPr w:leftFromText="180" w:rightFromText="180" w:vertAnchor="text" w:horzAnchor="page" w:tblpXSpec="center" w:tblpY="236"/>
        <w:tblOverlap w:val="never"/>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olor w:val="auto"/>
                <w:szCs w:val="21"/>
                <w:highlight w:val="none"/>
              </w:rPr>
            </w:pPr>
            <w:r>
              <w:rPr>
                <w:rFonts w:hint="eastAsia" w:ascii="宋体" w:hAnsi="宋体"/>
                <w:color w:val="auto"/>
                <w:szCs w:val="21"/>
                <w:highlight w:val="none"/>
              </w:rPr>
              <w:t>汇率</w:t>
            </w:r>
          </w:p>
          <w:p>
            <w:pPr>
              <w:adjustRightInd w:val="0"/>
              <w:snapToGrid w:val="0"/>
              <w:rPr>
                <w:rFonts w:ascii="宋体" w:hAnsi="宋体"/>
                <w:color w:val="auto"/>
                <w:szCs w:val="21"/>
                <w:highlight w:val="none"/>
              </w:rPr>
            </w:pPr>
            <w:r>
              <w:rPr>
                <w:rFonts w:hint="eastAsia" w:ascii="宋体" w:hAnsi="宋体"/>
                <w:color w:val="auto"/>
                <w:szCs w:val="21"/>
                <w:highlight w:val="none"/>
              </w:rPr>
              <w:t>中</w:t>
            </w:r>
            <w:r>
              <w:rPr>
                <w:rFonts w:ascii="宋体" w:hAnsi="宋体"/>
                <w:color w:val="auto"/>
                <w:szCs w:val="21"/>
                <w:highlight w:val="none"/>
              </w:rPr>
              <w:t>选金额</w:t>
            </w:r>
          </w:p>
        </w:tc>
        <w:tc>
          <w:tcPr>
            <w:tcW w:w="1957" w:type="dxa"/>
            <w:tcBorders>
              <w:top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货物</w:t>
            </w:r>
            <w:r>
              <w:rPr>
                <w:rFonts w:ascii="宋体" w:hAnsi="宋体"/>
                <w:color w:val="auto"/>
                <w:szCs w:val="21"/>
                <w:highlight w:val="none"/>
              </w:rPr>
              <w:t>采购</w:t>
            </w:r>
          </w:p>
        </w:tc>
        <w:tc>
          <w:tcPr>
            <w:tcW w:w="2325" w:type="dxa"/>
            <w:tcBorders>
              <w:top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服务</w:t>
            </w:r>
            <w:r>
              <w:rPr>
                <w:rFonts w:ascii="宋体" w:hAnsi="宋体"/>
                <w:color w:val="auto"/>
                <w:szCs w:val="21"/>
                <w:highlight w:val="none"/>
              </w:rPr>
              <w:t>采购</w:t>
            </w:r>
          </w:p>
        </w:tc>
        <w:tc>
          <w:tcPr>
            <w:tcW w:w="2854" w:type="dxa"/>
            <w:tcBorders>
              <w:top w:val="single" w:color="auto" w:sz="12" w:space="0"/>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工程</w:t>
            </w:r>
            <w:r>
              <w:rPr>
                <w:rFonts w:ascii="宋体" w:hAnsi="宋体"/>
                <w:color w:val="auto"/>
                <w:szCs w:val="21"/>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100万</w:t>
            </w:r>
            <w:r>
              <w:rPr>
                <w:rFonts w:ascii="宋体" w:hAnsi="宋体"/>
                <w:color w:val="auto"/>
                <w:szCs w:val="21"/>
                <w:highlight w:val="none"/>
              </w:rPr>
              <w:t>元以下</w:t>
            </w:r>
          </w:p>
        </w:tc>
        <w:tc>
          <w:tcPr>
            <w:tcW w:w="195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1.5%</w:t>
            </w:r>
          </w:p>
        </w:tc>
        <w:tc>
          <w:tcPr>
            <w:tcW w:w="2325"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1.5%</w:t>
            </w:r>
          </w:p>
        </w:tc>
        <w:tc>
          <w:tcPr>
            <w:tcW w:w="2854" w:type="dxa"/>
            <w:tcBorders>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100～400万</w:t>
            </w:r>
            <w:r>
              <w:rPr>
                <w:rFonts w:ascii="宋体" w:hAnsi="宋体"/>
                <w:color w:val="auto"/>
                <w:szCs w:val="21"/>
                <w:highlight w:val="none"/>
              </w:rPr>
              <w:t>元</w:t>
            </w:r>
          </w:p>
        </w:tc>
        <w:tc>
          <w:tcPr>
            <w:tcW w:w="195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1.1%</w:t>
            </w:r>
          </w:p>
        </w:tc>
        <w:tc>
          <w:tcPr>
            <w:tcW w:w="2325"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0.8%</w:t>
            </w:r>
          </w:p>
        </w:tc>
        <w:tc>
          <w:tcPr>
            <w:tcW w:w="2854" w:type="dxa"/>
            <w:tcBorders>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备注</w:t>
            </w:r>
          </w:p>
        </w:tc>
        <w:tc>
          <w:tcPr>
            <w:tcW w:w="7136"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采购代理</w:t>
            </w:r>
            <w:r>
              <w:rPr>
                <w:rFonts w:ascii="宋体" w:hAnsi="宋体"/>
                <w:color w:val="auto"/>
                <w:szCs w:val="21"/>
                <w:highlight w:val="none"/>
              </w:rPr>
              <w:t>服务费的收费标准为：以中选价为基数，按《</w:t>
            </w:r>
            <w:r>
              <w:rPr>
                <w:rFonts w:hint="eastAsia" w:ascii="宋体" w:hAnsi="宋体"/>
                <w:color w:val="auto"/>
                <w:szCs w:val="21"/>
                <w:highlight w:val="none"/>
              </w:rPr>
              <w:t>采购</w:t>
            </w:r>
            <w:r>
              <w:rPr>
                <w:rFonts w:ascii="宋体" w:hAnsi="宋体"/>
                <w:color w:val="auto"/>
                <w:szCs w:val="21"/>
                <w:highlight w:val="none"/>
              </w:rPr>
              <w:t>代理服务</w:t>
            </w:r>
            <w:r>
              <w:rPr>
                <w:rFonts w:hint="eastAsia" w:ascii="宋体" w:hAnsi="宋体"/>
                <w:color w:val="auto"/>
                <w:szCs w:val="21"/>
                <w:highlight w:val="none"/>
              </w:rPr>
              <w:t>费</w:t>
            </w:r>
            <w:r>
              <w:rPr>
                <w:rFonts w:ascii="宋体" w:hAnsi="宋体"/>
                <w:color w:val="auto"/>
                <w:szCs w:val="21"/>
                <w:highlight w:val="none"/>
              </w:rPr>
              <w:t>收费参照汇率表》</w:t>
            </w:r>
            <w:r>
              <w:rPr>
                <w:rFonts w:hint="eastAsia" w:ascii="宋体" w:hAnsi="宋体"/>
                <w:color w:val="auto"/>
                <w:szCs w:val="21"/>
                <w:highlight w:val="none"/>
              </w:rPr>
              <w:t>进行</w:t>
            </w:r>
            <w:r>
              <w:rPr>
                <w:rFonts w:ascii="宋体" w:hAnsi="宋体"/>
                <w:color w:val="auto"/>
                <w:szCs w:val="21"/>
                <w:highlight w:val="none"/>
              </w:rPr>
              <w:t>计算后，向中选单位收取。服务</w:t>
            </w:r>
            <w:r>
              <w:rPr>
                <w:rFonts w:hint="eastAsia" w:ascii="宋体" w:hAnsi="宋体"/>
                <w:color w:val="auto"/>
                <w:szCs w:val="21"/>
                <w:highlight w:val="none"/>
              </w:rPr>
              <w:t>费</w:t>
            </w:r>
            <w:r>
              <w:rPr>
                <w:rFonts w:ascii="宋体" w:hAnsi="宋体"/>
                <w:color w:val="auto"/>
                <w:szCs w:val="21"/>
                <w:highlight w:val="none"/>
              </w:rPr>
              <w:t>超过</w:t>
            </w:r>
            <w:r>
              <w:rPr>
                <w:rFonts w:hint="eastAsia" w:ascii="宋体" w:hAnsi="宋体"/>
                <w:color w:val="auto"/>
                <w:szCs w:val="21"/>
                <w:highlight w:val="none"/>
              </w:rPr>
              <w:t>2万</w:t>
            </w:r>
            <w:r>
              <w:rPr>
                <w:rFonts w:ascii="宋体" w:hAnsi="宋体"/>
                <w:color w:val="auto"/>
                <w:szCs w:val="21"/>
                <w:highlight w:val="none"/>
              </w:rPr>
              <w:t>元的，按</w:t>
            </w:r>
            <w:r>
              <w:rPr>
                <w:rFonts w:hint="eastAsia" w:ascii="宋体" w:hAnsi="宋体"/>
                <w:color w:val="auto"/>
                <w:szCs w:val="21"/>
                <w:highlight w:val="none"/>
              </w:rPr>
              <w:t>2万</w:t>
            </w:r>
            <w:r>
              <w:rPr>
                <w:rFonts w:ascii="宋体" w:hAnsi="宋体"/>
                <w:color w:val="auto"/>
                <w:szCs w:val="21"/>
                <w:highlight w:val="none"/>
              </w:rPr>
              <w:t>元</w:t>
            </w:r>
            <w:r>
              <w:rPr>
                <w:rFonts w:hint="eastAsia" w:ascii="宋体" w:hAnsi="宋体"/>
                <w:color w:val="auto"/>
                <w:szCs w:val="21"/>
                <w:highlight w:val="none"/>
              </w:rPr>
              <w:t>计</w:t>
            </w:r>
            <w:r>
              <w:rPr>
                <w:rFonts w:ascii="宋体" w:hAnsi="宋体"/>
                <w:color w:val="auto"/>
                <w:szCs w:val="21"/>
                <w:highlight w:val="none"/>
              </w:rPr>
              <w:t>取，服务费低于</w:t>
            </w:r>
            <w:r>
              <w:rPr>
                <w:rFonts w:hint="eastAsia" w:ascii="宋体" w:hAnsi="宋体"/>
                <w:color w:val="auto"/>
                <w:szCs w:val="21"/>
                <w:highlight w:val="none"/>
              </w:rPr>
              <w:t>5000元</w:t>
            </w:r>
            <w:r>
              <w:rPr>
                <w:rFonts w:ascii="宋体" w:hAnsi="宋体"/>
                <w:color w:val="auto"/>
                <w:szCs w:val="21"/>
                <w:highlight w:val="none"/>
              </w:rPr>
              <w:t>的，按</w:t>
            </w:r>
            <w:r>
              <w:rPr>
                <w:rFonts w:hint="eastAsia" w:ascii="宋体" w:hAnsi="宋体"/>
                <w:color w:val="auto"/>
                <w:szCs w:val="21"/>
                <w:highlight w:val="none"/>
              </w:rPr>
              <w:t>5000元</w:t>
            </w:r>
            <w:r>
              <w:rPr>
                <w:rFonts w:ascii="宋体" w:hAnsi="宋体"/>
                <w:color w:val="auto"/>
                <w:szCs w:val="21"/>
                <w:highlight w:val="none"/>
              </w:rPr>
              <w:t>计取。</w:t>
            </w:r>
          </w:p>
        </w:tc>
      </w:tr>
    </w:tbl>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100万元×1.0%＝1万元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（300-100）万元×0.7%＝1.4万元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合计收费＝1+1.4＝2.4（万元）</w:t>
      </w:r>
    </w:p>
    <w:p>
      <w:pPr>
        <w:adjustRightInd w:val="0"/>
        <w:snapToGrid w:val="0"/>
        <w:spacing w:line="360" w:lineRule="auto"/>
        <w:ind w:firstLine="420" w:firstLineChars="200"/>
        <w:jc w:val="left"/>
        <w:rPr>
          <w:rFonts w:ascii="宋体" w:hAnsi="宋体" w:cs="宋体"/>
          <w:b/>
          <w:color w:val="auto"/>
          <w:szCs w:val="21"/>
          <w:highlight w:val="none"/>
        </w:rPr>
        <w:sectPr>
          <w:footerReference r:id="rId6" w:type="default"/>
          <w:pgSz w:w="11905" w:h="16838"/>
          <w:pgMar w:top="2098" w:right="1474" w:bottom="1984" w:left="1587" w:header="851" w:footer="850" w:gutter="0"/>
          <w:cols w:space="0" w:num="1"/>
          <w:docGrid w:linePitch="312" w:charSpace="0"/>
        </w:sectPr>
      </w:pPr>
      <w:r>
        <w:rPr>
          <w:rFonts w:hint="eastAsia" w:ascii="宋体" w:hAnsi="宋体" w:cs="宋体"/>
          <w:color w:val="auto"/>
          <w:szCs w:val="21"/>
          <w:highlight w:val="none"/>
        </w:rPr>
        <w:t>本项目采购代理服务费为2万元</w:t>
      </w:r>
    </w:p>
    <w:p>
      <w:pPr>
        <w:spacing w:after="240"/>
        <w:jc w:val="center"/>
        <w:outlineLvl w:val="0"/>
        <w:rPr>
          <w:rFonts w:ascii="宋体" w:hAnsi="宋体" w:cs="宋体"/>
          <w:b/>
          <w:bCs/>
          <w:color w:val="auto"/>
          <w:sz w:val="32"/>
          <w:szCs w:val="32"/>
          <w:highlight w:val="none"/>
        </w:rPr>
      </w:pPr>
      <w:bookmarkStart w:id="62" w:name="_Toc4275"/>
      <w:bookmarkStart w:id="63" w:name="_Toc14021"/>
      <w:bookmarkStart w:id="64" w:name="_Toc2716"/>
      <w:bookmarkStart w:id="65" w:name="_Toc25542"/>
      <w:bookmarkStart w:id="66" w:name="_Toc5567"/>
      <w:bookmarkStart w:id="67" w:name="_Toc28427"/>
      <w:r>
        <w:rPr>
          <w:rFonts w:hint="eastAsia" w:ascii="宋体" w:hAnsi="宋体" w:cs="宋体"/>
          <w:b/>
          <w:bCs/>
          <w:color w:val="auto"/>
          <w:sz w:val="32"/>
          <w:szCs w:val="32"/>
          <w:highlight w:val="none"/>
        </w:rPr>
        <w:t>第三章  评审办法及标准</w:t>
      </w:r>
      <w:bookmarkEnd w:id="62"/>
      <w:bookmarkEnd w:id="63"/>
      <w:bookmarkEnd w:id="64"/>
      <w:bookmarkEnd w:id="65"/>
      <w:bookmarkEnd w:id="66"/>
      <w:bookmarkEnd w:id="67"/>
    </w:p>
    <w:p>
      <w:pPr>
        <w:adjustRightInd w:val="0"/>
        <w:snapToGrid w:val="0"/>
        <w:spacing w:line="360" w:lineRule="auto"/>
        <w:ind w:left="632" w:hanging="632" w:hangingChars="300"/>
        <w:rPr>
          <w:rFonts w:ascii="宋体" w:hAnsi="宋体" w:cs="宋体"/>
          <w:b/>
          <w:color w:val="auto"/>
          <w:szCs w:val="21"/>
          <w:highlight w:val="none"/>
        </w:rPr>
      </w:pP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一、评审办法</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1.1本项目采用：</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□经符合性审查合格后的</w:t>
      </w:r>
      <w:r>
        <w:rPr>
          <w:rFonts w:hint="eastAsia" w:ascii="宋体" w:hAnsi="宋体" w:cs="宋体"/>
          <w:b/>
          <w:bCs/>
          <w:color w:val="auto"/>
          <w:szCs w:val="21"/>
          <w:highlight w:val="none"/>
        </w:rPr>
        <w:t>最低价法</w:t>
      </w:r>
      <w:r>
        <w:rPr>
          <w:rFonts w:hint="eastAsia" w:ascii="宋体" w:hAnsi="宋体" w:cs="宋体"/>
          <w:color w:val="auto"/>
          <w:szCs w:val="21"/>
          <w:highlight w:val="none"/>
        </w:rPr>
        <w:t>。</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color w:val="auto"/>
          <w:szCs w:val="21"/>
          <w:highlight w:val="none"/>
          <w:shd w:val="clear" w:color="auto" w:fill="FFFFFF"/>
          <w:lang w:bidi="ar"/>
        </w:rPr>
        <w:sym w:font="Wingdings" w:char="00FE"/>
      </w:r>
      <w:r>
        <w:rPr>
          <w:rFonts w:hint="eastAsia" w:ascii="宋体" w:hAnsi="宋体" w:cs="宋体"/>
          <w:b/>
          <w:color w:val="auto"/>
          <w:szCs w:val="21"/>
          <w:highlight w:val="none"/>
        </w:rPr>
        <w:t>综合评审法</w:t>
      </w:r>
      <w:r>
        <w:rPr>
          <w:rFonts w:hint="eastAsia" w:ascii="宋体" w:hAnsi="宋体" w:cs="宋体"/>
          <w:bCs/>
          <w:color w:val="auto"/>
          <w:szCs w:val="21"/>
          <w:highlight w:val="none"/>
        </w:rPr>
        <w:t>，商务20分，技术40分，报价40分，总分100分。</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二、谈判程序</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1</w:t>
      </w:r>
      <w:r>
        <w:rPr>
          <w:rFonts w:hint="eastAsia" w:ascii="宋体" w:hAnsi="宋体" w:cs="宋体"/>
          <w:bCs/>
          <w:color w:val="auto"/>
          <w:szCs w:val="21"/>
          <w:highlight w:val="none"/>
        </w:rPr>
        <w:t>采购单位在</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内规定的谈判时间及地点组织谈判活动。谈判活动由采购单位、采购代理机构、谈判单位代表参与。</w:t>
      </w:r>
    </w:p>
    <w:p>
      <w:pPr>
        <w:widowControl/>
        <w:adjustRightInd w:val="0"/>
        <w:snapToGrid w:val="0"/>
        <w:spacing w:line="360" w:lineRule="auto"/>
        <w:ind w:firstLine="420" w:firstLineChars="200"/>
        <w:rPr>
          <w:rFonts w:ascii="宋体" w:hAnsi="宋体" w:cs="宋体"/>
          <w:b/>
          <w:color w:val="auto"/>
          <w:szCs w:val="21"/>
          <w:highlight w:val="none"/>
        </w:rPr>
      </w:pPr>
      <w:r>
        <w:rPr>
          <w:rFonts w:ascii="宋体" w:hAnsi="宋体" w:cs="宋体"/>
          <w:bCs/>
          <w:color w:val="auto"/>
          <w:szCs w:val="21"/>
          <w:highlight w:val="none"/>
        </w:rPr>
        <w:t>2.2</w:t>
      </w:r>
      <w:r>
        <w:rPr>
          <w:rFonts w:hint="eastAsia" w:ascii="宋体" w:hAnsi="宋体" w:cs="宋体"/>
          <w:bCs/>
          <w:color w:val="auto"/>
          <w:szCs w:val="21"/>
          <w:highlight w:val="none"/>
        </w:rPr>
        <w:t>谈判程序分为：</w:t>
      </w:r>
      <w:r>
        <w:rPr>
          <w:rFonts w:hint="eastAsia" w:ascii="宋体" w:hAnsi="宋体" w:cs="宋体"/>
          <w:b/>
          <w:color w:val="auto"/>
          <w:szCs w:val="21"/>
          <w:highlight w:val="none"/>
        </w:rPr>
        <w:t>谈判验证阶段及谈判评审阶段。</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三、谈判验证阶段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身份验证阶段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.1采购单位按本文件</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.2参与谈判的代表身份经验证不合格的，视为无效响应，</w:t>
      </w:r>
      <w:r>
        <w:rPr>
          <w:rFonts w:hint="eastAsia" w:ascii="宋体" w:hAnsi="宋体" w:cs="宋体"/>
          <w:color w:val="auto"/>
          <w:szCs w:val="21"/>
          <w:highlight w:val="none"/>
        </w:rPr>
        <w:t>不得进入下一阶段。</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唱价阶段</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.1身份验证结束后，由采购单位或采购代理机构（如有）当众拆封经身份验证合格的谈判单位的谈判响应文件，宣读响应文件中《报价一览表》内容，并记录在案。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谈判单位法定代表人或授权委托人、现场监督员、记录人等有关人员在唱价记录表上签字确认，谈判单位对本阶段有异议的应当场提出，采购单位或采购代理机构（如有）人员当场作出答复，并记录在案，未提出的，视为无异议。</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四、谈判评审阶段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.1符合性审查阶段</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符合性审查分为对谈判单位资格的符合性审查及报价的符合性审查。其中，资格的符合性审查分为资格审查和响应文件（商务、技术）审查两个环节。</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.1.1资格的符合性审查</w:t>
      </w:r>
    </w:p>
    <w:p>
      <w:pPr>
        <w:adjustRightInd w:val="0"/>
        <w:snapToGrid w:val="0"/>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（1）采购单位成立的</w:t>
      </w:r>
      <w:r>
        <w:rPr>
          <w:rFonts w:hint="eastAsia" w:ascii="宋体" w:hAnsi="宋体" w:cs="宋体"/>
          <w:color w:val="auto"/>
          <w:szCs w:val="21"/>
          <w:highlight w:val="none"/>
        </w:rPr>
        <w:t>资格评审</w:t>
      </w:r>
      <w:r>
        <w:rPr>
          <w:rFonts w:hint="eastAsia" w:ascii="宋体" w:hAnsi="宋体" w:cs="宋体"/>
          <w:bCs/>
          <w:color w:val="auto"/>
          <w:szCs w:val="21"/>
          <w:highlight w:val="none"/>
        </w:rPr>
        <w:t>小组</w:t>
      </w:r>
      <w:r>
        <w:rPr>
          <w:rFonts w:hint="eastAsia" w:ascii="宋体" w:hAnsi="宋体" w:cs="宋体"/>
          <w:color w:val="auto"/>
          <w:szCs w:val="21"/>
          <w:highlight w:val="none"/>
        </w:rPr>
        <w:t>根据本谈判文件</w:t>
      </w:r>
      <w:r>
        <w:rPr>
          <w:rFonts w:hint="eastAsia" w:ascii="宋体" w:hAnsi="宋体" w:cs="宋体"/>
          <w:b/>
          <w:color w:val="auto"/>
          <w:szCs w:val="21"/>
          <w:highlight w:val="none"/>
        </w:rPr>
        <w:t>前附表</w:t>
      </w:r>
      <w:r>
        <w:rPr>
          <w:rFonts w:hint="eastAsia" w:ascii="宋体" w:hAnsi="宋体" w:cs="宋体"/>
          <w:color w:val="auto"/>
          <w:szCs w:val="21"/>
          <w:highlight w:val="none"/>
        </w:rPr>
        <w:t>内规定的谈判单位资格要求，对谈判单位进行资格审查，审查未通过的，不得进入下一环节。资格审查以谈判单位递交的</w:t>
      </w:r>
      <w:r>
        <w:rPr>
          <w:rStyle w:val="56"/>
          <w:rFonts w:hint="eastAsia"/>
          <w:color w:val="auto"/>
          <w:highlight w:val="none"/>
          <w:u w:val="none"/>
          <w:shd w:val="clear" w:color="auto" w:fill="FFFFFF"/>
        </w:rPr>
        <w:t>原件扫描件</w:t>
      </w:r>
      <w:r>
        <w:rPr>
          <w:rFonts w:hint="eastAsia" w:ascii="宋体" w:hAnsi="宋体" w:cs="宋体"/>
          <w:color w:val="auto"/>
          <w:szCs w:val="21"/>
          <w:highlight w:val="none"/>
        </w:rPr>
        <w:t>打印版资料为准。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谈判评审</w:t>
      </w:r>
      <w:r>
        <w:rPr>
          <w:rFonts w:hint="eastAsia" w:ascii="宋体" w:hAnsi="宋体" w:cs="宋体"/>
          <w:bCs/>
          <w:color w:val="auto"/>
          <w:szCs w:val="21"/>
          <w:highlight w:val="none"/>
        </w:rPr>
        <w:t>小组</w:t>
      </w:r>
      <w:r>
        <w:rPr>
          <w:rFonts w:hint="eastAsia" w:ascii="宋体" w:hAnsi="宋体" w:cs="宋体"/>
          <w:color w:val="auto"/>
          <w:szCs w:val="21"/>
          <w:highlight w:val="none"/>
        </w:rPr>
        <w:t>根据本谈判文件整体要求，对谈判单位提交的响应文件（商务、技术部分）的有效性、完整性、响应程度等进行符合性审查。</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.1.2报价的符合性审查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谈判评审小组根据谈判文件的规定，对谈判单位提交的响应文件（报价部分）的有效性、完整性等进行符合性审查。</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.1.3有下列情形之一的，为符合性审查不合格，视为无效响应，不进入下一阶段：</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（1）未按照谈判文件规定要求签署盖章的。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（2）响应</w:t>
      </w:r>
      <w:r>
        <w:rPr>
          <w:rFonts w:hint="eastAsia" w:ascii="宋体" w:hAnsi="宋体" w:cs="宋体"/>
          <w:color w:val="auto"/>
          <w:kern w:val="0"/>
          <w:szCs w:val="21"/>
          <w:highlight w:val="none"/>
        </w:rPr>
        <w:t>文件有效期不满足谈判文件规定的。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（3）不满足资格条件要求的。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（4）不满足用户需求书要求的。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kern w:val="0"/>
          <w:szCs w:val="21"/>
          <w:highlight w:val="none"/>
        </w:rPr>
        <w:t>谈判总报价超过</w:t>
      </w:r>
      <w:r>
        <w:rPr>
          <w:rFonts w:hint="eastAsia" w:ascii="宋体" w:hAnsi="宋体"/>
          <w:color w:val="auto"/>
          <w:szCs w:val="21"/>
          <w:highlight w:val="none"/>
        </w:rPr>
        <w:t>谈判项目预算的</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4.1.4</w:t>
      </w:r>
      <w:r>
        <w:rPr>
          <w:rFonts w:ascii="宋体" w:hAnsi="宋体" w:cs="宋体"/>
          <w:color w:val="auto"/>
          <w:szCs w:val="21"/>
          <w:highlight w:val="none"/>
        </w:rPr>
        <w:t>算术错误修正</w:t>
      </w:r>
    </w:p>
    <w:p>
      <w:pPr>
        <w:spacing w:line="360" w:lineRule="auto"/>
        <w:ind w:firstLine="420" w:firstLineChars="200"/>
        <w:rPr>
          <w:color w:val="auto"/>
          <w:szCs w:val="21"/>
          <w:highlight w:val="none"/>
        </w:rPr>
      </w:pPr>
      <w:r>
        <w:rPr>
          <w:rFonts w:hint="eastAsia"/>
          <w:color w:val="auto"/>
          <w:szCs w:val="21"/>
          <w:highlight w:val="none"/>
        </w:rPr>
        <w:t>谈判</w:t>
      </w:r>
      <w:r>
        <w:rPr>
          <w:color w:val="auto"/>
          <w:szCs w:val="21"/>
          <w:highlight w:val="none"/>
        </w:rPr>
        <w:t>评审小组检查</w:t>
      </w:r>
      <w:r>
        <w:rPr>
          <w:rFonts w:hint="eastAsia"/>
          <w:color w:val="auto"/>
          <w:szCs w:val="21"/>
          <w:highlight w:val="none"/>
        </w:rPr>
        <w:t>谈判单位的</w:t>
      </w:r>
      <w:r>
        <w:rPr>
          <w:color w:val="auto"/>
          <w:szCs w:val="21"/>
          <w:highlight w:val="none"/>
        </w:rPr>
        <w:t>报价是否有算术错误，算术性错误分析和修正按以下原则进行，修正的价格经</w:t>
      </w:r>
      <w:r>
        <w:rPr>
          <w:rFonts w:hint="eastAsia"/>
          <w:color w:val="auto"/>
          <w:szCs w:val="21"/>
          <w:highlight w:val="none"/>
        </w:rPr>
        <w:t>谈判单位进行</w:t>
      </w:r>
      <w:r>
        <w:rPr>
          <w:color w:val="auto"/>
          <w:szCs w:val="21"/>
          <w:highlight w:val="none"/>
        </w:rPr>
        <w:t>确认后具有约束力。</w:t>
      </w:r>
      <w:r>
        <w:rPr>
          <w:rFonts w:hint="eastAsia"/>
          <w:color w:val="auto"/>
          <w:szCs w:val="21"/>
          <w:highlight w:val="none"/>
        </w:rPr>
        <w:t>谈判单位</w:t>
      </w:r>
      <w:r>
        <w:rPr>
          <w:color w:val="auto"/>
          <w:szCs w:val="21"/>
          <w:highlight w:val="none"/>
        </w:rPr>
        <w:t>不接受修正价格的，应当</w:t>
      </w:r>
      <w:r>
        <w:rPr>
          <w:rFonts w:hint="eastAsia"/>
          <w:color w:val="auto"/>
          <w:szCs w:val="21"/>
          <w:highlight w:val="none"/>
        </w:rPr>
        <w:t>予以</w:t>
      </w:r>
      <w:r>
        <w:rPr>
          <w:color w:val="auto"/>
          <w:szCs w:val="21"/>
          <w:highlight w:val="none"/>
        </w:rPr>
        <w:t>否决。</w:t>
      </w:r>
    </w:p>
    <w:p>
      <w:pPr>
        <w:pStyle w:val="357"/>
        <w:ind w:firstLine="420" w:firstLineChars="200"/>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1</w:t>
      </w:r>
      <w:r>
        <w:rPr>
          <w:rFonts w:hAnsi="宋体"/>
          <w:color w:val="auto"/>
          <w:sz w:val="21"/>
          <w:szCs w:val="21"/>
          <w:highlight w:val="none"/>
        </w:rPr>
        <w:t>）</w:t>
      </w:r>
      <w:r>
        <w:rPr>
          <w:rFonts w:hint="eastAsia" w:hAnsi="宋体"/>
          <w:color w:val="auto"/>
          <w:sz w:val="21"/>
          <w:szCs w:val="21"/>
          <w:highlight w:val="none"/>
        </w:rPr>
        <w:t>响应文件</w:t>
      </w:r>
      <w:r>
        <w:rPr>
          <w:rFonts w:hAnsi="宋体"/>
          <w:color w:val="auto"/>
          <w:sz w:val="21"/>
          <w:szCs w:val="21"/>
          <w:highlight w:val="none"/>
        </w:rPr>
        <w:t>中的大写金额与小写金额不一致的，以大写金额为准</w:t>
      </w:r>
      <w:r>
        <w:rPr>
          <w:rFonts w:hint="eastAsia" w:hAnsi="宋体"/>
          <w:color w:val="auto"/>
          <w:sz w:val="21"/>
          <w:szCs w:val="21"/>
          <w:highlight w:val="none"/>
        </w:rPr>
        <w:t>。</w:t>
      </w:r>
    </w:p>
    <w:p>
      <w:pPr>
        <w:pStyle w:val="357"/>
        <w:ind w:firstLine="420" w:firstLineChars="200"/>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2</w:t>
      </w:r>
      <w:r>
        <w:rPr>
          <w:rFonts w:hAnsi="宋体"/>
          <w:color w:val="auto"/>
          <w:sz w:val="21"/>
          <w:szCs w:val="21"/>
          <w:highlight w:val="none"/>
        </w:rPr>
        <w:t>）</w:t>
      </w:r>
      <w:r>
        <w:rPr>
          <w:rFonts w:hint="eastAsia" w:hAnsi="宋体"/>
          <w:color w:val="auto"/>
          <w:sz w:val="21"/>
          <w:szCs w:val="21"/>
          <w:highlight w:val="none"/>
        </w:rPr>
        <w:t>总价金额与依据单价计算出的结果不一致的，以单价金额为准修正总价，但单价金额小数点有明显错误的除外。</w:t>
      </w:r>
    </w:p>
    <w:p>
      <w:pPr>
        <w:pStyle w:val="357"/>
        <w:ind w:firstLine="420" w:firstLineChars="200"/>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3</w:t>
      </w:r>
      <w:r>
        <w:rPr>
          <w:rFonts w:hAnsi="宋体"/>
          <w:color w:val="auto"/>
          <w:sz w:val="21"/>
          <w:szCs w:val="21"/>
          <w:highlight w:val="none"/>
        </w:rPr>
        <w:t>）</w:t>
      </w:r>
      <w:r>
        <w:rPr>
          <w:rFonts w:hint="eastAsia" w:hAnsi="宋体"/>
          <w:color w:val="auto"/>
          <w:sz w:val="21"/>
          <w:szCs w:val="21"/>
          <w:highlight w:val="none"/>
        </w:rPr>
        <w:t>总</w:t>
      </w:r>
      <w:r>
        <w:rPr>
          <w:rFonts w:hAnsi="宋体"/>
          <w:color w:val="auto"/>
          <w:sz w:val="21"/>
          <w:szCs w:val="21"/>
          <w:highlight w:val="none"/>
        </w:rPr>
        <w:t>报价为各分项报价金额之和，</w:t>
      </w:r>
      <w:r>
        <w:rPr>
          <w:rFonts w:hint="eastAsia" w:hAnsi="宋体"/>
          <w:color w:val="auto"/>
          <w:sz w:val="21"/>
          <w:szCs w:val="21"/>
          <w:highlight w:val="none"/>
        </w:rPr>
        <w:t>总</w:t>
      </w:r>
      <w:r>
        <w:rPr>
          <w:rFonts w:hAnsi="宋体"/>
          <w:color w:val="auto"/>
          <w:sz w:val="21"/>
          <w:szCs w:val="21"/>
          <w:highlight w:val="none"/>
        </w:rPr>
        <w:t>报价与分项报价的合价不一致的，应以各分项合价累计数为准，修正</w:t>
      </w:r>
      <w:r>
        <w:rPr>
          <w:rFonts w:hint="eastAsia" w:hAnsi="宋体"/>
          <w:color w:val="auto"/>
          <w:sz w:val="21"/>
          <w:szCs w:val="21"/>
          <w:highlight w:val="none"/>
        </w:rPr>
        <w:t>总</w:t>
      </w:r>
      <w:r>
        <w:rPr>
          <w:rFonts w:hAnsi="宋体"/>
          <w:color w:val="auto"/>
          <w:sz w:val="21"/>
          <w:szCs w:val="21"/>
          <w:highlight w:val="none"/>
        </w:rPr>
        <w:t>报价</w:t>
      </w:r>
      <w:r>
        <w:rPr>
          <w:rFonts w:hint="eastAsia" w:hAnsi="宋体"/>
          <w:color w:val="auto"/>
          <w:sz w:val="21"/>
          <w:szCs w:val="21"/>
          <w:highlight w:val="none"/>
        </w:rPr>
        <w:t>。</w:t>
      </w:r>
    </w:p>
    <w:p>
      <w:pPr>
        <w:pStyle w:val="357"/>
        <w:ind w:firstLine="420" w:firstLineChars="200"/>
        <w:rPr>
          <w:rFonts w:hAnsi="宋体"/>
          <w:color w:val="auto"/>
          <w:sz w:val="21"/>
          <w:szCs w:val="21"/>
          <w:highlight w:val="none"/>
        </w:rPr>
      </w:pPr>
      <w:r>
        <w:rPr>
          <w:rFonts w:hint="eastAsia" w:hAnsi="宋体"/>
          <w:color w:val="auto"/>
          <w:sz w:val="21"/>
          <w:szCs w:val="21"/>
          <w:highlight w:val="none"/>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4.2.</w:t>
      </w:r>
      <w:r>
        <w:rPr>
          <w:rFonts w:hint="eastAsia" w:ascii="宋体" w:hAnsi="宋体" w:cs="宋体"/>
          <w:b/>
          <w:bCs/>
          <w:color w:val="auto"/>
          <w:szCs w:val="21"/>
          <w:highlight w:val="none"/>
        </w:rPr>
        <w:t>详细评审阶段</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kern w:val="0"/>
          <w:szCs w:val="21"/>
          <w:highlight w:val="none"/>
        </w:rPr>
        <w:t>谈判评审小组应按以下</w:t>
      </w:r>
      <w:r>
        <w:rPr>
          <w:rFonts w:hint="eastAsia" w:ascii="宋体" w:hAnsi="宋体" w:cs="宋体"/>
          <w:color w:val="auto"/>
          <w:szCs w:val="21"/>
          <w:highlight w:val="none"/>
          <w:shd w:val="clear" w:color="auto" w:fill="FFFFFF"/>
        </w:rPr>
        <w:t>规定的评审因素和标准</w:t>
      </w:r>
      <w:r>
        <w:rPr>
          <w:rFonts w:hint="eastAsia" w:ascii="宋体" w:hAnsi="宋体" w:cs="宋体"/>
          <w:color w:val="auto"/>
          <w:kern w:val="0"/>
          <w:szCs w:val="21"/>
          <w:highlight w:val="none"/>
        </w:rPr>
        <w:t>对经符合性审查合格的谈判单位进行详细评审及</w:t>
      </w:r>
      <w:r>
        <w:rPr>
          <w:rFonts w:hint="eastAsia" w:ascii="宋体" w:hAnsi="宋体" w:cs="宋体"/>
          <w:color w:val="auto"/>
          <w:szCs w:val="21"/>
          <w:highlight w:val="none"/>
          <w:shd w:val="clear" w:color="auto" w:fill="FFFFFF"/>
        </w:rPr>
        <w:t>计分，并计算出评审总得分。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ascii="宋体" w:hAnsi="宋体" w:cs="宋体"/>
          <w:color w:val="auto"/>
          <w:szCs w:val="21"/>
          <w:highlight w:val="none"/>
          <w:shd w:val="clear" w:color="auto" w:fill="FFFFFF"/>
        </w:rPr>
        <w:t>2</w:t>
      </w:r>
      <w:r>
        <w:rPr>
          <w:rFonts w:hint="eastAsia" w:ascii="宋体" w:hAnsi="宋体" w:cs="宋体"/>
          <w:color w:val="auto"/>
          <w:szCs w:val="21"/>
          <w:highlight w:val="none"/>
          <w:shd w:val="clear" w:color="auto" w:fill="FFFFFF"/>
        </w:rPr>
        <w:t>.1详细评审的程序</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（1）</w:t>
      </w:r>
      <w:r>
        <w:rPr>
          <w:rFonts w:hint="eastAsia" w:ascii="宋体" w:hAnsi="宋体" w:cs="宋体"/>
          <w:bCs/>
          <w:color w:val="auto"/>
          <w:szCs w:val="21"/>
          <w:highlight w:val="none"/>
          <w:shd w:val="clear" w:color="auto" w:fill="FFFFFF"/>
        </w:rPr>
        <w:t>商务</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附表1</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（2）</w:t>
      </w:r>
      <w:r>
        <w:rPr>
          <w:rFonts w:hint="eastAsia" w:ascii="宋体" w:hAnsi="宋体" w:cs="宋体"/>
          <w:bCs/>
          <w:color w:val="auto"/>
          <w:szCs w:val="21"/>
          <w:highlight w:val="none"/>
          <w:shd w:val="clear" w:color="auto" w:fill="FFFFFF"/>
        </w:rPr>
        <w:t>技术</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附表2</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（3）</w:t>
      </w:r>
      <w:r>
        <w:rPr>
          <w:rFonts w:hint="eastAsia" w:ascii="宋体" w:hAnsi="宋体" w:cs="宋体"/>
          <w:color w:val="auto"/>
          <w:szCs w:val="21"/>
          <w:highlight w:val="none"/>
          <w:shd w:val="clear" w:color="auto" w:fill="FFFFFF"/>
        </w:rPr>
        <w:t>谈判报价评审（见附表3）；</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（4）</w:t>
      </w:r>
      <w:r>
        <w:rPr>
          <w:rFonts w:hint="eastAsia" w:ascii="宋体" w:hAnsi="宋体" w:cs="宋体"/>
          <w:color w:val="auto"/>
          <w:szCs w:val="21"/>
          <w:highlight w:val="none"/>
          <w:shd w:val="clear" w:color="auto" w:fill="FFFFFF"/>
        </w:rPr>
        <w:t>计算各谈判单位的综合得分；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（5）</w:t>
      </w:r>
      <w:r>
        <w:rPr>
          <w:rFonts w:hint="eastAsia" w:ascii="宋体" w:hAnsi="宋体" w:cs="宋体"/>
          <w:color w:val="auto"/>
          <w:szCs w:val="21"/>
          <w:highlight w:val="none"/>
          <w:shd w:val="clear" w:color="auto" w:fill="FFFFFF"/>
        </w:rPr>
        <w:t>按综合得分从高至低确定谈判单位的排序。</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4.2.</w:t>
      </w:r>
      <w:r>
        <w:rPr>
          <w:rFonts w:ascii="宋体" w:hAnsi="宋体" w:cs="宋体"/>
          <w:color w:val="auto"/>
          <w:szCs w:val="21"/>
          <w:highlight w:val="none"/>
          <w:shd w:val="clear" w:color="auto" w:fill="FFFFFF"/>
        </w:rPr>
        <w:t>2</w:t>
      </w:r>
      <w:r>
        <w:rPr>
          <w:rFonts w:hint="eastAsia" w:ascii="宋体" w:hAnsi="宋体" w:cs="宋体"/>
          <w:color w:val="auto"/>
          <w:szCs w:val="21"/>
          <w:highlight w:val="none"/>
          <w:shd w:val="clear" w:color="auto" w:fill="FFFFFF"/>
        </w:rPr>
        <w:t>评审项目的分值没有区间的由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集体评议评分；评审项目的分值有区间的由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集体评议后，</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成员独自评分。有下列情况之一者，该评标因素的评审计分为无效分：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（2）同一项目有两个或两个以上评审计分的；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（3）评审过程中</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成员存在讨论、修改、参照调整已评审分数的情形的；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（4）如有采购单位评委，采购单位评委在评审过程中发表倾向性意见，或存在干扰其他谈判小组成员独立评审权的行为。</w:t>
      </w:r>
    </w:p>
    <w:p>
      <w:pPr>
        <w:pStyle w:val="12"/>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ascii="宋体" w:hAnsi="宋体" w:cs="宋体"/>
          <w:color w:val="auto"/>
          <w:szCs w:val="21"/>
          <w:highlight w:val="none"/>
          <w:shd w:val="clear" w:color="auto" w:fill="FFFFFF"/>
        </w:rPr>
        <w:t>2</w:t>
      </w:r>
      <w:r>
        <w:rPr>
          <w:rFonts w:hint="eastAsia" w:ascii="宋体" w:hAnsi="宋体" w:cs="宋体"/>
          <w:color w:val="auto"/>
          <w:szCs w:val="21"/>
          <w:highlight w:val="none"/>
          <w:shd w:val="clear" w:color="auto" w:fill="FFFFFF"/>
        </w:rPr>
        <w:t>.</w:t>
      </w:r>
      <w:r>
        <w:rPr>
          <w:rFonts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rPr>
        <w:t>评审因素各部分的分值为：</w:t>
      </w:r>
    </w:p>
    <w:tbl>
      <w:tblPr>
        <w:tblStyle w:val="47"/>
        <w:tblpPr w:leftFromText="180" w:rightFromText="180" w:vertAnchor="text" w:horzAnchor="page" w:tblpXSpec="center" w:tblpY="11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4819"/>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42"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序号</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项目</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1</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商务</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2</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技术</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3</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报价</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191" w:type="dxa"/>
            <w:gridSpan w:val="2"/>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合计</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100</w:t>
            </w:r>
          </w:p>
        </w:tc>
      </w:tr>
    </w:tbl>
    <w:p>
      <w:pPr>
        <w:rPr>
          <w:color w:val="auto"/>
          <w:highlight w:val="none"/>
        </w:rPr>
      </w:pP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ascii="宋体" w:hAnsi="宋体" w:cs="宋体"/>
          <w:color w:val="auto"/>
          <w:szCs w:val="21"/>
          <w:highlight w:val="none"/>
          <w:shd w:val="clear" w:color="auto" w:fill="FFFFFF"/>
        </w:rPr>
        <w:t>2</w:t>
      </w:r>
      <w:r>
        <w:rPr>
          <w:rFonts w:hint="eastAsia" w:ascii="宋体" w:hAnsi="宋体" w:cs="宋体"/>
          <w:color w:val="auto"/>
          <w:szCs w:val="21"/>
          <w:highlight w:val="none"/>
          <w:shd w:val="clear" w:color="auto" w:fill="FFFFFF"/>
        </w:rPr>
        <w:t>.</w:t>
      </w:r>
      <w:r>
        <w:rPr>
          <w:rFonts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rPr>
        <w:t>谈判单位各单项得分之和即为谈判单位评审得分。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ascii="宋体" w:hAnsi="宋体" w:cs="宋体"/>
          <w:color w:val="auto"/>
          <w:szCs w:val="21"/>
          <w:highlight w:val="none"/>
          <w:shd w:val="clear" w:color="auto" w:fill="FFFFFF"/>
        </w:rPr>
        <w:t>2</w:t>
      </w:r>
      <w:r>
        <w:rPr>
          <w:rFonts w:hint="eastAsia" w:ascii="宋体" w:hAnsi="宋体" w:cs="宋体"/>
          <w:color w:val="auto"/>
          <w:szCs w:val="21"/>
          <w:highlight w:val="none"/>
          <w:shd w:val="clear" w:color="auto" w:fill="FFFFFF"/>
        </w:rPr>
        <w:t>.</w:t>
      </w:r>
      <w:r>
        <w:rPr>
          <w:rFonts w:ascii="宋体" w:hAnsi="宋体" w:cs="宋体"/>
          <w:color w:val="auto"/>
          <w:szCs w:val="21"/>
          <w:highlight w:val="none"/>
          <w:shd w:val="clear" w:color="auto" w:fill="FFFFFF"/>
        </w:rPr>
        <w:t>5</w:t>
      </w:r>
      <w:r>
        <w:rPr>
          <w:rFonts w:hint="eastAsia" w:ascii="宋体" w:hAnsi="宋体" w:cs="宋体"/>
          <w:color w:val="auto"/>
          <w:szCs w:val="21"/>
          <w:highlight w:val="none"/>
          <w:shd w:val="clear" w:color="auto" w:fill="FFFFFF"/>
        </w:rPr>
        <w:t>谈判评审小组应当根据详细评审的结果对谈判单位进行排序，若出现谈判单位评审综合得分相同的情况，则依次按照其</w:t>
      </w:r>
      <w:r>
        <w:rPr>
          <w:rFonts w:hint="eastAsia"/>
          <w:color w:val="auto"/>
          <w:szCs w:val="21"/>
          <w:highlight w:val="none"/>
        </w:rPr>
        <w:t>不含</w:t>
      </w:r>
      <w:r>
        <w:rPr>
          <w:rFonts w:hint="eastAsia" w:ascii="宋体" w:hAnsi="宋体" w:cs="宋体"/>
          <w:color w:val="auto"/>
          <w:szCs w:val="21"/>
          <w:highlight w:val="none"/>
          <w:shd w:val="clear" w:color="auto" w:fill="FFFFFF"/>
        </w:rPr>
        <w:t>增值税总报价由低至高排序、技术部分得分由高至低排序、评委票决的顺序确定成交候选人排序。</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5.推荐中选单位</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5.1谈判评审小组按照综合得分由高到低的顺序推荐不超过3名中选候选人，并对排名第一的中选候选人进行公示。经公示无异议后，确定排名第一的中选候选人为中选人。</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shd w:val="clear" w:color="auto" w:fill="FFFFFF"/>
        </w:rPr>
        <w:t>5.2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rPr>
          <w:rFonts w:ascii="黑体" w:hAnsi="黑体" w:eastAsia="黑体" w:cs="黑体"/>
          <w:color w:val="auto"/>
          <w:sz w:val="28"/>
          <w:szCs w:val="28"/>
          <w:highlight w:val="none"/>
        </w:rPr>
      </w:pPr>
      <w:r>
        <w:rPr>
          <w:rFonts w:hint="eastAsia" w:ascii="宋体" w:hAnsi="宋体" w:cs="宋体"/>
          <w:color w:val="auto"/>
          <w:kern w:val="0"/>
          <w:szCs w:val="21"/>
          <w:highlight w:val="none"/>
        </w:rPr>
        <w:br w:type="page"/>
      </w:r>
      <w:r>
        <w:rPr>
          <w:rFonts w:hint="eastAsia" w:ascii="黑体" w:hAnsi="黑体" w:eastAsia="黑体" w:cs="黑体"/>
          <w:color w:val="auto"/>
          <w:sz w:val="28"/>
          <w:szCs w:val="28"/>
          <w:highlight w:val="none"/>
        </w:rPr>
        <w:t>附表1</w:t>
      </w:r>
    </w:p>
    <w:p>
      <w:pPr>
        <w:jc w:val="center"/>
        <w:rPr>
          <w:rFonts w:ascii="宋体" w:hAnsi="宋体" w:cs="宋体"/>
          <w:b/>
          <w:color w:val="auto"/>
          <w:szCs w:val="21"/>
          <w:highlight w:val="none"/>
        </w:rPr>
      </w:pPr>
      <w:r>
        <w:rPr>
          <w:rFonts w:hint="eastAsia" w:ascii="宋体" w:hAnsi="宋体" w:cs="宋体"/>
          <w:b/>
          <w:color w:val="auto"/>
          <w:sz w:val="32"/>
          <w:szCs w:val="32"/>
          <w:highlight w:val="none"/>
        </w:rPr>
        <w:t>商务评分标准（20分）</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729"/>
        <w:gridCol w:w="943"/>
        <w:gridCol w:w="5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765"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29"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评审项</w:t>
            </w:r>
          </w:p>
        </w:tc>
        <w:tc>
          <w:tcPr>
            <w:tcW w:w="943"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分值</w:t>
            </w:r>
          </w:p>
        </w:tc>
        <w:tc>
          <w:tcPr>
            <w:tcW w:w="5737" w:type="dxa"/>
            <w:vAlign w:val="center"/>
          </w:tcPr>
          <w:p>
            <w:pPr>
              <w:widowControl/>
              <w:jc w:val="center"/>
              <w:rPr>
                <w:rFonts w:ascii="宋体" w:hAnsi="宋体" w:cs="宋体"/>
                <w:color w:val="auto"/>
                <w:kern w:val="0"/>
                <w:szCs w:val="21"/>
                <w:highlight w:val="none"/>
              </w:rPr>
            </w:pPr>
            <w:r>
              <w:rPr>
                <w:rFonts w:hint="eastAsia" w:ascii="宋体" w:hAnsi="宋体" w:cs="宋体"/>
                <w:b/>
                <w:bCs/>
                <w:color w:val="auto"/>
                <w:szCs w:val="21"/>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0" w:hRule="atLeast"/>
          <w:jc w:val="center"/>
        </w:trPr>
        <w:tc>
          <w:tcPr>
            <w:tcW w:w="765"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729"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响应文件的编制</w:t>
            </w:r>
          </w:p>
        </w:tc>
        <w:tc>
          <w:tcPr>
            <w:tcW w:w="943" w:type="dxa"/>
            <w:vMerge w:val="restart"/>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5737"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完全满足谈判文件并响应的得</w:t>
            </w:r>
            <w:r>
              <w:rPr>
                <w:rFonts w:ascii="宋体" w:hAnsi="宋体" w:cs="宋体"/>
                <w:color w:val="auto"/>
                <w:kern w:val="0"/>
                <w:szCs w:val="21"/>
                <w:highlight w:val="none"/>
              </w:rPr>
              <w:t>4</w:t>
            </w:r>
            <w:r>
              <w:rPr>
                <w:rFonts w:hint="eastAsia" w:ascii="宋体" w:hAnsi="宋体" w:cs="宋体"/>
                <w:color w:val="auto"/>
                <w:kern w:val="0"/>
                <w:szCs w:val="21"/>
                <w:highlight w:val="none"/>
              </w:rPr>
              <w:t>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存在细微偏差的，每处扣</w:t>
            </w:r>
            <w:r>
              <w:rPr>
                <w:rFonts w:ascii="宋体" w:hAnsi="宋体" w:cs="宋体"/>
                <w:color w:val="auto"/>
                <w:kern w:val="0"/>
                <w:szCs w:val="21"/>
                <w:highlight w:val="none"/>
              </w:rPr>
              <w:t>0.5</w:t>
            </w:r>
            <w:r>
              <w:rPr>
                <w:rFonts w:hint="eastAsia" w:ascii="宋体" w:hAnsi="宋体" w:cs="宋体"/>
                <w:color w:val="auto"/>
                <w:kern w:val="0"/>
                <w:szCs w:val="21"/>
                <w:highlight w:val="none"/>
              </w:rPr>
              <w:t>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jc w:val="center"/>
        </w:trPr>
        <w:tc>
          <w:tcPr>
            <w:tcW w:w="765"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729"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谈判单位业绩</w:t>
            </w:r>
          </w:p>
        </w:tc>
        <w:tc>
          <w:tcPr>
            <w:tcW w:w="943" w:type="dxa"/>
            <w:vMerge w:val="restart"/>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8</w:t>
            </w:r>
          </w:p>
        </w:tc>
        <w:tc>
          <w:tcPr>
            <w:tcW w:w="5737"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谈判单位具有1个加分业绩的得</w:t>
            </w:r>
            <w:r>
              <w:rPr>
                <w:rFonts w:ascii="宋体" w:hAnsi="宋体" w:cs="宋体"/>
                <w:color w:val="auto"/>
                <w:kern w:val="0"/>
                <w:szCs w:val="21"/>
                <w:highlight w:val="none"/>
              </w:rPr>
              <w:t>4</w:t>
            </w:r>
            <w:r>
              <w:rPr>
                <w:rFonts w:hint="eastAsia" w:ascii="宋体" w:hAnsi="宋体" w:cs="宋体"/>
                <w:color w:val="auto"/>
                <w:kern w:val="0"/>
                <w:szCs w:val="21"/>
                <w:highlight w:val="none"/>
              </w:rPr>
              <w:t>分。每增加</w:t>
            </w:r>
            <w:r>
              <w:rPr>
                <w:rFonts w:ascii="宋体" w:hAnsi="宋体" w:cs="宋体"/>
                <w:color w:val="auto"/>
                <w:kern w:val="0"/>
                <w:szCs w:val="21"/>
                <w:highlight w:val="none"/>
              </w:rPr>
              <w:t>1</w:t>
            </w:r>
            <w:r>
              <w:rPr>
                <w:rFonts w:hint="eastAsia" w:ascii="宋体" w:hAnsi="宋体" w:cs="宋体"/>
                <w:color w:val="auto"/>
                <w:kern w:val="0"/>
                <w:szCs w:val="21"/>
                <w:highlight w:val="none"/>
              </w:rPr>
              <w:t>个加分业绩加</w:t>
            </w:r>
            <w:r>
              <w:rPr>
                <w:rFonts w:ascii="宋体" w:hAnsi="宋体" w:cs="宋体"/>
                <w:color w:val="auto"/>
                <w:kern w:val="0"/>
                <w:szCs w:val="21"/>
                <w:highlight w:val="none"/>
              </w:rPr>
              <w:t>2</w:t>
            </w:r>
            <w:r>
              <w:rPr>
                <w:rFonts w:hint="eastAsia" w:ascii="宋体" w:hAnsi="宋体" w:cs="宋体"/>
                <w:color w:val="auto"/>
                <w:kern w:val="0"/>
                <w:szCs w:val="21"/>
                <w:highlight w:val="none"/>
              </w:rPr>
              <w:t>分，最多加</w:t>
            </w:r>
            <w:r>
              <w:rPr>
                <w:rFonts w:ascii="宋体" w:hAnsi="宋体" w:cs="宋体"/>
                <w:color w:val="auto"/>
                <w:kern w:val="0"/>
                <w:szCs w:val="21"/>
                <w:highlight w:val="none"/>
              </w:rPr>
              <w:t>4</w:t>
            </w:r>
            <w:r>
              <w:rPr>
                <w:rFonts w:hint="eastAsia" w:ascii="宋体" w:hAnsi="宋体" w:cs="宋体"/>
                <w:color w:val="auto"/>
                <w:kern w:val="0"/>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765"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729"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质保期</w:t>
            </w:r>
          </w:p>
        </w:tc>
        <w:tc>
          <w:tcPr>
            <w:tcW w:w="943"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737" w:type="dxa"/>
            <w:tcBorders>
              <w:bottom w:val="single" w:color="auto" w:sz="4" w:space="0"/>
            </w:tcBorders>
            <w:vAlign w:val="center"/>
          </w:tcPr>
          <w:p>
            <w:pPr>
              <w:widowControl/>
              <w:jc w:val="left"/>
              <w:rPr>
                <w:color w:val="auto"/>
                <w:highlight w:val="none"/>
              </w:rPr>
            </w:pPr>
            <w:r>
              <w:rPr>
                <w:rFonts w:hint="eastAsia"/>
                <w:color w:val="auto"/>
                <w:highlight w:val="none"/>
              </w:rPr>
              <w:t>在满足用户需求书要求的基础上，质保期每延长12个月加2分，最多加4分。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65" w:type="dxa"/>
            <w:vMerge w:val="continue"/>
            <w:vAlign w:val="center"/>
          </w:tcPr>
          <w:p>
            <w:pPr>
              <w:widowControl/>
              <w:jc w:val="center"/>
              <w:rPr>
                <w:rFonts w:ascii="宋体" w:hAnsi="宋体" w:cs="宋体"/>
                <w:color w:val="auto"/>
                <w:kern w:val="0"/>
                <w:szCs w:val="21"/>
                <w:highlight w:val="none"/>
              </w:rPr>
            </w:pPr>
          </w:p>
        </w:tc>
        <w:tc>
          <w:tcPr>
            <w:tcW w:w="1729" w:type="dxa"/>
            <w:vMerge w:val="continue"/>
            <w:vAlign w:val="center"/>
          </w:tcPr>
          <w:p>
            <w:pPr>
              <w:widowControl/>
              <w:jc w:val="center"/>
              <w:rPr>
                <w:rFonts w:ascii="宋体" w:hAnsi="宋体" w:cs="宋体"/>
                <w:color w:val="auto"/>
                <w:kern w:val="0"/>
                <w:szCs w:val="21"/>
                <w:highlight w:val="none"/>
              </w:rPr>
            </w:pPr>
          </w:p>
        </w:tc>
        <w:tc>
          <w:tcPr>
            <w:tcW w:w="943" w:type="dxa"/>
            <w:vMerge w:val="continue"/>
            <w:vAlign w:val="center"/>
          </w:tcPr>
          <w:p>
            <w:pPr>
              <w:widowControl/>
              <w:jc w:val="left"/>
              <w:rPr>
                <w:color w:val="auto"/>
                <w:highlight w:val="none"/>
              </w:rPr>
            </w:pPr>
          </w:p>
        </w:tc>
        <w:tc>
          <w:tcPr>
            <w:tcW w:w="5737" w:type="dxa"/>
            <w:tcBorders>
              <w:top w:val="single" w:color="auto" w:sz="4" w:space="0"/>
            </w:tcBorders>
            <w:vAlign w:val="center"/>
          </w:tcPr>
          <w:p>
            <w:pPr>
              <w:widowControl/>
              <w:jc w:val="left"/>
              <w:rPr>
                <w:color w:val="auto"/>
                <w:highlight w:val="none"/>
              </w:rPr>
            </w:pPr>
            <w:r>
              <w:rPr>
                <w:rFonts w:hint="eastAsia"/>
                <w:color w:val="auto"/>
                <w:highlight w:val="none"/>
              </w:rPr>
              <w:t>注：须提供承诺函，并加盖谈判单位公章。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52" w:hRule="atLeast"/>
          <w:jc w:val="center"/>
        </w:trPr>
        <w:tc>
          <w:tcPr>
            <w:tcW w:w="765"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729" w:type="dxa"/>
            <w:vAlign w:val="center"/>
          </w:tcPr>
          <w:p>
            <w:pPr>
              <w:widowControl/>
              <w:jc w:val="center"/>
              <w:rPr>
                <w:color w:val="auto"/>
                <w:highlight w:val="none"/>
              </w:rPr>
            </w:pPr>
            <w:r>
              <w:rPr>
                <w:rFonts w:hint="eastAsia"/>
                <w:color w:val="auto"/>
                <w:highlight w:val="none"/>
              </w:rPr>
              <w:t>企业认证</w:t>
            </w:r>
          </w:p>
          <w:p>
            <w:pPr>
              <w:widowControl/>
              <w:jc w:val="center"/>
              <w:rPr>
                <w:color w:val="auto"/>
                <w:highlight w:val="none"/>
              </w:rPr>
            </w:pPr>
            <w:r>
              <w:rPr>
                <w:rFonts w:hint="eastAsia"/>
                <w:color w:val="auto"/>
                <w:highlight w:val="none"/>
              </w:rPr>
              <w:t>（有效期内）</w:t>
            </w:r>
          </w:p>
        </w:tc>
        <w:tc>
          <w:tcPr>
            <w:tcW w:w="943" w:type="dxa"/>
            <w:vAlign w:val="center"/>
          </w:tcPr>
          <w:p>
            <w:pPr>
              <w:widowControl/>
              <w:jc w:val="center"/>
              <w:rPr>
                <w:color w:val="auto"/>
                <w:highlight w:val="none"/>
              </w:rPr>
            </w:pPr>
            <w:r>
              <w:rPr>
                <w:rFonts w:hint="eastAsia"/>
                <w:color w:val="auto"/>
                <w:highlight w:val="none"/>
              </w:rPr>
              <w:t>4</w:t>
            </w:r>
          </w:p>
        </w:tc>
        <w:tc>
          <w:tcPr>
            <w:tcW w:w="5737" w:type="dxa"/>
            <w:tcBorders>
              <w:top w:val="single" w:color="auto" w:sz="4" w:space="0"/>
            </w:tcBorders>
            <w:vAlign w:val="center"/>
          </w:tcPr>
          <w:p>
            <w:pPr>
              <w:widowControl/>
              <w:jc w:val="left"/>
              <w:rPr>
                <w:color w:val="auto"/>
                <w:highlight w:val="none"/>
              </w:rPr>
            </w:pPr>
            <w:r>
              <w:rPr>
                <w:rFonts w:hint="eastAsia"/>
                <w:color w:val="auto"/>
                <w:highlight w:val="none"/>
              </w:rPr>
              <w:t>谈判单位具有质量管理体系认证证书、环境管理体系认证证书的，每具备一项认证得2分，最多加4分。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765" w:type="dxa"/>
            <w:vAlign w:val="center"/>
          </w:tcPr>
          <w:p>
            <w:pPr>
              <w:widowControl/>
              <w:jc w:val="left"/>
              <w:rPr>
                <w:rFonts w:ascii="宋体" w:hAnsi="宋体" w:cs="宋体"/>
                <w:color w:val="auto"/>
                <w:kern w:val="0"/>
                <w:szCs w:val="21"/>
                <w:highlight w:val="none"/>
              </w:rPr>
            </w:pPr>
          </w:p>
        </w:tc>
        <w:tc>
          <w:tcPr>
            <w:tcW w:w="1729"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943"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5737" w:type="dxa"/>
            <w:vAlign w:val="center"/>
          </w:tcPr>
          <w:p>
            <w:pPr>
              <w:widowControl/>
              <w:jc w:val="left"/>
              <w:rPr>
                <w:rFonts w:ascii="宋体" w:hAnsi="宋体" w:cs="宋体"/>
                <w:color w:val="auto"/>
                <w:kern w:val="0"/>
                <w:szCs w:val="21"/>
                <w:highlight w:val="none"/>
              </w:rPr>
            </w:pPr>
          </w:p>
        </w:tc>
      </w:tr>
    </w:tbl>
    <w:p>
      <w:pPr>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评审说明：</w:t>
      </w:r>
    </w:p>
    <w:p>
      <w:pPr>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widowControl/>
        <w:spacing w:line="336"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2、加分业绩是指</w:t>
      </w:r>
      <w:r>
        <w:rPr>
          <w:rFonts w:hint="eastAsia" w:ascii="宋体" w:hAnsi="宋体" w:cs="宋体"/>
          <w:color w:val="auto"/>
          <w:szCs w:val="21"/>
          <w:highlight w:val="none"/>
        </w:rPr>
        <w:t>谈判单位在本项目谈判截止之日前36个月内须具有不少于2个</w:t>
      </w:r>
      <w:r>
        <w:rPr>
          <w:rFonts w:hint="eastAsia" w:ascii="宋体" w:hAnsi="宋体" w:cs="宋体"/>
          <w:color w:val="auto"/>
          <w:kern w:val="0"/>
          <w:szCs w:val="21"/>
          <w:highlight w:val="none"/>
          <w:lang w:bidi="ar"/>
        </w:rPr>
        <w:t>高铁或铁路或城际铁路或地铁或轻轨等</w:t>
      </w:r>
      <w:r>
        <w:rPr>
          <w:rFonts w:hint="eastAsia" w:ascii="宋体" w:hAnsi="宋体" w:cs="宋体"/>
          <w:color w:val="auto"/>
          <w:szCs w:val="21"/>
          <w:highlight w:val="none"/>
        </w:rPr>
        <w:t>轨道维修类设备供货业</w:t>
      </w:r>
      <w:r>
        <w:rPr>
          <w:rFonts w:hint="eastAsia" w:ascii="宋体" w:hAnsi="宋体" w:cs="宋体"/>
          <w:color w:val="auto"/>
          <w:kern w:val="0"/>
          <w:szCs w:val="21"/>
          <w:highlight w:val="none"/>
          <w:lang w:bidi="ar"/>
        </w:rPr>
        <w:t>绩</w:t>
      </w:r>
      <w:r>
        <w:rPr>
          <w:rFonts w:hint="eastAsia" w:ascii="宋体" w:hAnsi="宋体" w:cs="宋体"/>
          <w:b/>
          <w:bCs/>
          <w:color w:val="auto"/>
          <w:kern w:val="0"/>
          <w:szCs w:val="21"/>
          <w:highlight w:val="none"/>
          <w:lang w:bidi="ar"/>
        </w:rPr>
        <w:t>（合同范围至少包含本次需求清单中的1项类似物资）</w:t>
      </w:r>
      <w:r>
        <w:rPr>
          <w:rFonts w:hint="eastAsia" w:ascii="宋体" w:hAnsi="宋体" w:cs="宋体"/>
          <w:color w:val="auto"/>
          <w:kern w:val="0"/>
          <w:szCs w:val="21"/>
          <w:highlight w:val="none"/>
          <w:lang w:bidi="ar"/>
        </w:rPr>
        <w:t>。不接受联合体业绩、港澳台或境外业绩。</w:t>
      </w:r>
    </w:p>
    <w:p>
      <w:pPr>
        <w:spacing w:line="336" w:lineRule="auto"/>
        <w:ind w:firstLine="420" w:firstLineChars="200"/>
        <w:rPr>
          <w:rFonts w:ascii="宋体" w:hAnsi="宋体"/>
          <w:b/>
          <w:color w:val="auto"/>
          <w:szCs w:val="21"/>
          <w:highlight w:val="none"/>
        </w:rPr>
      </w:pPr>
      <w:r>
        <w:rPr>
          <w:rFonts w:hint="eastAsia" w:ascii="宋体" w:hAnsi="宋体" w:cs="宋体"/>
          <w:color w:val="auto"/>
          <w:szCs w:val="21"/>
          <w:highlight w:val="none"/>
        </w:rPr>
        <w:t>业绩证明材料以同时提供的合同原件扫描件和可查验的增值税发票（开票金额不少于合同金额的10%）原件扫描件为准（均须加盖谈判单位公章），时间以合同中甲方签订时间为准。</w:t>
      </w:r>
    </w:p>
    <w:p>
      <w:pPr>
        <w:rPr>
          <w:color w:val="auto"/>
          <w:highlight w:val="none"/>
        </w:rPr>
      </w:pPr>
      <w:r>
        <w:rPr>
          <w:rFonts w:hint="eastAsia" w:ascii="黑体" w:hAnsi="黑体" w:eastAsia="黑体" w:cs="黑体"/>
          <w:color w:val="auto"/>
          <w:sz w:val="28"/>
          <w:szCs w:val="28"/>
          <w:highlight w:val="none"/>
        </w:rPr>
        <w:br w:type="page"/>
      </w:r>
      <w:r>
        <w:rPr>
          <w:rFonts w:hint="eastAsia" w:ascii="黑体" w:hAnsi="黑体" w:eastAsia="黑体" w:cs="黑体"/>
          <w:color w:val="auto"/>
          <w:sz w:val="28"/>
          <w:szCs w:val="28"/>
          <w:highlight w:val="none"/>
        </w:rPr>
        <w:t>附表2</w:t>
      </w: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技术评分标准（40分）</w:t>
      </w:r>
    </w:p>
    <w:tbl>
      <w:tblPr>
        <w:tblStyle w:val="47"/>
        <w:tblW w:w="531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878"/>
        <w:gridCol w:w="867"/>
        <w:gridCol w:w="1046"/>
        <w:gridCol w:w="688"/>
        <w:gridCol w:w="2247"/>
        <w:gridCol w:w="1995"/>
        <w:gridCol w:w="12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53" w:type="pct"/>
            <w:vAlign w:val="center"/>
          </w:tcPr>
          <w:p>
            <w:pPr>
              <w:jc w:val="center"/>
              <w:rPr>
                <w:color w:val="auto"/>
                <w:highlight w:val="none"/>
              </w:rPr>
            </w:pPr>
            <w:r>
              <w:rPr>
                <w:rFonts w:hint="eastAsia"/>
                <w:color w:val="auto"/>
                <w:highlight w:val="none"/>
              </w:rPr>
              <w:t>序号</w:t>
            </w:r>
          </w:p>
        </w:tc>
        <w:tc>
          <w:tcPr>
            <w:tcW w:w="1449" w:type="pct"/>
            <w:gridSpan w:val="3"/>
            <w:vAlign w:val="center"/>
          </w:tcPr>
          <w:p>
            <w:pPr>
              <w:jc w:val="center"/>
              <w:rPr>
                <w:color w:val="auto"/>
                <w:highlight w:val="none"/>
              </w:rPr>
            </w:pPr>
            <w:r>
              <w:rPr>
                <w:rFonts w:hint="eastAsia"/>
                <w:color w:val="auto"/>
                <w:highlight w:val="none"/>
              </w:rPr>
              <w:t>评审项</w:t>
            </w:r>
          </w:p>
        </w:tc>
        <w:tc>
          <w:tcPr>
            <w:tcW w:w="357" w:type="pct"/>
            <w:vAlign w:val="center"/>
          </w:tcPr>
          <w:p>
            <w:pPr>
              <w:jc w:val="center"/>
              <w:rPr>
                <w:color w:val="auto"/>
                <w:highlight w:val="none"/>
              </w:rPr>
            </w:pPr>
            <w:r>
              <w:rPr>
                <w:rFonts w:hint="eastAsia"/>
                <w:color w:val="auto"/>
                <w:highlight w:val="none"/>
              </w:rPr>
              <w:t>分值</w:t>
            </w:r>
          </w:p>
        </w:tc>
        <w:tc>
          <w:tcPr>
            <w:tcW w:w="1167" w:type="pct"/>
            <w:vAlign w:val="center"/>
          </w:tcPr>
          <w:p>
            <w:pPr>
              <w:jc w:val="center"/>
              <w:rPr>
                <w:color w:val="auto"/>
                <w:highlight w:val="none"/>
              </w:rPr>
            </w:pPr>
            <w:r>
              <w:rPr>
                <w:rFonts w:hint="eastAsia"/>
                <w:color w:val="auto"/>
                <w:highlight w:val="none"/>
              </w:rPr>
              <w:t>评审标准</w:t>
            </w:r>
          </w:p>
        </w:tc>
        <w:tc>
          <w:tcPr>
            <w:tcW w:w="1036" w:type="pct"/>
            <w:vAlign w:val="center"/>
          </w:tcPr>
          <w:p>
            <w:pPr>
              <w:jc w:val="center"/>
              <w:rPr>
                <w:color w:val="auto"/>
                <w:highlight w:val="none"/>
              </w:rPr>
            </w:pPr>
            <w:r>
              <w:rPr>
                <w:rFonts w:hint="eastAsia"/>
                <w:color w:val="auto"/>
                <w:highlight w:val="none"/>
              </w:rPr>
              <w:t>评分标准</w:t>
            </w:r>
          </w:p>
        </w:tc>
        <w:tc>
          <w:tcPr>
            <w:tcW w:w="635" w:type="pct"/>
            <w:vAlign w:val="center"/>
          </w:tcPr>
          <w:p>
            <w:pPr>
              <w:jc w:val="center"/>
              <w:rPr>
                <w:color w:val="auto"/>
                <w:highlight w:val="none"/>
              </w:rPr>
            </w:pPr>
            <w:r>
              <w:rPr>
                <w:rFonts w:hint="eastAsia"/>
                <w:color w:val="auto"/>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5" w:hRule="atLeast"/>
          <w:jc w:val="center"/>
        </w:trPr>
        <w:tc>
          <w:tcPr>
            <w:tcW w:w="353" w:type="pct"/>
            <w:vAlign w:val="center"/>
          </w:tcPr>
          <w:p>
            <w:pPr>
              <w:jc w:val="center"/>
              <w:rPr>
                <w:color w:val="auto"/>
                <w:highlight w:val="none"/>
              </w:rPr>
            </w:pPr>
            <w:r>
              <w:rPr>
                <w:rFonts w:hint="eastAsia"/>
                <w:color w:val="auto"/>
                <w:highlight w:val="none"/>
              </w:rPr>
              <w:t>1</w:t>
            </w:r>
          </w:p>
        </w:tc>
        <w:tc>
          <w:tcPr>
            <w:tcW w:w="456" w:type="pct"/>
            <w:vMerge w:val="restart"/>
            <w:vAlign w:val="center"/>
          </w:tcPr>
          <w:p>
            <w:pPr>
              <w:rPr>
                <w:color w:val="auto"/>
                <w:highlight w:val="none"/>
              </w:rPr>
            </w:pPr>
            <w:r>
              <w:rPr>
                <w:rFonts w:hint="eastAsia"/>
                <w:color w:val="auto"/>
                <w:highlight w:val="none"/>
              </w:rPr>
              <w:t>设备特性及参数</w:t>
            </w:r>
          </w:p>
        </w:tc>
        <w:tc>
          <w:tcPr>
            <w:tcW w:w="450" w:type="pct"/>
            <w:vMerge w:val="restart"/>
            <w:vAlign w:val="center"/>
          </w:tcPr>
          <w:p>
            <w:pPr>
              <w:rPr>
                <w:color w:val="auto"/>
                <w:highlight w:val="none"/>
              </w:rPr>
            </w:pPr>
            <w:r>
              <w:rPr>
                <w:rFonts w:hint="eastAsia"/>
                <w:color w:val="auto"/>
                <w:highlight w:val="none"/>
              </w:rPr>
              <w:t>双轨波浪磨耗测量仪</w:t>
            </w:r>
          </w:p>
        </w:tc>
        <w:tc>
          <w:tcPr>
            <w:tcW w:w="542" w:type="pct"/>
            <w:vAlign w:val="center"/>
          </w:tcPr>
          <w:p>
            <w:pPr>
              <w:rPr>
                <w:color w:val="auto"/>
                <w:highlight w:val="none"/>
              </w:rPr>
            </w:pPr>
            <w:r>
              <w:rPr>
                <w:rFonts w:hint="eastAsia"/>
                <w:color w:val="auto"/>
                <w:highlight w:val="none"/>
              </w:rPr>
              <w:t>特性要求</w:t>
            </w:r>
          </w:p>
        </w:tc>
        <w:tc>
          <w:tcPr>
            <w:tcW w:w="357" w:type="pct"/>
            <w:vAlign w:val="center"/>
          </w:tcPr>
          <w:p>
            <w:pPr>
              <w:jc w:val="center"/>
              <w:rPr>
                <w:color w:val="auto"/>
                <w:highlight w:val="none"/>
              </w:rPr>
            </w:pPr>
            <w:r>
              <w:rPr>
                <w:rFonts w:hint="eastAsia"/>
                <w:color w:val="auto"/>
                <w:highlight w:val="none"/>
              </w:rPr>
              <w:t>1</w:t>
            </w:r>
          </w:p>
        </w:tc>
        <w:tc>
          <w:tcPr>
            <w:tcW w:w="1167" w:type="pct"/>
            <w:vAlign w:val="center"/>
          </w:tcPr>
          <w:p>
            <w:pPr>
              <w:rPr>
                <w:color w:val="auto"/>
                <w:highlight w:val="none"/>
              </w:rPr>
            </w:pPr>
            <w:r>
              <w:rPr>
                <w:rFonts w:hint="eastAsia"/>
                <w:color w:val="auto"/>
                <w:highlight w:val="none"/>
              </w:rPr>
              <w:t>应满足用户需求书3.2.1项（1）条的要求。</w:t>
            </w:r>
          </w:p>
        </w:tc>
        <w:tc>
          <w:tcPr>
            <w:tcW w:w="1036" w:type="pct"/>
            <w:vAlign w:val="center"/>
          </w:tcPr>
          <w:p>
            <w:pPr>
              <w:rPr>
                <w:color w:val="auto"/>
                <w:highlight w:val="none"/>
              </w:rPr>
            </w:pPr>
            <w:r>
              <w:rPr>
                <w:rFonts w:hint="eastAsia"/>
                <w:color w:val="auto"/>
                <w:highlight w:val="none"/>
              </w:rPr>
              <w:t>满足用户需求：得1分</w:t>
            </w:r>
          </w:p>
        </w:tc>
        <w:tc>
          <w:tcPr>
            <w:tcW w:w="635" w:type="pct"/>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jc w:val="center"/>
        </w:trPr>
        <w:tc>
          <w:tcPr>
            <w:tcW w:w="353" w:type="pct"/>
            <w:vMerge w:val="restart"/>
            <w:vAlign w:val="center"/>
          </w:tcPr>
          <w:p>
            <w:pPr>
              <w:jc w:val="center"/>
              <w:rPr>
                <w:color w:val="auto"/>
                <w:highlight w:val="none"/>
              </w:rPr>
            </w:pPr>
            <w:r>
              <w:rPr>
                <w:rFonts w:hint="eastAsia"/>
                <w:color w:val="auto"/>
                <w:highlight w:val="none"/>
              </w:rPr>
              <w:t>2</w:t>
            </w:r>
          </w:p>
        </w:tc>
        <w:tc>
          <w:tcPr>
            <w:tcW w:w="456" w:type="pct"/>
            <w:vMerge w:val="continue"/>
            <w:vAlign w:val="center"/>
          </w:tcPr>
          <w:p>
            <w:pPr>
              <w:rPr>
                <w:color w:val="auto"/>
                <w:highlight w:val="none"/>
              </w:rPr>
            </w:pPr>
          </w:p>
        </w:tc>
        <w:tc>
          <w:tcPr>
            <w:tcW w:w="450" w:type="pct"/>
            <w:vMerge w:val="continue"/>
            <w:vAlign w:val="center"/>
          </w:tcPr>
          <w:p>
            <w:pPr>
              <w:rPr>
                <w:color w:val="auto"/>
                <w:highlight w:val="none"/>
              </w:rPr>
            </w:pPr>
          </w:p>
        </w:tc>
        <w:tc>
          <w:tcPr>
            <w:tcW w:w="542" w:type="pct"/>
            <w:vMerge w:val="restart"/>
            <w:vAlign w:val="center"/>
          </w:tcPr>
          <w:p>
            <w:pPr>
              <w:rPr>
                <w:color w:val="auto"/>
                <w:highlight w:val="none"/>
              </w:rPr>
            </w:pPr>
            <w:r>
              <w:rPr>
                <w:rFonts w:hint="eastAsia"/>
                <w:color w:val="auto"/>
                <w:highlight w:val="none"/>
              </w:rPr>
              <w:t>主要技术参数</w:t>
            </w:r>
          </w:p>
        </w:tc>
        <w:tc>
          <w:tcPr>
            <w:tcW w:w="357" w:type="pct"/>
            <w:vMerge w:val="restart"/>
            <w:vAlign w:val="center"/>
          </w:tcPr>
          <w:p>
            <w:pPr>
              <w:jc w:val="center"/>
              <w:rPr>
                <w:color w:val="auto"/>
                <w:highlight w:val="none"/>
              </w:rPr>
            </w:pPr>
            <w:r>
              <w:rPr>
                <w:rFonts w:hint="eastAsia"/>
                <w:color w:val="auto"/>
                <w:highlight w:val="none"/>
              </w:rPr>
              <w:t>3</w:t>
            </w:r>
          </w:p>
        </w:tc>
        <w:tc>
          <w:tcPr>
            <w:tcW w:w="1167" w:type="pct"/>
            <w:vMerge w:val="restart"/>
            <w:vAlign w:val="center"/>
          </w:tcPr>
          <w:p>
            <w:pPr>
              <w:rPr>
                <w:color w:val="auto"/>
                <w:highlight w:val="none"/>
              </w:rPr>
            </w:pPr>
            <w:r>
              <w:rPr>
                <w:rFonts w:hint="eastAsia"/>
                <w:color w:val="auto"/>
                <w:highlight w:val="none"/>
              </w:rPr>
              <w:t>应满足用户需求书3.2.1项（2）条的要求。</w:t>
            </w:r>
          </w:p>
        </w:tc>
        <w:tc>
          <w:tcPr>
            <w:tcW w:w="1036" w:type="pct"/>
            <w:vAlign w:val="center"/>
          </w:tcPr>
          <w:p>
            <w:pPr>
              <w:rPr>
                <w:color w:val="auto"/>
                <w:highlight w:val="none"/>
              </w:rPr>
            </w:pPr>
            <w:r>
              <w:rPr>
                <w:rFonts w:hint="eastAsia"/>
                <w:color w:val="auto"/>
                <w:highlight w:val="none"/>
              </w:rPr>
              <w:t>满足用户需求：得2分</w:t>
            </w:r>
          </w:p>
        </w:tc>
        <w:tc>
          <w:tcPr>
            <w:tcW w:w="635" w:type="pct"/>
            <w:vMerge w:val="restart"/>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7" w:hRule="atLeast"/>
          <w:jc w:val="center"/>
        </w:trPr>
        <w:tc>
          <w:tcPr>
            <w:tcW w:w="353" w:type="pct"/>
            <w:vMerge w:val="continue"/>
            <w:vAlign w:val="center"/>
          </w:tcPr>
          <w:p>
            <w:pPr>
              <w:jc w:val="center"/>
              <w:rPr>
                <w:color w:val="auto"/>
                <w:highlight w:val="none"/>
              </w:rPr>
            </w:pPr>
          </w:p>
        </w:tc>
        <w:tc>
          <w:tcPr>
            <w:tcW w:w="456" w:type="pct"/>
            <w:vMerge w:val="continue"/>
            <w:vAlign w:val="center"/>
          </w:tcPr>
          <w:p>
            <w:pPr>
              <w:rPr>
                <w:color w:val="auto"/>
                <w:highlight w:val="none"/>
              </w:rPr>
            </w:pPr>
          </w:p>
        </w:tc>
        <w:tc>
          <w:tcPr>
            <w:tcW w:w="450" w:type="pct"/>
            <w:vMerge w:val="continue"/>
            <w:vAlign w:val="center"/>
          </w:tcPr>
          <w:p>
            <w:pPr>
              <w:rPr>
                <w:color w:val="auto"/>
                <w:highlight w:val="none"/>
              </w:rPr>
            </w:pPr>
          </w:p>
        </w:tc>
        <w:tc>
          <w:tcPr>
            <w:tcW w:w="542" w:type="pct"/>
            <w:vMerge w:val="continue"/>
            <w:vAlign w:val="center"/>
          </w:tcPr>
          <w:p>
            <w:pPr>
              <w:rPr>
                <w:color w:val="auto"/>
                <w:highlight w:val="none"/>
              </w:rPr>
            </w:pPr>
          </w:p>
        </w:tc>
        <w:tc>
          <w:tcPr>
            <w:tcW w:w="357" w:type="pct"/>
            <w:vMerge w:val="continue"/>
            <w:vAlign w:val="center"/>
          </w:tcPr>
          <w:p>
            <w:pPr>
              <w:jc w:val="center"/>
              <w:rPr>
                <w:color w:val="auto"/>
                <w:highlight w:val="none"/>
              </w:rPr>
            </w:pPr>
          </w:p>
        </w:tc>
        <w:tc>
          <w:tcPr>
            <w:tcW w:w="1167" w:type="pct"/>
            <w:vMerge w:val="continue"/>
            <w:vAlign w:val="center"/>
          </w:tcPr>
          <w:p>
            <w:pPr>
              <w:rPr>
                <w:color w:val="auto"/>
                <w:highlight w:val="none"/>
              </w:rPr>
            </w:pPr>
          </w:p>
        </w:tc>
        <w:tc>
          <w:tcPr>
            <w:tcW w:w="1036" w:type="pct"/>
            <w:vAlign w:val="center"/>
          </w:tcPr>
          <w:p>
            <w:pPr>
              <w:rPr>
                <w:color w:val="auto"/>
                <w:highlight w:val="none"/>
              </w:rPr>
            </w:pPr>
            <w:r>
              <w:rPr>
                <w:rFonts w:hint="eastAsia"/>
                <w:color w:val="auto"/>
                <w:highlight w:val="none"/>
              </w:rPr>
              <w:t>优于用户需求：在2分的基础上每优于一项，加0.5分，最高加1分</w:t>
            </w:r>
          </w:p>
        </w:tc>
        <w:tc>
          <w:tcPr>
            <w:tcW w:w="635" w:type="pct"/>
            <w:vMerge w:val="continue"/>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jc w:val="center"/>
        </w:trPr>
        <w:tc>
          <w:tcPr>
            <w:tcW w:w="353" w:type="pct"/>
            <w:vAlign w:val="center"/>
          </w:tcPr>
          <w:p>
            <w:pPr>
              <w:jc w:val="center"/>
              <w:rPr>
                <w:color w:val="auto"/>
                <w:highlight w:val="none"/>
              </w:rPr>
            </w:pPr>
            <w:r>
              <w:rPr>
                <w:rFonts w:hint="eastAsia"/>
                <w:color w:val="auto"/>
                <w:highlight w:val="none"/>
              </w:rPr>
              <w:t>3</w:t>
            </w:r>
          </w:p>
        </w:tc>
        <w:tc>
          <w:tcPr>
            <w:tcW w:w="456" w:type="pct"/>
            <w:vMerge w:val="continue"/>
            <w:vAlign w:val="center"/>
          </w:tcPr>
          <w:p>
            <w:pPr>
              <w:rPr>
                <w:color w:val="auto"/>
                <w:highlight w:val="none"/>
              </w:rPr>
            </w:pPr>
          </w:p>
        </w:tc>
        <w:tc>
          <w:tcPr>
            <w:tcW w:w="450" w:type="pct"/>
            <w:vMerge w:val="restart"/>
            <w:vAlign w:val="center"/>
          </w:tcPr>
          <w:p>
            <w:pPr>
              <w:rPr>
                <w:color w:val="auto"/>
                <w:highlight w:val="none"/>
              </w:rPr>
            </w:pPr>
            <w:r>
              <w:rPr>
                <w:rFonts w:hint="eastAsia"/>
                <w:color w:val="auto"/>
                <w:highlight w:val="none"/>
              </w:rPr>
              <w:t>钢轨轮廓测量仪</w:t>
            </w:r>
          </w:p>
        </w:tc>
        <w:tc>
          <w:tcPr>
            <w:tcW w:w="542" w:type="pct"/>
            <w:vAlign w:val="center"/>
          </w:tcPr>
          <w:p>
            <w:pPr>
              <w:rPr>
                <w:color w:val="auto"/>
                <w:highlight w:val="none"/>
              </w:rPr>
            </w:pPr>
            <w:r>
              <w:rPr>
                <w:rFonts w:hint="eastAsia"/>
                <w:color w:val="auto"/>
                <w:highlight w:val="none"/>
              </w:rPr>
              <w:t>特性要求</w:t>
            </w:r>
          </w:p>
        </w:tc>
        <w:tc>
          <w:tcPr>
            <w:tcW w:w="357" w:type="pct"/>
            <w:vAlign w:val="center"/>
          </w:tcPr>
          <w:p>
            <w:pPr>
              <w:jc w:val="center"/>
              <w:rPr>
                <w:color w:val="auto"/>
                <w:highlight w:val="none"/>
              </w:rPr>
            </w:pPr>
            <w:r>
              <w:rPr>
                <w:rFonts w:hint="eastAsia"/>
                <w:color w:val="auto"/>
                <w:highlight w:val="none"/>
              </w:rPr>
              <w:t>1</w:t>
            </w:r>
          </w:p>
        </w:tc>
        <w:tc>
          <w:tcPr>
            <w:tcW w:w="1167" w:type="pct"/>
            <w:vAlign w:val="center"/>
          </w:tcPr>
          <w:p>
            <w:pPr>
              <w:rPr>
                <w:color w:val="auto"/>
                <w:highlight w:val="none"/>
              </w:rPr>
            </w:pPr>
            <w:r>
              <w:rPr>
                <w:rFonts w:hint="eastAsia"/>
                <w:color w:val="auto"/>
                <w:highlight w:val="none"/>
              </w:rPr>
              <w:t>应满足用户需求书3.2.2项（1）条的要求。</w:t>
            </w:r>
          </w:p>
        </w:tc>
        <w:tc>
          <w:tcPr>
            <w:tcW w:w="1036" w:type="pct"/>
            <w:vAlign w:val="center"/>
          </w:tcPr>
          <w:p>
            <w:pPr>
              <w:rPr>
                <w:color w:val="auto"/>
                <w:highlight w:val="none"/>
              </w:rPr>
            </w:pPr>
            <w:r>
              <w:rPr>
                <w:rFonts w:hint="eastAsia"/>
                <w:color w:val="auto"/>
                <w:highlight w:val="none"/>
              </w:rPr>
              <w:t>满足用户需求：得1分</w:t>
            </w:r>
          </w:p>
        </w:tc>
        <w:tc>
          <w:tcPr>
            <w:tcW w:w="635" w:type="pct"/>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53" w:type="pct"/>
            <w:vMerge w:val="restart"/>
            <w:vAlign w:val="center"/>
          </w:tcPr>
          <w:p>
            <w:pPr>
              <w:jc w:val="center"/>
              <w:rPr>
                <w:color w:val="auto"/>
                <w:highlight w:val="none"/>
              </w:rPr>
            </w:pPr>
            <w:r>
              <w:rPr>
                <w:rFonts w:hint="eastAsia"/>
                <w:color w:val="auto"/>
                <w:highlight w:val="none"/>
              </w:rPr>
              <w:t>4</w:t>
            </w:r>
          </w:p>
        </w:tc>
        <w:tc>
          <w:tcPr>
            <w:tcW w:w="456" w:type="pct"/>
            <w:vMerge w:val="continue"/>
            <w:vAlign w:val="center"/>
          </w:tcPr>
          <w:p>
            <w:pPr>
              <w:rPr>
                <w:color w:val="auto"/>
                <w:highlight w:val="none"/>
              </w:rPr>
            </w:pPr>
          </w:p>
        </w:tc>
        <w:tc>
          <w:tcPr>
            <w:tcW w:w="450" w:type="pct"/>
            <w:vMerge w:val="continue"/>
            <w:vAlign w:val="center"/>
          </w:tcPr>
          <w:p>
            <w:pPr>
              <w:rPr>
                <w:color w:val="auto"/>
                <w:highlight w:val="none"/>
              </w:rPr>
            </w:pPr>
          </w:p>
        </w:tc>
        <w:tc>
          <w:tcPr>
            <w:tcW w:w="542" w:type="pct"/>
            <w:vMerge w:val="restart"/>
            <w:vAlign w:val="center"/>
          </w:tcPr>
          <w:p>
            <w:pPr>
              <w:rPr>
                <w:color w:val="auto"/>
                <w:highlight w:val="none"/>
              </w:rPr>
            </w:pPr>
            <w:r>
              <w:rPr>
                <w:rFonts w:hint="eastAsia"/>
                <w:color w:val="auto"/>
                <w:highlight w:val="none"/>
              </w:rPr>
              <w:t>主要技术参数</w:t>
            </w:r>
          </w:p>
        </w:tc>
        <w:tc>
          <w:tcPr>
            <w:tcW w:w="357" w:type="pct"/>
            <w:vMerge w:val="restart"/>
            <w:vAlign w:val="center"/>
          </w:tcPr>
          <w:p>
            <w:pPr>
              <w:jc w:val="center"/>
              <w:rPr>
                <w:color w:val="auto"/>
                <w:highlight w:val="none"/>
              </w:rPr>
            </w:pPr>
            <w:r>
              <w:rPr>
                <w:rFonts w:hint="eastAsia"/>
                <w:color w:val="auto"/>
                <w:highlight w:val="none"/>
              </w:rPr>
              <w:t>3</w:t>
            </w:r>
          </w:p>
        </w:tc>
        <w:tc>
          <w:tcPr>
            <w:tcW w:w="1167" w:type="pct"/>
            <w:vMerge w:val="restart"/>
            <w:vAlign w:val="center"/>
          </w:tcPr>
          <w:p>
            <w:pPr>
              <w:rPr>
                <w:color w:val="auto"/>
                <w:highlight w:val="none"/>
              </w:rPr>
            </w:pPr>
            <w:r>
              <w:rPr>
                <w:rFonts w:hint="eastAsia"/>
                <w:color w:val="auto"/>
                <w:highlight w:val="none"/>
              </w:rPr>
              <w:t>满足用户需求书3.2.2项（2）条的要求。</w:t>
            </w:r>
          </w:p>
        </w:tc>
        <w:tc>
          <w:tcPr>
            <w:tcW w:w="1036" w:type="pct"/>
            <w:vAlign w:val="center"/>
          </w:tcPr>
          <w:p>
            <w:pPr>
              <w:rPr>
                <w:color w:val="auto"/>
                <w:highlight w:val="none"/>
              </w:rPr>
            </w:pPr>
            <w:r>
              <w:rPr>
                <w:rFonts w:hint="eastAsia"/>
                <w:color w:val="auto"/>
                <w:highlight w:val="none"/>
              </w:rPr>
              <w:t>满足用户需求：得2分</w:t>
            </w:r>
          </w:p>
        </w:tc>
        <w:tc>
          <w:tcPr>
            <w:tcW w:w="635" w:type="pct"/>
            <w:vMerge w:val="restart"/>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6" w:hRule="atLeast"/>
          <w:jc w:val="center"/>
        </w:trPr>
        <w:tc>
          <w:tcPr>
            <w:tcW w:w="353" w:type="pct"/>
            <w:vMerge w:val="continue"/>
            <w:vAlign w:val="center"/>
          </w:tcPr>
          <w:p>
            <w:pPr>
              <w:jc w:val="center"/>
              <w:rPr>
                <w:color w:val="auto"/>
                <w:highlight w:val="none"/>
              </w:rPr>
            </w:pPr>
          </w:p>
        </w:tc>
        <w:tc>
          <w:tcPr>
            <w:tcW w:w="456" w:type="pct"/>
            <w:vMerge w:val="continue"/>
            <w:vAlign w:val="center"/>
          </w:tcPr>
          <w:p>
            <w:pPr>
              <w:rPr>
                <w:color w:val="auto"/>
                <w:highlight w:val="none"/>
              </w:rPr>
            </w:pPr>
          </w:p>
        </w:tc>
        <w:tc>
          <w:tcPr>
            <w:tcW w:w="450" w:type="pct"/>
            <w:vMerge w:val="continue"/>
            <w:vAlign w:val="center"/>
          </w:tcPr>
          <w:p>
            <w:pPr>
              <w:rPr>
                <w:color w:val="auto"/>
                <w:highlight w:val="none"/>
              </w:rPr>
            </w:pPr>
          </w:p>
        </w:tc>
        <w:tc>
          <w:tcPr>
            <w:tcW w:w="542" w:type="pct"/>
            <w:vMerge w:val="continue"/>
            <w:vAlign w:val="center"/>
          </w:tcPr>
          <w:p>
            <w:pPr>
              <w:rPr>
                <w:color w:val="auto"/>
                <w:highlight w:val="none"/>
              </w:rPr>
            </w:pPr>
          </w:p>
        </w:tc>
        <w:tc>
          <w:tcPr>
            <w:tcW w:w="357" w:type="pct"/>
            <w:vMerge w:val="continue"/>
            <w:vAlign w:val="center"/>
          </w:tcPr>
          <w:p>
            <w:pPr>
              <w:jc w:val="center"/>
              <w:rPr>
                <w:color w:val="auto"/>
                <w:highlight w:val="none"/>
              </w:rPr>
            </w:pPr>
          </w:p>
        </w:tc>
        <w:tc>
          <w:tcPr>
            <w:tcW w:w="1167" w:type="pct"/>
            <w:vMerge w:val="continue"/>
            <w:vAlign w:val="center"/>
          </w:tcPr>
          <w:p>
            <w:pPr>
              <w:rPr>
                <w:color w:val="auto"/>
                <w:highlight w:val="none"/>
              </w:rPr>
            </w:pPr>
          </w:p>
        </w:tc>
        <w:tc>
          <w:tcPr>
            <w:tcW w:w="1036" w:type="pct"/>
            <w:vAlign w:val="center"/>
          </w:tcPr>
          <w:p>
            <w:pPr>
              <w:rPr>
                <w:color w:val="auto"/>
                <w:highlight w:val="none"/>
              </w:rPr>
            </w:pPr>
            <w:r>
              <w:rPr>
                <w:rFonts w:hint="eastAsia"/>
                <w:color w:val="auto"/>
                <w:highlight w:val="none"/>
              </w:rPr>
              <w:t>优于用户需求：在2分的基础上每优于一项，加0.5分，最高加1分</w:t>
            </w:r>
          </w:p>
        </w:tc>
        <w:tc>
          <w:tcPr>
            <w:tcW w:w="635" w:type="pct"/>
            <w:vMerge w:val="continue"/>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0" w:hRule="atLeast"/>
          <w:jc w:val="center"/>
        </w:trPr>
        <w:tc>
          <w:tcPr>
            <w:tcW w:w="353" w:type="pct"/>
            <w:vAlign w:val="center"/>
          </w:tcPr>
          <w:p>
            <w:pPr>
              <w:jc w:val="center"/>
              <w:rPr>
                <w:color w:val="auto"/>
                <w:highlight w:val="none"/>
              </w:rPr>
            </w:pPr>
            <w:r>
              <w:rPr>
                <w:rFonts w:hint="eastAsia"/>
                <w:color w:val="auto"/>
                <w:highlight w:val="none"/>
              </w:rPr>
              <w:t>5</w:t>
            </w:r>
          </w:p>
        </w:tc>
        <w:tc>
          <w:tcPr>
            <w:tcW w:w="456" w:type="pct"/>
            <w:vMerge w:val="continue"/>
            <w:vAlign w:val="center"/>
          </w:tcPr>
          <w:p>
            <w:pPr>
              <w:rPr>
                <w:color w:val="auto"/>
                <w:highlight w:val="none"/>
              </w:rPr>
            </w:pPr>
          </w:p>
        </w:tc>
        <w:tc>
          <w:tcPr>
            <w:tcW w:w="450" w:type="pct"/>
            <w:vMerge w:val="restart"/>
            <w:vAlign w:val="center"/>
          </w:tcPr>
          <w:p>
            <w:pPr>
              <w:rPr>
                <w:color w:val="auto"/>
                <w:highlight w:val="none"/>
              </w:rPr>
            </w:pPr>
            <w:r>
              <w:rPr>
                <w:rFonts w:hint="eastAsia"/>
                <w:color w:val="auto"/>
                <w:highlight w:val="none"/>
              </w:rPr>
              <w:t>钢轨平直度测量仪</w:t>
            </w:r>
          </w:p>
        </w:tc>
        <w:tc>
          <w:tcPr>
            <w:tcW w:w="542" w:type="pct"/>
            <w:vAlign w:val="center"/>
          </w:tcPr>
          <w:p>
            <w:pPr>
              <w:rPr>
                <w:color w:val="auto"/>
                <w:highlight w:val="none"/>
              </w:rPr>
            </w:pPr>
            <w:r>
              <w:rPr>
                <w:rFonts w:hint="eastAsia"/>
                <w:color w:val="auto"/>
                <w:highlight w:val="none"/>
              </w:rPr>
              <w:t>特性要求</w:t>
            </w:r>
          </w:p>
        </w:tc>
        <w:tc>
          <w:tcPr>
            <w:tcW w:w="357" w:type="pct"/>
            <w:vAlign w:val="center"/>
          </w:tcPr>
          <w:p>
            <w:pPr>
              <w:jc w:val="center"/>
              <w:rPr>
                <w:color w:val="auto"/>
                <w:highlight w:val="none"/>
              </w:rPr>
            </w:pPr>
            <w:r>
              <w:rPr>
                <w:rFonts w:hint="eastAsia"/>
                <w:color w:val="auto"/>
                <w:highlight w:val="none"/>
              </w:rPr>
              <w:t>1</w:t>
            </w:r>
          </w:p>
        </w:tc>
        <w:tc>
          <w:tcPr>
            <w:tcW w:w="1167" w:type="pct"/>
            <w:vAlign w:val="center"/>
          </w:tcPr>
          <w:p>
            <w:pPr>
              <w:rPr>
                <w:color w:val="auto"/>
                <w:highlight w:val="none"/>
              </w:rPr>
            </w:pPr>
            <w:r>
              <w:rPr>
                <w:rFonts w:hint="eastAsia"/>
                <w:color w:val="auto"/>
                <w:highlight w:val="none"/>
              </w:rPr>
              <w:t>满足用户需求书3.2.3项第（1）条的要求。</w:t>
            </w:r>
          </w:p>
        </w:tc>
        <w:tc>
          <w:tcPr>
            <w:tcW w:w="1036" w:type="pct"/>
            <w:vAlign w:val="center"/>
          </w:tcPr>
          <w:p>
            <w:pPr>
              <w:rPr>
                <w:color w:val="auto"/>
                <w:highlight w:val="none"/>
              </w:rPr>
            </w:pPr>
            <w:r>
              <w:rPr>
                <w:rFonts w:hint="eastAsia"/>
                <w:color w:val="auto"/>
                <w:highlight w:val="none"/>
              </w:rPr>
              <w:t>满足用户需求：得</w:t>
            </w:r>
            <w:r>
              <w:rPr>
                <w:color w:val="auto"/>
                <w:highlight w:val="none"/>
              </w:rPr>
              <w:t>1</w:t>
            </w:r>
            <w:r>
              <w:rPr>
                <w:rFonts w:hint="eastAsia"/>
                <w:color w:val="auto"/>
                <w:highlight w:val="none"/>
              </w:rPr>
              <w:t>分</w:t>
            </w:r>
          </w:p>
        </w:tc>
        <w:tc>
          <w:tcPr>
            <w:tcW w:w="635" w:type="pct"/>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53" w:type="pct"/>
            <w:vMerge w:val="restart"/>
            <w:vAlign w:val="center"/>
          </w:tcPr>
          <w:p>
            <w:pPr>
              <w:jc w:val="center"/>
              <w:rPr>
                <w:color w:val="auto"/>
                <w:highlight w:val="none"/>
              </w:rPr>
            </w:pPr>
            <w:r>
              <w:rPr>
                <w:rFonts w:hint="eastAsia"/>
                <w:color w:val="auto"/>
                <w:highlight w:val="none"/>
              </w:rPr>
              <w:t>6</w:t>
            </w:r>
          </w:p>
        </w:tc>
        <w:tc>
          <w:tcPr>
            <w:tcW w:w="456" w:type="pct"/>
            <w:vMerge w:val="continue"/>
            <w:vAlign w:val="center"/>
          </w:tcPr>
          <w:p>
            <w:pPr>
              <w:rPr>
                <w:color w:val="auto"/>
                <w:highlight w:val="none"/>
              </w:rPr>
            </w:pPr>
          </w:p>
        </w:tc>
        <w:tc>
          <w:tcPr>
            <w:tcW w:w="450" w:type="pct"/>
            <w:vMerge w:val="continue"/>
            <w:vAlign w:val="center"/>
          </w:tcPr>
          <w:p>
            <w:pPr>
              <w:rPr>
                <w:color w:val="auto"/>
                <w:highlight w:val="none"/>
              </w:rPr>
            </w:pPr>
          </w:p>
        </w:tc>
        <w:tc>
          <w:tcPr>
            <w:tcW w:w="542" w:type="pct"/>
            <w:vMerge w:val="restart"/>
            <w:vAlign w:val="center"/>
          </w:tcPr>
          <w:p>
            <w:pPr>
              <w:rPr>
                <w:color w:val="auto"/>
                <w:highlight w:val="none"/>
              </w:rPr>
            </w:pPr>
            <w:r>
              <w:rPr>
                <w:rFonts w:hint="eastAsia"/>
                <w:color w:val="auto"/>
                <w:highlight w:val="none"/>
              </w:rPr>
              <w:t>主要技术参数</w:t>
            </w:r>
          </w:p>
        </w:tc>
        <w:tc>
          <w:tcPr>
            <w:tcW w:w="357" w:type="pct"/>
            <w:vMerge w:val="restart"/>
            <w:vAlign w:val="center"/>
          </w:tcPr>
          <w:p>
            <w:pPr>
              <w:jc w:val="center"/>
              <w:rPr>
                <w:color w:val="auto"/>
                <w:highlight w:val="none"/>
              </w:rPr>
            </w:pPr>
            <w:r>
              <w:rPr>
                <w:rFonts w:hint="eastAsia"/>
                <w:color w:val="auto"/>
                <w:highlight w:val="none"/>
              </w:rPr>
              <w:t>3</w:t>
            </w:r>
          </w:p>
        </w:tc>
        <w:tc>
          <w:tcPr>
            <w:tcW w:w="1167" w:type="pct"/>
            <w:vMerge w:val="restart"/>
            <w:vAlign w:val="center"/>
          </w:tcPr>
          <w:p>
            <w:pPr>
              <w:rPr>
                <w:color w:val="auto"/>
                <w:highlight w:val="none"/>
              </w:rPr>
            </w:pPr>
            <w:r>
              <w:rPr>
                <w:rFonts w:hint="eastAsia"/>
                <w:color w:val="auto"/>
                <w:highlight w:val="none"/>
              </w:rPr>
              <w:t>满足用户需求书3.2.3项第（2）条的要求。</w:t>
            </w:r>
          </w:p>
        </w:tc>
        <w:tc>
          <w:tcPr>
            <w:tcW w:w="1036" w:type="pct"/>
            <w:vAlign w:val="center"/>
          </w:tcPr>
          <w:p>
            <w:pPr>
              <w:rPr>
                <w:color w:val="auto"/>
                <w:highlight w:val="none"/>
              </w:rPr>
            </w:pPr>
            <w:r>
              <w:rPr>
                <w:rFonts w:hint="eastAsia"/>
                <w:color w:val="auto"/>
                <w:highlight w:val="none"/>
              </w:rPr>
              <w:t>满足用户需求：得2分</w:t>
            </w:r>
          </w:p>
        </w:tc>
        <w:tc>
          <w:tcPr>
            <w:tcW w:w="635" w:type="pct"/>
            <w:vMerge w:val="restart"/>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353" w:type="pct"/>
            <w:vMerge w:val="continue"/>
            <w:vAlign w:val="center"/>
          </w:tcPr>
          <w:p>
            <w:pPr>
              <w:jc w:val="center"/>
              <w:rPr>
                <w:color w:val="auto"/>
                <w:highlight w:val="none"/>
              </w:rPr>
            </w:pPr>
          </w:p>
        </w:tc>
        <w:tc>
          <w:tcPr>
            <w:tcW w:w="456" w:type="pct"/>
            <w:vMerge w:val="continue"/>
            <w:vAlign w:val="center"/>
          </w:tcPr>
          <w:p>
            <w:pPr>
              <w:rPr>
                <w:color w:val="auto"/>
                <w:highlight w:val="none"/>
              </w:rPr>
            </w:pPr>
          </w:p>
        </w:tc>
        <w:tc>
          <w:tcPr>
            <w:tcW w:w="450" w:type="pct"/>
            <w:vMerge w:val="continue"/>
            <w:vAlign w:val="center"/>
          </w:tcPr>
          <w:p>
            <w:pPr>
              <w:rPr>
                <w:color w:val="auto"/>
                <w:highlight w:val="none"/>
              </w:rPr>
            </w:pPr>
          </w:p>
        </w:tc>
        <w:tc>
          <w:tcPr>
            <w:tcW w:w="542" w:type="pct"/>
            <w:vMerge w:val="continue"/>
            <w:vAlign w:val="center"/>
          </w:tcPr>
          <w:p>
            <w:pPr>
              <w:rPr>
                <w:color w:val="auto"/>
                <w:highlight w:val="none"/>
              </w:rPr>
            </w:pPr>
          </w:p>
        </w:tc>
        <w:tc>
          <w:tcPr>
            <w:tcW w:w="357" w:type="pct"/>
            <w:vMerge w:val="continue"/>
            <w:vAlign w:val="center"/>
          </w:tcPr>
          <w:p>
            <w:pPr>
              <w:jc w:val="center"/>
              <w:rPr>
                <w:color w:val="auto"/>
                <w:highlight w:val="none"/>
              </w:rPr>
            </w:pPr>
          </w:p>
        </w:tc>
        <w:tc>
          <w:tcPr>
            <w:tcW w:w="1167" w:type="pct"/>
            <w:vMerge w:val="continue"/>
            <w:vAlign w:val="center"/>
          </w:tcPr>
          <w:p>
            <w:pPr>
              <w:rPr>
                <w:color w:val="auto"/>
                <w:highlight w:val="none"/>
              </w:rPr>
            </w:pPr>
          </w:p>
        </w:tc>
        <w:tc>
          <w:tcPr>
            <w:tcW w:w="1036" w:type="pct"/>
            <w:vAlign w:val="center"/>
          </w:tcPr>
          <w:p>
            <w:pPr>
              <w:rPr>
                <w:color w:val="auto"/>
                <w:highlight w:val="none"/>
              </w:rPr>
            </w:pPr>
            <w:r>
              <w:rPr>
                <w:rFonts w:hint="eastAsia"/>
                <w:color w:val="auto"/>
                <w:highlight w:val="none"/>
              </w:rPr>
              <w:t>优于用户需求：在2分的基础上每优于一项，加0.5分，最高加1分</w:t>
            </w:r>
          </w:p>
        </w:tc>
        <w:tc>
          <w:tcPr>
            <w:tcW w:w="635" w:type="pct"/>
            <w:vMerge w:val="continue"/>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2" w:hRule="atLeast"/>
          <w:jc w:val="center"/>
        </w:trPr>
        <w:tc>
          <w:tcPr>
            <w:tcW w:w="353" w:type="pct"/>
            <w:vAlign w:val="center"/>
          </w:tcPr>
          <w:p>
            <w:pPr>
              <w:jc w:val="center"/>
              <w:rPr>
                <w:color w:val="auto"/>
                <w:highlight w:val="none"/>
              </w:rPr>
            </w:pPr>
            <w:r>
              <w:rPr>
                <w:rFonts w:hint="eastAsia"/>
                <w:color w:val="auto"/>
                <w:highlight w:val="none"/>
              </w:rPr>
              <w:t>7</w:t>
            </w:r>
          </w:p>
        </w:tc>
        <w:tc>
          <w:tcPr>
            <w:tcW w:w="456" w:type="pct"/>
            <w:vMerge w:val="continue"/>
            <w:vAlign w:val="center"/>
          </w:tcPr>
          <w:p>
            <w:pPr>
              <w:rPr>
                <w:color w:val="auto"/>
                <w:highlight w:val="none"/>
              </w:rPr>
            </w:pPr>
          </w:p>
        </w:tc>
        <w:tc>
          <w:tcPr>
            <w:tcW w:w="450" w:type="pct"/>
            <w:vMerge w:val="restart"/>
            <w:vAlign w:val="center"/>
          </w:tcPr>
          <w:p>
            <w:pPr>
              <w:rPr>
                <w:color w:val="auto"/>
                <w:highlight w:val="none"/>
              </w:rPr>
            </w:pPr>
            <w:r>
              <w:rPr>
                <w:rFonts w:hint="eastAsia"/>
                <w:color w:val="auto"/>
                <w:highlight w:val="none"/>
              </w:rPr>
              <w:t>多功能垂直钢轨打磨机</w:t>
            </w:r>
          </w:p>
          <w:p>
            <w:pPr>
              <w:rPr>
                <w:color w:val="auto"/>
                <w:highlight w:val="none"/>
              </w:rPr>
            </w:pPr>
          </w:p>
        </w:tc>
        <w:tc>
          <w:tcPr>
            <w:tcW w:w="542" w:type="pct"/>
            <w:vAlign w:val="center"/>
          </w:tcPr>
          <w:p>
            <w:pPr>
              <w:rPr>
                <w:color w:val="auto"/>
                <w:highlight w:val="none"/>
              </w:rPr>
            </w:pPr>
            <w:r>
              <w:rPr>
                <w:rFonts w:hint="eastAsia"/>
                <w:color w:val="auto"/>
                <w:highlight w:val="none"/>
              </w:rPr>
              <w:t>特性要求</w:t>
            </w:r>
          </w:p>
        </w:tc>
        <w:tc>
          <w:tcPr>
            <w:tcW w:w="357" w:type="pct"/>
            <w:vAlign w:val="center"/>
          </w:tcPr>
          <w:p>
            <w:pPr>
              <w:jc w:val="center"/>
              <w:rPr>
                <w:color w:val="auto"/>
                <w:highlight w:val="none"/>
              </w:rPr>
            </w:pPr>
            <w:r>
              <w:rPr>
                <w:rFonts w:hint="eastAsia"/>
                <w:color w:val="auto"/>
                <w:highlight w:val="none"/>
              </w:rPr>
              <w:t>1</w:t>
            </w:r>
          </w:p>
        </w:tc>
        <w:tc>
          <w:tcPr>
            <w:tcW w:w="1167" w:type="pct"/>
            <w:vAlign w:val="center"/>
          </w:tcPr>
          <w:p>
            <w:pPr>
              <w:rPr>
                <w:color w:val="auto"/>
                <w:highlight w:val="none"/>
              </w:rPr>
            </w:pPr>
            <w:r>
              <w:rPr>
                <w:rFonts w:hint="eastAsia"/>
                <w:color w:val="auto"/>
                <w:highlight w:val="none"/>
              </w:rPr>
              <w:t>满足用户需求书3.2.4项第（1）条的要求。</w:t>
            </w:r>
          </w:p>
        </w:tc>
        <w:tc>
          <w:tcPr>
            <w:tcW w:w="1036" w:type="pct"/>
            <w:vAlign w:val="center"/>
          </w:tcPr>
          <w:p>
            <w:pPr>
              <w:rPr>
                <w:color w:val="auto"/>
                <w:highlight w:val="none"/>
              </w:rPr>
            </w:pPr>
            <w:r>
              <w:rPr>
                <w:rFonts w:hint="eastAsia"/>
                <w:color w:val="auto"/>
                <w:highlight w:val="none"/>
              </w:rPr>
              <w:t>满足用户需求：得</w:t>
            </w:r>
            <w:r>
              <w:rPr>
                <w:color w:val="auto"/>
                <w:highlight w:val="none"/>
              </w:rPr>
              <w:t>1</w:t>
            </w:r>
            <w:r>
              <w:rPr>
                <w:rFonts w:hint="eastAsia"/>
                <w:color w:val="auto"/>
                <w:highlight w:val="none"/>
              </w:rPr>
              <w:t>分</w:t>
            </w:r>
          </w:p>
        </w:tc>
        <w:tc>
          <w:tcPr>
            <w:tcW w:w="635" w:type="pct"/>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53" w:type="pct"/>
            <w:vMerge w:val="restart"/>
            <w:vAlign w:val="center"/>
          </w:tcPr>
          <w:p>
            <w:pPr>
              <w:jc w:val="center"/>
              <w:rPr>
                <w:color w:val="auto"/>
                <w:highlight w:val="none"/>
              </w:rPr>
            </w:pPr>
            <w:r>
              <w:rPr>
                <w:rFonts w:hint="eastAsia"/>
                <w:color w:val="auto"/>
                <w:highlight w:val="none"/>
              </w:rPr>
              <w:t>8</w:t>
            </w:r>
          </w:p>
        </w:tc>
        <w:tc>
          <w:tcPr>
            <w:tcW w:w="456" w:type="pct"/>
            <w:vMerge w:val="continue"/>
            <w:vAlign w:val="center"/>
          </w:tcPr>
          <w:p>
            <w:pPr>
              <w:rPr>
                <w:color w:val="auto"/>
                <w:highlight w:val="none"/>
              </w:rPr>
            </w:pPr>
          </w:p>
        </w:tc>
        <w:tc>
          <w:tcPr>
            <w:tcW w:w="450" w:type="pct"/>
            <w:vMerge w:val="continue"/>
            <w:vAlign w:val="center"/>
          </w:tcPr>
          <w:p>
            <w:pPr>
              <w:rPr>
                <w:color w:val="auto"/>
                <w:highlight w:val="none"/>
              </w:rPr>
            </w:pPr>
          </w:p>
        </w:tc>
        <w:tc>
          <w:tcPr>
            <w:tcW w:w="542" w:type="pct"/>
            <w:vMerge w:val="restart"/>
            <w:vAlign w:val="center"/>
          </w:tcPr>
          <w:p>
            <w:pPr>
              <w:rPr>
                <w:color w:val="auto"/>
                <w:highlight w:val="none"/>
              </w:rPr>
            </w:pPr>
            <w:r>
              <w:rPr>
                <w:rFonts w:hint="eastAsia"/>
                <w:color w:val="auto"/>
                <w:highlight w:val="none"/>
              </w:rPr>
              <w:t>主要技术参数</w:t>
            </w:r>
          </w:p>
        </w:tc>
        <w:tc>
          <w:tcPr>
            <w:tcW w:w="357" w:type="pct"/>
            <w:vMerge w:val="restart"/>
            <w:vAlign w:val="center"/>
          </w:tcPr>
          <w:p>
            <w:pPr>
              <w:jc w:val="center"/>
              <w:rPr>
                <w:color w:val="auto"/>
                <w:highlight w:val="none"/>
              </w:rPr>
            </w:pPr>
            <w:r>
              <w:rPr>
                <w:rFonts w:hint="eastAsia"/>
                <w:color w:val="auto"/>
                <w:highlight w:val="none"/>
              </w:rPr>
              <w:t>3</w:t>
            </w:r>
          </w:p>
        </w:tc>
        <w:tc>
          <w:tcPr>
            <w:tcW w:w="1167" w:type="pct"/>
            <w:vMerge w:val="restart"/>
            <w:vAlign w:val="center"/>
          </w:tcPr>
          <w:p>
            <w:pPr>
              <w:rPr>
                <w:color w:val="auto"/>
                <w:highlight w:val="none"/>
              </w:rPr>
            </w:pPr>
            <w:r>
              <w:rPr>
                <w:rFonts w:hint="eastAsia"/>
                <w:color w:val="auto"/>
                <w:highlight w:val="none"/>
              </w:rPr>
              <w:t>满足用户需求书3.2.4项第（2）条的要求。</w:t>
            </w:r>
          </w:p>
        </w:tc>
        <w:tc>
          <w:tcPr>
            <w:tcW w:w="1036" w:type="pct"/>
            <w:vAlign w:val="center"/>
          </w:tcPr>
          <w:p>
            <w:pPr>
              <w:rPr>
                <w:color w:val="auto"/>
                <w:highlight w:val="none"/>
              </w:rPr>
            </w:pPr>
            <w:r>
              <w:rPr>
                <w:rFonts w:hint="eastAsia"/>
                <w:color w:val="auto"/>
                <w:highlight w:val="none"/>
              </w:rPr>
              <w:t>满足用户需求：得2分</w:t>
            </w:r>
          </w:p>
        </w:tc>
        <w:tc>
          <w:tcPr>
            <w:tcW w:w="635" w:type="pct"/>
            <w:vMerge w:val="restart"/>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53" w:type="pct"/>
            <w:vMerge w:val="continue"/>
            <w:vAlign w:val="center"/>
          </w:tcPr>
          <w:p>
            <w:pPr>
              <w:jc w:val="center"/>
              <w:rPr>
                <w:color w:val="auto"/>
                <w:highlight w:val="none"/>
              </w:rPr>
            </w:pPr>
          </w:p>
        </w:tc>
        <w:tc>
          <w:tcPr>
            <w:tcW w:w="456" w:type="pct"/>
            <w:vMerge w:val="continue"/>
            <w:vAlign w:val="center"/>
          </w:tcPr>
          <w:p>
            <w:pPr>
              <w:rPr>
                <w:color w:val="auto"/>
                <w:highlight w:val="none"/>
              </w:rPr>
            </w:pPr>
          </w:p>
        </w:tc>
        <w:tc>
          <w:tcPr>
            <w:tcW w:w="450" w:type="pct"/>
            <w:vMerge w:val="continue"/>
            <w:vAlign w:val="center"/>
          </w:tcPr>
          <w:p>
            <w:pPr>
              <w:rPr>
                <w:color w:val="auto"/>
                <w:highlight w:val="none"/>
              </w:rPr>
            </w:pPr>
          </w:p>
        </w:tc>
        <w:tc>
          <w:tcPr>
            <w:tcW w:w="542" w:type="pct"/>
            <w:vMerge w:val="continue"/>
            <w:vAlign w:val="center"/>
          </w:tcPr>
          <w:p>
            <w:pPr>
              <w:rPr>
                <w:color w:val="auto"/>
                <w:highlight w:val="none"/>
              </w:rPr>
            </w:pPr>
          </w:p>
        </w:tc>
        <w:tc>
          <w:tcPr>
            <w:tcW w:w="357" w:type="pct"/>
            <w:vMerge w:val="continue"/>
            <w:vAlign w:val="center"/>
          </w:tcPr>
          <w:p>
            <w:pPr>
              <w:jc w:val="center"/>
              <w:rPr>
                <w:color w:val="auto"/>
                <w:highlight w:val="none"/>
              </w:rPr>
            </w:pPr>
          </w:p>
        </w:tc>
        <w:tc>
          <w:tcPr>
            <w:tcW w:w="1167" w:type="pct"/>
            <w:vMerge w:val="continue"/>
            <w:vAlign w:val="center"/>
          </w:tcPr>
          <w:p>
            <w:pPr>
              <w:rPr>
                <w:color w:val="auto"/>
                <w:highlight w:val="none"/>
              </w:rPr>
            </w:pPr>
          </w:p>
        </w:tc>
        <w:tc>
          <w:tcPr>
            <w:tcW w:w="1036" w:type="pct"/>
            <w:vAlign w:val="center"/>
          </w:tcPr>
          <w:p>
            <w:pPr>
              <w:rPr>
                <w:color w:val="auto"/>
                <w:highlight w:val="none"/>
              </w:rPr>
            </w:pPr>
            <w:r>
              <w:rPr>
                <w:rFonts w:hint="eastAsia"/>
                <w:color w:val="auto"/>
                <w:highlight w:val="none"/>
              </w:rPr>
              <w:t>优于用户需求：在2分的基础上每优于一项，加0.5分，最高加1分</w:t>
            </w:r>
          </w:p>
        </w:tc>
        <w:tc>
          <w:tcPr>
            <w:tcW w:w="635" w:type="pct"/>
            <w:vMerge w:val="continue"/>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53" w:type="pct"/>
            <w:vAlign w:val="center"/>
          </w:tcPr>
          <w:p>
            <w:pPr>
              <w:jc w:val="center"/>
              <w:rPr>
                <w:color w:val="auto"/>
                <w:highlight w:val="none"/>
              </w:rPr>
            </w:pPr>
            <w:r>
              <w:rPr>
                <w:rFonts w:hint="eastAsia"/>
                <w:color w:val="auto"/>
                <w:highlight w:val="none"/>
              </w:rPr>
              <w:t>9</w:t>
            </w:r>
          </w:p>
        </w:tc>
        <w:tc>
          <w:tcPr>
            <w:tcW w:w="456" w:type="pct"/>
            <w:vMerge w:val="continue"/>
            <w:vAlign w:val="center"/>
          </w:tcPr>
          <w:p>
            <w:pPr>
              <w:rPr>
                <w:color w:val="auto"/>
                <w:highlight w:val="none"/>
              </w:rPr>
            </w:pPr>
          </w:p>
        </w:tc>
        <w:tc>
          <w:tcPr>
            <w:tcW w:w="450" w:type="pct"/>
            <w:vMerge w:val="restart"/>
            <w:vAlign w:val="center"/>
          </w:tcPr>
          <w:p>
            <w:pPr>
              <w:rPr>
                <w:color w:val="auto"/>
                <w:highlight w:val="none"/>
              </w:rPr>
            </w:pPr>
            <w:r>
              <w:rPr>
                <w:rFonts w:hint="eastAsia"/>
                <w:color w:val="auto"/>
                <w:highlight w:val="none"/>
              </w:rPr>
              <w:t>钢轨波纹打磨机</w:t>
            </w:r>
          </w:p>
        </w:tc>
        <w:tc>
          <w:tcPr>
            <w:tcW w:w="542" w:type="pct"/>
            <w:vAlign w:val="center"/>
          </w:tcPr>
          <w:p>
            <w:pPr>
              <w:rPr>
                <w:color w:val="auto"/>
                <w:highlight w:val="none"/>
              </w:rPr>
            </w:pPr>
            <w:r>
              <w:rPr>
                <w:rFonts w:hint="eastAsia"/>
                <w:color w:val="auto"/>
                <w:highlight w:val="none"/>
              </w:rPr>
              <w:t>特性要求</w:t>
            </w:r>
          </w:p>
        </w:tc>
        <w:tc>
          <w:tcPr>
            <w:tcW w:w="357" w:type="pct"/>
            <w:vAlign w:val="center"/>
          </w:tcPr>
          <w:p>
            <w:pPr>
              <w:jc w:val="center"/>
              <w:rPr>
                <w:color w:val="auto"/>
                <w:highlight w:val="none"/>
              </w:rPr>
            </w:pPr>
            <w:r>
              <w:rPr>
                <w:rFonts w:hint="eastAsia"/>
                <w:color w:val="auto"/>
                <w:highlight w:val="none"/>
              </w:rPr>
              <w:t>1</w:t>
            </w:r>
          </w:p>
        </w:tc>
        <w:tc>
          <w:tcPr>
            <w:tcW w:w="1167" w:type="pct"/>
            <w:vAlign w:val="center"/>
          </w:tcPr>
          <w:p>
            <w:pPr>
              <w:rPr>
                <w:color w:val="auto"/>
                <w:highlight w:val="none"/>
              </w:rPr>
            </w:pPr>
            <w:r>
              <w:rPr>
                <w:rFonts w:hint="eastAsia"/>
                <w:color w:val="auto"/>
                <w:highlight w:val="none"/>
              </w:rPr>
              <w:t>满足用户需求书3.2.5项第（1）条的要求。</w:t>
            </w:r>
          </w:p>
        </w:tc>
        <w:tc>
          <w:tcPr>
            <w:tcW w:w="1036" w:type="pct"/>
            <w:vAlign w:val="center"/>
          </w:tcPr>
          <w:p>
            <w:pPr>
              <w:rPr>
                <w:color w:val="auto"/>
                <w:highlight w:val="none"/>
              </w:rPr>
            </w:pPr>
            <w:r>
              <w:rPr>
                <w:rFonts w:hint="eastAsia"/>
                <w:color w:val="auto"/>
                <w:highlight w:val="none"/>
              </w:rPr>
              <w:t>满足用户需求：得</w:t>
            </w:r>
            <w:r>
              <w:rPr>
                <w:color w:val="auto"/>
                <w:highlight w:val="none"/>
              </w:rPr>
              <w:t>1</w:t>
            </w:r>
            <w:r>
              <w:rPr>
                <w:rFonts w:hint="eastAsia"/>
                <w:color w:val="auto"/>
                <w:highlight w:val="none"/>
              </w:rPr>
              <w:t>分</w:t>
            </w:r>
          </w:p>
        </w:tc>
        <w:tc>
          <w:tcPr>
            <w:tcW w:w="635" w:type="pct"/>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 w:hRule="atLeast"/>
          <w:jc w:val="center"/>
        </w:trPr>
        <w:tc>
          <w:tcPr>
            <w:tcW w:w="353" w:type="pct"/>
            <w:vMerge w:val="restart"/>
            <w:vAlign w:val="center"/>
          </w:tcPr>
          <w:p>
            <w:pPr>
              <w:jc w:val="center"/>
              <w:rPr>
                <w:color w:val="auto"/>
                <w:highlight w:val="none"/>
              </w:rPr>
            </w:pPr>
            <w:r>
              <w:rPr>
                <w:rFonts w:hint="eastAsia"/>
                <w:color w:val="auto"/>
                <w:highlight w:val="none"/>
              </w:rPr>
              <w:t>10</w:t>
            </w:r>
          </w:p>
        </w:tc>
        <w:tc>
          <w:tcPr>
            <w:tcW w:w="456" w:type="pct"/>
            <w:vMerge w:val="continue"/>
            <w:vAlign w:val="center"/>
          </w:tcPr>
          <w:p>
            <w:pPr>
              <w:rPr>
                <w:color w:val="auto"/>
                <w:highlight w:val="none"/>
              </w:rPr>
            </w:pPr>
          </w:p>
        </w:tc>
        <w:tc>
          <w:tcPr>
            <w:tcW w:w="450" w:type="pct"/>
            <w:vMerge w:val="continue"/>
            <w:vAlign w:val="center"/>
          </w:tcPr>
          <w:p>
            <w:pPr>
              <w:rPr>
                <w:color w:val="auto"/>
                <w:highlight w:val="none"/>
              </w:rPr>
            </w:pPr>
          </w:p>
        </w:tc>
        <w:tc>
          <w:tcPr>
            <w:tcW w:w="542" w:type="pct"/>
            <w:vMerge w:val="restart"/>
            <w:vAlign w:val="center"/>
          </w:tcPr>
          <w:p>
            <w:pPr>
              <w:rPr>
                <w:color w:val="auto"/>
                <w:highlight w:val="none"/>
              </w:rPr>
            </w:pPr>
            <w:r>
              <w:rPr>
                <w:rFonts w:hint="eastAsia"/>
                <w:color w:val="auto"/>
                <w:highlight w:val="none"/>
              </w:rPr>
              <w:t>主要技术参数</w:t>
            </w:r>
          </w:p>
        </w:tc>
        <w:tc>
          <w:tcPr>
            <w:tcW w:w="357" w:type="pct"/>
            <w:vMerge w:val="restart"/>
            <w:vAlign w:val="center"/>
          </w:tcPr>
          <w:p>
            <w:pPr>
              <w:jc w:val="center"/>
              <w:rPr>
                <w:color w:val="auto"/>
                <w:highlight w:val="none"/>
              </w:rPr>
            </w:pPr>
            <w:r>
              <w:rPr>
                <w:rFonts w:hint="eastAsia"/>
                <w:color w:val="auto"/>
                <w:highlight w:val="none"/>
              </w:rPr>
              <w:t>3</w:t>
            </w:r>
          </w:p>
        </w:tc>
        <w:tc>
          <w:tcPr>
            <w:tcW w:w="1167" w:type="pct"/>
            <w:vMerge w:val="restart"/>
            <w:vAlign w:val="center"/>
          </w:tcPr>
          <w:p>
            <w:pPr>
              <w:rPr>
                <w:color w:val="auto"/>
                <w:highlight w:val="none"/>
              </w:rPr>
            </w:pPr>
            <w:r>
              <w:rPr>
                <w:rFonts w:hint="eastAsia"/>
                <w:color w:val="auto"/>
                <w:highlight w:val="none"/>
              </w:rPr>
              <w:t>满足用户需求书3.2.5项第（2）条的要求。</w:t>
            </w:r>
          </w:p>
        </w:tc>
        <w:tc>
          <w:tcPr>
            <w:tcW w:w="1036" w:type="pct"/>
            <w:vAlign w:val="center"/>
          </w:tcPr>
          <w:p>
            <w:pPr>
              <w:rPr>
                <w:color w:val="auto"/>
                <w:highlight w:val="none"/>
              </w:rPr>
            </w:pPr>
            <w:r>
              <w:rPr>
                <w:rFonts w:hint="eastAsia"/>
                <w:color w:val="auto"/>
                <w:highlight w:val="none"/>
              </w:rPr>
              <w:t>满足用户需求：得2分</w:t>
            </w:r>
          </w:p>
        </w:tc>
        <w:tc>
          <w:tcPr>
            <w:tcW w:w="635" w:type="pct"/>
            <w:vMerge w:val="restart"/>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3" w:hRule="atLeast"/>
          <w:jc w:val="center"/>
        </w:trPr>
        <w:tc>
          <w:tcPr>
            <w:tcW w:w="353" w:type="pct"/>
            <w:vMerge w:val="continue"/>
            <w:vAlign w:val="center"/>
          </w:tcPr>
          <w:p>
            <w:pPr>
              <w:jc w:val="center"/>
              <w:rPr>
                <w:color w:val="auto"/>
                <w:highlight w:val="none"/>
              </w:rPr>
            </w:pPr>
          </w:p>
        </w:tc>
        <w:tc>
          <w:tcPr>
            <w:tcW w:w="456" w:type="pct"/>
            <w:vMerge w:val="continue"/>
            <w:vAlign w:val="center"/>
          </w:tcPr>
          <w:p>
            <w:pPr>
              <w:rPr>
                <w:color w:val="auto"/>
                <w:highlight w:val="none"/>
              </w:rPr>
            </w:pPr>
          </w:p>
        </w:tc>
        <w:tc>
          <w:tcPr>
            <w:tcW w:w="450" w:type="pct"/>
            <w:vMerge w:val="continue"/>
            <w:vAlign w:val="center"/>
          </w:tcPr>
          <w:p>
            <w:pPr>
              <w:rPr>
                <w:color w:val="auto"/>
                <w:highlight w:val="none"/>
              </w:rPr>
            </w:pPr>
          </w:p>
        </w:tc>
        <w:tc>
          <w:tcPr>
            <w:tcW w:w="542" w:type="pct"/>
            <w:vMerge w:val="continue"/>
            <w:vAlign w:val="center"/>
          </w:tcPr>
          <w:p>
            <w:pPr>
              <w:rPr>
                <w:color w:val="auto"/>
                <w:highlight w:val="none"/>
              </w:rPr>
            </w:pPr>
          </w:p>
        </w:tc>
        <w:tc>
          <w:tcPr>
            <w:tcW w:w="357" w:type="pct"/>
            <w:vMerge w:val="continue"/>
            <w:vAlign w:val="center"/>
          </w:tcPr>
          <w:p>
            <w:pPr>
              <w:jc w:val="center"/>
              <w:rPr>
                <w:color w:val="auto"/>
                <w:highlight w:val="none"/>
              </w:rPr>
            </w:pPr>
          </w:p>
        </w:tc>
        <w:tc>
          <w:tcPr>
            <w:tcW w:w="1167" w:type="pct"/>
            <w:vMerge w:val="continue"/>
            <w:vAlign w:val="center"/>
          </w:tcPr>
          <w:p>
            <w:pPr>
              <w:rPr>
                <w:color w:val="auto"/>
                <w:highlight w:val="none"/>
              </w:rPr>
            </w:pPr>
          </w:p>
        </w:tc>
        <w:tc>
          <w:tcPr>
            <w:tcW w:w="1036" w:type="pct"/>
            <w:vAlign w:val="center"/>
          </w:tcPr>
          <w:p>
            <w:pPr>
              <w:rPr>
                <w:color w:val="auto"/>
                <w:highlight w:val="none"/>
              </w:rPr>
            </w:pPr>
            <w:r>
              <w:rPr>
                <w:rFonts w:hint="eastAsia"/>
                <w:color w:val="auto"/>
                <w:highlight w:val="none"/>
              </w:rPr>
              <w:t>优于用户需求：在2分的基础上每优于一项，加0.5分，最高加1分</w:t>
            </w:r>
          </w:p>
        </w:tc>
        <w:tc>
          <w:tcPr>
            <w:tcW w:w="635" w:type="pct"/>
            <w:vMerge w:val="continue"/>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3" w:hRule="atLeast"/>
          <w:jc w:val="center"/>
        </w:trPr>
        <w:tc>
          <w:tcPr>
            <w:tcW w:w="353" w:type="pct"/>
            <w:vMerge w:val="restart"/>
            <w:vAlign w:val="center"/>
          </w:tcPr>
          <w:p>
            <w:pPr>
              <w:jc w:val="center"/>
              <w:rPr>
                <w:color w:val="auto"/>
                <w:highlight w:val="none"/>
              </w:rPr>
            </w:pPr>
            <w:r>
              <w:rPr>
                <w:rFonts w:hint="eastAsia"/>
                <w:color w:val="auto"/>
                <w:highlight w:val="none"/>
              </w:rPr>
              <w:t>11</w:t>
            </w:r>
          </w:p>
        </w:tc>
        <w:tc>
          <w:tcPr>
            <w:tcW w:w="1449" w:type="pct"/>
            <w:gridSpan w:val="3"/>
            <w:vMerge w:val="restart"/>
            <w:vAlign w:val="center"/>
          </w:tcPr>
          <w:p>
            <w:pPr>
              <w:rPr>
                <w:color w:val="auto"/>
                <w:highlight w:val="none"/>
              </w:rPr>
            </w:pPr>
            <w:r>
              <w:rPr>
                <w:rFonts w:hint="eastAsia"/>
                <w:color w:val="auto"/>
                <w:highlight w:val="none"/>
              </w:rPr>
              <w:t>技术服务方案</w:t>
            </w:r>
          </w:p>
        </w:tc>
        <w:tc>
          <w:tcPr>
            <w:tcW w:w="357" w:type="pct"/>
            <w:vMerge w:val="restart"/>
            <w:vAlign w:val="center"/>
          </w:tcPr>
          <w:p>
            <w:pPr>
              <w:jc w:val="center"/>
              <w:rPr>
                <w:color w:val="auto"/>
                <w:highlight w:val="none"/>
              </w:rPr>
            </w:pPr>
            <w:r>
              <w:rPr>
                <w:rFonts w:hint="eastAsia"/>
                <w:color w:val="auto"/>
                <w:highlight w:val="none"/>
              </w:rPr>
              <w:t>15</w:t>
            </w:r>
          </w:p>
        </w:tc>
        <w:tc>
          <w:tcPr>
            <w:tcW w:w="1167" w:type="pct"/>
            <w:vMerge w:val="restart"/>
            <w:vAlign w:val="center"/>
          </w:tcPr>
          <w:p>
            <w:pPr>
              <w:rPr>
                <w:color w:val="auto"/>
                <w:highlight w:val="none"/>
              </w:rPr>
            </w:pPr>
            <w:r>
              <w:rPr>
                <w:rFonts w:hint="eastAsia"/>
                <w:color w:val="auto"/>
                <w:highlight w:val="none"/>
              </w:rPr>
              <w:t>谈判单位应针对产品使用培训、售后技术支持、本地售后服务机构的设置、备件赠与提供完整的技术服务方案。</w:t>
            </w:r>
          </w:p>
        </w:tc>
        <w:tc>
          <w:tcPr>
            <w:tcW w:w="1036" w:type="pct"/>
            <w:tcBorders>
              <w:bottom w:val="single" w:color="auto" w:sz="4" w:space="0"/>
            </w:tcBorders>
            <w:vAlign w:val="center"/>
          </w:tcPr>
          <w:p>
            <w:pPr>
              <w:rPr>
                <w:color w:val="auto"/>
                <w:highlight w:val="none"/>
              </w:rPr>
            </w:pPr>
            <w:r>
              <w:rPr>
                <w:rFonts w:hint="eastAsia"/>
                <w:color w:val="auto"/>
                <w:highlight w:val="none"/>
              </w:rPr>
              <w:t>方案全面、合理、可行的，计11-15分</w:t>
            </w:r>
          </w:p>
        </w:tc>
        <w:tc>
          <w:tcPr>
            <w:tcW w:w="635" w:type="pct"/>
            <w:vMerge w:val="restart"/>
            <w:vAlign w:val="center"/>
          </w:tcPr>
          <w:p>
            <w:pPr>
              <w:rPr>
                <w:color w:val="auto"/>
                <w:highlight w:val="none"/>
              </w:rPr>
            </w:pPr>
            <w:r>
              <w:rPr>
                <w:rFonts w:hint="eastAsia"/>
                <w:color w:val="auto"/>
                <w:highlight w:val="none"/>
              </w:rPr>
              <w:t>须提供承诺函（具体格式详见第六章第七节），并加盖谈判单位公章。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3" w:hRule="atLeast"/>
          <w:jc w:val="center"/>
        </w:trPr>
        <w:tc>
          <w:tcPr>
            <w:tcW w:w="353" w:type="pct"/>
            <w:vMerge w:val="continue"/>
            <w:vAlign w:val="center"/>
          </w:tcPr>
          <w:p>
            <w:pPr>
              <w:jc w:val="center"/>
              <w:rPr>
                <w:color w:val="auto"/>
                <w:highlight w:val="none"/>
              </w:rPr>
            </w:pPr>
          </w:p>
        </w:tc>
        <w:tc>
          <w:tcPr>
            <w:tcW w:w="1449" w:type="pct"/>
            <w:gridSpan w:val="3"/>
            <w:vMerge w:val="continue"/>
            <w:vAlign w:val="center"/>
          </w:tcPr>
          <w:p>
            <w:pPr>
              <w:rPr>
                <w:color w:val="auto"/>
                <w:highlight w:val="none"/>
              </w:rPr>
            </w:pPr>
          </w:p>
        </w:tc>
        <w:tc>
          <w:tcPr>
            <w:tcW w:w="357" w:type="pct"/>
            <w:vMerge w:val="continue"/>
            <w:vAlign w:val="center"/>
          </w:tcPr>
          <w:p>
            <w:pPr>
              <w:jc w:val="center"/>
              <w:rPr>
                <w:color w:val="auto"/>
                <w:highlight w:val="none"/>
              </w:rPr>
            </w:pPr>
          </w:p>
        </w:tc>
        <w:tc>
          <w:tcPr>
            <w:tcW w:w="1167" w:type="pct"/>
            <w:vMerge w:val="continue"/>
            <w:vAlign w:val="center"/>
          </w:tcPr>
          <w:p>
            <w:pPr>
              <w:rPr>
                <w:color w:val="auto"/>
                <w:highlight w:val="none"/>
              </w:rPr>
            </w:pPr>
          </w:p>
        </w:tc>
        <w:tc>
          <w:tcPr>
            <w:tcW w:w="1036" w:type="pct"/>
            <w:tcBorders>
              <w:top w:val="single" w:color="auto" w:sz="4" w:space="0"/>
              <w:bottom w:val="single" w:color="auto" w:sz="4" w:space="0"/>
            </w:tcBorders>
            <w:vAlign w:val="center"/>
          </w:tcPr>
          <w:p>
            <w:pPr>
              <w:rPr>
                <w:color w:val="auto"/>
                <w:highlight w:val="none"/>
              </w:rPr>
            </w:pPr>
            <w:r>
              <w:rPr>
                <w:rFonts w:hint="eastAsia"/>
                <w:color w:val="auto"/>
                <w:highlight w:val="none"/>
              </w:rPr>
              <w:t>方案较全面、较合理、较可行的，计6-10分</w:t>
            </w:r>
          </w:p>
        </w:tc>
        <w:tc>
          <w:tcPr>
            <w:tcW w:w="635" w:type="pct"/>
            <w:vMerge w:val="continue"/>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jc w:val="center"/>
        </w:trPr>
        <w:tc>
          <w:tcPr>
            <w:tcW w:w="353" w:type="pct"/>
            <w:vMerge w:val="continue"/>
            <w:vAlign w:val="center"/>
          </w:tcPr>
          <w:p>
            <w:pPr>
              <w:jc w:val="center"/>
              <w:rPr>
                <w:color w:val="auto"/>
                <w:highlight w:val="none"/>
              </w:rPr>
            </w:pPr>
          </w:p>
        </w:tc>
        <w:tc>
          <w:tcPr>
            <w:tcW w:w="1449" w:type="pct"/>
            <w:gridSpan w:val="3"/>
            <w:vMerge w:val="continue"/>
            <w:vAlign w:val="center"/>
          </w:tcPr>
          <w:p>
            <w:pPr>
              <w:rPr>
                <w:color w:val="auto"/>
                <w:highlight w:val="none"/>
              </w:rPr>
            </w:pPr>
          </w:p>
        </w:tc>
        <w:tc>
          <w:tcPr>
            <w:tcW w:w="357" w:type="pct"/>
            <w:vMerge w:val="continue"/>
            <w:vAlign w:val="center"/>
          </w:tcPr>
          <w:p>
            <w:pPr>
              <w:jc w:val="center"/>
              <w:rPr>
                <w:color w:val="auto"/>
                <w:highlight w:val="none"/>
              </w:rPr>
            </w:pPr>
          </w:p>
        </w:tc>
        <w:tc>
          <w:tcPr>
            <w:tcW w:w="1167" w:type="pct"/>
            <w:vMerge w:val="continue"/>
            <w:vAlign w:val="center"/>
          </w:tcPr>
          <w:p>
            <w:pPr>
              <w:rPr>
                <w:color w:val="auto"/>
                <w:highlight w:val="none"/>
              </w:rPr>
            </w:pPr>
          </w:p>
        </w:tc>
        <w:tc>
          <w:tcPr>
            <w:tcW w:w="1036" w:type="pct"/>
            <w:tcBorders>
              <w:top w:val="single" w:color="auto" w:sz="4" w:space="0"/>
              <w:bottom w:val="single" w:color="auto" w:sz="4" w:space="0"/>
            </w:tcBorders>
            <w:vAlign w:val="center"/>
          </w:tcPr>
          <w:p>
            <w:pPr>
              <w:rPr>
                <w:color w:val="auto"/>
                <w:highlight w:val="none"/>
              </w:rPr>
            </w:pPr>
            <w:r>
              <w:rPr>
                <w:rFonts w:hint="eastAsia"/>
                <w:color w:val="auto"/>
                <w:highlight w:val="none"/>
              </w:rPr>
              <w:t>方案欠全面、欠合理、欠可行的，计1-5分</w:t>
            </w:r>
          </w:p>
        </w:tc>
        <w:tc>
          <w:tcPr>
            <w:tcW w:w="635" w:type="pct"/>
            <w:vMerge w:val="continue"/>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353" w:type="pct"/>
            <w:vMerge w:val="continue"/>
            <w:vAlign w:val="center"/>
          </w:tcPr>
          <w:p>
            <w:pPr>
              <w:jc w:val="center"/>
              <w:rPr>
                <w:color w:val="auto"/>
                <w:highlight w:val="none"/>
              </w:rPr>
            </w:pPr>
          </w:p>
        </w:tc>
        <w:tc>
          <w:tcPr>
            <w:tcW w:w="1449" w:type="pct"/>
            <w:gridSpan w:val="3"/>
            <w:vMerge w:val="continue"/>
            <w:vAlign w:val="center"/>
          </w:tcPr>
          <w:p>
            <w:pPr>
              <w:rPr>
                <w:color w:val="auto"/>
                <w:highlight w:val="none"/>
              </w:rPr>
            </w:pPr>
          </w:p>
        </w:tc>
        <w:tc>
          <w:tcPr>
            <w:tcW w:w="357" w:type="pct"/>
            <w:vMerge w:val="continue"/>
            <w:vAlign w:val="center"/>
          </w:tcPr>
          <w:p>
            <w:pPr>
              <w:jc w:val="center"/>
              <w:rPr>
                <w:color w:val="auto"/>
                <w:highlight w:val="none"/>
              </w:rPr>
            </w:pPr>
          </w:p>
        </w:tc>
        <w:tc>
          <w:tcPr>
            <w:tcW w:w="1167" w:type="pct"/>
            <w:vMerge w:val="continue"/>
            <w:vAlign w:val="center"/>
          </w:tcPr>
          <w:p>
            <w:pPr>
              <w:rPr>
                <w:color w:val="auto"/>
                <w:highlight w:val="none"/>
              </w:rPr>
            </w:pPr>
          </w:p>
        </w:tc>
        <w:tc>
          <w:tcPr>
            <w:tcW w:w="1036" w:type="pct"/>
            <w:tcBorders>
              <w:top w:val="single" w:color="auto" w:sz="4" w:space="0"/>
            </w:tcBorders>
            <w:vAlign w:val="center"/>
          </w:tcPr>
          <w:p>
            <w:pPr>
              <w:rPr>
                <w:color w:val="auto"/>
                <w:highlight w:val="none"/>
              </w:rPr>
            </w:pPr>
            <w:r>
              <w:rPr>
                <w:rFonts w:hint="eastAsia"/>
                <w:color w:val="auto"/>
                <w:highlight w:val="none"/>
              </w:rPr>
              <w:t>未提供的计0分</w:t>
            </w:r>
          </w:p>
        </w:tc>
        <w:tc>
          <w:tcPr>
            <w:tcW w:w="635" w:type="pct"/>
            <w:vMerge w:val="continue"/>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6" w:hRule="atLeast"/>
          <w:jc w:val="center"/>
        </w:trPr>
        <w:tc>
          <w:tcPr>
            <w:tcW w:w="353" w:type="pct"/>
            <w:vMerge w:val="restart"/>
            <w:tcBorders>
              <w:right w:val="single" w:color="auto" w:sz="4" w:space="0"/>
            </w:tcBorders>
            <w:vAlign w:val="center"/>
          </w:tcPr>
          <w:p>
            <w:pPr>
              <w:jc w:val="center"/>
              <w:rPr>
                <w:color w:val="auto"/>
                <w:highlight w:val="none"/>
              </w:rPr>
            </w:pPr>
            <w:r>
              <w:rPr>
                <w:rFonts w:hint="eastAsia"/>
                <w:color w:val="auto"/>
                <w:highlight w:val="none"/>
              </w:rPr>
              <w:t>12</w:t>
            </w:r>
          </w:p>
        </w:tc>
        <w:tc>
          <w:tcPr>
            <w:tcW w:w="1449" w:type="pct"/>
            <w:gridSpan w:val="3"/>
            <w:vMerge w:val="restart"/>
            <w:tcBorders>
              <w:left w:val="single" w:color="auto" w:sz="4" w:space="0"/>
              <w:right w:val="single" w:color="auto" w:sz="4" w:space="0"/>
            </w:tcBorders>
            <w:vAlign w:val="center"/>
          </w:tcPr>
          <w:p>
            <w:pPr>
              <w:rPr>
                <w:color w:val="auto"/>
                <w:highlight w:val="none"/>
              </w:rPr>
            </w:pPr>
            <w:r>
              <w:rPr>
                <w:rFonts w:hint="eastAsia"/>
                <w:color w:val="auto"/>
                <w:highlight w:val="none"/>
              </w:rPr>
              <w:t>合理化建议</w:t>
            </w:r>
          </w:p>
        </w:tc>
        <w:tc>
          <w:tcPr>
            <w:tcW w:w="357" w:type="pct"/>
            <w:vMerge w:val="restart"/>
            <w:tcBorders>
              <w:left w:val="single" w:color="auto" w:sz="4" w:space="0"/>
              <w:right w:val="single" w:color="auto" w:sz="4" w:space="0"/>
            </w:tcBorders>
            <w:vAlign w:val="center"/>
          </w:tcPr>
          <w:p>
            <w:pPr>
              <w:jc w:val="center"/>
              <w:rPr>
                <w:color w:val="auto"/>
                <w:highlight w:val="none"/>
              </w:rPr>
            </w:pPr>
            <w:r>
              <w:rPr>
                <w:rFonts w:hint="eastAsia"/>
                <w:color w:val="auto"/>
                <w:highlight w:val="none"/>
              </w:rPr>
              <w:t>5</w:t>
            </w:r>
          </w:p>
        </w:tc>
        <w:tc>
          <w:tcPr>
            <w:tcW w:w="1167" w:type="pct"/>
            <w:vMerge w:val="restart"/>
            <w:tcBorders>
              <w:left w:val="single" w:color="auto" w:sz="4" w:space="0"/>
              <w:right w:val="single" w:color="auto" w:sz="4" w:space="0"/>
            </w:tcBorders>
            <w:vAlign w:val="center"/>
          </w:tcPr>
          <w:p>
            <w:pPr>
              <w:rPr>
                <w:color w:val="auto"/>
                <w:highlight w:val="none"/>
              </w:rPr>
            </w:pPr>
            <w:r>
              <w:rPr>
                <w:rFonts w:hint="eastAsia"/>
                <w:color w:val="auto"/>
                <w:highlight w:val="none"/>
              </w:rPr>
              <w:t>针对钢轨或钢轨打磨设备在维护保养等方面提出的建议或措施。</w:t>
            </w:r>
          </w:p>
        </w:tc>
        <w:tc>
          <w:tcPr>
            <w:tcW w:w="1036" w:type="pct"/>
            <w:tcBorders>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每提出一条具有合理化的建议或措施加1分，最多加5分</w:t>
            </w:r>
          </w:p>
        </w:tc>
        <w:tc>
          <w:tcPr>
            <w:tcW w:w="635" w:type="pct"/>
            <w:vMerge w:val="restart"/>
            <w:tcBorders>
              <w:left w:val="single" w:color="auto" w:sz="4" w:space="0"/>
            </w:tcBorders>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353" w:type="pct"/>
            <w:vMerge w:val="continue"/>
            <w:tcBorders>
              <w:right w:val="single" w:color="auto" w:sz="4" w:space="0"/>
            </w:tcBorders>
            <w:vAlign w:val="center"/>
          </w:tcPr>
          <w:p>
            <w:pPr>
              <w:rPr>
                <w:color w:val="auto"/>
                <w:highlight w:val="none"/>
              </w:rPr>
            </w:pPr>
          </w:p>
        </w:tc>
        <w:tc>
          <w:tcPr>
            <w:tcW w:w="1449" w:type="pct"/>
            <w:gridSpan w:val="3"/>
            <w:vMerge w:val="continue"/>
            <w:tcBorders>
              <w:left w:val="single" w:color="auto" w:sz="4" w:space="0"/>
              <w:right w:val="single" w:color="auto" w:sz="4" w:space="0"/>
            </w:tcBorders>
            <w:vAlign w:val="center"/>
          </w:tcPr>
          <w:p>
            <w:pPr>
              <w:rPr>
                <w:color w:val="auto"/>
                <w:highlight w:val="none"/>
              </w:rPr>
            </w:pPr>
          </w:p>
        </w:tc>
        <w:tc>
          <w:tcPr>
            <w:tcW w:w="357" w:type="pct"/>
            <w:vMerge w:val="continue"/>
            <w:tcBorders>
              <w:left w:val="single" w:color="auto" w:sz="4" w:space="0"/>
              <w:right w:val="single" w:color="auto" w:sz="4" w:space="0"/>
            </w:tcBorders>
            <w:vAlign w:val="center"/>
          </w:tcPr>
          <w:p>
            <w:pPr>
              <w:rPr>
                <w:color w:val="auto"/>
                <w:highlight w:val="none"/>
              </w:rPr>
            </w:pPr>
          </w:p>
        </w:tc>
        <w:tc>
          <w:tcPr>
            <w:tcW w:w="1167" w:type="pct"/>
            <w:vMerge w:val="continue"/>
            <w:tcBorders>
              <w:left w:val="single" w:color="auto" w:sz="4" w:space="0"/>
              <w:right w:val="single" w:color="auto" w:sz="4" w:space="0"/>
            </w:tcBorders>
            <w:vAlign w:val="center"/>
          </w:tcPr>
          <w:p>
            <w:pPr>
              <w:rPr>
                <w:color w:val="auto"/>
                <w:highlight w:val="none"/>
              </w:rPr>
            </w:pPr>
          </w:p>
        </w:tc>
        <w:tc>
          <w:tcPr>
            <w:tcW w:w="1036" w:type="pct"/>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rPr>
              <w:t>未提供的计0分</w:t>
            </w:r>
          </w:p>
        </w:tc>
        <w:tc>
          <w:tcPr>
            <w:tcW w:w="635" w:type="pct"/>
            <w:vMerge w:val="continue"/>
            <w:tcBorders>
              <w:left w:val="single" w:color="auto" w:sz="4" w:space="0"/>
            </w:tcBorders>
            <w:vAlign w:val="center"/>
          </w:tcPr>
          <w:p>
            <w:pP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atLeast"/>
          <w:jc w:val="center"/>
        </w:trPr>
        <w:tc>
          <w:tcPr>
            <w:tcW w:w="5000" w:type="pct"/>
            <w:gridSpan w:val="8"/>
            <w:vAlign w:val="center"/>
          </w:tcPr>
          <w:p>
            <w:pPr>
              <w:rPr>
                <w:color w:val="auto"/>
                <w:highlight w:val="none"/>
              </w:rPr>
            </w:pPr>
            <w:r>
              <w:rPr>
                <w:rFonts w:hint="eastAsia"/>
                <w:color w:val="auto"/>
                <w:highlight w:val="none"/>
              </w:rPr>
              <w:t>注：1.设备特性及参数出现任意1项不满足用户需求书要求则技术评分部分（40分）计0分；</w:t>
            </w:r>
          </w:p>
          <w:p>
            <w:pPr>
              <w:ind w:firstLine="420" w:firstLineChars="200"/>
              <w:rPr>
                <w:color w:val="auto"/>
                <w:highlight w:val="none"/>
              </w:rPr>
            </w:pPr>
            <w:r>
              <w:rPr>
                <w:rFonts w:hint="eastAsia"/>
                <w:color w:val="auto"/>
                <w:highlight w:val="none"/>
              </w:rPr>
              <w:t>2.针对优于用户需求书的设备主要技术参数，谈判单位应按照附表列出清单（具体格式详见第六章第五节），清单中须明确优于用户需求书技术参数要求的内容，且须提供相关佐证资料。</w:t>
            </w:r>
          </w:p>
        </w:tc>
      </w:tr>
    </w:tbl>
    <w:p>
      <w:pP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br w:type="page"/>
      </w:r>
      <w:r>
        <w:rPr>
          <w:rFonts w:hint="eastAsia" w:ascii="黑体" w:hAnsi="黑体" w:eastAsia="黑体" w:cs="黑体"/>
          <w:color w:val="auto"/>
          <w:sz w:val="28"/>
          <w:szCs w:val="28"/>
          <w:highlight w:val="none"/>
        </w:rPr>
        <w:t>附表3</w:t>
      </w:r>
    </w:p>
    <w:p>
      <w:pPr>
        <w:widowControl/>
        <w:jc w:val="center"/>
        <w:rPr>
          <w:color w:val="auto"/>
          <w:highlight w:val="none"/>
        </w:rPr>
      </w:pPr>
      <w:r>
        <w:rPr>
          <w:rFonts w:ascii="宋体" w:hAnsi="宋体" w:cs="宋体"/>
          <w:b/>
          <w:bCs/>
          <w:color w:val="auto"/>
          <w:kern w:val="0"/>
          <w:sz w:val="32"/>
          <w:szCs w:val="32"/>
          <w:highlight w:val="none"/>
          <w:lang w:bidi="ar"/>
        </w:rPr>
        <w:t>报价</w:t>
      </w:r>
      <w:r>
        <w:rPr>
          <w:rFonts w:hint="eastAsia" w:ascii="宋体" w:hAnsi="宋体" w:cs="宋体"/>
          <w:b/>
          <w:bCs/>
          <w:color w:val="auto"/>
          <w:kern w:val="0"/>
          <w:sz w:val="32"/>
          <w:szCs w:val="32"/>
          <w:highlight w:val="none"/>
          <w:lang w:bidi="ar"/>
        </w:rPr>
        <w:t>评分标准</w:t>
      </w:r>
      <w:r>
        <w:rPr>
          <w:rFonts w:ascii="宋体" w:hAnsi="宋体" w:cs="宋体"/>
          <w:b/>
          <w:bCs/>
          <w:color w:val="auto"/>
          <w:kern w:val="0"/>
          <w:sz w:val="32"/>
          <w:szCs w:val="32"/>
          <w:highlight w:val="none"/>
          <w:lang w:bidi="ar"/>
        </w:rPr>
        <w:t>（</w:t>
      </w:r>
      <w:r>
        <w:rPr>
          <w:rFonts w:hint="eastAsia" w:ascii="宋体" w:hAnsi="宋体" w:cs="宋体"/>
          <w:b/>
          <w:bCs/>
          <w:color w:val="auto"/>
          <w:kern w:val="0"/>
          <w:sz w:val="32"/>
          <w:szCs w:val="32"/>
          <w:highlight w:val="none"/>
          <w:lang w:bidi="ar"/>
        </w:rPr>
        <w:t>40</w:t>
      </w:r>
      <w:r>
        <w:rPr>
          <w:rFonts w:ascii="宋体" w:hAnsi="宋体" w:cs="宋体"/>
          <w:b/>
          <w:bCs/>
          <w:color w:val="auto"/>
          <w:kern w:val="0"/>
          <w:sz w:val="32"/>
          <w:szCs w:val="32"/>
          <w:highlight w:val="none"/>
          <w:lang w:bidi="ar"/>
        </w:rPr>
        <w:t>分）</w:t>
      </w:r>
    </w:p>
    <w:p>
      <w:pPr>
        <w:widowControl/>
        <w:spacing w:line="360" w:lineRule="auto"/>
        <w:jc w:val="left"/>
        <w:rPr>
          <w:rFonts w:ascii="宋体" w:hAnsi="宋体" w:cs="宋体"/>
          <w:color w:val="auto"/>
          <w:kern w:val="0"/>
          <w:szCs w:val="21"/>
          <w:highlight w:val="none"/>
          <w:lang w:bidi="ar"/>
        </w:rPr>
      </w:pPr>
    </w:p>
    <w:p>
      <w:pPr>
        <w:widowControl/>
        <w:spacing w:line="360" w:lineRule="auto"/>
        <w:ind w:firstLine="420" w:firstLineChars="200"/>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t>谈判评审小组应按以下要求对经符合性审查合格的谈判单位进行详细评审：</w:t>
      </w:r>
    </w:p>
    <w:p>
      <w:pPr>
        <w:widowControl/>
        <w:numPr>
          <w:ilvl w:val="0"/>
          <w:numId w:val="17"/>
        </w:numPr>
        <w:spacing w:line="360" w:lineRule="auto"/>
        <w:ind w:firstLine="420" w:firstLineChars="200"/>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t>以经谈判评审小组一致认定满足《竞争性谈判文件》要求且</w:t>
      </w:r>
      <w:r>
        <w:rPr>
          <w:rFonts w:ascii="宋体" w:hAnsi="宋体" w:cs="宋体"/>
          <w:b/>
          <w:bCs/>
          <w:color w:val="auto"/>
          <w:kern w:val="0"/>
          <w:szCs w:val="21"/>
          <w:highlight w:val="none"/>
          <w:lang w:bidi="ar"/>
        </w:rPr>
        <w:t>谈判报价</w:t>
      </w:r>
      <w:r>
        <w:rPr>
          <w:rFonts w:ascii="宋体" w:hAnsi="宋体" w:cs="宋体"/>
          <w:color w:val="auto"/>
          <w:kern w:val="0"/>
          <w:szCs w:val="21"/>
          <w:highlight w:val="none"/>
          <w:lang w:bidi="ar"/>
        </w:rPr>
        <w:t>最低的报价为基准价，其得分为满分。</w:t>
      </w:r>
    </w:p>
    <w:p>
      <w:pPr>
        <w:widowControl/>
        <w:numPr>
          <w:ilvl w:val="0"/>
          <w:numId w:val="17"/>
        </w:numPr>
        <w:spacing w:line="360" w:lineRule="auto"/>
        <w:ind w:firstLine="420" w:firstLineChars="200"/>
        <w:jc w:val="left"/>
        <w:rPr>
          <w:color w:val="auto"/>
          <w:highlight w:val="none"/>
        </w:rPr>
      </w:pPr>
      <w:r>
        <w:rPr>
          <w:rFonts w:ascii="宋体" w:hAnsi="宋体" w:cs="宋体"/>
          <w:color w:val="auto"/>
          <w:kern w:val="0"/>
          <w:szCs w:val="21"/>
          <w:highlight w:val="none"/>
          <w:lang w:bidi="ar"/>
        </w:rPr>
        <w:t>其他有效单位的得分统一按下列公式计算（保留2位小数，第3位四舍五入）：谈判单位得分=(基准价／谈判报价)×100</w:t>
      </w:r>
      <w:r>
        <w:rPr>
          <w:rFonts w:hint="eastAsia" w:ascii="宋体" w:hAnsi="宋体" w:cs="宋体"/>
          <w:color w:val="auto"/>
          <w:kern w:val="0"/>
          <w:szCs w:val="21"/>
          <w:highlight w:val="none"/>
          <w:lang w:bidi="ar"/>
        </w:rPr>
        <w:t>。</w:t>
      </w:r>
    </w:p>
    <w:p>
      <w:pPr>
        <w:widowControl/>
        <w:numPr>
          <w:ilvl w:val="0"/>
          <w:numId w:val="17"/>
        </w:numPr>
        <w:spacing w:line="360" w:lineRule="auto"/>
        <w:ind w:firstLine="420" w:firstLineChars="200"/>
        <w:jc w:val="left"/>
        <w:rPr>
          <w:color w:val="auto"/>
          <w:highlight w:val="none"/>
        </w:rPr>
      </w:pPr>
      <w:r>
        <w:rPr>
          <w:rFonts w:hint="eastAsia"/>
          <w:color w:val="auto"/>
          <w:highlight w:val="none"/>
        </w:rPr>
        <w:t>谈判单位的报价明显低于其他通过符合性审查谈判单位的报价，有可能影响产品质量或者不能诚信履约的，应当要求其在谈判现场合理的时间内提供书面说明，必要时提交相关证明材料。谈判单位不能证明其报价合理性的，评审小组应将其作为无效报价处理。</w:t>
      </w:r>
    </w:p>
    <w:p>
      <w:pPr>
        <w:pStyle w:val="2"/>
        <w:rPr>
          <w:color w:val="auto"/>
          <w:highlight w:val="none"/>
        </w:rPr>
        <w:sectPr>
          <w:pgSz w:w="11905" w:h="16838"/>
          <w:pgMar w:top="2098" w:right="1474" w:bottom="1984" w:left="1587" w:header="851" w:footer="850" w:gutter="0"/>
          <w:cols w:space="0" w:num="1"/>
          <w:docGrid w:linePitch="312" w:charSpace="0"/>
        </w:sectPr>
      </w:pPr>
    </w:p>
    <w:p>
      <w:pPr>
        <w:spacing w:after="240"/>
        <w:jc w:val="center"/>
        <w:outlineLvl w:val="0"/>
        <w:rPr>
          <w:rFonts w:ascii="宋体" w:hAnsi="宋体" w:cs="宋体"/>
          <w:b/>
          <w:bCs/>
          <w:color w:val="auto"/>
          <w:sz w:val="32"/>
          <w:szCs w:val="32"/>
          <w:highlight w:val="none"/>
        </w:rPr>
      </w:pPr>
      <w:bookmarkStart w:id="68" w:name="_Toc17997"/>
      <w:bookmarkStart w:id="69" w:name="_Toc14891077"/>
      <w:bookmarkStart w:id="70" w:name="_Toc23442"/>
      <w:bookmarkStart w:id="71" w:name="_Toc18407"/>
      <w:bookmarkStart w:id="72" w:name="_Toc17562"/>
      <w:bookmarkStart w:id="73" w:name="_Toc20522"/>
      <w:bookmarkStart w:id="74" w:name="_Toc13420"/>
      <w:r>
        <w:rPr>
          <w:rFonts w:hint="eastAsia" w:ascii="宋体" w:hAnsi="宋体" w:cs="宋体"/>
          <w:b/>
          <w:bCs/>
          <w:color w:val="auto"/>
          <w:sz w:val="32"/>
          <w:szCs w:val="32"/>
          <w:highlight w:val="none"/>
        </w:rPr>
        <w:t>第四章  用户需求书</w:t>
      </w:r>
      <w:bookmarkEnd w:id="68"/>
      <w:bookmarkEnd w:id="69"/>
      <w:bookmarkEnd w:id="70"/>
      <w:bookmarkEnd w:id="71"/>
      <w:bookmarkEnd w:id="72"/>
      <w:r>
        <w:rPr>
          <w:rFonts w:hint="eastAsia" w:ascii="宋体" w:hAnsi="宋体" w:cs="宋体"/>
          <w:b/>
          <w:bCs/>
          <w:color w:val="auto"/>
          <w:sz w:val="32"/>
          <w:szCs w:val="32"/>
          <w:highlight w:val="none"/>
        </w:rPr>
        <w:t>（另册）</w:t>
      </w:r>
      <w:bookmarkEnd w:id="73"/>
      <w:bookmarkEnd w:id="74"/>
    </w:p>
    <w:p>
      <w:pPr>
        <w:spacing w:line="360" w:lineRule="auto"/>
        <w:rPr>
          <w:color w:val="auto"/>
          <w:highlight w:val="none"/>
        </w:rPr>
      </w:pPr>
      <w:bookmarkStart w:id="75" w:name="_Toc17441"/>
      <w:bookmarkStart w:id="76" w:name="_Toc22262"/>
      <w:bookmarkStart w:id="77" w:name="_Toc14891078"/>
      <w:bookmarkStart w:id="78" w:name="_Toc15112"/>
      <w:bookmarkStart w:id="79" w:name="_Toc13521"/>
    </w:p>
    <w:p>
      <w:pPr>
        <w:pStyle w:val="12"/>
        <w:spacing w:line="360" w:lineRule="auto"/>
        <w:ind w:left="0" w:leftChars="0" w:firstLine="420" w:firstLineChars="200"/>
        <w:rPr>
          <w:rFonts w:ascii="宋体" w:hAnsi="宋体" w:cs="宋体"/>
          <w:color w:val="auto"/>
          <w:highlight w:val="none"/>
        </w:rPr>
      </w:pPr>
      <w:r>
        <w:rPr>
          <w:rFonts w:hint="eastAsia" w:ascii="宋体" w:hAnsi="宋体" w:cs="宋体"/>
          <w:color w:val="auto"/>
          <w:highlight w:val="none"/>
        </w:rPr>
        <w:t>用户需求书详见本项目谈判邀请公告附件：</w:t>
      </w:r>
      <w:r>
        <w:rPr>
          <w:rFonts w:hint="eastAsia" w:ascii="宋体" w:hAnsi="宋体" w:cs="宋体"/>
          <w:color w:val="auto"/>
          <w:highlight w:val="none"/>
          <w:u w:val="single"/>
        </w:rPr>
        <w:t>长沙市轨道交通1、2、4号线运营期2022年多功能垂直钢轨打磨机、双轨波浪磨耗测量仪等5项轨道维修设备采购项目</w:t>
      </w:r>
      <w:r>
        <w:rPr>
          <w:rFonts w:hint="eastAsia" w:ascii="宋体" w:hAnsi="宋体" w:cs="宋体"/>
          <w:color w:val="auto"/>
          <w:highlight w:val="none"/>
        </w:rPr>
        <w:t>用户需求书。</w:t>
      </w:r>
    </w:p>
    <w:p>
      <w:pPr>
        <w:spacing w:after="240"/>
        <w:jc w:val="center"/>
        <w:rPr>
          <w:rFonts w:ascii="宋体" w:hAnsi="宋体" w:cs="宋体"/>
          <w:b/>
          <w:bCs/>
          <w:color w:val="auto"/>
          <w:sz w:val="32"/>
          <w:szCs w:val="32"/>
          <w:highlight w:val="none"/>
        </w:rPr>
      </w:pPr>
    </w:p>
    <w:p>
      <w:pPr>
        <w:pStyle w:val="12"/>
        <w:rPr>
          <w:color w:val="auto"/>
          <w:highlight w:val="none"/>
        </w:rPr>
        <w:sectPr>
          <w:headerReference r:id="rId7" w:type="default"/>
          <w:footerReference r:id="rId8" w:type="default"/>
          <w:pgSz w:w="11905" w:h="16838"/>
          <w:pgMar w:top="2098" w:right="1474" w:bottom="1984" w:left="1587" w:header="851" w:footer="850" w:gutter="0"/>
          <w:cols w:space="0" w:num="1"/>
          <w:docGrid w:linePitch="312" w:charSpace="0"/>
        </w:sectPr>
      </w:pPr>
    </w:p>
    <w:p>
      <w:pPr>
        <w:spacing w:after="240"/>
        <w:jc w:val="center"/>
        <w:outlineLvl w:val="0"/>
        <w:rPr>
          <w:rFonts w:ascii="宋体" w:hAnsi="宋体" w:cs="宋体"/>
          <w:b/>
          <w:bCs/>
          <w:color w:val="auto"/>
          <w:sz w:val="32"/>
          <w:szCs w:val="32"/>
          <w:highlight w:val="none"/>
        </w:rPr>
      </w:pPr>
      <w:bookmarkStart w:id="80" w:name="_Toc27229"/>
      <w:bookmarkStart w:id="81" w:name="_Toc27953"/>
      <w:r>
        <w:rPr>
          <w:rFonts w:hint="eastAsia" w:ascii="宋体" w:hAnsi="宋体" w:cs="宋体"/>
          <w:b/>
          <w:bCs/>
          <w:color w:val="auto"/>
          <w:sz w:val="32"/>
          <w:szCs w:val="32"/>
          <w:highlight w:val="none"/>
        </w:rPr>
        <w:t>第五章  合同格式条款</w:t>
      </w:r>
      <w:bookmarkEnd w:id="75"/>
      <w:bookmarkEnd w:id="76"/>
      <w:bookmarkEnd w:id="77"/>
      <w:bookmarkEnd w:id="78"/>
      <w:bookmarkEnd w:id="79"/>
      <w:bookmarkEnd w:id="80"/>
      <w:bookmarkEnd w:id="81"/>
    </w:p>
    <w:p>
      <w:pPr>
        <w:rPr>
          <w:rFonts w:ascii="宋体" w:hAnsi="宋体" w:cs="宋体"/>
          <w:b/>
          <w:bCs/>
          <w:color w:val="auto"/>
          <w:sz w:val="32"/>
          <w:szCs w:val="32"/>
          <w:highlight w:val="none"/>
        </w:rPr>
      </w:pPr>
      <w:bookmarkStart w:id="82" w:name="_Toc14277"/>
      <w:bookmarkStart w:id="83" w:name="_Toc5097"/>
      <w:bookmarkStart w:id="84" w:name="_Toc20891"/>
      <w:bookmarkStart w:id="85" w:name="_Toc29654"/>
    </w:p>
    <w:p>
      <w:pPr>
        <w:snapToGrid w:val="0"/>
        <w:spacing w:line="360" w:lineRule="auto"/>
        <w:jc w:val="left"/>
        <w:rPr>
          <w:rFonts w:ascii="仿宋_GB2312" w:hAnsi="仿宋_GB2312" w:eastAsia="仿宋_GB2312" w:cs="仿宋_GB2312"/>
          <w:b/>
          <w:color w:val="auto"/>
          <w:sz w:val="24"/>
          <w:highlight w:val="none"/>
        </w:rPr>
      </w:pPr>
      <w:bookmarkStart w:id="86" w:name="_Toc227520433"/>
      <w:bookmarkEnd w:id="86"/>
      <w:bookmarkStart w:id="87" w:name="_Toc367274929"/>
      <w:bookmarkEnd w:id="87"/>
      <w:bookmarkStart w:id="88" w:name="OLE_LINK8"/>
      <w:bookmarkStart w:id="89" w:name="OLE_LINK7"/>
      <w:r>
        <w:rPr>
          <w:rFonts w:hint="eastAsia" w:ascii="仿宋_GB2312" w:hAnsi="仿宋_GB2312" w:eastAsia="仿宋_GB2312" w:cs="仿宋_GB2312"/>
          <w:b/>
          <w:color w:val="auto"/>
          <w:sz w:val="24"/>
          <w:highlight w:val="none"/>
        </w:rPr>
        <w:t>版本号：CSGDHT-WZCG2017-20201215</w:t>
      </w:r>
    </w:p>
    <w:p>
      <w:pPr>
        <w:snapToGrid w:val="0"/>
        <w:spacing w:line="360" w:lineRule="auto"/>
        <w:jc w:val="right"/>
        <w:rPr>
          <w:rFonts w:ascii="仿宋_GB2312" w:hAnsi="仿宋_GB2312" w:eastAsia="仿宋_GB2312" w:cs="仿宋_GB2312"/>
          <w:b/>
          <w:bCs/>
          <w:color w:val="auto"/>
          <w:sz w:val="52"/>
          <w:szCs w:val="52"/>
          <w:highlight w:val="none"/>
        </w:rPr>
      </w:pPr>
      <w:r>
        <w:rPr>
          <w:rFonts w:hint="eastAsia" w:ascii="仿宋_GB2312" w:hAnsi="仿宋_GB2312" w:eastAsia="仿宋_GB2312" w:cs="仿宋_GB2312"/>
          <w:b/>
          <w:color w:val="auto"/>
          <w:sz w:val="24"/>
          <w:highlight w:val="none"/>
        </w:rPr>
        <w:t>合同编号：</w:t>
      </w:r>
      <w:r>
        <w:rPr>
          <w:rFonts w:hint="eastAsia" w:ascii="仿宋_GB2312" w:hAnsi="仿宋_GB2312" w:eastAsia="仿宋_GB2312" w:cs="仿宋_GB2312"/>
          <w:color w:val="auto"/>
          <w:sz w:val="24"/>
          <w:highlight w:val="none"/>
          <w:u w:val="dotted"/>
        </w:rPr>
        <w:t xml:space="preserve">           合同【20  】  号</w:t>
      </w:r>
    </w:p>
    <w:p>
      <w:pPr>
        <w:snapToGrid w:val="0"/>
        <w:spacing w:line="360" w:lineRule="auto"/>
        <w:jc w:val="center"/>
        <w:rPr>
          <w:rFonts w:ascii="仿宋_GB2312" w:hAnsi="仿宋_GB2312" w:eastAsia="仿宋_GB2312" w:cs="仿宋_GB2312"/>
          <w:b/>
          <w:bCs/>
          <w:color w:val="auto"/>
          <w:sz w:val="28"/>
          <w:szCs w:val="28"/>
          <w:highlight w:val="none"/>
        </w:rPr>
      </w:pPr>
    </w:p>
    <w:p>
      <w:pPr>
        <w:snapToGrid w:val="0"/>
        <w:spacing w:line="360" w:lineRule="auto"/>
        <w:jc w:val="center"/>
        <w:rPr>
          <w:rFonts w:ascii="仿宋_GB2312" w:hAnsi="仿宋_GB2312" w:eastAsia="仿宋_GB2312" w:cs="仿宋_GB2312"/>
          <w:b/>
          <w:bCs/>
          <w:color w:val="auto"/>
          <w:sz w:val="52"/>
          <w:szCs w:val="52"/>
          <w:highlight w:val="none"/>
        </w:rPr>
      </w:pPr>
      <w:r>
        <w:rPr>
          <w:rFonts w:hint="eastAsia" w:ascii="仿宋_GB2312" w:hAnsi="仿宋_GB2312" w:eastAsia="仿宋_GB2312" w:cs="仿宋_GB2312"/>
          <w:b/>
          <w:color w:val="auto"/>
          <w:spacing w:val="20"/>
          <w:sz w:val="52"/>
          <w:szCs w:val="52"/>
          <w:highlight w:val="none"/>
        </w:rPr>
        <w:t>物资采购合同</w:t>
      </w:r>
    </w:p>
    <w:p>
      <w:pPr>
        <w:snapToGrid w:val="0"/>
        <w:spacing w:line="360" w:lineRule="auto"/>
        <w:jc w:val="center"/>
        <w:rPr>
          <w:rFonts w:ascii="仿宋_GB2312" w:hAnsi="仿宋_GB2312" w:eastAsia="仿宋_GB2312" w:cs="仿宋_GB2312"/>
          <w:bCs/>
          <w:color w:val="auto"/>
          <w:sz w:val="28"/>
          <w:szCs w:val="28"/>
          <w:highlight w:val="none"/>
        </w:rPr>
      </w:pPr>
    </w:p>
    <w:p>
      <w:pPr>
        <w:adjustRightInd w:val="0"/>
        <w:snapToGrid w:val="0"/>
        <w:spacing w:line="360" w:lineRule="auto"/>
        <w:ind w:left="2243" w:leftChars="399" w:hanging="1405" w:hangingChars="500"/>
        <w:rPr>
          <w:rFonts w:ascii="仿宋_GB2312" w:hAnsi="仿宋_GB2312" w:eastAsia="仿宋_GB2312" w:cs="仿宋_GB2312"/>
          <w:b/>
          <w:color w:val="auto"/>
          <w:sz w:val="28"/>
          <w:szCs w:val="28"/>
          <w:highlight w:val="none"/>
          <w:u w:val="dotted"/>
        </w:rPr>
      </w:pPr>
      <w:bookmarkStart w:id="90" w:name="_Toc16667"/>
      <w:r>
        <w:rPr>
          <w:rFonts w:hint="eastAsia" w:ascii="仿宋_GB2312" w:hAnsi="仿宋_GB2312" w:eastAsia="仿宋_GB2312" w:cs="仿宋_GB2312"/>
          <w:b/>
          <w:color w:val="auto"/>
          <w:sz w:val="28"/>
          <w:szCs w:val="28"/>
          <w:highlight w:val="none"/>
        </w:rPr>
        <w:t>项目名称：</w:t>
      </w:r>
      <w:r>
        <w:rPr>
          <w:rFonts w:hint="eastAsia" w:ascii="仿宋_GB2312" w:hAnsi="仿宋_GB2312" w:eastAsia="仿宋_GB2312" w:cs="仿宋_GB2312"/>
          <w:b/>
          <w:color w:val="auto"/>
          <w:sz w:val="28"/>
          <w:szCs w:val="28"/>
          <w:highlight w:val="none"/>
          <w:u w:val="single"/>
        </w:rPr>
        <w:t>长沙市轨道交通1、2、4号线运营期2022年多功能垂直钢轨打磨机、双轨波浪磨耗测量仪等5项轨道维修设备采购项目</w:t>
      </w:r>
    </w:p>
    <w:p>
      <w:pPr>
        <w:adjustRightInd w:val="0"/>
        <w:snapToGrid w:val="0"/>
        <w:spacing w:line="360" w:lineRule="auto"/>
        <w:ind w:firstLine="835" w:firstLineChars="297"/>
        <w:rPr>
          <w:rFonts w:ascii="仿宋_GB2312" w:hAnsi="仿宋_GB2312" w:eastAsia="仿宋_GB2312" w:cs="仿宋_GB2312"/>
          <w:b/>
          <w:color w:val="auto"/>
          <w:sz w:val="28"/>
          <w:szCs w:val="28"/>
          <w:highlight w:val="none"/>
          <w:u w:val="dotted"/>
        </w:rPr>
      </w:pPr>
    </w:p>
    <w:p>
      <w:pPr>
        <w:adjustRightInd w:val="0"/>
        <w:snapToGrid w:val="0"/>
        <w:spacing w:line="360" w:lineRule="auto"/>
        <w:ind w:firstLine="835" w:firstLineChars="297"/>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项目地点：</w:t>
      </w:r>
      <w:r>
        <w:rPr>
          <w:rFonts w:hint="eastAsia" w:ascii="仿宋_GB2312" w:hAnsi="仿宋_GB2312" w:eastAsia="仿宋_GB2312" w:cs="仿宋_GB2312"/>
          <w:b/>
          <w:color w:val="auto"/>
          <w:sz w:val="28"/>
          <w:szCs w:val="28"/>
          <w:highlight w:val="none"/>
          <w:u w:val="dotted"/>
        </w:rPr>
        <w:t xml:space="preserve">           湖南省长沙市              </w:t>
      </w:r>
    </w:p>
    <w:p>
      <w:pPr>
        <w:adjustRightInd w:val="0"/>
        <w:snapToGrid w:val="0"/>
        <w:spacing w:line="360" w:lineRule="auto"/>
        <w:ind w:firstLine="1344" w:firstLineChars="478"/>
        <w:rPr>
          <w:rFonts w:ascii="仿宋_GB2312" w:hAnsi="仿宋_GB2312" w:eastAsia="仿宋_GB2312" w:cs="仿宋_GB2312"/>
          <w:b/>
          <w:color w:val="auto"/>
          <w:sz w:val="28"/>
          <w:szCs w:val="28"/>
          <w:highlight w:val="none"/>
        </w:rPr>
      </w:pPr>
    </w:p>
    <w:p>
      <w:pPr>
        <w:adjustRightInd w:val="0"/>
        <w:snapToGrid w:val="0"/>
        <w:spacing w:line="360" w:lineRule="auto"/>
        <w:ind w:firstLine="835" w:firstLineChars="297"/>
        <w:rPr>
          <w:rFonts w:ascii="仿宋_GB2312" w:hAnsi="仿宋_GB2312" w:eastAsia="仿宋_GB2312" w:cs="仿宋_GB2312"/>
          <w:b/>
          <w:color w:val="auto"/>
          <w:sz w:val="28"/>
          <w:szCs w:val="28"/>
          <w:highlight w:val="none"/>
          <w:u w:val="dotted"/>
        </w:rPr>
      </w:pPr>
      <w:r>
        <w:rPr>
          <w:rFonts w:hint="eastAsia" w:ascii="仿宋_GB2312" w:hAnsi="仿宋_GB2312" w:eastAsia="仿宋_GB2312" w:cs="仿宋_GB2312"/>
          <w:b/>
          <w:color w:val="auto"/>
          <w:sz w:val="28"/>
          <w:szCs w:val="28"/>
          <w:highlight w:val="none"/>
        </w:rPr>
        <w:t>采 购 人：</w:t>
      </w:r>
      <w:r>
        <w:rPr>
          <w:rFonts w:hint="eastAsia" w:ascii="仿宋_GB2312" w:hAnsi="仿宋_GB2312" w:eastAsia="仿宋_GB2312" w:cs="仿宋_GB2312"/>
          <w:b/>
          <w:color w:val="auto"/>
          <w:sz w:val="28"/>
          <w:szCs w:val="28"/>
          <w:highlight w:val="none"/>
          <w:u w:val="dotted"/>
        </w:rPr>
        <w:t>长沙市轨道交通一号线建设发展有限公司</w:t>
      </w:r>
    </w:p>
    <w:p>
      <w:pPr>
        <w:adjustRightInd w:val="0"/>
        <w:snapToGrid w:val="0"/>
        <w:spacing w:line="360" w:lineRule="auto"/>
        <w:ind w:firstLine="2240" w:firstLineChars="797"/>
        <w:rPr>
          <w:rFonts w:ascii="仿宋_GB2312" w:hAnsi="仿宋_GB2312" w:eastAsia="仿宋_GB2312" w:cs="仿宋_GB2312"/>
          <w:b/>
          <w:color w:val="auto"/>
          <w:sz w:val="28"/>
          <w:szCs w:val="28"/>
          <w:highlight w:val="none"/>
          <w:u w:val="dotted"/>
        </w:rPr>
      </w:pPr>
      <w:r>
        <w:rPr>
          <w:rFonts w:hint="eastAsia" w:ascii="仿宋_GB2312" w:hAnsi="仿宋_GB2312" w:eastAsia="仿宋_GB2312" w:cs="仿宋_GB2312"/>
          <w:b/>
          <w:color w:val="auto"/>
          <w:sz w:val="28"/>
          <w:szCs w:val="28"/>
          <w:highlight w:val="none"/>
          <w:u w:val="dotted"/>
        </w:rPr>
        <w:t>长沙市轨道交通运营有限公司</w:t>
      </w:r>
    </w:p>
    <w:p>
      <w:pPr>
        <w:adjustRightInd w:val="0"/>
        <w:snapToGrid w:val="0"/>
        <w:spacing w:line="360" w:lineRule="auto"/>
        <w:ind w:firstLine="2238" w:firstLineChars="796"/>
        <w:rPr>
          <w:rFonts w:ascii="仿宋_GB2312" w:hAnsi="仿宋_GB2312" w:eastAsia="仿宋_GB2312" w:cs="仿宋_GB2312"/>
          <w:b/>
          <w:color w:val="auto"/>
          <w:sz w:val="28"/>
          <w:szCs w:val="28"/>
          <w:highlight w:val="none"/>
          <w:u w:val="dotted"/>
        </w:rPr>
      </w:pPr>
      <w:r>
        <w:rPr>
          <w:rFonts w:hint="eastAsia" w:ascii="仿宋_GB2312" w:hAnsi="仿宋_GB2312" w:eastAsia="仿宋_GB2312" w:cs="仿宋_GB2312"/>
          <w:b/>
          <w:color w:val="auto"/>
          <w:sz w:val="28"/>
          <w:szCs w:val="28"/>
          <w:highlight w:val="none"/>
          <w:u w:val="dotted"/>
        </w:rPr>
        <w:t>长沙市轨道交通四号线建设发展有限公司</w:t>
      </w:r>
    </w:p>
    <w:p>
      <w:pPr>
        <w:adjustRightInd w:val="0"/>
        <w:snapToGrid w:val="0"/>
        <w:spacing w:line="360" w:lineRule="auto"/>
        <w:ind w:firstLine="2238" w:firstLineChars="796"/>
        <w:rPr>
          <w:rFonts w:ascii="仿宋_GB2312" w:hAnsi="仿宋_GB2312" w:eastAsia="仿宋_GB2312" w:cs="仿宋_GB2312"/>
          <w:b/>
          <w:color w:val="auto"/>
          <w:sz w:val="28"/>
          <w:szCs w:val="28"/>
          <w:highlight w:val="none"/>
          <w:u w:val="dotted"/>
        </w:rPr>
      </w:pPr>
    </w:p>
    <w:p>
      <w:pPr>
        <w:adjustRightInd w:val="0"/>
        <w:snapToGrid w:val="0"/>
        <w:spacing w:line="360" w:lineRule="auto"/>
        <w:ind w:firstLine="835" w:firstLineChars="297"/>
        <w:rPr>
          <w:rFonts w:ascii="仿宋_GB2312" w:hAnsi="仿宋_GB2312" w:eastAsia="仿宋_GB2312" w:cs="仿宋_GB2312"/>
          <w:b/>
          <w:color w:val="auto"/>
          <w:sz w:val="28"/>
          <w:szCs w:val="28"/>
          <w:highlight w:val="none"/>
          <w:u w:val="dotted"/>
        </w:rPr>
      </w:pPr>
      <w:r>
        <w:rPr>
          <w:rFonts w:hint="eastAsia" w:ascii="仿宋_GB2312" w:hAnsi="仿宋_GB2312" w:eastAsia="仿宋_GB2312" w:cs="仿宋_GB2312"/>
          <w:b/>
          <w:color w:val="auto"/>
          <w:sz w:val="28"/>
          <w:szCs w:val="28"/>
          <w:highlight w:val="none"/>
        </w:rPr>
        <w:t>供 应 商：</w:t>
      </w:r>
      <w:r>
        <w:rPr>
          <w:rFonts w:hint="eastAsia" w:ascii="仿宋_GB2312" w:hAnsi="仿宋_GB2312" w:eastAsia="仿宋_GB2312" w:cs="仿宋_GB2312"/>
          <w:b/>
          <w:color w:val="auto"/>
          <w:sz w:val="28"/>
          <w:szCs w:val="28"/>
          <w:highlight w:val="none"/>
          <w:u w:val="dotted"/>
        </w:rPr>
        <w:t xml:space="preserve">                                     </w:t>
      </w:r>
    </w:p>
    <w:p>
      <w:pPr>
        <w:pageBreakBefore/>
        <w:jc w:val="center"/>
        <w:outlineLvl w:val="0"/>
        <w:rPr>
          <w:rFonts w:ascii="仿宋_GB2312" w:hAnsi="仿宋_GB2312" w:eastAsia="仿宋_GB2312" w:cs="仿宋_GB2312"/>
          <w:b/>
          <w:color w:val="auto"/>
          <w:sz w:val="32"/>
          <w:szCs w:val="32"/>
          <w:highlight w:val="none"/>
        </w:rPr>
        <w:sectPr>
          <w:headerReference r:id="rId9" w:type="default"/>
          <w:footerReference r:id="rId10" w:type="default"/>
          <w:pgSz w:w="11850" w:h="16783"/>
          <w:pgMar w:top="1440" w:right="1800" w:bottom="1440" w:left="1800" w:header="851" w:footer="567" w:gutter="0"/>
          <w:cols w:space="720" w:num="1"/>
          <w:docGrid w:type="lines" w:linePitch="312" w:charSpace="0"/>
        </w:sectPr>
      </w:pPr>
    </w:p>
    <w:p>
      <w:pPr>
        <w:jc w:val="center"/>
        <w:rPr>
          <w:rFonts w:ascii="仿宋_GB2312" w:hAnsi="仿宋_GB2312" w:eastAsia="仿宋_GB2312" w:cs="仿宋_GB2312"/>
          <w:b/>
          <w:color w:val="auto"/>
          <w:sz w:val="32"/>
          <w:szCs w:val="32"/>
          <w:highlight w:val="none"/>
        </w:rPr>
      </w:pPr>
      <w:bookmarkStart w:id="91" w:name="_Toc24093"/>
      <w:r>
        <w:rPr>
          <w:rFonts w:hint="eastAsia" w:ascii="仿宋_GB2312" w:hAnsi="仿宋_GB2312" w:eastAsia="仿宋_GB2312" w:cs="仿宋_GB2312"/>
          <w:b/>
          <w:color w:val="auto"/>
          <w:sz w:val="32"/>
          <w:szCs w:val="32"/>
          <w:highlight w:val="none"/>
        </w:rPr>
        <w:t>第一部分 合同协议书</w:t>
      </w:r>
      <w:bookmarkEnd w:id="90"/>
      <w:bookmarkEnd w:id="91"/>
    </w:p>
    <w:p>
      <w:pPr>
        <w:snapToGrid w:val="0"/>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snapToGrid w:val="0"/>
        <w:spacing w:line="360" w:lineRule="auto"/>
        <w:jc w:val="left"/>
        <w:rPr>
          <w:rFonts w:ascii="仿宋_GB2312" w:hAnsi="仿宋_GB2312" w:eastAsia="仿宋_GB2312" w:cs="仿宋_GB2312"/>
          <w:color w:val="auto"/>
          <w:sz w:val="24"/>
          <w:highlight w:val="none"/>
          <w:u w:val="single"/>
        </w:rPr>
      </w:pPr>
      <w:r>
        <w:rPr>
          <w:rFonts w:hint="eastAsia" w:ascii="仿宋_GB2312" w:hAnsi="仿宋_GB2312" w:eastAsia="仿宋_GB2312" w:cs="仿宋_GB2312"/>
          <w:b/>
          <w:color w:val="auto"/>
          <w:sz w:val="24"/>
          <w:highlight w:val="none"/>
        </w:rPr>
        <w:t>采购人</w:t>
      </w:r>
      <w:r>
        <w:rPr>
          <w:rFonts w:hint="eastAsia" w:ascii="仿宋_GB2312" w:hAnsi="仿宋_GB2312" w:eastAsia="仿宋_GB2312" w:cs="仿宋_GB2312"/>
          <w:color w:val="auto"/>
          <w:sz w:val="24"/>
          <w:highlight w:val="none"/>
        </w:rPr>
        <w:t>（以下简称甲方）：</w:t>
      </w:r>
      <w:r>
        <w:rPr>
          <w:rFonts w:hint="eastAsia" w:ascii="仿宋_GB2312" w:hAnsi="仿宋_GB2312" w:eastAsia="仿宋_GB2312" w:cs="仿宋_GB2312"/>
          <w:color w:val="auto"/>
          <w:sz w:val="24"/>
          <w:highlight w:val="none"/>
          <w:u w:val="single"/>
        </w:rPr>
        <w:t>长沙市轨道交通一号线建设发展有限公司</w:t>
      </w:r>
    </w:p>
    <w:p>
      <w:pPr>
        <w:snapToGrid w:val="0"/>
        <w:spacing w:line="360" w:lineRule="auto"/>
        <w:ind w:firstLine="2880" w:firstLineChars="1200"/>
        <w:jc w:val="left"/>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长沙市轨道交通运营有限公司</w:t>
      </w:r>
    </w:p>
    <w:p>
      <w:pPr>
        <w:snapToGrid w:val="0"/>
        <w:spacing w:line="360" w:lineRule="auto"/>
        <w:ind w:firstLine="2880" w:firstLineChars="1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长沙市轨道交通四号线建设发展有限公司</w:t>
      </w:r>
    </w:p>
    <w:p>
      <w:pPr>
        <w:snapToGrid w:val="0"/>
        <w:spacing w:line="360" w:lineRule="auto"/>
        <w:jc w:val="lef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供应商</w:t>
      </w:r>
      <w:r>
        <w:rPr>
          <w:rFonts w:hint="eastAsia" w:ascii="仿宋_GB2312" w:hAnsi="仿宋_GB2312" w:eastAsia="仿宋_GB2312" w:cs="仿宋_GB2312"/>
          <w:color w:val="auto"/>
          <w:sz w:val="24"/>
          <w:highlight w:val="none"/>
        </w:rPr>
        <w:t>（以下简称乙方）：</w:t>
      </w:r>
      <w:r>
        <w:rPr>
          <w:rFonts w:hint="eastAsia" w:ascii="仿宋_GB2312" w:hAnsi="仿宋_GB2312" w:eastAsia="仿宋_GB2312" w:cs="仿宋_GB2312"/>
          <w:color w:val="auto"/>
          <w:sz w:val="24"/>
          <w:highlight w:val="none"/>
          <w:u w:val="single"/>
        </w:rPr>
        <w:t xml:space="preserve">                         </w:t>
      </w:r>
    </w:p>
    <w:p>
      <w:pPr>
        <w:pStyle w:val="41"/>
        <w:widowControl w:val="0"/>
        <w:adjustRightInd w:val="0"/>
        <w:snapToGrid w:val="0"/>
        <w:spacing w:before="0" w:beforeAutospacing="0" w:after="0" w:afterAutospacing="0" w:line="360" w:lineRule="auto"/>
        <w:ind w:firstLine="480" w:firstLineChars="200"/>
        <w:jc w:val="both"/>
        <w:rPr>
          <w:rFonts w:ascii="仿宋_GB2312" w:hAnsi="仿宋_GB2312" w:eastAsia="仿宋_GB2312" w:cs="仿宋_GB2312"/>
          <w:color w:val="auto"/>
          <w:highlight w:val="none"/>
        </w:rPr>
      </w:pPr>
      <w:bookmarkStart w:id="92" w:name="OLE_LINK9"/>
      <w:r>
        <w:rPr>
          <w:rFonts w:hint="eastAsia" w:ascii="仿宋_GB2312" w:hAnsi="仿宋_GB2312" w:eastAsia="仿宋_GB2312" w:cs="仿宋_GB2312"/>
          <w:color w:val="auto"/>
          <w:kern w:val="2"/>
          <w:highlight w:val="none"/>
          <w:lang w:bidi="ar"/>
        </w:rPr>
        <w:t>本合同由甲乙双方依照《中华人民共和国民法典》及其他有关法律、行政法规，遵循平等、自愿、公平和诚实信用的原则，</w:t>
      </w:r>
      <w:r>
        <w:rPr>
          <w:rFonts w:hint="eastAsia" w:ascii="仿宋_GB2312" w:hAnsi="仿宋_GB2312" w:eastAsia="仿宋_GB2312" w:cs="仿宋_GB2312"/>
          <w:color w:val="auto"/>
          <w:highlight w:val="none"/>
        </w:rPr>
        <w:t>双方就下述项目物资采购及有关事项协商一致，共同签订本合同。</w:t>
      </w:r>
    </w:p>
    <w:p>
      <w:pPr>
        <w:adjustRightInd w:val="0"/>
        <w:snapToGrid w:val="0"/>
        <w:spacing w:line="360" w:lineRule="auto"/>
        <w:ind w:firstLine="472" w:firstLineChars="196"/>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一、项目概况</w:t>
      </w:r>
    </w:p>
    <w:p>
      <w:pPr>
        <w:adjustRightInd w:val="0"/>
        <w:snapToGrid w:val="0"/>
        <w:spacing w:line="360" w:lineRule="auto"/>
        <w:ind w:firstLine="480" w:firstLineChars="200"/>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1</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sz w:val="24"/>
          <w:highlight w:val="none"/>
          <w:lang w:bidi="ar"/>
        </w:rPr>
        <w:t>项目名称：长沙市轨道交通1、2、4号线运营期2022年多功能垂直钢轨打磨机、双轨波浪磨耗测量仪等5项轨道维修设备采购项目</w:t>
      </w:r>
    </w:p>
    <w:p>
      <w:pPr>
        <w:adjustRightInd w:val="0"/>
        <w:snapToGrid w:val="0"/>
        <w:spacing w:line="360" w:lineRule="auto"/>
        <w:ind w:firstLine="480" w:firstLineChars="200"/>
        <w:rPr>
          <w:rFonts w:ascii="仿宋_GB2312" w:hAnsi="仿宋_GB2312" w:eastAsia="仿宋_GB2312" w:cs="仿宋_GB2312"/>
          <w:color w:val="auto"/>
          <w:sz w:val="24"/>
          <w:highlight w:val="none"/>
          <w:u w:val="single"/>
          <w:lang w:bidi="ar"/>
        </w:rPr>
      </w:pPr>
      <w:r>
        <w:rPr>
          <w:rFonts w:hint="eastAsia" w:ascii="仿宋_GB2312" w:hAnsi="仿宋_GB2312" w:eastAsia="仿宋_GB2312" w:cs="仿宋_GB2312"/>
          <w:color w:val="auto"/>
          <w:sz w:val="24"/>
          <w:highlight w:val="none"/>
          <w:lang w:bidi="ar"/>
        </w:rPr>
        <w:t>2</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sz w:val="24"/>
          <w:highlight w:val="none"/>
          <w:lang w:bidi="ar"/>
        </w:rPr>
        <w:t>项目地点：</w:t>
      </w:r>
      <w:r>
        <w:rPr>
          <w:rFonts w:hint="eastAsia" w:ascii="仿宋_GB2312" w:hAnsi="仿宋_GB2312" w:eastAsia="仿宋_GB2312" w:cs="仿宋_GB2312"/>
          <w:color w:val="auto"/>
          <w:sz w:val="24"/>
          <w:highlight w:val="none"/>
          <w:u w:val="single"/>
          <w:lang w:bidi="ar"/>
        </w:rPr>
        <w:t>湖南省长沙市</w:t>
      </w:r>
    </w:p>
    <w:p>
      <w:pPr>
        <w:adjustRightInd w:val="0"/>
        <w:snapToGrid w:val="0"/>
        <w:spacing w:line="360" w:lineRule="auto"/>
        <w:ind w:firstLine="480" w:firstLineChars="200"/>
        <w:rPr>
          <w:rFonts w:ascii="仿宋_GB2312" w:hAnsi="仿宋_GB2312" w:eastAsia="仿宋_GB2312" w:cs="仿宋_GB2312"/>
          <w:color w:val="auto"/>
          <w:sz w:val="24"/>
          <w:highlight w:val="none"/>
          <w:u w:val="single"/>
          <w:lang w:bidi="ar"/>
        </w:rPr>
      </w:pPr>
      <w:r>
        <w:rPr>
          <w:rFonts w:hint="eastAsia" w:ascii="仿宋_GB2312" w:hAnsi="仿宋_GB2312" w:eastAsia="仿宋_GB2312" w:cs="仿宋_GB2312"/>
          <w:color w:val="auto"/>
          <w:sz w:val="24"/>
          <w:highlight w:val="none"/>
          <w:lang w:bidi="ar"/>
        </w:rPr>
        <w:t>3</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sz w:val="24"/>
          <w:highlight w:val="none"/>
        </w:rPr>
        <w:t>合同标的：</w:t>
      </w:r>
      <w:r>
        <w:rPr>
          <w:rFonts w:hint="eastAsia" w:ascii="仿宋_GB2312" w:hAnsi="仿宋_GB2312" w:eastAsia="仿宋_GB2312" w:cs="仿宋_GB2312"/>
          <w:color w:val="auto"/>
          <w:sz w:val="24"/>
          <w:highlight w:val="none"/>
          <w:u w:val="single"/>
          <w:lang w:bidi="ar"/>
        </w:rPr>
        <w:t xml:space="preserve">                 </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ascii="仿宋_GB2312" w:hAnsi="仿宋_GB2312" w:eastAsia="仿宋_GB2312" w:cs="仿宋_GB2312"/>
          <w:b/>
          <w:color w:val="auto"/>
          <w:sz w:val="24"/>
          <w:highlight w:val="none"/>
          <w:lang w:bidi="ar"/>
        </w:rPr>
      </w:pPr>
      <w:r>
        <w:rPr>
          <w:rFonts w:hint="eastAsia" w:ascii="仿宋_GB2312" w:hAnsi="仿宋_GB2312" w:eastAsia="仿宋_GB2312" w:cs="仿宋_GB2312"/>
          <w:b/>
          <w:color w:val="auto"/>
          <w:sz w:val="24"/>
          <w:highlight w:val="none"/>
          <w:lang w:bidi="ar"/>
        </w:rPr>
        <w:t>二、合同执行计划</w:t>
      </w:r>
    </w:p>
    <w:p>
      <w:pPr>
        <w:adjustRightInd w:val="0"/>
        <w:snapToGrid w:val="0"/>
        <w:spacing w:line="360" w:lineRule="auto"/>
        <w:ind w:firstLine="470" w:firstLineChars="196"/>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u w:val="single"/>
          <w:lang w:bidi="ar"/>
        </w:rPr>
        <w:t xml:space="preserve">                 </w:t>
      </w:r>
      <w:r>
        <w:rPr>
          <w:rFonts w:hint="eastAsia" w:ascii="仿宋_GB2312" w:hAnsi="仿宋_GB2312" w:eastAsia="仿宋_GB2312" w:cs="仿宋_GB2312"/>
          <w:color w:val="auto"/>
          <w:sz w:val="24"/>
          <w:highlight w:val="none"/>
          <w:lang w:bidi="ar"/>
        </w:rPr>
        <w:t>，具体详见</w:t>
      </w:r>
      <w:r>
        <w:rPr>
          <w:rFonts w:hint="eastAsia" w:ascii="仿宋_GB2312" w:hAnsi="仿宋_GB2312" w:eastAsia="仿宋_GB2312" w:cs="仿宋_GB2312"/>
          <w:color w:val="auto"/>
          <w:sz w:val="24"/>
          <w:highlight w:val="none"/>
        </w:rPr>
        <w:t>用户需求书/</w:t>
      </w:r>
      <w:r>
        <w:rPr>
          <w:rFonts w:hint="eastAsia" w:ascii="仿宋_GB2312" w:hAnsi="仿宋_GB2312" w:eastAsia="仿宋_GB2312" w:cs="仿宋_GB2312"/>
          <w:color w:val="auto"/>
          <w:sz w:val="24"/>
          <w:highlight w:val="none"/>
          <w:lang w:bidi="ar"/>
        </w:rPr>
        <w:t>技术规格书。</w:t>
      </w:r>
    </w:p>
    <w:p>
      <w:pPr>
        <w:spacing w:line="360" w:lineRule="auto"/>
        <w:ind w:firstLine="465"/>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三、合同价款</w:t>
      </w:r>
    </w:p>
    <w:p>
      <w:pPr>
        <w:spacing w:line="360" w:lineRule="auto"/>
        <w:ind w:firstLine="465"/>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1.合同价款形式：</w:t>
      </w:r>
    </w:p>
    <w:p>
      <w:pPr>
        <w:spacing w:line="360" w:lineRule="auto"/>
        <w:ind w:firstLine="465"/>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单价合同</w:t>
      </w:r>
      <w:r>
        <w:rPr>
          <w:rFonts w:hint="eastAsia" w:ascii="仿宋_GB2312" w:hAnsi="仿宋_GB2312" w:eastAsia="仿宋_GB2312" w:cs="仿宋_GB2312"/>
          <w:b/>
          <w:color w:val="auto"/>
          <w:kern w:val="0"/>
          <w:sz w:val="24"/>
          <w:highlight w:val="none"/>
        </w:rPr>
        <w:t>（</w:t>
      </w:r>
      <w:r>
        <w:rPr>
          <w:rFonts w:hint="eastAsia" w:ascii="仿宋_GB2312" w:hAnsi="仿宋_GB2312" w:eastAsia="仿宋_GB2312" w:cs="仿宋_GB2312"/>
          <w:color w:val="auto"/>
          <w:kern w:val="0"/>
          <w:sz w:val="24"/>
          <w:highlight w:val="none"/>
        </w:rPr>
        <w:t>除税率调整外，合同单价（即中标单价/中选单价/成交单价）在合同执行过程中固定不变</w:t>
      </w:r>
      <w:r>
        <w:rPr>
          <w:rFonts w:hint="eastAsia" w:ascii="仿宋_GB2312" w:hAnsi="仿宋_GB2312" w:eastAsia="仿宋_GB2312" w:cs="仿宋_GB2312"/>
          <w:color w:val="auto"/>
          <w:sz w:val="24"/>
          <w:highlight w:val="none"/>
        </w:rPr>
        <w:t>，不受政策法规变化以及汇率浮动、物价指数浮动等因素的影响</w:t>
      </w:r>
      <w:r>
        <w:rPr>
          <w:rFonts w:hint="eastAsia" w:ascii="仿宋_GB2312" w:hAnsi="仿宋_GB2312" w:eastAsia="仿宋_GB2312" w:cs="仿宋_GB2312"/>
          <w:b/>
          <w:color w:val="auto"/>
          <w:kern w:val="0"/>
          <w:sz w:val="24"/>
          <w:highlight w:val="none"/>
        </w:rPr>
        <w:t>）</w:t>
      </w:r>
      <w:r>
        <w:rPr>
          <w:rFonts w:hint="eastAsia" w:ascii="仿宋_GB2312" w:hAnsi="仿宋_GB2312" w:eastAsia="仿宋_GB2312" w:cs="仿宋_GB2312"/>
          <w:color w:val="auto"/>
          <w:kern w:val="0"/>
          <w:sz w:val="24"/>
          <w:highlight w:val="none"/>
        </w:rPr>
        <w:t>。</w:t>
      </w:r>
    </w:p>
    <w:p>
      <w:pPr>
        <w:spacing w:line="360" w:lineRule="auto"/>
        <w:ind w:firstLine="465"/>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sz w:val="24"/>
          <w:highlight w:val="none"/>
        </w:rPr>
        <w:t>签约合同价：</w:t>
      </w:r>
    </w:p>
    <w:p>
      <w:pPr>
        <w:spacing w:line="360" w:lineRule="auto"/>
        <w:ind w:firstLine="46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签约合同价为含增值税价，</w:t>
      </w:r>
      <w:r>
        <w:rPr>
          <w:rFonts w:eastAsia="仿宋_GB2312"/>
          <w:color w:val="auto"/>
          <w:sz w:val="24"/>
          <w:highlight w:val="none"/>
        </w:rPr>
        <w:t>金额为人民币（大写）</w:t>
      </w:r>
      <w:r>
        <w:rPr>
          <w:rFonts w:hint="eastAsia" w:eastAsia="仿宋_GB2312"/>
          <w:color w:val="auto"/>
          <w:sz w:val="24"/>
          <w:highlight w:val="none"/>
          <w:u w:val="single"/>
          <w:lang w:val="en-US" w:eastAsia="zh-CN"/>
        </w:rPr>
        <w:t xml:space="preserve">    </w:t>
      </w:r>
      <w:r>
        <w:rPr>
          <w:rFonts w:eastAsia="仿宋_GB2312"/>
          <w:color w:val="auto"/>
          <w:sz w:val="24"/>
          <w:highlight w:val="none"/>
        </w:rPr>
        <w:t>（¥</w:t>
      </w:r>
      <w:r>
        <w:rPr>
          <w:rFonts w:hint="eastAsia" w:eastAsia="仿宋_GB2312"/>
          <w:color w:val="auto"/>
          <w:sz w:val="24"/>
          <w:highlight w:val="none"/>
          <w:u w:val="single"/>
          <w:lang w:val="en-US" w:eastAsia="zh-CN"/>
        </w:rPr>
        <w:t xml:space="preserve">     </w:t>
      </w:r>
      <w:r>
        <w:rPr>
          <w:rFonts w:eastAsia="仿宋_GB2312"/>
          <w:color w:val="auto"/>
          <w:sz w:val="24"/>
          <w:highlight w:val="none"/>
        </w:rPr>
        <w:t>），其中不含增值税价格为¥</w:t>
      </w:r>
      <w:r>
        <w:rPr>
          <w:rFonts w:hint="eastAsia" w:eastAsia="仿宋_GB2312"/>
          <w:color w:val="auto"/>
          <w:sz w:val="24"/>
          <w:highlight w:val="none"/>
          <w:u w:val="single"/>
          <w:lang w:val="en-US" w:eastAsia="zh-CN"/>
        </w:rPr>
        <w:t xml:space="preserve">     </w:t>
      </w:r>
      <w:r>
        <w:rPr>
          <w:rFonts w:eastAsia="仿宋_GB2312"/>
          <w:color w:val="auto"/>
          <w:sz w:val="24"/>
          <w:highlight w:val="none"/>
        </w:rPr>
        <w:t>、签约合同价中的增值税为¥</w:t>
      </w:r>
      <w:r>
        <w:rPr>
          <w:rFonts w:hint="eastAsia" w:eastAsia="仿宋_GB2312"/>
          <w:color w:val="auto"/>
          <w:sz w:val="24"/>
          <w:highlight w:val="none"/>
          <w:u w:val="single"/>
          <w:lang w:val="en-US" w:eastAsia="zh-CN"/>
        </w:rPr>
        <w:t xml:space="preserve">    </w:t>
      </w:r>
      <w:r>
        <w:rPr>
          <w:rFonts w:eastAsia="仿宋_GB2312"/>
          <w:color w:val="auto"/>
          <w:sz w:val="24"/>
          <w:highlight w:val="none"/>
        </w:rPr>
        <w:t>。</w:t>
      </w:r>
      <w:r>
        <w:rPr>
          <w:rFonts w:hint="eastAsia" w:ascii="仿宋_GB2312" w:hAnsi="仿宋_GB2312" w:eastAsia="仿宋_GB2312" w:cs="仿宋_GB2312"/>
          <w:color w:val="auto"/>
          <w:sz w:val="24"/>
          <w:highlight w:val="none"/>
        </w:rPr>
        <w:t xml:space="preserve">增值税根据乙方提供给甲方的增值税专用发票中的税额据实支付和结算，具体价格组成详见签约合同价清单。 </w:t>
      </w:r>
    </w:p>
    <w:p>
      <w:pPr>
        <w:spacing w:line="360" w:lineRule="auto"/>
        <w:ind w:firstLine="465"/>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按</w:t>
      </w:r>
      <w:r>
        <w:rPr>
          <w:rFonts w:hint="eastAsia" w:ascii="仿宋_GB2312" w:hAnsi="仿宋_GB2312" w:eastAsia="仿宋_GB2312" w:cs="仿宋_GB2312"/>
          <w:color w:val="auto"/>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color w:val="auto"/>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color w:val="auto"/>
          <w:kern w:val="0"/>
          <w:sz w:val="24"/>
          <w:szCs w:val="22"/>
          <w:highlight w:val="none"/>
          <w:shd w:val="clear" w:color="auto" w:fill="FFFFFF"/>
        </w:rPr>
        <w:t>/</w:t>
      </w:r>
      <w:r>
        <w:rPr>
          <w:rFonts w:hint="eastAsia" w:ascii="仿宋_GB2312" w:hAnsi="仿宋_GB2312" w:eastAsia="仿宋_GB2312" w:cs="仿宋_GB2312"/>
          <w:color w:val="auto"/>
          <w:kern w:val="0"/>
          <w:sz w:val="24"/>
          <w:szCs w:val="22"/>
          <w:highlight w:val="none"/>
          <w:u w:val="single"/>
          <w:shd w:val="clear" w:color="auto" w:fill="FFFFFF"/>
        </w:rPr>
        <w:sym w:font="Wingdings 2" w:char="0052"/>
      </w:r>
      <w:r>
        <w:rPr>
          <w:rFonts w:hint="eastAsia" w:ascii="仿宋_GB2312" w:hAnsi="仿宋_GB2312" w:eastAsia="仿宋_GB2312" w:cs="仿宋_GB2312"/>
          <w:color w:val="auto"/>
          <w:sz w:val="24"/>
          <w:highlight w:val="none"/>
          <w:u w:val="single"/>
        </w:rPr>
        <w:t>履约验收合格确定的最终价款</w:t>
      </w:r>
      <w:r>
        <w:rPr>
          <w:rFonts w:hint="eastAsia" w:ascii="仿宋_GB2312" w:hAnsi="仿宋_GB2312" w:eastAsia="仿宋_GB2312" w:cs="仿宋_GB2312"/>
          <w:color w:val="auto"/>
          <w:kern w:val="0"/>
          <w:sz w:val="24"/>
          <w:szCs w:val="22"/>
          <w:highlight w:val="none"/>
          <w:u w:val="single"/>
          <w:shd w:val="clear" w:color="auto" w:fill="FFFFFF"/>
        </w:rPr>
        <w:t>为准</w:t>
      </w:r>
      <w:r>
        <w:rPr>
          <w:rFonts w:hint="eastAsia" w:ascii="仿宋_GB2312" w:hAnsi="仿宋_GB2312" w:eastAsia="仿宋_GB2312" w:cs="仿宋_GB2312"/>
          <w:color w:val="auto"/>
          <w:kern w:val="0"/>
          <w:sz w:val="24"/>
          <w:szCs w:val="22"/>
          <w:highlight w:val="none"/>
          <w:shd w:val="clear" w:color="auto" w:fill="FFFFFF"/>
        </w:rPr>
        <w:t>。</w:t>
      </w:r>
      <w:r>
        <w:rPr>
          <w:rFonts w:hint="eastAsia" w:ascii="仿宋_GB2312" w:hAnsi="仿宋_GB2312" w:eastAsia="仿宋_GB2312" w:cs="仿宋_GB2312"/>
          <w:bCs/>
          <w:color w:val="auto"/>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color w:val="auto"/>
          <w:sz w:val="24"/>
          <w:highlight w:val="none"/>
        </w:rPr>
        <w:t>等</w:t>
      </w:r>
      <w:r>
        <w:rPr>
          <w:rFonts w:hint="eastAsia" w:ascii="仿宋_GB2312" w:hAnsi="仿宋_GB2312" w:eastAsia="仿宋_GB2312" w:cs="仿宋_GB2312"/>
          <w:bCs/>
          <w:color w:val="auto"/>
          <w:sz w:val="24"/>
          <w:highlight w:val="none"/>
        </w:rPr>
        <w:t>。</w:t>
      </w:r>
    </w:p>
    <w:p>
      <w:pPr>
        <w:pStyle w:val="13"/>
        <w:adjustRightInd w:val="0"/>
        <w:snapToGrid w:val="0"/>
        <w:spacing w:line="360"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四、合同文件组成</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合同文件组成及优先解释顺序：</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bookmarkStart w:id="93" w:name="OLE_LINK11"/>
      <w:bookmarkStart w:id="94" w:name="OLE_LINK10"/>
      <w:r>
        <w:rPr>
          <w:rFonts w:hint="eastAsia" w:ascii="仿宋_GB2312" w:hAnsi="仿宋_GB2312" w:eastAsia="仿宋_GB2312" w:cs="仿宋_GB2312"/>
          <w:color w:val="auto"/>
          <w:sz w:val="24"/>
          <w:highlight w:val="none"/>
        </w:rPr>
        <w:t>（1）</w:t>
      </w:r>
      <w:bookmarkEnd w:id="93"/>
      <w:bookmarkEnd w:id="94"/>
      <w:r>
        <w:rPr>
          <w:rFonts w:hint="eastAsia" w:ascii="仿宋_GB2312" w:hAnsi="仿宋_GB2312" w:eastAsia="仿宋_GB2312" w:cs="仿宋_GB2312"/>
          <w:color w:val="auto"/>
          <w:sz w:val="24"/>
          <w:highlight w:val="none"/>
        </w:rPr>
        <w:t>补充协议（</w:t>
      </w:r>
      <w:bookmarkStart w:id="95" w:name="OLE_LINK12"/>
      <w:r>
        <w:rPr>
          <w:rFonts w:hint="eastAsia" w:ascii="仿宋_GB2312" w:hAnsi="仿宋_GB2312" w:eastAsia="仿宋_GB2312" w:cs="仿宋_GB2312"/>
          <w:color w:val="auto"/>
          <w:sz w:val="24"/>
          <w:highlight w:val="none"/>
        </w:rPr>
        <w:t>如果有</w:t>
      </w:r>
      <w:bookmarkEnd w:id="95"/>
      <w:r>
        <w:rPr>
          <w:rFonts w:hint="eastAsia" w:ascii="仿宋_GB2312" w:hAnsi="仿宋_GB2312" w:eastAsia="仿宋_GB2312" w:cs="仿宋_GB2312"/>
          <w:color w:val="auto"/>
          <w:sz w:val="24"/>
          <w:highlight w:val="none"/>
        </w:rPr>
        <w:t>）；</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（2）合同协议书;</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（3）中标通知书/中选通知书/谈判记录表；</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（4）合同条款;</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（5）用户需求书/技术规格书;</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（6）签约合同价清单;</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（9）投标文件/谈判响应文件、澄清文件及其它补充资料；</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（10）批准的图纸（如果有）；</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（11）其他构成本合同的文件。</w:t>
      </w:r>
    </w:p>
    <w:p>
      <w:pPr>
        <w:snapToGrid w:val="0"/>
        <w:spacing w:line="360" w:lineRule="auto"/>
        <w:ind w:firstLine="46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五、承诺</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六、词语定义</w:t>
      </w:r>
    </w:p>
    <w:p>
      <w:pPr>
        <w:spacing w:line="360" w:lineRule="auto"/>
        <w:ind w:firstLine="48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本合同协议书中词语含义与合同条款中的词语含义相同。</w:t>
      </w:r>
    </w:p>
    <w:p>
      <w:pPr>
        <w:spacing w:line="360" w:lineRule="auto"/>
        <w:ind w:firstLine="480"/>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七、签订时间</w:t>
      </w:r>
    </w:p>
    <w:p>
      <w:pPr>
        <w:spacing w:line="360" w:lineRule="auto"/>
        <w:ind w:firstLine="465"/>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本合同于</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年</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月</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日签订。</w:t>
      </w:r>
      <w:bookmarkStart w:id="96" w:name="_Toc406150419"/>
      <w:bookmarkStart w:id="97" w:name="_Toc457826148"/>
      <w:bookmarkStart w:id="98" w:name="_Toc351203490"/>
    </w:p>
    <w:p>
      <w:pPr>
        <w:spacing w:line="360" w:lineRule="auto"/>
        <w:ind w:firstLine="465"/>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八、签订地点</w:t>
      </w:r>
      <w:bookmarkEnd w:id="96"/>
      <w:bookmarkEnd w:id="97"/>
      <w:bookmarkEnd w:id="98"/>
    </w:p>
    <w:p>
      <w:pPr>
        <w:adjustRightInd w:val="0"/>
        <w:snapToGrid w:val="0"/>
        <w:spacing w:line="360" w:lineRule="auto"/>
        <w:ind w:firstLine="480" w:firstLineChars="200"/>
        <w:rPr>
          <w:rFonts w:ascii="仿宋_GB2312" w:hAnsi="仿宋_GB2312" w:eastAsia="仿宋_GB2312" w:cs="仿宋_GB2312"/>
          <w:color w:val="auto"/>
          <w:sz w:val="24"/>
          <w:highlight w:val="none"/>
          <w:u w:val="single"/>
          <w:lang w:bidi="ar"/>
        </w:rPr>
      </w:pPr>
      <w:r>
        <w:rPr>
          <w:rFonts w:hint="eastAsia" w:ascii="仿宋_GB2312" w:hAnsi="仿宋_GB2312" w:eastAsia="仿宋_GB2312" w:cs="仿宋_GB2312"/>
          <w:bCs/>
          <w:color w:val="auto"/>
          <w:sz w:val="24"/>
          <w:highlight w:val="none"/>
        </w:rPr>
        <w:t>本合同在</w:t>
      </w:r>
      <w:r>
        <w:rPr>
          <w:rFonts w:hint="eastAsia" w:ascii="仿宋_GB2312" w:hAnsi="仿宋_GB2312" w:eastAsia="仿宋_GB2312" w:cs="仿宋_GB2312"/>
          <w:bCs/>
          <w:color w:val="auto"/>
          <w:sz w:val="24"/>
          <w:highlight w:val="none"/>
          <w:u w:val="single"/>
        </w:rPr>
        <w:t xml:space="preserve"> 湖南省长沙市雨花区 </w:t>
      </w:r>
      <w:r>
        <w:rPr>
          <w:rFonts w:hint="eastAsia" w:ascii="仿宋_GB2312" w:hAnsi="仿宋_GB2312" w:eastAsia="仿宋_GB2312" w:cs="仿宋_GB2312"/>
          <w:bCs/>
          <w:color w:val="auto"/>
          <w:sz w:val="24"/>
          <w:highlight w:val="none"/>
        </w:rPr>
        <w:t>签订。</w:t>
      </w:r>
    </w:p>
    <w:p>
      <w:pPr>
        <w:spacing w:line="360" w:lineRule="auto"/>
        <w:ind w:firstLine="465"/>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九、合同生效</w:t>
      </w:r>
    </w:p>
    <w:p>
      <w:pPr>
        <w:spacing w:line="360" w:lineRule="auto"/>
        <w:ind w:firstLine="465"/>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本合同自</w:t>
      </w:r>
      <w:r>
        <w:rPr>
          <w:rFonts w:hint="eastAsia" w:ascii="仿宋_GB2312" w:hAnsi="仿宋_GB2312" w:eastAsia="仿宋_GB2312" w:cs="仿宋_GB2312"/>
          <w:color w:val="auto"/>
          <w:sz w:val="24"/>
          <w:highlight w:val="none"/>
          <w:u w:val="single"/>
        </w:rPr>
        <w:t>合同双方法定代表人或其授权代表签字并加盖合同专用章</w:t>
      </w:r>
      <w:r>
        <w:rPr>
          <w:rFonts w:hint="eastAsia" w:ascii="仿宋_GB2312" w:hAnsi="仿宋_GB2312" w:eastAsia="仿宋_GB2312" w:cs="仿宋_GB2312"/>
          <w:bCs/>
          <w:color w:val="auto"/>
          <w:sz w:val="24"/>
          <w:highlight w:val="none"/>
        </w:rPr>
        <w:t>生效。</w:t>
      </w:r>
      <w:bookmarkStart w:id="99" w:name="_Toc457826150"/>
    </w:p>
    <w:p>
      <w:pPr>
        <w:spacing w:line="360" w:lineRule="auto"/>
        <w:ind w:firstLine="465"/>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十、合同份数</w:t>
      </w:r>
      <w:bookmarkEnd w:id="99"/>
    </w:p>
    <w:p>
      <w:pPr>
        <w:widowControl/>
        <w:snapToGrid w:val="0"/>
        <w:spacing w:line="360" w:lineRule="auto"/>
        <w:ind w:firstLine="465"/>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本合同一式十二份（其中正本二份、副本十份），甲方执八份（一正七副）、乙方执四份（一正三副）。合同正本和副本具有同等效力，当合同副本与正本之间存有差异时，以合同正本为准。</w:t>
      </w:r>
    </w:p>
    <w:bookmarkEnd w:id="92"/>
    <w:p>
      <w:pP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r>
        <w:rPr>
          <w:rFonts w:hint="eastAsia" w:ascii="仿宋_GB2312" w:hAnsi="仿宋_GB2312" w:eastAsia="仿宋_GB2312" w:cs="仿宋_GB2312"/>
          <w:color w:val="auto"/>
          <w:sz w:val="24"/>
          <w:highlight w:val="none"/>
        </w:rPr>
        <w:t>（本页无正文）</w:t>
      </w:r>
    </w:p>
    <w:p>
      <w:pPr>
        <w:snapToGrid w:val="0"/>
        <w:spacing w:line="360" w:lineRule="auto"/>
        <w:rPr>
          <w:rFonts w:ascii="仿宋_GB2312" w:hAnsi="仿宋_GB2312" w:eastAsia="仿宋_GB2312" w:cs="仿宋_GB2312"/>
          <w:color w:val="auto"/>
          <w:sz w:val="24"/>
          <w:highlight w:val="none"/>
        </w:rPr>
      </w:pPr>
    </w:p>
    <w:p>
      <w:pPr>
        <w:snapToGrid w:val="0"/>
        <w:spacing w:line="360" w:lineRule="auto"/>
        <w:rPr>
          <w:rFonts w:ascii="仿宋_GB2312" w:hAnsi="仿宋_GB2312" w:eastAsia="仿宋_GB2312" w:cs="仿宋_GB2312"/>
          <w:color w:val="auto"/>
          <w:sz w:val="24"/>
          <w:highlight w:val="none"/>
        </w:rPr>
      </w:pPr>
    </w:p>
    <w:p>
      <w:pPr>
        <w:snapToGrid w:val="0"/>
        <w:spacing w:line="360" w:lineRule="auto"/>
        <w:rPr>
          <w:rFonts w:ascii="仿宋_GB2312" w:hAnsi="仿宋_GB2312" w:eastAsia="仿宋_GB2312" w:cs="仿宋_GB2312"/>
          <w:color w:val="auto"/>
          <w:sz w:val="24"/>
          <w:highlight w:val="none"/>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采购人：(盖章)</w:t>
            </w:r>
          </w:p>
          <w:p>
            <w:pPr>
              <w:pStyle w:val="25"/>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供应商：（盖章）</w:t>
            </w:r>
          </w:p>
          <w:p>
            <w:pPr>
              <w:pStyle w:val="25"/>
              <w:snapToGrid w:val="0"/>
              <w:spacing w:line="360" w:lineRule="auto"/>
              <w:rPr>
                <w:rFonts w:ascii="仿宋_GB2312" w:hAnsi="仿宋_GB2312" w:eastAsia="仿宋_GB2312" w:cs="仿宋_GB2312"/>
                <w:color w:val="auto"/>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法定代表人或其授权代表：</w:t>
            </w:r>
          </w:p>
          <w:p>
            <w:pPr>
              <w:pStyle w:val="25"/>
              <w:snapToGrid w:val="0"/>
              <w:spacing w:line="360" w:lineRule="auto"/>
              <w:ind w:left="19" w:leftChars="9"/>
              <w:rPr>
                <w:rFonts w:ascii="仿宋_GB2312" w:hAnsi="仿宋_GB2312" w:eastAsia="仿宋_GB2312" w:cs="仿宋_GB2312"/>
                <w:color w:val="auto"/>
                <w:sz w:val="24"/>
                <w:highlight w:val="none"/>
              </w:rPr>
            </w:pP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法定代表人或其授权代表：</w:t>
            </w:r>
          </w:p>
          <w:p>
            <w:pPr>
              <w:pStyle w:val="25"/>
              <w:snapToGrid w:val="0"/>
              <w:spacing w:line="360" w:lineRule="auto"/>
              <w:ind w:left="34" w:leftChars="16"/>
              <w:rPr>
                <w:rFonts w:ascii="仿宋_GB2312" w:hAnsi="仿宋_GB2312" w:eastAsia="仿宋_GB2312" w:cs="仿宋_GB2312"/>
                <w:color w:val="auto"/>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地址：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邮编：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电话：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传真：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账号：</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w:t>
            </w:r>
          </w:p>
        </w:tc>
      </w:tr>
    </w:tbl>
    <w:p>
      <w:pPr>
        <w:adjustRightInd w:val="0"/>
        <w:snapToGrid w:val="0"/>
        <w:spacing w:line="360" w:lineRule="auto"/>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br w:type="page"/>
      </w:r>
      <w:bookmarkStart w:id="100" w:name="_Toc11845"/>
      <w:bookmarkStart w:id="101" w:name="_Toc15536"/>
      <w:r>
        <w:rPr>
          <w:rFonts w:hint="eastAsia" w:ascii="仿宋_GB2312" w:hAnsi="仿宋_GB2312" w:eastAsia="仿宋_GB2312" w:cs="仿宋_GB2312"/>
          <w:b/>
          <w:bCs/>
          <w:color w:val="auto"/>
          <w:sz w:val="32"/>
          <w:szCs w:val="32"/>
          <w:highlight w:val="none"/>
        </w:rPr>
        <w:t xml:space="preserve">第二部分 </w:t>
      </w:r>
      <w:bookmarkEnd w:id="100"/>
      <w:bookmarkStart w:id="102" w:name="_Toc578"/>
      <w:r>
        <w:rPr>
          <w:rFonts w:hint="eastAsia" w:ascii="仿宋_GB2312" w:hAnsi="仿宋_GB2312" w:eastAsia="仿宋_GB2312" w:cs="仿宋_GB2312"/>
          <w:b/>
          <w:bCs/>
          <w:color w:val="auto"/>
          <w:sz w:val="32"/>
          <w:szCs w:val="32"/>
          <w:highlight w:val="none"/>
        </w:rPr>
        <w:t>合同条款</w:t>
      </w:r>
      <w:bookmarkEnd w:id="101"/>
      <w:bookmarkEnd w:id="102"/>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03" w:name="_Toc21196"/>
      <w:bookmarkStart w:id="104" w:name="_Toc4883"/>
      <w:r>
        <w:rPr>
          <w:rFonts w:hint="eastAsia" w:ascii="仿宋_GB2312" w:hAnsi="仿宋_GB2312" w:eastAsia="仿宋_GB2312" w:cs="仿宋_GB2312"/>
          <w:b/>
          <w:color w:val="auto"/>
          <w:sz w:val="24"/>
          <w:highlight w:val="none"/>
        </w:rPr>
        <w:t>1.定义</w:t>
      </w:r>
      <w:bookmarkEnd w:id="103"/>
      <w:bookmarkEnd w:id="104"/>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1.1合同当事人</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1.2本合同下列术语应解释为：</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（3）“合同价格”系指根据本合同规定乙方在正确地完全履行合同义务后，</w:t>
      </w:r>
      <w:r>
        <w:rPr>
          <w:rFonts w:hint="eastAsia" w:ascii="仿宋_GB2312" w:hAnsi="仿宋_GB2312" w:eastAsia="仿宋_GB2312" w:cs="仿宋_GB2312"/>
          <w:color w:val="auto"/>
          <w:kern w:val="0"/>
          <w:sz w:val="24"/>
          <w:highlight w:val="none"/>
        </w:rPr>
        <w:t>按照长沙市政府或其职能部门相关规定，</w:t>
      </w:r>
      <w:r>
        <w:rPr>
          <w:rFonts w:hint="eastAsia" w:ascii="仿宋_GB2312" w:hAnsi="仿宋_GB2312" w:eastAsia="仿宋_GB2312" w:cs="仿宋_GB2312"/>
          <w:color w:val="auto"/>
          <w:sz w:val="24"/>
          <w:highlight w:val="none"/>
          <w:u w:val="single"/>
        </w:rPr>
        <w:sym w:font="Wingdings 2" w:char="00A3"/>
      </w:r>
      <w:r>
        <w:rPr>
          <w:rFonts w:hint="eastAsia" w:ascii="仿宋_GB2312" w:hAnsi="仿宋_GB2312" w:eastAsia="仿宋_GB2312" w:cs="仿宋_GB2312"/>
          <w:color w:val="auto"/>
          <w:sz w:val="24"/>
          <w:highlight w:val="none"/>
          <w:u w:val="single"/>
        </w:rPr>
        <w:t>经长沙市政府相关职能部门或长沙市轨道交通集团有限公司</w:t>
      </w:r>
      <w:r>
        <w:rPr>
          <w:rFonts w:hint="eastAsia" w:ascii="仿宋_GB2312" w:hAnsi="仿宋_GB2312" w:eastAsia="仿宋_GB2312" w:cs="仿宋_GB2312"/>
          <w:color w:val="auto"/>
          <w:kern w:val="0"/>
          <w:sz w:val="24"/>
          <w:szCs w:val="22"/>
          <w:highlight w:val="none"/>
          <w:u w:val="single"/>
          <w:shd w:val="clear" w:color="auto" w:fill="FFFFFF"/>
        </w:rPr>
        <w:t>授权的单位</w:t>
      </w:r>
      <w:r>
        <w:rPr>
          <w:rFonts w:hint="eastAsia" w:ascii="仿宋_GB2312" w:hAnsi="仿宋_GB2312" w:eastAsia="仿宋_GB2312" w:cs="仿宋_GB2312"/>
          <w:color w:val="auto"/>
          <w:sz w:val="24"/>
          <w:highlight w:val="none"/>
          <w:u w:val="single"/>
        </w:rPr>
        <w:t>审定的结算价格</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sym w:font="Wingdings 2" w:char="0052"/>
      </w:r>
      <w:r>
        <w:rPr>
          <w:rFonts w:hint="eastAsia" w:ascii="仿宋_GB2312" w:hAnsi="仿宋_GB2312" w:eastAsia="仿宋_GB2312" w:cs="仿宋_GB2312"/>
          <w:color w:val="auto"/>
          <w:sz w:val="24"/>
          <w:highlight w:val="none"/>
          <w:u w:val="single"/>
        </w:rPr>
        <w:t>履约验收合格确定的最终价款</w:t>
      </w:r>
      <w:r>
        <w:rPr>
          <w:rFonts w:hint="eastAsia" w:ascii="仿宋_GB2312" w:hAnsi="仿宋_GB2312" w:eastAsia="仿宋_GB2312" w:cs="仿宋_GB2312"/>
          <w:color w:val="auto"/>
          <w:sz w:val="24"/>
          <w:highlight w:val="none"/>
        </w:rPr>
        <w:t>。</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（6）“合同条款”系指本合同条款。</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（8）“履约验收”系指按照长沙市政府相关职能部门或长沙市轨道交通集团有限公司或长沙市轨道交通集团有限公司授权的单位制定的履约验收相关管理规定办理验收。</w:t>
      </w:r>
    </w:p>
    <w:p>
      <w:pPr>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05" w:name="_Toc22526"/>
      <w:bookmarkStart w:id="106" w:name="_Toc9989"/>
      <w:r>
        <w:rPr>
          <w:rFonts w:hint="eastAsia" w:ascii="仿宋_GB2312" w:hAnsi="仿宋_GB2312" w:eastAsia="仿宋_GB2312" w:cs="仿宋_GB2312"/>
          <w:b/>
          <w:color w:val="auto"/>
          <w:sz w:val="24"/>
          <w:highlight w:val="none"/>
        </w:rPr>
        <w:t>2.价款支付</w:t>
      </w:r>
      <w:bookmarkEnd w:id="105"/>
      <w:bookmarkEnd w:id="106"/>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2.1预付款</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本项目无预付款。</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2.2 中间付款</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（2）乙方按合同约定完成所有物资供货及相关工作，且</w:t>
      </w:r>
      <w:r>
        <w:rPr>
          <w:rFonts w:hint="eastAsia" w:ascii="仿宋_GB2312" w:hAnsi="仿宋_GB2312" w:eastAsia="仿宋_GB2312" w:cs="仿宋_GB2312"/>
          <w:color w:val="auto"/>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color w:val="auto"/>
          <w:kern w:val="0"/>
          <w:sz w:val="24"/>
          <w:szCs w:val="22"/>
          <w:highlight w:val="none"/>
          <w:shd w:val="clear" w:color="auto" w:fill="FFFFFF"/>
        </w:rPr>
        <w:t>/</w:t>
      </w:r>
      <w:r>
        <w:rPr>
          <w:rFonts w:hint="eastAsia" w:ascii="仿宋_GB2312" w:hAnsi="仿宋_GB2312" w:eastAsia="仿宋_GB2312" w:cs="仿宋_GB2312"/>
          <w:color w:val="auto"/>
          <w:kern w:val="0"/>
          <w:sz w:val="24"/>
          <w:szCs w:val="22"/>
          <w:highlight w:val="none"/>
          <w:u w:val="single"/>
          <w:shd w:val="clear" w:color="auto" w:fill="FFFFFF"/>
        </w:rPr>
        <w:sym w:font="Wingdings 2" w:char="0052"/>
      </w:r>
      <w:r>
        <w:rPr>
          <w:rFonts w:hint="eastAsia" w:ascii="仿宋_GB2312" w:hAnsi="仿宋_GB2312" w:eastAsia="仿宋_GB2312" w:cs="仿宋_GB2312"/>
          <w:color w:val="auto"/>
          <w:kern w:val="0"/>
          <w:sz w:val="24"/>
          <w:szCs w:val="22"/>
          <w:highlight w:val="none"/>
          <w:u w:val="single"/>
          <w:shd w:val="clear" w:color="auto" w:fill="FFFFFF"/>
        </w:rPr>
        <w:t>本项目履约验收合格</w:t>
      </w:r>
      <w:r>
        <w:rPr>
          <w:rFonts w:hint="eastAsia" w:ascii="仿宋_GB2312" w:hAnsi="仿宋_GB2312" w:eastAsia="仿宋_GB2312" w:cs="仿宋_GB2312"/>
          <w:color w:val="auto"/>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color w:val="auto"/>
          <w:sz w:val="24"/>
          <w:highlight w:val="none"/>
        </w:rPr>
        <w:t>。</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2.3最终付款</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质保期满且物资无质量问题，收到</w:t>
      </w:r>
      <w:r>
        <w:rPr>
          <w:rFonts w:hint="eastAsia" w:ascii="仿宋_GB2312" w:hAnsi="仿宋_GB2312" w:eastAsia="仿宋_GB2312" w:cs="仿宋_GB2312"/>
          <w:color w:val="auto"/>
          <w:sz w:val="24"/>
          <w:highlight w:val="none"/>
          <w:lang w:bidi="ar"/>
        </w:rPr>
        <w:t>经甲方批复的</w:t>
      </w:r>
      <w:r>
        <w:rPr>
          <w:rFonts w:hint="eastAsia" w:ascii="仿宋_GB2312" w:hAnsi="仿宋_GB2312" w:eastAsia="仿宋_GB2312" w:cs="仿宋_GB2312"/>
          <w:color w:val="auto"/>
          <w:sz w:val="24"/>
          <w:highlight w:val="none"/>
        </w:rPr>
        <w:t>支付请求等资料并</w:t>
      </w:r>
      <w:r>
        <w:rPr>
          <w:rFonts w:hint="eastAsia" w:ascii="仿宋_GB2312" w:hAnsi="仿宋_GB2312" w:eastAsia="仿宋_GB2312" w:cs="仿宋_GB2312"/>
          <w:color w:val="auto"/>
          <w:sz w:val="24"/>
          <w:highlight w:val="none"/>
          <w:lang w:bidi="ar"/>
        </w:rPr>
        <w:t>证实完整无误后</w:t>
      </w:r>
      <w:r>
        <w:rPr>
          <w:rFonts w:hint="eastAsia" w:ascii="仿宋_GB2312" w:hAnsi="仿宋_GB2312" w:eastAsia="仿宋_GB2312" w:cs="仿宋_GB2312"/>
          <w:color w:val="auto"/>
          <w:sz w:val="24"/>
          <w:highlight w:val="none"/>
        </w:rPr>
        <w:t>28个工作日内，支付合同价格的剩余款项。</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07" w:name="_Toc4426"/>
      <w:bookmarkStart w:id="108" w:name="_Toc7569"/>
      <w:r>
        <w:rPr>
          <w:rFonts w:hint="eastAsia" w:ascii="仿宋_GB2312" w:hAnsi="仿宋_GB2312" w:eastAsia="仿宋_GB2312" w:cs="仿宋_GB2312"/>
          <w:b/>
          <w:bCs/>
          <w:color w:val="auto"/>
          <w:sz w:val="24"/>
          <w:highlight w:val="none"/>
        </w:rPr>
        <w:t>3.</w:t>
      </w:r>
      <w:r>
        <w:rPr>
          <w:rFonts w:hint="eastAsia" w:ascii="仿宋_GB2312" w:hAnsi="仿宋_GB2312" w:eastAsia="仿宋_GB2312" w:cs="仿宋_GB2312"/>
          <w:b/>
          <w:color w:val="auto"/>
          <w:sz w:val="24"/>
          <w:highlight w:val="none"/>
        </w:rPr>
        <w:t>合同履行的时间、地点和方式</w:t>
      </w:r>
      <w:bookmarkEnd w:id="107"/>
      <w:bookmarkEnd w:id="108"/>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 乙方应当按甲方</w:t>
      </w:r>
      <w:r>
        <w:rPr>
          <w:rFonts w:hint="eastAsia" w:ascii="仿宋_GB2312" w:hAnsi="仿宋_GB2312" w:eastAsia="仿宋_GB2312" w:cs="仿宋_GB2312"/>
          <w:color w:val="auto"/>
          <w:sz w:val="24"/>
          <w:highlight w:val="none"/>
          <w:u w:val="single"/>
        </w:rPr>
        <w:t>用户需求书/技术规格书</w:t>
      </w:r>
      <w:r>
        <w:rPr>
          <w:rFonts w:hint="eastAsia" w:ascii="仿宋_GB2312" w:hAnsi="仿宋_GB2312" w:eastAsia="仿宋_GB2312" w:cs="仿宋_GB2312"/>
          <w:color w:val="auto"/>
          <w:sz w:val="24"/>
          <w:highlight w:val="none"/>
        </w:rPr>
        <w:t>规定的时间、地点、方式履行合同。</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09" w:name="_Toc16729"/>
      <w:bookmarkStart w:id="110" w:name="_Toc31672"/>
      <w:r>
        <w:rPr>
          <w:rFonts w:hint="eastAsia" w:ascii="仿宋_GB2312" w:hAnsi="仿宋_GB2312" w:eastAsia="仿宋_GB2312" w:cs="仿宋_GB2312"/>
          <w:b/>
          <w:color w:val="auto"/>
          <w:sz w:val="24"/>
          <w:highlight w:val="none"/>
        </w:rPr>
        <w:t>4.物资的验收</w:t>
      </w:r>
      <w:bookmarkEnd w:id="109"/>
      <w:bookmarkEnd w:id="110"/>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ascii="仿宋_GB2312" w:hAnsi="仿宋_GB2312" w:eastAsia="仿宋_GB2312" w:cs="仿宋_GB2312"/>
          <w:strike/>
          <w:color w:val="auto"/>
          <w:sz w:val="24"/>
          <w:highlight w:val="none"/>
        </w:rPr>
      </w:pPr>
      <w:r>
        <w:rPr>
          <w:rFonts w:hint="eastAsia" w:ascii="仿宋_GB2312" w:hAnsi="仿宋_GB2312" w:eastAsia="仿宋_GB2312" w:cs="仿宋_GB2312"/>
          <w:color w:val="auto"/>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11" w:name="_Toc20751"/>
      <w:bookmarkStart w:id="112" w:name="_Toc32644"/>
      <w:r>
        <w:rPr>
          <w:rFonts w:hint="eastAsia" w:ascii="仿宋_GB2312" w:hAnsi="仿宋_GB2312" w:eastAsia="仿宋_GB2312" w:cs="仿宋_GB2312"/>
          <w:b/>
          <w:color w:val="auto"/>
          <w:sz w:val="24"/>
          <w:highlight w:val="none"/>
        </w:rPr>
        <w:t>5.物资包装要求</w:t>
      </w:r>
      <w:bookmarkEnd w:id="111"/>
      <w:bookmarkEnd w:id="112"/>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5.2 每一个包装箱内应附下列文件：</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（2）供货商或生产商出具的产品合格证；</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（3）产品说明书（包括组装、安装图）；</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13" w:name="_Toc8722"/>
      <w:bookmarkStart w:id="114" w:name="_Toc29550"/>
      <w:r>
        <w:rPr>
          <w:rFonts w:hint="eastAsia" w:ascii="仿宋_GB2312" w:hAnsi="仿宋_GB2312" w:eastAsia="仿宋_GB2312" w:cs="仿宋_GB2312"/>
          <w:b/>
          <w:color w:val="auto"/>
          <w:sz w:val="24"/>
          <w:highlight w:val="none"/>
        </w:rPr>
        <w:t>6.运输和保险</w:t>
      </w:r>
      <w:bookmarkEnd w:id="113"/>
      <w:bookmarkEnd w:id="114"/>
    </w:p>
    <w:p>
      <w:pPr>
        <w:tabs>
          <w:tab w:val="left" w:pos="1248"/>
        </w:tabs>
        <w:adjustRightInd w:val="0"/>
        <w:snapToGrid w:val="0"/>
        <w:spacing w:line="360" w:lineRule="auto"/>
        <w:ind w:firstLine="480" w:firstLineChars="200"/>
        <w:rPr>
          <w:rFonts w:ascii="仿宋_GB2312" w:hAnsi="仿宋_GB2312" w:eastAsia="仿宋_GB2312" w:cs="仿宋_GB2312"/>
          <w:i/>
          <w:strike/>
          <w:color w:val="auto"/>
          <w:sz w:val="24"/>
          <w:highlight w:val="none"/>
        </w:rPr>
      </w:pPr>
      <w:bookmarkStart w:id="115" w:name="_Toc6817"/>
      <w:r>
        <w:rPr>
          <w:rFonts w:hint="eastAsia" w:ascii="仿宋_GB2312" w:hAnsi="仿宋_GB2312" w:eastAsia="仿宋_GB2312" w:cs="仿宋_GB2312"/>
          <w:color w:val="auto"/>
          <w:sz w:val="24"/>
          <w:highlight w:val="none"/>
        </w:rPr>
        <w:t>6.1乙方负责办理和承担将物资运抵本合同第3.1条规定的交货地点的一切事项和风险，相关费用已包括在签约合同价中。</w:t>
      </w:r>
      <w:bookmarkEnd w:id="115"/>
      <w:bookmarkStart w:id="116" w:name="_Toc36"/>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17" w:name="_Toc4636"/>
      <w:r>
        <w:rPr>
          <w:rFonts w:hint="eastAsia" w:ascii="仿宋_GB2312" w:hAnsi="仿宋_GB2312" w:eastAsia="仿宋_GB2312" w:cs="仿宋_GB2312"/>
          <w:b/>
          <w:color w:val="auto"/>
          <w:sz w:val="24"/>
          <w:highlight w:val="none"/>
        </w:rPr>
        <w:t>7.质量标准和保证</w:t>
      </w:r>
      <w:bookmarkEnd w:id="116"/>
      <w:bookmarkEnd w:id="117"/>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7.1 质量标准</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color w:val="auto"/>
          <w:sz w:val="24"/>
          <w:highlight w:val="none"/>
          <w:u w:val="single"/>
        </w:rPr>
        <w:t>用户需求书/技术规格书</w:t>
      </w:r>
      <w:r>
        <w:rPr>
          <w:rFonts w:hint="eastAsia" w:ascii="仿宋_GB2312" w:hAnsi="仿宋_GB2312" w:eastAsia="仿宋_GB2312" w:cs="仿宋_GB2312"/>
          <w:color w:val="auto"/>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（2）国家实施强制性产品认证的，须具有认证标志。</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7.2 保证</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（3）本合同质量保证期以</w:t>
      </w:r>
      <w:r>
        <w:rPr>
          <w:rFonts w:hint="eastAsia" w:ascii="仿宋_GB2312" w:hAnsi="仿宋_GB2312" w:eastAsia="仿宋_GB2312" w:cs="仿宋_GB2312"/>
          <w:color w:val="auto"/>
          <w:sz w:val="24"/>
          <w:highlight w:val="none"/>
          <w:u w:val="single"/>
        </w:rPr>
        <w:t>用户需求书/技术规格书约定为准</w:t>
      </w:r>
      <w:r>
        <w:rPr>
          <w:rFonts w:hint="eastAsia" w:ascii="仿宋_GB2312" w:hAnsi="仿宋_GB2312" w:eastAsia="仿宋_GB2312" w:cs="仿宋_GB2312"/>
          <w:color w:val="auto"/>
          <w:sz w:val="24"/>
          <w:highlight w:val="none"/>
        </w:rPr>
        <w:t>。如物资原厂保修期长于本合同约定质量保证期的，以原厂保修期为准</w:t>
      </w:r>
      <w:r>
        <w:rPr>
          <w:rFonts w:hint="eastAsia" w:ascii="仿宋_GB2312" w:hAnsi="仿宋_GB2312" w:eastAsia="仿宋_GB2312" w:cs="仿宋_GB2312"/>
          <w:color w:val="auto"/>
          <w:sz w:val="24"/>
          <w:highlight w:val="none"/>
          <w:lang w:val="en-GB"/>
        </w:rPr>
        <w:t>。</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（7）在质量保证期后，在合同及</w:t>
      </w:r>
      <w:r>
        <w:rPr>
          <w:rFonts w:hint="eastAsia" w:ascii="仿宋_GB2312" w:hAnsi="仿宋_GB2312" w:eastAsia="仿宋_GB2312" w:cs="仿宋_GB2312"/>
          <w:color w:val="auto"/>
          <w:sz w:val="24"/>
          <w:highlight w:val="none"/>
          <w:u w:val="single"/>
        </w:rPr>
        <w:t>用户需求书/技术规格书</w:t>
      </w:r>
      <w:r>
        <w:rPr>
          <w:rFonts w:hint="eastAsia" w:ascii="仿宋_GB2312" w:hAnsi="仿宋_GB2312" w:eastAsia="仿宋_GB2312" w:cs="仿宋_GB2312"/>
          <w:color w:val="auto"/>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18" w:name="_Toc1429"/>
      <w:bookmarkStart w:id="119" w:name="_Toc23652"/>
      <w:r>
        <w:rPr>
          <w:rFonts w:hint="eastAsia" w:ascii="仿宋_GB2312" w:hAnsi="仿宋_GB2312" w:eastAsia="仿宋_GB2312" w:cs="仿宋_GB2312"/>
          <w:b/>
          <w:color w:val="auto"/>
          <w:sz w:val="24"/>
          <w:highlight w:val="none"/>
        </w:rPr>
        <w:t>8.履约担保</w:t>
      </w:r>
      <w:bookmarkEnd w:id="118"/>
      <w:bookmarkEnd w:id="119"/>
    </w:p>
    <w:p>
      <w:pPr>
        <w:adjustRightInd w:val="0"/>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 xml:space="preserve">8.1 </w:t>
      </w:r>
      <w:r>
        <w:rPr>
          <w:rFonts w:hint="eastAsia" w:ascii="仿宋_GB2312" w:hAnsi="仿宋_GB2312" w:eastAsia="仿宋_GB2312" w:cs="仿宋_GB2312"/>
          <w:color w:val="auto"/>
          <w:kern w:val="0"/>
          <w:sz w:val="24"/>
          <w:highlight w:val="none"/>
        </w:rPr>
        <w:t>乙方</w:t>
      </w:r>
      <w:r>
        <w:rPr>
          <w:rFonts w:hint="eastAsia" w:ascii="仿宋_GB2312" w:hAnsi="仿宋_GB2312" w:eastAsia="仿宋_GB2312" w:cs="仿宋_GB2312"/>
          <w:color w:val="auto"/>
          <w:kern w:val="0"/>
          <w:sz w:val="24"/>
          <w:highlight w:val="none"/>
          <w:u w:val="single"/>
        </w:rPr>
        <w:sym w:font="Wingdings 2" w:char="0052"/>
      </w:r>
      <w:r>
        <w:rPr>
          <w:rFonts w:hint="eastAsia" w:ascii="仿宋_GB2312" w:hAnsi="仿宋_GB2312" w:eastAsia="仿宋_GB2312" w:cs="仿宋_GB2312"/>
          <w:color w:val="auto"/>
          <w:kern w:val="0"/>
          <w:sz w:val="24"/>
          <w:highlight w:val="none"/>
          <w:u w:val="single"/>
        </w:rPr>
        <w:t>需要</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rPr>
        <w:t>□不需要</w:t>
      </w:r>
      <w:r>
        <w:rPr>
          <w:rFonts w:hint="eastAsia" w:ascii="仿宋_GB2312" w:hAnsi="仿宋_GB2312" w:eastAsia="仿宋_GB2312" w:cs="仿宋_GB2312"/>
          <w:color w:val="auto"/>
          <w:kern w:val="0"/>
          <w:sz w:val="24"/>
          <w:highlight w:val="none"/>
        </w:rPr>
        <w:t>提供履约担保。</w:t>
      </w:r>
    </w:p>
    <w:p>
      <w:pPr>
        <w:adjustRightInd w:val="0"/>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8.2如需要乙方提供履约担保，则：</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8.2.1</w:t>
      </w:r>
      <w:r>
        <w:rPr>
          <w:rFonts w:hint="eastAsia" w:ascii="仿宋_GB2312" w:hAnsi="仿宋_GB2312" w:eastAsia="仿宋_GB2312" w:cs="仿宋_GB2312"/>
          <w:color w:val="auto"/>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8.2.3</w:t>
      </w:r>
      <w:r>
        <w:rPr>
          <w:rFonts w:hint="eastAsia" w:ascii="仿宋_GB2312" w:hAnsi="仿宋_GB2312" w:eastAsia="仿宋_GB2312" w:cs="仿宋_GB2312"/>
          <w:color w:val="auto"/>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8.2.4如需提供履约担保，合同履约未完成而履约担保到期的，乙方应在履约担保到期后的首次办理合同价款支付手续时提供有效的续保文件。</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8.2.5在乙方完成其合同义务包括任何保证义务后，甲方将把履约担保无息退还乙方。</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20" w:name="_Toc954"/>
      <w:r>
        <w:rPr>
          <w:rFonts w:hint="eastAsia" w:ascii="仿宋_GB2312" w:hAnsi="仿宋_GB2312" w:eastAsia="仿宋_GB2312" w:cs="仿宋_GB2312"/>
          <w:b/>
          <w:color w:val="auto"/>
          <w:sz w:val="24"/>
          <w:highlight w:val="none"/>
        </w:rPr>
        <w:t>9.知识产权保护</w:t>
      </w:r>
      <w:bookmarkEnd w:id="120"/>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rPr>
          <w:rFonts w:ascii="仿宋_GB2312" w:hAnsi="仿宋_GB2312" w:eastAsia="仿宋_GB2312" w:cs="仿宋_GB2312"/>
          <w:color w:val="auto"/>
          <w:sz w:val="24"/>
          <w:highlight w:val="none"/>
        </w:rPr>
      </w:pPr>
      <w:bookmarkStart w:id="121" w:name="_Toc11812"/>
      <w:bookmarkStart w:id="122" w:name="_Toc11982"/>
      <w:r>
        <w:rPr>
          <w:rFonts w:hint="eastAsia" w:ascii="仿宋_GB2312" w:hAnsi="仿宋_GB2312" w:eastAsia="仿宋_GB2312" w:cs="仿宋_GB2312"/>
          <w:b/>
          <w:color w:val="auto"/>
          <w:sz w:val="24"/>
          <w:highlight w:val="none"/>
        </w:rPr>
        <w:t>10.服务</w:t>
      </w:r>
      <w:bookmarkEnd w:id="121"/>
      <w:bookmarkEnd w:id="122"/>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10.2 乙方还应提供下列服务：</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（4）用户需求书及技术规格书规定的其他服务。</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23" w:name="_Toc27596"/>
      <w:bookmarkStart w:id="124" w:name="_Toc6525"/>
      <w:r>
        <w:rPr>
          <w:rFonts w:hint="eastAsia" w:ascii="仿宋_GB2312" w:hAnsi="仿宋_GB2312" w:eastAsia="仿宋_GB2312" w:cs="仿宋_GB2312"/>
          <w:b/>
          <w:color w:val="auto"/>
          <w:sz w:val="24"/>
          <w:highlight w:val="none"/>
        </w:rPr>
        <w:t>11.违约及赔偿责任</w:t>
      </w:r>
      <w:bookmarkEnd w:id="123"/>
      <w:bookmarkEnd w:id="124"/>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11.1 迟延交货的违约责任</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（2）除非甲方书面同意延迟到货外，如果乙方没有按照合同规定的时间交货，每延误一天，</w:t>
      </w:r>
      <w:r>
        <w:rPr>
          <w:rFonts w:hint="eastAsia" w:ascii="仿宋_GB2312" w:hAnsi="仿宋_GB2312" w:eastAsia="仿宋_GB2312" w:cs="仿宋_GB2312"/>
          <w:color w:val="auto"/>
          <w:kern w:val="0"/>
          <w:sz w:val="24"/>
          <w:highlight w:val="none"/>
        </w:rPr>
        <w:t>甲方有权要求乙方</w:t>
      </w:r>
      <w:r>
        <w:rPr>
          <w:rFonts w:hint="eastAsia" w:ascii="仿宋_GB2312" w:hAnsi="仿宋_GB2312" w:eastAsia="仿宋_GB2312" w:cs="仿宋_GB2312"/>
          <w:color w:val="auto"/>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11.2服务不合格违约</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color w:val="auto"/>
          <w:kern w:val="0"/>
          <w:sz w:val="24"/>
          <w:highlight w:val="none"/>
        </w:rPr>
        <w:t>甲方有权要求乙方</w:t>
      </w:r>
      <w:r>
        <w:rPr>
          <w:rFonts w:hint="eastAsia" w:ascii="仿宋_GB2312" w:hAnsi="仿宋_GB2312" w:eastAsia="仿宋_GB2312" w:cs="仿宋_GB2312"/>
          <w:color w:val="auto"/>
          <w:sz w:val="24"/>
          <w:highlight w:val="none"/>
        </w:rPr>
        <w:t>交纳人民币1000元/次的违约金。</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11.3 货物不合格违约</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11.4乙方应以现金或转账方式交纳违约金，甲方根据税法相关规定开具收款收据或增值税发票。</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11.5乙方在接到甲方的违约通知后，应按通知要求交纳违约金；否则，甲方有权暂停合同价款支付或从乙方的合同价款中扣除相应的违约金。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11.6赔偿责任</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（1）乙方包装物资时未尽到合理注意义务，导致物资毁损或灭失的，由乙方承担赔偿责任。</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（3）乙方未履行保密义务给甲方或任何第三方造成损失的，乙方应承担相应的赔偿责任。</w:t>
      </w:r>
    </w:p>
    <w:p>
      <w:pPr>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rPr>
          <w:rFonts w:ascii="仿宋_GB2312" w:hAnsi="仿宋_GB2312" w:eastAsia="仿宋_GB2312" w:cs="仿宋_GB2312"/>
          <w:color w:val="auto"/>
          <w:sz w:val="24"/>
          <w:highlight w:val="none"/>
        </w:rPr>
      </w:pPr>
      <w:bookmarkStart w:id="125" w:name="_Toc4766"/>
      <w:bookmarkStart w:id="126" w:name="_Toc9629"/>
      <w:r>
        <w:rPr>
          <w:rFonts w:hint="eastAsia" w:ascii="仿宋_GB2312" w:hAnsi="仿宋_GB2312" w:eastAsia="仿宋_GB2312" w:cs="仿宋_GB2312"/>
          <w:b/>
          <w:color w:val="auto"/>
          <w:sz w:val="24"/>
          <w:highlight w:val="none"/>
        </w:rPr>
        <w:t>12.不可抗力</w:t>
      </w:r>
      <w:bookmarkEnd w:id="125"/>
      <w:bookmarkEnd w:id="126"/>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shd w:val="clear" w:color="auto" w:fill="FFFFFF"/>
        </w:rPr>
      </w:pPr>
      <w:bookmarkStart w:id="127" w:name="_Toc351203608"/>
      <w:r>
        <w:rPr>
          <w:rFonts w:hint="eastAsia" w:ascii="仿宋_GB2312" w:hAnsi="仿宋_GB2312" w:eastAsia="仿宋_GB2312" w:cs="仿宋_GB2312"/>
          <w:color w:val="auto"/>
          <w:kern w:val="0"/>
          <w:sz w:val="24"/>
          <w:highlight w:val="none"/>
          <w:shd w:val="clear" w:color="auto" w:fill="FFFFFF"/>
        </w:rPr>
        <w:t>12.1</w:t>
      </w:r>
      <w:bookmarkEnd w:id="127"/>
      <w:r>
        <w:rPr>
          <w:rFonts w:hint="eastAsia" w:ascii="仿宋_GB2312" w:hAnsi="仿宋_GB2312" w:eastAsia="仿宋_GB2312" w:cs="仿宋_GB2312"/>
          <w:color w:val="auto"/>
          <w:kern w:val="0"/>
          <w:sz w:val="24"/>
          <w:highlight w:val="none"/>
          <w:shd w:val="clear" w:color="auto" w:fill="FFFFFF"/>
        </w:rPr>
        <w:t>不可抗力的确认</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shd w:val="clear" w:color="auto" w:fill="FFFFFF"/>
        </w:rPr>
      </w:pPr>
      <w:bookmarkStart w:id="128" w:name="_Toc296346619"/>
      <w:bookmarkEnd w:id="128"/>
      <w:bookmarkStart w:id="129" w:name="_Toc337558825"/>
      <w:bookmarkEnd w:id="129"/>
      <w:bookmarkStart w:id="130" w:name="_Toc296503118"/>
      <w:bookmarkEnd w:id="130"/>
      <w:bookmarkStart w:id="131" w:name="_Toc351203609"/>
      <w:r>
        <w:rPr>
          <w:rFonts w:hint="eastAsia" w:ascii="仿宋_GB2312" w:hAnsi="仿宋_GB2312" w:eastAsia="仿宋_GB2312" w:cs="仿宋_GB2312"/>
          <w:color w:val="auto"/>
          <w:kern w:val="0"/>
          <w:sz w:val="24"/>
          <w:highlight w:val="none"/>
          <w:shd w:val="clear" w:color="auto" w:fill="FFFFFF"/>
        </w:rPr>
        <w:t>12.2</w:t>
      </w:r>
      <w:bookmarkEnd w:id="131"/>
      <w:r>
        <w:rPr>
          <w:rFonts w:hint="eastAsia" w:ascii="仿宋_GB2312" w:hAnsi="仿宋_GB2312" w:eastAsia="仿宋_GB2312" w:cs="仿宋_GB2312"/>
          <w:color w:val="auto"/>
          <w:kern w:val="0"/>
          <w:sz w:val="24"/>
          <w:highlight w:val="none"/>
          <w:shd w:val="clear" w:color="auto" w:fill="FFFFFF"/>
        </w:rPr>
        <w:t>不可抗力的通知</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shd w:val="clear" w:color="auto" w:fill="FFFFFF"/>
        </w:rPr>
      </w:pPr>
      <w:bookmarkStart w:id="132" w:name="_Toc337558826"/>
      <w:bookmarkEnd w:id="132"/>
      <w:bookmarkStart w:id="133" w:name="_Toc296346620"/>
      <w:bookmarkEnd w:id="133"/>
      <w:bookmarkStart w:id="134" w:name="_Toc296503119"/>
      <w:bookmarkEnd w:id="134"/>
      <w:bookmarkStart w:id="135" w:name="_Toc351203610"/>
      <w:r>
        <w:rPr>
          <w:rFonts w:hint="eastAsia" w:ascii="仿宋_GB2312" w:hAnsi="仿宋_GB2312" w:eastAsia="仿宋_GB2312" w:cs="仿宋_GB2312"/>
          <w:color w:val="auto"/>
          <w:kern w:val="0"/>
          <w:sz w:val="24"/>
          <w:highlight w:val="none"/>
          <w:shd w:val="clear" w:color="auto" w:fill="FFFFFF"/>
        </w:rPr>
        <w:t>12.3</w:t>
      </w:r>
      <w:bookmarkEnd w:id="135"/>
      <w:r>
        <w:rPr>
          <w:rFonts w:hint="eastAsia" w:ascii="仿宋_GB2312" w:hAnsi="仿宋_GB2312" w:eastAsia="仿宋_GB2312" w:cs="仿宋_GB2312"/>
          <w:color w:val="auto"/>
          <w:kern w:val="0"/>
          <w:sz w:val="24"/>
          <w:highlight w:val="none"/>
          <w:shd w:val="clear" w:color="auto" w:fill="FFFFFF"/>
        </w:rPr>
        <w:t>不可抗力后果的承担</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bCs/>
          <w:color w:val="auto"/>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36" w:name="_Toc7903"/>
      <w:r>
        <w:rPr>
          <w:rFonts w:hint="eastAsia" w:ascii="仿宋_GB2312" w:hAnsi="仿宋_GB2312" w:eastAsia="仿宋_GB2312" w:cs="仿宋_GB2312"/>
          <w:b/>
          <w:color w:val="auto"/>
          <w:sz w:val="24"/>
          <w:highlight w:val="none"/>
        </w:rPr>
        <w:t>13.合同终止</w:t>
      </w:r>
      <w:bookmarkEnd w:id="136"/>
    </w:p>
    <w:p>
      <w:pPr>
        <w:adjustRightInd w:val="0"/>
        <w:snapToGrid w:val="0"/>
        <w:spacing w:line="360" w:lineRule="auto"/>
        <w:ind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bCs/>
          <w:color w:val="auto"/>
          <w:sz w:val="24"/>
          <w:highlight w:val="none"/>
        </w:rPr>
        <w:t xml:space="preserve">13.1 </w:t>
      </w:r>
      <w:r>
        <w:rPr>
          <w:rFonts w:hint="eastAsia" w:ascii="仿宋_GB2312" w:hAnsi="仿宋_GB2312" w:eastAsia="仿宋_GB2312" w:cs="仿宋_GB2312"/>
          <w:color w:val="auto"/>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13.2合同的权利义务终止后，合同当事人应遵循诚实信用原则，履行通知、协助和保密等义务。</w:t>
      </w:r>
    </w:p>
    <w:p>
      <w:pPr>
        <w:snapToGrid w:val="0"/>
        <w:spacing w:line="360" w:lineRule="auto"/>
        <w:ind w:firstLine="480"/>
        <w:rPr>
          <w:rFonts w:ascii="仿宋_GB2312" w:hAnsi="仿宋_GB2312" w:eastAsia="仿宋_GB2312" w:cs="仿宋_GB2312"/>
          <w:b/>
          <w:color w:val="auto"/>
          <w:sz w:val="24"/>
          <w:highlight w:val="none"/>
        </w:rPr>
      </w:pPr>
      <w:bookmarkStart w:id="137" w:name="_Toc27042"/>
      <w:r>
        <w:rPr>
          <w:rFonts w:hint="eastAsia" w:ascii="仿宋_GB2312" w:hAnsi="仿宋_GB2312" w:eastAsia="仿宋_GB2312" w:cs="仿宋_GB2312"/>
          <w:b/>
          <w:color w:val="auto"/>
          <w:sz w:val="24"/>
          <w:highlight w:val="none"/>
        </w:rPr>
        <w:t>14.合同解除</w:t>
      </w:r>
      <w:bookmarkEnd w:id="137"/>
    </w:p>
    <w:p>
      <w:pPr>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14.1本合同一经签订，双方不得擅自变更、解除合同。</w:t>
      </w:r>
    </w:p>
    <w:p>
      <w:pPr>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14.2有下列情形之一的，合同当事人一方或双方可以解除合同：</w:t>
      </w:r>
    </w:p>
    <w:p>
      <w:pPr>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（1）乙方将本合同约定的物资及服务工作全部或部分转包给他人，甲方有权解除合同；</w:t>
      </w:r>
    </w:p>
    <w:p>
      <w:pPr>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（2）乙方提供的物资及服务不符合合同约定的要求，经甲方催告仍不能达到合同约定要求的，甲方有权解除合同；</w:t>
      </w:r>
    </w:p>
    <w:p>
      <w:pPr>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（3）因不可抗力致使合同无法履行；</w:t>
      </w:r>
    </w:p>
    <w:p>
      <w:pPr>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（4）因一方违约致使合同无法实际履行或实际履行已无必要；</w:t>
      </w:r>
    </w:p>
    <w:p>
      <w:pPr>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（5）违约金总额超过合同签约合同价的20%，甲方有权解除合同。</w:t>
      </w:r>
    </w:p>
    <w:p>
      <w:pPr>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14.3任何一方提出解除合同的，应提前30天书面通知对方，违约方应赔偿由此给守约方造成的直接损失和间接损失。因不可抗力导致的合同解除，双方各自承担自身的损失。</w:t>
      </w:r>
    </w:p>
    <w:p>
      <w:pPr>
        <w:pStyle w:val="45"/>
        <w:spacing w:after="0"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14.4因乙方原因提前终止合同的，乙方应承担由此给甲方造成的损失，甲方有权没收乙方所交履约担保（如有），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38" w:name="_Toc30579"/>
      <w:bookmarkStart w:id="139" w:name="_Toc19594"/>
      <w:r>
        <w:rPr>
          <w:rFonts w:hint="eastAsia" w:ascii="仿宋_GB2312" w:hAnsi="仿宋_GB2312" w:eastAsia="仿宋_GB2312" w:cs="仿宋_GB2312"/>
          <w:b/>
          <w:color w:val="auto"/>
          <w:sz w:val="24"/>
          <w:highlight w:val="none"/>
        </w:rPr>
        <w:t>15.争议解决</w:t>
      </w:r>
      <w:bookmarkEnd w:id="138"/>
      <w:bookmarkEnd w:id="139"/>
    </w:p>
    <w:p>
      <w:pPr>
        <w:adjustRightInd w:val="0"/>
        <w:snapToGrid w:val="0"/>
        <w:spacing w:line="360" w:lineRule="auto"/>
        <w:ind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color w:val="auto"/>
          <w:kern w:val="0"/>
          <w:sz w:val="24"/>
          <w:highlight w:val="none"/>
          <w:u w:val="single"/>
        </w:rPr>
        <w:t>（2）</w:t>
      </w:r>
      <w:r>
        <w:rPr>
          <w:rFonts w:hint="eastAsia" w:ascii="仿宋_GB2312" w:hAnsi="仿宋_GB2312" w:eastAsia="仿宋_GB2312" w:cs="仿宋_GB2312"/>
          <w:color w:val="auto"/>
          <w:kern w:val="0"/>
          <w:sz w:val="24"/>
          <w:highlight w:val="none"/>
        </w:rPr>
        <w:t>种方式解决：</w:t>
      </w:r>
    </w:p>
    <w:p>
      <w:pPr>
        <w:numPr>
          <w:ilvl w:val="0"/>
          <w:numId w:val="18"/>
        </w:numPr>
        <w:tabs>
          <w:tab w:val="left" w:pos="0"/>
        </w:tabs>
        <w:adjustRightInd w:val="0"/>
        <w:snapToGrid w:val="0"/>
        <w:spacing w:line="360" w:lineRule="auto"/>
        <w:ind w:left="7" w:firstLine="413"/>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向</w:t>
      </w:r>
      <w:r>
        <w:rPr>
          <w:rFonts w:hint="eastAsia" w:ascii="仿宋_GB2312" w:hAnsi="仿宋_GB2312" w:eastAsia="仿宋_GB2312" w:cs="仿宋_GB2312"/>
          <w:color w:val="auto"/>
          <w:kern w:val="0"/>
          <w:sz w:val="24"/>
          <w:highlight w:val="none"/>
          <w:u w:val="single"/>
        </w:rPr>
        <w:t>长沙</w:t>
      </w:r>
      <w:r>
        <w:rPr>
          <w:rFonts w:hint="eastAsia" w:ascii="仿宋_GB2312" w:hAnsi="仿宋_GB2312" w:eastAsia="仿宋_GB2312" w:cs="仿宋_GB2312"/>
          <w:color w:val="auto"/>
          <w:kern w:val="0"/>
          <w:sz w:val="24"/>
          <w:highlight w:val="none"/>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（2）向</w:t>
      </w:r>
      <w:r>
        <w:rPr>
          <w:rFonts w:hint="eastAsia" w:ascii="仿宋_GB2312" w:hAnsi="仿宋_GB2312" w:eastAsia="仿宋_GB2312" w:cs="仿宋_GB2312"/>
          <w:color w:val="auto"/>
          <w:kern w:val="0"/>
          <w:sz w:val="24"/>
          <w:highlight w:val="none"/>
          <w:u w:val="single"/>
        </w:rPr>
        <w:t>甲方所在地</w:t>
      </w:r>
      <w:r>
        <w:rPr>
          <w:rFonts w:hint="eastAsia" w:ascii="仿宋_GB2312" w:hAnsi="仿宋_GB2312" w:eastAsia="仿宋_GB2312" w:cs="仿宋_GB2312"/>
          <w:color w:val="auto"/>
          <w:kern w:val="0"/>
          <w:sz w:val="24"/>
          <w:highlight w:val="none"/>
        </w:rPr>
        <w:t>人民法院起诉。</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40" w:name="_Toc3491"/>
      <w:bookmarkStart w:id="141" w:name="_Toc7592"/>
      <w:r>
        <w:rPr>
          <w:rFonts w:hint="eastAsia" w:ascii="仿宋_GB2312" w:hAnsi="仿宋_GB2312" w:eastAsia="仿宋_GB2312" w:cs="仿宋_GB2312"/>
          <w:b/>
          <w:color w:val="auto"/>
          <w:sz w:val="24"/>
          <w:highlight w:val="none"/>
        </w:rPr>
        <w:t>16.法律适用</w:t>
      </w:r>
      <w:bookmarkEnd w:id="140"/>
      <w:bookmarkEnd w:id="141"/>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rPr>
          <w:rFonts w:ascii="仿宋_GB2312" w:hAnsi="仿宋_GB2312" w:eastAsia="仿宋_GB2312" w:cs="仿宋_GB2312"/>
          <w:b/>
          <w:color w:val="auto"/>
          <w:sz w:val="24"/>
          <w:highlight w:val="none"/>
        </w:rPr>
      </w:pPr>
      <w:bookmarkStart w:id="142" w:name="_Toc20811"/>
      <w:bookmarkStart w:id="143" w:name="_Toc11868"/>
      <w:r>
        <w:rPr>
          <w:rFonts w:hint="eastAsia" w:ascii="仿宋_GB2312" w:hAnsi="仿宋_GB2312" w:eastAsia="仿宋_GB2312" w:cs="仿宋_GB2312"/>
          <w:b/>
          <w:color w:val="auto"/>
          <w:sz w:val="24"/>
          <w:highlight w:val="none"/>
        </w:rPr>
        <w:t>17.通知</w:t>
      </w:r>
      <w:bookmarkEnd w:id="142"/>
      <w:bookmarkEnd w:id="143"/>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ascii="仿宋_GB2312" w:hAnsi="仿宋_GB2312" w:eastAsia="仿宋_GB2312" w:cs="仿宋_GB2312"/>
          <w:bCs/>
          <w:color w:val="auto"/>
          <w:sz w:val="24"/>
          <w:highlight w:val="none"/>
          <w:u w:val="single"/>
        </w:rPr>
      </w:pPr>
      <w:bookmarkStart w:id="144" w:name="_Toc5979"/>
      <w:r>
        <w:rPr>
          <w:rFonts w:hint="eastAsia" w:ascii="仿宋_GB2312" w:hAnsi="仿宋_GB2312" w:eastAsia="仿宋_GB2312" w:cs="仿宋_GB2312"/>
          <w:b/>
          <w:bCs/>
          <w:color w:val="auto"/>
          <w:sz w:val="24"/>
          <w:highlight w:val="none"/>
        </w:rPr>
        <w:t>18</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bCs/>
          <w:color w:val="auto"/>
          <w:sz w:val="24"/>
          <w:highlight w:val="none"/>
        </w:rPr>
        <w:t>双方约定的其他事项</w:t>
      </w:r>
      <w:bookmarkEnd w:id="144"/>
      <w:r>
        <w:rPr>
          <w:rFonts w:hint="eastAsia" w:ascii="仿宋_GB2312" w:hAnsi="仿宋_GB2312" w:eastAsia="仿宋_GB2312" w:cs="仿宋_GB2312"/>
          <w:bCs/>
          <w:color w:val="auto"/>
          <w:sz w:val="24"/>
          <w:highlight w:val="none"/>
        </w:rPr>
        <w:t>（</w:t>
      </w:r>
      <w:bookmarkStart w:id="145" w:name="_Toc9260"/>
      <w:bookmarkStart w:id="146" w:name="_Toc437444970"/>
      <w:r>
        <w:rPr>
          <w:rFonts w:hint="eastAsia" w:ascii="仿宋_GB2312" w:hAnsi="仿宋_GB2312" w:eastAsia="仿宋_GB2312" w:cs="仿宋_GB2312"/>
          <w:bCs/>
          <w:color w:val="auto"/>
          <w:sz w:val="24"/>
          <w:highlight w:val="none"/>
        </w:rPr>
        <w:t>本条约定与合同条款中其他约定不一致时，以本条为准）：</w:t>
      </w:r>
      <w:r>
        <w:rPr>
          <w:rFonts w:hint="eastAsia" w:ascii="仿宋_GB2312" w:hAnsi="仿宋_GB2312" w:eastAsia="仿宋_GB2312" w:cs="仿宋_GB2312"/>
          <w:bCs/>
          <w:color w:val="auto"/>
          <w:sz w:val="24"/>
          <w:highlight w:val="none"/>
          <w:u w:val="single"/>
        </w:rPr>
        <w:t>1.本合同甲方（“长沙市轨道交通一号线建设发展有限公司”、“长沙市轨道交通运营有限公司”、“长沙市轨道交通四号线建设发展有限公司”） 根据1、2、4号线实际清单各自承担资金的收付、发票开具，各甲方对应向乙方开具发票事宜互不承担连带责任。</w:t>
      </w:r>
    </w:p>
    <w:p>
      <w:pPr>
        <w:widowControl/>
        <w:tabs>
          <w:tab w:val="left" w:pos="1248"/>
        </w:tabs>
        <w:adjustRightInd w:val="0"/>
        <w:snapToGrid w:val="0"/>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u w:val="single"/>
        </w:rPr>
        <w:t>2、删除第二部分 合同条款第2.2条第（1）款“物资分批次运至项目现场且经甲方验收合格，在收到经甲方批复的支付申请、有效期内的履约担保复印件（如有）等资料证实其完整无误后28个工作日内，支付物资到货价格的70%。”</w:t>
      </w:r>
      <w:r>
        <w:rPr>
          <w:rFonts w:hint="eastAsia" w:ascii="仿宋_GB2312" w:hAnsi="仿宋_GB2312" w:eastAsia="仿宋_GB2312" w:cs="仿宋_GB2312"/>
          <w:bCs/>
          <w:color w:val="auto"/>
          <w:sz w:val="24"/>
          <w:highlight w:val="none"/>
        </w:rPr>
        <w:t>。</w:t>
      </w:r>
    </w:p>
    <w:p>
      <w:pPr>
        <w:tabs>
          <w:tab w:val="left" w:pos="900"/>
        </w:tabs>
        <w:adjustRightInd w:val="0"/>
        <w:snapToGrid w:val="0"/>
        <w:spacing w:line="360" w:lineRule="auto"/>
        <w:jc w:val="center"/>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br w:type="page"/>
      </w:r>
      <w:bookmarkStart w:id="147" w:name="_Toc24687"/>
      <w:bookmarkStart w:id="148" w:name="_Toc31690"/>
      <w:r>
        <w:rPr>
          <w:rFonts w:hint="eastAsia" w:ascii="仿宋_GB2312" w:hAnsi="仿宋_GB2312" w:eastAsia="仿宋_GB2312" w:cs="仿宋_GB2312"/>
          <w:b/>
          <w:color w:val="auto"/>
          <w:sz w:val="32"/>
          <w:szCs w:val="32"/>
          <w:highlight w:val="none"/>
        </w:rPr>
        <w:t xml:space="preserve">第三部分 </w:t>
      </w:r>
      <w:bookmarkEnd w:id="145"/>
      <w:bookmarkEnd w:id="146"/>
      <w:bookmarkEnd w:id="147"/>
      <w:bookmarkStart w:id="149" w:name="_Toc2997"/>
      <w:bookmarkStart w:id="150" w:name="_Toc319826220"/>
      <w:bookmarkStart w:id="151" w:name="_Toc14554"/>
      <w:r>
        <w:rPr>
          <w:rFonts w:hint="eastAsia" w:ascii="仿宋_GB2312" w:hAnsi="仿宋_GB2312" w:eastAsia="仿宋_GB2312" w:cs="仿宋_GB2312"/>
          <w:b/>
          <w:color w:val="auto"/>
          <w:sz w:val="32"/>
          <w:szCs w:val="32"/>
          <w:highlight w:val="none"/>
        </w:rPr>
        <w:t>合同附件</w:t>
      </w:r>
      <w:bookmarkEnd w:id="148"/>
      <w:bookmarkEnd w:id="149"/>
      <w:bookmarkEnd w:id="150"/>
      <w:bookmarkEnd w:id="151"/>
      <w:bookmarkStart w:id="152" w:name="_Toc411417798"/>
      <w:bookmarkStart w:id="153" w:name="_Toc437444971"/>
      <w:bookmarkStart w:id="154" w:name="_Toc26723"/>
    </w:p>
    <w:p>
      <w:pPr>
        <w:adjustRightInd w:val="0"/>
        <w:snapToGrid w:val="0"/>
        <w:rPr>
          <w:rFonts w:ascii="仿宋_GB2312" w:hAnsi="仿宋_GB2312" w:eastAsia="仿宋_GB2312" w:cs="仿宋_GB2312"/>
          <w:b/>
          <w:color w:val="auto"/>
          <w:sz w:val="24"/>
          <w:highlight w:val="none"/>
        </w:rPr>
      </w:pPr>
      <w:bookmarkStart w:id="155" w:name="_Toc17490"/>
      <w:bookmarkStart w:id="156" w:name="_Toc19384"/>
      <w:r>
        <w:rPr>
          <w:rFonts w:hint="eastAsia" w:ascii="仿宋_GB2312" w:hAnsi="仿宋_GB2312" w:eastAsia="仿宋_GB2312" w:cs="仿宋_GB2312"/>
          <w:b/>
          <w:color w:val="auto"/>
          <w:sz w:val="24"/>
          <w:highlight w:val="none"/>
        </w:rPr>
        <w:t>附件1 廉政协议</w:t>
      </w:r>
    </w:p>
    <w:p>
      <w:pPr>
        <w:adjustRightInd w:val="0"/>
        <w:snapToGrid w:val="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廉政协议</w:t>
      </w:r>
    </w:p>
    <w:p>
      <w:pPr>
        <w:widowControl/>
        <w:snapToGrid w:val="0"/>
        <w:spacing w:line="360" w:lineRule="auto"/>
        <w:jc w:val="left"/>
        <w:rPr>
          <w:rFonts w:ascii="仿宋_GB2312" w:hAnsi="仿宋_GB2312" w:eastAsia="仿宋_GB2312" w:cs="仿宋_GB2312"/>
          <w:color w:val="auto"/>
          <w:kern w:val="0"/>
          <w:sz w:val="24"/>
          <w:highlight w:val="none"/>
          <w:lang w:bidi="en-US"/>
        </w:rPr>
      </w:pPr>
    </w:p>
    <w:p>
      <w:pPr>
        <w:pStyle w:val="13"/>
        <w:snapToGrid w:val="0"/>
        <w:spacing w:line="440" w:lineRule="exact"/>
        <w:ind w:firstLine="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w:t>
      </w:r>
    </w:p>
    <w:p>
      <w:pPr>
        <w:pStyle w:val="13"/>
        <w:snapToGrid w:val="0"/>
        <w:spacing w:line="440" w:lineRule="exact"/>
        <w:ind w:firstLine="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color w:val="auto"/>
          <w:sz w:val="24"/>
          <w:highlight w:val="none"/>
          <w:u w:val="single"/>
        </w:rPr>
        <w:t xml:space="preserve">                           </w:t>
      </w:r>
    </w:p>
    <w:p>
      <w:pPr>
        <w:adjustRightInd w:val="0"/>
        <w:snapToGrid w:val="0"/>
        <w:spacing w:line="440" w:lineRule="exact"/>
        <w:ind w:firstLine="48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_GB2312" w:eastAsia="仿宋_GB2312" w:cs="仿宋_GB2312"/>
          <w:b/>
          <w:color w:val="auto"/>
          <w:sz w:val="24"/>
          <w:highlight w:val="none"/>
        </w:rPr>
      </w:pPr>
      <w:bookmarkStart w:id="157" w:name="_Toc59896701"/>
      <w:bookmarkStart w:id="158" w:name="_Toc59900969"/>
      <w:r>
        <w:rPr>
          <w:rFonts w:hint="eastAsia" w:ascii="仿宋_GB2312" w:hAnsi="仿宋_GB2312" w:eastAsia="仿宋_GB2312" w:cs="仿宋_GB2312"/>
          <w:b/>
          <w:color w:val="auto"/>
          <w:sz w:val="24"/>
          <w:highlight w:val="none"/>
        </w:rPr>
        <w:t xml:space="preserve">第一条 </w:t>
      </w:r>
      <w:bookmarkEnd w:id="157"/>
      <w:bookmarkEnd w:id="158"/>
      <w:r>
        <w:rPr>
          <w:rFonts w:hint="eastAsia" w:ascii="仿宋_GB2312" w:hAnsi="仿宋_GB2312" w:eastAsia="仿宋_GB2312" w:cs="仿宋_GB2312"/>
          <w:b/>
          <w:color w:val="auto"/>
          <w:sz w:val="24"/>
          <w:highlight w:val="none"/>
        </w:rPr>
        <w:t>共同责任</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（一）严格遵守党和国家有关法律法规及湖南省、长沙市的相关规定。</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（二）严格执行</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（以下称主合同）的合同文件，自觉按合同办事。</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（五）发现对方在业务活动中有违反廉政规定的行为，有及时提醒对方纠正的权利和义务。</w:t>
      </w:r>
    </w:p>
    <w:p>
      <w:pPr>
        <w:adjustRightInd w:val="0"/>
        <w:snapToGrid w:val="0"/>
        <w:spacing w:line="440" w:lineRule="exact"/>
        <w:ind w:firstLine="48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第二条 共同权利</w:t>
      </w:r>
    </w:p>
    <w:p>
      <w:pPr>
        <w:adjustRightInd w:val="0"/>
        <w:snapToGrid w:val="0"/>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_GB2312" w:eastAsia="仿宋_GB2312" w:cs="仿宋_GB2312"/>
          <w:b/>
          <w:color w:val="auto"/>
          <w:sz w:val="24"/>
          <w:highlight w:val="none"/>
        </w:rPr>
      </w:pPr>
      <w:bookmarkStart w:id="159" w:name="_Toc59896702"/>
      <w:bookmarkStart w:id="160" w:name="_Toc59900970"/>
      <w:r>
        <w:rPr>
          <w:rFonts w:hint="eastAsia" w:ascii="仿宋_GB2312" w:hAnsi="仿宋_GB2312" w:eastAsia="仿宋_GB2312" w:cs="仿宋_GB2312"/>
          <w:b/>
          <w:color w:val="auto"/>
          <w:sz w:val="24"/>
          <w:highlight w:val="none"/>
        </w:rPr>
        <w:t>第三条 甲方的义务</w:t>
      </w:r>
      <w:bookmarkEnd w:id="159"/>
      <w:bookmarkEnd w:id="160"/>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（一）甲方及其工作人员不得索要或接受乙方的礼金、有价证券和贵重物品。</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（二）甲方及其工作人员不得在乙方报销任何应由甲方或个人支付的费用等。</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（三）甲方及其工作人员不得参加乙方安排的超标准宴请和娱乐活动。</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（四）甲方及其工作人员不得接受乙方提供的通讯工具、交通工具和高档办公用品等。</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（六）甲方及其工作人员不得有违反法律、法规、廉洁从业规定的其他行为。</w:t>
      </w:r>
    </w:p>
    <w:p>
      <w:pPr>
        <w:adjustRightInd w:val="0"/>
        <w:snapToGrid w:val="0"/>
        <w:spacing w:line="440" w:lineRule="exact"/>
        <w:ind w:firstLine="480"/>
        <w:rPr>
          <w:rFonts w:ascii="仿宋_GB2312" w:hAnsi="仿宋_GB2312" w:eastAsia="仿宋_GB2312" w:cs="仿宋_GB2312"/>
          <w:b/>
          <w:color w:val="auto"/>
          <w:sz w:val="24"/>
          <w:highlight w:val="none"/>
        </w:rPr>
      </w:pPr>
      <w:bookmarkStart w:id="161" w:name="_Toc59900971"/>
      <w:bookmarkStart w:id="162" w:name="_Toc59896703"/>
      <w:r>
        <w:rPr>
          <w:rFonts w:hint="eastAsia" w:ascii="仿宋_GB2312" w:hAnsi="仿宋_GB2312" w:eastAsia="仿宋_GB2312" w:cs="仿宋_GB2312"/>
          <w:b/>
          <w:color w:val="auto"/>
          <w:sz w:val="24"/>
          <w:highlight w:val="none"/>
        </w:rPr>
        <w:t>第四条 乙方义务</w:t>
      </w:r>
      <w:bookmarkEnd w:id="161"/>
      <w:bookmarkEnd w:id="162"/>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（一）乙方不得以任何理由向甲方及其工作人员行贿或馈赠礼金、有价证券、贵重物品。</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（二）乙方不得以任何名义为甲方及其工作人员报销应由甲方单位或个人支付的任何费用。</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（三）乙方不得以任何理由安排甲方工作人员参加超标准宴请、健身及娱乐活动。</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（四）乙方不得为甲方及其工作人员购置或提供通讯工具、交通工具和高档办公用品等。</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（六）乙方不得有违反法律、法规、廉洁从业规定的其他行为。</w:t>
      </w:r>
    </w:p>
    <w:p>
      <w:pPr>
        <w:adjustRightInd w:val="0"/>
        <w:snapToGrid w:val="0"/>
        <w:spacing w:line="440" w:lineRule="exact"/>
        <w:ind w:firstLine="48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第五条 违约责任</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第七条 本协议有效期为甲乙双方签署之日起至主合同完全履行完毕之日止。</w:t>
      </w:r>
    </w:p>
    <w:p>
      <w:pPr>
        <w:adjustRightInd w:val="0"/>
        <w:snapToGrid w:val="0"/>
        <w:spacing w:line="44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第八条 本协议作为主合同的附件，与主合同具有同等的法律效力，经合同双方签署立即生效。</w:t>
      </w:r>
    </w:p>
    <w:p>
      <w:pPr>
        <w:snapToGrid w:val="0"/>
        <w:spacing w:line="440" w:lineRule="exact"/>
        <w:rPr>
          <w:rFonts w:ascii="仿宋_GB2312" w:hAnsi="仿宋_GB2312" w:eastAsia="仿宋_GB2312" w:cs="仿宋_GB2312"/>
          <w:color w:val="auto"/>
          <w:sz w:val="24"/>
          <w:highlight w:val="none"/>
        </w:rPr>
        <w:sectPr>
          <w:footerReference r:id="rId11" w:type="default"/>
          <w:pgSz w:w="11906" w:h="16838"/>
          <w:pgMar w:top="1440" w:right="1797" w:bottom="1440" w:left="1797" w:header="851" w:footer="567" w:gutter="0"/>
          <w:cols w:space="720" w:num="1"/>
          <w:docGrid w:type="lines" w:linePitch="312" w:charSpace="0"/>
        </w:sect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（本页无正文）</w:t>
      </w:r>
    </w:p>
    <w:p>
      <w:pPr>
        <w:pStyle w:val="12"/>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pStyle w:val="12"/>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snapToGrid w:val="0"/>
        <w:spacing w:line="360" w:lineRule="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乙方：</w:t>
      </w:r>
      <w:r>
        <w:rPr>
          <w:rFonts w:hint="eastAsia" w:ascii="仿宋_GB2312" w:hAnsi="仿宋_GB2312" w:eastAsia="仿宋_GB2312" w:cs="仿宋_GB2312"/>
          <w:color w:val="auto"/>
          <w:sz w:val="24"/>
          <w:highlight w:val="none"/>
          <w:u w:val="single"/>
        </w:rPr>
        <w:t xml:space="preserve"> （盖章）                 </w:t>
      </w:r>
    </w:p>
    <w:p>
      <w:pPr>
        <w:snapToGrid w:val="0"/>
        <w:spacing w:line="360" w:lineRule="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snapToGrid w:val="0"/>
        <w:spacing w:line="360" w:lineRule="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电话：</w:t>
      </w:r>
      <w:r>
        <w:rPr>
          <w:rFonts w:hint="eastAsia" w:ascii="仿宋_GB2312" w:hAnsi="仿宋_GB2312" w:eastAsia="仿宋_GB2312" w:cs="仿宋_GB2312"/>
          <w:color w:val="auto"/>
          <w:sz w:val="24"/>
          <w:highlight w:val="none"/>
          <w:u w:val="single"/>
        </w:rPr>
        <w:t xml:space="preserve">                          </w:t>
      </w:r>
    </w:p>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13"/>
        <w:snapToGrid w:val="0"/>
        <w:spacing w:line="360" w:lineRule="auto"/>
        <w:ind w:firstLine="0"/>
        <w:rPr>
          <w:rFonts w:ascii="仿宋_GB2312" w:hAnsi="仿宋_GB2312" w:eastAsia="仿宋_GB2312" w:cs="仿宋_GB2312"/>
          <w:b/>
          <w:color w:val="auto"/>
          <w:sz w:val="24"/>
          <w:highlight w:val="none"/>
        </w:rPr>
      </w:pPr>
      <w:bookmarkStart w:id="163" w:name="_Toc14435"/>
      <w:r>
        <w:rPr>
          <w:rFonts w:hint="eastAsia" w:ascii="仿宋_GB2312" w:hAnsi="仿宋_GB2312" w:eastAsia="仿宋_GB2312" w:cs="仿宋_GB2312"/>
          <w:color w:val="auto"/>
          <w:sz w:val="24"/>
          <w:highlight w:val="none"/>
        </w:rPr>
        <w:t>甲方监督单位：</w:t>
      </w:r>
      <w:r>
        <w:rPr>
          <w:rFonts w:hint="eastAsia" w:ascii="仿宋_GB2312" w:hAnsi="仿宋_GB2312" w:eastAsia="仿宋_GB2312" w:cs="仿宋_GB2312"/>
          <w:color w:val="auto"/>
          <w:sz w:val="24"/>
          <w:highlight w:val="none"/>
          <w:u w:val="single"/>
        </w:rPr>
        <w:t xml:space="preserve">（盖章）      </w:t>
      </w:r>
      <w:r>
        <w:rPr>
          <w:rFonts w:hint="eastAsia" w:ascii="仿宋_GB2312" w:hAnsi="仿宋_GB2312" w:eastAsia="仿宋_GB2312" w:cs="仿宋_GB2312"/>
          <w:color w:val="auto"/>
          <w:sz w:val="24"/>
          <w:highlight w:val="none"/>
        </w:rPr>
        <w:t xml:space="preserve">             乙方监督单位：</w:t>
      </w:r>
      <w:r>
        <w:rPr>
          <w:rFonts w:hint="eastAsia" w:ascii="仿宋_GB2312" w:hAnsi="仿宋_GB2312" w:eastAsia="仿宋_GB2312" w:cs="仿宋_GB2312"/>
          <w:color w:val="auto"/>
          <w:sz w:val="24"/>
          <w:highlight w:val="none"/>
          <w:u w:val="single"/>
        </w:rPr>
        <w:t>（盖章）</w:t>
      </w:r>
      <w:bookmarkEnd w:id="163"/>
      <w:r>
        <w:rPr>
          <w:rFonts w:hint="eastAsia" w:ascii="仿宋_GB2312" w:hAnsi="仿宋_GB2312" w:eastAsia="仿宋_GB2312" w:cs="仿宋_GB2312"/>
          <w:color w:val="auto"/>
          <w:sz w:val="24"/>
          <w:highlight w:val="none"/>
          <w:u w:val="single"/>
        </w:rPr>
        <w:t xml:space="preserve">        </w:t>
      </w:r>
    </w:p>
    <w:p>
      <w:pPr>
        <w:pStyle w:val="13"/>
        <w:snapToGrid w:val="0"/>
        <w:spacing w:line="360" w:lineRule="auto"/>
        <w:rPr>
          <w:rFonts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rPr>
        <w:br w:type="page"/>
      </w:r>
      <w:bookmarkEnd w:id="155"/>
      <w:bookmarkEnd w:id="156"/>
      <w:bookmarkStart w:id="164" w:name="_Toc14555"/>
      <w:bookmarkStart w:id="165" w:name="_Hlk26087760"/>
      <w:bookmarkStart w:id="166" w:name="_Toc5299"/>
      <w:r>
        <w:rPr>
          <w:rFonts w:hint="eastAsia" w:ascii="仿宋_GB2312" w:hAnsi="仿宋_GB2312" w:eastAsia="仿宋_GB2312" w:cs="仿宋_GB2312"/>
          <w:b/>
          <w:color w:val="auto"/>
          <w:sz w:val="24"/>
          <w:highlight w:val="none"/>
        </w:rPr>
        <w:t>附件2 保密协议</w:t>
      </w:r>
      <w:bookmarkEnd w:id="164"/>
    </w:p>
    <w:p>
      <w:pPr>
        <w:widowControl/>
        <w:snapToGrid w:val="0"/>
        <w:spacing w:line="360" w:lineRule="auto"/>
        <w:jc w:val="center"/>
        <w:rPr>
          <w:rFonts w:ascii="仿宋_GB2312" w:hAnsi="仿宋_GB2312" w:eastAsia="仿宋_GB2312" w:cs="仿宋_GB2312"/>
          <w:color w:val="auto"/>
          <w:kern w:val="0"/>
          <w:sz w:val="32"/>
          <w:szCs w:val="32"/>
          <w:highlight w:val="none"/>
          <w:lang w:bidi="en-US"/>
        </w:rPr>
      </w:pPr>
      <w:r>
        <w:rPr>
          <w:rFonts w:hint="eastAsia" w:ascii="仿宋_GB2312" w:hAnsi="仿宋_GB2312" w:eastAsia="仿宋_GB2312" w:cs="仿宋_GB2312"/>
          <w:b/>
          <w:bCs/>
          <w:smallCaps/>
          <w:color w:val="auto"/>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color w:val="auto"/>
          <w:kern w:val="0"/>
          <w:sz w:val="24"/>
          <w:highlight w:val="none"/>
          <w:lang w:bidi="en-US"/>
        </w:rPr>
      </w:pPr>
    </w:p>
    <w:p>
      <w:pPr>
        <w:widowControl/>
        <w:snapToGrid w:val="0"/>
        <w:spacing w:line="360" w:lineRule="auto"/>
        <w:jc w:val="left"/>
        <w:rPr>
          <w:rFonts w:ascii="仿宋_GB2312" w:hAnsi="仿宋_GB2312" w:eastAsia="仿宋_GB2312" w:cs="仿宋_GB2312"/>
          <w:color w:val="auto"/>
          <w:kern w:val="0"/>
          <w:sz w:val="24"/>
          <w:highlight w:val="none"/>
          <w:u w:val="single"/>
          <w:lang w:bidi="en-US"/>
        </w:rPr>
      </w:pPr>
      <w:r>
        <w:rPr>
          <w:rFonts w:hint="eastAsia" w:ascii="仿宋_GB2312" w:hAnsi="仿宋_GB2312" w:eastAsia="仿宋_GB2312" w:cs="仿宋_GB2312"/>
          <w:color w:val="auto"/>
          <w:kern w:val="0"/>
          <w:sz w:val="24"/>
          <w:highlight w:val="none"/>
          <w:lang w:bidi="en-US"/>
        </w:rPr>
        <w:t>甲方（全称）：</w:t>
      </w:r>
      <w:r>
        <w:rPr>
          <w:rFonts w:hint="eastAsia" w:ascii="仿宋_GB2312" w:hAnsi="仿宋_GB2312" w:eastAsia="仿宋_GB2312" w:cs="仿宋_GB2312"/>
          <w:color w:val="auto"/>
          <w:kern w:val="0"/>
          <w:sz w:val="24"/>
          <w:highlight w:val="none"/>
          <w:u w:val="single"/>
          <w:lang w:bidi="en-US"/>
        </w:rPr>
        <w:t xml:space="preserve">                      </w:t>
      </w:r>
    </w:p>
    <w:p>
      <w:pPr>
        <w:widowControl/>
        <w:snapToGrid w:val="0"/>
        <w:spacing w:line="360" w:lineRule="auto"/>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乙方（全称）：</w:t>
      </w:r>
      <w:r>
        <w:rPr>
          <w:rFonts w:hint="eastAsia" w:ascii="仿宋_GB2312" w:hAnsi="仿宋_GB2312" w:eastAsia="仿宋_GB2312" w:cs="仿宋_GB2312"/>
          <w:color w:val="auto"/>
          <w:kern w:val="0"/>
          <w:sz w:val="24"/>
          <w:highlight w:val="none"/>
          <w:u w:val="single"/>
          <w:lang w:bidi="en-US"/>
        </w:rPr>
        <w:t xml:space="preserve">                      </w:t>
      </w:r>
    </w:p>
    <w:p>
      <w:pPr>
        <w:widowControl/>
        <w:snapToGrid w:val="0"/>
        <w:spacing w:line="360" w:lineRule="auto"/>
        <w:ind w:firstLine="480" w:firstLineChars="200"/>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鉴于甲方和乙方签订的</w:t>
      </w:r>
      <w:r>
        <w:rPr>
          <w:rFonts w:hint="eastAsia" w:ascii="仿宋_GB2312" w:hAnsi="仿宋_GB2312" w:eastAsia="仿宋_GB2312" w:cs="仿宋_GB2312"/>
          <w:color w:val="auto"/>
          <w:kern w:val="0"/>
          <w:sz w:val="24"/>
          <w:highlight w:val="none"/>
          <w:u w:val="single"/>
          <w:lang w:bidi="en-US"/>
        </w:rPr>
        <w:t xml:space="preserve">                </w:t>
      </w:r>
      <w:r>
        <w:rPr>
          <w:rFonts w:hint="eastAsia" w:ascii="仿宋_GB2312" w:hAnsi="仿宋_GB2312" w:eastAsia="仿宋_GB2312" w:cs="仿宋_GB2312"/>
          <w:color w:val="auto"/>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第一条 保密内容</w:t>
      </w:r>
    </w:p>
    <w:p>
      <w:pPr>
        <w:widowControl/>
        <w:snapToGrid w:val="0"/>
        <w:spacing w:line="360" w:lineRule="auto"/>
        <w:ind w:firstLine="482" w:firstLineChars="200"/>
        <w:jc w:val="left"/>
        <w:rPr>
          <w:rFonts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第二条 乙方的保密义务</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第三条 保密期限</w:t>
      </w:r>
    </w:p>
    <w:p>
      <w:pPr>
        <w:widowControl/>
        <w:snapToGrid w:val="0"/>
        <w:spacing w:line="360" w:lineRule="auto"/>
        <w:ind w:firstLine="480" w:firstLineChars="200"/>
        <w:jc w:val="left"/>
        <w:rPr>
          <w:rFonts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color w:val="auto"/>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第四条 违约责任</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color w:val="auto"/>
          <w:kern w:val="0"/>
          <w:sz w:val="24"/>
          <w:highlight w:val="none"/>
          <w:lang w:bidi="en-US"/>
        </w:rPr>
        <w:t>人民币</w:t>
      </w:r>
      <w:r>
        <w:rPr>
          <w:rFonts w:hint="eastAsia" w:ascii="仿宋_GB2312" w:hAnsi="仿宋_GB2312" w:eastAsia="仿宋_GB2312" w:cs="仿宋_GB2312"/>
          <w:b/>
          <w:color w:val="auto"/>
          <w:kern w:val="0"/>
          <w:sz w:val="24"/>
          <w:highlight w:val="none"/>
          <w:u w:val="single"/>
          <w:lang w:bidi="en-US"/>
        </w:rPr>
        <w:t>1000</w:t>
      </w:r>
      <w:r>
        <w:rPr>
          <w:rFonts w:hint="eastAsia" w:ascii="仿宋_GB2312" w:hAnsi="仿宋_GB2312" w:eastAsia="仿宋_GB2312" w:cs="仿宋_GB2312"/>
          <w:b/>
          <w:color w:val="auto"/>
          <w:kern w:val="0"/>
          <w:sz w:val="24"/>
          <w:highlight w:val="none"/>
          <w:lang w:bidi="en-US"/>
        </w:rPr>
        <w:t>元</w:t>
      </w:r>
      <w:r>
        <w:rPr>
          <w:rFonts w:hint="eastAsia" w:ascii="仿宋_GB2312" w:hAnsi="仿宋_GB2312" w:eastAsia="仿宋_GB2312" w:cs="仿宋_GB2312"/>
          <w:color w:val="auto"/>
          <w:kern w:val="0"/>
          <w:sz w:val="24"/>
          <w:highlight w:val="none"/>
          <w:lang w:bidi="en-US"/>
        </w:rPr>
        <w:t>的违约金。</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（2）因乙方的违反协议行为给甲方造成的经济损失，损失赔偿金额为</w:t>
      </w:r>
      <w:r>
        <w:rPr>
          <w:rFonts w:hint="eastAsia" w:ascii="仿宋_GB2312" w:hAnsi="仿宋_GB2312" w:eastAsia="仿宋_GB2312" w:cs="仿宋_GB2312"/>
          <w:b/>
          <w:color w:val="auto"/>
          <w:kern w:val="0"/>
          <w:sz w:val="24"/>
          <w:highlight w:val="none"/>
          <w:lang w:bidi="en-US"/>
        </w:rPr>
        <w:t>主合同签约合同价的</w:t>
      </w:r>
      <w:r>
        <w:rPr>
          <w:rFonts w:hint="eastAsia" w:ascii="仿宋_GB2312" w:hAnsi="仿宋_GB2312" w:eastAsia="仿宋_GB2312" w:cs="仿宋_GB2312"/>
          <w:b/>
          <w:color w:val="auto"/>
          <w:kern w:val="0"/>
          <w:sz w:val="24"/>
          <w:highlight w:val="none"/>
          <w:u w:val="single"/>
          <w:lang w:bidi="en-US"/>
        </w:rPr>
        <w:t>1</w:t>
      </w:r>
      <w:r>
        <w:rPr>
          <w:rFonts w:hint="eastAsia" w:ascii="仿宋_GB2312" w:hAnsi="仿宋_GB2312" w:eastAsia="仿宋_GB2312" w:cs="仿宋_GB2312"/>
          <w:b/>
          <w:color w:val="auto"/>
          <w:kern w:val="0"/>
          <w:sz w:val="24"/>
          <w:highlight w:val="none"/>
          <w:lang w:bidi="en-US"/>
        </w:rPr>
        <w:t>％</w:t>
      </w:r>
      <w:r>
        <w:rPr>
          <w:rFonts w:hint="eastAsia" w:ascii="仿宋_GB2312" w:hAnsi="仿宋_GB2312" w:eastAsia="仿宋_GB2312" w:cs="仿宋_GB2312"/>
          <w:color w:val="auto"/>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第五条 争议的解决</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color w:val="auto"/>
          <w:kern w:val="0"/>
          <w:sz w:val="24"/>
          <w:highlight w:val="none"/>
          <w:u w:val="single"/>
          <w:lang w:bidi="en-US"/>
        </w:rPr>
        <w:t>甲方所在地人民法院</w:t>
      </w:r>
      <w:r>
        <w:rPr>
          <w:rFonts w:hint="eastAsia" w:ascii="仿宋_GB2312" w:hAnsi="仿宋_GB2312" w:eastAsia="仿宋_GB2312" w:cs="仿宋_GB2312"/>
          <w:color w:val="auto"/>
          <w:kern w:val="0"/>
          <w:sz w:val="24"/>
          <w:highlight w:val="none"/>
          <w:lang w:bidi="en-US"/>
        </w:rPr>
        <w:t>提起诉讼。</w:t>
      </w:r>
    </w:p>
    <w:p>
      <w:pPr>
        <w:widowControl/>
        <w:snapToGrid w:val="0"/>
        <w:spacing w:line="360" w:lineRule="auto"/>
        <w:ind w:firstLine="482" w:firstLineChars="200"/>
        <w:jc w:val="left"/>
        <w:rPr>
          <w:rFonts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第六条 协议的效力和变更</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p>
    <w:p>
      <w:pPr>
        <w:widowControl/>
        <w:snapToGrid w:val="0"/>
        <w:spacing w:line="360" w:lineRule="auto"/>
        <w:jc w:val="left"/>
        <w:rPr>
          <w:rFonts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br w:type="page"/>
      </w:r>
      <w:r>
        <w:rPr>
          <w:rFonts w:hint="eastAsia" w:ascii="仿宋_GB2312" w:hAnsi="仿宋_GB2312" w:eastAsia="仿宋_GB2312" w:cs="仿宋_GB2312"/>
          <w:color w:val="auto"/>
          <w:kern w:val="0"/>
          <w:sz w:val="24"/>
          <w:highlight w:val="none"/>
          <w:lang w:bidi="en-US"/>
        </w:rPr>
        <w:t>（本页无正文）</w:t>
      </w: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color w:val="auto"/>
          <w:kern w:val="0"/>
          <w:sz w:val="24"/>
          <w:highlight w:val="none"/>
          <w:lang w:bidi="en-US"/>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ascii="仿宋_GB2312" w:hAnsi="仿宋_GB2312" w:eastAsia="仿宋_GB2312" w:cs="仿宋_GB2312"/>
                <w:color w:val="auto"/>
                <w:kern w:val="0"/>
                <w:sz w:val="24"/>
                <w:highlight w:val="none"/>
              </w:rPr>
            </w:pPr>
            <w:bookmarkStart w:id="167" w:name="3"/>
            <w:bookmarkEnd w:id="167"/>
            <w:r>
              <w:rPr>
                <w:rFonts w:hint="eastAsia" w:ascii="仿宋_GB2312" w:hAnsi="仿宋_GB2312" w:eastAsia="仿宋_GB2312" w:cs="仿宋_GB2312"/>
                <w:color w:val="auto"/>
                <w:kern w:val="0"/>
                <w:sz w:val="24"/>
                <w:highlight w:val="none"/>
              </w:rPr>
              <w:t>甲方：(盖章)</w:t>
            </w:r>
          </w:p>
        </w:tc>
        <w:tc>
          <w:tcPr>
            <w:tcW w:w="4252" w:type="dxa"/>
          </w:tcPr>
          <w:p>
            <w:pPr>
              <w:adjustRightInd w:val="0"/>
              <w:snapToGrid w:val="0"/>
              <w:spacing w:line="360" w:lineRule="auto"/>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color w:val="auto"/>
                <w:kern w:val="0"/>
                <w:sz w:val="24"/>
                <w:highlight w:val="none"/>
              </w:rPr>
            </w:pPr>
          </w:p>
        </w:tc>
        <w:tc>
          <w:tcPr>
            <w:tcW w:w="4252" w:type="dxa"/>
          </w:tcPr>
          <w:p>
            <w:pPr>
              <w:adjustRightInd w:val="0"/>
              <w:snapToGrid w:val="0"/>
              <w:spacing w:line="360" w:lineRule="auto"/>
              <w:ind w:left="34" w:leftChars="16"/>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w:t>
            </w:r>
          </w:p>
        </w:tc>
        <w:tc>
          <w:tcPr>
            <w:tcW w:w="4252" w:type="dxa"/>
          </w:tcPr>
          <w:p>
            <w:pPr>
              <w:adjustRightInd w:val="0"/>
              <w:snapToGrid w:val="0"/>
              <w:spacing w:line="360" w:lineRule="auto"/>
              <w:ind w:left="34" w:leftChars="16"/>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w:t>
            </w:r>
          </w:p>
        </w:tc>
      </w:tr>
    </w:tbl>
    <w:p>
      <w:pPr>
        <w:adjustRightInd w:val="0"/>
        <w:snapToGrid w:val="0"/>
        <w:spacing w:line="444" w:lineRule="exact"/>
        <w:jc w:val="left"/>
        <w:rPr>
          <w:rFonts w:ascii="仿宋_GB2312" w:hAnsi="仿宋_GB2312" w:eastAsia="仿宋_GB2312" w:cs="仿宋_GB2312"/>
          <w:b/>
          <w:color w:val="auto"/>
          <w:sz w:val="24"/>
          <w:highlight w:val="none"/>
        </w:rPr>
      </w:pPr>
    </w:p>
    <w:p>
      <w:pPr>
        <w:adjustRightInd w:val="0"/>
        <w:snapToGrid w:val="0"/>
        <w:spacing w:line="444" w:lineRule="exact"/>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color w:val="auto"/>
          <w:sz w:val="24"/>
          <w:highlight w:val="none"/>
        </w:rPr>
        <w:t>附件3 中标通知书/中选通知书/谈判记录表</w:t>
      </w:r>
    </w:p>
    <w:p>
      <w:pPr>
        <w:pStyle w:val="13"/>
        <w:snapToGrid w:val="0"/>
        <w:spacing w:line="360" w:lineRule="auto"/>
        <w:ind w:firstLine="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bookmarkStart w:id="168" w:name="_Toc26074"/>
      <w:r>
        <w:rPr>
          <w:rFonts w:hint="eastAsia" w:ascii="仿宋_GB2312" w:hAnsi="仿宋_GB2312" w:eastAsia="仿宋_GB2312" w:cs="仿宋_GB2312"/>
          <w:b/>
          <w:color w:val="auto"/>
          <w:sz w:val="24"/>
          <w:highlight w:val="none"/>
        </w:rPr>
        <w:t>附件4 签约合同价清单</w:t>
      </w:r>
      <w:bookmarkEnd w:id="168"/>
    </w:p>
    <w:p>
      <w:pPr>
        <w:pStyle w:val="13"/>
        <w:snapToGrid w:val="0"/>
        <w:spacing w:line="360" w:lineRule="auto"/>
        <w:ind w:firstLine="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bookmarkStart w:id="169" w:name="_Toc8212"/>
      <w:r>
        <w:rPr>
          <w:rFonts w:hint="eastAsia" w:ascii="仿宋_GB2312" w:hAnsi="仿宋_GB2312" w:eastAsia="仿宋_GB2312" w:cs="仿宋_GB2312"/>
          <w:b/>
          <w:color w:val="auto"/>
          <w:sz w:val="24"/>
          <w:highlight w:val="none"/>
        </w:rPr>
        <w:t>附件5 澄清与答疑文件</w:t>
      </w:r>
      <w:bookmarkEnd w:id="169"/>
    </w:p>
    <w:p>
      <w:pPr>
        <w:pStyle w:val="13"/>
        <w:snapToGrid w:val="0"/>
        <w:spacing w:line="360" w:lineRule="auto"/>
        <w:ind w:firstLine="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bookmarkStart w:id="170" w:name="_Toc2163"/>
      <w:r>
        <w:rPr>
          <w:rFonts w:hint="eastAsia" w:ascii="仿宋_GB2312" w:hAnsi="仿宋_GB2312" w:eastAsia="仿宋_GB2312" w:cs="仿宋_GB2312"/>
          <w:b/>
          <w:color w:val="auto"/>
          <w:sz w:val="24"/>
          <w:highlight w:val="none"/>
        </w:rPr>
        <w:t>附件6 最高投标限价公示说明</w:t>
      </w:r>
      <w:bookmarkEnd w:id="170"/>
    </w:p>
    <w:p>
      <w:pPr>
        <w:pStyle w:val="13"/>
        <w:snapToGrid w:val="0"/>
        <w:spacing w:line="360" w:lineRule="auto"/>
        <w:ind w:firstLine="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bookmarkStart w:id="171" w:name="_Toc14884"/>
      <w:r>
        <w:rPr>
          <w:rFonts w:hint="eastAsia" w:ascii="仿宋_GB2312" w:hAnsi="仿宋_GB2312" w:eastAsia="仿宋_GB2312" w:cs="仿宋_GB2312"/>
          <w:b/>
          <w:color w:val="auto"/>
          <w:sz w:val="24"/>
          <w:highlight w:val="none"/>
        </w:rPr>
        <w:t>附件7 用户需求书/技术规格书</w:t>
      </w:r>
      <w:bookmarkEnd w:id="171"/>
    </w:p>
    <w:p>
      <w:pPr>
        <w:pStyle w:val="13"/>
        <w:snapToGrid w:val="0"/>
        <w:spacing w:line="360" w:lineRule="auto"/>
        <w:ind w:firstLine="0"/>
        <w:rPr>
          <w:rFonts w:ascii="仿宋_GB2312" w:hAnsi="仿宋_GB2312" w:eastAsia="仿宋_GB2312" w:cs="仿宋_GB2312"/>
          <w:b/>
          <w:color w:val="auto"/>
          <w:sz w:val="24"/>
          <w:highlight w:val="none"/>
        </w:rPr>
      </w:pPr>
    </w:p>
    <w:p>
      <w:pPr>
        <w:pStyle w:val="13"/>
        <w:snapToGrid w:val="0"/>
        <w:spacing w:line="360" w:lineRule="auto"/>
        <w:ind w:firstLine="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24"/>
          <w:highlight w:val="none"/>
        </w:rPr>
        <w:br w:type="page"/>
      </w:r>
      <w:bookmarkEnd w:id="152"/>
      <w:bookmarkEnd w:id="153"/>
      <w:bookmarkEnd w:id="154"/>
      <w:bookmarkEnd w:id="165"/>
      <w:bookmarkEnd w:id="166"/>
      <w:bookmarkStart w:id="172" w:name="_Toc17255"/>
      <w:bookmarkStart w:id="173" w:name="_Toc31412"/>
      <w:bookmarkStart w:id="174" w:name="_Toc319826225"/>
      <w:bookmarkStart w:id="175" w:name="_Toc5333"/>
      <w:r>
        <w:rPr>
          <w:rFonts w:hint="eastAsia" w:ascii="仿宋_GB2312" w:hAnsi="仿宋_GB2312" w:eastAsia="仿宋_GB2312" w:cs="仿宋_GB2312"/>
          <w:b/>
          <w:color w:val="auto"/>
          <w:sz w:val="32"/>
          <w:szCs w:val="32"/>
          <w:highlight w:val="none"/>
        </w:rPr>
        <w:t>第四部分 合同附录</w:t>
      </w:r>
      <w:bookmarkEnd w:id="172"/>
      <w:bookmarkEnd w:id="173"/>
      <w:bookmarkEnd w:id="174"/>
      <w:bookmarkEnd w:id="175"/>
      <w:bookmarkStart w:id="176" w:name="_Toc411417807"/>
      <w:bookmarkStart w:id="177" w:name="_Toc437444976"/>
      <w:bookmarkStart w:id="178" w:name="_Toc22409"/>
    </w:p>
    <w:p>
      <w:pPr>
        <w:adjustRightInd w:val="0"/>
        <w:snapToGrid w:val="0"/>
        <w:spacing w:line="360" w:lineRule="auto"/>
        <w:rPr>
          <w:rFonts w:ascii="仿宋_GB2312" w:hAnsi="仿宋_GB2312" w:eastAsia="仿宋_GB2312" w:cs="仿宋_GB2312"/>
          <w:b/>
          <w:bCs/>
          <w:color w:val="auto"/>
          <w:sz w:val="24"/>
          <w:highlight w:val="none"/>
        </w:rPr>
      </w:pPr>
      <w:bookmarkStart w:id="179" w:name="_Toc20623"/>
      <w:bookmarkStart w:id="180" w:name="_Toc25828"/>
      <w:r>
        <w:rPr>
          <w:rFonts w:hint="eastAsia" w:ascii="仿宋_GB2312" w:hAnsi="仿宋_GB2312" w:eastAsia="仿宋_GB2312" w:cs="仿宋_GB2312"/>
          <w:b/>
          <w:bCs/>
          <w:color w:val="auto"/>
          <w:sz w:val="24"/>
          <w:highlight w:val="none"/>
        </w:rPr>
        <w:t xml:space="preserve">附录1 </w:t>
      </w:r>
      <w:bookmarkEnd w:id="176"/>
      <w:bookmarkEnd w:id="177"/>
      <w:bookmarkEnd w:id="178"/>
      <w:bookmarkEnd w:id="179"/>
      <w:bookmarkStart w:id="181" w:name="_Toc319826226"/>
      <w:bookmarkStart w:id="182" w:name="_Toc16781"/>
      <w:bookmarkStart w:id="183" w:name="_Toc437444977"/>
      <w:bookmarkStart w:id="184" w:name="_Toc12472"/>
      <w:r>
        <w:rPr>
          <w:rFonts w:hint="eastAsia" w:ascii="仿宋_GB2312" w:hAnsi="仿宋_GB2312" w:eastAsia="仿宋_GB2312" w:cs="仿宋_GB2312"/>
          <w:b/>
          <w:bCs/>
          <w:color w:val="auto"/>
          <w:sz w:val="24"/>
          <w:highlight w:val="none"/>
        </w:rPr>
        <w:t>银行履约保函</w:t>
      </w:r>
      <w:bookmarkEnd w:id="181"/>
      <w:bookmarkEnd w:id="182"/>
      <w:bookmarkEnd w:id="183"/>
      <w:r>
        <w:rPr>
          <w:rFonts w:hint="eastAsia" w:ascii="仿宋_GB2312" w:hAnsi="仿宋_GB2312" w:eastAsia="仿宋_GB2312" w:cs="仿宋_GB2312"/>
          <w:b/>
          <w:bCs/>
          <w:color w:val="auto"/>
          <w:sz w:val="24"/>
          <w:highlight w:val="none"/>
        </w:rPr>
        <w:t>（格式）</w:t>
      </w:r>
      <w:bookmarkEnd w:id="180"/>
      <w:bookmarkEnd w:id="184"/>
    </w:p>
    <w:p>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bCs/>
          <w:color w:val="auto"/>
          <w:sz w:val="24"/>
          <w:highlight w:val="none"/>
        </w:rPr>
        <w:t>保函编号：</w:t>
      </w:r>
    </w:p>
    <w:p>
      <w:pPr>
        <w:snapToGrid w:val="0"/>
        <w:spacing w:line="360" w:lineRule="auto"/>
        <w:jc w:val="center"/>
        <w:rPr>
          <w:rFonts w:ascii="仿宋_GB2312" w:hAnsi="仿宋_GB2312" w:eastAsia="仿宋_GB2312" w:cs="仿宋_GB2312"/>
          <w:b/>
          <w:color w:val="auto"/>
          <w:sz w:val="30"/>
          <w:szCs w:val="30"/>
          <w:highlight w:val="none"/>
        </w:rPr>
      </w:pPr>
    </w:p>
    <w:p>
      <w:pPr>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银行履约保函</w:t>
      </w:r>
    </w:p>
    <w:p>
      <w:pPr>
        <w:jc w:val="center"/>
        <w:rPr>
          <w:rFonts w:ascii="仿宋_GB2312" w:hAnsi="仿宋_GB2312" w:eastAsia="仿宋_GB2312" w:cs="仿宋_GB2312"/>
          <w:b/>
          <w:color w:val="auto"/>
          <w:sz w:val="24"/>
          <w:highlight w:val="none"/>
        </w:rPr>
      </w:pPr>
    </w:p>
    <w:p>
      <w:pPr>
        <w:adjustRightInd w:val="0"/>
        <w:snapToGrid w:val="0"/>
        <w:spacing w:line="360" w:lineRule="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甲方（全称）：</w:t>
      </w:r>
      <w:r>
        <w:rPr>
          <w:rFonts w:hint="eastAsia" w:ascii="仿宋_GB2312" w:hAnsi="仿宋_GB2312" w:eastAsia="仿宋_GB2312" w:cs="仿宋_GB2312"/>
          <w:color w:val="auto"/>
          <w:sz w:val="24"/>
          <w:highlight w:val="none"/>
          <w:u w:val="single"/>
        </w:rPr>
        <w:t xml:space="preserve">                  </w:t>
      </w:r>
    </w:p>
    <w:p>
      <w:pPr>
        <w:adjustRightInd w:val="0"/>
        <w:snapToGrid w:val="0"/>
        <w:spacing w:line="360" w:lineRule="auto"/>
        <w:ind w:left="15" w:leftChars="7"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鉴于甲方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（以下简称“你方”）与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（乙方全称，以下简称“乙方”）于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日协商一致共同签订合同编号为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1、担保金额为人民币（大写）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元（小写：¥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w:t>
      </w:r>
    </w:p>
    <w:p>
      <w:pPr>
        <w:adjustRightInd w:val="0"/>
        <w:snapToGrid w:val="0"/>
        <w:spacing w:line="360" w:lineRule="auto"/>
        <w:ind w:left="15" w:leftChars="7" w:firstLine="480"/>
        <w:rPr>
          <w:rFonts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2、担保期限为自本保函生效之日起至</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之日止。</w:t>
      </w:r>
    </w:p>
    <w:p>
      <w:pPr>
        <w:adjustRightInd w:val="0"/>
        <w:snapToGrid w:val="0"/>
        <w:spacing w:line="360" w:lineRule="auto"/>
        <w:ind w:left="15" w:leftChars="7" w:firstLine="480"/>
        <w:rPr>
          <w:rFonts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color w:val="auto"/>
          <w:sz w:val="24"/>
          <w:szCs w:val="20"/>
          <w:highlight w:val="none"/>
        </w:rPr>
      </w:pPr>
    </w:p>
    <w:p>
      <w:pPr>
        <w:adjustRightInd w:val="0"/>
        <w:snapToGrid w:val="0"/>
        <w:spacing w:line="336" w:lineRule="auto"/>
        <w:ind w:left="15" w:leftChars="7" w:firstLine="403" w:firstLineChars="168"/>
        <w:rPr>
          <w:rFonts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担保人（盖公章）：</w:t>
      </w:r>
    </w:p>
    <w:p>
      <w:pPr>
        <w:adjustRightInd w:val="0"/>
        <w:snapToGrid w:val="0"/>
        <w:spacing w:line="336" w:lineRule="auto"/>
        <w:ind w:firstLine="480" w:firstLineChars="200"/>
        <w:rPr>
          <w:rFonts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签字：</w:t>
      </w:r>
    </w:p>
    <w:p>
      <w:pPr>
        <w:adjustRightInd w:val="0"/>
        <w:snapToGrid w:val="0"/>
        <w:spacing w:line="336" w:lineRule="auto"/>
        <w:ind w:left="15" w:leftChars="7" w:firstLine="403" w:firstLineChars="168"/>
        <w:rPr>
          <w:rFonts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地址：</w:t>
      </w:r>
    </w:p>
    <w:p>
      <w:pPr>
        <w:adjustRightInd w:val="0"/>
        <w:snapToGrid w:val="0"/>
        <w:spacing w:line="336" w:lineRule="auto"/>
        <w:ind w:left="15" w:leftChars="7" w:firstLine="403" w:firstLineChars="168"/>
        <w:rPr>
          <w:rFonts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邮政编码：</w:t>
      </w:r>
    </w:p>
    <w:p>
      <w:pPr>
        <w:adjustRightInd w:val="0"/>
        <w:snapToGrid w:val="0"/>
        <w:spacing w:line="336" w:lineRule="auto"/>
        <w:ind w:left="15" w:leftChars="7" w:firstLine="403" w:firstLineChars="168"/>
        <w:rPr>
          <w:rFonts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电话：</w:t>
      </w:r>
    </w:p>
    <w:p>
      <w:pPr>
        <w:adjustRightInd w:val="0"/>
        <w:snapToGrid w:val="0"/>
        <w:spacing w:line="336" w:lineRule="auto"/>
        <w:ind w:left="15" w:leftChars="7" w:firstLine="403" w:firstLineChars="168"/>
        <w:rPr>
          <w:rFonts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传真：</w:t>
      </w:r>
    </w:p>
    <w:p>
      <w:pPr>
        <w:adjustRightInd w:val="0"/>
        <w:snapToGrid w:val="0"/>
        <w:spacing w:line="336" w:lineRule="auto"/>
        <w:ind w:left="15" w:leftChars="7" w:firstLine="403" w:firstLineChars="168"/>
        <w:rPr>
          <w:rFonts w:ascii="仿宋_GB2312" w:hAnsi="仿宋_GB2312" w:eastAsia="仿宋_GB2312" w:cs="仿宋_GB2312"/>
          <w:color w:val="auto"/>
          <w:highlight w:val="none"/>
        </w:rPr>
      </w:pPr>
      <w:r>
        <w:rPr>
          <w:rFonts w:hint="eastAsia" w:ascii="仿宋_GB2312" w:hAnsi="仿宋_GB2312" w:eastAsia="仿宋_GB2312" w:cs="仿宋_GB2312"/>
          <w:color w:val="auto"/>
          <w:sz w:val="24"/>
          <w:szCs w:val="20"/>
          <w:highlight w:val="none"/>
        </w:rPr>
        <w:t>时间：</w:t>
      </w:r>
      <w:bookmarkEnd w:id="88"/>
      <w:bookmarkEnd w:id="89"/>
      <w:r>
        <w:rPr>
          <w:rFonts w:hint="eastAsia" w:ascii="仿宋_GB2312" w:hAnsi="仿宋_GB2312" w:eastAsia="仿宋_GB2312" w:cs="仿宋_GB2312"/>
          <w:color w:val="auto"/>
          <w:highlight w:val="none"/>
        </w:rPr>
        <w:br w:type="page"/>
      </w:r>
    </w:p>
    <w:p>
      <w:pPr>
        <w:pStyle w:val="13"/>
        <w:snapToGrid w:val="0"/>
        <w:ind w:firstLine="0"/>
        <w:rPr>
          <w:rFonts w:ascii="仿宋_GB2312" w:hAnsi="仿宋_GB2312" w:eastAsia="仿宋_GB2312" w:cs="仿宋_GB2312"/>
          <w:b/>
          <w:color w:val="auto"/>
          <w:sz w:val="32"/>
          <w:szCs w:val="32"/>
          <w:highlight w:val="none"/>
        </w:rPr>
      </w:pPr>
      <w:bookmarkStart w:id="185" w:name="_Toc1539"/>
      <w:r>
        <w:rPr>
          <w:rFonts w:hint="eastAsia" w:ascii="仿宋_GB2312" w:hAnsi="仿宋_GB2312" w:eastAsia="仿宋_GB2312" w:cs="仿宋_GB2312"/>
          <w:b/>
          <w:color w:val="auto"/>
          <w:sz w:val="32"/>
          <w:szCs w:val="32"/>
          <w:highlight w:val="none"/>
        </w:rPr>
        <w:t>第五部分 招标文件/自主竞争性谈判文件/直接委托谈判文件、澄清与答疑文件及其他补充资料（如有，另册）</w:t>
      </w:r>
      <w:bookmarkEnd w:id="185"/>
    </w:p>
    <w:p>
      <w:pPr>
        <w:pStyle w:val="13"/>
        <w:snapToGrid w:val="0"/>
        <w:spacing w:line="360" w:lineRule="auto"/>
        <w:ind w:firstLine="0"/>
        <w:jc w:val="center"/>
        <w:rPr>
          <w:rFonts w:ascii="仿宋_GB2312" w:hAnsi="仿宋_GB2312" w:eastAsia="仿宋_GB2312" w:cs="仿宋_GB2312"/>
          <w:b/>
          <w:color w:val="auto"/>
          <w:sz w:val="32"/>
          <w:szCs w:val="32"/>
          <w:highlight w:val="none"/>
        </w:rPr>
      </w:pPr>
    </w:p>
    <w:p>
      <w:pPr>
        <w:pStyle w:val="13"/>
        <w:snapToGrid w:val="0"/>
        <w:spacing w:line="360" w:lineRule="auto"/>
        <w:ind w:firstLine="0"/>
        <w:jc w:val="center"/>
        <w:rPr>
          <w:rFonts w:ascii="仿宋_GB2312" w:hAnsi="仿宋_GB2312" w:eastAsia="仿宋_GB2312" w:cs="仿宋_GB2312"/>
          <w:b/>
          <w:color w:val="auto"/>
          <w:sz w:val="32"/>
          <w:szCs w:val="32"/>
          <w:highlight w:val="none"/>
        </w:rPr>
      </w:pPr>
    </w:p>
    <w:p>
      <w:pPr>
        <w:pStyle w:val="13"/>
        <w:snapToGrid w:val="0"/>
        <w:spacing w:line="360" w:lineRule="auto"/>
        <w:ind w:firstLine="0"/>
        <w:jc w:val="center"/>
        <w:rPr>
          <w:rFonts w:ascii="仿宋_GB2312" w:hAnsi="仿宋_GB2312" w:eastAsia="仿宋_GB2312" w:cs="仿宋_GB2312"/>
          <w:b/>
          <w:color w:val="auto"/>
          <w:sz w:val="32"/>
          <w:szCs w:val="32"/>
          <w:highlight w:val="none"/>
        </w:rPr>
      </w:pPr>
    </w:p>
    <w:p>
      <w:pPr>
        <w:pStyle w:val="13"/>
        <w:snapToGrid w:val="0"/>
        <w:spacing w:line="360" w:lineRule="auto"/>
        <w:ind w:firstLine="0"/>
        <w:jc w:val="center"/>
        <w:rPr>
          <w:rFonts w:ascii="仿宋_GB2312" w:hAnsi="仿宋_GB2312" w:eastAsia="仿宋_GB2312" w:cs="仿宋_GB2312"/>
          <w:b/>
          <w:color w:val="auto"/>
          <w:sz w:val="32"/>
          <w:szCs w:val="32"/>
          <w:highlight w:val="none"/>
        </w:rPr>
      </w:pPr>
    </w:p>
    <w:p>
      <w:pPr>
        <w:pStyle w:val="13"/>
        <w:numPr>
          <w:ilvl w:val="0"/>
          <w:numId w:val="19"/>
        </w:numPr>
        <w:snapToGrid w:val="0"/>
        <w:ind w:firstLine="0"/>
        <w:rPr>
          <w:rFonts w:ascii="仿宋_GB2312" w:hAnsi="仿宋_GB2312" w:eastAsia="仿宋_GB2312" w:cs="仿宋_GB2312"/>
          <w:b/>
          <w:color w:val="auto"/>
          <w:sz w:val="32"/>
          <w:szCs w:val="32"/>
          <w:highlight w:val="none"/>
        </w:rPr>
      </w:pPr>
      <w:bookmarkStart w:id="186" w:name="_Toc6572"/>
      <w:r>
        <w:rPr>
          <w:rFonts w:hint="eastAsia" w:ascii="仿宋_GB2312" w:hAnsi="仿宋_GB2312" w:eastAsia="仿宋_GB2312" w:cs="仿宋_GB2312"/>
          <w:b/>
          <w:color w:val="auto"/>
          <w:sz w:val="32"/>
          <w:szCs w:val="32"/>
          <w:highlight w:val="none"/>
        </w:rPr>
        <w:t>投标文件/谈判响应文件、澄清文件及其他补充资料（如有，另册）</w:t>
      </w:r>
      <w:bookmarkEnd w:id="186"/>
    </w:p>
    <w:p>
      <w:pPr>
        <w:pStyle w:val="13"/>
        <w:snapToGrid w:val="0"/>
        <w:ind w:firstLine="0"/>
        <w:rPr>
          <w:rFonts w:ascii="仿宋_GB2312" w:hAnsi="仿宋_GB2312" w:eastAsia="仿宋_GB2312" w:cs="仿宋_GB2312"/>
          <w:b/>
          <w:color w:val="auto"/>
          <w:sz w:val="32"/>
          <w:szCs w:val="32"/>
          <w:highlight w:val="none"/>
        </w:rPr>
      </w:pPr>
    </w:p>
    <w:p>
      <w:pPr>
        <w:pStyle w:val="13"/>
        <w:snapToGrid w:val="0"/>
        <w:ind w:firstLine="0"/>
        <w:rPr>
          <w:rFonts w:ascii="仿宋_GB2312" w:hAnsi="仿宋_GB2312" w:eastAsia="仿宋_GB2312" w:cs="仿宋_GB2312"/>
          <w:b/>
          <w:color w:val="auto"/>
          <w:sz w:val="32"/>
          <w:szCs w:val="32"/>
          <w:highlight w:val="none"/>
        </w:rPr>
        <w:sectPr>
          <w:footerReference r:id="rId12" w:type="default"/>
          <w:pgSz w:w="11905" w:h="16838"/>
          <w:pgMar w:top="2098" w:right="1474" w:bottom="1984" w:left="1587" w:header="851" w:footer="850" w:gutter="0"/>
          <w:cols w:space="0" w:num="1"/>
          <w:docGrid w:linePitch="312" w:charSpace="0"/>
        </w:sectPr>
      </w:pPr>
    </w:p>
    <w:p>
      <w:pPr>
        <w:spacing w:after="240"/>
        <w:jc w:val="center"/>
        <w:outlineLvl w:val="0"/>
        <w:rPr>
          <w:rFonts w:ascii="宋体" w:hAnsi="宋体" w:cs="宋体"/>
          <w:b/>
          <w:bCs/>
          <w:color w:val="auto"/>
          <w:sz w:val="32"/>
          <w:szCs w:val="32"/>
          <w:highlight w:val="none"/>
        </w:rPr>
      </w:pPr>
      <w:bookmarkStart w:id="187" w:name="_Toc28116"/>
      <w:bookmarkStart w:id="188" w:name="_Toc10678"/>
      <w:r>
        <w:rPr>
          <w:rFonts w:ascii="宋体" w:hAnsi="宋体" w:cs="宋体"/>
          <w:b/>
          <w:bCs/>
          <w:color w:val="auto"/>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4276725</wp:posOffset>
                </wp:positionH>
                <wp:positionV relativeFrom="paragraph">
                  <wp:posOffset>384810</wp:posOffset>
                </wp:positionV>
                <wp:extent cx="1114425" cy="419100"/>
                <wp:effectExtent l="7620" t="8255" r="20955" b="14605"/>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36.75pt;margin-top:30.3pt;height:33pt;width:87.75pt;z-index:25166438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FOl42AAAAAoBAAAPAAAAAAAAAAEA&#10;IAAAACIAAABkcnMvZG93bnJldi54bWxQSwECFAAUAAAACACHTuJAXrOlw0gCAACXBAAADgAAAAAA&#10;AAABACAAAAAnAQAAZHJzL2Uyb0RvYy54bWxQSwUGAAAAAAYABgBZAQAA4QU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bCs/>
          <w:color w:val="auto"/>
          <w:sz w:val="32"/>
          <w:szCs w:val="32"/>
          <w:highlight w:val="none"/>
        </w:rPr>
        <w:t>第六章</w:t>
      </w:r>
      <w:bookmarkStart w:id="189" w:name="_Toc14891079"/>
      <w:r>
        <w:rPr>
          <w:rFonts w:hint="eastAsia" w:ascii="宋体" w:hAnsi="宋体" w:cs="宋体"/>
          <w:b/>
          <w:bCs/>
          <w:color w:val="auto"/>
          <w:sz w:val="32"/>
          <w:szCs w:val="32"/>
          <w:highlight w:val="none"/>
        </w:rPr>
        <w:t xml:space="preserve">  响应文件组成</w:t>
      </w:r>
      <w:bookmarkEnd w:id="82"/>
      <w:bookmarkEnd w:id="83"/>
      <w:bookmarkEnd w:id="84"/>
      <w:bookmarkEnd w:id="85"/>
      <w:bookmarkEnd w:id="187"/>
      <w:bookmarkEnd w:id="188"/>
      <w:bookmarkEnd w:id="189"/>
    </w:p>
    <w:p>
      <w:pPr>
        <w:spacing w:line="360" w:lineRule="auto"/>
        <w:rPr>
          <w:rFonts w:ascii="宋体" w:hAnsi="宋体"/>
          <w:b/>
          <w:bCs/>
          <w:color w:val="auto"/>
          <w:sz w:val="52"/>
          <w:szCs w:val="52"/>
          <w:highlight w:val="none"/>
        </w:rPr>
      </w:pPr>
    </w:p>
    <w:p>
      <w:pPr>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自主竞争性谈判</w:t>
      </w:r>
    </w:p>
    <w:p>
      <w:pPr>
        <w:adjustRightInd w:val="0"/>
        <w:snapToGrid w:val="0"/>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响应文件</w:t>
      </w:r>
    </w:p>
    <w:p>
      <w:pPr>
        <w:spacing w:line="360" w:lineRule="auto"/>
        <w:rPr>
          <w:rFonts w:ascii="宋体" w:hAnsi="宋体"/>
          <w:color w:val="auto"/>
          <w:sz w:val="28"/>
          <w:szCs w:val="28"/>
          <w:highlight w:val="none"/>
        </w:rPr>
      </w:pPr>
    </w:p>
    <w:p>
      <w:pPr>
        <w:pStyle w:val="25"/>
        <w:rPr>
          <w:rFonts w:hAnsi="宋体"/>
          <w:b/>
          <w:color w:val="auto"/>
          <w:sz w:val="32"/>
          <w:szCs w:val="32"/>
          <w:highlight w:val="non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谈判项目名称：</w:t>
      </w:r>
      <w:r>
        <w:rPr>
          <w:rFonts w:hint="eastAsia" w:hAnsi="宋体"/>
          <w:b/>
          <w:bCs/>
          <w:color w:val="auto"/>
          <w:sz w:val="32"/>
          <w:szCs w:val="32"/>
          <w:highlight w:val="none"/>
          <w:u w:val="single"/>
        </w:rPr>
        <w:t xml:space="preserve">                      </w:t>
      </w:r>
    </w:p>
    <w:p>
      <w:pPr>
        <w:pStyle w:val="25"/>
        <w:adjustRightInd w:val="0"/>
        <w:snapToGrid w:val="0"/>
        <w:spacing w:line="360" w:lineRule="auto"/>
        <w:ind w:left="846" w:leftChars="403" w:firstLine="157" w:firstLineChars="49"/>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谈判单位名称：</w:t>
      </w:r>
      <w:r>
        <w:rPr>
          <w:rFonts w:hint="eastAsia" w:hAnsi="宋体"/>
          <w:b/>
          <w:bCs/>
          <w:color w:val="auto"/>
          <w:sz w:val="32"/>
          <w:szCs w:val="32"/>
          <w:highlight w:val="none"/>
          <w:u w:val="single"/>
        </w:rPr>
        <w:t xml:space="preserve">      （加盖单位公章）</w:t>
      </w:r>
    </w:p>
    <w:p>
      <w:pPr>
        <w:pStyle w:val="25"/>
        <w:adjustRightInd w:val="0"/>
        <w:snapToGrid w:val="0"/>
        <w:spacing w:line="360" w:lineRule="auto"/>
        <w:ind w:left="846" w:leftChars="403" w:firstLine="157" w:firstLineChars="49"/>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谈判项目编号：</w:t>
      </w:r>
      <w:r>
        <w:rPr>
          <w:rFonts w:hint="eastAsia" w:hAnsi="宋体"/>
          <w:b/>
          <w:bCs/>
          <w:color w:val="auto"/>
          <w:sz w:val="32"/>
          <w:szCs w:val="32"/>
          <w:highlight w:val="none"/>
          <w:u w:val="single"/>
        </w:rPr>
        <w:t xml:space="preserve">                      </w:t>
      </w:r>
    </w:p>
    <w:p>
      <w:pPr>
        <w:pStyle w:val="25"/>
        <w:adjustRightInd w:val="0"/>
        <w:snapToGrid w:val="0"/>
        <w:spacing w:line="360" w:lineRule="auto"/>
        <w:ind w:left="846" w:leftChars="403" w:firstLine="157" w:firstLineChars="49"/>
        <w:rPr>
          <w:rFonts w:hAnsi="宋体"/>
          <w:b/>
          <w:bCs/>
          <w:color w:val="auto"/>
          <w:sz w:val="32"/>
          <w:szCs w:val="32"/>
          <w:highlight w:val="none"/>
          <w:u w:val="single"/>
        </w:rPr>
      </w:pPr>
    </w:p>
    <w:p>
      <w:pPr>
        <w:pStyle w:val="25"/>
        <w:adjustRightInd w:val="0"/>
        <w:snapToGrid w:val="0"/>
        <w:spacing w:line="360" w:lineRule="auto"/>
        <w:ind w:left="846" w:leftChars="403" w:firstLine="157" w:firstLineChars="49"/>
        <w:rPr>
          <w:rFonts w:hAnsi="宋体"/>
          <w:b/>
          <w:bCs/>
          <w:color w:val="auto"/>
          <w:sz w:val="32"/>
          <w:szCs w:val="32"/>
          <w:highlight w:val="none"/>
          <w:u w:val="single"/>
        </w:rPr>
      </w:pPr>
    </w:p>
    <w:p>
      <w:pPr>
        <w:pStyle w:val="25"/>
        <w:adjustRightInd w:val="0"/>
        <w:snapToGrid w:val="0"/>
        <w:spacing w:line="360" w:lineRule="auto"/>
        <w:ind w:left="846" w:leftChars="403" w:firstLine="157" w:firstLineChars="49"/>
        <w:rPr>
          <w:rFonts w:hAnsi="宋体"/>
          <w:b/>
          <w:bCs/>
          <w:color w:val="auto"/>
          <w:sz w:val="32"/>
          <w:szCs w:val="32"/>
          <w:highlight w:val="none"/>
          <w:u w:val="single"/>
        </w:rPr>
      </w:pPr>
    </w:p>
    <w:p>
      <w:pPr>
        <w:pStyle w:val="25"/>
        <w:adjustRightInd w:val="0"/>
        <w:snapToGrid w:val="0"/>
        <w:spacing w:line="360" w:lineRule="auto"/>
        <w:ind w:left="846" w:leftChars="403" w:firstLine="157" w:firstLineChars="49"/>
        <w:rPr>
          <w:rFonts w:hAnsi="宋体"/>
          <w:b/>
          <w:bCs/>
          <w:color w:val="auto"/>
          <w:sz w:val="32"/>
          <w:szCs w:val="32"/>
          <w:highlight w:val="none"/>
          <w:u w:val="single"/>
        </w:rPr>
      </w:pPr>
    </w:p>
    <w:p>
      <w:pPr>
        <w:pStyle w:val="25"/>
        <w:adjustRightInd w:val="0"/>
        <w:snapToGrid w:val="0"/>
        <w:spacing w:line="360" w:lineRule="auto"/>
        <w:ind w:left="846" w:leftChars="403" w:firstLine="157" w:firstLineChars="49"/>
        <w:rPr>
          <w:rFonts w:hAnsi="宋体"/>
          <w:b/>
          <w:bCs/>
          <w:color w:val="auto"/>
          <w:sz w:val="32"/>
          <w:szCs w:val="32"/>
          <w:highlight w:val="none"/>
          <w:u w:val="single"/>
        </w:rPr>
      </w:pPr>
    </w:p>
    <w:p>
      <w:pPr>
        <w:pStyle w:val="25"/>
        <w:adjustRightInd w:val="0"/>
        <w:snapToGrid w:val="0"/>
        <w:spacing w:line="360" w:lineRule="auto"/>
        <w:ind w:left="846" w:leftChars="403" w:firstLine="157" w:firstLineChars="49"/>
        <w:rPr>
          <w:rFonts w:hAnsi="宋体"/>
          <w:b/>
          <w:bCs/>
          <w:color w:val="auto"/>
          <w:sz w:val="32"/>
          <w:szCs w:val="32"/>
          <w:highlight w:val="none"/>
          <w:u w:val="single"/>
        </w:rPr>
      </w:pPr>
    </w:p>
    <w:p>
      <w:pPr>
        <w:pStyle w:val="25"/>
        <w:adjustRightInd w:val="0"/>
        <w:snapToGrid w:val="0"/>
        <w:spacing w:line="360" w:lineRule="auto"/>
        <w:jc w:val="center"/>
        <w:rPr>
          <w:rFonts w:hAnsi="宋体"/>
          <w:color w:val="auto"/>
          <w:highlight w:val="none"/>
        </w:rPr>
      </w:pPr>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日</w:t>
      </w:r>
    </w:p>
    <w:p>
      <w:pPr>
        <w:spacing w:line="360" w:lineRule="exact"/>
        <w:rPr>
          <w:rFonts w:ascii="宋体" w:hAnsi="宋体"/>
          <w:b/>
          <w:color w:val="auto"/>
          <w:highlight w:val="none"/>
        </w:rPr>
      </w:pPr>
    </w:p>
    <w:p>
      <w:pPr>
        <w:adjustRightInd w:val="0"/>
        <w:snapToGrid w:val="0"/>
        <w:spacing w:line="360" w:lineRule="auto"/>
        <w:jc w:val="center"/>
        <w:rPr>
          <w:rFonts w:ascii="宋体" w:hAnsi="宋体"/>
          <w:b/>
          <w:color w:val="auto"/>
          <w:sz w:val="32"/>
          <w:szCs w:val="32"/>
          <w:highlight w:val="none"/>
        </w:rPr>
        <w:sectPr>
          <w:pgSz w:w="11905" w:h="16838"/>
          <w:pgMar w:top="2098" w:right="1474" w:bottom="1984" w:left="1587" w:header="851" w:footer="850" w:gutter="0"/>
          <w:cols w:space="0" w:num="1"/>
          <w:docGrid w:linePitch="312" w:charSpace="0"/>
        </w:sectPr>
      </w:pPr>
    </w:p>
    <w:p>
      <w:pPr>
        <w:widowControl/>
        <w:spacing w:line="360" w:lineRule="auto"/>
        <w:jc w:val="center"/>
        <w:rPr>
          <w:rFonts w:ascii="宋体" w:hAnsi="宋体" w:cs="宋体"/>
          <w:b/>
          <w:bCs/>
          <w:color w:val="auto"/>
          <w:sz w:val="32"/>
          <w:szCs w:val="32"/>
          <w:highlight w:val="none"/>
        </w:rPr>
      </w:pPr>
      <w:r>
        <w:rPr>
          <w:rFonts w:hint="eastAsia" w:ascii="宋体" w:hAnsi="宋体"/>
          <w:b/>
          <w:color w:val="auto"/>
          <w:sz w:val="32"/>
          <w:szCs w:val="32"/>
          <w:highlight w:val="none"/>
        </w:rPr>
        <w:t>目   录</w:t>
      </w:r>
    </w:p>
    <w:p>
      <w:pPr>
        <w:adjustRightInd w:val="0"/>
        <w:snapToGrid w:val="0"/>
        <w:spacing w:line="360" w:lineRule="auto"/>
        <w:ind w:firstLine="420" w:firstLineChars="200"/>
        <w:rPr>
          <w:rFonts w:ascii="宋体" w:hAnsi="宋体" w:cs="宋体"/>
          <w:color w:val="auto"/>
          <w:szCs w:val="21"/>
          <w:highlight w:val="none"/>
        </w:rPr>
      </w:pP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一、谈判承诺书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三、授权委托书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四、谈判单位资格证明文件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五、设备主要技术参数对比表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六、技术服务方案</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七、承诺函</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八、合理化建议</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九、报价一览表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十、分项价格表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十一、其他资料（如有）</w:t>
      </w:r>
    </w:p>
    <w:p>
      <w:pPr>
        <w:jc w:val="center"/>
        <w:outlineLvl w:val="1"/>
        <w:rPr>
          <w:rFonts w:ascii="宋体" w:hAnsi="宋体"/>
          <w:b/>
          <w:color w:val="auto"/>
          <w:sz w:val="32"/>
          <w:szCs w:val="32"/>
          <w:highlight w:val="none"/>
        </w:rPr>
      </w:pPr>
      <w:r>
        <w:rPr>
          <w:rFonts w:hint="eastAsia" w:ascii="宋体" w:hAnsi="宋体"/>
          <w:color w:val="auto"/>
          <w:sz w:val="24"/>
          <w:highlight w:val="none"/>
        </w:rPr>
        <w:br w:type="page"/>
      </w:r>
      <w:bookmarkStart w:id="190" w:name="_Toc32600"/>
      <w:bookmarkStart w:id="191" w:name="_Toc24865"/>
      <w:bookmarkStart w:id="192" w:name="_Toc7593"/>
      <w:bookmarkStart w:id="193" w:name="_Toc25432"/>
      <w:bookmarkStart w:id="194" w:name="_Toc14530"/>
      <w:bookmarkStart w:id="195" w:name="_Toc32569"/>
      <w:r>
        <w:rPr>
          <w:rFonts w:hint="eastAsia" w:ascii="宋体" w:hAnsi="宋体" w:cs="宋体"/>
          <w:b/>
          <w:color w:val="auto"/>
          <w:sz w:val="32"/>
          <w:szCs w:val="32"/>
          <w:highlight w:val="none"/>
        </w:rPr>
        <w:t>一、谈判承诺书</w:t>
      </w:r>
      <w:bookmarkEnd w:id="190"/>
      <w:bookmarkEnd w:id="191"/>
      <w:bookmarkEnd w:id="192"/>
      <w:bookmarkEnd w:id="193"/>
      <w:bookmarkEnd w:id="194"/>
      <w:bookmarkEnd w:id="195"/>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s="宋体"/>
          <w:color w:val="auto"/>
          <w:szCs w:val="21"/>
          <w:highlight w:val="none"/>
          <w:u w:val="single"/>
        </w:rPr>
        <w:t xml:space="preserve">      (采购单位)      </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的竞争性谈判文件（谈判项目编号：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w:t>
      </w:r>
      <w:r>
        <w:rPr>
          <w:rFonts w:hint="eastAsia" w:hAnsi="宋体"/>
          <w:color w:val="auto"/>
          <w:szCs w:val="21"/>
          <w:highlight w:val="none"/>
        </w:rPr>
        <w:t>知悉参加竞争性谈判的风险，我方承诺接受谈判文件的全部条款且无任何异议。</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一、参与本项目竞争性谈判活动系本公司自愿行为。</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二、我方同意在谈判文件中规定的提交响应文件截止时间起</w:t>
      </w:r>
      <w:r>
        <w:rPr>
          <w:rFonts w:hint="eastAsia" w:hAnsi="宋体"/>
          <w:color w:val="auto"/>
          <w:highlight w:val="none"/>
          <w:u w:val="single"/>
        </w:rPr>
        <w:t>180</w:t>
      </w:r>
      <w:r>
        <w:rPr>
          <w:rFonts w:hint="eastAsia" w:hAnsi="宋体"/>
          <w:color w:val="auto"/>
          <w:highlight w:val="none"/>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bCs/>
          <w:color w:val="auto"/>
          <w:highlight w:val="none"/>
        </w:rPr>
      </w:pPr>
      <w:r>
        <w:rPr>
          <w:rFonts w:hint="eastAsia" w:hAnsi="宋体"/>
          <w:color w:val="auto"/>
          <w:highlight w:val="none"/>
        </w:rPr>
        <w:t>三、我方提交的响应文件均为</w:t>
      </w:r>
      <w:r>
        <w:rPr>
          <w:rFonts w:hint="eastAsia" w:hAnsi="宋体" w:cs="宋体"/>
          <w:b/>
          <w:bCs/>
          <w:color w:val="auto"/>
          <w:highlight w:val="none"/>
        </w:rPr>
        <w:t>正本一份和副本两份</w:t>
      </w:r>
      <w:r>
        <w:rPr>
          <w:rFonts w:hint="eastAsia" w:hAnsi="宋体"/>
          <w:color w:val="auto"/>
          <w:highlight w:val="none"/>
        </w:rPr>
        <w:t>，电子文件（包括响应文件全部内容）一份，并保证响应文件提供的数据和材料是真实、准确的，</w:t>
      </w:r>
      <w:r>
        <w:rPr>
          <w:rFonts w:hint="eastAsia" w:hAnsi="宋体"/>
          <w:b/>
          <w:bCs/>
          <w:color w:val="auto"/>
          <w:highlight w:val="none"/>
        </w:rPr>
        <w:t>均无复制、粘贴之情形，且无低于成本的恶意报价行为</w:t>
      </w:r>
      <w:r>
        <w:rPr>
          <w:rFonts w:hint="eastAsia" w:hAnsi="宋体"/>
          <w:color w:val="auto"/>
          <w:highlight w:val="none"/>
        </w:rPr>
        <w:t>。否则，愿承担由此引起的一切</w:t>
      </w:r>
      <w:r>
        <w:rPr>
          <w:rFonts w:hint="eastAsia" w:hAnsi="宋体"/>
          <w:bCs/>
          <w:color w:val="auto"/>
          <w:highlight w:val="none"/>
        </w:rPr>
        <w:t>法律责任。</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五、保证没有组织、参与围标、串标行为。</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六、</w:t>
      </w:r>
      <w:r>
        <w:rPr>
          <w:rFonts w:hint="eastAsia"/>
          <w:color w:val="auto"/>
          <w:highlight w:val="none"/>
        </w:rPr>
        <w:t>不与采购单位或采购代理机构或谈判评审小组成员私下联络和串通以牟取中选；不以他人名义参与谈判或者以其他方式弄虚作假骗取中选；不在谈判结束后进行虚假、恶意质疑和投诉。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七、我方承诺，若贵方需要，我方愿意提供任何与本次谈判有关的数据、情况和技术资料。保证</w:t>
      </w:r>
      <w:r>
        <w:rPr>
          <w:rFonts w:hint="eastAsia" w:hAnsi="宋体"/>
          <w:bCs/>
          <w:color w:val="auto"/>
          <w:highlight w:val="none"/>
        </w:rPr>
        <w:t>提供的货物均为合格产品，能够提供合格证等相关证明材料。</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九、我方承诺在参与本次竞争性谈判过程中，若出现本文件</w:t>
      </w:r>
      <w:r>
        <w:rPr>
          <w:rFonts w:hint="eastAsia" w:hAnsi="宋体"/>
          <w:b/>
          <w:color w:val="auto"/>
          <w:highlight w:val="none"/>
        </w:rPr>
        <w:t>谈判须知正文</w:t>
      </w:r>
      <w:r>
        <w:rPr>
          <w:rFonts w:hint="eastAsia" w:hAnsi="宋体"/>
          <w:color w:val="auto"/>
          <w:highlight w:val="none"/>
        </w:rPr>
        <w:t>第26条规定之情形，我方无条件接受条款规定作出的处罚。</w:t>
      </w:r>
    </w:p>
    <w:p>
      <w:pPr>
        <w:pStyle w:val="25"/>
        <w:adjustRightInd w:val="0"/>
        <w:snapToGrid w:val="0"/>
        <w:spacing w:line="360" w:lineRule="auto"/>
        <w:ind w:firstLine="420" w:firstLineChars="200"/>
        <w:rPr>
          <w:rFonts w:hAnsi="宋体"/>
          <w:color w:val="auto"/>
          <w:highlight w:val="none"/>
        </w:rPr>
      </w:pPr>
      <w:r>
        <w:rPr>
          <w:rFonts w:hint="eastAsia" w:hAnsi="宋体"/>
          <w:color w:val="auto"/>
          <w:highlight w:val="none"/>
        </w:rPr>
        <w:t>十、我方承诺完全响应本文件第四章“用户需求书”及第五章“合同格式条款”内的全部内容。</w:t>
      </w:r>
    </w:p>
    <w:p>
      <w:pPr>
        <w:ind w:firstLine="420" w:firstLineChars="200"/>
        <w:rPr>
          <w:rFonts w:ascii="宋体" w:hAnsi="宋体"/>
          <w:color w:val="auto"/>
          <w:szCs w:val="21"/>
          <w:highlight w:val="none"/>
        </w:rPr>
      </w:pPr>
      <w:r>
        <w:rPr>
          <w:rFonts w:hint="eastAsia" w:ascii="宋体" w:hAnsi="宋体"/>
          <w:color w:val="auto"/>
          <w:szCs w:val="21"/>
          <w:highlight w:val="none"/>
        </w:rPr>
        <w:t>十一、如有违反本承诺书内容的行为，愿意承担由此产生的法律责任及后果。</w:t>
      </w:r>
    </w:p>
    <w:p>
      <w:pPr>
        <w:adjustRightInd w:val="0"/>
        <w:snapToGrid w:val="0"/>
        <w:spacing w:line="360" w:lineRule="auto"/>
        <w:ind w:right="24"/>
        <w:rPr>
          <w:rFonts w:ascii="宋体" w:hAnsi="宋体"/>
          <w:bCs/>
          <w:color w:val="auto"/>
          <w:szCs w:val="21"/>
          <w:highlight w:val="none"/>
        </w:rPr>
      </w:pPr>
    </w:p>
    <w:p>
      <w:pPr>
        <w:pStyle w:val="2"/>
        <w:keepNext w:val="0"/>
        <w:keepLines w:val="0"/>
        <w:rPr>
          <w:color w:val="auto"/>
          <w:highlight w:val="none"/>
        </w:rPr>
      </w:pPr>
    </w:p>
    <w:p>
      <w:pPr>
        <w:spacing w:line="360" w:lineRule="auto"/>
        <w:rPr>
          <w:rFonts w:ascii="宋体" w:hAnsi="宋体"/>
          <w:color w:val="auto"/>
          <w:szCs w:val="21"/>
          <w:highlight w:val="none"/>
          <w:u w:val="single"/>
        </w:rPr>
      </w:pPr>
      <w:r>
        <w:rPr>
          <w:rFonts w:hint="eastAsia" w:ascii="宋体" w:hAnsi="宋体"/>
          <w:color w:val="auto"/>
          <w:szCs w:val="21"/>
          <w:highlight w:val="none"/>
        </w:rPr>
        <w:t>谈判单位名称：</w:t>
      </w:r>
      <w:r>
        <w:rPr>
          <w:rFonts w:hint="eastAsia" w:ascii="宋体" w:hAnsi="宋体"/>
          <w:color w:val="auto"/>
          <w:szCs w:val="21"/>
          <w:highlight w:val="none"/>
          <w:u w:val="single"/>
        </w:rPr>
        <w:t xml:space="preserve">    （盖单位章）    </w:t>
      </w:r>
    </w:p>
    <w:p>
      <w:pPr>
        <w:spacing w:line="360" w:lineRule="auto"/>
        <w:rPr>
          <w:rFonts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pPr>
        <w:spacing w:line="360" w:lineRule="auto"/>
        <w:rPr>
          <w:rFonts w:ascii="宋体" w:hAnsi="宋体"/>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bCs/>
          <w:color w:val="auto"/>
          <w:szCs w:val="21"/>
          <w:highlight w:val="none"/>
        </w:rPr>
        <w:br w:type="page"/>
      </w:r>
    </w:p>
    <w:p>
      <w:pPr>
        <w:adjustRightInd w:val="0"/>
        <w:snapToGrid w:val="0"/>
        <w:spacing w:line="360" w:lineRule="auto"/>
        <w:ind w:right="23"/>
        <w:jc w:val="center"/>
        <w:outlineLvl w:val="1"/>
        <w:rPr>
          <w:rFonts w:ascii="宋体" w:hAnsi="宋体" w:cs="宋体"/>
          <w:b/>
          <w:color w:val="auto"/>
          <w:sz w:val="32"/>
          <w:szCs w:val="32"/>
          <w:highlight w:val="none"/>
        </w:rPr>
      </w:pPr>
      <w:bookmarkStart w:id="196" w:name="_Toc15824"/>
      <w:bookmarkStart w:id="197" w:name="_Toc3623"/>
      <w:bookmarkStart w:id="198" w:name="_Toc3026"/>
      <w:bookmarkStart w:id="199" w:name="_Toc24714"/>
      <w:bookmarkStart w:id="200" w:name="_Toc31277"/>
      <w:bookmarkStart w:id="201" w:name="_Toc1313"/>
      <w:r>
        <w:rPr>
          <w:rFonts w:hint="eastAsia" w:ascii="宋体" w:hAnsi="宋体" w:cs="宋体"/>
          <w:b/>
          <w:color w:val="auto"/>
          <w:sz w:val="32"/>
          <w:szCs w:val="32"/>
          <w:highlight w:val="none"/>
        </w:rPr>
        <w:t>二、法定代表人身份证明书</w:t>
      </w:r>
      <w:bookmarkEnd w:id="196"/>
      <w:bookmarkEnd w:id="197"/>
      <w:bookmarkEnd w:id="198"/>
      <w:bookmarkEnd w:id="199"/>
      <w:bookmarkEnd w:id="200"/>
      <w:bookmarkEnd w:id="201"/>
    </w:p>
    <w:p>
      <w:pPr>
        <w:snapToGrid w:val="0"/>
        <w:spacing w:line="480" w:lineRule="auto"/>
        <w:rPr>
          <w:rFonts w:ascii="宋体" w:hAnsi="宋体"/>
          <w:color w:val="auto"/>
          <w:szCs w:val="21"/>
          <w:highlight w:val="none"/>
        </w:rPr>
      </w:pP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2820670</wp:posOffset>
                </wp:positionH>
                <wp:positionV relativeFrom="paragraph">
                  <wp:posOffset>146050</wp:posOffset>
                </wp:positionV>
                <wp:extent cx="2355850" cy="1221105"/>
                <wp:effectExtent l="4445" t="4445" r="17145" b="889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22.1pt;margin-top:11.5pt;height:96.15pt;width:185.5pt;z-index:251666432;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TP4t8Qw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kv1ol1wAAAAoBAAAPAAAAAAAAAAEAIAAAACIA&#10;AABkcnMvZG93bnJldi54bWxQSwECFAAUAAAACACHTuJAUz+LfEMCAACUBAAADgAAAAAAAAABACAA&#10;AAAm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5408" behindDoc="1" locked="0" layoutInCell="1" allowOverlap="1">
                <wp:simplePos x="0" y="0"/>
                <wp:positionH relativeFrom="column">
                  <wp:posOffset>-111760</wp:posOffset>
                </wp:positionH>
                <wp:positionV relativeFrom="paragraph">
                  <wp:posOffset>146050</wp:posOffset>
                </wp:positionV>
                <wp:extent cx="2355850" cy="1221105"/>
                <wp:effectExtent l="4445" t="4445" r="17145" b="8890"/>
                <wp:wrapNone/>
                <wp:docPr id="8"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8.8pt;margin-top:11.5pt;height:96.15pt;width:185.5pt;z-index:-251651072;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H43TbZAAAACgEAAA8AAAAAAAAAAQAgAAAA&#10;IgAAAGRycy9kb3ducmV2LnhtbFBLAQIUABQAAAAIAIdO4kDrMZ2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34290</wp:posOffset>
                </wp:positionV>
                <wp:extent cx="2355850" cy="1221105"/>
                <wp:effectExtent l="4445" t="4445" r="17145" b="8890"/>
                <wp:wrapNone/>
                <wp:docPr id="1"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9pt;margin-top:2.7pt;height:96.15pt;width:185.5pt;z-index:251670528;mso-width-relative:page;mso-height-relative:page;" fillcolor="#FFFFFF" filled="t" stroked="t" coordsize="21600,21600" o:gfxdata="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WiScLYAAAACQEAAA8AAAAAAAAAAQAgAAAA&#10;IgAAAGRycy9kb3ducmV2LnhtbFBLAQIUABQAAAAIAIdO4kBARbsV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备注：上述证件复印件可另附页，另附页时，证件复印件均须加盖单位公章。</w:t>
      </w:r>
    </w:p>
    <w:p>
      <w:pPr>
        <w:snapToGrid w:val="0"/>
        <w:rPr>
          <w:rFonts w:ascii="宋体" w:hAnsi="宋体"/>
          <w:color w:val="auto"/>
          <w:szCs w:val="21"/>
          <w:highlight w:val="none"/>
        </w:rPr>
      </w:pPr>
    </w:p>
    <w:p>
      <w:pPr>
        <w:snapToGrid w:val="0"/>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谈判单位名称（盖单位章）：</w:t>
      </w:r>
      <w:r>
        <w:rPr>
          <w:rFonts w:hint="eastAsia" w:ascii="宋体" w:hAnsi="宋体"/>
          <w:color w:val="auto"/>
          <w:highlight w:val="none"/>
          <w:u w:val="single"/>
        </w:rPr>
        <w:t xml:space="preserve">    （盖单位章）    </w:t>
      </w:r>
    </w:p>
    <w:p>
      <w:pPr>
        <w:spacing w:line="360" w:lineRule="auto"/>
        <w:rPr>
          <w:rFonts w:ascii="宋体" w:hAnsi="宋体"/>
          <w:color w:val="auto"/>
          <w:highlight w:val="none"/>
        </w:rPr>
      </w:pPr>
      <w:r>
        <w:rPr>
          <w:rFonts w:hint="eastAsia" w:ascii="宋体" w:hAnsi="宋体"/>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r>
        <w:rPr>
          <w:rFonts w:ascii="宋体" w:hAnsi="宋体"/>
          <w:bCs/>
          <w:color w:val="auto"/>
          <w:sz w:val="24"/>
          <w:highlight w:val="none"/>
        </w:rPr>
        <w:br w:type="page"/>
      </w:r>
      <w:bookmarkStart w:id="202" w:name="_Toc761"/>
      <w:bookmarkStart w:id="203" w:name="_Toc14170"/>
      <w:bookmarkStart w:id="204" w:name="_Toc8518"/>
      <w:bookmarkStart w:id="205" w:name="_Toc21066"/>
      <w:bookmarkStart w:id="206" w:name="_Toc22909"/>
      <w:bookmarkStart w:id="207" w:name="_Toc28842"/>
      <w:r>
        <w:rPr>
          <w:rFonts w:hint="eastAsia" w:ascii="宋体" w:hAnsi="宋体" w:cs="宋体"/>
          <w:b/>
          <w:color w:val="auto"/>
          <w:sz w:val="32"/>
          <w:szCs w:val="32"/>
          <w:highlight w:val="none"/>
        </w:rPr>
        <w:t>三、授权委托书</w:t>
      </w:r>
      <w:bookmarkEnd w:id="202"/>
      <w:bookmarkEnd w:id="203"/>
      <w:bookmarkEnd w:id="204"/>
      <w:bookmarkEnd w:id="205"/>
      <w:bookmarkEnd w:id="206"/>
      <w:bookmarkEnd w:id="207"/>
    </w:p>
    <w:p>
      <w:pPr>
        <w:adjustRightInd w:val="0"/>
        <w:snapToGrid w:val="0"/>
        <w:spacing w:line="360" w:lineRule="auto"/>
        <w:jc w:val="center"/>
        <w:rPr>
          <w:rFonts w:ascii="宋体" w:hAnsi="宋体"/>
          <w:b/>
          <w:color w:val="auto"/>
          <w:sz w:val="28"/>
          <w:szCs w:val="28"/>
          <w:highlight w:val="none"/>
        </w:rPr>
      </w:pPr>
    </w:p>
    <w:p>
      <w:pPr>
        <w:autoSpaceDE w:val="0"/>
        <w:autoSpaceDN w:val="0"/>
        <w:adjustRightInd w:val="0"/>
        <w:snapToGrid w:val="0"/>
        <w:spacing w:before="120" w:before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的法定代表人，现授权</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为我方代理人。代理人根据授权，以我方名义签署、澄清、补正、修改、撤回、提交</w:t>
      </w:r>
      <w:r>
        <w:rPr>
          <w:rFonts w:hint="eastAsia" w:ascii="宋体" w:hAnsi="宋体" w:cs="宋体"/>
          <w:color w:val="auto"/>
          <w:kern w:val="0"/>
          <w:szCs w:val="21"/>
          <w:highlight w:val="none"/>
          <w:u w:val="single"/>
        </w:rPr>
        <w:t>（项目名称、</w:t>
      </w:r>
      <w:r>
        <w:rPr>
          <w:rFonts w:hint="eastAsia" w:ascii="宋体" w:hAnsi="宋体"/>
          <w:color w:val="auto"/>
          <w:szCs w:val="21"/>
          <w:highlight w:val="none"/>
          <w:u w:val="single"/>
        </w:rPr>
        <w:t>项目</w:t>
      </w:r>
      <w:r>
        <w:rPr>
          <w:rFonts w:hint="eastAsia" w:ascii="宋体" w:hAnsi="宋体" w:cs="宋体"/>
          <w:color w:val="auto"/>
          <w:kern w:val="0"/>
          <w:szCs w:val="21"/>
          <w:highlight w:val="none"/>
          <w:u w:val="single"/>
        </w:rPr>
        <w:t>编号）</w:t>
      </w:r>
      <w:r>
        <w:rPr>
          <w:rFonts w:hint="eastAsia" w:ascii="宋体" w:hAnsi="宋体" w:cs="宋体"/>
          <w:color w:val="auto"/>
          <w:kern w:val="0"/>
          <w:szCs w:val="21"/>
          <w:highlight w:val="none"/>
        </w:rPr>
        <w:t>响应文件及与本谈判项目的有关事宜，其法律后果由我方承担。</w:t>
      </w:r>
    </w:p>
    <w:p>
      <w:pPr>
        <w:spacing w:line="360" w:lineRule="auto"/>
        <w:ind w:firstLine="420" w:firstLineChars="200"/>
        <w:rPr>
          <w:rFonts w:ascii="宋体" w:hAnsi="宋体" w:cs="宋体"/>
          <w:color w:val="auto"/>
          <w:kern w:val="0"/>
          <w:szCs w:val="21"/>
          <w:highlight w:val="none"/>
        </w:rPr>
      </w:pPr>
    </w:p>
    <w:p>
      <w:pPr>
        <w:pStyle w:val="12"/>
        <w:spacing w:line="360" w:lineRule="auto"/>
        <w:ind w:left="0" w:leftChars="0" w:firstLine="420" w:firstLineChars="200"/>
        <w:rPr>
          <w:color w:val="auto"/>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ind w:firstLine="420" w:firstLineChars="200"/>
        <w:rPr>
          <w:rFonts w:ascii="宋体" w:hAnsi="宋体" w:cs="宋体"/>
          <w:color w:val="auto"/>
          <w:kern w:val="0"/>
          <w:szCs w:val="21"/>
          <w:highlight w:val="none"/>
        </w:rPr>
      </w:pPr>
    </w:p>
    <w:p>
      <w:pPr>
        <w:pStyle w:val="46"/>
        <w:spacing w:after="0" w:line="360" w:lineRule="auto"/>
        <w:ind w:left="0" w:leftChars="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ind w:firstLine="435"/>
        <w:rPr>
          <w:rFonts w:ascii="宋体" w:hAnsi="宋体"/>
          <w:color w:val="auto"/>
          <w:szCs w:val="21"/>
          <w:highlight w:val="none"/>
        </w:rPr>
      </w:pPr>
    </w:p>
    <w:p>
      <w:pPr>
        <w:adjustRightInd w:val="0"/>
        <w:snapToGrid w:val="0"/>
        <w:spacing w:before="120" w:beforeLines="50" w:line="360" w:lineRule="auto"/>
        <w:ind w:firstLine="420" w:firstLineChars="200"/>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7456" behindDoc="1" locked="0" layoutInCell="1" allowOverlap="1">
                <wp:simplePos x="0" y="0"/>
                <wp:positionH relativeFrom="column">
                  <wp:posOffset>-114300</wp:posOffset>
                </wp:positionH>
                <wp:positionV relativeFrom="paragraph">
                  <wp:posOffset>18415</wp:posOffset>
                </wp:positionV>
                <wp:extent cx="1410970" cy="1299845"/>
                <wp:effectExtent l="4445" t="4445" r="17145" b="635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49024;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9504" behindDoc="1" locked="0" layoutInCell="1" allowOverlap="1">
                <wp:simplePos x="0" y="0"/>
                <wp:positionH relativeFrom="column">
                  <wp:posOffset>3455670</wp:posOffset>
                </wp:positionH>
                <wp:positionV relativeFrom="paragraph">
                  <wp:posOffset>3810</wp:posOffset>
                </wp:positionV>
                <wp:extent cx="1555750" cy="1271270"/>
                <wp:effectExtent l="4445" t="5080" r="952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6976;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8480"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48000;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 xml:space="preserve">备注：上述证件复印件可另附页，另附页时，证件复印件均须加盖单位公章。 </w: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谈判单位名称（盖单位章）：</w:t>
      </w:r>
      <w:r>
        <w:rPr>
          <w:rFonts w:hint="eastAsia" w:ascii="宋体" w:hAnsi="宋体"/>
          <w:color w:val="auto"/>
          <w:highlight w:val="none"/>
          <w:u w:val="single"/>
        </w:rPr>
        <w:t xml:space="preserve">    （盖单位章）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法定代表人（亲笔签字）：</w:t>
      </w:r>
      <w:r>
        <w:rPr>
          <w:rFonts w:hint="eastAsia" w:ascii="宋体" w:hAnsi="宋体"/>
          <w:color w:val="auto"/>
          <w:szCs w:val="21"/>
          <w:highlight w:val="none"/>
          <w:u w:val="single"/>
        </w:rPr>
        <w:t xml:space="preserve">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委托代理人（亲笔签字）：</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sectPr>
          <w:pgSz w:w="11905" w:h="16838"/>
          <w:pgMar w:top="2098" w:right="1474" w:bottom="1984" w:left="1587" w:header="851" w:footer="850" w:gutter="0"/>
          <w:cols w:space="0" w:num="1"/>
          <w:docGrid w:linePitch="312" w:charSpace="0"/>
        </w:sectPr>
      </w:pPr>
      <w:r>
        <w:rPr>
          <w:rFonts w:hint="eastAsia" w:ascii="宋体" w:hAnsi="宋体"/>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3"/>
        <w:jc w:val="center"/>
        <w:outlineLvl w:val="1"/>
        <w:rPr>
          <w:rFonts w:ascii="宋体" w:hAnsi="宋体" w:cs="宋体"/>
          <w:b/>
          <w:color w:val="auto"/>
          <w:sz w:val="32"/>
          <w:szCs w:val="32"/>
          <w:highlight w:val="none"/>
        </w:rPr>
      </w:pPr>
      <w:bookmarkStart w:id="208" w:name="_Toc20830"/>
      <w:bookmarkStart w:id="209" w:name="_Toc18944"/>
      <w:bookmarkStart w:id="210" w:name="_Toc11357"/>
      <w:bookmarkStart w:id="211" w:name="_Toc19933"/>
      <w:bookmarkStart w:id="212" w:name="_Toc424"/>
      <w:bookmarkStart w:id="213" w:name="_Toc2295"/>
      <w:r>
        <w:rPr>
          <w:rFonts w:hint="eastAsia" w:ascii="宋体" w:hAnsi="宋体" w:cs="宋体"/>
          <w:b/>
          <w:color w:val="auto"/>
          <w:sz w:val="32"/>
          <w:szCs w:val="32"/>
          <w:highlight w:val="none"/>
        </w:rPr>
        <w:t>四、谈判单位资格证明文件</w:t>
      </w:r>
      <w:bookmarkEnd w:id="208"/>
      <w:bookmarkEnd w:id="209"/>
      <w:bookmarkEnd w:id="210"/>
      <w:bookmarkEnd w:id="211"/>
      <w:bookmarkEnd w:id="212"/>
      <w:bookmarkEnd w:id="213"/>
    </w:p>
    <w:p>
      <w:pPr>
        <w:adjustRightInd w:val="0"/>
        <w:snapToGrid w:val="0"/>
        <w:spacing w:line="360" w:lineRule="auto"/>
        <w:rPr>
          <w:rFonts w:ascii="仿宋" w:hAnsi="仿宋" w:eastAsia="仿宋"/>
          <w:bCs/>
          <w:color w:val="auto"/>
          <w:szCs w:val="21"/>
          <w:highlight w:val="none"/>
        </w:rPr>
      </w:pP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w:t>
      </w:r>
      <w:r>
        <w:rPr>
          <w:rFonts w:hint="eastAsia" w:ascii="宋体" w:hAnsi="宋体"/>
          <w:b/>
          <w:color w:val="auto"/>
          <w:szCs w:val="21"/>
          <w:highlight w:val="none"/>
        </w:rPr>
        <w:t>扫描件打印版</w:t>
      </w:r>
      <w:r>
        <w:rPr>
          <w:rFonts w:hint="eastAsia" w:ascii="宋体" w:hAnsi="宋体"/>
          <w:bCs/>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1、谈判单位须为具有独立法人资格、自主经营、独立核算的公司/单位，须提供加盖谈判单位公章的营业执照/事业单位法人证书复印件。</w:t>
      </w:r>
    </w:p>
    <w:p>
      <w:pPr>
        <w:pStyle w:val="1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2、谈判单位须具有一项入围业绩，入围业绩是指在本项目谈判截止之日前36个月内须具有1个高铁或铁路或城际铁路或地铁或轻轨等轨道维修类设备供货业绩（合同范围至少包含本次需求清单中的1项类似物资）。不接受联合体业绩、港澳台或境外业绩。</w:t>
      </w:r>
    </w:p>
    <w:p>
      <w:pPr>
        <w:pStyle w:val="1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业绩证明材料以同时提供的合同原件扫描件和可查验的增值税发票（开票金额不少于合同金额的10%）原件扫描件为准（均须加盖谈判单位公章），时间以合同中甲方签订时间为准。</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3、谈判单位认为与本项目资格条件有关的其它证明文件（如有，格式自拟）。</w:t>
      </w:r>
    </w:p>
    <w:p>
      <w:pPr>
        <w:pStyle w:val="12"/>
        <w:rPr>
          <w:color w:val="auto"/>
          <w:highlight w:val="none"/>
        </w:rPr>
      </w:pP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备注：</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1.上述证明文件扫描件</w:t>
      </w:r>
      <w:r>
        <w:rPr>
          <w:rFonts w:hint="eastAsia" w:ascii="宋体" w:hAnsi="宋体"/>
          <w:b/>
          <w:color w:val="auto"/>
          <w:szCs w:val="21"/>
          <w:highlight w:val="none"/>
        </w:rPr>
        <w:t>打印版</w:t>
      </w:r>
      <w:r>
        <w:rPr>
          <w:rFonts w:hint="eastAsia" w:ascii="宋体" w:hAnsi="宋体"/>
          <w:b/>
          <w:bCs/>
          <w:color w:val="auto"/>
          <w:szCs w:val="21"/>
          <w:highlight w:val="none"/>
        </w:rPr>
        <w:t>均须加盖谈判单位公章。</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2.上述证明文件如须递交原件的，应用文件袋单独包装，在响应文件递交的同时一并提交。</w:t>
      </w:r>
    </w:p>
    <w:p>
      <w:pPr>
        <w:pStyle w:val="46"/>
        <w:rPr>
          <w:color w:val="auto"/>
          <w:highlight w:val="none"/>
        </w:rPr>
      </w:pPr>
    </w:p>
    <w:p>
      <w:pPr>
        <w:pStyle w:val="12"/>
        <w:rPr>
          <w:color w:val="auto"/>
          <w:highlight w:val="none"/>
        </w:rPr>
        <w:sectPr>
          <w:pgSz w:w="11906" w:h="16838"/>
          <w:pgMar w:top="2098" w:right="1474" w:bottom="1984" w:left="1587" w:header="851" w:footer="992" w:gutter="0"/>
          <w:cols w:space="0" w:num="1"/>
          <w:docGrid w:type="lines" w:linePitch="319" w:charSpace="0"/>
        </w:sectPr>
      </w:pPr>
    </w:p>
    <w:p>
      <w:pPr>
        <w:spacing w:line="360" w:lineRule="auto"/>
        <w:jc w:val="center"/>
        <w:rPr>
          <w:rFonts w:ascii="黑体" w:hAnsi="宋体" w:eastAsia="黑体"/>
          <w:bCs/>
          <w:color w:val="auto"/>
          <w:sz w:val="32"/>
          <w:szCs w:val="32"/>
          <w:highlight w:val="none"/>
        </w:rPr>
      </w:pPr>
      <w:r>
        <w:rPr>
          <w:rFonts w:hint="eastAsia" w:ascii="黑体" w:hAnsi="宋体" w:eastAsia="黑体"/>
          <w:bCs/>
          <w:color w:val="auto"/>
          <w:sz w:val="32"/>
          <w:szCs w:val="32"/>
          <w:highlight w:val="none"/>
        </w:rPr>
        <w:t>业绩合同扫描件</w:t>
      </w:r>
    </w:p>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tbl>
      <w:tblPr>
        <w:tblStyle w:val="47"/>
        <w:tblW w:w="91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30"/>
        <w:gridCol w:w="1642"/>
        <w:gridCol w:w="1509"/>
        <w:gridCol w:w="1638"/>
        <w:gridCol w:w="1812"/>
        <w:gridCol w:w="9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63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项目名称</w:t>
            </w:r>
          </w:p>
        </w:tc>
        <w:tc>
          <w:tcPr>
            <w:tcW w:w="1642"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采购人名称</w:t>
            </w:r>
          </w:p>
        </w:tc>
        <w:tc>
          <w:tcPr>
            <w:tcW w:w="1509"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供货期</w:t>
            </w:r>
          </w:p>
        </w:tc>
        <w:tc>
          <w:tcPr>
            <w:tcW w:w="1638"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合同签订时间</w:t>
            </w:r>
          </w:p>
        </w:tc>
        <w:tc>
          <w:tcPr>
            <w:tcW w:w="1812"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甲方单位</w:t>
            </w:r>
          </w:p>
          <w:p>
            <w:pPr>
              <w:jc w:val="center"/>
              <w:rPr>
                <w:rFonts w:hAnsi="宋体" w:cs="宋体"/>
                <w:b/>
                <w:bCs/>
                <w:color w:val="auto"/>
                <w:szCs w:val="21"/>
                <w:highlight w:val="none"/>
              </w:rPr>
            </w:pPr>
            <w:r>
              <w:rPr>
                <w:rFonts w:hint="eastAsia" w:hAnsi="宋体" w:cs="宋体"/>
                <w:b/>
                <w:bCs/>
                <w:color w:val="auto"/>
                <w:szCs w:val="21"/>
                <w:highlight w:val="none"/>
              </w:rPr>
              <w:t>及联系方式</w:t>
            </w:r>
          </w:p>
        </w:tc>
        <w:tc>
          <w:tcPr>
            <w:tcW w:w="937"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63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642"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509"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638"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12"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937"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63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642"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509"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638"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12"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937"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r>
    </w:tbl>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rPr>
          <w:color w:val="auto"/>
          <w:highlight w:val="none"/>
        </w:rPr>
      </w:pPr>
      <w:r>
        <w:rPr>
          <w:rStyle w:val="56"/>
          <w:color w:val="auto"/>
          <w:highlight w:val="none"/>
          <w:u w:val="none"/>
          <w:shd w:val="clear" w:color="auto" w:fill="FFFFFF"/>
        </w:rPr>
        <w:t>业绩</w:t>
      </w:r>
      <w:r>
        <w:rPr>
          <w:rStyle w:val="56"/>
          <w:rFonts w:hint="eastAsia"/>
          <w:color w:val="auto"/>
          <w:highlight w:val="none"/>
          <w:u w:val="none"/>
          <w:shd w:val="clear" w:color="auto" w:fill="FFFFFF"/>
        </w:rPr>
        <w:t>合同</w:t>
      </w:r>
      <w:r>
        <w:rPr>
          <w:rStyle w:val="56"/>
          <w:color w:val="auto"/>
          <w:highlight w:val="none"/>
          <w:u w:val="none"/>
          <w:shd w:val="clear" w:color="auto" w:fill="FFFFFF"/>
        </w:rPr>
        <w:t>证明材料</w:t>
      </w:r>
      <w:r>
        <w:rPr>
          <w:rStyle w:val="56"/>
          <w:rFonts w:hint="eastAsia"/>
          <w:color w:val="auto"/>
          <w:highlight w:val="none"/>
          <w:u w:val="none"/>
          <w:shd w:val="clear" w:color="auto" w:fill="FFFFFF"/>
        </w:rPr>
        <w:t>须为</w:t>
      </w:r>
      <w:r>
        <w:rPr>
          <w:rStyle w:val="56"/>
          <w:color w:val="auto"/>
          <w:highlight w:val="none"/>
          <w:u w:val="none"/>
          <w:shd w:val="clear" w:color="auto" w:fill="FFFFFF"/>
        </w:rPr>
        <w:t>合同</w:t>
      </w:r>
      <w:r>
        <w:rPr>
          <w:rStyle w:val="56"/>
          <w:rFonts w:hint="eastAsia"/>
          <w:color w:val="auto"/>
          <w:highlight w:val="none"/>
          <w:u w:val="none"/>
          <w:shd w:val="clear" w:color="auto" w:fill="FFFFFF"/>
        </w:rPr>
        <w:t>原件扫描件打印版，并按顺序附后。</w:t>
      </w:r>
    </w:p>
    <w:p>
      <w:pPr>
        <w:pStyle w:val="46"/>
        <w:ind w:left="0" w:leftChars="0" w:firstLine="0"/>
        <w:rPr>
          <w:color w:val="auto"/>
          <w:highlight w:val="none"/>
        </w:rPr>
      </w:pPr>
    </w:p>
    <w:p>
      <w:pPr>
        <w:pStyle w:val="46"/>
        <w:ind w:left="0" w:leftChars="0" w:firstLine="0"/>
        <w:rPr>
          <w:color w:val="auto"/>
          <w:highlight w:val="none"/>
        </w:rPr>
      </w:pPr>
    </w:p>
    <w:p>
      <w:pPr>
        <w:pStyle w:val="46"/>
        <w:ind w:left="0" w:leftChars="0" w:firstLine="0"/>
        <w:rPr>
          <w:color w:val="auto"/>
          <w:highlight w:val="none"/>
        </w:rPr>
      </w:pPr>
    </w:p>
    <w:p>
      <w:pPr>
        <w:pStyle w:val="12"/>
        <w:rPr>
          <w:rFonts w:ascii="宋体" w:hAnsi="宋体" w:cs="宋体"/>
          <w:color w:val="auto"/>
          <w:highlight w:val="none"/>
        </w:rPr>
        <w:sectPr>
          <w:pgSz w:w="11906" w:h="16838"/>
          <w:pgMar w:top="2098" w:right="1474" w:bottom="1984" w:left="1531" w:header="851" w:footer="850" w:gutter="0"/>
          <w:cols w:space="0" w:num="1"/>
        </w:sectPr>
      </w:pPr>
    </w:p>
    <w:p>
      <w:pPr>
        <w:adjustRightInd w:val="0"/>
        <w:snapToGrid w:val="0"/>
        <w:spacing w:line="360" w:lineRule="auto"/>
        <w:ind w:right="23"/>
        <w:jc w:val="center"/>
        <w:outlineLvl w:val="1"/>
        <w:rPr>
          <w:rFonts w:ascii="宋体" w:hAnsi="宋体" w:cs="宋体"/>
          <w:b/>
          <w:color w:val="auto"/>
          <w:sz w:val="32"/>
          <w:szCs w:val="32"/>
          <w:highlight w:val="none"/>
        </w:rPr>
      </w:pPr>
      <w:bookmarkStart w:id="214" w:name="_Toc25152"/>
      <w:bookmarkStart w:id="215" w:name="_Toc5387"/>
      <w:bookmarkStart w:id="216" w:name="_Toc25553"/>
      <w:bookmarkStart w:id="217" w:name="_Toc27128"/>
      <w:bookmarkStart w:id="218" w:name="_Toc12228"/>
      <w:bookmarkStart w:id="219" w:name="_Toc15835"/>
      <w:r>
        <w:rPr>
          <w:rFonts w:hint="eastAsia" w:ascii="宋体" w:hAnsi="宋体" w:cs="宋体"/>
          <w:b/>
          <w:color w:val="auto"/>
          <w:sz w:val="32"/>
          <w:szCs w:val="32"/>
          <w:highlight w:val="none"/>
        </w:rPr>
        <w:t>五、设备主要技术参数对比表</w:t>
      </w:r>
      <w:bookmarkEnd w:id="214"/>
    </w:p>
    <w:tbl>
      <w:tblPr>
        <w:tblStyle w:val="48"/>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258"/>
        <w:gridCol w:w="2725"/>
        <w:gridCol w:w="2625"/>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65"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258"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用户需求书标题号</w:t>
            </w:r>
          </w:p>
        </w:tc>
        <w:tc>
          <w:tcPr>
            <w:tcW w:w="2725"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用户需求书原文</w:t>
            </w:r>
          </w:p>
        </w:tc>
        <w:tc>
          <w:tcPr>
            <w:tcW w:w="2625"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优于项描述</w:t>
            </w:r>
          </w:p>
        </w:tc>
        <w:tc>
          <w:tcPr>
            <w:tcW w:w="2038"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佐证材料名称</w:t>
            </w:r>
          </w:p>
          <w:p>
            <w:pPr>
              <w:jc w:val="center"/>
              <w:rPr>
                <w:color w:val="auto"/>
                <w:highlight w:val="none"/>
              </w:rPr>
            </w:pPr>
            <w:r>
              <w:rPr>
                <w:rFonts w:hint="eastAsia" w:ascii="宋体" w:hAnsi="宋体" w:cs="宋体"/>
                <w:b/>
                <w:color w:val="auto"/>
                <w:szCs w:val="21"/>
                <w:highlight w:val="none"/>
              </w:rPr>
              <w:t>（具体材料可另附）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5"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258" w:type="dxa"/>
            <w:vAlign w:val="center"/>
          </w:tcPr>
          <w:p>
            <w:pPr>
              <w:jc w:val="center"/>
              <w:rPr>
                <w:rFonts w:ascii="宋体" w:hAnsi="宋体" w:cs="宋体"/>
                <w:b/>
                <w:color w:val="auto"/>
                <w:sz w:val="32"/>
                <w:szCs w:val="32"/>
                <w:highlight w:val="none"/>
              </w:rPr>
            </w:pPr>
          </w:p>
        </w:tc>
        <w:tc>
          <w:tcPr>
            <w:tcW w:w="2725" w:type="dxa"/>
            <w:vAlign w:val="center"/>
          </w:tcPr>
          <w:p>
            <w:pPr>
              <w:jc w:val="center"/>
              <w:rPr>
                <w:rFonts w:ascii="宋体" w:hAnsi="宋体" w:cs="宋体"/>
                <w:b/>
                <w:color w:val="auto"/>
                <w:sz w:val="32"/>
                <w:szCs w:val="32"/>
                <w:highlight w:val="none"/>
              </w:rPr>
            </w:pPr>
          </w:p>
        </w:tc>
        <w:tc>
          <w:tcPr>
            <w:tcW w:w="2625" w:type="dxa"/>
            <w:vAlign w:val="center"/>
          </w:tcPr>
          <w:p>
            <w:pPr>
              <w:jc w:val="center"/>
              <w:rPr>
                <w:rFonts w:ascii="宋体" w:hAnsi="宋体" w:cs="宋体"/>
                <w:b/>
                <w:color w:val="auto"/>
                <w:sz w:val="32"/>
                <w:szCs w:val="32"/>
                <w:highlight w:val="none"/>
              </w:rPr>
            </w:pPr>
          </w:p>
        </w:tc>
        <w:tc>
          <w:tcPr>
            <w:tcW w:w="2038" w:type="dxa"/>
            <w:vAlign w:val="center"/>
          </w:tcPr>
          <w:p>
            <w:pPr>
              <w:jc w:val="center"/>
              <w:rPr>
                <w:rFonts w:ascii="宋体" w:hAnsi="宋体" w:cs="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65"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258" w:type="dxa"/>
            <w:vAlign w:val="center"/>
          </w:tcPr>
          <w:p>
            <w:pPr>
              <w:jc w:val="center"/>
              <w:rPr>
                <w:rFonts w:ascii="宋体" w:hAnsi="宋体" w:cs="宋体"/>
                <w:b/>
                <w:color w:val="auto"/>
                <w:sz w:val="32"/>
                <w:szCs w:val="32"/>
                <w:highlight w:val="none"/>
              </w:rPr>
            </w:pPr>
          </w:p>
        </w:tc>
        <w:tc>
          <w:tcPr>
            <w:tcW w:w="2725" w:type="dxa"/>
            <w:vAlign w:val="center"/>
          </w:tcPr>
          <w:p>
            <w:pPr>
              <w:jc w:val="center"/>
              <w:rPr>
                <w:rFonts w:ascii="宋体" w:hAnsi="宋体" w:cs="宋体"/>
                <w:b/>
                <w:color w:val="auto"/>
                <w:sz w:val="32"/>
                <w:szCs w:val="32"/>
                <w:highlight w:val="none"/>
              </w:rPr>
            </w:pPr>
          </w:p>
        </w:tc>
        <w:tc>
          <w:tcPr>
            <w:tcW w:w="2625" w:type="dxa"/>
            <w:vAlign w:val="center"/>
          </w:tcPr>
          <w:p>
            <w:pPr>
              <w:jc w:val="center"/>
              <w:rPr>
                <w:rFonts w:ascii="宋体" w:hAnsi="宋体" w:cs="宋体"/>
                <w:b/>
                <w:color w:val="auto"/>
                <w:sz w:val="32"/>
                <w:szCs w:val="32"/>
                <w:highlight w:val="none"/>
              </w:rPr>
            </w:pPr>
          </w:p>
        </w:tc>
        <w:tc>
          <w:tcPr>
            <w:tcW w:w="2038" w:type="dxa"/>
            <w:vAlign w:val="center"/>
          </w:tcPr>
          <w:p>
            <w:pPr>
              <w:jc w:val="center"/>
              <w:rPr>
                <w:rFonts w:ascii="宋体" w:hAnsi="宋体" w:cs="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65"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58" w:type="dxa"/>
            <w:vAlign w:val="center"/>
          </w:tcPr>
          <w:p>
            <w:pPr>
              <w:jc w:val="center"/>
              <w:rPr>
                <w:rFonts w:ascii="宋体" w:hAnsi="宋体" w:cs="宋体"/>
                <w:b/>
                <w:color w:val="auto"/>
                <w:sz w:val="32"/>
                <w:szCs w:val="32"/>
                <w:highlight w:val="none"/>
              </w:rPr>
            </w:pPr>
          </w:p>
        </w:tc>
        <w:tc>
          <w:tcPr>
            <w:tcW w:w="2725" w:type="dxa"/>
            <w:vAlign w:val="center"/>
          </w:tcPr>
          <w:p>
            <w:pPr>
              <w:jc w:val="center"/>
              <w:rPr>
                <w:rFonts w:ascii="宋体" w:hAnsi="宋体" w:cs="宋体"/>
                <w:b/>
                <w:color w:val="auto"/>
                <w:sz w:val="32"/>
                <w:szCs w:val="32"/>
                <w:highlight w:val="none"/>
              </w:rPr>
            </w:pPr>
          </w:p>
        </w:tc>
        <w:tc>
          <w:tcPr>
            <w:tcW w:w="2625" w:type="dxa"/>
            <w:vAlign w:val="center"/>
          </w:tcPr>
          <w:p>
            <w:pPr>
              <w:jc w:val="center"/>
              <w:rPr>
                <w:rFonts w:ascii="宋体" w:hAnsi="宋体" w:cs="宋体"/>
                <w:b/>
                <w:color w:val="auto"/>
                <w:sz w:val="32"/>
                <w:szCs w:val="32"/>
                <w:highlight w:val="none"/>
              </w:rPr>
            </w:pPr>
          </w:p>
        </w:tc>
        <w:tc>
          <w:tcPr>
            <w:tcW w:w="2038" w:type="dxa"/>
            <w:vAlign w:val="center"/>
          </w:tcPr>
          <w:p>
            <w:pPr>
              <w:jc w:val="center"/>
              <w:rPr>
                <w:rFonts w:ascii="宋体" w:hAnsi="宋体" w:cs="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5"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w:t>
            </w:r>
          </w:p>
        </w:tc>
        <w:tc>
          <w:tcPr>
            <w:tcW w:w="1258" w:type="dxa"/>
            <w:vAlign w:val="center"/>
          </w:tcPr>
          <w:p>
            <w:pPr>
              <w:jc w:val="center"/>
              <w:rPr>
                <w:rFonts w:ascii="宋体" w:hAnsi="宋体" w:cs="宋体"/>
                <w:b/>
                <w:color w:val="auto"/>
                <w:sz w:val="32"/>
                <w:szCs w:val="32"/>
                <w:highlight w:val="none"/>
              </w:rPr>
            </w:pPr>
          </w:p>
        </w:tc>
        <w:tc>
          <w:tcPr>
            <w:tcW w:w="2725" w:type="dxa"/>
            <w:vAlign w:val="center"/>
          </w:tcPr>
          <w:p>
            <w:pPr>
              <w:jc w:val="center"/>
              <w:rPr>
                <w:rFonts w:ascii="宋体" w:hAnsi="宋体" w:cs="宋体"/>
                <w:b/>
                <w:color w:val="auto"/>
                <w:sz w:val="32"/>
                <w:szCs w:val="32"/>
                <w:highlight w:val="none"/>
              </w:rPr>
            </w:pPr>
          </w:p>
        </w:tc>
        <w:tc>
          <w:tcPr>
            <w:tcW w:w="2625" w:type="dxa"/>
            <w:vAlign w:val="center"/>
          </w:tcPr>
          <w:p>
            <w:pPr>
              <w:jc w:val="center"/>
              <w:rPr>
                <w:rFonts w:ascii="宋体" w:hAnsi="宋体" w:cs="宋体"/>
                <w:b/>
                <w:color w:val="auto"/>
                <w:sz w:val="32"/>
                <w:szCs w:val="32"/>
                <w:highlight w:val="none"/>
              </w:rPr>
            </w:pPr>
          </w:p>
        </w:tc>
        <w:tc>
          <w:tcPr>
            <w:tcW w:w="2038" w:type="dxa"/>
            <w:vAlign w:val="center"/>
          </w:tcPr>
          <w:p>
            <w:pPr>
              <w:jc w:val="center"/>
              <w:rPr>
                <w:rFonts w:ascii="宋体" w:hAnsi="宋体" w:cs="宋体"/>
                <w:b/>
                <w:color w:val="auto"/>
                <w:sz w:val="32"/>
                <w:szCs w:val="32"/>
                <w:highlight w:val="none"/>
              </w:rPr>
            </w:pPr>
          </w:p>
        </w:tc>
      </w:tr>
    </w:tbl>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adjustRightInd w:val="0"/>
        <w:snapToGrid w:val="0"/>
        <w:spacing w:line="360" w:lineRule="auto"/>
        <w:ind w:right="23"/>
        <w:jc w:val="center"/>
        <w:outlineLvl w:val="1"/>
        <w:rPr>
          <w:rFonts w:ascii="宋体" w:hAnsi="宋体" w:cs="宋体"/>
          <w:b/>
          <w:color w:val="auto"/>
          <w:sz w:val="32"/>
          <w:szCs w:val="32"/>
          <w:highlight w:val="none"/>
        </w:rPr>
      </w:pPr>
      <w:bookmarkStart w:id="220" w:name="_Toc5411"/>
      <w:r>
        <w:rPr>
          <w:rFonts w:hint="eastAsia" w:ascii="宋体" w:hAnsi="宋体" w:cs="宋体"/>
          <w:b/>
          <w:color w:val="auto"/>
          <w:sz w:val="32"/>
          <w:szCs w:val="32"/>
          <w:highlight w:val="none"/>
        </w:rPr>
        <w:t>六、技术服务方案</w:t>
      </w:r>
      <w:bookmarkEnd w:id="220"/>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此处主要用于描述“技术评分标准”第11项的技术服务方案内容，具体格式自拟。</w:t>
      </w: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宋体" w:cs="宋体"/>
          <w:b/>
          <w:color w:val="auto"/>
          <w:sz w:val="32"/>
          <w:szCs w:val="32"/>
          <w:highlight w:val="none"/>
        </w:rPr>
      </w:pPr>
      <w:r>
        <w:rPr>
          <w:rFonts w:ascii="宋体" w:hAnsi="宋体" w:cs="宋体"/>
          <w:b/>
          <w:color w:val="auto"/>
          <w:sz w:val="32"/>
          <w:szCs w:val="32"/>
          <w:highlight w:val="none"/>
        </w:rPr>
        <w:br w:type="page"/>
      </w:r>
    </w:p>
    <w:p>
      <w:pPr>
        <w:pStyle w:val="41"/>
        <w:spacing w:after="0" w:afterAutospacing="0" w:line="360" w:lineRule="auto"/>
        <w:jc w:val="center"/>
        <w:outlineLvl w:val="1"/>
        <w:rPr>
          <w:color w:val="auto"/>
          <w:sz w:val="28"/>
          <w:szCs w:val="28"/>
          <w:highlight w:val="none"/>
        </w:rPr>
      </w:pPr>
      <w:bookmarkStart w:id="221" w:name="_Toc7850"/>
      <w:r>
        <w:rPr>
          <w:rFonts w:hint="eastAsia"/>
          <w:b/>
          <w:color w:val="auto"/>
          <w:sz w:val="32"/>
          <w:szCs w:val="32"/>
          <w:highlight w:val="none"/>
        </w:rPr>
        <w:t>七、承诺函</w:t>
      </w:r>
      <w:bookmarkEnd w:id="221"/>
    </w:p>
    <w:p>
      <w:pPr>
        <w:widowControl/>
        <w:spacing w:line="360" w:lineRule="auto"/>
        <w:rPr>
          <w:rFonts w:ascii="宋体" w:hAnsi="宋体" w:cs="宋体"/>
          <w:color w:val="auto"/>
          <w:kern w:val="0"/>
          <w:sz w:val="24"/>
          <w:highlight w:val="none"/>
        </w:rPr>
      </w:pPr>
    </w:p>
    <w:p>
      <w:pPr>
        <w:widowControl/>
        <w:spacing w:line="560" w:lineRule="exact"/>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长沙市轨道交通一号线建设发展有限公司</w:t>
      </w:r>
    </w:p>
    <w:p>
      <w:pPr>
        <w:widowControl/>
        <w:spacing w:line="560" w:lineRule="exact"/>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长沙市轨道交通运营有限公司</w:t>
      </w:r>
    </w:p>
    <w:p>
      <w:pPr>
        <w:widowControl/>
        <w:spacing w:line="560" w:lineRule="exact"/>
        <w:rPr>
          <w:rFonts w:ascii="宋体" w:hAnsi="宋体" w:cs="宋体"/>
          <w:color w:val="auto"/>
          <w:kern w:val="0"/>
          <w:sz w:val="24"/>
          <w:highlight w:val="none"/>
        </w:rPr>
      </w:pPr>
      <w:r>
        <w:rPr>
          <w:rFonts w:hint="eastAsia" w:ascii="宋体" w:hAnsi="宋体" w:cs="宋体"/>
          <w:b w:val="0"/>
          <w:bCs w:val="0"/>
          <w:color w:val="auto"/>
          <w:kern w:val="0"/>
          <w:sz w:val="24"/>
          <w:highlight w:val="none"/>
        </w:rPr>
        <w:t>长沙市轨道交通四号线建设发展有限公司：</w:t>
      </w:r>
    </w:p>
    <w:p>
      <w:pPr>
        <w:widowControl/>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rPr>
        <w:t>长沙市轨道交通1、2、4号线运营期2022年多功能垂直钢轨打磨机、双轨波浪磨耗测量仪等5项轨道维修设备采购项目</w:t>
      </w:r>
      <w:r>
        <w:rPr>
          <w:rFonts w:hint="eastAsia" w:ascii="宋体" w:hAnsi="宋体" w:cs="宋体"/>
          <w:color w:val="auto"/>
          <w:kern w:val="0"/>
          <w:sz w:val="24"/>
          <w:highlight w:val="none"/>
        </w:rPr>
        <w:t>谈判文件的全部内容，愿意按谈判文件及用户需求书要求提供所需货物及相关服务，并按合同约定履行义务。</w:t>
      </w:r>
    </w:p>
    <w:p>
      <w:pPr>
        <w:widowControl/>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若我方有幸中选，我方承诺：</w:t>
      </w:r>
    </w:p>
    <w:p>
      <w:pPr>
        <w:widowControl/>
        <w:numPr>
          <w:ilvl w:val="0"/>
          <w:numId w:val="20"/>
        </w:num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我方所投长沙市轨道交通1、2、4号线运营期2022年多功能垂直钢轨打磨机、双轨波浪磨耗测量仪等5项轨道维修设备在满足用户需求书要求的基础上，质保期延长</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个月。</w:t>
      </w:r>
    </w:p>
    <w:p>
      <w:pPr>
        <w:widowControl/>
        <w:numPr>
          <w:ilvl w:val="0"/>
          <w:numId w:val="20"/>
        </w:num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我方针对</w:t>
      </w:r>
      <w:r>
        <w:rPr>
          <w:rFonts w:hint="eastAsia" w:ascii="宋体" w:hAnsi="宋体" w:cs="宋体"/>
          <w:color w:val="auto"/>
          <w:sz w:val="24"/>
          <w:highlight w:val="none"/>
        </w:rPr>
        <w:t>长沙市轨道交通1、2、4号线运营期2022年多功能垂直钢轨打磨机、双轨波浪磨耗测量仪等5项轨道维修设备采购项目</w:t>
      </w:r>
      <w:r>
        <w:rPr>
          <w:rFonts w:hint="eastAsia" w:ascii="宋体" w:hAnsi="宋体" w:cs="宋体"/>
          <w:color w:val="auto"/>
          <w:kern w:val="0"/>
          <w:sz w:val="24"/>
          <w:highlight w:val="none"/>
        </w:rPr>
        <w:t>出具的“技术服务方案”系自愿行为，并将完全响应。</w:t>
      </w: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b/>
          <w:color w:val="auto"/>
          <w:sz w:val="32"/>
          <w:szCs w:val="32"/>
          <w:highlight w:val="none"/>
        </w:rPr>
      </w:pPr>
      <w:bookmarkStart w:id="222" w:name="_Toc17784"/>
      <w:r>
        <w:rPr>
          <w:rFonts w:hint="eastAsia" w:ascii="宋体" w:hAnsi="宋体" w:cs="宋体"/>
          <w:color w:val="auto"/>
          <w:sz w:val="24"/>
          <w:highlight w:val="none"/>
        </w:rPr>
        <w:t>特此承诺！</w:t>
      </w:r>
      <w:bookmarkEnd w:id="222"/>
    </w:p>
    <w:p>
      <w:pPr>
        <w:widowControl/>
        <w:jc w:val="left"/>
        <w:rPr>
          <w:rFonts w:ascii="宋体" w:hAnsi="宋体" w:cs="宋体"/>
          <w:b/>
          <w:color w:val="auto"/>
          <w:sz w:val="32"/>
          <w:szCs w:val="32"/>
          <w:highlight w:val="none"/>
        </w:rPr>
      </w:pPr>
    </w:p>
    <w:p>
      <w:pPr>
        <w:widowControl/>
        <w:jc w:val="left"/>
        <w:rPr>
          <w:rFonts w:ascii="宋体" w:hAnsi="宋体" w:cs="宋体"/>
          <w:b/>
          <w:color w:val="auto"/>
          <w:sz w:val="32"/>
          <w:szCs w:val="32"/>
          <w:highlight w:val="none"/>
        </w:rPr>
      </w:pPr>
    </w:p>
    <w:p>
      <w:pPr>
        <w:widowControl/>
        <w:jc w:val="left"/>
        <w:rPr>
          <w:rFonts w:ascii="宋体" w:hAnsi="宋体" w:cs="宋体"/>
          <w:b/>
          <w:color w:val="auto"/>
          <w:sz w:val="32"/>
          <w:szCs w:val="32"/>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widowControl/>
        <w:jc w:val="left"/>
        <w:rPr>
          <w:rFonts w:ascii="宋体" w:hAnsi="宋体" w:cs="宋体"/>
          <w:b/>
          <w:color w:val="auto"/>
          <w:sz w:val="32"/>
          <w:szCs w:val="32"/>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s="宋体"/>
          <w:b/>
          <w:color w:val="auto"/>
          <w:sz w:val="32"/>
          <w:szCs w:val="32"/>
          <w:highlight w:val="none"/>
        </w:rPr>
        <w:br w:type="page"/>
      </w:r>
    </w:p>
    <w:p>
      <w:pPr>
        <w:jc w:val="center"/>
        <w:outlineLvl w:val="1"/>
        <w:rPr>
          <w:rFonts w:ascii="宋体" w:hAnsi="宋体" w:cs="宋体"/>
          <w:b/>
          <w:color w:val="auto"/>
          <w:sz w:val="32"/>
          <w:szCs w:val="32"/>
          <w:highlight w:val="none"/>
        </w:rPr>
      </w:pPr>
      <w:bookmarkStart w:id="223" w:name="_Toc31473"/>
      <w:r>
        <w:rPr>
          <w:rFonts w:hint="eastAsia" w:ascii="宋体" w:hAnsi="宋体" w:cs="宋体"/>
          <w:b/>
          <w:color w:val="auto"/>
          <w:sz w:val="32"/>
          <w:szCs w:val="32"/>
          <w:highlight w:val="none"/>
        </w:rPr>
        <w:t>八、合理化建议</w:t>
      </w:r>
      <w:bookmarkEnd w:id="223"/>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此处主要用于描述“技术评分标准”第12项的合理化建议内容，具体格式自拟。</w:t>
      </w: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adjustRightInd w:val="0"/>
        <w:snapToGrid w:val="0"/>
        <w:spacing w:line="360" w:lineRule="auto"/>
        <w:ind w:right="23"/>
        <w:jc w:val="center"/>
        <w:outlineLvl w:val="1"/>
        <w:rPr>
          <w:rFonts w:ascii="宋体" w:hAnsi="宋体" w:cs="宋体"/>
          <w:b/>
          <w:color w:val="auto"/>
          <w:sz w:val="32"/>
          <w:szCs w:val="32"/>
          <w:highlight w:val="none"/>
        </w:rPr>
      </w:pPr>
      <w:bookmarkStart w:id="224" w:name="_Toc7479"/>
      <w:r>
        <w:rPr>
          <w:rFonts w:hint="eastAsia" w:ascii="宋体" w:hAnsi="宋体" w:cs="宋体"/>
          <w:b/>
          <w:color w:val="auto"/>
          <w:sz w:val="32"/>
          <w:szCs w:val="32"/>
          <w:highlight w:val="none"/>
        </w:rPr>
        <w:t>九、报价一览表</w:t>
      </w:r>
      <w:bookmarkEnd w:id="215"/>
      <w:bookmarkEnd w:id="216"/>
      <w:bookmarkEnd w:id="217"/>
      <w:bookmarkEnd w:id="218"/>
      <w:bookmarkEnd w:id="219"/>
      <w:bookmarkEnd w:id="224"/>
    </w:p>
    <w:tbl>
      <w:tblPr>
        <w:tblStyle w:val="47"/>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3"/>
        <w:gridCol w:w="1860"/>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3243" w:type="dxa"/>
            <w:gridSpan w:val="2"/>
            <w:vAlign w:val="center"/>
          </w:tcPr>
          <w:p>
            <w:pPr>
              <w:tabs>
                <w:tab w:val="left" w:pos="403"/>
                <w:tab w:val="center" w:pos="3781"/>
              </w:tabs>
              <w:spacing w:line="420" w:lineRule="exact"/>
              <w:jc w:val="center"/>
              <w:rPr>
                <w:rFonts w:ascii="宋体" w:hAnsi="宋体"/>
                <w:b/>
                <w:bCs/>
                <w:color w:val="auto"/>
                <w:szCs w:val="21"/>
                <w:highlight w:val="none"/>
              </w:rPr>
            </w:pPr>
            <w:r>
              <w:rPr>
                <w:rFonts w:ascii="宋体" w:hAnsi="宋体"/>
                <w:b/>
                <w:bCs/>
                <w:color w:val="auto"/>
                <w:szCs w:val="21"/>
                <w:highlight w:val="none"/>
              </w:rPr>
              <w:t>项目名称</w:t>
            </w:r>
          </w:p>
        </w:tc>
        <w:tc>
          <w:tcPr>
            <w:tcW w:w="5577" w:type="dxa"/>
            <w:vAlign w:val="center"/>
          </w:tcPr>
          <w:p>
            <w:pPr>
              <w:spacing w:line="42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3243" w:type="dxa"/>
            <w:gridSpan w:val="2"/>
            <w:vAlign w:val="center"/>
          </w:tcPr>
          <w:p>
            <w:pPr>
              <w:tabs>
                <w:tab w:val="left" w:pos="403"/>
                <w:tab w:val="center" w:pos="3781"/>
              </w:tabs>
              <w:spacing w:line="420" w:lineRule="exact"/>
              <w:jc w:val="center"/>
              <w:rPr>
                <w:rFonts w:ascii="宋体" w:hAnsi="宋体"/>
                <w:b/>
                <w:bCs/>
                <w:color w:val="auto"/>
                <w:szCs w:val="21"/>
                <w:highlight w:val="none"/>
              </w:rPr>
            </w:pPr>
            <w:r>
              <w:rPr>
                <w:rFonts w:hint="eastAsia" w:ascii="宋体" w:hAnsi="宋体"/>
                <w:b/>
                <w:bCs/>
                <w:color w:val="auto"/>
                <w:szCs w:val="21"/>
                <w:highlight w:val="none"/>
              </w:rPr>
              <w:t>项目</w:t>
            </w:r>
            <w:r>
              <w:rPr>
                <w:rFonts w:ascii="宋体" w:hAnsi="宋体"/>
                <w:b/>
                <w:bCs/>
                <w:color w:val="auto"/>
                <w:szCs w:val="21"/>
                <w:highlight w:val="none"/>
              </w:rPr>
              <w:t>编号</w:t>
            </w:r>
          </w:p>
        </w:tc>
        <w:tc>
          <w:tcPr>
            <w:tcW w:w="5577" w:type="dxa"/>
            <w:vAlign w:val="center"/>
          </w:tcPr>
          <w:p>
            <w:pPr>
              <w:spacing w:line="42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3243" w:type="dxa"/>
            <w:gridSpan w:val="2"/>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供货期</w:t>
            </w:r>
          </w:p>
        </w:tc>
        <w:tc>
          <w:tcPr>
            <w:tcW w:w="5577" w:type="dxa"/>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383" w:type="dxa"/>
            <w:vMerge w:val="restart"/>
            <w:tcBorders>
              <w:right w:val="single" w:color="auto" w:sz="4" w:space="0"/>
            </w:tcBorders>
            <w:vAlign w:val="center"/>
          </w:tcPr>
          <w:p>
            <w:pPr>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①</w:t>
            </w:r>
          </w:p>
          <w:p>
            <w:pPr>
              <w:spacing w:line="420" w:lineRule="exact"/>
              <w:jc w:val="center"/>
              <w:rPr>
                <w:rFonts w:ascii="宋体" w:hAnsi="宋体"/>
                <w:b/>
                <w:bCs/>
                <w:color w:val="auto"/>
                <w:szCs w:val="21"/>
                <w:highlight w:val="none"/>
              </w:rPr>
            </w:pPr>
            <w:r>
              <w:rPr>
                <w:rFonts w:hint="eastAsia" w:ascii="宋体" w:hAnsi="宋体" w:cs="宋体"/>
                <w:b/>
                <w:bCs/>
                <w:color w:val="auto"/>
                <w:szCs w:val="21"/>
                <w:highlight w:val="none"/>
              </w:rPr>
              <w:t>1号线清单</w:t>
            </w:r>
          </w:p>
        </w:tc>
        <w:tc>
          <w:tcPr>
            <w:tcW w:w="1860" w:type="dxa"/>
            <w:vMerge w:val="restart"/>
            <w:tcBorders>
              <w:left w:val="single" w:color="auto" w:sz="4" w:space="0"/>
            </w:tcBorders>
            <w:vAlign w:val="center"/>
          </w:tcPr>
          <w:p>
            <w:pPr>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不含增值税报价</w:t>
            </w:r>
          </w:p>
        </w:tc>
        <w:tc>
          <w:tcPr>
            <w:tcW w:w="5577" w:type="dxa"/>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383" w:type="dxa"/>
            <w:vMerge w:val="continue"/>
            <w:tcBorders>
              <w:right w:val="single" w:color="auto" w:sz="4" w:space="0"/>
            </w:tcBorders>
            <w:vAlign w:val="center"/>
          </w:tcPr>
          <w:p>
            <w:pPr>
              <w:spacing w:line="420" w:lineRule="exact"/>
              <w:jc w:val="center"/>
              <w:rPr>
                <w:rFonts w:ascii="宋体" w:hAnsi="宋体"/>
                <w:b/>
                <w:bCs/>
                <w:color w:val="auto"/>
                <w:szCs w:val="21"/>
                <w:highlight w:val="none"/>
              </w:rPr>
            </w:pPr>
          </w:p>
        </w:tc>
        <w:tc>
          <w:tcPr>
            <w:tcW w:w="1860" w:type="dxa"/>
            <w:vMerge w:val="continue"/>
            <w:tcBorders>
              <w:left w:val="single" w:color="auto" w:sz="4" w:space="0"/>
              <w:bottom w:val="single" w:color="auto" w:sz="4" w:space="0"/>
            </w:tcBorders>
            <w:vAlign w:val="center"/>
          </w:tcPr>
          <w:p>
            <w:pPr>
              <w:spacing w:line="420" w:lineRule="exact"/>
              <w:jc w:val="center"/>
              <w:rPr>
                <w:rFonts w:ascii="宋体" w:hAnsi="宋体"/>
                <w:b/>
                <w:bCs/>
                <w:color w:val="auto"/>
                <w:szCs w:val="21"/>
                <w:highlight w:val="none"/>
              </w:rPr>
            </w:pPr>
          </w:p>
        </w:tc>
        <w:tc>
          <w:tcPr>
            <w:tcW w:w="5577" w:type="dxa"/>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383" w:type="dxa"/>
            <w:vMerge w:val="continue"/>
            <w:tcBorders>
              <w:bottom w:val="single" w:color="auto" w:sz="4" w:space="0"/>
              <w:right w:val="single" w:color="auto" w:sz="4" w:space="0"/>
            </w:tcBorders>
            <w:vAlign w:val="center"/>
          </w:tcPr>
          <w:p>
            <w:pPr>
              <w:spacing w:line="420" w:lineRule="exact"/>
              <w:jc w:val="center"/>
              <w:rPr>
                <w:rFonts w:ascii="宋体" w:hAnsi="宋体"/>
                <w:b/>
                <w:bCs/>
                <w:color w:val="auto"/>
                <w:szCs w:val="21"/>
                <w:highlight w:val="none"/>
              </w:rPr>
            </w:pPr>
          </w:p>
        </w:tc>
        <w:tc>
          <w:tcPr>
            <w:tcW w:w="1860" w:type="dxa"/>
            <w:tcBorders>
              <w:top w:val="single" w:color="auto" w:sz="4" w:space="0"/>
              <w:left w:val="single" w:color="auto" w:sz="4" w:space="0"/>
              <w:bottom w:val="single" w:color="auto" w:sz="4"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5577" w:type="dxa"/>
            <w:tcBorders>
              <w:bottom w:val="single" w:color="auto" w:sz="4" w:space="0"/>
            </w:tcBorders>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383" w:type="dxa"/>
            <w:vMerge w:val="restart"/>
            <w:tcBorders>
              <w:top w:val="single" w:color="auto" w:sz="4" w:space="0"/>
              <w:right w:val="single" w:color="auto" w:sz="4" w:space="0"/>
            </w:tcBorders>
            <w:vAlign w:val="center"/>
          </w:tcPr>
          <w:p>
            <w:pPr>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②</w:t>
            </w:r>
          </w:p>
          <w:p>
            <w:pPr>
              <w:spacing w:line="420" w:lineRule="exact"/>
              <w:jc w:val="center"/>
              <w:rPr>
                <w:rFonts w:ascii="宋体" w:hAnsi="宋体"/>
                <w:b/>
                <w:bCs/>
                <w:color w:val="auto"/>
                <w:szCs w:val="21"/>
                <w:highlight w:val="none"/>
              </w:rPr>
            </w:pPr>
            <w:r>
              <w:rPr>
                <w:rFonts w:hint="eastAsia" w:ascii="宋体" w:hAnsi="宋体" w:cs="宋体"/>
                <w:b/>
                <w:bCs/>
                <w:color w:val="auto"/>
                <w:szCs w:val="21"/>
                <w:highlight w:val="none"/>
              </w:rPr>
              <w:t>2号线清单</w:t>
            </w:r>
          </w:p>
        </w:tc>
        <w:tc>
          <w:tcPr>
            <w:tcW w:w="1860" w:type="dxa"/>
            <w:vMerge w:val="restart"/>
            <w:tcBorders>
              <w:top w:val="single" w:color="auto" w:sz="4" w:space="0"/>
              <w:left w:val="single" w:color="auto" w:sz="4" w:space="0"/>
              <w:bottom w:val="single" w:color="auto" w:sz="4" w:space="0"/>
            </w:tcBorders>
            <w:vAlign w:val="center"/>
          </w:tcPr>
          <w:p>
            <w:pPr>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不含增值税报价</w:t>
            </w:r>
          </w:p>
        </w:tc>
        <w:tc>
          <w:tcPr>
            <w:tcW w:w="5577" w:type="dxa"/>
            <w:tcBorders>
              <w:top w:val="single" w:color="auto" w:sz="4" w:space="0"/>
              <w:bottom w:val="single" w:color="auto" w:sz="4" w:space="0"/>
            </w:tcBorders>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383" w:type="dxa"/>
            <w:vMerge w:val="continue"/>
            <w:tcBorders>
              <w:right w:val="single" w:color="auto" w:sz="4" w:space="0"/>
            </w:tcBorders>
            <w:vAlign w:val="center"/>
          </w:tcPr>
          <w:p>
            <w:pPr>
              <w:spacing w:line="420" w:lineRule="exact"/>
              <w:jc w:val="center"/>
              <w:rPr>
                <w:rFonts w:ascii="宋体" w:hAnsi="宋体"/>
                <w:b/>
                <w:bCs/>
                <w:color w:val="auto"/>
                <w:szCs w:val="21"/>
                <w:highlight w:val="none"/>
              </w:rPr>
            </w:pPr>
          </w:p>
        </w:tc>
        <w:tc>
          <w:tcPr>
            <w:tcW w:w="1860" w:type="dxa"/>
            <w:vMerge w:val="continue"/>
            <w:tcBorders>
              <w:top w:val="single" w:color="auto" w:sz="4" w:space="0"/>
              <w:left w:val="single" w:color="auto" w:sz="4" w:space="0"/>
              <w:bottom w:val="single" w:color="auto" w:sz="4" w:space="0"/>
            </w:tcBorders>
            <w:vAlign w:val="center"/>
          </w:tcPr>
          <w:p>
            <w:pPr>
              <w:spacing w:line="420" w:lineRule="exact"/>
              <w:jc w:val="center"/>
              <w:rPr>
                <w:rFonts w:ascii="宋体" w:hAnsi="宋体"/>
                <w:b/>
                <w:bCs/>
                <w:color w:val="auto"/>
                <w:szCs w:val="21"/>
                <w:highlight w:val="none"/>
              </w:rPr>
            </w:pPr>
          </w:p>
        </w:tc>
        <w:tc>
          <w:tcPr>
            <w:tcW w:w="5577" w:type="dxa"/>
            <w:tcBorders>
              <w:top w:val="single" w:color="auto" w:sz="4" w:space="0"/>
              <w:bottom w:val="single" w:color="auto" w:sz="4" w:space="0"/>
            </w:tcBorders>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383" w:type="dxa"/>
            <w:vMerge w:val="continue"/>
            <w:tcBorders>
              <w:bottom w:val="single" w:color="auto" w:sz="4" w:space="0"/>
              <w:right w:val="single" w:color="auto" w:sz="4" w:space="0"/>
            </w:tcBorders>
            <w:vAlign w:val="center"/>
          </w:tcPr>
          <w:p>
            <w:pPr>
              <w:spacing w:line="420" w:lineRule="exact"/>
              <w:jc w:val="center"/>
              <w:rPr>
                <w:rFonts w:ascii="宋体" w:hAnsi="宋体"/>
                <w:b/>
                <w:bCs/>
                <w:color w:val="auto"/>
                <w:szCs w:val="21"/>
                <w:highlight w:val="none"/>
              </w:rPr>
            </w:pPr>
          </w:p>
        </w:tc>
        <w:tc>
          <w:tcPr>
            <w:tcW w:w="1860" w:type="dxa"/>
            <w:tcBorders>
              <w:top w:val="single" w:color="auto" w:sz="4" w:space="0"/>
              <w:left w:val="single" w:color="auto" w:sz="4" w:space="0"/>
              <w:bottom w:val="single" w:color="auto" w:sz="4"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5577" w:type="dxa"/>
            <w:tcBorders>
              <w:top w:val="single" w:color="auto" w:sz="4" w:space="0"/>
              <w:bottom w:val="single" w:color="auto" w:sz="4" w:space="0"/>
            </w:tcBorders>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383" w:type="dxa"/>
            <w:vMerge w:val="restart"/>
            <w:tcBorders>
              <w:right w:val="single" w:color="auto" w:sz="4" w:space="0"/>
            </w:tcBorders>
            <w:vAlign w:val="center"/>
          </w:tcPr>
          <w:p>
            <w:pPr>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③</w:t>
            </w:r>
          </w:p>
          <w:p>
            <w:pPr>
              <w:spacing w:line="420" w:lineRule="exact"/>
              <w:jc w:val="center"/>
              <w:rPr>
                <w:rFonts w:ascii="宋体" w:hAnsi="宋体"/>
                <w:b/>
                <w:bCs/>
                <w:color w:val="auto"/>
                <w:szCs w:val="21"/>
                <w:highlight w:val="none"/>
              </w:rPr>
            </w:pPr>
            <w:r>
              <w:rPr>
                <w:rFonts w:hint="eastAsia" w:ascii="宋体" w:hAnsi="宋体" w:cs="宋体"/>
                <w:b/>
                <w:bCs/>
                <w:color w:val="auto"/>
                <w:szCs w:val="21"/>
                <w:highlight w:val="none"/>
              </w:rPr>
              <w:t>4号线清单</w:t>
            </w:r>
          </w:p>
        </w:tc>
        <w:tc>
          <w:tcPr>
            <w:tcW w:w="1860" w:type="dxa"/>
            <w:vMerge w:val="restart"/>
            <w:tcBorders>
              <w:top w:val="single" w:color="auto" w:sz="4" w:space="0"/>
              <w:left w:val="single" w:color="auto" w:sz="4" w:space="0"/>
            </w:tcBorders>
            <w:vAlign w:val="center"/>
          </w:tcPr>
          <w:p>
            <w:pPr>
              <w:spacing w:line="420" w:lineRule="exact"/>
              <w:jc w:val="center"/>
              <w:rPr>
                <w:rFonts w:ascii="宋体" w:hAnsi="宋体"/>
                <w:b/>
                <w:bCs/>
                <w:color w:val="auto"/>
                <w:szCs w:val="21"/>
                <w:highlight w:val="none"/>
              </w:rPr>
            </w:pPr>
            <w:r>
              <w:rPr>
                <w:rFonts w:hint="eastAsia" w:ascii="宋体" w:hAnsi="宋体" w:cs="宋体"/>
                <w:b/>
                <w:bCs/>
                <w:color w:val="auto"/>
                <w:szCs w:val="21"/>
                <w:highlight w:val="none"/>
              </w:rPr>
              <w:t>不含增值税报价</w:t>
            </w:r>
          </w:p>
        </w:tc>
        <w:tc>
          <w:tcPr>
            <w:tcW w:w="5577" w:type="dxa"/>
            <w:tcBorders>
              <w:top w:val="single" w:color="auto" w:sz="4" w:space="0"/>
              <w:bottom w:val="single" w:color="auto" w:sz="4" w:space="0"/>
            </w:tcBorders>
            <w:vAlign w:val="center"/>
          </w:tcPr>
          <w:p>
            <w:pPr>
              <w:spacing w:line="420" w:lineRule="exact"/>
              <w:jc w:val="left"/>
              <w:rPr>
                <w:rFonts w:ascii="宋体" w:hAnsi="宋体" w:cs="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383" w:type="dxa"/>
            <w:vMerge w:val="continue"/>
            <w:tcBorders>
              <w:right w:val="single" w:color="auto" w:sz="4" w:space="0"/>
            </w:tcBorders>
            <w:vAlign w:val="center"/>
          </w:tcPr>
          <w:p>
            <w:pPr>
              <w:spacing w:line="420" w:lineRule="exact"/>
              <w:jc w:val="center"/>
              <w:rPr>
                <w:rFonts w:ascii="宋体" w:hAnsi="宋体"/>
                <w:b/>
                <w:bCs/>
                <w:color w:val="auto"/>
                <w:szCs w:val="21"/>
                <w:highlight w:val="none"/>
              </w:rPr>
            </w:pPr>
          </w:p>
        </w:tc>
        <w:tc>
          <w:tcPr>
            <w:tcW w:w="1860" w:type="dxa"/>
            <w:vMerge w:val="continue"/>
            <w:tcBorders>
              <w:left w:val="single" w:color="auto" w:sz="4" w:space="0"/>
              <w:bottom w:val="single" w:color="auto" w:sz="4" w:space="0"/>
            </w:tcBorders>
            <w:vAlign w:val="center"/>
          </w:tcPr>
          <w:p>
            <w:pPr>
              <w:spacing w:line="420" w:lineRule="exact"/>
              <w:jc w:val="center"/>
              <w:rPr>
                <w:rFonts w:ascii="宋体" w:hAnsi="宋体"/>
                <w:b/>
                <w:bCs/>
                <w:color w:val="auto"/>
                <w:szCs w:val="21"/>
                <w:highlight w:val="none"/>
              </w:rPr>
            </w:pPr>
          </w:p>
        </w:tc>
        <w:tc>
          <w:tcPr>
            <w:tcW w:w="5577" w:type="dxa"/>
            <w:tcBorders>
              <w:top w:val="single" w:color="auto" w:sz="4" w:space="0"/>
              <w:bottom w:val="single" w:color="auto" w:sz="4" w:space="0"/>
            </w:tcBorders>
            <w:vAlign w:val="center"/>
          </w:tcPr>
          <w:p>
            <w:pPr>
              <w:spacing w:line="420" w:lineRule="exact"/>
              <w:jc w:val="left"/>
              <w:rPr>
                <w:rFonts w:ascii="宋体" w:hAnsi="宋体" w:cs="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383" w:type="dxa"/>
            <w:vMerge w:val="continue"/>
            <w:tcBorders>
              <w:bottom w:val="single" w:color="auto" w:sz="4" w:space="0"/>
              <w:right w:val="single" w:color="auto" w:sz="4" w:space="0"/>
            </w:tcBorders>
            <w:vAlign w:val="center"/>
          </w:tcPr>
          <w:p>
            <w:pPr>
              <w:spacing w:line="420" w:lineRule="exact"/>
              <w:jc w:val="center"/>
              <w:rPr>
                <w:rFonts w:ascii="宋体" w:hAnsi="宋体"/>
                <w:b/>
                <w:bCs/>
                <w:color w:val="auto"/>
                <w:szCs w:val="21"/>
                <w:highlight w:val="none"/>
              </w:rPr>
            </w:pPr>
          </w:p>
        </w:tc>
        <w:tc>
          <w:tcPr>
            <w:tcW w:w="1860" w:type="dxa"/>
            <w:tcBorders>
              <w:top w:val="single" w:color="auto" w:sz="4" w:space="0"/>
              <w:left w:val="single" w:color="auto" w:sz="4" w:space="0"/>
              <w:bottom w:val="single" w:color="auto" w:sz="4"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5577" w:type="dxa"/>
            <w:tcBorders>
              <w:top w:val="single" w:color="auto" w:sz="4" w:space="0"/>
              <w:bottom w:val="single" w:color="auto" w:sz="4" w:space="0"/>
            </w:tcBorders>
            <w:vAlign w:val="center"/>
          </w:tcPr>
          <w:p>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383" w:type="dxa"/>
            <w:vMerge w:val="restart"/>
            <w:tcBorders>
              <w:top w:val="single" w:color="auto" w:sz="4" w:space="0"/>
              <w:right w:val="single" w:color="auto" w:sz="4"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①+②+③</w:t>
            </w:r>
          </w:p>
        </w:tc>
        <w:tc>
          <w:tcPr>
            <w:tcW w:w="1860" w:type="dxa"/>
            <w:vMerge w:val="restart"/>
            <w:tcBorders>
              <w:top w:val="single" w:color="auto" w:sz="4" w:space="0"/>
              <w:left w:val="single" w:color="auto" w:sz="4" w:space="0"/>
              <w:bottom w:val="single" w:color="auto" w:sz="4"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谈判不含增值税总报价</w:t>
            </w:r>
          </w:p>
        </w:tc>
        <w:tc>
          <w:tcPr>
            <w:tcW w:w="5577" w:type="dxa"/>
            <w:tcBorders>
              <w:top w:val="single" w:color="auto" w:sz="4" w:space="0"/>
            </w:tcBorders>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383" w:type="dxa"/>
            <w:vMerge w:val="continue"/>
            <w:tcBorders>
              <w:right w:val="single" w:color="auto" w:sz="4" w:space="0"/>
            </w:tcBorders>
            <w:vAlign w:val="center"/>
          </w:tcPr>
          <w:p>
            <w:pPr>
              <w:spacing w:line="420" w:lineRule="exact"/>
              <w:jc w:val="center"/>
              <w:rPr>
                <w:rFonts w:ascii="宋体" w:hAnsi="宋体"/>
                <w:b/>
                <w:bCs/>
                <w:color w:val="auto"/>
                <w:szCs w:val="21"/>
                <w:highlight w:val="none"/>
              </w:rPr>
            </w:pPr>
          </w:p>
        </w:tc>
        <w:tc>
          <w:tcPr>
            <w:tcW w:w="1860" w:type="dxa"/>
            <w:vMerge w:val="continue"/>
            <w:tcBorders>
              <w:top w:val="single" w:color="auto" w:sz="4" w:space="0"/>
              <w:left w:val="single" w:color="auto" w:sz="4" w:space="0"/>
              <w:bottom w:val="single" w:color="auto" w:sz="4" w:space="0"/>
            </w:tcBorders>
            <w:vAlign w:val="center"/>
          </w:tcPr>
          <w:p>
            <w:pPr>
              <w:spacing w:line="420" w:lineRule="exact"/>
              <w:jc w:val="center"/>
              <w:rPr>
                <w:rFonts w:ascii="宋体" w:hAnsi="宋体"/>
                <w:b/>
                <w:bCs/>
                <w:color w:val="auto"/>
                <w:szCs w:val="21"/>
                <w:highlight w:val="none"/>
              </w:rPr>
            </w:pPr>
          </w:p>
        </w:tc>
        <w:tc>
          <w:tcPr>
            <w:tcW w:w="5577" w:type="dxa"/>
            <w:tcBorders>
              <w:bottom w:val="single" w:color="auto" w:sz="4" w:space="0"/>
            </w:tcBorders>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383" w:type="dxa"/>
            <w:vMerge w:val="continue"/>
            <w:tcBorders>
              <w:right w:val="single" w:color="auto" w:sz="4" w:space="0"/>
            </w:tcBorders>
            <w:vAlign w:val="center"/>
          </w:tcPr>
          <w:p>
            <w:pPr>
              <w:spacing w:line="420" w:lineRule="exact"/>
              <w:jc w:val="center"/>
              <w:rPr>
                <w:rFonts w:ascii="宋体" w:hAnsi="宋体"/>
                <w:b/>
                <w:bCs/>
                <w:color w:val="auto"/>
                <w:szCs w:val="21"/>
                <w:highlight w:val="none"/>
              </w:rPr>
            </w:pPr>
          </w:p>
        </w:tc>
        <w:tc>
          <w:tcPr>
            <w:tcW w:w="1860" w:type="dxa"/>
            <w:tcBorders>
              <w:top w:val="single" w:color="auto" w:sz="4" w:space="0"/>
              <w:left w:val="single" w:color="auto" w:sz="4" w:space="0"/>
              <w:bottom w:val="single" w:color="auto" w:sz="4"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5577" w:type="dxa"/>
            <w:tcBorders>
              <w:top w:val="single" w:color="auto" w:sz="4" w:space="0"/>
            </w:tcBorders>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3243" w:type="dxa"/>
            <w:gridSpan w:val="2"/>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增值税税率</w:t>
            </w:r>
          </w:p>
        </w:tc>
        <w:tc>
          <w:tcPr>
            <w:tcW w:w="5577" w:type="dxa"/>
            <w:vAlign w:val="center"/>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3243" w:type="dxa"/>
            <w:gridSpan w:val="2"/>
            <w:vMerge w:val="restart"/>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谈判</w:t>
            </w:r>
            <w:r>
              <w:rPr>
                <w:rFonts w:ascii="宋体" w:hAnsi="宋体"/>
                <w:b/>
                <w:bCs/>
                <w:color w:val="auto"/>
                <w:szCs w:val="21"/>
                <w:highlight w:val="none"/>
              </w:rPr>
              <w:t>总报价</w:t>
            </w:r>
          </w:p>
        </w:tc>
        <w:tc>
          <w:tcPr>
            <w:tcW w:w="5577" w:type="dxa"/>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3243" w:type="dxa"/>
            <w:gridSpan w:val="2"/>
            <w:vMerge w:val="continue"/>
            <w:vAlign w:val="center"/>
          </w:tcPr>
          <w:p>
            <w:pPr>
              <w:spacing w:line="420" w:lineRule="exact"/>
              <w:jc w:val="center"/>
              <w:rPr>
                <w:rFonts w:ascii="宋体" w:hAnsi="宋体"/>
                <w:b/>
                <w:bCs/>
                <w:color w:val="auto"/>
                <w:szCs w:val="21"/>
                <w:highlight w:val="none"/>
              </w:rPr>
            </w:pPr>
          </w:p>
        </w:tc>
        <w:tc>
          <w:tcPr>
            <w:tcW w:w="5577" w:type="dxa"/>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3243" w:type="dxa"/>
            <w:gridSpan w:val="2"/>
            <w:vAlign w:val="center"/>
          </w:tcPr>
          <w:p>
            <w:pPr>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质保期</w:t>
            </w:r>
          </w:p>
        </w:tc>
        <w:tc>
          <w:tcPr>
            <w:tcW w:w="5577" w:type="dxa"/>
            <w:vAlign w:val="center"/>
          </w:tcPr>
          <w:p>
            <w:pPr>
              <w:spacing w:line="42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3243" w:type="dxa"/>
            <w:gridSpan w:val="2"/>
            <w:vAlign w:val="center"/>
          </w:tcPr>
          <w:p>
            <w:pPr>
              <w:spacing w:line="420" w:lineRule="exact"/>
              <w:jc w:val="center"/>
              <w:rPr>
                <w:rFonts w:ascii="宋体" w:hAnsi="宋体"/>
                <w:b/>
                <w:bCs/>
                <w:color w:val="auto"/>
                <w:szCs w:val="21"/>
                <w:highlight w:val="none"/>
              </w:rPr>
            </w:pPr>
            <w:r>
              <w:rPr>
                <w:rFonts w:ascii="宋体" w:hAnsi="宋体"/>
                <w:b/>
                <w:bCs/>
                <w:color w:val="auto"/>
                <w:szCs w:val="21"/>
                <w:highlight w:val="none"/>
              </w:rPr>
              <w:t>备  注</w:t>
            </w:r>
          </w:p>
        </w:tc>
        <w:tc>
          <w:tcPr>
            <w:tcW w:w="5577" w:type="dxa"/>
            <w:vAlign w:val="center"/>
          </w:tcPr>
          <w:p>
            <w:pPr>
              <w:spacing w:line="420" w:lineRule="exact"/>
              <w:rPr>
                <w:rFonts w:ascii="宋体" w:hAnsi="宋体"/>
                <w:color w:val="auto"/>
                <w:szCs w:val="21"/>
                <w:highlight w:val="none"/>
              </w:rPr>
            </w:pPr>
          </w:p>
        </w:tc>
      </w:tr>
    </w:tbl>
    <w:p>
      <w:pPr>
        <w:adjustRightInd w:val="0"/>
        <w:snapToGrid w:val="0"/>
        <w:rPr>
          <w:rFonts w:ascii="宋体" w:hAnsi="宋体"/>
          <w:color w:val="auto"/>
          <w:sz w:val="24"/>
          <w:highlight w:val="none"/>
        </w:rPr>
      </w:pPr>
    </w:p>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2.本表内“谈判不含税总报价”“谈判总报价”均是包含了货物所有隐含的运输费、保险费、安装调试费、管理费和利润等其他费用的报价。</w:t>
      </w:r>
    </w:p>
    <w:p>
      <w:pPr>
        <w:pStyle w:val="12"/>
        <w:spacing w:line="360" w:lineRule="auto"/>
        <w:ind w:left="0" w:leftChars="0" w:firstLine="422" w:firstLineChars="200"/>
        <w:rPr>
          <w:rFonts w:ascii="宋体" w:hAnsi="宋体"/>
          <w:b/>
          <w:color w:val="auto"/>
          <w:szCs w:val="21"/>
          <w:highlight w:val="none"/>
        </w:rPr>
      </w:pPr>
      <w:r>
        <w:rPr>
          <w:rFonts w:hint="eastAsia" w:ascii="宋体" w:hAnsi="宋体"/>
          <w:b/>
          <w:color w:val="auto"/>
          <w:szCs w:val="21"/>
          <w:highlight w:val="none"/>
        </w:rPr>
        <w:t>3.谈判单位所报总价不能超过项目预算，不超过项目预算的谈判总报价为有效报价。</w:t>
      </w:r>
    </w:p>
    <w:p>
      <w:pPr>
        <w:adjustRightInd w:val="0"/>
        <w:snapToGrid w:val="0"/>
        <w:spacing w:line="360" w:lineRule="auto"/>
        <w:ind w:firstLine="422" w:firstLineChars="200"/>
        <w:rPr>
          <w:rFonts w:ascii="宋体" w:hAnsi="宋体"/>
          <w:b/>
          <w:color w:val="auto"/>
          <w:szCs w:val="21"/>
          <w:highlight w:val="none"/>
        </w:rPr>
      </w:pPr>
      <w:bookmarkStart w:id="225" w:name="_Hlk70673462"/>
      <w:r>
        <w:rPr>
          <w:rFonts w:hint="eastAsia" w:ascii="宋体" w:hAnsi="宋体"/>
          <w:b/>
          <w:color w:val="auto"/>
          <w:szCs w:val="21"/>
          <w:highlight w:val="none"/>
        </w:rPr>
        <w:t>4.本项目谈判报价评审时，以“谈判不含增值税总报价”进行评标。</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5.本项目谈判总报价为含税总价（即不含税总价与税费之和）。谈判单位在填写谈判报价时应当注意区分“谈判不含增值税总价”“税费”“谈判总报价”。</w:t>
      </w:r>
      <w:bookmarkEnd w:id="225"/>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6.本项目报价须满足“谈判不含增值税总报价=谈判总报价/（1+增值税税率）”。</w:t>
      </w:r>
    </w:p>
    <w:p>
      <w:pPr>
        <w:adjustRightInd w:val="0"/>
        <w:snapToGrid w:val="0"/>
        <w:spacing w:line="360" w:lineRule="auto"/>
        <w:ind w:firstLine="420" w:firstLineChars="20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bookmarkStart w:id="226" w:name="_Toc5231"/>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w:t>
      </w:r>
      <w:bookmarkEnd w:id="226"/>
      <w:r>
        <w:rPr>
          <w:rFonts w:hint="eastAsia" w:ascii="宋体" w:hAnsi="宋体"/>
          <w:color w:val="auto"/>
          <w:sz w:val="21"/>
          <w:szCs w:val="21"/>
          <w:highlight w:val="none"/>
          <w:u w:val="single"/>
        </w:rPr>
        <w:t xml:space="preserve">    </w:t>
      </w:r>
    </w:p>
    <w:p>
      <w:pPr>
        <w:adjustRightInd w:val="0"/>
        <w:snapToGrid w:val="0"/>
        <w:spacing w:line="360" w:lineRule="auto"/>
        <w:rPr>
          <w:rFonts w:ascii="宋体" w:hAnsi="宋体"/>
          <w:color w:val="auto"/>
          <w:szCs w:val="21"/>
          <w:highlight w:val="none"/>
        </w:rPr>
      </w:pPr>
      <w:bookmarkStart w:id="227" w:name="_Toc28605"/>
      <w:r>
        <w:rPr>
          <w:rFonts w:hint="eastAsia" w:ascii="宋体" w:hAnsi="宋体"/>
          <w:color w:val="auto"/>
          <w:szCs w:val="21"/>
          <w:highlight w:val="none"/>
        </w:rPr>
        <w:t>法定代表人或其委托代理人（签字或盖章）：</w:t>
      </w:r>
      <w:bookmarkEnd w:id="227"/>
      <w:r>
        <w:rPr>
          <w:rFonts w:hint="eastAsia" w:ascii="宋体" w:hAnsi="宋体"/>
          <w:color w:val="auto"/>
          <w:szCs w:val="21"/>
          <w:highlight w:val="none"/>
          <w:u w:val="single"/>
        </w:rPr>
        <w:t xml:space="preserve">               </w:t>
      </w:r>
    </w:p>
    <w:p>
      <w:pPr>
        <w:spacing w:line="360" w:lineRule="auto"/>
        <w:rPr>
          <w:rFonts w:ascii="宋体" w:hAnsi="宋体"/>
          <w:b/>
          <w:bCs/>
          <w:color w:val="auto"/>
          <w:sz w:val="32"/>
          <w:szCs w:val="32"/>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jc w:val="center"/>
        <w:rPr>
          <w:rFonts w:ascii="宋体" w:hAnsi="宋体"/>
          <w:b/>
          <w:bCs/>
          <w:color w:val="auto"/>
          <w:sz w:val="32"/>
          <w:szCs w:val="32"/>
          <w:highlight w:val="none"/>
        </w:rPr>
      </w:pPr>
    </w:p>
    <w:p>
      <w:pPr>
        <w:adjustRightInd w:val="0"/>
        <w:snapToGrid w:val="0"/>
        <w:jc w:val="center"/>
        <w:rPr>
          <w:rFonts w:ascii="宋体" w:hAnsi="宋体"/>
          <w:b/>
          <w:bCs/>
          <w:color w:val="auto"/>
          <w:sz w:val="32"/>
          <w:szCs w:val="32"/>
          <w:highlight w:val="none"/>
        </w:rPr>
        <w:sectPr>
          <w:pgSz w:w="11905" w:h="16838"/>
          <w:pgMar w:top="2098" w:right="1474" w:bottom="1984" w:left="1587" w:header="851" w:footer="850" w:gutter="0"/>
          <w:cols w:space="0" w:num="1"/>
          <w:docGrid w:linePitch="312" w:charSpace="0"/>
        </w:sectPr>
      </w:pPr>
    </w:p>
    <w:p>
      <w:pPr>
        <w:adjustRightInd w:val="0"/>
        <w:snapToGrid w:val="0"/>
        <w:spacing w:line="360" w:lineRule="auto"/>
        <w:ind w:right="23"/>
        <w:jc w:val="center"/>
        <w:outlineLvl w:val="1"/>
        <w:rPr>
          <w:rFonts w:ascii="宋体" w:hAnsi="宋体" w:cs="宋体"/>
          <w:b/>
          <w:color w:val="auto"/>
          <w:sz w:val="32"/>
          <w:szCs w:val="32"/>
          <w:highlight w:val="none"/>
        </w:rPr>
      </w:pPr>
      <w:bookmarkStart w:id="228" w:name="_Toc27655"/>
      <w:bookmarkStart w:id="229" w:name="_Toc13754"/>
      <w:bookmarkStart w:id="230" w:name="_Toc27585"/>
      <w:bookmarkStart w:id="231" w:name="_Toc9077"/>
      <w:bookmarkStart w:id="232" w:name="_Toc22739"/>
      <w:bookmarkStart w:id="233" w:name="_Toc22350"/>
      <w:r>
        <w:rPr>
          <w:rFonts w:hint="eastAsia" w:ascii="宋体" w:hAnsi="宋体" w:cs="宋体"/>
          <w:b/>
          <w:color w:val="auto"/>
          <w:sz w:val="32"/>
          <w:szCs w:val="32"/>
          <w:highlight w:val="none"/>
        </w:rPr>
        <w:t>十、分项价格表</w:t>
      </w:r>
      <w:bookmarkEnd w:id="228"/>
      <w:bookmarkEnd w:id="229"/>
    </w:p>
    <w:p>
      <w:pPr>
        <w:spacing w:line="360" w:lineRule="exact"/>
        <w:rPr>
          <w:rFonts w:ascii="宋体" w:hAnsi="宋体"/>
          <w:b/>
          <w:color w:val="auto"/>
          <w:highlight w:val="none"/>
        </w:rPr>
      </w:pPr>
    </w:p>
    <w:p>
      <w:pPr>
        <w:spacing w:line="360" w:lineRule="exact"/>
        <w:ind w:firstLine="210" w:firstLineChars="100"/>
        <w:jc w:val="left"/>
        <w:rPr>
          <w:rFonts w:ascii="宋体" w:hAnsi="宋体"/>
          <w:color w:val="auto"/>
          <w:highlight w:val="none"/>
        </w:rPr>
      </w:pPr>
      <w:r>
        <w:rPr>
          <w:rFonts w:hint="eastAsia" w:ascii="宋体" w:hAnsi="宋体"/>
          <w:bCs/>
          <w:color w:val="auto"/>
          <w:highlight w:val="none"/>
        </w:rPr>
        <w:t>项目</w:t>
      </w:r>
      <w:r>
        <w:rPr>
          <w:rFonts w:hint="eastAsia" w:ascii="宋体" w:hAnsi="宋体"/>
          <w:color w:val="auto"/>
          <w:highlight w:val="none"/>
        </w:rPr>
        <w:t>名称：                                                        金额单位：元</w:t>
      </w:r>
    </w:p>
    <w:tbl>
      <w:tblPr>
        <w:tblStyle w:val="47"/>
        <w:tblW w:w="100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274"/>
        <w:gridCol w:w="1083"/>
        <w:gridCol w:w="1083"/>
        <w:gridCol w:w="738"/>
        <w:gridCol w:w="694"/>
        <w:gridCol w:w="1719"/>
        <w:gridCol w:w="1125"/>
        <w:gridCol w:w="872"/>
        <w:gridCol w:w="7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0025" w:type="dxa"/>
            <w:gridSpan w:val="1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1号线清单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706"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74"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083"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083"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型号规格（</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rPr>
              <w:t>详细的技术参数）</w:t>
            </w:r>
          </w:p>
        </w:tc>
        <w:tc>
          <w:tcPr>
            <w:tcW w:w="738"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94" w:type="dxa"/>
            <w:tcBorders>
              <w:righ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719" w:type="dxa"/>
            <w:tcBorders>
              <w:lef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不含增值税单价</w:t>
            </w:r>
          </w:p>
        </w:tc>
        <w:tc>
          <w:tcPr>
            <w:tcW w:w="1125"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含税单价</w:t>
            </w:r>
          </w:p>
        </w:tc>
        <w:tc>
          <w:tcPr>
            <w:tcW w:w="872"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增值税税率</w:t>
            </w:r>
          </w:p>
        </w:tc>
        <w:tc>
          <w:tcPr>
            <w:tcW w:w="731"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06"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4"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w w:val="90"/>
                <w:sz w:val="21"/>
                <w:szCs w:val="21"/>
                <w:highlight w:val="none"/>
              </w:rPr>
              <w:t>钢轨轮廓测量仪</w:t>
            </w:r>
          </w:p>
        </w:tc>
        <w:tc>
          <w:tcPr>
            <w:tcW w:w="1083" w:type="dxa"/>
            <w:vAlign w:val="center"/>
          </w:tcPr>
          <w:p>
            <w:pPr>
              <w:adjustRightInd w:val="0"/>
              <w:snapToGrid w:val="0"/>
              <w:jc w:val="center"/>
              <w:rPr>
                <w:rFonts w:hint="eastAsia" w:ascii="宋体" w:hAnsi="宋体" w:eastAsia="宋体" w:cs="宋体"/>
                <w:color w:val="auto"/>
                <w:sz w:val="21"/>
                <w:szCs w:val="21"/>
                <w:highlight w:val="none"/>
              </w:rPr>
            </w:pPr>
          </w:p>
        </w:tc>
        <w:tc>
          <w:tcPr>
            <w:tcW w:w="1083" w:type="dxa"/>
          </w:tcPr>
          <w:p>
            <w:pPr>
              <w:adjustRightInd w:val="0"/>
              <w:snapToGrid w:val="0"/>
              <w:jc w:val="center"/>
              <w:rPr>
                <w:rFonts w:hint="eastAsia" w:ascii="宋体" w:hAnsi="宋体" w:eastAsia="宋体" w:cs="宋体"/>
                <w:color w:val="auto"/>
                <w:sz w:val="21"/>
                <w:szCs w:val="21"/>
                <w:highlight w:val="none"/>
              </w:rPr>
            </w:pPr>
          </w:p>
        </w:tc>
        <w:tc>
          <w:tcPr>
            <w:tcW w:w="738" w:type="dxa"/>
            <w:vAlign w:val="center"/>
          </w:tcPr>
          <w:p>
            <w:pPr>
              <w:adjustRightInd w:val="0"/>
              <w:snapToGrid w:val="0"/>
              <w:jc w:val="center"/>
              <w:rPr>
                <w:rFonts w:hint="eastAsia" w:ascii="宋体" w:hAnsi="宋体" w:eastAsia="宋体" w:cs="宋体"/>
                <w:color w:val="auto"/>
                <w:sz w:val="21"/>
                <w:szCs w:val="21"/>
                <w:highlight w:val="none"/>
              </w:rPr>
            </w:pPr>
          </w:p>
        </w:tc>
        <w:tc>
          <w:tcPr>
            <w:tcW w:w="694" w:type="dxa"/>
            <w:tcBorders>
              <w:righ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p>
        </w:tc>
        <w:tc>
          <w:tcPr>
            <w:tcW w:w="1719" w:type="dxa"/>
            <w:tcBorders>
              <w:lef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p>
        </w:tc>
        <w:tc>
          <w:tcPr>
            <w:tcW w:w="1125" w:type="dxa"/>
            <w:vAlign w:val="center"/>
          </w:tcPr>
          <w:p>
            <w:pPr>
              <w:adjustRightInd w:val="0"/>
              <w:snapToGrid w:val="0"/>
              <w:jc w:val="center"/>
              <w:rPr>
                <w:rFonts w:hint="eastAsia" w:ascii="宋体" w:hAnsi="宋体" w:eastAsia="宋体" w:cs="宋体"/>
                <w:color w:val="auto"/>
                <w:sz w:val="21"/>
                <w:szCs w:val="21"/>
                <w:highlight w:val="none"/>
              </w:rPr>
            </w:pPr>
          </w:p>
        </w:tc>
        <w:tc>
          <w:tcPr>
            <w:tcW w:w="872" w:type="dxa"/>
            <w:vAlign w:val="center"/>
          </w:tcPr>
          <w:p>
            <w:pPr>
              <w:adjustRightInd w:val="0"/>
              <w:snapToGrid w:val="0"/>
              <w:jc w:val="center"/>
              <w:rPr>
                <w:rFonts w:hint="eastAsia" w:ascii="宋体" w:hAnsi="宋体" w:eastAsia="宋体" w:cs="宋体"/>
                <w:color w:val="auto"/>
                <w:sz w:val="21"/>
                <w:szCs w:val="21"/>
                <w:highlight w:val="none"/>
              </w:rPr>
            </w:pPr>
          </w:p>
        </w:tc>
        <w:tc>
          <w:tcPr>
            <w:tcW w:w="731" w:type="dxa"/>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980" w:type="dxa"/>
            <w:gridSpan w:val="2"/>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含 税 合 计</w:t>
            </w:r>
          </w:p>
        </w:tc>
        <w:tc>
          <w:tcPr>
            <w:tcW w:w="8045" w:type="dxa"/>
            <w:gridSpan w:val="8"/>
            <w:vAlign w:val="center"/>
          </w:tcPr>
          <w:p>
            <w:pPr>
              <w:adjustRightInd w:val="0"/>
              <w:snapToGrid w:val="0"/>
              <w:jc w:val="center"/>
              <w:rPr>
                <w:rFonts w:ascii="宋体" w:hAnsi="宋体"/>
                <w:color w:val="auto"/>
                <w:szCs w:val="21"/>
                <w:highlight w:val="none"/>
              </w:rPr>
            </w:pPr>
          </w:p>
        </w:tc>
      </w:tr>
    </w:tbl>
    <w:p>
      <w:pPr>
        <w:rPr>
          <w:rFonts w:ascii="宋体" w:hAnsi="宋体"/>
          <w:color w:val="auto"/>
          <w:highlight w:val="none"/>
        </w:rPr>
      </w:pPr>
    </w:p>
    <w:p>
      <w:pPr>
        <w:pStyle w:val="12"/>
        <w:ind w:left="0" w:leftChars="0"/>
        <w:rPr>
          <w:color w:val="auto"/>
          <w:highlight w:val="none"/>
        </w:rPr>
      </w:pPr>
    </w:p>
    <w:tbl>
      <w:tblPr>
        <w:tblStyle w:val="47"/>
        <w:tblW w:w="99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7"/>
        <w:gridCol w:w="1262"/>
        <w:gridCol w:w="1107"/>
        <w:gridCol w:w="1083"/>
        <w:gridCol w:w="668"/>
        <w:gridCol w:w="692"/>
        <w:gridCol w:w="1722"/>
        <w:gridCol w:w="1150"/>
        <w:gridCol w:w="887"/>
        <w:gridCol w:w="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51" w:type="dxa"/>
            <w:gridSpan w:val="1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2号线清单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70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2"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10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083"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型号规格（</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rPr>
              <w:t>详细的技术参数）</w:t>
            </w:r>
          </w:p>
        </w:tc>
        <w:tc>
          <w:tcPr>
            <w:tcW w:w="668"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92" w:type="dxa"/>
            <w:tcBorders>
              <w:righ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722" w:type="dxa"/>
            <w:tcBorders>
              <w:lef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不含增值税单价</w:t>
            </w:r>
          </w:p>
        </w:tc>
        <w:tc>
          <w:tcPr>
            <w:tcW w:w="1150"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含税单价</w:t>
            </w:r>
          </w:p>
        </w:tc>
        <w:tc>
          <w:tcPr>
            <w:tcW w:w="88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增值税税率</w:t>
            </w:r>
          </w:p>
        </w:tc>
        <w:tc>
          <w:tcPr>
            <w:tcW w:w="673"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0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2"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w w:val="90"/>
                <w:sz w:val="21"/>
                <w:szCs w:val="21"/>
                <w:highlight w:val="none"/>
              </w:rPr>
              <w:t>钢轨平直度测量仪</w:t>
            </w:r>
          </w:p>
        </w:tc>
        <w:tc>
          <w:tcPr>
            <w:tcW w:w="1107" w:type="dxa"/>
            <w:vAlign w:val="center"/>
          </w:tcPr>
          <w:p>
            <w:pPr>
              <w:adjustRightInd w:val="0"/>
              <w:snapToGrid w:val="0"/>
              <w:jc w:val="center"/>
              <w:rPr>
                <w:rFonts w:hint="eastAsia" w:ascii="宋体" w:hAnsi="宋体" w:eastAsia="宋体" w:cs="宋体"/>
                <w:color w:val="auto"/>
                <w:sz w:val="21"/>
                <w:szCs w:val="21"/>
                <w:highlight w:val="none"/>
              </w:rPr>
            </w:pPr>
          </w:p>
        </w:tc>
        <w:tc>
          <w:tcPr>
            <w:tcW w:w="1083" w:type="dxa"/>
          </w:tcPr>
          <w:p>
            <w:pPr>
              <w:adjustRightInd w:val="0"/>
              <w:snapToGrid w:val="0"/>
              <w:jc w:val="center"/>
              <w:rPr>
                <w:rFonts w:hint="eastAsia" w:ascii="宋体" w:hAnsi="宋体" w:eastAsia="宋体" w:cs="宋体"/>
                <w:color w:val="auto"/>
                <w:sz w:val="21"/>
                <w:szCs w:val="21"/>
                <w:highlight w:val="none"/>
              </w:rPr>
            </w:pPr>
          </w:p>
        </w:tc>
        <w:tc>
          <w:tcPr>
            <w:tcW w:w="668" w:type="dxa"/>
            <w:vAlign w:val="center"/>
          </w:tcPr>
          <w:p>
            <w:pPr>
              <w:adjustRightInd w:val="0"/>
              <w:snapToGrid w:val="0"/>
              <w:jc w:val="center"/>
              <w:rPr>
                <w:rFonts w:hint="eastAsia" w:ascii="宋体" w:hAnsi="宋体" w:eastAsia="宋体" w:cs="宋体"/>
                <w:color w:val="auto"/>
                <w:sz w:val="21"/>
                <w:szCs w:val="21"/>
                <w:highlight w:val="none"/>
              </w:rPr>
            </w:pPr>
          </w:p>
        </w:tc>
        <w:tc>
          <w:tcPr>
            <w:tcW w:w="692" w:type="dxa"/>
            <w:tcBorders>
              <w:righ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p>
        </w:tc>
        <w:tc>
          <w:tcPr>
            <w:tcW w:w="1722" w:type="dxa"/>
            <w:tcBorders>
              <w:lef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p>
        </w:tc>
        <w:tc>
          <w:tcPr>
            <w:tcW w:w="1150" w:type="dxa"/>
            <w:vAlign w:val="center"/>
          </w:tcPr>
          <w:p>
            <w:pPr>
              <w:adjustRightInd w:val="0"/>
              <w:snapToGrid w:val="0"/>
              <w:jc w:val="center"/>
              <w:rPr>
                <w:rFonts w:hint="eastAsia" w:ascii="宋体" w:hAnsi="宋体" w:eastAsia="宋体" w:cs="宋体"/>
                <w:color w:val="auto"/>
                <w:sz w:val="21"/>
                <w:szCs w:val="21"/>
                <w:highlight w:val="none"/>
              </w:rPr>
            </w:pPr>
          </w:p>
        </w:tc>
        <w:tc>
          <w:tcPr>
            <w:tcW w:w="887" w:type="dxa"/>
            <w:vAlign w:val="center"/>
          </w:tcPr>
          <w:p>
            <w:pPr>
              <w:adjustRightInd w:val="0"/>
              <w:snapToGrid w:val="0"/>
              <w:jc w:val="center"/>
              <w:rPr>
                <w:rFonts w:hint="eastAsia" w:ascii="宋体" w:hAnsi="宋体" w:eastAsia="宋体" w:cs="宋体"/>
                <w:color w:val="auto"/>
                <w:sz w:val="21"/>
                <w:szCs w:val="21"/>
                <w:highlight w:val="none"/>
              </w:rPr>
            </w:pPr>
          </w:p>
        </w:tc>
        <w:tc>
          <w:tcPr>
            <w:tcW w:w="673" w:type="dxa"/>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0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62"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w w:val="90"/>
                <w:sz w:val="21"/>
                <w:szCs w:val="21"/>
                <w:highlight w:val="none"/>
              </w:rPr>
              <w:t>多功能垂直钢轨打磨机</w:t>
            </w:r>
          </w:p>
        </w:tc>
        <w:tc>
          <w:tcPr>
            <w:tcW w:w="1107" w:type="dxa"/>
            <w:vAlign w:val="center"/>
          </w:tcPr>
          <w:p>
            <w:pPr>
              <w:adjustRightInd w:val="0"/>
              <w:snapToGrid w:val="0"/>
              <w:jc w:val="center"/>
              <w:rPr>
                <w:rFonts w:hint="eastAsia" w:ascii="宋体" w:hAnsi="宋体" w:eastAsia="宋体" w:cs="宋体"/>
                <w:color w:val="auto"/>
                <w:sz w:val="21"/>
                <w:szCs w:val="21"/>
                <w:highlight w:val="none"/>
              </w:rPr>
            </w:pPr>
          </w:p>
        </w:tc>
        <w:tc>
          <w:tcPr>
            <w:tcW w:w="1083" w:type="dxa"/>
          </w:tcPr>
          <w:p>
            <w:pPr>
              <w:adjustRightInd w:val="0"/>
              <w:snapToGrid w:val="0"/>
              <w:jc w:val="center"/>
              <w:rPr>
                <w:rFonts w:hint="eastAsia" w:ascii="宋体" w:hAnsi="宋体" w:eastAsia="宋体" w:cs="宋体"/>
                <w:color w:val="auto"/>
                <w:sz w:val="21"/>
                <w:szCs w:val="21"/>
                <w:highlight w:val="none"/>
              </w:rPr>
            </w:pPr>
          </w:p>
        </w:tc>
        <w:tc>
          <w:tcPr>
            <w:tcW w:w="668" w:type="dxa"/>
            <w:vAlign w:val="center"/>
          </w:tcPr>
          <w:p>
            <w:pPr>
              <w:adjustRightInd w:val="0"/>
              <w:snapToGrid w:val="0"/>
              <w:jc w:val="center"/>
              <w:rPr>
                <w:rFonts w:hint="eastAsia" w:ascii="宋体" w:hAnsi="宋体" w:eastAsia="宋体" w:cs="宋体"/>
                <w:color w:val="auto"/>
                <w:sz w:val="21"/>
                <w:szCs w:val="21"/>
                <w:highlight w:val="none"/>
              </w:rPr>
            </w:pPr>
          </w:p>
        </w:tc>
        <w:tc>
          <w:tcPr>
            <w:tcW w:w="692" w:type="dxa"/>
            <w:tcBorders>
              <w:righ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p>
        </w:tc>
        <w:tc>
          <w:tcPr>
            <w:tcW w:w="1722" w:type="dxa"/>
            <w:tcBorders>
              <w:lef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p>
        </w:tc>
        <w:tc>
          <w:tcPr>
            <w:tcW w:w="1150" w:type="dxa"/>
            <w:vAlign w:val="center"/>
          </w:tcPr>
          <w:p>
            <w:pPr>
              <w:adjustRightInd w:val="0"/>
              <w:snapToGrid w:val="0"/>
              <w:jc w:val="center"/>
              <w:rPr>
                <w:rFonts w:hint="eastAsia" w:ascii="宋体" w:hAnsi="宋体" w:eastAsia="宋体" w:cs="宋体"/>
                <w:color w:val="auto"/>
                <w:sz w:val="21"/>
                <w:szCs w:val="21"/>
                <w:highlight w:val="none"/>
              </w:rPr>
            </w:pPr>
          </w:p>
        </w:tc>
        <w:tc>
          <w:tcPr>
            <w:tcW w:w="887" w:type="dxa"/>
            <w:vAlign w:val="center"/>
          </w:tcPr>
          <w:p>
            <w:pPr>
              <w:adjustRightInd w:val="0"/>
              <w:snapToGrid w:val="0"/>
              <w:jc w:val="center"/>
              <w:rPr>
                <w:rFonts w:hint="eastAsia" w:ascii="宋体" w:hAnsi="宋体" w:eastAsia="宋体" w:cs="宋体"/>
                <w:color w:val="auto"/>
                <w:sz w:val="21"/>
                <w:szCs w:val="21"/>
                <w:highlight w:val="none"/>
              </w:rPr>
            </w:pPr>
          </w:p>
        </w:tc>
        <w:tc>
          <w:tcPr>
            <w:tcW w:w="673" w:type="dxa"/>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969" w:type="dxa"/>
            <w:gridSpan w:val="2"/>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含 税 合 计</w:t>
            </w:r>
          </w:p>
        </w:tc>
        <w:tc>
          <w:tcPr>
            <w:tcW w:w="7982" w:type="dxa"/>
            <w:gridSpan w:val="8"/>
            <w:vAlign w:val="center"/>
          </w:tcPr>
          <w:p>
            <w:pPr>
              <w:adjustRightInd w:val="0"/>
              <w:snapToGrid w:val="0"/>
              <w:jc w:val="center"/>
              <w:rPr>
                <w:rFonts w:ascii="宋体" w:hAnsi="宋体"/>
                <w:color w:val="auto"/>
                <w:szCs w:val="21"/>
                <w:highlight w:val="none"/>
              </w:rPr>
            </w:pPr>
          </w:p>
        </w:tc>
      </w:tr>
    </w:tbl>
    <w:p>
      <w:pPr>
        <w:adjustRightInd w:val="0"/>
        <w:snapToGrid w:val="0"/>
        <w:spacing w:line="360" w:lineRule="auto"/>
        <w:rPr>
          <w:rFonts w:ascii="宋体" w:hAnsi="宋体"/>
          <w:b/>
          <w:color w:val="auto"/>
          <w:szCs w:val="21"/>
          <w:highlight w:val="none"/>
        </w:rPr>
      </w:pPr>
    </w:p>
    <w:tbl>
      <w:tblPr>
        <w:tblStyle w:val="47"/>
        <w:tblW w:w="99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7"/>
        <w:gridCol w:w="1262"/>
        <w:gridCol w:w="1107"/>
        <w:gridCol w:w="1083"/>
        <w:gridCol w:w="668"/>
        <w:gridCol w:w="692"/>
        <w:gridCol w:w="1722"/>
        <w:gridCol w:w="1150"/>
        <w:gridCol w:w="887"/>
        <w:gridCol w:w="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51" w:type="dxa"/>
            <w:gridSpan w:val="1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4号线清单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70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2"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10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083"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型号规格（</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rPr>
              <w:t>详细的技术参数）</w:t>
            </w:r>
          </w:p>
        </w:tc>
        <w:tc>
          <w:tcPr>
            <w:tcW w:w="668"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92" w:type="dxa"/>
            <w:tcBorders>
              <w:righ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722" w:type="dxa"/>
            <w:tcBorders>
              <w:lef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不含增值税单价</w:t>
            </w:r>
          </w:p>
        </w:tc>
        <w:tc>
          <w:tcPr>
            <w:tcW w:w="1150"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含税单价</w:t>
            </w:r>
          </w:p>
        </w:tc>
        <w:tc>
          <w:tcPr>
            <w:tcW w:w="88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增值税税率</w:t>
            </w:r>
          </w:p>
        </w:tc>
        <w:tc>
          <w:tcPr>
            <w:tcW w:w="673"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0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2"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w w:val="90"/>
                <w:sz w:val="21"/>
                <w:szCs w:val="21"/>
                <w:highlight w:val="none"/>
              </w:rPr>
              <w:t>双轨波浪磨耗测量仪</w:t>
            </w:r>
          </w:p>
        </w:tc>
        <w:tc>
          <w:tcPr>
            <w:tcW w:w="1107" w:type="dxa"/>
            <w:vAlign w:val="center"/>
          </w:tcPr>
          <w:p>
            <w:pPr>
              <w:adjustRightInd w:val="0"/>
              <w:snapToGrid w:val="0"/>
              <w:jc w:val="center"/>
              <w:rPr>
                <w:rFonts w:hint="eastAsia" w:ascii="宋体" w:hAnsi="宋体" w:eastAsia="宋体" w:cs="宋体"/>
                <w:color w:val="auto"/>
                <w:sz w:val="21"/>
                <w:szCs w:val="21"/>
                <w:highlight w:val="none"/>
              </w:rPr>
            </w:pPr>
          </w:p>
        </w:tc>
        <w:tc>
          <w:tcPr>
            <w:tcW w:w="1083" w:type="dxa"/>
          </w:tcPr>
          <w:p>
            <w:pPr>
              <w:adjustRightInd w:val="0"/>
              <w:snapToGrid w:val="0"/>
              <w:jc w:val="center"/>
              <w:rPr>
                <w:rFonts w:hint="eastAsia" w:ascii="宋体" w:hAnsi="宋体" w:eastAsia="宋体" w:cs="宋体"/>
                <w:color w:val="auto"/>
                <w:sz w:val="21"/>
                <w:szCs w:val="21"/>
                <w:highlight w:val="none"/>
              </w:rPr>
            </w:pPr>
          </w:p>
        </w:tc>
        <w:tc>
          <w:tcPr>
            <w:tcW w:w="668" w:type="dxa"/>
            <w:vAlign w:val="center"/>
          </w:tcPr>
          <w:p>
            <w:pPr>
              <w:adjustRightInd w:val="0"/>
              <w:snapToGrid w:val="0"/>
              <w:jc w:val="center"/>
              <w:rPr>
                <w:rFonts w:hint="eastAsia" w:ascii="宋体" w:hAnsi="宋体" w:eastAsia="宋体" w:cs="宋体"/>
                <w:color w:val="auto"/>
                <w:sz w:val="21"/>
                <w:szCs w:val="21"/>
                <w:highlight w:val="none"/>
              </w:rPr>
            </w:pPr>
          </w:p>
        </w:tc>
        <w:tc>
          <w:tcPr>
            <w:tcW w:w="692" w:type="dxa"/>
            <w:tcBorders>
              <w:righ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p>
        </w:tc>
        <w:tc>
          <w:tcPr>
            <w:tcW w:w="1722" w:type="dxa"/>
            <w:tcBorders>
              <w:lef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p>
        </w:tc>
        <w:tc>
          <w:tcPr>
            <w:tcW w:w="1150" w:type="dxa"/>
            <w:vAlign w:val="center"/>
          </w:tcPr>
          <w:p>
            <w:pPr>
              <w:adjustRightInd w:val="0"/>
              <w:snapToGrid w:val="0"/>
              <w:jc w:val="center"/>
              <w:rPr>
                <w:rFonts w:hint="eastAsia" w:ascii="宋体" w:hAnsi="宋体" w:eastAsia="宋体" w:cs="宋体"/>
                <w:color w:val="auto"/>
                <w:sz w:val="21"/>
                <w:szCs w:val="21"/>
                <w:highlight w:val="none"/>
              </w:rPr>
            </w:pPr>
          </w:p>
        </w:tc>
        <w:tc>
          <w:tcPr>
            <w:tcW w:w="887" w:type="dxa"/>
            <w:vAlign w:val="center"/>
          </w:tcPr>
          <w:p>
            <w:pPr>
              <w:adjustRightInd w:val="0"/>
              <w:snapToGrid w:val="0"/>
              <w:jc w:val="center"/>
              <w:rPr>
                <w:rFonts w:hint="eastAsia" w:ascii="宋体" w:hAnsi="宋体" w:eastAsia="宋体" w:cs="宋体"/>
                <w:color w:val="auto"/>
                <w:sz w:val="21"/>
                <w:szCs w:val="21"/>
                <w:highlight w:val="none"/>
              </w:rPr>
            </w:pPr>
          </w:p>
        </w:tc>
        <w:tc>
          <w:tcPr>
            <w:tcW w:w="673" w:type="dxa"/>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0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62"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w w:val="90"/>
                <w:sz w:val="21"/>
                <w:szCs w:val="21"/>
                <w:highlight w:val="none"/>
              </w:rPr>
              <w:t>钢轨波纹打磨机</w:t>
            </w:r>
          </w:p>
        </w:tc>
        <w:tc>
          <w:tcPr>
            <w:tcW w:w="1107" w:type="dxa"/>
            <w:vAlign w:val="center"/>
          </w:tcPr>
          <w:p>
            <w:pPr>
              <w:adjustRightInd w:val="0"/>
              <w:snapToGrid w:val="0"/>
              <w:jc w:val="center"/>
              <w:rPr>
                <w:rFonts w:hint="eastAsia" w:ascii="宋体" w:hAnsi="宋体" w:eastAsia="宋体" w:cs="宋体"/>
                <w:color w:val="auto"/>
                <w:sz w:val="21"/>
                <w:szCs w:val="21"/>
                <w:highlight w:val="none"/>
              </w:rPr>
            </w:pPr>
          </w:p>
        </w:tc>
        <w:tc>
          <w:tcPr>
            <w:tcW w:w="1083" w:type="dxa"/>
          </w:tcPr>
          <w:p>
            <w:pPr>
              <w:adjustRightInd w:val="0"/>
              <w:snapToGrid w:val="0"/>
              <w:jc w:val="center"/>
              <w:rPr>
                <w:rFonts w:hint="eastAsia" w:ascii="宋体" w:hAnsi="宋体" w:eastAsia="宋体" w:cs="宋体"/>
                <w:color w:val="auto"/>
                <w:sz w:val="21"/>
                <w:szCs w:val="21"/>
                <w:highlight w:val="none"/>
              </w:rPr>
            </w:pPr>
          </w:p>
        </w:tc>
        <w:tc>
          <w:tcPr>
            <w:tcW w:w="668" w:type="dxa"/>
            <w:vAlign w:val="center"/>
          </w:tcPr>
          <w:p>
            <w:pPr>
              <w:adjustRightInd w:val="0"/>
              <w:snapToGrid w:val="0"/>
              <w:jc w:val="center"/>
              <w:rPr>
                <w:rFonts w:hint="eastAsia" w:ascii="宋体" w:hAnsi="宋体" w:eastAsia="宋体" w:cs="宋体"/>
                <w:color w:val="auto"/>
                <w:sz w:val="21"/>
                <w:szCs w:val="21"/>
                <w:highlight w:val="none"/>
              </w:rPr>
            </w:pPr>
          </w:p>
        </w:tc>
        <w:tc>
          <w:tcPr>
            <w:tcW w:w="692" w:type="dxa"/>
            <w:tcBorders>
              <w:righ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p>
        </w:tc>
        <w:tc>
          <w:tcPr>
            <w:tcW w:w="1722" w:type="dxa"/>
            <w:tcBorders>
              <w:left w:val="single" w:color="auto" w:sz="4" w:space="0"/>
            </w:tcBorders>
            <w:vAlign w:val="center"/>
          </w:tcPr>
          <w:p>
            <w:pPr>
              <w:adjustRightInd w:val="0"/>
              <w:snapToGrid w:val="0"/>
              <w:jc w:val="center"/>
              <w:rPr>
                <w:rFonts w:hint="eastAsia" w:ascii="宋体" w:hAnsi="宋体" w:eastAsia="宋体" w:cs="宋体"/>
                <w:color w:val="auto"/>
                <w:sz w:val="21"/>
                <w:szCs w:val="21"/>
                <w:highlight w:val="none"/>
              </w:rPr>
            </w:pPr>
          </w:p>
        </w:tc>
        <w:tc>
          <w:tcPr>
            <w:tcW w:w="1150" w:type="dxa"/>
            <w:vAlign w:val="center"/>
          </w:tcPr>
          <w:p>
            <w:pPr>
              <w:adjustRightInd w:val="0"/>
              <w:snapToGrid w:val="0"/>
              <w:jc w:val="center"/>
              <w:rPr>
                <w:rFonts w:hint="eastAsia" w:ascii="宋体" w:hAnsi="宋体" w:eastAsia="宋体" w:cs="宋体"/>
                <w:color w:val="auto"/>
                <w:sz w:val="21"/>
                <w:szCs w:val="21"/>
                <w:highlight w:val="none"/>
              </w:rPr>
            </w:pPr>
          </w:p>
        </w:tc>
        <w:tc>
          <w:tcPr>
            <w:tcW w:w="887" w:type="dxa"/>
            <w:vAlign w:val="center"/>
          </w:tcPr>
          <w:p>
            <w:pPr>
              <w:adjustRightInd w:val="0"/>
              <w:snapToGrid w:val="0"/>
              <w:jc w:val="center"/>
              <w:rPr>
                <w:rFonts w:hint="eastAsia" w:ascii="宋体" w:hAnsi="宋体" w:eastAsia="宋体" w:cs="宋体"/>
                <w:color w:val="auto"/>
                <w:sz w:val="21"/>
                <w:szCs w:val="21"/>
                <w:highlight w:val="none"/>
              </w:rPr>
            </w:pPr>
          </w:p>
        </w:tc>
        <w:tc>
          <w:tcPr>
            <w:tcW w:w="673" w:type="dxa"/>
          </w:tcPr>
          <w:p>
            <w:pPr>
              <w:adjustRightInd w:val="0"/>
              <w:snapToGrid w:val="0"/>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969" w:type="dxa"/>
            <w:gridSpan w:val="2"/>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含 税 合 计</w:t>
            </w:r>
          </w:p>
        </w:tc>
        <w:tc>
          <w:tcPr>
            <w:tcW w:w="7982" w:type="dxa"/>
            <w:gridSpan w:val="8"/>
            <w:vAlign w:val="center"/>
          </w:tcPr>
          <w:p>
            <w:pPr>
              <w:adjustRightInd w:val="0"/>
              <w:snapToGrid w:val="0"/>
              <w:jc w:val="center"/>
              <w:rPr>
                <w:rFonts w:ascii="宋体" w:hAnsi="宋体"/>
                <w:color w:val="auto"/>
                <w:szCs w:val="21"/>
                <w:highlight w:val="none"/>
              </w:rPr>
            </w:pPr>
          </w:p>
        </w:tc>
      </w:tr>
    </w:tbl>
    <w:p>
      <w:pPr>
        <w:pStyle w:val="46"/>
        <w:ind w:left="0" w:leftChars="0" w:firstLine="0"/>
        <w:rPr>
          <w:color w:val="auto"/>
          <w:highlight w:val="none"/>
        </w:rPr>
      </w:pPr>
    </w:p>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备注：1.所有报价保留小数点后两位，小数点后第三位“四舍五入”。</w:t>
      </w:r>
    </w:p>
    <w:p>
      <w:pPr>
        <w:adjustRightInd w:val="0"/>
        <w:snapToGrid w:val="0"/>
        <w:spacing w:line="360" w:lineRule="auto"/>
        <w:ind w:firstLine="632" w:firstLineChars="300"/>
        <w:rPr>
          <w:rFonts w:ascii="宋体" w:hAnsi="宋体"/>
          <w:b/>
          <w:color w:val="auto"/>
          <w:szCs w:val="21"/>
          <w:highlight w:val="none"/>
        </w:rPr>
      </w:pPr>
      <w:r>
        <w:rPr>
          <w:rFonts w:hint="eastAsia" w:ascii="宋体" w:hAnsi="宋体"/>
          <w:b/>
          <w:color w:val="auto"/>
          <w:szCs w:val="21"/>
          <w:highlight w:val="none"/>
        </w:rPr>
        <w:t>2.本表包含谈判文件“用户需求书”或其他部分对该项目所有要求的详细报价。“合计”金额之和应与《报价一览表》内“谈判总报价”金额一致。栏目“含税单价”为综合单价，应包含所有隐含的管理费、税金和利润等其他费用。</w:t>
      </w:r>
    </w:p>
    <w:p>
      <w:pPr>
        <w:pStyle w:val="46"/>
        <w:ind w:left="0" w:leftChars="0" w:firstLine="632" w:firstLineChars="300"/>
        <w:rPr>
          <w:color w:val="auto"/>
          <w:highlight w:val="none"/>
        </w:rPr>
      </w:pPr>
      <w:r>
        <w:rPr>
          <w:rFonts w:hint="eastAsia" w:ascii="宋体" w:hAnsi="宋体"/>
          <w:b/>
          <w:color w:val="auto"/>
          <w:szCs w:val="21"/>
          <w:highlight w:val="none"/>
        </w:rPr>
        <w:t>3.本项目报价须满足“不含增值税单价=含税单价/（1+增值税税率）。</w:t>
      </w:r>
    </w:p>
    <w:p>
      <w:pPr>
        <w:pStyle w:val="27"/>
        <w:adjustRightInd w:val="0"/>
        <w:snapToGrid w:val="0"/>
        <w:spacing w:line="360" w:lineRule="auto"/>
        <w:rPr>
          <w:rFonts w:ascii="宋体" w:hAnsi="宋体"/>
          <w:color w:val="auto"/>
          <w:sz w:val="21"/>
          <w:szCs w:val="21"/>
          <w:highlight w:val="none"/>
        </w:rPr>
      </w:pPr>
    </w:p>
    <w:p>
      <w:pPr>
        <w:pStyle w:val="27"/>
        <w:adjustRightInd w:val="0"/>
        <w:snapToGrid w:val="0"/>
        <w:spacing w:line="360" w:lineRule="auto"/>
        <w:ind w:firstLine="420" w:firstLineChars="200"/>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3"/>
        <w:jc w:val="center"/>
        <w:outlineLvl w:val="1"/>
        <w:rPr>
          <w:rFonts w:ascii="宋体" w:hAnsi="宋体" w:cs="宋体"/>
          <w:b/>
          <w:color w:val="auto"/>
          <w:sz w:val="32"/>
          <w:szCs w:val="32"/>
          <w:highlight w:val="none"/>
        </w:rPr>
        <w:sectPr>
          <w:pgSz w:w="11905" w:h="16838"/>
          <w:pgMar w:top="2098" w:right="1474" w:bottom="1984" w:left="1587" w:header="851" w:footer="850" w:gutter="0"/>
          <w:cols w:space="0" w:num="1"/>
          <w:docGrid w:linePitch="312" w:charSpace="0"/>
        </w:sectPr>
      </w:pPr>
    </w:p>
    <w:p>
      <w:pPr>
        <w:adjustRightInd w:val="0"/>
        <w:snapToGrid w:val="0"/>
        <w:spacing w:line="360" w:lineRule="auto"/>
        <w:ind w:right="23"/>
        <w:jc w:val="center"/>
        <w:outlineLvl w:val="1"/>
        <w:rPr>
          <w:rFonts w:ascii="宋体" w:hAnsi="宋体" w:cs="宋体"/>
          <w:b/>
          <w:color w:val="auto"/>
          <w:sz w:val="32"/>
          <w:szCs w:val="32"/>
          <w:highlight w:val="none"/>
        </w:rPr>
      </w:pPr>
      <w:bookmarkStart w:id="234" w:name="_Toc3553"/>
      <w:bookmarkStart w:id="235" w:name="_Toc183"/>
      <w:r>
        <w:rPr>
          <w:rFonts w:hint="eastAsia" w:ascii="宋体" w:hAnsi="宋体" w:cs="宋体"/>
          <w:b/>
          <w:color w:val="auto"/>
          <w:sz w:val="32"/>
          <w:szCs w:val="32"/>
          <w:highlight w:val="none"/>
        </w:rPr>
        <w:t>十一、其他资料</w:t>
      </w:r>
      <w:bookmarkEnd w:id="230"/>
      <w:bookmarkEnd w:id="231"/>
      <w:bookmarkEnd w:id="232"/>
      <w:bookmarkEnd w:id="233"/>
      <w:r>
        <w:rPr>
          <w:rFonts w:hint="eastAsia" w:ascii="宋体" w:hAnsi="宋体" w:cs="宋体"/>
          <w:b/>
          <w:color w:val="auto"/>
          <w:sz w:val="32"/>
          <w:szCs w:val="32"/>
          <w:highlight w:val="none"/>
        </w:rPr>
        <w:t>（如有）</w:t>
      </w:r>
      <w:bookmarkEnd w:id="234"/>
      <w:bookmarkEnd w:id="235"/>
    </w:p>
    <w:p>
      <w:pPr>
        <w:adjustRightInd w:val="0"/>
        <w:snapToGrid w:val="0"/>
        <w:spacing w:before="120" w:beforeLines="50" w:line="360" w:lineRule="auto"/>
        <w:ind w:firstLine="420" w:firstLineChars="200"/>
        <w:rPr>
          <w:rFonts w:ascii="宋体" w:hAnsi="宋体"/>
          <w:color w:val="auto"/>
          <w:szCs w:val="21"/>
          <w:highlight w:val="none"/>
        </w:rPr>
      </w:pPr>
      <w:bookmarkStart w:id="236" w:name="_Toc18188"/>
      <w:bookmarkStart w:id="237" w:name="_Toc22084"/>
      <w:bookmarkStart w:id="238" w:name="_Toc10648"/>
      <w:bookmarkStart w:id="239" w:name="_Toc5412"/>
      <w:r>
        <w:rPr>
          <w:rFonts w:hint="eastAsia" w:ascii="宋体" w:hAnsi="宋体"/>
          <w:color w:val="auto"/>
          <w:szCs w:val="21"/>
          <w:highlight w:val="none"/>
        </w:rPr>
        <w:t>谈判单位认为需要提供的其他谈判资料，格式自拟。</w:t>
      </w:r>
      <w:bookmarkEnd w:id="236"/>
      <w:bookmarkEnd w:id="237"/>
      <w:bookmarkEnd w:id="238"/>
      <w:bookmarkEnd w:id="239"/>
    </w:p>
    <w:sectPr>
      <w:pgSz w:w="11905" w:h="16838"/>
      <w:pgMar w:top="2098" w:right="1474" w:bottom="1984" w:left="1587"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iLc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y&#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r+uItyQEAAJoDAAAOAAAAAAAAAAEAIAAAAB4BAABkcnMvZTJvRG9j&#10;LnhtbFBLBQYAAAAABgAGAFkBAABZ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OBysoBAACa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Hl&#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ROBysoBAACaAwAADgAAAAAAAAABACAAAAAeAQAAZHJzL2Uyb0Rv&#10;Yy54bWxQSwUGAAAAAAYABgBZAQAAWg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15</w:t>
                    </w:r>
                    <w:r>
                      <w:fldChar w:fldCharType="end"/>
                    </w:r>
                  </w:p>
                </w:txbxContent>
              </v:textbox>
            </v:shape>
          </w:pict>
        </mc:Fallback>
      </mc:AlternateConten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eastAsia="楷体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2jyc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J8&#10;n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craPJyQEAAJoDAAAOAAAAAAAAAAEAIAAAAB4BAABkcnMvZTJvRG9j&#10;LnhtbFBLBQYAAAAABgAGAFkBAABZ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23</w:t>
                    </w:r>
                    <w:r>
                      <w:fldChar w:fldCharType="end"/>
                    </w:r>
                  </w:p>
                </w:txbxContent>
              </v:textbox>
            </v:shape>
          </w:pict>
        </mc:Fallback>
      </mc:AlternateContent>
    </w:r>
    <w:r>
      <w:rPr>
        <w:rFonts w:hint="eastAsia" w:eastAsia="楷体_GB231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eastAsia="楷体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oWtVyQEAAJsDAAAOAAAAAAAAAAEAIAAAAB4BAABkcnMvZTJvRG9j&#10;LnhtbFBLBQYAAAAABgAGAFkBAABZ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eastAsia="楷体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4nzyskBAACb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qwocdzixC/fv11+/Lr8/EqW&#10;b3KD+gA15j0EzEzDnR8wefYDOrPuQUWbv6iIYBzbe762Vw6JiPxovVqvKwwJjM0XxGePz0OE9FZ6&#10;S7LR0IjzK23lp/eQxtQ5JVdz/l4bU2Zo3F8OxMwelrmPHLOVhv0wCdr79ox6ehx9Qx1uOiXmncPO&#10;5i2ZjTgb+9k4hqgPHVJbFl4Qbo8JSRRuucIIOxXGmRV1037lpfjzXrIe/6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bifPKyQEAAJsDAAAOAAAAAAAAAAEAIAAAAB4BAABkcnMvZTJvRG9j&#10;LnhtbFBLBQYAAAAABgAGAFkBAABZ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aIWMgBAACb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4SUljluc+OX7t8uPX5efX8mq&#10;CNQHqDHvIWBmGt74AZOzcNkP6My8BxVt/iIjgnGU93yVVw6JiPxovVqvKwwJjM0XxGG35yFCeiu9&#10;JdloaMT5FVn56T2kMXVOydWcv9fGlBka95cDMbOH3XrMVhr2w9T43rdn5NPj6BvqcNMpMe8cKpu3&#10;ZDbibOxn4xiiPnTY2rL0BeH1MWETpbdcYYSdCuPMCrtpv/JS/HkvWbd/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5miFjIAQAAmwMAAA4AAAAAAAAAAQAgAAAAHgEAAGRycy9lMm9Eb2Mu&#10;eG1sUEsFBgAAAAAGAAYAWQEAAFg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40</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abstractNum w:abstractNumId="1">
    <w:nsid w:val="AF42D0C1"/>
    <w:multiLevelType w:val="singleLevel"/>
    <w:tmpl w:val="AF42D0C1"/>
    <w:lvl w:ilvl="0" w:tentative="0">
      <w:start w:val="1"/>
      <w:numFmt w:val="decimal"/>
      <w:lvlText w:val="(%1)"/>
      <w:lvlJc w:val="left"/>
      <w:pPr>
        <w:ind w:left="425" w:hanging="425"/>
      </w:pPr>
      <w:rPr>
        <w:rFonts w:hint="default"/>
      </w:rPr>
    </w:lvl>
  </w:abstractNum>
  <w:abstractNum w:abstractNumId="2">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3">
    <w:nsid w:val="B4CDEB94"/>
    <w:multiLevelType w:val="singleLevel"/>
    <w:tmpl w:val="B4CDEB94"/>
    <w:lvl w:ilvl="0" w:tentative="0">
      <w:start w:val="1"/>
      <w:numFmt w:val="decimal"/>
      <w:suff w:val="nothing"/>
      <w:lvlText w:val="%1．"/>
      <w:lvlJc w:val="left"/>
      <w:pPr>
        <w:ind w:left="0" w:firstLine="400"/>
      </w:pPr>
      <w:rPr>
        <w:rFonts w:hint="default"/>
      </w:rPr>
    </w:lvl>
  </w:abstractNum>
  <w:abstractNum w:abstractNumId="4">
    <w:nsid w:val="C1B5280B"/>
    <w:multiLevelType w:val="singleLevel"/>
    <w:tmpl w:val="C1B5280B"/>
    <w:lvl w:ilvl="0" w:tentative="0">
      <w:start w:val="1"/>
      <w:numFmt w:val="decimal"/>
      <w:suff w:val="nothing"/>
      <w:lvlText w:val="%1．"/>
      <w:lvlJc w:val="left"/>
      <w:pPr>
        <w:ind w:left="0" w:firstLine="400"/>
      </w:pPr>
      <w:rPr>
        <w:rFonts w:hint="default"/>
      </w:rPr>
    </w:lvl>
  </w:abstractNum>
  <w:abstractNum w:abstractNumId="5">
    <w:nsid w:val="C29E6077"/>
    <w:multiLevelType w:val="singleLevel"/>
    <w:tmpl w:val="C29E6077"/>
    <w:lvl w:ilvl="0" w:tentative="0">
      <w:start w:val="1"/>
      <w:numFmt w:val="decimal"/>
      <w:lvlText w:val="(%1)"/>
      <w:lvlJc w:val="left"/>
      <w:pPr>
        <w:ind w:left="425" w:hanging="425"/>
      </w:pPr>
      <w:rPr>
        <w:rFonts w:hint="default"/>
      </w:rPr>
    </w:lvl>
  </w:abstractNum>
  <w:abstractNum w:abstractNumId="6">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7">
    <w:nsid w:val="E32B7052"/>
    <w:multiLevelType w:val="singleLevel"/>
    <w:tmpl w:val="E32B7052"/>
    <w:lvl w:ilvl="0" w:tentative="0">
      <w:start w:val="6"/>
      <w:numFmt w:val="chineseCounting"/>
      <w:suff w:val="space"/>
      <w:lvlText w:val="第%1部分"/>
      <w:lvlJc w:val="left"/>
      <w:rPr>
        <w:rFonts w:hint="eastAsia"/>
      </w:rPr>
    </w:lvl>
  </w:abstractNum>
  <w:abstractNum w:abstractNumId="8">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9">
    <w:nsid w:val="F90AF49E"/>
    <w:multiLevelType w:val="singleLevel"/>
    <w:tmpl w:val="F90AF49E"/>
    <w:lvl w:ilvl="0" w:tentative="0">
      <w:start w:val="1"/>
      <w:numFmt w:val="decimal"/>
      <w:suff w:val="nothing"/>
      <w:lvlText w:val="%1．"/>
      <w:lvlJc w:val="left"/>
      <w:pPr>
        <w:ind w:left="0" w:firstLine="400"/>
      </w:pPr>
      <w:rPr>
        <w:rFonts w:hint="default"/>
      </w:rPr>
    </w:lvl>
  </w:abstractNum>
  <w:abstractNum w:abstractNumId="10">
    <w:nsid w:val="FE293A88"/>
    <w:multiLevelType w:val="singleLevel"/>
    <w:tmpl w:val="FE293A88"/>
    <w:lvl w:ilvl="0" w:tentative="0">
      <w:start w:val="3"/>
      <w:numFmt w:val="chineseCounting"/>
      <w:pStyle w:val="359"/>
      <w:suff w:val="nothing"/>
      <w:lvlText w:val="%1、"/>
      <w:lvlJc w:val="left"/>
      <w:rPr>
        <w:rFonts w:hint="eastAsia"/>
      </w:rPr>
    </w:lvl>
  </w:abstractNum>
  <w:abstractNum w:abstractNumId="11">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2">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3">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4">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5">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7">
    <w:nsid w:val="3CE42D9B"/>
    <w:multiLevelType w:val="singleLevel"/>
    <w:tmpl w:val="3CE42D9B"/>
    <w:lvl w:ilvl="0" w:tentative="0">
      <w:start w:val="1"/>
      <w:numFmt w:val="decimal"/>
      <w:suff w:val="nothing"/>
      <w:lvlText w:val="%1．"/>
      <w:lvlJc w:val="left"/>
      <w:pPr>
        <w:ind w:left="0" w:firstLine="400"/>
      </w:pPr>
      <w:rPr>
        <w:rFonts w:hint="default"/>
      </w:rPr>
    </w:lvl>
  </w:abstractNum>
  <w:abstractNum w:abstractNumId="18">
    <w:nsid w:val="5508B3F1"/>
    <w:multiLevelType w:val="singleLevel"/>
    <w:tmpl w:val="5508B3F1"/>
    <w:lvl w:ilvl="0" w:tentative="0">
      <w:start w:val="1"/>
      <w:numFmt w:val="decimal"/>
      <w:suff w:val="nothing"/>
      <w:lvlText w:val="（%1）"/>
      <w:lvlJc w:val="left"/>
    </w:lvl>
  </w:abstractNum>
  <w:abstractNum w:abstractNumId="19">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1"/>
  </w:num>
  <w:num w:numId="2">
    <w:abstractNumId w:val="14"/>
  </w:num>
  <w:num w:numId="3">
    <w:abstractNumId w:val="10"/>
  </w:num>
  <w:num w:numId="4">
    <w:abstractNumId w:val="15"/>
  </w:num>
  <w:num w:numId="5">
    <w:abstractNumId w:val="19"/>
  </w:num>
  <w:num w:numId="6">
    <w:abstractNumId w:val="16"/>
  </w:num>
  <w:num w:numId="7">
    <w:abstractNumId w:val="2"/>
  </w:num>
  <w:num w:numId="8">
    <w:abstractNumId w:val="9"/>
  </w:num>
  <w:num w:numId="9">
    <w:abstractNumId w:val="12"/>
  </w:num>
  <w:num w:numId="10">
    <w:abstractNumId w:val="13"/>
  </w:num>
  <w:num w:numId="11">
    <w:abstractNumId w:val="1"/>
  </w:num>
  <w:num w:numId="12">
    <w:abstractNumId w:val="8"/>
  </w:num>
  <w:num w:numId="13">
    <w:abstractNumId w:val="3"/>
  </w:num>
  <w:num w:numId="14">
    <w:abstractNumId w:val="6"/>
  </w:num>
  <w:num w:numId="15">
    <w:abstractNumId w:val="17"/>
  </w:num>
  <w:num w:numId="16">
    <w:abstractNumId w:val="5"/>
  </w:num>
  <w:num w:numId="17">
    <w:abstractNumId w:val="18"/>
  </w:num>
  <w:num w:numId="18">
    <w:abstractNumId w:val="0"/>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NDcxMjM3ZTYzZGY5NjMyOWVjMmI2ODA0ODBlMTAifQ=="/>
  </w:docVars>
  <w:rsids>
    <w:rsidRoot w:val="0070784A"/>
    <w:rsid w:val="00005EC9"/>
    <w:rsid w:val="00006D21"/>
    <w:rsid w:val="000127FE"/>
    <w:rsid w:val="00016902"/>
    <w:rsid w:val="00017A03"/>
    <w:rsid w:val="000274C6"/>
    <w:rsid w:val="00037C1D"/>
    <w:rsid w:val="00041547"/>
    <w:rsid w:val="00052640"/>
    <w:rsid w:val="00052912"/>
    <w:rsid w:val="00063D15"/>
    <w:rsid w:val="00063F5D"/>
    <w:rsid w:val="00074928"/>
    <w:rsid w:val="00091C9D"/>
    <w:rsid w:val="00094EC6"/>
    <w:rsid w:val="000B7334"/>
    <w:rsid w:val="000C106E"/>
    <w:rsid w:val="000E7968"/>
    <w:rsid w:val="000F3387"/>
    <w:rsid w:val="000F552B"/>
    <w:rsid w:val="00115FE6"/>
    <w:rsid w:val="00116BAE"/>
    <w:rsid w:val="001453A1"/>
    <w:rsid w:val="00157215"/>
    <w:rsid w:val="00162D59"/>
    <w:rsid w:val="00186162"/>
    <w:rsid w:val="001A3D89"/>
    <w:rsid w:val="001A5EF3"/>
    <w:rsid w:val="001C23BF"/>
    <w:rsid w:val="001D6D72"/>
    <w:rsid w:val="001D7E18"/>
    <w:rsid w:val="001E4BC4"/>
    <w:rsid w:val="002069C8"/>
    <w:rsid w:val="002101BD"/>
    <w:rsid w:val="002139EB"/>
    <w:rsid w:val="0022188F"/>
    <w:rsid w:val="00222B8F"/>
    <w:rsid w:val="00222DFA"/>
    <w:rsid w:val="00230A1A"/>
    <w:rsid w:val="002314A3"/>
    <w:rsid w:val="00241856"/>
    <w:rsid w:val="002504FF"/>
    <w:rsid w:val="002523FD"/>
    <w:rsid w:val="0025312F"/>
    <w:rsid w:val="00255546"/>
    <w:rsid w:val="00280E34"/>
    <w:rsid w:val="00286014"/>
    <w:rsid w:val="002B1D56"/>
    <w:rsid w:val="002D3315"/>
    <w:rsid w:val="002E15A8"/>
    <w:rsid w:val="002F262C"/>
    <w:rsid w:val="0031009E"/>
    <w:rsid w:val="003102A2"/>
    <w:rsid w:val="00314361"/>
    <w:rsid w:val="00322591"/>
    <w:rsid w:val="00331810"/>
    <w:rsid w:val="00352136"/>
    <w:rsid w:val="00380064"/>
    <w:rsid w:val="00380709"/>
    <w:rsid w:val="00381105"/>
    <w:rsid w:val="00381BB4"/>
    <w:rsid w:val="003958B2"/>
    <w:rsid w:val="0039632C"/>
    <w:rsid w:val="003B1109"/>
    <w:rsid w:val="003C2697"/>
    <w:rsid w:val="003D080C"/>
    <w:rsid w:val="003D19B4"/>
    <w:rsid w:val="003D5B10"/>
    <w:rsid w:val="003D6204"/>
    <w:rsid w:val="003D666D"/>
    <w:rsid w:val="003F46A7"/>
    <w:rsid w:val="004014FD"/>
    <w:rsid w:val="00417920"/>
    <w:rsid w:val="00423B85"/>
    <w:rsid w:val="004263EB"/>
    <w:rsid w:val="00432B31"/>
    <w:rsid w:val="0043561C"/>
    <w:rsid w:val="00453EE9"/>
    <w:rsid w:val="00461398"/>
    <w:rsid w:val="00470964"/>
    <w:rsid w:val="00473865"/>
    <w:rsid w:val="0048093D"/>
    <w:rsid w:val="00485744"/>
    <w:rsid w:val="0049037A"/>
    <w:rsid w:val="004929D5"/>
    <w:rsid w:val="00495DBC"/>
    <w:rsid w:val="00495F57"/>
    <w:rsid w:val="004978CA"/>
    <w:rsid w:val="004B3D80"/>
    <w:rsid w:val="004B41B1"/>
    <w:rsid w:val="004B7BCB"/>
    <w:rsid w:val="004E0863"/>
    <w:rsid w:val="004E11D5"/>
    <w:rsid w:val="004E3E63"/>
    <w:rsid w:val="00504DED"/>
    <w:rsid w:val="005076D9"/>
    <w:rsid w:val="005103ED"/>
    <w:rsid w:val="0052021B"/>
    <w:rsid w:val="00521C3A"/>
    <w:rsid w:val="00522C87"/>
    <w:rsid w:val="00526589"/>
    <w:rsid w:val="00545140"/>
    <w:rsid w:val="0055214F"/>
    <w:rsid w:val="005556A5"/>
    <w:rsid w:val="0056117D"/>
    <w:rsid w:val="0056143E"/>
    <w:rsid w:val="00570D96"/>
    <w:rsid w:val="0058754B"/>
    <w:rsid w:val="005C688B"/>
    <w:rsid w:val="005C6B3C"/>
    <w:rsid w:val="005D37B3"/>
    <w:rsid w:val="005D46FA"/>
    <w:rsid w:val="005E2B3A"/>
    <w:rsid w:val="005E6BBB"/>
    <w:rsid w:val="0061445B"/>
    <w:rsid w:val="00635EB7"/>
    <w:rsid w:val="0064006E"/>
    <w:rsid w:val="0064049B"/>
    <w:rsid w:val="00641A7F"/>
    <w:rsid w:val="00641E72"/>
    <w:rsid w:val="0068504A"/>
    <w:rsid w:val="0068515F"/>
    <w:rsid w:val="00687C87"/>
    <w:rsid w:val="006A61E9"/>
    <w:rsid w:val="006B2599"/>
    <w:rsid w:val="006B6300"/>
    <w:rsid w:val="006C5E01"/>
    <w:rsid w:val="006D0A13"/>
    <w:rsid w:val="006D0F8B"/>
    <w:rsid w:val="006D4C66"/>
    <w:rsid w:val="006E025D"/>
    <w:rsid w:val="006F5FAC"/>
    <w:rsid w:val="00703837"/>
    <w:rsid w:val="0070784A"/>
    <w:rsid w:val="00715BC6"/>
    <w:rsid w:val="007203CC"/>
    <w:rsid w:val="00730CC6"/>
    <w:rsid w:val="00740D0D"/>
    <w:rsid w:val="00743EAA"/>
    <w:rsid w:val="00765C30"/>
    <w:rsid w:val="007666FF"/>
    <w:rsid w:val="00793ABB"/>
    <w:rsid w:val="0079784E"/>
    <w:rsid w:val="007B0523"/>
    <w:rsid w:val="007C242F"/>
    <w:rsid w:val="007D0446"/>
    <w:rsid w:val="007E1C61"/>
    <w:rsid w:val="007F2A83"/>
    <w:rsid w:val="007F3811"/>
    <w:rsid w:val="007F512B"/>
    <w:rsid w:val="00801CDE"/>
    <w:rsid w:val="00802770"/>
    <w:rsid w:val="00807C57"/>
    <w:rsid w:val="0081382B"/>
    <w:rsid w:val="00815AC9"/>
    <w:rsid w:val="008230BA"/>
    <w:rsid w:val="00842354"/>
    <w:rsid w:val="008423B0"/>
    <w:rsid w:val="00842E06"/>
    <w:rsid w:val="00850D79"/>
    <w:rsid w:val="008511F3"/>
    <w:rsid w:val="00853B75"/>
    <w:rsid w:val="00877465"/>
    <w:rsid w:val="00885013"/>
    <w:rsid w:val="00887CF7"/>
    <w:rsid w:val="008A6189"/>
    <w:rsid w:val="008A6462"/>
    <w:rsid w:val="008B6242"/>
    <w:rsid w:val="008C7C9F"/>
    <w:rsid w:val="008D2E27"/>
    <w:rsid w:val="00914954"/>
    <w:rsid w:val="00915948"/>
    <w:rsid w:val="009173F0"/>
    <w:rsid w:val="00923E97"/>
    <w:rsid w:val="00981802"/>
    <w:rsid w:val="009A5642"/>
    <w:rsid w:val="009B5270"/>
    <w:rsid w:val="009C10AF"/>
    <w:rsid w:val="009D41D7"/>
    <w:rsid w:val="009D7D4A"/>
    <w:rsid w:val="009E03FD"/>
    <w:rsid w:val="009E2384"/>
    <w:rsid w:val="00A0779E"/>
    <w:rsid w:val="00A1747A"/>
    <w:rsid w:val="00A34DC1"/>
    <w:rsid w:val="00A41E73"/>
    <w:rsid w:val="00A436B9"/>
    <w:rsid w:val="00A618F2"/>
    <w:rsid w:val="00A61CCE"/>
    <w:rsid w:val="00A67D85"/>
    <w:rsid w:val="00A72E80"/>
    <w:rsid w:val="00A92B7C"/>
    <w:rsid w:val="00A96F2E"/>
    <w:rsid w:val="00AA1709"/>
    <w:rsid w:val="00AA21F6"/>
    <w:rsid w:val="00AB013C"/>
    <w:rsid w:val="00AC7502"/>
    <w:rsid w:val="00AD284D"/>
    <w:rsid w:val="00AD46BF"/>
    <w:rsid w:val="00AD758B"/>
    <w:rsid w:val="00AE0DC4"/>
    <w:rsid w:val="00AF11ED"/>
    <w:rsid w:val="00AF1EBD"/>
    <w:rsid w:val="00B01BA0"/>
    <w:rsid w:val="00B140E8"/>
    <w:rsid w:val="00B434EF"/>
    <w:rsid w:val="00B54827"/>
    <w:rsid w:val="00B74689"/>
    <w:rsid w:val="00B765B3"/>
    <w:rsid w:val="00B77D0D"/>
    <w:rsid w:val="00B82298"/>
    <w:rsid w:val="00B832A9"/>
    <w:rsid w:val="00B847AB"/>
    <w:rsid w:val="00B918DC"/>
    <w:rsid w:val="00B92FA2"/>
    <w:rsid w:val="00BB102A"/>
    <w:rsid w:val="00BE15B5"/>
    <w:rsid w:val="00C0069B"/>
    <w:rsid w:val="00C12827"/>
    <w:rsid w:val="00C20479"/>
    <w:rsid w:val="00C21D69"/>
    <w:rsid w:val="00C532E5"/>
    <w:rsid w:val="00C5469F"/>
    <w:rsid w:val="00C57914"/>
    <w:rsid w:val="00C6008B"/>
    <w:rsid w:val="00C63145"/>
    <w:rsid w:val="00C758E3"/>
    <w:rsid w:val="00C76D6C"/>
    <w:rsid w:val="00CB534B"/>
    <w:rsid w:val="00CC25E3"/>
    <w:rsid w:val="00CD14D7"/>
    <w:rsid w:val="00CD624B"/>
    <w:rsid w:val="00CE0AD1"/>
    <w:rsid w:val="00CE51F2"/>
    <w:rsid w:val="00CE631C"/>
    <w:rsid w:val="00CE703D"/>
    <w:rsid w:val="00CF0192"/>
    <w:rsid w:val="00CF040C"/>
    <w:rsid w:val="00CF33D8"/>
    <w:rsid w:val="00CF6FD5"/>
    <w:rsid w:val="00D053D8"/>
    <w:rsid w:val="00D12668"/>
    <w:rsid w:val="00D164FE"/>
    <w:rsid w:val="00D17964"/>
    <w:rsid w:val="00D2367D"/>
    <w:rsid w:val="00D25462"/>
    <w:rsid w:val="00D31733"/>
    <w:rsid w:val="00D43330"/>
    <w:rsid w:val="00D45708"/>
    <w:rsid w:val="00D4776D"/>
    <w:rsid w:val="00D628FC"/>
    <w:rsid w:val="00D6362F"/>
    <w:rsid w:val="00D70570"/>
    <w:rsid w:val="00D84A7F"/>
    <w:rsid w:val="00DA1E17"/>
    <w:rsid w:val="00DA51BD"/>
    <w:rsid w:val="00DC6DB0"/>
    <w:rsid w:val="00DD7672"/>
    <w:rsid w:val="00DF363F"/>
    <w:rsid w:val="00E10E15"/>
    <w:rsid w:val="00E146E8"/>
    <w:rsid w:val="00E32EEF"/>
    <w:rsid w:val="00E67EDA"/>
    <w:rsid w:val="00E74692"/>
    <w:rsid w:val="00E77817"/>
    <w:rsid w:val="00E93735"/>
    <w:rsid w:val="00E944EE"/>
    <w:rsid w:val="00EC27DC"/>
    <w:rsid w:val="00ED2C03"/>
    <w:rsid w:val="00EF6911"/>
    <w:rsid w:val="00F06AFA"/>
    <w:rsid w:val="00F13C88"/>
    <w:rsid w:val="00F20951"/>
    <w:rsid w:val="00F32731"/>
    <w:rsid w:val="00F36435"/>
    <w:rsid w:val="00F37996"/>
    <w:rsid w:val="00F37B62"/>
    <w:rsid w:val="00F410E0"/>
    <w:rsid w:val="00F47D4D"/>
    <w:rsid w:val="00F579E9"/>
    <w:rsid w:val="00F73916"/>
    <w:rsid w:val="00F73A29"/>
    <w:rsid w:val="00FA6734"/>
    <w:rsid w:val="00FB6961"/>
    <w:rsid w:val="00FE3699"/>
    <w:rsid w:val="00FF15B8"/>
    <w:rsid w:val="01081B3E"/>
    <w:rsid w:val="01392F4E"/>
    <w:rsid w:val="01403F6F"/>
    <w:rsid w:val="01450DC1"/>
    <w:rsid w:val="014D6F55"/>
    <w:rsid w:val="01553A81"/>
    <w:rsid w:val="01932790"/>
    <w:rsid w:val="01CF51F6"/>
    <w:rsid w:val="01EA6EEC"/>
    <w:rsid w:val="01EC20E2"/>
    <w:rsid w:val="01F95304"/>
    <w:rsid w:val="021B19D1"/>
    <w:rsid w:val="02263AD9"/>
    <w:rsid w:val="022E1921"/>
    <w:rsid w:val="023525D8"/>
    <w:rsid w:val="02354895"/>
    <w:rsid w:val="024C0DC0"/>
    <w:rsid w:val="02787973"/>
    <w:rsid w:val="02787D91"/>
    <w:rsid w:val="02823A35"/>
    <w:rsid w:val="028267B4"/>
    <w:rsid w:val="029A1968"/>
    <w:rsid w:val="02AB7973"/>
    <w:rsid w:val="02BF5617"/>
    <w:rsid w:val="02E66B31"/>
    <w:rsid w:val="02F6716B"/>
    <w:rsid w:val="02FB4FEB"/>
    <w:rsid w:val="031C69F7"/>
    <w:rsid w:val="03727DAF"/>
    <w:rsid w:val="03B83858"/>
    <w:rsid w:val="03BB304A"/>
    <w:rsid w:val="03CD4B66"/>
    <w:rsid w:val="03D41287"/>
    <w:rsid w:val="03DE7CCA"/>
    <w:rsid w:val="03E908C4"/>
    <w:rsid w:val="03F31A5E"/>
    <w:rsid w:val="03FC0CEA"/>
    <w:rsid w:val="04240981"/>
    <w:rsid w:val="042B3AFB"/>
    <w:rsid w:val="043D7BD6"/>
    <w:rsid w:val="0445397B"/>
    <w:rsid w:val="046F7ED8"/>
    <w:rsid w:val="0471407F"/>
    <w:rsid w:val="04754611"/>
    <w:rsid w:val="04C765E6"/>
    <w:rsid w:val="04E70891"/>
    <w:rsid w:val="04EE0D07"/>
    <w:rsid w:val="0512481D"/>
    <w:rsid w:val="054E6891"/>
    <w:rsid w:val="05990F81"/>
    <w:rsid w:val="05D37841"/>
    <w:rsid w:val="05EB6762"/>
    <w:rsid w:val="05F777CC"/>
    <w:rsid w:val="061842D1"/>
    <w:rsid w:val="063C2B41"/>
    <w:rsid w:val="067428EB"/>
    <w:rsid w:val="06C11238"/>
    <w:rsid w:val="06D605B3"/>
    <w:rsid w:val="070C68F7"/>
    <w:rsid w:val="072B22BC"/>
    <w:rsid w:val="072E5257"/>
    <w:rsid w:val="073D3109"/>
    <w:rsid w:val="074C43F1"/>
    <w:rsid w:val="07650D5D"/>
    <w:rsid w:val="077F1302"/>
    <w:rsid w:val="07A76048"/>
    <w:rsid w:val="07B16F85"/>
    <w:rsid w:val="082211DD"/>
    <w:rsid w:val="08232382"/>
    <w:rsid w:val="082F5114"/>
    <w:rsid w:val="083D23B2"/>
    <w:rsid w:val="086136BB"/>
    <w:rsid w:val="08786792"/>
    <w:rsid w:val="08807627"/>
    <w:rsid w:val="088A4403"/>
    <w:rsid w:val="089F6734"/>
    <w:rsid w:val="090D70CF"/>
    <w:rsid w:val="093252EE"/>
    <w:rsid w:val="09422E59"/>
    <w:rsid w:val="094A4EE7"/>
    <w:rsid w:val="0959407C"/>
    <w:rsid w:val="097D1C20"/>
    <w:rsid w:val="098A3350"/>
    <w:rsid w:val="098E7D44"/>
    <w:rsid w:val="099F7A3A"/>
    <w:rsid w:val="09A23D38"/>
    <w:rsid w:val="09AB154E"/>
    <w:rsid w:val="0A0B173F"/>
    <w:rsid w:val="0A280437"/>
    <w:rsid w:val="0A2948BE"/>
    <w:rsid w:val="0A451CA7"/>
    <w:rsid w:val="0A5E0911"/>
    <w:rsid w:val="0AA94D17"/>
    <w:rsid w:val="0AAE6186"/>
    <w:rsid w:val="0AC32834"/>
    <w:rsid w:val="0AE24958"/>
    <w:rsid w:val="0B0459F0"/>
    <w:rsid w:val="0B123A57"/>
    <w:rsid w:val="0B301291"/>
    <w:rsid w:val="0B4432D5"/>
    <w:rsid w:val="0B4F6AF7"/>
    <w:rsid w:val="0B590F4A"/>
    <w:rsid w:val="0B666A61"/>
    <w:rsid w:val="0B8511E8"/>
    <w:rsid w:val="0BAA700E"/>
    <w:rsid w:val="0BEB10E2"/>
    <w:rsid w:val="0C156CFF"/>
    <w:rsid w:val="0C1A66D1"/>
    <w:rsid w:val="0C361670"/>
    <w:rsid w:val="0C411CD0"/>
    <w:rsid w:val="0C4A4B0F"/>
    <w:rsid w:val="0C5B1FA9"/>
    <w:rsid w:val="0C5B233E"/>
    <w:rsid w:val="0C8E4136"/>
    <w:rsid w:val="0CA062F8"/>
    <w:rsid w:val="0CED2457"/>
    <w:rsid w:val="0D2766C4"/>
    <w:rsid w:val="0D2C1377"/>
    <w:rsid w:val="0D523C8C"/>
    <w:rsid w:val="0D5C5AB2"/>
    <w:rsid w:val="0D614F04"/>
    <w:rsid w:val="0D6A4C3D"/>
    <w:rsid w:val="0D6C2329"/>
    <w:rsid w:val="0D847932"/>
    <w:rsid w:val="0DBE0DD6"/>
    <w:rsid w:val="0DCC335E"/>
    <w:rsid w:val="0DF87606"/>
    <w:rsid w:val="0E04554D"/>
    <w:rsid w:val="0E0C0187"/>
    <w:rsid w:val="0E1865F8"/>
    <w:rsid w:val="0E230C39"/>
    <w:rsid w:val="0E2D7D0A"/>
    <w:rsid w:val="0E413AE2"/>
    <w:rsid w:val="0E7771D7"/>
    <w:rsid w:val="0E94477A"/>
    <w:rsid w:val="0EBC2000"/>
    <w:rsid w:val="0ED5035C"/>
    <w:rsid w:val="0ED71A24"/>
    <w:rsid w:val="0F0C4E60"/>
    <w:rsid w:val="0F143C2E"/>
    <w:rsid w:val="0F340DCE"/>
    <w:rsid w:val="0F3918CC"/>
    <w:rsid w:val="0F397095"/>
    <w:rsid w:val="0F7A6F7F"/>
    <w:rsid w:val="0FD663C6"/>
    <w:rsid w:val="10190CBD"/>
    <w:rsid w:val="10266267"/>
    <w:rsid w:val="102C0B66"/>
    <w:rsid w:val="102D14D1"/>
    <w:rsid w:val="104E0318"/>
    <w:rsid w:val="10A750E5"/>
    <w:rsid w:val="10C85AC8"/>
    <w:rsid w:val="11186A50"/>
    <w:rsid w:val="11342822"/>
    <w:rsid w:val="11393C6C"/>
    <w:rsid w:val="1158632A"/>
    <w:rsid w:val="115D2B41"/>
    <w:rsid w:val="118640B3"/>
    <w:rsid w:val="11867E5D"/>
    <w:rsid w:val="11D007C9"/>
    <w:rsid w:val="12321665"/>
    <w:rsid w:val="126C7EC0"/>
    <w:rsid w:val="12751B74"/>
    <w:rsid w:val="1277417D"/>
    <w:rsid w:val="12BE7F96"/>
    <w:rsid w:val="12E70400"/>
    <w:rsid w:val="12F745E0"/>
    <w:rsid w:val="12F96D8F"/>
    <w:rsid w:val="1342515B"/>
    <w:rsid w:val="1356443E"/>
    <w:rsid w:val="1360694E"/>
    <w:rsid w:val="136253A7"/>
    <w:rsid w:val="136544CD"/>
    <w:rsid w:val="13A934D3"/>
    <w:rsid w:val="13AB3BAB"/>
    <w:rsid w:val="13C0328F"/>
    <w:rsid w:val="13C5215F"/>
    <w:rsid w:val="13C719E1"/>
    <w:rsid w:val="13DC2553"/>
    <w:rsid w:val="13F37B43"/>
    <w:rsid w:val="14147B9F"/>
    <w:rsid w:val="142D4C56"/>
    <w:rsid w:val="14305E5E"/>
    <w:rsid w:val="145C45D5"/>
    <w:rsid w:val="147D094C"/>
    <w:rsid w:val="149B2B25"/>
    <w:rsid w:val="14B26303"/>
    <w:rsid w:val="14D671F0"/>
    <w:rsid w:val="14E70D5B"/>
    <w:rsid w:val="14FB2DCA"/>
    <w:rsid w:val="14FE41AE"/>
    <w:rsid w:val="15340E77"/>
    <w:rsid w:val="157939BE"/>
    <w:rsid w:val="157F5F94"/>
    <w:rsid w:val="15995F8A"/>
    <w:rsid w:val="15C01930"/>
    <w:rsid w:val="15CA1326"/>
    <w:rsid w:val="161C194F"/>
    <w:rsid w:val="161E6859"/>
    <w:rsid w:val="162E1686"/>
    <w:rsid w:val="165477C9"/>
    <w:rsid w:val="167D6633"/>
    <w:rsid w:val="167D73BF"/>
    <w:rsid w:val="16A91EF8"/>
    <w:rsid w:val="16B357FA"/>
    <w:rsid w:val="16C7330C"/>
    <w:rsid w:val="16CE41FA"/>
    <w:rsid w:val="16D951F0"/>
    <w:rsid w:val="16E77616"/>
    <w:rsid w:val="16F75359"/>
    <w:rsid w:val="16F77107"/>
    <w:rsid w:val="16F862E2"/>
    <w:rsid w:val="173A56D7"/>
    <w:rsid w:val="173B3498"/>
    <w:rsid w:val="176159C8"/>
    <w:rsid w:val="17740B65"/>
    <w:rsid w:val="17973D35"/>
    <w:rsid w:val="17C50F2C"/>
    <w:rsid w:val="18613676"/>
    <w:rsid w:val="1871686D"/>
    <w:rsid w:val="18735165"/>
    <w:rsid w:val="188542AB"/>
    <w:rsid w:val="1888103C"/>
    <w:rsid w:val="18940F06"/>
    <w:rsid w:val="189E1726"/>
    <w:rsid w:val="18AE213F"/>
    <w:rsid w:val="18B5573E"/>
    <w:rsid w:val="18EF3A7F"/>
    <w:rsid w:val="191C7D65"/>
    <w:rsid w:val="19266EAE"/>
    <w:rsid w:val="193E61A9"/>
    <w:rsid w:val="19B175FE"/>
    <w:rsid w:val="19BA2DA6"/>
    <w:rsid w:val="19C47CDA"/>
    <w:rsid w:val="19E17184"/>
    <w:rsid w:val="19FB2C3C"/>
    <w:rsid w:val="1A1B5EE6"/>
    <w:rsid w:val="1A2D2CBE"/>
    <w:rsid w:val="1A351A94"/>
    <w:rsid w:val="1A3B188F"/>
    <w:rsid w:val="1A3B37AF"/>
    <w:rsid w:val="1A4F4961"/>
    <w:rsid w:val="1A527E86"/>
    <w:rsid w:val="1A6B0EEF"/>
    <w:rsid w:val="1A78055F"/>
    <w:rsid w:val="1A864FC7"/>
    <w:rsid w:val="1A967D50"/>
    <w:rsid w:val="1A970FB3"/>
    <w:rsid w:val="1A9E0377"/>
    <w:rsid w:val="1AAB45F6"/>
    <w:rsid w:val="1ABD2416"/>
    <w:rsid w:val="1AF205C1"/>
    <w:rsid w:val="1B106349"/>
    <w:rsid w:val="1B133EBD"/>
    <w:rsid w:val="1B154685"/>
    <w:rsid w:val="1B433ED6"/>
    <w:rsid w:val="1B791B76"/>
    <w:rsid w:val="1BBD3D34"/>
    <w:rsid w:val="1BBE13E9"/>
    <w:rsid w:val="1BC54211"/>
    <w:rsid w:val="1BCC07FF"/>
    <w:rsid w:val="1BD21A8E"/>
    <w:rsid w:val="1BED31A7"/>
    <w:rsid w:val="1BF6640F"/>
    <w:rsid w:val="1C2D03AA"/>
    <w:rsid w:val="1C2F51F0"/>
    <w:rsid w:val="1C4B2F98"/>
    <w:rsid w:val="1C7A6BC9"/>
    <w:rsid w:val="1C857158"/>
    <w:rsid w:val="1CA73BDF"/>
    <w:rsid w:val="1CB65C58"/>
    <w:rsid w:val="1CE400B3"/>
    <w:rsid w:val="1D0936F0"/>
    <w:rsid w:val="1D104A7F"/>
    <w:rsid w:val="1D2119DA"/>
    <w:rsid w:val="1D481945"/>
    <w:rsid w:val="1D961B49"/>
    <w:rsid w:val="1D9F6122"/>
    <w:rsid w:val="1DEC1E95"/>
    <w:rsid w:val="1DF73D2F"/>
    <w:rsid w:val="1E0D0FBE"/>
    <w:rsid w:val="1E2458FF"/>
    <w:rsid w:val="1E2B1E83"/>
    <w:rsid w:val="1E453774"/>
    <w:rsid w:val="1E48169D"/>
    <w:rsid w:val="1E5E5C12"/>
    <w:rsid w:val="1E6749FD"/>
    <w:rsid w:val="1E7277E4"/>
    <w:rsid w:val="1EB05FC3"/>
    <w:rsid w:val="1EB57C64"/>
    <w:rsid w:val="1EB80371"/>
    <w:rsid w:val="1ECB3353"/>
    <w:rsid w:val="1EE456C8"/>
    <w:rsid w:val="1EED664D"/>
    <w:rsid w:val="1EEF0AE0"/>
    <w:rsid w:val="1EFA23B0"/>
    <w:rsid w:val="1F045428"/>
    <w:rsid w:val="1F2809C8"/>
    <w:rsid w:val="1F2F00D5"/>
    <w:rsid w:val="1F375C0D"/>
    <w:rsid w:val="1F3D0CE1"/>
    <w:rsid w:val="1F4E41C3"/>
    <w:rsid w:val="1F541C2F"/>
    <w:rsid w:val="1F8708F6"/>
    <w:rsid w:val="1F8F2BB9"/>
    <w:rsid w:val="1FA7260B"/>
    <w:rsid w:val="1FB35D19"/>
    <w:rsid w:val="1FCE3D73"/>
    <w:rsid w:val="1FEE3736"/>
    <w:rsid w:val="2034266D"/>
    <w:rsid w:val="20406220"/>
    <w:rsid w:val="20441BF7"/>
    <w:rsid w:val="20567811"/>
    <w:rsid w:val="2059498F"/>
    <w:rsid w:val="206541F8"/>
    <w:rsid w:val="207B20B8"/>
    <w:rsid w:val="208B7373"/>
    <w:rsid w:val="20AE4CDA"/>
    <w:rsid w:val="20C606CF"/>
    <w:rsid w:val="20C87EE6"/>
    <w:rsid w:val="20D4307C"/>
    <w:rsid w:val="20DF6696"/>
    <w:rsid w:val="21156537"/>
    <w:rsid w:val="21167991"/>
    <w:rsid w:val="2149055F"/>
    <w:rsid w:val="218469C1"/>
    <w:rsid w:val="21C36564"/>
    <w:rsid w:val="21CD2F3E"/>
    <w:rsid w:val="21D95B99"/>
    <w:rsid w:val="21EB1706"/>
    <w:rsid w:val="21FB6487"/>
    <w:rsid w:val="22611A5A"/>
    <w:rsid w:val="22620C72"/>
    <w:rsid w:val="22622A21"/>
    <w:rsid w:val="22AE5F02"/>
    <w:rsid w:val="22B54B19"/>
    <w:rsid w:val="22C24A6D"/>
    <w:rsid w:val="22DF68BA"/>
    <w:rsid w:val="22E54FD6"/>
    <w:rsid w:val="22EE565B"/>
    <w:rsid w:val="22F54EA7"/>
    <w:rsid w:val="23046E34"/>
    <w:rsid w:val="233F1C1A"/>
    <w:rsid w:val="235565D3"/>
    <w:rsid w:val="23675615"/>
    <w:rsid w:val="23700025"/>
    <w:rsid w:val="23B1063E"/>
    <w:rsid w:val="23E2019C"/>
    <w:rsid w:val="24482D50"/>
    <w:rsid w:val="24552B00"/>
    <w:rsid w:val="24582CE4"/>
    <w:rsid w:val="24633790"/>
    <w:rsid w:val="246C3202"/>
    <w:rsid w:val="24716148"/>
    <w:rsid w:val="247A3854"/>
    <w:rsid w:val="24F1163A"/>
    <w:rsid w:val="250462EA"/>
    <w:rsid w:val="252D7657"/>
    <w:rsid w:val="25355DF2"/>
    <w:rsid w:val="25390605"/>
    <w:rsid w:val="253A3746"/>
    <w:rsid w:val="256C29A0"/>
    <w:rsid w:val="256C4EB8"/>
    <w:rsid w:val="25752417"/>
    <w:rsid w:val="25933BDB"/>
    <w:rsid w:val="25A74D1E"/>
    <w:rsid w:val="25B66BA8"/>
    <w:rsid w:val="25E70ABF"/>
    <w:rsid w:val="26152813"/>
    <w:rsid w:val="2661226B"/>
    <w:rsid w:val="267E514F"/>
    <w:rsid w:val="26C5527C"/>
    <w:rsid w:val="26CF4594"/>
    <w:rsid w:val="26F82674"/>
    <w:rsid w:val="26FD42C6"/>
    <w:rsid w:val="271E4DAB"/>
    <w:rsid w:val="272A5BFE"/>
    <w:rsid w:val="27320D1C"/>
    <w:rsid w:val="273D1A9E"/>
    <w:rsid w:val="274759C4"/>
    <w:rsid w:val="274B7559"/>
    <w:rsid w:val="277D5407"/>
    <w:rsid w:val="278B52D4"/>
    <w:rsid w:val="27A95222"/>
    <w:rsid w:val="28166B73"/>
    <w:rsid w:val="281F026C"/>
    <w:rsid w:val="28232780"/>
    <w:rsid w:val="282442D9"/>
    <w:rsid w:val="284367B5"/>
    <w:rsid w:val="284C2446"/>
    <w:rsid w:val="28553C8E"/>
    <w:rsid w:val="285718A5"/>
    <w:rsid w:val="288B4F09"/>
    <w:rsid w:val="28D21782"/>
    <w:rsid w:val="28D23530"/>
    <w:rsid w:val="28F865CB"/>
    <w:rsid w:val="29020E18"/>
    <w:rsid w:val="29053276"/>
    <w:rsid w:val="291E4D83"/>
    <w:rsid w:val="29212087"/>
    <w:rsid w:val="29250E1B"/>
    <w:rsid w:val="293E4CC1"/>
    <w:rsid w:val="29443F92"/>
    <w:rsid w:val="295A53EB"/>
    <w:rsid w:val="29803AA3"/>
    <w:rsid w:val="29884B07"/>
    <w:rsid w:val="298957C4"/>
    <w:rsid w:val="29D64532"/>
    <w:rsid w:val="29DF4E52"/>
    <w:rsid w:val="29E17ECF"/>
    <w:rsid w:val="2A1D6A45"/>
    <w:rsid w:val="2A47505F"/>
    <w:rsid w:val="2A6F6EBA"/>
    <w:rsid w:val="2A830C79"/>
    <w:rsid w:val="2AAF18F0"/>
    <w:rsid w:val="2AC944BF"/>
    <w:rsid w:val="2AD11736"/>
    <w:rsid w:val="2B1029CF"/>
    <w:rsid w:val="2B133F39"/>
    <w:rsid w:val="2B424E87"/>
    <w:rsid w:val="2B5F0E77"/>
    <w:rsid w:val="2B640F55"/>
    <w:rsid w:val="2B7F64C1"/>
    <w:rsid w:val="2BA3212D"/>
    <w:rsid w:val="2BE7007A"/>
    <w:rsid w:val="2BFE408A"/>
    <w:rsid w:val="2C1D78F3"/>
    <w:rsid w:val="2C234403"/>
    <w:rsid w:val="2C393680"/>
    <w:rsid w:val="2C500F63"/>
    <w:rsid w:val="2C844B41"/>
    <w:rsid w:val="2CA16BE1"/>
    <w:rsid w:val="2CA451E4"/>
    <w:rsid w:val="2CDF0482"/>
    <w:rsid w:val="2D22640D"/>
    <w:rsid w:val="2D464D5F"/>
    <w:rsid w:val="2D4E5097"/>
    <w:rsid w:val="2D592D22"/>
    <w:rsid w:val="2DEB1F6F"/>
    <w:rsid w:val="2DF53F49"/>
    <w:rsid w:val="2DF92E5B"/>
    <w:rsid w:val="2DFB00B5"/>
    <w:rsid w:val="2E6966E5"/>
    <w:rsid w:val="2E697CA3"/>
    <w:rsid w:val="2E6D23B0"/>
    <w:rsid w:val="2E6D4E98"/>
    <w:rsid w:val="2E7931EC"/>
    <w:rsid w:val="2E944745"/>
    <w:rsid w:val="2E9705D3"/>
    <w:rsid w:val="2E9C3022"/>
    <w:rsid w:val="2EAC10D9"/>
    <w:rsid w:val="2EBC6814"/>
    <w:rsid w:val="2EBE0475"/>
    <w:rsid w:val="2EC1790D"/>
    <w:rsid w:val="2EC95DB8"/>
    <w:rsid w:val="2EE144CD"/>
    <w:rsid w:val="2EE23871"/>
    <w:rsid w:val="2EF64BF2"/>
    <w:rsid w:val="2F1D1D68"/>
    <w:rsid w:val="2F25085E"/>
    <w:rsid w:val="2F2A65B2"/>
    <w:rsid w:val="2F3A598B"/>
    <w:rsid w:val="2F4B5D55"/>
    <w:rsid w:val="2F6C2DFA"/>
    <w:rsid w:val="2F904525"/>
    <w:rsid w:val="2FBB15AA"/>
    <w:rsid w:val="2FC96724"/>
    <w:rsid w:val="2FF96CC5"/>
    <w:rsid w:val="30000983"/>
    <w:rsid w:val="300C3711"/>
    <w:rsid w:val="3022617D"/>
    <w:rsid w:val="303872D7"/>
    <w:rsid w:val="30464B56"/>
    <w:rsid w:val="305331A8"/>
    <w:rsid w:val="306E0E83"/>
    <w:rsid w:val="306F0535"/>
    <w:rsid w:val="307C2C0D"/>
    <w:rsid w:val="308C7116"/>
    <w:rsid w:val="308D1CC9"/>
    <w:rsid w:val="30967620"/>
    <w:rsid w:val="309F2085"/>
    <w:rsid w:val="30BD1FE5"/>
    <w:rsid w:val="30C10112"/>
    <w:rsid w:val="30D14041"/>
    <w:rsid w:val="30D15875"/>
    <w:rsid w:val="30E74D92"/>
    <w:rsid w:val="30F36C74"/>
    <w:rsid w:val="30F9318B"/>
    <w:rsid w:val="31272F44"/>
    <w:rsid w:val="3174292F"/>
    <w:rsid w:val="31936105"/>
    <w:rsid w:val="31B658D4"/>
    <w:rsid w:val="31BD7BDE"/>
    <w:rsid w:val="32316E69"/>
    <w:rsid w:val="323A782B"/>
    <w:rsid w:val="32401088"/>
    <w:rsid w:val="325224BE"/>
    <w:rsid w:val="325B404D"/>
    <w:rsid w:val="327D1E7B"/>
    <w:rsid w:val="32887E5F"/>
    <w:rsid w:val="32922EE0"/>
    <w:rsid w:val="329E5AD1"/>
    <w:rsid w:val="32CC51E5"/>
    <w:rsid w:val="32E6051A"/>
    <w:rsid w:val="32E95C4E"/>
    <w:rsid w:val="32F13120"/>
    <w:rsid w:val="32F33B15"/>
    <w:rsid w:val="332546EC"/>
    <w:rsid w:val="3342483F"/>
    <w:rsid w:val="337067B3"/>
    <w:rsid w:val="33A718ED"/>
    <w:rsid w:val="33A8380B"/>
    <w:rsid w:val="33AA3E3F"/>
    <w:rsid w:val="34086FF6"/>
    <w:rsid w:val="34682778"/>
    <w:rsid w:val="34AC6BE3"/>
    <w:rsid w:val="34BD03D7"/>
    <w:rsid w:val="34EB329F"/>
    <w:rsid w:val="34FE1F7D"/>
    <w:rsid w:val="35270865"/>
    <w:rsid w:val="35356723"/>
    <w:rsid w:val="35C42A65"/>
    <w:rsid w:val="3609516B"/>
    <w:rsid w:val="36116C06"/>
    <w:rsid w:val="36176A26"/>
    <w:rsid w:val="361B7BDC"/>
    <w:rsid w:val="364221AD"/>
    <w:rsid w:val="36627D01"/>
    <w:rsid w:val="369B1BA6"/>
    <w:rsid w:val="36AA1228"/>
    <w:rsid w:val="36AC6FD2"/>
    <w:rsid w:val="36AE45FE"/>
    <w:rsid w:val="36B04BEB"/>
    <w:rsid w:val="36BA630E"/>
    <w:rsid w:val="36D4159F"/>
    <w:rsid w:val="36DB78F6"/>
    <w:rsid w:val="36E67798"/>
    <w:rsid w:val="36FF0DB1"/>
    <w:rsid w:val="370522D0"/>
    <w:rsid w:val="37067020"/>
    <w:rsid w:val="372649E2"/>
    <w:rsid w:val="372C59AA"/>
    <w:rsid w:val="373000B7"/>
    <w:rsid w:val="37781747"/>
    <w:rsid w:val="378673A6"/>
    <w:rsid w:val="37963F54"/>
    <w:rsid w:val="379A6B89"/>
    <w:rsid w:val="379B6A7D"/>
    <w:rsid w:val="37BF2E3D"/>
    <w:rsid w:val="37BF7375"/>
    <w:rsid w:val="37D107AA"/>
    <w:rsid w:val="37DE3C9F"/>
    <w:rsid w:val="37F43335"/>
    <w:rsid w:val="38156481"/>
    <w:rsid w:val="38367638"/>
    <w:rsid w:val="387C0DC3"/>
    <w:rsid w:val="38926D93"/>
    <w:rsid w:val="38B04B0E"/>
    <w:rsid w:val="38F35529"/>
    <w:rsid w:val="38FA071C"/>
    <w:rsid w:val="38FD54AF"/>
    <w:rsid w:val="390741E5"/>
    <w:rsid w:val="391F264A"/>
    <w:rsid w:val="39243472"/>
    <w:rsid w:val="392B2144"/>
    <w:rsid w:val="394205BC"/>
    <w:rsid w:val="39494385"/>
    <w:rsid w:val="394E6CCA"/>
    <w:rsid w:val="3997588E"/>
    <w:rsid w:val="39AD4279"/>
    <w:rsid w:val="39B46D56"/>
    <w:rsid w:val="39C828E7"/>
    <w:rsid w:val="39DD557C"/>
    <w:rsid w:val="39FC4298"/>
    <w:rsid w:val="3A0935E1"/>
    <w:rsid w:val="3A261492"/>
    <w:rsid w:val="3A397320"/>
    <w:rsid w:val="3A4536A9"/>
    <w:rsid w:val="3A552184"/>
    <w:rsid w:val="3A800711"/>
    <w:rsid w:val="3A810CA0"/>
    <w:rsid w:val="3A946897"/>
    <w:rsid w:val="3A96496C"/>
    <w:rsid w:val="3A9F3479"/>
    <w:rsid w:val="3ABC7EEE"/>
    <w:rsid w:val="3AC151B3"/>
    <w:rsid w:val="3AE331DB"/>
    <w:rsid w:val="3AED2009"/>
    <w:rsid w:val="3B1939D0"/>
    <w:rsid w:val="3B474570"/>
    <w:rsid w:val="3B581890"/>
    <w:rsid w:val="3BAB26D3"/>
    <w:rsid w:val="3BD009CC"/>
    <w:rsid w:val="3BF45BDB"/>
    <w:rsid w:val="3BFC68FB"/>
    <w:rsid w:val="3C065547"/>
    <w:rsid w:val="3C11529C"/>
    <w:rsid w:val="3C2B1FE6"/>
    <w:rsid w:val="3C2F7C35"/>
    <w:rsid w:val="3C7030B7"/>
    <w:rsid w:val="3C8779B9"/>
    <w:rsid w:val="3C8B2C2B"/>
    <w:rsid w:val="3C940215"/>
    <w:rsid w:val="3C9F058C"/>
    <w:rsid w:val="3CBC223F"/>
    <w:rsid w:val="3CC97C4F"/>
    <w:rsid w:val="3CCA29EB"/>
    <w:rsid w:val="3CCC5DBF"/>
    <w:rsid w:val="3CF75C7B"/>
    <w:rsid w:val="3D497E6A"/>
    <w:rsid w:val="3D634958"/>
    <w:rsid w:val="3D6C6B53"/>
    <w:rsid w:val="3D801355"/>
    <w:rsid w:val="3D8C6BB2"/>
    <w:rsid w:val="3D987150"/>
    <w:rsid w:val="3D9E333B"/>
    <w:rsid w:val="3DBC00BF"/>
    <w:rsid w:val="3DC01751"/>
    <w:rsid w:val="3DCB1A6B"/>
    <w:rsid w:val="3DED30AA"/>
    <w:rsid w:val="3DF02037"/>
    <w:rsid w:val="3E1321C9"/>
    <w:rsid w:val="3E285C74"/>
    <w:rsid w:val="3E2D5980"/>
    <w:rsid w:val="3E3102BB"/>
    <w:rsid w:val="3E3143FD"/>
    <w:rsid w:val="3E614AA5"/>
    <w:rsid w:val="3E911343"/>
    <w:rsid w:val="3EB02545"/>
    <w:rsid w:val="3EB21D54"/>
    <w:rsid w:val="3F18661A"/>
    <w:rsid w:val="3F1E6493"/>
    <w:rsid w:val="3F4263D8"/>
    <w:rsid w:val="3F5D17EF"/>
    <w:rsid w:val="3F7171A7"/>
    <w:rsid w:val="3F7512EA"/>
    <w:rsid w:val="3F8C6E05"/>
    <w:rsid w:val="3F9730B9"/>
    <w:rsid w:val="3FA07DCE"/>
    <w:rsid w:val="3FC55901"/>
    <w:rsid w:val="3FC9458D"/>
    <w:rsid w:val="3FD033AD"/>
    <w:rsid w:val="401F021A"/>
    <w:rsid w:val="404148A6"/>
    <w:rsid w:val="40572AB6"/>
    <w:rsid w:val="405D3459"/>
    <w:rsid w:val="4068264C"/>
    <w:rsid w:val="407728FD"/>
    <w:rsid w:val="40C613EE"/>
    <w:rsid w:val="40CA0DB3"/>
    <w:rsid w:val="40CE5B5F"/>
    <w:rsid w:val="40F77320"/>
    <w:rsid w:val="410603FC"/>
    <w:rsid w:val="410D06B8"/>
    <w:rsid w:val="410F49D4"/>
    <w:rsid w:val="418842A8"/>
    <w:rsid w:val="41A274B6"/>
    <w:rsid w:val="41BF6406"/>
    <w:rsid w:val="41C034AF"/>
    <w:rsid w:val="41C2018E"/>
    <w:rsid w:val="41E221A4"/>
    <w:rsid w:val="420D3EDF"/>
    <w:rsid w:val="42311D52"/>
    <w:rsid w:val="424A712C"/>
    <w:rsid w:val="424A7A9C"/>
    <w:rsid w:val="4263268C"/>
    <w:rsid w:val="429F7E60"/>
    <w:rsid w:val="42AE354F"/>
    <w:rsid w:val="42B20202"/>
    <w:rsid w:val="42B71375"/>
    <w:rsid w:val="42CB2D35"/>
    <w:rsid w:val="42CD2946"/>
    <w:rsid w:val="42CE6515"/>
    <w:rsid w:val="42F759C4"/>
    <w:rsid w:val="42FD43CD"/>
    <w:rsid w:val="43023463"/>
    <w:rsid w:val="430420F8"/>
    <w:rsid w:val="434660D0"/>
    <w:rsid w:val="43554BAC"/>
    <w:rsid w:val="435A56EC"/>
    <w:rsid w:val="435D3A52"/>
    <w:rsid w:val="436D6609"/>
    <w:rsid w:val="4392054D"/>
    <w:rsid w:val="43A027A3"/>
    <w:rsid w:val="43A05E1A"/>
    <w:rsid w:val="43AA1E91"/>
    <w:rsid w:val="43AF27CC"/>
    <w:rsid w:val="43B03CB9"/>
    <w:rsid w:val="43BA343C"/>
    <w:rsid w:val="43C42006"/>
    <w:rsid w:val="43E00CA3"/>
    <w:rsid w:val="43E5660A"/>
    <w:rsid w:val="43F601A2"/>
    <w:rsid w:val="43F8127E"/>
    <w:rsid w:val="44107E1A"/>
    <w:rsid w:val="4428525F"/>
    <w:rsid w:val="443C4228"/>
    <w:rsid w:val="444A0170"/>
    <w:rsid w:val="444C01E3"/>
    <w:rsid w:val="444E7CA8"/>
    <w:rsid w:val="4458707E"/>
    <w:rsid w:val="445D4FAC"/>
    <w:rsid w:val="44667276"/>
    <w:rsid w:val="449A491B"/>
    <w:rsid w:val="44A37922"/>
    <w:rsid w:val="44B63420"/>
    <w:rsid w:val="44B71DE6"/>
    <w:rsid w:val="44BE70AA"/>
    <w:rsid w:val="44DB6B8D"/>
    <w:rsid w:val="45160574"/>
    <w:rsid w:val="453F237D"/>
    <w:rsid w:val="45546237"/>
    <w:rsid w:val="456A4DC4"/>
    <w:rsid w:val="45A55DFD"/>
    <w:rsid w:val="45C83899"/>
    <w:rsid w:val="45F8252B"/>
    <w:rsid w:val="46153B79"/>
    <w:rsid w:val="46162EA8"/>
    <w:rsid w:val="4655670F"/>
    <w:rsid w:val="465911A1"/>
    <w:rsid w:val="465E48A1"/>
    <w:rsid w:val="46CD6A3D"/>
    <w:rsid w:val="46D23AA8"/>
    <w:rsid w:val="46D446A7"/>
    <w:rsid w:val="46FC6684"/>
    <w:rsid w:val="47165D61"/>
    <w:rsid w:val="47217705"/>
    <w:rsid w:val="473345DF"/>
    <w:rsid w:val="475D1752"/>
    <w:rsid w:val="47767BD4"/>
    <w:rsid w:val="477D0471"/>
    <w:rsid w:val="478F59C9"/>
    <w:rsid w:val="479B4DDF"/>
    <w:rsid w:val="47BA5463"/>
    <w:rsid w:val="47BB36B5"/>
    <w:rsid w:val="47E039DC"/>
    <w:rsid w:val="47E56984"/>
    <w:rsid w:val="47FB44E3"/>
    <w:rsid w:val="480A0F20"/>
    <w:rsid w:val="480C2163"/>
    <w:rsid w:val="48746CD4"/>
    <w:rsid w:val="48861F15"/>
    <w:rsid w:val="488A747A"/>
    <w:rsid w:val="4891671A"/>
    <w:rsid w:val="489640A7"/>
    <w:rsid w:val="489E300A"/>
    <w:rsid w:val="48A47759"/>
    <w:rsid w:val="48B46254"/>
    <w:rsid w:val="48D83DF3"/>
    <w:rsid w:val="494C3576"/>
    <w:rsid w:val="49544656"/>
    <w:rsid w:val="4955748F"/>
    <w:rsid w:val="49694B92"/>
    <w:rsid w:val="49737357"/>
    <w:rsid w:val="49E51E3A"/>
    <w:rsid w:val="4A0366CF"/>
    <w:rsid w:val="4A1A30B0"/>
    <w:rsid w:val="4A256483"/>
    <w:rsid w:val="4A38641F"/>
    <w:rsid w:val="4A60669A"/>
    <w:rsid w:val="4A6F69D9"/>
    <w:rsid w:val="4A800E57"/>
    <w:rsid w:val="4A8C1339"/>
    <w:rsid w:val="4A8D4A10"/>
    <w:rsid w:val="4A9F5D83"/>
    <w:rsid w:val="4AB52052"/>
    <w:rsid w:val="4AEA2601"/>
    <w:rsid w:val="4AF859CC"/>
    <w:rsid w:val="4B09396E"/>
    <w:rsid w:val="4B272E10"/>
    <w:rsid w:val="4B374561"/>
    <w:rsid w:val="4B657DEC"/>
    <w:rsid w:val="4B8152D3"/>
    <w:rsid w:val="4B835116"/>
    <w:rsid w:val="4B965649"/>
    <w:rsid w:val="4BBA0F4B"/>
    <w:rsid w:val="4BC03621"/>
    <w:rsid w:val="4BC22F72"/>
    <w:rsid w:val="4BCF3ACD"/>
    <w:rsid w:val="4BEC1DA9"/>
    <w:rsid w:val="4C0A4905"/>
    <w:rsid w:val="4C113092"/>
    <w:rsid w:val="4C454D9D"/>
    <w:rsid w:val="4C6D4FD8"/>
    <w:rsid w:val="4C8229F4"/>
    <w:rsid w:val="4C956109"/>
    <w:rsid w:val="4CBB5F06"/>
    <w:rsid w:val="4CBC2827"/>
    <w:rsid w:val="4CD15313"/>
    <w:rsid w:val="4CDD2221"/>
    <w:rsid w:val="4CE2572F"/>
    <w:rsid w:val="4CE66201"/>
    <w:rsid w:val="4CEC7C13"/>
    <w:rsid w:val="4D0C5409"/>
    <w:rsid w:val="4D1737DC"/>
    <w:rsid w:val="4D2E5116"/>
    <w:rsid w:val="4D4946C3"/>
    <w:rsid w:val="4D6215E1"/>
    <w:rsid w:val="4D667D39"/>
    <w:rsid w:val="4D6A6CFA"/>
    <w:rsid w:val="4D8C427F"/>
    <w:rsid w:val="4D960DE1"/>
    <w:rsid w:val="4DB579D1"/>
    <w:rsid w:val="4DBD70EB"/>
    <w:rsid w:val="4DBF2E3E"/>
    <w:rsid w:val="4DC13B58"/>
    <w:rsid w:val="4E44138D"/>
    <w:rsid w:val="4E577EB0"/>
    <w:rsid w:val="4E6E459C"/>
    <w:rsid w:val="4E98618A"/>
    <w:rsid w:val="4E9D352C"/>
    <w:rsid w:val="4EB95E17"/>
    <w:rsid w:val="4EC413D9"/>
    <w:rsid w:val="4ED45410"/>
    <w:rsid w:val="4F1E0A2B"/>
    <w:rsid w:val="4F6B02B8"/>
    <w:rsid w:val="4F72409C"/>
    <w:rsid w:val="4F7A5C04"/>
    <w:rsid w:val="4FA43165"/>
    <w:rsid w:val="4FB6214D"/>
    <w:rsid w:val="4FF108B5"/>
    <w:rsid w:val="4FF57E8D"/>
    <w:rsid w:val="4FFA2095"/>
    <w:rsid w:val="500E4CA2"/>
    <w:rsid w:val="504538BE"/>
    <w:rsid w:val="50645753"/>
    <w:rsid w:val="507028FD"/>
    <w:rsid w:val="50A93BA8"/>
    <w:rsid w:val="50E65CE2"/>
    <w:rsid w:val="50F814D6"/>
    <w:rsid w:val="511E0033"/>
    <w:rsid w:val="51202751"/>
    <w:rsid w:val="512B61A1"/>
    <w:rsid w:val="51366F1E"/>
    <w:rsid w:val="5143280B"/>
    <w:rsid w:val="51546F21"/>
    <w:rsid w:val="518A1586"/>
    <w:rsid w:val="51A86476"/>
    <w:rsid w:val="51DD620D"/>
    <w:rsid w:val="51F83F85"/>
    <w:rsid w:val="5203159A"/>
    <w:rsid w:val="52051862"/>
    <w:rsid w:val="52245275"/>
    <w:rsid w:val="522A5D40"/>
    <w:rsid w:val="52535651"/>
    <w:rsid w:val="52714715"/>
    <w:rsid w:val="53163533"/>
    <w:rsid w:val="535B7AFB"/>
    <w:rsid w:val="53A40CC6"/>
    <w:rsid w:val="53A873F7"/>
    <w:rsid w:val="54065CB8"/>
    <w:rsid w:val="544111E8"/>
    <w:rsid w:val="5444354A"/>
    <w:rsid w:val="54660E4D"/>
    <w:rsid w:val="546D5D40"/>
    <w:rsid w:val="54766E20"/>
    <w:rsid w:val="547A6B2A"/>
    <w:rsid w:val="549277AF"/>
    <w:rsid w:val="550431D5"/>
    <w:rsid w:val="5516293C"/>
    <w:rsid w:val="551D6AF9"/>
    <w:rsid w:val="55235EDB"/>
    <w:rsid w:val="55315B5B"/>
    <w:rsid w:val="5583158B"/>
    <w:rsid w:val="55A60ADC"/>
    <w:rsid w:val="55D857C5"/>
    <w:rsid w:val="560E59DC"/>
    <w:rsid w:val="56253A26"/>
    <w:rsid w:val="5638334C"/>
    <w:rsid w:val="56780FF9"/>
    <w:rsid w:val="56807A31"/>
    <w:rsid w:val="56870578"/>
    <w:rsid w:val="569241C0"/>
    <w:rsid w:val="56944288"/>
    <w:rsid w:val="56A33B67"/>
    <w:rsid w:val="56A40E03"/>
    <w:rsid w:val="56E20A0E"/>
    <w:rsid w:val="5712602C"/>
    <w:rsid w:val="571F34FB"/>
    <w:rsid w:val="5737516A"/>
    <w:rsid w:val="57431AE0"/>
    <w:rsid w:val="57561457"/>
    <w:rsid w:val="57730A91"/>
    <w:rsid w:val="5780384C"/>
    <w:rsid w:val="57A27BD5"/>
    <w:rsid w:val="57C762A2"/>
    <w:rsid w:val="57F258C8"/>
    <w:rsid w:val="5812512F"/>
    <w:rsid w:val="5815788A"/>
    <w:rsid w:val="587179A2"/>
    <w:rsid w:val="588C140C"/>
    <w:rsid w:val="58A12453"/>
    <w:rsid w:val="58B21650"/>
    <w:rsid w:val="58B95755"/>
    <w:rsid w:val="58C00F3E"/>
    <w:rsid w:val="59103135"/>
    <w:rsid w:val="59103E6F"/>
    <w:rsid w:val="59335C0C"/>
    <w:rsid w:val="59373C72"/>
    <w:rsid w:val="593A4AEF"/>
    <w:rsid w:val="5945207E"/>
    <w:rsid w:val="594B5485"/>
    <w:rsid w:val="595B4F2E"/>
    <w:rsid w:val="596D221D"/>
    <w:rsid w:val="5987789B"/>
    <w:rsid w:val="598E3EC1"/>
    <w:rsid w:val="59A02F66"/>
    <w:rsid w:val="59A237B5"/>
    <w:rsid w:val="59A77712"/>
    <w:rsid w:val="59C03949"/>
    <w:rsid w:val="59CB276C"/>
    <w:rsid w:val="59EE791A"/>
    <w:rsid w:val="5A72604D"/>
    <w:rsid w:val="5A7F77CE"/>
    <w:rsid w:val="5A8B33BB"/>
    <w:rsid w:val="5A933E27"/>
    <w:rsid w:val="5AA20C09"/>
    <w:rsid w:val="5ABC5F71"/>
    <w:rsid w:val="5AD20F31"/>
    <w:rsid w:val="5ADC2D5B"/>
    <w:rsid w:val="5AF81EC0"/>
    <w:rsid w:val="5B0E4DAE"/>
    <w:rsid w:val="5B0E6862"/>
    <w:rsid w:val="5B191B02"/>
    <w:rsid w:val="5B4D14FF"/>
    <w:rsid w:val="5B58464F"/>
    <w:rsid w:val="5B8509D1"/>
    <w:rsid w:val="5B90297B"/>
    <w:rsid w:val="5C11606C"/>
    <w:rsid w:val="5C4E0A2D"/>
    <w:rsid w:val="5C524815"/>
    <w:rsid w:val="5C64452B"/>
    <w:rsid w:val="5C7719CE"/>
    <w:rsid w:val="5C8E79BD"/>
    <w:rsid w:val="5CA6604A"/>
    <w:rsid w:val="5CE90EB1"/>
    <w:rsid w:val="5CEC747F"/>
    <w:rsid w:val="5D066D29"/>
    <w:rsid w:val="5D2719C9"/>
    <w:rsid w:val="5D285026"/>
    <w:rsid w:val="5D521F6E"/>
    <w:rsid w:val="5D5C0E3F"/>
    <w:rsid w:val="5D5E619D"/>
    <w:rsid w:val="5D697358"/>
    <w:rsid w:val="5D747A99"/>
    <w:rsid w:val="5D8B31E3"/>
    <w:rsid w:val="5D9249ED"/>
    <w:rsid w:val="5DA1646B"/>
    <w:rsid w:val="5DD7329D"/>
    <w:rsid w:val="5DDC5DDB"/>
    <w:rsid w:val="5DF04FFA"/>
    <w:rsid w:val="5E063C72"/>
    <w:rsid w:val="5E1054C5"/>
    <w:rsid w:val="5E19167C"/>
    <w:rsid w:val="5E3C01D4"/>
    <w:rsid w:val="5E6F443D"/>
    <w:rsid w:val="5E70354F"/>
    <w:rsid w:val="5E791F2E"/>
    <w:rsid w:val="5E8C7523"/>
    <w:rsid w:val="5E94632E"/>
    <w:rsid w:val="5E9640DD"/>
    <w:rsid w:val="5E9C2B92"/>
    <w:rsid w:val="5EB82786"/>
    <w:rsid w:val="5EB94C72"/>
    <w:rsid w:val="5EC30C37"/>
    <w:rsid w:val="5F075E7F"/>
    <w:rsid w:val="5F111534"/>
    <w:rsid w:val="5F1B5FE5"/>
    <w:rsid w:val="5F2541B1"/>
    <w:rsid w:val="5F804106"/>
    <w:rsid w:val="5F8E0C9A"/>
    <w:rsid w:val="5FAE4770"/>
    <w:rsid w:val="5FBC6FFC"/>
    <w:rsid w:val="5FD70E51"/>
    <w:rsid w:val="5FD91B32"/>
    <w:rsid w:val="5FDE3D1C"/>
    <w:rsid w:val="5FEB36B0"/>
    <w:rsid w:val="60070235"/>
    <w:rsid w:val="600B4656"/>
    <w:rsid w:val="60247960"/>
    <w:rsid w:val="60337FBD"/>
    <w:rsid w:val="604C0EF7"/>
    <w:rsid w:val="60557909"/>
    <w:rsid w:val="6071416B"/>
    <w:rsid w:val="607E2BDE"/>
    <w:rsid w:val="60822B6A"/>
    <w:rsid w:val="608B596D"/>
    <w:rsid w:val="60B20DDE"/>
    <w:rsid w:val="60CF6017"/>
    <w:rsid w:val="60EC58A1"/>
    <w:rsid w:val="60EE6715"/>
    <w:rsid w:val="60F560A0"/>
    <w:rsid w:val="60F765D6"/>
    <w:rsid w:val="610237D7"/>
    <w:rsid w:val="614A193E"/>
    <w:rsid w:val="61932B55"/>
    <w:rsid w:val="619B0A4D"/>
    <w:rsid w:val="619C19B6"/>
    <w:rsid w:val="61B451D9"/>
    <w:rsid w:val="61BC5698"/>
    <w:rsid w:val="61C05E29"/>
    <w:rsid w:val="61DF005D"/>
    <w:rsid w:val="61E220CA"/>
    <w:rsid w:val="621F3A28"/>
    <w:rsid w:val="622919DE"/>
    <w:rsid w:val="623817CD"/>
    <w:rsid w:val="624C08D9"/>
    <w:rsid w:val="625671C6"/>
    <w:rsid w:val="626D5F1F"/>
    <w:rsid w:val="628D5A05"/>
    <w:rsid w:val="629635F2"/>
    <w:rsid w:val="62B26831"/>
    <w:rsid w:val="62DB156F"/>
    <w:rsid w:val="62E35C5C"/>
    <w:rsid w:val="62E5395E"/>
    <w:rsid w:val="6308602C"/>
    <w:rsid w:val="63240E71"/>
    <w:rsid w:val="632538AB"/>
    <w:rsid w:val="63260125"/>
    <w:rsid w:val="63556314"/>
    <w:rsid w:val="635B2F46"/>
    <w:rsid w:val="63655BF1"/>
    <w:rsid w:val="63716FDE"/>
    <w:rsid w:val="6381414F"/>
    <w:rsid w:val="63901C9C"/>
    <w:rsid w:val="63A6496D"/>
    <w:rsid w:val="63A83FEC"/>
    <w:rsid w:val="63D92053"/>
    <w:rsid w:val="63E37B79"/>
    <w:rsid w:val="63FC1B88"/>
    <w:rsid w:val="64032214"/>
    <w:rsid w:val="64035403"/>
    <w:rsid w:val="644D4301"/>
    <w:rsid w:val="646031C3"/>
    <w:rsid w:val="6477289B"/>
    <w:rsid w:val="648578B4"/>
    <w:rsid w:val="649176C0"/>
    <w:rsid w:val="64987293"/>
    <w:rsid w:val="649C5F21"/>
    <w:rsid w:val="649E57C1"/>
    <w:rsid w:val="64A11F98"/>
    <w:rsid w:val="64B9138C"/>
    <w:rsid w:val="64D442AC"/>
    <w:rsid w:val="64E3429E"/>
    <w:rsid w:val="650401CF"/>
    <w:rsid w:val="65205814"/>
    <w:rsid w:val="65300482"/>
    <w:rsid w:val="653D52DC"/>
    <w:rsid w:val="655373D5"/>
    <w:rsid w:val="655C48EB"/>
    <w:rsid w:val="659550EE"/>
    <w:rsid w:val="659D4F4E"/>
    <w:rsid w:val="65A300A1"/>
    <w:rsid w:val="65A9371F"/>
    <w:rsid w:val="65B006F3"/>
    <w:rsid w:val="65DB5C3D"/>
    <w:rsid w:val="65DC330D"/>
    <w:rsid w:val="65EC41CA"/>
    <w:rsid w:val="664663E8"/>
    <w:rsid w:val="666631F7"/>
    <w:rsid w:val="66773070"/>
    <w:rsid w:val="66780DEE"/>
    <w:rsid w:val="668E1E21"/>
    <w:rsid w:val="66926F8C"/>
    <w:rsid w:val="66966882"/>
    <w:rsid w:val="66A3383B"/>
    <w:rsid w:val="66AB117E"/>
    <w:rsid w:val="66BD2286"/>
    <w:rsid w:val="66D81AB8"/>
    <w:rsid w:val="66F269C9"/>
    <w:rsid w:val="6727621A"/>
    <w:rsid w:val="67285BDC"/>
    <w:rsid w:val="67881E0B"/>
    <w:rsid w:val="679329AC"/>
    <w:rsid w:val="67C1521F"/>
    <w:rsid w:val="67FB2FC2"/>
    <w:rsid w:val="680F708F"/>
    <w:rsid w:val="6828049B"/>
    <w:rsid w:val="68282249"/>
    <w:rsid w:val="6832131A"/>
    <w:rsid w:val="6838125F"/>
    <w:rsid w:val="684E7153"/>
    <w:rsid w:val="68942469"/>
    <w:rsid w:val="689A4745"/>
    <w:rsid w:val="68A270B1"/>
    <w:rsid w:val="68C83A2C"/>
    <w:rsid w:val="694D40E8"/>
    <w:rsid w:val="69522C18"/>
    <w:rsid w:val="69560D87"/>
    <w:rsid w:val="69624B7D"/>
    <w:rsid w:val="698348F7"/>
    <w:rsid w:val="699B6A4B"/>
    <w:rsid w:val="69A85914"/>
    <w:rsid w:val="69B54893"/>
    <w:rsid w:val="69F0666F"/>
    <w:rsid w:val="69FA018D"/>
    <w:rsid w:val="6A25465E"/>
    <w:rsid w:val="6A572716"/>
    <w:rsid w:val="6A87076D"/>
    <w:rsid w:val="6A9454E3"/>
    <w:rsid w:val="6ABC577D"/>
    <w:rsid w:val="6ACF2D0F"/>
    <w:rsid w:val="6AFC0247"/>
    <w:rsid w:val="6AFC23BD"/>
    <w:rsid w:val="6B080110"/>
    <w:rsid w:val="6B287CCA"/>
    <w:rsid w:val="6B37191E"/>
    <w:rsid w:val="6B883271"/>
    <w:rsid w:val="6BA33D44"/>
    <w:rsid w:val="6BD46244"/>
    <w:rsid w:val="6BDA30FF"/>
    <w:rsid w:val="6BFD22BB"/>
    <w:rsid w:val="6C4068D5"/>
    <w:rsid w:val="6C5F6456"/>
    <w:rsid w:val="6C741EF9"/>
    <w:rsid w:val="6C7E2B3D"/>
    <w:rsid w:val="6C8568B5"/>
    <w:rsid w:val="6C966E13"/>
    <w:rsid w:val="6CB00C5D"/>
    <w:rsid w:val="6CB155E2"/>
    <w:rsid w:val="6CD15B16"/>
    <w:rsid w:val="6CF256BF"/>
    <w:rsid w:val="6CF84967"/>
    <w:rsid w:val="6D0441AB"/>
    <w:rsid w:val="6D4150D0"/>
    <w:rsid w:val="6D481945"/>
    <w:rsid w:val="6D6650F6"/>
    <w:rsid w:val="6D6D32A5"/>
    <w:rsid w:val="6D7B403E"/>
    <w:rsid w:val="6D96704E"/>
    <w:rsid w:val="6DC34F03"/>
    <w:rsid w:val="6DEC7B87"/>
    <w:rsid w:val="6DF80910"/>
    <w:rsid w:val="6E3C4D68"/>
    <w:rsid w:val="6ED441CD"/>
    <w:rsid w:val="6EF06A3A"/>
    <w:rsid w:val="6EF32E85"/>
    <w:rsid w:val="6F231086"/>
    <w:rsid w:val="6F2C1077"/>
    <w:rsid w:val="6F31437C"/>
    <w:rsid w:val="6F3239AE"/>
    <w:rsid w:val="6F4412DE"/>
    <w:rsid w:val="6FB01FF6"/>
    <w:rsid w:val="6FD67088"/>
    <w:rsid w:val="6FE27E45"/>
    <w:rsid w:val="6FE56C72"/>
    <w:rsid w:val="702D3037"/>
    <w:rsid w:val="70334A73"/>
    <w:rsid w:val="70807521"/>
    <w:rsid w:val="70854008"/>
    <w:rsid w:val="70EE0B58"/>
    <w:rsid w:val="71A75AA2"/>
    <w:rsid w:val="71DF79D6"/>
    <w:rsid w:val="71F327E9"/>
    <w:rsid w:val="722F69F0"/>
    <w:rsid w:val="72525910"/>
    <w:rsid w:val="7272141E"/>
    <w:rsid w:val="729A51BF"/>
    <w:rsid w:val="72A20E4A"/>
    <w:rsid w:val="72B463D3"/>
    <w:rsid w:val="72C31F67"/>
    <w:rsid w:val="730F2443"/>
    <w:rsid w:val="735839E7"/>
    <w:rsid w:val="738A19B2"/>
    <w:rsid w:val="739B33B6"/>
    <w:rsid w:val="73E3171A"/>
    <w:rsid w:val="74261078"/>
    <w:rsid w:val="74460C31"/>
    <w:rsid w:val="744D4DB8"/>
    <w:rsid w:val="745948C9"/>
    <w:rsid w:val="747814E9"/>
    <w:rsid w:val="74782083"/>
    <w:rsid w:val="7499444F"/>
    <w:rsid w:val="74F00783"/>
    <w:rsid w:val="74F21A8E"/>
    <w:rsid w:val="74F517DA"/>
    <w:rsid w:val="74F579BD"/>
    <w:rsid w:val="75092D2E"/>
    <w:rsid w:val="751F35C6"/>
    <w:rsid w:val="752673FA"/>
    <w:rsid w:val="75371D1E"/>
    <w:rsid w:val="75445278"/>
    <w:rsid w:val="754E52B9"/>
    <w:rsid w:val="755743E2"/>
    <w:rsid w:val="755A18B2"/>
    <w:rsid w:val="756D2420"/>
    <w:rsid w:val="75D33B60"/>
    <w:rsid w:val="75EB0030"/>
    <w:rsid w:val="761323C6"/>
    <w:rsid w:val="767A1884"/>
    <w:rsid w:val="767C2A5C"/>
    <w:rsid w:val="7681376B"/>
    <w:rsid w:val="76A5715B"/>
    <w:rsid w:val="76B178AE"/>
    <w:rsid w:val="76BA6056"/>
    <w:rsid w:val="76DD68F5"/>
    <w:rsid w:val="771405C6"/>
    <w:rsid w:val="77186802"/>
    <w:rsid w:val="77244002"/>
    <w:rsid w:val="77324E93"/>
    <w:rsid w:val="7759121E"/>
    <w:rsid w:val="776B0749"/>
    <w:rsid w:val="778C19C1"/>
    <w:rsid w:val="77D27526"/>
    <w:rsid w:val="77DE7388"/>
    <w:rsid w:val="78123276"/>
    <w:rsid w:val="781B6350"/>
    <w:rsid w:val="783F252C"/>
    <w:rsid w:val="784A620C"/>
    <w:rsid w:val="78661D77"/>
    <w:rsid w:val="786D6D22"/>
    <w:rsid w:val="787542C9"/>
    <w:rsid w:val="787C4A52"/>
    <w:rsid w:val="787C6D8C"/>
    <w:rsid w:val="787D1A38"/>
    <w:rsid w:val="78833D88"/>
    <w:rsid w:val="78B15845"/>
    <w:rsid w:val="78C70562"/>
    <w:rsid w:val="78E51A91"/>
    <w:rsid w:val="792279DB"/>
    <w:rsid w:val="797C1AA1"/>
    <w:rsid w:val="79DC01FD"/>
    <w:rsid w:val="79FE105C"/>
    <w:rsid w:val="7A1A1C0E"/>
    <w:rsid w:val="7A6F3B5B"/>
    <w:rsid w:val="7A7C338C"/>
    <w:rsid w:val="7A934CC7"/>
    <w:rsid w:val="7AAA17A7"/>
    <w:rsid w:val="7AB67B89"/>
    <w:rsid w:val="7AB93CAD"/>
    <w:rsid w:val="7ADD5745"/>
    <w:rsid w:val="7AFB7263"/>
    <w:rsid w:val="7B062FF2"/>
    <w:rsid w:val="7B1E69AF"/>
    <w:rsid w:val="7B2F1C8D"/>
    <w:rsid w:val="7B4771D3"/>
    <w:rsid w:val="7B4969DA"/>
    <w:rsid w:val="7B4B57FE"/>
    <w:rsid w:val="7B61571C"/>
    <w:rsid w:val="7B795031"/>
    <w:rsid w:val="7B8A7BFE"/>
    <w:rsid w:val="7BBA7BC4"/>
    <w:rsid w:val="7BF444AB"/>
    <w:rsid w:val="7BFE0356"/>
    <w:rsid w:val="7C050FEE"/>
    <w:rsid w:val="7C1F696C"/>
    <w:rsid w:val="7C241FA4"/>
    <w:rsid w:val="7C2F7F24"/>
    <w:rsid w:val="7C4411B5"/>
    <w:rsid w:val="7C4F6127"/>
    <w:rsid w:val="7C557027"/>
    <w:rsid w:val="7C63789C"/>
    <w:rsid w:val="7C6E4D09"/>
    <w:rsid w:val="7C701853"/>
    <w:rsid w:val="7C7733BD"/>
    <w:rsid w:val="7C774202"/>
    <w:rsid w:val="7C7F3FAA"/>
    <w:rsid w:val="7C985AF7"/>
    <w:rsid w:val="7CF32D47"/>
    <w:rsid w:val="7CF47DC4"/>
    <w:rsid w:val="7D2D7E4F"/>
    <w:rsid w:val="7D360B0D"/>
    <w:rsid w:val="7D3D1C6F"/>
    <w:rsid w:val="7D513B99"/>
    <w:rsid w:val="7D703C18"/>
    <w:rsid w:val="7D70416C"/>
    <w:rsid w:val="7D7D2444"/>
    <w:rsid w:val="7DB53173"/>
    <w:rsid w:val="7DBD0485"/>
    <w:rsid w:val="7DC17AA5"/>
    <w:rsid w:val="7E3F400C"/>
    <w:rsid w:val="7E3F5C67"/>
    <w:rsid w:val="7E485A8B"/>
    <w:rsid w:val="7E710432"/>
    <w:rsid w:val="7E784FFE"/>
    <w:rsid w:val="7E835EDA"/>
    <w:rsid w:val="7ECF0F9A"/>
    <w:rsid w:val="7F0D36A8"/>
    <w:rsid w:val="7F0D6F9B"/>
    <w:rsid w:val="7F267E5E"/>
    <w:rsid w:val="7F511034"/>
    <w:rsid w:val="7F9C3E66"/>
    <w:rsid w:val="7FB12B06"/>
    <w:rsid w:val="7FCB7C32"/>
    <w:rsid w:val="7FED16D1"/>
    <w:rsid w:val="7FF30DF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2">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4">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table of authorities"/>
    <w:basedOn w:val="1"/>
    <w:next w:val="1"/>
    <w:qFormat/>
    <w:uiPriority w:val="99"/>
    <w:pPr>
      <w:ind w:left="420" w:leftChars="200"/>
    </w:p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8"/>
    <w:qFormat/>
    <w:uiPriority w:val="99"/>
    <w:pPr>
      <w:spacing w:after="120"/>
    </w:pPr>
  </w:style>
  <w:style w:type="paragraph" w:styleId="20">
    <w:name w:val="Body Text Indent"/>
    <w:basedOn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6"/>
    <w:next w:val="16"/>
    <w:link w:val="87"/>
    <w:qFormat/>
    <w:uiPriority w:val="0"/>
    <w:rPr>
      <w:rFonts w:ascii="Calibri" w:hAnsi="Calibri" w:cs="黑体"/>
      <w:b/>
      <w:bCs/>
    </w:rPr>
  </w:style>
  <w:style w:type="paragraph" w:styleId="45">
    <w:name w:val="Body Text First Indent"/>
    <w:basedOn w:val="19"/>
    <w:link w:val="176"/>
    <w:unhideWhenUsed/>
    <w:qFormat/>
    <w:uiPriority w:val="0"/>
    <w:pPr>
      <w:spacing w:line="500" w:lineRule="exact"/>
      <w:ind w:firstLine="420" w:firstLineChars="200"/>
    </w:pPr>
  </w:style>
  <w:style w:type="paragraph" w:styleId="46">
    <w:name w:val="Body Text First Indent 2"/>
    <w:basedOn w:val="20"/>
    <w:qFormat/>
    <w:uiPriority w:val="6"/>
    <w:pPr>
      <w:ind w:firstLine="420"/>
      <w:jc w:val="left"/>
    </w:pPr>
    <w:rPr>
      <w:rFonts w:cs="Calibri"/>
      <w:kern w:val="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1"/>
    <w:qFormat/>
    <w:uiPriority w:val="0"/>
    <w:rPr>
      <w:sz w:val="18"/>
      <w:szCs w:val="18"/>
    </w:rPr>
  </w:style>
  <w:style w:type="character" w:customStyle="1" w:styleId="63">
    <w:name w:val="页脚 字符"/>
    <w:basedOn w:val="49"/>
    <w:link w:val="30"/>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2"/>
    <w:qFormat/>
    <w:uiPriority w:val="0"/>
    <w:rPr>
      <w:rFonts w:ascii="Arial" w:hAnsi="Arial" w:eastAsia="宋体" w:cs="Times New Roman"/>
      <w:b/>
      <w:bCs/>
      <w:kern w:val="0"/>
      <w:sz w:val="24"/>
      <w:szCs w:val="32"/>
    </w:rPr>
  </w:style>
  <w:style w:type="character" w:customStyle="1" w:styleId="66">
    <w:name w:val="标题 3 字符"/>
    <w:basedOn w:val="49"/>
    <w:link w:val="4"/>
    <w:qFormat/>
    <w:uiPriority w:val="0"/>
    <w:rPr>
      <w:rFonts w:ascii="Times New Roman" w:hAnsi="Times New Roman" w:eastAsia="宋体" w:cs="Times New Roman"/>
      <w:b/>
      <w:bCs/>
      <w:kern w:val="0"/>
      <w:sz w:val="32"/>
      <w:szCs w:val="32"/>
    </w:rPr>
  </w:style>
  <w:style w:type="character" w:customStyle="1" w:styleId="67">
    <w:name w:val="标题 4 字符"/>
    <w:basedOn w:val="49"/>
    <w:link w:val="5"/>
    <w:qFormat/>
    <w:uiPriority w:val="0"/>
    <w:rPr>
      <w:rFonts w:ascii="Arial" w:hAnsi="Arial" w:eastAsia="黑体" w:cs="Times New Roman"/>
      <w:b/>
      <w:bCs/>
      <w:kern w:val="0"/>
      <w:sz w:val="28"/>
      <w:szCs w:val="28"/>
    </w:rPr>
  </w:style>
  <w:style w:type="character" w:customStyle="1" w:styleId="68">
    <w:name w:val="标题 5 字符"/>
    <w:basedOn w:val="49"/>
    <w:link w:val="6"/>
    <w:qFormat/>
    <w:uiPriority w:val="0"/>
    <w:rPr>
      <w:rFonts w:ascii="Times New Roman" w:hAnsi="Times New Roman" w:eastAsia="宋体" w:cs="Times New Roman"/>
      <w:b/>
      <w:bCs/>
      <w:kern w:val="0"/>
      <w:sz w:val="28"/>
      <w:szCs w:val="28"/>
    </w:rPr>
  </w:style>
  <w:style w:type="character" w:customStyle="1" w:styleId="69">
    <w:name w:val="标题 6 字符"/>
    <w:basedOn w:val="49"/>
    <w:link w:val="7"/>
    <w:qFormat/>
    <w:uiPriority w:val="0"/>
    <w:rPr>
      <w:rFonts w:ascii="Arial" w:hAnsi="Arial" w:eastAsia="黑体" w:cs="Times New Roman"/>
      <w:b/>
      <w:bCs/>
      <w:kern w:val="0"/>
      <w:sz w:val="24"/>
      <w:szCs w:val="24"/>
    </w:rPr>
  </w:style>
  <w:style w:type="character" w:customStyle="1" w:styleId="70">
    <w:name w:val="标题 7 字符"/>
    <w:basedOn w:val="49"/>
    <w:link w:val="8"/>
    <w:qFormat/>
    <w:uiPriority w:val="0"/>
    <w:rPr>
      <w:rFonts w:ascii="Times New Roman" w:hAnsi="Times New Roman" w:eastAsia="宋体" w:cs="Times New Roman"/>
      <w:b/>
      <w:bCs/>
      <w:kern w:val="0"/>
      <w:sz w:val="24"/>
      <w:szCs w:val="24"/>
    </w:rPr>
  </w:style>
  <w:style w:type="character" w:customStyle="1" w:styleId="71">
    <w:name w:val="标题 8 字符"/>
    <w:basedOn w:val="49"/>
    <w:link w:val="9"/>
    <w:qFormat/>
    <w:uiPriority w:val="0"/>
    <w:rPr>
      <w:rFonts w:ascii="Arial" w:hAnsi="Arial" w:eastAsia="黑体" w:cs="Times New Roman"/>
      <w:kern w:val="0"/>
      <w:sz w:val="24"/>
      <w:szCs w:val="24"/>
    </w:rPr>
  </w:style>
  <w:style w:type="character" w:customStyle="1" w:styleId="72">
    <w:name w:val="标题 9 字符"/>
    <w:basedOn w:val="49"/>
    <w:link w:val="10"/>
    <w:qFormat/>
    <w:uiPriority w:val="0"/>
    <w:rPr>
      <w:rFonts w:ascii="Arial" w:hAnsi="Arial" w:eastAsia="黑体" w:cs="Times New Roman"/>
      <w:kern w:val="0"/>
      <w:sz w:val="20"/>
      <w:szCs w:val="21"/>
    </w:rPr>
  </w:style>
  <w:style w:type="character" w:customStyle="1" w:styleId="73">
    <w:name w:val="正文文本 2 字符"/>
    <w:basedOn w:val="49"/>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3"/>
    <w:qFormat/>
    <w:uiPriority w:val="0"/>
    <w:rPr>
      <w:rFonts w:ascii="Cambria" w:hAnsi="Cambria" w:eastAsia="宋体" w:cs="Times New Roman"/>
      <w:b/>
      <w:sz w:val="32"/>
      <w:szCs w:val="24"/>
    </w:rPr>
  </w:style>
  <w:style w:type="character" w:customStyle="1" w:styleId="102">
    <w:name w:val="正文文本缩进 2 字符"/>
    <w:basedOn w:val="49"/>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0"/>
    <w:qFormat/>
    <w:uiPriority w:val="0"/>
    <w:rPr>
      <w:rFonts w:ascii="Arial" w:hAnsi="Arial" w:eastAsia="宋体" w:cs="Arial"/>
      <w:kern w:val="0"/>
      <w:sz w:val="24"/>
      <w:szCs w:val="24"/>
    </w:rPr>
  </w:style>
  <w:style w:type="character" w:customStyle="1" w:styleId="115">
    <w:name w:val="称呼 字符"/>
    <w:basedOn w:val="49"/>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9"/>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link w:val="366"/>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2"/>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link w:val="365"/>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link w:val="367"/>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2"/>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2"/>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5"/>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标题 1 1 Char"/>
    <w:link w:val="247"/>
    <w:qFormat/>
    <w:uiPriority w:val="0"/>
    <w:rPr>
      <w:rFonts w:ascii="Calibri" w:hAnsi="Calibri" w:cs="黑体"/>
      <w:b/>
      <w:kern w:val="2"/>
      <w:sz w:val="24"/>
      <w:szCs w:val="22"/>
    </w:rPr>
  </w:style>
  <w:style w:type="character" w:customStyle="1" w:styleId="366">
    <w:name w:val="列表编号3 Char"/>
    <w:link w:val="208"/>
    <w:qFormat/>
    <w:uiPriority w:val="0"/>
    <w:rPr>
      <w:rFonts w:ascii="宋体" w:hAnsi="宋体"/>
      <w:snapToGrid w:val="0"/>
      <w:sz w:val="24"/>
      <w:szCs w:val="24"/>
    </w:rPr>
  </w:style>
  <w:style w:type="character" w:customStyle="1" w:styleId="367">
    <w:name w:val="标题 1.1 Char"/>
    <w:link w:val="273"/>
    <w:qFormat/>
    <w:uiPriority w:val="0"/>
    <w:rPr>
      <w:rFonts w:ascii="宋体" w:hAnsi="宋体"/>
      <w:b/>
      <w:snapToGrid w:val="0"/>
      <w:sz w:val="28"/>
      <w:szCs w:val="22"/>
    </w:rPr>
  </w:style>
  <w:style w:type="character" w:customStyle="1" w:styleId="368">
    <w:name w:val="fontstyle01"/>
    <w:qFormat/>
    <w:uiPriority w:val="0"/>
    <w:rPr>
      <w:rFonts w:hint="eastAsia" w:ascii="宋体" w:hAnsi="宋体" w:eastAsia="宋体"/>
      <w:color w:val="000000"/>
      <w:sz w:val="22"/>
      <w:szCs w:val="22"/>
    </w:rPr>
  </w:style>
  <w:style w:type="paragraph" w:customStyle="1" w:styleId="369">
    <w:name w:val="列出段落11"/>
    <w:basedOn w:val="1"/>
    <w:qFormat/>
    <w:uiPriority w:val="0"/>
    <w:pPr>
      <w:ind w:firstLine="420" w:firstLineChars="200"/>
    </w:pPr>
    <w:rPr>
      <w:rFonts w:hint="eastAsia"/>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020AD2-8719-430A-8742-AC80CBFFD81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28024</Words>
  <Characters>29083</Characters>
  <Lines>242</Lines>
  <Paragraphs>68</Paragraphs>
  <TotalTime>24</TotalTime>
  <ScaleCrop>false</ScaleCrop>
  <LinksUpToDate>false</LinksUpToDate>
  <CharactersWithSpaces>30950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2019-09-11T08:04:00Z</dcterms:created>
  <dc:creator>李 毅</dc:creator>
  <cp:lastModifiedBy>SBQ</cp:lastModifiedBy>
  <cp:lastPrinted>2019-07-25T06:26:00Z</cp:lastPrinted>
  <dcterms:modified xsi:type="dcterms:W3CDTF">2022-12-12T02:22:30Z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813130DC138A4C31B2EA9255725EB53F</vt:lpwstr>
  </property>
</Properties>
</file>