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cs="黑体"/>
          <w:sz w:val="48"/>
          <w:szCs w:val="48"/>
          <w:highlight w:val="yellow"/>
        </w:rPr>
      </w:pPr>
    </w:p>
    <w:p>
      <w:pPr>
        <w:spacing w:line="360" w:lineRule="auto"/>
        <w:ind w:left="-141" w:leftChars="-67"/>
        <w:jc w:val="center"/>
        <w:rPr>
          <w:rFonts w:ascii="黑体" w:hAnsi="黑体" w:eastAsia="黑体" w:cs="黑体"/>
          <w:b/>
          <w:color w:val="000000"/>
          <w:kern w:val="0"/>
          <w:sz w:val="52"/>
          <w:szCs w:val="52"/>
        </w:rPr>
      </w:pPr>
    </w:p>
    <w:p>
      <w:pPr>
        <w:spacing w:before="156" w:beforeLines="50" w:after="156" w:afterLines="50"/>
        <w:jc w:val="center"/>
        <w:rPr>
          <w:rFonts w:ascii="黑体" w:hAnsi="黑体" w:eastAsia="黑体" w:cs="黑体"/>
          <w:sz w:val="48"/>
          <w:szCs w:val="48"/>
        </w:rPr>
      </w:pPr>
      <w:bookmarkStart w:id="0" w:name="_Toc30050"/>
      <w:r>
        <w:rPr>
          <w:rFonts w:hint="eastAsia" w:ascii="黑体" w:hAnsi="黑体" w:eastAsia="黑体" w:cs="黑体"/>
          <w:sz w:val="48"/>
          <w:szCs w:val="48"/>
        </w:rPr>
        <w:t>长沙市轨道交通1、2、4号线运营期2022年多功能垂直钢轨打磨机、双轨波浪磨耗测量仪等5项轨道维修设备采购项目用户需求书</w:t>
      </w:r>
      <w:bookmarkEnd w:id="0"/>
    </w:p>
    <w:p>
      <w:pPr>
        <w:spacing w:line="360" w:lineRule="auto"/>
        <w:jc w:val="center"/>
        <w:rPr>
          <w:rFonts w:ascii="宋体" w:hAnsi="宋体" w:cs="宋体"/>
          <w:color w:val="000000"/>
          <w:kern w:val="0"/>
          <w:sz w:val="44"/>
        </w:rPr>
      </w:pPr>
    </w:p>
    <w:p>
      <w:pPr>
        <w:spacing w:line="360" w:lineRule="auto"/>
        <w:jc w:val="center"/>
        <w:rPr>
          <w:rFonts w:ascii="宋体" w:hAnsi="宋体" w:cs="宋体"/>
          <w:color w:val="000000"/>
          <w:kern w:val="0"/>
          <w:sz w:val="44"/>
        </w:rPr>
      </w:pPr>
    </w:p>
    <w:p>
      <w:pPr>
        <w:spacing w:line="360" w:lineRule="auto"/>
        <w:jc w:val="center"/>
        <w:rPr>
          <w:rFonts w:ascii="宋体" w:hAnsi="宋体" w:cs="宋体"/>
          <w:color w:val="000000"/>
          <w:kern w:val="0"/>
          <w:sz w:val="44"/>
        </w:rPr>
      </w:pPr>
    </w:p>
    <w:p>
      <w:pPr>
        <w:spacing w:line="360" w:lineRule="auto"/>
        <w:jc w:val="center"/>
        <w:rPr>
          <w:rFonts w:ascii="宋体" w:hAnsi="宋体" w:cs="宋体"/>
          <w:color w:val="000000"/>
          <w:kern w:val="0"/>
          <w:sz w:val="44"/>
        </w:rPr>
      </w:pPr>
    </w:p>
    <w:p>
      <w:pPr>
        <w:spacing w:line="360" w:lineRule="auto"/>
        <w:jc w:val="center"/>
        <w:rPr>
          <w:rFonts w:ascii="宋体" w:hAnsi="宋体" w:cs="宋体"/>
          <w:color w:val="000000"/>
          <w:kern w:val="0"/>
          <w:sz w:val="44"/>
        </w:rPr>
      </w:pPr>
    </w:p>
    <w:p>
      <w:pPr>
        <w:spacing w:line="360" w:lineRule="auto"/>
        <w:jc w:val="center"/>
        <w:rPr>
          <w:rFonts w:ascii="宋体" w:hAnsi="宋体" w:cs="宋体"/>
          <w:color w:val="000000"/>
          <w:kern w:val="0"/>
          <w:sz w:val="44"/>
        </w:rPr>
      </w:pPr>
    </w:p>
    <w:p>
      <w:pPr>
        <w:spacing w:line="360" w:lineRule="auto"/>
        <w:jc w:val="center"/>
        <w:rPr>
          <w:rFonts w:ascii="宋体" w:hAnsi="宋体" w:cs="宋体"/>
          <w:color w:val="000000"/>
          <w:kern w:val="0"/>
          <w:sz w:val="44"/>
        </w:rPr>
      </w:pPr>
    </w:p>
    <w:p>
      <w:pPr>
        <w:spacing w:line="360" w:lineRule="auto"/>
        <w:rPr>
          <w:rFonts w:ascii="宋体" w:hAnsi="宋体" w:cs="宋体"/>
          <w:color w:val="000000"/>
          <w:kern w:val="0"/>
          <w:sz w:val="44"/>
        </w:rPr>
      </w:pPr>
    </w:p>
    <w:p>
      <w:pPr>
        <w:spacing w:line="360" w:lineRule="auto"/>
        <w:jc w:val="center"/>
        <w:rPr>
          <w:rFonts w:ascii="宋体" w:hAnsi="宋体" w:cs="宋体"/>
          <w:color w:val="000000"/>
          <w:kern w:val="0"/>
          <w:sz w:val="32"/>
          <w:szCs w:val="32"/>
        </w:rPr>
      </w:pPr>
      <w:bookmarkStart w:id="1" w:name="_Toc23446"/>
      <w:bookmarkStart w:id="2" w:name="_Toc17754"/>
    </w:p>
    <w:p>
      <w:pPr>
        <w:spacing w:line="360" w:lineRule="auto"/>
        <w:jc w:val="center"/>
        <w:rPr>
          <w:rFonts w:ascii="宋体" w:hAnsi="宋体" w:cs="宋体"/>
          <w:color w:val="000000"/>
          <w:kern w:val="0"/>
          <w:sz w:val="32"/>
          <w:szCs w:val="32"/>
        </w:rPr>
      </w:pPr>
      <w:r>
        <w:rPr>
          <w:rFonts w:hint="eastAsia" w:ascii="宋体" w:hAnsi="宋体" w:cs="宋体"/>
          <w:color w:val="000000"/>
          <w:kern w:val="0"/>
          <w:sz w:val="32"/>
          <w:szCs w:val="32"/>
        </w:rPr>
        <w:t>编制时间：2022年11月</w:t>
      </w:r>
      <w:bookmarkEnd w:id="1"/>
      <w:bookmarkEnd w:id="2"/>
    </w:p>
    <w:p>
      <w:pPr>
        <w:pStyle w:val="13"/>
        <w:spacing w:line="360" w:lineRule="auto"/>
        <w:ind w:firstLine="0" w:firstLineChars="0"/>
        <w:jc w:val="center"/>
        <w:rPr>
          <w:rFonts w:hint="default" w:ascii="宋体" w:hAnsi="宋体" w:cs="宋体"/>
          <w:b/>
          <w:bCs/>
          <w:color w:val="000000"/>
          <w:w w:val="90"/>
          <w:sz w:val="36"/>
          <w:szCs w:val="36"/>
        </w:rPr>
      </w:pPr>
    </w:p>
    <w:p>
      <w:pPr>
        <w:pStyle w:val="13"/>
        <w:spacing w:line="360" w:lineRule="auto"/>
        <w:ind w:firstLine="0" w:firstLineChars="0"/>
        <w:jc w:val="center"/>
        <w:rPr>
          <w:rFonts w:hint="default" w:ascii="宋体" w:hAnsi="宋体" w:cs="宋体"/>
          <w:b/>
          <w:bCs/>
          <w:color w:val="000000"/>
          <w:w w:val="90"/>
          <w:sz w:val="36"/>
          <w:szCs w:val="36"/>
        </w:rPr>
      </w:pPr>
    </w:p>
    <w:p>
      <w:pPr>
        <w:pStyle w:val="13"/>
        <w:spacing w:line="360" w:lineRule="auto"/>
        <w:ind w:firstLine="0" w:firstLineChars="0"/>
        <w:jc w:val="center"/>
        <w:rPr>
          <w:rFonts w:hint="default" w:ascii="宋体" w:hAnsi="宋体" w:cs="宋体"/>
          <w:b/>
          <w:bCs/>
          <w:color w:val="000000"/>
          <w:w w:val="90"/>
          <w:sz w:val="36"/>
          <w:szCs w:val="36"/>
        </w:rPr>
      </w:pPr>
    </w:p>
    <w:p>
      <w:pPr>
        <w:pStyle w:val="13"/>
        <w:spacing w:line="360" w:lineRule="auto"/>
        <w:ind w:firstLine="0" w:firstLineChars="0"/>
        <w:jc w:val="center"/>
        <w:rPr>
          <w:rFonts w:hint="default" w:ascii="宋体" w:hAnsi="宋体" w:cs="宋体"/>
          <w:b/>
          <w:bCs/>
          <w:color w:val="000000"/>
          <w:w w:val="90"/>
          <w:sz w:val="36"/>
          <w:szCs w:val="36"/>
        </w:rPr>
      </w:pPr>
    </w:p>
    <w:p>
      <w:pPr>
        <w:pStyle w:val="13"/>
        <w:spacing w:line="360" w:lineRule="auto"/>
        <w:ind w:firstLine="0" w:firstLineChars="0"/>
        <w:jc w:val="left"/>
        <w:rPr>
          <w:rFonts w:hint="default" w:ascii="宋体" w:hAnsi="宋体" w:cs="宋体"/>
          <w:color w:val="000000"/>
          <w:w w:val="90"/>
          <w:szCs w:val="21"/>
        </w:rPr>
      </w:pPr>
    </w:p>
    <w:p>
      <w:pPr>
        <w:pStyle w:val="13"/>
        <w:spacing w:line="360" w:lineRule="auto"/>
        <w:ind w:firstLine="0" w:firstLineChars="0"/>
        <w:jc w:val="left"/>
        <w:rPr>
          <w:rFonts w:hint="default" w:ascii="宋体" w:hAnsi="宋体" w:cs="宋体"/>
          <w:b/>
          <w:bCs/>
          <w:color w:val="000000"/>
          <w:w w:val="90"/>
          <w:sz w:val="24"/>
          <w:szCs w:val="24"/>
        </w:rPr>
      </w:pPr>
      <w:r>
        <w:rPr>
          <w:rFonts w:ascii="宋体" w:hAnsi="宋体" w:cs="宋体"/>
          <w:b/>
          <w:bCs/>
          <w:color w:val="000000"/>
          <w:w w:val="90"/>
          <w:sz w:val="24"/>
          <w:szCs w:val="24"/>
        </w:rPr>
        <w:t>1　需求清单</w:t>
      </w:r>
    </w:p>
    <w:p>
      <w:pPr>
        <w:pStyle w:val="16"/>
        <w:numPr>
          <w:ilvl w:val="1"/>
          <w:numId w:val="0"/>
        </w:numPr>
        <w:spacing w:before="156" w:after="156"/>
        <w:rPr>
          <w:sz w:val="24"/>
          <w:szCs w:val="24"/>
        </w:rPr>
      </w:pPr>
      <w:r>
        <w:rPr>
          <w:rFonts w:hint="eastAsia" w:ascii="宋体" w:hAnsi="宋体" w:eastAsia="宋体" w:cs="宋体"/>
          <w:color w:val="000000"/>
          <w:w w:val="90"/>
          <w:sz w:val="24"/>
          <w:szCs w:val="24"/>
        </w:rPr>
        <w:t>表1　</w:t>
      </w:r>
      <w:r>
        <w:rPr>
          <w:rFonts w:hint="eastAsia"/>
          <w:sz w:val="24"/>
          <w:szCs w:val="24"/>
        </w:rPr>
        <w:t>设备清单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1208"/>
        <w:gridCol w:w="826"/>
        <w:gridCol w:w="702"/>
        <w:gridCol w:w="2106"/>
        <w:gridCol w:w="2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pPr>
              <w:widowControl/>
              <w:jc w:val="center"/>
              <w:textAlignment w:val="center"/>
              <w:rPr>
                <w:rFonts w:ascii="宋体" w:hAnsi="宋体" w:cs="宋体"/>
                <w:b/>
                <w:bCs/>
                <w:color w:val="000000"/>
                <w:kern w:val="0"/>
                <w:sz w:val="24"/>
              </w:rPr>
            </w:pPr>
            <w:r>
              <w:rPr>
                <w:rFonts w:hint="eastAsia" w:ascii="宋体" w:hAnsi="宋体" w:cs="宋体"/>
                <w:b/>
                <w:bCs/>
                <w:color w:val="000000"/>
                <w:kern w:val="0"/>
                <w:sz w:val="24"/>
                <w:lang w:bidi="ar"/>
              </w:rPr>
              <w:t>序号</w:t>
            </w:r>
          </w:p>
        </w:tc>
        <w:tc>
          <w:tcPr>
            <w:tcW w:w="1208" w:type="dxa"/>
            <w:vAlign w:val="center"/>
          </w:tcPr>
          <w:p>
            <w:pPr>
              <w:widowControl/>
              <w:jc w:val="center"/>
              <w:textAlignment w:val="center"/>
              <w:rPr>
                <w:rFonts w:ascii="宋体" w:hAnsi="宋体" w:cs="宋体"/>
                <w:b/>
                <w:bCs/>
                <w:color w:val="000000"/>
                <w:kern w:val="0"/>
                <w:sz w:val="24"/>
              </w:rPr>
            </w:pPr>
            <w:r>
              <w:rPr>
                <w:rFonts w:hint="eastAsia" w:ascii="宋体" w:hAnsi="宋体" w:cs="宋体"/>
                <w:b/>
                <w:bCs/>
                <w:color w:val="000000"/>
                <w:kern w:val="0"/>
                <w:sz w:val="24"/>
                <w:lang w:bidi="ar"/>
              </w:rPr>
              <w:t>物资名称</w:t>
            </w:r>
          </w:p>
        </w:tc>
        <w:tc>
          <w:tcPr>
            <w:tcW w:w="826" w:type="dxa"/>
            <w:vAlign w:val="center"/>
          </w:tcPr>
          <w:p>
            <w:pPr>
              <w:widowControl/>
              <w:jc w:val="center"/>
              <w:textAlignment w:val="center"/>
              <w:rPr>
                <w:rFonts w:ascii="宋体" w:hAnsi="宋体" w:cs="宋体"/>
                <w:b/>
                <w:bCs/>
                <w:color w:val="000000"/>
                <w:kern w:val="0"/>
                <w:sz w:val="24"/>
              </w:rPr>
            </w:pPr>
            <w:r>
              <w:rPr>
                <w:rFonts w:hint="eastAsia" w:ascii="宋体" w:hAnsi="宋体" w:cs="宋体"/>
                <w:b/>
                <w:bCs/>
                <w:color w:val="000000"/>
                <w:kern w:val="0"/>
                <w:sz w:val="24"/>
                <w:lang w:bidi="ar"/>
              </w:rPr>
              <w:t>单位</w:t>
            </w:r>
          </w:p>
        </w:tc>
        <w:tc>
          <w:tcPr>
            <w:tcW w:w="702" w:type="dxa"/>
            <w:vAlign w:val="center"/>
          </w:tcPr>
          <w:p>
            <w:pPr>
              <w:widowControl/>
              <w:jc w:val="center"/>
              <w:textAlignment w:val="center"/>
              <w:rPr>
                <w:rFonts w:ascii="宋体" w:hAnsi="宋体" w:cs="宋体"/>
                <w:b/>
                <w:bCs/>
                <w:color w:val="000000"/>
                <w:kern w:val="0"/>
                <w:sz w:val="24"/>
              </w:rPr>
            </w:pPr>
            <w:r>
              <w:rPr>
                <w:rFonts w:hint="eastAsia" w:ascii="宋体" w:hAnsi="宋体" w:cs="宋体"/>
                <w:b/>
                <w:bCs/>
                <w:color w:val="000000"/>
                <w:kern w:val="0"/>
                <w:sz w:val="24"/>
                <w:lang w:bidi="ar"/>
              </w:rPr>
              <w:t>需求数量</w:t>
            </w:r>
          </w:p>
        </w:tc>
        <w:tc>
          <w:tcPr>
            <w:tcW w:w="2106" w:type="dxa"/>
            <w:vAlign w:val="center"/>
          </w:tcPr>
          <w:p>
            <w:pPr>
              <w:pStyle w:val="15"/>
              <w:widowControl w:val="0"/>
              <w:ind w:firstLine="0" w:firstLineChars="0"/>
              <w:jc w:val="center"/>
              <w:rPr>
                <w:b/>
                <w:bCs/>
                <w:sz w:val="24"/>
                <w:szCs w:val="24"/>
              </w:rPr>
            </w:pPr>
            <w:r>
              <w:rPr>
                <w:rFonts w:hint="eastAsia"/>
                <w:b/>
                <w:bCs/>
                <w:sz w:val="24"/>
                <w:szCs w:val="24"/>
              </w:rPr>
              <w:t>技术参数及要求</w:t>
            </w:r>
          </w:p>
        </w:tc>
        <w:tc>
          <w:tcPr>
            <w:tcW w:w="2972" w:type="dxa"/>
            <w:vAlign w:val="center"/>
          </w:tcPr>
          <w:p>
            <w:pPr>
              <w:pStyle w:val="15"/>
              <w:widowControl w:val="0"/>
              <w:ind w:firstLine="482"/>
              <w:jc w:val="center"/>
              <w:rPr>
                <w:b/>
                <w:bCs/>
                <w:sz w:val="24"/>
                <w:szCs w:val="24"/>
              </w:rPr>
            </w:pPr>
            <w:r>
              <w:rPr>
                <w:rFonts w:hint="eastAsia"/>
                <w:b/>
                <w:bCs/>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pPr>
              <w:pStyle w:val="15"/>
              <w:widowControl w:val="0"/>
              <w:ind w:firstLine="0" w:firstLineChars="0"/>
              <w:jc w:val="center"/>
              <w:rPr>
                <w:rFonts w:hint="eastAsia" w:ascii="宋体" w:hAnsi="宋体" w:eastAsia="宋体" w:cs="宋体"/>
                <w:color w:val="000000"/>
                <w:w w:val="90"/>
                <w:kern w:val="2"/>
                <w:sz w:val="24"/>
                <w:szCs w:val="24"/>
                <w:lang w:val="en-US" w:eastAsia="zh-CN" w:bidi="ar-SA"/>
              </w:rPr>
            </w:pPr>
            <w:r>
              <w:rPr>
                <w:rFonts w:hint="eastAsia" w:ascii="宋体" w:hAnsi="宋体" w:eastAsia="宋体" w:cs="宋体"/>
                <w:color w:val="000000"/>
                <w:w w:val="90"/>
                <w:kern w:val="2"/>
                <w:sz w:val="24"/>
                <w:szCs w:val="24"/>
                <w:lang w:val="en-US" w:eastAsia="zh-CN" w:bidi="ar-SA"/>
              </w:rPr>
              <w:t>1</w:t>
            </w:r>
          </w:p>
        </w:tc>
        <w:tc>
          <w:tcPr>
            <w:tcW w:w="1208" w:type="dxa"/>
            <w:vAlign w:val="center"/>
          </w:tcPr>
          <w:p>
            <w:pPr>
              <w:pStyle w:val="15"/>
              <w:widowControl w:val="0"/>
              <w:ind w:firstLine="0" w:firstLineChars="0"/>
              <w:jc w:val="center"/>
              <w:rPr>
                <w:rFonts w:hint="eastAsia" w:ascii="宋体" w:hAnsi="宋体" w:eastAsia="宋体" w:cs="宋体"/>
                <w:color w:val="000000"/>
                <w:w w:val="90"/>
                <w:kern w:val="2"/>
                <w:sz w:val="24"/>
                <w:szCs w:val="24"/>
                <w:lang w:val="en-US" w:eastAsia="zh-CN" w:bidi="ar-SA"/>
              </w:rPr>
            </w:pPr>
            <w:r>
              <w:rPr>
                <w:rFonts w:hint="eastAsia" w:ascii="宋体" w:hAnsi="宋体" w:eastAsia="宋体" w:cs="宋体"/>
                <w:color w:val="000000"/>
                <w:w w:val="90"/>
                <w:kern w:val="2"/>
                <w:sz w:val="24"/>
                <w:szCs w:val="24"/>
                <w:lang w:val="en-US" w:eastAsia="zh-CN" w:bidi="ar-SA"/>
              </w:rPr>
              <w:t>双轨波浪磨耗测量仪</w:t>
            </w:r>
          </w:p>
        </w:tc>
        <w:tc>
          <w:tcPr>
            <w:tcW w:w="826" w:type="dxa"/>
            <w:vAlign w:val="center"/>
          </w:tcPr>
          <w:p>
            <w:pPr>
              <w:pStyle w:val="15"/>
              <w:widowControl w:val="0"/>
              <w:ind w:firstLine="0" w:firstLineChars="0"/>
              <w:jc w:val="center"/>
              <w:rPr>
                <w:rFonts w:hint="eastAsia" w:ascii="宋体" w:hAnsi="宋体" w:eastAsia="宋体" w:cs="宋体"/>
                <w:color w:val="000000"/>
                <w:w w:val="90"/>
                <w:kern w:val="2"/>
                <w:sz w:val="24"/>
                <w:szCs w:val="24"/>
                <w:lang w:val="en-US" w:eastAsia="zh-CN" w:bidi="ar-SA"/>
              </w:rPr>
            </w:pPr>
            <w:r>
              <w:rPr>
                <w:rFonts w:hint="eastAsia" w:ascii="宋体" w:hAnsi="宋体" w:eastAsia="宋体" w:cs="宋体"/>
                <w:color w:val="000000"/>
                <w:w w:val="90"/>
                <w:kern w:val="2"/>
                <w:sz w:val="24"/>
                <w:szCs w:val="24"/>
                <w:lang w:val="en-US" w:eastAsia="zh-CN" w:bidi="ar-SA"/>
              </w:rPr>
              <w:t>套</w:t>
            </w:r>
          </w:p>
        </w:tc>
        <w:tc>
          <w:tcPr>
            <w:tcW w:w="702" w:type="dxa"/>
            <w:vAlign w:val="center"/>
          </w:tcPr>
          <w:p>
            <w:pPr>
              <w:pStyle w:val="15"/>
              <w:widowControl w:val="0"/>
              <w:ind w:firstLine="0" w:firstLineChars="0"/>
              <w:jc w:val="center"/>
              <w:rPr>
                <w:rFonts w:hint="eastAsia" w:ascii="宋体" w:hAnsi="宋体" w:eastAsia="宋体" w:cs="宋体"/>
                <w:color w:val="000000"/>
                <w:w w:val="90"/>
                <w:kern w:val="2"/>
                <w:sz w:val="24"/>
                <w:szCs w:val="24"/>
                <w:lang w:val="en-US" w:eastAsia="zh-CN" w:bidi="ar-SA"/>
              </w:rPr>
            </w:pPr>
            <w:r>
              <w:rPr>
                <w:rFonts w:hint="eastAsia" w:ascii="宋体" w:hAnsi="宋体" w:eastAsia="宋体" w:cs="宋体"/>
                <w:color w:val="000000"/>
                <w:w w:val="90"/>
                <w:kern w:val="2"/>
                <w:sz w:val="24"/>
                <w:szCs w:val="24"/>
                <w:lang w:val="en-US" w:eastAsia="zh-CN" w:bidi="ar-SA"/>
              </w:rPr>
              <w:t>1</w:t>
            </w:r>
          </w:p>
        </w:tc>
        <w:tc>
          <w:tcPr>
            <w:tcW w:w="2106" w:type="dxa"/>
            <w:vAlign w:val="center"/>
          </w:tcPr>
          <w:p>
            <w:pPr>
              <w:pStyle w:val="15"/>
              <w:widowControl w:val="0"/>
              <w:ind w:firstLine="0" w:firstLineChars="0"/>
              <w:jc w:val="center"/>
              <w:rPr>
                <w:rFonts w:hint="eastAsia" w:ascii="宋体" w:hAnsi="宋体" w:eastAsia="宋体" w:cs="宋体"/>
                <w:color w:val="000000"/>
                <w:w w:val="90"/>
                <w:kern w:val="2"/>
                <w:sz w:val="24"/>
                <w:szCs w:val="24"/>
                <w:lang w:val="en-US" w:eastAsia="zh-CN" w:bidi="ar-SA"/>
              </w:rPr>
            </w:pPr>
            <w:r>
              <w:rPr>
                <w:rFonts w:hint="eastAsia" w:ascii="宋体" w:hAnsi="宋体" w:eastAsia="宋体" w:cs="宋体"/>
                <w:color w:val="000000"/>
                <w:w w:val="90"/>
                <w:kern w:val="2"/>
                <w:sz w:val="24"/>
                <w:szCs w:val="24"/>
                <w:lang w:val="en-US" w:eastAsia="zh-CN" w:bidi="ar-SA"/>
              </w:rPr>
              <w:t>详见“技术要求3.2.1”</w:t>
            </w:r>
          </w:p>
        </w:tc>
        <w:tc>
          <w:tcPr>
            <w:tcW w:w="2972" w:type="dxa"/>
            <w:vAlign w:val="center"/>
          </w:tcPr>
          <w:p>
            <w:pPr>
              <w:pStyle w:val="15"/>
              <w:widowControl w:val="0"/>
              <w:ind w:firstLine="0" w:firstLineChars="0"/>
              <w:jc w:val="center"/>
              <w:rPr>
                <w:rFonts w:hint="eastAsia" w:ascii="宋体" w:hAnsi="宋体" w:eastAsia="宋体" w:cs="宋体"/>
                <w:color w:val="000000"/>
                <w:w w:val="9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pPr>
              <w:pStyle w:val="15"/>
              <w:widowControl w:val="0"/>
              <w:ind w:firstLine="0" w:firstLineChars="0"/>
              <w:jc w:val="center"/>
              <w:rPr>
                <w:rFonts w:hint="eastAsia" w:ascii="宋体" w:hAnsi="宋体" w:eastAsia="宋体" w:cs="宋体"/>
                <w:color w:val="000000"/>
                <w:w w:val="90"/>
                <w:kern w:val="2"/>
                <w:sz w:val="24"/>
                <w:szCs w:val="24"/>
                <w:lang w:val="en-US" w:eastAsia="zh-CN" w:bidi="ar-SA"/>
              </w:rPr>
            </w:pPr>
            <w:r>
              <w:rPr>
                <w:rFonts w:hint="eastAsia" w:ascii="宋体" w:hAnsi="宋体" w:eastAsia="宋体" w:cs="宋体"/>
                <w:color w:val="000000"/>
                <w:w w:val="90"/>
                <w:kern w:val="2"/>
                <w:sz w:val="24"/>
                <w:szCs w:val="24"/>
                <w:lang w:val="en-US" w:eastAsia="zh-CN" w:bidi="ar-SA"/>
              </w:rPr>
              <w:t>2</w:t>
            </w:r>
          </w:p>
        </w:tc>
        <w:tc>
          <w:tcPr>
            <w:tcW w:w="1208" w:type="dxa"/>
            <w:vAlign w:val="center"/>
          </w:tcPr>
          <w:p>
            <w:pPr>
              <w:pStyle w:val="15"/>
              <w:widowControl w:val="0"/>
              <w:ind w:firstLine="0" w:firstLineChars="0"/>
              <w:jc w:val="center"/>
              <w:rPr>
                <w:rFonts w:hint="eastAsia" w:ascii="宋体" w:hAnsi="宋体" w:eastAsia="宋体" w:cs="宋体"/>
                <w:color w:val="000000"/>
                <w:w w:val="90"/>
                <w:kern w:val="2"/>
                <w:sz w:val="24"/>
                <w:szCs w:val="24"/>
                <w:lang w:val="en-US" w:eastAsia="zh-CN" w:bidi="ar-SA"/>
              </w:rPr>
            </w:pPr>
            <w:r>
              <w:rPr>
                <w:rFonts w:hint="eastAsia" w:ascii="宋体" w:hAnsi="宋体" w:eastAsia="宋体" w:cs="宋体"/>
                <w:color w:val="000000"/>
                <w:w w:val="90"/>
                <w:kern w:val="2"/>
                <w:sz w:val="24"/>
                <w:szCs w:val="24"/>
                <w:lang w:val="en-US" w:eastAsia="zh-CN" w:bidi="ar-SA"/>
              </w:rPr>
              <w:t>钢轨轮廓测量仪</w:t>
            </w:r>
          </w:p>
        </w:tc>
        <w:tc>
          <w:tcPr>
            <w:tcW w:w="826" w:type="dxa"/>
            <w:vAlign w:val="center"/>
          </w:tcPr>
          <w:p>
            <w:pPr>
              <w:pStyle w:val="15"/>
              <w:widowControl w:val="0"/>
              <w:ind w:firstLine="0" w:firstLineChars="0"/>
              <w:jc w:val="center"/>
              <w:rPr>
                <w:rFonts w:hint="eastAsia" w:ascii="宋体" w:hAnsi="宋体" w:eastAsia="宋体" w:cs="宋体"/>
                <w:color w:val="000000"/>
                <w:w w:val="90"/>
                <w:kern w:val="2"/>
                <w:sz w:val="24"/>
                <w:szCs w:val="24"/>
                <w:lang w:val="en-US" w:eastAsia="zh-CN" w:bidi="ar-SA"/>
              </w:rPr>
            </w:pPr>
            <w:r>
              <w:rPr>
                <w:rFonts w:hint="eastAsia" w:ascii="宋体" w:hAnsi="宋体" w:eastAsia="宋体" w:cs="宋体"/>
                <w:color w:val="000000"/>
                <w:w w:val="90"/>
                <w:kern w:val="2"/>
                <w:sz w:val="24"/>
                <w:szCs w:val="24"/>
                <w:lang w:val="en-US" w:eastAsia="zh-CN" w:bidi="ar-SA"/>
              </w:rPr>
              <w:t>套</w:t>
            </w:r>
          </w:p>
        </w:tc>
        <w:tc>
          <w:tcPr>
            <w:tcW w:w="702" w:type="dxa"/>
            <w:vAlign w:val="center"/>
          </w:tcPr>
          <w:p>
            <w:pPr>
              <w:pStyle w:val="15"/>
              <w:widowControl w:val="0"/>
              <w:ind w:firstLine="0" w:firstLineChars="0"/>
              <w:jc w:val="center"/>
              <w:rPr>
                <w:rFonts w:hint="eastAsia" w:ascii="宋体" w:hAnsi="宋体" w:eastAsia="宋体" w:cs="宋体"/>
                <w:color w:val="000000"/>
                <w:w w:val="90"/>
                <w:kern w:val="2"/>
                <w:sz w:val="24"/>
                <w:szCs w:val="24"/>
                <w:lang w:val="en-US" w:eastAsia="zh-CN" w:bidi="ar-SA"/>
              </w:rPr>
            </w:pPr>
            <w:r>
              <w:rPr>
                <w:rFonts w:hint="eastAsia" w:ascii="宋体" w:hAnsi="宋体" w:eastAsia="宋体" w:cs="宋体"/>
                <w:color w:val="000000"/>
                <w:w w:val="90"/>
                <w:kern w:val="2"/>
                <w:sz w:val="24"/>
                <w:szCs w:val="24"/>
                <w:lang w:val="en-US" w:eastAsia="zh-CN" w:bidi="ar-SA"/>
              </w:rPr>
              <w:t>1</w:t>
            </w:r>
          </w:p>
        </w:tc>
        <w:tc>
          <w:tcPr>
            <w:tcW w:w="2106" w:type="dxa"/>
            <w:vAlign w:val="center"/>
          </w:tcPr>
          <w:p>
            <w:pPr>
              <w:pStyle w:val="15"/>
              <w:widowControl w:val="0"/>
              <w:ind w:firstLine="0" w:firstLineChars="0"/>
              <w:jc w:val="center"/>
              <w:rPr>
                <w:rFonts w:hint="eastAsia" w:ascii="宋体" w:hAnsi="宋体" w:eastAsia="宋体" w:cs="宋体"/>
                <w:color w:val="000000"/>
                <w:w w:val="90"/>
                <w:kern w:val="2"/>
                <w:sz w:val="24"/>
                <w:szCs w:val="24"/>
                <w:lang w:val="en-US" w:eastAsia="zh-CN" w:bidi="ar-SA"/>
              </w:rPr>
            </w:pPr>
            <w:r>
              <w:rPr>
                <w:rFonts w:hint="eastAsia" w:ascii="宋体" w:hAnsi="宋体" w:eastAsia="宋体" w:cs="宋体"/>
                <w:color w:val="000000"/>
                <w:w w:val="90"/>
                <w:kern w:val="2"/>
                <w:sz w:val="24"/>
                <w:szCs w:val="24"/>
                <w:lang w:val="en-US" w:eastAsia="zh-CN" w:bidi="ar-SA"/>
              </w:rPr>
              <w:t>详见“技术要求3.2.2</w:t>
            </w:r>
          </w:p>
        </w:tc>
        <w:tc>
          <w:tcPr>
            <w:tcW w:w="2972" w:type="dxa"/>
            <w:vAlign w:val="center"/>
          </w:tcPr>
          <w:p>
            <w:pPr>
              <w:pStyle w:val="15"/>
              <w:widowControl w:val="0"/>
              <w:ind w:firstLine="0" w:firstLineChars="0"/>
              <w:jc w:val="center"/>
              <w:rPr>
                <w:rFonts w:hint="eastAsia" w:ascii="宋体" w:hAnsi="宋体" w:eastAsia="宋体" w:cs="宋体"/>
                <w:color w:val="000000"/>
                <w:w w:val="9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pPr>
              <w:pStyle w:val="15"/>
              <w:widowControl w:val="0"/>
              <w:ind w:firstLine="0" w:firstLineChars="0"/>
              <w:jc w:val="center"/>
              <w:rPr>
                <w:rFonts w:hint="eastAsia" w:ascii="宋体" w:hAnsi="宋体" w:eastAsia="宋体" w:cs="宋体"/>
                <w:color w:val="000000"/>
                <w:w w:val="90"/>
                <w:kern w:val="2"/>
                <w:sz w:val="24"/>
                <w:szCs w:val="24"/>
                <w:lang w:val="en-US" w:eastAsia="zh-CN" w:bidi="ar-SA"/>
              </w:rPr>
            </w:pPr>
            <w:r>
              <w:rPr>
                <w:rFonts w:hint="eastAsia" w:ascii="宋体" w:hAnsi="宋体" w:eastAsia="宋体" w:cs="宋体"/>
                <w:color w:val="000000"/>
                <w:w w:val="90"/>
                <w:kern w:val="2"/>
                <w:sz w:val="24"/>
                <w:szCs w:val="24"/>
                <w:lang w:val="en-US" w:eastAsia="zh-CN" w:bidi="ar-SA"/>
              </w:rPr>
              <w:t>3</w:t>
            </w:r>
          </w:p>
        </w:tc>
        <w:tc>
          <w:tcPr>
            <w:tcW w:w="1208" w:type="dxa"/>
            <w:vAlign w:val="center"/>
          </w:tcPr>
          <w:p>
            <w:pPr>
              <w:pStyle w:val="15"/>
              <w:widowControl w:val="0"/>
              <w:ind w:firstLine="0" w:firstLineChars="0"/>
              <w:jc w:val="center"/>
              <w:rPr>
                <w:rFonts w:hint="eastAsia" w:ascii="宋体" w:hAnsi="宋体" w:eastAsia="宋体" w:cs="宋体"/>
                <w:color w:val="000000"/>
                <w:w w:val="90"/>
                <w:kern w:val="2"/>
                <w:sz w:val="24"/>
                <w:szCs w:val="24"/>
                <w:lang w:val="en-US" w:eastAsia="zh-CN" w:bidi="ar-SA"/>
              </w:rPr>
            </w:pPr>
            <w:r>
              <w:rPr>
                <w:rFonts w:hint="eastAsia" w:ascii="宋体" w:hAnsi="宋体" w:eastAsia="宋体" w:cs="宋体"/>
                <w:color w:val="000000"/>
                <w:w w:val="90"/>
                <w:kern w:val="2"/>
                <w:sz w:val="24"/>
                <w:szCs w:val="24"/>
                <w:lang w:val="en-US" w:eastAsia="zh-CN" w:bidi="ar-SA"/>
              </w:rPr>
              <w:t>钢轨平直度测量仪</w:t>
            </w:r>
          </w:p>
        </w:tc>
        <w:tc>
          <w:tcPr>
            <w:tcW w:w="826" w:type="dxa"/>
            <w:vAlign w:val="center"/>
          </w:tcPr>
          <w:p>
            <w:pPr>
              <w:pStyle w:val="15"/>
              <w:widowControl w:val="0"/>
              <w:ind w:firstLine="0" w:firstLineChars="0"/>
              <w:jc w:val="center"/>
              <w:rPr>
                <w:rFonts w:hint="eastAsia" w:ascii="宋体" w:hAnsi="宋体" w:eastAsia="宋体" w:cs="宋体"/>
                <w:color w:val="000000"/>
                <w:w w:val="90"/>
                <w:kern w:val="2"/>
                <w:sz w:val="24"/>
                <w:szCs w:val="24"/>
                <w:lang w:val="en-US" w:eastAsia="zh-CN" w:bidi="ar-SA"/>
              </w:rPr>
            </w:pPr>
            <w:r>
              <w:rPr>
                <w:rFonts w:hint="eastAsia" w:ascii="宋体" w:hAnsi="宋体" w:eastAsia="宋体" w:cs="宋体"/>
                <w:color w:val="000000"/>
                <w:w w:val="90"/>
                <w:kern w:val="2"/>
                <w:sz w:val="24"/>
                <w:szCs w:val="24"/>
                <w:lang w:val="en-US" w:eastAsia="zh-CN" w:bidi="ar-SA"/>
              </w:rPr>
              <w:t>套</w:t>
            </w:r>
          </w:p>
        </w:tc>
        <w:tc>
          <w:tcPr>
            <w:tcW w:w="702" w:type="dxa"/>
            <w:vAlign w:val="center"/>
          </w:tcPr>
          <w:p>
            <w:pPr>
              <w:pStyle w:val="15"/>
              <w:widowControl w:val="0"/>
              <w:ind w:firstLine="0" w:firstLineChars="0"/>
              <w:jc w:val="center"/>
              <w:rPr>
                <w:rFonts w:hint="eastAsia" w:ascii="宋体" w:hAnsi="宋体" w:eastAsia="宋体" w:cs="宋体"/>
                <w:color w:val="000000"/>
                <w:w w:val="90"/>
                <w:kern w:val="2"/>
                <w:sz w:val="24"/>
                <w:szCs w:val="24"/>
                <w:lang w:val="en-US" w:eastAsia="zh-CN" w:bidi="ar-SA"/>
              </w:rPr>
            </w:pPr>
            <w:r>
              <w:rPr>
                <w:rFonts w:hint="eastAsia" w:ascii="宋体" w:hAnsi="宋体" w:eastAsia="宋体" w:cs="宋体"/>
                <w:color w:val="000000"/>
                <w:w w:val="90"/>
                <w:kern w:val="2"/>
                <w:sz w:val="24"/>
                <w:szCs w:val="24"/>
                <w:lang w:val="en-US" w:eastAsia="zh-CN" w:bidi="ar-SA"/>
              </w:rPr>
              <w:t>1</w:t>
            </w:r>
          </w:p>
        </w:tc>
        <w:tc>
          <w:tcPr>
            <w:tcW w:w="2106" w:type="dxa"/>
            <w:vAlign w:val="center"/>
          </w:tcPr>
          <w:p>
            <w:pPr>
              <w:pStyle w:val="15"/>
              <w:widowControl w:val="0"/>
              <w:ind w:firstLine="0" w:firstLineChars="0"/>
              <w:jc w:val="center"/>
              <w:rPr>
                <w:rFonts w:hint="eastAsia" w:ascii="宋体" w:hAnsi="宋体" w:eastAsia="宋体" w:cs="宋体"/>
                <w:color w:val="000000"/>
                <w:w w:val="90"/>
                <w:kern w:val="2"/>
                <w:sz w:val="24"/>
                <w:szCs w:val="24"/>
                <w:lang w:val="en-US" w:eastAsia="zh-CN" w:bidi="ar-SA"/>
              </w:rPr>
            </w:pPr>
            <w:r>
              <w:rPr>
                <w:rFonts w:hint="eastAsia" w:ascii="宋体" w:hAnsi="宋体" w:eastAsia="宋体" w:cs="宋体"/>
                <w:color w:val="000000"/>
                <w:w w:val="90"/>
                <w:kern w:val="2"/>
                <w:sz w:val="24"/>
                <w:szCs w:val="24"/>
                <w:lang w:val="en-US" w:eastAsia="zh-CN" w:bidi="ar-SA"/>
              </w:rPr>
              <w:t>详见“技术要求3.2.3</w:t>
            </w:r>
          </w:p>
        </w:tc>
        <w:tc>
          <w:tcPr>
            <w:tcW w:w="2972" w:type="dxa"/>
            <w:vAlign w:val="center"/>
          </w:tcPr>
          <w:p>
            <w:pPr>
              <w:pStyle w:val="15"/>
              <w:widowControl w:val="0"/>
              <w:ind w:firstLine="0" w:firstLineChars="0"/>
              <w:jc w:val="center"/>
              <w:rPr>
                <w:rFonts w:hint="eastAsia" w:ascii="宋体" w:hAnsi="宋体" w:eastAsia="宋体" w:cs="宋体"/>
                <w:color w:val="000000"/>
                <w:w w:val="9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pPr>
              <w:pStyle w:val="15"/>
              <w:widowControl w:val="0"/>
              <w:ind w:firstLine="0" w:firstLineChars="0"/>
              <w:jc w:val="center"/>
              <w:rPr>
                <w:rFonts w:hint="eastAsia" w:ascii="宋体" w:hAnsi="宋体" w:eastAsia="宋体" w:cs="宋体"/>
                <w:color w:val="000000"/>
                <w:w w:val="90"/>
                <w:kern w:val="2"/>
                <w:sz w:val="24"/>
                <w:szCs w:val="24"/>
                <w:lang w:val="en-US" w:eastAsia="zh-CN" w:bidi="ar-SA"/>
              </w:rPr>
            </w:pPr>
            <w:r>
              <w:rPr>
                <w:rFonts w:hint="eastAsia" w:ascii="宋体" w:hAnsi="宋体" w:eastAsia="宋体" w:cs="宋体"/>
                <w:color w:val="000000"/>
                <w:w w:val="90"/>
                <w:kern w:val="2"/>
                <w:sz w:val="24"/>
                <w:szCs w:val="24"/>
                <w:lang w:val="en-US" w:eastAsia="zh-CN" w:bidi="ar-SA"/>
              </w:rPr>
              <w:t>4</w:t>
            </w:r>
          </w:p>
        </w:tc>
        <w:tc>
          <w:tcPr>
            <w:tcW w:w="1208" w:type="dxa"/>
            <w:vAlign w:val="center"/>
          </w:tcPr>
          <w:p>
            <w:pPr>
              <w:pStyle w:val="15"/>
              <w:widowControl w:val="0"/>
              <w:ind w:firstLine="0" w:firstLineChars="0"/>
              <w:jc w:val="center"/>
              <w:rPr>
                <w:rFonts w:hint="eastAsia" w:ascii="宋体" w:hAnsi="宋体" w:eastAsia="宋体" w:cs="宋体"/>
                <w:color w:val="000000"/>
                <w:w w:val="90"/>
                <w:kern w:val="2"/>
                <w:sz w:val="24"/>
                <w:szCs w:val="24"/>
                <w:lang w:val="en-US" w:eastAsia="zh-CN" w:bidi="ar-SA"/>
              </w:rPr>
            </w:pPr>
            <w:r>
              <w:rPr>
                <w:rFonts w:hint="eastAsia" w:ascii="宋体" w:hAnsi="宋体" w:eastAsia="宋体" w:cs="宋体"/>
                <w:color w:val="000000"/>
                <w:w w:val="90"/>
                <w:kern w:val="2"/>
                <w:sz w:val="24"/>
                <w:szCs w:val="24"/>
                <w:lang w:val="en-US" w:eastAsia="zh-CN" w:bidi="ar-SA"/>
              </w:rPr>
              <w:t>多功能垂直钢轨打磨机</w:t>
            </w:r>
          </w:p>
        </w:tc>
        <w:tc>
          <w:tcPr>
            <w:tcW w:w="826" w:type="dxa"/>
            <w:vAlign w:val="center"/>
          </w:tcPr>
          <w:p>
            <w:pPr>
              <w:pStyle w:val="15"/>
              <w:widowControl w:val="0"/>
              <w:ind w:firstLine="0" w:firstLineChars="0"/>
              <w:jc w:val="center"/>
              <w:rPr>
                <w:rFonts w:hint="eastAsia" w:ascii="宋体" w:hAnsi="宋体" w:eastAsia="宋体" w:cs="宋体"/>
                <w:color w:val="000000"/>
                <w:w w:val="90"/>
                <w:kern w:val="2"/>
                <w:sz w:val="24"/>
                <w:szCs w:val="24"/>
                <w:lang w:val="en-US" w:eastAsia="zh-CN" w:bidi="ar-SA"/>
              </w:rPr>
            </w:pPr>
            <w:r>
              <w:rPr>
                <w:rFonts w:hint="eastAsia" w:ascii="宋体" w:hAnsi="宋体" w:eastAsia="宋体" w:cs="宋体"/>
                <w:color w:val="000000"/>
                <w:w w:val="90"/>
                <w:kern w:val="2"/>
                <w:sz w:val="24"/>
                <w:szCs w:val="24"/>
                <w:lang w:val="en-US" w:eastAsia="zh-CN" w:bidi="ar-SA"/>
              </w:rPr>
              <w:t>台</w:t>
            </w:r>
          </w:p>
        </w:tc>
        <w:tc>
          <w:tcPr>
            <w:tcW w:w="702" w:type="dxa"/>
            <w:vAlign w:val="center"/>
          </w:tcPr>
          <w:p>
            <w:pPr>
              <w:pStyle w:val="15"/>
              <w:widowControl w:val="0"/>
              <w:ind w:firstLine="0" w:firstLineChars="0"/>
              <w:jc w:val="center"/>
              <w:rPr>
                <w:rFonts w:hint="eastAsia" w:ascii="宋体" w:hAnsi="宋体" w:eastAsia="宋体" w:cs="宋体"/>
                <w:color w:val="000000"/>
                <w:w w:val="90"/>
                <w:kern w:val="2"/>
                <w:sz w:val="24"/>
                <w:szCs w:val="24"/>
                <w:lang w:val="en-US" w:eastAsia="zh-CN" w:bidi="ar-SA"/>
              </w:rPr>
            </w:pPr>
            <w:r>
              <w:rPr>
                <w:rFonts w:hint="eastAsia" w:ascii="宋体" w:hAnsi="宋体" w:eastAsia="宋体" w:cs="宋体"/>
                <w:color w:val="000000"/>
                <w:w w:val="90"/>
                <w:kern w:val="2"/>
                <w:sz w:val="24"/>
                <w:szCs w:val="24"/>
                <w:lang w:val="en-US" w:eastAsia="zh-CN" w:bidi="ar-SA"/>
              </w:rPr>
              <w:t>1</w:t>
            </w:r>
          </w:p>
        </w:tc>
        <w:tc>
          <w:tcPr>
            <w:tcW w:w="2106" w:type="dxa"/>
            <w:vAlign w:val="center"/>
          </w:tcPr>
          <w:p>
            <w:pPr>
              <w:pStyle w:val="15"/>
              <w:widowControl w:val="0"/>
              <w:ind w:firstLine="0" w:firstLineChars="0"/>
              <w:jc w:val="center"/>
              <w:rPr>
                <w:rFonts w:hint="eastAsia" w:ascii="宋体" w:hAnsi="宋体" w:eastAsia="宋体" w:cs="宋体"/>
                <w:color w:val="000000"/>
                <w:w w:val="90"/>
                <w:kern w:val="2"/>
                <w:sz w:val="24"/>
                <w:szCs w:val="24"/>
                <w:lang w:val="en-US" w:eastAsia="zh-CN" w:bidi="ar-SA"/>
              </w:rPr>
            </w:pPr>
            <w:r>
              <w:rPr>
                <w:rFonts w:hint="eastAsia" w:ascii="宋体" w:hAnsi="宋体" w:eastAsia="宋体" w:cs="宋体"/>
                <w:color w:val="000000"/>
                <w:w w:val="90"/>
                <w:kern w:val="2"/>
                <w:sz w:val="24"/>
                <w:szCs w:val="24"/>
                <w:lang w:val="en-US" w:eastAsia="zh-CN" w:bidi="ar-SA"/>
              </w:rPr>
              <w:t>详见“技术要求3.2.4</w:t>
            </w:r>
          </w:p>
        </w:tc>
        <w:tc>
          <w:tcPr>
            <w:tcW w:w="2972" w:type="dxa"/>
            <w:vAlign w:val="center"/>
          </w:tcPr>
          <w:p>
            <w:pPr>
              <w:pStyle w:val="15"/>
              <w:widowControl w:val="0"/>
              <w:ind w:firstLine="0" w:firstLineChars="0"/>
              <w:jc w:val="center"/>
              <w:rPr>
                <w:rFonts w:hint="eastAsia" w:ascii="宋体" w:hAnsi="宋体" w:eastAsia="宋体" w:cs="宋体"/>
                <w:color w:val="000000"/>
                <w:w w:val="90"/>
                <w:kern w:val="2"/>
                <w:sz w:val="24"/>
                <w:szCs w:val="24"/>
                <w:lang w:val="en-US" w:eastAsia="zh-CN" w:bidi="ar-SA"/>
              </w:rPr>
            </w:pPr>
            <w:r>
              <w:rPr>
                <w:rFonts w:hint="eastAsia" w:ascii="宋体" w:hAnsi="宋体" w:eastAsia="宋体" w:cs="宋体"/>
                <w:color w:val="000000"/>
                <w:w w:val="90"/>
                <w:kern w:val="2"/>
                <w:sz w:val="24"/>
                <w:szCs w:val="24"/>
                <w:lang w:val="en-US" w:eastAsia="zh-CN" w:bidi="ar-SA"/>
              </w:rPr>
              <w:t>除整机外须提供配套打磨砂轮30块、备用原装锂电池1块、专用维修工具1套。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pPr>
              <w:pStyle w:val="15"/>
              <w:widowControl w:val="0"/>
              <w:ind w:firstLine="0" w:firstLineChars="0"/>
              <w:jc w:val="center"/>
              <w:rPr>
                <w:rFonts w:hint="eastAsia" w:ascii="宋体" w:hAnsi="宋体" w:eastAsia="宋体" w:cs="宋体"/>
                <w:color w:val="000000"/>
                <w:w w:val="90"/>
                <w:kern w:val="2"/>
                <w:sz w:val="24"/>
                <w:szCs w:val="24"/>
                <w:lang w:val="en-US" w:eastAsia="zh-CN" w:bidi="ar-SA"/>
              </w:rPr>
            </w:pPr>
            <w:r>
              <w:rPr>
                <w:rFonts w:hint="eastAsia" w:ascii="宋体" w:hAnsi="宋体" w:eastAsia="宋体" w:cs="宋体"/>
                <w:color w:val="000000"/>
                <w:w w:val="90"/>
                <w:kern w:val="2"/>
                <w:sz w:val="24"/>
                <w:szCs w:val="24"/>
                <w:lang w:val="en-US" w:eastAsia="zh-CN" w:bidi="ar-SA"/>
              </w:rPr>
              <w:t>5</w:t>
            </w:r>
          </w:p>
        </w:tc>
        <w:tc>
          <w:tcPr>
            <w:tcW w:w="1208" w:type="dxa"/>
            <w:vAlign w:val="center"/>
          </w:tcPr>
          <w:p>
            <w:pPr>
              <w:pStyle w:val="15"/>
              <w:widowControl w:val="0"/>
              <w:ind w:firstLine="0" w:firstLineChars="0"/>
              <w:jc w:val="center"/>
              <w:rPr>
                <w:rFonts w:hint="eastAsia" w:ascii="宋体" w:hAnsi="宋体" w:eastAsia="宋体" w:cs="宋体"/>
                <w:color w:val="000000"/>
                <w:w w:val="90"/>
                <w:kern w:val="2"/>
                <w:sz w:val="24"/>
                <w:szCs w:val="24"/>
                <w:lang w:val="en-US" w:eastAsia="zh-CN" w:bidi="ar-SA"/>
              </w:rPr>
            </w:pPr>
            <w:r>
              <w:rPr>
                <w:rFonts w:hint="eastAsia" w:ascii="宋体" w:hAnsi="宋体" w:eastAsia="宋体" w:cs="宋体"/>
                <w:color w:val="000000"/>
                <w:w w:val="90"/>
                <w:kern w:val="2"/>
                <w:sz w:val="24"/>
                <w:szCs w:val="24"/>
                <w:lang w:val="en-US" w:eastAsia="zh-CN" w:bidi="ar-SA"/>
              </w:rPr>
              <w:t>钢轨波纹打磨机</w:t>
            </w:r>
          </w:p>
        </w:tc>
        <w:tc>
          <w:tcPr>
            <w:tcW w:w="826" w:type="dxa"/>
            <w:vAlign w:val="center"/>
          </w:tcPr>
          <w:p>
            <w:pPr>
              <w:pStyle w:val="15"/>
              <w:widowControl w:val="0"/>
              <w:ind w:firstLine="0" w:firstLineChars="0"/>
              <w:jc w:val="center"/>
              <w:rPr>
                <w:rFonts w:hint="eastAsia" w:ascii="宋体" w:hAnsi="宋体" w:eastAsia="宋体" w:cs="宋体"/>
                <w:color w:val="000000"/>
                <w:w w:val="90"/>
                <w:kern w:val="2"/>
                <w:sz w:val="24"/>
                <w:szCs w:val="24"/>
                <w:lang w:val="en-US" w:eastAsia="zh-CN" w:bidi="ar-SA"/>
              </w:rPr>
            </w:pPr>
            <w:r>
              <w:rPr>
                <w:rFonts w:hint="eastAsia" w:ascii="宋体" w:hAnsi="宋体" w:eastAsia="宋体" w:cs="宋体"/>
                <w:color w:val="000000"/>
                <w:w w:val="90"/>
                <w:kern w:val="2"/>
                <w:sz w:val="24"/>
                <w:szCs w:val="24"/>
                <w:lang w:val="en-US" w:eastAsia="zh-CN" w:bidi="ar-SA"/>
              </w:rPr>
              <w:t>台</w:t>
            </w:r>
          </w:p>
        </w:tc>
        <w:tc>
          <w:tcPr>
            <w:tcW w:w="702" w:type="dxa"/>
            <w:vAlign w:val="center"/>
          </w:tcPr>
          <w:p>
            <w:pPr>
              <w:pStyle w:val="15"/>
              <w:widowControl w:val="0"/>
              <w:ind w:firstLine="0" w:firstLineChars="0"/>
              <w:jc w:val="center"/>
              <w:rPr>
                <w:rFonts w:hint="eastAsia" w:ascii="宋体" w:hAnsi="宋体" w:eastAsia="宋体" w:cs="宋体"/>
                <w:color w:val="000000"/>
                <w:w w:val="90"/>
                <w:kern w:val="2"/>
                <w:sz w:val="24"/>
                <w:szCs w:val="24"/>
                <w:lang w:val="en-US" w:eastAsia="zh-CN" w:bidi="ar-SA"/>
              </w:rPr>
            </w:pPr>
            <w:r>
              <w:rPr>
                <w:rFonts w:hint="eastAsia" w:ascii="宋体" w:hAnsi="宋体" w:eastAsia="宋体" w:cs="宋体"/>
                <w:color w:val="000000"/>
                <w:w w:val="90"/>
                <w:kern w:val="2"/>
                <w:sz w:val="24"/>
                <w:szCs w:val="24"/>
                <w:lang w:val="en-US" w:eastAsia="zh-CN" w:bidi="ar-SA"/>
              </w:rPr>
              <w:t>1</w:t>
            </w:r>
          </w:p>
        </w:tc>
        <w:tc>
          <w:tcPr>
            <w:tcW w:w="2106" w:type="dxa"/>
            <w:vAlign w:val="center"/>
          </w:tcPr>
          <w:p>
            <w:pPr>
              <w:pStyle w:val="15"/>
              <w:widowControl w:val="0"/>
              <w:ind w:firstLine="0" w:firstLineChars="0"/>
              <w:jc w:val="center"/>
              <w:rPr>
                <w:rFonts w:hint="eastAsia" w:ascii="宋体" w:hAnsi="宋体" w:eastAsia="宋体" w:cs="宋体"/>
                <w:color w:val="000000"/>
                <w:w w:val="90"/>
                <w:kern w:val="2"/>
                <w:sz w:val="24"/>
                <w:szCs w:val="24"/>
                <w:lang w:val="en-US" w:eastAsia="zh-CN" w:bidi="ar-SA"/>
              </w:rPr>
            </w:pPr>
            <w:r>
              <w:rPr>
                <w:rFonts w:hint="eastAsia" w:ascii="宋体" w:hAnsi="宋体" w:eastAsia="宋体" w:cs="宋体"/>
                <w:color w:val="000000"/>
                <w:w w:val="90"/>
                <w:kern w:val="2"/>
                <w:sz w:val="24"/>
                <w:szCs w:val="24"/>
                <w:lang w:val="en-US" w:eastAsia="zh-CN" w:bidi="ar-SA"/>
              </w:rPr>
              <w:t>详见“技术要求3.2.5</w:t>
            </w:r>
          </w:p>
        </w:tc>
        <w:tc>
          <w:tcPr>
            <w:tcW w:w="2972" w:type="dxa"/>
            <w:vAlign w:val="center"/>
          </w:tcPr>
          <w:p>
            <w:pPr>
              <w:pStyle w:val="15"/>
              <w:widowControl w:val="0"/>
              <w:ind w:firstLine="0" w:firstLineChars="0"/>
              <w:jc w:val="center"/>
              <w:rPr>
                <w:rFonts w:hint="eastAsia" w:ascii="宋体" w:hAnsi="宋体" w:eastAsia="宋体" w:cs="宋体"/>
                <w:color w:val="000000"/>
                <w:w w:val="90"/>
                <w:kern w:val="2"/>
                <w:sz w:val="24"/>
                <w:szCs w:val="24"/>
                <w:lang w:val="en-US" w:eastAsia="zh-CN" w:bidi="ar-SA"/>
              </w:rPr>
            </w:pPr>
            <w:r>
              <w:rPr>
                <w:rFonts w:hint="eastAsia" w:ascii="宋体" w:hAnsi="宋体" w:eastAsia="宋体" w:cs="宋体"/>
                <w:color w:val="000000"/>
                <w:w w:val="90"/>
                <w:kern w:val="2"/>
                <w:sz w:val="24"/>
                <w:szCs w:val="24"/>
                <w:lang w:val="en-US" w:eastAsia="zh-CN" w:bidi="ar-SA"/>
              </w:rPr>
              <w:t>除整机外须提供配套打磨砂轮30块、备用原装锂电池1块、专用维修工具1套。</w:t>
            </w:r>
          </w:p>
        </w:tc>
      </w:tr>
    </w:tbl>
    <w:p>
      <w:pPr>
        <w:pStyle w:val="15"/>
        <w:ind w:firstLine="0" w:firstLineChars="0"/>
        <w:rPr>
          <w:b/>
          <w:bCs/>
          <w:szCs w:val="21"/>
        </w:rPr>
      </w:pPr>
      <w:r>
        <w:rPr>
          <w:rFonts w:hint="eastAsia"/>
          <w:b/>
          <w:bCs/>
          <w:szCs w:val="21"/>
        </w:rPr>
        <w:t>注：</w:t>
      </w:r>
      <w:r>
        <w:rPr>
          <w:rFonts w:hint="eastAsia"/>
          <w:szCs w:val="21"/>
        </w:rPr>
        <w:t>鉴于各生产制造注册物资名称不统一，验收时在物资技术参数及功能要求满足的前提下，清单所列物资名称允许存在细微偏差。</w:t>
      </w:r>
    </w:p>
    <w:p>
      <w:pPr>
        <w:pStyle w:val="13"/>
        <w:spacing w:line="360" w:lineRule="auto"/>
        <w:ind w:firstLine="0" w:firstLineChars="0"/>
        <w:jc w:val="left"/>
        <w:rPr>
          <w:rFonts w:hint="default" w:ascii="宋体" w:hAnsi="宋体" w:cs="宋体"/>
          <w:b/>
          <w:bCs/>
          <w:color w:val="000000"/>
          <w:w w:val="90"/>
          <w:sz w:val="24"/>
          <w:szCs w:val="24"/>
        </w:rPr>
      </w:pPr>
      <w:r>
        <w:rPr>
          <w:rFonts w:ascii="宋体" w:hAnsi="宋体" w:cs="宋体"/>
          <w:b/>
          <w:bCs/>
          <w:color w:val="000000"/>
          <w:w w:val="90"/>
          <w:sz w:val="24"/>
          <w:szCs w:val="24"/>
        </w:rPr>
        <w:t>2　交货时间和地点</w:t>
      </w:r>
    </w:p>
    <w:p>
      <w:pPr>
        <w:pStyle w:val="13"/>
        <w:spacing w:line="360" w:lineRule="auto"/>
        <w:ind w:firstLine="0" w:firstLineChars="0"/>
        <w:jc w:val="left"/>
        <w:rPr>
          <w:rFonts w:hint="default" w:ascii="宋体" w:hAnsi="宋体" w:cs="宋体"/>
          <w:color w:val="000000"/>
          <w:w w:val="90"/>
          <w:sz w:val="24"/>
          <w:szCs w:val="24"/>
        </w:rPr>
      </w:pPr>
      <w:r>
        <w:rPr>
          <w:rFonts w:ascii="宋体" w:hAnsi="宋体" w:cs="宋体"/>
          <w:color w:val="000000"/>
          <w:w w:val="90"/>
          <w:sz w:val="24"/>
          <w:szCs w:val="24"/>
        </w:rPr>
        <w:t>2.1　交货时间</w:t>
      </w:r>
    </w:p>
    <w:p>
      <w:pPr>
        <w:pStyle w:val="13"/>
        <w:spacing w:line="360" w:lineRule="auto"/>
        <w:ind w:firstLine="0" w:firstLineChars="0"/>
        <w:jc w:val="left"/>
        <w:rPr>
          <w:rFonts w:hint="default" w:ascii="宋体" w:hAnsi="宋体" w:cs="宋体"/>
          <w:color w:val="000000"/>
          <w:w w:val="90"/>
          <w:sz w:val="24"/>
          <w:szCs w:val="24"/>
        </w:rPr>
      </w:pPr>
      <w:r>
        <w:rPr>
          <w:rFonts w:ascii="宋体" w:hAnsi="宋体" w:cs="宋体"/>
          <w:color w:val="000000"/>
          <w:w w:val="90"/>
          <w:sz w:val="24"/>
          <w:szCs w:val="24"/>
        </w:rPr>
        <w:t>从长沙市轨道交通运营有限公司发出书面供货通知之日起180个自然日内完成供货。</w:t>
      </w:r>
    </w:p>
    <w:p>
      <w:pPr>
        <w:pStyle w:val="13"/>
        <w:spacing w:line="360" w:lineRule="auto"/>
        <w:ind w:firstLine="0" w:firstLineChars="0"/>
        <w:jc w:val="left"/>
        <w:rPr>
          <w:rFonts w:hint="default" w:ascii="宋体" w:hAnsi="宋体" w:cs="宋体"/>
          <w:color w:val="000000"/>
          <w:w w:val="90"/>
          <w:sz w:val="24"/>
          <w:szCs w:val="24"/>
        </w:rPr>
      </w:pPr>
      <w:r>
        <w:rPr>
          <w:rFonts w:ascii="宋体" w:hAnsi="宋体" w:cs="宋体"/>
          <w:color w:val="000000"/>
          <w:w w:val="90"/>
          <w:sz w:val="24"/>
          <w:szCs w:val="24"/>
        </w:rPr>
        <w:t>2.2　交货地点</w:t>
      </w:r>
    </w:p>
    <w:p>
      <w:pPr>
        <w:pStyle w:val="13"/>
        <w:spacing w:line="360" w:lineRule="auto"/>
        <w:ind w:firstLine="0" w:firstLineChars="0"/>
        <w:jc w:val="left"/>
        <w:rPr>
          <w:rFonts w:hint="default" w:ascii="宋体" w:hAnsi="宋体" w:cs="宋体"/>
          <w:color w:val="000000"/>
          <w:w w:val="90"/>
          <w:sz w:val="24"/>
          <w:szCs w:val="24"/>
        </w:rPr>
      </w:pPr>
      <w:r>
        <w:rPr>
          <w:rFonts w:ascii="宋体" w:hAnsi="宋体" w:cs="宋体"/>
          <w:color w:val="000000"/>
          <w:w w:val="90"/>
          <w:sz w:val="24"/>
          <w:szCs w:val="24"/>
        </w:rPr>
        <w:t>送货至长沙市轨道交通2号线黄兴车辆段；或送货至采购单位指定的长沙市任意地点。</w:t>
      </w:r>
    </w:p>
    <w:p>
      <w:pPr>
        <w:pStyle w:val="13"/>
        <w:spacing w:line="360" w:lineRule="auto"/>
        <w:ind w:firstLine="0" w:firstLineChars="0"/>
        <w:jc w:val="left"/>
        <w:rPr>
          <w:rFonts w:hint="default" w:ascii="宋体" w:hAnsi="宋体" w:cs="宋体"/>
          <w:b/>
          <w:bCs/>
          <w:color w:val="000000"/>
          <w:w w:val="90"/>
          <w:sz w:val="24"/>
          <w:szCs w:val="24"/>
        </w:rPr>
      </w:pPr>
      <w:r>
        <w:rPr>
          <w:rFonts w:ascii="宋体" w:hAnsi="宋体" w:cs="宋体"/>
          <w:b/>
          <w:bCs/>
          <w:color w:val="000000"/>
          <w:w w:val="90"/>
          <w:sz w:val="24"/>
          <w:szCs w:val="24"/>
        </w:rPr>
        <w:t>3　技术要求</w:t>
      </w:r>
    </w:p>
    <w:p>
      <w:pPr>
        <w:pStyle w:val="13"/>
        <w:spacing w:line="360" w:lineRule="auto"/>
        <w:ind w:firstLine="0" w:firstLineChars="0"/>
        <w:jc w:val="left"/>
        <w:rPr>
          <w:rFonts w:hint="default" w:ascii="宋体" w:hAnsi="宋体" w:cs="宋体"/>
          <w:color w:val="000000"/>
          <w:w w:val="90"/>
          <w:sz w:val="24"/>
          <w:szCs w:val="24"/>
        </w:rPr>
      </w:pPr>
      <w:r>
        <w:rPr>
          <w:rFonts w:ascii="宋体" w:hAnsi="宋体" w:cs="宋体"/>
          <w:color w:val="000000"/>
          <w:w w:val="90"/>
          <w:sz w:val="24"/>
          <w:szCs w:val="24"/>
        </w:rPr>
        <w:t>3.1　采用规范和适用标准</w:t>
      </w:r>
    </w:p>
    <w:p>
      <w:pPr>
        <w:pStyle w:val="13"/>
        <w:spacing w:line="360" w:lineRule="auto"/>
        <w:ind w:firstLine="0" w:firstLineChars="0"/>
        <w:jc w:val="left"/>
        <w:rPr>
          <w:rFonts w:hint="default" w:ascii="宋体" w:hAnsi="宋体" w:cs="宋体"/>
          <w:color w:val="000000"/>
          <w:w w:val="90"/>
          <w:sz w:val="24"/>
          <w:szCs w:val="24"/>
        </w:rPr>
      </w:pPr>
      <w:r>
        <w:rPr>
          <w:rFonts w:ascii="宋体" w:hAnsi="宋体" w:cs="宋体"/>
          <w:color w:val="000000"/>
          <w:w w:val="90"/>
          <w:sz w:val="24"/>
          <w:szCs w:val="24"/>
        </w:rPr>
        <w:t>3.1.1　本需求书中采购单位主要采用的规范及标准</w:t>
      </w:r>
    </w:p>
    <w:p>
      <w:pPr>
        <w:pStyle w:val="13"/>
        <w:spacing w:line="360" w:lineRule="auto"/>
        <w:ind w:firstLine="0" w:firstLineChars="0"/>
        <w:jc w:val="left"/>
        <w:rPr>
          <w:rFonts w:hint="default" w:ascii="宋体" w:hAnsi="宋体" w:cs="宋体"/>
          <w:color w:val="000000"/>
          <w:w w:val="90"/>
          <w:sz w:val="24"/>
          <w:szCs w:val="24"/>
        </w:rPr>
      </w:pPr>
      <w:r>
        <w:rPr>
          <w:rFonts w:ascii="宋体" w:hAnsi="宋体" w:cs="宋体"/>
          <w:color w:val="000000"/>
          <w:w w:val="90"/>
          <w:sz w:val="24"/>
          <w:szCs w:val="24"/>
        </w:rPr>
        <w:t>（1）物资的设计制造还需满足国际标准IEC、ISO、UIC的要求，以及其他的国家标准GB、行业标准、地方标准及规定的要求。以上各项标准以最新版本为准。</w:t>
      </w:r>
    </w:p>
    <w:p>
      <w:pPr>
        <w:pStyle w:val="13"/>
        <w:spacing w:line="360" w:lineRule="auto"/>
        <w:ind w:firstLine="0" w:firstLineChars="0"/>
        <w:jc w:val="left"/>
        <w:rPr>
          <w:rFonts w:hint="default" w:ascii="宋体" w:hAnsi="宋体" w:cs="宋体"/>
          <w:color w:val="000000"/>
          <w:w w:val="90"/>
          <w:sz w:val="24"/>
          <w:szCs w:val="24"/>
        </w:rPr>
      </w:pPr>
      <w:r>
        <w:rPr>
          <w:rFonts w:ascii="宋体" w:hAnsi="宋体" w:cs="宋体"/>
          <w:color w:val="000000"/>
          <w:w w:val="90"/>
          <w:sz w:val="24"/>
          <w:szCs w:val="24"/>
        </w:rPr>
        <w:t>（2）《高速铁路钢轨打磨管理办法》（铁总运〔2014〕357号）</w:t>
      </w:r>
    </w:p>
    <w:p>
      <w:pPr>
        <w:pStyle w:val="13"/>
        <w:spacing w:line="360" w:lineRule="auto"/>
        <w:ind w:firstLine="0" w:firstLineChars="0"/>
        <w:jc w:val="left"/>
        <w:rPr>
          <w:rFonts w:hint="default" w:ascii="宋体" w:hAnsi="宋体" w:cs="宋体"/>
          <w:color w:val="000000"/>
          <w:w w:val="90"/>
          <w:sz w:val="24"/>
          <w:szCs w:val="24"/>
        </w:rPr>
      </w:pPr>
      <w:r>
        <w:rPr>
          <w:rFonts w:ascii="宋体" w:hAnsi="宋体" w:cs="宋体"/>
          <w:color w:val="000000"/>
          <w:w w:val="90"/>
          <w:sz w:val="24"/>
          <w:szCs w:val="24"/>
        </w:rPr>
        <w:t>3.2　主要物资技术参数和要求</w:t>
      </w:r>
    </w:p>
    <w:p>
      <w:pPr>
        <w:pStyle w:val="13"/>
        <w:spacing w:line="360" w:lineRule="auto"/>
        <w:ind w:firstLine="0" w:firstLineChars="0"/>
        <w:jc w:val="left"/>
        <w:rPr>
          <w:rFonts w:hint="eastAsia" w:ascii="宋体" w:hAnsi="宋体" w:eastAsia="宋体" w:cs="宋体"/>
          <w:color w:val="000000"/>
          <w:w w:val="90"/>
          <w:sz w:val="24"/>
          <w:szCs w:val="24"/>
          <w:lang w:eastAsia="zh-CN"/>
        </w:rPr>
      </w:pPr>
      <w:r>
        <w:rPr>
          <w:rFonts w:ascii="宋体" w:hAnsi="宋体" w:cs="宋体"/>
          <w:color w:val="000000"/>
          <w:w w:val="90"/>
          <w:sz w:val="24"/>
          <w:szCs w:val="24"/>
        </w:rPr>
        <w:t>3.2.1 双轨波浪磨耗测量仪</w:t>
      </w:r>
      <w:r>
        <w:rPr>
          <w:rFonts w:hint="eastAsia" w:ascii="宋体" w:hAnsi="宋体" w:cs="宋体"/>
          <w:color w:val="000000"/>
          <w:w w:val="90"/>
          <w:sz w:val="24"/>
          <w:szCs w:val="24"/>
          <w:lang w:eastAsia="zh-CN"/>
        </w:rPr>
        <w:t>（</w:t>
      </w:r>
      <w:r>
        <w:rPr>
          <w:rFonts w:hint="eastAsia" w:ascii="宋体" w:hAnsi="宋体" w:cs="宋体"/>
          <w:color w:val="000000"/>
          <w:w w:val="90"/>
          <w:sz w:val="24"/>
          <w:szCs w:val="24"/>
          <w:lang w:val="en-US" w:eastAsia="zh-CN"/>
        </w:rPr>
        <w:t>简称：钢轨双轨波磨仪</w:t>
      </w:r>
      <w:r>
        <w:rPr>
          <w:rFonts w:hint="eastAsia" w:ascii="宋体" w:hAnsi="宋体" w:cs="宋体"/>
          <w:color w:val="000000"/>
          <w:w w:val="90"/>
          <w:sz w:val="24"/>
          <w:szCs w:val="24"/>
          <w:lang w:eastAsia="zh-CN"/>
        </w:rPr>
        <w:t>）</w:t>
      </w:r>
    </w:p>
    <w:p>
      <w:pPr>
        <w:pStyle w:val="13"/>
        <w:numPr>
          <w:ilvl w:val="0"/>
          <w:numId w:val="6"/>
        </w:numPr>
        <w:spacing w:line="360" w:lineRule="auto"/>
        <w:ind w:firstLine="0" w:firstLineChars="0"/>
        <w:jc w:val="left"/>
        <w:rPr>
          <w:rFonts w:hint="default" w:ascii="宋体" w:hAnsi="宋体" w:cs="宋体"/>
          <w:w w:val="90"/>
          <w:sz w:val="24"/>
          <w:szCs w:val="24"/>
        </w:rPr>
      </w:pPr>
      <w:r>
        <w:rPr>
          <w:rFonts w:ascii="宋体" w:hAnsi="宋体" w:cs="宋体"/>
          <w:w w:val="90"/>
          <w:sz w:val="24"/>
          <w:szCs w:val="24"/>
        </w:rPr>
        <w:t>产品特性要求</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1）产品可同时检测双股钢轨波磨；</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2）采用惯性基准原理进行测量，探头紧贴轨面进行数据采集，检测探头位置需可调。</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3）检测设备由笔记本电脑供电，无需额</w:t>
      </w:r>
      <w:bookmarkStart w:id="3" w:name="_GoBack"/>
      <w:bookmarkEnd w:id="3"/>
      <w:r>
        <w:rPr>
          <w:rFonts w:ascii="宋体" w:hAnsi="宋体" w:cs="宋体"/>
          <w:w w:val="90"/>
          <w:sz w:val="24"/>
          <w:szCs w:val="24"/>
        </w:rPr>
        <w:t>外电源；</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4）设备测量速度满足或优于2-5km/h速度范围，软件具有速度报警功能，提示测量者以正确的速度进行测量；</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5）为保证产品能够在各种工况下正常检测，产品应通过包含且不限于高低温、恒温湿热、绝缘电阻、电磁兼容和水试验等试验,需提供检测报告佐证。</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6）软件查看和分析还可提供以下功能：可给出均方根RMS值，包括移动平均峰间位移，移动平均均方根位移、块平均均方根值。可自设超限值，自动得出所占超限比例。可自设采样窗长度，并实时计算出超限率。除可按标准的四个波长分析外，另提供了不同波长进行分析，可得出波磨超限比例图表以及三分之一倍频谱分析曲线；可对不平顺列表及超限点、超限值出具检测报告，报告格式可选。软件能够进行峰尖处理和轮曲率校正，提高对采集数据处理的准确性。软件提供多种数据分析线，至少可显示波浪磨耗采集数据线、打磨质量评判线、噪声控制采集数据线、钢轨磨耗控制线及打磨前后直观数据对比线。</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7）软件操作系统为中文版本操作系统，在设备软件分析结果中，以图形及文字说明的方式识别和提示钢轨上存在局部缺陷及其具体里程，仪器设置计程轮，应具有里程修正功能；</w:t>
      </w:r>
    </w:p>
    <w:p>
      <w:pPr>
        <w:pStyle w:val="13"/>
        <w:spacing w:line="360" w:lineRule="auto"/>
        <w:ind w:firstLine="0" w:firstLineChars="0"/>
        <w:jc w:val="left"/>
        <w:rPr>
          <w:rFonts w:hint="default" w:ascii="宋体" w:hAnsi="宋体" w:cs="宋体"/>
          <w:w w:val="90"/>
          <w:sz w:val="24"/>
          <w:szCs w:val="24"/>
        </w:rPr>
      </w:pPr>
      <w:r>
        <w:rPr>
          <w:rFonts w:ascii="宋体" w:hAnsi="宋体" w:cs="宋体"/>
          <w:w w:val="90"/>
          <w:sz w:val="24"/>
          <w:szCs w:val="24"/>
        </w:rPr>
        <w:t>（2）主要技术参数</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1）测量准确度：≤0.01mm，测量精度：≤0.01mm，测量重复性≤1μm，波磨幅值的显示分辨力≤1μm。</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2）测量波长范围：包含10-30mm,30-100mm,100-300mm,300-1000mm,1000-3000mm及其它自定义波长范围；</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3）数据采样间隔：≤2mm；</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4）设备走行轮工作面的表面粗糙度应为MRR Ra≤6.3，测量轮工作面的表面粗糙度应为MRR Ra≤1.6。</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5）单次测量数据存储量≥5km，累计数据存储量≥30km。</w:t>
      </w:r>
    </w:p>
    <w:p>
      <w:pPr>
        <w:pStyle w:val="13"/>
        <w:spacing w:line="360" w:lineRule="auto"/>
        <w:ind w:firstLine="0" w:firstLineChars="0"/>
        <w:jc w:val="left"/>
        <w:rPr>
          <w:rFonts w:hint="default" w:ascii="宋体" w:hAnsi="宋体" w:cs="宋体"/>
          <w:kern w:val="0"/>
          <w:sz w:val="24"/>
          <w:szCs w:val="24"/>
          <w:lang w:bidi="ar"/>
        </w:rPr>
      </w:pPr>
      <w:r>
        <w:rPr>
          <w:rFonts w:ascii="宋体" w:hAnsi="宋体" w:cs="宋体"/>
          <w:kern w:val="0"/>
          <w:sz w:val="24"/>
          <w:szCs w:val="24"/>
          <w:lang w:bidi="ar"/>
        </w:rPr>
        <w:t>3.2.2钢轨轮廓测量仪</w:t>
      </w:r>
    </w:p>
    <w:p>
      <w:pPr>
        <w:pStyle w:val="13"/>
        <w:spacing w:line="360" w:lineRule="auto"/>
        <w:ind w:firstLine="0" w:firstLineChars="0"/>
        <w:jc w:val="left"/>
        <w:rPr>
          <w:rFonts w:hint="default" w:ascii="宋体" w:hAnsi="宋体" w:cs="宋体"/>
          <w:w w:val="90"/>
          <w:sz w:val="24"/>
          <w:szCs w:val="24"/>
        </w:rPr>
      </w:pPr>
      <w:r>
        <w:rPr>
          <w:rFonts w:ascii="宋体" w:hAnsi="宋体" w:cs="宋体"/>
          <w:w w:val="90"/>
          <w:sz w:val="24"/>
          <w:szCs w:val="24"/>
        </w:rPr>
        <w:t>（1）产品特性要求</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1）适用于钢轨的高精度廓形检测及磨耗分析；</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2）分析结果能指导打磨车对钢轨的打磨，适合50、60型钢轨；</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3）可以测量各种型号钢轨轨头全断面廓形（测量结果必须包括钢轨轨头双下颚廓形），方便准确计算钢轨轨头磨耗（水平磨耗、垂直磨耗等）；</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4）设备操作简便，使用前不用标零，直接可以正常检测操作；廓形测量操作灵活，一次测量操作中断，不需要归零重测，继续测量不影响最终测量结果；现场检测时即测即绘出所测钢轨外形及垂磨、侧磨、总磨耗值，磨耗值须按照中国国铁磨耗标准计算；显示肥边面积、打磨面积及磨耗面积；仪器可采集分析到轨头宽度、轨顶半径、垂直剩余量、水平剩余量、最大剩余量等参数，提供最全面的科学分析数据；</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5）设备自带水平姿态测量装置；</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6）现场检测分析，即可得到与打磨车正交角度一致的公差带，用于指导打磨车打磨和校核打磨车打磨效果；</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7）有轨底坡测量功能；</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8）设备经国家计量校准机构校准。</w:t>
      </w:r>
    </w:p>
    <w:p>
      <w:pPr>
        <w:pStyle w:val="13"/>
        <w:spacing w:line="360" w:lineRule="auto"/>
        <w:ind w:firstLine="0" w:firstLineChars="0"/>
        <w:jc w:val="left"/>
        <w:rPr>
          <w:rFonts w:hint="default" w:ascii="宋体" w:hAnsi="宋体" w:cs="宋体"/>
          <w:w w:val="90"/>
          <w:sz w:val="24"/>
          <w:szCs w:val="24"/>
        </w:rPr>
      </w:pPr>
      <w:r>
        <w:rPr>
          <w:rFonts w:ascii="宋体" w:hAnsi="宋体" w:cs="宋体"/>
          <w:w w:val="90"/>
          <w:sz w:val="24"/>
          <w:szCs w:val="24"/>
        </w:rPr>
        <w:t>（2）主要技术参数要求</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1）测量精度：≤0.01mm,重复测量偏差：≤0.005mm</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2）使用温度范围：满足-20°～50°范围；</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3）数据间隔：≥100点/mm；采集时间：≤5s；每个轨头廓形点数：≥5000点；</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4）重量：≤3kg（不包含仪器箱、支撑杆等）。</w:t>
      </w:r>
    </w:p>
    <w:p>
      <w:pPr>
        <w:pStyle w:val="13"/>
        <w:spacing w:line="360" w:lineRule="auto"/>
        <w:ind w:firstLine="0" w:firstLineChars="0"/>
        <w:jc w:val="left"/>
        <w:rPr>
          <w:rFonts w:hint="default" w:ascii="宋体" w:hAnsi="宋体" w:cs="宋体"/>
          <w:kern w:val="0"/>
          <w:sz w:val="24"/>
          <w:szCs w:val="24"/>
          <w:lang w:bidi="ar"/>
        </w:rPr>
      </w:pPr>
      <w:r>
        <w:rPr>
          <w:rFonts w:ascii="宋体" w:hAnsi="宋体" w:cs="宋体"/>
          <w:kern w:val="0"/>
          <w:sz w:val="24"/>
          <w:szCs w:val="24"/>
          <w:lang w:bidi="ar"/>
        </w:rPr>
        <w:t>3.2.3 钢轨平直度测量仪</w:t>
      </w:r>
    </w:p>
    <w:p>
      <w:pPr>
        <w:pStyle w:val="13"/>
        <w:spacing w:line="360" w:lineRule="auto"/>
        <w:ind w:firstLine="0" w:firstLineChars="0"/>
        <w:jc w:val="left"/>
        <w:rPr>
          <w:rFonts w:hint="default" w:ascii="宋体" w:hAnsi="宋体" w:cs="宋体"/>
          <w:w w:val="90"/>
          <w:sz w:val="24"/>
          <w:szCs w:val="24"/>
        </w:rPr>
      </w:pPr>
      <w:r>
        <w:rPr>
          <w:rFonts w:ascii="宋体" w:hAnsi="宋体" w:cs="宋体"/>
          <w:w w:val="90"/>
          <w:sz w:val="24"/>
          <w:szCs w:val="24"/>
        </w:rPr>
        <w:t>（1）产品特性要求</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1）采用激光测距原理，可适用50、60型钢轨，用于钢轨、焊缝、接头的顶面及侧面平直度测量；</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2）可</w:t>
      </w:r>
      <w:r>
        <w:rPr>
          <w:rFonts w:ascii="宋体" w:hAnsi="宋体" w:cs="宋体"/>
          <w:w w:val="90"/>
          <w:sz w:val="24"/>
          <w:szCs w:val="24"/>
          <w:lang w:val="zh-CN"/>
        </w:rPr>
        <w:t>双方向测量，</w:t>
      </w:r>
      <w:r>
        <w:rPr>
          <w:rFonts w:ascii="宋体" w:hAnsi="宋体" w:cs="宋体"/>
          <w:w w:val="90"/>
          <w:sz w:val="24"/>
          <w:szCs w:val="24"/>
        </w:rPr>
        <w:t>设备带有刻度，测量后可以立即现场确定超标点位置；</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3）可根据环境温度和钢轨温度，自动进行温度补偿，保证测量精度；</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4）具备比较功能，能够把以往测量的数据调出，同当前测量的数据进行比较，需提供软件截图证明；可以检测基于1米长度各类钢轨的平直度测量，也可以拼接成更长长度的测量数据，用于检测钢轨顶面以及工作边的短波不平顺，需提供软件</w:t>
      </w:r>
      <w:r>
        <w:rPr>
          <w:rFonts w:ascii="宋体" w:hAnsi="宋体" w:cs="宋体"/>
          <w:w w:val="90"/>
          <w:sz w:val="24"/>
          <w:szCs w:val="24"/>
          <w:lang w:eastAsia="zh-Hans"/>
        </w:rPr>
        <w:t>工作</w:t>
      </w:r>
      <w:r>
        <w:rPr>
          <w:rFonts w:ascii="宋体" w:hAnsi="宋体" w:cs="宋体"/>
          <w:w w:val="90"/>
          <w:sz w:val="24"/>
          <w:szCs w:val="24"/>
        </w:rPr>
        <w:t>截图证明；</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5）设备经国家计量校准机构校准。</w:t>
      </w:r>
    </w:p>
    <w:p>
      <w:pPr>
        <w:pStyle w:val="13"/>
        <w:spacing w:line="360" w:lineRule="auto"/>
        <w:ind w:firstLine="0" w:firstLineChars="0"/>
        <w:jc w:val="left"/>
        <w:rPr>
          <w:rFonts w:hint="default" w:ascii="宋体" w:hAnsi="宋体" w:cs="宋体"/>
          <w:w w:val="90"/>
          <w:sz w:val="24"/>
          <w:szCs w:val="24"/>
        </w:rPr>
      </w:pPr>
      <w:r>
        <w:rPr>
          <w:rFonts w:ascii="宋体" w:hAnsi="宋体" w:cs="宋体"/>
          <w:w w:val="90"/>
          <w:sz w:val="24"/>
          <w:szCs w:val="24"/>
        </w:rPr>
        <w:t>（2）主要技术参数要求</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1）测量误差：≤0.01 mm，测量重复性偏差≤0.01mm；</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2）水平定位精度：≤0.02 mm；垂直分辨率：≤0.01mm；</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3）有效测量长度：≥1000mm，水平采集点数：≥500点，水平输出点数：≥200点；</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4）测量范围：不小于+4mm～-4mm范围；</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5）测量时间：≤3s；</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6）数据连续存储容量：≥100000次，单次可操作时间：≥8h；</w:t>
      </w:r>
    </w:p>
    <w:p>
      <w:pPr>
        <w:pStyle w:val="13"/>
        <w:spacing w:line="360" w:lineRule="auto"/>
        <w:ind w:firstLine="0" w:firstLineChars="0"/>
        <w:jc w:val="left"/>
        <w:rPr>
          <w:rFonts w:hint="eastAsia" w:ascii="宋体" w:hAnsi="宋体" w:eastAsia="宋体" w:cs="宋体"/>
          <w:kern w:val="0"/>
          <w:sz w:val="24"/>
          <w:szCs w:val="24"/>
          <w:lang w:eastAsia="zh-CN" w:bidi="ar"/>
        </w:rPr>
      </w:pPr>
      <w:r>
        <w:rPr>
          <w:rFonts w:ascii="宋体" w:hAnsi="宋体" w:cs="宋体"/>
          <w:kern w:val="0"/>
          <w:sz w:val="24"/>
          <w:szCs w:val="24"/>
          <w:lang w:bidi="ar"/>
        </w:rPr>
        <w:t>3.2.4 多功能垂直钢轨打磨机</w:t>
      </w:r>
      <w:r>
        <w:rPr>
          <w:rFonts w:hint="eastAsia" w:ascii="宋体" w:hAnsi="宋体" w:cs="宋体"/>
          <w:kern w:val="0"/>
          <w:sz w:val="24"/>
          <w:szCs w:val="24"/>
          <w:lang w:eastAsia="zh-CN" w:bidi="ar"/>
        </w:rPr>
        <w:t>（</w:t>
      </w:r>
      <w:r>
        <w:rPr>
          <w:rFonts w:hint="eastAsia" w:ascii="宋体" w:hAnsi="宋体" w:cs="宋体"/>
          <w:kern w:val="0"/>
          <w:sz w:val="24"/>
          <w:szCs w:val="24"/>
          <w:lang w:val="en-US" w:eastAsia="zh-CN" w:bidi="ar"/>
        </w:rPr>
        <w:t>简称：</w:t>
      </w:r>
      <w:r>
        <w:rPr>
          <w:rFonts w:ascii="宋体" w:hAnsi="宋体" w:cs="宋体"/>
          <w:kern w:val="0"/>
          <w:sz w:val="24"/>
          <w:szCs w:val="24"/>
          <w:lang w:bidi="ar"/>
        </w:rPr>
        <w:t>多功能垂直打磨机</w:t>
      </w:r>
      <w:r>
        <w:rPr>
          <w:rFonts w:hint="eastAsia" w:ascii="宋体" w:hAnsi="宋体" w:cs="宋体"/>
          <w:kern w:val="0"/>
          <w:sz w:val="24"/>
          <w:szCs w:val="24"/>
          <w:lang w:eastAsia="zh-CN" w:bidi="ar"/>
        </w:rPr>
        <w:t>）</w:t>
      </w:r>
    </w:p>
    <w:p>
      <w:pPr>
        <w:pStyle w:val="13"/>
        <w:spacing w:line="360" w:lineRule="auto"/>
        <w:ind w:firstLine="0" w:firstLineChars="0"/>
        <w:jc w:val="left"/>
        <w:rPr>
          <w:rFonts w:hint="default" w:ascii="宋体" w:hAnsi="宋体" w:cs="宋体"/>
          <w:w w:val="90"/>
          <w:sz w:val="24"/>
          <w:szCs w:val="24"/>
        </w:rPr>
      </w:pPr>
      <w:r>
        <w:rPr>
          <w:rFonts w:ascii="宋体" w:hAnsi="宋体" w:cs="宋体"/>
          <w:w w:val="90"/>
          <w:sz w:val="24"/>
          <w:szCs w:val="24"/>
        </w:rPr>
        <w:t>（1）产品特性要求</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1）打磨角度可在外侧20°至内侧70°间任意锁定；</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2）可对普速钢轨顶面、侧面的精细修磨，道岔各部位（含：尖轨、翼轨、心轨、整铸辙叉心、顶面及侧面）修磨，尤其是鱼鳞伤，波磨等病害打磨；</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3）加装打磨偏斜锁紧结构，并可随时进行微动调节，并有标准的偏斜标尺。</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4）加装进给自锁紧结构，在设备振动情况下，不影响打磨量；</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5）整机结构附合人体学，操作简单，可单人推行作业；</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6）设备支持多台同时作业，有固定调整标准对位装置，可通过多台设备联合作业的方式，一次作业使钢轨各个面达到廓形要求，极大提高打磨作业效率；</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7）动力采用锂电池驱动直流电机，锂电池有电量等显示功能，设备电控部分应有保护功能，电控箱和锂电池应是模块化配置，能够快速拆装；</w:t>
      </w:r>
    </w:p>
    <w:p>
      <w:pPr>
        <w:pStyle w:val="13"/>
        <w:spacing w:line="360" w:lineRule="auto"/>
        <w:ind w:firstLine="0" w:firstLineChars="0"/>
        <w:jc w:val="left"/>
        <w:rPr>
          <w:rFonts w:hint="default" w:ascii="宋体" w:hAnsi="宋体" w:cs="宋体"/>
          <w:w w:val="90"/>
          <w:sz w:val="24"/>
          <w:szCs w:val="24"/>
        </w:rPr>
      </w:pPr>
      <w:r>
        <w:rPr>
          <w:rFonts w:ascii="宋体" w:hAnsi="宋体" w:cs="宋体"/>
          <w:w w:val="90"/>
          <w:sz w:val="24"/>
          <w:szCs w:val="24"/>
        </w:rPr>
        <w:t>（2）主要技术参数</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1）电机电压≥72V,最大功率≥6kw，最大转速≥4000rpm；</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2）砂轮尺寸（mm）:Φ≥125,δ≥65；</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3）打磨可调整角度:满足外侧20°至内侧70°范围；</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4）砂轮进给精度：≤0.1mm/（格）孔；</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5）砂轮水平行程：≥400mm；砂轮垂直行程：≥200mm（其中轨下行行程：≥70mm），有效行程≥40mm</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6）重量:≤150kg。</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7）</w:t>
      </w:r>
      <w:r>
        <w:rPr>
          <w:rFonts w:ascii="宋体" w:hAnsi="宋体" w:cs="宋体"/>
          <w:w w:val="90"/>
          <w:sz w:val="24"/>
          <w:szCs w:val="24"/>
          <w:lang w:val="zh-CN"/>
        </w:rPr>
        <w:t>外形尺寸（长*宽*高)：≤</w:t>
      </w:r>
      <w:r>
        <w:rPr>
          <w:rFonts w:ascii="宋体" w:hAnsi="宋体" w:cs="宋体"/>
          <w:w w:val="90"/>
          <w:sz w:val="24"/>
          <w:szCs w:val="24"/>
        </w:rPr>
        <w:t>2500</w:t>
      </w:r>
      <w:r>
        <w:rPr>
          <w:rFonts w:ascii="宋体" w:hAnsi="宋体" w:cs="宋体"/>
          <w:w w:val="90"/>
          <w:sz w:val="24"/>
          <w:szCs w:val="24"/>
          <w:lang w:val="zh-CN"/>
        </w:rPr>
        <w:t>*1</w:t>
      </w:r>
      <w:r>
        <w:rPr>
          <w:rFonts w:ascii="宋体" w:hAnsi="宋体" w:cs="宋体"/>
          <w:w w:val="90"/>
          <w:sz w:val="24"/>
          <w:szCs w:val="24"/>
        </w:rPr>
        <w:t>20</w:t>
      </w:r>
      <w:r>
        <w:rPr>
          <w:rFonts w:ascii="宋体" w:hAnsi="宋体" w:cs="宋体"/>
          <w:w w:val="90"/>
          <w:sz w:val="24"/>
          <w:szCs w:val="24"/>
          <w:lang w:val="zh-CN"/>
        </w:rPr>
        <w:t>0*10</w:t>
      </w:r>
      <w:r>
        <w:rPr>
          <w:rFonts w:ascii="宋体" w:hAnsi="宋体" w:cs="宋体"/>
          <w:w w:val="90"/>
          <w:sz w:val="24"/>
          <w:szCs w:val="24"/>
        </w:rPr>
        <w:t>5</w:t>
      </w:r>
      <w:r>
        <w:rPr>
          <w:rFonts w:ascii="宋体" w:hAnsi="宋体" w:cs="宋体"/>
          <w:w w:val="90"/>
          <w:sz w:val="24"/>
          <w:szCs w:val="24"/>
          <w:lang w:val="zh-CN"/>
        </w:rPr>
        <w:t>0mm</w:t>
      </w:r>
      <w:r>
        <w:rPr>
          <w:rFonts w:ascii="宋体" w:hAnsi="宋体" w:cs="宋体"/>
          <w:w w:val="90"/>
          <w:sz w:val="24"/>
          <w:szCs w:val="24"/>
        </w:rPr>
        <w:t>；</w:t>
      </w:r>
    </w:p>
    <w:p>
      <w:pPr>
        <w:pStyle w:val="13"/>
        <w:spacing w:line="360" w:lineRule="auto"/>
        <w:ind w:firstLine="0" w:firstLineChars="0"/>
        <w:jc w:val="left"/>
        <w:rPr>
          <w:rFonts w:hint="default" w:ascii="宋体" w:hAnsi="宋体" w:cs="宋体"/>
          <w:kern w:val="0"/>
          <w:sz w:val="24"/>
          <w:szCs w:val="24"/>
          <w:lang w:bidi="ar"/>
        </w:rPr>
      </w:pPr>
      <w:r>
        <w:rPr>
          <w:rFonts w:ascii="宋体" w:hAnsi="宋体" w:cs="宋体"/>
          <w:kern w:val="0"/>
          <w:sz w:val="24"/>
          <w:szCs w:val="24"/>
          <w:lang w:bidi="ar"/>
        </w:rPr>
        <w:t>3.2.5 钢轨波纹打磨机</w:t>
      </w:r>
    </w:p>
    <w:p>
      <w:pPr>
        <w:pStyle w:val="13"/>
        <w:spacing w:line="360" w:lineRule="auto"/>
        <w:ind w:firstLine="0" w:firstLineChars="0"/>
        <w:jc w:val="left"/>
        <w:rPr>
          <w:rFonts w:hint="default" w:ascii="宋体" w:hAnsi="宋体" w:cs="宋体"/>
          <w:w w:val="90"/>
          <w:sz w:val="24"/>
          <w:szCs w:val="24"/>
        </w:rPr>
      </w:pPr>
      <w:r>
        <w:rPr>
          <w:rFonts w:ascii="宋体" w:hAnsi="宋体" w:cs="宋体"/>
          <w:w w:val="90"/>
          <w:sz w:val="24"/>
          <w:szCs w:val="24"/>
        </w:rPr>
        <w:t>（1）产品特性要求</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1）主要用于去除钢轨波纹、波浪磨耗打磨，以2米为单元范围内自动找平，快速进行平顺性打磨；</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2）采用高精度耐磨框架，配备一个倾斜装置实现钢轨行走面的精确打磨；</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3）配置左右两套水平辊轮实现钢轨波纹区域的完美打磨。每个辊轮须配置有支持辊轮及法兰固定的导向辊轮，可以使砂轮保持在钢轨头上一个完美的水平位置以精细的打磨波纹区域；</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4）轻便且坚固的钢轨仿型框架为打磨的位置提供绝佳的打磨视图；</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5）打磨角度调整配备刻度显示盘，实时掌握打磨角度；</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6）简单的支架和承重提手及可以保护操作者的砂轮罩；</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7）使用支架时可以在任何角度锁定打磨装置；</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8）动力采用锂电池驱动直流电机，锂电池有电量显示功能，锂电池容量满足连续作业时间不低于4h，设备电控部分应有保护功能，电控箱和锂电池应是模块化配置，能够快速拆装；</w:t>
      </w:r>
    </w:p>
    <w:p>
      <w:pPr>
        <w:pStyle w:val="13"/>
        <w:spacing w:line="360" w:lineRule="auto"/>
        <w:ind w:firstLine="0" w:firstLineChars="0"/>
        <w:jc w:val="left"/>
        <w:rPr>
          <w:rFonts w:hint="default" w:ascii="宋体" w:hAnsi="宋体" w:cs="宋体"/>
          <w:w w:val="90"/>
          <w:sz w:val="24"/>
          <w:szCs w:val="24"/>
        </w:rPr>
      </w:pPr>
      <w:r>
        <w:rPr>
          <w:rFonts w:ascii="宋体" w:hAnsi="宋体" w:cs="宋体"/>
          <w:w w:val="90"/>
          <w:sz w:val="24"/>
          <w:szCs w:val="24"/>
        </w:rPr>
        <w:t>（2）主要技术参数</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1）电机电压≥72V,最大功率≥5kw，最大转速≥3600rpm；</w:t>
      </w:r>
    </w:p>
    <w:p>
      <w:pPr>
        <w:pStyle w:val="13"/>
        <w:spacing w:line="360" w:lineRule="auto"/>
        <w:ind w:firstLine="431"/>
        <w:jc w:val="left"/>
        <w:rPr>
          <w:rFonts w:hint="default" w:ascii="宋体" w:hAnsi="宋体" w:cs="宋体"/>
          <w:w w:val="90"/>
          <w:sz w:val="24"/>
          <w:szCs w:val="24"/>
        </w:rPr>
      </w:pPr>
      <w:r>
        <w:rPr>
          <w:rFonts w:ascii="宋体" w:hAnsi="宋体" w:cs="宋体"/>
          <w:w w:val="90"/>
          <w:sz w:val="24"/>
          <w:szCs w:val="24"/>
        </w:rPr>
        <w:t>2）砂轮尺寸（mm）:Φ≥152,δ≥70；</w:t>
      </w:r>
    </w:p>
    <w:p>
      <w:pPr>
        <w:widowControl/>
        <w:spacing w:line="360" w:lineRule="auto"/>
        <w:ind w:firstLine="432" w:firstLineChars="200"/>
        <w:jc w:val="left"/>
        <w:rPr>
          <w:rFonts w:ascii="宋体" w:hAnsi="宋体" w:cs="宋体"/>
          <w:w w:val="90"/>
          <w:sz w:val="24"/>
        </w:rPr>
      </w:pPr>
      <w:r>
        <w:rPr>
          <w:rFonts w:hint="eastAsia" w:ascii="宋体" w:hAnsi="宋体" w:cs="宋体"/>
          <w:w w:val="90"/>
          <w:sz w:val="24"/>
        </w:rPr>
        <w:t>3）打磨可调整角度:满足-25°～25°范围；</w:t>
      </w:r>
    </w:p>
    <w:p>
      <w:pPr>
        <w:widowControl/>
        <w:spacing w:line="360" w:lineRule="auto"/>
        <w:ind w:firstLine="432" w:firstLineChars="200"/>
        <w:jc w:val="left"/>
        <w:rPr>
          <w:rFonts w:ascii="宋体" w:hAnsi="宋体" w:cs="宋体"/>
          <w:w w:val="90"/>
          <w:sz w:val="24"/>
        </w:rPr>
      </w:pPr>
      <w:r>
        <w:rPr>
          <w:rFonts w:hint="eastAsia" w:ascii="宋体" w:hAnsi="宋体" w:cs="宋体"/>
          <w:w w:val="90"/>
          <w:sz w:val="24"/>
        </w:rPr>
        <w:t>4）砂轮进给精度：≤0.1mm/（格）孔；</w:t>
      </w:r>
    </w:p>
    <w:p>
      <w:pPr>
        <w:widowControl/>
        <w:spacing w:line="360" w:lineRule="auto"/>
        <w:ind w:firstLine="432" w:firstLineChars="200"/>
        <w:jc w:val="left"/>
        <w:rPr>
          <w:rFonts w:ascii="宋体" w:hAnsi="宋体" w:cs="宋体"/>
          <w:w w:val="90"/>
          <w:sz w:val="24"/>
        </w:rPr>
      </w:pPr>
      <w:r>
        <w:rPr>
          <w:rFonts w:hint="eastAsia" w:ascii="宋体" w:hAnsi="宋体" w:cs="宋体"/>
          <w:w w:val="90"/>
          <w:sz w:val="24"/>
        </w:rPr>
        <w:t>5）</w:t>
      </w:r>
      <w:r>
        <w:rPr>
          <w:rFonts w:hint="eastAsia" w:ascii="宋体" w:hAnsi="宋体" w:cs="宋体"/>
          <w:w w:val="90"/>
          <w:sz w:val="24"/>
          <w:lang w:val="zh-CN"/>
        </w:rPr>
        <w:t>砂轮有效行程</w:t>
      </w:r>
      <w:r>
        <w:rPr>
          <w:rFonts w:hint="eastAsia" w:ascii="宋体" w:hAnsi="宋体" w:cs="宋体"/>
          <w:w w:val="90"/>
          <w:sz w:val="24"/>
        </w:rPr>
        <w:t>≥40mm；</w:t>
      </w:r>
    </w:p>
    <w:p>
      <w:pPr>
        <w:widowControl/>
        <w:spacing w:line="360" w:lineRule="auto"/>
        <w:ind w:firstLine="432" w:firstLineChars="200"/>
        <w:jc w:val="left"/>
        <w:rPr>
          <w:rFonts w:ascii="宋体" w:hAnsi="宋体" w:cs="宋体"/>
          <w:w w:val="90"/>
          <w:sz w:val="24"/>
        </w:rPr>
      </w:pPr>
      <w:r>
        <w:rPr>
          <w:rFonts w:hint="eastAsia" w:ascii="宋体" w:hAnsi="宋体" w:cs="宋体"/>
          <w:w w:val="90"/>
          <w:sz w:val="24"/>
        </w:rPr>
        <w:t>6）重量:≤80kg；</w:t>
      </w:r>
    </w:p>
    <w:p>
      <w:pPr>
        <w:widowControl/>
        <w:spacing w:line="360" w:lineRule="auto"/>
        <w:ind w:firstLine="432" w:firstLineChars="200"/>
        <w:jc w:val="left"/>
      </w:pPr>
      <w:r>
        <w:rPr>
          <w:rFonts w:hint="eastAsia" w:ascii="宋体" w:hAnsi="宋体" w:cs="宋体"/>
          <w:w w:val="90"/>
          <w:sz w:val="24"/>
        </w:rPr>
        <w:t>7）外形尺寸</w:t>
      </w:r>
      <w:r>
        <w:rPr>
          <w:rFonts w:hint="eastAsia" w:ascii="宋体" w:hAnsi="宋体" w:cs="宋体"/>
          <w:w w:val="90"/>
          <w:sz w:val="24"/>
          <w:lang w:val="zh-CN"/>
        </w:rPr>
        <w:t>（长*宽*高)：≤</w:t>
      </w:r>
      <w:r>
        <w:rPr>
          <w:rFonts w:hint="eastAsia" w:ascii="宋体" w:hAnsi="宋体" w:cs="宋体"/>
          <w:w w:val="90"/>
          <w:sz w:val="24"/>
        </w:rPr>
        <w:t>2500</w:t>
      </w:r>
      <w:r>
        <w:rPr>
          <w:rFonts w:hint="eastAsia" w:ascii="宋体" w:hAnsi="宋体" w:cs="宋体"/>
          <w:w w:val="90"/>
          <w:sz w:val="24"/>
          <w:lang w:val="zh-CN"/>
        </w:rPr>
        <w:t>*1</w:t>
      </w:r>
      <w:r>
        <w:rPr>
          <w:rFonts w:hint="eastAsia" w:ascii="宋体" w:hAnsi="宋体" w:cs="宋体"/>
          <w:w w:val="90"/>
          <w:sz w:val="24"/>
        </w:rPr>
        <w:t>20</w:t>
      </w:r>
      <w:r>
        <w:rPr>
          <w:rFonts w:hint="eastAsia" w:ascii="宋体" w:hAnsi="宋体" w:cs="宋体"/>
          <w:w w:val="90"/>
          <w:sz w:val="24"/>
          <w:lang w:val="zh-CN"/>
        </w:rPr>
        <w:t>0*10</w:t>
      </w:r>
      <w:r>
        <w:rPr>
          <w:rFonts w:hint="eastAsia" w:ascii="宋体" w:hAnsi="宋体" w:cs="宋体"/>
          <w:w w:val="90"/>
          <w:sz w:val="24"/>
        </w:rPr>
        <w:t>5</w:t>
      </w:r>
      <w:r>
        <w:rPr>
          <w:rFonts w:hint="eastAsia" w:ascii="宋体" w:hAnsi="宋体" w:cs="宋体"/>
          <w:w w:val="90"/>
          <w:sz w:val="24"/>
          <w:lang w:val="zh-CN"/>
        </w:rPr>
        <w:t>0mm</w:t>
      </w:r>
      <w:r>
        <w:rPr>
          <w:rFonts w:hint="eastAsia" w:ascii="宋体" w:hAnsi="宋体" w:cs="宋体"/>
          <w:w w:val="90"/>
          <w:sz w:val="24"/>
        </w:rPr>
        <w:t>。</w:t>
      </w:r>
    </w:p>
    <w:p>
      <w:pPr>
        <w:pStyle w:val="13"/>
        <w:spacing w:line="360" w:lineRule="auto"/>
        <w:ind w:firstLine="0" w:firstLineChars="0"/>
        <w:jc w:val="left"/>
        <w:rPr>
          <w:rFonts w:hint="default" w:ascii="宋体" w:hAnsi="宋体" w:cs="宋体"/>
          <w:b/>
          <w:bCs/>
          <w:color w:val="000000"/>
          <w:w w:val="90"/>
          <w:sz w:val="24"/>
          <w:szCs w:val="24"/>
        </w:rPr>
      </w:pPr>
      <w:r>
        <w:rPr>
          <w:rFonts w:ascii="宋体" w:hAnsi="宋体" w:cs="宋体"/>
          <w:b/>
          <w:bCs/>
          <w:color w:val="000000"/>
          <w:w w:val="90"/>
          <w:sz w:val="24"/>
          <w:szCs w:val="24"/>
        </w:rPr>
        <w:t>4　项目管理</w:t>
      </w:r>
    </w:p>
    <w:p>
      <w:pPr>
        <w:pStyle w:val="13"/>
        <w:spacing w:line="360" w:lineRule="auto"/>
        <w:ind w:firstLine="0" w:firstLineChars="0"/>
        <w:jc w:val="left"/>
        <w:rPr>
          <w:rFonts w:hint="default" w:ascii="宋体" w:hAnsi="宋体" w:cs="宋体"/>
          <w:color w:val="000000"/>
          <w:w w:val="90"/>
          <w:sz w:val="24"/>
          <w:szCs w:val="24"/>
        </w:rPr>
      </w:pPr>
      <w:r>
        <w:rPr>
          <w:rFonts w:ascii="宋体" w:hAnsi="宋体" w:cs="宋体"/>
          <w:color w:val="000000"/>
          <w:w w:val="90"/>
          <w:sz w:val="24"/>
          <w:szCs w:val="24"/>
        </w:rPr>
        <w:t>供货单位应指定专人负责跟进项目的执行。</w:t>
      </w:r>
    </w:p>
    <w:p>
      <w:pPr>
        <w:pStyle w:val="13"/>
        <w:spacing w:line="360" w:lineRule="auto"/>
        <w:ind w:firstLine="0" w:firstLineChars="0"/>
        <w:jc w:val="left"/>
        <w:rPr>
          <w:rFonts w:hint="default" w:ascii="宋体" w:hAnsi="宋体" w:cs="宋体"/>
          <w:b/>
          <w:bCs/>
          <w:color w:val="000000"/>
          <w:w w:val="90"/>
          <w:sz w:val="24"/>
          <w:szCs w:val="24"/>
        </w:rPr>
      </w:pPr>
      <w:r>
        <w:rPr>
          <w:rFonts w:ascii="宋体" w:hAnsi="宋体" w:cs="宋体"/>
          <w:b/>
          <w:bCs/>
          <w:color w:val="000000"/>
          <w:w w:val="90"/>
          <w:sz w:val="24"/>
          <w:szCs w:val="24"/>
        </w:rPr>
        <w:t>5　验收要求</w:t>
      </w:r>
    </w:p>
    <w:p>
      <w:pPr>
        <w:pStyle w:val="13"/>
        <w:spacing w:line="360" w:lineRule="auto"/>
        <w:ind w:firstLine="0" w:firstLineChars="0"/>
        <w:jc w:val="left"/>
        <w:rPr>
          <w:rFonts w:hint="default" w:ascii="宋体" w:hAnsi="宋体" w:cs="宋体"/>
          <w:color w:val="000000"/>
          <w:w w:val="90"/>
          <w:sz w:val="24"/>
          <w:szCs w:val="24"/>
        </w:rPr>
      </w:pPr>
      <w:r>
        <w:rPr>
          <w:rFonts w:ascii="宋体" w:hAnsi="宋体" w:cs="宋体"/>
          <w:color w:val="000000"/>
          <w:w w:val="90"/>
          <w:sz w:val="24"/>
          <w:szCs w:val="24"/>
        </w:rPr>
        <w:t>5.1验收标准</w:t>
      </w:r>
    </w:p>
    <w:p>
      <w:pPr>
        <w:pStyle w:val="13"/>
        <w:numPr>
          <w:ilvl w:val="0"/>
          <w:numId w:val="7"/>
        </w:numPr>
        <w:spacing w:line="360" w:lineRule="auto"/>
        <w:ind w:firstLine="0" w:firstLineChars="0"/>
        <w:jc w:val="left"/>
        <w:rPr>
          <w:rFonts w:hint="default" w:ascii="宋体" w:hAnsi="宋体" w:cs="宋体"/>
          <w:color w:val="000000"/>
          <w:w w:val="90"/>
          <w:sz w:val="24"/>
          <w:szCs w:val="24"/>
        </w:rPr>
      </w:pPr>
      <w:r>
        <w:rPr>
          <w:rFonts w:ascii="宋体" w:hAnsi="宋体" w:cs="宋体"/>
          <w:color w:val="000000"/>
          <w:w w:val="90"/>
          <w:sz w:val="24"/>
          <w:szCs w:val="24"/>
        </w:rPr>
        <w:t>产品制造和设计应符合最新颁布执行的国家标准、行业标准和IEC标准，在采购单位同意时可以使用其他性能更高的标准。</w:t>
      </w:r>
    </w:p>
    <w:p>
      <w:pPr>
        <w:pStyle w:val="13"/>
        <w:numPr>
          <w:ilvl w:val="0"/>
          <w:numId w:val="7"/>
        </w:numPr>
        <w:spacing w:line="360" w:lineRule="auto"/>
        <w:ind w:firstLine="0" w:firstLineChars="0"/>
        <w:jc w:val="left"/>
        <w:rPr>
          <w:rFonts w:hint="default" w:ascii="宋体" w:hAnsi="宋体" w:cs="宋体"/>
          <w:color w:val="000000"/>
          <w:w w:val="90"/>
          <w:sz w:val="24"/>
          <w:szCs w:val="24"/>
        </w:rPr>
      </w:pPr>
      <w:r>
        <w:rPr>
          <w:rFonts w:ascii="宋体" w:hAnsi="宋体" w:cs="宋体"/>
          <w:color w:val="000000"/>
          <w:w w:val="90"/>
          <w:sz w:val="24"/>
          <w:szCs w:val="24"/>
        </w:rPr>
        <w:t>行业标准中已对产品质量做出规定的条款，供货方所提供的产品性能应达到国家标准。3.当以上标准中的条款与本技术条件发生偏差时，应以本技术条件为准。</w:t>
      </w:r>
    </w:p>
    <w:p>
      <w:pPr>
        <w:pStyle w:val="13"/>
        <w:spacing w:line="360" w:lineRule="auto"/>
        <w:ind w:firstLine="0" w:firstLineChars="0"/>
        <w:jc w:val="left"/>
        <w:rPr>
          <w:rFonts w:hint="default" w:ascii="宋体" w:hAnsi="宋体" w:cs="宋体"/>
          <w:color w:val="000000"/>
          <w:w w:val="90"/>
          <w:sz w:val="24"/>
          <w:szCs w:val="24"/>
        </w:rPr>
      </w:pPr>
      <w:r>
        <w:rPr>
          <w:rFonts w:ascii="宋体" w:hAnsi="宋体" w:cs="宋体"/>
          <w:color w:val="000000"/>
          <w:w w:val="90"/>
          <w:sz w:val="24"/>
          <w:szCs w:val="24"/>
        </w:rPr>
        <w:t>4.双轨波浪磨耗测量仪满足《高速铁路钢轨打磨管理办法》（铁总运〔2014〕357号）波磨验收要求。</w:t>
      </w:r>
    </w:p>
    <w:p>
      <w:pPr>
        <w:pStyle w:val="13"/>
        <w:spacing w:line="360" w:lineRule="auto"/>
        <w:ind w:firstLine="0" w:firstLineChars="0"/>
        <w:jc w:val="left"/>
        <w:rPr>
          <w:rFonts w:hint="default" w:ascii="宋体" w:hAnsi="宋体" w:cs="宋体"/>
          <w:color w:val="000000"/>
          <w:w w:val="90"/>
          <w:sz w:val="24"/>
          <w:szCs w:val="24"/>
        </w:rPr>
      </w:pPr>
      <w:r>
        <w:rPr>
          <w:rFonts w:ascii="宋体" w:hAnsi="宋体" w:cs="宋体"/>
          <w:color w:val="000000"/>
          <w:w w:val="90"/>
          <w:sz w:val="24"/>
          <w:szCs w:val="24"/>
        </w:rPr>
        <w:t>5.2验收资料</w:t>
      </w:r>
    </w:p>
    <w:p>
      <w:pPr>
        <w:pStyle w:val="13"/>
        <w:spacing w:line="360" w:lineRule="auto"/>
        <w:ind w:firstLine="0" w:firstLineChars="0"/>
        <w:jc w:val="left"/>
        <w:rPr>
          <w:rFonts w:hint="default" w:ascii="宋体" w:hAnsi="宋体" w:cs="宋体"/>
          <w:color w:val="000000"/>
          <w:w w:val="90"/>
          <w:sz w:val="24"/>
          <w:szCs w:val="24"/>
        </w:rPr>
      </w:pPr>
      <w:r>
        <w:rPr>
          <w:rFonts w:ascii="宋体" w:hAnsi="宋体" w:cs="宋体"/>
          <w:color w:val="000000"/>
          <w:w w:val="90"/>
          <w:sz w:val="24"/>
          <w:szCs w:val="24"/>
        </w:rPr>
        <w:t>供货单位交付货物时必须同步提供并不限于以下资料：</w:t>
      </w:r>
    </w:p>
    <w:p>
      <w:pPr>
        <w:spacing w:line="360" w:lineRule="auto"/>
        <w:rPr>
          <w:rFonts w:ascii="宋体" w:hAnsi="宋体" w:cs="宋体"/>
          <w:color w:val="000000"/>
          <w:w w:val="90"/>
          <w:sz w:val="24"/>
        </w:rPr>
      </w:pPr>
      <w:r>
        <w:rPr>
          <w:rFonts w:hint="eastAsia" w:ascii="宋体" w:hAnsi="宋体" w:cs="宋体"/>
          <w:color w:val="000000"/>
          <w:w w:val="90"/>
          <w:sz w:val="24"/>
        </w:rPr>
        <w:t>（1）设备清单；</w:t>
      </w:r>
    </w:p>
    <w:p>
      <w:pPr>
        <w:spacing w:line="360" w:lineRule="auto"/>
        <w:rPr>
          <w:rFonts w:ascii="宋体" w:hAnsi="宋体" w:cs="宋体"/>
          <w:color w:val="000000"/>
          <w:w w:val="90"/>
          <w:sz w:val="24"/>
        </w:rPr>
      </w:pPr>
      <w:r>
        <w:rPr>
          <w:rFonts w:hint="eastAsia" w:ascii="宋体" w:hAnsi="宋体" w:cs="宋体"/>
          <w:color w:val="000000"/>
          <w:w w:val="90"/>
          <w:sz w:val="24"/>
        </w:rPr>
        <w:t>（2）设备安装、使用、维护说明书；</w:t>
      </w:r>
    </w:p>
    <w:p>
      <w:pPr>
        <w:spacing w:line="360" w:lineRule="auto"/>
        <w:rPr>
          <w:rFonts w:ascii="宋体" w:hAnsi="宋体" w:cs="宋体"/>
          <w:color w:val="000000"/>
          <w:w w:val="90"/>
          <w:sz w:val="24"/>
        </w:rPr>
      </w:pPr>
      <w:r>
        <w:rPr>
          <w:rFonts w:hint="eastAsia" w:ascii="宋体" w:hAnsi="宋体" w:cs="宋体"/>
          <w:color w:val="000000"/>
          <w:w w:val="90"/>
          <w:sz w:val="24"/>
        </w:rPr>
        <w:t>（3）产品出厂证书；</w:t>
      </w:r>
    </w:p>
    <w:p>
      <w:pPr>
        <w:spacing w:line="360" w:lineRule="auto"/>
        <w:rPr>
          <w:rFonts w:ascii="宋体" w:hAnsi="宋体" w:cs="宋体"/>
          <w:color w:val="000000"/>
          <w:w w:val="90"/>
          <w:sz w:val="24"/>
        </w:rPr>
      </w:pPr>
      <w:r>
        <w:rPr>
          <w:rFonts w:hint="eastAsia" w:ascii="宋体" w:hAnsi="宋体" w:cs="宋体"/>
          <w:color w:val="000000"/>
          <w:w w:val="90"/>
          <w:sz w:val="24"/>
        </w:rPr>
        <w:t>（4）提供技术要求中规定的经国家授权机构校验的合格报告或检测报告。</w:t>
      </w:r>
    </w:p>
    <w:p>
      <w:pPr>
        <w:pStyle w:val="13"/>
        <w:spacing w:line="360" w:lineRule="auto"/>
        <w:ind w:firstLine="0" w:firstLineChars="0"/>
        <w:jc w:val="left"/>
        <w:rPr>
          <w:rFonts w:hint="default" w:ascii="宋体" w:hAnsi="宋体" w:cs="宋体"/>
          <w:color w:val="000000"/>
          <w:w w:val="90"/>
          <w:sz w:val="24"/>
          <w:szCs w:val="24"/>
        </w:rPr>
      </w:pPr>
      <w:r>
        <w:rPr>
          <w:rFonts w:ascii="宋体" w:hAnsi="宋体" w:cs="宋体"/>
          <w:color w:val="000000"/>
          <w:w w:val="90"/>
          <w:sz w:val="24"/>
          <w:szCs w:val="24"/>
        </w:rPr>
        <w:t>5.3　检验方法</w:t>
      </w:r>
    </w:p>
    <w:p>
      <w:pPr>
        <w:pStyle w:val="13"/>
        <w:spacing w:line="360" w:lineRule="auto"/>
        <w:ind w:firstLine="0" w:firstLineChars="0"/>
        <w:jc w:val="left"/>
        <w:rPr>
          <w:rFonts w:hint="default" w:ascii="宋体" w:hAnsi="宋体" w:cs="宋体"/>
          <w:color w:val="000000"/>
          <w:w w:val="90"/>
          <w:sz w:val="24"/>
          <w:szCs w:val="24"/>
        </w:rPr>
      </w:pPr>
      <w:r>
        <w:rPr>
          <w:rFonts w:ascii="宋体" w:hAnsi="宋体" w:cs="宋体"/>
          <w:color w:val="000000"/>
          <w:w w:val="90"/>
          <w:sz w:val="24"/>
          <w:szCs w:val="24"/>
        </w:rPr>
        <w:t>5.3.1　采取目测和简易测量的方法对货物的外观检验和功能验证，对照合格证书、用户需求书、检验报告对产品进行检验。</w:t>
      </w:r>
    </w:p>
    <w:p>
      <w:pPr>
        <w:pStyle w:val="13"/>
        <w:spacing w:line="360" w:lineRule="auto"/>
        <w:ind w:firstLine="0" w:firstLineChars="0"/>
        <w:jc w:val="left"/>
        <w:rPr>
          <w:rFonts w:hint="default" w:ascii="宋体" w:hAnsi="宋体" w:cs="宋体"/>
          <w:color w:val="000000"/>
          <w:w w:val="90"/>
          <w:sz w:val="24"/>
          <w:szCs w:val="24"/>
        </w:rPr>
      </w:pPr>
      <w:r>
        <w:rPr>
          <w:rFonts w:ascii="宋体" w:hAnsi="宋体" w:cs="宋体"/>
          <w:color w:val="000000"/>
          <w:w w:val="90"/>
          <w:sz w:val="24"/>
          <w:szCs w:val="24"/>
        </w:rPr>
        <w:t>5.3.2产品到货后，首先由采购单位对其产品外包装是否良好、主机及配件是否有明显刮伤掉漆、装箱清单明细是否有遗失等方面进行验收，其次设备使用部门按照本技术规格书要求的相关条款对产品技术要求等方面做下表所列项目进行验收，产品本身质量验收通过后方可进行技术培训；</w:t>
      </w:r>
    </w:p>
    <w:p>
      <w:pPr>
        <w:pStyle w:val="13"/>
        <w:spacing w:line="360" w:lineRule="auto"/>
        <w:ind w:firstLine="0" w:firstLineChars="0"/>
        <w:jc w:val="left"/>
        <w:rPr>
          <w:rFonts w:hint="default" w:ascii="宋体" w:hAnsi="宋体" w:cs="宋体"/>
          <w:color w:val="000000"/>
          <w:w w:val="90"/>
          <w:sz w:val="24"/>
          <w:szCs w:val="24"/>
        </w:rPr>
      </w:pPr>
      <w:r>
        <w:rPr>
          <w:rFonts w:ascii="宋体" w:hAnsi="宋体" w:cs="宋体"/>
          <w:color w:val="000000"/>
          <w:w w:val="90"/>
          <w:sz w:val="24"/>
          <w:szCs w:val="24"/>
        </w:rPr>
        <w:t>5.3.3供货单位应随同每批物资发运附一份发货物资清单、出厂质量检验合格证书等必要文件；</w:t>
      </w:r>
    </w:p>
    <w:p>
      <w:pPr>
        <w:pStyle w:val="13"/>
        <w:spacing w:line="360" w:lineRule="auto"/>
        <w:ind w:firstLine="0" w:firstLineChars="0"/>
        <w:jc w:val="left"/>
        <w:rPr>
          <w:rFonts w:hint="default" w:ascii="宋体" w:hAnsi="宋体" w:cs="宋体"/>
          <w:color w:val="000000"/>
          <w:w w:val="90"/>
          <w:sz w:val="24"/>
          <w:szCs w:val="24"/>
        </w:rPr>
      </w:pPr>
      <w:r>
        <w:rPr>
          <w:rFonts w:ascii="宋体" w:hAnsi="宋体" w:cs="宋体"/>
          <w:color w:val="000000"/>
          <w:w w:val="90"/>
          <w:sz w:val="24"/>
          <w:szCs w:val="24"/>
        </w:rPr>
        <w:t>5.3.4物资运抵交货地点后，双方按供货单位提供的发货物资清单对到货数量、外观、规格型号、合格证等进行核对。如发现包装破损，应作出记录并立即检查，确认是否对物资本身造成损伤。如确认对物资本身造成了损伤，供货单位应及时更换被损伤的物资，或者免费进行必要的补救以达到物资出厂的标准；</w:t>
      </w:r>
    </w:p>
    <w:p>
      <w:pPr>
        <w:pStyle w:val="13"/>
        <w:spacing w:line="360" w:lineRule="auto"/>
        <w:ind w:firstLine="0" w:firstLineChars="0"/>
        <w:jc w:val="left"/>
        <w:rPr>
          <w:rFonts w:hint="default" w:ascii="宋体" w:hAnsi="宋体" w:cs="宋体"/>
          <w:color w:val="000000"/>
          <w:w w:val="90"/>
          <w:sz w:val="24"/>
          <w:szCs w:val="24"/>
        </w:rPr>
      </w:pPr>
      <w:r>
        <w:rPr>
          <w:rFonts w:ascii="宋体" w:hAnsi="宋体" w:cs="宋体"/>
          <w:color w:val="000000"/>
          <w:w w:val="90"/>
          <w:sz w:val="24"/>
          <w:szCs w:val="24"/>
        </w:rPr>
        <w:t>5.3.5物资经验收合格后，采购单位向供货单位出具验收单据。此验收合格的单据不作为判定物资质量的依据；</w:t>
      </w:r>
    </w:p>
    <w:p>
      <w:pPr>
        <w:pStyle w:val="13"/>
        <w:spacing w:line="360" w:lineRule="auto"/>
        <w:ind w:firstLine="0" w:firstLineChars="0"/>
        <w:jc w:val="left"/>
        <w:rPr>
          <w:rFonts w:hint="default" w:ascii="宋体" w:hAnsi="宋体" w:cs="宋体"/>
          <w:color w:val="000000"/>
          <w:w w:val="90"/>
          <w:sz w:val="24"/>
          <w:szCs w:val="24"/>
        </w:rPr>
      </w:pPr>
      <w:r>
        <w:rPr>
          <w:rFonts w:ascii="宋体" w:hAnsi="宋体" w:cs="宋体"/>
          <w:color w:val="000000"/>
          <w:w w:val="90"/>
          <w:sz w:val="24"/>
          <w:szCs w:val="24"/>
        </w:rPr>
        <w:t>5.3.6采购单位出具验收单据后，物资所有权转移给采购单位，但并不解除供货单位对其物资应负的质量责任；</w:t>
      </w:r>
    </w:p>
    <w:p>
      <w:pPr>
        <w:pStyle w:val="13"/>
        <w:spacing w:line="360" w:lineRule="auto"/>
        <w:ind w:firstLine="0" w:firstLineChars="0"/>
        <w:jc w:val="left"/>
        <w:rPr>
          <w:rFonts w:hint="default" w:ascii="宋体" w:hAnsi="宋体" w:cs="宋体"/>
          <w:color w:val="000000"/>
          <w:w w:val="90"/>
          <w:sz w:val="24"/>
          <w:szCs w:val="24"/>
        </w:rPr>
      </w:pPr>
      <w:r>
        <w:rPr>
          <w:rFonts w:ascii="宋体" w:hAnsi="宋体" w:cs="宋体"/>
          <w:color w:val="000000"/>
          <w:w w:val="90"/>
          <w:sz w:val="24"/>
          <w:szCs w:val="24"/>
        </w:rPr>
        <w:t>5.3.7采购单位有权对验收合格后的物资交有资质的检验部门检验，如果任何被检测或测试的物资不能满足技术规格的要求，供货单位应及时更换，或者根据采购单位要求对缺陷免费进行修复以满足技术规格的要求，并承担该部分检验费用。</w:t>
      </w:r>
    </w:p>
    <w:p>
      <w:pPr>
        <w:pStyle w:val="13"/>
        <w:spacing w:line="360" w:lineRule="auto"/>
        <w:ind w:firstLine="0" w:firstLineChars="0"/>
        <w:jc w:val="left"/>
        <w:rPr>
          <w:rFonts w:hint="default" w:ascii="宋体" w:hAnsi="宋体" w:cs="宋体"/>
          <w:b/>
          <w:bCs/>
          <w:color w:val="000000"/>
          <w:w w:val="90"/>
          <w:sz w:val="24"/>
          <w:szCs w:val="24"/>
        </w:rPr>
      </w:pPr>
      <w:r>
        <w:rPr>
          <w:rFonts w:ascii="宋体" w:hAnsi="宋体" w:cs="宋体"/>
          <w:b/>
          <w:bCs/>
          <w:color w:val="000000"/>
          <w:w w:val="90"/>
          <w:sz w:val="24"/>
          <w:szCs w:val="24"/>
        </w:rPr>
        <w:t>6　质保期</w:t>
      </w:r>
    </w:p>
    <w:p>
      <w:pPr>
        <w:pStyle w:val="13"/>
        <w:spacing w:line="360" w:lineRule="auto"/>
        <w:ind w:firstLine="0" w:firstLineChars="0"/>
        <w:jc w:val="left"/>
        <w:rPr>
          <w:rFonts w:hint="default" w:ascii="宋体" w:hAnsi="宋体" w:cs="宋体"/>
          <w:color w:val="000000"/>
          <w:w w:val="90"/>
          <w:sz w:val="24"/>
          <w:szCs w:val="24"/>
        </w:rPr>
      </w:pPr>
      <w:r>
        <w:rPr>
          <w:rFonts w:ascii="宋体" w:hAnsi="宋体" w:cs="宋体"/>
          <w:color w:val="000000"/>
          <w:w w:val="90"/>
          <w:sz w:val="24"/>
          <w:szCs w:val="24"/>
        </w:rPr>
        <w:t>6.1　质保期要求</w:t>
      </w:r>
    </w:p>
    <w:p>
      <w:pPr>
        <w:pStyle w:val="13"/>
        <w:spacing w:line="360" w:lineRule="auto"/>
        <w:ind w:firstLine="0" w:firstLineChars="0"/>
        <w:jc w:val="left"/>
        <w:rPr>
          <w:rFonts w:hint="default" w:ascii="宋体" w:hAnsi="宋体" w:cs="宋体"/>
          <w:color w:val="000000"/>
          <w:w w:val="90"/>
          <w:sz w:val="24"/>
          <w:szCs w:val="24"/>
        </w:rPr>
      </w:pPr>
      <w:r>
        <w:rPr>
          <w:rFonts w:ascii="宋体" w:hAnsi="宋体" w:cs="宋体"/>
          <w:color w:val="000000"/>
          <w:w w:val="90"/>
          <w:sz w:val="24"/>
          <w:szCs w:val="24"/>
        </w:rPr>
        <w:t>6.1.1　需求清单中所有设备（打磨设备锂电池除外）的质保期从全部物资验收合格之日算起24个月，打磨设备锂电池质保期按照满足环充电次数达到1000次时放电容量不应低于初始容量的80%的要求计算。</w:t>
      </w:r>
    </w:p>
    <w:p>
      <w:pPr>
        <w:pStyle w:val="13"/>
        <w:spacing w:line="360" w:lineRule="auto"/>
        <w:ind w:firstLine="0" w:firstLineChars="0"/>
        <w:jc w:val="left"/>
        <w:rPr>
          <w:rFonts w:hint="default" w:ascii="宋体" w:hAnsi="宋体" w:cs="宋体"/>
          <w:color w:val="000000"/>
          <w:w w:val="90"/>
          <w:sz w:val="24"/>
          <w:szCs w:val="24"/>
        </w:rPr>
      </w:pPr>
      <w:r>
        <w:rPr>
          <w:rFonts w:ascii="宋体" w:hAnsi="宋体" w:cs="宋体"/>
          <w:color w:val="000000"/>
          <w:w w:val="90"/>
          <w:sz w:val="24"/>
          <w:szCs w:val="24"/>
        </w:rPr>
        <w:t>6.1.2　如需求清单中物资的原品牌生产商质保期/有效期高于24个月的，按原品牌生产商承诺的质保期执行。供货单位不能免除质保期结束后，原品牌生产商质保期/有效期高于6.1.1规定的质保期期间的质量责任。</w:t>
      </w:r>
    </w:p>
    <w:p>
      <w:pPr>
        <w:pStyle w:val="13"/>
        <w:spacing w:line="360" w:lineRule="auto"/>
        <w:ind w:firstLine="0" w:firstLineChars="0"/>
        <w:jc w:val="left"/>
        <w:rPr>
          <w:rFonts w:hint="default" w:ascii="宋体" w:hAnsi="宋体" w:cs="宋体"/>
          <w:color w:val="000000"/>
          <w:w w:val="90"/>
          <w:sz w:val="24"/>
          <w:szCs w:val="24"/>
        </w:rPr>
      </w:pPr>
      <w:r>
        <w:rPr>
          <w:rFonts w:ascii="宋体" w:hAnsi="宋体" w:cs="宋体"/>
          <w:color w:val="000000"/>
          <w:w w:val="90"/>
          <w:sz w:val="24"/>
          <w:szCs w:val="24"/>
        </w:rPr>
        <w:t>6.2　质保期供货单位的履约责任</w:t>
      </w:r>
    </w:p>
    <w:p>
      <w:pPr>
        <w:pStyle w:val="13"/>
        <w:spacing w:line="360" w:lineRule="auto"/>
        <w:ind w:firstLine="0" w:firstLineChars="0"/>
        <w:rPr>
          <w:rFonts w:hint="default" w:ascii="宋体" w:hAnsi="宋体" w:cs="宋体"/>
          <w:color w:val="000000"/>
          <w:w w:val="90"/>
          <w:sz w:val="24"/>
          <w:szCs w:val="24"/>
        </w:rPr>
      </w:pPr>
      <w:r>
        <w:rPr>
          <w:rFonts w:ascii="宋体" w:hAnsi="宋体" w:cs="宋体"/>
          <w:color w:val="000000"/>
          <w:w w:val="90"/>
          <w:sz w:val="24"/>
          <w:szCs w:val="24"/>
        </w:rPr>
        <w:t>6.2.1　若在正常质保期内出现的缺陷，采购单位应以书面形式向供货单位索赔，供货单位应说明其缺陷产生的原因以及弥补缺陷的方法。</w:t>
      </w:r>
    </w:p>
    <w:p>
      <w:pPr>
        <w:pStyle w:val="13"/>
        <w:spacing w:line="360" w:lineRule="auto"/>
        <w:ind w:firstLine="0" w:firstLineChars="0"/>
        <w:rPr>
          <w:rFonts w:hint="default" w:ascii="宋体" w:hAnsi="宋体" w:cs="宋体"/>
          <w:color w:val="000000"/>
          <w:w w:val="90"/>
          <w:sz w:val="24"/>
          <w:szCs w:val="24"/>
        </w:rPr>
      </w:pPr>
      <w:r>
        <w:rPr>
          <w:rFonts w:ascii="宋体" w:hAnsi="宋体" w:cs="宋体"/>
          <w:color w:val="000000"/>
          <w:w w:val="90"/>
          <w:sz w:val="24"/>
          <w:szCs w:val="24"/>
        </w:rPr>
        <w:t>6.2.2　除非另有规定，原则上供货单位应在采购单位提出索赔的15个工作日内完成补救，供货单位应根据采购单位的要求，尽快修复、更换或更新物资有缺陷的部分，以使物资的相应部分恢复到合同所规定的状态和规格。</w:t>
      </w:r>
    </w:p>
    <w:p>
      <w:pPr>
        <w:pStyle w:val="13"/>
        <w:spacing w:line="360" w:lineRule="auto"/>
        <w:ind w:firstLine="0" w:firstLineChars="0"/>
        <w:rPr>
          <w:rFonts w:hint="default" w:ascii="宋体" w:hAnsi="宋体" w:cs="宋体"/>
          <w:color w:val="000000"/>
          <w:w w:val="90"/>
          <w:sz w:val="24"/>
          <w:szCs w:val="24"/>
        </w:rPr>
      </w:pPr>
      <w:r>
        <w:rPr>
          <w:rFonts w:ascii="宋体" w:hAnsi="宋体" w:cs="宋体"/>
          <w:color w:val="000000"/>
          <w:w w:val="90"/>
          <w:sz w:val="24"/>
          <w:szCs w:val="24"/>
        </w:rPr>
        <w:t>6.2.3　供货单位应承担因修补物资而产生的所有费用，包括但不限于更新物资缺陷部分的费用及往返之间的运输费用。若供货单位不能在6.2.2所规定的时限内完成物资的修补，采购单位有权在通知供货单位后自行修补缺损，其费用及风险均由供货单位承担，但这并不影响合同所规定的供货单位的责任。</w:t>
      </w:r>
    </w:p>
    <w:p>
      <w:pPr>
        <w:pStyle w:val="13"/>
        <w:spacing w:line="360" w:lineRule="auto"/>
        <w:ind w:firstLine="0" w:firstLineChars="0"/>
        <w:rPr>
          <w:rFonts w:hint="default" w:ascii="宋体" w:hAnsi="宋体" w:cs="宋体"/>
          <w:color w:val="000000"/>
          <w:w w:val="90"/>
          <w:sz w:val="24"/>
          <w:szCs w:val="24"/>
        </w:rPr>
      </w:pPr>
      <w:r>
        <w:rPr>
          <w:rFonts w:ascii="宋体" w:hAnsi="宋体" w:cs="宋体"/>
          <w:color w:val="000000"/>
          <w:w w:val="90"/>
          <w:sz w:val="24"/>
          <w:szCs w:val="24"/>
        </w:rPr>
        <w:t>6.2.4　质保期后供货单位将提供产品全寿命周期的技术支持和物资的长期供货支持。在某些零部件的型号停产后，供货单位需协助采购单位找到替代品。</w:t>
      </w:r>
    </w:p>
    <w:p>
      <w:pPr>
        <w:pStyle w:val="13"/>
        <w:spacing w:line="360" w:lineRule="auto"/>
        <w:ind w:firstLine="0" w:firstLineChars="0"/>
        <w:rPr>
          <w:rFonts w:hint="default" w:ascii="宋体" w:hAnsi="宋体" w:cs="宋体"/>
          <w:color w:val="000000"/>
          <w:w w:val="90"/>
          <w:sz w:val="24"/>
          <w:szCs w:val="24"/>
        </w:rPr>
      </w:pPr>
      <w:r>
        <w:rPr>
          <w:rFonts w:ascii="宋体" w:hAnsi="宋体" w:cs="宋体"/>
          <w:color w:val="000000"/>
          <w:w w:val="90"/>
          <w:sz w:val="24"/>
          <w:szCs w:val="24"/>
        </w:rPr>
        <w:t>6.2.5　供货单位必须提供返修件的合格证及故障检测报告，明确标明故障部位及原因。需返厂维修的备件，如厂家在国内必须在30日之内完成返修，如不能在限期内完成则以双方商定日期为准；如厂家在国外必须在90日之内完成返修，如不能在限期内完成则以双方商定日期为准。</w:t>
      </w:r>
    </w:p>
    <w:p>
      <w:pPr>
        <w:pStyle w:val="13"/>
        <w:spacing w:line="360" w:lineRule="auto"/>
        <w:ind w:firstLine="0" w:firstLineChars="0"/>
        <w:rPr>
          <w:rFonts w:hint="default" w:ascii="宋体" w:hAnsi="宋体" w:cs="宋体"/>
          <w:color w:val="000000"/>
          <w:w w:val="90"/>
          <w:sz w:val="24"/>
          <w:szCs w:val="24"/>
        </w:rPr>
      </w:pPr>
      <w:r>
        <w:rPr>
          <w:rFonts w:ascii="宋体" w:hAnsi="宋体" w:cs="宋体"/>
          <w:color w:val="000000"/>
          <w:w w:val="90"/>
          <w:sz w:val="24"/>
          <w:szCs w:val="24"/>
        </w:rPr>
        <w:t>6.2.6　备件返厂维修时，需供货单位负责给予替换件，保证现场有合格备件做库存。</w:t>
      </w:r>
    </w:p>
    <w:p>
      <w:pPr>
        <w:pStyle w:val="13"/>
        <w:spacing w:line="360" w:lineRule="auto"/>
        <w:ind w:firstLine="0" w:firstLineChars="0"/>
        <w:rPr>
          <w:rFonts w:hint="default" w:ascii="宋体" w:hAnsi="宋体" w:cs="宋体"/>
          <w:color w:val="000000"/>
          <w:w w:val="90"/>
          <w:sz w:val="24"/>
          <w:szCs w:val="24"/>
        </w:rPr>
      </w:pPr>
      <w:r>
        <w:rPr>
          <w:rFonts w:ascii="宋体" w:hAnsi="宋体" w:cs="宋体"/>
          <w:color w:val="000000"/>
          <w:w w:val="90"/>
          <w:sz w:val="24"/>
          <w:szCs w:val="24"/>
        </w:rPr>
        <w:t>6.2.7　若供货单位因未满足技术规格要求而须对该备件进行更换时，供货单位将无偿更换该备件，包括硬件及软件。</w:t>
      </w:r>
    </w:p>
    <w:p>
      <w:pPr>
        <w:pStyle w:val="13"/>
        <w:spacing w:line="360" w:lineRule="auto"/>
        <w:ind w:firstLine="0" w:firstLineChars="0"/>
        <w:rPr>
          <w:rFonts w:hint="default" w:ascii="宋体" w:hAnsi="宋体" w:cs="宋体"/>
          <w:color w:val="000000"/>
          <w:w w:val="90"/>
          <w:sz w:val="24"/>
          <w:szCs w:val="24"/>
        </w:rPr>
      </w:pPr>
      <w:r>
        <w:rPr>
          <w:rFonts w:ascii="宋体" w:hAnsi="宋体" w:cs="宋体"/>
          <w:color w:val="000000"/>
          <w:w w:val="90"/>
          <w:sz w:val="24"/>
          <w:szCs w:val="24"/>
        </w:rPr>
        <w:t>6.2.8　质保期内发生的零部件不正常磨损，或成品质量不符合生产工艺要求，或非人为原因而损坏、失效的零部件、电子元器件和易损件，发生上述情况时，供货单位须免费更换上述零部件、电子元器件和易损件。如并非上述原因造成的零部件损坏，采购单位须同供货单位进行协商并提供相应的技术支持。</w:t>
      </w:r>
    </w:p>
    <w:p>
      <w:pPr>
        <w:spacing w:line="400" w:lineRule="exact"/>
        <w:rPr>
          <w:rFonts w:ascii="宋体" w:hAnsi="宋体" w:cs="宋体"/>
          <w:b/>
          <w:bCs/>
          <w:color w:val="000000"/>
          <w:w w:val="90"/>
          <w:sz w:val="24"/>
        </w:rPr>
      </w:pPr>
      <w:r>
        <w:rPr>
          <w:rFonts w:hint="eastAsia" w:ascii="宋体" w:hAnsi="宋体" w:cs="宋体"/>
          <w:b/>
          <w:bCs/>
          <w:color w:val="000000"/>
          <w:w w:val="90"/>
          <w:sz w:val="24"/>
        </w:rPr>
        <w:t>7　其它</w:t>
      </w:r>
    </w:p>
    <w:p>
      <w:pPr>
        <w:spacing w:line="400" w:lineRule="exact"/>
        <w:rPr>
          <w:rFonts w:ascii="宋体" w:hAnsi="宋体" w:cs="宋体"/>
          <w:color w:val="000000"/>
          <w:w w:val="90"/>
          <w:sz w:val="24"/>
        </w:rPr>
      </w:pPr>
      <w:r>
        <w:rPr>
          <w:rFonts w:hint="eastAsia" w:ascii="宋体" w:hAnsi="宋体" w:cs="宋体"/>
          <w:color w:val="000000"/>
          <w:w w:val="90"/>
          <w:sz w:val="24"/>
        </w:rPr>
        <w:t>7.1供货单位应提供钢轨双轨波磨仪操作系统及分析软件的终身免费升级、更新服务。</w:t>
      </w:r>
    </w:p>
    <w:p>
      <w:pPr>
        <w:spacing w:line="400" w:lineRule="exact"/>
        <w:rPr>
          <w:rFonts w:ascii="宋体" w:hAnsi="宋体" w:cs="宋体"/>
          <w:color w:val="000000"/>
          <w:w w:val="90"/>
          <w:sz w:val="24"/>
        </w:rPr>
      </w:pPr>
      <w:r>
        <w:rPr>
          <w:rFonts w:hint="eastAsia" w:ascii="宋体" w:hAnsi="宋体" w:cs="宋体"/>
          <w:color w:val="000000"/>
          <w:w w:val="90"/>
          <w:sz w:val="24"/>
        </w:rPr>
        <w:t>7.2供货单位应提供表1所列设备的主要备品备件、易损易耗件以及附属件，形成清单，按6.2.4及6.2.8要求提供相关支持与服务。主要备品备件和易损易耗件清单至少应包含并不限于以下种类和数量，并按表2形成清单：</w:t>
      </w:r>
    </w:p>
    <w:p>
      <w:pPr>
        <w:pStyle w:val="13"/>
        <w:spacing w:line="360" w:lineRule="auto"/>
        <w:ind w:firstLine="0" w:firstLineChars="0"/>
        <w:jc w:val="left"/>
        <w:rPr>
          <w:rFonts w:hint="default" w:ascii="宋体" w:hAnsi="宋体" w:cs="宋体"/>
          <w:color w:val="000000"/>
          <w:w w:val="90"/>
          <w:sz w:val="24"/>
          <w:szCs w:val="24"/>
          <w:lang w:val="zh-CN"/>
        </w:rPr>
      </w:pPr>
      <w:r>
        <w:rPr>
          <w:rFonts w:ascii="宋体" w:hAnsi="宋体" w:cs="宋体"/>
          <w:color w:val="000000"/>
          <w:w w:val="90"/>
          <w:sz w:val="24"/>
          <w:szCs w:val="24"/>
        </w:rPr>
        <w:t>（1）多功能垂直打磨机随同整机须提供配套的打磨砂轮30块、专用检修工具1套，除设备自带1块锂电池外，须按参数要求配备备用同型锂电池1块，不单独计价</w:t>
      </w:r>
      <w:r>
        <w:rPr>
          <w:rFonts w:ascii="宋体" w:hAnsi="宋体" w:cs="宋体"/>
          <w:color w:val="000000"/>
          <w:w w:val="90"/>
          <w:sz w:val="24"/>
          <w:szCs w:val="24"/>
          <w:lang w:val="zh-CN"/>
        </w:rPr>
        <w:t>；</w:t>
      </w:r>
    </w:p>
    <w:p>
      <w:pPr>
        <w:pStyle w:val="13"/>
        <w:spacing w:line="360" w:lineRule="auto"/>
        <w:ind w:firstLine="0" w:firstLineChars="0"/>
        <w:jc w:val="left"/>
        <w:rPr>
          <w:rFonts w:hint="default" w:ascii="宋体" w:hAnsi="宋体" w:cs="宋体"/>
          <w:color w:val="000000"/>
          <w:w w:val="90"/>
          <w:sz w:val="24"/>
          <w:szCs w:val="24"/>
          <w:lang w:val="zh-CN"/>
        </w:rPr>
      </w:pPr>
      <w:r>
        <w:rPr>
          <w:rFonts w:ascii="宋体" w:hAnsi="宋体" w:cs="宋体"/>
          <w:color w:val="000000"/>
          <w:w w:val="90"/>
          <w:sz w:val="24"/>
          <w:szCs w:val="24"/>
        </w:rPr>
        <w:t>（2）钢轨波纹打磨机随同整机须提供配套的打磨砂轮30块、专用检修工具1套，除设备自带1块锂电池外，须按参数要求配备备用同型锂电池1块，不单独计价</w:t>
      </w:r>
      <w:r>
        <w:rPr>
          <w:rFonts w:ascii="宋体" w:hAnsi="宋体" w:cs="宋体"/>
          <w:color w:val="000000"/>
          <w:w w:val="90"/>
          <w:sz w:val="24"/>
          <w:szCs w:val="24"/>
          <w:lang w:val="zh-CN"/>
        </w:rPr>
        <w:t>。</w:t>
      </w:r>
    </w:p>
    <w:p>
      <w:pPr>
        <w:pStyle w:val="16"/>
        <w:numPr>
          <w:ilvl w:val="1"/>
          <w:numId w:val="0"/>
        </w:numPr>
        <w:spacing w:before="156" w:after="156"/>
        <w:rPr>
          <w:rFonts w:ascii="宋体" w:hAnsi="宋体" w:eastAsia="宋体" w:cs="宋体"/>
          <w:color w:val="000000"/>
          <w:w w:val="90"/>
          <w:sz w:val="24"/>
          <w:szCs w:val="24"/>
        </w:rPr>
      </w:pPr>
      <w:r>
        <w:rPr>
          <w:rFonts w:hint="eastAsia" w:ascii="宋体" w:hAnsi="宋体" w:eastAsia="宋体" w:cs="宋体"/>
          <w:color w:val="000000"/>
          <w:w w:val="90"/>
          <w:sz w:val="24"/>
          <w:szCs w:val="24"/>
        </w:rPr>
        <w:t>表2：主要备品备件和易损易耗件清单</w:t>
      </w:r>
    </w:p>
    <w:tbl>
      <w:tblPr>
        <w:tblStyle w:val="10"/>
        <w:tblW w:w="4997" w:type="pct"/>
        <w:jc w:val="center"/>
        <w:tblLayout w:type="autofit"/>
        <w:tblCellMar>
          <w:top w:w="0" w:type="dxa"/>
          <w:left w:w="108" w:type="dxa"/>
          <w:bottom w:w="0" w:type="dxa"/>
          <w:right w:w="108" w:type="dxa"/>
        </w:tblCellMar>
      </w:tblPr>
      <w:tblGrid>
        <w:gridCol w:w="535"/>
        <w:gridCol w:w="1273"/>
        <w:gridCol w:w="2041"/>
        <w:gridCol w:w="1559"/>
        <w:gridCol w:w="1554"/>
        <w:gridCol w:w="1555"/>
      </w:tblGrid>
      <w:tr>
        <w:tblPrEx>
          <w:tblCellMar>
            <w:top w:w="0" w:type="dxa"/>
            <w:left w:w="108" w:type="dxa"/>
            <w:bottom w:w="0" w:type="dxa"/>
            <w:right w:w="108" w:type="dxa"/>
          </w:tblCellMar>
        </w:tblPrEx>
        <w:trPr>
          <w:trHeight w:val="397" w:hRule="atLeast"/>
          <w:tblHeader/>
          <w:jc w:val="center"/>
        </w:trPr>
        <w:tc>
          <w:tcPr>
            <w:tcW w:w="31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w w:val="90"/>
                <w:sz w:val="24"/>
              </w:rPr>
            </w:pPr>
            <w:r>
              <w:rPr>
                <w:rFonts w:ascii="宋体" w:hAnsi="宋体" w:cs="宋体"/>
                <w:color w:val="000000"/>
                <w:w w:val="90"/>
                <w:sz w:val="24"/>
              </w:rPr>
              <w:t>序号</w:t>
            </w:r>
          </w:p>
        </w:tc>
        <w:tc>
          <w:tcPr>
            <w:tcW w:w="747" w:type="pct"/>
            <w:tcBorders>
              <w:top w:val="single" w:color="auto" w:sz="4" w:space="0"/>
              <w:left w:val="nil"/>
              <w:bottom w:val="single" w:color="auto" w:sz="4" w:space="0"/>
              <w:right w:val="single" w:color="auto" w:sz="4" w:space="0"/>
            </w:tcBorders>
            <w:vAlign w:val="center"/>
          </w:tcPr>
          <w:p>
            <w:pPr>
              <w:jc w:val="center"/>
              <w:rPr>
                <w:rFonts w:ascii="宋体" w:hAnsi="宋体" w:cs="宋体"/>
                <w:color w:val="000000"/>
                <w:w w:val="90"/>
                <w:sz w:val="24"/>
              </w:rPr>
            </w:pPr>
            <w:r>
              <w:rPr>
                <w:rFonts w:hint="eastAsia" w:ascii="宋体" w:hAnsi="宋体" w:cs="宋体"/>
                <w:color w:val="000000"/>
                <w:w w:val="90"/>
                <w:sz w:val="24"/>
              </w:rPr>
              <w:t>设备名称</w:t>
            </w:r>
          </w:p>
        </w:tc>
        <w:tc>
          <w:tcPr>
            <w:tcW w:w="1198" w:type="pct"/>
            <w:tcBorders>
              <w:top w:val="single" w:color="auto" w:sz="4" w:space="0"/>
              <w:left w:val="nil"/>
              <w:bottom w:val="single" w:color="auto" w:sz="4" w:space="0"/>
              <w:right w:val="single" w:color="auto" w:sz="4" w:space="0"/>
            </w:tcBorders>
            <w:vAlign w:val="center"/>
          </w:tcPr>
          <w:p>
            <w:pPr>
              <w:jc w:val="center"/>
              <w:rPr>
                <w:rFonts w:ascii="宋体" w:hAnsi="宋体" w:cs="宋体"/>
                <w:color w:val="000000"/>
                <w:w w:val="90"/>
                <w:sz w:val="24"/>
              </w:rPr>
            </w:pPr>
            <w:r>
              <w:rPr>
                <w:rFonts w:hint="eastAsia" w:ascii="宋体" w:hAnsi="宋体" w:cs="宋体"/>
                <w:color w:val="000000"/>
                <w:w w:val="90"/>
                <w:sz w:val="24"/>
              </w:rPr>
              <w:t>主要备品备件和易损易耗件</w:t>
            </w:r>
            <w:r>
              <w:rPr>
                <w:rFonts w:ascii="宋体" w:hAnsi="宋体" w:cs="宋体"/>
                <w:color w:val="000000"/>
                <w:w w:val="90"/>
                <w:sz w:val="24"/>
              </w:rPr>
              <w:t>名称</w:t>
            </w:r>
          </w:p>
        </w:tc>
        <w:tc>
          <w:tcPr>
            <w:tcW w:w="915" w:type="pct"/>
            <w:tcBorders>
              <w:top w:val="single" w:color="auto" w:sz="4" w:space="0"/>
              <w:left w:val="nil"/>
              <w:bottom w:val="single" w:color="auto" w:sz="4" w:space="0"/>
              <w:right w:val="single" w:color="auto" w:sz="4" w:space="0"/>
            </w:tcBorders>
            <w:vAlign w:val="center"/>
          </w:tcPr>
          <w:p>
            <w:pPr>
              <w:jc w:val="center"/>
              <w:rPr>
                <w:rFonts w:ascii="宋体" w:hAnsi="宋体" w:cs="宋体"/>
                <w:color w:val="000000"/>
                <w:w w:val="90"/>
                <w:sz w:val="24"/>
              </w:rPr>
            </w:pPr>
            <w:r>
              <w:rPr>
                <w:rFonts w:hint="eastAsia" w:ascii="宋体" w:hAnsi="宋体" w:cs="宋体"/>
                <w:color w:val="000000"/>
                <w:w w:val="90"/>
                <w:sz w:val="24"/>
              </w:rPr>
              <w:t>规格型号/技术参数</w:t>
            </w:r>
          </w:p>
        </w:tc>
        <w:tc>
          <w:tcPr>
            <w:tcW w:w="912" w:type="pct"/>
            <w:tcBorders>
              <w:top w:val="single" w:color="auto" w:sz="4" w:space="0"/>
              <w:left w:val="nil"/>
              <w:bottom w:val="single" w:color="auto" w:sz="4" w:space="0"/>
              <w:right w:val="single" w:color="auto" w:sz="4" w:space="0"/>
            </w:tcBorders>
            <w:vAlign w:val="center"/>
          </w:tcPr>
          <w:p>
            <w:pPr>
              <w:jc w:val="center"/>
              <w:rPr>
                <w:rFonts w:ascii="宋体" w:hAnsi="宋体" w:cs="宋体"/>
                <w:color w:val="000000"/>
                <w:w w:val="90"/>
                <w:sz w:val="24"/>
              </w:rPr>
            </w:pPr>
            <w:r>
              <w:rPr>
                <w:rFonts w:hint="eastAsia" w:ascii="宋体" w:hAnsi="宋体" w:cs="宋体"/>
                <w:color w:val="000000"/>
                <w:w w:val="90"/>
                <w:sz w:val="24"/>
              </w:rPr>
              <w:t>数量</w:t>
            </w:r>
          </w:p>
        </w:tc>
        <w:tc>
          <w:tcPr>
            <w:tcW w:w="912" w:type="pct"/>
            <w:tcBorders>
              <w:top w:val="single" w:color="auto" w:sz="4" w:space="0"/>
              <w:left w:val="nil"/>
              <w:bottom w:val="single" w:color="auto" w:sz="4" w:space="0"/>
              <w:right w:val="single" w:color="auto" w:sz="4" w:space="0"/>
            </w:tcBorders>
            <w:vAlign w:val="center"/>
          </w:tcPr>
          <w:p>
            <w:pPr>
              <w:jc w:val="center"/>
              <w:rPr>
                <w:rFonts w:ascii="宋体" w:hAnsi="宋体" w:cs="宋体"/>
                <w:color w:val="000000"/>
                <w:w w:val="90"/>
                <w:sz w:val="24"/>
              </w:rPr>
            </w:pPr>
            <w:r>
              <w:rPr>
                <w:rFonts w:ascii="宋体" w:hAnsi="宋体" w:cs="宋体"/>
                <w:color w:val="000000"/>
                <w:w w:val="90"/>
                <w:sz w:val="24"/>
              </w:rPr>
              <w:t>备注</w:t>
            </w:r>
          </w:p>
        </w:tc>
      </w:tr>
      <w:tr>
        <w:tblPrEx>
          <w:tblCellMar>
            <w:top w:w="0" w:type="dxa"/>
            <w:left w:w="108" w:type="dxa"/>
            <w:bottom w:w="0" w:type="dxa"/>
            <w:right w:w="108" w:type="dxa"/>
          </w:tblCellMar>
        </w:tblPrEx>
        <w:trPr>
          <w:trHeight w:val="397" w:hRule="atLeast"/>
          <w:jc w:val="center"/>
        </w:trPr>
        <w:tc>
          <w:tcPr>
            <w:tcW w:w="314" w:type="pct"/>
            <w:tcBorders>
              <w:top w:val="nil"/>
              <w:left w:val="single" w:color="auto" w:sz="4" w:space="0"/>
              <w:bottom w:val="single" w:color="auto" w:sz="4" w:space="0"/>
              <w:right w:val="single" w:color="auto" w:sz="4" w:space="0"/>
            </w:tcBorders>
            <w:vAlign w:val="center"/>
          </w:tcPr>
          <w:p>
            <w:pPr>
              <w:ind w:firstLine="28" w:firstLineChars="13"/>
              <w:jc w:val="center"/>
              <w:rPr>
                <w:rFonts w:ascii="宋体" w:hAnsi="宋体" w:cs="宋体"/>
                <w:color w:val="000000"/>
                <w:w w:val="90"/>
                <w:sz w:val="24"/>
              </w:rPr>
            </w:pPr>
            <w:r>
              <w:rPr>
                <w:rFonts w:ascii="宋体" w:hAnsi="宋体" w:cs="宋体"/>
                <w:color w:val="000000"/>
                <w:w w:val="90"/>
                <w:sz w:val="24"/>
              </w:rPr>
              <w:t>1</w:t>
            </w:r>
          </w:p>
        </w:tc>
        <w:tc>
          <w:tcPr>
            <w:tcW w:w="747" w:type="pct"/>
            <w:vMerge w:val="restart"/>
            <w:tcBorders>
              <w:top w:val="nil"/>
              <w:left w:val="nil"/>
              <w:right w:val="single" w:color="auto" w:sz="4" w:space="0"/>
            </w:tcBorders>
            <w:vAlign w:val="center"/>
          </w:tcPr>
          <w:p>
            <w:pPr>
              <w:ind w:firstLine="28" w:firstLineChars="13"/>
              <w:jc w:val="center"/>
              <w:rPr>
                <w:rFonts w:ascii="宋体" w:hAnsi="宋体" w:cs="宋体"/>
                <w:color w:val="000000"/>
                <w:w w:val="90"/>
                <w:sz w:val="24"/>
              </w:rPr>
            </w:pPr>
            <w:r>
              <w:rPr>
                <w:rFonts w:hint="eastAsia" w:ascii="宋体" w:hAnsi="宋体" w:cs="宋体"/>
                <w:color w:val="000000"/>
                <w:w w:val="90"/>
                <w:sz w:val="24"/>
              </w:rPr>
              <w:t>多功能垂直钢轨打磨机</w:t>
            </w:r>
          </w:p>
        </w:tc>
        <w:tc>
          <w:tcPr>
            <w:tcW w:w="1198" w:type="pct"/>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w w:val="90"/>
                <w:sz w:val="24"/>
              </w:rPr>
            </w:pPr>
            <w:r>
              <w:rPr>
                <w:rFonts w:hint="eastAsia" w:ascii="宋体" w:hAnsi="宋体" w:cs="宋体"/>
                <w:color w:val="000000"/>
                <w:w w:val="90"/>
                <w:sz w:val="24"/>
              </w:rPr>
              <w:t>砂轮</w:t>
            </w:r>
          </w:p>
        </w:tc>
        <w:tc>
          <w:tcPr>
            <w:tcW w:w="915" w:type="pct"/>
            <w:tcBorders>
              <w:top w:val="nil"/>
              <w:left w:val="nil"/>
              <w:bottom w:val="single" w:color="auto" w:sz="4" w:space="0"/>
              <w:right w:val="single" w:color="auto" w:sz="4" w:space="0"/>
            </w:tcBorders>
            <w:vAlign w:val="center"/>
          </w:tcPr>
          <w:p>
            <w:pPr>
              <w:jc w:val="center"/>
              <w:rPr>
                <w:rFonts w:ascii="宋体" w:hAnsi="宋体" w:cs="宋体"/>
                <w:color w:val="000000"/>
                <w:w w:val="90"/>
                <w:sz w:val="24"/>
              </w:rPr>
            </w:pPr>
            <w:r>
              <w:rPr>
                <w:rFonts w:hint="eastAsia" w:ascii="宋体" w:hAnsi="宋体" w:cs="宋体"/>
                <w:color w:val="000000"/>
                <w:w w:val="90"/>
                <w:sz w:val="24"/>
              </w:rPr>
              <w:t xml:space="preserve"> </w:t>
            </w:r>
          </w:p>
        </w:tc>
        <w:tc>
          <w:tcPr>
            <w:tcW w:w="912" w:type="pct"/>
            <w:tcBorders>
              <w:top w:val="nil"/>
              <w:left w:val="nil"/>
              <w:bottom w:val="single" w:color="auto" w:sz="4" w:space="0"/>
              <w:right w:val="single" w:color="auto" w:sz="4" w:space="0"/>
            </w:tcBorders>
            <w:vAlign w:val="center"/>
          </w:tcPr>
          <w:p>
            <w:pPr>
              <w:jc w:val="center"/>
              <w:rPr>
                <w:rFonts w:ascii="宋体" w:hAnsi="宋体" w:cs="宋体"/>
                <w:color w:val="000000"/>
                <w:w w:val="90"/>
                <w:sz w:val="24"/>
              </w:rPr>
            </w:pPr>
          </w:p>
        </w:tc>
        <w:tc>
          <w:tcPr>
            <w:tcW w:w="912" w:type="pct"/>
            <w:tcBorders>
              <w:top w:val="nil"/>
              <w:left w:val="nil"/>
              <w:bottom w:val="single" w:color="auto" w:sz="4" w:space="0"/>
              <w:right w:val="single" w:color="auto" w:sz="4" w:space="0"/>
            </w:tcBorders>
            <w:vAlign w:val="center"/>
          </w:tcPr>
          <w:p>
            <w:pPr>
              <w:jc w:val="center"/>
              <w:rPr>
                <w:rFonts w:ascii="宋体" w:hAnsi="宋体" w:cs="宋体"/>
                <w:color w:val="000000"/>
                <w:w w:val="90"/>
                <w:sz w:val="24"/>
              </w:rPr>
            </w:pPr>
          </w:p>
        </w:tc>
      </w:tr>
      <w:tr>
        <w:trPr>
          <w:trHeight w:val="397" w:hRule="atLeast"/>
          <w:jc w:val="center"/>
        </w:trPr>
        <w:tc>
          <w:tcPr>
            <w:tcW w:w="314" w:type="pct"/>
            <w:tcBorders>
              <w:top w:val="nil"/>
              <w:left w:val="single" w:color="auto" w:sz="4" w:space="0"/>
              <w:bottom w:val="single" w:color="auto" w:sz="4" w:space="0"/>
              <w:right w:val="single" w:color="auto" w:sz="4" w:space="0"/>
            </w:tcBorders>
            <w:vAlign w:val="center"/>
          </w:tcPr>
          <w:p>
            <w:pPr>
              <w:ind w:firstLine="28" w:firstLineChars="13"/>
              <w:jc w:val="center"/>
              <w:rPr>
                <w:rFonts w:ascii="宋体" w:hAnsi="宋体" w:cs="宋体"/>
                <w:color w:val="000000"/>
                <w:w w:val="90"/>
                <w:sz w:val="24"/>
              </w:rPr>
            </w:pPr>
            <w:r>
              <w:rPr>
                <w:rFonts w:ascii="宋体" w:hAnsi="宋体" w:cs="宋体"/>
                <w:color w:val="000000"/>
                <w:w w:val="90"/>
                <w:sz w:val="24"/>
              </w:rPr>
              <w:t>2</w:t>
            </w:r>
          </w:p>
        </w:tc>
        <w:tc>
          <w:tcPr>
            <w:tcW w:w="747" w:type="pct"/>
            <w:vMerge w:val="continue"/>
            <w:tcBorders>
              <w:left w:val="nil"/>
              <w:right w:val="single" w:color="auto" w:sz="4" w:space="0"/>
            </w:tcBorders>
            <w:vAlign w:val="center"/>
          </w:tcPr>
          <w:p>
            <w:pPr>
              <w:ind w:firstLine="28" w:firstLineChars="13"/>
              <w:jc w:val="center"/>
              <w:rPr>
                <w:rFonts w:ascii="宋体" w:hAnsi="宋体" w:cs="宋体"/>
                <w:color w:val="000000"/>
                <w:w w:val="90"/>
                <w:sz w:val="24"/>
              </w:rPr>
            </w:pPr>
          </w:p>
        </w:tc>
        <w:tc>
          <w:tcPr>
            <w:tcW w:w="1198" w:type="pct"/>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w w:val="90"/>
                <w:sz w:val="24"/>
              </w:rPr>
            </w:pPr>
            <w:r>
              <w:rPr>
                <w:rFonts w:hint="eastAsia" w:ascii="宋体" w:hAnsi="宋体" w:cs="宋体"/>
                <w:color w:val="000000"/>
                <w:w w:val="90"/>
                <w:sz w:val="24"/>
              </w:rPr>
              <w:t>备用锂电池</w:t>
            </w:r>
          </w:p>
        </w:tc>
        <w:tc>
          <w:tcPr>
            <w:tcW w:w="915" w:type="pct"/>
            <w:tcBorders>
              <w:top w:val="nil"/>
              <w:left w:val="nil"/>
              <w:bottom w:val="single" w:color="auto" w:sz="4" w:space="0"/>
              <w:right w:val="single" w:color="auto" w:sz="4" w:space="0"/>
            </w:tcBorders>
            <w:vAlign w:val="center"/>
          </w:tcPr>
          <w:p>
            <w:pPr>
              <w:jc w:val="center"/>
              <w:rPr>
                <w:rFonts w:ascii="宋体" w:hAnsi="宋体" w:cs="宋体"/>
                <w:color w:val="000000"/>
                <w:w w:val="90"/>
                <w:sz w:val="24"/>
              </w:rPr>
            </w:pPr>
          </w:p>
        </w:tc>
        <w:tc>
          <w:tcPr>
            <w:tcW w:w="912" w:type="pct"/>
            <w:tcBorders>
              <w:top w:val="nil"/>
              <w:left w:val="nil"/>
              <w:bottom w:val="single" w:color="auto" w:sz="4" w:space="0"/>
              <w:right w:val="single" w:color="auto" w:sz="4" w:space="0"/>
            </w:tcBorders>
            <w:vAlign w:val="center"/>
          </w:tcPr>
          <w:p>
            <w:pPr>
              <w:jc w:val="center"/>
              <w:rPr>
                <w:rFonts w:ascii="宋体" w:hAnsi="宋体" w:cs="宋体"/>
                <w:color w:val="000000"/>
                <w:w w:val="90"/>
                <w:sz w:val="24"/>
              </w:rPr>
            </w:pPr>
          </w:p>
        </w:tc>
        <w:tc>
          <w:tcPr>
            <w:tcW w:w="912" w:type="pct"/>
            <w:tcBorders>
              <w:top w:val="nil"/>
              <w:left w:val="nil"/>
              <w:bottom w:val="single" w:color="auto" w:sz="4" w:space="0"/>
              <w:right w:val="single" w:color="auto" w:sz="4" w:space="0"/>
            </w:tcBorders>
            <w:vAlign w:val="center"/>
          </w:tcPr>
          <w:p>
            <w:pPr>
              <w:jc w:val="center"/>
              <w:rPr>
                <w:rFonts w:ascii="宋体" w:hAnsi="宋体" w:cs="宋体"/>
                <w:color w:val="000000"/>
                <w:w w:val="90"/>
                <w:sz w:val="24"/>
              </w:rPr>
            </w:pPr>
          </w:p>
        </w:tc>
      </w:tr>
      <w:tr>
        <w:tblPrEx>
          <w:tblCellMar>
            <w:top w:w="0" w:type="dxa"/>
            <w:left w:w="108" w:type="dxa"/>
            <w:bottom w:w="0" w:type="dxa"/>
            <w:right w:w="108" w:type="dxa"/>
          </w:tblCellMar>
        </w:tblPrEx>
        <w:trPr>
          <w:trHeight w:val="397" w:hRule="atLeast"/>
          <w:jc w:val="center"/>
        </w:trPr>
        <w:tc>
          <w:tcPr>
            <w:tcW w:w="314" w:type="pct"/>
            <w:tcBorders>
              <w:top w:val="nil"/>
              <w:left w:val="single" w:color="auto" w:sz="4" w:space="0"/>
              <w:bottom w:val="single" w:color="auto" w:sz="4" w:space="0"/>
              <w:right w:val="single" w:color="auto" w:sz="4" w:space="0"/>
            </w:tcBorders>
            <w:vAlign w:val="center"/>
          </w:tcPr>
          <w:p>
            <w:pPr>
              <w:ind w:firstLine="28" w:firstLineChars="13"/>
              <w:jc w:val="center"/>
              <w:rPr>
                <w:rFonts w:ascii="宋体" w:hAnsi="宋体" w:cs="宋体"/>
                <w:color w:val="000000"/>
                <w:w w:val="90"/>
                <w:sz w:val="24"/>
              </w:rPr>
            </w:pPr>
            <w:r>
              <w:rPr>
                <w:rFonts w:ascii="宋体" w:hAnsi="宋体" w:cs="宋体"/>
                <w:color w:val="000000"/>
                <w:w w:val="90"/>
                <w:sz w:val="24"/>
              </w:rPr>
              <w:t>3</w:t>
            </w:r>
          </w:p>
        </w:tc>
        <w:tc>
          <w:tcPr>
            <w:tcW w:w="747" w:type="pct"/>
            <w:vMerge w:val="continue"/>
            <w:tcBorders>
              <w:left w:val="nil"/>
              <w:right w:val="single" w:color="auto" w:sz="4" w:space="0"/>
            </w:tcBorders>
            <w:vAlign w:val="center"/>
          </w:tcPr>
          <w:p>
            <w:pPr>
              <w:ind w:firstLine="28" w:firstLineChars="13"/>
              <w:jc w:val="center"/>
              <w:rPr>
                <w:rFonts w:ascii="宋体" w:hAnsi="宋体" w:cs="宋体"/>
                <w:color w:val="000000"/>
                <w:w w:val="90"/>
                <w:sz w:val="24"/>
              </w:rPr>
            </w:pPr>
          </w:p>
        </w:tc>
        <w:tc>
          <w:tcPr>
            <w:tcW w:w="1198" w:type="pct"/>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w w:val="90"/>
                <w:sz w:val="24"/>
              </w:rPr>
            </w:pPr>
            <w:r>
              <w:rPr>
                <w:rFonts w:hint="eastAsia" w:ascii="宋体" w:hAnsi="宋体" w:cs="宋体"/>
                <w:color w:val="000000"/>
                <w:w w:val="90"/>
                <w:sz w:val="24"/>
              </w:rPr>
              <w:t>专用检修工具</w:t>
            </w:r>
          </w:p>
        </w:tc>
        <w:tc>
          <w:tcPr>
            <w:tcW w:w="915" w:type="pct"/>
            <w:tcBorders>
              <w:top w:val="nil"/>
              <w:left w:val="nil"/>
              <w:bottom w:val="single" w:color="auto" w:sz="4" w:space="0"/>
              <w:right w:val="single" w:color="auto" w:sz="4" w:space="0"/>
            </w:tcBorders>
            <w:vAlign w:val="center"/>
          </w:tcPr>
          <w:p>
            <w:pPr>
              <w:jc w:val="center"/>
              <w:rPr>
                <w:rFonts w:ascii="宋体" w:hAnsi="宋体" w:cs="宋体"/>
                <w:color w:val="000000"/>
                <w:w w:val="90"/>
                <w:sz w:val="24"/>
              </w:rPr>
            </w:pPr>
          </w:p>
        </w:tc>
        <w:tc>
          <w:tcPr>
            <w:tcW w:w="912" w:type="pct"/>
            <w:tcBorders>
              <w:top w:val="nil"/>
              <w:left w:val="nil"/>
              <w:bottom w:val="single" w:color="auto" w:sz="4" w:space="0"/>
              <w:right w:val="single" w:color="auto" w:sz="4" w:space="0"/>
            </w:tcBorders>
            <w:vAlign w:val="center"/>
          </w:tcPr>
          <w:p>
            <w:pPr>
              <w:jc w:val="center"/>
              <w:rPr>
                <w:rFonts w:ascii="宋体" w:hAnsi="宋体" w:cs="宋体"/>
                <w:color w:val="000000"/>
                <w:w w:val="90"/>
                <w:sz w:val="24"/>
              </w:rPr>
            </w:pPr>
          </w:p>
        </w:tc>
        <w:tc>
          <w:tcPr>
            <w:tcW w:w="912" w:type="pct"/>
            <w:tcBorders>
              <w:top w:val="nil"/>
              <w:left w:val="nil"/>
              <w:bottom w:val="single" w:color="auto" w:sz="4" w:space="0"/>
              <w:right w:val="single" w:color="auto" w:sz="4" w:space="0"/>
            </w:tcBorders>
            <w:vAlign w:val="center"/>
          </w:tcPr>
          <w:p>
            <w:pPr>
              <w:jc w:val="center"/>
              <w:rPr>
                <w:rFonts w:ascii="宋体" w:hAnsi="宋体" w:cs="宋体"/>
                <w:color w:val="000000"/>
                <w:w w:val="90"/>
                <w:sz w:val="24"/>
              </w:rPr>
            </w:pPr>
          </w:p>
        </w:tc>
      </w:tr>
      <w:tr>
        <w:tblPrEx>
          <w:tblCellMar>
            <w:top w:w="0" w:type="dxa"/>
            <w:left w:w="108" w:type="dxa"/>
            <w:bottom w:w="0" w:type="dxa"/>
            <w:right w:w="108" w:type="dxa"/>
          </w:tblCellMar>
        </w:tblPrEx>
        <w:trPr>
          <w:trHeight w:val="397" w:hRule="atLeast"/>
          <w:jc w:val="center"/>
        </w:trPr>
        <w:tc>
          <w:tcPr>
            <w:tcW w:w="314" w:type="pct"/>
            <w:tcBorders>
              <w:top w:val="nil"/>
              <w:left w:val="single" w:color="auto" w:sz="4" w:space="0"/>
              <w:bottom w:val="single" w:color="auto" w:sz="4" w:space="0"/>
              <w:right w:val="single" w:color="auto" w:sz="4" w:space="0"/>
            </w:tcBorders>
            <w:vAlign w:val="center"/>
          </w:tcPr>
          <w:p>
            <w:pPr>
              <w:ind w:firstLine="28" w:firstLineChars="13"/>
              <w:jc w:val="center"/>
              <w:rPr>
                <w:rFonts w:ascii="宋体" w:hAnsi="宋体" w:cs="宋体"/>
                <w:color w:val="000000"/>
                <w:w w:val="90"/>
                <w:sz w:val="24"/>
              </w:rPr>
            </w:pPr>
            <w:r>
              <w:rPr>
                <w:rFonts w:ascii="宋体" w:hAnsi="宋体" w:cs="宋体"/>
                <w:color w:val="000000"/>
                <w:w w:val="90"/>
                <w:sz w:val="24"/>
              </w:rPr>
              <w:t>4</w:t>
            </w:r>
          </w:p>
        </w:tc>
        <w:tc>
          <w:tcPr>
            <w:tcW w:w="747" w:type="pct"/>
            <w:vMerge w:val="continue"/>
            <w:tcBorders>
              <w:left w:val="nil"/>
              <w:right w:val="single" w:color="auto" w:sz="4" w:space="0"/>
            </w:tcBorders>
            <w:vAlign w:val="center"/>
          </w:tcPr>
          <w:p>
            <w:pPr>
              <w:ind w:firstLine="28" w:firstLineChars="13"/>
              <w:jc w:val="center"/>
              <w:rPr>
                <w:rFonts w:ascii="宋体" w:hAnsi="宋体" w:cs="宋体"/>
                <w:color w:val="000000"/>
                <w:w w:val="90"/>
                <w:sz w:val="24"/>
              </w:rPr>
            </w:pPr>
          </w:p>
        </w:tc>
        <w:tc>
          <w:tcPr>
            <w:tcW w:w="1198" w:type="pct"/>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w w:val="90"/>
                <w:sz w:val="24"/>
              </w:rPr>
            </w:pPr>
          </w:p>
        </w:tc>
        <w:tc>
          <w:tcPr>
            <w:tcW w:w="915" w:type="pct"/>
            <w:tcBorders>
              <w:top w:val="nil"/>
              <w:left w:val="nil"/>
              <w:bottom w:val="single" w:color="auto" w:sz="4" w:space="0"/>
              <w:right w:val="single" w:color="auto" w:sz="4" w:space="0"/>
            </w:tcBorders>
            <w:vAlign w:val="center"/>
          </w:tcPr>
          <w:p>
            <w:pPr>
              <w:jc w:val="center"/>
              <w:rPr>
                <w:rFonts w:ascii="宋体" w:hAnsi="宋体" w:cs="宋体"/>
                <w:color w:val="000000"/>
                <w:w w:val="90"/>
                <w:sz w:val="24"/>
              </w:rPr>
            </w:pPr>
          </w:p>
        </w:tc>
        <w:tc>
          <w:tcPr>
            <w:tcW w:w="912" w:type="pct"/>
            <w:tcBorders>
              <w:top w:val="nil"/>
              <w:left w:val="nil"/>
              <w:bottom w:val="single" w:color="auto" w:sz="4" w:space="0"/>
              <w:right w:val="single" w:color="auto" w:sz="4" w:space="0"/>
            </w:tcBorders>
            <w:vAlign w:val="center"/>
          </w:tcPr>
          <w:p>
            <w:pPr>
              <w:jc w:val="center"/>
              <w:rPr>
                <w:rFonts w:ascii="宋体" w:hAnsi="宋体" w:cs="宋体"/>
                <w:color w:val="000000"/>
                <w:w w:val="90"/>
                <w:sz w:val="24"/>
              </w:rPr>
            </w:pPr>
          </w:p>
        </w:tc>
        <w:tc>
          <w:tcPr>
            <w:tcW w:w="912" w:type="pct"/>
            <w:tcBorders>
              <w:top w:val="nil"/>
              <w:left w:val="nil"/>
              <w:bottom w:val="single" w:color="auto" w:sz="4" w:space="0"/>
              <w:right w:val="single" w:color="auto" w:sz="4" w:space="0"/>
            </w:tcBorders>
            <w:vAlign w:val="center"/>
          </w:tcPr>
          <w:p>
            <w:pPr>
              <w:jc w:val="center"/>
              <w:rPr>
                <w:rFonts w:ascii="宋体" w:hAnsi="宋体" w:cs="宋体"/>
                <w:color w:val="000000"/>
                <w:w w:val="90"/>
                <w:sz w:val="24"/>
              </w:rPr>
            </w:pPr>
          </w:p>
        </w:tc>
      </w:tr>
      <w:tr>
        <w:tblPrEx>
          <w:tblCellMar>
            <w:top w:w="0" w:type="dxa"/>
            <w:left w:w="108" w:type="dxa"/>
            <w:bottom w:w="0" w:type="dxa"/>
            <w:right w:w="108" w:type="dxa"/>
          </w:tblCellMar>
        </w:tblPrEx>
        <w:trPr>
          <w:trHeight w:val="397" w:hRule="atLeast"/>
          <w:jc w:val="center"/>
        </w:trPr>
        <w:tc>
          <w:tcPr>
            <w:tcW w:w="314" w:type="pct"/>
            <w:tcBorders>
              <w:top w:val="single" w:color="auto" w:sz="4" w:space="0"/>
              <w:left w:val="single" w:color="auto" w:sz="4" w:space="0"/>
              <w:bottom w:val="single" w:color="auto" w:sz="4" w:space="0"/>
              <w:right w:val="single" w:color="auto" w:sz="4" w:space="0"/>
            </w:tcBorders>
            <w:vAlign w:val="center"/>
          </w:tcPr>
          <w:p>
            <w:pPr>
              <w:ind w:firstLine="28" w:firstLineChars="13"/>
              <w:jc w:val="center"/>
              <w:rPr>
                <w:rFonts w:ascii="宋体" w:hAnsi="宋体" w:cs="宋体"/>
                <w:color w:val="000000"/>
                <w:w w:val="90"/>
                <w:sz w:val="24"/>
              </w:rPr>
            </w:pPr>
            <w:r>
              <w:rPr>
                <w:rFonts w:hint="eastAsia" w:ascii="宋体" w:hAnsi="宋体" w:cs="宋体"/>
                <w:color w:val="000000"/>
                <w:w w:val="90"/>
                <w:sz w:val="24"/>
              </w:rPr>
              <w:t>5</w:t>
            </w:r>
          </w:p>
        </w:tc>
        <w:tc>
          <w:tcPr>
            <w:tcW w:w="747" w:type="pct"/>
            <w:vMerge w:val="restart"/>
            <w:tcBorders>
              <w:top w:val="single" w:color="auto" w:sz="4" w:space="0"/>
              <w:left w:val="single" w:color="auto" w:sz="4" w:space="0"/>
              <w:right w:val="single" w:color="auto" w:sz="4" w:space="0"/>
            </w:tcBorders>
            <w:vAlign w:val="center"/>
          </w:tcPr>
          <w:p>
            <w:pPr>
              <w:ind w:firstLine="28" w:firstLineChars="13"/>
              <w:jc w:val="center"/>
              <w:rPr>
                <w:rFonts w:ascii="宋体" w:hAnsi="宋体" w:cs="宋体"/>
                <w:color w:val="000000"/>
                <w:w w:val="90"/>
                <w:sz w:val="24"/>
              </w:rPr>
            </w:pPr>
            <w:r>
              <w:rPr>
                <w:rFonts w:hint="eastAsia" w:ascii="宋体" w:hAnsi="宋体" w:cs="宋体"/>
                <w:color w:val="000000"/>
                <w:w w:val="90"/>
                <w:sz w:val="24"/>
              </w:rPr>
              <w:t>钢轨波纹打磨机</w:t>
            </w:r>
          </w:p>
        </w:tc>
        <w:tc>
          <w:tcPr>
            <w:tcW w:w="1198" w:type="pct"/>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000000"/>
                <w:w w:val="90"/>
                <w:sz w:val="24"/>
              </w:rPr>
            </w:pPr>
            <w:r>
              <w:rPr>
                <w:rFonts w:hint="eastAsia" w:ascii="宋体" w:hAnsi="宋体" w:cs="宋体"/>
                <w:color w:val="000000"/>
                <w:w w:val="90"/>
                <w:sz w:val="24"/>
              </w:rPr>
              <w:t>砂轮</w:t>
            </w:r>
          </w:p>
        </w:tc>
        <w:tc>
          <w:tcPr>
            <w:tcW w:w="915" w:type="pct"/>
            <w:tcBorders>
              <w:top w:val="single" w:color="auto" w:sz="4" w:space="0"/>
              <w:left w:val="nil"/>
              <w:bottom w:val="single" w:color="auto" w:sz="4" w:space="0"/>
              <w:right w:val="single" w:color="auto" w:sz="4" w:space="0"/>
            </w:tcBorders>
            <w:vAlign w:val="center"/>
          </w:tcPr>
          <w:p>
            <w:pPr>
              <w:jc w:val="center"/>
              <w:rPr>
                <w:rFonts w:ascii="宋体" w:hAnsi="宋体" w:cs="宋体"/>
                <w:color w:val="000000"/>
                <w:w w:val="90"/>
                <w:sz w:val="24"/>
              </w:rPr>
            </w:pPr>
          </w:p>
        </w:tc>
        <w:tc>
          <w:tcPr>
            <w:tcW w:w="912" w:type="pct"/>
            <w:tcBorders>
              <w:top w:val="single" w:color="auto" w:sz="4" w:space="0"/>
              <w:left w:val="nil"/>
              <w:bottom w:val="single" w:color="auto" w:sz="4" w:space="0"/>
              <w:right w:val="single" w:color="auto" w:sz="4" w:space="0"/>
            </w:tcBorders>
            <w:vAlign w:val="center"/>
          </w:tcPr>
          <w:p>
            <w:pPr>
              <w:jc w:val="center"/>
              <w:rPr>
                <w:rFonts w:ascii="宋体" w:hAnsi="宋体" w:cs="宋体"/>
                <w:color w:val="000000"/>
                <w:w w:val="90"/>
                <w:sz w:val="24"/>
              </w:rPr>
            </w:pPr>
          </w:p>
        </w:tc>
        <w:tc>
          <w:tcPr>
            <w:tcW w:w="912" w:type="pct"/>
            <w:tcBorders>
              <w:top w:val="single" w:color="auto" w:sz="4" w:space="0"/>
              <w:left w:val="nil"/>
              <w:bottom w:val="single" w:color="auto" w:sz="4" w:space="0"/>
              <w:right w:val="single" w:color="auto" w:sz="4" w:space="0"/>
            </w:tcBorders>
            <w:vAlign w:val="center"/>
          </w:tcPr>
          <w:p>
            <w:pPr>
              <w:jc w:val="center"/>
              <w:rPr>
                <w:rFonts w:ascii="宋体" w:hAnsi="宋体" w:cs="宋体"/>
                <w:color w:val="000000"/>
                <w:w w:val="90"/>
                <w:sz w:val="24"/>
              </w:rPr>
            </w:pPr>
          </w:p>
        </w:tc>
      </w:tr>
      <w:tr>
        <w:tblPrEx>
          <w:tblCellMar>
            <w:top w:w="0" w:type="dxa"/>
            <w:left w:w="108" w:type="dxa"/>
            <w:bottom w:w="0" w:type="dxa"/>
            <w:right w:w="108" w:type="dxa"/>
          </w:tblCellMar>
        </w:tblPrEx>
        <w:trPr>
          <w:trHeight w:val="397" w:hRule="atLeast"/>
          <w:jc w:val="center"/>
        </w:trPr>
        <w:tc>
          <w:tcPr>
            <w:tcW w:w="314" w:type="pct"/>
            <w:tcBorders>
              <w:top w:val="single" w:color="auto" w:sz="4" w:space="0"/>
              <w:left w:val="single" w:color="auto" w:sz="4" w:space="0"/>
              <w:bottom w:val="single" w:color="auto" w:sz="4" w:space="0"/>
              <w:right w:val="single" w:color="auto" w:sz="4" w:space="0"/>
            </w:tcBorders>
            <w:vAlign w:val="center"/>
          </w:tcPr>
          <w:p>
            <w:pPr>
              <w:ind w:firstLine="28" w:firstLineChars="13"/>
              <w:jc w:val="center"/>
              <w:rPr>
                <w:rFonts w:ascii="宋体" w:hAnsi="宋体" w:cs="宋体"/>
                <w:color w:val="000000"/>
                <w:w w:val="90"/>
                <w:sz w:val="24"/>
              </w:rPr>
            </w:pPr>
            <w:r>
              <w:rPr>
                <w:rFonts w:hint="eastAsia" w:ascii="宋体" w:hAnsi="宋体" w:cs="宋体"/>
                <w:color w:val="000000"/>
                <w:w w:val="90"/>
                <w:sz w:val="24"/>
              </w:rPr>
              <w:t>6</w:t>
            </w:r>
          </w:p>
        </w:tc>
        <w:tc>
          <w:tcPr>
            <w:tcW w:w="747" w:type="pct"/>
            <w:vMerge w:val="continue"/>
            <w:tcBorders>
              <w:left w:val="single" w:color="auto" w:sz="4" w:space="0"/>
              <w:right w:val="single" w:color="auto" w:sz="4" w:space="0"/>
            </w:tcBorders>
            <w:vAlign w:val="center"/>
          </w:tcPr>
          <w:p>
            <w:pPr>
              <w:ind w:firstLine="28" w:firstLineChars="13"/>
              <w:jc w:val="center"/>
              <w:rPr>
                <w:rFonts w:ascii="宋体" w:hAnsi="宋体" w:cs="宋体"/>
                <w:color w:val="000000"/>
                <w:w w:val="90"/>
                <w:sz w:val="24"/>
              </w:rPr>
            </w:pPr>
          </w:p>
        </w:tc>
        <w:tc>
          <w:tcPr>
            <w:tcW w:w="1198" w:type="pct"/>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000000"/>
                <w:w w:val="90"/>
                <w:sz w:val="24"/>
              </w:rPr>
            </w:pPr>
            <w:r>
              <w:rPr>
                <w:rFonts w:hint="eastAsia" w:ascii="宋体" w:hAnsi="宋体" w:cs="宋体"/>
                <w:color w:val="000000"/>
                <w:w w:val="90"/>
                <w:sz w:val="24"/>
              </w:rPr>
              <w:t>备用锂电池</w:t>
            </w:r>
          </w:p>
        </w:tc>
        <w:tc>
          <w:tcPr>
            <w:tcW w:w="915" w:type="pct"/>
            <w:tcBorders>
              <w:top w:val="single" w:color="auto" w:sz="4" w:space="0"/>
              <w:left w:val="nil"/>
              <w:bottom w:val="single" w:color="auto" w:sz="4" w:space="0"/>
              <w:right w:val="single" w:color="auto" w:sz="4" w:space="0"/>
            </w:tcBorders>
            <w:vAlign w:val="center"/>
          </w:tcPr>
          <w:p>
            <w:pPr>
              <w:jc w:val="center"/>
              <w:rPr>
                <w:rFonts w:ascii="宋体" w:hAnsi="宋体" w:cs="宋体"/>
                <w:color w:val="000000"/>
                <w:w w:val="90"/>
                <w:sz w:val="24"/>
              </w:rPr>
            </w:pPr>
          </w:p>
        </w:tc>
        <w:tc>
          <w:tcPr>
            <w:tcW w:w="912" w:type="pct"/>
            <w:tcBorders>
              <w:top w:val="single" w:color="auto" w:sz="4" w:space="0"/>
              <w:left w:val="nil"/>
              <w:bottom w:val="single" w:color="auto" w:sz="4" w:space="0"/>
              <w:right w:val="single" w:color="auto" w:sz="4" w:space="0"/>
            </w:tcBorders>
            <w:vAlign w:val="center"/>
          </w:tcPr>
          <w:p>
            <w:pPr>
              <w:jc w:val="center"/>
              <w:rPr>
                <w:rFonts w:ascii="宋体" w:hAnsi="宋体" w:cs="宋体"/>
                <w:color w:val="000000"/>
                <w:w w:val="90"/>
                <w:sz w:val="24"/>
              </w:rPr>
            </w:pPr>
          </w:p>
        </w:tc>
        <w:tc>
          <w:tcPr>
            <w:tcW w:w="912" w:type="pct"/>
            <w:tcBorders>
              <w:top w:val="single" w:color="auto" w:sz="4" w:space="0"/>
              <w:left w:val="nil"/>
              <w:bottom w:val="single" w:color="auto" w:sz="4" w:space="0"/>
              <w:right w:val="single" w:color="auto" w:sz="4" w:space="0"/>
            </w:tcBorders>
            <w:vAlign w:val="center"/>
          </w:tcPr>
          <w:p>
            <w:pPr>
              <w:jc w:val="center"/>
              <w:rPr>
                <w:rFonts w:ascii="宋体" w:hAnsi="宋体" w:cs="宋体"/>
                <w:color w:val="000000"/>
                <w:w w:val="90"/>
                <w:sz w:val="24"/>
              </w:rPr>
            </w:pPr>
          </w:p>
        </w:tc>
      </w:tr>
      <w:tr>
        <w:tblPrEx>
          <w:tblCellMar>
            <w:top w:w="0" w:type="dxa"/>
            <w:left w:w="108" w:type="dxa"/>
            <w:bottom w:w="0" w:type="dxa"/>
            <w:right w:w="108" w:type="dxa"/>
          </w:tblCellMar>
        </w:tblPrEx>
        <w:trPr>
          <w:trHeight w:val="380" w:hRule="atLeast"/>
          <w:jc w:val="center"/>
        </w:trPr>
        <w:tc>
          <w:tcPr>
            <w:tcW w:w="314" w:type="pct"/>
            <w:tcBorders>
              <w:top w:val="single" w:color="auto" w:sz="4" w:space="0"/>
              <w:left w:val="single" w:color="auto" w:sz="4" w:space="0"/>
              <w:bottom w:val="single" w:color="auto" w:sz="4" w:space="0"/>
              <w:right w:val="single" w:color="auto" w:sz="4" w:space="0"/>
            </w:tcBorders>
            <w:vAlign w:val="center"/>
          </w:tcPr>
          <w:p>
            <w:pPr>
              <w:ind w:firstLine="28" w:firstLineChars="13"/>
              <w:jc w:val="center"/>
              <w:rPr>
                <w:rFonts w:ascii="宋体" w:hAnsi="宋体" w:cs="宋体"/>
                <w:color w:val="000000"/>
                <w:w w:val="90"/>
                <w:sz w:val="24"/>
              </w:rPr>
            </w:pPr>
            <w:r>
              <w:rPr>
                <w:rFonts w:hint="eastAsia" w:ascii="宋体" w:hAnsi="宋体" w:cs="宋体"/>
                <w:color w:val="000000"/>
                <w:w w:val="90"/>
                <w:sz w:val="24"/>
              </w:rPr>
              <w:t>7</w:t>
            </w:r>
          </w:p>
        </w:tc>
        <w:tc>
          <w:tcPr>
            <w:tcW w:w="747" w:type="pct"/>
            <w:vMerge w:val="continue"/>
            <w:tcBorders>
              <w:left w:val="single" w:color="auto" w:sz="4" w:space="0"/>
              <w:right w:val="single" w:color="auto" w:sz="4" w:space="0"/>
            </w:tcBorders>
            <w:vAlign w:val="center"/>
          </w:tcPr>
          <w:p>
            <w:pPr>
              <w:ind w:firstLine="28" w:firstLineChars="13"/>
              <w:jc w:val="center"/>
              <w:rPr>
                <w:rFonts w:ascii="宋体" w:hAnsi="宋体" w:cs="宋体"/>
                <w:color w:val="000000"/>
                <w:w w:val="90"/>
                <w:sz w:val="24"/>
              </w:rPr>
            </w:pPr>
          </w:p>
        </w:tc>
        <w:tc>
          <w:tcPr>
            <w:tcW w:w="1198" w:type="pct"/>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000000"/>
                <w:w w:val="90"/>
                <w:sz w:val="24"/>
              </w:rPr>
            </w:pPr>
            <w:r>
              <w:rPr>
                <w:rFonts w:hint="eastAsia" w:ascii="宋体" w:hAnsi="宋体" w:cs="宋体"/>
                <w:color w:val="000000"/>
                <w:w w:val="90"/>
                <w:sz w:val="24"/>
              </w:rPr>
              <w:t>专用检修工具</w:t>
            </w:r>
          </w:p>
        </w:tc>
        <w:tc>
          <w:tcPr>
            <w:tcW w:w="915" w:type="pct"/>
            <w:tcBorders>
              <w:top w:val="single" w:color="auto" w:sz="4" w:space="0"/>
              <w:left w:val="nil"/>
              <w:bottom w:val="single" w:color="auto" w:sz="4" w:space="0"/>
              <w:right w:val="single" w:color="auto" w:sz="4" w:space="0"/>
            </w:tcBorders>
            <w:vAlign w:val="center"/>
          </w:tcPr>
          <w:p>
            <w:pPr>
              <w:jc w:val="center"/>
              <w:rPr>
                <w:rFonts w:ascii="宋体" w:hAnsi="宋体" w:cs="宋体"/>
                <w:color w:val="000000"/>
                <w:w w:val="90"/>
                <w:sz w:val="24"/>
              </w:rPr>
            </w:pPr>
          </w:p>
        </w:tc>
        <w:tc>
          <w:tcPr>
            <w:tcW w:w="912" w:type="pct"/>
            <w:tcBorders>
              <w:top w:val="single" w:color="auto" w:sz="4" w:space="0"/>
              <w:left w:val="nil"/>
              <w:bottom w:val="single" w:color="auto" w:sz="4" w:space="0"/>
              <w:right w:val="single" w:color="auto" w:sz="4" w:space="0"/>
            </w:tcBorders>
            <w:vAlign w:val="center"/>
          </w:tcPr>
          <w:p>
            <w:pPr>
              <w:jc w:val="center"/>
              <w:rPr>
                <w:rFonts w:ascii="宋体" w:hAnsi="宋体" w:cs="宋体"/>
                <w:color w:val="000000"/>
                <w:w w:val="90"/>
                <w:sz w:val="24"/>
              </w:rPr>
            </w:pPr>
          </w:p>
        </w:tc>
        <w:tc>
          <w:tcPr>
            <w:tcW w:w="912" w:type="pct"/>
            <w:tcBorders>
              <w:top w:val="single" w:color="auto" w:sz="4" w:space="0"/>
              <w:left w:val="nil"/>
              <w:bottom w:val="single" w:color="auto" w:sz="4" w:space="0"/>
              <w:right w:val="single" w:color="auto" w:sz="4" w:space="0"/>
            </w:tcBorders>
            <w:vAlign w:val="center"/>
          </w:tcPr>
          <w:p>
            <w:pPr>
              <w:jc w:val="center"/>
              <w:rPr>
                <w:rFonts w:ascii="宋体" w:hAnsi="宋体" w:cs="宋体"/>
                <w:color w:val="000000"/>
                <w:w w:val="90"/>
                <w:sz w:val="24"/>
              </w:rPr>
            </w:pPr>
          </w:p>
        </w:tc>
      </w:tr>
      <w:tr>
        <w:tblPrEx>
          <w:tblCellMar>
            <w:top w:w="0" w:type="dxa"/>
            <w:left w:w="108" w:type="dxa"/>
            <w:bottom w:w="0" w:type="dxa"/>
            <w:right w:w="108" w:type="dxa"/>
          </w:tblCellMar>
        </w:tblPrEx>
        <w:trPr>
          <w:trHeight w:val="397" w:hRule="atLeast"/>
          <w:jc w:val="center"/>
        </w:trPr>
        <w:tc>
          <w:tcPr>
            <w:tcW w:w="314" w:type="pct"/>
            <w:tcBorders>
              <w:top w:val="single" w:color="auto" w:sz="4" w:space="0"/>
              <w:left w:val="single" w:color="auto" w:sz="4" w:space="0"/>
              <w:bottom w:val="single" w:color="auto" w:sz="4" w:space="0"/>
              <w:right w:val="single" w:color="auto" w:sz="4" w:space="0"/>
            </w:tcBorders>
            <w:vAlign w:val="center"/>
          </w:tcPr>
          <w:p>
            <w:pPr>
              <w:ind w:firstLine="28" w:firstLineChars="13"/>
              <w:jc w:val="center"/>
              <w:rPr>
                <w:rFonts w:ascii="宋体" w:hAnsi="宋体" w:cs="宋体"/>
                <w:color w:val="000000"/>
                <w:w w:val="90"/>
                <w:sz w:val="24"/>
              </w:rPr>
            </w:pPr>
            <w:r>
              <w:rPr>
                <w:rFonts w:hint="eastAsia" w:ascii="宋体" w:hAnsi="宋体" w:cs="宋体"/>
                <w:color w:val="000000"/>
                <w:w w:val="90"/>
                <w:sz w:val="24"/>
              </w:rPr>
              <w:t>8</w:t>
            </w:r>
          </w:p>
        </w:tc>
        <w:tc>
          <w:tcPr>
            <w:tcW w:w="747" w:type="pct"/>
            <w:vMerge w:val="continue"/>
            <w:tcBorders>
              <w:left w:val="single" w:color="auto" w:sz="4" w:space="0"/>
              <w:bottom w:val="single" w:color="auto" w:sz="4" w:space="0"/>
              <w:right w:val="single" w:color="auto" w:sz="4" w:space="0"/>
            </w:tcBorders>
            <w:vAlign w:val="center"/>
          </w:tcPr>
          <w:p>
            <w:pPr>
              <w:ind w:firstLine="28" w:firstLineChars="13"/>
              <w:jc w:val="center"/>
              <w:rPr>
                <w:rFonts w:ascii="宋体" w:hAnsi="宋体" w:cs="宋体"/>
                <w:color w:val="000000"/>
                <w:w w:val="90"/>
                <w:sz w:val="24"/>
              </w:rPr>
            </w:pPr>
          </w:p>
        </w:tc>
        <w:tc>
          <w:tcPr>
            <w:tcW w:w="1198" w:type="pct"/>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000000"/>
                <w:w w:val="90"/>
                <w:sz w:val="24"/>
              </w:rPr>
            </w:pPr>
          </w:p>
        </w:tc>
        <w:tc>
          <w:tcPr>
            <w:tcW w:w="915" w:type="pct"/>
            <w:tcBorders>
              <w:top w:val="single" w:color="auto" w:sz="4" w:space="0"/>
              <w:left w:val="nil"/>
              <w:bottom w:val="single" w:color="auto" w:sz="4" w:space="0"/>
              <w:right w:val="single" w:color="auto" w:sz="4" w:space="0"/>
            </w:tcBorders>
            <w:vAlign w:val="center"/>
          </w:tcPr>
          <w:p>
            <w:pPr>
              <w:jc w:val="center"/>
              <w:rPr>
                <w:rFonts w:ascii="宋体" w:hAnsi="宋体" w:cs="宋体"/>
                <w:color w:val="000000"/>
                <w:w w:val="90"/>
                <w:sz w:val="24"/>
              </w:rPr>
            </w:pPr>
          </w:p>
        </w:tc>
        <w:tc>
          <w:tcPr>
            <w:tcW w:w="912" w:type="pct"/>
            <w:tcBorders>
              <w:top w:val="single" w:color="auto" w:sz="4" w:space="0"/>
              <w:left w:val="nil"/>
              <w:bottom w:val="single" w:color="auto" w:sz="4" w:space="0"/>
              <w:right w:val="single" w:color="auto" w:sz="4" w:space="0"/>
            </w:tcBorders>
            <w:vAlign w:val="center"/>
          </w:tcPr>
          <w:p>
            <w:pPr>
              <w:jc w:val="center"/>
              <w:rPr>
                <w:rFonts w:ascii="宋体" w:hAnsi="宋体" w:cs="宋体"/>
                <w:color w:val="000000"/>
                <w:w w:val="90"/>
                <w:sz w:val="24"/>
              </w:rPr>
            </w:pPr>
          </w:p>
        </w:tc>
        <w:tc>
          <w:tcPr>
            <w:tcW w:w="912" w:type="pct"/>
            <w:tcBorders>
              <w:top w:val="single" w:color="auto" w:sz="4" w:space="0"/>
              <w:left w:val="nil"/>
              <w:bottom w:val="single" w:color="auto" w:sz="4" w:space="0"/>
              <w:right w:val="single" w:color="auto" w:sz="4" w:space="0"/>
            </w:tcBorders>
            <w:vAlign w:val="center"/>
          </w:tcPr>
          <w:p>
            <w:pPr>
              <w:jc w:val="center"/>
              <w:rPr>
                <w:rFonts w:ascii="宋体" w:hAnsi="宋体" w:cs="宋体"/>
                <w:color w:val="000000"/>
                <w:w w:val="90"/>
                <w:sz w:val="24"/>
              </w:rPr>
            </w:pPr>
          </w:p>
        </w:tc>
      </w:tr>
    </w:tbl>
    <w:p>
      <w:pPr>
        <w:spacing w:line="400" w:lineRule="exact"/>
        <w:rPr>
          <w:rFonts w:ascii="宋体" w:hAnsi="宋体" w:cs="宋体"/>
          <w:color w:val="000000"/>
          <w:w w:val="90"/>
          <w:sz w:val="24"/>
        </w:rPr>
      </w:pPr>
      <w:r>
        <w:rPr>
          <w:rFonts w:hint="eastAsia" w:ascii="宋体" w:hAnsi="宋体" w:cs="宋体"/>
          <w:color w:val="000000"/>
          <w:w w:val="90"/>
          <w:sz w:val="24"/>
        </w:rPr>
        <w:t>7.3供货单位应免费提供采购设备的培训。在设备预验收前进行系统培训，培训内容应包含并不限于运行操作培训、维修培训、软件维护培训等。培训至采购单位专业技术人员能独立操作、维修采购设备为止。</w:t>
      </w:r>
    </w:p>
    <w:p>
      <w:pPr>
        <w:spacing w:line="400" w:lineRule="exact"/>
      </w:pPr>
      <w:r>
        <w:rPr>
          <w:rFonts w:hint="eastAsia" w:ascii="宋体" w:hAnsi="宋体" w:cs="宋体"/>
          <w:color w:val="000000"/>
          <w:w w:val="90"/>
          <w:sz w:val="24"/>
        </w:rPr>
        <w:t>7.4根据保修期内服务方案，提供售后服务、免费保修年限及服务承诺、上门现场服务、故障响应支持、电话及现场技术支持、软件维护升级服务、定期巡检、原厂商保修服务内容、标准和承诺等，以及质保期外服务等。</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153"/>
        <w:tab w:val="right" w:pos="8306"/>
      </w:tabs>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tabs>
                              <w:tab w:val="center" w:pos="4153"/>
                              <w:tab w:val="right" w:pos="8306"/>
                            </w:tabs>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pPr>
                      <w:pStyle w:val="8"/>
                      <w:tabs>
                        <w:tab w:val="center" w:pos="4153"/>
                        <w:tab w:val="right" w:pos="8306"/>
                      </w:tabs>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66F245"/>
    <w:multiLevelType w:val="multilevel"/>
    <w:tmpl w:val="8366F245"/>
    <w:lvl w:ilvl="0" w:tentative="0">
      <w:start w:val="1"/>
      <w:numFmt w:val="decimal"/>
      <w:pStyle w:val="17"/>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BF101C61"/>
    <w:multiLevelType w:val="multilevel"/>
    <w:tmpl w:val="BF101C61"/>
    <w:lvl w:ilvl="0" w:tentative="0">
      <w:start w:val="1"/>
      <w:numFmt w:val="decimal"/>
      <w:pStyle w:val="3"/>
      <w:suff w:val="nothing"/>
      <w:lvlText w:val="%1、"/>
      <w:lvlJc w:val="left"/>
      <w:pPr>
        <w:ind w:left="1842" w:firstLine="0"/>
      </w:pPr>
      <w:rPr>
        <w:rFonts w:hint="eastAsia"/>
      </w:rPr>
    </w:lvl>
    <w:lvl w:ilvl="1" w:tentative="0">
      <w:start w:val="1"/>
      <w:numFmt w:val="decimal"/>
      <w:pStyle w:val="2"/>
      <w:suff w:val="nothing"/>
      <w:lvlText w:val="%1.%2"/>
      <w:lvlJc w:val="left"/>
      <w:pPr>
        <w:ind w:left="0" w:firstLine="0"/>
      </w:pPr>
      <w:rPr>
        <w:rFonts w:hint="eastAsia"/>
      </w:rPr>
    </w:lvl>
    <w:lvl w:ilvl="2" w:tentative="0">
      <w:start w:val="1"/>
      <w:numFmt w:val="decimal"/>
      <w:pStyle w:val="4"/>
      <w:suff w:val="nothing"/>
      <w:lvlText w:val="%1.%2.%3"/>
      <w:lvlJc w:val="left"/>
      <w:pPr>
        <w:ind w:left="0" w:firstLine="0"/>
      </w:pPr>
      <w:rPr>
        <w:rFonts w:hint="eastAsia"/>
      </w:rPr>
    </w:lvl>
    <w:lvl w:ilvl="3" w:tentative="0">
      <w:start w:val="1"/>
      <w:numFmt w:val="decimal"/>
      <w:pStyle w:val="5"/>
      <w:suff w:val="space"/>
      <w:lvlText w:val="%1.%2.%3.%4"/>
      <w:lvlJc w:val="left"/>
      <w:pPr>
        <w:ind w:left="0" w:firstLine="0"/>
      </w:pPr>
      <w:rPr>
        <w:rFonts w:hint="eastAsia"/>
      </w:rPr>
    </w:lvl>
    <w:lvl w:ilvl="4" w:tentative="0">
      <w:start w:val="1"/>
      <w:numFmt w:val="decimal"/>
      <w:pStyle w:val="6"/>
      <w:suff w:val="nothing"/>
      <w:lvlText w:val="%1.%2.%3.%4.%5"/>
      <w:lvlJc w:val="left"/>
      <w:pPr>
        <w:ind w:left="1134" w:firstLine="0"/>
      </w:pPr>
      <w:rPr>
        <w:rFonts w:hint="eastAsia"/>
      </w:rPr>
    </w:lvl>
    <w:lvl w:ilvl="5" w:tentative="0">
      <w:start w:val="1"/>
      <w:numFmt w:val="decimal"/>
      <w:suff w:val="nothing"/>
      <w:lvlText w:val="%1.%2.%3.%4.%5.%6"/>
      <w:lvlJc w:val="left"/>
      <w:pPr>
        <w:ind w:left="0" w:firstLine="0"/>
      </w:pPr>
      <w:rPr>
        <w:rFonts w:hint="eastAsia"/>
        <w:sz w:val="28"/>
      </w:rPr>
    </w:lvl>
    <w:lvl w:ilvl="6" w:tentative="0">
      <w:start w:val="1"/>
      <w:numFmt w:val="decimal"/>
      <w:suff w:val="nothing"/>
      <w:lvlText w:val="%1.%2.%3.%4.%5.%6.%7"/>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FB805C85"/>
    <w:multiLevelType w:val="singleLevel"/>
    <w:tmpl w:val="FB805C85"/>
    <w:lvl w:ilvl="0" w:tentative="0">
      <w:start w:val="1"/>
      <w:numFmt w:val="decimal"/>
      <w:lvlText w:val="%1."/>
      <w:lvlJc w:val="left"/>
      <w:pPr>
        <w:tabs>
          <w:tab w:val="left" w:pos="312"/>
        </w:tabs>
      </w:pPr>
    </w:lvl>
  </w:abstractNum>
  <w:abstractNum w:abstractNumId="3">
    <w:nsid w:val="59843D53"/>
    <w:multiLevelType w:val="multilevel"/>
    <w:tmpl w:val="59843D53"/>
    <w:lvl w:ilvl="0" w:tentative="0">
      <w:start w:val="1"/>
      <w:numFmt w:val="decimal"/>
      <w:pStyle w:val="20"/>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1"/>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2"/>
      <w:suff w:val="nothing"/>
      <w:lvlText w:val="%1.%2.%3　"/>
      <w:lvlJc w:val="left"/>
      <w:pPr>
        <w:ind w:left="709" w:firstLine="0"/>
      </w:pPr>
      <w:rPr>
        <w:rFonts w:hint="eastAsia" w:ascii="黑体" w:hAnsi="Times New Roman" w:eastAsia="黑体"/>
        <w:b w:val="0"/>
        <w:i w:val="0"/>
        <w:sz w:val="21"/>
      </w:rPr>
    </w:lvl>
    <w:lvl w:ilvl="3" w:tentative="0">
      <w:start w:val="1"/>
      <w:numFmt w:val="decimal"/>
      <w:pStyle w:val="23"/>
      <w:suff w:val="nothing"/>
      <w:lvlText w:val="%1.%2.%3.%4　"/>
      <w:lvlJc w:val="left"/>
      <w:pPr>
        <w:ind w:left="142" w:firstLine="0"/>
      </w:pPr>
      <w:rPr>
        <w:rFonts w:hint="eastAsia" w:ascii="黑体" w:hAnsi="Times New Roman" w:eastAsia="黑体"/>
        <w:b w:val="0"/>
        <w:i w:val="0"/>
        <w:sz w:val="21"/>
      </w:rPr>
    </w:lvl>
    <w:lvl w:ilvl="4" w:tentative="0">
      <w:start w:val="1"/>
      <w:numFmt w:val="decimal"/>
      <w:pStyle w:val="24"/>
      <w:suff w:val="nothing"/>
      <w:lvlText w:val="%1.%2.%3.%4.%5　"/>
      <w:lvlJc w:val="left"/>
      <w:pPr>
        <w:ind w:left="0" w:firstLine="0"/>
      </w:pPr>
      <w:rPr>
        <w:rFonts w:hint="eastAsia" w:ascii="黑体" w:hAnsi="Times New Roman" w:eastAsia="黑体"/>
        <w:b w:val="0"/>
        <w:i w:val="0"/>
        <w:sz w:val="21"/>
      </w:rPr>
    </w:lvl>
    <w:lvl w:ilvl="5" w:tentative="0">
      <w:start w:val="1"/>
      <w:numFmt w:val="decimal"/>
      <w:pStyle w:val="2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60B55DC2"/>
    <w:multiLevelType w:val="multilevel"/>
    <w:tmpl w:val="60B55DC2"/>
    <w:lvl w:ilvl="0" w:tentative="0">
      <w:start w:val="1"/>
      <w:numFmt w:val="upperLetter"/>
      <w:lvlText w:val="%1"/>
      <w:lvlJc w:val="left"/>
      <w:pPr>
        <w:tabs>
          <w:tab w:val="left" w:pos="0"/>
        </w:tabs>
        <w:ind w:left="0" w:hanging="425"/>
      </w:pPr>
      <w:rPr>
        <w:rFonts w:hint="eastAsia"/>
      </w:rPr>
    </w:lvl>
    <w:lvl w:ilvl="1" w:tentative="0">
      <w:start w:val="1"/>
      <w:numFmt w:val="decimal"/>
      <w:pStyle w:val="1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5">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14"/>
      <w:suff w:val="nothing"/>
      <w:lvlText w:val="%1.%2　"/>
      <w:lvlJc w:val="left"/>
      <w:pPr>
        <w:ind w:left="-141" w:firstLine="0"/>
      </w:pPr>
      <w:rPr>
        <w:rFonts w:hint="eastAsia" w:ascii="黑体" w:hAnsi="Times New Roman" w:eastAsia="黑体"/>
        <w:b w:val="0"/>
        <w:i w:val="0"/>
        <w:snapToGrid/>
        <w:spacing w:val="0"/>
        <w:w w:val="100"/>
        <w:kern w:val="21"/>
        <w:sz w:val="21"/>
      </w:rPr>
    </w:lvl>
    <w:lvl w:ilvl="2" w:tentative="0">
      <w:start w:val="1"/>
      <w:numFmt w:val="decimal"/>
      <w:pStyle w:val="18"/>
      <w:suff w:val="nothing"/>
      <w:lvlText w:val="%1.%2.%3　"/>
      <w:lvlJc w:val="left"/>
      <w:pPr>
        <w:ind w:left="-141" w:firstLine="0"/>
      </w:pPr>
      <w:rPr>
        <w:rFonts w:hint="eastAsia" w:ascii="黑体" w:hAnsi="Times New Roman" w:eastAsia="黑体"/>
        <w:b w:val="0"/>
        <w:i w:val="0"/>
        <w:sz w:val="21"/>
      </w:rPr>
    </w:lvl>
    <w:lvl w:ilvl="3" w:tentative="0">
      <w:start w:val="1"/>
      <w:numFmt w:val="decimal"/>
      <w:pStyle w:val="19"/>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rPr>
        <w:rFonts w:hint="eastAsia"/>
      </w:rPr>
    </w:lvl>
    <w:lvl w:ilvl="8" w:tentative="0">
      <w:start w:val="1"/>
      <w:numFmt w:val="decimal"/>
      <w:lvlText w:val="%1.%2.%3.%4.%5.%6.%7.%8.%9"/>
      <w:lvlJc w:val="left"/>
      <w:pPr>
        <w:tabs>
          <w:tab w:val="left" w:pos="4961"/>
        </w:tabs>
        <w:ind w:left="4961" w:hanging="1700"/>
      </w:pPr>
      <w:rPr>
        <w:rFonts w:hint="eastAsia"/>
      </w:rPr>
    </w:lvl>
  </w:abstractNum>
  <w:abstractNum w:abstractNumId="6">
    <w:nsid w:val="6CD09288"/>
    <w:multiLevelType w:val="singleLevel"/>
    <w:tmpl w:val="6CD09288"/>
    <w:lvl w:ilvl="0" w:tentative="0">
      <w:start w:val="1"/>
      <w:numFmt w:val="decimal"/>
      <w:suff w:val="nothing"/>
      <w:lvlText w:val="（%1）"/>
      <w:lvlJc w:val="left"/>
    </w:lvl>
  </w:abstractNum>
  <w:num w:numId="1">
    <w:abstractNumId w:val="1"/>
  </w:num>
  <w:num w:numId="2">
    <w:abstractNumId w:val="5"/>
  </w:num>
  <w:num w:numId="3">
    <w:abstractNumId w:val="4"/>
  </w:num>
  <w:num w:numId="4">
    <w:abstractNumId w:val="0"/>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2MzY4NGU1NDZmYjNhZmI3Zjg5NzAzNDMwNDEwNGYifQ=="/>
  </w:docVars>
  <w:rsids>
    <w:rsidRoot w:val="619123E1"/>
    <w:rsid w:val="00100388"/>
    <w:rsid w:val="0023056A"/>
    <w:rsid w:val="003A0C76"/>
    <w:rsid w:val="0044093B"/>
    <w:rsid w:val="004C0841"/>
    <w:rsid w:val="005645CB"/>
    <w:rsid w:val="00FD39C4"/>
    <w:rsid w:val="01166295"/>
    <w:rsid w:val="01271F6A"/>
    <w:rsid w:val="01664948"/>
    <w:rsid w:val="04A63E40"/>
    <w:rsid w:val="04D103BF"/>
    <w:rsid w:val="063479D3"/>
    <w:rsid w:val="06AA0167"/>
    <w:rsid w:val="07F430FB"/>
    <w:rsid w:val="08C26BB1"/>
    <w:rsid w:val="0A162D20"/>
    <w:rsid w:val="11B47A83"/>
    <w:rsid w:val="1408295E"/>
    <w:rsid w:val="16933F01"/>
    <w:rsid w:val="1706746F"/>
    <w:rsid w:val="171E02FF"/>
    <w:rsid w:val="17A44D8A"/>
    <w:rsid w:val="17CC0D08"/>
    <w:rsid w:val="18E65693"/>
    <w:rsid w:val="1A073196"/>
    <w:rsid w:val="1AD82DAC"/>
    <w:rsid w:val="21144CB2"/>
    <w:rsid w:val="23D95A31"/>
    <w:rsid w:val="2517589F"/>
    <w:rsid w:val="2CB84BB7"/>
    <w:rsid w:val="2D590C75"/>
    <w:rsid w:val="2DC52BC4"/>
    <w:rsid w:val="2F9E60A6"/>
    <w:rsid w:val="2FF3543E"/>
    <w:rsid w:val="30E359E7"/>
    <w:rsid w:val="318F109E"/>
    <w:rsid w:val="33EE0573"/>
    <w:rsid w:val="353D1983"/>
    <w:rsid w:val="36F31FD1"/>
    <w:rsid w:val="37380350"/>
    <w:rsid w:val="3778360A"/>
    <w:rsid w:val="384A024E"/>
    <w:rsid w:val="386961E1"/>
    <w:rsid w:val="39CA5D29"/>
    <w:rsid w:val="3B320870"/>
    <w:rsid w:val="3E5045B9"/>
    <w:rsid w:val="3EB80943"/>
    <w:rsid w:val="3F1E45AB"/>
    <w:rsid w:val="45B23802"/>
    <w:rsid w:val="478E184F"/>
    <w:rsid w:val="4A79025A"/>
    <w:rsid w:val="4AA037DA"/>
    <w:rsid w:val="4B15399D"/>
    <w:rsid w:val="4BCE14DD"/>
    <w:rsid w:val="508D1967"/>
    <w:rsid w:val="511C6DB6"/>
    <w:rsid w:val="514F1C13"/>
    <w:rsid w:val="55DB1AA1"/>
    <w:rsid w:val="56CC7C5E"/>
    <w:rsid w:val="5AE8125E"/>
    <w:rsid w:val="5C597408"/>
    <w:rsid w:val="5E8F56BA"/>
    <w:rsid w:val="60402F0E"/>
    <w:rsid w:val="61870BFD"/>
    <w:rsid w:val="619123E1"/>
    <w:rsid w:val="62607AAB"/>
    <w:rsid w:val="64BA689C"/>
    <w:rsid w:val="653733BA"/>
    <w:rsid w:val="65937982"/>
    <w:rsid w:val="68F06E94"/>
    <w:rsid w:val="691F4786"/>
    <w:rsid w:val="6C711923"/>
    <w:rsid w:val="6DD64D75"/>
    <w:rsid w:val="6EB53B8C"/>
    <w:rsid w:val="6F7E23D5"/>
    <w:rsid w:val="754937FF"/>
    <w:rsid w:val="760028A3"/>
    <w:rsid w:val="763E0E8A"/>
    <w:rsid w:val="765B77A5"/>
    <w:rsid w:val="76697D2F"/>
    <w:rsid w:val="78CD3964"/>
    <w:rsid w:val="792968F4"/>
    <w:rsid w:val="7E03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6" w:lineRule="auto"/>
      <w:outlineLvl w:val="0"/>
    </w:pPr>
    <w:rPr>
      <w:b/>
      <w:kern w:val="44"/>
      <w:sz w:val="44"/>
    </w:rPr>
  </w:style>
  <w:style w:type="paragraph" w:styleId="2">
    <w:name w:val="heading 2"/>
    <w:basedOn w:val="1"/>
    <w:next w:val="1"/>
    <w:unhideWhenUsed/>
    <w:qFormat/>
    <w:uiPriority w:val="0"/>
    <w:pPr>
      <w:keepNext/>
      <w:keepLines/>
      <w:numPr>
        <w:ilvl w:val="1"/>
        <w:numId w:val="1"/>
      </w:numPr>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numPr>
        <w:ilvl w:val="2"/>
        <w:numId w:val="1"/>
      </w:numPr>
      <w:spacing w:before="260" w:after="260" w:line="413" w:lineRule="auto"/>
      <w:outlineLvl w:val="2"/>
    </w:pPr>
    <w:rPr>
      <w:b/>
      <w:sz w:val="32"/>
    </w:rPr>
  </w:style>
  <w:style w:type="paragraph" w:styleId="5">
    <w:name w:val="heading 4"/>
    <w:basedOn w:val="1"/>
    <w:next w:val="1"/>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7">
    <w:name w:val="Body Text"/>
    <w:basedOn w:val="1"/>
    <w:qFormat/>
    <w:uiPriority w:val="0"/>
    <w:pPr>
      <w:jc w:val="center"/>
    </w:pPr>
    <w:rPr>
      <w:sz w:val="28"/>
    </w:rPr>
  </w:style>
  <w:style w:type="paragraph" w:styleId="8">
    <w:name w:val="footer"/>
    <w:basedOn w:val="1"/>
    <w:qFormat/>
    <w:uiPriority w:val="0"/>
    <w:pPr>
      <w:snapToGrid w:val="0"/>
      <w:ind w:right="210" w:rightChars="100"/>
      <w:jc w:val="right"/>
    </w:pPr>
    <w:rPr>
      <w:sz w:val="18"/>
      <w:szCs w:val="18"/>
    </w:rPr>
  </w:style>
  <w:style w:type="paragraph" w:styleId="9">
    <w:name w:val="Body Text First Indent"/>
    <w:basedOn w:val="7"/>
    <w:qFormat/>
    <w:uiPriority w:val="0"/>
    <w:pPr>
      <w:spacing w:after="120"/>
      <w:ind w:firstLine="420"/>
      <w:jc w:val="both"/>
    </w:pPr>
    <w:rPr>
      <w:sz w:val="21"/>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列出段落11"/>
    <w:basedOn w:val="1"/>
    <w:qFormat/>
    <w:uiPriority w:val="0"/>
    <w:pPr>
      <w:ind w:firstLine="420" w:firstLineChars="200"/>
    </w:pPr>
    <w:rPr>
      <w:rFonts w:hint="eastAsia"/>
      <w:szCs w:val="20"/>
    </w:rPr>
  </w:style>
  <w:style w:type="paragraph" w:customStyle="1" w:styleId="14">
    <w:name w:val="附录章标题"/>
    <w:next w:val="15"/>
    <w:qFormat/>
    <w:uiPriority w:val="0"/>
    <w:pPr>
      <w:numPr>
        <w:ilvl w:val="1"/>
        <w:numId w:val="2"/>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5">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6">
    <w:name w:val="附录表标题"/>
    <w:basedOn w:val="1"/>
    <w:next w:val="15"/>
    <w:qFormat/>
    <w:uiPriority w:val="0"/>
    <w:pPr>
      <w:numPr>
        <w:ilvl w:val="1"/>
        <w:numId w:val="3"/>
      </w:numPr>
      <w:tabs>
        <w:tab w:val="left" w:pos="180"/>
      </w:tabs>
      <w:spacing w:before="50" w:beforeLines="50" w:after="50" w:afterLines="50"/>
      <w:ind w:left="0" w:firstLine="0"/>
      <w:jc w:val="center"/>
    </w:pPr>
    <w:rPr>
      <w:rFonts w:ascii="黑体" w:eastAsia="黑体"/>
      <w:szCs w:val="21"/>
    </w:rPr>
  </w:style>
  <w:style w:type="paragraph" w:customStyle="1" w:styleId="17">
    <w:name w:val="注×：（正文）"/>
    <w:qFormat/>
    <w:uiPriority w:val="0"/>
    <w:pPr>
      <w:numPr>
        <w:ilvl w:val="0"/>
        <w:numId w:val="4"/>
      </w:numPr>
      <w:jc w:val="both"/>
    </w:pPr>
    <w:rPr>
      <w:rFonts w:ascii="宋体" w:hAnsi="Times New Roman" w:eastAsia="宋体" w:cs="Times New Roman"/>
      <w:sz w:val="18"/>
      <w:szCs w:val="18"/>
      <w:lang w:val="en-US" w:eastAsia="zh-CN" w:bidi="ar-SA"/>
    </w:rPr>
  </w:style>
  <w:style w:type="paragraph" w:customStyle="1" w:styleId="18">
    <w:name w:val="附录一级条标题"/>
    <w:basedOn w:val="14"/>
    <w:next w:val="15"/>
    <w:qFormat/>
    <w:uiPriority w:val="0"/>
    <w:pPr>
      <w:numPr>
        <w:ilvl w:val="2"/>
      </w:numPr>
      <w:tabs>
        <w:tab w:val="left" w:pos="360"/>
      </w:tabs>
      <w:autoSpaceDN w:val="0"/>
      <w:spacing w:before="50" w:beforeLines="50" w:after="50" w:afterLines="50"/>
      <w:outlineLvl w:val="2"/>
    </w:pPr>
  </w:style>
  <w:style w:type="paragraph" w:customStyle="1" w:styleId="19">
    <w:name w:val="附录二级条标题"/>
    <w:basedOn w:val="1"/>
    <w:next w:val="15"/>
    <w:qFormat/>
    <w:uiPriority w:val="0"/>
    <w:pPr>
      <w:widowControl/>
      <w:numPr>
        <w:ilvl w:val="3"/>
        <w:numId w:val="2"/>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20">
    <w:name w:val="章标题"/>
    <w:basedOn w:val="1"/>
    <w:qFormat/>
    <w:uiPriority w:val="0"/>
    <w:pPr>
      <w:numPr>
        <w:ilvl w:val="0"/>
        <w:numId w:val="5"/>
      </w:numPr>
    </w:pPr>
  </w:style>
  <w:style w:type="paragraph" w:customStyle="1" w:styleId="21">
    <w:name w:val="一级条标题"/>
    <w:basedOn w:val="1"/>
    <w:qFormat/>
    <w:uiPriority w:val="0"/>
    <w:pPr>
      <w:numPr>
        <w:ilvl w:val="1"/>
        <w:numId w:val="5"/>
      </w:numPr>
    </w:pPr>
  </w:style>
  <w:style w:type="paragraph" w:customStyle="1" w:styleId="22">
    <w:name w:val="二级条标题"/>
    <w:basedOn w:val="1"/>
    <w:qFormat/>
    <w:uiPriority w:val="0"/>
    <w:pPr>
      <w:numPr>
        <w:ilvl w:val="2"/>
        <w:numId w:val="5"/>
      </w:numPr>
    </w:pPr>
  </w:style>
  <w:style w:type="paragraph" w:customStyle="1" w:styleId="23">
    <w:name w:val="三级条标题"/>
    <w:basedOn w:val="1"/>
    <w:qFormat/>
    <w:uiPriority w:val="0"/>
    <w:pPr>
      <w:numPr>
        <w:ilvl w:val="3"/>
        <w:numId w:val="5"/>
      </w:numPr>
    </w:pPr>
  </w:style>
  <w:style w:type="paragraph" w:customStyle="1" w:styleId="24">
    <w:name w:val="四级条标题"/>
    <w:basedOn w:val="1"/>
    <w:qFormat/>
    <w:uiPriority w:val="0"/>
    <w:pPr>
      <w:numPr>
        <w:ilvl w:val="4"/>
        <w:numId w:val="5"/>
      </w:numPr>
    </w:pPr>
  </w:style>
  <w:style w:type="paragraph" w:customStyle="1" w:styleId="25">
    <w:name w:val="五级条标题"/>
    <w:basedOn w:val="1"/>
    <w:qFormat/>
    <w:uiPriority w:val="0"/>
    <w:pPr>
      <w:numPr>
        <w:ilvl w:val="5"/>
        <w:numId w:val="5"/>
      </w:numPr>
    </w:pPr>
  </w:style>
  <w:style w:type="character" w:customStyle="1" w:styleId="26">
    <w:name w:val="font11"/>
    <w:basedOn w:val="12"/>
    <w:qFormat/>
    <w:uiPriority w:val="0"/>
    <w:rPr>
      <w:rFonts w:hint="eastAsia" w:ascii="宋体" w:hAnsi="宋体" w:eastAsia="宋体" w:cs="宋体"/>
      <w:color w:val="000000"/>
      <w:sz w:val="21"/>
      <w:szCs w:val="21"/>
      <w:u w:val="none"/>
    </w:rPr>
  </w:style>
  <w:style w:type="character" w:customStyle="1" w:styleId="27">
    <w:name w:val="font01"/>
    <w:basedOn w:val="12"/>
    <w:qFormat/>
    <w:uiPriority w:val="0"/>
    <w:rPr>
      <w:rFonts w:hint="default" w:ascii="Times New Roman" w:hAnsi="Times New Roman" w:cs="Times New Roman"/>
      <w:color w:val="000000"/>
      <w:sz w:val="24"/>
      <w:szCs w:val="24"/>
      <w:u w:val="none"/>
    </w:rPr>
  </w:style>
  <w:style w:type="character" w:customStyle="1" w:styleId="28">
    <w:name w:val="font2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5417</Words>
  <Characters>5879</Characters>
  <Lines>43</Lines>
  <Paragraphs>12</Paragraphs>
  <TotalTime>7</TotalTime>
  <ScaleCrop>false</ScaleCrop>
  <LinksUpToDate>false</LinksUpToDate>
  <CharactersWithSpaces>5917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2021-06-08T01:19:00Z</dcterms:created>
  <dc:creator>linlinan</dc:creator>
  <cp:lastModifiedBy>123456</cp:lastModifiedBy>
  <cp:lastPrinted>2022-11-30T09:28:01Z</cp:lastPrinted>
  <dcterms:modified xsi:type="dcterms:W3CDTF">2022-11-30T09:29:11Z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B3CA1E2AB4B94B0C87EB4B2644D204AD</vt:lpwstr>
  </property>
</Properties>
</file>