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59"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889" w:leftChars="152" w:hanging="2570" w:hangingChars="800"/>
        <w:rPr>
          <w:rFonts w:ascii="宋体" w:hAnsi="宋体" w:cs="Courier New"/>
          <w:b/>
          <w:sz w:val="32"/>
          <w:szCs w:val="21"/>
          <w:u w:val="single"/>
        </w:rPr>
      </w:pPr>
      <w:r>
        <w:rPr>
          <w:rFonts w:hint="eastAsia" w:ascii="宋体" w:hAnsi="宋体" w:cs="Courier New"/>
          <w:b/>
          <w:sz w:val="32"/>
          <w:szCs w:val="21"/>
        </w:rPr>
        <w:t>谈判项目名称：</w:t>
      </w:r>
      <w:r>
        <w:rPr>
          <w:rFonts w:ascii="宋体" w:hAnsi="宋体" w:cs="Courier New"/>
          <w:b/>
          <w:sz w:val="32"/>
          <w:szCs w:val="21"/>
          <w:u w:val="single"/>
        </w:rPr>
        <w:t>长沙市轨道交通5号线、西环线运营</w:t>
      </w:r>
      <w:r>
        <w:rPr>
          <w:rFonts w:hint="eastAsia" w:ascii="宋体" w:hAnsi="宋体" w:cs="Courier New"/>
          <w:b/>
          <w:sz w:val="32"/>
          <w:szCs w:val="21"/>
          <w:u w:val="single"/>
        </w:rPr>
        <w:t>期</w:t>
      </w:r>
    </w:p>
    <w:p>
      <w:pPr>
        <w:spacing w:line="360" w:lineRule="auto"/>
        <w:ind w:left="1999" w:leftChars="952" w:firstLine="643" w:firstLineChars="200"/>
        <w:rPr>
          <w:rFonts w:ascii="宋体" w:hAnsi="宋体" w:cs="Courier New"/>
          <w:b/>
          <w:sz w:val="32"/>
          <w:szCs w:val="21"/>
          <w:u w:val="single"/>
        </w:rPr>
      </w:pPr>
      <w:r>
        <w:rPr>
          <w:rFonts w:ascii="宋体" w:hAnsi="宋体" w:cs="Courier New"/>
          <w:b/>
          <w:sz w:val="32"/>
          <w:szCs w:val="21"/>
          <w:u w:val="single"/>
        </w:rPr>
        <w:t>2023-2025年水渡河车辆段、九华车辆基</w:t>
      </w:r>
    </w:p>
    <w:p>
      <w:pPr>
        <w:spacing w:line="360" w:lineRule="auto"/>
        <w:ind w:left="1999" w:leftChars="952" w:firstLine="643" w:firstLineChars="200"/>
        <w:rPr>
          <w:rFonts w:ascii="宋体" w:hAnsi="宋体" w:cs="Courier New"/>
          <w:b/>
          <w:sz w:val="32"/>
          <w:szCs w:val="21"/>
          <w:u w:val="single"/>
        </w:rPr>
      </w:pPr>
      <w:r>
        <w:rPr>
          <w:rFonts w:ascii="宋体" w:hAnsi="宋体" w:cs="Courier New"/>
          <w:b/>
          <w:sz w:val="32"/>
          <w:szCs w:val="21"/>
          <w:u w:val="single"/>
        </w:rPr>
        <w:t>地食堂委外经营服务项目</w:t>
      </w:r>
    </w:p>
    <w:p>
      <w:pPr>
        <w:pStyle w:val="2"/>
      </w:pPr>
    </w:p>
    <w:p/>
    <w:p>
      <w:pPr>
        <w:pStyle w:val="2"/>
      </w:pPr>
    </w:p>
    <w:p/>
    <w:p>
      <w:pPr>
        <w:pStyle w:val="25"/>
        <w:adjustRightInd w:val="0"/>
        <w:snapToGrid w:val="0"/>
        <w:spacing w:line="240" w:lineRule="atLeast"/>
        <w:ind w:firstLine="321" w:firstLineChars="100"/>
        <w:rPr>
          <w:rFonts w:hAnsi="宋体" w:cs="宋体"/>
          <w:sz w:val="32"/>
          <w:szCs w:val="32"/>
          <w:u w:val="single"/>
        </w:rPr>
      </w:pPr>
      <w:r>
        <w:rPr>
          <w:rFonts w:hint="eastAsia" w:hAnsi="宋体"/>
          <w:b/>
          <w:sz w:val="32"/>
        </w:rPr>
        <w:t>采购单位名称：</w:t>
      </w:r>
      <w:r>
        <w:rPr>
          <w:rFonts w:hint="eastAsia" w:hAnsi="宋体"/>
          <w:b/>
          <w:sz w:val="32"/>
          <w:u w:val="single"/>
        </w:rPr>
        <w:t>长沙市轨道交通五号线建设发展有限公司</w:t>
      </w:r>
    </w:p>
    <w:p>
      <w:pPr>
        <w:pStyle w:val="25"/>
        <w:adjustRightInd w:val="0"/>
        <w:snapToGrid w:val="0"/>
        <w:spacing w:line="240" w:lineRule="atLeast"/>
        <w:ind w:firstLine="2570" w:firstLineChars="800"/>
        <w:rPr>
          <w:rFonts w:hAnsi="宋体"/>
          <w:b/>
          <w:sz w:val="32"/>
          <w:u w:val="single"/>
        </w:rPr>
      </w:pPr>
      <w:r>
        <w:rPr>
          <w:rFonts w:hint="eastAsia" w:hAnsi="宋体"/>
          <w:b/>
          <w:sz w:val="32"/>
          <w:u w:val="single"/>
        </w:rPr>
        <w:t>长沙市轨道交通运营有限公司</w:t>
      </w:r>
    </w:p>
    <w:p>
      <w:pPr>
        <w:pStyle w:val="25"/>
        <w:adjustRightInd w:val="0"/>
        <w:snapToGrid w:val="0"/>
        <w:spacing w:line="360" w:lineRule="auto"/>
        <w:ind w:firstLine="321" w:firstLineChars="100"/>
        <w:jc w:val="left"/>
        <w:rPr>
          <w:rFonts w:hAnsi="宋体"/>
          <w:b/>
          <w:sz w:val="32"/>
          <w:u w:val="single"/>
        </w:rPr>
      </w:pPr>
    </w:p>
    <w:p>
      <w:pPr>
        <w:pStyle w:val="25"/>
        <w:adjustRightInd w:val="0"/>
        <w:snapToGrid w:val="0"/>
        <w:spacing w:line="360" w:lineRule="auto"/>
        <w:ind w:firstLine="321" w:firstLineChars="100"/>
        <w:jc w:val="left"/>
        <w:rPr>
          <w:rFonts w:hAnsi="宋体" w:cs="宋体"/>
          <w:b/>
          <w:sz w:val="32"/>
        </w:rPr>
      </w:pPr>
    </w:p>
    <w:p>
      <w:pPr>
        <w:pStyle w:val="25"/>
        <w:adjustRightInd w:val="0"/>
        <w:snapToGrid w:val="0"/>
        <w:spacing w:line="360" w:lineRule="auto"/>
        <w:ind w:firstLine="321" w:firstLineChars="100"/>
        <w:jc w:val="left"/>
        <w:rPr>
          <w:rFonts w:hAnsi="宋体"/>
          <w:b/>
          <w:sz w:val="32"/>
        </w:rPr>
      </w:pPr>
    </w:p>
    <w:p>
      <w:pPr>
        <w:pStyle w:val="25"/>
        <w:adjustRightInd w:val="0"/>
        <w:snapToGrid w:val="0"/>
        <w:spacing w:line="360" w:lineRule="auto"/>
        <w:ind w:firstLine="321" w:firstLineChars="100"/>
        <w:jc w:val="left"/>
        <w:rPr>
          <w:rFonts w:hAnsi="宋体"/>
          <w:b/>
          <w:color w:val="FF0000"/>
          <w:sz w:val="32"/>
          <w:u w:val="single"/>
        </w:rPr>
      </w:pPr>
      <w:r>
        <w:rPr>
          <w:rFonts w:hint="eastAsia" w:hAnsi="宋体"/>
          <w:b/>
          <w:sz w:val="32"/>
        </w:rPr>
        <w:t>谈判项目编号：</w:t>
      </w:r>
      <w:r>
        <w:rPr>
          <w:rFonts w:hint="eastAsia" w:hAnsi="宋体"/>
          <w:b/>
          <w:sz w:val="32"/>
          <w:u w:val="single"/>
        </w:rPr>
        <w:t>长轨运服采【2022】</w:t>
      </w:r>
      <w:r>
        <w:rPr>
          <w:rFonts w:hAnsi="宋体"/>
          <w:b/>
          <w:sz w:val="32"/>
          <w:u w:val="single"/>
        </w:rPr>
        <w:t>53</w:t>
      </w:r>
      <w:r>
        <w:rPr>
          <w:rFonts w:hint="eastAsia" w:hAnsi="宋体"/>
          <w:b/>
          <w:sz w:val="32"/>
          <w:u w:val="single"/>
        </w:rPr>
        <w:t>号</w:t>
      </w:r>
    </w:p>
    <w:p>
      <w:pPr>
        <w:pStyle w:val="25"/>
        <w:adjustRightInd w:val="0"/>
        <w:snapToGrid w:val="0"/>
        <w:spacing w:line="360" w:lineRule="auto"/>
        <w:rPr>
          <w:rFonts w:ascii="仿宋_GB2312" w:hAnsi="宋体" w:eastAsia="仿宋_GB2312"/>
          <w:bCs/>
          <w:sz w:val="32"/>
        </w:rPr>
      </w:pPr>
    </w:p>
    <w:p>
      <w:pPr>
        <w:pStyle w:val="25"/>
        <w:adjustRightInd w:val="0"/>
        <w:snapToGrid w:val="0"/>
        <w:spacing w:line="360" w:lineRule="auto"/>
        <w:jc w:val="center"/>
        <w:rPr>
          <w:rFonts w:hAnsi="宋体"/>
          <w:b/>
          <w:sz w:val="32"/>
        </w:rPr>
      </w:pPr>
      <w:r>
        <w:rPr>
          <w:rFonts w:hint="eastAsia" w:hAnsi="宋体"/>
          <w:b/>
          <w:sz w:val="32"/>
        </w:rPr>
        <w:t>二〇二二年十二月</w:t>
      </w: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sectPr>
          <w:footerReference r:id="rId3" w:type="default"/>
          <w:pgSz w:w="11906" w:h="16838"/>
          <w:pgMar w:top="2098" w:right="1474" w:bottom="1984" w:left="1587" w:header="851" w:footer="992" w:gutter="0"/>
          <w:pgNumType w:fmt="decimal" w:start="1"/>
          <w:cols w:space="0" w:num="1"/>
          <w:docGrid w:type="lines" w:linePitch="319" w:charSpace="0"/>
        </w:sectPr>
      </w:pP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sectPr>
          <w:footerReference r:id="rId4" w:type="default"/>
          <w:pgSz w:w="11906" w:h="16838"/>
          <w:pgMar w:top="2098" w:right="1474" w:bottom="1984" w:left="1587" w:header="851" w:footer="992" w:gutter="0"/>
          <w:pgNumType w:fmt="decimal" w:start="1"/>
          <w:cols w:space="0" w:num="1"/>
          <w:docGrid w:type="lines" w:linePitch="319" w:charSpace="0"/>
        </w:sectPr>
      </w:pPr>
    </w:p>
    <w:p>
      <w:pPr>
        <w:jc w:val="center"/>
        <w:rPr>
          <w:rFonts w:hint="eastAsia" w:ascii="宋体" w:hAnsi="宋体" w:cs="宋体"/>
          <w:b/>
          <w:bCs/>
          <w:sz w:val="32"/>
          <w:szCs w:val="32"/>
        </w:rPr>
      </w:pPr>
      <w:bookmarkStart w:id="0" w:name="_Toc14891064"/>
      <w:r>
        <w:rPr>
          <w:rFonts w:hint="eastAsia" w:ascii="宋体" w:hAnsi="宋体" w:cs="宋体"/>
          <w:b/>
          <w:bCs/>
          <w:sz w:val="32"/>
          <w:szCs w:val="32"/>
        </w:rPr>
        <w:t>目   录</w:t>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"1-2" \h \u </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_Toc21356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第一章 谈判邀请公告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_Toc23646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第二章  谈判须知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_Toc15513 </w:instrText>
      </w:r>
      <w:r>
        <w:rPr>
          <w:rFonts w:hint="eastAsia" w:ascii="仿宋_GB2312" w:hAnsi="仿宋_GB2312" w:eastAsia="仿宋_GB2312" w:cs="仿宋_GB2312"/>
        </w:rPr>
        <w:fldChar w:fldCharType="separate"/>
      </w:r>
      <w:r>
        <w:rPr>
          <w:rFonts w:hint="eastAsia" w:ascii="仿宋_GB2312" w:hAnsi="仿宋_GB2312" w:eastAsia="仿宋_GB2312" w:cs="仿宋_GB2312"/>
          <w:highlight w:val="none"/>
        </w:rPr>
        <w:t>谈判须知前附表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_Toc31391 </w:instrText>
      </w:r>
      <w:r>
        <w:rPr>
          <w:rFonts w:hint="eastAsia" w:ascii="仿宋_GB2312" w:hAnsi="仿宋_GB2312" w:eastAsia="仿宋_GB2312" w:cs="仿宋_GB2312"/>
        </w:rPr>
        <w:fldChar w:fldCharType="separate"/>
      </w:r>
      <w:r>
        <w:rPr>
          <w:rFonts w:hint="eastAsia" w:ascii="仿宋_GB2312" w:hAnsi="仿宋_GB2312" w:eastAsia="仿宋_GB2312" w:cs="仿宋_GB2312"/>
          <w:highlight w:val="none"/>
        </w:rPr>
        <w:t>谈判须知正文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_Toc31391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_Toc29850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一、说明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_Toc14834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二、谈判文件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三、响应文件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_Toc3522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四、响应文件的递交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_Toc16037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五、响应文件的评审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_Toc16037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_Toc28602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六、响应文件的澄清、说明及补正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_Toc27120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七、中选结果与授予合同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_Toc2272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八、其他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_Toc8585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第三章  评审办法及标准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_Toc8585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_Toc23694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第四章  用户需求书（另册）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_Toc11311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第五章  合同格式条款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_Toc19503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 xml:space="preserve">第六章  </w:t>
      </w:r>
      <w:r>
        <w:rPr>
          <w:rFonts w:hint="eastAsia" w:ascii="仿宋_GB2312" w:hAnsi="仿宋_GB2312" w:eastAsia="仿宋_GB2312" w:cs="仿宋_GB2312"/>
          <w:bCs/>
          <w:szCs w:val="32"/>
          <w:highlight w:val="none"/>
        </w:rPr>
        <w:t>响应文件组成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_Toc19503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一、谈判承诺书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_Toc16874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二、法定代表人身份证明书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_Toc16874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_Toc29853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三、授权委托书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_Toc417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四、谈判单位资格证明文件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_Toc5998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五、企业实力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_Toc5998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_Toc23279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安全管理及保障方案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_Toc23279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_Toc3940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七、服务管理方案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_Toc3940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_Toc3080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八、</w:t>
      </w:r>
      <w:r>
        <w:rPr>
          <w:rFonts w:hint="eastAsia" w:ascii="仿宋_GB2312" w:hAnsi="仿宋_GB2312" w:eastAsia="仿宋_GB2312" w:cs="仿宋_GB2312"/>
          <w:szCs w:val="32"/>
          <w:highlight w:val="none"/>
        </w:rPr>
        <w:t>综合管理方案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_Toc17214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九、</w:t>
      </w:r>
      <w:r>
        <w:rPr>
          <w:rFonts w:hint="eastAsia" w:ascii="仿宋_GB2312" w:hAnsi="仿宋_GB2312" w:eastAsia="仿宋_GB2312" w:cs="仿宋_GB2312"/>
          <w:szCs w:val="32"/>
          <w:highlight w:val="none"/>
        </w:rPr>
        <w:t>卫生管理方案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_Toc17214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_Toc25770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w:t>
      </w:r>
      <w:r>
        <w:rPr>
          <w:rFonts w:hint="eastAsia" w:ascii="仿宋_GB2312" w:hAnsi="仿宋_GB2312" w:eastAsia="仿宋_GB2312" w:cs="仿宋_GB2312"/>
          <w:szCs w:val="32"/>
          <w:highlight w:val="none"/>
        </w:rPr>
        <w:t>应急管理方案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_Toc32749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十一、优惠</w:t>
      </w:r>
      <w:r>
        <w:rPr>
          <w:rFonts w:hint="eastAsia" w:ascii="仿宋_GB2312" w:hAnsi="仿宋_GB2312" w:eastAsia="仿宋_GB2312" w:cs="仿宋_GB2312"/>
          <w:szCs w:val="32"/>
          <w:highlight w:val="none"/>
        </w:rPr>
        <w:t>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_Toc32749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_Toc29054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十二、原材料保障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_Toc29054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_Toc19696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十三</w:t>
      </w:r>
      <w:r>
        <w:rPr>
          <w:rFonts w:hint="eastAsia" w:ascii="仿宋_GB2312" w:hAnsi="仿宋_GB2312" w:eastAsia="仿宋_GB2312" w:cs="仿宋_GB2312"/>
          <w:szCs w:val="32"/>
          <w:highlight w:val="none"/>
        </w:rPr>
        <w:t>、承诺函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十四</w:t>
      </w:r>
      <w:r>
        <w:rPr>
          <w:rFonts w:hint="eastAsia" w:ascii="仿宋_GB2312" w:hAnsi="仿宋_GB2312" w:eastAsia="仿宋_GB2312" w:cs="仿宋_GB2312"/>
          <w:szCs w:val="32"/>
          <w:highlight w:val="none"/>
        </w:rPr>
        <w:t>、其他资料（如有）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9"/>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ascii="仿宋_GB2312" w:hAnsi="仿宋_GB2312" w:eastAsia="仿宋_GB2312" w:cs="仿宋_GB2312"/>
        </w:rPr>
        <w:fldChar w:fldCharType="end"/>
      </w:r>
    </w:p>
    <w:p>
      <w:pPr>
        <w:spacing w:line="420" w:lineRule="exact"/>
        <w:rPr>
          <w:rFonts w:ascii="宋体" w:hAnsi="宋体" w:cs="宋体"/>
          <w:b/>
          <w:bCs/>
          <w:szCs w:val="21"/>
          <w:highlight w:val="cyan"/>
        </w:rPr>
        <w:sectPr>
          <w:footerReference r:id="rId5" w:type="default"/>
          <w:pgSz w:w="11906" w:h="16838"/>
          <w:pgMar w:top="2098" w:right="1474" w:bottom="1984" w:left="1587" w:header="851" w:footer="992" w:gutter="0"/>
          <w:pgNumType w:fmt="decimal"/>
          <w:cols w:space="0" w:num="1"/>
          <w:docGrid w:type="lines" w:linePitch="319" w:charSpace="0"/>
        </w:sectPr>
      </w:pPr>
      <w:bookmarkStart w:id="1" w:name="_Toc29614"/>
      <w:bookmarkStart w:id="2" w:name="_Toc5016"/>
    </w:p>
    <w:p>
      <w:pPr>
        <w:pStyle w:val="3"/>
        <w:keepNext w:val="0"/>
        <w:numPr>
          <w:ilvl w:val="0"/>
          <w:numId w:val="6"/>
        </w:numPr>
        <w:spacing w:line="360" w:lineRule="auto"/>
        <w:rPr>
          <w:rFonts w:ascii="宋体" w:hAnsi="宋体" w:cs="宋体"/>
          <w:sz w:val="32"/>
          <w:szCs w:val="32"/>
        </w:rPr>
      </w:pPr>
      <w:bookmarkStart w:id="3" w:name="_Toc10838"/>
      <w:bookmarkStart w:id="4" w:name="_Toc3621"/>
      <w:bookmarkStart w:id="5" w:name="_Toc13376"/>
      <w:r>
        <w:rPr>
          <w:rFonts w:hint="eastAsia" w:ascii="宋体" w:hAnsi="宋体" w:cs="宋体"/>
          <w:sz w:val="32"/>
          <w:szCs w:val="32"/>
        </w:rPr>
        <w:t xml:space="preserve"> </w:t>
      </w:r>
      <w:bookmarkStart w:id="6" w:name="_Toc21356"/>
      <w:bookmarkStart w:id="7" w:name="_Toc25709"/>
      <w:r>
        <w:rPr>
          <w:rFonts w:hint="eastAsia" w:ascii="宋体" w:hAnsi="宋体" w:cs="宋体"/>
          <w:sz w:val="32"/>
          <w:szCs w:val="32"/>
        </w:rPr>
        <w:t>谈判邀请公告</w:t>
      </w:r>
      <w:bookmarkEnd w:id="0"/>
      <w:bookmarkEnd w:id="1"/>
      <w:bookmarkEnd w:id="2"/>
      <w:bookmarkEnd w:id="3"/>
      <w:bookmarkEnd w:id="4"/>
      <w:bookmarkEnd w:id="5"/>
      <w:bookmarkEnd w:id="6"/>
      <w:bookmarkEnd w:id="7"/>
    </w:p>
    <w:p/>
    <w:p>
      <w:pPr>
        <w:spacing w:line="360" w:lineRule="auto"/>
        <w:ind w:firstLine="420" w:firstLineChars="200"/>
        <w:jc w:val="left"/>
        <w:rPr>
          <w:rFonts w:ascii="宋体" w:hAnsi="宋体" w:cs="宋体"/>
          <w:iCs/>
          <w:color w:val="auto"/>
          <w:szCs w:val="21"/>
          <w:highlight w:val="none"/>
        </w:rPr>
      </w:pPr>
      <w:r>
        <w:rPr>
          <w:rFonts w:hint="eastAsia" w:ascii="宋体" w:hAnsi="宋体"/>
          <w:iCs/>
          <w:szCs w:val="21"/>
          <w:highlight w:val="none"/>
          <w:u w:val="single"/>
        </w:rPr>
        <w:t>长沙市轨道交通五号线建设发展有限公司</w:t>
      </w:r>
      <w:r>
        <w:rPr>
          <w:rFonts w:hint="eastAsia" w:ascii="宋体" w:hAnsi="宋体"/>
          <w:iCs/>
          <w:szCs w:val="21"/>
          <w:highlight w:val="none"/>
          <w:u w:val="single"/>
          <w:lang w:eastAsia="zh-CN"/>
        </w:rPr>
        <w:t>、</w:t>
      </w:r>
      <w:r>
        <w:rPr>
          <w:rStyle w:val="56"/>
          <w:rFonts w:hint="eastAsia"/>
          <w:color w:val="auto"/>
          <w:kern w:val="0"/>
          <w:highlight w:val="none"/>
          <w:shd w:val="clear" w:color="auto" w:fill="FFFFFF"/>
        </w:rPr>
        <w:t>长沙市轨道交通运营有限公司</w:t>
      </w:r>
      <w:r>
        <w:rPr>
          <w:rStyle w:val="56"/>
          <w:rFonts w:hint="eastAsia"/>
          <w:color w:val="auto"/>
          <w:kern w:val="0"/>
          <w:u w:val="none"/>
          <w:shd w:val="clear" w:color="auto" w:fill="FFFFFF"/>
        </w:rPr>
        <w:t>对</w:t>
      </w:r>
      <w:r>
        <w:rPr>
          <w:rFonts w:ascii="宋体" w:hAnsi="宋体" w:cs="宋体"/>
          <w:color w:val="000000"/>
          <w:u w:val="single"/>
        </w:rPr>
        <w:t>长沙市轨道交通5号线、西环线运营</w:t>
      </w:r>
      <w:r>
        <w:rPr>
          <w:rFonts w:hint="eastAsia" w:ascii="宋体" w:hAnsi="宋体" w:cs="宋体"/>
          <w:color w:val="000000"/>
          <w:u w:val="single"/>
        </w:rPr>
        <w:t>期</w:t>
      </w:r>
      <w:r>
        <w:rPr>
          <w:rFonts w:ascii="宋体" w:hAnsi="宋体" w:cs="宋体"/>
          <w:color w:val="000000"/>
          <w:u w:val="single"/>
        </w:rPr>
        <w:t>2023-2025年水渡河车辆段、九华车辆基地食堂委外经营服务项目</w:t>
      </w:r>
      <w:r>
        <w:rPr>
          <w:rStyle w:val="56"/>
          <w:rFonts w:hint="eastAsia"/>
          <w:color w:val="auto"/>
          <w:kern w:val="0"/>
          <w:u w:val="none"/>
          <w:shd w:val="clear" w:color="auto" w:fill="FFFFFF"/>
        </w:rPr>
        <w:t>进行自</w:t>
      </w:r>
      <w:r>
        <w:rPr>
          <w:rStyle w:val="56"/>
          <w:rFonts w:hint="eastAsia"/>
          <w:color w:val="auto"/>
          <w:kern w:val="0"/>
          <w:highlight w:val="none"/>
          <w:u w:val="none"/>
          <w:shd w:val="clear" w:color="auto" w:fill="FFFFFF"/>
        </w:rPr>
        <w:t>主竞争性谈判采购，现发布公告，邀请符合条件的单位参与谈判采购活动。</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Fonts w:ascii="宋体" w:hAnsi="宋体" w:cs="宋体"/>
          <w:color w:val="auto"/>
          <w:highlight w:val="none"/>
        </w:rPr>
        <w:t>长沙市轨道交通5号线、西环线运营</w:t>
      </w:r>
      <w:r>
        <w:rPr>
          <w:rFonts w:hint="eastAsia" w:ascii="宋体" w:hAnsi="宋体" w:cs="宋体"/>
          <w:color w:val="auto"/>
          <w:highlight w:val="none"/>
        </w:rPr>
        <w:t>期</w:t>
      </w:r>
      <w:r>
        <w:rPr>
          <w:rFonts w:ascii="宋体" w:hAnsi="宋体" w:cs="宋体"/>
          <w:color w:val="auto"/>
          <w:highlight w:val="none"/>
        </w:rPr>
        <w:t>2023-2025年水渡河车辆段、九华车辆基地食堂委外经营服务项目</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项目编号：长轨运服采【2022】</w:t>
      </w:r>
      <w:r>
        <w:rPr>
          <w:rStyle w:val="56"/>
          <w:color w:val="auto"/>
          <w:kern w:val="0"/>
          <w:highlight w:val="none"/>
          <w:u w:val="none"/>
          <w:shd w:val="clear" w:color="auto" w:fill="FFFFFF"/>
        </w:rPr>
        <w:t>53</w:t>
      </w:r>
      <w:r>
        <w:rPr>
          <w:rStyle w:val="56"/>
          <w:rFonts w:hint="eastAsia"/>
          <w:color w:val="auto"/>
          <w:kern w:val="0"/>
          <w:highlight w:val="none"/>
          <w:u w:val="none"/>
          <w:shd w:val="clear" w:color="auto" w:fill="FFFFFF"/>
        </w:rPr>
        <w:t>号</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 xml:space="preserve">标段划分：共划分 </w:t>
      </w:r>
      <w:r>
        <w:rPr>
          <w:rStyle w:val="56"/>
          <w:color w:val="auto"/>
          <w:kern w:val="0"/>
          <w:highlight w:val="none"/>
          <w:u w:val="none"/>
          <w:shd w:val="clear" w:color="auto" w:fill="FFFFFF"/>
        </w:rPr>
        <w:t>2</w:t>
      </w:r>
      <w:r>
        <w:rPr>
          <w:rStyle w:val="56"/>
          <w:rFonts w:hint="eastAsia"/>
          <w:color w:val="auto"/>
          <w:kern w:val="0"/>
          <w:highlight w:val="none"/>
          <w:u w:val="none"/>
          <w:shd w:val="clear" w:color="auto" w:fill="FFFFFF"/>
        </w:rPr>
        <w:t xml:space="preserve"> 个标段</w:t>
      </w:r>
    </w:p>
    <w:p>
      <w:pPr>
        <w:spacing w:line="360" w:lineRule="auto"/>
        <w:ind w:firstLine="422" w:firstLineChars="200"/>
        <w:jc w:val="left"/>
        <w:rPr>
          <w:rFonts w:ascii="宋体" w:hAnsi="宋体" w:cs="宋体"/>
          <w:color w:val="auto"/>
          <w:highlight w:val="none"/>
        </w:rPr>
      </w:pPr>
      <w:r>
        <w:rPr>
          <w:rFonts w:hint="eastAsia" w:ascii="宋体" w:hAnsi="宋体" w:cs="宋体"/>
          <w:b/>
          <w:bCs/>
          <w:color w:val="auto"/>
          <w:highlight w:val="none"/>
        </w:rPr>
        <w:t>一标段</w:t>
      </w:r>
      <w:r>
        <w:rPr>
          <w:rFonts w:hint="eastAsia" w:ascii="宋体" w:hAnsi="宋体" w:cs="宋体"/>
          <w:color w:val="auto"/>
          <w:highlight w:val="none"/>
        </w:rPr>
        <w:t>为</w:t>
      </w:r>
      <w:r>
        <w:rPr>
          <w:rFonts w:ascii="宋体" w:hAnsi="宋体" w:cs="宋体"/>
          <w:color w:val="auto"/>
          <w:highlight w:val="none"/>
        </w:rPr>
        <w:t>长沙市轨道交通5号线水渡河车辆段食堂委外经营服务</w:t>
      </w:r>
      <w:r>
        <w:rPr>
          <w:rFonts w:hint="eastAsia" w:ascii="宋体" w:hAnsi="宋体" w:cs="宋体"/>
          <w:color w:val="auto"/>
          <w:highlight w:val="none"/>
        </w:rPr>
        <w:t>（预估就餐人数为早餐约40人、中餐约80人、晚餐约30人）；</w:t>
      </w:r>
    </w:p>
    <w:p>
      <w:pPr>
        <w:spacing w:line="360" w:lineRule="auto"/>
        <w:ind w:firstLine="422" w:firstLineChars="200"/>
        <w:jc w:val="left"/>
        <w:rPr>
          <w:rFonts w:ascii="宋体" w:hAnsi="宋体" w:cs="宋体"/>
          <w:color w:val="auto"/>
          <w:highlight w:val="none"/>
        </w:rPr>
      </w:pPr>
      <w:r>
        <w:rPr>
          <w:rFonts w:hint="eastAsia" w:ascii="宋体" w:hAnsi="宋体" w:cs="宋体"/>
          <w:b/>
          <w:bCs/>
          <w:color w:val="auto"/>
          <w:highlight w:val="none"/>
        </w:rPr>
        <w:t>二标段</w:t>
      </w:r>
      <w:r>
        <w:rPr>
          <w:rFonts w:hint="eastAsia" w:ascii="宋体" w:hAnsi="宋体" w:cs="宋体"/>
          <w:color w:val="auto"/>
          <w:highlight w:val="none"/>
        </w:rPr>
        <w:t>为</w:t>
      </w:r>
      <w:r>
        <w:rPr>
          <w:rFonts w:ascii="宋体" w:hAnsi="宋体" w:cs="宋体"/>
          <w:color w:val="auto"/>
          <w:highlight w:val="none"/>
        </w:rPr>
        <w:t>长沙市轨道交通西环线运营</w:t>
      </w:r>
      <w:r>
        <w:rPr>
          <w:rFonts w:hint="eastAsia" w:ascii="宋体" w:hAnsi="宋体" w:cs="宋体"/>
          <w:color w:val="auto"/>
          <w:highlight w:val="none"/>
        </w:rPr>
        <w:t>期</w:t>
      </w:r>
      <w:r>
        <w:rPr>
          <w:rFonts w:ascii="宋体" w:hAnsi="宋体" w:cs="宋体"/>
          <w:color w:val="auto"/>
          <w:highlight w:val="none"/>
        </w:rPr>
        <w:t>九华车辆基地食堂委外经营服务</w:t>
      </w:r>
      <w:r>
        <w:rPr>
          <w:rFonts w:hint="eastAsia" w:ascii="宋体" w:hAnsi="宋体" w:cs="宋体"/>
          <w:color w:val="auto"/>
          <w:highlight w:val="none"/>
        </w:rPr>
        <w:t>（预估就餐人数为早餐约40人、中餐约50人、晚餐约30人）；</w:t>
      </w:r>
    </w:p>
    <w:p>
      <w:pPr>
        <w:pStyle w:val="25"/>
        <w:spacing w:line="360" w:lineRule="auto"/>
        <w:ind w:firstLine="420" w:firstLineChars="200"/>
        <w:rPr>
          <w:rFonts w:hAnsi="宋体" w:cs="宋体"/>
          <w:color w:val="auto"/>
          <w:szCs w:val="24"/>
          <w:highlight w:val="none"/>
        </w:rPr>
      </w:pPr>
      <w:r>
        <w:rPr>
          <w:rFonts w:hint="eastAsia" w:hAnsi="宋体" w:cs="宋体"/>
          <w:color w:val="auto"/>
          <w:szCs w:val="24"/>
          <w:highlight w:val="none"/>
          <w:lang w:eastAsia="zh-CN"/>
        </w:rPr>
        <w:t>谈判单位</w:t>
      </w:r>
      <w:r>
        <w:rPr>
          <w:rFonts w:hint="eastAsia" w:hAnsi="宋体" w:cs="宋体"/>
          <w:color w:val="auto"/>
          <w:szCs w:val="24"/>
          <w:highlight w:val="none"/>
        </w:rPr>
        <w:t>应知晓并充分考虑用餐人数随着业务开展</w:t>
      </w:r>
      <w:r>
        <w:rPr>
          <w:rFonts w:hint="eastAsia" w:hAnsi="宋体" w:cs="宋体"/>
          <w:color w:val="auto"/>
          <w:szCs w:val="24"/>
          <w:highlight w:val="none"/>
          <w:lang w:eastAsia="zh-CN"/>
        </w:rPr>
        <w:t>，可能</w:t>
      </w:r>
      <w:r>
        <w:rPr>
          <w:rFonts w:hint="eastAsia" w:hAnsi="宋体" w:cs="宋体"/>
          <w:color w:val="auto"/>
          <w:szCs w:val="24"/>
          <w:highlight w:val="none"/>
        </w:rPr>
        <w:t>存在</w:t>
      </w:r>
      <w:r>
        <w:rPr>
          <w:rFonts w:hint="eastAsia" w:hAnsi="宋体" w:cs="宋体"/>
          <w:color w:val="auto"/>
          <w:szCs w:val="24"/>
          <w:highlight w:val="none"/>
          <w:lang w:eastAsia="zh-CN"/>
        </w:rPr>
        <w:t>些许的</w:t>
      </w:r>
      <w:r>
        <w:rPr>
          <w:rFonts w:hint="eastAsia" w:hAnsi="宋体" w:cs="宋体"/>
          <w:color w:val="auto"/>
          <w:szCs w:val="24"/>
          <w:highlight w:val="none"/>
        </w:rPr>
        <w:t>变化性和不确定性，具体用餐人数以实际人数为准。</w:t>
      </w:r>
    </w:p>
    <w:p>
      <w:pPr>
        <w:numPr>
          <w:ilvl w:val="0"/>
          <w:numId w:val="8"/>
        </w:numPr>
        <w:spacing w:line="360" w:lineRule="auto"/>
        <w:ind w:firstLine="420" w:firstLineChars="200"/>
        <w:rPr>
          <w:rStyle w:val="56"/>
          <w:rFonts w:ascii="宋体" w:hAnsi="宋体" w:cs="宋体"/>
          <w:color w:val="auto"/>
          <w:highlight w:val="none"/>
          <w:u w:val="none"/>
        </w:rPr>
      </w:pPr>
      <w:r>
        <w:rPr>
          <w:rStyle w:val="56"/>
          <w:rFonts w:hint="eastAsia"/>
          <w:color w:val="auto"/>
          <w:kern w:val="0"/>
          <w:highlight w:val="none"/>
          <w:u w:val="none"/>
          <w:shd w:val="clear" w:color="auto" w:fill="FFFFFF"/>
        </w:rPr>
        <w:t>服务期限：</w:t>
      </w:r>
    </w:p>
    <w:p>
      <w:pPr>
        <w:pStyle w:val="25"/>
        <w:spacing w:line="360" w:lineRule="auto"/>
        <w:ind w:firstLine="422" w:firstLineChars="200"/>
        <w:rPr>
          <w:rFonts w:hAnsi="宋体" w:cs="宋体"/>
          <w:color w:val="auto"/>
          <w:szCs w:val="24"/>
          <w:highlight w:val="none"/>
        </w:rPr>
      </w:pPr>
      <w:r>
        <w:rPr>
          <w:rFonts w:hint="eastAsia" w:hAnsi="宋体" w:cs="宋体"/>
          <w:b/>
          <w:bCs/>
          <w:color w:val="auto"/>
          <w:szCs w:val="24"/>
          <w:highlight w:val="none"/>
        </w:rPr>
        <w:t>一标段：</w:t>
      </w:r>
      <w:r>
        <w:rPr>
          <w:rFonts w:hint="eastAsia" w:hAnsi="宋体" w:cs="宋体"/>
          <w:color w:val="auto"/>
          <w:szCs w:val="24"/>
          <w:highlight w:val="none"/>
        </w:rPr>
        <w:t>本</w:t>
      </w:r>
      <w:r>
        <w:rPr>
          <w:rFonts w:hint="eastAsia" w:hAnsi="宋体" w:cs="宋体"/>
          <w:color w:val="auto"/>
          <w:szCs w:val="24"/>
          <w:highlight w:val="none"/>
          <w:lang w:val="en-US" w:eastAsia="zh-CN"/>
        </w:rPr>
        <w:t>标段</w:t>
      </w:r>
      <w:r>
        <w:rPr>
          <w:rFonts w:hint="eastAsia" w:hAnsi="宋体" w:cs="宋体"/>
          <w:color w:val="auto"/>
          <w:szCs w:val="24"/>
          <w:highlight w:val="none"/>
        </w:rPr>
        <w:t>委外经营期限为36个月（起始时间从正式进驻之日计算）（具体详见用户需求书）</w:t>
      </w:r>
    </w:p>
    <w:p>
      <w:pPr>
        <w:pStyle w:val="25"/>
        <w:spacing w:line="360" w:lineRule="auto"/>
        <w:ind w:firstLine="422" w:firstLineChars="200"/>
        <w:rPr>
          <w:color w:val="auto"/>
          <w:szCs w:val="24"/>
          <w:highlight w:val="none"/>
        </w:rPr>
      </w:pPr>
      <w:r>
        <w:rPr>
          <w:rFonts w:hint="eastAsia" w:hAnsi="宋体" w:cs="宋体"/>
          <w:b/>
          <w:bCs/>
          <w:color w:val="auto"/>
          <w:szCs w:val="24"/>
          <w:highlight w:val="none"/>
        </w:rPr>
        <w:t>二标段：</w:t>
      </w:r>
      <w:r>
        <w:rPr>
          <w:rFonts w:hint="eastAsia" w:hAnsi="宋体" w:cs="宋体"/>
          <w:color w:val="auto"/>
          <w:szCs w:val="24"/>
          <w:highlight w:val="none"/>
        </w:rPr>
        <w:t>本</w:t>
      </w:r>
      <w:r>
        <w:rPr>
          <w:rFonts w:hint="eastAsia" w:hAnsi="宋体" w:cs="宋体"/>
          <w:color w:val="auto"/>
          <w:szCs w:val="24"/>
          <w:highlight w:val="none"/>
          <w:lang w:val="en-US" w:eastAsia="zh-CN"/>
        </w:rPr>
        <w:t>标段</w:t>
      </w:r>
      <w:r>
        <w:rPr>
          <w:rFonts w:hint="eastAsia" w:hAnsi="宋体" w:cs="宋体"/>
          <w:color w:val="auto"/>
          <w:szCs w:val="24"/>
          <w:highlight w:val="none"/>
        </w:rPr>
        <w:t>委外经营期限为12个月（起始时间从正式进驻之日计算）（具体详见用户需求书）</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采购范围：</w:t>
      </w:r>
    </w:p>
    <w:p>
      <w:pPr>
        <w:pStyle w:val="2"/>
        <w:spacing w:line="360" w:lineRule="auto"/>
        <w:ind w:left="0" w:leftChars="0" w:firstLine="422" w:firstLineChars="200"/>
        <w:rPr>
          <w:rFonts w:ascii="宋体" w:hAnsi="宋体" w:cs="宋体"/>
          <w:color w:val="auto"/>
          <w:highlight w:val="none"/>
        </w:rPr>
      </w:pPr>
      <w:r>
        <w:rPr>
          <w:rFonts w:hint="eastAsia"/>
          <w:b/>
          <w:bCs/>
          <w:color w:val="auto"/>
          <w:highlight w:val="none"/>
        </w:rPr>
        <w:t>一</w:t>
      </w:r>
      <w:r>
        <w:rPr>
          <w:rFonts w:hint="eastAsia" w:ascii="宋体" w:hAnsi="宋体" w:cs="宋体"/>
          <w:b/>
          <w:bCs/>
          <w:color w:val="auto"/>
          <w:highlight w:val="none"/>
        </w:rPr>
        <w:t>标段：</w:t>
      </w:r>
      <w:r>
        <w:rPr>
          <w:rFonts w:hint="eastAsia" w:ascii="宋体" w:hAnsi="宋体" w:cs="宋体"/>
          <w:color w:val="auto"/>
          <w:highlight w:val="none"/>
        </w:rPr>
        <w:t>主要为5号线车辆段员工食堂（含小卖部）的委外经营（含人员、供餐服务、设备使用及维护、安全规范等管理工作）。由</w:t>
      </w:r>
      <w:r>
        <w:rPr>
          <w:rFonts w:hint="eastAsia" w:ascii="宋体" w:hAnsi="宋体" w:cs="宋体"/>
          <w:color w:val="auto"/>
          <w:highlight w:val="none"/>
          <w:lang w:eastAsia="zh-CN"/>
        </w:rPr>
        <w:t>谈判单位</w:t>
      </w:r>
      <w:r>
        <w:rPr>
          <w:rFonts w:hint="eastAsia" w:ascii="宋体" w:hAnsi="宋体" w:cs="宋体"/>
          <w:color w:val="auto"/>
          <w:highlight w:val="none"/>
        </w:rPr>
        <w:t>负责供应</w:t>
      </w:r>
      <w:r>
        <w:rPr>
          <w:rFonts w:hint="eastAsia" w:ascii="宋体" w:hAnsi="宋体" w:cs="宋体"/>
          <w:color w:val="auto"/>
          <w:highlight w:val="none"/>
          <w:lang w:eastAsia="zh-CN"/>
        </w:rPr>
        <w:t>采购单位</w:t>
      </w:r>
      <w:r>
        <w:rPr>
          <w:rFonts w:hint="eastAsia" w:ascii="宋体" w:hAnsi="宋体" w:cs="宋体"/>
          <w:color w:val="auto"/>
          <w:highlight w:val="none"/>
        </w:rPr>
        <w:t>员工五餐（早早餐、早餐、中餐、晚餐、晚晚餐）、车站送餐、客餐服务和相关辅助服务（如免费提供凉茶、绿豆汤等），以及其他服务性的工作（如遇抢险救援或停水、停电等特殊情况下必须服从</w:t>
      </w:r>
      <w:r>
        <w:rPr>
          <w:rFonts w:hint="eastAsia" w:ascii="宋体" w:hAnsi="宋体" w:cs="宋体"/>
          <w:color w:val="auto"/>
          <w:highlight w:val="none"/>
          <w:lang w:eastAsia="zh-CN"/>
        </w:rPr>
        <w:t>采购单位</w:t>
      </w:r>
      <w:r>
        <w:rPr>
          <w:rFonts w:hint="eastAsia" w:ascii="宋体" w:hAnsi="宋体" w:cs="宋体"/>
          <w:color w:val="auto"/>
          <w:highlight w:val="none"/>
        </w:rPr>
        <w:t>安排，确保员工用餐）。（具体详见用户需求书）</w:t>
      </w:r>
    </w:p>
    <w:p>
      <w:pPr>
        <w:pStyle w:val="2"/>
        <w:spacing w:line="360" w:lineRule="auto"/>
        <w:ind w:left="0" w:leftChars="0" w:firstLine="422" w:firstLineChars="200"/>
        <w:rPr>
          <w:color w:val="auto"/>
          <w:highlight w:val="none"/>
        </w:rPr>
      </w:pPr>
      <w:r>
        <w:rPr>
          <w:rFonts w:hint="eastAsia"/>
          <w:b/>
          <w:bCs/>
          <w:color w:val="auto"/>
          <w:highlight w:val="none"/>
        </w:rPr>
        <w:t>二标段：</w:t>
      </w:r>
      <w:r>
        <w:rPr>
          <w:rFonts w:hint="eastAsia"/>
          <w:color w:val="auto"/>
          <w:highlight w:val="none"/>
        </w:rPr>
        <w:t>主要为西环线九华车辆基地食堂（含小卖部）的委外经营（含人员、供餐服务、设备使用及维护、安全规范等管理工作）。由</w:t>
      </w:r>
      <w:r>
        <w:rPr>
          <w:rFonts w:hint="eastAsia" w:ascii="宋体" w:hAnsi="宋体" w:cs="宋体"/>
          <w:color w:val="auto"/>
          <w:highlight w:val="none"/>
          <w:lang w:eastAsia="zh-CN"/>
        </w:rPr>
        <w:t>谈判单位</w:t>
      </w:r>
      <w:r>
        <w:rPr>
          <w:rFonts w:hint="eastAsia"/>
          <w:color w:val="auto"/>
          <w:highlight w:val="none"/>
        </w:rPr>
        <w:t>负责供应</w:t>
      </w:r>
      <w:r>
        <w:rPr>
          <w:rFonts w:hint="eastAsia" w:ascii="宋体" w:hAnsi="宋体" w:cs="宋体"/>
          <w:color w:val="auto"/>
          <w:highlight w:val="none"/>
          <w:lang w:eastAsia="zh-CN"/>
        </w:rPr>
        <w:t>采购单位</w:t>
      </w:r>
      <w:r>
        <w:rPr>
          <w:rFonts w:hint="eastAsia"/>
          <w:color w:val="auto"/>
          <w:highlight w:val="none"/>
        </w:rPr>
        <w:t>员工五餐（早早餐、早餐、中餐、晚餐、晚晚餐）、车站送餐、客餐服务和相关辅助服务（如按要求免费提供凉茶、绿豆汤等），以及其他服务性的工作（如遇抢险救援或停水、停电等特殊情况下必须服从</w:t>
      </w:r>
      <w:r>
        <w:rPr>
          <w:rFonts w:hint="eastAsia" w:ascii="宋体" w:hAnsi="宋体" w:cs="宋体"/>
          <w:color w:val="auto"/>
          <w:highlight w:val="none"/>
          <w:lang w:eastAsia="zh-CN"/>
        </w:rPr>
        <w:t>采购单位</w:t>
      </w:r>
      <w:r>
        <w:rPr>
          <w:rFonts w:hint="eastAsia"/>
          <w:color w:val="auto"/>
          <w:highlight w:val="none"/>
        </w:rPr>
        <w:t>安排，确保员工用餐）。</w:t>
      </w:r>
      <w:bookmarkStart w:id="8" w:name="_Hlk121232676"/>
      <w:r>
        <w:rPr>
          <w:rFonts w:hint="eastAsia"/>
          <w:color w:val="auto"/>
          <w:highlight w:val="none"/>
        </w:rPr>
        <w:t>（具体详见用户需求书）</w:t>
      </w:r>
      <w:bookmarkEnd w:id="8"/>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谈判单位须为具有独立法人资格、自主经营、独立核算的公司，须提供加盖谈判单位公章的营业执照/事业单位法人证书复印件,且营业执照（事业单位法人证书）处于有效期内。</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单位须具有一个入围业绩，入围业绩是指谈判单位在提交响应文件截止之日前36个月内须具有单项合同就餐人数50人/天（含）以上的餐饮服务业绩。不接受联合体业绩、港澳台或境外业绩。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本次采购不接受联合体。</w:t>
      </w:r>
    </w:p>
    <w:p>
      <w:pPr>
        <w:numPr>
          <w:ilvl w:val="0"/>
          <w:numId w:val="9"/>
        </w:numPr>
        <w:spacing w:line="360" w:lineRule="auto"/>
        <w:ind w:firstLine="420" w:firstLineChars="200"/>
        <w:jc w:val="left"/>
        <w:rPr>
          <w:rFonts w:hint="default" w:ascii="宋体" w:hAnsi="宋体" w:cs="宋体"/>
          <w:color w:val="auto"/>
          <w:highlight w:val="none"/>
          <w:lang w:val="en-US" w:eastAsia="zh-CN"/>
        </w:rPr>
      </w:pPr>
      <w:r>
        <w:rPr>
          <w:rFonts w:hint="eastAsia" w:ascii="宋体" w:hAnsi="宋体" w:cs="宋体"/>
          <w:color w:val="auto"/>
          <w:highlight w:val="none"/>
        </w:rPr>
        <w:t>被长沙市轨道交通集团有限公司或长沙市轨道交通运营有限公司函告禁止在一定期限内参与投标的单位按函告内容执行。</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adjustRightInd w:val="0"/>
        <w:snapToGrid w:val="0"/>
        <w:spacing w:line="360" w:lineRule="auto"/>
        <w:ind w:firstLine="420" w:firstLineChars="200"/>
        <w:rPr>
          <w:rFonts w:ascii="宋体" w:hAnsi="宋体" w:cs="宋体"/>
          <w:color w:val="auto"/>
          <w:szCs w:val="21"/>
          <w:highlight w:val="none"/>
        </w:rPr>
      </w:pPr>
      <w:r>
        <w:rPr>
          <w:rStyle w:val="56"/>
          <w:rFonts w:hint="eastAsia"/>
          <w:color w:val="auto"/>
          <w:kern w:val="0"/>
          <w:highlight w:val="none"/>
          <w:u w:val="none"/>
          <w:shd w:val="clear" w:color="auto" w:fill="FFFFFF"/>
        </w:rPr>
        <w:t>本项目评审办法采用：</w:t>
      </w:r>
      <w:r>
        <w:rPr>
          <w:rStyle w:val="56"/>
          <w:rFonts w:hint="eastAsia"/>
          <w:color w:val="auto"/>
          <w:kern w:val="0"/>
          <w:highlight w:val="none"/>
          <w:u w:val="none"/>
          <w:shd w:val="clear" w:color="auto" w:fill="FFFFFF"/>
        </w:rPr>
        <w:sym w:font="Wingdings 2" w:char="00A3"/>
      </w:r>
      <w:r>
        <w:rPr>
          <w:rStyle w:val="56"/>
          <w:color w:val="auto"/>
          <w:kern w:val="0"/>
          <w:highlight w:val="none"/>
          <w:u w:val="none"/>
          <w:shd w:val="clear" w:color="auto" w:fill="FFFFFF"/>
        </w:rPr>
        <w:t xml:space="preserve"> </w:t>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52"/>
      </w:r>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1"/>
        <w:numPr>
          <w:ilvl w:val="0"/>
          <w:numId w:val="10"/>
        </w:numPr>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谈判单位若对谈判文件有任何疑问，应于20</w:t>
      </w:r>
      <w:r>
        <w:rPr>
          <w:rStyle w:val="56"/>
          <w:rFonts w:hint="eastAsia" w:ascii="Times New Roman" w:hAnsi="Times New Roman" w:cs="Times New Roman"/>
          <w:color w:val="auto"/>
          <w:sz w:val="21"/>
          <w:highlight w:val="non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21</w:t>
      </w:r>
      <w:r>
        <w:rPr>
          <w:rStyle w:val="56"/>
          <w:rFonts w:hint="eastAsia" w:ascii="Times New Roman" w:hAnsi="Times New Roman" w:cs="Times New Roman"/>
          <w:color w:val="auto"/>
          <w:sz w:val="21"/>
          <w:highlight w:val="none"/>
          <w:u w:val="none"/>
          <w:shd w:val="clear" w:color="auto" w:fill="FFFFFF"/>
        </w:rPr>
        <w:t>日17：00时（含）前（节假日除外）以书面形式（经法定代表人签字或盖章，并加盖单位公章）递交至长沙市劳动东路二段48号黄兴车辆段综合楼9楼910电子评标室。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1"/>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shd w:val="clear" w:color="auto" w:fill="FFFFFF"/>
          <w:lang w:val="en-US" w:eastAsia="zh-CN"/>
        </w:rPr>
        <w:t>伍仟元整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5000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27</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single"/>
          <w:shd w:val="clear" w:color="auto" w:fill="FFFFFF"/>
          <w:lang w:val="en-US" w:eastAsia="zh-CN"/>
        </w:rPr>
        <w:t>09:00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1"/>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1"/>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提出实质性修改；</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w:t>
      </w:r>
      <w:r>
        <w:rPr>
          <w:rStyle w:val="56"/>
          <w:rFonts w:hint="eastAsia" w:ascii="Times New Roman" w:hAnsi="Times New Roman" w:cs="Times New Roman"/>
          <w:color w:val="auto"/>
          <w:sz w:val="21"/>
          <w:highlight w:val="none"/>
          <w:u w:val="none"/>
          <w:shd w:val="clear" w:color="auto" w:fill="FFFFFF"/>
          <w:lang w:val="en-US" w:eastAsia="zh-CN"/>
        </w:rPr>
        <w:t>评审</w:t>
      </w:r>
      <w:r>
        <w:rPr>
          <w:rStyle w:val="56"/>
          <w:rFonts w:hint="eastAsia" w:ascii="Times New Roman" w:hAnsi="Times New Roman" w:cs="Times New Roman"/>
          <w:color w:val="auto"/>
          <w:sz w:val="21"/>
          <w:highlight w:val="none"/>
          <w:u w:val="none"/>
          <w:shd w:val="clear" w:color="auto" w:fill="FFFFFF"/>
        </w:rPr>
        <w:t>结果签订合同；</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资料弄虚作假的；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27</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逾期送达的或者未送达指定地点的或者未密封的响应文件（含电子文件），采购单位将予以拒收。</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谈判单位代表应佩戴口罩，携带身份证进行实名登记，配合做好体温检测，提供“健康码”、“行程码”及</w:t>
      </w:r>
      <w:r>
        <w:rPr>
          <w:rStyle w:val="56"/>
          <w:rFonts w:hint="eastAsia" w:ascii="Times New Roman" w:hAnsi="Times New Roman" w:cs="Times New Roman"/>
          <w:color w:val="auto"/>
          <w:sz w:val="21"/>
          <w:highlight w:val="none"/>
          <w:u w:val="none"/>
          <w:shd w:val="clear" w:color="auto" w:fill="FFFFFF"/>
          <w:lang w:val="en-US" w:eastAsia="zh-CN"/>
        </w:rPr>
        <w:t>24</w:t>
      </w:r>
      <w:r>
        <w:rPr>
          <w:rStyle w:val="56"/>
          <w:rFonts w:hint="eastAsia" w:ascii="Times New Roman" w:hAnsi="Times New Roman" w:cs="Times New Roman"/>
          <w:color w:val="auto"/>
          <w:sz w:val="21"/>
          <w:highlight w:val="none"/>
          <w:u w:val="none"/>
          <w:shd w:val="clear" w:color="auto" w:fill="FFFFFF"/>
        </w:rPr>
        <w:t>小时内核酸检测证明，否则响应文件将予以拒收。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1"/>
        <w:shd w:val="clear" w:color="auto" w:fill="FFFFFF"/>
        <w:spacing w:before="0" w:beforeAutospacing="0" w:after="0" w:afterAutospacing="0" w:line="360" w:lineRule="auto"/>
        <w:ind w:firstLine="420" w:firstLineChars="200"/>
        <w:jc w:val="both"/>
        <w:rPr>
          <w:rFonts w:ascii="Times New Roman" w:hAnsi="Times New Roman" w:cs="Times New Roman"/>
          <w:b/>
          <w:bCs/>
          <w:color w:val="auto"/>
          <w:sz w:val="21"/>
          <w:highlight w:val="none"/>
          <w:shd w:val="clear" w:color="auto" w:fill="FFFFFF"/>
        </w:rPr>
      </w:pPr>
      <w:r>
        <w:rPr>
          <w:rFonts w:hint="eastAsia"/>
          <w:color w:val="auto"/>
          <w:kern w:val="2"/>
          <w:sz w:val="21"/>
          <w:highlight w:val="none"/>
        </w:rPr>
        <w:t>同一</w:t>
      </w:r>
      <w:r>
        <w:rPr>
          <w:rFonts w:hint="eastAsia"/>
          <w:color w:val="auto"/>
          <w:kern w:val="2"/>
          <w:sz w:val="21"/>
          <w:highlight w:val="none"/>
          <w:lang w:eastAsia="zh-CN"/>
        </w:rPr>
        <w:t>谈判单位</w:t>
      </w:r>
      <w:r>
        <w:rPr>
          <w:rFonts w:hint="eastAsia"/>
          <w:color w:val="auto"/>
          <w:kern w:val="2"/>
          <w:sz w:val="21"/>
          <w:highlight w:val="none"/>
        </w:rPr>
        <w:t>可以同时参加本项目</w:t>
      </w:r>
      <w:r>
        <w:rPr>
          <w:rFonts w:hint="eastAsia"/>
          <w:color w:val="auto"/>
          <w:kern w:val="2"/>
          <w:sz w:val="21"/>
          <w:highlight w:val="none"/>
          <w:lang w:eastAsia="zh-CN"/>
        </w:rPr>
        <w:t>两</w:t>
      </w:r>
      <w:r>
        <w:rPr>
          <w:rFonts w:hint="eastAsia"/>
          <w:color w:val="auto"/>
          <w:kern w:val="2"/>
          <w:sz w:val="21"/>
          <w:highlight w:val="none"/>
        </w:rPr>
        <w:t>个标段的谈判，但同一谈判单位最多只允许中</w:t>
      </w:r>
      <w:r>
        <w:rPr>
          <w:rFonts w:hint="eastAsia"/>
          <w:color w:val="auto"/>
          <w:kern w:val="2"/>
          <w:sz w:val="21"/>
          <w:highlight w:val="none"/>
          <w:lang w:eastAsia="zh-CN"/>
        </w:rPr>
        <w:t>选</w:t>
      </w:r>
      <w:r>
        <w:rPr>
          <w:rFonts w:hint="eastAsia"/>
          <w:color w:val="auto"/>
          <w:kern w:val="2"/>
          <w:sz w:val="21"/>
          <w:highlight w:val="none"/>
        </w:rPr>
        <w:t>一个标段；若同一谈判单位在两个标段中同时排名第一时，则须选择预估用餐人数最多的标段为其中选标段，其放弃的标段由排名其后的中选候选人替补。</w:t>
      </w:r>
    </w:p>
    <w:p>
      <w:pPr>
        <w:pStyle w:val="41"/>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1"/>
        <w:keepNext w:val="0"/>
        <w:keepLines w:val="0"/>
        <w:pageBreakBefore w:val="0"/>
        <w:widowControl w:val="0"/>
        <w:numPr>
          <w:ilvl w:val="0"/>
          <w:numId w:val="14"/>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供应商或者其他利害关系人对评审结果有异议的，应当在结果公示规定的期限内向采购人提出。异议的提出与处理按《长沙市轨道交通运营有限公司服务类采购管理办法(试行）》执行。</w:t>
      </w:r>
    </w:p>
    <w:p>
      <w:pPr>
        <w:pStyle w:val="41"/>
        <w:keepNext w:val="0"/>
        <w:keepLines w:val="0"/>
        <w:pageBreakBefore w:val="0"/>
        <w:widowControl w:val="0"/>
        <w:numPr>
          <w:ilvl w:val="0"/>
          <w:numId w:val="14"/>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1"/>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highlight w:val="none"/>
          <w:u w:val="none"/>
          <w:shd w:val="clear" w:color="auto" w:fill="FFFFFF"/>
          <w:lang w:eastAsia="zh-CN"/>
        </w:rPr>
      </w:pPr>
      <w:r>
        <w:rPr>
          <w:rStyle w:val="56"/>
          <w:rFonts w:ascii="Times New Roman" w:hAnsi="Times New Roman" w:cs="Times New Roman"/>
          <w:color w:val="auto"/>
          <w:sz w:val="21"/>
          <w:highlight w:val="none"/>
          <w:u w:val="none"/>
          <w:shd w:val="clear" w:color="auto" w:fill="FFFFFF"/>
        </w:rPr>
        <w:t>采购人：</w:t>
      </w:r>
      <w:r>
        <w:rPr>
          <w:rStyle w:val="56"/>
          <w:rFonts w:hint="eastAsia" w:ascii="Times New Roman" w:hAnsi="Times New Roman" w:cs="Times New Roman"/>
          <w:color w:val="auto"/>
          <w:sz w:val="21"/>
          <w:highlight w:val="none"/>
          <w:u w:val="none"/>
          <w:shd w:val="clear" w:color="auto" w:fill="FFFFFF"/>
        </w:rPr>
        <w:t>长沙市轨道交通五号线建设发展有限公司</w:t>
      </w:r>
    </w:p>
    <w:p>
      <w:pPr>
        <w:pStyle w:val="41"/>
        <w:shd w:val="clear" w:color="auto" w:fill="FFFFFF"/>
        <w:spacing w:before="0" w:beforeAutospacing="0" w:after="0" w:afterAutospacing="0" w:line="360" w:lineRule="auto"/>
        <w:ind w:firstLine="1260" w:firstLineChars="6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长沙市轨道交通运营有限公司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地</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址：</w:t>
      </w:r>
      <w:r>
        <w:rPr>
          <w:rStyle w:val="56"/>
          <w:rFonts w:hint="eastAsia" w:ascii="Times New Roman" w:hAnsi="Times New Roman" w:cs="Times New Roman"/>
          <w:color w:val="auto"/>
          <w:sz w:val="21"/>
          <w:highlight w:val="none"/>
          <w:u w:val="none"/>
          <w:shd w:val="clear" w:color="auto" w:fill="FFFFFF"/>
        </w:rPr>
        <w:t>湖南省</w:t>
      </w:r>
      <w:r>
        <w:rPr>
          <w:rStyle w:val="56"/>
          <w:rFonts w:ascii="Times New Roman" w:hAnsi="Times New Roman" w:cs="Times New Roman"/>
          <w:color w:val="auto"/>
          <w:sz w:val="21"/>
          <w:highlight w:val="none"/>
          <w:u w:val="none"/>
          <w:shd w:val="clear" w:color="auto" w:fill="FFFFFF"/>
        </w:rPr>
        <w:t>长沙市劳动东路二段48号黄兴车辆段</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联系人：</w:t>
      </w:r>
      <w:r>
        <w:rPr>
          <w:rStyle w:val="56"/>
          <w:rFonts w:hint="eastAsia" w:ascii="Times New Roman" w:hAnsi="Times New Roman" w:cs="Times New Roman"/>
          <w:color w:val="auto"/>
          <w:sz w:val="21"/>
          <w:highlight w:val="none"/>
          <w:u w:val="none"/>
          <w:shd w:val="clear" w:color="auto" w:fill="FFFFFF"/>
        </w:rPr>
        <w:t>杨工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电</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话：0731-</w:t>
      </w:r>
      <w:r>
        <w:rPr>
          <w:rStyle w:val="56"/>
          <w:rFonts w:hint="eastAsia" w:ascii="Times New Roman" w:hAnsi="Times New Roman" w:cs="Times New Roman"/>
          <w:color w:val="auto"/>
          <w:sz w:val="21"/>
          <w:highlight w:val="none"/>
          <w:u w:val="none"/>
          <w:shd w:val="clear" w:color="auto" w:fill="FFFFFF"/>
        </w:rPr>
        <w:t>86852347</w:t>
      </w:r>
    </w:p>
    <w:p>
      <w:pPr>
        <w:pStyle w:val="41"/>
        <w:shd w:val="clear" w:color="auto" w:fill="FFFFFF"/>
        <w:spacing w:before="0" w:beforeAutospacing="0" w:after="0" w:afterAutospacing="0" w:line="360" w:lineRule="auto"/>
        <w:jc w:val="right"/>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val="en-US" w:eastAsia="zh-CN"/>
        </w:rPr>
        <w:t>22</w:t>
      </w:r>
      <w:r>
        <w:rPr>
          <w:rFonts w:hint="eastAsia"/>
          <w:color w:val="auto"/>
          <w:sz w:val="21"/>
          <w:szCs w:val="21"/>
          <w:highlight w:val="none"/>
        </w:rPr>
        <w:t>年</w:t>
      </w:r>
      <w:r>
        <w:rPr>
          <w:rFonts w:hint="eastAsia"/>
          <w:color w:val="auto"/>
          <w:sz w:val="21"/>
          <w:szCs w:val="21"/>
          <w:highlight w:val="none"/>
          <w:lang w:val="en-US" w:eastAsia="zh-CN"/>
        </w:rPr>
        <w:t>12</w:t>
      </w:r>
      <w:r>
        <w:rPr>
          <w:rFonts w:hint="eastAsia"/>
          <w:color w:val="auto"/>
          <w:sz w:val="21"/>
          <w:szCs w:val="21"/>
          <w:highlight w:val="none"/>
        </w:rPr>
        <w:t>月</w:t>
      </w:r>
      <w:r>
        <w:rPr>
          <w:rFonts w:hint="eastAsia"/>
          <w:color w:val="auto"/>
          <w:sz w:val="21"/>
          <w:szCs w:val="21"/>
          <w:highlight w:val="none"/>
          <w:lang w:val="en-US" w:eastAsia="zh-CN"/>
        </w:rPr>
        <w:t>14</w:t>
      </w:r>
      <w:r>
        <w:rPr>
          <w:rFonts w:hint="eastAsia"/>
          <w:color w:val="auto"/>
          <w:sz w:val="21"/>
          <w:szCs w:val="21"/>
          <w:highlight w:val="none"/>
        </w:rPr>
        <w:t>日</w:t>
      </w:r>
    </w:p>
    <w:p>
      <w:pPr>
        <w:pStyle w:val="41"/>
        <w:shd w:val="clear" w:color="auto" w:fill="FFFFFF"/>
        <w:spacing w:before="0" w:beforeAutospacing="0" w:after="0" w:afterAutospacing="0" w:line="360" w:lineRule="auto"/>
        <w:jc w:val="right"/>
        <w:rPr>
          <w:rFonts w:hint="eastAsia"/>
          <w:color w:val="auto"/>
          <w:sz w:val="21"/>
          <w:szCs w:val="21"/>
          <w:highlight w:val="none"/>
        </w:rPr>
      </w:pPr>
    </w:p>
    <w:p>
      <w:pPr>
        <w:pStyle w:val="41"/>
        <w:shd w:val="clear" w:color="auto" w:fill="FFFFFF"/>
        <w:spacing w:before="0" w:beforeAutospacing="0" w:after="0" w:afterAutospacing="0" w:line="360" w:lineRule="auto"/>
        <w:jc w:val="right"/>
        <w:rPr>
          <w:rFonts w:hint="eastAsia"/>
          <w:color w:val="auto"/>
          <w:sz w:val="21"/>
          <w:szCs w:val="21"/>
          <w:highlight w:val="none"/>
        </w:rPr>
      </w:pPr>
    </w:p>
    <w:p>
      <w:pP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附表：</w:t>
      </w:r>
    </w:p>
    <w:p>
      <w:pPr>
        <w:pStyle w:val="2"/>
        <w:rPr>
          <w:rFonts w:hint="eastAsia" w:ascii="宋体" w:hAnsi="宋体"/>
          <w:b/>
          <w:bCs/>
          <w:color w:val="auto"/>
          <w:kern w:val="0"/>
          <w:sz w:val="21"/>
          <w:szCs w:val="21"/>
          <w:highlight w:val="none"/>
        </w:rPr>
      </w:pPr>
    </w:p>
    <w:p>
      <w:pPr>
        <w:pStyle w:val="2"/>
        <w:jc w:val="cente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rPr>
        <w:t>人员配备要求</w:t>
      </w:r>
      <w:r>
        <w:rPr>
          <w:rFonts w:hint="eastAsia" w:ascii="宋体" w:hAnsi="宋体"/>
          <w:b/>
          <w:bCs/>
          <w:color w:val="auto"/>
          <w:kern w:val="0"/>
          <w:sz w:val="21"/>
          <w:szCs w:val="21"/>
          <w:highlight w:val="none"/>
          <w:lang w:val="en-US" w:eastAsia="zh-CN"/>
        </w:rPr>
        <w:t>表</w:t>
      </w:r>
    </w:p>
    <w:p>
      <w:pPr>
        <w:pStyle w:val="2"/>
        <w:ind w:left="0" w:leftChars="0" w:firstLine="0" w:firstLineChars="0"/>
        <w:rPr>
          <w:rFonts w:hint="eastAsia"/>
          <w:color w:val="auto"/>
          <w:highlight w:val="none"/>
          <w:lang w:val="en-US" w:eastAsia="zh-CN"/>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81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岗位</w:t>
            </w:r>
          </w:p>
        </w:tc>
        <w:tc>
          <w:tcPr>
            <w:tcW w:w="1812"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人员</w:t>
            </w:r>
            <w:r>
              <w:rPr>
                <w:rFonts w:ascii="宋体" w:hAnsi="宋体" w:cs="仿宋_GB2312"/>
                <w:b/>
                <w:bCs/>
                <w:color w:val="auto"/>
                <w:sz w:val="21"/>
                <w:szCs w:val="21"/>
                <w:highlight w:val="none"/>
              </w:rPr>
              <w:t>配置</w:t>
            </w:r>
            <w:r>
              <w:rPr>
                <w:rFonts w:hint="eastAsia" w:ascii="宋体" w:hAnsi="宋体" w:cs="仿宋_GB2312"/>
                <w:b/>
                <w:bCs/>
                <w:color w:val="auto"/>
                <w:sz w:val="21"/>
                <w:szCs w:val="21"/>
                <w:highlight w:val="none"/>
              </w:rPr>
              <w:t>数量</w:t>
            </w:r>
          </w:p>
        </w:tc>
        <w:tc>
          <w:tcPr>
            <w:tcW w:w="5760"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lang w:val="en-US" w:eastAsia="zh-CN"/>
              </w:rPr>
              <w:t>配备</w:t>
            </w:r>
            <w:r>
              <w:rPr>
                <w:rFonts w:hint="eastAsia" w:ascii="宋体" w:hAnsi="宋体" w:cs="仿宋_GB2312"/>
                <w:b/>
                <w:bCs/>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项目</w:t>
            </w:r>
            <w:r>
              <w:rPr>
                <w:rFonts w:ascii="宋体" w:hAnsi="宋体" w:cs="仿宋_GB2312"/>
                <w:b/>
                <w:bCs/>
                <w:color w:val="auto"/>
                <w:sz w:val="21"/>
                <w:szCs w:val="21"/>
                <w:highlight w:val="none"/>
              </w:rPr>
              <w:t>经理</w:t>
            </w:r>
          </w:p>
        </w:tc>
        <w:tc>
          <w:tcPr>
            <w:tcW w:w="1812"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1</w:t>
            </w:r>
          </w:p>
        </w:tc>
        <w:tc>
          <w:tcPr>
            <w:tcW w:w="5760" w:type="dxa"/>
            <w:vAlign w:val="center"/>
          </w:tcPr>
          <w:p>
            <w:pPr>
              <w:ind w:right="-105" w:rightChars="-50"/>
              <w:jc w:val="both"/>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拟配备的项目经理以同等职位承担过1项单个餐饮服务合同且每天就餐人数达到</w:t>
            </w:r>
            <w:r>
              <w:rPr>
                <w:color w:val="auto"/>
                <w:highlight w:val="none"/>
              </w:rPr>
              <w:t>1</w:t>
            </w:r>
            <w:r>
              <w:rPr>
                <w:rFonts w:hint="eastAsia"/>
                <w:color w:val="auto"/>
                <w:highlight w:val="none"/>
              </w:rPr>
              <w:t>00人（含）以上的餐饮服务业绩。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厨师</w:t>
            </w:r>
          </w:p>
        </w:tc>
        <w:tc>
          <w:tcPr>
            <w:tcW w:w="1812" w:type="dxa"/>
            <w:vAlign w:val="center"/>
          </w:tcPr>
          <w:p>
            <w:pPr>
              <w:ind w:right="-105" w:rightChars="-50"/>
              <w:jc w:val="center"/>
              <w:rPr>
                <w:rFonts w:ascii="宋体" w:hAnsi="宋体" w:cs="仿宋_GB2312"/>
                <w:b/>
                <w:bCs/>
                <w:color w:val="auto"/>
                <w:sz w:val="21"/>
                <w:szCs w:val="21"/>
                <w:highlight w:val="none"/>
              </w:rPr>
            </w:pPr>
            <w:r>
              <w:rPr>
                <w:rFonts w:ascii="宋体" w:hAnsi="宋体" w:cs="仿宋_GB2312"/>
                <w:b/>
                <w:bCs/>
                <w:color w:val="auto"/>
                <w:sz w:val="21"/>
                <w:szCs w:val="21"/>
                <w:highlight w:val="none"/>
              </w:rPr>
              <w:t>1</w:t>
            </w:r>
          </w:p>
        </w:tc>
        <w:tc>
          <w:tcPr>
            <w:tcW w:w="5760" w:type="dxa"/>
            <w:vAlign w:val="center"/>
          </w:tcPr>
          <w:p>
            <w:pPr>
              <w:ind w:right="-105" w:rightChars="-50"/>
              <w:jc w:val="both"/>
              <w:rPr>
                <w:rFonts w:ascii="宋体" w:hAnsi="宋体" w:cs="仿宋_GB2312"/>
                <w:color w:val="auto"/>
                <w:sz w:val="21"/>
                <w:szCs w:val="21"/>
                <w:highlight w:val="none"/>
              </w:rPr>
            </w:pPr>
            <w:r>
              <w:rPr>
                <w:rFonts w:hint="eastAsia" w:ascii="宋体" w:hAnsi="宋体" w:cs="宋体"/>
                <w:color w:val="auto"/>
                <w:sz w:val="21"/>
                <w:szCs w:val="21"/>
                <w:highlight w:val="none"/>
              </w:rPr>
              <w:t>拟配备的厨师具备初级（含）以上中式烹调师资质。</w:t>
            </w:r>
          </w:p>
        </w:tc>
      </w:tr>
    </w:tbl>
    <w:p>
      <w:pPr>
        <w:rPr>
          <w:rFonts w:hint="eastAsia" w:hAnsi="宋体" w:cs="宋体"/>
          <w:color w:val="auto"/>
          <w:sz w:val="21"/>
          <w:szCs w:val="21"/>
          <w:highlight w:val="none"/>
          <w:lang w:val="en-US" w:eastAsia="zh-CN"/>
        </w:rPr>
      </w:pPr>
    </w:p>
    <w:p>
      <w:pPr>
        <w:pStyle w:val="41"/>
        <w:shd w:val="clear" w:color="auto" w:fill="FFFFFF"/>
        <w:spacing w:before="0" w:beforeAutospacing="0" w:after="0" w:afterAutospacing="0" w:line="360" w:lineRule="auto"/>
        <w:jc w:val="right"/>
        <w:rPr>
          <w:rFonts w:hint="eastAsia"/>
          <w:color w:val="auto"/>
          <w:sz w:val="21"/>
          <w:szCs w:val="21"/>
          <w:highlight w:val="none"/>
        </w:rPr>
      </w:pPr>
    </w:p>
    <w:p>
      <w:pPr>
        <w:pStyle w:val="3"/>
        <w:keepNext w:val="0"/>
        <w:spacing w:after="240"/>
        <w:rPr>
          <w:rFonts w:ascii="黑体" w:hAnsi="黑体" w:eastAsia="黑体"/>
          <w:b w:val="0"/>
          <w:bCs w:val="0"/>
          <w:color w:val="auto"/>
          <w:sz w:val="32"/>
          <w:szCs w:val="32"/>
          <w:highlight w:val="none"/>
        </w:rPr>
        <w:sectPr>
          <w:footerReference r:id="rId6" w:type="default"/>
          <w:pgSz w:w="11906" w:h="16838"/>
          <w:pgMar w:top="2098" w:right="1474" w:bottom="1984" w:left="1587" w:header="851" w:footer="992" w:gutter="0"/>
          <w:pgNumType w:fmt="decimal" w:start="1"/>
          <w:cols w:space="0" w:num="1"/>
          <w:docGrid w:type="lines" w:linePitch="319" w:charSpace="0"/>
        </w:sectPr>
      </w:pPr>
      <w:r>
        <w:rPr>
          <w:rFonts w:ascii="黑体" w:hAnsi="黑体" w:eastAsia="黑体"/>
          <w:b w:val="0"/>
          <w:bCs w:val="0"/>
          <w:color w:val="auto"/>
          <w:sz w:val="32"/>
          <w:szCs w:val="32"/>
          <w:highlight w:val="none"/>
        </w:rPr>
        <w:br w:type="page"/>
      </w:r>
      <w:bookmarkStart w:id="9" w:name="_Toc6753"/>
      <w:bookmarkStart w:id="10" w:name="_Toc10483"/>
      <w:bookmarkStart w:id="11" w:name="_Toc5145"/>
      <w:bookmarkStart w:id="12" w:name="_Toc8914"/>
      <w:bookmarkStart w:id="13" w:name="_Toc18697"/>
      <w:bookmarkStart w:id="14" w:name="_Toc14891065"/>
    </w:p>
    <w:p>
      <w:pPr>
        <w:pStyle w:val="3"/>
        <w:keepNext w:val="0"/>
        <w:spacing w:after="240"/>
        <w:rPr>
          <w:rFonts w:ascii="黑体" w:hAnsi="黑体" w:eastAsia="黑体"/>
          <w:bCs w:val="0"/>
          <w:color w:val="auto"/>
          <w:sz w:val="32"/>
          <w:szCs w:val="32"/>
          <w:highlight w:val="none"/>
        </w:rPr>
      </w:pPr>
      <w:bookmarkStart w:id="15" w:name="_Toc28920"/>
      <w:bookmarkStart w:id="16" w:name="_Toc23646"/>
      <w:r>
        <w:rPr>
          <w:rFonts w:hint="eastAsia" w:ascii="宋体" w:hAnsi="宋体" w:cs="宋体"/>
          <w:bCs w:val="0"/>
          <w:color w:val="auto"/>
          <w:sz w:val="32"/>
          <w:szCs w:val="32"/>
          <w:highlight w:val="none"/>
        </w:rPr>
        <w:t>第二章  谈判须知</w:t>
      </w:r>
      <w:bookmarkEnd w:id="9"/>
      <w:bookmarkEnd w:id="10"/>
      <w:bookmarkEnd w:id="11"/>
      <w:bookmarkEnd w:id="12"/>
      <w:bookmarkEnd w:id="13"/>
      <w:bookmarkEnd w:id="14"/>
      <w:bookmarkEnd w:id="15"/>
      <w:bookmarkEnd w:id="16"/>
    </w:p>
    <w:p>
      <w:pPr>
        <w:pStyle w:val="4"/>
        <w:keepNext w:val="0"/>
        <w:keepLines w:val="0"/>
        <w:jc w:val="center"/>
        <w:rPr>
          <w:rFonts w:ascii="宋体" w:hAnsi="宋体" w:cs="宋体"/>
          <w:color w:val="auto"/>
          <w:sz w:val="32"/>
          <w:highlight w:val="none"/>
        </w:rPr>
      </w:pPr>
      <w:bookmarkStart w:id="17" w:name="_Toc24368"/>
      <w:bookmarkStart w:id="18" w:name="_Toc14891066"/>
      <w:bookmarkStart w:id="19" w:name="_Toc28089"/>
      <w:bookmarkStart w:id="20" w:name="_Toc6617"/>
      <w:bookmarkStart w:id="21" w:name="_Toc5430"/>
      <w:bookmarkStart w:id="22" w:name="_Toc9591"/>
      <w:bookmarkStart w:id="23" w:name="_Toc15513"/>
      <w:bookmarkStart w:id="24" w:name="_Toc8177"/>
      <w:r>
        <w:rPr>
          <w:rFonts w:hint="eastAsia" w:ascii="宋体" w:hAnsi="宋体" w:cs="宋体"/>
          <w:color w:val="auto"/>
          <w:sz w:val="32"/>
          <w:highlight w:val="none"/>
        </w:rPr>
        <w:t>谈判须知前附表</w:t>
      </w:r>
      <w:bookmarkEnd w:id="17"/>
      <w:bookmarkEnd w:id="18"/>
      <w:bookmarkEnd w:id="19"/>
      <w:bookmarkEnd w:id="20"/>
      <w:bookmarkEnd w:id="21"/>
      <w:bookmarkEnd w:id="22"/>
      <w:bookmarkEnd w:id="23"/>
      <w:bookmarkEnd w:id="24"/>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338"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338" w:type="dxa"/>
            <w:vAlign w:val="center"/>
          </w:tcPr>
          <w:p>
            <w:pPr>
              <w:widowControl/>
              <w:spacing w:line="360" w:lineRule="auto"/>
              <w:jc w:val="left"/>
              <w:rPr>
                <w:rFonts w:ascii="宋体" w:hAnsi="宋体" w:cs="宋体"/>
                <w:color w:val="auto"/>
                <w:highlight w:val="none"/>
              </w:rPr>
            </w:pPr>
            <w:r>
              <w:rPr>
                <w:rFonts w:ascii="宋体" w:hAnsi="宋体" w:cs="宋体"/>
                <w:color w:val="auto"/>
                <w:highlight w:val="none"/>
              </w:rPr>
              <w:t>长沙市轨道交通5号线、西环线运营</w:t>
            </w:r>
            <w:r>
              <w:rPr>
                <w:rFonts w:hint="eastAsia" w:ascii="宋体" w:hAnsi="宋体" w:cs="宋体"/>
                <w:color w:val="auto"/>
                <w:highlight w:val="none"/>
              </w:rPr>
              <w:t>期</w:t>
            </w:r>
            <w:r>
              <w:rPr>
                <w:rFonts w:ascii="宋体" w:hAnsi="宋体" w:cs="宋体"/>
                <w:color w:val="auto"/>
                <w:highlight w:val="none"/>
              </w:rPr>
              <w:t>2023-2025年水渡河车辆段、九华车辆基地食堂委外经营服务项目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338" w:type="dxa"/>
            <w:vAlign w:val="center"/>
          </w:tcPr>
          <w:p>
            <w:pPr>
              <w:adjustRightInd w:val="0"/>
              <w:snapToGrid w:val="0"/>
              <w:jc w:val="left"/>
              <w:rPr>
                <w:rFonts w:ascii="宋体" w:hAnsi="宋体" w:cs="宋体"/>
                <w:iCs/>
                <w:color w:val="auto"/>
                <w:szCs w:val="21"/>
                <w:highlight w:val="none"/>
              </w:rPr>
            </w:pPr>
            <w:r>
              <w:rPr>
                <w:rStyle w:val="56"/>
                <w:rFonts w:hint="eastAsia"/>
                <w:color w:val="auto"/>
                <w:highlight w:val="none"/>
                <w:u w:val="none"/>
                <w:shd w:val="clear" w:color="auto" w:fill="FFFFFF"/>
              </w:rPr>
              <w:t>长沙市轨道交通五号线建设发展有限公司</w:t>
            </w:r>
            <w:r>
              <w:rPr>
                <w:rStyle w:val="56"/>
                <w:rFonts w:hint="eastAsia"/>
                <w:color w:val="auto"/>
                <w:highlight w:val="none"/>
                <w:u w:val="none"/>
                <w:shd w:val="clear" w:color="auto" w:fill="FFFFFF"/>
                <w:lang w:eastAsia="zh-CN"/>
              </w:rPr>
              <w:t>、</w:t>
            </w:r>
            <w:r>
              <w:rPr>
                <w:rStyle w:val="56"/>
                <w:rFonts w:hint="eastAsia"/>
                <w:color w:val="auto"/>
                <w:highlight w:val="none"/>
                <w:u w:val="none"/>
                <w:shd w:val="clear" w:color="auto" w:fill="FFFFFF"/>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338"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338" w:type="dxa"/>
            <w:vAlign w:val="center"/>
          </w:tcPr>
          <w:p>
            <w:pPr>
              <w:adjustRightInd w:val="0"/>
              <w:snapToGrid w:val="0"/>
              <w:jc w:val="left"/>
              <w:rPr>
                <w:rFonts w:ascii="宋体" w:hAnsi="宋体" w:cs="宋体"/>
                <w:iCs/>
                <w:color w:val="auto"/>
                <w:szCs w:val="21"/>
                <w:highlight w:val="none"/>
              </w:rPr>
            </w:pPr>
            <w:r>
              <w:rPr>
                <w:rStyle w:val="56"/>
                <w:rFonts w:hint="eastAsia"/>
                <w:color w:val="auto"/>
                <w:kern w:val="0"/>
                <w:highlight w:val="none"/>
                <w:u w:val="none"/>
                <w:shd w:val="clear" w:color="auto" w:fill="FFFFFF"/>
              </w:rPr>
              <w:sym w:font="Wingdings 2" w:char="00A3"/>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52"/>
            </w:r>
            <w:bookmarkStart w:id="25" w:name="_Hlk121237171"/>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338" w:type="dxa"/>
            <w:vAlign w:val="center"/>
          </w:tcPr>
          <w:p>
            <w:pPr>
              <w:numPr>
                <w:ilvl w:val="0"/>
                <w:numId w:val="15"/>
              </w:numPr>
              <w:spacing w:line="360" w:lineRule="auto"/>
              <w:jc w:val="left"/>
              <w:rPr>
                <w:rFonts w:hint="eastAsia" w:ascii="宋体" w:hAnsi="宋体" w:cs="宋体"/>
                <w:color w:val="auto"/>
                <w:highlight w:val="none"/>
              </w:rPr>
            </w:pPr>
            <w:r>
              <w:rPr>
                <w:rFonts w:hint="eastAsia" w:ascii="宋体" w:hAnsi="宋体" w:cs="宋体"/>
                <w:color w:val="auto"/>
                <w:highlight w:val="none"/>
              </w:rPr>
              <w:t>谈判单位须为具有独立法人资格、自主经营、独立核算的公司，须提供加盖谈判单位公章的营业执照/事业单位法人证书复印件,且营业执照（事业单位法人证书）处于有效期内。</w:t>
            </w:r>
          </w:p>
          <w:p>
            <w:pPr>
              <w:numPr>
                <w:ilvl w:val="0"/>
                <w:numId w:val="15"/>
              </w:numPr>
              <w:spacing w:line="360" w:lineRule="auto"/>
              <w:jc w:val="left"/>
              <w:rPr>
                <w:color w:val="auto"/>
                <w:highlight w:val="none"/>
              </w:rPr>
            </w:pPr>
            <w:r>
              <w:rPr>
                <w:rFonts w:hint="eastAsia" w:ascii="宋体" w:hAnsi="宋体" w:cs="宋体"/>
                <w:color w:val="auto"/>
                <w:highlight w:val="none"/>
              </w:rPr>
              <w:t>谈判单位须具有一个入围业绩，入围业绩是指谈判单位在提交响应文件截止之日前36个月内须具有单项合同就餐人数50人/天（含）以上的餐饮服务业绩。不接受联合体业绩、港澳台或境外业绩。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numPr>
                <w:ilvl w:val="0"/>
                <w:numId w:val="15"/>
              </w:num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本次采购不接受联合体。</w:t>
            </w:r>
          </w:p>
          <w:p>
            <w:pPr>
              <w:numPr>
                <w:ilvl w:val="0"/>
                <w:numId w:val="15"/>
              </w:num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338" w:type="dxa"/>
            <w:vAlign w:val="center"/>
          </w:tcPr>
          <w:p>
            <w:pPr>
              <w:pStyle w:val="25"/>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22</w:t>
            </w:r>
            <w:r>
              <w:rPr>
                <w:rFonts w:hint="eastAsia" w:hAnsi="宋体" w:cs="宋体"/>
                <w:color w:val="auto"/>
                <w:highlight w:val="none"/>
              </w:rPr>
              <w:t>年</w:t>
            </w:r>
            <w:r>
              <w:rPr>
                <w:rFonts w:hint="eastAsia" w:hAnsi="宋体" w:cs="宋体"/>
                <w:color w:val="auto"/>
                <w:highlight w:val="none"/>
                <w:lang w:val="en-US" w:eastAsia="zh-CN"/>
              </w:rPr>
              <w:t>12</w:t>
            </w:r>
            <w:r>
              <w:rPr>
                <w:rFonts w:hint="eastAsia" w:hAnsi="宋体" w:cs="宋体"/>
                <w:color w:val="auto"/>
                <w:highlight w:val="none"/>
              </w:rPr>
              <w:t>月</w:t>
            </w:r>
            <w:r>
              <w:rPr>
                <w:rFonts w:hint="eastAsia" w:hAnsi="宋体" w:cs="宋体"/>
                <w:color w:val="auto"/>
                <w:highlight w:val="none"/>
                <w:lang w:val="en-US" w:eastAsia="zh-CN"/>
              </w:rPr>
              <w:t>21</w:t>
            </w:r>
            <w:r>
              <w:rPr>
                <w:rFonts w:hint="eastAsia" w:hAnsi="宋体" w:cs="宋体"/>
                <w:color w:val="auto"/>
                <w:highlight w:val="none"/>
              </w:rPr>
              <w:t>日</w:t>
            </w:r>
            <w:r>
              <w:rPr>
                <w:rFonts w:hint="eastAsia" w:hAnsi="宋体" w:cs="宋体"/>
                <w:color w:val="auto"/>
                <w:highlight w:val="none"/>
                <w:lang w:val="en-US" w:eastAsia="zh-CN"/>
              </w:rPr>
              <w:t>17</w:t>
            </w:r>
            <w:r>
              <w:rPr>
                <w:rFonts w:hint="eastAsia" w:hAnsi="宋体" w:cs="宋体"/>
                <w:color w:val="auto"/>
                <w:highlight w:val="none"/>
              </w:rPr>
              <w:t>时</w:t>
            </w:r>
            <w:r>
              <w:rPr>
                <w:rFonts w:hint="eastAsia" w:hAnsi="宋体" w:cs="宋体"/>
                <w:color w:val="auto"/>
                <w:highlight w:val="none"/>
                <w:lang w:val="en-US" w:eastAsia="zh-CN"/>
              </w:rPr>
              <w:t>30</w:t>
            </w:r>
            <w:r>
              <w:rPr>
                <w:rFonts w:hint="eastAsia" w:hAnsi="宋体" w:cs="宋体"/>
                <w:color w:val="auto"/>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338" w:type="dxa"/>
            <w:vAlign w:val="center"/>
          </w:tcPr>
          <w:p>
            <w:pPr>
              <w:pStyle w:val="25"/>
              <w:adjustRightInd w:val="0"/>
              <w:snapToGrid w:val="0"/>
              <w:rPr>
                <w:rFonts w:hAnsi="宋体" w:cs="宋体"/>
                <w:iCs/>
                <w:color w:val="auto"/>
                <w:highlight w:val="none"/>
              </w:rPr>
            </w:pPr>
            <w:r>
              <w:rPr>
                <w:rFonts w:hint="eastAsia" w:hAnsi="宋体" w:cs="宋体"/>
                <w:color w:val="auto"/>
                <w:highlight w:val="none"/>
              </w:rPr>
              <w:t>谈判答疑文件应以书面形式递交至</w:t>
            </w:r>
            <w:r>
              <w:rPr>
                <w:rFonts w:hint="eastAsia" w:hAnsi="宋体" w:cs="宋体"/>
                <w:bCs/>
                <w:color w:val="auto"/>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w:t>
            </w:r>
            <w:r>
              <w:rPr>
                <w:rFonts w:hint="eastAsia" w:ascii="宋体" w:hAnsi="宋体" w:cs="宋体"/>
                <w:b/>
                <w:bCs/>
                <w:iCs/>
                <w:color w:val="auto"/>
                <w:szCs w:val="21"/>
                <w:highlight w:val="none"/>
                <w:lang w:eastAsia="zh-CN"/>
              </w:rPr>
              <w:t>六</w:t>
            </w:r>
            <w:r>
              <w:rPr>
                <w:rFonts w:hint="eastAsia" w:ascii="宋体" w:hAnsi="宋体" w:cs="宋体"/>
                <w:b/>
                <w:bCs/>
                <w:iCs/>
                <w:color w:val="auto"/>
                <w:szCs w:val="21"/>
                <w:highlight w:val="none"/>
              </w:rPr>
              <w:t>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w:t>
            </w:r>
            <w:r>
              <w:rPr>
                <w:rFonts w:hint="eastAsia" w:ascii="宋体" w:hAnsi="宋体" w:cs="宋体"/>
                <w:b/>
                <w:bCs/>
                <w:iCs/>
                <w:color w:val="auto"/>
                <w:szCs w:val="21"/>
                <w:highlight w:val="none"/>
                <w:lang w:eastAsia="zh-CN"/>
              </w:rPr>
              <w:t>六</w:t>
            </w:r>
            <w:r>
              <w:rPr>
                <w:rFonts w:hint="eastAsia" w:ascii="宋体" w:hAnsi="宋体" w:cs="宋体"/>
                <w:b/>
                <w:bCs/>
                <w:iCs/>
                <w:color w:val="auto"/>
                <w:szCs w:val="21"/>
                <w:highlight w:val="none"/>
              </w:rPr>
              <w:t>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33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本合同的餐费，即实际刷卡数据及客餐费用，按实结算。乙方全额承担所产生的水、电、天然气（或液化气）的使用费。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本合同的餐费按实结算，乙方按餐费收缴系统中实际刷卡数据、客餐和工作餐费用每月结算一次，乙方每月将上月就餐数据汇总报甲方审核确认，并在甲方确认后向甲方开具上月就餐金额的正规税务发票，税费由乙方承担，甲方在收到乙方发票后28个工作日内向乙方付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w:t>
            </w:r>
          </w:p>
        </w:tc>
      </w:tr>
    </w:tbl>
    <w:p>
      <w:pPr>
        <w:pStyle w:val="4"/>
        <w:keepNext w:val="0"/>
        <w:keepLines w:val="0"/>
        <w:jc w:val="center"/>
        <w:rPr>
          <w:rFonts w:ascii="黑体" w:hAnsi="黑体" w:eastAsia="黑体"/>
          <w:color w:val="auto"/>
          <w:sz w:val="30"/>
          <w:szCs w:val="30"/>
          <w:highlight w:val="none"/>
        </w:rPr>
      </w:pPr>
      <w:bookmarkStart w:id="26" w:name="_Toc14891067"/>
    </w:p>
    <w:p>
      <w:pPr>
        <w:widowControl/>
        <w:jc w:val="left"/>
        <w:rPr>
          <w:color w:val="auto"/>
          <w:highlight w:val="none"/>
        </w:rPr>
      </w:pPr>
      <w:r>
        <w:rPr>
          <w:color w:val="auto"/>
          <w:highlight w:val="none"/>
        </w:rPr>
        <w:br w:type="page"/>
      </w:r>
    </w:p>
    <w:p>
      <w:pPr>
        <w:pStyle w:val="4"/>
        <w:keepNext w:val="0"/>
        <w:keepLines w:val="0"/>
        <w:jc w:val="center"/>
        <w:rPr>
          <w:rFonts w:ascii="宋体" w:hAnsi="宋体" w:cs="宋体"/>
          <w:color w:val="auto"/>
          <w:sz w:val="32"/>
          <w:highlight w:val="none"/>
        </w:rPr>
      </w:pPr>
      <w:bookmarkStart w:id="27" w:name="_Toc1318"/>
      <w:bookmarkStart w:id="28" w:name="_Toc26157"/>
      <w:bookmarkStart w:id="29" w:name="_Toc31391"/>
      <w:bookmarkStart w:id="30" w:name="_Toc25260"/>
      <w:bookmarkStart w:id="31" w:name="_Toc31558"/>
      <w:bookmarkStart w:id="32" w:name="_Toc16939"/>
      <w:bookmarkStart w:id="33" w:name="_Toc30640"/>
      <w:bookmarkStart w:id="34" w:name="_Hlk71364110"/>
      <w:r>
        <w:rPr>
          <w:rFonts w:hint="eastAsia" w:ascii="宋体" w:hAnsi="宋体" w:cs="宋体"/>
          <w:color w:val="auto"/>
          <w:sz w:val="32"/>
          <w:highlight w:val="none"/>
        </w:rPr>
        <w:t>谈判须知正文</w:t>
      </w:r>
      <w:bookmarkEnd w:id="26"/>
      <w:bookmarkEnd w:id="27"/>
      <w:bookmarkEnd w:id="28"/>
      <w:bookmarkEnd w:id="29"/>
      <w:bookmarkEnd w:id="30"/>
      <w:bookmarkEnd w:id="31"/>
      <w:bookmarkEnd w:id="32"/>
      <w:bookmarkEnd w:id="33"/>
    </w:p>
    <w:bookmarkEnd w:id="34"/>
    <w:p>
      <w:pPr>
        <w:pStyle w:val="4"/>
        <w:keepNext w:val="0"/>
        <w:keepLines w:val="0"/>
        <w:rPr>
          <w:rFonts w:ascii="宋体" w:hAnsi="宋体" w:cs="宋体"/>
          <w:color w:val="auto"/>
          <w:sz w:val="21"/>
          <w:szCs w:val="21"/>
          <w:highlight w:val="none"/>
        </w:rPr>
      </w:pPr>
      <w:bookmarkStart w:id="35" w:name="_Toc29850"/>
      <w:bookmarkStart w:id="36" w:name="_Toc14891068"/>
      <w:bookmarkStart w:id="37" w:name="_Toc28753"/>
      <w:bookmarkStart w:id="38" w:name="_Toc28508"/>
      <w:bookmarkStart w:id="39" w:name="_Toc11440"/>
      <w:r>
        <w:rPr>
          <w:rFonts w:hint="eastAsia" w:ascii="宋体" w:hAnsi="宋体" w:cs="宋体"/>
          <w:color w:val="auto"/>
          <w:sz w:val="21"/>
          <w:szCs w:val="21"/>
          <w:highlight w:val="none"/>
        </w:rPr>
        <w:t>一、说明</w:t>
      </w:r>
      <w:bookmarkEnd w:id="35"/>
      <w:bookmarkEnd w:id="36"/>
      <w:bookmarkEnd w:id="37"/>
      <w:bookmarkEnd w:id="38"/>
      <w:bookmarkEnd w:id="39"/>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w:t>
      </w:r>
      <w:r>
        <w:rPr>
          <w:rFonts w:hint="eastAsia" w:ascii="宋体" w:hAnsi="宋体" w:cs="宋体"/>
          <w:bCs/>
          <w:color w:val="auto"/>
          <w:szCs w:val="21"/>
          <w:highlight w:val="none"/>
        </w:rPr>
        <w:t>评审</w:t>
      </w:r>
      <w:r>
        <w:rPr>
          <w:rFonts w:hint="eastAsia" w:ascii="宋体" w:hAnsi="宋体" w:cs="宋体"/>
          <w:color w:val="auto"/>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w:t>
      </w:r>
      <w:r>
        <w:rPr>
          <w:rFonts w:hint="eastAsia" w:hAnsi="宋体" w:cs="宋体"/>
          <w:b/>
          <w:bCs/>
          <w:iCs/>
          <w:color w:val="auto"/>
          <w:highlight w:val="none"/>
          <w:lang w:eastAsia="zh-CN"/>
        </w:rPr>
        <w:t>六</w:t>
      </w:r>
      <w:r>
        <w:rPr>
          <w:rFonts w:hint="eastAsia" w:hAnsi="宋体" w:cs="宋体"/>
          <w:b/>
          <w:bCs/>
          <w:iCs/>
          <w:color w:val="auto"/>
          <w:highlight w:val="none"/>
        </w:rPr>
        <w:t>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5"/>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w:t>
      </w:r>
      <w:r>
        <w:rPr>
          <w:rFonts w:hint="eastAsia" w:hAnsi="宋体" w:cs="宋体"/>
          <w:b/>
          <w:bCs/>
          <w:iCs/>
          <w:color w:val="auto"/>
          <w:highlight w:val="none"/>
          <w:lang w:eastAsia="zh-CN"/>
        </w:rPr>
        <w:t>六</w:t>
      </w:r>
      <w:r>
        <w:rPr>
          <w:rFonts w:hint="eastAsia" w:hAnsi="宋体" w:cs="宋体"/>
          <w:b/>
          <w:bCs/>
          <w:iCs/>
          <w:color w:val="auto"/>
          <w:highlight w:val="none"/>
        </w:rPr>
        <w:t>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4"/>
        <w:keepNext w:val="0"/>
        <w:keepLines w:val="0"/>
        <w:rPr>
          <w:rFonts w:ascii="宋体" w:hAnsi="宋体" w:cs="宋体"/>
          <w:color w:val="auto"/>
          <w:sz w:val="21"/>
          <w:szCs w:val="21"/>
          <w:highlight w:val="none"/>
        </w:rPr>
      </w:pPr>
      <w:bookmarkStart w:id="40" w:name="_Toc323"/>
      <w:bookmarkStart w:id="41" w:name="_Toc303"/>
      <w:bookmarkStart w:id="42" w:name="_Toc21161"/>
      <w:bookmarkStart w:id="43" w:name="_Toc14891069"/>
      <w:bookmarkStart w:id="44" w:name="_Toc14834"/>
      <w:r>
        <w:rPr>
          <w:rFonts w:hint="eastAsia" w:ascii="宋体" w:hAnsi="宋体" w:cs="宋体"/>
          <w:color w:val="auto"/>
          <w:sz w:val="21"/>
          <w:szCs w:val="21"/>
          <w:highlight w:val="none"/>
        </w:rPr>
        <w:t>二、谈判文件</w:t>
      </w:r>
      <w:bookmarkEnd w:id="40"/>
      <w:bookmarkEnd w:id="41"/>
      <w:bookmarkEnd w:id="42"/>
      <w:bookmarkEnd w:id="43"/>
      <w:bookmarkEnd w:id="44"/>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用户需求书（另册）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合同格式条款</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响应文件组成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w:t>
      </w:r>
      <w:r>
        <w:rPr>
          <w:rFonts w:hint="eastAsia" w:ascii="宋体" w:hAnsi="宋体" w:cs="宋体"/>
          <w:iCs/>
          <w:color w:val="auto"/>
          <w:szCs w:val="21"/>
          <w:highlight w:val="none"/>
          <w:lang w:val="en-US" w:eastAsia="zh-CN"/>
        </w:rPr>
        <w:t>采购单位</w:t>
      </w:r>
      <w:r>
        <w:rPr>
          <w:rFonts w:hint="eastAsia" w:ascii="宋体" w:hAnsi="宋体" w:cs="宋体"/>
          <w:iCs/>
          <w:color w:val="auto"/>
          <w:szCs w:val="21"/>
          <w:highlight w:val="none"/>
        </w:rPr>
        <w:t>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9.1谈判单位递交响应文件截止时间、谈判会议时间及地点见</w:t>
      </w:r>
      <w:r>
        <w:rPr>
          <w:rFonts w:hint="eastAsia" w:hAnsi="宋体" w:cs="宋体"/>
          <w:b/>
          <w:bCs/>
          <w:color w:val="auto"/>
          <w:highlight w:val="none"/>
        </w:rPr>
        <w:t>前附表</w:t>
      </w:r>
      <w:r>
        <w:rPr>
          <w:rFonts w:hint="eastAsia" w:hAnsi="宋体" w:cs="宋体"/>
          <w:color w:val="auto"/>
          <w:highlight w:val="none"/>
        </w:rPr>
        <w:t>。</w:t>
      </w:r>
    </w:p>
    <w:p>
      <w:pPr>
        <w:pStyle w:val="4"/>
        <w:keepNext w:val="0"/>
        <w:keepLines w:val="0"/>
        <w:rPr>
          <w:rFonts w:ascii="宋体" w:hAnsi="宋体" w:cs="宋体"/>
          <w:color w:val="auto"/>
          <w:sz w:val="21"/>
          <w:szCs w:val="21"/>
          <w:highlight w:val="none"/>
        </w:rPr>
      </w:pPr>
      <w:bookmarkStart w:id="45" w:name="_Toc9387"/>
      <w:bookmarkStart w:id="46" w:name="_Toc23101"/>
      <w:bookmarkStart w:id="47" w:name="_Toc14891070"/>
      <w:bookmarkStart w:id="48" w:name="_Toc8641"/>
      <w:bookmarkStart w:id="49" w:name="_Toc13472"/>
      <w:r>
        <w:rPr>
          <w:rFonts w:hint="eastAsia" w:ascii="宋体" w:hAnsi="宋体" w:cs="宋体"/>
          <w:color w:val="auto"/>
          <w:sz w:val="21"/>
          <w:szCs w:val="21"/>
          <w:highlight w:val="none"/>
        </w:rPr>
        <w:t>三、响应文件</w:t>
      </w:r>
      <w:bookmarkEnd w:id="45"/>
      <w:bookmarkEnd w:id="46"/>
      <w:bookmarkEnd w:id="47"/>
      <w:bookmarkEnd w:id="48"/>
      <w:bookmarkEnd w:id="4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w:t>
      </w:r>
      <w:bookmarkStart w:id="50" w:name="_Hlk68706641"/>
      <w:r>
        <w:rPr>
          <w:rFonts w:hint="eastAsia" w:ascii="宋体" w:hAnsi="宋体" w:cs="宋体"/>
          <w:bCs/>
          <w:color w:val="auto"/>
          <w:szCs w:val="21"/>
          <w:highlight w:val="none"/>
        </w:rPr>
        <w:t>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bookmarkEnd w:id="50"/>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谈判单位提交的响应文件、谈判单位与采购单位的所有来往函电均使用中文。</w:t>
      </w:r>
    </w:p>
    <w:p>
      <w:pPr>
        <w:pStyle w:val="25"/>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rPr>
        <w:t>谈判承诺书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rPr>
        <w:t>法定代表人身份证明书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3</w:t>
      </w:r>
      <w:r>
        <w:rPr>
          <w:rFonts w:hint="eastAsia" w:hAnsi="宋体" w:cs="宋体"/>
          <w:color w:val="auto"/>
          <w:highlight w:val="none"/>
          <w:lang w:eastAsia="zh-CN"/>
        </w:rPr>
        <w:t>）</w:t>
      </w:r>
      <w:r>
        <w:rPr>
          <w:rFonts w:hint="eastAsia" w:hAnsi="宋体" w:cs="宋体"/>
          <w:color w:val="auto"/>
          <w:highlight w:val="none"/>
        </w:rPr>
        <w:t>授权委托书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4</w:t>
      </w:r>
      <w:r>
        <w:rPr>
          <w:rFonts w:hint="eastAsia" w:hAnsi="宋体" w:cs="宋体"/>
          <w:color w:val="auto"/>
          <w:highlight w:val="none"/>
          <w:lang w:eastAsia="zh-CN"/>
        </w:rPr>
        <w:t>）</w:t>
      </w:r>
      <w:r>
        <w:rPr>
          <w:rFonts w:hint="eastAsia" w:hAnsi="宋体" w:cs="宋体"/>
          <w:color w:val="auto"/>
          <w:highlight w:val="none"/>
        </w:rPr>
        <w:t>谈判单位资格条件证明文件</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5</w:t>
      </w:r>
      <w:r>
        <w:rPr>
          <w:rFonts w:hint="eastAsia" w:hAnsi="宋体" w:cs="宋体"/>
          <w:color w:val="auto"/>
          <w:highlight w:val="none"/>
          <w:lang w:eastAsia="zh-CN"/>
        </w:rPr>
        <w:t>）</w:t>
      </w:r>
      <w:r>
        <w:rPr>
          <w:rFonts w:hint="eastAsia" w:hAnsi="宋体" w:cs="宋体"/>
          <w:color w:val="auto"/>
          <w:highlight w:val="none"/>
        </w:rPr>
        <w:t>企业实力</w:t>
      </w:r>
      <w:r>
        <w:rPr>
          <w:rFonts w:hint="eastAsia" w:hAnsi="宋体" w:cs="宋体"/>
          <w:color w:val="auto"/>
          <w:highlight w:val="none"/>
          <w:lang w:val="en-US" w:eastAsia="zh-CN"/>
        </w:rPr>
        <w:t>相关证明文件</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安全管理及保障方案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（7）服务管理方案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（8）综合管理方案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（9）卫生管理方案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（10）应急管理方案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（11）优惠方案</w:t>
      </w:r>
    </w:p>
    <w:p>
      <w:pPr>
        <w:pStyle w:val="25"/>
        <w:adjustRightInd w:val="0"/>
        <w:snapToGrid w:val="0"/>
        <w:spacing w:line="360" w:lineRule="auto"/>
        <w:ind w:firstLine="420" w:firstLineChars="200"/>
        <w:rPr>
          <w:rFonts w:hint="default" w:hAnsi="宋体" w:cs="宋体"/>
          <w:color w:val="auto"/>
          <w:highlight w:val="none"/>
          <w:lang w:val="en-US" w:eastAsia="zh-CN"/>
        </w:rPr>
      </w:pPr>
      <w:r>
        <w:rPr>
          <w:rFonts w:hint="eastAsia" w:hAnsi="宋体" w:cs="宋体"/>
          <w:color w:val="auto"/>
          <w:highlight w:val="none"/>
          <w:lang w:val="en-US" w:eastAsia="zh-CN"/>
        </w:rPr>
        <w:t>（12）原材料保障</w:t>
      </w:r>
    </w:p>
    <w:p>
      <w:pPr>
        <w:pStyle w:val="25"/>
        <w:adjustRightInd w:val="0"/>
        <w:snapToGrid w:val="0"/>
        <w:spacing w:line="360" w:lineRule="auto"/>
        <w:ind w:firstLine="420" w:firstLineChars="200"/>
        <w:rPr>
          <w:rFonts w:hint="default" w:hAnsi="宋体" w:cs="宋体"/>
          <w:color w:val="auto"/>
          <w:highlight w:val="none"/>
          <w:lang w:val="en-US" w:eastAsia="zh-CN"/>
        </w:rPr>
      </w:pPr>
      <w:r>
        <w:rPr>
          <w:rFonts w:hint="eastAsia" w:hAnsi="宋体" w:cs="宋体"/>
          <w:color w:val="auto"/>
          <w:highlight w:val="none"/>
          <w:lang w:val="en-US" w:eastAsia="zh-CN"/>
        </w:rPr>
        <w:t>（13）承诺函</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（14）其他资料（如有）</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2</w:t>
      </w:r>
      <w:r>
        <w:rPr>
          <w:rFonts w:hint="eastAsia" w:ascii="宋体" w:hAnsi="宋体" w:cs="宋体"/>
          <w:b/>
          <w:bCs/>
          <w:color w:val="auto"/>
          <w:szCs w:val="21"/>
          <w:highlight w:val="none"/>
        </w:rPr>
        <w:t>.响应文件有效期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w:t>
      </w:r>
      <w:r>
        <w:rPr>
          <w:rFonts w:hAnsi="宋体" w:cs="宋体"/>
          <w:color w:val="auto"/>
          <w:sz w:val="21"/>
          <w:szCs w:val="21"/>
          <w:highlight w:val="none"/>
        </w:rPr>
        <w:t>3</w:t>
      </w:r>
      <w:r>
        <w:rPr>
          <w:rFonts w:hint="eastAsia" w:hAnsi="宋体" w:cs="宋体"/>
          <w:color w:val="auto"/>
          <w:sz w:val="21"/>
          <w:szCs w:val="21"/>
          <w:highlight w:val="none"/>
        </w:rPr>
        <w:t>.1响应文件应按</w:t>
      </w:r>
      <w:r>
        <w:rPr>
          <w:rFonts w:hint="eastAsia" w:hAnsi="宋体" w:cs="宋体"/>
          <w:b/>
          <w:bCs/>
          <w:color w:val="auto"/>
          <w:sz w:val="21"/>
          <w:szCs w:val="21"/>
          <w:highlight w:val="none"/>
        </w:rPr>
        <w:t>第</w:t>
      </w:r>
      <w:r>
        <w:rPr>
          <w:rFonts w:hint="eastAsia" w:hAnsi="宋体" w:cs="宋体"/>
          <w:b/>
          <w:bCs/>
          <w:color w:val="auto"/>
          <w:sz w:val="21"/>
          <w:szCs w:val="21"/>
          <w:highlight w:val="none"/>
          <w:lang w:eastAsia="zh-CN"/>
        </w:rPr>
        <w:t>六</w:t>
      </w:r>
      <w:r>
        <w:rPr>
          <w:rFonts w:hint="eastAsia" w:hAnsi="宋体" w:cs="宋体"/>
          <w:b/>
          <w:bCs/>
          <w:color w:val="auto"/>
          <w:sz w:val="21"/>
          <w:szCs w:val="21"/>
          <w:highlight w:val="none"/>
        </w:rPr>
        <w:t>章</w:t>
      </w:r>
      <w:r>
        <w:rPr>
          <w:rFonts w:hint="eastAsia" w:hAnsi="宋体" w:cs="宋体"/>
          <w:color w:val="auto"/>
          <w:sz w:val="21"/>
          <w:szCs w:val="21"/>
          <w:highlight w:val="none"/>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.2响应文件应用不褪色的材料书写或打印（建议双面打印），并按</w:t>
      </w:r>
      <w:r>
        <w:rPr>
          <w:rFonts w:hint="eastAsia" w:hAnsi="宋体" w:cs="宋体"/>
          <w:b/>
          <w:bCs/>
          <w:color w:val="auto"/>
          <w:highlight w:val="none"/>
        </w:rPr>
        <w:t>第</w:t>
      </w:r>
      <w:r>
        <w:rPr>
          <w:rFonts w:hint="eastAsia" w:hAnsi="宋体" w:cs="宋体"/>
          <w:b/>
          <w:bCs/>
          <w:color w:val="auto"/>
          <w:highlight w:val="none"/>
          <w:lang w:eastAsia="zh-CN"/>
        </w:rPr>
        <w:t>六</w:t>
      </w:r>
      <w:r>
        <w:rPr>
          <w:rFonts w:hint="eastAsia" w:hAnsi="宋体" w:cs="宋体"/>
          <w:b/>
          <w:bCs/>
          <w:color w:val="auto"/>
          <w:highlight w:val="none"/>
        </w:rPr>
        <w:t>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w:t>
      </w:r>
      <w:r>
        <w:rPr>
          <w:rFonts w:hint="eastAsia" w:hAnsi="宋体" w:cs="宋体"/>
          <w:b/>
          <w:bCs/>
          <w:color w:val="auto"/>
          <w:highlight w:val="none"/>
          <w:lang w:eastAsia="zh-CN"/>
        </w:rPr>
        <w:t>六</w:t>
      </w:r>
      <w:r>
        <w:rPr>
          <w:rFonts w:hint="eastAsia" w:hAnsi="宋体" w:cs="宋体"/>
          <w:b/>
          <w:bCs/>
          <w:color w:val="auto"/>
          <w:highlight w:val="none"/>
        </w:rPr>
        <w:t>章</w:t>
      </w:r>
      <w:r>
        <w:rPr>
          <w:rFonts w:hint="eastAsia" w:hAnsi="宋体" w:cs="宋体"/>
          <w:color w:val="auto"/>
          <w:highlight w:val="none"/>
        </w:rPr>
        <w:t>“响应文件格式”的要求。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color w:val="auto"/>
          <w:sz w:val="21"/>
          <w:szCs w:val="21"/>
          <w:highlight w:val="none"/>
        </w:rPr>
      </w:pPr>
      <w:bookmarkStart w:id="51" w:name="_Toc1468"/>
      <w:bookmarkStart w:id="52" w:name="_Toc16269"/>
      <w:bookmarkStart w:id="53" w:name="_Toc22034"/>
      <w:bookmarkStart w:id="54" w:name="_Toc14891071"/>
      <w:bookmarkStart w:id="55" w:name="_Toc3522"/>
      <w:r>
        <w:rPr>
          <w:rFonts w:hint="eastAsia" w:ascii="宋体" w:hAnsi="宋体" w:cs="宋体"/>
          <w:color w:val="auto"/>
          <w:sz w:val="21"/>
          <w:szCs w:val="21"/>
          <w:highlight w:val="none"/>
        </w:rPr>
        <w:t>四、响应文件的递交</w:t>
      </w:r>
      <w:bookmarkEnd w:id="51"/>
      <w:bookmarkEnd w:id="52"/>
      <w:bookmarkEnd w:id="53"/>
      <w:bookmarkEnd w:id="54"/>
      <w:bookmarkEnd w:id="5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r>
        <w:rPr>
          <w:rFonts w:hint="eastAsia" w:ascii="宋体" w:hAnsi="宋体" w:cs="宋体"/>
          <w:b/>
          <w:bCs/>
          <w:color w:val="auto"/>
          <w:szCs w:val="21"/>
          <w:highlight w:val="none"/>
        </w:rPr>
        <w:t>.</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4</w:t>
      </w:r>
      <w:r>
        <w:rPr>
          <w:rFonts w:hint="eastAsia" w:ascii="宋体" w:hAnsi="宋体" w:cs="宋体"/>
          <w:color w:val="auto"/>
          <w:szCs w:val="21"/>
          <w:highlight w:val="none"/>
        </w:rPr>
        <w:t>.1谈判单位须将响应文件一正两副与电子文件一起密封包装。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w:t>
      </w:r>
      <w:r>
        <w:rPr>
          <w:rFonts w:hint="eastAsia" w:ascii="宋体" w:hAnsi="宋体" w:cs="宋体"/>
          <w:b/>
          <w:bCs/>
          <w:color w:val="auto"/>
          <w:szCs w:val="21"/>
          <w:highlight w:val="none"/>
        </w:rPr>
        <w:t>.响应文件的标记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 xml:space="preserve">（填写单位名称并加盖单位公章）         </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6</w:t>
      </w:r>
      <w:r>
        <w:rPr>
          <w:rFonts w:hint="eastAsia" w:ascii="宋体" w:hAnsi="宋体" w:cs="宋体"/>
          <w:b/>
          <w:bCs/>
          <w:color w:val="auto"/>
          <w:szCs w:val="21"/>
          <w:highlight w:val="none"/>
        </w:rPr>
        <w:t>.响应文件的递交与接收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6</w:t>
      </w:r>
      <w:r>
        <w:rPr>
          <w:rFonts w:hint="eastAsia" w:ascii="宋体" w:hAnsi="宋体" w:cs="宋体"/>
          <w:bCs/>
          <w:color w:val="auto"/>
          <w:szCs w:val="21"/>
          <w:highlight w:val="none"/>
        </w:rPr>
        <w:t>.2采购单位在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4"/>
        <w:keepNext w:val="0"/>
        <w:keepLines w:val="0"/>
        <w:rPr>
          <w:rFonts w:ascii="宋体" w:hAnsi="宋体" w:cs="宋体"/>
          <w:color w:val="auto"/>
          <w:sz w:val="21"/>
          <w:szCs w:val="21"/>
          <w:highlight w:val="none"/>
        </w:rPr>
      </w:pPr>
      <w:bookmarkStart w:id="56" w:name="_Toc6891"/>
      <w:bookmarkStart w:id="57" w:name="_Toc13483"/>
      <w:bookmarkStart w:id="58" w:name="_Toc14891072"/>
      <w:bookmarkStart w:id="59" w:name="_Toc16037"/>
      <w:bookmarkStart w:id="60" w:name="_Toc17368"/>
      <w:r>
        <w:rPr>
          <w:rFonts w:hint="eastAsia" w:ascii="宋体" w:hAnsi="宋体" w:cs="宋体"/>
          <w:color w:val="auto"/>
          <w:sz w:val="21"/>
          <w:szCs w:val="21"/>
          <w:highlight w:val="none"/>
        </w:rPr>
        <w:t>五、响应文件的评审</w:t>
      </w:r>
      <w:bookmarkEnd w:id="56"/>
      <w:bookmarkEnd w:id="57"/>
      <w:bookmarkEnd w:id="58"/>
      <w:bookmarkEnd w:id="59"/>
      <w:bookmarkEnd w:id="60"/>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7</w:t>
      </w:r>
      <w:r>
        <w:rPr>
          <w:rFonts w:hint="eastAsia" w:ascii="宋体" w:hAnsi="宋体" w:cs="宋体"/>
          <w:b/>
          <w:color w:val="auto"/>
          <w:szCs w:val="21"/>
          <w:highlight w:val="none"/>
        </w:rPr>
        <w:t>.</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4"/>
        <w:keepNext w:val="0"/>
        <w:keepLines w:val="0"/>
        <w:rPr>
          <w:rFonts w:ascii="宋体" w:hAnsi="宋体" w:cs="宋体"/>
          <w:color w:val="auto"/>
          <w:sz w:val="21"/>
          <w:szCs w:val="21"/>
          <w:highlight w:val="none"/>
        </w:rPr>
      </w:pPr>
      <w:bookmarkStart w:id="61" w:name="_Toc14891073"/>
      <w:bookmarkStart w:id="62" w:name="_Toc28602"/>
      <w:bookmarkStart w:id="63" w:name="_Toc21358"/>
      <w:bookmarkStart w:id="64" w:name="_Toc19319"/>
      <w:bookmarkStart w:id="65" w:name="_Toc4932"/>
      <w:r>
        <w:rPr>
          <w:rFonts w:hint="eastAsia" w:ascii="宋体" w:hAnsi="宋体" w:cs="宋体"/>
          <w:color w:val="auto"/>
          <w:sz w:val="21"/>
          <w:szCs w:val="21"/>
          <w:highlight w:val="none"/>
        </w:rPr>
        <w:t>六、响应文件的澄清、说明及补正</w:t>
      </w:r>
      <w:bookmarkEnd w:id="61"/>
      <w:bookmarkEnd w:id="62"/>
      <w:bookmarkEnd w:id="63"/>
      <w:bookmarkEnd w:id="64"/>
      <w:bookmarkEnd w:id="65"/>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w:t>
      </w:r>
      <w:r>
        <w:rPr>
          <w:rFonts w:ascii="宋体" w:hAnsi="宋体" w:cs="宋体"/>
          <w:b/>
          <w:color w:val="auto"/>
          <w:kern w:val="0"/>
          <w:szCs w:val="21"/>
          <w:highlight w:val="none"/>
        </w:rPr>
        <w:t>8</w:t>
      </w:r>
      <w:r>
        <w:rPr>
          <w:rFonts w:hint="eastAsia" w:ascii="宋体" w:hAnsi="宋体" w:cs="宋体"/>
          <w:b/>
          <w:color w:val="auto"/>
          <w:kern w:val="0"/>
          <w:szCs w:val="21"/>
          <w:highlight w:val="none"/>
        </w:rPr>
        <w:t>.澄清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8</w:t>
      </w:r>
      <w:r>
        <w:rPr>
          <w:rFonts w:hint="eastAsia" w:ascii="宋体" w:hAnsi="宋体" w:cs="宋体"/>
          <w:color w:val="auto"/>
          <w:kern w:val="0"/>
          <w:szCs w:val="21"/>
          <w:highlight w:val="none"/>
        </w:rPr>
        <w:t>.1谈判评审小组可就响应文件中含糊之处要求谈判单位进行解释或澄清要求，谈判单位必须按照要求派法定代表人或授权委托人进行答疑和澄清。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19</w:t>
      </w:r>
      <w:r>
        <w:rPr>
          <w:rFonts w:hint="eastAsia" w:ascii="宋体" w:hAnsi="宋体" w:cs="宋体"/>
          <w:b/>
          <w:color w:val="auto"/>
          <w:kern w:val="0"/>
          <w:szCs w:val="21"/>
          <w:highlight w:val="none"/>
        </w:rPr>
        <w:t>.说明及补正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.2谈判单位对响应文件的澄清不得改变谈判实质内容。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.3与谈判文件有重大偏离的响应文件将被拒绝。重大偏离指谈判总报价、谈判不含增值税总报价、谈判有效期、服务期明显不能满足谈判文件的要求。这些偏离不允许在响应文件递交截止时间之后修正。</w:t>
      </w:r>
    </w:p>
    <w:p>
      <w:pPr>
        <w:pStyle w:val="4"/>
        <w:keepNext w:val="0"/>
        <w:keepLines w:val="0"/>
        <w:rPr>
          <w:rFonts w:ascii="宋体" w:hAnsi="宋体" w:cs="宋体"/>
          <w:color w:val="auto"/>
          <w:sz w:val="21"/>
          <w:szCs w:val="21"/>
          <w:highlight w:val="none"/>
        </w:rPr>
      </w:pPr>
      <w:bookmarkStart w:id="66" w:name="_Toc9096"/>
      <w:bookmarkStart w:id="67" w:name="_Toc20022"/>
      <w:bookmarkStart w:id="68" w:name="_Toc27120"/>
      <w:bookmarkStart w:id="69" w:name="_Toc20130"/>
      <w:bookmarkStart w:id="70" w:name="_Toc14891074"/>
      <w:r>
        <w:rPr>
          <w:rFonts w:hint="eastAsia" w:ascii="宋体" w:hAnsi="宋体" w:cs="宋体"/>
          <w:color w:val="auto"/>
          <w:sz w:val="21"/>
          <w:szCs w:val="21"/>
          <w:highlight w:val="none"/>
        </w:rPr>
        <w:t>七、中选结果与授予合同</w:t>
      </w:r>
      <w:bookmarkEnd w:id="66"/>
      <w:bookmarkEnd w:id="67"/>
      <w:bookmarkEnd w:id="68"/>
      <w:bookmarkEnd w:id="69"/>
      <w:bookmarkEnd w:id="70"/>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0</w:t>
      </w:r>
      <w:r>
        <w:rPr>
          <w:rFonts w:hint="eastAsia" w:ascii="宋体" w:hAnsi="宋体" w:cs="宋体"/>
          <w:b/>
          <w:bCs/>
          <w:color w:val="auto"/>
          <w:szCs w:val="21"/>
          <w:highlight w:val="none"/>
        </w:rPr>
        <w:t>.中选信息的公布</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0</w:t>
      </w:r>
      <w:r>
        <w:rPr>
          <w:rFonts w:hint="eastAsia" w:hAnsi="宋体" w:cs="宋体"/>
          <w:color w:val="auto"/>
          <w:highlight w:val="none"/>
        </w:rPr>
        <w:t>.1中选单位确定后，采购单位应将结果信息在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w:t>
      </w:r>
      <w:r>
        <w:rPr>
          <w:rFonts w:hAnsi="宋体" w:cs="宋体"/>
          <w:b/>
          <w:bCs/>
          <w:color w:val="auto"/>
          <w:highlight w:val="none"/>
        </w:rPr>
        <w:t>1</w:t>
      </w:r>
      <w:r>
        <w:rPr>
          <w:rFonts w:hint="eastAsia" w:hAnsi="宋体" w:cs="宋体"/>
          <w:b/>
          <w:bCs/>
          <w:color w:val="auto"/>
          <w:highlight w:val="none"/>
        </w:rPr>
        <w:t>.评审结果异议</w:t>
      </w:r>
    </w:p>
    <w:p>
      <w:pPr>
        <w:pStyle w:val="25"/>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w:t>
      </w:r>
      <w:r>
        <w:rPr>
          <w:rFonts w:hAnsi="宋体" w:cs="宋体"/>
          <w:color w:val="auto"/>
          <w:kern w:val="0"/>
          <w:highlight w:val="none"/>
        </w:rPr>
        <w:t>1</w:t>
      </w:r>
      <w:r>
        <w:rPr>
          <w:rFonts w:hint="eastAsia" w:hAnsi="宋体" w:cs="宋体"/>
          <w:color w:val="auto"/>
          <w:kern w:val="0"/>
          <w:highlight w:val="none"/>
        </w:rPr>
        <w:t>.1谈判单位对评审结果有异议的，应当在结果公示期间提出。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2</w:t>
      </w:r>
      <w:r>
        <w:rPr>
          <w:rFonts w:hint="eastAsia" w:ascii="宋体" w:hAnsi="宋体" w:cs="宋体"/>
          <w:b/>
          <w:bCs/>
          <w:color w:val="auto"/>
          <w:szCs w:val="21"/>
          <w:highlight w:val="none"/>
        </w:rPr>
        <w:t>.中选通知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2</w:t>
      </w:r>
      <w:r>
        <w:rPr>
          <w:rFonts w:hint="eastAsia" w:hAnsi="宋体" w:cs="宋体"/>
          <w:color w:val="auto"/>
          <w:highlight w:val="none"/>
        </w:rPr>
        <w:t>.1中选单位确定后，采购单位将以书面形式向中选单位发出中选通知书。中选通知书对采购单位和中选单位具有同等法律效力。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3</w:t>
      </w:r>
      <w:r>
        <w:rPr>
          <w:rFonts w:hint="eastAsia" w:ascii="宋体" w:hAnsi="宋体" w:cs="宋体"/>
          <w:b/>
          <w:bCs/>
          <w:color w:val="auto"/>
          <w:szCs w:val="21"/>
          <w:highlight w:val="none"/>
        </w:rPr>
        <w:t>.签订合同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.1谈判文件、中选单位的响应文件及其补充的文件等均为签订合同的依据。</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.2中选单位应当在中选通知书发出后及时与采购单位签订合同。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71" w:name="page32"/>
      <w:bookmarkEnd w:id="71"/>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.4对与评审活动有关的工作人员的纪律要求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highlight w:val="none"/>
        </w:rPr>
      </w:pPr>
      <w:bookmarkStart w:id="72" w:name="_Toc1883"/>
      <w:bookmarkStart w:id="73" w:name="_Toc2272"/>
      <w:bookmarkStart w:id="74" w:name="_Toc2360"/>
      <w:bookmarkStart w:id="75" w:name="_Toc14891075"/>
      <w:bookmarkStart w:id="76" w:name="_Toc2045"/>
      <w:r>
        <w:rPr>
          <w:rFonts w:hint="eastAsia" w:ascii="宋体" w:hAnsi="宋体" w:cs="宋体"/>
          <w:color w:val="auto"/>
          <w:sz w:val="21"/>
          <w:szCs w:val="21"/>
          <w:highlight w:val="none"/>
        </w:rPr>
        <w:t>八、其他</w:t>
      </w:r>
      <w:bookmarkEnd w:id="72"/>
      <w:bookmarkEnd w:id="73"/>
      <w:bookmarkEnd w:id="74"/>
      <w:bookmarkEnd w:id="75"/>
      <w:bookmarkEnd w:id="76"/>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5</w:t>
      </w:r>
      <w:r>
        <w:rPr>
          <w:rFonts w:hint="eastAsia" w:ascii="宋体" w:hAnsi="宋体" w:cs="宋体"/>
          <w:b/>
          <w:bCs/>
          <w:color w:val="auto"/>
          <w:szCs w:val="21"/>
          <w:highlight w:val="none"/>
        </w:rPr>
        <w:t>.处罚规定</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w:t>
      </w:r>
      <w:r>
        <w:rPr>
          <w:rStyle w:val="56"/>
          <w:rFonts w:hint="eastAsia" w:ascii="Times New Roman" w:hAnsi="Times New Roman" w:cs="Times New Roman"/>
          <w:color w:val="auto"/>
          <w:sz w:val="21"/>
          <w:highlight w:val="none"/>
          <w:u w:val="none"/>
          <w:shd w:val="clear" w:color="auto" w:fill="FFFFFF"/>
        </w:rPr>
        <w:t>或对</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提出实质性修改</w:t>
      </w:r>
      <w:r>
        <w:rPr>
          <w:rFonts w:hint="eastAsia" w:hAnsi="宋体" w:cs="宋体"/>
          <w:color w:val="auto"/>
          <w:highlight w:val="none"/>
        </w:rPr>
        <w:t>；</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w:t>
      </w:r>
      <w:r>
        <w:rPr>
          <w:rStyle w:val="56"/>
          <w:rFonts w:hint="eastAsia" w:ascii="Times New Roman" w:hAnsi="Times New Roman" w:cs="Times New Roman"/>
          <w:color w:val="auto"/>
          <w:sz w:val="21"/>
          <w:highlight w:val="none"/>
          <w:u w:val="none"/>
          <w:shd w:val="clear" w:color="auto" w:fill="FFFFFF"/>
        </w:rPr>
        <w:t>或不按</w:t>
      </w:r>
      <w:r>
        <w:rPr>
          <w:rStyle w:val="56"/>
          <w:rFonts w:hint="eastAsia" w:ascii="Times New Roman" w:hAnsi="Times New Roman" w:cs="Times New Roman"/>
          <w:color w:val="auto"/>
          <w:sz w:val="21"/>
          <w:highlight w:val="none"/>
          <w:u w:val="none"/>
          <w:shd w:val="clear" w:color="auto" w:fill="FFFFFF"/>
          <w:lang w:val="en-US" w:eastAsia="zh-CN"/>
        </w:rPr>
        <w:t>评审</w:t>
      </w:r>
      <w:r>
        <w:rPr>
          <w:rStyle w:val="56"/>
          <w:rFonts w:hint="eastAsia" w:ascii="Times New Roman" w:hAnsi="Times New Roman" w:cs="Times New Roman"/>
          <w:color w:val="auto"/>
          <w:sz w:val="21"/>
          <w:highlight w:val="none"/>
          <w:u w:val="none"/>
          <w:shd w:val="clear" w:color="auto" w:fill="FFFFFF"/>
        </w:rPr>
        <w:t>结果签订合同</w:t>
      </w:r>
      <w:r>
        <w:rPr>
          <w:rFonts w:hint="eastAsia" w:hAnsi="宋体" w:cs="宋体"/>
          <w:color w:val="auto"/>
          <w:highlight w:val="none"/>
        </w:rPr>
        <w:t>；</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w:t>
      </w:r>
      <w:r>
        <w:rPr>
          <w:rFonts w:hint="eastAsia" w:hAnsi="宋体" w:cs="宋体"/>
          <w:color w:val="auto"/>
          <w:highlight w:val="none"/>
          <w:lang w:val="en-US" w:eastAsia="zh-CN"/>
        </w:rPr>
        <w:t>响应文件</w:t>
      </w:r>
      <w:r>
        <w:rPr>
          <w:rFonts w:hint="eastAsia" w:hAnsi="宋体" w:cs="宋体"/>
          <w:color w:val="auto"/>
          <w:highlight w:val="none"/>
        </w:rPr>
        <w:t>资料弄虚作假的；</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.3.法律法规中规定的其他情形。</w:t>
      </w:r>
    </w:p>
    <w:p>
      <w:pPr>
        <w:pStyle w:val="46"/>
        <w:ind w:left="0" w:leftChars="0" w:firstLine="0"/>
        <w:rPr>
          <w:b/>
          <w:bCs/>
          <w:color w:val="auto"/>
          <w:highlight w:val="none"/>
        </w:rPr>
      </w:pPr>
    </w:p>
    <w:p>
      <w:pPr>
        <w:pStyle w:val="46"/>
        <w:ind w:left="0" w:leftChars="0" w:firstLine="0"/>
        <w:rPr>
          <w:b/>
          <w:bCs/>
          <w:color w:val="auto"/>
          <w:highlight w:val="none"/>
        </w:rPr>
        <w:sectPr>
          <w:pgSz w:w="11906" w:h="16838"/>
          <w:pgMar w:top="2098" w:right="1474" w:bottom="1984" w:left="1587" w:header="851" w:footer="992" w:gutter="0"/>
          <w:pgNumType w:fmt="decimal"/>
          <w:cols w:space="0" w:num="1"/>
          <w:docGrid w:type="lines" w:linePitch="319" w:charSpace="0"/>
        </w:sectPr>
      </w:pPr>
    </w:p>
    <w:p>
      <w:pPr>
        <w:pStyle w:val="3"/>
        <w:keepNext w:val="0"/>
        <w:spacing w:line="360" w:lineRule="auto"/>
        <w:rPr>
          <w:rFonts w:ascii="宋体" w:hAnsi="宋体" w:cs="宋体"/>
          <w:bCs w:val="0"/>
          <w:color w:val="auto"/>
          <w:sz w:val="32"/>
          <w:szCs w:val="32"/>
          <w:highlight w:val="none"/>
        </w:rPr>
      </w:pPr>
      <w:bookmarkStart w:id="77" w:name="_Toc1719"/>
      <w:bookmarkStart w:id="78" w:name="_Toc5567"/>
      <w:bookmarkStart w:id="79" w:name="_Toc23600"/>
      <w:bookmarkStart w:id="80" w:name="_Toc4275"/>
      <w:bookmarkStart w:id="81" w:name="_Toc8585"/>
      <w:bookmarkStart w:id="82" w:name="_Toc7792"/>
      <w:bookmarkStart w:id="83" w:name="_Toc28427"/>
      <w:r>
        <w:rPr>
          <w:rFonts w:hint="eastAsia" w:ascii="宋体" w:hAnsi="宋体" w:cs="宋体"/>
          <w:bCs w:val="0"/>
          <w:color w:val="auto"/>
          <w:sz w:val="32"/>
          <w:szCs w:val="32"/>
          <w:highlight w:val="none"/>
        </w:rPr>
        <w:t>第三章  评审办法及标准</w:t>
      </w:r>
      <w:bookmarkEnd w:id="77"/>
      <w:bookmarkEnd w:id="78"/>
      <w:bookmarkEnd w:id="79"/>
      <w:bookmarkEnd w:id="80"/>
      <w:bookmarkEnd w:id="81"/>
      <w:bookmarkEnd w:id="82"/>
      <w:bookmarkEnd w:id="83"/>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1.1本项目采用</w:t>
      </w:r>
      <w:r>
        <w:rPr>
          <w:rStyle w:val="56"/>
          <w:rFonts w:hint="eastAsia"/>
          <w:b/>
          <w:bCs/>
          <w:color w:val="auto"/>
          <w:kern w:val="0"/>
          <w:highlight w:val="none"/>
          <w:u w:val="none"/>
          <w:shd w:val="clear" w:color="auto" w:fill="FFFFFF"/>
        </w:rPr>
        <w:t>综合评</w:t>
      </w:r>
      <w:r>
        <w:rPr>
          <w:rStyle w:val="56"/>
          <w:rFonts w:hint="eastAsia"/>
          <w:b/>
          <w:bCs/>
          <w:color w:val="auto"/>
          <w:kern w:val="0"/>
          <w:highlight w:val="none"/>
          <w:u w:val="none"/>
          <w:shd w:val="clear" w:color="auto" w:fill="FFFFFF"/>
          <w:lang w:eastAsia="zh-CN"/>
        </w:rPr>
        <w:t>审</w:t>
      </w:r>
      <w:r>
        <w:rPr>
          <w:rStyle w:val="56"/>
          <w:rFonts w:hint="eastAsia"/>
          <w:b/>
          <w:bCs/>
          <w:color w:val="auto"/>
          <w:kern w:val="0"/>
          <w:highlight w:val="none"/>
          <w:u w:val="none"/>
          <w:shd w:val="clear" w:color="auto" w:fill="FFFFFF"/>
        </w:rPr>
        <w:t>法</w:t>
      </w:r>
      <w:r>
        <w:rPr>
          <w:rFonts w:hint="eastAsia" w:ascii="宋体" w:hAnsi="宋体" w:cs="宋体"/>
          <w:color w:val="auto"/>
          <w:szCs w:val="21"/>
          <w:highlight w:val="none"/>
          <w:lang w:eastAsia="zh-CN"/>
        </w:rPr>
        <w:t>，</w:t>
      </w:r>
      <w:r>
        <w:rPr>
          <w:rFonts w:hint="eastAsia" w:ascii="宋体" w:hAnsi="宋体" w:cs="宋体"/>
          <w:bCs/>
          <w:color w:val="auto"/>
          <w:szCs w:val="21"/>
          <w:highlight w:val="none"/>
        </w:rPr>
        <w:t>商务技术</w:t>
      </w:r>
      <w:r>
        <w:rPr>
          <w:rFonts w:hint="eastAsia" w:ascii="宋体" w:hAnsi="宋体" w:cs="宋体"/>
          <w:bCs/>
          <w:color w:val="auto"/>
          <w:szCs w:val="21"/>
          <w:highlight w:val="none"/>
          <w:lang w:val="en-US" w:eastAsia="zh-CN"/>
        </w:rPr>
        <w:t>100</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2.2谈判程序分为：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3.1.2参与谈判的代表身份经验证不合格的，视为无效响应，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3.2.唱价阶段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3.2.2谈判单位法定代表人或授权委托人、现场监督员、记录人等有关人员在唱价记录表上签字确认，谈判单位对本阶段有异议的应当场提出，采购单位人员当场作出答复，并记录在案，未提出的，视为无异议。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符合性审查对谈判单位资格的符合性审查。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4.1.1资格的符合性审查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w:t>
      </w:r>
      <w:r>
        <w:rPr>
          <w:rFonts w:hint="eastAsia" w:ascii="宋体" w:hAnsi="宋体"/>
          <w:bCs/>
          <w:color w:val="auto"/>
          <w:szCs w:val="21"/>
          <w:highlight w:val="none"/>
        </w:rPr>
        <w:t>小组</w:t>
      </w:r>
      <w:r>
        <w:rPr>
          <w:rFonts w:hint="eastAsia" w:ascii="宋体" w:hAnsi="宋体"/>
          <w:color w:val="auto"/>
          <w:szCs w:val="21"/>
          <w:highlight w:val="none"/>
        </w:rPr>
        <w:t>根据本谈判文件</w:t>
      </w:r>
      <w:r>
        <w:rPr>
          <w:rFonts w:hint="eastAsia" w:hAnsi="宋体"/>
          <w:b/>
          <w:color w:val="auto"/>
          <w:highlight w:val="none"/>
        </w:rPr>
        <w:t>前附表</w:t>
      </w:r>
      <w:r>
        <w:rPr>
          <w:rFonts w:hint="eastAsia" w:hAnsi="宋体"/>
          <w:color w:val="auto"/>
          <w:highlight w:val="none"/>
        </w:rPr>
        <w:t>内</w:t>
      </w:r>
      <w:r>
        <w:rPr>
          <w:rFonts w:hint="eastAsia" w:ascii="宋体" w:hAnsi="宋体"/>
          <w:color w:val="auto"/>
          <w:szCs w:val="21"/>
          <w:highlight w:val="none"/>
        </w:rPr>
        <w:t>规定的谈判单位资格要求及递交的</w:t>
      </w:r>
      <w:r>
        <w:rPr>
          <w:rFonts w:hint="eastAsia" w:ascii="宋体" w:hAnsi="宋体"/>
          <w:bCs/>
          <w:color w:val="auto"/>
          <w:szCs w:val="21"/>
          <w:highlight w:val="none"/>
        </w:rPr>
        <w:t>响应文件</w:t>
      </w:r>
      <w:r>
        <w:rPr>
          <w:rFonts w:hint="eastAsia" w:ascii="宋体" w:hAnsi="宋体"/>
          <w:color w:val="auto"/>
          <w:szCs w:val="21"/>
          <w:highlight w:val="none"/>
        </w:rPr>
        <w:t>，对谈判单位进行资格审查，</w:t>
      </w:r>
      <w:r>
        <w:rPr>
          <w:rFonts w:hint="eastAsia" w:ascii="宋体" w:hAnsi="宋体" w:cs="宋体"/>
          <w:color w:val="auto"/>
          <w:szCs w:val="21"/>
          <w:highlight w:val="none"/>
        </w:rPr>
        <w:t>资格审查以谈判单位递交的</w:t>
      </w:r>
      <w:r>
        <w:rPr>
          <w:rStyle w:val="56"/>
          <w:rFonts w:hint="eastAsia"/>
          <w:color w:val="auto"/>
          <w:highlight w:val="none"/>
          <w:u w:val="none"/>
          <w:shd w:val="clear" w:color="auto" w:fill="FFFFFF"/>
        </w:rPr>
        <w:t>原件扫描件</w:t>
      </w:r>
      <w:r>
        <w:rPr>
          <w:rFonts w:hint="eastAsia" w:ascii="宋体" w:hAnsi="宋体" w:cs="宋体"/>
          <w:color w:val="auto"/>
          <w:szCs w:val="21"/>
          <w:highlight w:val="none"/>
        </w:rPr>
        <w:t>打印版资料为准。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4.1.</w:t>
      </w:r>
      <w:r>
        <w:rPr>
          <w:rFonts w:ascii="宋体" w:hAnsi="宋体" w:cs="宋体"/>
          <w:color w:val="auto"/>
          <w:szCs w:val="21"/>
          <w:highlight w:val="none"/>
        </w:rPr>
        <w:t>2</w:t>
      </w:r>
      <w:r>
        <w:rPr>
          <w:rFonts w:hint="eastAsia" w:ascii="宋体" w:hAnsi="宋体" w:cs="宋体"/>
          <w:color w:val="auto"/>
          <w:szCs w:val="21"/>
          <w:highlight w:val="none"/>
        </w:rPr>
        <w:t>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color w:val="auto"/>
          <w:szCs w:val="21"/>
          <w:highlight w:val="none"/>
        </w:rPr>
      </w:pPr>
      <w:r>
        <w:rPr>
          <w:rFonts w:hint="eastAsia" w:ascii="宋体" w:hAnsi="宋体"/>
          <w:color w:val="auto"/>
          <w:szCs w:val="21"/>
          <w:highlight w:val="none"/>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kern w:val="0"/>
          <w:szCs w:val="21"/>
          <w:highlight w:val="none"/>
          <w:lang w:val="en-US" w:eastAsia="zh-CN"/>
        </w:rPr>
        <w:t>4.2.1</w:t>
      </w: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详细评审的程序</w:t>
      </w:r>
    </w:p>
    <w:p>
      <w:pPr>
        <w:keepNext w:val="0"/>
        <w:keepLines w:val="0"/>
        <w:pageBreakBefore w:val="0"/>
        <w:numPr>
          <w:ilvl w:val="0"/>
          <w:numId w:val="17"/>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shd w:val="clear" w:color="auto" w:fill="FFFFFF"/>
        </w:rPr>
        <w:t>商务</w:t>
      </w:r>
      <w:r>
        <w:rPr>
          <w:rFonts w:hint="eastAsia" w:ascii="宋体" w:hAnsi="宋体" w:cs="宋体"/>
          <w:bCs/>
          <w:color w:val="auto"/>
          <w:szCs w:val="21"/>
          <w:highlight w:val="none"/>
          <w:shd w:val="clear" w:color="auto" w:fill="FFFFFF"/>
          <w:lang w:eastAsia="zh-CN"/>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color w:val="auto"/>
          <w:szCs w:val="21"/>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计算各谈判单位的综合得分；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按综合得分从高至低确定谈判单位的排序。</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成员独自评分。有下列情况之一者，该评标因素的评审计分为无效分：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（4）采购单位评委在评审过程中发表倾向性意见，或存在干扰其他谈判小组成员独立评审权的行为。</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w:t>
      </w:r>
      <w:r>
        <w:rPr>
          <w:rFonts w:hint="eastAsia" w:ascii="宋体" w:hAnsi="宋体" w:cs="宋体"/>
          <w:color w:val="auto"/>
          <w:szCs w:val="21"/>
          <w:highlight w:val="none"/>
          <w:shd w:val="clear" w:color="auto" w:fill="FFFFFF"/>
          <w:lang w:eastAsia="zh-CN"/>
        </w:rPr>
        <w:t>综合</w:t>
      </w:r>
      <w:r>
        <w:rPr>
          <w:rFonts w:hint="eastAsia" w:ascii="宋体" w:hAnsi="宋体" w:cs="宋体"/>
          <w:color w:val="auto"/>
          <w:szCs w:val="21"/>
          <w:highlight w:val="none"/>
          <w:shd w:val="clear" w:color="auto" w:fill="FFFFFF"/>
        </w:rPr>
        <w:t>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eastAsia="zh-CN"/>
        </w:rPr>
        <w:t>谈判单位</w:t>
      </w:r>
      <w:r>
        <w:rPr>
          <w:rFonts w:hint="eastAsia" w:ascii="宋体" w:hAnsi="宋体" w:cs="宋体"/>
          <w:color w:val="auto"/>
          <w:szCs w:val="21"/>
          <w:highlight w:val="none"/>
          <w:shd w:val="clear" w:color="auto" w:fill="FFFFFF"/>
        </w:rPr>
        <w:t>排序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）谈判评审小组应当根据详细评审的结果对谈判单位进行排序，</w:t>
      </w:r>
      <w:r>
        <w:rPr>
          <w:rFonts w:hint="eastAsia" w:ascii="宋体" w:hAnsi="宋体" w:cs="宋体"/>
          <w:color w:val="auto"/>
          <w:szCs w:val="21"/>
          <w:highlight w:val="none"/>
          <w:shd w:val="clear" w:color="auto" w:fill="FFFFFF"/>
          <w:lang w:eastAsia="zh-CN"/>
        </w:rPr>
        <w:t>若出现谈判单位评审</w:t>
      </w:r>
      <w:r>
        <w:rPr>
          <w:rFonts w:hint="eastAsia" w:ascii="宋体" w:hAnsi="宋体" w:cs="宋体"/>
          <w:color w:val="auto"/>
          <w:szCs w:val="21"/>
          <w:highlight w:val="none"/>
          <w:shd w:val="clear" w:color="auto" w:fill="FFFFFF"/>
        </w:rPr>
        <w:t>综合得分相同</w:t>
      </w:r>
      <w:r>
        <w:rPr>
          <w:rFonts w:hint="eastAsia" w:ascii="宋体" w:hAnsi="宋体" w:cs="宋体"/>
          <w:color w:val="auto"/>
          <w:szCs w:val="21"/>
          <w:highlight w:val="none"/>
          <w:shd w:val="clear" w:color="auto" w:fill="FFFFFF"/>
          <w:lang w:eastAsia="zh-CN"/>
        </w:rPr>
        <w:t>的情况</w:t>
      </w:r>
      <w:r>
        <w:rPr>
          <w:rFonts w:hint="eastAsia" w:ascii="宋体" w:hAnsi="宋体" w:cs="宋体"/>
          <w:color w:val="auto"/>
          <w:szCs w:val="21"/>
          <w:highlight w:val="none"/>
          <w:shd w:val="clear" w:color="auto" w:fill="FFFFFF"/>
        </w:rPr>
        <w:t>，则</w:t>
      </w:r>
      <w:r>
        <w:rPr>
          <w:rFonts w:hint="eastAsia" w:ascii="宋体" w:hAnsi="宋体" w:cs="宋体"/>
          <w:color w:val="auto"/>
          <w:szCs w:val="21"/>
          <w:highlight w:val="none"/>
          <w:shd w:val="clear" w:color="auto" w:fill="FFFFFF"/>
          <w:lang w:eastAsia="zh-CN"/>
        </w:rPr>
        <w:t>依次按照其</w:t>
      </w:r>
      <w:r>
        <w:rPr>
          <w:rFonts w:hint="eastAsia" w:ascii="宋体" w:hAnsi="宋体" w:cs="宋体"/>
          <w:color w:val="auto"/>
          <w:szCs w:val="21"/>
          <w:highlight w:val="none"/>
          <w:shd w:val="clear" w:color="auto" w:fill="FFFFFF"/>
        </w:rPr>
        <w:t>商务</w:t>
      </w:r>
      <w:r>
        <w:rPr>
          <w:rFonts w:hint="eastAsia" w:ascii="宋体" w:hAnsi="宋体" w:cs="宋体"/>
          <w:color w:val="auto"/>
          <w:szCs w:val="21"/>
          <w:highlight w:val="none"/>
          <w:shd w:val="clear" w:color="auto" w:fill="FFFFFF"/>
          <w:lang w:eastAsia="zh-CN"/>
        </w:rPr>
        <w:t>技术</w:t>
      </w:r>
      <w:r>
        <w:rPr>
          <w:rFonts w:hint="eastAsia" w:ascii="宋体" w:hAnsi="宋体" w:cs="宋体"/>
          <w:color w:val="auto"/>
          <w:szCs w:val="21"/>
          <w:highlight w:val="none"/>
          <w:shd w:val="clear" w:color="auto" w:fill="FFFFFF"/>
        </w:rPr>
        <w:t>评审计分表</w:t>
      </w:r>
      <w:r>
        <w:rPr>
          <w:rFonts w:hint="eastAsia" w:ascii="宋体" w:hAnsi="宋体" w:cs="宋体"/>
          <w:color w:val="auto"/>
          <w:szCs w:val="21"/>
          <w:highlight w:val="none"/>
          <w:shd w:val="clear" w:color="auto" w:fill="FFFFFF"/>
          <w:lang w:eastAsia="zh-CN"/>
        </w:rPr>
        <w:t>中“</w:t>
      </w:r>
      <w:r>
        <w:rPr>
          <w:rFonts w:hint="eastAsia" w:ascii="宋体" w:hAnsi="宋体" w:cs="宋体"/>
          <w:color w:val="auto"/>
          <w:szCs w:val="21"/>
          <w:highlight w:val="none"/>
          <w:shd w:val="clear" w:color="auto" w:fill="FFFFFF"/>
        </w:rPr>
        <w:t>优惠方案</w:t>
      </w:r>
      <w:r>
        <w:rPr>
          <w:rFonts w:hint="eastAsia" w:ascii="宋体" w:hAnsi="宋体" w:cs="宋体"/>
          <w:color w:val="auto"/>
          <w:szCs w:val="21"/>
          <w:highlight w:val="none"/>
          <w:shd w:val="clear" w:color="auto" w:fill="FFFFFF"/>
          <w:lang w:eastAsia="zh-CN"/>
        </w:rPr>
        <w:t>”得分由高至低排序、“</w:t>
      </w:r>
      <w:r>
        <w:rPr>
          <w:rFonts w:hint="eastAsia" w:ascii="宋体" w:hAnsi="宋体" w:eastAsia="宋体" w:cs="宋体"/>
          <w:color w:val="auto"/>
          <w:highlight w:val="none"/>
        </w:rPr>
        <w:t>原材料保障</w:t>
      </w:r>
      <w:r>
        <w:rPr>
          <w:rFonts w:hint="eastAsia" w:ascii="宋体" w:hAnsi="宋体" w:cs="宋体"/>
          <w:color w:val="auto"/>
          <w:szCs w:val="21"/>
          <w:highlight w:val="none"/>
          <w:shd w:val="clear" w:color="auto" w:fill="FFFFFF"/>
          <w:lang w:eastAsia="zh-CN"/>
        </w:rPr>
        <w:t>”得分由高至低排序、评委票决的顺序确定谈判单位</w:t>
      </w:r>
      <w:r>
        <w:rPr>
          <w:rFonts w:hint="eastAsia" w:ascii="宋体" w:hAnsi="宋体" w:cs="宋体"/>
          <w:color w:val="auto"/>
          <w:szCs w:val="21"/>
          <w:highlight w:val="none"/>
          <w:shd w:val="clear" w:color="auto" w:fill="FFFFFF"/>
        </w:rPr>
        <w:t>排序。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olor w:val="auto"/>
          <w:highlight w:val="none"/>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）若排序</w:t>
      </w:r>
      <w:r>
        <w:rPr>
          <w:rFonts w:hint="eastAsia" w:ascii="宋体" w:hAnsi="宋体" w:cs="宋体"/>
          <w:color w:val="auto"/>
          <w:szCs w:val="21"/>
          <w:highlight w:val="none"/>
          <w:shd w:val="clear" w:color="auto" w:fill="FFFFFF"/>
          <w:lang w:eastAsia="zh-CN"/>
        </w:rPr>
        <w:t>后</w:t>
      </w:r>
      <w:r>
        <w:rPr>
          <w:rFonts w:hint="eastAsia" w:ascii="宋体" w:hAnsi="宋体" w:cs="宋体"/>
          <w:color w:val="auto"/>
          <w:szCs w:val="21"/>
          <w:highlight w:val="none"/>
          <w:shd w:val="clear" w:color="auto" w:fill="FFFFFF"/>
        </w:rPr>
        <w:t>出现同一谈判单位在两个标段中同时排名第一时，则须选择预估用餐人数最多的标段为其中选标段，其放弃的标段由排名其后的</w:t>
      </w:r>
      <w:r>
        <w:rPr>
          <w:rFonts w:hint="eastAsia" w:ascii="宋体" w:hAnsi="宋体" w:cs="宋体"/>
          <w:color w:val="auto"/>
          <w:szCs w:val="21"/>
          <w:highlight w:val="none"/>
          <w:shd w:val="clear" w:color="auto" w:fill="FFFFFF"/>
          <w:lang w:eastAsia="zh-CN"/>
        </w:rPr>
        <w:t>谈判单位</w:t>
      </w:r>
      <w:r>
        <w:rPr>
          <w:rFonts w:hint="eastAsia" w:ascii="宋体" w:hAnsi="宋体" w:cs="宋体"/>
          <w:color w:val="auto"/>
          <w:szCs w:val="21"/>
          <w:highlight w:val="none"/>
          <w:shd w:val="clear" w:color="auto" w:fill="FFFFFF"/>
        </w:rPr>
        <w:t>替补</w:t>
      </w:r>
      <w:r>
        <w:rPr>
          <w:rFonts w:hint="eastAsia" w:ascii="宋体" w:hAnsi="宋体" w:cs="宋体"/>
          <w:color w:val="auto"/>
          <w:szCs w:val="21"/>
          <w:highlight w:val="none"/>
          <w:shd w:val="clear" w:color="auto" w:fill="FFFFFF"/>
          <w:lang w:eastAsia="zh-CN"/>
        </w:rPr>
        <w:t>，则</w:t>
      </w:r>
      <w:r>
        <w:rPr>
          <w:rFonts w:hint="eastAsia" w:ascii="宋体" w:hAnsi="宋体" w:cs="宋体"/>
          <w:color w:val="auto"/>
          <w:szCs w:val="21"/>
          <w:highlight w:val="none"/>
          <w:shd w:val="clear" w:color="auto" w:fill="FFFFFF"/>
        </w:rPr>
        <w:t>替补</w:t>
      </w:r>
      <w:r>
        <w:rPr>
          <w:rFonts w:hint="eastAsia" w:ascii="宋体" w:hAnsi="宋体" w:cs="宋体"/>
          <w:color w:val="auto"/>
          <w:szCs w:val="21"/>
          <w:highlight w:val="none"/>
          <w:shd w:val="clear" w:color="auto" w:fill="FFFFFF"/>
          <w:lang w:eastAsia="zh-CN"/>
        </w:rPr>
        <w:t>单位为该标段的排名第一</w:t>
      </w:r>
      <w:r>
        <w:rPr>
          <w:rFonts w:hint="eastAsia" w:ascii="宋体" w:hAnsi="宋体" w:cs="宋体"/>
          <w:color w:val="auto"/>
          <w:szCs w:val="21"/>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lang w:val="en-US" w:eastAsia="zh-CN"/>
        </w:rPr>
        <w:t>5</w:t>
      </w:r>
      <w:r>
        <w:rPr>
          <w:rFonts w:hint="eastAsia" w:ascii="宋体" w:hAnsi="宋体" w:cs="宋体"/>
          <w:b/>
          <w:bCs/>
          <w:color w:val="auto"/>
          <w:szCs w:val="21"/>
          <w:highlight w:val="none"/>
          <w:shd w:val="clear" w:color="auto" w:fill="FFFFFF"/>
        </w:rPr>
        <w:t>.推荐中选单位</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.1谈判</w:t>
      </w:r>
      <w:r>
        <w:rPr>
          <w:rFonts w:hint="eastAsia" w:ascii="宋体" w:hAnsi="宋体" w:cs="宋体"/>
          <w:color w:val="auto"/>
          <w:szCs w:val="21"/>
          <w:highlight w:val="none"/>
          <w:shd w:val="clear" w:color="auto" w:fill="FFFFFF"/>
          <w:lang w:eastAsia="zh-CN"/>
        </w:rPr>
        <w:t>评审</w:t>
      </w:r>
      <w:r>
        <w:rPr>
          <w:rFonts w:hint="eastAsia" w:ascii="宋体" w:hAnsi="宋体" w:cs="宋体"/>
          <w:color w:val="auto"/>
          <w:szCs w:val="21"/>
          <w:highlight w:val="none"/>
          <w:shd w:val="clear" w:color="auto" w:fill="FFFFFF"/>
        </w:rPr>
        <w:t>小组按照</w:t>
      </w:r>
      <w:r>
        <w:rPr>
          <w:rFonts w:hint="eastAsia" w:ascii="宋体" w:hAnsi="宋体" w:cs="宋体"/>
          <w:color w:val="auto"/>
          <w:szCs w:val="21"/>
          <w:highlight w:val="none"/>
          <w:shd w:val="clear" w:color="auto" w:fill="FFFFFF"/>
          <w:lang w:eastAsia="zh-CN"/>
        </w:rPr>
        <w:t>详细评审的谈判单位排序先后</w:t>
      </w:r>
      <w:r>
        <w:rPr>
          <w:rFonts w:hint="eastAsia" w:ascii="宋体" w:hAnsi="宋体" w:cs="宋体"/>
          <w:color w:val="auto"/>
          <w:szCs w:val="21"/>
          <w:highlight w:val="none"/>
          <w:shd w:val="clear" w:color="auto" w:fill="FFFFFF"/>
        </w:rPr>
        <w:t>顺序</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2个</w:t>
      </w:r>
      <w:r>
        <w:rPr>
          <w:rFonts w:hint="eastAsia" w:ascii="宋体" w:hAnsi="宋体" w:cs="宋体"/>
          <w:color w:val="auto"/>
          <w:szCs w:val="21"/>
          <w:highlight w:val="none"/>
          <w:shd w:val="clear" w:color="auto" w:fill="FFFFFF"/>
          <w:lang w:eastAsia="zh-CN"/>
        </w:rPr>
        <w:t>标段分别</w:t>
      </w:r>
      <w:r>
        <w:rPr>
          <w:rFonts w:hint="eastAsia" w:ascii="宋体" w:hAnsi="宋体" w:cs="宋体"/>
          <w:color w:val="auto"/>
          <w:szCs w:val="21"/>
          <w:highlight w:val="none"/>
          <w:shd w:val="clear" w:color="auto" w:fill="FFFFFF"/>
        </w:rPr>
        <w:t>推荐</w:t>
      </w:r>
      <w:r>
        <w:rPr>
          <w:rFonts w:hint="eastAsia" w:ascii="宋体" w:hAnsi="宋体" w:cs="宋体"/>
          <w:color w:val="auto"/>
          <w:szCs w:val="21"/>
          <w:highlight w:val="none"/>
          <w:shd w:val="clear" w:color="auto" w:fill="FFFFFF"/>
          <w:lang w:eastAsia="zh-CN"/>
        </w:rPr>
        <w:t>不超过</w:t>
      </w:r>
      <w:r>
        <w:rPr>
          <w:rFonts w:hint="eastAsia" w:ascii="宋体" w:hAnsi="宋体" w:cs="宋体"/>
          <w:color w:val="auto"/>
          <w:szCs w:val="21"/>
          <w:highlight w:val="none"/>
          <w:shd w:val="clear" w:color="auto" w:fill="FFFFFF"/>
        </w:rPr>
        <w:t>3名中选</w:t>
      </w:r>
      <w:r>
        <w:rPr>
          <w:rFonts w:hint="eastAsia" w:ascii="宋体" w:hAnsi="宋体" w:cs="宋体"/>
          <w:color w:val="auto"/>
          <w:szCs w:val="21"/>
          <w:highlight w:val="none"/>
          <w:shd w:val="clear" w:color="auto" w:fill="FFFFFF"/>
          <w:lang w:eastAsia="zh-CN"/>
        </w:rPr>
        <w:t>候选人，并对排名第一的中选候选人进行公示。</w:t>
      </w:r>
      <w:r>
        <w:rPr>
          <w:rFonts w:hint="eastAsia" w:ascii="宋体" w:hAnsi="宋体" w:cs="宋体"/>
          <w:color w:val="auto"/>
          <w:szCs w:val="21"/>
          <w:highlight w:val="none"/>
          <w:shd w:val="clear" w:color="auto" w:fill="FFFFFF"/>
        </w:rPr>
        <w:t>经公示无异议后，确定排名第一的中选候选人为中选人。</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6"/>
        <w:ind w:left="0" w:leftChars="0" w:firstLine="0" w:firstLineChars="0"/>
        <w:rPr>
          <w:rFonts w:hint="eastAsia" w:ascii="宋体" w:hAnsi="宋体" w:cs="宋体"/>
          <w:color w:val="auto"/>
          <w:szCs w:val="21"/>
          <w:highlight w:val="none"/>
          <w:shd w:val="clear" w:color="auto" w:fill="FFFFFF"/>
        </w:rPr>
      </w:pPr>
    </w:p>
    <w:p>
      <w:pPr>
        <w:pStyle w:val="46"/>
        <w:rPr>
          <w:rFonts w:hint="eastAsia" w:ascii="宋体" w:hAnsi="宋体" w:cs="宋体"/>
          <w:color w:val="auto"/>
          <w:szCs w:val="21"/>
          <w:highlight w:val="none"/>
          <w:shd w:val="clear" w:color="auto" w:fill="FFFFFF"/>
        </w:rPr>
        <w:sectPr>
          <w:headerReference r:id="rId7" w:type="default"/>
          <w:footerReference r:id="rId8" w:type="default"/>
          <w:pgSz w:w="11906" w:h="16838"/>
          <w:pgMar w:top="2098" w:right="1474" w:bottom="1984" w:left="1587" w:header="851" w:footer="992" w:gutter="0"/>
          <w:pgNumType w:fmt="decimal"/>
          <w:cols w:space="0" w:num="1"/>
          <w:docGrid w:type="lines" w:linePitch="319" w:charSpace="0"/>
        </w:sectPr>
      </w:pPr>
    </w:p>
    <w:p>
      <w:pPr>
        <w:pStyle w:val="46"/>
        <w:ind w:left="0" w:leftChars="0" w:firstLine="0" w:firstLineChars="0"/>
        <w:rPr>
          <w:rFonts w:hint="default" w:eastAsia="宋体"/>
          <w:color w:val="auto"/>
          <w:highlight w:val="none"/>
          <w:lang w:val="en-US" w:eastAsia="zh-CN"/>
        </w:rPr>
      </w:pPr>
      <w:r>
        <w:rPr>
          <w:rFonts w:hint="eastAsia"/>
          <w:color w:val="auto"/>
          <w:highlight w:val="none"/>
          <w:lang w:eastAsia="zh-CN"/>
        </w:rPr>
        <w:t>附表</w:t>
      </w:r>
    </w:p>
    <w:p>
      <w:pPr>
        <w:pStyle w:val="19"/>
        <w:spacing w:after="0"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商务</w:t>
      </w:r>
      <w:r>
        <w:rPr>
          <w:rFonts w:hint="eastAsia" w:ascii="宋体" w:hAnsi="宋体" w:cs="宋体"/>
          <w:b/>
          <w:color w:val="auto"/>
          <w:sz w:val="24"/>
          <w:highlight w:val="none"/>
          <w:lang w:eastAsia="zh-CN"/>
        </w:rPr>
        <w:t>技术</w:t>
      </w:r>
      <w:r>
        <w:rPr>
          <w:rFonts w:hint="eastAsia" w:ascii="宋体" w:hAnsi="宋体" w:cs="宋体"/>
          <w:b/>
          <w:color w:val="auto"/>
          <w:sz w:val="24"/>
          <w:highlight w:val="none"/>
        </w:rPr>
        <w:t>评审计分表</w:t>
      </w:r>
    </w:p>
    <w:tbl>
      <w:tblPr>
        <w:tblStyle w:val="4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
        <w:gridCol w:w="1737"/>
        <w:gridCol w:w="831"/>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评审因素分值</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响应文件的编制</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60"/>
              </w:tabs>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完全满足竞谈文件并响应的计5分；</w:t>
            </w:r>
          </w:p>
          <w:p>
            <w:pPr>
              <w:keepNext w:val="0"/>
              <w:keepLines w:val="0"/>
              <w:pageBreakBefore w:val="0"/>
              <w:tabs>
                <w:tab w:val="left" w:pos="1260"/>
              </w:tabs>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存在细微偏差的，每处扣0.5分，扣完为止。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企业业绩</w:t>
            </w: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谈判单位具有1个加分业绩的得6分。每增加1个加分业绩加3分，最多加6分。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企业实力</w:t>
            </w: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谈判单位同时获得ISO9001质量体系认证、ISO14001环境管理体系认证、OHSAS18001职业健康及安全管理体系认证且证书在有效期内的，得3分。</w:t>
            </w:r>
          </w:p>
          <w:p>
            <w:pPr>
              <w:keepNext w:val="0"/>
              <w:keepLines w:val="0"/>
              <w:pageBreakBefore w:val="0"/>
              <w:tabs>
                <w:tab w:val="left" w:pos="1260"/>
              </w:tabs>
              <w:kinsoku/>
              <w:wordWrap/>
              <w:overflowPunct/>
              <w:topLinePunct w:val="0"/>
              <w:autoSpaceDE/>
              <w:autoSpaceDN/>
              <w:bidi w:val="0"/>
              <w:adjustRightInd/>
              <w:snapToGrid/>
              <w:spacing w:line="400" w:lineRule="exact"/>
              <w:ind w:left="0" w:hanging="210" w:hanging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不满足上述要求的，本项不计分。</w:t>
            </w:r>
          </w:p>
          <w:p>
            <w:pPr>
              <w:keepNext w:val="0"/>
              <w:keepLines w:val="0"/>
              <w:pageBreakBefore w:val="0"/>
              <w:tabs>
                <w:tab w:val="left" w:pos="1260"/>
              </w:tabs>
              <w:kinsoku/>
              <w:wordWrap/>
              <w:overflowPunct/>
              <w:topLinePunct w:val="0"/>
              <w:autoSpaceDE/>
              <w:autoSpaceDN/>
              <w:bidi w:val="0"/>
              <w:adjustRightInd/>
              <w:snapToGrid/>
              <w:spacing w:line="400" w:lineRule="exact"/>
              <w:ind w:left="0" w:hanging="210" w:hangingChars="1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b/>
                <w:bCs/>
                <w:color w:val="auto"/>
                <w:highlight w:val="none"/>
              </w:rPr>
              <w:t>须提供上述证书</w:t>
            </w:r>
            <w:r>
              <w:rPr>
                <w:rFonts w:hint="eastAsia" w:ascii="宋体" w:hAnsi="宋体" w:eastAsia="宋体" w:cs="宋体"/>
                <w:b/>
                <w:bCs/>
                <w:color w:val="auto"/>
                <w:highlight w:val="none"/>
                <w:lang w:val="en-US" w:eastAsia="zh-CN"/>
              </w:rPr>
              <w:t>原件扫描件（须加盖谈判单位公章）</w:t>
            </w:r>
            <w:r>
              <w:rPr>
                <w:rFonts w:hint="eastAsia" w:ascii="宋体" w:hAnsi="宋体" w:eastAsia="宋体" w:cs="宋体"/>
                <w:b/>
                <w:bCs/>
                <w:color w:val="auto"/>
                <w:highlight w:val="none"/>
              </w:rPr>
              <w:t>，否则不计分。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安全管理及保障方案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科学、合理、可行的，计7-8分；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较科学、较合理、较可行的，计6分；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欠科学、欠合理、欠可行的，计5分。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根据谈判单位购买的食品安全责任险情况进行评审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购买的食品安全责任险保额在3000万元(含)以上的加5分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购买的食品安全责任险保额在2500万元(含）-3000万元（不含)的，加4分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购买的食品安全责任险保额在2000万元(含)-2500万元（不含)的，加3分。</w:t>
            </w:r>
          </w:p>
          <w:p>
            <w:pPr>
              <w:pStyle w:val="2"/>
              <w:keepNext w:val="0"/>
              <w:keepLines w:val="0"/>
              <w:pageBreakBefore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注:须提供加盖谈判单位公章的相关证明资料复印件</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针对本项目设计一套服务方案，制定可行的产品采购、质量及价格控制的服务管理方案。重点考察企业对食堂服务的定位、食堂服务措施、食堂服务的流程设计、包厢公务接待以及相关服务承诺等方面内容。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针对本项目设计一套整体可行的综合管理方案。包括服务时间、人员管理、窗口开设率、花色品种</w:t>
            </w:r>
            <w:r>
              <w:rPr>
                <w:rFonts w:hint="eastAsia" w:ascii="宋体" w:hAnsi="宋体" w:cs="宋体"/>
                <w:color w:val="auto"/>
                <w:highlight w:val="none"/>
                <w:lang w:eastAsia="zh-CN"/>
              </w:rPr>
              <w:t>，并</w:t>
            </w:r>
            <w:r>
              <w:rPr>
                <w:rFonts w:hint="eastAsia" w:ascii="宋体" w:hAnsi="宋体" w:eastAsia="宋体" w:cs="宋体"/>
                <w:color w:val="auto"/>
                <w:highlight w:val="none"/>
              </w:rPr>
              <w:t>提供特色服务设计可行性方案</w:t>
            </w:r>
            <w:r>
              <w:rPr>
                <w:rFonts w:hint="eastAsia" w:ascii="宋体" w:hAnsi="宋体" w:cs="宋体"/>
                <w:color w:val="auto"/>
                <w:highlight w:val="none"/>
                <w:lang w:eastAsia="zh-CN"/>
              </w:rPr>
              <w:t>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卫生管理方案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针对本项目制定卫生管理方案。重点考察企业方案对食堂卫生区域责任制度、卫生考核标准等方面内容。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应急管理方案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针对本项目制定投诉、食品安全事故、疫情防控及停水、停电等应急处理方案。重点考察企业方案对食品安全事故处理、投诉处理流程、疫情防控、停水、停电及响应时间等方面内容。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7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优惠方案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（15分）</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针对本项目小卖部的商品售卖价格优惠率进行承诺，售卖价格以项目所在区域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县级行政区</w:t>
            </w:r>
            <w:r>
              <w:rPr>
                <w:rFonts w:hint="eastAsia" w:ascii="宋体" w:hAnsi="宋体" w:cs="宋体"/>
                <w:color w:val="auto"/>
                <w:highlight w:val="none"/>
                <w:lang w:eastAsia="zh-CN"/>
              </w:rPr>
              <w:t>）</w:t>
            </w:r>
            <w:r>
              <w:rPr>
                <w:rFonts w:hint="eastAsia" w:ascii="宋体" w:hAnsi="宋体" w:eastAsia="宋体" w:cs="宋体"/>
                <w:color w:val="auto"/>
                <w:highlight w:val="none"/>
              </w:rPr>
              <w:t>任意2家大型连锁商超售卖价格的平均价作为基准价，承诺在基准价的基础上每优惠1%加1分，该项最多加10分。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74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承诺免费提供以下优惠条件的：</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每半月免费提供一次水果或纯牛奶或酸奶的，加5分；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每月度免费提供一次水果或纯牛奶或酸奶的，加4分；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每季度免费提供一次水果或纯牛奶或酸奶的，加3分；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每半年度免费提供一次水果或纯牛奶或酸奶的，加2分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每年度免费提供一次水果或纯牛奶或酸奶的，加1分。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注1：水果或纯牛奶或酸奶等免费食品均为</w:t>
            </w:r>
            <w:r>
              <w:rPr>
                <w:rFonts w:hint="eastAsia" w:ascii="宋体" w:hAnsi="宋体" w:cs="宋体"/>
                <w:b/>
                <w:bCs/>
                <w:color w:val="auto"/>
                <w:highlight w:val="none"/>
                <w:lang w:eastAsia="zh-CN"/>
              </w:rPr>
              <w:t>国家法定</w:t>
            </w:r>
            <w:r>
              <w:rPr>
                <w:rFonts w:hint="eastAsia" w:ascii="宋体" w:hAnsi="宋体" w:eastAsia="宋体" w:cs="宋体"/>
                <w:b/>
                <w:bCs/>
                <w:color w:val="auto"/>
                <w:highlight w:val="none"/>
              </w:rPr>
              <w:t>工作日中餐就餐人员每人一份，水果应为新鲜水果，纯牛奶、酸奶须为200ML（含）以上的伊利、蒙牛、光明等知名品牌。</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注2：须提供承诺函，否则不计分。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原材料保障</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（20分）</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根据主要原材料产品质量进行评审：承诺在本项目服务期内使用二级以下压榨油且为用户需求书中要求的品牌的，计2分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承诺在本项目服务期内使用二级（含）压榨油且为用户需求书中要求的品牌的，计4分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承诺在本项目服务期内使用一级(含)以上压榨油且为用户需求书中要求的品牌的，计6分。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742"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根据主要原材料产品质量进行评审：承诺在本项目服务期内使用二级大米且为用户需求书中要求的品牌的，计2分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承诺在本项目服务期内使用一级大米且为用户需求书中要求的品牌的，计4分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承诺在本项目服务期内使用有机米的，计6分。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742"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拥有</w:t>
            </w:r>
            <w:r>
              <w:rPr>
                <w:rFonts w:hint="eastAsia" w:ascii="宋体" w:hAnsi="宋体" w:eastAsia="宋体" w:cs="宋体"/>
                <w:iCs/>
                <w:color w:val="auto"/>
                <w:highlight w:val="none"/>
              </w:rPr>
              <w:t>家畜类或</w:t>
            </w:r>
            <w:r>
              <w:rPr>
                <w:rFonts w:hint="eastAsia" w:ascii="宋体" w:hAnsi="宋体" w:eastAsia="宋体" w:cs="宋体"/>
                <w:color w:val="auto"/>
                <w:highlight w:val="none"/>
              </w:rPr>
              <w:t>家禽养殖场地或统一采购、配送中心的，计4分。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注:须提供场地证明材料原件</w:t>
            </w:r>
            <w:r>
              <w:rPr>
                <w:rFonts w:hint="eastAsia" w:ascii="宋体" w:hAnsi="宋体" w:cs="宋体"/>
                <w:b/>
                <w:bCs/>
                <w:color w:val="auto"/>
                <w:highlight w:val="none"/>
                <w:lang w:val="en-US" w:eastAsia="zh-CN"/>
              </w:rPr>
              <w:t>扫描件</w:t>
            </w:r>
            <w:r>
              <w:rPr>
                <w:rFonts w:hint="eastAsia" w:ascii="宋体" w:hAnsi="宋体" w:eastAsia="宋体" w:cs="宋体"/>
                <w:b/>
                <w:bCs/>
                <w:color w:val="auto"/>
                <w:highlight w:val="none"/>
              </w:rPr>
              <w:t>或合同原件</w:t>
            </w:r>
            <w:r>
              <w:rPr>
                <w:rFonts w:hint="eastAsia" w:ascii="宋体" w:hAnsi="宋体" w:cs="宋体"/>
                <w:b/>
                <w:bCs/>
                <w:color w:val="auto"/>
                <w:highlight w:val="none"/>
                <w:lang w:val="en-US" w:eastAsia="zh-CN"/>
              </w:rPr>
              <w:t>扫描件（须加盖谈判单位公章）</w:t>
            </w:r>
            <w:r>
              <w:rPr>
                <w:rFonts w:hint="eastAsia" w:ascii="宋体" w:hAnsi="宋体" w:eastAsia="宋体" w:cs="宋体"/>
                <w:b/>
                <w:bCs/>
                <w:color w:val="auto"/>
                <w:highlight w:val="none"/>
              </w:rPr>
              <w:t>，并提供承诺函，否则不计分。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74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拥有蔬菜种植场地或统一采购、配送中心的，计4分。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注:须提供场地证明材料原件</w:t>
            </w:r>
            <w:r>
              <w:rPr>
                <w:rFonts w:hint="eastAsia" w:ascii="宋体" w:hAnsi="宋体" w:cs="宋体"/>
                <w:b/>
                <w:bCs/>
                <w:color w:val="auto"/>
                <w:highlight w:val="none"/>
                <w:lang w:val="en-US" w:eastAsia="zh-CN"/>
              </w:rPr>
              <w:t>扫描件</w:t>
            </w:r>
            <w:r>
              <w:rPr>
                <w:rFonts w:hint="eastAsia" w:ascii="宋体" w:hAnsi="宋体" w:eastAsia="宋体" w:cs="宋体"/>
                <w:b/>
                <w:bCs/>
                <w:color w:val="auto"/>
                <w:highlight w:val="none"/>
              </w:rPr>
              <w:t>或合同原件</w:t>
            </w:r>
            <w:r>
              <w:rPr>
                <w:rFonts w:hint="eastAsia" w:ascii="宋体" w:hAnsi="宋体" w:cs="宋体"/>
                <w:b/>
                <w:bCs/>
                <w:color w:val="auto"/>
                <w:highlight w:val="none"/>
                <w:lang w:val="en-US" w:eastAsia="zh-CN"/>
              </w:rPr>
              <w:t>扫描件（须加盖谈判单位公章）</w:t>
            </w:r>
            <w:r>
              <w:rPr>
                <w:rFonts w:hint="eastAsia" w:ascii="宋体" w:hAnsi="宋体" w:eastAsia="宋体" w:cs="宋体"/>
                <w:b/>
                <w:bCs/>
                <w:color w:val="auto"/>
                <w:highlight w:val="none"/>
              </w:rPr>
              <w:t>，并提供承诺函，否则不计分。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合计</w:t>
            </w:r>
          </w:p>
        </w:tc>
        <w:tc>
          <w:tcPr>
            <w:tcW w:w="25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100分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w:t>
            </w:r>
          </w:p>
        </w:tc>
      </w:tr>
    </w:tbl>
    <w:p>
      <w:pPr>
        <w:ind w:firstLine="422" w:firstLineChars="200"/>
        <w:jc w:val="left"/>
        <w:rPr>
          <w:rFonts w:ascii="宋体" w:hAnsi="宋体" w:cs="宋体"/>
          <w:b/>
          <w:color w:val="auto"/>
          <w:highlight w:val="none"/>
        </w:rPr>
      </w:pPr>
    </w:p>
    <w:p>
      <w:pPr>
        <w:keepNext w:val="0"/>
        <w:keepLines w:val="0"/>
        <w:pageBreakBefore w:val="0"/>
        <w:kinsoku/>
        <w:wordWrap/>
        <w:overflowPunct/>
        <w:topLinePunct w:val="0"/>
        <w:autoSpaceDE/>
        <w:autoSpaceDN/>
        <w:bidi w:val="0"/>
        <w:spacing w:line="400" w:lineRule="exact"/>
        <w:ind w:firstLine="422" w:firstLineChars="200"/>
        <w:jc w:val="both"/>
        <w:textAlignment w:val="auto"/>
        <w:rPr>
          <w:rFonts w:ascii="宋体" w:hAnsi="宋体" w:cs="宋体"/>
          <w:b/>
          <w:color w:val="auto"/>
          <w:highlight w:val="none"/>
        </w:rPr>
      </w:pPr>
      <w:r>
        <w:rPr>
          <w:rFonts w:hint="eastAsia" w:ascii="宋体" w:hAnsi="宋体" w:cs="宋体"/>
          <w:b/>
          <w:color w:val="auto"/>
          <w:highlight w:val="none"/>
        </w:rPr>
        <w:t>评审说明：</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kinsoku/>
        <w:wordWrap/>
        <w:overflowPunct/>
        <w:topLinePunct w:val="0"/>
        <w:autoSpaceDE/>
        <w:autoSpaceDN/>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bCs/>
          <w:color w:val="auto"/>
          <w:highlight w:val="none"/>
        </w:rPr>
        <w:t>（2）加分业绩是指</w:t>
      </w:r>
      <w:r>
        <w:rPr>
          <w:rFonts w:hint="eastAsia" w:ascii="宋体" w:hAnsi="宋体" w:cs="宋体"/>
          <w:color w:val="auto"/>
          <w:highlight w:val="none"/>
        </w:rPr>
        <w:t>谈判单位在提交响应文件截止之日前36个月内须具有单项合同就餐人数</w:t>
      </w:r>
      <w:r>
        <w:rPr>
          <w:rFonts w:ascii="宋体" w:hAnsi="宋体" w:cs="宋体"/>
          <w:color w:val="auto"/>
          <w:highlight w:val="none"/>
        </w:rPr>
        <w:t>1</w:t>
      </w:r>
      <w:r>
        <w:rPr>
          <w:rFonts w:hint="eastAsia" w:ascii="宋体" w:hAnsi="宋体" w:cs="宋体"/>
          <w:color w:val="auto"/>
          <w:highlight w:val="none"/>
        </w:rPr>
        <w:t>00人/天（含）以上的餐饮服务业绩。不接受联合体业绩、港澳台或境外业绩。</w:t>
      </w:r>
    </w:p>
    <w:p>
      <w:pPr>
        <w:keepNext w:val="0"/>
        <w:keepLines w:val="0"/>
        <w:pageBreakBefore w:val="0"/>
        <w:widowControl/>
        <w:kinsoku/>
        <w:wordWrap/>
        <w:overflowPunct/>
        <w:topLinePunct w:val="0"/>
        <w:autoSpaceDE/>
        <w:autoSpaceDN/>
        <w:bidi w:val="0"/>
        <w:spacing w:line="400" w:lineRule="exact"/>
        <w:ind w:firstLine="420" w:firstLineChars="200"/>
        <w:jc w:val="both"/>
        <w:textAlignment w:val="auto"/>
        <w:rPr>
          <w:rFonts w:hint="eastAsia"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
        <w:keepNext w:val="0"/>
        <w:spacing w:line="360" w:lineRule="auto"/>
        <w:rPr>
          <w:rFonts w:ascii="宋体" w:hAnsi="宋体" w:cs="宋体"/>
          <w:bCs w:val="0"/>
          <w:color w:val="auto"/>
          <w:sz w:val="32"/>
          <w:szCs w:val="32"/>
          <w:highlight w:val="none"/>
        </w:rPr>
        <w:sectPr>
          <w:pgSz w:w="11906" w:h="16838"/>
          <w:pgMar w:top="2098" w:right="1474" w:bottom="1984" w:left="1587" w:header="851" w:footer="992" w:gutter="0"/>
          <w:pgNumType w:fmt="decimal"/>
          <w:cols w:space="0" w:num="1"/>
          <w:docGrid w:type="lines" w:linePitch="319" w:charSpace="0"/>
        </w:sectPr>
      </w:pPr>
      <w:bookmarkStart w:id="84" w:name="_Toc18202"/>
      <w:bookmarkStart w:id="85" w:name="_Toc14891077"/>
      <w:bookmarkStart w:id="86" w:name="_Toc23442"/>
      <w:bookmarkStart w:id="87" w:name="_Toc17997"/>
      <w:bookmarkStart w:id="88" w:name="_Toc17562"/>
      <w:bookmarkStart w:id="89" w:name="_Toc7204"/>
    </w:p>
    <w:p>
      <w:pPr>
        <w:pStyle w:val="3"/>
        <w:keepNext w:val="0"/>
        <w:spacing w:line="360" w:lineRule="auto"/>
        <w:rPr>
          <w:rFonts w:ascii="宋体" w:hAnsi="宋体" w:cs="宋体"/>
          <w:bCs w:val="0"/>
          <w:color w:val="auto"/>
          <w:sz w:val="32"/>
          <w:szCs w:val="32"/>
          <w:highlight w:val="none"/>
        </w:rPr>
      </w:pPr>
      <w:bookmarkStart w:id="90" w:name="_Toc25177"/>
      <w:bookmarkStart w:id="91" w:name="_Toc23694"/>
      <w:r>
        <w:rPr>
          <w:rFonts w:hint="eastAsia" w:ascii="宋体" w:hAnsi="宋体" w:cs="宋体"/>
          <w:bCs w:val="0"/>
          <w:color w:val="auto"/>
          <w:sz w:val="32"/>
          <w:szCs w:val="32"/>
          <w:highlight w:val="none"/>
        </w:rPr>
        <w:t>第四章  用户需求书</w:t>
      </w:r>
      <w:bookmarkEnd w:id="84"/>
      <w:bookmarkEnd w:id="85"/>
      <w:bookmarkEnd w:id="86"/>
      <w:bookmarkEnd w:id="87"/>
      <w:bookmarkEnd w:id="88"/>
      <w:r>
        <w:rPr>
          <w:rFonts w:hint="eastAsia" w:ascii="宋体" w:hAnsi="宋体" w:cs="宋体"/>
          <w:bCs w:val="0"/>
          <w:color w:val="auto"/>
          <w:sz w:val="32"/>
          <w:szCs w:val="32"/>
          <w:highlight w:val="none"/>
        </w:rPr>
        <w:t>（另册）</w:t>
      </w:r>
      <w:bookmarkEnd w:id="89"/>
      <w:bookmarkEnd w:id="90"/>
      <w:bookmarkEnd w:id="91"/>
    </w:p>
    <w:p>
      <w:pPr>
        <w:spacing w:line="360" w:lineRule="auto"/>
        <w:rPr>
          <w:color w:val="auto"/>
          <w:highlight w:val="none"/>
        </w:rPr>
      </w:pPr>
    </w:p>
    <w:p>
      <w:pPr>
        <w:pStyle w:val="2"/>
        <w:spacing w:line="360" w:lineRule="auto"/>
        <w:ind w:left="0" w:leftChars="0"/>
        <w:rPr>
          <w:rFonts w:ascii="宋体" w:hAnsi="宋体" w:cs="宋体"/>
          <w:color w:val="auto"/>
          <w:highlight w:val="none"/>
        </w:rPr>
        <w:sectPr>
          <w:pgSz w:w="11906" w:h="16838"/>
          <w:pgMar w:top="2098" w:right="1474" w:bottom="1984" w:left="1587" w:header="851" w:footer="992" w:gutter="0"/>
          <w:pgNumType w:fmt="decimal"/>
          <w:cols w:space="0" w:num="1"/>
          <w:docGrid w:type="lines" w:linePitch="319" w:charSpace="0"/>
        </w:sectPr>
      </w:pPr>
      <w:r>
        <w:rPr>
          <w:rFonts w:hint="eastAsia" w:ascii="宋体" w:hAnsi="宋体" w:cs="宋体"/>
          <w:color w:val="auto"/>
          <w:highlight w:val="none"/>
        </w:rPr>
        <w:t>用户需求书详见本项目谈判邀请公告附件：</w:t>
      </w:r>
      <w:r>
        <w:rPr>
          <w:rFonts w:hint="eastAsia" w:ascii="宋体" w:hAnsi="宋体" w:cs="宋体"/>
          <w:color w:val="auto"/>
          <w:highlight w:val="none"/>
          <w:u w:val="single"/>
        </w:rPr>
        <w:t>长沙市轨道交通5号线、西环线运营期2023-2025年水渡河车辆段、九华车辆基地食堂委外经营服务项目</w:t>
      </w:r>
      <w:r>
        <w:rPr>
          <w:rFonts w:hint="eastAsia" w:ascii="宋体" w:hAnsi="宋体" w:cs="宋体"/>
          <w:color w:val="auto"/>
          <w:highlight w:val="none"/>
        </w:rPr>
        <w:t>用户需求书。</w:t>
      </w:r>
    </w:p>
    <w:p>
      <w:pPr>
        <w:pStyle w:val="3"/>
        <w:keepNext w:val="0"/>
        <w:outlineLvl w:val="0"/>
        <w:rPr>
          <w:rFonts w:ascii="宋体" w:hAnsi="宋体" w:cs="宋体"/>
          <w:bCs w:val="0"/>
          <w:color w:val="auto"/>
          <w:sz w:val="32"/>
          <w:szCs w:val="32"/>
          <w:highlight w:val="none"/>
        </w:rPr>
      </w:pPr>
      <w:bookmarkStart w:id="92" w:name="_Toc27478"/>
      <w:bookmarkStart w:id="93" w:name="_Toc11311"/>
      <w:bookmarkStart w:id="94" w:name="_Toc19554"/>
      <w:bookmarkStart w:id="95" w:name="_Toc14891078"/>
      <w:bookmarkStart w:id="96" w:name="_Toc22262"/>
      <w:bookmarkStart w:id="97" w:name="_Toc13521"/>
      <w:bookmarkStart w:id="98" w:name="_Toc17441"/>
      <w:bookmarkStart w:id="99" w:name="_Toc29076"/>
      <w:r>
        <w:rPr>
          <w:rFonts w:hint="eastAsia" w:ascii="宋体" w:hAnsi="宋体" w:cs="宋体"/>
          <w:bCs w:val="0"/>
          <w:color w:val="auto"/>
          <w:sz w:val="32"/>
          <w:szCs w:val="32"/>
          <w:highlight w:val="none"/>
        </w:rPr>
        <w:t>第五章  合同格式条款</w:t>
      </w:r>
      <w:bookmarkEnd w:id="92"/>
      <w:bookmarkEnd w:id="93"/>
      <w:bookmarkEnd w:id="94"/>
      <w:bookmarkEnd w:id="95"/>
      <w:bookmarkEnd w:id="96"/>
      <w:bookmarkEnd w:id="97"/>
      <w:bookmarkEnd w:id="98"/>
      <w:bookmarkEnd w:id="99"/>
    </w:p>
    <w:p>
      <w:pPr>
        <w:adjustRightInd w:val="0"/>
        <w:snapToGrid w:val="0"/>
        <w:spacing w:line="360" w:lineRule="auto"/>
        <w:ind w:firstLine="2880" w:firstLineChars="1200"/>
        <w:jc w:val="right"/>
        <w:rPr>
          <w:rFonts w:ascii="仿宋" w:hAnsi="仿宋" w:eastAsia="仿宋"/>
          <w:sz w:val="22"/>
          <w:szCs w:val="18"/>
        </w:rPr>
      </w:pPr>
      <w:bookmarkStart w:id="100" w:name="_Toc29654"/>
      <w:bookmarkStart w:id="101" w:name="_Toc18525"/>
      <w:bookmarkStart w:id="102" w:name="_Toc5097"/>
      <w:bookmarkStart w:id="103" w:name="_Toc20891"/>
      <w:r>
        <w:rPr>
          <w:rFonts w:hint="eastAsia" w:ascii="仿宋_GB2312" w:hAnsi="仿宋_GB2312" w:eastAsia="仿宋_GB2312" w:cs="仿宋_GB2312"/>
          <w:sz w:val="24"/>
        </w:rPr>
        <w:t>合同编号:</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合</w:t>
      </w:r>
      <w:r>
        <w:rPr>
          <w:rFonts w:hint="eastAsia" w:ascii="仿宋_GB2312" w:hAnsi="仿宋_GB2312" w:cs="仿宋_GB2312"/>
          <w:sz w:val="24"/>
          <w:lang w:val="en-US" w:eastAsia="zh-CN"/>
        </w:rPr>
        <w:t>同</w:t>
      </w:r>
      <w:r>
        <w:rPr>
          <w:rFonts w:hint="eastAsia" w:ascii="仿宋_GB2312" w:hAnsi="仿宋_GB2312" w:eastAsia="仿宋_GB2312" w:cs="仿宋_GB2312"/>
          <w:sz w:val="24"/>
        </w:rPr>
        <w:t>[20</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号</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spacing w:afterLines="0" w:line="360" w:lineRule="auto"/>
        <w:ind w:left="1892" w:leftChars="232" w:hanging="1405" w:hangingChars="500"/>
        <w:jc w:val="both"/>
        <w:rPr>
          <w:rFonts w:hint="default" w:ascii="仿宋_GB2312" w:hAnsi="仿宋_GB2312" w:eastAsia="仿宋_GB2312" w:cs="仿宋_GB2312"/>
          <w:b/>
          <w:sz w:val="28"/>
          <w:szCs w:val="28"/>
          <w:lang w:val="en-US"/>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cs="仿宋_GB2312"/>
          <w:b/>
          <w:sz w:val="28"/>
          <w:szCs w:val="28"/>
          <w:highlight w:val="none"/>
          <w:u w:val="dotted"/>
          <w:lang w:val="en-US" w:eastAsia="zh-CN"/>
        </w:rPr>
        <w:t>长沙市轨道交通5号线、西环线运营期2023-2025年水渡河车辆段、九华车辆基地食堂委外经营服务项目</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r>
        <w:rPr>
          <w:rFonts w:hint="eastAsia" w:ascii="仿宋_GB2312" w:hAnsi="仿宋_GB2312" w:eastAsia="仿宋_GB2312" w:cs="仿宋_GB2312"/>
          <w:b/>
          <w:sz w:val="28"/>
          <w:szCs w:val="28"/>
        </w:rPr>
        <w:t xml:space="preserve">    </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cs="仿宋_GB2312"/>
          <w:b/>
          <w:sz w:val="28"/>
          <w:szCs w:val="28"/>
          <w:u w:val="dotted"/>
          <w:lang w:val="en-US" w:eastAsia="zh-CN"/>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长沙市轨道交通五号线建设发展有限公司</w:t>
      </w:r>
    </w:p>
    <w:p>
      <w:pPr>
        <w:adjustRightInd w:val="0"/>
        <w:snapToGrid w:val="0"/>
        <w:spacing w:afterLines="0" w:line="360" w:lineRule="auto"/>
        <w:ind w:firstLine="1405" w:firstLineChars="500"/>
        <w:jc w:val="left"/>
        <w:rPr>
          <w:rFonts w:hint="eastAsia" w:ascii="仿宋_GB2312" w:hAnsi="仿宋_GB2312" w:eastAsia="仿宋_GB2312" w:cs="仿宋_GB2312"/>
          <w:b/>
          <w:sz w:val="28"/>
          <w:szCs w:val="28"/>
        </w:rPr>
      </w:pPr>
      <w:r>
        <w:rPr>
          <w:rFonts w:hint="eastAsia" w:ascii="仿宋_GB2312" w:hAnsi="仿宋_GB2312" w:cs="仿宋_GB2312"/>
          <w:b/>
          <w:sz w:val="28"/>
          <w:szCs w:val="28"/>
          <w:u w:val="dotted"/>
          <w:lang w:val="en-US" w:eastAsia="zh-CN"/>
        </w:rPr>
        <w:t>长沙市轨道交通运营有限公司</w:t>
      </w:r>
      <w:r>
        <w:rPr>
          <w:rFonts w:hint="eastAsia" w:ascii="仿宋_GB2312" w:hAnsi="仿宋_GB2312" w:eastAsia="仿宋_GB2312" w:cs="仿宋_GB2312"/>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jc w:val="center"/>
        <w:outlineLvl w:val="0"/>
        <w:rPr>
          <w:rFonts w:hint="eastAsia" w:ascii="仿宋_GB2312" w:hAnsi="仿宋_GB2312" w:eastAsia="仿宋_GB2312" w:cs="仿宋_GB2312"/>
          <w:b/>
          <w:sz w:val="32"/>
          <w:szCs w:val="32"/>
        </w:rPr>
        <w:sectPr>
          <w:pgSz w:w="11850" w:h="16783"/>
          <w:pgMar w:top="1440" w:right="1361" w:bottom="1440" w:left="1474" w:header="851" w:footer="992" w:gutter="0"/>
          <w:pgNumType w:fmt="decimal"/>
          <w:cols w:space="720" w:num="1"/>
          <w:titlePg/>
          <w:docGrid w:type="lines" w:linePitch="312" w:charSpace="0"/>
        </w:sectPr>
      </w:pPr>
      <w:bookmarkStart w:id="104" w:name="_Toc4531"/>
      <w:bookmarkStart w:id="105" w:name="_Toc4975"/>
    </w:p>
    <w:p>
      <w:pPr>
        <w:jc w:val="center"/>
        <w:outlineLvl w:val="9"/>
        <w:rPr>
          <w:rFonts w:hint="eastAsia" w:ascii="仿宋" w:hAnsi="仿宋" w:eastAsia="仿宋"/>
          <w:b/>
          <w:sz w:val="32"/>
          <w:szCs w:val="32"/>
        </w:rPr>
      </w:pPr>
      <w:bookmarkStart w:id="106" w:name="_Toc4014"/>
      <w:r>
        <w:rPr>
          <w:rFonts w:hint="eastAsia" w:ascii="仿宋_GB2312" w:hAnsi="仿宋_GB2312" w:eastAsia="仿宋_GB2312" w:cs="仿宋_GB2312"/>
          <w:b/>
          <w:sz w:val="32"/>
          <w:szCs w:val="32"/>
        </w:rPr>
        <w:t>第一部分 合同协议书</w:t>
      </w:r>
      <w:bookmarkEnd w:id="104"/>
      <w:bookmarkEnd w:id="105"/>
      <w:bookmarkEnd w:id="106"/>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_GB2312" w:hAnsi="宋体" w:eastAsia="仿宋_GB2312"/>
          <w:sz w:val="24"/>
          <w:u w:val="single"/>
        </w:rPr>
      </w:pPr>
      <w:r>
        <w:rPr>
          <w:rFonts w:hint="eastAsia" w:ascii="仿宋_GB2312" w:hAnsi="宋体" w:eastAsia="仿宋_GB2312"/>
          <w:sz w:val="24"/>
        </w:rPr>
        <w:t xml:space="preserve">甲方（委托方）：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长沙市轨道交通五号线建设发展有限公司</w:t>
      </w:r>
      <w:r>
        <w:rPr>
          <w:rFonts w:hint="eastAsia" w:ascii="仿宋_GB2312" w:hAnsi="宋体"/>
          <w:sz w:val="24"/>
          <w:u w:val="single"/>
          <w:lang w:val="en-US" w:eastAsia="zh-CN"/>
        </w:rPr>
        <w:t>、</w:t>
      </w:r>
      <w:r>
        <w:rPr>
          <w:rFonts w:hint="eastAsia" w:ascii="仿宋_GB2312" w:hAnsi="宋体" w:eastAsia="仿宋_GB2312"/>
          <w:sz w:val="24"/>
          <w:u w:val="single"/>
          <w:lang w:val="en-US" w:eastAsia="zh-CN"/>
        </w:rPr>
        <w:t>长沙市轨道交通运营有限公司</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_GB2312" w:hAnsi="宋体" w:eastAsia="仿宋_GB2312"/>
          <w:sz w:val="24"/>
        </w:rPr>
      </w:pPr>
      <w:r>
        <w:rPr>
          <w:rFonts w:hint="eastAsia" w:ascii="仿宋_GB2312" w:hAnsi="宋体" w:eastAsia="仿宋_GB2312"/>
          <w:sz w:val="24"/>
        </w:rPr>
        <w:t xml:space="preserve">乙方（受托方）：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highlight w:val="none"/>
          <w:lang w:eastAsia="zh-CN"/>
        </w:rPr>
      </w:pPr>
      <w:r>
        <w:rPr>
          <w:rFonts w:hint="eastAsia" w:ascii="仿宋_GB2312" w:hAnsi="宋体" w:eastAsia="仿宋_GB2312" w:cs="宋体"/>
          <w:bCs/>
          <w:sz w:val="24"/>
          <w:lang w:eastAsia="zh-CN"/>
        </w:rPr>
        <w:t>为了保护甲、乙双方合法权益，根据《中华人民共和国民法典》及其他有关法律法规、规章</w:t>
      </w:r>
      <w:r>
        <w:rPr>
          <w:rFonts w:hint="eastAsia" w:ascii="仿宋_GB2312" w:hAnsi="宋体" w:eastAsia="仿宋_GB2312" w:cs="宋体"/>
          <w:bCs/>
          <w:sz w:val="24"/>
          <w:lang w:val="en-US" w:eastAsia="zh-CN"/>
        </w:rPr>
        <w:t>的规定</w:t>
      </w:r>
      <w:r>
        <w:rPr>
          <w:rFonts w:hint="eastAsia" w:ascii="仿宋_GB2312" w:hAnsi="宋体" w:eastAsia="仿宋_GB2312" w:cs="宋体"/>
          <w:bCs/>
          <w:sz w:val="24"/>
          <w:lang w:eastAsia="zh-CN"/>
        </w:rPr>
        <w:t>，双方经过平等协商，在真实、充分地表达各自意愿的基础上，达成如下协议，并由双方共同恪守。</w:t>
      </w:r>
    </w:p>
    <w:p>
      <w:pPr>
        <w:keepNext w:val="0"/>
        <w:keepLines w:val="0"/>
        <w:pageBreakBefore w:val="0"/>
        <w:widowControl/>
        <w:kinsoku/>
        <w:wordWrap/>
        <w:overflowPunct/>
        <w:topLinePunct w:val="0"/>
        <w:autoSpaceDE w:val="0"/>
        <w:autoSpaceDN w:val="0"/>
        <w:bidi w:val="0"/>
        <w:adjustRightInd w:val="0"/>
        <w:snapToGrid/>
        <w:spacing w:before="238" w:beforeLines="50" w:line="400" w:lineRule="exact"/>
        <w:ind w:left="0" w:leftChars="0" w:right="0" w:rightChars="0" w:firstLine="0" w:firstLineChars="0"/>
        <w:jc w:val="left"/>
        <w:textAlignment w:val="auto"/>
        <w:outlineLvl w:val="9"/>
        <w:rPr>
          <w:rFonts w:ascii="仿宋_GB2312" w:eastAsia="仿宋_GB2312"/>
          <w:b/>
          <w:bCs/>
          <w:sz w:val="24"/>
        </w:rPr>
      </w:pPr>
      <w:bookmarkStart w:id="107" w:name="_Toc26896"/>
      <w:bookmarkStart w:id="108" w:name="_Toc26171"/>
      <w:bookmarkStart w:id="109" w:name="_Toc32742"/>
      <w:bookmarkStart w:id="110" w:name="_Toc32562"/>
      <w:bookmarkStart w:id="111" w:name="_Toc17907"/>
      <w:r>
        <w:rPr>
          <w:rFonts w:hint="eastAsia" w:ascii="仿宋_GB2312" w:eastAsia="仿宋_GB2312"/>
          <w:b/>
          <w:bCs/>
          <w:sz w:val="24"/>
        </w:rPr>
        <w:t>一</w:t>
      </w:r>
      <w:r>
        <w:rPr>
          <w:rFonts w:hint="eastAsia" w:ascii="仿宋_GB2312"/>
          <w:b/>
          <w:bCs/>
          <w:sz w:val="24"/>
          <w:lang w:eastAsia="zh-CN"/>
        </w:rPr>
        <w:t>、</w:t>
      </w:r>
      <w:r>
        <w:rPr>
          <w:rFonts w:hint="eastAsia" w:ascii="仿宋_GB2312" w:eastAsia="仿宋_GB2312"/>
          <w:b/>
          <w:bCs/>
          <w:sz w:val="24"/>
        </w:rPr>
        <w:t>项目概况</w:t>
      </w:r>
      <w:bookmarkEnd w:id="107"/>
      <w:bookmarkEnd w:id="108"/>
      <w:bookmarkEnd w:id="109"/>
      <w:bookmarkEnd w:id="110"/>
      <w:bookmarkEnd w:id="111"/>
    </w:p>
    <w:p>
      <w:pPr>
        <w:keepNext w:val="0"/>
        <w:keepLines w:val="0"/>
        <w:pageBreakBefore w:val="0"/>
        <w:widowControl/>
        <w:kinsoku/>
        <w:wordWrap/>
        <w:overflowPunct/>
        <w:topLinePunct w:val="0"/>
        <w:autoSpaceDE w:val="0"/>
        <w:autoSpaceDN w:val="0"/>
        <w:bidi w:val="0"/>
        <w:adjustRightInd w:val="0"/>
        <w:spacing w:line="400" w:lineRule="exact"/>
        <w:ind w:left="429" w:leftChars="200" w:hanging="9" w:hangingChars="4"/>
        <w:jc w:val="left"/>
        <w:textAlignment w:val="auto"/>
        <w:outlineLvl w:val="9"/>
        <w:rPr>
          <w:rFonts w:ascii="仿宋_GB2312" w:eastAsia="仿宋_GB2312"/>
          <w:bCs/>
          <w:sz w:val="24"/>
        </w:rPr>
      </w:pPr>
      <w:r>
        <w:rPr>
          <w:rFonts w:hint="eastAsia" w:ascii="仿宋_GB2312" w:eastAsia="仿宋_GB2312"/>
          <w:bCs/>
          <w:sz w:val="24"/>
        </w:rPr>
        <w:t>1、</w:t>
      </w:r>
      <w:r>
        <w:rPr>
          <w:rFonts w:hint="eastAsia" w:ascii="仿宋_GB2312" w:hAnsi="宋体" w:eastAsia="仿宋_GB2312" w:cs="宋体"/>
          <w:bCs/>
          <w:sz w:val="24"/>
          <w:lang w:eastAsia="zh-CN"/>
        </w:rPr>
        <w:t>项目名称：</w:t>
      </w:r>
      <w:r>
        <w:rPr>
          <w:rFonts w:hint="eastAsia" w:ascii="仿宋_GB2312" w:hAnsi="宋体" w:eastAsia="仿宋_GB2312" w:cs="宋体"/>
          <w:bCs/>
          <w:sz w:val="24"/>
          <w:u w:val="single"/>
          <w:lang w:val="en-US" w:eastAsia="zh-CN"/>
        </w:rPr>
        <w:t>长沙市轨道交通5号线、西环线运营期2023-2025年水渡河车辆段、九华车辆基地食堂委外经营服务项目</w:t>
      </w:r>
    </w:p>
    <w:p>
      <w:pPr>
        <w:keepNext w:val="0"/>
        <w:keepLines w:val="0"/>
        <w:pageBreakBefore w:val="0"/>
        <w:kinsoku/>
        <w:wordWrap/>
        <w:overflowPunct/>
        <w:topLinePunct w:val="0"/>
        <w:bidi w:val="0"/>
        <w:spacing w:line="400" w:lineRule="exact"/>
        <w:ind w:firstLine="480" w:firstLineChars="200"/>
        <w:textAlignment w:val="auto"/>
        <w:outlineLvl w:val="9"/>
        <w:rPr>
          <w:rFonts w:hint="eastAsia" w:ascii="仿宋_GB2312" w:hAnsi="宋体" w:eastAsia="仿宋_GB2312"/>
          <w:sz w:val="24"/>
          <w:u w:val="single"/>
          <w:lang w:val="en-US" w:eastAsia="zh-CN"/>
        </w:rPr>
      </w:pPr>
      <w:r>
        <w:rPr>
          <w:rFonts w:hint="eastAsia" w:ascii="仿宋_GB2312"/>
          <w:bCs/>
          <w:sz w:val="24"/>
          <w:lang w:val="en-US" w:eastAsia="zh-CN"/>
        </w:rPr>
        <w:t>2、</w:t>
      </w:r>
      <w:r>
        <w:rPr>
          <w:rFonts w:hint="eastAsia" w:ascii="仿宋_GB2312" w:hAnsi="宋体" w:eastAsia="仿宋_GB2312" w:cs="宋体"/>
          <w:bCs/>
          <w:sz w:val="24"/>
          <w:lang w:val="en-US" w:eastAsia="zh-CN"/>
        </w:rPr>
        <w:t>项目地点</w:t>
      </w:r>
      <w:r>
        <w:rPr>
          <w:rFonts w:hint="eastAsia" w:ascii="仿宋_GB2312"/>
          <w:bCs/>
          <w:sz w:val="24"/>
          <w:lang w:val="en-US" w:eastAsia="zh-CN"/>
        </w:rPr>
        <w:t>：</w:t>
      </w:r>
      <w:r>
        <w:rPr>
          <w:rFonts w:hint="eastAsia" w:ascii="仿宋_GB2312" w:hAnsi="宋体" w:eastAsia="仿宋_GB2312" w:cs="宋体"/>
          <w:bCs/>
          <w:sz w:val="24"/>
          <w:u w:val="single"/>
          <w:lang w:val="en-US" w:eastAsia="zh-CN"/>
        </w:rPr>
        <w:t xml:space="preserve"> 湖南省长沙市 </w:t>
      </w:r>
    </w:p>
    <w:p>
      <w:pPr>
        <w:keepNext w:val="0"/>
        <w:keepLines w:val="0"/>
        <w:pageBreakBefore w:val="0"/>
        <w:kinsoku/>
        <w:wordWrap/>
        <w:overflowPunct/>
        <w:topLinePunct w:val="0"/>
        <w:bidi w:val="0"/>
        <w:spacing w:line="400" w:lineRule="exact"/>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宋体"/>
          <w:b/>
          <w:bCs/>
          <w:sz w:val="24"/>
          <w:u w:val="none"/>
          <w:lang w:val="en-US" w:eastAsia="zh-CN"/>
        </w:rPr>
        <w:t>二、</w:t>
      </w:r>
      <w:r>
        <w:rPr>
          <w:rFonts w:hint="eastAsia" w:ascii="仿宋_GB2312" w:hAnsi="仿宋_GB2312" w:cs="仿宋_GB2312"/>
          <w:b/>
          <w:bCs/>
          <w:color w:val="auto"/>
          <w:sz w:val="24"/>
          <w:szCs w:val="24"/>
          <w:highlight w:val="none"/>
          <w:lang w:val="en-US" w:eastAsia="zh-CN"/>
        </w:rPr>
        <w:t>合同范围及工作内容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宋体" w:eastAsia="仿宋_GB2312" w:cs="宋体"/>
          <w:bCs/>
          <w:sz w:val="24"/>
          <w:u w:val="single"/>
          <w:lang w:val="en-US" w:eastAsia="zh-CN"/>
        </w:rPr>
        <w:t xml:space="preserve">  以竞谈文件为准  ，</w:t>
      </w:r>
      <w:r>
        <w:rPr>
          <w:rFonts w:hint="eastAsia" w:ascii="仿宋_GB2312" w:hAnsi="宋体" w:eastAsia="仿宋_GB2312" w:cs="宋体"/>
          <w:bCs/>
          <w:sz w:val="24"/>
          <w:lang w:val="en-US" w:eastAsia="zh-CN"/>
        </w:rPr>
        <w:t>具体以用户需求书/技术规格书为准。</w:t>
      </w:r>
    </w:p>
    <w:p>
      <w:pPr>
        <w:keepNext w:val="0"/>
        <w:keepLines w:val="0"/>
        <w:pageBreakBefore w:val="0"/>
        <w:numPr>
          <w:ilvl w:val="0"/>
          <w:numId w:val="18"/>
        </w:numPr>
        <w:kinsoku/>
        <w:wordWrap/>
        <w:overflowPunct/>
        <w:topLinePunct w:val="0"/>
        <w:bidi w:val="0"/>
        <w:spacing w:line="360" w:lineRule="auto"/>
        <w:ind w:leftChars="0"/>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合同服务期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cs="仿宋_GB2312"/>
          <w:b w:val="0"/>
          <w:bCs w:val="0"/>
          <w:color w:val="auto"/>
          <w:sz w:val="24"/>
          <w:szCs w:val="24"/>
          <w:highlight w:val="none"/>
          <w:u w:val="none"/>
          <w:lang w:val="en-US" w:eastAsia="zh-CN"/>
        </w:rPr>
      </w:pPr>
      <w:r>
        <w:rPr>
          <w:rFonts w:hint="eastAsia" w:ascii="仿宋_GB2312" w:hAnsi="仿宋_GB2312" w:cs="仿宋_GB2312"/>
          <w:b w:val="0"/>
          <w:bCs w:val="0"/>
          <w:color w:val="auto"/>
          <w:sz w:val="24"/>
          <w:szCs w:val="24"/>
          <w:highlight w:val="none"/>
          <w:u w:val="single"/>
          <w:lang w:val="en-US" w:eastAsia="zh-CN"/>
        </w:rPr>
        <w:t xml:space="preserve">  </w:t>
      </w:r>
      <w:r>
        <w:rPr>
          <w:rFonts w:hint="eastAsia" w:ascii="仿宋_GB2312" w:hAnsi="宋体" w:eastAsia="仿宋_GB2312" w:cs="宋体"/>
          <w:bCs/>
          <w:sz w:val="24"/>
          <w:u w:val="single"/>
          <w:lang w:val="en-US" w:eastAsia="zh-CN"/>
        </w:rPr>
        <w:t xml:space="preserve">以竞谈文件为准  </w:t>
      </w:r>
      <w:r>
        <w:rPr>
          <w:rFonts w:hint="eastAsia" w:ascii="仿宋_GB2312" w:hAnsi="仿宋_GB2312" w:cs="仿宋_GB2312"/>
          <w:b w:val="0"/>
          <w:bCs w:val="0"/>
          <w:color w:val="auto"/>
          <w:sz w:val="24"/>
          <w:szCs w:val="24"/>
          <w:highlight w:val="none"/>
          <w:u w:val="single"/>
          <w:lang w:val="en-US" w:eastAsia="zh-CN"/>
        </w:rPr>
        <w:t xml:space="preserve">   </w:t>
      </w:r>
      <w:r>
        <w:rPr>
          <w:rFonts w:hint="eastAsia" w:ascii="仿宋_GB2312" w:hAnsi="仿宋_GB2312" w:cs="仿宋_GB2312"/>
          <w:b w:val="0"/>
          <w:bCs w:val="0"/>
          <w:color w:val="auto"/>
          <w:sz w:val="24"/>
          <w:szCs w:val="24"/>
          <w:highlight w:val="none"/>
          <w:u w:val="none"/>
          <w:lang w:val="en-US" w:eastAsia="zh-CN"/>
        </w:rPr>
        <w:t>，</w:t>
      </w:r>
      <w:r>
        <w:rPr>
          <w:rFonts w:hint="eastAsia" w:ascii="仿宋_GB2312" w:hAnsi="宋体" w:eastAsia="仿宋_GB2312" w:cs="宋体"/>
          <w:bCs/>
          <w:sz w:val="24"/>
          <w:lang w:val="en-US" w:eastAsia="zh-CN"/>
        </w:rPr>
        <w:t>具体以用户需求书/技术规格书为准。</w:t>
      </w:r>
    </w:p>
    <w:p>
      <w:pPr>
        <w:keepNext w:val="0"/>
        <w:keepLines w:val="0"/>
        <w:pageBreakBefore w:val="0"/>
        <w:numPr>
          <w:ilvl w:val="0"/>
          <w:numId w:val="18"/>
        </w:numPr>
        <w:kinsoku/>
        <w:wordWrap/>
        <w:overflowPunct/>
        <w:topLinePunct w:val="0"/>
        <w:bidi w:val="0"/>
        <w:spacing w:line="360" w:lineRule="auto"/>
        <w:ind w:left="0" w:leftChars="0" w:firstLine="0" w:firstLineChars="0"/>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cs="仿宋_GB2312"/>
          <w:b w:val="0"/>
          <w:bCs w:val="0"/>
          <w:color w:val="auto"/>
          <w:sz w:val="24"/>
          <w:szCs w:val="24"/>
          <w:highlight w:val="none"/>
          <w:u w:val="none"/>
          <w:lang w:val="en-US" w:eastAsia="zh-CN"/>
        </w:rPr>
      </w:pPr>
      <w:r>
        <w:rPr>
          <w:rFonts w:hint="eastAsia" w:ascii="仿宋_GB2312" w:hAnsi="仿宋_GB2312" w:eastAsia="仿宋_GB2312" w:cs="仿宋_GB2312"/>
          <w:sz w:val="24"/>
          <w:szCs w:val="24"/>
          <w:u w:val="single"/>
        </w:rPr>
        <w:t>合同价款根据实际刷卡数据、客餐和工作餐费用，按实结算。</w:t>
      </w:r>
    </w:p>
    <w:p>
      <w:pPr>
        <w:keepNext w:val="0"/>
        <w:keepLines w:val="0"/>
        <w:pageBreakBefore w:val="0"/>
        <w:widowControl/>
        <w:numPr>
          <w:ilvl w:val="0"/>
          <w:numId w:val="0"/>
        </w:numPr>
        <w:kinsoku/>
        <w:wordWrap/>
        <w:overflowPunct/>
        <w:topLinePunct w:val="0"/>
        <w:autoSpaceDE w:val="0"/>
        <w:autoSpaceDN w:val="0"/>
        <w:bidi w:val="0"/>
        <w:adjustRightInd w:val="0"/>
        <w:snapToGrid/>
        <w:spacing w:before="238" w:beforeLines="50" w:line="360" w:lineRule="auto"/>
        <w:ind w:leftChars="0" w:right="0" w:rightChars="0"/>
        <w:jc w:val="left"/>
        <w:textAlignment w:val="auto"/>
        <w:outlineLvl w:val="9"/>
        <w:rPr>
          <w:rFonts w:hint="eastAsia" w:ascii="仿宋_GB2312" w:hAnsi="宋体" w:eastAsia="仿宋_GB2312"/>
          <w:b/>
          <w:color w:val="000000"/>
          <w:sz w:val="24"/>
          <w:lang w:eastAsia="zh-CN"/>
        </w:rPr>
      </w:pPr>
      <w:bookmarkStart w:id="112" w:name="_Toc25652"/>
      <w:bookmarkStart w:id="113" w:name="_Toc7501"/>
      <w:bookmarkStart w:id="114" w:name="_Toc10509"/>
      <w:bookmarkStart w:id="115" w:name="_Toc27578"/>
      <w:bookmarkStart w:id="116" w:name="_Toc2971"/>
      <w:r>
        <w:rPr>
          <w:rFonts w:hint="eastAsia" w:ascii="仿宋_GB2312" w:hAnsi="宋体"/>
          <w:b/>
          <w:color w:val="000000"/>
          <w:sz w:val="24"/>
          <w:lang w:eastAsia="zh-CN"/>
        </w:rPr>
        <w:t>五、</w:t>
      </w:r>
      <w:r>
        <w:rPr>
          <w:rFonts w:hint="eastAsia" w:ascii="仿宋_GB2312" w:hAnsi="宋体" w:eastAsia="仿宋_GB2312"/>
          <w:b/>
          <w:color w:val="000000"/>
          <w:sz w:val="24"/>
          <w:lang w:eastAsia="zh-CN"/>
        </w:rPr>
        <w:t>合同文件</w:t>
      </w:r>
      <w:bookmarkEnd w:id="112"/>
      <w:bookmarkEnd w:id="113"/>
      <w:bookmarkEnd w:id="114"/>
      <w:bookmarkEnd w:id="115"/>
      <w:r>
        <w:rPr>
          <w:rFonts w:hint="eastAsia" w:ascii="仿宋_GB2312" w:hAnsi="宋体"/>
          <w:b/>
          <w:color w:val="000000"/>
          <w:sz w:val="24"/>
          <w:lang w:eastAsia="zh-CN"/>
        </w:rPr>
        <w:t>构成</w:t>
      </w:r>
      <w:bookmarkEnd w:id="116"/>
    </w:p>
    <w:p>
      <w:pPr>
        <w:keepNext w:val="0"/>
        <w:keepLines w:val="0"/>
        <w:pageBreakBefore w:val="0"/>
        <w:tabs>
          <w:tab w:val="left" w:pos="1248"/>
        </w:tabs>
        <w:kinsoku/>
        <w:wordWrap/>
        <w:overflowPunct/>
        <w:topLinePunct w:val="0"/>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rPr>
      </w:pPr>
      <w:bookmarkStart w:id="117" w:name="OLE_LINK11"/>
      <w:bookmarkStart w:id="118" w:name="OLE_LINK10"/>
      <w:r>
        <w:rPr>
          <w:rFonts w:hint="eastAsia" w:ascii="仿宋_GB2312" w:hAnsi="仿宋_GB2312" w:eastAsia="仿宋_GB2312" w:cs="仿宋_GB2312"/>
          <w:sz w:val="24"/>
        </w:rPr>
        <w:t>（1）</w:t>
      </w:r>
      <w:bookmarkEnd w:id="117"/>
      <w:bookmarkEnd w:id="118"/>
      <w:r>
        <w:rPr>
          <w:rFonts w:hint="eastAsia" w:ascii="仿宋_GB2312" w:hAnsi="仿宋_GB2312" w:eastAsia="仿宋_GB2312" w:cs="仿宋_GB2312"/>
          <w:sz w:val="24"/>
        </w:rPr>
        <w:t>补充协议（</w:t>
      </w:r>
      <w:bookmarkStart w:id="119" w:name="OLE_LINK12"/>
      <w:r>
        <w:rPr>
          <w:rFonts w:hint="eastAsia" w:ascii="仿宋_GB2312" w:hAnsi="仿宋_GB2312" w:eastAsia="仿宋_GB2312" w:cs="仿宋_GB2312"/>
          <w:sz w:val="24"/>
        </w:rPr>
        <w:t>如果有</w:t>
      </w:r>
      <w:bookmarkEnd w:id="119"/>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（3）中</w:t>
      </w:r>
      <w:r>
        <w:rPr>
          <w:rFonts w:hint="eastAsia" w:ascii="仿宋_GB2312" w:hAnsi="仿宋_GB2312" w:eastAsia="仿宋_GB2312" w:cs="仿宋_GB2312"/>
          <w:sz w:val="24"/>
          <w:lang w:eastAsia="zh-CN"/>
        </w:rPr>
        <w:t>选</w:t>
      </w:r>
      <w:r>
        <w:rPr>
          <w:rFonts w:hint="eastAsia" w:ascii="仿宋_GB2312" w:hAnsi="仿宋_GB2312" w:eastAsia="仿宋_GB2312" w:cs="仿宋_GB2312"/>
          <w:sz w:val="24"/>
        </w:rPr>
        <w:t>通知书;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（5）技术规格书;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（6）价格清单;</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（7）合同其他附件及乙方按合同附录格式及要求出具的文件;</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（8）</w:t>
      </w:r>
      <w:r>
        <w:rPr>
          <w:rFonts w:hint="eastAsia" w:ascii="仿宋_GB2312" w:hAnsi="仿宋_GB2312" w:eastAsia="仿宋_GB2312" w:cs="仿宋_GB2312"/>
          <w:sz w:val="24"/>
          <w:lang w:eastAsia="zh-CN"/>
        </w:rPr>
        <w:t>自主竞争性谈判</w:t>
      </w:r>
      <w:r>
        <w:rPr>
          <w:rFonts w:hint="eastAsia" w:ascii="仿宋_GB2312" w:hAnsi="仿宋_GB2312" w:eastAsia="仿宋_GB2312" w:cs="仿宋_GB2312"/>
          <w:sz w:val="24"/>
        </w:rPr>
        <w:t>文件、澄清与答疑文件及其它补充资料；</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（9）</w:t>
      </w:r>
      <w:r>
        <w:rPr>
          <w:rFonts w:hint="eastAsia" w:ascii="仿宋_GB2312" w:hAnsi="仿宋_GB2312" w:eastAsia="仿宋_GB2312" w:cs="仿宋_GB2312"/>
          <w:kern w:val="2"/>
          <w:sz w:val="24"/>
          <w:szCs w:val="21"/>
          <w:lang w:val="en-US" w:eastAsia="zh-CN" w:bidi="ar-SA"/>
        </w:rPr>
        <w:t>响应文件、澄清文件及其</w:t>
      </w:r>
      <w:r>
        <w:rPr>
          <w:rFonts w:hint="eastAsia" w:ascii="仿宋_GB2312" w:hAnsi="仿宋_GB2312" w:eastAsia="仿宋_GB2312" w:cs="仿宋_GB2312"/>
          <w:sz w:val="24"/>
        </w:rPr>
        <w:t>它补充资料；</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cs="仿宋_GB2312"/>
          <w:sz w:val="24"/>
          <w:lang w:val="en-US" w:eastAsia="zh-CN"/>
        </w:rPr>
        <w:t>0</w:t>
      </w:r>
      <w:r>
        <w:rPr>
          <w:rFonts w:hint="eastAsia" w:ascii="仿宋_GB2312" w:hAnsi="仿宋_GB2312" w:eastAsia="仿宋_GB2312" w:cs="仿宋_GB2312"/>
          <w:sz w:val="24"/>
        </w:rPr>
        <w:t>）其他构成本合同的文件。</w:t>
      </w:r>
    </w:p>
    <w:p>
      <w:pPr>
        <w:snapToGrid w:val="0"/>
        <w:spacing w:line="360" w:lineRule="auto"/>
        <w:ind w:firstLine="465"/>
        <w:outlineLvl w:val="9"/>
        <w:rPr>
          <w:rFonts w:hint="eastAsia"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outlineLvl w:val="9"/>
        <w:rPr>
          <w:rFonts w:hint="eastAsia" w:ascii="仿宋_GB2312" w:hAnsi="仿宋_GB2312" w:cs="仿宋_GB2312"/>
          <w:b/>
          <w:bCs/>
          <w:sz w:val="24"/>
          <w:lang w:eastAsia="zh-CN"/>
        </w:rPr>
      </w:pPr>
      <w:r>
        <w:rPr>
          <w:rFonts w:hint="eastAsia" w:ascii="仿宋_GB2312" w:hAnsi="仿宋_GB2312" w:cs="仿宋_GB2312"/>
          <w:b/>
          <w:bCs/>
          <w:sz w:val="24"/>
          <w:lang w:eastAsia="zh-CN"/>
        </w:rPr>
        <w:t>六、词语定义</w:t>
      </w:r>
    </w:p>
    <w:p>
      <w:pPr>
        <w:snapToGrid w:val="0"/>
        <w:spacing w:line="360" w:lineRule="auto"/>
        <w:ind w:firstLine="465"/>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本合同协议书中词语含义与合同条款中的词语含义相同</w:t>
      </w:r>
    </w:p>
    <w:p>
      <w:pPr>
        <w:numPr>
          <w:ilvl w:val="0"/>
          <w:numId w:val="0"/>
        </w:numPr>
        <w:snapToGrid w:val="0"/>
        <w:spacing w:line="360" w:lineRule="auto"/>
        <w:ind w:leftChars="0"/>
        <w:outlineLvl w:val="9"/>
        <w:rPr>
          <w:rFonts w:hint="eastAsia" w:ascii="仿宋_GB2312" w:hAnsi="仿宋_GB2312" w:eastAsia="仿宋_GB2312" w:cs="仿宋_GB2312"/>
          <w:b/>
          <w:bCs/>
          <w:sz w:val="24"/>
          <w:lang w:eastAsia="zh-CN"/>
        </w:rPr>
      </w:pPr>
      <w:bookmarkStart w:id="120" w:name="_Toc18851"/>
      <w:bookmarkStart w:id="121" w:name="_Toc20080"/>
      <w:bookmarkStart w:id="122" w:name="_Toc16969"/>
      <w:bookmarkStart w:id="123" w:name="_Toc20743"/>
      <w:bookmarkStart w:id="124" w:name="_Toc27696"/>
      <w:r>
        <w:rPr>
          <w:rFonts w:hint="eastAsia" w:ascii="仿宋_GB2312" w:hAnsi="仿宋_GB2312" w:cs="仿宋_GB2312"/>
          <w:b/>
          <w:bCs/>
          <w:sz w:val="24"/>
          <w:lang w:eastAsia="zh-CN"/>
        </w:rPr>
        <w:t>七、</w:t>
      </w:r>
      <w:bookmarkEnd w:id="120"/>
      <w:bookmarkEnd w:id="121"/>
      <w:bookmarkEnd w:id="122"/>
      <w:bookmarkEnd w:id="123"/>
      <w:r>
        <w:rPr>
          <w:rFonts w:hint="eastAsia" w:ascii="仿宋_GB2312" w:hAnsi="仿宋_GB2312" w:cs="仿宋_GB2312"/>
          <w:b/>
          <w:bCs/>
          <w:sz w:val="24"/>
          <w:lang w:eastAsia="zh-CN"/>
        </w:rPr>
        <w:t>签订时间</w:t>
      </w:r>
      <w:bookmarkEnd w:id="124"/>
    </w:p>
    <w:p>
      <w:pPr>
        <w:snapToGrid w:val="0"/>
        <w:spacing w:line="360" w:lineRule="auto"/>
        <w:ind w:firstLine="465"/>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本合同于</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年</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月</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仿宋_GB2312" w:hAnsi="仿宋_GB2312" w:cs="仿宋_GB2312"/>
          <w:b w:val="0"/>
          <w:bCs w:val="0"/>
          <w:sz w:val="24"/>
          <w:u w:val="none"/>
          <w:lang w:val="en-US" w:eastAsia="zh-CN"/>
        </w:rPr>
      </w:pPr>
      <w:r>
        <w:rPr>
          <w:rFonts w:hint="eastAsia" w:ascii="仿宋_GB2312" w:hAnsi="仿宋_GB2312" w:cs="仿宋_GB2312"/>
          <w:b w:val="0"/>
          <w:bCs w:val="0"/>
          <w:sz w:val="24"/>
          <w:u w:val="none"/>
          <w:lang w:val="en-US" w:eastAsia="zh-CN"/>
        </w:rPr>
        <w:t>八、签订地点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仿宋_GB2312" w:eastAsia="仿宋_GB2312" w:cs="仿宋_GB2312"/>
          <w:b w:val="0"/>
          <w:bCs w:val="0"/>
          <w:sz w:val="24"/>
          <w:u w:val="none"/>
          <w:lang w:val="en-US" w:eastAsia="zh-CN"/>
        </w:rPr>
      </w:pPr>
      <w:r>
        <w:rPr>
          <w:rFonts w:hint="eastAsia" w:ascii="仿宋_GB2312" w:hAnsi="仿宋_GB2312" w:eastAsia="仿宋_GB2312" w:cs="仿宋_GB2312"/>
          <w:sz w:val="24"/>
          <w:lang w:val="en-US" w:eastAsia="zh-CN"/>
        </w:rPr>
        <w:t>本合同在</w:t>
      </w:r>
      <w:r>
        <w:rPr>
          <w:rFonts w:hint="eastAsia" w:ascii="仿宋_GB2312" w:hAnsi="仿宋_GB2312" w:eastAsia="仿宋_GB2312" w:cs="仿宋_GB2312"/>
          <w:b w:val="0"/>
          <w:bCs w:val="0"/>
          <w:sz w:val="24"/>
          <w:u w:val="single"/>
          <w:lang w:val="en-US" w:eastAsia="zh-CN"/>
        </w:rPr>
        <w:t>湖南省长沙市雨花区</w:t>
      </w:r>
      <w:r>
        <w:rPr>
          <w:rFonts w:hint="eastAsia" w:ascii="仿宋_GB2312" w:hAnsi="仿宋_GB2312" w:eastAsia="仿宋_GB2312" w:cs="仿宋_GB2312"/>
          <w:sz w:val="24"/>
          <w:lang w:val="en-US" w:eastAsia="zh-CN"/>
        </w:rPr>
        <w:t>签订。</w:t>
      </w:r>
    </w:p>
    <w:p>
      <w:pPr>
        <w:tabs>
          <w:tab w:val="left" w:pos="1248"/>
        </w:tabs>
        <w:adjustRightInd w:val="0"/>
        <w:snapToGrid w:val="0"/>
        <w:spacing w:line="360" w:lineRule="auto"/>
        <w:outlineLvl w:val="9"/>
        <w:rPr>
          <w:rFonts w:hint="eastAsia" w:ascii="仿宋_GB2312" w:hAnsi="仿宋_GB2312" w:eastAsia="仿宋_GB2312" w:cs="仿宋_GB2312"/>
          <w:b/>
          <w:sz w:val="24"/>
          <w:lang w:eastAsia="zh-CN" w:bidi="ar"/>
        </w:rPr>
      </w:pPr>
      <w:bookmarkStart w:id="125" w:name="_Toc28722"/>
      <w:bookmarkStart w:id="126" w:name="_Toc29493"/>
      <w:bookmarkStart w:id="127" w:name="_Toc29235"/>
      <w:bookmarkStart w:id="128" w:name="_Toc10412"/>
      <w:bookmarkStart w:id="129" w:name="_Toc13557"/>
      <w:r>
        <w:rPr>
          <w:rFonts w:hint="eastAsia" w:ascii="仿宋_GB2312" w:hAnsi="仿宋_GB2312" w:cs="仿宋_GB2312"/>
          <w:b/>
          <w:sz w:val="24"/>
          <w:lang w:eastAsia="zh-CN" w:bidi="ar"/>
        </w:rPr>
        <w:t>九</w:t>
      </w:r>
      <w:r>
        <w:rPr>
          <w:rFonts w:hint="eastAsia" w:ascii="仿宋_GB2312" w:hAnsi="仿宋_GB2312" w:eastAsia="仿宋_GB2312" w:cs="仿宋_GB2312"/>
          <w:b/>
          <w:sz w:val="24"/>
          <w:lang w:bidi="ar"/>
        </w:rPr>
        <w:t>、</w:t>
      </w:r>
      <w:bookmarkEnd w:id="125"/>
      <w:bookmarkEnd w:id="126"/>
      <w:bookmarkEnd w:id="127"/>
      <w:bookmarkEnd w:id="128"/>
      <w:r>
        <w:rPr>
          <w:rFonts w:hint="eastAsia" w:ascii="仿宋_GB2312" w:hAnsi="仿宋_GB2312" w:cs="仿宋_GB2312"/>
          <w:b/>
          <w:sz w:val="24"/>
          <w:lang w:eastAsia="zh-CN" w:bidi="ar"/>
        </w:rPr>
        <w:t>合同生效</w:t>
      </w:r>
      <w:bookmarkEnd w:id="129"/>
    </w:p>
    <w:p>
      <w:pPr>
        <w:adjustRightInd w:val="0"/>
        <w:snapToGrid w:val="0"/>
        <w:spacing w:line="360" w:lineRule="auto"/>
        <w:ind w:firstLine="480" w:firstLineChars="200"/>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bidi="ar"/>
        </w:rPr>
        <w:t>本合同</w:t>
      </w:r>
      <w:r>
        <w:rPr>
          <w:rFonts w:hint="eastAsia" w:ascii="仿宋_GB2312" w:hAnsi="仿宋_GB2312" w:eastAsia="仿宋_GB2312" w:cs="仿宋_GB2312"/>
          <w:sz w:val="24"/>
          <w:u w:val="single"/>
          <w:lang w:bidi="ar"/>
        </w:rPr>
        <w:t>自合同双方法定代表人或其授权代表签字并加盖合同专用章</w:t>
      </w:r>
      <w:r>
        <w:rPr>
          <w:rFonts w:hint="eastAsia" w:ascii="仿宋_GB2312" w:hAnsi="仿宋_GB2312" w:eastAsia="仿宋_GB2312" w:cs="仿宋_GB2312"/>
          <w:sz w:val="24"/>
          <w:lang w:bidi="ar"/>
        </w:rPr>
        <w:t>生效</w:t>
      </w:r>
      <w:r>
        <w:rPr>
          <w:rFonts w:hint="eastAsia" w:ascii="仿宋_GB2312" w:hAnsi="仿宋_GB2312" w:cs="仿宋_GB2312"/>
          <w:sz w:val="24"/>
          <w:lang w:eastAsia="zh-CN" w:bidi="ar"/>
        </w:rPr>
        <w:t>。</w:t>
      </w:r>
    </w:p>
    <w:p>
      <w:pPr>
        <w:adjustRightInd w:val="0"/>
        <w:snapToGrid w:val="0"/>
        <w:spacing w:line="360" w:lineRule="auto"/>
        <w:outlineLvl w:val="9"/>
        <w:rPr>
          <w:rFonts w:hint="eastAsia" w:ascii="仿宋_GB2312" w:hAnsi="仿宋_GB2312" w:cs="仿宋_GB2312"/>
          <w:b/>
          <w:bCs/>
          <w:sz w:val="24"/>
          <w:lang w:eastAsia="zh-CN"/>
        </w:rPr>
      </w:pPr>
      <w:r>
        <w:rPr>
          <w:rFonts w:hint="eastAsia" w:ascii="仿宋_GB2312" w:hAnsi="仿宋_GB2312" w:cs="仿宋_GB2312"/>
          <w:b/>
          <w:bCs/>
          <w:sz w:val="24"/>
          <w:lang w:eastAsia="zh-CN"/>
        </w:rPr>
        <w:t>十、合同份数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本合同正本</w:t>
      </w:r>
      <w:r>
        <w:rPr>
          <w:rFonts w:hint="eastAsia" w:ascii="仿宋_GB2312" w:hAnsi="仿宋_GB2312" w:eastAsia="仿宋_GB2312" w:cs="仿宋_GB2312"/>
          <w:sz w:val="24"/>
          <w:highlight w:val="none"/>
          <w:u w:val="single"/>
        </w:rPr>
        <w:t>二</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六</w:t>
      </w:r>
      <w:r>
        <w:rPr>
          <w:rFonts w:hint="eastAsia" w:ascii="仿宋_GB2312" w:hAnsi="仿宋_GB2312" w:eastAsia="仿宋_GB2312" w:cs="仿宋_GB2312"/>
          <w:sz w:val="24"/>
          <w:highlight w:val="none"/>
        </w:rPr>
        <w:t>份，甲方持正本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五</w:t>
      </w:r>
      <w:r>
        <w:rPr>
          <w:rFonts w:hint="eastAsia" w:ascii="仿宋_GB2312" w:hAnsi="仿宋_GB2312" w:eastAsia="仿宋_GB2312" w:cs="仿宋_GB2312"/>
          <w:sz w:val="24"/>
          <w:highlight w:val="none"/>
        </w:rPr>
        <w:t>份，乙方持正本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一</w:t>
      </w:r>
      <w:r>
        <w:rPr>
          <w:rFonts w:hint="eastAsia" w:ascii="仿宋_GB2312" w:hAnsi="仿宋_GB2312" w:eastAsia="仿宋_GB2312" w:cs="仿宋_GB2312"/>
          <w:sz w:val="24"/>
          <w:highlight w:val="none"/>
        </w:rPr>
        <w:t>份。合同正本与副本具有同等效力，当合同副本与正本之间存有差异时，以合同正本为准。</w:t>
      </w:r>
    </w:p>
    <w:p>
      <w:pPr>
        <w:adjustRightInd w:val="0"/>
        <w:snapToGrid w:val="0"/>
        <w:spacing w:line="360" w:lineRule="auto"/>
        <w:ind w:firstLine="480" w:firstLineChars="200"/>
        <w:outlineLvl w:val="9"/>
        <w:rPr>
          <w:rFonts w:hint="eastAsia" w:ascii="仿宋_GB2312" w:hAnsi="仿宋_GB2312" w:eastAsia="仿宋_GB2312" w:cs="仿宋_GB2312"/>
          <w:sz w:val="24"/>
          <w:highlight w:val="none"/>
        </w:rPr>
      </w:pPr>
    </w:p>
    <w:tbl>
      <w:tblPr>
        <w:tblStyle w:val="47"/>
        <w:tblW w:w="0" w:type="auto"/>
        <w:jc w:val="center"/>
        <w:tblLayout w:type="fixed"/>
        <w:tblCellMar>
          <w:top w:w="0" w:type="dxa"/>
          <w:left w:w="108" w:type="dxa"/>
          <w:bottom w:w="0" w:type="dxa"/>
          <w:right w:w="108" w:type="dxa"/>
        </w:tblCellMar>
      </w:tblPr>
      <w:tblGrid>
        <w:gridCol w:w="3986"/>
        <w:gridCol w:w="3794"/>
      </w:tblGrid>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甲方：(盖章)</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lang w:eastAsia="zh-CN"/>
              </w:rPr>
              <w:t>乙</w:t>
            </w:r>
            <w:r>
              <w:rPr>
                <w:rFonts w:hint="eastAsia" w:ascii="仿宋_GB2312" w:hAnsi="宋体" w:eastAsia="仿宋_GB2312"/>
                <w:sz w:val="24"/>
              </w:rPr>
              <w:t>方：（盖章）</w:t>
            </w:r>
          </w:p>
        </w:tc>
      </w:tr>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法定代表人或其授权代表：</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法定代表人或其授权代表：</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地址：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地址：</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邮编：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邮编：</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电话：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电话：</w:t>
            </w:r>
          </w:p>
        </w:tc>
      </w:tr>
      <w:tr>
        <w:tblPrEx>
          <w:tblCellMar>
            <w:top w:w="0" w:type="dxa"/>
            <w:left w:w="108" w:type="dxa"/>
            <w:bottom w:w="0" w:type="dxa"/>
            <w:right w:w="108" w:type="dxa"/>
          </w:tblCellMar>
        </w:tblPrEx>
        <w:trPr>
          <w:trHeight w:val="1286"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传真： </w:t>
            </w:r>
          </w:p>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电子邮箱：</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传真：</w:t>
            </w:r>
          </w:p>
          <w:p>
            <w:pPr>
              <w:spacing w:line="360" w:lineRule="auto"/>
              <w:outlineLvl w:val="9"/>
              <w:rPr>
                <w:rFonts w:hint="eastAsia" w:ascii="仿宋_GB2312" w:hAnsi="宋体" w:eastAsia="仿宋_GB2312"/>
                <w:sz w:val="24"/>
              </w:rPr>
            </w:pPr>
            <w:r>
              <w:rPr>
                <w:rFonts w:hint="eastAsia" w:ascii="仿宋_GB2312" w:hAnsi="宋体" w:eastAsia="仿宋_GB2312"/>
                <w:sz w:val="24"/>
                <w:lang w:val="en-US" w:eastAsia="zh-CN"/>
              </w:rPr>
              <w:t>电子邮箱：</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开户银行：</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开户银行：</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rPr>
              <w:t>账号：</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eastAsia="zh-CN"/>
              </w:rPr>
            </w:pPr>
            <w:r>
              <w:rPr>
                <w:rFonts w:hint="eastAsia" w:ascii="仿宋_GB2312" w:hAnsi="宋体" w:eastAsia="仿宋_GB2312"/>
                <w:sz w:val="24"/>
              </w:rPr>
              <w:t>账号：</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lang w:eastAsia="zh-CN"/>
              </w:rPr>
              <w:t>税号：</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eastAsia="zh-CN"/>
              </w:rPr>
            </w:pPr>
            <w:r>
              <w:rPr>
                <w:rFonts w:hint="eastAsia" w:ascii="仿宋_GB2312" w:hAnsi="宋体" w:eastAsia="仿宋_GB2312"/>
                <w:sz w:val="24"/>
                <w:lang w:eastAsia="zh-CN"/>
              </w:rPr>
              <w:t>税号：</w:t>
            </w:r>
          </w:p>
        </w:tc>
      </w:tr>
    </w:tbl>
    <w:p>
      <w:pPr>
        <w:jc w:val="center"/>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lang w:eastAsia="zh-CN"/>
        </w:rPr>
        <w:br w:type="page"/>
      </w:r>
      <w:bookmarkStart w:id="130" w:name="_Toc26163"/>
      <w:bookmarkStart w:id="131" w:name="_Toc26438"/>
      <w:bookmarkStart w:id="132" w:name="_Toc22850"/>
      <w:r>
        <w:rPr>
          <w:rFonts w:hint="eastAsia" w:ascii="仿宋_GB2312" w:hAnsi="仿宋_GB2312" w:eastAsia="仿宋_GB2312" w:cs="仿宋_GB2312"/>
          <w:b/>
          <w:bCs/>
          <w:sz w:val="32"/>
          <w:szCs w:val="32"/>
          <w:lang w:eastAsia="zh-CN"/>
        </w:rPr>
        <w:t>第二部分</w:t>
      </w:r>
      <w:r>
        <w:rPr>
          <w:rFonts w:hint="eastAsia" w:ascii="仿宋_GB2312" w:hAnsi="仿宋_GB2312" w:eastAsia="仿宋_GB2312" w:cs="仿宋_GB2312"/>
          <w:b/>
          <w:bCs/>
          <w:sz w:val="32"/>
          <w:szCs w:val="32"/>
          <w:lang w:val="en-US" w:eastAsia="zh-CN"/>
        </w:rPr>
        <w:t xml:space="preserve"> 中选通知书</w:t>
      </w:r>
      <w:bookmarkEnd w:id="130"/>
      <w:bookmarkEnd w:id="131"/>
      <w:bookmarkEnd w:id="132"/>
    </w:p>
    <w:p>
      <w:pPr>
        <w:adjustRightInd w:val="0"/>
        <w:snapToGrid w:val="0"/>
        <w:spacing w:line="400" w:lineRule="exact"/>
        <w:jc w:val="center"/>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bookmarkStart w:id="133" w:name="_Toc10635"/>
      <w:bookmarkStart w:id="134" w:name="_Toc28738"/>
      <w:bookmarkStart w:id="135" w:name="_Toc1507"/>
      <w:bookmarkStart w:id="136" w:name="_Toc31260"/>
      <w:bookmarkStart w:id="137" w:name="_Toc1724"/>
      <w:r>
        <w:rPr>
          <w:rFonts w:hint="eastAsia" w:ascii="仿宋_GB2312" w:hAnsi="仿宋_GB2312" w:eastAsia="仿宋_GB2312" w:cs="仿宋_GB2312"/>
          <w:b/>
          <w:sz w:val="32"/>
          <w:szCs w:val="32"/>
          <w:lang w:val="en-US" w:eastAsia="zh-CN"/>
        </w:rPr>
        <w:t>第三部分 合同条款</w:t>
      </w:r>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38" w:name="_Toc29904"/>
      <w:bookmarkStart w:id="139" w:name="_Toc22585"/>
      <w:bookmarkStart w:id="140" w:name="_Toc14093"/>
      <w:r>
        <w:rPr>
          <w:rFonts w:hint="eastAsia" w:ascii="仿宋_GB2312" w:hAnsi="仿宋_GB2312" w:cs="仿宋_GB2312"/>
          <w:b/>
          <w:bCs/>
          <w:lang w:eastAsia="zh-CN"/>
        </w:rPr>
        <w:t>一、</w:t>
      </w:r>
      <w:bookmarkEnd w:id="138"/>
      <w:bookmarkEnd w:id="139"/>
      <w:r>
        <w:rPr>
          <w:rFonts w:hint="eastAsia" w:ascii="仿宋_GB2312" w:hAnsi="仿宋_GB2312" w:cs="仿宋_GB2312"/>
          <w:b/>
          <w:bCs/>
          <w:lang w:eastAsia="zh-CN"/>
        </w:rPr>
        <w:t>定义</w:t>
      </w:r>
      <w:bookmarkEnd w:id="140"/>
    </w:p>
    <w:p>
      <w:pPr>
        <w:adjustRightInd w:val="0"/>
        <w:snapToGrid w:val="0"/>
        <w:spacing w:line="360" w:lineRule="auto"/>
        <w:ind w:firstLine="480" w:firstLineChars="200"/>
        <w:outlineLvl w:val="9"/>
        <w:rPr>
          <w:rFonts w:ascii="仿宋_GB2312" w:hAnsi="仿宋" w:eastAsia="仿宋_GB2312" w:cs="仿宋"/>
          <w:color w:val="auto"/>
          <w:sz w:val="24"/>
        </w:rPr>
      </w:pPr>
      <w:r>
        <w:rPr>
          <w:rFonts w:hint="eastAsia" w:ascii="仿宋_GB2312" w:hAnsi="仿宋" w:cs="仿宋"/>
          <w:color w:val="auto"/>
          <w:sz w:val="24"/>
          <w:lang w:val="en-US" w:eastAsia="zh-CN"/>
        </w:rPr>
        <w:t>1.</w:t>
      </w:r>
      <w:r>
        <w:rPr>
          <w:rFonts w:hint="eastAsia" w:ascii="仿宋_GB2312" w:hAnsi="仿宋" w:eastAsia="仿宋_GB2312" w:cs="仿宋"/>
          <w:color w:val="auto"/>
          <w:sz w:val="24"/>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80" w:firstLineChars="200"/>
        <w:outlineLvl w:val="9"/>
        <w:rPr>
          <w:rFonts w:ascii="仿宋_GB2312" w:hAnsi="仿宋" w:eastAsia="仿宋_GB2312"/>
          <w:color w:val="auto"/>
          <w:sz w:val="24"/>
        </w:rPr>
      </w:pPr>
      <w:r>
        <w:rPr>
          <w:rFonts w:hint="eastAsia" w:ascii="仿宋_GB2312" w:hAnsi="仿宋"/>
          <w:color w:val="auto"/>
          <w:sz w:val="24"/>
          <w:lang w:val="en-US" w:eastAsia="zh-CN"/>
        </w:rPr>
        <w:t>1.2</w:t>
      </w:r>
      <w:r>
        <w:rPr>
          <w:rFonts w:hint="eastAsia" w:ascii="仿宋_GB2312" w:hAnsi="仿宋" w:eastAsia="仿宋_GB2312"/>
          <w:color w:val="auto"/>
          <w:sz w:val="24"/>
        </w:rPr>
        <w:t>、“服务”是指根据本合同规定乙方在本项目中应承担所有工作和一切义务。</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1.3</w:t>
      </w:r>
      <w:r>
        <w:rPr>
          <w:rFonts w:hint="eastAsia" w:ascii="仿宋_GB2312" w:hAnsi="仿宋" w:eastAsia="仿宋_GB2312" w:cs="仿宋"/>
          <w:color w:val="auto"/>
          <w:sz w:val="24"/>
        </w:rPr>
        <w:t>“甲方”是指委托服务的一方以及其合法继承人，即</w:t>
      </w:r>
      <w:r>
        <w:rPr>
          <w:rFonts w:hint="eastAsia" w:ascii="仿宋_GB2312" w:hAnsi="仿宋" w:eastAsia="仿宋_GB2312"/>
          <w:color w:val="auto"/>
          <w:sz w:val="24"/>
        </w:rPr>
        <w:t>合同协议书中所述的甲方</w:t>
      </w:r>
      <w:r>
        <w:rPr>
          <w:rFonts w:hint="eastAsia" w:ascii="仿宋_GB2312" w:hAnsi="仿宋" w:eastAsia="仿宋_GB2312" w:cs="仿宋"/>
          <w:color w:val="auto"/>
          <w:sz w:val="24"/>
        </w:rPr>
        <w:t>。</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1.4</w:t>
      </w:r>
      <w:r>
        <w:rPr>
          <w:rFonts w:hint="eastAsia" w:ascii="仿宋_GB2312" w:hAnsi="仿宋" w:eastAsia="仿宋_GB2312" w:cs="仿宋"/>
          <w:color w:val="auto"/>
          <w:sz w:val="24"/>
        </w:rPr>
        <w:t>“乙方”是指承担服务的一方以及其合法继承人，即</w:t>
      </w:r>
      <w:r>
        <w:rPr>
          <w:rFonts w:hint="eastAsia" w:ascii="仿宋_GB2312" w:hAnsi="仿宋" w:eastAsia="仿宋_GB2312"/>
          <w:color w:val="auto"/>
          <w:sz w:val="24"/>
        </w:rPr>
        <w:t>合同协议书中所述的乙方</w:t>
      </w:r>
      <w:r>
        <w:rPr>
          <w:rFonts w:hint="eastAsia" w:ascii="仿宋_GB2312" w:hAnsi="仿宋" w:eastAsia="仿宋_GB2312" w:cs="仿宋"/>
          <w:color w:val="auto"/>
          <w:sz w:val="24"/>
        </w:rPr>
        <w:t>。</w:t>
      </w:r>
    </w:p>
    <w:p>
      <w:pPr>
        <w:adjustRightInd w:val="0"/>
        <w:snapToGrid w:val="0"/>
        <w:spacing w:line="360" w:lineRule="auto"/>
        <w:ind w:firstLine="480"/>
        <w:outlineLvl w:val="9"/>
        <w:rPr>
          <w:rFonts w:ascii="仿宋_GB2312" w:hAnsi="仿宋" w:eastAsia="仿宋_GB2312" w:cs="仿宋"/>
          <w:color w:val="auto"/>
          <w:sz w:val="24"/>
        </w:rPr>
      </w:pPr>
      <w:r>
        <w:rPr>
          <w:rFonts w:hint="eastAsia" w:ascii="仿宋_GB2312" w:hAnsi="仿宋" w:cs="仿宋"/>
          <w:color w:val="auto"/>
          <w:sz w:val="24"/>
          <w:lang w:val="en-US" w:eastAsia="zh-CN"/>
        </w:rPr>
        <w:t>1.5</w:t>
      </w:r>
      <w:r>
        <w:rPr>
          <w:rFonts w:hint="eastAsia" w:ascii="仿宋_GB2312" w:hAnsi="仿宋" w:eastAsia="仿宋_GB2312" w:cs="仿宋"/>
          <w:color w:val="auto"/>
          <w:sz w:val="24"/>
        </w:rPr>
        <w:t>“现场”是</w:t>
      </w:r>
      <w:r>
        <w:rPr>
          <w:rFonts w:hint="eastAsia" w:ascii="仿宋_GB2312" w:hAnsi="仿宋" w:eastAsia="仿宋_GB2312"/>
          <w:color w:val="auto"/>
          <w:sz w:val="24"/>
        </w:rPr>
        <w:t>指</w:t>
      </w:r>
      <w:r>
        <w:rPr>
          <w:rFonts w:hint="eastAsia" w:ascii="仿宋_GB2312" w:hAnsi="仿宋" w:eastAsia="仿宋_GB2312" w:cs="仿宋"/>
          <w:color w:val="auto"/>
          <w:sz w:val="24"/>
        </w:rPr>
        <w:t>合同协议书中明确的</w:t>
      </w:r>
      <w:r>
        <w:rPr>
          <w:rFonts w:hint="eastAsia" w:ascii="仿宋_GB2312" w:hAnsi="仿宋" w:eastAsia="仿宋_GB2312"/>
          <w:color w:val="auto"/>
          <w:sz w:val="24"/>
        </w:rPr>
        <w:t>履行服务的现场</w:t>
      </w:r>
      <w:r>
        <w:rPr>
          <w:rFonts w:hint="eastAsia" w:ascii="仿宋_GB2312" w:hAnsi="仿宋" w:eastAsia="仿宋_GB2312" w:cs="仿宋"/>
          <w:color w:val="auto"/>
          <w:sz w:val="24"/>
        </w:rPr>
        <w:t>。</w:t>
      </w:r>
    </w:p>
    <w:p>
      <w:pPr>
        <w:adjustRightInd w:val="0"/>
        <w:snapToGrid w:val="0"/>
        <w:spacing w:line="360" w:lineRule="auto"/>
        <w:ind w:firstLine="480"/>
        <w:outlineLvl w:val="9"/>
        <w:rPr>
          <w:rFonts w:ascii="仿宋_GB2312" w:hAnsi="仿宋" w:eastAsia="仿宋_GB2312" w:cs="仿宋"/>
          <w:color w:val="auto"/>
          <w:sz w:val="24"/>
        </w:rPr>
      </w:pPr>
      <w:r>
        <w:rPr>
          <w:rFonts w:hint="eastAsia" w:ascii="仿宋_GB2312" w:hAnsi="仿宋" w:cs="仿宋"/>
          <w:color w:val="auto"/>
          <w:sz w:val="24"/>
          <w:lang w:val="en-US" w:eastAsia="zh-CN"/>
        </w:rPr>
        <w:t>1.6</w:t>
      </w:r>
      <w:r>
        <w:rPr>
          <w:rFonts w:hint="eastAsia" w:ascii="仿宋_GB2312" w:hAnsi="仿宋" w:eastAsia="仿宋_GB2312" w:cs="仿宋"/>
          <w:color w:val="auto"/>
          <w:sz w:val="24"/>
        </w:rPr>
        <w:t>“日”是指任何一天零时至第二天零时的时间段。</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1.7</w:t>
      </w:r>
      <w:r>
        <w:rPr>
          <w:rFonts w:hint="eastAsia" w:ascii="仿宋_GB2312" w:hAnsi="仿宋" w:eastAsia="仿宋_GB2312" w:cs="仿宋"/>
          <w:color w:val="auto"/>
          <w:sz w:val="24"/>
        </w:rPr>
        <w:t>“月”是指根据公历从一个月份中任何一天开始到下一个月相应日期的前一天的时间段。</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1.8</w:t>
      </w:r>
      <w:r>
        <w:rPr>
          <w:rFonts w:hint="eastAsia" w:ascii="仿宋_GB2312" w:hAnsi="仿宋" w:eastAsia="仿宋_GB2312" w:cs="仿宋"/>
          <w:color w:val="auto"/>
          <w:sz w:val="24"/>
        </w:rPr>
        <w:t>“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1.9</w:t>
      </w:r>
      <w:r>
        <w:rPr>
          <w:rFonts w:hint="eastAsia" w:ascii="仿宋_GB2312" w:hAnsi="仿宋" w:eastAsia="仿宋_GB2312" w:cs="仿宋"/>
          <w:color w:val="auto"/>
          <w:sz w:val="24"/>
        </w:rPr>
        <w:t>“书面形式”是指合同书、信件和数据电文（包括电报、电传、传真、电子数据交换和电子邮件）等可以有形地表现所载内容的形式。</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1.10</w:t>
      </w:r>
      <w:r>
        <w:rPr>
          <w:rFonts w:hint="eastAsia" w:ascii="仿宋_GB2312" w:hAnsi="仿宋" w:eastAsia="仿宋_GB2312" w:cs="仿宋"/>
          <w:color w:val="auto"/>
          <w:sz w:val="24"/>
        </w:rPr>
        <w:t>“不可抗力”是指甲方和乙方在订立本合同时不可预见，在合同履行过程中不可避免并不能克服的自然灾害和社会性突发事件，如地震、海啸、瘟疫、水灾、骚乱、暴动、战争等情形。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41" w:name="_Toc5965"/>
      <w:bookmarkStart w:id="142" w:name="_Toc13180"/>
      <w:bookmarkStart w:id="143" w:name="_Toc11494"/>
      <w:bookmarkStart w:id="144" w:name="_Toc20260"/>
      <w:bookmarkStart w:id="145" w:name="_Toc24365"/>
      <w:r>
        <w:rPr>
          <w:rFonts w:hint="eastAsia" w:ascii="仿宋_GB2312" w:hAnsi="仿宋_GB2312" w:cs="仿宋_GB2312"/>
          <w:b/>
          <w:bCs/>
          <w:lang w:eastAsia="zh-CN"/>
        </w:rPr>
        <w:t>二、双方的权利与义务</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cs="仿宋_GB2312"/>
          <w:lang w:val="en-US" w:eastAsia="zh-CN"/>
        </w:rPr>
        <w:t>2.</w:t>
      </w:r>
      <w:r>
        <w:rPr>
          <w:rFonts w:hint="eastAsia" w:ascii="仿宋_GB2312" w:hAnsi="仿宋_GB2312" w:eastAsia="仿宋_GB2312" w:cs="仿宋_GB2312"/>
        </w:rPr>
        <w:t>1</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有权随时对乙方进货渠道、菜肴品种及配菜、营养搭配、服务水平、环境卫生、餐饮设施维护保养、餐厅管理状况等进行监督检查，并有权根据相关标准对不符合本合同约定标准的事项要求乙方立即整改，同时按本合同约定的违约金标准要求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有权要求乙方提供所聘用人员的基本情况资料，对于违反甲方管理制度的乙方人员有权按照甲方内部统一管理规定对乙方进行经济处罚，对于严重违反甲方管理制度的乙方人员，甲方还同时有权责令乙方解聘或开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按本合同约定对因乙方原因造成甲方的损失进行追偿，乙方不得提出异议。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lang w:eastAsia="zh-CN"/>
        </w:rPr>
        <w:t>对食堂食品安全及服务质量等进行监管</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因乙方服务质量、进度不到位，且在甲方提出整改要求后乙方仍拒不配合落实或无法保证按甲方要求落实时，甲方有权委托其他单位实施，并将所发生的费用直接从应付乙方费用中抵扣。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5</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甲方应</w:t>
      </w:r>
      <w:r>
        <w:rPr>
          <w:rFonts w:hint="eastAsia" w:ascii="仿宋_GB2312" w:hAnsi="仿宋_GB2312" w:eastAsia="仿宋_GB2312" w:cs="仿宋_GB2312"/>
          <w:sz w:val="24"/>
          <w:szCs w:val="24"/>
        </w:rPr>
        <w:t>按本合同约定收取乙方应承担的相关费用。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6</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按本合同约定变更或解除本合同。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2.甲方的义务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FF0000"/>
          <w:sz w:val="24"/>
          <w:szCs w:val="24"/>
        </w:rPr>
      </w:pP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sz w:val="24"/>
          <w:szCs w:val="24"/>
        </w:rPr>
        <w:t>按本合同约定按时将餐厅区域房屋和所配备的设施设备、用具用品交给乙方免费使用。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2</w:t>
      </w:r>
      <w:r>
        <w:rPr>
          <w:rFonts w:hint="eastAsia" w:ascii="仿宋_GB2312" w:hAnsi="仿宋_GB2312" w:cs="仿宋_GB2312"/>
          <w:kern w:val="0"/>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kern w:val="0"/>
          <w:sz w:val="24"/>
          <w:szCs w:val="24"/>
        </w:rPr>
        <w:t>为乙方</w:t>
      </w:r>
      <w:r>
        <w:rPr>
          <w:rFonts w:hint="eastAsia" w:ascii="仿宋_GB2312" w:hAnsi="仿宋_GB2312" w:eastAsia="仿宋_GB2312" w:cs="仿宋_GB2312"/>
          <w:sz w:val="24"/>
          <w:szCs w:val="24"/>
        </w:rPr>
        <w:t>员工</w:t>
      </w:r>
      <w:r>
        <w:rPr>
          <w:rFonts w:hint="eastAsia" w:ascii="仿宋_GB2312" w:hAnsi="仿宋_GB2312" w:eastAsia="仿宋_GB2312" w:cs="仿宋_GB2312"/>
          <w:kern w:val="0"/>
          <w:sz w:val="24"/>
          <w:szCs w:val="24"/>
        </w:rPr>
        <w:t>办理进出甲方区域出入证，协助乙方</w:t>
      </w:r>
      <w:r>
        <w:rPr>
          <w:rFonts w:hint="eastAsia" w:ascii="仿宋_GB2312" w:hAnsi="仿宋_GB2312" w:eastAsia="仿宋_GB2312" w:cs="仿宋_GB2312"/>
          <w:sz w:val="24"/>
          <w:szCs w:val="24"/>
        </w:rPr>
        <w:t>办理员工餐厅所需的《卫生许可证》、《食品安全许可证》等证照及年检工作。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3</w:t>
      </w:r>
      <w:r>
        <w:rPr>
          <w:rFonts w:hint="eastAsia" w:ascii="仿宋_GB2312" w:hAnsi="仿宋_GB2312" w:cs="仿宋_GB2312"/>
          <w:kern w:val="0"/>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kern w:val="0"/>
          <w:sz w:val="24"/>
          <w:szCs w:val="24"/>
          <w:highlight w:val="none"/>
        </w:rPr>
        <w:t>保障</w:t>
      </w:r>
      <w:r>
        <w:rPr>
          <w:rFonts w:hint="eastAsia" w:ascii="仿宋_GB2312" w:hAnsi="仿宋_GB2312" w:eastAsia="仿宋_GB2312" w:cs="仿宋_GB2312"/>
          <w:sz w:val="24"/>
          <w:szCs w:val="24"/>
          <w:highlight w:val="none"/>
        </w:rPr>
        <w:t>合同期</w:t>
      </w:r>
      <w:r>
        <w:rPr>
          <w:rFonts w:hint="eastAsia" w:ascii="仿宋_GB2312" w:hAnsi="仿宋_GB2312" w:eastAsia="仿宋_GB2312" w:cs="仿宋_GB2312"/>
          <w:kern w:val="0"/>
          <w:sz w:val="24"/>
          <w:szCs w:val="24"/>
          <w:highlight w:val="none"/>
        </w:rPr>
        <w:t>内乙方在甲方区域的自来水、电（照明电、必要时的动力电）、燃气</w:t>
      </w:r>
      <w:r>
        <w:rPr>
          <w:rFonts w:hint="eastAsia" w:ascii="仿宋_GB2312" w:hAnsi="仿宋_GB2312" w:cs="仿宋_GB2312"/>
          <w:kern w:val="0"/>
          <w:sz w:val="24"/>
          <w:szCs w:val="24"/>
          <w:highlight w:val="none"/>
          <w:lang w:eastAsia="zh-CN"/>
        </w:rPr>
        <w:t>（如有）</w:t>
      </w:r>
      <w:r>
        <w:rPr>
          <w:rFonts w:hint="eastAsia" w:ascii="仿宋_GB2312" w:hAnsi="仿宋_GB2312" w:eastAsia="仿宋_GB2312" w:cs="仿宋_GB2312"/>
          <w:kern w:val="0"/>
          <w:sz w:val="24"/>
          <w:szCs w:val="24"/>
          <w:highlight w:val="none"/>
        </w:rPr>
        <w:t>供应</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sz w:val="24"/>
          <w:szCs w:val="24"/>
        </w:rPr>
        <w:t>按本合同约定向乙方支付应付的相关费用。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5</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lang w:eastAsia="zh-CN"/>
        </w:rPr>
        <w:t>甲方应</w:t>
      </w:r>
      <w:r>
        <w:rPr>
          <w:rFonts w:hint="eastAsia" w:ascii="仿宋_GB2312" w:hAnsi="仿宋_GB2312" w:eastAsia="仿宋_GB2312" w:cs="仿宋_GB2312"/>
          <w:kern w:val="0"/>
          <w:sz w:val="24"/>
          <w:szCs w:val="24"/>
        </w:rPr>
        <w:t>积极教育</w:t>
      </w:r>
      <w:r>
        <w:rPr>
          <w:rFonts w:hint="eastAsia" w:ascii="仿宋_GB2312" w:hAnsi="仿宋_GB2312" w:eastAsia="仿宋_GB2312" w:cs="仿宋_GB2312"/>
          <w:sz w:val="24"/>
          <w:szCs w:val="24"/>
        </w:rPr>
        <w:t>员工</w:t>
      </w:r>
      <w:r>
        <w:rPr>
          <w:rFonts w:hint="eastAsia" w:ascii="仿宋_GB2312" w:hAnsi="仿宋_GB2312" w:eastAsia="仿宋_GB2312" w:cs="仿宋_GB2312"/>
          <w:kern w:val="0"/>
          <w:sz w:val="24"/>
          <w:szCs w:val="24"/>
        </w:rPr>
        <w:t>自觉遵守和维护正常的餐饮秩序，对破坏正常餐饮秩序的行为，甲方应配合乙方及时制止与纠正，对行为严重的按甲方规章进行处罚。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6</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rPr>
        <w:t>如甲方或相关单位需在甲方区域举办大型会议、活动、创优检查及重要参观接待等突击性特殊事项时，需乙方协助开展相关工作时，应及时通知乙方。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7</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合同期满或合同提前解除，甲方与乙方办理交接手续后三个工作日内，甲方须与乙方核对好伙食款，并按照合同约定之付款方式及周期进行支付。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2.3</w:t>
      </w:r>
      <w:r>
        <w:rPr>
          <w:rFonts w:hint="eastAsia" w:ascii="仿宋_GB2312" w:hAnsi="仿宋_GB2312" w:eastAsia="仿宋_GB2312" w:cs="仿宋_GB2312"/>
        </w:rPr>
        <w:t>乙方</w:t>
      </w:r>
      <w:r>
        <w:rPr>
          <w:rFonts w:hint="eastAsia" w:ascii="仿宋_GB2312" w:hAnsi="仿宋_GB2312" w:cs="仿宋_GB2312"/>
          <w:lang w:eastAsia="zh-CN"/>
        </w:rPr>
        <w:t>的</w:t>
      </w:r>
      <w:r>
        <w:rPr>
          <w:rFonts w:hint="eastAsia" w:ascii="仿宋_GB2312" w:hAnsi="仿宋_GB2312" w:eastAsia="仿宋_GB2312" w:cs="仿宋_GB2312"/>
        </w:rPr>
        <w:t>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按本合同约定获得相应餐费。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2</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按本合同约定要求甲方提供相应工作条件。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在经营过程中有权提出因工作需要的合理建议和支持需求。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2.4</w:t>
      </w:r>
      <w:r>
        <w:rPr>
          <w:rFonts w:hint="eastAsia" w:ascii="仿宋_GB2312" w:hAnsi="仿宋_GB2312" w:eastAsia="仿宋_GB2312" w:cs="仿宋_GB2312"/>
        </w:rPr>
        <w:t>乙方</w:t>
      </w:r>
      <w:r>
        <w:rPr>
          <w:rFonts w:hint="eastAsia" w:ascii="仿宋_GB2312" w:hAnsi="仿宋_GB2312" w:cs="仿宋_GB2312"/>
          <w:lang w:eastAsia="zh-CN"/>
        </w:rPr>
        <w:t>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1</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lang w:eastAsia="zh-CN"/>
        </w:rPr>
        <w:t>乙方应</w:t>
      </w:r>
      <w:r>
        <w:rPr>
          <w:rFonts w:hint="eastAsia" w:ascii="仿宋_GB2312" w:hAnsi="仿宋_GB2312" w:eastAsia="仿宋_GB2312" w:cs="仿宋_GB2312"/>
          <w:kern w:val="0"/>
          <w:sz w:val="24"/>
          <w:szCs w:val="24"/>
          <w:lang w:val="zh-CN"/>
        </w:rPr>
        <w:t>严格按合同约定开展餐饮服务，确保服务质量符合本合同约定标准。</w:t>
      </w:r>
      <w:r>
        <w:rPr>
          <w:rFonts w:hint="eastAsia" w:ascii="仿宋_GB2312" w:hAnsi="仿宋_GB2312" w:eastAsia="仿宋_GB2312" w:cs="仿宋_GB2312"/>
          <w:sz w:val="24"/>
          <w:szCs w:val="24"/>
        </w:rPr>
        <w:t>负责餐厅内外责任区域的环境管理和卫生清洁工作，负责将垃圾污物按指定地点存放，保持良好的用餐环境。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_GB2312"/>
          <w:lang w:val="en-US" w:eastAsia="zh-CN"/>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2</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rPr>
        <w:t>乙方</w:t>
      </w:r>
      <w:r>
        <w:rPr>
          <w:rFonts w:hint="eastAsia" w:ascii="仿宋_GB2312" w:hAnsi="仿宋_GB2312" w:eastAsia="仿宋_GB2312" w:cs="仿宋_GB2312"/>
          <w:kern w:val="0"/>
          <w:sz w:val="24"/>
          <w:szCs w:val="24"/>
          <w:lang w:eastAsia="zh-CN"/>
        </w:rPr>
        <w:t>应</w:t>
      </w:r>
      <w:r>
        <w:rPr>
          <w:rFonts w:hint="eastAsia" w:ascii="仿宋_GB2312" w:hAnsi="仿宋_GB2312" w:eastAsia="仿宋_GB2312" w:cs="仿宋_GB2312"/>
          <w:kern w:val="0"/>
          <w:sz w:val="24"/>
          <w:szCs w:val="24"/>
        </w:rPr>
        <w:t>按甲方规定全额承担所产生的自来水、电、燃气费</w:t>
      </w:r>
      <w:r>
        <w:rPr>
          <w:rFonts w:hint="eastAsia" w:ascii="仿宋_GB2312" w:hAnsi="仿宋_GB2312" w:eastAsia="仿宋_GB2312" w:cs="仿宋_GB2312"/>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lang w:val="zh-CN"/>
        </w:rPr>
      </w:pPr>
      <w:r>
        <w:rPr>
          <w:rFonts w:hint="eastAsia" w:ascii="仿宋_GB2312" w:hAnsi="仿宋_GB2312" w:cs="仿宋_GB2312"/>
          <w:kern w:val="0"/>
          <w:sz w:val="24"/>
          <w:szCs w:val="24"/>
          <w:lang w:val="zh-CN"/>
        </w:rPr>
        <w:t>（</w:t>
      </w:r>
      <w:r>
        <w:rPr>
          <w:rFonts w:hint="eastAsia" w:ascii="仿宋_GB2312" w:hAnsi="仿宋_GB2312" w:cs="仿宋_GB2312"/>
          <w:kern w:val="0"/>
          <w:sz w:val="24"/>
          <w:szCs w:val="24"/>
          <w:lang w:val="en-US" w:eastAsia="zh-CN"/>
        </w:rPr>
        <w:t>3</w:t>
      </w:r>
      <w:r>
        <w:rPr>
          <w:rFonts w:hint="eastAsia" w:ascii="仿宋_GB2312" w:hAnsi="仿宋_GB2312" w:cs="仿宋_GB2312"/>
          <w:kern w:val="0"/>
          <w:sz w:val="24"/>
          <w:szCs w:val="24"/>
          <w:lang w:val="zh-CN"/>
        </w:rPr>
        <w:t>）乙方应</w:t>
      </w:r>
      <w:r>
        <w:rPr>
          <w:rFonts w:hint="eastAsia" w:ascii="仿宋_GB2312" w:hAnsi="仿宋_GB2312" w:eastAsia="仿宋_GB2312" w:cs="仿宋_GB2312"/>
          <w:kern w:val="0"/>
          <w:sz w:val="24"/>
          <w:szCs w:val="24"/>
          <w:lang w:val="zh-CN"/>
        </w:rPr>
        <w:t>接受甲方的监督、检查、指导与管理，对甲方检查验收所提出的不合格项目，按照甲方的要求及时整改到位。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乙方应加强内部管理，确保乙方员工严格遵守甲方各项规章制度，在工作时间按规定统一着装（含工作服、工作帽、口罩、手套等），佩戴好工作牌。未经甲方允许不得进入甲方生产经营区域、实验场所</w:t>
      </w:r>
      <w:r>
        <w:rPr>
          <w:rFonts w:hint="eastAsia" w:ascii="仿宋_GB2312" w:hAnsi="仿宋_GB2312" w:eastAsia="仿宋_GB2312" w:cs="仿宋_GB2312"/>
          <w:color w:val="000000"/>
          <w:sz w:val="24"/>
          <w:szCs w:val="24"/>
        </w:rPr>
        <w:t>及其它涉密场所</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不得在前述区域内拍照、摄像或录音，不得利用工作便利谋取甲方的商业信息提供给其他经济组织或个人。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yellow"/>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5</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乙方应按国家和地方相关法律法规用工，承担用人单位的全部责任</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及时支付应付薪酬，自行负责所聘人员的工作服装、就餐等问题，对所聘人员的人身安全事故承担所有责任。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cs="仿宋_GB2312"/>
          <w:sz w:val="24"/>
          <w:szCs w:val="24"/>
          <w:highlight w:val="yellow"/>
          <w:lang w:val="en-US" w:eastAsia="zh-CN"/>
        </w:rPr>
      </w:pP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乙方应确保服务人员思想品德良好、无犯罪记录、身体健康（有健康证）。乙方提供的各类食材采购须坚持索证制度，所购食材必须具备卫生许可证、食品检验合格证，必须符合国家相关卫生标准，具体要求详见详见用户需求书/技术规格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7</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未经甲方书面同意，乙方派驻甲方区域的餐饮服务人员不得同时为甲方以外的任何单位和个人提供服务。确因工作需要更换工作人员，乙方应及时通知甲方，并按要求办理进、出人员的相关手续（包括新进人员的履历审核、资料备案，离岗人员的出入证回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8）</w:t>
      </w:r>
      <w:r>
        <w:rPr>
          <w:rFonts w:hint="eastAsia" w:ascii="仿宋_GB2312" w:hAnsi="仿宋_GB2312" w:eastAsia="仿宋_GB2312" w:cs="仿宋_GB2312"/>
          <w:kern w:val="0"/>
          <w:sz w:val="24"/>
          <w:szCs w:val="24"/>
        </w:rPr>
        <w:t xml:space="preserve"> 乙方应</w:t>
      </w:r>
      <w:r>
        <w:rPr>
          <w:rFonts w:hint="eastAsia" w:ascii="仿宋_GB2312" w:hAnsi="仿宋_GB2312" w:eastAsia="仿宋_GB2312" w:cs="仿宋_GB2312"/>
          <w:sz w:val="24"/>
          <w:szCs w:val="24"/>
        </w:rPr>
        <w:t>制定相关管理规章</w:t>
      </w:r>
      <w:r>
        <w:rPr>
          <w:rFonts w:hint="eastAsia" w:ascii="仿宋_GB2312" w:hAnsi="仿宋_GB2312" w:eastAsia="仿宋_GB2312" w:cs="仿宋_GB2312"/>
          <w:kern w:val="0"/>
          <w:sz w:val="24"/>
          <w:szCs w:val="24"/>
        </w:rPr>
        <w:t>和工作计划，并交甲方备案；建立健全餐饮服务管理档案资料，并定期提供给甲方备案；定期按本合同及相关标准要求对员工进行服务质量、安全教育和相关培训。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9</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val="en-US" w:eastAsia="zh-CN"/>
        </w:rPr>
        <w:t>乙方应爱护甲方各项</w:t>
      </w:r>
      <w:r>
        <w:rPr>
          <w:rFonts w:hint="eastAsia" w:ascii="仿宋_GB2312" w:hAnsi="仿宋_GB2312" w:eastAsia="仿宋_GB2312" w:cs="仿宋_GB2312"/>
          <w:kern w:val="0"/>
          <w:sz w:val="24"/>
          <w:szCs w:val="24"/>
        </w:rPr>
        <w:t>资产，如有损坏应照价赔偿。规范物资出入管理，出门物资须凭甲方主管或指定负责人员签署的“物资出门证”方可出门。如有盗窃行为，除承担违约责任外，按甲方规章制度处罚后，还须将行为人送交司法机关处理。</w:t>
      </w:r>
    </w:p>
    <w:p>
      <w:pPr>
        <w:spacing w:line="360" w:lineRule="auto"/>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10</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未经甲方书面同意，</w:t>
      </w:r>
      <w:r>
        <w:rPr>
          <w:rFonts w:hint="eastAsia" w:ascii="仿宋_GB2312" w:hAnsi="仿宋_GB2312" w:eastAsia="仿宋_GB2312" w:cs="仿宋_GB2312"/>
          <w:kern w:val="0"/>
          <w:sz w:val="24"/>
          <w:szCs w:val="24"/>
          <w:lang w:val="zh-CN"/>
        </w:rPr>
        <w:t>不得占用甲方的各类房屋、场地和各种设施，对按规定划分的房屋及室内外设施不得随意改变结构、格局和用途。对服务范围内的各种公共区域（包括楼道、场坪等）不得擅自占用和随意堆放物品材料。</w:t>
      </w:r>
      <w:r>
        <w:rPr>
          <w:rFonts w:hint="eastAsia" w:ascii="仿宋_GB2312" w:hAnsi="仿宋_GB2312" w:eastAsia="仿宋_GB2312" w:cs="仿宋_GB2312"/>
          <w:sz w:val="24"/>
          <w:szCs w:val="24"/>
        </w:rPr>
        <w:t>确因工作需要，属改变房屋结构、格局和用途的，须报方案经甲方书面同意后方可实施；属临时堆放物品材料的，须经甲方同意并按指定区域存放</w:t>
      </w:r>
      <w:r>
        <w:rPr>
          <w:rFonts w:hint="eastAsia" w:ascii="仿宋_GB2312" w:hAnsi="仿宋_GB2312" w:eastAsia="仿宋_GB2312" w:cs="仿宋_GB2312"/>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w:t>
      </w:r>
      <w:r>
        <w:rPr>
          <w:rFonts w:hint="eastAsia" w:ascii="仿宋_GB2312" w:hAnsi="仿宋_GB2312" w:eastAsia="仿宋_GB2312" w:cs="仿宋_GB2312"/>
          <w:kern w:val="0"/>
          <w:sz w:val="24"/>
          <w:szCs w:val="24"/>
          <w:lang w:val="zh-CN"/>
        </w:rPr>
        <w:t>对甲方提供的</w:t>
      </w:r>
      <w:r>
        <w:rPr>
          <w:rFonts w:hint="eastAsia" w:ascii="仿宋_GB2312" w:hAnsi="仿宋_GB2312" w:eastAsia="仿宋_GB2312" w:cs="仿宋_GB2312"/>
          <w:kern w:val="0"/>
          <w:sz w:val="24"/>
          <w:szCs w:val="24"/>
        </w:rPr>
        <w:t>设施、设备和用品进行</w:t>
      </w:r>
      <w:r>
        <w:rPr>
          <w:rFonts w:hint="eastAsia" w:ascii="仿宋_GB2312" w:hAnsi="仿宋_GB2312" w:eastAsia="仿宋_GB2312" w:cs="仿宋_GB2312"/>
          <w:kern w:val="0"/>
          <w:sz w:val="24"/>
          <w:szCs w:val="24"/>
          <w:lang w:val="zh-CN"/>
        </w:rPr>
        <w:t>有效管理，并在合同期满后完好归还（保证除正常使用磨损</w:t>
      </w:r>
      <w:r>
        <w:rPr>
          <w:rFonts w:hint="eastAsia" w:ascii="仿宋_GB2312" w:hAnsi="仿宋_GB2312" w:eastAsia="仿宋_GB2312" w:cs="仿宋_GB2312"/>
          <w:sz w:val="24"/>
          <w:szCs w:val="24"/>
          <w:lang w:val="zh-CN"/>
        </w:rPr>
        <w:t>折旧</w:t>
      </w:r>
      <w:r>
        <w:rPr>
          <w:rFonts w:hint="eastAsia" w:ascii="仿宋_GB2312" w:hAnsi="仿宋_GB2312" w:eastAsia="仿宋_GB2312" w:cs="仿宋_GB2312"/>
          <w:kern w:val="0"/>
          <w:sz w:val="24"/>
          <w:szCs w:val="24"/>
          <w:lang w:val="zh-CN"/>
        </w:rPr>
        <w:t>外无其它损坏），</w:t>
      </w:r>
      <w:r>
        <w:rPr>
          <w:rFonts w:hint="eastAsia" w:ascii="仿宋_GB2312" w:hAnsi="仿宋_GB2312" w:eastAsia="仿宋_GB2312" w:cs="仿宋_GB2312"/>
          <w:kern w:val="0"/>
          <w:sz w:val="24"/>
          <w:szCs w:val="24"/>
        </w:rPr>
        <w:t>使用期间所发生的维修维护费用由乙方自行承担，</w:t>
      </w:r>
      <w:r>
        <w:rPr>
          <w:rFonts w:hint="eastAsia" w:ascii="仿宋_GB2312" w:hAnsi="仿宋_GB2312" w:eastAsia="仿宋_GB2312" w:cs="仿宋_GB2312"/>
          <w:kern w:val="0"/>
          <w:sz w:val="24"/>
          <w:szCs w:val="24"/>
          <w:lang w:val="zh-CN"/>
        </w:rPr>
        <w:t>合同期内如确无使用价值需要报废应交还甲方处理，并在双方签署的交接单上及时销账，若设备丢失或损坏则按相应的资产净值进行赔偿。</w:t>
      </w:r>
      <w:r>
        <w:rPr>
          <w:rFonts w:hint="eastAsia" w:ascii="仿宋_GB2312" w:hAnsi="仿宋_GB2312" w:eastAsia="仿宋_GB2312" w:cs="仿宋_GB2312"/>
          <w:sz w:val="24"/>
          <w:szCs w:val="24"/>
        </w:rPr>
        <w:t>为满足服务还需要添置的设备器材、</w:t>
      </w:r>
      <w:r>
        <w:rPr>
          <w:rFonts w:hint="eastAsia" w:ascii="仿宋_GB2312" w:hAnsi="仿宋_GB2312" w:eastAsia="仿宋_GB2312" w:cs="仿宋_GB2312"/>
          <w:kern w:val="0"/>
          <w:sz w:val="24"/>
          <w:szCs w:val="24"/>
          <w:lang w:val="zh-CN"/>
        </w:rPr>
        <w:t>用品用具等由乙方自行负责购置</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12</w:t>
      </w:r>
      <w:r>
        <w:rPr>
          <w:rFonts w:hint="eastAsia" w:ascii="仿宋_GB2312" w:hAnsi="仿宋_GB2312" w:cs="仿宋_GB2312"/>
          <w:sz w:val="24"/>
          <w:szCs w:val="24"/>
          <w:lang w:eastAsia="zh-CN"/>
        </w:rPr>
        <w:t>）</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sz w:val="24"/>
          <w:szCs w:val="24"/>
        </w:rPr>
        <w:t>不得冒用甲方名义从事任何经营或交易，不得在服务区域范围内从事未经甲方允许的其它经营活动。</w:t>
      </w:r>
      <w:r>
        <w:rPr>
          <w:rFonts w:hint="eastAsia" w:ascii="仿宋_GB2312" w:hAnsi="仿宋_GB2312" w:cs="仿宋_GB2312"/>
          <w:sz w:val="24"/>
          <w:szCs w:val="24"/>
          <w:lang w:val="en-US" w:eastAsia="zh-CN"/>
        </w:rPr>
        <w:t>乙方</w:t>
      </w:r>
      <w:r>
        <w:rPr>
          <w:rFonts w:hint="eastAsia" w:ascii="仿宋_GB2312" w:hAnsi="仿宋_GB2312" w:eastAsia="仿宋_GB2312" w:cs="仿宋_GB2312"/>
          <w:sz w:val="24"/>
          <w:szCs w:val="24"/>
        </w:rPr>
        <w:t>与外界发生的一切债权、债务等纠纷均与甲方无关，由乙方对外独立承担所有责任。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乙方应妥善使用、维护餐厅刷卡系统，如系统、机器出现故障或损坏，及时报甲方修复，并在修复期间的开餐段采取相应的收费补救措施，如属乙方使用不当或人为损坏，造成的修复费用由乙方承担。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（14）</w:t>
      </w:r>
      <w:r>
        <w:rPr>
          <w:rFonts w:hint="eastAsia" w:ascii="仿宋_GB2312" w:hAnsi="仿宋_GB2312" w:eastAsia="仿宋_GB2312" w:cs="仿宋_GB2312"/>
          <w:sz w:val="24"/>
          <w:szCs w:val="24"/>
        </w:rPr>
        <w:t>乙方应坚持服务至上，确保服务人员不与甲方员工发生争吵。遇问题时主动与甲方相关部门沟通协调，妥善处理。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5）</w:t>
      </w:r>
      <w:r>
        <w:rPr>
          <w:rFonts w:hint="eastAsia" w:ascii="仿宋_GB2312" w:hAnsi="仿宋_GB2312" w:eastAsia="仿宋_GB2312" w:cs="仿宋_GB2312"/>
          <w:sz w:val="24"/>
          <w:szCs w:val="24"/>
          <w:lang w:val="en-US" w:eastAsia="zh-CN"/>
        </w:rPr>
        <w:t>乙方应积</w:t>
      </w:r>
      <w:r>
        <w:rPr>
          <w:rFonts w:hint="eastAsia" w:ascii="仿宋_GB2312" w:hAnsi="仿宋_GB2312" w:eastAsia="仿宋_GB2312" w:cs="仿宋_GB2312"/>
          <w:sz w:val="24"/>
          <w:szCs w:val="24"/>
        </w:rPr>
        <w:t>极听取甲方对餐饮服务的意见，认真配合并完成其它特殊服务事项。如遇自然灾害等意外情况，有义务在甲方的统一指挥下参加救险工作。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rPr>
        <w:t>乙方负责为甲方食堂（餐厅）购买保额</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rPr>
        <w:t>2000万元</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餐饮场所公众责任保险（其中需包含</w:t>
      </w:r>
      <w:r>
        <w:rPr>
          <w:rFonts w:hint="eastAsia" w:ascii="仿宋_GB2312" w:hAnsi="仿宋_GB2312" w:eastAsia="仿宋_GB2312" w:cs="仿宋_GB2312"/>
          <w:sz w:val="24"/>
          <w:szCs w:val="24"/>
          <w:lang w:eastAsia="zh-CN"/>
        </w:rPr>
        <w:t>保额为</w:t>
      </w:r>
      <w:r>
        <w:rPr>
          <w:rFonts w:hint="eastAsia" w:ascii="仿宋_GB2312" w:hAnsi="仿宋_GB2312" w:eastAsia="仿宋_GB2312" w:cs="仿宋_GB2312"/>
          <w:sz w:val="24"/>
          <w:szCs w:val="24"/>
          <w:lang w:val="en-US" w:eastAsia="zh-CN"/>
        </w:rPr>
        <w:t>2000万元的</w:t>
      </w:r>
      <w:r>
        <w:rPr>
          <w:rFonts w:hint="eastAsia" w:ascii="仿宋_GB2312" w:hAnsi="仿宋_GB2312" w:eastAsia="仿宋_GB2312" w:cs="仿宋_GB2312"/>
          <w:sz w:val="24"/>
          <w:szCs w:val="24"/>
        </w:rPr>
        <w:t>食品安全责任险的保险责任）</w:t>
      </w:r>
      <w:r>
        <w:rPr>
          <w:rFonts w:hint="eastAsia" w:ascii="仿宋_GB2312" w:hAnsi="仿宋_GB2312" w:eastAsia="仿宋_GB2312" w:cs="仿宋_GB2312"/>
          <w:sz w:val="24"/>
          <w:szCs w:val="24"/>
          <w:lang w:eastAsia="zh-CN"/>
        </w:rPr>
        <w:t>及为食堂员工购买团体人身意外伤害险等</w:t>
      </w:r>
      <w:r>
        <w:rPr>
          <w:rFonts w:hint="eastAsia" w:ascii="仿宋_GB2312" w:hAnsi="仿宋_GB2312" w:eastAsia="仿宋_GB2312" w:cs="仿宋_GB2312"/>
          <w:sz w:val="24"/>
          <w:szCs w:val="24"/>
        </w:rPr>
        <w:t>，并承担相应保险费用，甲方有权随时查验保单，并应在本合同签署后</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个工作日内将保险材料复印件交甲方留存。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（17）</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应明确清晰知晓随着业务开展就餐人数会有一定调整，具体就餐人数以实际人数为准，乙方应做好相应服务且不得提出费用变更要求。</w:t>
      </w:r>
    </w:p>
    <w:p>
      <w:pPr>
        <w:autoSpaceDE w:val="0"/>
        <w:autoSpaceDN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cs="仿宋_GB2312"/>
          <w:sz w:val="24"/>
          <w:highlight w:val="none"/>
          <w:lang w:eastAsia="zh-CN"/>
        </w:rPr>
        <w:t>（</w:t>
      </w:r>
      <w:r>
        <w:rPr>
          <w:rFonts w:hint="eastAsia" w:ascii="仿宋_GB2312" w:hAnsi="仿宋_GB2312" w:cs="仿宋_GB2312"/>
          <w:sz w:val="24"/>
          <w:highlight w:val="none"/>
          <w:lang w:val="en-US" w:eastAsia="zh-CN"/>
        </w:rPr>
        <w:t>18</w:t>
      </w:r>
      <w:r>
        <w:rPr>
          <w:rFonts w:hint="eastAsia" w:ascii="仿宋_GB2312" w:hAnsi="仿宋_GB2312" w:cs="仿宋_GB2312"/>
          <w:sz w:val="24"/>
          <w:highlight w:val="none"/>
          <w:lang w:eastAsia="zh-CN"/>
        </w:rPr>
        <w:t>）</w:t>
      </w:r>
      <w:r>
        <w:rPr>
          <w:rFonts w:hint="eastAsia" w:ascii="仿宋_GB2312" w:hAnsi="仿宋_GB2312" w:eastAsia="仿宋_GB2312" w:cs="仿宋_GB2312"/>
          <w:sz w:val="24"/>
          <w:highlight w:val="none"/>
        </w:rPr>
        <w:t>乙方不得将项目转让给他人，也不得将项目分包给他人。</w:t>
      </w:r>
    </w:p>
    <w:p>
      <w:pPr>
        <w:pStyle w:val="2"/>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val="en-US" w:eastAsia="zh-CN"/>
        </w:rPr>
      </w:pPr>
      <w:bookmarkStart w:id="146" w:name="_Toc10649"/>
      <w:r>
        <w:rPr>
          <w:rFonts w:hint="eastAsia" w:ascii="仿宋_GB2312" w:hAnsi="仿宋_GB2312" w:cs="仿宋_GB2312"/>
          <w:b/>
          <w:bCs/>
          <w:lang w:val="en-US" w:eastAsia="zh-CN"/>
        </w:rPr>
        <w:t>三、支付方式</w:t>
      </w:r>
      <w:bookmarkEnd w:id="144"/>
      <w:bookmarkEnd w:id="145"/>
      <w:bookmarkEnd w:id="146"/>
    </w:p>
    <w:p>
      <w:pPr>
        <w:keepNext w:val="0"/>
        <w:keepLines w:val="0"/>
        <w:pageBreakBefore w:val="0"/>
        <w:widowControl w:val="0"/>
        <w:kinsoku/>
        <w:wordWrap/>
        <w:overflowPunct/>
        <w:topLinePunct w:val="0"/>
        <w:autoSpaceDE/>
        <w:autoSpaceDN/>
        <w:bidi w:val="0"/>
        <w:snapToGrid w:val="0"/>
        <w:spacing w:line="360" w:lineRule="auto"/>
        <w:ind w:right="0" w:rightChars="0" w:firstLine="420" w:firstLineChars="175"/>
        <w:jc w:val="left"/>
        <w:textAlignment w:val="auto"/>
        <w:outlineLvl w:val="9"/>
        <w:rPr>
          <w:rFonts w:hint="default" w:ascii="仿宋_GB2312" w:hAnsi="仿宋" w:eastAsia="仿宋_GB2312"/>
          <w:color w:val="auto"/>
          <w:sz w:val="24"/>
          <w:u w:val="none"/>
          <w:lang w:val="en-US" w:eastAsia="zh-CN"/>
        </w:rPr>
      </w:pPr>
      <w:r>
        <w:rPr>
          <w:rFonts w:hint="eastAsia" w:ascii="仿宋_GB2312" w:hAnsi="仿宋_GB2312" w:eastAsia="仿宋_GB2312" w:cs="仿宋_GB2312"/>
          <w:sz w:val="24"/>
          <w:szCs w:val="24"/>
          <w:u w:val="none"/>
        </w:rPr>
        <w:t>本合同的餐费按实结算，乙方按餐费收缴系统中实际刷卡数据、客餐和工作餐费用每月结算一次，乙方于每月将上月就餐数据汇总报甲方审核确认，并</w:t>
      </w:r>
      <w:r>
        <w:rPr>
          <w:rFonts w:hint="eastAsia" w:ascii="仿宋_GB2312" w:hAnsi="仿宋_GB2312" w:cs="仿宋_GB2312"/>
          <w:sz w:val="24"/>
          <w:szCs w:val="24"/>
          <w:u w:val="none"/>
          <w:lang w:val="en-US" w:eastAsia="zh-CN"/>
        </w:rPr>
        <w:t>在</w:t>
      </w:r>
      <w:r>
        <w:rPr>
          <w:rFonts w:hint="eastAsia" w:ascii="仿宋_GB2312" w:hAnsi="仿宋_GB2312" w:eastAsia="仿宋_GB2312" w:cs="仿宋_GB2312"/>
          <w:sz w:val="24"/>
          <w:szCs w:val="24"/>
          <w:u w:val="none"/>
        </w:rPr>
        <w:t>甲方确认后向甲方开具上月就餐金额的正规税务发票，税费由乙方承担，甲方在收到乙方发票后</w:t>
      </w:r>
      <w:r>
        <w:rPr>
          <w:rFonts w:hint="eastAsia" w:ascii="仿宋_GB2312" w:hAnsi="仿宋_GB2312" w:cs="仿宋_GB2312"/>
          <w:sz w:val="24"/>
          <w:szCs w:val="24"/>
          <w:u w:val="none"/>
          <w:lang w:val="en-US" w:eastAsia="zh-CN"/>
        </w:rPr>
        <w:t>28</w:t>
      </w:r>
      <w:r>
        <w:rPr>
          <w:rFonts w:hint="eastAsia" w:ascii="仿宋_GB2312" w:hAnsi="仿宋_GB2312" w:eastAsia="仿宋_GB2312" w:cs="仿宋_GB2312"/>
          <w:sz w:val="24"/>
          <w:szCs w:val="24"/>
          <w:u w:val="none"/>
        </w:rPr>
        <w:t>个工作日内向乙方付款。</w:t>
      </w:r>
    </w:p>
    <w:p>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outlineLvl w:val="9"/>
        <w:rPr>
          <w:rFonts w:hint="eastAsia" w:ascii="仿宋_GB2312" w:hAnsi="仿宋_GB2312" w:eastAsia="仿宋_GB2312" w:cs="仿宋_GB2312"/>
          <w:b/>
          <w:bCs/>
          <w:color w:val="auto"/>
          <w:sz w:val="24"/>
          <w:szCs w:val="24"/>
          <w:lang w:val="en-US" w:eastAsia="zh-CN"/>
        </w:rPr>
      </w:pPr>
      <w:bookmarkStart w:id="147" w:name="_Toc29560"/>
      <w:bookmarkStart w:id="148" w:name="_Toc479241510"/>
      <w:bookmarkStart w:id="149" w:name="_Toc23081"/>
      <w:bookmarkStart w:id="150" w:name="_Toc11767"/>
      <w:r>
        <w:rPr>
          <w:rFonts w:hint="eastAsia" w:ascii="仿宋_GB2312" w:hAnsi="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val="en-US" w:eastAsia="zh-CN"/>
        </w:rPr>
        <w:t>履约担保</w:t>
      </w:r>
      <w:bookmarkEnd w:id="147"/>
      <w:bookmarkEnd w:id="148"/>
      <w:bookmarkEnd w:id="149"/>
    </w:p>
    <w:bookmarkEnd w:id="150"/>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bookmarkStart w:id="151" w:name="_Toc443376818"/>
      <w:bookmarkStart w:id="152" w:name="_Toc443208225"/>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1 乙方</w:t>
      </w:r>
      <w:r>
        <w:rPr>
          <w:rFonts w:hint="eastAsia" w:ascii="仿宋_GB2312" w:hAnsi="仿宋_GB2312" w:eastAsia="仿宋_GB2312" w:cs="仿宋_GB2312"/>
          <w:color w:val="auto"/>
          <w:kern w:val="0"/>
          <w:sz w:val="24"/>
          <w:szCs w:val="24"/>
          <w:highlight w:val="none"/>
          <w:u w:val="single"/>
        </w:rPr>
        <w:sym w:font="Wingdings 2" w:char="0052"/>
      </w:r>
      <w:r>
        <w:rPr>
          <w:rFonts w:hint="eastAsia" w:ascii="仿宋_GB2312" w:hAnsi="仿宋_GB2312" w:eastAsia="仿宋_GB2312" w:cs="仿宋_GB2312"/>
          <w:color w:val="auto"/>
          <w:kern w:val="0"/>
          <w:sz w:val="24"/>
          <w:szCs w:val="24"/>
          <w:highlight w:val="none"/>
          <w:u w:val="single"/>
        </w:rPr>
        <w:t>需要/□不需要</w:t>
      </w:r>
      <w:r>
        <w:rPr>
          <w:rFonts w:hint="eastAsia" w:ascii="仿宋_GB2312" w:hAnsi="仿宋_GB2312" w:eastAsia="仿宋_GB2312" w:cs="仿宋_GB2312"/>
          <w:color w:val="auto"/>
          <w:kern w:val="0"/>
          <w:sz w:val="24"/>
          <w:szCs w:val="24"/>
          <w:highlight w:val="none"/>
        </w:rPr>
        <w:t>提供履约担保。</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 如需要乙方提供履约担保，则：</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2.1履约担保是办理付款的必要条件之一，乙方应在本合同签订后</w:t>
      </w:r>
      <w:r>
        <w:rPr>
          <w:rFonts w:hint="eastAsia" w:ascii="仿宋_GB2312" w:hAnsi="仿宋_GB2312" w:cs="仿宋_GB2312"/>
          <w:color w:val="auto"/>
          <w:kern w:val="0"/>
          <w:sz w:val="24"/>
          <w:szCs w:val="24"/>
          <w:highlight w:val="none"/>
          <w:lang w:val="en-US" w:eastAsia="zh-CN"/>
        </w:rPr>
        <w:t>15</w:t>
      </w:r>
      <w:r>
        <w:rPr>
          <w:rFonts w:hint="eastAsia" w:ascii="仿宋_GB2312" w:hAnsi="仿宋_GB2312" w:eastAsia="仿宋_GB2312" w:cs="仿宋_GB2312"/>
          <w:color w:val="auto"/>
          <w:kern w:val="0"/>
          <w:sz w:val="24"/>
          <w:szCs w:val="24"/>
          <w:highlight w:val="none"/>
        </w:rPr>
        <w:t>个工作日内提供履约担保。</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2.2履约担保用于补偿甲方因乙方不能完成其合同义务而蒙受的损失。</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2.3乙方提供履约担保的形式、金额及期限可采用以下两种方式之一：</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（1）采用银行履约保函形式，银行履约保函的担保额度为</w:t>
      </w:r>
      <w:r>
        <w:rPr>
          <w:rFonts w:hint="eastAsia" w:ascii="仿宋_GB2312" w:hAnsi="仿宋_GB2312" w:cs="仿宋_GB2312"/>
          <w:color w:val="auto"/>
          <w:kern w:val="0"/>
          <w:sz w:val="24"/>
          <w:szCs w:val="24"/>
          <w:highlight w:val="none"/>
          <w:u w:val="single"/>
          <w:lang w:val="en-US" w:eastAsia="zh-CN"/>
        </w:rPr>
        <w:t>伍万元整（50000.00）</w:t>
      </w:r>
      <w:r>
        <w:rPr>
          <w:rFonts w:hint="eastAsia" w:ascii="仿宋_GB2312" w:hAnsi="仿宋_GB2312" w:eastAsia="仿宋_GB2312" w:cs="仿宋_GB2312"/>
          <w:color w:val="auto"/>
          <w:kern w:val="0"/>
          <w:sz w:val="24"/>
          <w:szCs w:val="24"/>
          <w:highlight w:val="none"/>
        </w:rPr>
        <w:t>，担保期限为自保函生效之日起，至</w:t>
      </w:r>
      <w:r>
        <w:rPr>
          <w:rFonts w:hint="eastAsia" w:ascii="仿宋_GB2312" w:hAnsi="仿宋_GB2312" w:eastAsia="仿宋_GB2312" w:cs="仿宋_GB2312"/>
          <w:color w:val="auto"/>
          <w:kern w:val="0"/>
          <w:sz w:val="24"/>
          <w:szCs w:val="24"/>
          <w:highlight w:val="none"/>
          <w:lang w:eastAsia="zh-CN"/>
        </w:rPr>
        <w:t>全部验收合格</w:t>
      </w:r>
      <w:r>
        <w:rPr>
          <w:rFonts w:hint="eastAsia" w:ascii="仿宋_GB2312" w:hAnsi="仿宋_GB2312" w:eastAsia="仿宋_GB2312" w:cs="仿宋_GB2312"/>
          <w:color w:val="auto"/>
          <w:kern w:val="0"/>
          <w:sz w:val="24"/>
          <w:szCs w:val="24"/>
          <w:highlight w:val="none"/>
        </w:rPr>
        <w:t>之日止。银行履约保函应为在中国境内注册和营业的银行出具的、以甲方为受益人首次申请即作为无条件付款的保函，银行履约保函格式具体详见合同附录。</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rPr>
        <w:t>（2）采用现金形式，现金担保额度为</w:t>
      </w:r>
      <w:r>
        <w:rPr>
          <w:rFonts w:hint="eastAsia" w:ascii="仿宋_GB2312" w:hAnsi="仿宋_GB2312" w:cs="仿宋_GB2312"/>
          <w:color w:val="auto"/>
          <w:kern w:val="0"/>
          <w:sz w:val="24"/>
          <w:szCs w:val="24"/>
          <w:highlight w:val="none"/>
          <w:u w:val="single"/>
          <w:lang w:val="en-US" w:eastAsia="zh-CN"/>
        </w:rPr>
        <w:t>伍万元整（50000.00）</w:t>
      </w:r>
      <w:r>
        <w:rPr>
          <w:rFonts w:hint="eastAsia" w:ascii="仿宋_GB2312" w:hAnsi="仿宋_GB2312" w:eastAsia="仿宋_GB2312" w:cs="仿宋_GB2312"/>
          <w:color w:val="auto"/>
          <w:kern w:val="0"/>
          <w:sz w:val="24"/>
          <w:szCs w:val="24"/>
          <w:highlight w:val="none"/>
        </w:rPr>
        <w:t>，担保期限为履约保证金到账之日起，至</w:t>
      </w:r>
      <w:r>
        <w:rPr>
          <w:rFonts w:hint="eastAsia" w:ascii="仿宋_GB2312" w:hAnsi="仿宋_GB2312" w:eastAsia="仿宋_GB2312" w:cs="仿宋_GB2312"/>
          <w:color w:val="auto"/>
          <w:kern w:val="0"/>
          <w:sz w:val="24"/>
          <w:szCs w:val="24"/>
          <w:highlight w:val="none"/>
          <w:lang w:eastAsia="zh-CN"/>
        </w:rPr>
        <w:t>验收合格</w:t>
      </w:r>
      <w:r>
        <w:rPr>
          <w:rFonts w:hint="eastAsia" w:ascii="仿宋_GB2312" w:hAnsi="仿宋_GB2312" w:eastAsia="仿宋_GB2312" w:cs="仿宋_GB2312"/>
          <w:color w:val="auto"/>
          <w:kern w:val="0"/>
          <w:sz w:val="24"/>
          <w:szCs w:val="24"/>
          <w:highlight w:val="none"/>
        </w:rPr>
        <w:t>之日止。履约担保以现金形式提交的，乙方应从其基本账户通过转帐或电汇至甲方指定的账户。</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rPr>
      </w:pPr>
      <w:bookmarkStart w:id="153" w:name="_Toc1515"/>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.4在乙方完成其合同义务包括任何保证义务后，甲方将把履约担保无息退还乙方。</w:t>
      </w:r>
      <w:bookmarkEnd w:id="153"/>
    </w:p>
    <w:bookmarkEnd w:id="151"/>
    <w:bookmarkEnd w:id="152"/>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五、项目实施要求</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rPr>
        <w:t>项目实施的工作时间、供餐要求和其它要求等内容详见用户需求书/技术规格书。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六、项目验收</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rPr>
        <w:t>项目验收的验收小组、验收周期等内容详见用户需求书/技术规格书为准。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54" w:name="_Toc28510"/>
      <w:bookmarkStart w:id="155" w:name="_Toc30378"/>
      <w:bookmarkStart w:id="156" w:name="_Toc24658"/>
      <w:r>
        <w:rPr>
          <w:rFonts w:hint="eastAsia" w:ascii="仿宋_GB2312" w:hAnsi="仿宋_GB2312" w:cs="仿宋_GB2312"/>
          <w:b/>
          <w:bCs/>
          <w:lang w:eastAsia="zh-CN"/>
        </w:rPr>
        <w:t>七、违约责任</w:t>
      </w:r>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auto"/>
          <w:highlight w:val="none"/>
          <w:lang w:val="en-US" w:eastAsia="zh-CN"/>
        </w:rPr>
      </w:pPr>
      <w:r>
        <w:rPr>
          <w:rFonts w:hint="eastAsia" w:ascii="仿宋_GB2312" w:hAnsi="仿宋_GB2312" w:eastAsia="仿宋_GB2312" w:cs="仿宋_GB2312"/>
          <w:color w:val="auto"/>
          <w:kern w:val="0"/>
          <w:sz w:val="24"/>
          <w:szCs w:val="24"/>
          <w:highlight w:val="none"/>
          <w:lang w:val="en-US" w:eastAsia="zh-CN"/>
        </w:rPr>
        <w:t>违约责任在用户需求书/技术规格书中明确的，按用户需求书/技术规格书执行，无明确约定的，按下述条款执行。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b w:val="0"/>
          <w:bCs w:val="0"/>
          <w:color w:val="auto"/>
          <w:highlight w:val="none"/>
          <w:lang w:val="en-US" w:eastAsia="zh-CN"/>
        </w:rPr>
        <w:t>7.1</w:t>
      </w:r>
      <w:r>
        <w:rPr>
          <w:rFonts w:hint="eastAsia" w:ascii="仿宋_GB2312" w:hAnsi="仿宋_GB2312" w:eastAsia="仿宋_GB2312" w:cs="仿宋_GB2312"/>
          <w:color w:val="auto"/>
          <w:kern w:val="0"/>
          <w:sz w:val="24"/>
          <w:szCs w:val="24"/>
          <w:highlight w:val="none"/>
          <w:lang w:val="en-US" w:eastAsia="zh-CN"/>
        </w:rPr>
        <w:t>乙方未按合同约定时间进场的，每延误一天，乙方应向甲方支付10000元/天的违约金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7.2</w:t>
      </w:r>
      <w:r>
        <w:rPr>
          <w:rFonts w:hint="eastAsia" w:ascii="仿宋_GB2312" w:hAnsi="仿宋_GB2312" w:eastAsia="仿宋_GB2312" w:cs="仿宋_GB2312"/>
          <w:color w:val="auto"/>
          <w:kern w:val="0"/>
          <w:sz w:val="24"/>
          <w:szCs w:val="24"/>
          <w:highlight w:val="none"/>
          <w:lang w:val="en-US" w:eastAsia="zh-CN"/>
        </w:rPr>
        <w:t>乙方未经甲方同意不得更换项目关键岗位人员，如需更换，所替换人员应具备合同约定的同等级资质，乙方须提前十个工作日向甲方提出书面申请和资质证明材料，经甲方同意后方可更换。乙方擅自更换项目关键岗位人员，乙方应向甲方支付5000元/人·次的违约金。如乙方更换的人员资质不符合合同要求，应在甲方发现后五个工作日内按甲方要求重新替换为与合同约定的同等级资质项目人员，否则乙方须另行支付2000元/人·天的违约金直至项目人员配置与合同约定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7.3</w:t>
      </w:r>
      <w:r>
        <w:rPr>
          <w:rFonts w:hint="eastAsia" w:ascii="仿宋_GB2312" w:hAnsi="仿宋_GB2312" w:eastAsia="仿宋_GB2312" w:cs="仿宋_GB2312"/>
          <w:color w:val="auto"/>
          <w:kern w:val="0"/>
          <w:sz w:val="24"/>
          <w:szCs w:val="24"/>
          <w:highlight w:val="none"/>
          <w:lang w:val="en-US" w:eastAsia="zh-CN"/>
        </w:rPr>
        <w:t>乙方应严格执行工作规范、操作规程及相关安全和环境保护规定，并对因自身管理不善造成的安全、火灾等所有事故及相应损失费用承担全部责任。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7.4</w:t>
      </w:r>
      <w:r>
        <w:rPr>
          <w:rFonts w:hint="eastAsia" w:ascii="仿宋_GB2312" w:hAnsi="仿宋_GB2312" w:eastAsia="仿宋_GB2312" w:cs="仿宋_GB2312"/>
          <w:color w:val="auto"/>
          <w:kern w:val="0"/>
          <w:sz w:val="24"/>
          <w:szCs w:val="24"/>
          <w:highlight w:val="none"/>
          <w:lang w:val="en-US" w:eastAsia="zh-CN"/>
        </w:rPr>
        <w:t>因乙方供餐不卫生等原因造成甲方员工食物中毒、呕吐腹泻等不良反应（经医院确诊）时，乙方应积极施救并承担全部经济损失，且乙方应向甲方支付20000元/次的违约金且甲方有权解除合同。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highlight w:val="none"/>
          <w:lang w:val="en-US" w:eastAsia="zh-CN"/>
        </w:rPr>
      </w:pPr>
      <w:r>
        <w:rPr>
          <w:rFonts w:hint="eastAsia"/>
          <w:color w:val="auto"/>
          <w:highlight w:val="none"/>
          <w:lang w:val="en-US" w:eastAsia="zh-CN"/>
        </w:rPr>
        <w:t>7.5</w:t>
      </w:r>
      <w:r>
        <w:rPr>
          <w:rFonts w:hint="eastAsia" w:ascii="仿宋_GB2312" w:hAnsi="仿宋_GB2312" w:eastAsia="仿宋_GB2312" w:cs="仿宋_GB2312"/>
          <w:color w:val="auto"/>
          <w:kern w:val="0"/>
          <w:sz w:val="24"/>
          <w:szCs w:val="24"/>
          <w:highlight w:val="none"/>
          <w:lang w:val="en-US" w:eastAsia="zh-CN"/>
        </w:rPr>
        <w:t>因乙方原因（包括但不限于使用、管理、维修不当）造成甲方房屋（或场地）、设备设施等损坏的，乙方应自行负责修缮并承担全部费用；由此造成财产或人身受到损害的，乙方还应承担由此造成的赔偿责任。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7.6</w:t>
      </w:r>
      <w:r>
        <w:rPr>
          <w:rFonts w:hint="eastAsia" w:ascii="仿宋_GB2312" w:hAnsi="仿宋_GB2312" w:eastAsia="仿宋_GB2312" w:cs="仿宋_GB2312"/>
          <w:color w:val="auto"/>
          <w:kern w:val="0"/>
          <w:sz w:val="24"/>
          <w:szCs w:val="24"/>
          <w:highlight w:val="none"/>
          <w:lang w:val="en-US" w:eastAsia="zh-CN"/>
        </w:rPr>
        <w:t>因乙方原因拖欠其员工薪酬及其他原因，在甲方区域发生纠纷的，乙方应向甲方支付5000元/次的违约金且甲方有权解除合同。由于乙方拖欠其员工薪金或者与员工发生其他劳动、劳务争议的，由乙方自行解决并承担所有责任，因此造成甲方损失的，甲方有权向乙方追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7.7</w:t>
      </w:r>
      <w:r>
        <w:rPr>
          <w:rFonts w:hint="eastAsia" w:ascii="仿宋_GB2312" w:hAnsi="仿宋_GB2312" w:eastAsia="仿宋_GB2312" w:cs="仿宋_GB2312"/>
          <w:color w:val="auto"/>
          <w:kern w:val="0"/>
          <w:sz w:val="24"/>
          <w:szCs w:val="24"/>
          <w:highlight w:val="none"/>
          <w:lang w:val="en-US" w:eastAsia="zh-CN"/>
        </w:rPr>
        <w:t>因乙方原因导致信息（人员信息、公司资料）泄露的，由乙方承担全部责任及由此而产生的一切损失，同时甲方有权追究乙方的法律责任。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7.8</w:t>
      </w:r>
      <w:r>
        <w:rPr>
          <w:rFonts w:hint="eastAsia" w:ascii="仿宋_GB2312" w:hAnsi="仿宋_GB2312" w:eastAsia="仿宋_GB2312" w:cs="仿宋_GB2312"/>
          <w:color w:val="auto"/>
          <w:kern w:val="0"/>
          <w:sz w:val="24"/>
          <w:szCs w:val="24"/>
          <w:highlight w:val="none"/>
          <w:lang w:val="en-US" w:eastAsia="zh-CN"/>
        </w:rPr>
        <w:t>因以下情形造成甲方的所有直接和间接损失（包括但不限于由此所受处罚及诉讼或仲裁产生的诉讼费、申请费、保全费、公证费、鉴定费和合理的律师费等一切费用），皆由乙方全部承担：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（1）</w:t>
      </w:r>
      <w:r>
        <w:rPr>
          <w:rFonts w:hint="eastAsia" w:ascii="仿宋_GB2312" w:hAnsi="仿宋_GB2312" w:eastAsia="仿宋_GB2312" w:cs="仿宋_GB2312"/>
          <w:color w:val="auto"/>
          <w:kern w:val="0"/>
          <w:sz w:val="24"/>
          <w:szCs w:val="24"/>
          <w:highlight w:val="none"/>
          <w:lang w:val="en-US" w:eastAsia="zh-CN"/>
        </w:rPr>
        <w:t>因乙方原因造成餐厅餐饮管理不合格而受到政府有关部门的经济处罚和批评的或受起诉或仲裁的；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olor w:val="auto"/>
          <w:highlight w:val="none"/>
          <w:lang w:val="en-US" w:eastAsia="zh-CN"/>
        </w:rPr>
      </w:pPr>
      <w:r>
        <w:rPr>
          <w:rFonts w:hint="eastAsia"/>
          <w:color w:val="auto"/>
          <w:highlight w:val="none"/>
          <w:lang w:val="en-US" w:eastAsia="zh-CN"/>
        </w:rPr>
        <w:t>（2）</w:t>
      </w:r>
      <w:r>
        <w:rPr>
          <w:rFonts w:hint="eastAsia" w:ascii="仿宋_GB2312" w:hAnsi="仿宋_GB2312" w:eastAsia="仿宋_GB2312" w:cs="仿宋_GB2312"/>
          <w:color w:val="auto"/>
          <w:kern w:val="0"/>
          <w:sz w:val="24"/>
          <w:szCs w:val="24"/>
          <w:highlight w:val="none"/>
          <w:lang w:val="en-US" w:eastAsia="zh-CN"/>
        </w:rPr>
        <w:t>因乙方人员过错造成甲方财产及甲方人员人身、财产损失的。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7.8</w:t>
      </w:r>
      <w:r>
        <w:rPr>
          <w:rFonts w:hint="eastAsia" w:ascii="仿宋_GB2312" w:hAnsi="仿宋_GB2312" w:eastAsia="仿宋_GB2312" w:cs="仿宋_GB2312"/>
          <w:color w:val="auto"/>
          <w:kern w:val="0"/>
          <w:sz w:val="24"/>
          <w:szCs w:val="24"/>
          <w:highlight w:val="none"/>
          <w:lang w:val="en-US" w:eastAsia="zh-CN"/>
        </w:rPr>
        <w:t>合同期满或合同提前解除，乙方应无条件撤场并将属于甲方的相关设施设备、用品用具完好（自然老化损耗除外）交还甲方。乙方不能以任何理由影响甲方或新的承包人按时接管食堂，如果乙方不配合办理交接手续，导致甲方食堂不能正常经营的，每延误一天，乙方应向甲方支付10000元/天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7.9</w:t>
      </w:r>
      <w:r>
        <w:rPr>
          <w:rFonts w:hint="eastAsia" w:ascii="仿宋_GB2312" w:hAnsi="仿宋_GB2312" w:eastAsia="仿宋_GB2312" w:cs="仿宋_GB2312"/>
          <w:color w:val="auto"/>
          <w:kern w:val="0"/>
          <w:sz w:val="24"/>
          <w:szCs w:val="24"/>
          <w:highlight w:val="none"/>
          <w:lang w:val="en-US" w:eastAsia="zh-CN"/>
        </w:rPr>
        <w:t>乙方逾期提供部分或全部履约担保在30天内的，每逾期一天乙方应向甲方支付300元/天的违约金，违约金最高不超过人民币叁万元整；乙方逾期提供履约担保超过30天（含）的：甲方有权解除合同。甲方解除合同的，乙方应向甲方支付人民币十万元整的违约金；甲方要求继续履行合同的，每逾期一天（从逾期第30日当日开始计算）乙方应向甲方支付500元/天的违约金，违约金最高为人民币伍万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7.10</w:t>
      </w:r>
      <w:r>
        <w:rPr>
          <w:rFonts w:hint="eastAsia" w:ascii="仿宋_GB2312" w:hAnsi="仿宋_GB2312" w:eastAsia="仿宋_GB2312" w:cs="仿宋_GB2312"/>
          <w:color w:val="auto"/>
          <w:kern w:val="0"/>
          <w:sz w:val="24"/>
          <w:szCs w:val="24"/>
          <w:highlight w:val="none"/>
          <w:lang w:val="en-US" w:eastAsia="zh-CN"/>
        </w:rPr>
        <w:t>违约金以现金或转账方式交纳，甲方开具收款收据、不提供发票，乙方不得因此冲减增值税专用发票金额。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57" w:name="_Toc13833"/>
      <w:bookmarkStart w:id="158" w:name="_Toc9882"/>
      <w:bookmarkStart w:id="159" w:name="_Toc27033"/>
      <w:r>
        <w:rPr>
          <w:rFonts w:hint="eastAsia" w:ascii="仿宋_GB2312" w:hAnsi="仿宋_GB2312" w:eastAsia="仿宋_GB2312" w:cs="仿宋_GB2312"/>
          <w:b/>
          <w:bCs/>
          <w:sz w:val="24"/>
          <w:szCs w:val="24"/>
          <w:lang w:val="en-US" w:eastAsia="zh-CN"/>
        </w:rPr>
        <w:t>八、合同解除</w:t>
      </w:r>
      <w:bookmarkEnd w:id="157"/>
    </w:p>
    <w:p>
      <w:pPr>
        <w:pStyle w:val="240"/>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8.1有下列情形之一的，合同当事人一方或双方可以解除合同：</w:t>
      </w:r>
    </w:p>
    <w:p>
      <w:pPr>
        <w:pStyle w:val="45"/>
        <w:keepNext w:val="0"/>
        <w:keepLines w:val="0"/>
        <w:pageBreakBefore w:val="0"/>
        <w:widowControl w:val="0"/>
        <w:kinsoku/>
        <w:wordWrap/>
        <w:overflowPunct/>
        <w:topLinePunct w:val="0"/>
        <w:bidi w:val="0"/>
        <w:adjustRightInd/>
        <w:spacing w:after="0" w:line="360" w:lineRule="auto"/>
        <w:ind w:right="0" w:rightChars="0" w:firstLine="480" w:firstLineChars="200"/>
        <w:jc w:val="left"/>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（1）乙方将本合同约定的工作全部或部分转包给他人，甲方</w:t>
      </w:r>
      <w:r>
        <w:rPr>
          <w:rFonts w:hint="eastAsia" w:ascii="仿宋_GB2312" w:hAnsi="仿宋" w:eastAsia="仿宋_GB2312" w:cs="仿宋"/>
          <w:color w:val="auto"/>
          <w:sz w:val="24"/>
          <w:szCs w:val="24"/>
          <w:highlight w:val="none"/>
          <w:lang w:val="en-US" w:eastAsia="zh-CN"/>
        </w:rPr>
        <w:t>有权</w:t>
      </w:r>
      <w:r>
        <w:rPr>
          <w:rFonts w:ascii="仿宋_GB2312" w:hAnsi="仿宋" w:eastAsia="仿宋_GB2312" w:cs="仿宋"/>
          <w:color w:val="auto"/>
          <w:sz w:val="24"/>
          <w:szCs w:val="24"/>
          <w:highlight w:val="none"/>
          <w:lang w:val="en-US" w:eastAsia="zh-CN"/>
        </w:rPr>
        <w:t>解除合同；</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（2）因</w:t>
      </w:r>
      <w:r>
        <w:rPr>
          <w:rFonts w:hint="eastAsia" w:ascii="仿宋_GB2312" w:eastAsia="仿宋_GB2312"/>
          <w:color w:val="auto"/>
          <w:sz w:val="24"/>
          <w:highlight w:val="none"/>
          <w:lang w:val="en-US" w:eastAsia="zh-CN"/>
        </w:rPr>
        <w:t>不可抗力</w:t>
      </w:r>
      <w:r>
        <w:rPr>
          <w:rFonts w:ascii="仿宋_GB2312" w:hAnsi="仿宋" w:eastAsia="仿宋_GB2312" w:cs="仿宋"/>
          <w:color w:val="auto"/>
          <w:sz w:val="24"/>
          <w:szCs w:val="24"/>
          <w:highlight w:val="none"/>
          <w:lang w:val="en-US" w:eastAsia="zh-CN"/>
        </w:rPr>
        <w:t>致使合同无法履行；</w:t>
      </w:r>
    </w:p>
    <w:p>
      <w:pPr>
        <w:pStyle w:val="45"/>
        <w:keepNext w:val="0"/>
        <w:keepLines w:val="0"/>
        <w:pageBreakBefore w:val="0"/>
        <w:widowControl w:val="0"/>
        <w:kinsoku/>
        <w:wordWrap/>
        <w:overflowPunct/>
        <w:topLinePunct w:val="0"/>
        <w:bidi w:val="0"/>
        <w:adjustRightInd/>
        <w:spacing w:after="0" w:line="360" w:lineRule="auto"/>
        <w:ind w:right="0" w:rightChars="0" w:firstLine="480" w:firstLineChars="200"/>
        <w:jc w:val="left"/>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（3）因一方违约致使合同无法实际履行或实际履行已无必要</w:t>
      </w:r>
      <w:r>
        <w:rPr>
          <w:rFonts w:hint="eastAsia" w:ascii="仿宋_GB2312" w:hAnsi="仿宋" w:eastAsia="仿宋_GB2312" w:cs="仿宋"/>
          <w:color w:val="auto"/>
          <w:sz w:val="24"/>
          <w:szCs w:val="24"/>
          <w:highlight w:val="none"/>
          <w:lang w:val="en-US" w:eastAsia="zh-CN"/>
        </w:rPr>
        <w:t>；</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ascii="仿宋_GB2312" w:hAnsi="仿宋" w:eastAsia="仿宋_GB2312" w:cs="仿宋"/>
          <w:color w:val="auto"/>
          <w:sz w:val="24"/>
          <w:szCs w:val="24"/>
          <w:highlight w:val="none"/>
          <w:lang w:val="en-US" w:eastAsia="zh-CN"/>
        </w:rPr>
        <w:t>（</w:t>
      </w:r>
      <w:r>
        <w:rPr>
          <w:rFonts w:hint="eastAsia" w:ascii="仿宋_GB2312" w:hAnsi="仿宋" w:cs="仿宋"/>
          <w:color w:val="auto"/>
          <w:sz w:val="24"/>
          <w:szCs w:val="24"/>
          <w:highlight w:val="none"/>
          <w:lang w:val="en-US" w:eastAsia="zh-CN"/>
        </w:rPr>
        <w:t>4</w:t>
      </w:r>
      <w:r>
        <w:rPr>
          <w:rFonts w:ascii="仿宋_GB2312" w:hAnsi="仿宋" w:eastAsia="仿宋_GB2312" w:cs="仿宋"/>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SA"/>
        </w:rPr>
        <w:t>乙方所提供的服务达不到本合同约定标准，连续30天内被有效投诉五次以上（含五次，投诉次数以甲方接待和统计为准），或连续30天内被甲方检查考核达3次不合格的，甲方有权解除合同；</w:t>
      </w:r>
    </w:p>
    <w:p>
      <w:pPr>
        <w:pStyle w:val="240"/>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cs="仿宋_GB2312"/>
          <w:kern w:val="0"/>
          <w:sz w:val="24"/>
          <w:szCs w:val="24"/>
          <w:lang w:eastAsia="zh-CN"/>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5</w:t>
      </w:r>
      <w:r>
        <w:rPr>
          <w:rFonts w:hint="eastAsia" w:ascii="仿宋_GB2312" w:hAnsi="仿宋_GB2312" w:cs="仿宋_GB2312"/>
          <w:sz w:val="24"/>
          <w:szCs w:val="24"/>
          <w:lang w:eastAsia="zh-CN"/>
        </w:rPr>
        <w:t>）</w:t>
      </w:r>
      <w:r>
        <w:rPr>
          <w:rFonts w:hint="eastAsia" w:ascii="仿宋_GB2312" w:hAnsi="仿宋_GB2312" w:eastAsia="仿宋_GB2312" w:cs="仿宋_GB2312"/>
          <w:color w:val="auto"/>
          <w:kern w:val="0"/>
          <w:sz w:val="24"/>
          <w:szCs w:val="24"/>
          <w:highlight w:val="none"/>
          <w:lang w:val="en-US" w:eastAsia="zh-CN" w:bidi="ar-SA"/>
        </w:rPr>
        <w:t>因乙方给甲方造成巨大经济损失或造成恶劣的社会声誉影响的（如采购或使用不符合国家和地方卫生标准的食材或原料的；发生食物中毒、呕吐腹泻等不良反应等的；其他食物安全、卫生安全、服务质量等事故的；冒用甲方名义对外从事经营活动或交易的；乙方人员发生盗窃行为被甲方认定需解除本合同的；乙方人员利用工作之便收集或窃取甲方商业秘密并对外透露的；乙方拖欠员工薪酬，造成员工在甲方区域内发生纠纷的），甲方有权解除合同；</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hAnsi="仿宋" w:eastAsia="仿宋_GB2312" w:cs="仿宋"/>
          <w:color w:val="auto"/>
          <w:sz w:val="24"/>
          <w:szCs w:val="24"/>
          <w:highlight w:val="none"/>
          <w:lang w:val="en-US" w:eastAsia="zh-CN"/>
        </w:rPr>
      </w:pPr>
      <w:r>
        <w:rPr>
          <w:rFonts w:hint="eastAsia" w:ascii="仿宋_GB2312" w:hAnsi="仿宋" w:cs="仿宋"/>
          <w:color w:val="auto"/>
          <w:sz w:val="24"/>
          <w:szCs w:val="24"/>
          <w:highlight w:val="none"/>
          <w:lang w:val="en-US" w:eastAsia="zh-CN"/>
        </w:rPr>
        <w:t>(6)</w:t>
      </w:r>
      <w:r>
        <w:rPr>
          <w:rFonts w:hint="eastAsia" w:ascii="仿宋_GB2312" w:hAnsi="仿宋_GB2312" w:eastAsia="仿宋_GB2312" w:cs="仿宋_GB2312"/>
          <w:color w:val="auto"/>
          <w:kern w:val="0"/>
          <w:sz w:val="24"/>
          <w:szCs w:val="24"/>
          <w:highlight w:val="none"/>
          <w:lang w:val="en-US" w:eastAsia="zh-CN" w:bidi="ar-SA"/>
        </w:rPr>
        <w:t>违约处罚后同一违约行为仍未进行改进的，甲方有权解除合同。</w:t>
      </w:r>
    </w:p>
    <w:p>
      <w:pPr>
        <w:snapToGrid w:val="0"/>
        <w:spacing w:line="360" w:lineRule="auto"/>
        <w:ind w:firstLine="480"/>
        <w:outlineLvl w:val="9"/>
        <w:rPr>
          <w:rFonts w:hint="eastAsia" w:ascii="仿宋_GB2312" w:hAnsi="仿宋_GB2312" w:eastAsia="仿宋_GB2312" w:cs="仿宋_GB2312"/>
          <w:color w:val="auto"/>
          <w:sz w:val="24"/>
          <w:highlight w:val="none"/>
        </w:rPr>
      </w:pPr>
      <w:r>
        <w:rPr>
          <w:rFonts w:hint="eastAsia" w:ascii="仿宋_GB2312" w:hAnsi="仿宋" w:cs="仿宋"/>
          <w:color w:val="auto"/>
          <w:sz w:val="24"/>
          <w:szCs w:val="24"/>
          <w:highlight w:val="none"/>
          <w:lang w:val="en-US" w:eastAsia="zh-CN"/>
        </w:rPr>
        <w:t>8.</w:t>
      </w:r>
      <w:r>
        <w:rPr>
          <w:rFonts w:hint="eastAsia" w:ascii="仿宋_GB2312" w:hAnsi="仿宋" w:eastAsia="仿宋_GB2312" w:cs="仿宋"/>
          <w:color w:val="auto"/>
          <w:sz w:val="24"/>
          <w:szCs w:val="24"/>
          <w:highlight w:val="none"/>
          <w:lang w:val="en-US" w:eastAsia="zh-CN"/>
        </w:rPr>
        <w:t>3任何一方提出解除合同的，应提前15天书面通知对方。若因乙方违约，造成甲方行使解除合同权时不受此约束。</w:t>
      </w:r>
    </w:p>
    <w:p>
      <w:pPr>
        <w:snapToGrid w:val="0"/>
        <w:spacing w:line="360" w:lineRule="auto"/>
        <w:ind w:firstLine="480"/>
        <w:outlineLvl w:val="9"/>
        <w:rPr>
          <w:color w:val="auto"/>
          <w:highlight w:val="none"/>
        </w:rPr>
      </w:pPr>
      <w:r>
        <w:rPr>
          <w:rFonts w:hint="eastAsia" w:ascii="仿宋_GB2312" w:hAnsi="仿宋" w:cs="仿宋"/>
          <w:color w:val="auto"/>
          <w:sz w:val="24"/>
          <w:szCs w:val="24"/>
          <w:highlight w:val="none"/>
          <w:lang w:val="en-US" w:eastAsia="zh-CN"/>
        </w:rPr>
        <w:t>8.</w:t>
      </w:r>
      <w:r>
        <w:rPr>
          <w:rFonts w:hint="eastAsia" w:ascii="仿宋_GB2312" w:hAnsi="仿宋" w:eastAsia="仿宋_GB2312" w:cs="仿宋"/>
          <w:color w:val="auto"/>
          <w:sz w:val="24"/>
          <w:szCs w:val="24"/>
          <w:highlight w:val="none"/>
          <w:lang w:val="en-US" w:eastAsia="zh-CN"/>
        </w:rPr>
        <w:t>4</w:t>
      </w:r>
      <w:r>
        <w:rPr>
          <w:rFonts w:hint="eastAsia" w:ascii="仿宋_GB2312" w:hAnsi="仿宋_GB2312" w:eastAsia="仿宋_GB2312" w:cs="仿宋_GB2312"/>
          <w:color w:val="auto"/>
          <w:kern w:val="0"/>
          <w:sz w:val="24"/>
          <w:szCs w:val="24"/>
          <w:highlight w:val="none"/>
          <w:lang w:val="en-US" w:eastAsia="zh-CN" w:bidi="ar-SA"/>
        </w:rPr>
        <w:t>本合同一经签订，双方不得擅自变更、解除合同（本合同约定的合同解除情形除外）。因一方原因导致本合同全部/部分解除的（包括但不限于一方严重违约致使合同解除或一方单方面擅自解除等情形），违约方应向守约方支付人民币十万元整的违约金，并赔偿由此给守约方造成的一切损失。</w:t>
      </w:r>
    </w:p>
    <w:bookmarkEnd w:id="158"/>
    <w:bookmarkEnd w:id="159"/>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0" w:name="_Toc30605"/>
      <w:r>
        <w:rPr>
          <w:rFonts w:hint="eastAsia" w:ascii="仿宋_GB2312" w:hAnsi="仿宋_GB2312" w:eastAsia="仿宋_GB2312" w:cs="仿宋_GB2312"/>
          <w:b/>
          <w:bCs/>
          <w:sz w:val="24"/>
          <w:szCs w:val="24"/>
          <w:lang w:val="en-US" w:eastAsia="zh-CN"/>
        </w:rPr>
        <w:t>九、不可抗力</w:t>
      </w:r>
      <w:bookmarkEnd w:id="16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事件导致甲乙双方或一方不能履行或不能完全履行本合同项下有关义务时，双方相互不承担违约责任。但遇不可抗力的一方，应于不可抗力发生后十五日内将情况书面告知对方，并提供有关行政部门或公证机构的证明。在不可抗力影响消除后的合理时间内，一方或双方应当继续履行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bookmarkStart w:id="161" w:name="_Toc22203"/>
      <w:r>
        <w:rPr>
          <w:rFonts w:hint="eastAsia" w:ascii="仿宋_GB2312" w:hAnsi="仿宋_GB2312" w:cs="仿宋_GB2312"/>
          <w:b/>
          <w:bCs/>
          <w:sz w:val="24"/>
          <w:szCs w:val="24"/>
          <w:lang w:val="en-US" w:eastAsia="zh-CN"/>
        </w:rPr>
        <w:t>十、</w:t>
      </w:r>
      <w:r>
        <w:rPr>
          <w:rFonts w:hint="eastAsia" w:ascii="仿宋_GB2312" w:hAnsi="仿宋_GB2312" w:eastAsia="仿宋_GB2312" w:cs="仿宋_GB2312"/>
          <w:b/>
          <w:bCs/>
          <w:sz w:val="24"/>
          <w:szCs w:val="24"/>
        </w:rPr>
        <w:t>合同变更</w:t>
      </w:r>
      <w:bookmarkEnd w:id="1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10.1</w:t>
      </w:r>
      <w:r>
        <w:rPr>
          <w:rFonts w:hint="eastAsia" w:ascii="仿宋_GB2312" w:hAnsi="仿宋_GB2312" w:eastAsia="仿宋_GB2312" w:cs="仿宋_GB2312"/>
          <w:sz w:val="24"/>
          <w:szCs w:val="24"/>
        </w:rPr>
        <w:t>双方经平等协商一致，可就本合同约定进行相应变更，但双方应签订相应书面补充协议。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lang w:val="en-US" w:eastAsia="zh-CN"/>
        </w:rPr>
        <w:t>10.2</w:t>
      </w:r>
      <w:r>
        <w:rPr>
          <w:rFonts w:hint="eastAsia" w:ascii="仿宋_GB2312" w:hAnsi="仿宋_GB2312" w:eastAsia="仿宋_GB2312" w:cs="仿宋_GB2312"/>
          <w:sz w:val="24"/>
          <w:szCs w:val="24"/>
        </w:rPr>
        <w:t>甲方因生产经营调整需要（包括但不限于进行资产转让、经营业务转让），需对本合同项目内容范围进行调整的，甲方应提前15</w:t>
      </w:r>
      <w:r>
        <w:rPr>
          <w:rFonts w:hint="eastAsia" w:ascii="仿宋_GB2312" w:hAnsi="仿宋_GB2312" w:eastAsia="仿宋_GB2312" w:cs="仿宋_GB2312"/>
          <w:sz w:val="24"/>
          <w:szCs w:val="24"/>
          <w:lang w:eastAsia="zh-CN"/>
        </w:rPr>
        <w:t>日</w:t>
      </w:r>
      <w:r>
        <w:rPr>
          <w:rFonts w:hint="eastAsia" w:ascii="仿宋_GB2312" w:hAnsi="仿宋_GB2312" w:eastAsia="仿宋_GB2312" w:cs="仿宋_GB2312"/>
          <w:sz w:val="24"/>
          <w:szCs w:val="24"/>
        </w:rPr>
        <w:t>书面通知乙方，双方应同时签订相应补充协议对相关事项妥善处理。</w:t>
      </w:r>
    </w:p>
    <w:p>
      <w:pPr>
        <w:pStyle w:val="2"/>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2" w:name="_Toc19187"/>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一</w:t>
      </w:r>
      <w:r>
        <w:rPr>
          <w:rFonts w:hint="eastAsia" w:ascii="仿宋_GB2312" w:hAnsi="仿宋_GB2312" w:eastAsia="仿宋_GB2312" w:cs="仿宋_GB2312"/>
          <w:b/>
          <w:bCs/>
          <w:sz w:val="24"/>
          <w:szCs w:val="24"/>
          <w:lang w:val="en-US" w:eastAsia="zh-CN"/>
        </w:rPr>
        <w:t>、争议解决</w:t>
      </w:r>
      <w:bookmarkEnd w:id="162"/>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双方因履行本合同而发生的争议，应协商、调解解决。协商、调解不成的，确定按以下第</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种方式处理：</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（1）提交</w:t>
      </w:r>
      <w:r>
        <w:rPr>
          <w:rFonts w:hint="eastAsia" w:ascii="仿宋_GB2312" w:hAnsi="仿宋_GB2312" w:eastAsia="仿宋_GB2312" w:cs="仿宋_GB2312"/>
          <w:color w:val="auto"/>
          <w:sz w:val="24"/>
          <w:szCs w:val="24"/>
          <w:highlight w:val="none"/>
          <w:u w:val="single"/>
        </w:rPr>
        <w:t>长沙</w:t>
      </w:r>
      <w:r>
        <w:rPr>
          <w:rFonts w:hint="eastAsia" w:ascii="仿宋_GB2312" w:hAnsi="仿宋_GB2312" w:eastAsia="仿宋_GB2312" w:cs="仿宋_GB2312"/>
          <w:color w:val="auto"/>
          <w:sz w:val="24"/>
          <w:szCs w:val="24"/>
          <w:highlight w:val="none"/>
        </w:rPr>
        <w:t>仲裁委员会仲裁；</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（2）依法向</w:t>
      </w:r>
      <w:r>
        <w:rPr>
          <w:rFonts w:hint="eastAsia" w:ascii="仿宋_GB2312" w:hAnsi="仿宋_GB2312" w:eastAsia="仿宋_GB2312" w:cs="仿宋_GB2312"/>
          <w:color w:val="auto"/>
          <w:sz w:val="24"/>
          <w:szCs w:val="24"/>
          <w:highlight w:val="none"/>
          <w:u w:val="single"/>
        </w:rPr>
        <w:t>甲方所在地</w:t>
      </w:r>
      <w:r>
        <w:rPr>
          <w:rFonts w:hint="eastAsia" w:ascii="仿宋_GB2312" w:hAnsi="仿宋_GB2312" w:eastAsia="仿宋_GB2312" w:cs="仿宋_GB2312"/>
          <w:color w:val="auto"/>
          <w:sz w:val="24"/>
          <w:szCs w:val="24"/>
          <w:highlight w:val="none"/>
        </w:rPr>
        <w:t>人民法院起诉。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3" w:name="_Toc569"/>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二</w:t>
      </w:r>
      <w:r>
        <w:rPr>
          <w:rFonts w:hint="eastAsia" w:ascii="仿宋_GB2312" w:hAnsi="仿宋_GB2312" w:eastAsia="仿宋_GB2312" w:cs="仿宋_GB2312"/>
          <w:b/>
          <w:bCs/>
          <w:sz w:val="24"/>
          <w:szCs w:val="24"/>
          <w:lang w:val="en-US" w:eastAsia="zh-CN"/>
        </w:rPr>
        <w:t>、双方约定的其他事项</w:t>
      </w:r>
      <w:bookmarkEnd w:id="163"/>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p>
    <w:p>
      <w:pPr>
        <w:numPr>
          <w:ilvl w:val="0"/>
          <w:numId w:val="0"/>
        </w:numPr>
        <w:ind w:leftChars="0"/>
        <w:jc w:val="center"/>
        <w:outlineLvl w:val="9"/>
        <w:rPr>
          <w:rFonts w:hint="eastAsia" w:ascii="仿宋_GB2312" w:hAnsi="仿宋_GB2312" w:cs="仿宋_GB2312"/>
          <w:b/>
          <w:sz w:val="32"/>
          <w:szCs w:val="32"/>
          <w:lang w:val="en-US" w:eastAsia="zh-CN"/>
        </w:rPr>
      </w:pPr>
      <w:r>
        <w:rPr>
          <w:rFonts w:hint="eastAsia" w:ascii="仿宋_GB2312" w:hAnsi="仿宋" w:eastAsia="仿宋_GB2312"/>
          <w:sz w:val="24"/>
        </w:rPr>
        <w:br w:type="page"/>
      </w:r>
      <w:bookmarkStart w:id="164" w:name="_Toc1291"/>
      <w:bookmarkStart w:id="165" w:name="_Toc7715"/>
      <w:bookmarkStart w:id="166" w:name="_Toc21133"/>
      <w:r>
        <w:rPr>
          <w:rFonts w:hint="eastAsia" w:ascii="仿宋_GB2312" w:hAnsi="仿宋_GB2312" w:cs="仿宋_GB2312"/>
          <w:b/>
          <w:sz w:val="32"/>
          <w:szCs w:val="32"/>
          <w:lang w:val="en-US" w:eastAsia="zh-CN"/>
        </w:rPr>
        <w:t>第四部分 合同附件</w:t>
      </w:r>
      <w:bookmarkEnd w:id="164"/>
      <w:bookmarkEnd w:id="165"/>
      <w:bookmarkEnd w:id="166"/>
    </w:p>
    <w:p>
      <w:pPr>
        <w:adjustRightInd w:val="0"/>
        <w:snapToGrid w:val="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附件1 廉政协议</w:t>
      </w:r>
    </w:p>
    <w:p>
      <w:pPr>
        <w:adjustRightInd w:val="0"/>
        <w:snapToGrid w:val="0"/>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p>
    <w:p>
      <w:pPr>
        <w:pStyle w:val="13"/>
        <w:snapToGrid w:val="0"/>
        <w:spacing w:line="440" w:lineRule="exact"/>
        <w:ind w:firstLine="0"/>
        <w:jc w:val="left"/>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w:t>
      </w:r>
    </w:p>
    <w:p>
      <w:pPr>
        <w:pStyle w:val="13"/>
        <w:snapToGrid w:val="0"/>
        <w:spacing w:line="440" w:lineRule="exact"/>
        <w:ind w:firstLine="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67" w:name="_Toc59900969"/>
      <w:bookmarkStart w:id="168" w:name="_Toc59896701"/>
      <w:r>
        <w:rPr>
          <w:rFonts w:hint="eastAsia" w:ascii="仿宋_GB2312" w:hAnsi="仿宋_GB2312" w:eastAsia="仿宋_GB2312" w:cs="仿宋_GB2312"/>
          <w:sz w:val="24"/>
          <w:highlight w:val="none"/>
        </w:rPr>
        <w:t xml:space="preserve">第一条 </w:t>
      </w:r>
      <w:bookmarkEnd w:id="167"/>
      <w:bookmarkEnd w:id="168"/>
      <w:r>
        <w:rPr>
          <w:rFonts w:hint="eastAsia" w:ascii="仿宋_GB2312" w:hAnsi="仿宋_GB2312" w:eastAsia="仿宋_GB2312" w:cs="仿宋_GB2312"/>
          <w:sz w:val="24"/>
          <w:highlight w:val="none"/>
        </w:rPr>
        <w:t>共同责任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长沙市轨道交通5号线、西环线运营期2023-2025年水渡河车辆段、九华车辆基地食堂委外经营服务项目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adjustRightInd w:val="0"/>
        <w:snapToGrid w:val="0"/>
        <w:spacing w:line="440" w:lineRule="exac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69" w:name="_Toc59900970"/>
      <w:bookmarkStart w:id="170" w:name="_Toc59896702"/>
      <w:r>
        <w:rPr>
          <w:rFonts w:hint="eastAsia" w:ascii="仿宋_GB2312" w:hAnsi="仿宋_GB2312" w:eastAsia="仿宋_GB2312" w:cs="仿宋_GB2312"/>
          <w:sz w:val="24"/>
          <w:highlight w:val="none"/>
        </w:rPr>
        <w:t>第三条 甲方的义务</w:t>
      </w:r>
      <w:bookmarkEnd w:id="169"/>
      <w:bookmarkEnd w:id="170"/>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71" w:name="_Toc59900971"/>
      <w:bookmarkStart w:id="172" w:name="_Toc59896703"/>
      <w:r>
        <w:rPr>
          <w:rFonts w:hint="eastAsia" w:ascii="仿宋_GB2312" w:hAnsi="仿宋_GB2312" w:eastAsia="仿宋_GB2312" w:cs="仿宋_GB2312"/>
          <w:sz w:val="24"/>
          <w:highlight w:val="none"/>
        </w:rPr>
        <w:t>第四条 乙方义务</w:t>
      </w:r>
      <w:bookmarkEnd w:id="171"/>
      <w:bookmarkEnd w:id="172"/>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r>
        <w:rPr>
          <w:rFonts w:hint="eastAsia" w:ascii="仿宋_GB2312" w:hAnsi="仿宋_GB2312" w:eastAsia="仿宋_GB2312" w:cs="仿宋_GB2312"/>
          <w:color w:val="auto"/>
          <w:kern w:val="0"/>
          <w:sz w:val="24"/>
          <w:szCs w:val="24"/>
          <w:highlight w:val="none"/>
          <w:lang w:val="en-US" w:eastAsia="zh-CN" w:bidi="ar-SA"/>
        </w:rPr>
        <w:t>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outlineLvl w:val="9"/>
        <w:rPr>
          <w:rFonts w:hint="eastAsia" w:ascii="仿宋_GB2312" w:hAnsi="仿宋_GB2312" w:eastAsia="仿宋_GB2312" w:cs="仿宋_GB2312"/>
          <w:sz w:val="24"/>
          <w:highlight w:val="none"/>
        </w:rPr>
        <w:sectPr>
          <w:pgSz w:w="11906" w:h="16838"/>
          <w:pgMar w:top="1440" w:right="1800" w:bottom="1440" w:left="1800" w:header="851" w:footer="992" w:gutter="0"/>
          <w:pgNumType w:fmt="decimal"/>
          <w:cols w:space="720" w:num="1"/>
          <w:docGrid w:type="lines" w:linePitch="312" w:charSpace="0"/>
        </w:sectPr>
      </w:pPr>
    </w:p>
    <w:p>
      <w:pPr>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pStyle w:val="2"/>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13"/>
        <w:snapToGrid w:val="0"/>
        <w:spacing w:line="360" w:lineRule="auto"/>
        <w:ind w:firstLine="0"/>
        <w:outlineLvl w:val="9"/>
        <w:rPr>
          <w:rFonts w:hint="eastAsia" w:ascii="仿宋_GB2312" w:hAnsi="仿宋_GB2312" w:eastAsia="仿宋_GB2312" w:cs="仿宋_GB2312"/>
          <w:b/>
          <w:sz w:val="24"/>
          <w:highlight w:val="none"/>
        </w:rPr>
      </w:pPr>
      <w:bookmarkStart w:id="173" w:name="_Toc5461"/>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（盖章）</w:t>
      </w:r>
      <w:bookmarkEnd w:id="173"/>
      <w:r>
        <w:rPr>
          <w:rFonts w:hint="eastAsia" w:ascii="仿宋_GB2312" w:hAnsi="仿宋_GB2312" w:eastAsia="仿宋_GB2312" w:cs="仿宋_GB2312"/>
          <w:sz w:val="24"/>
          <w:highlight w:val="none"/>
          <w:u w:val="single"/>
        </w:rPr>
        <w:t xml:space="preserve">        </w:t>
      </w:r>
    </w:p>
    <w:p>
      <w:pPr>
        <w:widowControl/>
        <w:jc w:val="left"/>
        <w:outlineLvl w:val="9"/>
        <w:rPr>
          <w:rFonts w:hint="eastAsia" w:ascii="仿宋_GB2312" w:hAnsi="仿宋_GB2312" w:eastAsia="仿宋_GB2312" w:cs="仿宋_GB2312"/>
          <w:b/>
          <w:sz w:val="24"/>
          <w:highlight w:val="none"/>
        </w:rPr>
      </w:pPr>
      <w:r>
        <w:rPr>
          <w:rFonts w:hint="eastAsia" w:ascii="仿宋_GB2312" w:hAnsi="仿宋_GB2312" w:cs="仿宋_GB2312"/>
          <w:b/>
          <w:sz w:val="32"/>
          <w:szCs w:val="32"/>
          <w:lang w:val="en-US" w:eastAsia="zh-CN"/>
        </w:rPr>
        <w:br w:type="page"/>
      </w:r>
      <w:bookmarkStart w:id="174" w:name="_Toc811"/>
      <w:bookmarkStart w:id="175" w:name="_Toc14943"/>
      <w:r>
        <w:rPr>
          <w:rFonts w:hint="eastAsia" w:ascii="仿宋_GB2312" w:hAnsi="仿宋_GB2312" w:eastAsia="仿宋_GB2312" w:cs="仿宋_GB2312"/>
          <w:b/>
          <w:sz w:val="24"/>
          <w:highlight w:val="none"/>
        </w:rPr>
        <w:t>附件2 安全生产协议</w:t>
      </w:r>
    </w:p>
    <w:p>
      <w:pPr>
        <w:autoSpaceDE w:val="0"/>
        <w:autoSpaceDN w:val="0"/>
        <w:adjustRightInd w:val="0"/>
        <w:jc w:val="center"/>
        <w:outlineLvl w:val="9"/>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安全生产协议</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p>
    <w:p>
      <w:pPr>
        <w:widowControl/>
        <w:snapToGrid w:val="0"/>
        <w:spacing w:line="360" w:lineRule="auto"/>
        <w:jc w:val="left"/>
        <w:outlineLvl w:val="9"/>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为在 </w:t>
      </w:r>
      <w:r>
        <w:rPr>
          <w:rFonts w:hint="eastAsia" w:ascii="仿宋_GB2312" w:hAnsi="宋体" w:eastAsia="仿宋_GB2312"/>
          <w:sz w:val="24"/>
          <w:u w:val="single"/>
          <w:lang w:val="en-US" w:eastAsia="zh-CN"/>
        </w:rPr>
        <w:t>长沙市轨道交通5号线、西环线运营期2023-2025年水渡河车辆段、九华车辆基地食堂委外经营服务项目</w:t>
      </w:r>
      <w:r>
        <w:rPr>
          <w:rFonts w:hint="eastAsia" w:ascii="仿宋_GB2312" w:hAnsi="仿宋_GB2312" w:eastAsia="仿宋_GB2312" w:cs="仿宋_GB2312"/>
          <w:kern w:val="0"/>
          <w:sz w:val="24"/>
          <w:highlight w:val="none"/>
        </w:rPr>
        <w:t>合同</w:t>
      </w:r>
      <w:r>
        <w:rPr>
          <w:rFonts w:hint="eastAsia" w:ascii="仿宋_GB2312" w:hAnsi="仿宋_GB2312" w:eastAsia="仿宋_GB2312" w:cs="仿宋_GB2312"/>
          <w:sz w:val="24"/>
          <w:szCs w:val="20"/>
          <w:highlight w:val="none"/>
        </w:rPr>
        <w:t>（以下简称“主合同”）</w:t>
      </w:r>
      <w:r>
        <w:rPr>
          <w:rFonts w:hint="eastAsia" w:ascii="仿宋_GB2312" w:hAnsi="仿宋_GB2312" w:eastAsia="仿宋_GB2312" w:cs="仿宋_GB2312"/>
          <w:kern w:val="0"/>
          <w:sz w:val="24"/>
          <w:highlight w:val="none"/>
        </w:rPr>
        <w:t>的执行过程中创造安全、高效的施工环境，切实搞好项目的安全管理工作，甲、乙双方特签订本协议。</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一、甲方职责</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bookmarkStart w:id="296" w:name="_GoBack"/>
      <w:r>
        <w:rPr>
          <w:rFonts w:hint="eastAsia" w:ascii="仿宋_GB2312" w:hAnsi="仿宋_GB2312" w:eastAsia="仿宋_GB2312" w:cs="仿宋_GB2312"/>
          <w:kern w:val="0"/>
          <w:sz w:val="24"/>
          <w:highlight w:val="none"/>
        </w:rPr>
        <w:t>甲方应严格遵守国家有关安全生产的法律法规及有关安全生产管理条例的规定，认真执行主合同中的有关安全要求。</w:t>
      </w:r>
      <w:bookmarkEnd w:id="296"/>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2、甲方应按照“安全第一、预防为主”的原则进行安全生产管理。</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3、甲方应及时传达中央及地方有关安全生产的精神。</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4、甲方组织对乙方施工现场安全生产检查，监督乙方及时处理发现的各种安全隐患。</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二、乙方职责</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3、乙方应加强项目关键岗位人员到岗情况的监督和项目现场的人员管理，并为项目现场人员及时足额缴纳工伤保险费。</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4、乙方在项目现场配备的安全员应不低于《湖南省建设工程施工项目部和现场监理部关键岗位人员配备管理办法》（湘建建[20</w:t>
      </w:r>
      <w:r>
        <w:rPr>
          <w:rFonts w:hint="eastAsia" w:ascii="仿宋_GB2312" w:hAnsi="仿宋_GB2312" w:cs="仿宋_GB2312"/>
          <w:kern w:val="0"/>
          <w:sz w:val="24"/>
          <w:highlight w:val="none"/>
          <w:lang w:val="en-US" w:eastAsia="zh-CN"/>
        </w:rPr>
        <w:t>20</w:t>
      </w:r>
      <w:r>
        <w:rPr>
          <w:rFonts w:hint="eastAsia" w:ascii="仿宋_GB2312" w:hAnsi="仿宋_GB2312" w:eastAsia="仿宋_GB2312" w:cs="仿宋_GB2312"/>
          <w:kern w:val="0"/>
          <w:sz w:val="24"/>
          <w:highlight w:val="none"/>
        </w:rPr>
        <w:t>]</w:t>
      </w:r>
      <w:r>
        <w:rPr>
          <w:rFonts w:hint="eastAsia" w:ascii="仿宋_GB2312" w:hAnsi="仿宋_GB2312" w:cs="仿宋_GB2312"/>
          <w:kern w:val="0"/>
          <w:sz w:val="24"/>
          <w:highlight w:val="none"/>
          <w:lang w:val="en-US" w:eastAsia="zh-CN"/>
        </w:rPr>
        <w:t>208</w:t>
      </w:r>
      <w:r>
        <w:rPr>
          <w:rFonts w:hint="eastAsia" w:ascii="仿宋_GB2312" w:hAnsi="仿宋_GB2312" w:eastAsia="仿宋_GB2312" w:cs="仿宋_GB2312"/>
          <w:kern w:val="0"/>
          <w:sz w:val="24"/>
          <w:highlight w:val="none"/>
        </w:rPr>
        <w:t>号）规定，并确保安全员专职负责所有员工的安全和治安保卫工作和有权按有关规定发布指令、有权采取保护性措施。</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6、乙方应按相关规程规范在项目现场设置安全保护和防护设施（含消防设施）、配备劳动保护用品，做好设施的日常维护和定期检查，安全员应对维护和检查情况记录、签字。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9、乙方应定期排查事故隐患,发现一般事故隐患应当立即排除;发现重大事故隐患应当及时报告安全生产监督管理部门或者其他负有安全生产监督管理职责的部门,并制定治理方案予以排除。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10、乙方应积极配合接受甲方的安全监督检查,及时整改管辖范围内的问题和安全隐患,确保安全生产。</w:t>
      </w:r>
    </w:p>
    <w:p>
      <w:pPr>
        <w:widowControl/>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11、乙方应履行法律、法规规定的其他安全生产责任和义务。</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三、违约责任</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在主合同执行过程中，因乙方原因发生安全事故，由此产生的一切行政、经济、法律责任由乙方承担。</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四、协议的生效和终止</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本协议由双方法定代表人或其授权代表签字并加盖公章后生效，主合同履行完毕后失效。</w:t>
      </w:r>
      <w:r>
        <w:rPr>
          <w:rFonts w:hint="eastAsia" w:ascii="仿宋_GB2312" w:hAnsi="仿宋_GB2312" w:eastAsia="仿宋_GB2312" w:cs="仿宋_GB2312"/>
          <w:kern w:val="0"/>
          <w:sz w:val="24"/>
          <w:highlight w:val="none"/>
        </w:rPr>
        <w:br w:type="page"/>
      </w: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tbl>
      <w:tblPr>
        <w:tblStyle w:val="47"/>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noWrap w:val="0"/>
            <w:vAlign w:val="top"/>
          </w:tcPr>
          <w:p>
            <w:pPr>
              <w:adjustRightInd w:val="0"/>
              <w:snapToGrid w:val="0"/>
              <w:spacing w:line="360" w:lineRule="auto"/>
              <w:textAlignment w:val="baseline"/>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br w:type="page"/>
            </w:r>
          </w:p>
          <w:p>
            <w:pPr>
              <w:adjustRightInd w:val="0"/>
              <w:snapToGrid w:val="0"/>
              <w:spacing w:line="360" w:lineRule="auto"/>
              <w:textAlignment w:val="baseline"/>
              <w:outlineLvl w:val="9"/>
              <w:rPr>
                <w:rFonts w:hint="eastAsia" w:ascii="仿宋_GB2312" w:hAnsi="仿宋_GB2312" w:eastAsia="仿宋_GB2312" w:cs="仿宋_GB2312"/>
                <w:sz w:val="24"/>
                <w:szCs w:val="20"/>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甲方：(盖章)</w:t>
            </w: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tc>
        <w:tc>
          <w:tcPr>
            <w:tcW w:w="4193" w:type="dxa"/>
            <w:noWrap w:val="0"/>
            <w:vAlign w:val="top"/>
          </w:tcPr>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p>
        </w:tc>
        <w:tc>
          <w:tcPr>
            <w:tcW w:w="4193" w:type="dxa"/>
            <w:noWrap w:val="0"/>
            <w:vAlign w:val="top"/>
          </w:tcPr>
          <w:p>
            <w:pPr>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193" w:type="dxa"/>
            <w:noWrap w:val="0"/>
            <w:vAlign w:val="top"/>
          </w:tcPr>
          <w:p>
            <w:pPr>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snapToGrid w:val="0"/>
        <w:spacing w:line="360" w:lineRule="auto"/>
        <w:outlineLvl w:val="9"/>
        <w:rPr>
          <w:rFonts w:hint="eastAsia" w:ascii="仿宋_GB2312" w:hAnsi="仿宋_GB2312" w:eastAsia="仿宋_GB2312" w:cs="仿宋_GB2312"/>
          <w:szCs w:val="20"/>
          <w:highlight w:val="none"/>
        </w:rPr>
      </w:pPr>
    </w:p>
    <w:bookmarkEnd w:id="174"/>
    <w:bookmarkEnd w:id="175"/>
    <w:p>
      <w:pPr>
        <w:numPr>
          <w:ilvl w:val="0"/>
          <w:numId w:val="0"/>
        </w:numPr>
        <w:ind w:leftChars="0"/>
        <w:jc w:val="center"/>
        <w:outlineLvl w:val="9"/>
        <w:rPr>
          <w:rFonts w:hint="eastAsia" w:ascii="仿宋_GB2312" w:hAnsi="仿宋_GB2312" w:cs="仿宋_GB2312"/>
          <w:b/>
          <w:sz w:val="32"/>
          <w:szCs w:val="32"/>
          <w:lang w:val="en-US" w:eastAsia="zh-CN"/>
        </w:rPr>
      </w:pPr>
      <w:bookmarkStart w:id="176" w:name="_Toc17822"/>
      <w:bookmarkStart w:id="177" w:name="_Toc2215"/>
      <w:bookmarkStart w:id="178" w:name="_Toc20926"/>
      <w:bookmarkStart w:id="179" w:name="_Toc31412"/>
      <w:bookmarkStart w:id="180" w:name="_Toc18966"/>
      <w:bookmarkStart w:id="181" w:name="_Toc13807"/>
      <w:bookmarkStart w:id="182" w:name="_Toc28250"/>
      <w:bookmarkStart w:id="183" w:name="_Toc17255"/>
      <w:bookmarkStart w:id="184" w:name="_Toc6349"/>
      <w:bookmarkStart w:id="185" w:name="_Toc9442"/>
      <w:bookmarkStart w:id="186" w:name="_Toc14454"/>
      <w:bookmarkStart w:id="187" w:name="_Toc24384"/>
      <w:bookmarkStart w:id="188" w:name="_Toc17117"/>
      <w:bookmarkStart w:id="189" w:name="_Toc319826225"/>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both"/>
        <w:outlineLvl w:val="9"/>
        <w:rPr>
          <w:rFonts w:hint="eastAsia" w:ascii="仿宋_GB2312" w:hAnsi="仿宋_GB2312" w:cs="仿宋_GB2312"/>
          <w:b/>
          <w:sz w:val="32"/>
          <w:szCs w:val="32"/>
          <w:lang w:val="en-US" w:eastAsia="zh-CN"/>
        </w:rPr>
      </w:pPr>
    </w:p>
    <w:p>
      <w:pPr>
        <w:pStyle w:val="13"/>
        <w:snapToGrid w:val="0"/>
        <w:spacing w:line="360" w:lineRule="auto"/>
        <w:ind w:firstLine="0"/>
        <w:outlineLvl w:val="9"/>
        <w:rPr>
          <w:rFonts w:hint="eastAsia" w:ascii="仿宋_GB2312" w:hAnsi="仿宋_GB2312" w:eastAsia="仿宋_GB2312" w:cs="仿宋_GB2312"/>
          <w:b/>
          <w:sz w:val="24"/>
        </w:rPr>
      </w:pPr>
      <w:bookmarkStart w:id="190" w:name="_Toc8739"/>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3</w:t>
      </w:r>
      <w:r>
        <w:rPr>
          <w:rFonts w:hint="eastAsia" w:ascii="仿宋_GB2312" w:hAnsi="仿宋_GB2312" w:eastAsia="仿宋_GB2312" w:cs="仿宋_GB2312"/>
          <w:b/>
          <w:sz w:val="24"/>
        </w:rPr>
        <w:t xml:space="preserve"> </w:t>
      </w:r>
      <w:bookmarkStart w:id="191" w:name="_Toc493574715"/>
      <w:r>
        <w:rPr>
          <w:rFonts w:hint="eastAsia" w:ascii="仿宋_GB2312" w:hAnsi="仿宋_GB2312" w:eastAsia="仿宋_GB2312" w:cs="仿宋_GB2312"/>
          <w:b/>
          <w:sz w:val="24"/>
        </w:rPr>
        <w:t>签约合同价清单</w:t>
      </w:r>
      <w:bookmarkEnd w:id="190"/>
      <w:bookmarkEnd w:id="191"/>
    </w:p>
    <w:p>
      <w:pPr>
        <w:pStyle w:val="13"/>
        <w:snapToGrid w:val="0"/>
        <w:spacing w:line="360" w:lineRule="auto"/>
        <w:ind w:firstLine="0"/>
        <w:outlineLvl w:val="9"/>
        <w:rPr>
          <w:rFonts w:hint="eastAsia" w:ascii="仿宋_GB2312" w:hAnsi="仿宋_GB2312" w:eastAsia="仿宋_GB2312" w:cs="仿宋_GB2312"/>
          <w:b/>
          <w:sz w:val="24"/>
        </w:rPr>
      </w:pPr>
      <w:bookmarkStart w:id="192" w:name="_Toc27364"/>
      <w:bookmarkStart w:id="193" w:name="_Toc493574717"/>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4</w:t>
      </w:r>
      <w:r>
        <w:rPr>
          <w:rFonts w:hint="eastAsia" w:ascii="仿宋_GB2312" w:hAnsi="仿宋_GB2312" w:eastAsia="仿宋_GB2312" w:cs="仿宋_GB2312"/>
          <w:b/>
          <w:sz w:val="24"/>
        </w:rPr>
        <w:t xml:space="preserve"> 澄清与答疑文件（如有）</w:t>
      </w:r>
      <w:bookmarkEnd w:id="192"/>
      <w:bookmarkEnd w:id="193"/>
    </w:p>
    <w:p>
      <w:pPr>
        <w:pStyle w:val="13"/>
        <w:snapToGrid w:val="0"/>
        <w:spacing w:line="360" w:lineRule="auto"/>
        <w:ind w:firstLine="0"/>
        <w:outlineLvl w:val="9"/>
        <w:rPr>
          <w:rFonts w:hint="eastAsia" w:ascii="仿宋_GB2312" w:hAnsi="仿宋_GB2312" w:eastAsia="仿宋_GB2312" w:cs="仿宋_GB2312"/>
          <w:b/>
          <w:sz w:val="24"/>
        </w:rPr>
      </w:pPr>
      <w:bookmarkStart w:id="194" w:name="_Toc493574718"/>
      <w:bookmarkStart w:id="195" w:name="_Toc2705"/>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5</w:t>
      </w:r>
      <w:r>
        <w:rPr>
          <w:rFonts w:hint="eastAsia" w:ascii="仿宋_GB2312" w:hAnsi="仿宋_GB2312" w:eastAsia="仿宋_GB2312" w:cs="仿宋_GB2312"/>
          <w:b/>
          <w:sz w:val="24"/>
        </w:rPr>
        <w:t xml:space="preserve"> 控制价公示说明（如有）</w:t>
      </w:r>
      <w:bookmarkEnd w:id="194"/>
      <w:bookmarkEnd w:id="195"/>
    </w:p>
    <w:p>
      <w:pPr>
        <w:pStyle w:val="13"/>
        <w:snapToGrid w:val="0"/>
        <w:spacing w:line="360" w:lineRule="auto"/>
        <w:ind w:firstLine="0"/>
        <w:outlineLvl w:val="9"/>
        <w:rPr>
          <w:rFonts w:hint="eastAsia" w:ascii="仿宋_GB2312" w:hAnsi="仿宋_GB2312" w:eastAsia="仿宋_GB2312" w:cs="仿宋_GB2312"/>
          <w:b/>
          <w:sz w:val="24"/>
          <w:lang w:eastAsia="zh-CN"/>
        </w:rPr>
        <w:sectPr>
          <w:footerReference r:id="rId10" w:type="first"/>
          <w:footerReference r:id="rId9" w:type="default"/>
          <w:pgSz w:w="11850" w:h="16783"/>
          <w:pgMar w:top="1440" w:right="1361" w:bottom="1440" w:left="1474" w:header="851" w:footer="992" w:gutter="0"/>
          <w:pgNumType w:fmt="decimal"/>
          <w:cols w:space="720" w:num="1"/>
          <w:titlePg/>
          <w:docGrid w:type="lines" w:linePitch="312" w:charSpace="0"/>
        </w:sectPr>
      </w:pPr>
      <w:bookmarkStart w:id="196" w:name="_Toc493574719"/>
      <w:bookmarkStart w:id="197" w:name="_Toc10093"/>
      <w:r>
        <w:rPr>
          <w:rFonts w:hint="eastAsia" w:ascii="仿宋_GB2312" w:hAnsi="仿宋_GB2312" w:eastAsia="仿宋_GB2312" w:cs="仿宋_GB2312"/>
          <w:b/>
          <w:sz w:val="24"/>
        </w:rPr>
        <w:t>附件</w:t>
      </w:r>
      <w:bookmarkEnd w:id="196"/>
      <w:r>
        <w:rPr>
          <w:rFonts w:hint="eastAsia" w:ascii="仿宋_GB2312" w:hAnsi="仿宋_GB2312" w:cs="仿宋_GB2312"/>
          <w:b/>
          <w:sz w:val="24"/>
          <w:lang w:val="en-US" w:eastAsia="zh-CN"/>
        </w:rPr>
        <w:t>6</w:t>
      </w:r>
      <w:r>
        <w:rPr>
          <w:rFonts w:hint="eastAsia" w:ascii="仿宋_GB2312" w:hAnsi="仿宋_GB2312" w:eastAsia="仿宋_GB2312" w:cs="仿宋_GB2312"/>
          <w:b/>
          <w:sz w:val="24"/>
        </w:rPr>
        <w:t>用户需求书/技术规格书</w:t>
      </w:r>
      <w:bookmarkEnd w:id="197"/>
    </w:p>
    <w:p>
      <w:pPr>
        <w:numPr>
          <w:ilvl w:val="0"/>
          <w:numId w:val="0"/>
        </w:numPr>
        <w:ind w:leftChars="0"/>
        <w:jc w:val="center"/>
        <w:outlineLvl w:val="9"/>
        <w:rPr>
          <w:rFonts w:hint="eastAsia" w:ascii="仿宋_GB2312" w:hAnsi="仿宋_GB2312" w:cs="仿宋_GB2312"/>
          <w:b/>
          <w:sz w:val="32"/>
          <w:szCs w:val="32"/>
          <w:lang w:val="en-US" w:eastAsia="zh-CN"/>
        </w:rPr>
      </w:pPr>
      <w:bookmarkStart w:id="198" w:name="_Toc24605"/>
      <w:r>
        <w:rPr>
          <w:rFonts w:hint="eastAsia" w:ascii="仿宋_GB2312" w:hAnsi="仿宋_GB2312" w:cs="仿宋_GB2312"/>
          <w:b/>
          <w:sz w:val="32"/>
          <w:szCs w:val="32"/>
          <w:lang w:val="en-US" w:eastAsia="zh-CN"/>
        </w:rPr>
        <w:t>第五部分 合同附录</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8"/>
    </w:p>
    <w:p>
      <w:pPr>
        <w:adjustRightInd w:val="0"/>
        <w:snapToGrid w:val="0"/>
        <w:spacing w:line="360" w:lineRule="auto"/>
        <w:outlineLvl w:val="9"/>
        <w:rPr>
          <w:rFonts w:hint="eastAsia" w:ascii="仿宋_GB2312" w:hAnsi="仿宋_GB2312" w:eastAsia="仿宋_GB2312" w:cs="仿宋_GB2312"/>
          <w:b/>
          <w:bCs/>
          <w:sz w:val="24"/>
        </w:rPr>
      </w:pPr>
      <w:bookmarkStart w:id="199" w:name="_Toc10903"/>
      <w:bookmarkStart w:id="200" w:name="_Toc13541"/>
      <w:bookmarkStart w:id="201" w:name="_Toc8857"/>
      <w:bookmarkStart w:id="202" w:name="_Toc20137"/>
      <w:bookmarkStart w:id="203" w:name="_Toc20623"/>
      <w:bookmarkStart w:id="204" w:name="_Toc30396"/>
      <w:bookmarkStart w:id="205" w:name="_Toc16747"/>
      <w:bookmarkStart w:id="206" w:name="_Toc27339"/>
      <w:bookmarkStart w:id="207" w:name="_Toc16241"/>
      <w:bookmarkStart w:id="208" w:name="_Toc1243"/>
      <w:bookmarkStart w:id="209" w:name="_Toc25204"/>
      <w:bookmarkStart w:id="210" w:name="_Toc6672"/>
      <w:bookmarkStart w:id="211" w:name="_Toc8938"/>
      <w:r>
        <w:rPr>
          <w:rFonts w:hint="eastAsia" w:ascii="仿宋_GB2312" w:hAnsi="仿宋_GB2312" w:eastAsia="仿宋_GB2312" w:cs="仿宋_GB2312"/>
          <w:b/>
          <w:bCs/>
          <w:sz w:val="24"/>
        </w:rPr>
        <w:t>附录1</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授权委托书（格式）</w:t>
      </w:r>
      <w:bookmarkEnd w:id="199"/>
      <w:bookmarkEnd w:id="200"/>
      <w:bookmarkEnd w:id="201"/>
      <w:bookmarkEnd w:id="202"/>
      <w:bookmarkEnd w:id="203"/>
      <w:bookmarkEnd w:id="204"/>
      <w:bookmarkEnd w:id="205"/>
      <w:bookmarkEnd w:id="206"/>
      <w:bookmarkEnd w:id="207"/>
      <w:bookmarkEnd w:id="208"/>
      <w:bookmarkEnd w:id="209"/>
      <w:bookmarkEnd w:id="210"/>
      <w:bookmarkEnd w:id="211"/>
    </w:p>
    <w:p>
      <w:pPr>
        <w:snapToGrid w:val="0"/>
        <w:spacing w:line="360" w:lineRule="auto"/>
        <w:jc w:val="center"/>
        <w:outlineLvl w:val="9"/>
        <w:rPr>
          <w:rFonts w:hint="eastAsia" w:ascii="仿宋_GB2312" w:hAnsi="仿宋_GB2312" w:eastAsia="仿宋_GB2312" w:cs="仿宋_GB2312"/>
          <w:b/>
          <w:sz w:val="30"/>
          <w:szCs w:val="30"/>
        </w:rPr>
      </w:pPr>
    </w:p>
    <w:p>
      <w:pPr>
        <w:snapToGrid w:val="0"/>
        <w:spacing w:line="360" w:lineRule="auto"/>
        <w:jc w:val="center"/>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授权委托书</w:t>
      </w:r>
    </w:p>
    <w:p>
      <w:pPr>
        <w:snapToGrid w:val="0"/>
        <w:spacing w:line="360" w:lineRule="auto"/>
        <w:outlineLvl w:val="9"/>
        <w:rPr>
          <w:rFonts w:hint="eastAsia" w:ascii="仿宋_GB2312" w:hAnsi="仿宋_GB2312" w:eastAsia="仿宋_GB2312" w:cs="仿宋_GB2312"/>
          <w:b/>
          <w:szCs w:val="21"/>
        </w:rPr>
      </w:pPr>
    </w:p>
    <w:p>
      <w:pPr>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本授权书声明：注册于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（国家名称）的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（乙方全称）在下面签字的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（法定代表人姓名、职务）代表本公司授权在下面签字的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（被授权人的姓名、职务）为本公司的合法代表，就合同编号为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合同》（以下简称“合同”）的签约、执行和质量保证期服务、售后服务期服务等，并以本公司名义处理一切与之有关的事务。</w:t>
      </w:r>
    </w:p>
    <w:p>
      <w:pPr>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本授权书于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日签字生效，特此声明。</w:t>
      </w:r>
    </w:p>
    <w:p>
      <w:pPr>
        <w:snapToGrid w:val="0"/>
        <w:spacing w:line="360" w:lineRule="auto"/>
        <w:outlineLvl w:val="9"/>
        <w:rPr>
          <w:rFonts w:hint="eastAsia" w:ascii="仿宋_GB2312" w:hAnsi="仿宋_GB2312" w:eastAsia="仿宋_GB2312" w:cs="仿宋_GB2312"/>
          <w:sz w:val="24"/>
        </w:rPr>
      </w:pP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法定代表人签字：</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授权代表（被授权人，即授权代理人）签字：</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乙方全称（公章）：</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乙方地址：</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电     话：</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传     真：</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p>
    <w:p>
      <w:pPr>
        <w:snapToGrid w:val="0"/>
        <w:spacing w:line="360" w:lineRule="auto"/>
        <w:outlineLvl w:val="9"/>
        <w:rPr>
          <w:rFonts w:hint="eastAsia" w:ascii="仿宋_GB2312" w:hAnsi="仿宋_GB2312" w:eastAsia="仿宋_GB2312" w:cs="仿宋_GB2312"/>
          <w:b/>
          <w:sz w:val="36"/>
          <w:szCs w:val="36"/>
        </w:rPr>
      </w:pPr>
      <w:r>
        <w:rPr>
          <w:rFonts w:hint="eastAsia" w:ascii="仿宋_GB2312" w:hAnsi="仿宋_GB2312" w:eastAsia="仿宋_GB2312" w:cs="仿宋_GB2312"/>
          <w:b/>
          <w:sz w:val="24"/>
        </w:rPr>
        <w:t>附：</w:t>
      </w:r>
      <w:r>
        <w:rPr>
          <w:rFonts w:hint="eastAsia" w:ascii="仿宋_GB2312" w:hAnsi="仿宋_GB2312" w:eastAsia="仿宋_GB2312" w:cs="仿宋_GB2312"/>
          <w:sz w:val="24"/>
        </w:rPr>
        <w:t>授权人的法定代表人证明材料复印件（加盖单位公章）、授权人和被授权人的身份证彩色影印件（加盖单位公章）</w:t>
      </w:r>
    </w:p>
    <w:p>
      <w:pPr>
        <w:adjustRightInd w:val="0"/>
        <w:snapToGrid w:val="0"/>
        <w:spacing w:line="360" w:lineRule="auto"/>
        <w:outlineLvl w:val="9"/>
        <w:rPr>
          <w:rFonts w:hint="eastAsia" w:ascii="仿宋_GB2312" w:hAnsi="仿宋_GB2312" w:eastAsia="仿宋_GB2312" w:cs="仿宋_GB2312"/>
          <w:b/>
          <w:bCs/>
          <w:sz w:val="24"/>
        </w:rPr>
        <w:sectPr>
          <w:footerReference r:id="rId11" w:type="default"/>
          <w:pgSz w:w="11906" w:h="16838"/>
          <w:pgMar w:top="1440" w:right="1800" w:bottom="1440" w:left="1800" w:header="851" w:footer="992" w:gutter="0"/>
          <w:pgNumType w:fmt="decimal"/>
          <w:cols w:space="720" w:num="1"/>
          <w:docGrid w:type="lines" w:linePitch="312" w:charSpace="0"/>
        </w:sectPr>
      </w:pPr>
      <w:bookmarkStart w:id="212" w:name="_Toc437444977"/>
      <w:bookmarkStart w:id="213" w:name="_Toc16781"/>
      <w:bookmarkStart w:id="214" w:name="_Toc319826226"/>
      <w:bookmarkStart w:id="215" w:name="_Toc32410"/>
      <w:bookmarkStart w:id="216" w:name="_Toc6815"/>
      <w:bookmarkStart w:id="217" w:name="_Toc209"/>
      <w:bookmarkStart w:id="218" w:name="_Toc12241"/>
      <w:bookmarkStart w:id="219" w:name="_Toc31338"/>
      <w:bookmarkStart w:id="220" w:name="_Toc6255"/>
      <w:bookmarkStart w:id="221" w:name="_Toc12472"/>
      <w:bookmarkStart w:id="222" w:name="_Toc20786"/>
      <w:bookmarkStart w:id="223" w:name="_Toc16069"/>
      <w:bookmarkStart w:id="224" w:name="_Toc32593"/>
      <w:bookmarkStart w:id="225" w:name="_Toc24234"/>
    </w:p>
    <w:p>
      <w:pPr>
        <w:adjustRightInd w:val="0"/>
        <w:snapToGrid w:val="0"/>
        <w:spacing w:line="360" w:lineRule="auto"/>
        <w:outlineLvl w:val="9"/>
        <w:rPr>
          <w:rFonts w:hint="eastAsia" w:ascii="仿宋_GB2312" w:hAnsi="仿宋_GB2312" w:eastAsia="仿宋_GB2312" w:cs="仿宋_GB2312"/>
          <w:b/>
          <w:sz w:val="30"/>
          <w:szCs w:val="30"/>
        </w:rPr>
      </w:pPr>
      <w:bookmarkStart w:id="226" w:name="_Toc6936"/>
      <w:bookmarkStart w:id="227" w:name="_Toc8121"/>
      <w:r>
        <w:rPr>
          <w:rFonts w:hint="eastAsia" w:ascii="仿宋_GB2312" w:hAnsi="仿宋_GB2312" w:eastAsia="仿宋_GB2312" w:cs="仿宋_GB2312"/>
          <w:b/>
          <w:bCs/>
          <w:sz w:val="24"/>
        </w:rPr>
        <w:t>附录2</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银行履约保函</w:t>
      </w:r>
      <w:bookmarkEnd w:id="212"/>
      <w:bookmarkEnd w:id="213"/>
      <w:bookmarkEnd w:id="214"/>
      <w:r>
        <w:rPr>
          <w:rFonts w:hint="eastAsia" w:ascii="仿宋_GB2312" w:hAnsi="仿宋_GB2312" w:eastAsia="仿宋_GB2312" w:cs="仿宋_GB2312"/>
          <w:b/>
          <w:bCs/>
          <w:sz w:val="24"/>
        </w:rPr>
        <w:t>（格式）</w:t>
      </w:r>
      <w:bookmarkEnd w:id="215"/>
      <w:bookmarkEnd w:id="216"/>
      <w:bookmarkEnd w:id="217"/>
      <w:bookmarkEnd w:id="218"/>
      <w:bookmarkEnd w:id="219"/>
      <w:bookmarkEnd w:id="220"/>
      <w:bookmarkEnd w:id="221"/>
      <w:bookmarkEnd w:id="222"/>
      <w:bookmarkEnd w:id="223"/>
      <w:bookmarkEnd w:id="224"/>
      <w:bookmarkEnd w:id="225"/>
      <w:bookmarkEnd w:id="226"/>
      <w:bookmarkEnd w:id="227"/>
    </w:p>
    <w:p>
      <w:pPr>
        <w:snapToGrid w:val="0"/>
        <w:spacing w:line="360" w:lineRule="auto"/>
        <w:jc w:val="center"/>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银行履约保函</w:t>
      </w:r>
    </w:p>
    <w:p>
      <w:pPr>
        <w:snapToGrid w:val="0"/>
        <w:spacing w:line="360" w:lineRule="auto"/>
        <w:ind w:right="480" w:firstLine="480" w:firstLineChars="200"/>
        <w:jc w:val="center"/>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napToGrid w:val="0"/>
        <w:spacing w:line="360" w:lineRule="auto"/>
        <w:ind w:right="480"/>
        <w:jc w:val="left"/>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保函编号：</w:t>
      </w:r>
      <w:r>
        <w:rPr>
          <w:rFonts w:hint="eastAsia" w:ascii="仿宋_GB2312" w:hAnsi="仿宋_GB2312" w:eastAsia="仿宋_GB2312" w:cs="仿宋_GB2312"/>
          <w:sz w:val="24"/>
          <w:u w:val="single"/>
        </w:rPr>
        <w:t xml:space="preserve">             </w:t>
      </w:r>
    </w:p>
    <w:p>
      <w:pPr>
        <w:snapToGrid w:val="0"/>
        <w:spacing w:line="360" w:lineRule="auto"/>
        <w:ind w:right="480"/>
        <w:outlineLvl w:val="9"/>
        <w:rPr>
          <w:rFonts w:hint="eastAsia" w:ascii="仿宋_GB2312" w:hAnsi="仿宋_GB2312" w:eastAsia="仿宋_GB2312" w:cs="仿宋_GB2312"/>
          <w:sz w:val="24"/>
        </w:rPr>
      </w:pPr>
    </w:p>
    <w:p>
      <w:pPr>
        <w:adjustRightInd w:val="0"/>
        <w:snapToGrid w:val="0"/>
        <w:spacing w:line="360" w:lineRule="auto"/>
        <w:outlineLvl w:val="9"/>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（甲方名称）：</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（甲方名称，以下简称“你方”）与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（乙方名称，以下简称“乙方”）于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1.担保金额为人民币（大写）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2. 担保有效期自本保函生效之日起至合同约定</w:t>
      </w:r>
      <w:r>
        <w:rPr>
          <w:rFonts w:hint="eastAsia" w:ascii="仿宋_GB2312" w:hAnsi="仿宋_GB2312" w:cs="仿宋_GB2312"/>
          <w:sz w:val="24"/>
          <w:lang w:eastAsia="zh-CN"/>
        </w:rPr>
        <w:t>合同工期期满</w:t>
      </w:r>
      <w:r>
        <w:rPr>
          <w:rFonts w:hint="eastAsia" w:ascii="仿宋_GB2312" w:hAnsi="仿宋_GB2312" w:eastAsia="仿宋_GB2312" w:cs="仿宋_GB2312"/>
          <w:sz w:val="24"/>
        </w:rPr>
        <w:t>止。</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4.你方和乙方按合同约定变更合同时，我方承担本担保规定的义务不变。</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rPr>
        <w:t>5.因本保函发生的纠纷，可由双方协商解决，协商不成的，任何一方均可提请在甲方所在地仲裁委员会仲裁。</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6.本保函自我方法定代表人或授权代理人签字并加盖公章之日起生效。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rPr>
      </w:pP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担保人：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（盖单位章）</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邮政编码： </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电话： </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传真：</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jc w:val="right"/>
        <w:outlineLvl w:val="9"/>
        <w:rPr>
          <w:color w:val="auto"/>
          <w:highlight w:val="none"/>
        </w:rPr>
        <w:sectPr>
          <w:footerReference r:id="rId12" w:type="default"/>
          <w:pgSz w:w="11906" w:h="16838"/>
          <w:pgMar w:top="2098" w:right="1474" w:bottom="1984" w:left="1587" w:header="851" w:footer="992" w:gutter="0"/>
          <w:pgNumType w:fmt="decimal"/>
          <w:cols w:space="0" w:num="1"/>
          <w:docGrid w:type="lines" w:linePitch="319" w:charSpace="0"/>
        </w:sectPr>
      </w:pPr>
    </w:p>
    <w:p>
      <w:pPr>
        <w:snapToGrid w:val="0"/>
        <w:spacing w:line="360" w:lineRule="auto"/>
        <w:jc w:val="center"/>
        <w:outlineLvl w:val="0"/>
        <w:rPr>
          <w:rFonts w:ascii="宋体" w:hAnsi="宋体" w:cs="宋体"/>
          <w:bCs/>
          <w:color w:val="auto"/>
          <w:sz w:val="32"/>
          <w:szCs w:val="32"/>
          <w:highlight w:val="none"/>
        </w:rPr>
      </w:pPr>
      <w:bookmarkStart w:id="228" w:name="_Toc29891"/>
      <w:bookmarkStart w:id="229" w:name="_Toc19503"/>
      <w:bookmarkStart w:id="230" w:name="_Toc111"/>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第六章</w:t>
      </w:r>
      <w:bookmarkStart w:id="231"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100"/>
      <w:bookmarkEnd w:id="101"/>
      <w:bookmarkEnd w:id="102"/>
      <w:bookmarkEnd w:id="103"/>
      <w:bookmarkEnd w:id="228"/>
      <w:bookmarkEnd w:id="229"/>
      <w:bookmarkEnd w:id="230"/>
      <w:bookmarkEnd w:id="231"/>
    </w:p>
    <w:p>
      <w:pPr>
        <w:spacing w:line="360" w:lineRule="auto"/>
        <w:rPr>
          <w:rFonts w:ascii="宋体" w:hAnsi="宋体"/>
          <w:b/>
          <w:bCs/>
          <w:color w:val="auto"/>
          <w:sz w:val="52"/>
          <w:szCs w:val="52"/>
          <w:highlight w:val="none"/>
        </w:rPr>
      </w:pP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adjustRightInd w:val="0"/>
        <w:snapToGrid w:val="0"/>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响应文件</w:t>
      </w:r>
    </w:p>
    <w:p>
      <w:pPr>
        <w:spacing w:line="360" w:lineRule="auto"/>
        <w:rPr>
          <w:rFonts w:ascii="宋体" w:hAnsi="宋体"/>
          <w:b/>
          <w:bCs/>
          <w:color w:val="auto"/>
          <w:sz w:val="28"/>
          <w:szCs w:val="28"/>
          <w:highlight w:val="none"/>
        </w:rPr>
      </w:pPr>
    </w:p>
    <w:p>
      <w:pPr>
        <w:pStyle w:val="25"/>
        <w:spacing w:line="360" w:lineRule="auto"/>
        <w:rPr>
          <w:rFonts w:hAnsi="宋体"/>
          <w:b/>
          <w:bCs/>
          <w:color w:val="auto"/>
          <w:sz w:val="32"/>
          <w:szCs w:val="32"/>
          <w:highlight w:val="non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jc w:val="center"/>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spacing w:line="360" w:lineRule="exact"/>
        <w:rPr>
          <w:rFonts w:ascii="宋体" w:hAnsi="宋体"/>
          <w:b/>
          <w:color w:val="auto"/>
          <w:highlight w:val="none"/>
        </w:rPr>
      </w:pPr>
    </w:p>
    <w:p>
      <w:pPr>
        <w:adjustRightInd w:val="0"/>
        <w:snapToGrid w:val="0"/>
        <w:spacing w:line="360" w:lineRule="auto"/>
        <w:jc w:val="center"/>
        <w:outlineLvl w:val="0"/>
        <w:rPr>
          <w:rFonts w:ascii="黑体" w:eastAsia="黑体"/>
          <w:b/>
          <w:color w:val="auto"/>
          <w:sz w:val="32"/>
          <w:szCs w:val="32"/>
          <w:highlight w:val="none"/>
        </w:rPr>
        <w:sectPr>
          <w:pgSz w:w="11906" w:h="16838"/>
          <w:pgMar w:top="2098" w:right="1474" w:bottom="1984" w:left="1587" w:header="851" w:footer="992" w:gutter="0"/>
          <w:pgNumType w:fmt="decimal"/>
          <w:cols w:space="0" w:num="1"/>
          <w:docGrid w:type="lines" w:linePitch="319" w:charSpace="0"/>
        </w:sectPr>
      </w:pPr>
    </w:p>
    <w:p>
      <w:pPr>
        <w:widowControl/>
        <w:spacing w:line="360" w:lineRule="auto"/>
        <w:jc w:val="center"/>
        <w:rPr>
          <w:rFonts w:hAnsi="宋体" w:cs="宋体"/>
          <w:b/>
          <w:bCs/>
          <w:color w:val="auto"/>
          <w:sz w:val="32"/>
          <w:szCs w:val="32"/>
          <w:highlight w:val="none"/>
        </w:rPr>
      </w:pPr>
      <w:r>
        <w:rPr>
          <w:rFonts w:hint="eastAsia" w:ascii="宋体" w:hAnsi="宋体"/>
          <w:b/>
          <w:color w:val="auto"/>
          <w:sz w:val="32"/>
          <w:szCs w:val="32"/>
          <w:highlight w:val="none"/>
        </w:rPr>
        <w:t>目   录</w:t>
      </w:r>
    </w:p>
    <w:p>
      <w:pPr>
        <w:adjustRightInd w:val="0"/>
        <w:snapToGrid w:val="0"/>
        <w:spacing w:line="360" w:lineRule="auto"/>
        <w:ind w:firstLine="480" w:firstLineChars="200"/>
        <w:outlineLvl w:val="9"/>
        <w:rPr>
          <w:rFonts w:ascii="宋体" w:hAnsi="宋体"/>
          <w:color w:val="auto"/>
          <w:sz w:val="24"/>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一、谈判承诺书</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二、法定代表人身份证明书</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三、授权委托书</w:t>
      </w:r>
    </w:p>
    <w:p>
      <w:pPr>
        <w:adjustRightInd w:val="0"/>
        <w:snapToGrid w:val="0"/>
        <w:spacing w:line="360" w:lineRule="auto"/>
        <w:jc w:val="left"/>
        <w:rPr>
          <w:rFonts w:hint="eastAsia" w:hAnsi="宋体"/>
          <w:color w:val="auto"/>
          <w:szCs w:val="21"/>
          <w:highlight w:val="none"/>
        </w:rPr>
      </w:pPr>
      <w:r>
        <w:rPr>
          <w:rFonts w:hint="eastAsia" w:ascii="宋体" w:hAnsi="宋体"/>
          <w:color w:val="auto"/>
          <w:szCs w:val="21"/>
          <w:highlight w:val="none"/>
        </w:rPr>
        <w:t>四、</w:t>
      </w:r>
      <w:r>
        <w:rPr>
          <w:rFonts w:hint="eastAsia" w:hAnsi="宋体"/>
          <w:color w:val="auto"/>
          <w:szCs w:val="21"/>
          <w:highlight w:val="none"/>
        </w:rPr>
        <w:t>谈判单位资格条件证明文件</w:t>
      </w:r>
    </w:p>
    <w:p>
      <w:pPr>
        <w:adjustRightInd w:val="0"/>
        <w:snapToGrid w:val="0"/>
        <w:spacing w:line="360" w:lineRule="auto"/>
        <w:jc w:val="left"/>
        <w:rPr>
          <w:color w:val="auto"/>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企业实力</w:t>
      </w:r>
      <w:r>
        <w:rPr>
          <w:rFonts w:hint="eastAsia" w:ascii="宋体" w:hAnsi="宋体"/>
          <w:color w:val="auto"/>
          <w:szCs w:val="21"/>
          <w:highlight w:val="none"/>
          <w:lang w:val="en-US" w:eastAsia="zh-CN"/>
        </w:rPr>
        <w:t>相关证明文件</w:t>
      </w:r>
    </w:p>
    <w:p>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、安全管理及保障方案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七、服务管理方案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八、综合管理方案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九、卫生管理方案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十、应急管理方案</w:t>
      </w:r>
    </w:p>
    <w:p>
      <w:pPr>
        <w:pStyle w:val="19"/>
        <w:rPr>
          <w:rFonts w:hint="eastAsia"/>
          <w:color w:val="auto"/>
          <w:highlight w:val="none"/>
          <w:lang w:val="en-US" w:eastAsia="zh-CN"/>
        </w:rPr>
      </w:pPr>
      <w:r>
        <w:rPr>
          <w:rFonts w:hint="eastAsia"/>
          <w:color w:val="auto"/>
          <w:highlight w:val="none"/>
          <w:lang w:val="en-US" w:eastAsia="zh-CN"/>
        </w:rPr>
        <w:t>十一、优惠方案</w:t>
      </w:r>
    </w:p>
    <w:p>
      <w:pPr>
        <w:adjustRightInd w:val="0"/>
        <w:snapToGrid w:val="0"/>
        <w:spacing w:line="360" w:lineRule="auto"/>
        <w:jc w:val="left"/>
        <w:rPr>
          <w:rFonts w:hint="default"/>
          <w:color w:val="auto"/>
          <w:highlight w:val="none"/>
          <w:lang w:val="en-US" w:eastAsia="zh-CN"/>
        </w:rPr>
      </w:pPr>
      <w:r>
        <w:rPr>
          <w:rFonts w:hint="eastAsia" w:ascii="宋体" w:hAnsi="宋体"/>
          <w:color w:val="auto"/>
          <w:szCs w:val="21"/>
          <w:highlight w:val="none"/>
          <w:lang w:val="en-US" w:eastAsia="zh-CN"/>
        </w:rPr>
        <w:t>十二、原材料保障</w:t>
      </w:r>
    </w:p>
    <w:p>
      <w:pPr>
        <w:adjustRightInd w:val="0"/>
        <w:snapToGrid w:val="0"/>
        <w:spacing w:line="360" w:lineRule="auto"/>
        <w:jc w:val="left"/>
        <w:rPr>
          <w:rFonts w:hint="default"/>
          <w:color w:val="auto"/>
          <w:highlight w:val="none"/>
          <w:lang w:val="en-US" w:eastAsia="zh-CN"/>
        </w:rPr>
      </w:pPr>
      <w:r>
        <w:rPr>
          <w:rFonts w:hint="eastAsia" w:ascii="宋体" w:hAnsi="宋体"/>
          <w:color w:val="auto"/>
          <w:szCs w:val="21"/>
          <w:highlight w:val="none"/>
          <w:lang w:val="en-US" w:eastAsia="zh-CN"/>
        </w:rPr>
        <w:t>十三、承诺函</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十四、其他资料（如有）</w:t>
      </w:r>
    </w:p>
    <w:p>
      <w:pPr>
        <w:ind w:firstLine="480" w:firstLineChars="200"/>
        <w:jc w:val="center"/>
        <w:outlineLvl w:val="1"/>
        <w:rPr>
          <w:rFonts w:ascii="黑体" w:hAnsi="黑体" w:eastAsia="黑体"/>
          <w:b/>
          <w:color w:val="auto"/>
          <w:sz w:val="32"/>
          <w:szCs w:val="32"/>
          <w:highlight w:val="none"/>
        </w:rPr>
      </w:pPr>
      <w:r>
        <w:rPr>
          <w:rFonts w:hint="eastAsia" w:ascii="宋体" w:hAnsi="宋体"/>
          <w:color w:val="auto"/>
          <w:sz w:val="24"/>
          <w:highlight w:val="none"/>
        </w:rPr>
        <w:br w:type="page"/>
      </w:r>
      <w:bookmarkStart w:id="232" w:name="_Toc14530"/>
      <w:bookmarkStart w:id="233" w:name="_Toc32569"/>
      <w:bookmarkStart w:id="234" w:name="_Toc32600"/>
      <w:bookmarkStart w:id="235" w:name="_Toc10329"/>
      <w:bookmarkStart w:id="236" w:name="_Toc19641"/>
      <w:bookmarkStart w:id="237" w:name="_Toc7657"/>
      <w:bookmarkStart w:id="238" w:name="_Toc493"/>
      <w:r>
        <w:rPr>
          <w:rFonts w:hint="eastAsia" w:ascii="宋体" w:hAnsi="宋体" w:cs="宋体"/>
          <w:b/>
          <w:color w:val="auto"/>
          <w:sz w:val="32"/>
          <w:szCs w:val="32"/>
          <w:highlight w:val="none"/>
        </w:rPr>
        <w:t>一、谈判承诺书</w:t>
      </w:r>
      <w:bookmarkEnd w:id="232"/>
      <w:bookmarkEnd w:id="233"/>
      <w:bookmarkEnd w:id="234"/>
      <w:bookmarkEnd w:id="235"/>
      <w:bookmarkEnd w:id="236"/>
      <w:bookmarkEnd w:id="237"/>
      <w:bookmarkEnd w:id="238"/>
    </w:p>
    <w:p>
      <w:pPr>
        <w:adjustRightInd w:val="0"/>
        <w:snapToGrid w:val="0"/>
        <w:spacing w:line="400" w:lineRule="exact"/>
        <w:rPr>
          <w:rFonts w:ascii="仿宋_GB2312" w:hAnsi="宋体" w:eastAsia="仿宋_GB2312"/>
          <w:color w:val="auto"/>
          <w:szCs w:val="21"/>
          <w:highlight w:val="none"/>
        </w:rPr>
      </w:pP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s="宋体"/>
          <w:color w:val="auto"/>
          <w:szCs w:val="21"/>
          <w:highlight w:val="none"/>
          <w:u w:val="single"/>
        </w:rPr>
        <w:t xml:space="preserve">      (采购单位)      </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5"/>
        <w:numPr>
          <w:ilvl w:val="0"/>
          <w:numId w:val="19"/>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5"/>
        <w:numPr>
          <w:ilvl w:val="0"/>
          <w:numId w:val="19"/>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5"/>
        <w:numPr>
          <w:ilvl w:val="0"/>
          <w:numId w:val="19"/>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5"/>
        <w:numPr>
          <w:ilvl w:val="0"/>
          <w:numId w:val="19"/>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5"/>
        <w:numPr>
          <w:ilvl w:val="0"/>
          <w:numId w:val="19"/>
        </w:numPr>
        <w:adjustRightInd w:val="0"/>
        <w:snapToGrid w:val="0"/>
        <w:spacing w:line="400" w:lineRule="exact"/>
        <w:rPr>
          <w:color w:val="auto"/>
          <w:highlight w:val="none"/>
        </w:rPr>
      </w:pPr>
      <w:r>
        <w:rPr>
          <w:rFonts w:hint="eastAsia"/>
          <w:color w:val="auto"/>
          <w:highlight w:val="none"/>
        </w:rPr>
        <w:t>保证没有组织、参与围标、串标行为。</w:t>
      </w:r>
    </w:p>
    <w:p>
      <w:pPr>
        <w:pStyle w:val="25"/>
        <w:numPr>
          <w:ilvl w:val="0"/>
          <w:numId w:val="19"/>
        </w:numPr>
        <w:adjustRightInd w:val="0"/>
        <w:snapToGrid w:val="0"/>
        <w:spacing w:line="400" w:lineRule="exact"/>
        <w:rPr>
          <w:color w:val="auto"/>
          <w:highlight w:val="none"/>
        </w:rPr>
      </w:pPr>
      <w:r>
        <w:rPr>
          <w:rFonts w:hint="eastAsia"/>
          <w:color w:val="auto"/>
          <w:highlight w:val="none"/>
        </w:rPr>
        <w:t>不与采购单位或采购代理机构或谈判评审小组成员私下联络和串通以牟取中选；不以他人名义参与谈判或者以其他方式弄虚作假骗取中选；不在谈判结束后进行虚假、恶意质疑和投诉。</w:t>
      </w:r>
    </w:p>
    <w:p>
      <w:pPr>
        <w:pStyle w:val="25"/>
        <w:numPr>
          <w:ilvl w:val="0"/>
          <w:numId w:val="19"/>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5"/>
        <w:numPr>
          <w:ilvl w:val="0"/>
          <w:numId w:val="19"/>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5"/>
        <w:numPr>
          <w:ilvl w:val="0"/>
          <w:numId w:val="19"/>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5"/>
        <w:numPr>
          <w:ilvl w:val="0"/>
          <w:numId w:val="19"/>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w:t>
      </w:r>
      <w:r>
        <w:rPr>
          <w:rFonts w:hint="eastAsia"/>
          <w:color w:val="auto"/>
          <w:highlight w:val="none"/>
          <w:lang w:val="en-US" w:eastAsia="zh-CN"/>
        </w:rPr>
        <w:t>5</w:t>
      </w:r>
      <w:r>
        <w:rPr>
          <w:rFonts w:hint="eastAsia"/>
          <w:color w:val="auto"/>
          <w:highlight w:val="none"/>
        </w:rPr>
        <w:t>条规定之情形，我方无条件接受条款规定作出的处罚。</w:t>
      </w:r>
    </w:p>
    <w:p>
      <w:pPr>
        <w:pStyle w:val="25"/>
        <w:numPr>
          <w:ilvl w:val="0"/>
          <w:numId w:val="19"/>
        </w:numPr>
        <w:adjustRightInd w:val="0"/>
        <w:snapToGrid w:val="0"/>
        <w:spacing w:line="400" w:lineRule="exact"/>
        <w:rPr>
          <w:color w:val="auto"/>
          <w:highlight w:val="none"/>
        </w:rPr>
      </w:pPr>
      <w:r>
        <w:rPr>
          <w:rFonts w:hint="eastAsia"/>
          <w:color w:val="auto"/>
          <w:highlight w:val="none"/>
        </w:rPr>
        <w:t>我方承诺完全响应本文件第四章“用户需求书”及第</w:t>
      </w:r>
      <w:r>
        <w:rPr>
          <w:rFonts w:hint="eastAsia"/>
          <w:color w:val="auto"/>
          <w:highlight w:val="none"/>
          <w:lang w:eastAsia="zh-CN"/>
        </w:rPr>
        <w:t>五</w:t>
      </w:r>
      <w:r>
        <w:rPr>
          <w:rFonts w:hint="eastAsia"/>
          <w:color w:val="auto"/>
          <w:highlight w:val="none"/>
        </w:rPr>
        <w:t>章“合同格式条款”内的全部内容。</w:t>
      </w:r>
    </w:p>
    <w:p>
      <w:pPr>
        <w:pStyle w:val="25"/>
        <w:numPr>
          <w:ilvl w:val="0"/>
          <w:numId w:val="19"/>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olor w:val="auto"/>
          <w:szCs w:val="21"/>
          <w:highlight w:val="none"/>
        </w:rPr>
      </w:pPr>
      <w:r>
        <w:rPr>
          <w:rFonts w:hint="eastAsia" w:ascii="宋体" w:hAnsi="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239" w:name="_Toc10496"/>
      <w:bookmarkStart w:id="240" w:name="_Toc1313"/>
      <w:bookmarkStart w:id="241" w:name="_Toc3026"/>
      <w:bookmarkStart w:id="242" w:name="_Toc31277"/>
      <w:bookmarkStart w:id="243" w:name="_Toc11208"/>
      <w:bookmarkStart w:id="244" w:name="_Toc23913"/>
      <w:bookmarkStart w:id="245" w:name="_Toc16874"/>
      <w:r>
        <w:rPr>
          <w:rFonts w:hint="eastAsia" w:ascii="宋体" w:hAnsi="宋体" w:cs="宋体"/>
          <w:b/>
          <w:color w:val="auto"/>
          <w:sz w:val="32"/>
          <w:szCs w:val="32"/>
          <w:highlight w:val="none"/>
        </w:rPr>
        <w:t>二、法定代表人身份证明书</w:t>
      </w:r>
      <w:bookmarkEnd w:id="239"/>
      <w:bookmarkEnd w:id="240"/>
      <w:bookmarkEnd w:id="241"/>
      <w:bookmarkEnd w:id="242"/>
      <w:bookmarkEnd w:id="243"/>
      <w:bookmarkEnd w:id="244"/>
      <w:bookmarkEnd w:id="245"/>
    </w:p>
    <w:p>
      <w:pPr>
        <w:snapToGrid w:val="0"/>
        <w:spacing w:line="480" w:lineRule="auto"/>
        <w:rPr>
          <w:rFonts w:ascii="宋体" w:hAnsi="宋体"/>
          <w:color w:val="auto"/>
          <w:szCs w:val="21"/>
          <w:highlight w:val="none"/>
        </w:rPr>
      </w:pP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59"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6432"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0048;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5408;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黑体" w:hAnsi="宋体" w:eastAsia="黑体"/>
          <w:b/>
          <w:color w:val="auto"/>
          <w:sz w:val="32"/>
          <w:szCs w:val="32"/>
          <w:highlight w:val="none"/>
        </w:rPr>
      </w:pPr>
      <w:r>
        <w:rPr>
          <w:rFonts w:ascii="黑体" w:hAnsi="华文中宋" w:eastAsia="黑体"/>
          <w:bCs/>
          <w:color w:val="auto"/>
          <w:sz w:val="24"/>
          <w:highlight w:val="none"/>
        </w:rPr>
        <w:br w:type="page"/>
      </w:r>
      <w:bookmarkStart w:id="246" w:name="_Toc761"/>
      <w:bookmarkStart w:id="247" w:name="_Toc29853"/>
      <w:bookmarkStart w:id="248" w:name="_Toc6046"/>
      <w:bookmarkStart w:id="249" w:name="_Toc21066"/>
      <w:bookmarkStart w:id="250" w:name="_Toc20606"/>
      <w:bookmarkStart w:id="251" w:name="_Toc27642"/>
      <w:bookmarkStart w:id="252" w:name="_Toc14170"/>
      <w:r>
        <w:rPr>
          <w:rFonts w:hint="eastAsia" w:ascii="宋体" w:hAnsi="宋体" w:cs="宋体"/>
          <w:b/>
          <w:color w:val="auto"/>
          <w:sz w:val="32"/>
          <w:szCs w:val="32"/>
          <w:highlight w:val="none"/>
        </w:rPr>
        <w:t>三、授权委托书</w:t>
      </w:r>
      <w:bookmarkEnd w:id="246"/>
      <w:bookmarkEnd w:id="247"/>
      <w:bookmarkEnd w:id="248"/>
      <w:bookmarkEnd w:id="249"/>
      <w:bookmarkEnd w:id="250"/>
      <w:bookmarkEnd w:id="251"/>
      <w:bookmarkEnd w:id="252"/>
    </w:p>
    <w:p>
      <w:pPr>
        <w:adjustRightInd w:val="0"/>
        <w:snapToGrid w:val="0"/>
        <w:spacing w:line="360" w:lineRule="auto"/>
        <w:jc w:val="center"/>
        <w:rPr>
          <w:rFonts w:ascii="黑体" w:hAnsi="华文中宋" w:eastAsia="黑体"/>
          <w:b/>
          <w:color w:val="auto"/>
          <w:sz w:val="28"/>
          <w:szCs w:val="28"/>
          <w:highlight w:val="none"/>
        </w:rPr>
      </w:pPr>
    </w:p>
    <w:p>
      <w:pPr>
        <w:autoSpaceDE w:val="0"/>
        <w:autoSpaceDN w:val="0"/>
        <w:adjustRightInd w:val="0"/>
        <w:snapToGrid w:val="0"/>
        <w:spacing w:before="159"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6"/>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1312"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5168;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4384;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2336"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4144;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pStyle w:val="2"/>
        <w:ind w:left="0" w:leftChars="0"/>
        <w:rPr>
          <w:color w:val="auto"/>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s="宋体"/>
          <w:color w:val="auto"/>
          <w:highlight w:val="none"/>
          <w:u w:val="single"/>
        </w:rPr>
        <w:t xml:space="preserve">                      </w:t>
      </w:r>
    </w:p>
    <w:p>
      <w:pPr>
        <w:spacing w:line="360" w:lineRule="auto"/>
        <w:rPr>
          <w:rFonts w:ascii="宋体" w:hAnsi="宋体"/>
          <w:color w:val="auto"/>
          <w:szCs w:val="21"/>
          <w:highlight w:val="none"/>
        </w:rPr>
        <w:sectPr>
          <w:pgSz w:w="11906" w:h="16838"/>
          <w:pgMar w:top="2098" w:right="1474" w:bottom="1984" w:left="1587" w:header="851" w:footer="992" w:gutter="0"/>
          <w:pgNumType w:fmt="decimal"/>
          <w:cols w:space="0" w:num="1"/>
          <w:docGrid w:type="lines" w:linePitch="319" w:charSpace="0"/>
        </w:sect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253" w:name="_Toc11357"/>
      <w:bookmarkStart w:id="254" w:name="_Toc417"/>
      <w:bookmarkStart w:id="255" w:name="_Toc18944"/>
      <w:bookmarkStart w:id="256" w:name="_Toc16283"/>
      <w:bookmarkStart w:id="257" w:name="_Toc2295"/>
      <w:bookmarkStart w:id="258" w:name="_Toc13921"/>
      <w:bookmarkStart w:id="259" w:name="_Toc8191"/>
      <w:r>
        <w:rPr>
          <w:rFonts w:hint="eastAsia" w:ascii="宋体" w:hAnsi="宋体" w:cs="宋体"/>
          <w:b/>
          <w:color w:val="auto"/>
          <w:sz w:val="32"/>
          <w:szCs w:val="32"/>
          <w:highlight w:val="none"/>
        </w:rPr>
        <w:t>四、谈判单位资格证明文件</w:t>
      </w:r>
      <w:bookmarkEnd w:id="253"/>
      <w:bookmarkEnd w:id="254"/>
      <w:bookmarkEnd w:id="255"/>
      <w:bookmarkEnd w:id="256"/>
      <w:bookmarkEnd w:id="257"/>
      <w:bookmarkEnd w:id="258"/>
      <w:bookmarkEnd w:id="259"/>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Style w:val="56"/>
          <w:rFonts w:hint="eastAsia"/>
          <w:b/>
          <w:bCs/>
          <w:color w:val="auto"/>
          <w:highlight w:val="none"/>
          <w:u w:val="none"/>
          <w:shd w:val="clear" w:color="auto" w:fill="FFFFFF"/>
        </w:rPr>
        <w:t>原件扫描件打印版</w:t>
      </w:r>
      <w:r>
        <w:rPr>
          <w:rFonts w:hint="eastAsia" w:ascii="宋体" w:hAnsi="宋体"/>
          <w:bCs/>
          <w:color w:val="auto"/>
          <w:szCs w:val="21"/>
          <w:highlight w:val="none"/>
        </w:rPr>
        <w:t>：</w:t>
      </w:r>
    </w:p>
    <w:p>
      <w:pPr>
        <w:pStyle w:val="336"/>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谈判单位须提供加盖谈判单位公章的营业执照/事业单位法人证书复印件,且营业执照（事业单位法人证书）处于有效期内。</w:t>
      </w:r>
    </w:p>
    <w:p>
      <w:pPr>
        <w:pStyle w:val="336"/>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拟配备的厨师须提供初级（含）以上中式烹调师资质证书。</w:t>
      </w:r>
    </w:p>
    <w:p>
      <w:pPr>
        <w:pStyle w:val="336"/>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拟配备的项目经理须提供以同等职位承担过1项单个餐饮服务合同且每天就餐人数达到</w:t>
      </w:r>
      <w:r>
        <w:rPr>
          <w:rFonts w:ascii="宋体" w:hAnsi="宋体" w:cs="宋体"/>
          <w:color w:val="auto"/>
          <w:highlight w:val="none"/>
        </w:rPr>
        <w:t>1</w:t>
      </w:r>
      <w:r>
        <w:rPr>
          <w:rFonts w:hint="eastAsia" w:ascii="宋体" w:hAnsi="宋体" w:cs="宋体"/>
          <w:color w:val="auto"/>
          <w:highlight w:val="none"/>
        </w:rPr>
        <w:t>00人（含）以上的餐饮服务业绩。</w:t>
      </w:r>
    </w:p>
    <w:p>
      <w:pPr>
        <w:pStyle w:val="336"/>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谈判单位须提供在提交响应文件截止之日前36个月内单项合同就餐人数</w:t>
      </w:r>
      <w:r>
        <w:rPr>
          <w:rFonts w:ascii="宋体" w:hAnsi="宋体" w:cs="宋体"/>
          <w:color w:val="auto"/>
          <w:highlight w:val="none"/>
        </w:rPr>
        <w:t>5</w:t>
      </w:r>
      <w:r>
        <w:rPr>
          <w:rFonts w:hint="eastAsia" w:ascii="宋体" w:hAnsi="宋体" w:cs="宋体"/>
          <w:color w:val="auto"/>
          <w:highlight w:val="none"/>
        </w:rPr>
        <w:t>0人/天（含）以上的餐饮服务业绩。不接受联合体业绩、港澳台或境外业绩。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36"/>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谈判单位认为与本项目资格条件有关的其它证明文件（如有，格式自拟）。</w:t>
      </w:r>
    </w:p>
    <w:p>
      <w:pPr>
        <w:pStyle w:val="2"/>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备注：上述证明文件扫描件打印版均须加盖谈判单位公章。</w:t>
      </w:r>
    </w:p>
    <w:p>
      <w:pPr>
        <w:pStyle w:val="2"/>
        <w:rPr>
          <w:color w:val="auto"/>
          <w:highlight w:val="none"/>
        </w:rPr>
      </w:pPr>
    </w:p>
    <w:p>
      <w:pPr>
        <w:rPr>
          <w:color w:val="auto"/>
          <w:highlight w:val="none"/>
        </w:rPr>
      </w:pPr>
    </w:p>
    <w:p>
      <w:pPr>
        <w:pStyle w:val="46"/>
        <w:rPr>
          <w:color w:val="auto"/>
          <w:highlight w:val="none"/>
        </w:rPr>
      </w:pPr>
    </w:p>
    <w:p>
      <w:pPr>
        <w:pStyle w:val="46"/>
        <w:rPr>
          <w:color w:val="auto"/>
          <w:highlight w:val="none"/>
        </w:rPr>
        <w:sectPr>
          <w:pgSz w:w="11906" w:h="16838"/>
          <w:pgMar w:top="2098" w:right="1474" w:bottom="1984" w:left="1587" w:header="851" w:footer="992" w:gutter="0"/>
          <w:pgNumType w:fmt="decimal"/>
          <w:cols w:space="720" w:num="1"/>
          <w:docGrid w:type="lines" w:linePitch="319"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tbl>
      <w:tblPr>
        <w:tblStyle w:val="47"/>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800"/>
        <w:gridCol w:w="1362"/>
        <w:gridCol w:w="1915"/>
        <w:gridCol w:w="1335"/>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681"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0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80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6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915" w:type="dxa"/>
            <w:tcBorders>
              <w:left w:val="single" w:color="auto" w:sz="8" w:space="0"/>
              <w:right w:val="single" w:color="auto" w:sz="8" w:space="0"/>
            </w:tcBorders>
            <w:vAlign w:val="center"/>
          </w:tcPr>
          <w:p>
            <w:pPr>
              <w:jc w:val="center"/>
              <w:rPr>
                <w:rFonts w:hint="eastAsia" w:hAnsi="宋体" w:cs="宋体"/>
                <w:b/>
                <w:bCs/>
                <w:color w:val="auto"/>
                <w:szCs w:val="21"/>
                <w:highlight w:val="none"/>
                <w:lang w:val="en-US" w:eastAsia="zh-CN"/>
              </w:rPr>
            </w:pPr>
            <w:r>
              <w:rPr>
                <w:rFonts w:hint="eastAsia" w:hAnsi="宋体" w:cs="宋体"/>
                <w:b/>
                <w:bCs/>
                <w:color w:val="auto"/>
                <w:szCs w:val="21"/>
                <w:highlight w:val="none"/>
              </w:rPr>
              <w:t>合同</w:t>
            </w:r>
            <w:r>
              <w:rPr>
                <w:rFonts w:hint="eastAsia" w:hAnsi="宋体" w:cs="宋体"/>
                <w:b/>
                <w:bCs/>
                <w:color w:val="auto"/>
                <w:szCs w:val="21"/>
                <w:highlight w:val="none"/>
                <w:lang w:val="en-US" w:eastAsia="zh-CN"/>
              </w:rPr>
              <w:t>就餐人数</w:t>
            </w:r>
          </w:p>
          <w:p>
            <w:pPr>
              <w:jc w:val="center"/>
              <w:rPr>
                <w:color w:val="auto"/>
                <w:highlight w:val="none"/>
              </w:rPr>
            </w:pPr>
            <w:r>
              <w:rPr>
                <w:rFonts w:hint="eastAsia" w:hAnsi="宋体" w:cs="宋体"/>
                <w:b/>
                <w:bCs/>
                <w:color w:val="auto"/>
                <w:szCs w:val="21"/>
                <w:highlight w:val="none"/>
                <w:lang w:val="en-US" w:eastAsia="zh-CN"/>
              </w:rPr>
              <w:t>（人/天）</w:t>
            </w:r>
          </w:p>
        </w:tc>
        <w:tc>
          <w:tcPr>
            <w:tcW w:w="133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0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0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rPr>
          <w:color w:val="auto"/>
          <w:highlight w:val="none"/>
        </w:rPr>
      </w:pPr>
      <w:r>
        <w:rPr>
          <w:rStyle w:val="56"/>
          <w:color w:val="auto"/>
          <w:highlight w:val="none"/>
          <w:u w:val="none"/>
          <w:shd w:val="clear" w:color="auto" w:fill="FFFFFF"/>
        </w:rPr>
        <w:t>业绩</w:t>
      </w:r>
      <w:r>
        <w:rPr>
          <w:rStyle w:val="56"/>
          <w:rFonts w:hint="eastAsia"/>
          <w:color w:val="auto"/>
          <w:highlight w:val="none"/>
          <w:u w:val="none"/>
          <w:shd w:val="clear" w:color="auto" w:fill="FFFFFF"/>
        </w:rPr>
        <w:t>合同</w:t>
      </w:r>
      <w:r>
        <w:rPr>
          <w:rStyle w:val="56"/>
          <w:color w:val="auto"/>
          <w:highlight w:val="none"/>
          <w:u w:val="none"/>
          <w:shd w:val="clear" w:color="auto" w:fill="FFFFFF"/>
        </w:rPr>
        <w:t>证明材料</w:t>
      </w:r>
      <w:r>
        <w:rPr>
          <w:rStyle w:val="56"/>
          <w:rFonts w:hint="eastAsia"/>
          <w:color w:val="auto"/>
          <w:highlight w:val="none"/>
          <w:u w:val="none"/>
          <w:shd w:val="clear" w:color="auto" w:fill="FFFFFF"/>
        </w:rPr>
        <w:t>须为</w:t>
      </w:r>
      <w:r>
        <w:rPr>
          <w:rStyle w:val="56"/>
          <w:color w:val="auto"/>
          <w:highlight w:val="none"/>
          <w:u w:val="none"/>
          <w:shd w:val="clear" w:color="auto" w:fill="FFFFFF"/>
        </w:rPr>
        <w:t>合同</w:t>
      </w:r>
      <w:r>
        <w:rPr>
          <w:rStyle w:val="56"/>
          <w:rFonts w:hint="eastAsia"/>
          <w:color w:val="auto"/>
          <w:highlight w:val="none"/>
          <w:u w:val="none"/>
          <w:shd w:val="clear" w:color="auto" w:fill="FFFFFF"/>
        </w:rPr>
        <w:t>原件扫描件打印版，并按顺序附后。</w:t>
      </w:r>
    </w:p>
    <w:p>
      <w:pPr>
        <w:rPr>
          <w:color w:val="auto"/>
          <w:highlight w:val="none"/>
        </w:rPr>
      </w:pPr>
    </w:p>
    <w:p>
      <w:pPr>
        <w:pStyle w:val="46"/>
        <w:ind w:left="0" w:leftChars="0" w:firstLine="0"/>
        <w:rPr>
          <w:color w:val="auto"/>
          <w:highlight w:val="none"/>
        </w:rPr>
      </w:pPr>
    </w:p>
    <w:p>
      <w:pPr>
        <w:pStyle w:val="46"/>
        <w:ind w:left="0" w:leftChars="0" w:firstLine="0"/>
        <w:rPr>
          <w:color w:val="auto"/>
          <w:highlight w:val="none"/>
        </w:rPr>
        <w:sectPr>
          <w:pgSz w:w="11906" w:h="16838"/>
          <w:pgMar w:top="2098" w:right="1474" w:bottom="1984" w:left="1587" w:header="851" w:footer="992" w:gutter="0"/>
          <w:pgNumType w:fmt="decimal"/>
          <w:cols w:space="0" w:num="1"/>
          <w:docGrid w:type="lines" w:linePitch="319" w:charSpace="0"/>
        </w:sectPr>
      </w:pP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outlineLvl w:val="1"/>
        <w:rPr>
          <w:rFonts w:hint="eastAsia" w:ascii="宋体" w:hAnsi="宋体" w:eastAsia="宋体" w:cs="宋体"/>
          <w:color w:val="auto"/>
          <w:highlight w:val="none"/>
        </w:rPr>
      </w:pPr>
      <w:bookmarkStart w:id="260" w:name="_Toc19995"/>
      <w:bookmarkStart w:id="261" w:name="_Toc5998"/>
      <w:r>
        <w:rPr>
          <w:rFonts w:hint="eastAsia" w:ascii="宋体" w:hAnsi="宋体" w:cs="宋体"/>
          <w:b/>
          <w:color w:val="auto"/>
          <w:sz w:val="32"/>
          <w:szCs w:val="32"/>
          <w:highlight w:val="none"/>
          <w:lang w:val="en-US" w:eastAsia="zh-CN"/>
        </w:rPr>
        <w:t>五、企业实力</w:t>
      </w:r>
      <w:bookmarkEnd w:id="260"/>
      <w:bookmarkEnd w:id="261"/>
    </w:p>
    <w:p>
      <w:pPr>
        <w:adjustRightInd w:val="0"/>
        <w:snapToGrid w:val="0"/>
        <w:jc w:val="both"/>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项企业实力</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ISO9001质量体系认证</w:t>
      </w:r>
      <w:r>
        <w:rPr>
          <w:rFonts w:hint="eastAsia" w:ascii="宋体" w:hAnsi="宋体" w:cs="宋体"/>
          <w:color w:val="auto"/>
          <w:sz w:val="21"/>
          <w:szCs w:val="21"/>
          <w:highlight w:val="none"/>
          <w:lang w:val="en-US" w:eastAsia="zh-CN"/>
        </w:rPr>
        <w:t>证书</w:t>
      </w:r>
      <w:r>
        <w:rPr>
          <w:rFonts w:hint="eastAsia" w:ascii="宋体" w:hAnsi="宋体" w:eastAsia="宋体" w:cs="宋体"/>
          <w:color w:val="auto"/>
          <w:sz w:val="21"/>
          <w:szCs w:val="21"/>
          <w:highlight w:val="none"/>
        </w:rPr>
        <w:t>、ISO14001环境管理体系认证</w:t>
      </w:r>
      <w:r>
        <w:rPr>
          <w:rFonts w:hint="eastAsia" w:ascii="宋体" w:hAnsi="宋体" w:cs="宋体"/>
          <w:color w:val="auto"/>
          <w:sz w:val="21"/>
          <w:szCs w:val="21"/>
          <w:highlight w:val="none"/>
          <w:lang w:val="en-US" w:eastAsia="zh-CN"/>
        </w:rPr>
        <w:t>证书</w:t>
      </w:r>
      <w:r>
        <w:rPr>
          <w:rFonts w:hint="eastAsia" w:ascii="宋体" w:hAnsi="宋体" w:eastAsia="宋体" w:cs="宋体"/>
          <w:color w:val="auto"/>
          <w:sz w:val="21"/>
          <w:szCs w:val="21"/>
          <w:highlight w:val="none"/>
        </w:rPr>
        <w:t>、OHSAS18001职业健康及安全管理体系认证证书</w:t>
      </w:r>
      <w:r>
        <w:rPr>
          <w:rFonts w:hint="eastAsia" w:ascii="宋体" w:hAnsi="宋体" w:cs="宋体"/>
          <w:color w:val="auto"/>
          <w:sz w:val="21"/>
          <w:szCs w:val="21"/>
          <w:highlight w:val="none"/>
          <w:lang w:eastAsia="zh-CN"/>
        </w:rPr>
        <w:t>。如有则</w:t>
      </w:r>
      <w:r>
        <w:rPr>
          <w:rFonts w:hint="eastAsia" w:ascii="宋体" w:hAnsi="宋体"/>
          <w:color w:val="auto"/>
          <w:szCs w:val="21"/>
          <w:highlight w:val="none"/>
          <w:lang w:eastAsia="zh-CN"/>
        </w:rPr>
        <w:t>按以下证书顺序编制，具体格式自拟。</w:t>
      </w:r>
    </w:p>
    <w:p>
      <w:pPr>
        <w:pStyle w:val="46"/>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ISO9001质量管理体系认证证书</w:t>
      </w:r>
      <w:r>
        <w:rPr>
          <w:rFonts w:hint="eastAsia" w:ascii="宋体" w:hAnsi="宋体"/>
          <w:color w:val="auto"/>
          <w:szCs w:val="21"/>
          <w:highlight w:val="none"/>
          <w:lang w:val="en-US" w:eastAsia="zh-CN"/>
        </w:rPr>
        <w:t>,</w:t>
      </w:r>
      <w:r>
        <w:rPr>
          <w:rFonts w:hint="eastAsia" w:ascii="宋体" w:hAnsi="宋体"/>
          <w:color w:val="auto"/>
          <w:szCs w:val="21"/>
          <w:highlight w:val="none"/>
        </w:rPr>
        <w:t>ISO9001质量管理体系认证证书</w:t>
      </w:r>
      <w:r>
        <w:rPr>
          <w:rFonts w:hint="eastAsia" w:ascii="宋体" w:hAnsi="宋体"/>
          <w:color w:val="auto"/>
          <w:szCs w:val="21"/>
          <w:highlight w:val="none"/>
          <w:lang w:val="en-US" w:eastAsia="zh-CN"/>
        </w:rPr>
        <w:t>原件扫描件</w:t>
      </w:r>
      <w:r>
        <w:rPr>
          <w:rFonts w:hint="eastAsia" w:ascii="宋体" w:hAnsi="宋体"/>
          <w:color w:val="auto"/>
          <w:szCs w:val="21"/>
          <w:highlight w:val="none"/>
        </w:rPr>
        <w:t>且加盖谈判单位公章。</w:t>
      </w:r>
    </w:p>
    <w:p>
      <w:pPr>
        <w:pStyle w:val="46"/>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rPr>
        <w:t>ISO14001环境管理体系认证</w:t>
      </w:r>
      <w:r>
        <w:rPr>
          <w:rFonts w:hint="eastAsia" w:ascii="宋体" w:hAnsi="宋体"/>
          <w:color w:val="auto"/>
          <w:szCs w:val="21"/>
          <w:highlight w:val="none"/>
          <w:lang w:val="en-US" w:eastAsia="zh-CN"/>
        </w:rPr>
        <w:t>证书,ISO14001环境管理体系认证证书原件扫描件</w:t>
      </w:r>
      <w:r>
        <w:rPr>
          <w:rFonts w:hint="eastAsia" w:ascii="宋体" w:hAnsi="宋体"/>
          <w:color w:val="auto"/>
          <w:szCs w:val="21"/>
          <w:highlight w:val="none"/>
        </w:rPr>
        <w:t>且加盖谈判单位公章。</w:t>
      </w:r>
    </w:p>
    <w:p>
      <w:pPr>
        <w:pStyle w:val="46"/>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OHSAS18001职业健康及安全管理体系认证证书</w:t>
      </w:r>
      <w:r>
        <w:rPr>
          <w:rFonts w:hint="eastAsia" w:ascii="宋体" w:hAnsi="宋体"/>
          <w:color w:val="auto"/>
          <w:szCs w:val="21"/>
          <w:highlight w:val="none"/>
          <w:lang w:val="en-US" w:eastAsia="zh-CN"/>
        </w:rPr>
        <w:t>,</w:t>
      </w:r>
      <w:r>
        <w:rPr>
          <w:rFonts w:hint="eastAsia" w:ascii="宋体" w:hAnsi="宋体"/>
          <w:color w:val="auto"/>
          <w:szCs w:val="21"/>
          <w:highlight w:val="none"/>
        </w:rPr>
        <w:t>OHSAS18001职业健康及安全管理体系认证证书</w:t>
      </w:r>
      <w:r>
        <w:rPr>
          <w:rFonts w:hint="eastAsia" w:ascii="宋体" w:hAnsi="宋体"/>
          <w:color w:val="auto"/>
          <w:szCs w:val="21"/>
          <w:highlight w:val="none"/>
          <w:lang w:val="en-US" w:eastAsia="zh-CN"/>
        </w:rPr>
        <w:t>原件扫描件</w:t>
      </w:r>
      <w:r>
        <w:rPr>
          <w:rFonts w:hint="eastAsia" w:ascii="宋体" w:hAnsi="宋体"/>
          <w:color w:val="auto"/>
          <w:szCs w:val="21"/>
          <w:highlight w:val="none"/>
        </w:rPr>
        <w:t>且加盖谈判单位公章。</w:t>
      </w:r>
    </w:p>
    <w:p>
      <w:pPr>
        <w:pStyle w:val="46"/>
        <w:rPr>
          <w:rFonts w:hint="eastAsia" w:ascii="宋体" w:hAnsi="宋体"/>
          <w:color w:val="auto"/>
          <w:sz w:val="18"/>
          <w:szCs w:val="18"/>
          <w:highlight w:val="none"/>
        </w:rPr>
      </w:pPr>
    </w:p>
    <w:p>
      <w:pPr>
        <w:pStyle w:val="46"/>
        <w:rPr>
          <w:rFonts w:hint="eastAsia" w:ascii="宋体" w:hAnsi="宋体"/>
          <w:color w:val="auto"/>
          <w:sz w:val="18"/>
          <w:szCs w:val="18"/>
          <w:highlight w:val="none"/>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62" w:name="_Toc29797"/>
      <w:bookmarkStart w:id="263" w:name="_Toc23279"/>
      <w:bookmarkStart w:id="264" w:name="_Toc7528"/>
      <w:bookmarkStart w:id="265" w:name="_Toc30403"/>
      <w:bookmarkStart w:id="266" w:name="_Toc9230"/>
      <w:bookmarkStart w:id="267" w:name="_Toc9602"/>
      <w:bookmarkStart w:id="268" w:name="_Toc20484"/>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安全管理及保障方案</w:t>
      </w:r>
      <w:bookmarkEnd w:id="262"/>
      <w:bookmarkEnd w:id="263"/>
    </w:p>
    <w:bookmarkEnd w:id="264"/>
    <w:bookmarkEnd w:id="265"/>
    <w:bookmarkEnd w:id="266"/>
    <w:bookmarkEnd w:id="267"/>
    <w:bookmarkEnd w:id="268"/>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w:t>
      </w:r>
      <w:r>
        <w:rPr>
          <w:rFonts w:hint="eastAsia" w:ascii="宋体" w:hAnsi="宋体" w:eastAsia="宋体" w:cs="宋体"/>
          <w:color w:val="auto"/>
          <w:kern w:val="0"/>
          <w:sz w:val="21"/>
          <w:szCs w:val="21"/>
          <w:highlight w:val="none"/>
        </w:rPr>
        <w:t>商务</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评审计分表</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项</w:t>
      </w:r>
      <w:r>
        <w:rPr>
          <w:rFonts w:hint="eastAsia" w:ascii="宋体" w:hAnsi="宋体" w:cs="宋体"/>
          <w:color w:val="auto"/>
          <w:kern w:val="0"/>
          <w:sz w:val="21"/>
          <w:szCs w:val="21"/>
          <w:highlight w:val="none"/>
          <w:lang w:eastAsia="zh-CN"/>
        </w:rPr>
        <w:t>第（</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eastAsia="宋体" w:cs="宋体"/>
          <w:b w:val="0"/>
          <w:bCs/>
          <w:color w:val="auto"/>
          <w:sz w:val="21"/>
          <w:szCs w:val="21"/>
          <w:highlight w:val="none"/>
        </w:rPr>
        <w:t>安全管理及保障方案</w:t>
      </w:r>
      <w:r>
        <w:rPr>
          <w:rFonts w:hint="eastAsia" w:ascii="宋体" w:hAnsi="宋体" w:cs="宋体"/>
          <w:b w:val="0"/>
          <w:bCs/>
          <w:color w:val="auto"/>
          <w:sz w:val="21"/>
          <w:szCs w:val="21"/>
          <w:highlight w:val="none"/>
          <w:lang w:eastAsia="zh-CN"/>
        </w:rPr>
        <w:t>，</w:t>
      </w:r>
      <w:r>
        <w:rPr>
          <w:rFonts w:hint="eastAsia" w:ascii="宋体" w:hAnsi="宋体" w:eastAsia="宋体" w:cs="宋体"/>
          <w:color w:val="auto"/>
          <w:kern w:val="0"/>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9"/>
        <w:rPr>
          <w:rFonts w:ascii="宋体" w:hAnsi="宋体"/>
          <w:color w:val="auto"/>
          <w:sz w:val="24"/>
          <w:highlight w:val="none"/>
        </w:rPr>
      </w:pPr>
    </w:p>
    <w:p>
      <w:pPr>
        <w:adjustRightInd w:val="0"/>
        <w:snapToGrid w:val="0"/>
        <w:spacing w:line="360" w:lineRule="auto"/>
        <w:ind w:right="24"/>
        <w:jc w:val="center"/>
        <w:outlineLvl w:val="9"/>
        <w:rPr>
          <w:rFonts w:ascii="黑体" w:eastAsia="黑体"/>
          <w:b/>
          <w:bCs/>
          <w:color w:val="auto"/>
          <w:sz w:val="32"/>
          <w:szCs w:val="32"/>
          <w:highlight w:val="none"/>
        </w:rPr>
      </w:pPr>
      <w:r>
        <w:rPr>
          <w:rFonts w:ascii="宋体" w:hAnsi="宋体"/>
          <w:color w:val="auto"/>
          <w:sz w:val="24"/>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w:t>
      </w:r>
      <w:r>
        <w:rPr>
          <w:rFonts w:hint="eastAsia" w:ascii="宋体" w:hAnsi="宋体" w:eastAsia="宋体" w:cs="宋体"/>
          <w:color w:val="auto"/>
          <w:kern w:val="0"/>
          <w:sz w:val="21"/>
          <w:szCs w:val="21"/>
          <w:highlight w:val="none"/>
        </w:rPr>
        <w:t>商务</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评审计分表</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项</w:t>
      </w:r>
      <w:r>
        <w:rPr>
          <w:rFonts w:hint="eastAsia" w:ascii="宋体" w:hAnsi="宋体" w:cs="宋体"/>
          <w:color w:val="auto"/>
          <w:kern w:val="0"/>
          <w:sz w:val="21"/>
          <w:szCs w:val="21"/>
          <w:highlight w:val="none"/>
          <w:lang w:eastAsia="zh-CN"/>
        </w:rPr>
        <w:t>第（</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）点</w:t>
      </w:r>
      <w:r>
        <w:rPr>
          <w:rFonts w:hint="eastAsia" w:ascii="宋体" w:hAnsi="宋体" w:cs="宋体"/>
          <w:color w:val="auto"/>
          <w:sz w:val="21"/>
          <w:szCs w:val="21"/>
          <w:highlight w:val="none"/>
          <w:lang w:eastAsia="zh-CN"/>
        </w:rPr>
        <w:t>要求提购买的供</w:t>
      </w:r>
      <w:r>
        <w:rPr>
          <w:rFonts w:hint="eastAsia" w:ascii="宋体" w:hAnsi="宋体" w:eastAsia="宋体" w:cs="宋体"/>
          <w:color w:val="auto"/>
          <w:highlight w:val="none"/>
        </w:rPr>
        <w:t>食品安全责任险</w:t>
      </w:r>
      <w:r>
        <w:rPr>
          <w:rFonts w:hint="eastAsia" w:ascii="宋体" w:hAnsi="宋体" w:eastAsia="宋体" w:cs="宋体"/>
          <w:b w:val="0"/>
          <w:bCs w:val="0"/>
          <w:color w:val="auto"/>
          <w:highlight w:val="none"/>
        </w:rPr>
        <w:t>证明资料复印件</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kern w:val="0"/>
          <w:sz w:val="21"/>
          <w:szCs w:val="21"/>
          <w:highlight w:val="none"/>
        </w:rPr>
        <w:t>具体格式自拟。</w:t>
      </w:r>
    </w:p>
    <w:p>
      <w:pPr>
        <w:adjustRightInd w:val="0"/>
        <w:snapToGrid w:val="0"/>
        <w:jc w:val="both"/>
        <w:rPr>
          <w:rFonts w:ascii="黑体" w:eastAsia="黑体"/>
          <w:b/>
          <w:bCs/>
          <w:color w:val="auto"/>
          <w:sz w:val="32"/>
          <w:szCs w:val="32"/>
          <w:highlight w:val="none"/>
        </w:rPr>
      </w:pPr>
    </w:p>
    <w:p>
      <w:pPr>
        <w:pStyle w:val="19"/>
        <w:rPr>
          <w:color w:val="auto"/>
          <w:highlight w:val="none"/>
        </w:rPr>
      </w:pPr>
    </w:p>
    <w:p>
      <w:pPr>
        <w:rPr>
          <w:color w:val="auto"/>
          <w:highlight w:val="none"/>
        </w:rPr>
      </w:pPr>
    </w:p>
    <w:p>
      <w:pPr>
        <w:pStyle w:val="19"/>
        <w:rPr>
          <w:color w:val="auto"/>
          <w:highlight w:val="none"/>
        </w:rPr>
      </w:pPr>
    </w:p>
    <w:p>
      <w:pPr>
        <w:rPr>
          <w:color w:val="auto"/>
          <w:highlight w:val="none"/>
        </w:rPr>
      </w:pPr>
    </w:p>
    <w:p>
      <w:pPr>
        <w:pStyle w:val="19"/>
        <w:rPr>
          <w:color w:val="auto"/>
          <w:highlight w:val="none"/>
        </w:rPr>
      </w:pPr>
    </w:p>
    <w:p>
      <w:pPr>
        <w:rPr>
          <w:color w:val="auto"/>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19"/>
        <w:rPr>
          <w:color w:val="auto"/>
          <w:highlight w:val="none"/>
        </w:rPr>
      </w:pPr>
    </w:p>
    <w:p>
      <w:pPr>
        <w:rPr>
          <w:color w:val="auto"/>
          <w:highlight w:val="none"/>
        </w:rPr>
      </w:pPr>
    </w:p>
    <w:p>
      <w:pPr>
        <w:pStyle w:val="19"/>
        <w:rPr>
          <w:color w:val="auto"/>
          <w:highlight w:val="none"/>
        </w:rPr>
      </w:pPr>
    </w:p>
    <w:p>
      <w:pPr>
        <w:pStyle w:val="19"/>
        <w:rPr>
          <w:color w:val="auto"/>
          <w:highlight w:val="none"/>
        </w:rPr>
        <w:sectPr>
          <w:pgSz w:w="11906" w:h="16838"/>
          <w:pgMar w:top="2098" w:right="1474" w:bottom="1984" w:left="1587" w:header="851" w:footer="992" w:gutter="0"/>
          <w:pgNumType w:fmt="decimal"/>
          <w:cols w:space="0" w:num="1"/>
          <w:docGrid w:type="lines" w:linePitch="319" w:charSpace="0"/>
        </w:sectPr>
      </w:pPr>
    </w:p>
    <w:p>
      <w:pPr>
        <w:keepNext w:val="0"/>
        <w:keepLines w:val="0"/>
        <w:pageBreakBefore w:val="0"/>
        <w:kinsoku/>
        <w:wordWrap/>
        <w:overflowPunct/>
        <w:topLinePunct w:val="0"/>
        <w:autoSpaceDE/>
        <w:autoSpaceDN/>
        <w:bidi w:val="0"/>
        <w:adjustRightInd/>
        <w:snapToGrid/>
        <w:spacing w:line="400" w:lineRule="exact"/>
        <w:ind w:left="0"/>
        <w:jc w:val="center"/>
        <w:textAlignment w:val="auto"/>
        <w:outlineLvl w:val="1"/>
        <w:rPr>
          <w:rFonts w:hint="eastAsia" w:ascii="宋体" w:hAnsi="宋体" w:eastAsia="宋体" w:cs="宋体"/>
          <w:color w:val="auto"/>
          <w:highlight w:val="none"/>
        </w:rPr>
      </w:pPr>
      <w:bookmarkStart w:id="269" w:name="_Toc7323"/>
      <w:bookmarkStart w:id="270" w:name="_Toc3940"/>
      <w:bookmarkStart w:id="271" w:name="_Toc22739"/>
      <w:bookmarkStart w:id="272" w:name="_Toc9077"/>
      <w:bookmarkStart w:id="273" w:name="_Toc27585"/>
      <w:bookmarkStart w:id="274" w:name="_Toc27918"/>
      <w:bookmarkStart w:id="275" w:name="_Toc15234"/>
      <w:r>
        <w:rPr>
          <w:rFonts w:hint="eastAsia" w:ascii="宋体" w:hAnsi="宋体" w:cs="宋体"/>
          <w:b/>
          <w:color w:val="auto"/>
          <w:sz w:val="32"/>
          <w:szCs w:val="32"/>
          <w:highlight w:val="none"/>
          <w:lang w:val="en-US" w:eastAsia="zh-CN"/>
        </w:rPr>
        <w:t>七、服务管理方案</w:t>
      </w:r>
      <w:bookmarkEnd w:id="269"/>
      <w:bookmarkEnd w:id="270"/>
    </w:p>
    <w:p>
      <w:pPr>
        <w:adjustRightInd w:val="0"/>
        <w:snapToGrid w:val="0"/>
        <w:spacing w:line="360" w:lineRule="auto"/>
        <w:ind w:right="24"/>
        <w:jc w:val="center"/>
        <w:outlineLvl w:val="9"/>
        <w:rPr>
          <w:rFonts w:hint="eastAsia" w:ascii="宋体" w:hAnsi="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eastAsia="宋体" w:cs="宋体"/>
          <w:color w:val="auto"/>
          <w:sz w:val="21"/>
          <w:szCs w:val="21"/>
          <w:highlight w:val="none"/>
          <w:lang w:val="en-US" w:eastAsia="zh-CN"/>
        </w:rPr>
        <w:t>服务管理方案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6"/>
        <w:rPr>
          <w:color w:val="auto"/>
          <w:highlight w:val="none"/>
        </w:rPr>
      </w:pP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76" w:name="_Toc24941"/>
      <w:bookmarkStart w:id="277" w:name="_Toc3080"/>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综合管理方案</w:t>
      </w:r>
      <w:bookmarkEnd w:id="276"/>
      <w:bookmarkEnd w:id="277"/>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编写综合管理方案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78" w:name="_Toc28297"/>
      <w:bookmarkStart w:id="279" w:name="_Toc17214"/>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卫生管理方案</w:t>
      </w:r>
      <w:bookmarkEnd w:id="278"/>
      <w:bookmarkEnd w:id="279"/>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编写卫生管理方案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80" w:name="_Toc25770"/>
      <w:bookmarkStart w:id="281" w:name="_Toc14506"/>
      <w:r>
        <w:rPr>
          <w:rFonts w:hint="eastAsia" w:ascii="宋体" w:hAnsi="宋体" w:cs="宋体"/>
          <w:b/>
          <w:color w:val="auto"/>
          <w:sz w:val="32"/>
          <w:szCs w:val="32"/>
          <w:highlight w:val="none"/>
          <w:lang w:val="en-US" w:eastAsia="zh-CN"/>
        </w:rPr>
        <w:t>十、</w:t>
      </w:r>
      <w:r>
        <w:rPr>
          <w:rFonts w:hint="eastAsia" w:ascii="宋体" w:hAnsi="宋体" w:cs="宋体"/>
          <w:b/>
          <w:color w:val="auto"/>
          <w:sz w:val="32"/>
          <w:szCs w:val="32"/>
          <w:highlight w:val="none"/>
        </w:rPr>
        <w:t>应急管理方案</w:t>
      </w:r>
      <w:bookmarkEnd w:id="280"/>
      <w:bookmarkEnd w:id="281"/>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编写应急管理方案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82" w:name="_Toc14677"/>
      <w:bookmarkStart w:id="283" w:name="_Toc32749"/>
      <w:bookmarkStart w:id="284" w:name="_Toc7850"/>
      <w:r>
        <w:rPr>
          <w:rFonts w:hint="eastAsia" w:ascii="宋体" w:hAnsi="宋体" w:cs="宋体"/>
          <w:b/>
          <w:color w:val="auto"/>
          <w:sz w:val="32"/>
          <w:szCs w:val="32"/>
          <w:highlight w:val="none"/>
          <w:lang w:val="en-US" w:eastAsia="zh-CN"/>
        </w:rPr>
        <w:t>十一、优惠</w:t>
      </w:r>
      <w:r>
        <w:rPr>
          <w:rFonts w:hint="eastAsia" w:ascii="宋体" w:hAnsi="宋体" w:cs="宋体"/>
          <w:b/>
          <w:color w:val="auto"/>
          <w:sz w:val="32"/>
          <w:szCs w:val="32"/>
          <w:highlight w:val="none"/>
        </w:rPr>
        <w:t>方案</w:t>
      </w:r>
      <w:bookmarkEnd w:id="282"/>
      <w:bookmarkEnd w:id="283"/>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第10项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cs="宋体"/>
          <w:color w:val="auto"/>
          <w:sz w:val="21"/>
          <w:szCs w:val="21"/>
          <w:highlight w:val="none"/>
          <w:lang w:val="en-US" w:eastAsia="zh-CN"/>
        </w:rPr>
        <w:t>优惠</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1"/>
        <w:spacing w:after="0" w:afterAutospacing="0" w:line="360" w:lineRule="auto"/>
        <w:jc w:val="both"/>
        <w:outlineLvl w:val="1"/>
        <w:rPr>
          <w:rFonts w:hint="eastAsia"/>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pPr>
      <w:bookmarkStart w:id="285" w:name="_Toc16349"/>
      <w:bookmarkStart w:id="286" w:name="_Toc29054"/>
      <w:r>
        <w:rPr>
          <w:rFonts w:hint="eastAsia" w:ascii="宋体" w:hAnsi="宋体" w:cs="宋体"/>
          <w:b/>
          <w:color w:val="auto"/>
          <w:sz w:val="32"/>
          <w:szCs w:val="32"/>
          <w:highlight w:val="none"/>
          <w:lang w:val="en-US" w:eastAsia="zh-CN"/>
        </w:rPr>
        <w:t>十二、原材料保障</w:t>
      </w:r>
      <w:bookmarkEnd w:id="285"/>
      <w:bookmarkEnd w:id="28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第14项</w:t>
      </w:r>
      <w:r>
        <w:rPr>
          <w:rFonts w:hint="eastAsia" w:ascii="宋体" w:hAnsi="宋体" w:eastAsia="宋体" w:cs="宋体"/>
          <w:color w:val="auto"/>
          <w:sz w:val="21"/>
          <w:szCs w:val="21"/>
          <w:highlight w:val="none"/>
          <w:lang w:eastAsia="zh-CN"/>
        </w:rPr>
        <w:t>要求提</w:t>
      </w:r>
      <w:r>
        <w:rPr>
          <w:rFonts w:hint="eastAsia" w:ascii="宋体" w:hAnsi="宋体" w:eastAsia="宋体" w:cs="宋体"/>
          <w:color w:val="auto"/>
          <w:sz w:val="21"/>
          <w:szCs w:val="21"/>
          <w:highlight w:val="none"/>
        </w:rPr>
        <w:t>供场地证明材料原件</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或合同原件</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pStyle w:val="41"/>
        <w:spacing w:after="0" w:afterAutospacing="0" w:line="360" w:lineRule="auto"/>
        <w:jc w:val="both"/>
        <w:outlineLvl w:val="9"/>
        <w:rPr>
          <w:rFonts w:hint="eastAsia" w:ascii="宋体" w:hAnsi="宋体" w:eastAsia="宋体" w:cs="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1"/>
        <w:spacing w:after="0" w:afterAutospacing="0" w:line="360" w:lineRule="auto"/>
        <w:jc w:val="both"/>
        <w:outlineLvl w:val="9"/>
        <w:rPr>
          <w:rFonts w:hint="eastAsia" w:ascii="宋体" w:hAnsi="宋体" w:eastAsia="宋体" w:cs="宋体"/>
          <w:color w:val="auto"/>
          <w:highlight w:val="none"/>
          <w:lang w:val="en-US" w:eastAsia="zh-CN"/>
        </w:rPr>
      </w:pPr>
    </w:p>
    <w:p>
      <w:pPr>
        <w:pStyle w:val="41"/>
        <w:spacing w:after="0" w:afterAutospacing="0" w:line="360" w:lineRule="auto"/>
        <w:jc w:val="both"/>
        <w:outlineLvl w:val="1"/>
        <w:rPr>
          <w:rFonts w:hint="eastAsia"/>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pStyle w:val="41"/>
        <w:spacing w:after="0" w:afterAutospacing="0" w:line="360" w:lineRule="auto"/>
        <w:jc w:val="center"/>
        <w:outlineLvl w:val="1"/>
        <w:rPr>
          <w:color w:val="auto"/>
          <w:sz w:val="28"/>
          <w:szCs w:val="28"/>
          <w:highlight w:val="none"/>
        </w:rPr>
      </w:pPr>
      <w:bookmarkStart w:id="287" w:name="_Toc24990"/>
      <w:bookmarkStart w:id="288" w:name="_Toc19696"/>
      <w:r>
        <w:rPr>
          <w:rFonts w:hint="eastAsia"/>
          <w:b/>
          <w:color w:val="auto"/>
          <w:sz w:val="32"/>
          <w:szCs w:val="32"/>
          <w:highlight w:val="none"/>
          <w:lang w:val="en-US" w:eastAsia="zh-CN"/>
        </w:rPr>
        <w:t>十三</w:t>
      </w:r>
      <w:r>
        <w:rPr>
          <w:rFonts w:hint="eastAsia"/>
          <w:b/>
          <w:color w:val="auto"/>
          <w:sz w:val="32"/>
          <w:szCs w:val="32"/>
          <w:highlight w:val="none"/>
        </w:rPr>
        <w:t>、承诺函</w:t>
      </w:r>
      <w:bookmarkEnd w:id="284"/>
      <w:bookmarkEnd w:id="287"/>
      <w:bookmarkEnd w:id="288"/>
    </w:p>
    <w:p>
      <w:pPr>
        <w:widowControl/>
        <w:spacing w:line="360" w:lineRule="auto"/>
        <w:rPr>
          <w:rFonts w:ascii="宋体" w:hAnsi="宋体" w:cs="宋体"/>
          <w:color w:val="auto"/>
          <w:kern w:val="0"/>
          <w:sz w:val="24"/>
          <w:highlight w:val="none"/>
        </w:rPr>
      </w:pPr>
    </w:p>
    <w:p>
      <w:pPr>
        <w:widowControl/>
        <w:spacing w:line="560" w:lineRule="exac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长沙市轨道交通</w:t>
      </w:r>
      <w:r>
        <w:rPr>
          <w:rFonts w:hint="eastAsia" w:ascii="宋体" w:hAnsi="宋体" w:cs="宋体"/>
          <w:b w:val="0"/>
          <w:bCs w:val="0"/>
          <w:color w:val="auto"/>
          <w:kern w:val="0"/>
          <w:sz w:val="24"/>
          <w:highlight w:val="none"/>
          <w:lang w:val="en-US" w:eastAsia="zh-CN"/>
        </w:rPr>
        <w:t>五</w:t>
      </w:r>
      <w:r>
        <w:rPr>
          <w:rFonts w:hint="eastAsia" w:ascii="宋体" w:hAnsi="宋体" w:cs="宋体"/>
          <w:b w:val="0"/>
          <w:bCs w:val="0"/>
          <w:color w:val="auto"/>
          <w:kern w:val="0"/>
          <w:sz w:val="24"/>
          <w:highlight w:val="none"/>
        </w:rPr>
        <w:t>号线建设发展有限公司</w:t>
      </w:r>
    </w:p>
    <w:p>
      <w:pPr>
        <w:widowControl/>
        <w:spacing w:line="560" w:lineRule="exact"/>
        <w:rPr>
          <w:rFonts w:hint="eastAsia" w:ascii="宋体" w:hAnsi="宋体" w:eastAsia="宋体" w:cs="宋体"/>
          <w:b w:val="0"/>
          <w:bCs w:val="0"/>
          <w:color w:val="auto"/>
          <w:kern w:val="0"/>
          <w:sz w:val="24"/>
          <w:highlight w:val="none"/>
          <w:lang w:eastAsia="zh-CN"/>
        </w:rPr>
      </w:pPr>
      <w:r>
        <w:rPr>
          <w:rFonts w:hint="eastAsia" w:ascii="宋体" w:hAnsi="宋体" w:cs="宋体"/>
          <w:b w:val="0"/>
          <w:bCs w:val="0"/>
          <w:color w:val="auto"/>
          <w:kern w:val="0"/>
          <w:sz w:val="24"/>
          <w:highlight w:val="none"/>
        </w:rPr>
        <w:t>长沙市轨道交通运营有限公司</w:t>
      </w:r>
      <w:r>
        <w:rPr>
          <w:rFonts w:hint="eastAsia" w:ascii="宋体" w:hAnsi="宋体" w:cs="宋体"/>
          <w:b w:val="0"/>
          <w:bCs w:val="0"/>
          <w:color w:val="auto"/>
          <w:kern w:val="0"/>
          <w:sz w:val="24"/>
          <w:highlight w:val="none"/>
          <w:lang w:eastAsia="zh-CN"/>
        </w:rPr>
        <w:t>：</w:t>
      </w:r>
    </w:p>
    <w:p>
      <w:pPr>
        <w:widowControl/>
        <w:spacing w:line="56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rPr>
        <w:t>长沙市轨道交通5号线、西环线运营期2023-2025年水渡河车辆段、九华车辆基地食堂委外经营服务项目</w:t>
      </w:r>
      <w:r>
        <w:rPr>
          <w:rFonts w:hint="eastAsia" w:ascii="宋体" w:hAnsi="宋体" w:cs="宋体"/>
          <w:color w:val="auto"/>
          <w:kern w:val="0"/>
          <w:sz w:val="24"/>
          <w:highlight w:val="none"/>
        </w:rPr>
        <w:t>谈判文件的全部内容，愿意按谈判文件</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用户需求书要求提供所需货物及相关服务，并按合同约定履行义务。</w:t>
      </w:r>
    </w:p>
    <w:p>
      <w:pPr>
        <w:widowControl/>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若我方有幸中选，我方承诺：</w:t>
      </w:r>
    </w:p>
    <w:p>
      <w:pPr>
        <w:widowControl/>
        <w:numPr>
          <w:ilvl w:val="0"/>
          <w:numId w:val="22"/>
        </w:num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我方针对长沙市轨道交通5号线、西环线运营期2023-2025年水渡河车辆段、九华车辆基地食堂委外经营服务项目出具的“优惠方案”</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w:t>
      </w:r>
      <w:r>
        <w:rPr>
          <w:rFonts w:hint="eastAsia" w:ascii="宋体" w:hAnsi="宋体" w:cs="宋体"/>
          <w:color w:val="auto"/>
          <w:kern w:val="0"/>
          <w:sz w:val="24"/>
          <w:highlight w:val="none"/>
          <w:lang w:eastAsia="zh-CN"/>
        </w:rPr>
        <w:t>应执行</w:t>
      </w:r>
      <w:r>
        <w:rPr>
          <w:rFonts w:hint="eastAsia" w:ascii="宋体" w:hAnsi="宋体" w:cs="宋体"/>
          <w:color w:val="auto"/>
          <w:kern w:val="0"/>
          <w:sz w:val="24"/>
          <w:highlight w:val="none"/>
        </w:rPr>
        <w:t>。</w:t>
      </w:r>
    </w:p>
    <w:p>
      <w:pPr>
        <w:widowControl/>
        <w:numPr>
          <w:ilvl w:val="0"/>
          <w:numId w:val="22"/>
        </w:num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原材料保障</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系自愿行为，并将完全响应</w:t>
      </w:r>
      <w:r>
        <w:rPr>
          <w:rFonts w:hint="eastAsia" w:ascii="宋体" w:hAnsi="宋体" w:cs="宋体"/>
          <w:color w:val="auto"/>
          <w:kern w:val="0"/>
          <w:sz w:val="24"/>
          <w:highlight w:val="none"/>
          <w:lang w:eastAsia="zh-CN"/>
        </w:rPr>
        <w:t>执行</w:t>
      </w:r>
      <w:r>
        <w:rPr>
          <w:rFonts w:hint="eastAsia" w:ascii="宋体" w:hAnsi="宋体" w:cs="宋体"/>
          <w:color w:val="auto"/>
          <w:kern w:val="0"/>
          <w:sz w:val="24"/>
          <w:highlight w:val="none"/>
        </w:rPr>
        <w:t>。</w:t>
      </w: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b/>
          <w:color w:val="auto"/>
          <w:sz w:val="32"/>
          <w:szCs w:val="32"/>
          <w:highlight w:val="none"/>
        </w:rPr>
      </w:pPr>
      <w:bookmarkStart w:id="289" w:name="_Toc17784"/>
      <w:r>
        <w:rPr>
          <w:rFonts w:hint="eastAsia" w:ascii="宋体" w:hAnsi="宋体" w:cs="宋体"/>
          <w:color w:val="auto"/>
          <w:sz w:val="24"/>
          <w:highlight w:val="none"/>
        </w:rPr>
        <w:t>特此承诺！</w:t>
      </w:r>
      <w:bookmarkEnd w:id="289"/>
    </w:p>
    <w:p>
      <w:pPr>
        <w:widowControl/>
        <w:jc w:val="left"/>
        <w:rPr>
          <w:rFonts w:ascii="宋体" w:hAnsi="宋体" w:cs="宋体"/>
          <w:b/>
          <w:color w:val="auto"/>
          <w:sz w:val="32"/>
          <w:szCs w:val="32"/>
          <w:highlight w:val="none"/>
        </w:rPr>
      </w:pPr>
    </w:p>
    <w:p>
      <w:pPr>
        <w:widowControl/>
        <w:jc w:val="left"/>
        <w:rPr>
          <w:rFonts w:ascii="宋体" w:hAnsi="宋体" w:cs="宋体"/>
          <w:b/>
          <w:color w:val="auto"/>
          <w:sz w:val="32"/>
          <w:szCs w:val="32"/>
          <w:highlight w:val="none"/>
        </w:rPr>
      </w:pPr>
    </w:p>
    <w:p>
      <w:pPr>
        <w:widowControl/>
        <w:jc w:val="left"/>
        <w:rPr>
          <w:rFonts w:ascii="宋体" w:hAnsi="宋体" w:cs="宋体"/>
          <w:b/>
          <w:color w:val="auto"/>
          <w:sz w:val="32"/>
          <w:szCs w:val="32"/>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adjustRightInd w:val="0"/>
        <w:snapToGrid w:val="0"/>
        <w:spacing w:line="360" w:lineRule="auto"/>
        <w:ind w:right="24"/>
        <w:jc w:val="center"/>
        <w:outlineLvl w:val="9"/>
        <w:rPr>
          <w:rFonts w:hint="eastAsia"/>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s="宋体"/>
          <w:b/>
          <w:color w:val="auto"/>
          <w:sz w:val="32"/>
          <w:szCs w:val="32"/>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290" w:name="_Toc12154"/>
      <w:bookmarkStart w:id="291" w:name="_Toc31641"/>
      <w:r>
        <w:rPr>
          <w:rFonts w:hint="eastAsia" w:ascii="宋体" w:hAnsi="宋体" w:cs="宋体"/>
          <w:b/>
          <w:color w:val="auto"/>
          <w:sz w:val="32"/>
          <w:szCs w:val="32"/>
          <w:highlight w:val="none"/>
          <w:lang w:val="en-US" w:eastAsia="zh-CN"/>
        </w:rPr>
        <w:t>十四</w:t>
      </w:r>
      <w:r>
        <w:rPr>
          <w:rFonts w:hint="eastAsia" w:ascii="宋体" w:hAnsi="宋体" w:cs="宋体"/>
          <w:b/>
          <w:color w:val="auto"/>
          <w:sz w:val="32"/>
          <w:szCs w:val="32"/>
          <w:highlight w:val="none"/>
        </w:rPr>
        <w:t>、其他资料</w:t>
      </w:r>
      <w:bookmarkEnd w:id="271"/>
      <w:bookmarkEnd w:id="272"/>
      <w:bookmarkEnd w:id="273"/>
      <w:r>
        <w:rPr>
          <w:rFonts w:hint="eastAsia" w:ascii="宋体" w:hAnsi="宋体" w:cs="宋体"/>
          <w:b/>
          <w:color w:val="auto"/>
          <w:sz w:val="32"/>
          <w:szCs w:val="32"/>
          <w:highlight w:val="none"/>
        </w:rPr>
        <w:t>（如有）</w:t>
      </w:r>
      <w:bookmarkEnd w:id="274"/>
      <w:bookmarkEnd w:id="275"/>
      <w:bookmarkEnd w:id="290"/>
      <w:bookmarkEnd w:id="291"/>
    </w:p>
    <w:p>
      <w:pPr>
        <w:adjustRightInd w:val="0"/>
        <w:snapToGrid w:val="0"/>
        <w:spacing w:before="159" w:beforeLines="50" w:line="360" w:lineRule="auto"/>
        <w:ind w:firstLine="420" w:firstLineChars="200"/>
        <w:jc w:val="left"/>
        <w:rPr>
          <w:rFonts w:ascii="宋体" w:hAnsi="宋体"/>
          <w:color w:val="auto"/>
          <w:szCs w:val="21"/>
          <w:highlight w:val="none"/>
        </w:rPr>
      </w:pPr>
      <w:bookmarkStart w:id="292" w:name="_Toc5412"/>
      <w:bookmarkStart w:id="293" w:name="_Toc18188"/>
      <w:bookmarkStart w:id="294" w:name="_Toc10648"/>
      <w:bookmarkStart w:id="295" w:name="_Toc22084"/>
      <w:r>
        <w:rPr>
          <w:rFonts w:hint="eastAsia" w:ascii="宋体" w:hAnsi="宋体"/>
          <w:color w:val="auto"/>
          <w:szCs w:val="21"/>
          <w:highlight w:val="none"/>
        </w:rPr>
        <w:t>谈判单位认为需要提供的其他谈判资料，格式自拟。</w:t>
      </w:r>
      <w:bookmarkEnd w:id="292"/>
      <w:bookmarkEnd w:id="293"/>
      <w:bookmarkEnd w:id="294"/>
      <w:bookmarkEnd w:id="295"/>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39</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AC4CA"/>
    <w:multiLevelType w:val="singleLevel"/>
    <w:tmpl w:val="8EBAC4CA"/>
    <w:lvl w:ilvl="0" w:tentative="0">
      <w:start w:val="1"/>
      <w:numFmt w:val="chineseCounting"/>
      <w:suff w:val="space"/>
      <w:lvlText w:val="第%1章"/>
      <w:lvlJc w:val="left"/>
      <w:rPr>
        <w:rFonts w:hint="eastAsia"/>
      </w:rPr>
    </w:lvl>
  </w:abstractNum>
  <w:abstractNum w:abstractNumId="1">
    <w:nsid w:val="A28A8BA4"/>
    <w:multiLevelType w:val="singleLevel"/>
    <w:tmpl w:val="A28A8BA4"/>
    <w:lvl w:ilvl="0" w:tentative="0">
      <w:start w:val="1"/>
      <w:numFmt w:val="decimal"/>
      <w:suff w:val="nothing"/>
      <w:lvlText w:val="（%1）"/>
      <w:lvlJc w:val="left"/>
    </w:lvl>
  </w:abstractNum>
  <w:abstractNum w:abstractNumId="2">
    <w:nsid w:val="AF42D0C1"/>
    <w:multiLevelType w:val="singleLevel"/>
    <w:tmpl w:val="AF42D0C1"/>
    <w:lvl w:ilvl="0" w:tentative="0">
      <w:start w:val="1"/>
      <w:numFmt w:val="decimal"/>
      <w:lvlText w:val="(%1)"/>
      <w:lvlJc w:val="left"/>
      <w:pPr>
        <w:ind w:left="425" w:hanging="425"/>
      </w:pPr>
      <w:rPr>
        <w:rFonts w:hint="default"/>
      </w:rPr>
    </w:lvl>
  </w:abstractNum>
  <w:abstractNum w:abstractNumId="3">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4">
    <w:nsid w:val="C1B5280B"/>
    <w:multiLevelType w:val="singleLevel"/>
    <w:tmpl w:val="C1B5280B"/>
    <w:lvl w:ilvl="0" w:tentative="0">
      <w:start w:val="1"/>
      <w:numFmt w:val="decimal"/>
      <w:suff w:val="nothing"/>
      <w:lvlText w:val="%1．"/>
      <w:lvlJc w:val="left"/>
      <w:pPr>
        <w:ind w:left="0" w:firstLine="400"/>
      </w:pPr>
      <w:rPr>
        <w:rFonts w:hint="default"/>
      </w:rPr>
    </w:lvl>
  </w:abstractNum>
  <w:abstractNum w:abstractNumId="5">
    <w:nsid w:val="C29E6077"/>
    <w:multiLevelType w:val="singleLevel"/>
    <w:tmpl w:val="C29E6077"/>
    <w:lvl w:ilvl="0" w:tentative="0">
      <w:start w:val="1"/>
      <w:numFmt w:val="decimal"/>
      <w:lvlText w:val="(%1)"/>
      <w:lvlJc w:val="left"/>
      <w:pPr>
        <w:ind w:left="425" w:hanging="425"/>
      </w:pPr>
      <w:rPr>
        <w:rFonts w:hint="default"/>
      </w:rPr>
    </w:lvl>
  </w:abstractNum>
  <w:abstractNum w:abstractNumId="6">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7">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8">
    <w:nsid w:val="FE293A88"/>
    <w:multiLevelType w:val="singleLevel"/>
    <w:tmpl w:val="FE293A88"/>
    <w:lvl w:ilvl="0" w:tentative="0">
      <w:start w:val="3"/>
      <w:numFmt w:val="chineseCounting"/>
      <w:pStyle w:val="359"/>
      <w:suff w:val="nothing"/>
      <w:lvlText w:val="%1、"/>
      <w:lvlJc w:val="left"/>
      <w:rPr>
        <w:rFonts w:hint="eastAsia"/>
      </w:rPr>
    </w:lvl>
  </w:abstractNum>
  <w:abstractNum w:abstractNumId="9">
    <w:nsid w:val="FEBA27CA"/>
    <w:multiLevelType w:val="singleLevel"/>
    <w:tmpl w:val="FEBA27CA"/>
    <w:lvl w:ilvl="0" w:tentative="0">
      <w:start w:val="1"/>
      <w:numFmt w:val="decimal"/>
      <w:lvlText w:val="%1."/>
      <w:lvlJc w:val="left"/>
      <w:pPr>
        <w:tabs>
          <w:tab w:val="left" w:pos="312"/>
        </w:tabs>
      </w:pPr>
    </w:lvl>
  </w:abstractNum>
  <w:abstractNum w:abstractNumId="10">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1">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2">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3">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C5A2C3E"/>
    <w:multiLevelType w:val="singleLevel"/>
    <w:tmpl w:val="1C5A2C3E"/>
    <w:lvl w:ilvl="0" w:tentative="0">
      <w:start w:val="1"/>
      <w:numFmt w:val="decimal"/>
      <w:suff w:val="nothing"/>
      <w:lvlText w:val="%1．"/>
      <w:lvlJc w:val="left"/>
      <w:pPr>
        <w:ind w:left="0" w:firstLine="400"/>
      </w:pPr>
      <w:rPr>
        <w:rFonts w:hint="default"/>
      </w:rPr>
    </w:lvl>
  </w:abstractNum>
  <w:abstractNum w:abstractNumId="16">
    <w:nsid w:val="25BC64D2"/>
    <w:multiLevelType w:val="multilevel"/>
    <w:tmpl w:val="25BC64D2"/>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7">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8">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9">
    <w:nsid w:val="38248D8C"/>
    <w:multiLevelType w:val="singleLevel"/>
    <w:tmpl w:val="38248D8C"/>
    <w:lvl w:ilvl="0" w:tentative="0">
      <w:start w:val="3"/>
      <w:numFmt w:val="chineseCounting"/>
      <w:suff w:val="nothing"/>
      <w:lvlText w:val="%1、"/>
      <w:lvlJc w:val="left"/>
      <w:rPr>
        <w:rFonts w:hint="eastAsia"/>
      </w:rPr>
    </w:lvl>
  </w:abstractNum>
  <w:abstractNum w:abstractNumId="20">
    <w:nsid w:val="3DF0E8A0"/>
    <w:multiLevelType w:val="singleLevel"/>
    <w:tmpl w:val="3DF0E8A0"/>
    <w:lvl w:ilvl="0" w:tentative="0">
      <w:start w:val="1"/>
      <w:numFmt w:val="decimal"/>
      <w:lvlText w:val="%1."/>
      <w:lvlJc w:val="left"/>
      <w:pPr>
        <w:tabs>
          <w:tab w:val="left" w:pos="312"/>
        </w:tabs>
      </w:pPr>
    </w:lvl>
  </w:abstractNum>
  <w:abstractNum w:abstractNumId="21">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0"/>
  </w:num>
  <w:num w:numId="2">
    <w:abstractNumId w:val="13"/>
  </w:num>
  <w:num w:numId="3">
    <w:abstractNumId w:val="8"/>
  </w:num>
  <w:num w:numId="4">
    <w:abstractNumId w:val="14"/>
  </w:num>
  <w:num w:numId="5">
    <w:abstractNumId w:val="21"/>
  </w:num>
  <w:num w:numId="6">
    <w:abstractNumId w:val="0"/>
  </w:num>
  <w:num w:numId="7">
    <w:abstractNumId w:val="17"/>
  </w:num>
  <w:num w:numId="8">
    <w:abstractNumId w:val="3"/>
  </w:num>
  <w:num w:numId="9">
    <w:abstractNumId w:val="9"/>
  </w:num>
  <w:num w:numId="10">
    <w:abstractNumId w:val="11"/>
  </w:num>
  <w:num w:numId="11">
    <w:abstractNumId w:val="12"/>
  </w:num>
  <w:num w:numId="12">
    <w:abstractNumId w:val="2"/>
  </w:num>
  <w:num w:numId="13">
    <w:abstractNumId w:val="7"/>
  </w:num>
  <w:num w:numId="14">
    <w:abstractNumId w:val="6"/>
  </w:num>
  <w:num w:numId="15">
    <w:abstractNumId w:val="20"/>
  </w:num>
  <w:num w:numId="16">
    <w:abstractNumId w:val="5"/>
  </w:num>
  <w:num w:numId="17">
    <w:abstractNumId w:val="1"/>
  </w:num>
  <w:num w:numId="18">
    <w:abstractNumId w:val="19"/>
  </w:num>
  <w:num w:numId="19">
    <w:abstractNumId w:val="18"/>
  </w:num>
  <w:num w:numId="20">
    <w:abstractNumId w:val="16"/>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ZjU2M2FhMWFlMzI3ZmJhOGI1OWNiZjg1M2YxMDgifQ=="/>
  </w:docVars>
  <w:rsids>
    <w:rsidRoot w:val="00172A27"/>
    <w:rsid w:val="00005EC9"/>
    <w:rsid w:val="00006D21"/>
    <w:rsid w:val="00016902"/>
    <w:rsid w:val="000274C6"/>
    <w:rsid w:val="00052640"/>
    <w:rsid w:val="00063D15"/>
    <w:rsid w:val="00074928"/>
    <w:rsid w:val="00091C9D"/>
    <w:rsid w:val="000A167E"/>
    <w:rsid w:val="000C106E"/>
    <w:rsid w:val="000C21C5"/>
    <w:rsid w:val="000E0193"/>
    <w:rsid w:val="000E7968"/>
    <w:rsid w:val="000F4DE1"/>
    <w:rsid w:val="00107D96"/>
    <w:rsid w:val="00115FE6"/>
    <w:rsid w:val="00116BAE"/>
    <w:rsid w:val="0013037C"/>
    <w:rsid w:val="001453A1"/>
    <w:rsid w:val="00162D59"/>
    <w:rsid w:val="00172A27"/>
    <w:rsid w:val="00180183"/>
    <w:rsid w:val="00186162"/>
    <w:rsid w:val="00186A33"/>
    <w:rsid w:val="0019086A"/>
    <w:rsid w:val="001A2B1A"/>
    <w:rsid w:val="001C23BF"/>
    <w:rsid w:val="001D6D72"/>
    <w:rsid w:val="001E02FE"/>
    <w:rsid w:val="002067E8"/>
    <w:rsid w:val="002069C8"/>
    <w:rsid w:val="002117C9"/>
    <w:rsid w:val="002139EB"/>
    <w:rsid w:val="0021649B"/>
    <w:rsid w:val="0022188F"/>
    <w:rsid w:val="00222DFA"/>
    <w:rsid w:val="00230A1A"/>
    <w:rsid w:val="002314A3"/>
    <w:rsid w:val="002371E9"/>
    <w:rsid w:val="00237FEC"/>
    <w:rsid w:val="002504FF"/>
    <w:rsid w:val="002523FD"/>
    <w:rsid w:val="0025312F"/>
    <w:rsid w:val="00255546"/>
    <w:rsid w:val="00286014"/>
    <w:rsid w:val="002B1D56"/>
    <w:rsid w:val="002F262C"/>
    <w:rsid w:val="00301710"/>
    <w:rsid w:val="00306794"/>
    <w:rsid w:val="003102A2"/>
    <w:rsid w:val="003268C0"/>
    <w:rsid w:val="00331810"/>
    <w:rsid w:val="00334BF3"/>
    <w:rsid w:val="003432D3"/>
    <w:rsid w:val="003469C0"/>
    <w:rsid w:val="00372ECC"/>
    <w:rsid w:val="00375CC4"/>
    <w:rsid w:val="00380064"/>
    <w:rsid w:val="00381105"/>
    <w:rsid w:val="00381BB4"/>
    <w:rsid w:val="003958B2"/>
    <w:rsid w:val="0039632C"/>
    <w:rsid w:val="003B1109"/>
    <w:rsid w:val="003D080C"/>
    <w:rsid w:val="003D6204"/>
    <w:rsid w:val="003D7BCD"/>
    <w:rsid w:val="003F46A7"/>
    <w:rsid w:val="004014FD"/>
    <w:rsid w:val="004020F6"/>
    <w:rsid w:val="0040500C"/>
    <w:rsid w:val="004129B9"/>
    <w:rsid w:val="00423B85"/>
    <w:rsid w:val="004263EB"/>
    <w:rsid w:val="00426543"/>
    <w:rsid w:val="00453EE9"/>
    <w:rsid w:val="0045503A"/>
    <w:rsid w:val="00455F16"/>
    <w:rsid w:val="0046304B"/>
    <w:rsid w:val="00473865"/>
    <w:rsid w:val="0048093D"/>
    <w:rsid w:val="004821EA"/>
    <w:rsid w:val="00495DBC"/>
    <w:rsid w:val="00495F57"/>
    <w:rsid w:val="004978CA"/>
    <w:rsid w:val="004A4E04"/>
    <w:rsid w:val="004B3D80"/>
    <w:rsid w:val="004B41B1"/>
    <w:rsid w:val="004C5636"/>
    <w:rsid w:val="004D7127"/>
    <w:rsid w:val="00500B91"/>
    <w:rsid w:val="00500BE0"/>
    <w:rsid w:val="00504DED"/>
    <w:rsid w:val="00526589"/>
    <w:rsid w:val="00527EC2"/>
    <w:rsid w:val="00545140"/>
    <w:rsid w:val="00546978"/>
    <w:rsid w:val="00546F43"/>
    <w:rsid w:val="0055214F"/>
    <w:rsid w:val="005556A5"/>
    <w:rsid w:val="0056117D"/>
    <w:rsid w:val="0056143E"/>
    <w:rsid w:val="005837A3"/>
    <w:rsid w:val="0058523E"/>
    <w:rsid w:val="0058754B"/>
    <w:rsid w:val="00593699"/>
    <w:rsid w:val="005C688B"/>
    <w:rsid w:val="005E0EEC"/>
    <w:rsid w:val="005E6BBB"/>
    <w:rsid w:val="005F037B"/>
    <w:rsid w:val="005F4513"/>
    <w:rsid w:val="00601A23"/>
    <w:rsid w:val="006035A7"/>
    <w:rsid w:val="00607C42"/>
    <w:rsid w:val="00641E72"/>
    <w:rsid w:val="00642B10"/>
    <w:rsid w:val="00654D1D"/>
    <w:rsid w:val="0066697A"/>
    <w:rsid w:val="00677C6C"/>
    <w:rsid w:val="0068504A"/>
    <w:rsid w:val="0068515F"/>
    <w:rsid w:val="00687C87"/>
    <w:rsid w:val="00696985"/>
    <w:rsid w:val="006A36BD"/>
    <w:rsid w:val="006A69FD"/>
    <w:rsid w:val="006B467A"/>
    <w:rsid w:val="006B6300"/>
    <w:rsid w:val="006D0A13"/>
    <w:rsid w:val="006D6661"/>
    <w:rsid w:val="006E025D"/>
    <w:rsid w:val="006F0BFC"/>
    <w:rsid w:val="006F5FAC"/>
    <w:rsid w:val="007061CC"/>
    <w:rsid w:val="00707592"/>
    <w:rsid w:val="0070784A"/>
    <w:rsid w:val="00730CC6"/>
    <w:rsid w:val="00740D0D"/>
    <w:rsid w:val="007656DC"/>
    <w:rsid w:val="00775D68"/>
    <w:rsid w:val="007821C6"/>
    <w:rsid w:val="0078370F"/>
    <w:rsid w:val="00787C0E"/>
    <w:rsid w:val="00787EE1"/>
    <w:rsid w:val="00793ABB"/>
    <w:rsid w:val="0079784E"/>
    <w:rsid w:val="007B6BAC"/>
    <w:rsid w:val="007D0446"/>
    <w:rsid w:val="007F1173"/>
    <w:rsid w:val="007F3811"/>
    <w:rsid w:val="00802770"/>
    <w:rsid w:val="00806047"/>
    <w:rsid w:val="00812238"/>
    <w:rsid w:val="0081382B"/>
    <w:rsid w:val="00820369"/>
    <w:rsid w:val="008318E5"/>
    <w:rsid w:val="0084147A"/>
    <w:rsid w:val="00842E06"/>
    <w:rsid w:val="0084367C"/>
    <w:rsid w:val="008511F3"/>
    <w:rsid w:val="00863F98"/>
    <w:rsid w:val="00864C78"/>
    <w:rsid w:val="00887978"/>
    <w:rsid w:val="008B6242"/>
    <w:rsid w:val="008C7C9F"/>
    <w:rsid w:val="008D540A"/>
    <w:rsid w:val="008D7CB4"/>
    <w:rsid w:val="008F2964"/>
    <w:rsid w:val="00901FFA"/>
    <w:rsid w:val="00905544"/>
    <w:rsid w:val="009121DA"/>
    <w:rsid w:val="00915948"/>
    <w:rsid w:val="00923E97"/>
    <w:rsid w:val="009407F4"/>
    <w:rsid w:val="009655EF"/>
    <w:rsid w:val="00965F24"/>
    <w:rsid w:val="009936DA"/>
    <w:rsid w:val="009955C7"/>
    <w:rsid w:val="009A0679"/>
    <w:rsid w:val="009A5642"/>
    <w:rsid w:val="009B5270"/>
    <w:rsid w:val="009C10AF"/>
    <w:rsid w:val="009D41D7"/>
    <w:rsid w:val="009D67DA"/>
    <w:rsid w:val="009D7D4A"/>
    <w:rsid w:val="009E03FD"/>
    <w:rsid w:val="009E2384"/>
    <w:rsid w:val="009E49F2"/>
    <w:rsid w:val="00A3143F"/>
    <w:rsid w:val="00A34DC1"/>
    <w:rsid w:val="00A41E73"/>
    <w:rsid w:val="00A46FA2"/>
    <w:rsid w:val="00A618F2"/>
    <w:rsid w:val="00A61CCE"/>
    <w:rsid w:val="00A92B7C"/>
    <w:rsid w:val="00AA1709"/>
    <w:rsid w:val="00AA21B6"/>
    <w:rsid w:val="00AA3B34"/>
    <w:rsid w:val="00AB013C"/>
    <w:rsid w:val="00AB1664"/>
    <w:rsid w:val="00AC242A"/>
    <w:rsid w:val="00AC26D2"/>
    <w:rsid w:val="00AD758B"/>
    <w:rsid w:val="00AF11ED"/>
    <w:rsid w:val="00B01BA0"/>
    <w:rsid w:val="00B10AA3"/>
    <w:rsid w:val="00B115E1"/>
    <w:rsid w:val="00B2613B"/>
    <w:rsid w:val="00B32406"/>
    <w:rsid w:val="00B47526"/>
    <w:rsid w:val="00B56E9F"/>
    <w:rsid w:val="00B74689"/>
    <w:rsid w:val="00B82298"/>
    <w:rsid w:val="00B832A9"/>
    <w:rsid w:val="00B92FA2"/>
    <w:rsid w:val="00BD3732"/>
    <w:rsid w:val="00BD47EB"/>
    <w:rsid w:val="00BD51DE"/>
    <w:rsid w:val="00BE15B5"/>
    <w:rsid w:val="00BF4EF4"/>
    <w:rsid w:val="00C0069B"/>
    <w:rsid w:val="00C1468A"/>
    <w:rsid w:val="00C20479"/>
    <w:rsid w:val="00C21D69"/>
    <w:rsid w:val="00C24579"/>
    <w:rsid w:val="00C26CA1"/>
    <w:rsid w:val="00C26D33"/>
    <w:rsid w:val="00C27C3E"/>
    <w:rsid w:val="00C32153"/>
    <w:rsid w:val="00C339AF"/>
    <w:rsid w:val="00C34E11"/>
    <w:rsid w:val="00C45E95"/>
    <w:rsid w:val="00C532E5"/>
    <w:rsid w:val="00C57914"/>
    <w:rsid w:val="00C6008B"/>
    <w:rsid w:val="00C65D91"/>
    <w:rsid w:val="00C668B4"/>
    <w:rsid w:val="00C66D5F"/>
    <w:rsid w:val="00C67F6F"/>
    <w:rsid w:val="00C70A98"/>
    <w:rsid w:val="00C758E3"/>
    <w:rsid w:val="00C75AC5"/>
    <w:rsid w:val="00C8080D"/>
    <w:rsid w:val="00C84172"/>
    <w:rsid w:val="00C95332"/>
    <w:rsid w:val="00CB534B"/>
    <w:rsid w:val="00CE51F2"/>
    <w:rsid w:val="00CE631C"/>
    <w:rsid w:val="00CE703D"/>
    <w:rsid w:val="00CF0192"/>
    <w:rsid w:val="00CF040C"/>
    <w:rsid w:val="00D069C6"/>
    <w:rsid w:val="00D136AF"/>
    <w:rsid w:val="00D164FE"/>
    <w:rsid w:val="00D278B4"/>
    <w:rsid w:val="00D31733"/>
    <w:rsid w:val="00D40D79"/>
    <w:rsid w:val="00D43330"/>
    <w:rsid w:val="00D45708"/>
    <w:rsid w:val="00D607BB"/>
    <w:rsid w:val="00D6362F"/>
    <w:rsid w:val="00D74EBC"/>
    <w:rsid w:val="00D84A7F"/>
    <w:rsid w:val="00D90BA3"/>
    <w:rsid w:val="00D95761"/>
    <w:rsid w:val="00D958E3"/>
    <w:rsid w:val="00DA0BF0"/>
    <w:rsid w:val="00DA51BD"/>
    <w:rsid w:val="00DE5673"/>
    <w:rsid w:val="00DF363F"/>
    <w:rsid w:val="00E02B3D"/>
    <w:rsid w:val="00E24889"/>
    <w:rsid w:val="00E32EEF"/>
    <w:rsid w:val="00E32EF4"/>
    <w:rsid w:val="00E342DB"/>
    <w:rsid w:val="00E461AD"/>
    <w:rsid w:val="00E5084D"/>
    <w:rsid w:val="00E6157C"/>
    <w:rsid w:val="00E71C73"/>
    <w:rsid w:val="00E74692"/>
    <w:rsid w:val="00E761DC"/>
    <w:rsid w:val="00E77817"/>
    <w:rsid w:val="00E81B3B"/>
    <w:rsid w:val="00E8494B"/>
    <w:rsid w:val="00E8508D"/>
    <w:rsid w:val="00E91EFA"/>
    <w:rsid w:val="00E944EE"/>
    <w:rsid w:val="00EC62A3"/>
    <w:rsid w:val="00EC7F43"/>
    <w:rsid w:val="00EF6911"/>
    <w:rsid w:val="00F00894"/>
    <w:rsid w:val="00F02213"/>
    <w:rsid w:val="00F175B5"/>
    <w:rsid w:val="00F338DB"/>
    <w:rsid w:val="00F37996"/>
    <w:rsid w:val="00F410E0"/>
    <w:rsid w:val="00F52B22"/>
    <w:rsid w:val="00F579E9"/>
    <w:rsid w:val="00FA052B"/>
    <w:rsid w:val="00FA17B5"/>
    <w:rsid w:val="00FA6734"/>
    <w:rsid w:val="00FD6364"/>
    <w:rsid w:val="00FE331E"/>
    <w:rsid w:val="00FE3699"/>
    <w:rsid w:val="00FE6AFF"/>
    <w:rsid w:val="00FE7992"/>
    <w:rsid w:val="011E3D92"/>
    <w:rsid w:val="0123584C"/>
    <w:rsid w:val="01257184"/>
    <w:rsid w:val="01375331"/>
    <w:rsid w:val="01403F6F"/>
    <w:rsid w:val="014D6F55"/>
    <w:rsid w:val="01791910"/>
    <w:rsid w:val="017E5928"/>
    <w:rsid w:val="01873122"/>
    <w:rsid w:val="01932790"/>
    <w:rsid w:val="01C66A79"/>
    <w:rsid w:val="01D94140"/>
    <w:rsid w:val="01EA6EEC"/>
    <w:rsid w:val="01F504C2"/>
    <w:rsid w:val="01F95304"/>
    <w:rsid w:val="01FA47FF"/>
    <w:rsid w:val="021B19D1"/>
    <w:rsid w:val="02215E8E"/>
    <w:rsid w:val="02263AD9"/>
    <w:rsid w:val="02352070"/>
    <w:rsid w:val="02382228"/>
    <w:rsid w:val="023870D5"/>
    <w:rsid w:val="024C0DC0"/>
    <w:rsid w:val="02787973"/>
    <w:rsid w:val="02787D91"/>
    <w:rsid w:val="027F0426"/>
    <w:rsid w:val="029749D1"/>
    <w:rsid w:val="029A1968"/>
    <w:rsid w:val="02A84E4A"/>
    <w:rsid w:val="02AB7973"/>
    <w:rsid w:val="02B16677"/>
    <w:rsid w:val="02BF5617"/>
    <w:rsid w:val="02DF0C01"/>
    <w:rsid w:val="02FB4FEB"/>
    <w:rsid w:val="03190CB5"/>
    <w:rsid w:val="03431836"/>
    <w:rsid w:val="036A7762"/>
    <w:rsid w:val="036F7D2F"/>
    <w:rsid w:val="03727DAF"/>
    <w:rsid w:val="037C1244"/>
    <w:rsid w:val="038F22EA"/>
    <w:rsid w:val="03C055D4"/>
    <w:rsid w:val="03C21D37"/>
    <w:rsid w:val="03D41287"/>
    <w:rsid w:val="03DE3866"/>
    <w:rsid w:val="03F31A5E"/>
    <w:rsid w:val="03F5008A"/>
    <w:rsid w:val="03F91117"/>
    <w:rsid w:val="03FC0CEA"/>
    <w:rsid w:val="040E476C"/>
    <w:rsid w:val="04107C23"/>
    <w:rsid w:val="04240981"/>
    <w:rsid w:val="042B3AFB"/>
    <w:rsid w:val="04D93965"/>
    <w:rsid w:val="04EE0D07"/>
    <w:rsid w:val="05031B6B"/>
    <w:rsid w:val="050F525C"/>
    <w:rsid w:val="05102CDE"/>
    <w:rsid w:val="05444432"/>
    <w:rsid w:val="054E6891"/>
    <w:rsid w:val="055967E4"/>
    <w:rsid w:val="057228FE"/>
    <w:rsid w:val="057D5890"/>
    <w:rsid w:val="059F674B"/>
    <w:rsid w:val="05B01562"/>
    <w:rsid w:val="05B16FE4"/>
    <w:rsid w:val="05CA44E8"/>
    <w:rsid w:val="05DC14A7"/>
    <w:rsid w:val="05E36661"/>
    <w:rsid w:val="05EB6762"/>
    <w:rsid w:val="05F607BC"/>
    <w:rsid w:val="05F777CC"/>
    <w:rsid w:val="061842D1"/>
    <w:rsid w:val="062A62FB"/>
    <w:rsid w:val="062F07EF"/>
    <w:rsid w:val="067362CB"/>
    <w:rsid w:val="067428EB"/>
    <w:rsid w:val="0676319E"/>
    <w:rsid w:val="067B6F39"/>
    <w:rsid w:val="068036AA"/>
    <w:rsid w:val="069C40D7"/>
    <w:rsid w:val="06A765D7"/>
    <w:rsid w:val="06C96275"/>
    <w:rsid w:val="06CF7ACA"/>
    <w:rsid w:val="06D118A6"/>
    <w:rsid w:val="06D605B3"/>
    <w:rsid w:val="06E415DA"/>
    <w:rsid w:val="06F105E4"/>
    <w:rsid w:val="07076C16"/>
    <w:rsid w:val="070C68F7"/>
    <w:rsid w:val="071C6A43"/>
    <w:rsid w:val="071F0B70"/>
    <w:rsid w:val="072B22BC"/>
    <w:rsid w:val="074C43F1"/>
    <w:rsid w:val="075306D3"/>
    <w:rsid w:val="07650D5D"/>
    <w:rsid w:val="076619FA"/>
    <w:rsid w:val="07983601"/>
    <w:rsid w:val="07A76048"/>
    <w:rsid w:val="07B16F85"/>
    <w:rsid w:val="07C94578"/>
    <w:rsid w:val="07D14A60"/>
    <w:rsid w:val="08223565"/>
    <w:rsid w:val="08232382"/>
    <w:rsid w:val="08246E93"/>
    <w:rsid w:val="082C2CDE"/>
    <w:rsid w:val="082F5114"/>
    <w:rsid w:val="083574C9"/>
    <w:rsid w:val="083D23B2"/>
    <w:rsid w:val="08420AFA"/>
    <w:rsid w:val="08534C69"/>
    <w:rsid w:val="086136BB"/>
    <w:rsid w:val="087003C9"/>
    <w:rsid w:val="08747AEC"/>
    <w:rsid w:val="08786792"/>
    <w:rsid w:val="08807627"/>
    <w:rsid w:val="08832554"/>
    <w:rsid w:val="0896057A"/>
    <w:rsid w:val="089F6734"/>
    <w:rsid w:val="08AD56C8"/>
    <w:rsid w:val="08D54CEA"/>
    <w:rsid w:val="08FC61FE"/>
    <w:rsid w:val="091266F1"/>
    <w:rsid w:val="093252EE"/>
    <w:rsid w:val="09422E59"/>
    <w:rsid w:val="094A4EE7"/>
    <w:rsid w:val="0959407C"/>
    <w:rsid w:val="095E38C5"/>
    <w:rsid w:val="097D1C20"/>
    <w:rsid w:val="098552EA"/>
    <w:rsid w:val="098A3350"/>
    <w:rsid w:val="09A23D38"/>
    <w:rsid w:val="09AB154E"/>
    <w:rsid w:val="09B259BF"/>
    <w:rsid w:val="09B671FF"/>
    <w:rsid w:val="0A0A57FB"/>
    <w:rsid w:val="0A2168AE"/>
    <w:rsid w:val="0A2948BE"/>
    <w:rsid w:val="0A316A36"/>
    <w:rsid w:val="0A451CA7"/>
    <w:rsid w:val="0A57416B"/>
    <w:rsid w:val="0A583185"/>
    <w:rsid w:val="0A5B6057"/>
    <w:rsid w:val="0A6F1B02"/>
    <w:rsid w:val="0A8258AD"/>
    <w:rsid w:val="0AA7304A"/>
    <w:rsid w:val="0AB97D26"/>
    <w:rsid w:val="0AD52625"/>
    <w:rsid w:val="0AE15667"/>
    <w:rsid w:val="0AE24958"/>
    <w:rsid w:val="0AF46E84"/>
    <w:rsid w:val="0AF74A1D"/>
    <w:rsid w:val="0B254E0F"/>
    <w:rsid w:val="0B2B0F5F"/>
    <w:rsid w:val="0B2D2864"/>
    <w:rsid w:val="0B4432D5"/>
    <w:rsid w:val="0B590F4A"/>
    <w:rsid w:val="0B673342"/>
    <w:rsid w:val="0B714AC1"/>
    <w:rsid w:val="0B8511E8"/>
    <w:rsid w:val="0B8E420A"/>
    <w:rsid w:val="0B960945"/>
    <w:rsid w:val="0BA81653"/>
    <w:rsid w:val="0BAA700E"/>
    <w:rsid w:val="0BB64904"/>
    <w:rsid w:val="0BBD1B53"/>
    <w:rsid w:val="0BBE35C7"/>
    <w:rsid w:val="0BD7795F"/>
    <w:rsid w:val="0BDE6804"/>
    <w:rsid w:val="0BEB10E2"/>
    <w:rsid w:val="0C1A66D1"/>
    <w:rsid w:val="0C411CD0"/>
    <w:rsid w:val="0C596A1F"/>
    <w:rsid w:val="0C5B1FA9"/>
    <w:rsid w:val="0C732416"/>
    <w:rsid w:val="0C7D670E"/>
    <w:rsid w:val="0C8E4136"/>
    <w:rsid w:val="0CA062F8"/>
    <w:rsid w:val="0CED2457"/>
    <w:rsid w:val="0CFA6201"/>
    <w:rsid w:val="0D007BE0"/>
    <w:rsid w:val="0D165872"/>
    <w:rsid w:val="0D232FE9"/>
    <w:rsid w:val="0D2C1377"/>
    <w:rsid w:val="0D301CA7"/>
    <w:rsid w:val="0D3F09CA"/>
    <w:rsid w:val="0D5C5AB2"/>
    <w:rsid w:val="0D614F04"/>
    <w:rsid w:val="0D691927"/>
    <w:rsid w:val="0D6A4C3D"/>
    <w:rsid w:val="0D6B79A8"/>
    <w:rsid w:val="0D894C89"/>
    <w:rsid w:val="0D904269"/>
    <w:rsid w:val="0D934BD1"/>
    <w:rsid w:val="0DB37F58"/>
    <w:rsid w:val="0DBD7268"/>
    <w:rsid w:val="0DCB05AE"/>
    <w:rsid w:val="0DCC335E"/>
    <w:rsid w:val="0DD878C3"/>
    <w:rsid w:val="0DF87606"/>
    <w:rsid w:val="0E04554D"/>
    <w:rsid w:val="0E0C0187"/>
    <w:rsid w:val="0E1267A4"/>
    <w:rsid w:val="0E183F30"/>
    <w:rsid w:val="0E197CD6"/>
    <w:rsid w:val="0E3C619F"/>
    <w:rsid w:val="0E4137B5"/>
    <w:rsid w:val="0E4B7C02"/>
    <w:rsid w:val="0E720AFA"/>
    <w:rsid w:val="0E760DED"/>
    <w:rsid w:val="0E94477A"/>
    <w:rsid w:val="0E9769FD"/>
    <w:rsid w:val="0E9D6BF5"/>
    <w:rsid w:val="0EA93835"/>
    <w:rsid w:val="0EBC2000"/>
    <w:rsid w:val="0EE04D7C"/>
    <w:rsid w:val="0EE07C71"/>
    <w:rsid w:val="0F143C2E"/>
    <w:rsid w:val="0F340DCE"/>
    <w:rsid w:val="0F386586"/>
    <w:rsid w:val="0F3918CC"/>
    <w:rsid w:val="0F397095"/>
    <w:rsid w:val="0F4006B3"/>
    <w:rsid w:val="0F5E2F43"/>
    <w:rsid w:val="0F817C7F"/>
    <w:rsid w:val="0F833182"/>
    <w:rsid w:val="0F904BE6"/>
    <w:rsid w:val="0FD663C6"/>
    <w:rsid w:val="0FEA3549"/>
    <w:rsid w:val="0FED06EC"/>
    <w:rsid w:val="0FF52AA9"/>
    <w:rsid w:val="10044A9B"/>
    <w:rsid w:val="1008523D"/>
    <w:rsid w:val="10190CBD"/>
    <w:rsid w:val="101C699C"/>
    <w:rsid w:val="102D14D1"/>
    <w:rsid w:val="10331BFC"/>
    <w:rsid w:val="103A56ED"/>
    <w:rsid w:val="106119F9"/>
    <w:rsid w:val="108711C7"/>
    <w:rsid w:val="109E7152"/>
    <w:rsid w:val="10A05079"/>
    <w:rsid w:val="10B669F7"/>
    <w:rsid w:val="10BB784F"/>
    <w:rsid w:val="10D355A2"/>
    <w:rsid w:val="10E20B40"/>
    <w:rsid w:val="1102722C"/>
    <w:rsid w:val="11145BF4"/>
    <w:rsid w:val="11203487"/>
    <w:rsid w:val="112E6260"/>
    <w:rsid w:val="113118BF"/>
    <w:rsid w:val="11342822"/>
    <w:rsid w:val="114E14F4"/>
    <w:rsid w:val="11512479"/>
    <w:rsid w:val="11627CCB"/>
    <w:rsid w:val="1165541F"/>
    <w:rsid w:val="117935E0"/>
    <w:rsid w:val="118640B3"/>
    <w:rsid w:val="119C587F"/>
    <w:rsid w:val="11FB35F8"/>
    <w:rsid w:val="12172B5E"/>
    <w:rsid w:val="121F52D5"/>
    <w:rsid w:val="12321665"/>
    <w:rsid w:val="123C49C0"/>
    <w:rsid w:val="124273CB"/>
    <w:rsid w:val="12440908"/>
    <w:rsid w:val="12492C39"/>
    <w:rsid w:val="125862DF"/>
    <w:rsid w:val="126741BF"/>
    <w:rsid w:val="126C7EC0"/>
    <w:rsid w:val="1277417D"/>
    <w:rsid w:val="129C3395"/>
    <w:rsid w:val="129D0E16"/>
    <w:rsid w:val="12AF0558"/>
    <w:rsid w:val="12BE7F96"/>
    <w:rsid w:val="12C17D51"/>
    <w:rsid w:val="12E00606"/>
    <w:rsid w:val="12E3738C"/>
    <w:rsid w:val="12E70400"/>
    <w:rsid w:val="12F068F7"/>
    <w:rsid w:val="12F745E0"/>
    <w:rsid w:val="12F96D8F"/>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A40A1"/>
    <w:rsid w:val="13DC2553"/>
    <w:rsid w:val="14215CAB"/>
    <w:rsid w:val="142F3F7D"/>
    <w:rsid w:val="143E367B"/>
    <w:rsid w:val="14732F9B"/>
    <w:rsid w:val="14760CCE"/>
    <w:rsid w:val="147A61A9"/>
    <w:rsid w:val="149B2B25"/>
    <w:rsid w:val="149C34F4"/>
    <w:rsid w:val="14D80741"/>
    <w:rsid w:val="15127621"/>
    <w:rsid w:val="157939BE"/>
    <w:rsid w:val="157C124F"/>
    <w:rsid w:val="15807C55"/>
    <w:rsid w:val="15836462"/>
    <w:rsid w:val="15B360ED"/>
    <w:rsid w:val="15C81668"/>
    <w:rsid w:val="15CA4090"/>
    <w:rsid w:val="15E46AEA"/>
    <w:rsid w:val="15E5196C"/>
    <w:rsid w:val="15F25C65"/>
    <w:rsid w:val="161C194F"/>
    <w:rsid w:val="162E6AF4"/>
    <w:rsid w:val="165805AA"/>
    <w:rsid w:val="167D6633"/>
    <w:rsid w:val="1695644C"/>
    <w:rsid w:val="16A6065A"/>
    <w:rsid w:val="16C7330C"/>
    <w:rsid w:val="16CE41FA"/>
    <w:rsid w:val="16E704A1"/>
    <w:rsid w:val="16E77616"/>
    <w:rsid w:val="16E80C72"/>
    <w:rsid w:val="16F06BB2"/>
    <w:rsid w:val="16F862E2"/>
    <w:rsid w:val="16FC6C2A"/>
    <w:rsid w:val="170B4961"/>
    <w:rsid w:val="171F05FA"/>
    <w:rsid w:val="172D2B29"/>
    <w:rsid w:val="17407C36"/>
    <w:rsid w:val="176159C8"/>
    <w:rsid w:val="17762075"/>
    <w:rsid w:val="1785301E"/>
    <w:rsid w:val="17867883"/>
    <w:rsid w:val="17B9407C"/>
    <w:rsid w:val="17C50F2C"/>
    <w:rsid w:val="17C57205"/>
    <w:rsid w:val="17CB2366"/>
    <w:rsid w:val="17F06755"/>
    <w:rsid w:val="180314D0"/>
    <w:rsid w:val="181F4751"/>
    <w:rsid w:val="182C2E31"/>
    <w:rsid w:val="182E1E5C"/>
    <w:rsid w:val="186407CC"/>
    <w:rsid w:val="1871686D"/>
    <w:rsid w:val="187F73B4"/>
    <w:rsid w:val="188416DE"/>
    <w:rsid w:val="188542AB"/>
    <w:rsid w:val="1888103C"/>
    <w:rsid w:val="18940F06"/>
    <w:rsid w:val="189E1726"/>
    <w:rsid w:val="18AE213F"/>
    <w:rsid w:val="18EF3A7F"/>
    <w:rsid w:val="19041E9F"/>
    <w:rsid w:val="19127489"/>
    <w:rsid w:val="19160AEA"/>
    <w:rsid w:val="19202945"/>
    <w:rsid w:val="19266EAE"/>
    <w:rsid w:val="193E61A9"/>
    <w:rsid w:val="1948000B"/>
    <w:rsid w:val="1977008B"/>
    <w:rsid w:val="19A52E4A"/>
    <w:rsid w:val="19AC41D9"/>
    <w:rsid w:val="19B175FE"/>
    <w:rsid w:val="19BA2DA6"/>
    <w:rsid w:val="19CB3F91"/>
    <w:rsid w:val="19D43730"/>
    <w:rsid w:val="19E17184"/>
    <w:rsid w:val="19E716B5"/>
    <w:rsid w:val="19FB2C3C"/>
    <w:rsid w:val="1A131D23"/>
    <w:rsid w:val="1A1B5EE6"/>
    <w:rsid w:val="1A351A94"/>
    <w:rsid w:val="1A3B188F"/>
    <w:rsid w:val="1A416618"/>
    <w:rsid w:val="1A4F4961"/>
    <w:rsid w:val="1A527E86"/>
    <w:rsid w:val="1A5F0DA7"/>
    <w:rsid w:val="1A707A6D"/>
    <w:rsid w:val="1A7A3C00"/>
    <w:rsid w:val="1A7B3880"/>
    <w:rsid w:val="1A8011C2"/>
    <w:rsid w:val="1A864FC7"/>
    <w:rsid w:val="1A967D50"/>
    <w:rsid w:val="1A970FB3"/>
    <w:rsid w:val="1AAB45F6"/>
    <w:rsid w:val="1AC35813"/>
    <w:rsid w:val="1AC83294"/>
    <w:rsid w:val="1ADC4BA2"/>
    <w:rsid w:val="1AE554AD"/>
    <w:rsid w:val="1AF205C1"/>
    <w:rsid w:val="1AF20D28"/>
    <w:rsid w:val="1AFA5418"/>
    <w:rsid w:val="1B080EE5"/>
    <w:rsid w:val="1B106349"/>
    <w:rsid w:val="1B133EBD"/>
    <w:rsid w:val="1B23371A"/>
    <w:rsid w:val="1B3F107D"/>
    <w:rsid w:val="1B423649"/>
    <w:rsid w:val="1B4A3CA9"/>
    <w:rsid w:val="1B524AC2"/>
    <w:rsid w:val="1B791B76"/>
    <w:rsid w:val="1B7D4727"/>
    <w:rsid w:val="1BAD7475"/>
    <w:rsid w:val="1BB6133F"/>
    <w:rsid w:val="1BBD3D34"/>
    <w:rsid w:val="1BBE13E9"/>
    <w:rsid w:val="1BC54211"/>
    <w:rsid w:val="1BC913BE"/>
    <w:rsid w:val="1BCC07FF"/>
    <w:rsid w:val="1BED31A7"/>
    <w:rsid w:val="1C135F20"/>
    <w:rsid w:val="1C2416AE"/>
    <w:rsid w:val="1C2D03AA"/>
    <w:rsid w:val="1C60574F"/>
    <w:rsid w:val="1C614A53"/>
    <w:rsid w:val="1C694603"/>
    <w:rsid w:val="1C9F4596"/>
    <w:rsid w:val="1CA10F93"/>
    <w:rsid w:val="1CB3587E"/>
    <w:rsid w:val="1CD56934"/>
    <w:rsid w:val="1CD94D8F"/>
    <w:rsid w:val="1CE400B3"/>
    <w:rsid w:val="1CE442E3"/>
    <w:rsid w:val="1D012A8E"/>
    <w:rsid w:val="1D0B7468"/>
    <w:rsid w:val="1D10120A"/>
    <w:rsid w:val="1D1736BA"/>
    <w:rsid w:val="1D2119DA"/>
    <w:rsid w:val="1D2530AE"/>
    <w:rsid w:val="1D383045"/>
    <w:rsid w:val="1D481945"/>
    <w:rsid w:val="1D497F91"/>
    <w:rsid w:val="1D4E6BA1"/>
    <w:rsid w:val="1D6651E0"/>
    <w:rsid w:val="1D7873C3"/>
    <w:rsid w:val="1D7F1E81"/>
    <w:rsid w:val="1D800675"/>
    <w:rsid w:val="1D9F6122"/>
    <w:rsid w:val="1DE21613"/>
    <w:rsid w:val="1DE63A32"/>
    <w:rsid w:val="1DEB189E"/>
    <w:rsid w:val="1E2B1E83"/>
    <w:rsid w:val="1E453774"/>
    <w:rsid w:val="1E4F6D9A"/>
    <w:rsid w:val="1E58492F"/>
    <w:rsid w:val="1E5B7F7C"/>
    <w:rsid w:val="1E5E5C12"/>
    <w:rsid w:val="1E7277E4"/>
    <w:rsid w:val="1E8D7EC4"/>
    <w:rsid w:val="1E9811D0"/>
    <w:rsid w:val="1EB05FC3"/>
    <w:rsid w:val="1EB06519"/>
    <w:rsid w:val="1EB3776D"/>
    <w:rsid w:val="1EB57C64"/>
    <w:rsid w:val="1EB75293"/>
    <w:rsid w:val="1EBE4AB2"/>
    <w:rsid w:val="1EBF359F"/>
    <w:rsid w:val="1ED25C61"/>
    <w:rsid w:val="1EDA17E8"/>
    <w:rsid w:val="1EDD61C5"/>
    <w:rsid w:val="1EDE506D"/>
    <w:rsid w:val="1EE456C8"/>
    <w:rsid w:val="1EEC26CC"/>
    <w:rsid w:val="1EFA23B0"/>
    <w:rsid w:val="1F0A08B1"/>
    <w:rsid w:val="1F1C3BAF"/>
    <w:rsid w:val="1F2F00D5"/>
    <w:rsid w:val="1F3031B6"/>
    <w:rsid w:val="1F375C0D"/>
    <w:rsid w:val="1F3D0CE1"/>
    <w:rsid w:val="1F444EB4"/>
    <w:rsid w:val="1F523DF3"/>
    <w:rsid w:val="1F531875"/>
    <w:rsid w:val="1F541C2F"/>
    <w:rsid w:val="1F951960"/>
    <w:rsid w:val="1FA00F50"/>
    <w:rsid w:val="1FA7260B"/>
    <w:rsid w:val="1FAD4807"/>
    <w:rsid w:val="1FBE0F24"/>
    <w:rsid w:val="1FC0629E"/>
    <w:rsid w:val="1FCA6397"/>
    <w:rsid w:val="1FCC5AE8"/>
    <w:rsid w:val="1FE0333B"/>
    <w:rsid w:val="1FEE3736"/>
    <w:rsid w:val="2034266D"/>
    <w:rsid w:val="20441BF7"/>
    <w:rsid w:val="20567811"/>
    <w:rsid w:val="206472BB"/>
    <w:rsid w:val="207B20B8"/>
    <w:rsid w:val="208F3298"/>
    <w:rsid w:val="20A70EA1"/>
    <w:rsid w:val="20AE2C72"/>
    <w:rsid w:val="20B47E17"/>
    <w:rsid w:val="20C87EE6"/>
    <w:rsid w:val="20DC38FA"/>
    <w:rsid w:val="20DF6696"/>
    <w:rsid w:val="20E0290C"/>
    <w:rsid w:val="20F31FF6"/>
    <w:rsid w:val="20FC2B2A"/>
    <w:rsid w:val="21156537"/>
    <w:rsid w:val="211A595D"/>
    <w:rsid w:val="21405B9D"/>
    <w:rsid w:val="21584C46"/>
    <w:rsid w:val="218469C1"/>
    <w:rsid w:val="21AD61D1"/>
    <w:rsid w:val="21AF6F92"/>
    <w:rsid w:val="21CC797F"/>
    <w:rsid w:val="21CE4E33"/>
    <w:rsid w:val="21FB6487"/>
    <w:rsid w:val="22511F8F"/>
    <w:rsid w:val="22590C76"/>
    <w:rsid w:val="225B5552"/>
    <w:rsid w:val="22620C72"/>
    <w:rsid w:val="226811CD"/>
    <w:rsid w:val="22753215"/>
    <w:rsid w:val="22754B37"/>
    <w:rsid w:val="22AE5F02"/>
    <w:rsid w:val="22B71369"/>
    <w:rsid w:val="22DB537E"/>
    <w:rsid w:val="22E54FD6"/>
    <w:rsid w:val="23114793"/>
    <w:rsid w:val="231B63A7"/>
    <w:rsid w:val="231F3C6E"/>
    <w:rsid w:val="23305E7B"/>
    <w:rsid w:val="23424069"/>
    <w:rsid w:val="236336C6"/>
    <w:rsid w:val="23641680"/>
    <w:rsid w:val="237B31B9"/>
    <w:rsid w:val="237C76C6"/>
    <w:rsid w:val="23B24AE2"/>
    <w:rsid w:val="23D26F32"/>
    <w:rsid w:val="23F724F4"/>
    <w:rsid w:val="241F5407"/>
    <w:rsid w:val="24207C9D"/>
    <w:rsid w:val="2432177F"/>
    <w:rsid w:val="243A6885"/>
    <w:rsid w:val="243F2C87"/>
    <w:rsid w:val="244A7E06"/>
    <w:rsid w:val="24552B00"/>
    <w:rsid w:val="24582CE4"/>
    <w:rsid w:val="246C3202"/>
    <w:rsid w:val="2483022C"/>
    <w:rsid w:val="24B351C4"/>
    <w:rsid w:val="24CD7C86"/>
    <w:rsid w:val="24F07227"/>
    <w:rsid w:val="250462EA"/>
    <w:rsid w:val="25290686"/>
    <w:rsid w:val="252D7657"/>
    <w:rsid w:val="25355DF2"/>
    <w:rsid w:val="25390605"/>
    <w:rsid w:val="253A3746"/>
    <w:rsid w:val="254D53C2"/>
    <w:rsid w:val="25583FC6"/>
    <w:rsid w:val="25671777"/>
    <w:rsid w:val="256C29A0"/>
    <w:rsid w:val="25716113"/>
    <w:rsid w:val="25752417"/>
    <w:rsid w:val="25933BDB"/>
    <w:rsid w:val="25B66BA8"/>
    <w:rsid w:val="25BC57A4"/>
    <w:rsid w:val="25C37B84"/>
    <w:rsid w:val="25E70ABF"/>
    <w:rsid w:val="25E71D3E"/>
    <w:rsid w:val="262305B8"/>
    <w:rsid w:val="262732E8"/>
    <w:rsid w:val="262E01F9"/>
    <w:rsid w:val="266E4660"/>
    <w:rsid w:val="268D24CB"/>
    <w:rsid w:val="26A45747"/>
    <w:rsid w:val="26B20955"/>
    <w:rsid w:val="26C92330"/>
    <w:rsid w:val="26CD0D37"/>
    <w:rsid w:val="26CF4594"/>
    <w:rsid w:val="271E4DAB"/>
    <w:rsid w:val="27255727"/>
    <w:rsid w:val="274759C4"/>
    <w:rsid w:val="274B7559"/>
    <w:rsid w:val="274E038B"/>
    <w:rsid w:val="275C5122"/>
    <w:rsid w:val="27700540"/>
    <w:rsid w:val="278E4F1E"/>
    <w:rsid w:val="27944F81"/>
    <w:rsid w:val="27BF157B"/>
    <w:rsid w:val="27FA6A57"/>
    <w:rsid w:val="28166B73"/>
    <w:rsid w:val="282442D9"/>
    <w:rsid w:val="284367B5"/>
    <w:rsid w:val="285718A5"/>
    <w:rsid w:val="2897342B"/>
    <w:rsid w:val="28EB4C69"/>
    <w:rsid w:val="28F865CB"/>
    <w:rsid w:val="290319E9"/>
    <w:rsid w:val="29053276"/>
    <w:rsid w:val="29250E1B"/>
    <w:rsid w:val="292A336C"/>
    <w:rsid w:val="293E52B8"/>
    <w:rsid w:val="29541D3A"/>
    <w:rsid w:val="295A53EB"/>
    <w:rsid w:val="296F3889"/>
    <w:rsid w:val="297665B1"/>
    <w:rsid w:val="29802F8C"/>
    <w:rsid w:val="29803AA3"/>
    <w:rsid w:val="29884B07"/>
    <w:rsid w:val="298957C4"/>
    <w:rsid w:val="29BD5F8E"/>
    <w:rsid w:val="29DF4E52"/>
    <w:rsid w:val="29E06B4E"/>
    <w:rsid w:val="2A1D6A45"/>
    <w:rsid w:val="2A2102CB"/>
    <w:rsid w:val="2A29653A"/>
    <w:rsid w:val="2A34492C"/>
    <w:rsid w:val="2A421663"/>
    <w:rsid w:val="2A5E3E7A"/>
    <w:rsid w:val="2A6F6EBA"/>
    <w:rsid w:val="2A774E1D"/>
    <w:rsid w:val="2A7A3C7B"/>
    <w:rsid w:val="2A830C79"/>
    <w:rsid w:val="2A8D5961"/>
    <w:rsid w:val="2AA23776"/>
    <w:rsid w:val="2AB53BA0"/>
    <w:rsid w:val="2AD11736"/>
    <w:rsid w:val="2AE65071"/>
    <w:rsid w:val="2B0E0405"/>
    <w:rsid w:val="2B1029CF"/>
    <w:rsid w:val="2B1D6E88"/>
    <w:rsid w:val="2B1F7D54"/>
    <w:rsid w:val="2B2032D9"/>
    <w:rsid w:val="2B4D51E4"/>
    <w:rsid w:val="2B5F0E77"/>
    <w:rsid w:val="2B7C00E6"/>
    <w:rsid w:val="2B7F64C1"/>
    <w:rsid w:val="2B911B8F"/>
    <w:rsid w:val="2B95320E"/>
    <w:rsid w:val="2B9809B8"/>
    <w:rsid w:val="2BA3212D"/>
    <w:rsid w:val="2BE27A8A"/>
    <w:rsid w:val="2BE7007A"/>
    <w:rsid w:val="2BEE09B1"/>
    <w:rsid w:val="2BFE408A"/>
    <w:rsid w:val="2C1749C5"/>
    <w:rsid w:val="2C234403"/>
    <w:rsid w:val="2C2F7877"/>
    <w:rsid w:val="2C916010"/>
    <w:rsid w:val="2C9762B4"/>
    <w:rsid w:val="2CA927FA"/>
    <w:rsid w:val="2CC74884"/>
    <w:rsid w:val="2CC97D88"/>
    <w:rsid w:val="2CDF0482"/>
    <w:rsid w:val="2CF54A10"/>
    <w:rsid w:val="2D22640D"/>
    <w:rsid w:val="2D2E552D"/>
    <w:rsid w:val="2D464D5F"/>
    <w:rsid w:val="2D4C0361"/>
    <w:rsid w:val="2D4E5097"/>
    <w:rsid w:val="2D592D22"/>
    <w:rsid w:val="2D8C0151"/>
    <w:rsid w:val="2D946557"/>
    <w:rsid w:val="2DA27975"/>
    <w:rsid w:val="2DB5450D"/>
    <w:rsid w:val="2DE84ADA"/>
    <w:rsid w:val="2DFB00B5"/>
    <w:rsid w:val="2E3859E0"/>
    <w:rsid w:val="2E474078"/>
    <w:rsid w:val="2E556795"/>
    <w:rsid w:val="2E637B29"/>
    <w:rsid w:val="2E681342"/>
    <w:rsid w:val="2E697CA3"/>
    <w:rsid w:val="2E6D4E98"/>
    <w:rsid w:val="2E7931EC"/>
    <w:rsid w:val="2E7B0389"/>
    <w:rsid w:val="2E855ADF"/>
    <w:rsid w:val="2E944745"/>
    <w:rsid w:val="2E9705D3"/>
    <w:rsid w:val="2E9C3022"/>
    <w:rsid w:val="2E9F2106"/>
    <w:rsid w:val="2EBC6814"/>
    <w:rsid w:val="2EBE0475"/>
    <w:rsid w:val="2EC1790D"/>
    <w:rsid w:val="2ED718A0"/>
    <w:rsid w:val="2EE23871"/>
    <w:rsid w:val="2EE71A9D"/>
    <w:rsid w:val="2EE903EF"/>
    <w:rsid w:val="2EEA0FF2"/>
    <w:rsid w:val="2EEF6BEA"/>
    <w:rsid w:val="2F1D1D68"/>
    <w:rsid w:val="2F265668"/>
    <w:rsid w:val="2F2A65B2"/>
    <w:rsid w:val="2F417725"/>
    <w:rsid w:val="2F6C2DFA"/>
    <w:rsid w:val="2F992124"/>
    <w:rsid w:val="2FAD2438"/>
    <w:rsid w:val="2FB829D9"/>
    <w:rsid w:val="2FC254E7"/>
    <w:rsid w:val="2FC51CEF"/>
    <w:rsid w:val="2FC811E9"/>
    <w:rsid w:val="2FEB66AB"/>
    <w:rsid w:val="301356D2"/>
    <w:rsid w:val="3022617D"/>
    <w:rsid w:val="303A1CAD"/>
    <w:rsid w:val="303E6666"/>
    <w:rsid w:val="30464B56"/>
    <w:rsid w:val="30473068"/>
    <w:rsid w:val="305502D9"/>
    <w:rsid w:val="30566085"/>
    <w:rsid w:val="306727B0"/>
    <w:rsid w:val="307C2C0D"/>
    <w:rsid w:val="30896BCA"/>
    <w:rsid w:val="308B4371"/>
    <w:rsid w:val="308C66BA"/>
    <w:rsid w:val="30965B9C"/>
    <w:rsid w:val="30967620"/>
    <w:rsid w:val="30A844DF"/>
    <w:rsid w:val="30BD1FE5"/>
    <w:rsid w:val="30F20773"/>
    <w:rsid w:val="30F36C74"/>
    <w:rsid w:val="30F90CD1"/>
    <w:rsid w:val="30F9318B"/>
    <w:rsid w:val="31272F44"/>
    <w:rsid w:val="312C2756"/>
    <w:rsid w:val="31605B7D"/>
    <w:rsid w:val="31662A68"/>
    <w:rsid w:val="316B62D0"/>
    <w:rsid w:val="31936105"/>
    <w:rsid w:val="319475D5"/>
    <w:rsid w:val="31A57A34"/>
    <w:rsid w:val="31AE740B"/>
    <w:rsid w:val="31B658D4"/>
    <w:rsid w:val="31B9385A"/>
    <w:rsid w:val="31D46698"/>
    <w:rsid w:val="32311DE8"/>
    <w:rsid w:val="32316E69"/>
    <w:rsid w:val="323507EE"/>
    <w:rsid w:val="325B404D"/>
    <w:rsid w:val="3264576A"/>
    <w:rsid w:val="32742ADC"/>
    <w:rsid w:val="32887E5F"/>
    <w:rsid w:val="32927883"/>
    <w:rsid w:val="329A50AF"/>
    <w:rsid w:val="329E5AD1"/>
    <w:rsid w:val="329E6A56"/>
    <w:rsid w:val="32AB5E44"/>
    <w:rsid w:val="32C02899"/>
    <w:rsid w:val="32CC51E5"/>
    <w:rsid w:val="32E6051A"/>
    <w:rsid w:val="32EB00B2"/>
    <w:rsid w:val="32F02F31"/>
    <w:rsid w:val="32F33B15"/>
    <w:rsid w:val="32F823E5"/>
    <w:rsid w:val="33026C3D"/>
    <w:rsid w:val="330B7D6A"/>
    <w:rsid w:val="332A2B6E"/>
    <w:rsid w:val="332B5568"/>
    <w:rsid w:val="33332490"/>
    <w:rsid w:val="335A3660"/>
    <w:rsid w:val="337176F8"/>
    <w:rsid w:val="33753436"/>
    <w:rsid w:val="33A40443"/>
    <w:rsid w:val="33A53EC8"/>
    <w:rsid w:val="33A718ED"/>
    <w:rsid w:val="33AA3E3F"/>
    <w:rsid w:val="33AB5DD1"/>
    <w:rsid w:val="33C259F7"/>
    <w:rsid w:val="33C61EE3"/>
    <w:rsid w:val="33EF143A"/>
    <w:rsid w:val="3402290E"/>
    <w:rsid w:val="341D5FA7"/>
    <w:rsid w:val="342D20B9"/>
    <w:rsid w:val="343B7C3F"/>
    <w:rsid w:val="3442504B"/>
    <w:rsid w:val="344A35D0"/>
    <w:rsid w:val="34873182"/>
    <w:rsid w:val="34AC6BE3"/>
    <w:rsid w:val="34EB329F"/>
    <w:rsid w:val="34F942C8"/>
    <w:rsid w:val="34FE1F7D"/>
    <w:rsid w:val="35064D89"/>
    <w:rsid w:val="350D7F97"/>
    <w:rsid w:val="3519182B"/>
    <w:rsid w:val="35266C07"/>
    <w:rsid w:val="35270865"/>
    <w:rsid w:val="3548216D"/>
    <w:rsid w:val="356F6C4A"/>
    <w:rsid w:val="359336F3"/>
    <w:rsid w:val="3594762C"/>
    <w:rsid w:val="35A87AF3"/>
    <w:rsid w:val="35AC681C"/>
    <w:rsid w:val="35C42A65"/>
    <w:rsid w:val="35FE0A87"/>
    <w:rsid w:val="36041B6D"/>
    <w:rsid w:val="3609516B"/>
    <w:rsid w:val="361B7BDC"/>
    <w:rsid w:val="362777A0"/>
    <w:rsid w:val="362B4B6B"/>
    <w:rsid w:val="364221AD"/>
    <w:rsid w:val="36627D01"/>
    <w:rsid w:val="36897B60"/>
    <w:rsid w:val="36AC6FD2"/>
    <w:rsid w:val="36AE45FE"/>
    <w:rsid w:val="36CD4F58"/>
    <w:rsid w:val="36D4159F"/>
    <w:rsid w:val="36E67798"/>
    <w:rsid w:val="36E7289C"/>
    <w:rsid w:val="36F07AD7"/>
    <w:rsid w:val="36FF0DB1"/>
    <w:rsid w:val="37067020"/>
    <w:rsid w:val="37147113"/>
    <w:rsid w:val="372649E2"/>
    <w:rsid w:val="372C02AF"/>
    <w:rsid w:val="372C59AA"/>
    <w:rsid w:val="372E2279"/>
    <w:rsid w:val="373000B7"/>
    <w:rsid w:val="37412D8C"/>
    <w:rsid w:val="37424DCB"/>
    <w:rsid w:val="377A54BF"/>
    <w:rsid w:val="377C6F06"/>
    <w:rsid w:val="37824D2F"/>
    <w:rsid w:val="37963F54"/>
    <w:rsid w:val="379A6B89"/>
    <w:rsid w:val="379D400C"/>
    <w:rsid w:val="37A2105E"/>
    <w:rsid w:val="37B7401D"/>
    <w:rsid w:val="37BF2E3D"/>
    <w:rsid w:val="37D107AA"/>
    <w:rsid w:val="37ED4E25"/>
    <w:rsid w:val="37F16A56"/>
    <w:rsid w:val="37F7095F"/>
    <w:rsid w:val="37FC4DE7"/>
    <w:rsid w:val="37FD7E74"/>
    <w:rsid w:val="38095339"/>
    <w:rsid w:val="380A6843"/>
    <w:rsid w:val="380F6006"/>
    <w:rsid w:val="38173412"/>
    <w:rsid w:val="38180E94"/>
    <w:rsid w:val="385B6485"/>
    <w:rsid w:val="385D4C77"/>
    <w:rsid w:val="38617BEC"/>
    <w:rsid w:val="38765BC6"/>
    <w:rsid w:val="38926D93"/>
    <w:rsid w:val="38B04B0E"/>
    <w:rsid w:val="38BF2926"/>
    <w:rsid w:val="38E54BBA"/>
    <w:rsid w:val="38F2407A"/>
    <w:rsid w:val="38FD54AF"/>
    <w:rsid w:val="390741E5"/>
    <w:rsid w:val="391F264A"/>
    <w:rsid w:val="39243472"/>
    <w:rsid w:val="392B2144"/>
    <w:rsid w:val="394205BC"/>
    <w:rsid w:val="3996298A"/>
    <w:rsid w:val="3997588E"/>
    <w:rsid w:val="39B46D56"/>
    <w:rsid w:val="39BE02CB"/>
    <w:rsid w:val="39C828E7"/>
    <w:rsid w:val="39CE79E2"/>
    <w:rsid w:val="39DD557C"/>
    <w:rsid w:val="39F552D0"/>
    <w:rsid w:val="39FC4298"/>
    <w:rsid w:val="39FF0D34"/>
    <w:rsid w:val="39FF4F20"/>
    <w:rsid w:val="3A1741DD"/>
    <w:rsid w:val="3A194444"/>
    <w:rsid w:val="3A4536A9"/>
    <w:rsid w:val="3A552184"/>
    <w:rsid w:val="3A60099C"/>
    <w:rsid w:val="3A7900EF"/>
    <w:rsid w:val="3A800389"/>
    <w:rsid w:val="3A800711"/>
    <w:rsid w:val="3A810CA0"/>
    <w:rsid w:val="3A96496C"/>
    <w:rsid w:val="3A9F3479"/>
    <w:rsid w:val="3ABC7EEE"/>
    <w:rsid w:val="3AC044F0"/>
    <w:rsid w:val="3AC0768C"/>
    <w:rsid w:val="3AED2009"/>
    <w:rsid w:val="3AEF063D"/>
    <w:rsid w:val="3B1771AB"/>
    <w:rsid w:val="3B1939D0"/>
    <w:rsid w:val="3B543BE4"/>
    <w:rsid w:val="3B581890"/>
    <w:rsid w:val="3BA96372"/>
    <w:rsid w:val="3BAB1C70"/>
    <w:rsid w:val="3BAB26D3"/>
    <w:rsid w:val="3BC10253"/>
    <w:rsid w:val="3BD009CC"/>
    <w:rsid w:val="3BDE0A34"/>
    <w:rsid w:val="3BE71F75"/>
    <w:rsid w:val="3BF16F66"/>
    <w:rsid w:val="3BF45BDB"/>
    <w:rsid w:val="3C0812EB"/>
    <w:rsid w:val="3C173F12"/>
    <w:rsid w:val="3C2B1FE6"/>
    <w:rsid w:val="3C3022CE"/>
    <w:rsid w:val="3C541C9F"/>
    <w:rsid w:val="3C8779B9"/>
    <w:rsid w:val="3C8B2C2B"/>
    <w:rsid w:val="3C940215"/>
    <w:rsid w:val="3C9F058C"/>
    <w:rsid w:val="3CA60B04"/>
    <w:rsid w:val="3CB74ABF"/>
    <w:rsid w:val="3CC97C4F"/>
    <w:rsid w:val="3CCA29EB"/>
    <w:rsid w:val="3CCC5DBF"/>
    <w:rsid w:val="3CD74C46"/>
    <w:rsid w:val="3D3B124C"/>
    <w:rsid w:val="3D481758"/>
    <w:rsid w:val="3D497E6A"/>
    <w:rsid w:val="3D567E34"/>
    <w:rsid w:val="3D634958"/>
    <w:rsid w:val="3D6C6B53"/>
    <w:rsid w:val="3D876102"/>
    <w:rsid w:val="3D8A01C7"/>
    <w:rsid w:val="3D8C6BB2"/>
    <w:rsid w:val="3D987150"/>
    <w:rsid w:val="3D9D71C0"/>
    <w:rsid w:val="3D9E333B"/>
    <w:rsid w:val="3DA2472E"/>
    <w:rsid w:val="3DAA6DF1"/>
    <w:rsid w:val="3DBC00BF"/>
    <w:rsid w:val="3DC1175F"/>
    <w:rsid w:val="3DCB1A6B"/>
    <w:rsid w:val="3DCD7770"/>
    <w:rsid w:val="3DE54CF5"/>
    <w:rsid w:val="3DED30AA"/>
    <w:rsid w:val="3DED5CB6"/>
    <w:rsid w:val="3DEE3528"/>
    <w:rsid w:val="3DFF671E"/>
    <w:rsid w:val="3E197BF0"/>
    <w:rsid w:val="3E3102BB"/>
    <w:rsid w:val="3E614AA5"/>
    <w:rsid w:val="3E6F652E"/>
    <w:rsid w:val="3E704F26"/>
    <w:rsid w:val="3E9049C8"/>
    <w:rsid w:val="3EB02545"/>
    <w:rsid w:val="3EB21D54"/>
    <w:rsid w:val="3EF93562"/>
    <w:rsid w:val="3F12422F"/>
    <w:rsid w:val="3F18661A"/>
    <w:rsid w:val="3F187578"/>
    <w:rsid w:val="3F464DDE"/>
    <w:rsid w:val="3F4B22F9"/>
    <w:rsid w:val="3F7512EA"/>
    <w:rsid w:val="3F7D74B7"/>
    <w:rsid w:val="3F850EA5"/>
    <w:rsid w:val="3F9730B9"/>
    <w:rsid w:val="3FBD58AF"/>
    <w:rsid w:val="3FC15168"/>
    <w:rsid w:val="3FC55901"/>
    <w:rsid w:val="3FC92B3F"/>
    <w:rsid w:val="3FC9458D"/>
    <w:rsid w:val="3FD033AD"/>
    <w:rsid w:val="3FE12547"/>
    <w:rsid w:val="3FE126FF"/>
    <w:rsid w:val="3FE23C01"/>
    <w:rsid w:val="401924B3"/>
    <w:rsid w:val="401F021A"/>
    <w:rsid w:val="40374367"/>
    <w:rsid w:val="403D0C6D"/>
    <w:rsid w:val="40411FAF"/>
    <w:rsid w:val="404148A6"/>
    <w:rsid w:val="40572AB6"/>
    <w:rsid w:val="405D3459"/>
    <w:rsid w:val="4068264C"/>
    <w:rsid w:val="407728FD"/>
    <w:rsid w:val="40983992"/>
    <w:rsid w:val="40CA0DB3"/>
    <w:rsid w:val="40D64B0A"/>
    <w:rsid w:val="40DC5CDB"/>
    <w:rsid w:val="410603FC"/>
    <w:rsid w:val="410D06B8"/>
    <w:rsid w:val="415128B5"/>
    <w:rsid w:val="4156426C"/>
    <w:rsid w:val="415D2E43"/>
    <w:rsid w:val="419C2D34"/>
    <w:rsid w:val="41A274B6"/>
    <w:rsid w:val="41B24ED8"/>
    <w:rsid w:val="41C034AF"/>
    <w:rsid w:val="41C061C4"/>
    <w:rsid w:val="42107DDD"/>
    <w:rsid w:val="42311D52"/>
    <w:rsid w:val="423931A7"/>
    <w:rsid w:val="424A712C"/>
    <w:rsid w:val="4252155E"/>
    <w:rsid w:val="4263268C"/>
    <w:rsid w:val="428C44AE"/>
    <w:rsid w:val="429441C6"/>
    <w:rsid w:val="429F7E60"/>
    <w:rsid w:val="42A66B85"/>
    <w:rsid w:val="42B615E6"/>
    <w:rsid w:val="42BC0202"/>
    <w:rsid w:val="42CB2D35"/>
    <w:rsid w:val="42D21256"/>
    <w:rsid w:val="42F759C4"/>
    <w:rsid w:val="42F77616"/>
    <w:rsid w:val="43023463"/>
    <w:rsid w:val="43144A19"/>
    <w:rsid w:val="431C38CE"/>
    <w:rsid w:val="433F0A06"/>
    <w:rsid w:val="434660D0"/>
    <w:rsid w:val="43526340"/>
    <w:rsid w:val="43554BAC"/>
    <w:rsid w:val="435A7E35"/>
    <w:rsid w:val="435D3A52"/>
    <w:rsid w:val="43770B04"/>
    <w:rsid w:val="438751EB"/>
    <w:rsid w:val="43A027A3"/>
    <w:rsid w:val="43AA1E91"/>
    <w:rsid w:val="43AF27CC"/>
    <w:rsid w:val="43BA343C"/>
    <w:rsid w:val="43DD4C6D"/>
    <w:rsid w:val="43F8127E"/>
    <w:rsid w:val="44027293"/>
    <w:rsid w:val="4428525F"/>
    <w:rsid w:val="444A0170"/>
    <w:rsid w:val="445D28B8"/>
    <w:rsid w:val="44621887"/>
    <w:rsid w:val="44667276"/>
    <w:rsid w:val="448259B3"/>
    <w:rsid w:val="44A37922"/>
    <w:rsid w:val="44B63420"/>
    <w:rsid w:val="44B71DE6"/>
    <w:rsid w:val="44B7644A"/>
    <w:rsid w:val="44BE70AA"/>
    <w:rsid w:val="44D7718A"/>
    <w:rsid w:val="44DB6B8D"/>
    <w:rsid w:val="44E16CEC"/>
    <w:rsid w:val="45561319"/>
    <w:rsid w:val="45644216"/>
    <w:rsid w:val="457E58EB"/>
    <w:rsid w:val="458845A4"/>
    <w:rsid w:val="45A13E49"/>
    <w:rsid w:val="45BC47DC"/>
    <w:rsid w:val="45DE130F"/>
    <w:rsid w:val="45DE6424"/>
    <w:rsid w:val="45F06093"/>
    <w:rsid w:val="45F8252B"/>
    <w:rsid w:val="460E227E"/>
    <w:rsid w:val="46153B79"/>
    <w:rsid w:val="461C0398"/>
    <w:rsid w:val="4625595A"/>
    <w:rsid w:val="4638050B"/>
    <w:rsid w:val="4655670F"/>
    <w:rsid w:val="46690BD8"/>
    <w:rsid w:val="469236DF"/>
    <w:rsid w:val="46CD6A3D"/>
    <w:rsid w:val="46D23AA8"/>
    <w:rsid w:val="46D446A7"/>
    <w:rsid w:val="46ED7A5B"/>
    <w:rsid w:val="46FA3181"/>
    <w:rsid w:val="47165D61"/>
    <w:rsid w:val="472055BF"/>
    <w:rsid w:val="47597EDA"/>
    <w:rsid w:val="475D1752"/>
    <w:rsid w:val="476E2F0C"/>
    <w:rsid w:val="47767BD4"/>
    <w:rsid w:val="477737C9"/>
    <w:rsid w:val="477D0471"/>
    <w:rsid w:val="479066E8"/>
    <w:rsid w:val="47B67536"/>
    <w:rsid w:val="47C22BCA"/>
    <w:rsid w:val="47E250E6"/>
    <w:rsid w:val="47E31939"/>
    <w:rsid w:val="47EB7B93"/>
    <w:rsid w:val="47FB44E3"/>
    <w:rsid w:val="47FE4FAD"/>
    <w:rsid w:val="4804332F"/>
    <w:rsid w:val="48117779"/>
    <w:rsid w:val="482374AD"/>
    <w:rsid w:val="483E6C65"/>
    <w:rsid w:val="48523ECB"/>
    <w:rsid w:val="48527D6A"/>
    <w:rsid w:val="48594C7C"/>
    <w:rsid w:val="48677399"/>
    <w:rsid w:val="48767191"/>
    <w:rsid w:val="488A747A"/>
    <w:rsid w:val="488F3EFF"/>
    <w:rsid w:val="489640A7"/>
    <w:rsid w:val="489E300A"/>
    <w:rsid w:val="48FF2FC7"/>
    <w:rsid w:val="4909055C"/>
    <w:rsid w:val="49177C78"/>
    <w:rsid w:val="492152AE"/>
    <w:rsid w:val="4955748F"/>
    <w:rsid w:val="49634005"/>
    <w:rsid w:val="49661286"/>
    <w:rsid w:val="49694B92"/>
    <w:rsid w:val="496D4E83"/>
    <w:rsid w:val="49737357"/>
    <w:rsid w:val="49AF057B"/>
    <w:rsid w:val="49E36EF3"/>
    <w:rsid w:val="4A0366CF"/>
    <w:rsid w:val="4A256483"/>
    <w:rsid w:val="4A38641F"/>
    <w:rsid w:val="4A4C47F2"/>
    <w:rsid w:val="4A4E6A63"/>
    <w:rsid w:val="4A800E57"/>
    <w:rsid w:val="4A9D32F7"/>
    <w:rsid w:val="4A9F5D83"/>
    <w:rsid w:val="4AB5099E"/>
    <w:rsid w:val="4AB52052"/>
    <w:rsid w:val="4ACD3AC6"/>
    <w:rsid w:val="4AD77C59"/>
    <w:rsid w:val="4AED6579"/>
    <w:rsid w:val="4AF859CC"/>
    <w:rsid w:val="4B3A7AE6"/>
    <w:rsid w:val="4B490F6B"/>
    <w:rsid w:val="4B5670C1"/>
    <w:rsid w:val="4B5E5853"/>
    <w:rsid w:val="4B657DEC"/>
    <w:rsid w:val="4B683B54"/>
    <w:rsid w:val="4B6B5BFE"/>
    <w:rsid w:val="4B6F63D5"/>
    <w:rsid w:val="4B8152D3"/>
    <w:rsid w:val="4B83273C"/>
    <w:rsid w:val="4B965649"/>
    <w:rsid w:val="4B9A1834"/>
    <w:rsid w:val="4BAF2CE6"/>
    <w:rsid w:val="4BB30958"/>
    <w:rsid w:val="4BBA0F4B"/>
    <w:rsid w:val="4BC03621"/>
    <w:rsid w:val="4BC06263"/>
    <w:rsid w:val="4BC22F72"/>
    <w:rsid w:val="4BD023EF"/>
    <w:rsid w:val="4BEC1DA9"/>
    <w:rsid w:val="4C1166DC"/>
    <w:rsid w:val="4C431ECB"/>
    <w:rsid w:val="4C454D9D"/>
    <w:rsid w:val="4C5F36AF"/>
    <w:rsid w:val="4C6D4FD8"/>
    <w:rsid w:val="4C956109"/>
    <w:rsid w:val="4CB12B2C"/>
    <w:rsid w:val="4CB80E4F"/>
    <w:rsid w:val="4CBC2827"/>
    <w:rsid w:val="4CC312B6"/>
    <w:rsid w:val="4CC748AA"/>
    <w:rsid w:val="4CC74F06"/>
    <w:rsid w:val="4CCE79E7"/>
    <w:rsid w:val="4CDB3BA6"/>
    <w:rsid w:val="4CDD2221"/>
    <w:rsid w:val="4CEC7C13"/>
    <w:rsid w:val="4D1737DC"/>
    <w:rsid w:val="4D225F85"/>
    <w:rsid w:val="4D297313"/>
    <w:rsid w:val="4D2E5116"/>
    <w:rsid w:val="4D4946C3"/>
    <w:rsid w:val="4D553C64"/>
    <w:rsid w:val="4D6215E1"/>
    <w:rsid w:val="4D667D39"/>
    <w:rsid w:val="4D6A6CFA"/>
    <w:rsid w:val="4D6F53B7"/>
    <w:rsid w:val="4D8C427F"/>
    <w:rsid w:val="4D9739B2"/>
    <w:rsid w:val="4D97704E"/>
    <w:rsid w:val="4DB579D1"/>
    <w:rsid w:val="4DBD70EB"/>
    <w:rsid w:val="4DC962E9"/>
    <w:rsid w:val="4DD17CC2"/>
    <w:rsid w:val="4DD51249"/>
    <w:rsid w:val="4DD76CA3"/>
    <w:rsid w:val="4E0F1F90"/>
    <w:rsid w:val="4E2F52BD"/>
    <w:rsid w:val="4E5B174E"/>
    <w:rsid w:val="4E66332D"/>
    <w:rsid w:val="4E6E459C"/>
    <w:rsid w:val="4E817FEA"/>
    <w:rsid w:val="4E98618A"/>
    <w:rsid w:val="4E9D352C"/>
    <w:rsid w:val="4EB95E17"/>
    <w:rsid w:val="4EB96475"/>
    <w:rsid w:val="4EF03291"/>
    <w:rsid w:val="4EF253F4"/>
    <w:rsid w:val="4EFB4CDF"/>
    <w:rsid w:val="4F02066C"/>
    <w:rsid w:val="4F0A4F22"/>
    <w:rsid w:val="4F226484"/>
    <w:rsid w:val="4F4F10AC"/>
    <w:rsid w:val="4F500538"/>
    <w:rsid w:val="4F5145AF"/>
    <w:rsid w:val="4F545534"/>
    <w:rsid w:val="4F6B02B8"/>
    <w:rsid w:val="4F7156E6"/>
    <w:rsid w:val="4F812B80"/>
    <w:rsid w:val="4FA43165"/>
    <w:rsid w:val="4FB6214D"/>
    <w:rsid w:val="4FF82FCD"/>
    <w:rsid w:val="4FFA116E"/>
    <w:rsid w:val="4FFA2095"/>
    <w:rsid w:val="50151DD1"/>
    <w:rsid w:val="502A1801"/>
    <w:rsid w:val="504C7A9D"/>
    <w:rsid w:val="50774392"/>
    <w:rsid w:val="509E6F0D"/>
    <w:rsid w:val="50AA42C7"/>
    <w:rsid w:val="50AB3567"/>
    <w:rsid w:val="50BF0009"/>
    <w:rsid w:val="50D41344"/>
    <w:rsid w:val="50D47596"/>
    <w:rsid w:val="50E12D24"/>
    <w:rsid w:val="50E2544B"/>
    <w:rsid w:val="50E65CE2"/>
    <w:rsid w:val="50F86113"/>
    <w:rsid w:val="511E0033"/>
    <w:rsid w:val="51202751"/>
    <w:rsid w:val="51366F1E"/>
    <w:rsid w:val="5143280B"/>
    <w:rsid w:val="51546F21"/>
    <w:rsid w:val="515D758B"/>
    <w:rsid w:val="517A638F"/>
    <w:rsid w:val="517F2D8F"/>
    <w:rsid w:val="51826FF2"/>
    <w:rsid w:val="518A1586"/>
    <w:rsid w:val="519C4558"/>
    <w:rsid w:val="51A86476"/>
    <w:rsid w:val="51B4120A"/>
    <w:rsid w:val="51B55037"/>
    <w:rsid w:val="51BF4329"/>
    <w:rsid w:val="51C8534D"/>
    <w:rsid w:val="51D05FAF"/>
    <w:rsid w:val="51D51C1A"/>
    <w:rsid w:val="51DD620D"/>
    <w:rsid w:val="51F83F85"/>
    <w:rsid w:val="52051862"/>
    <w:rsid w:val="52100AA2"/>
    <w:rsid w:val="521D37F0"/>
    <w:rsid w:val="52245275"/>
    <w:rsid w:val="52262073"/>
    <w:rsid w:val="522A5D40"/>
    <w:rsid w:val="52383444"/>
    <w:rsid w:val="52535651"/>
    <w:rsid w:val="527D78BF"/>
    <w:rsid w:val="52AB2578"/>
    <w:rsid w:val="53043BBE"/>
    <w:rsid w:val="53163533"/>
    <w:rsid w:val="53274B28"/>
    <w:rsid w:val="535C0EA9"/>
    <w:rsid w:val="537F1DE8"/>
    <w:rsid w:val="53876B42"/>
    <w:rsid w:val="539719D0"/>
    <w:rsid w:val="53AF7057"/>
    <w:rsid w:val="53E43F94"/>
    <w:rsid w:val="53EC2A4F"/>
    <w:rsid w:val="54155B02"/>
    <w:rsid w:val="541E4FD7"/>
    <w:rsid w:val="54333B92"/>
    <w:rsid w:val="5444354A"/>
    <w:rsid w:val="544D7D8B"/>
    <w:rsid w:val="545F7AE6"/>
    <w:rsid w:val="546F31E6"/>
    <w:rsid w:val="547A6B2A"/>
    <w:rsid w:val="547C67AB"/>
    <w:rsid w:val="54905ECA"/>
    <w:rsid w:val="54AA3DF7"/>
    <w:rsid w:val="54C51909"/>
    <w:rsid w:val="54CA432C"/>
    <w:rsid w:val="54D049E4"/>
    <w:rsid w:val="54E44ED6"/>
    <w:rsid w:val="54F16968"/>
    <w:rsid w:val="54F75F49"/>
    <w:rsid w:val="55172FA4"/>
    <w:rsid w:val="551D6AF9"/>
    <w:rsid w:val="55352AE2"/>
    <w:rsid w:val="554D7917"/>
    <w:rsid w:val="556324F2"/>
    <w:rsid w:val="556734E4"/>
    <w:rsid w:val="55A60ADC"/>
    <w:rsid w:val="55BB0C21"/>
    <w:rsid w:val="55D857C5"/>
    <w:rsid w:val="55FD4D03"/>
    <w:rsid w:val="5617074A"/>
    <w:rsid w:val="56253A26"/>
    <w:rsid w:val="5638334C"/>
    <w:rsid w:val="56725887"/>
    <w:rsid w:val="56780FF9"/>
    <w:rsid w:val="567A0BDF"/>
    <w:rsid w:val="567E5DD0"/>
    <w:rsid w:val="56870578"/>
    <w:rsid w:val="568F259A"/>
    <w:rsid w:val="569241C0"/>
    <w:rsid w:val="56973027"/>
    <w:rsid w:val="56A1616C"/>
    <w:rsid w:val="56A33B67"/>
    <w:rsid w:val="56A40E03"/>
    <w:rsid w:val="56B6734F"/>
    <w:rsid w:val="56C45A8D"/>
    <w:rsid w:val="56E20A0E"/>
    <w:rsid w:val="57034731"/>
    <w:rsid w:val="5737516A"/>
    <w:rsid w:val="57431AE0"/>
    <w:rsid w:val="576A2A02"/>
    <w:rsid w:val="576E6AFE"/>
    <w:rsid w:val="57730A91"/>
    <w:rsid w:val="57736809"/>
    <w:rsid w:val="57875EED"/>
    <w:rsid w:val="57A27BD5"/>
    <w:rsid w:val="57C762A2"/>
    <w:rsid w:val="57D63790"/>
    <w:rsid w:val="57DE6F4C"/>
    <w:rsid w:val="57F55ADD"/>
    <w:rsid w:val="58005114"/>
    <w:rsid w:val="5812512F"/>
    <w:rsid w:val="58207565"/>
    <w:rsid w:val="58402143"/>
    <w:rsid w:val="58482E44"/>
    <w:rsid w:val="586A7801"/>
    <w:rsid w:val="588C140C"/>
    <w:rsid w:val="58A00649"/>
    <w:rsid w:val="58B21650"/>
    <w:rsid w:val="58C00F3E"/>
    <w:rsid w:val="58C21630"/>
    <w:rsid w:val="58C838B7"/>
    <w:rsid w:val="58C919AA"/>
    <w:rsid w:val="58D046C7"/>
    <w:rsid w:val="5909508D"/>
    <w:rsid w:val="59103E6F"/>
    <w:rsid w:val="591A7E3E"/>
    <w:rsid w:val="59373C72"/>
    <w:rsid w:val="5945207E"/>
    <w:rsid w:val="595B4F2E"/>
    <w:rsid w:val="596C42A4"/>
    <w:rsid w:val="596D221D"/>
    <w:rsid w:val="597C0DDC"/>
    <w:rsid w:val="59A237B5"/>
    <w:rsid w:val="59A77712"/>
    <w:rsid w:val="59B02759"/>
    <w:rsid w:val="59BB1BC6"/>
    <w:rsid w:val="59D32AE1"/>
    <w:rsid w:val="59E11E05"/>
    <w:rsid w:val="59E6628D"/>
    <w:rsid w:val="59FD262F"/>
    <w:rsid w:val="5A144EA7"/>
    <w:rsid w:val="5A192B9D"/>
    <w:rsid w:val="5A2943BC"/>
    <w:rsid w:val="5A706348"/>
    <w:rsid w:val="5A72604D"/>
    <w:rsid w:val="5A743572"/>
    <w:rsid w:val="5A7F77CE"/>
    <w:rsid w:val="5A9F56BB"/>
    <w:rsid w:val="5AA20C09"/>
    <w:rsid w:val="5ABC5F71"/>
    <w:rsid w:val="5AF81EC0"/>
    <w:rsid w:val="5AF8422D"/>
    <w:rsid w:val="5B0B05EE"/>
    <w:rsid w:val="5B0E4DAE"/>
    <w:rsid w:val="5B0E6862"/>
    <w:rsid w:val="5B3B553A"/>
    <w:rsid w:val="5B4361C9"/>
    <w:rsid w:val="5B47134C"/>
    <w:rsid w:val="5B58464F"/>
    <w:rsid w:val="5B7831A0"/>
    <w:rsid w:val="5B8509D1"/>
    <w:rsid w:val="5B90297B"/>
    <w:rsid w:val="5BC70423"/>
    <w:rsid w:val="5BD04209"/>
    <w:rsid w:val="5BF154A0"/>
    <w:rsid w:val="5BFC7B76"/>
    <w:rsid w:val="5C076A71"/>
    <w:rsid w:val="5C11606C"/>
    <w:rsid w:val="5C4E0A2D"/>
    <w:rsid w:val="5C524815"/>
    <w:rsid w:val="5C64452B"/>
    <w:rsid w:val="5C695FAC"/>
    <w:rsid w:val="5C767840"/>
    <w:rsid w:val="5C7719CE"/>
    <w:rsid w:val="5C8E79BD"/>
    <w:rsid w:val="5C9407AC"/>
    <w:rsid w:val="5C981DBF"/>
    <w:rsid w:val="5CAD579C"/>
    <w:rsid w:val="5CE96177"/>
    <w:rsid w:val="5D23703E"/>
    <w:rsid w:val="5D2719C9"/>
    <w:rsid w:val="5D2773E7"/>
    <w:rsid w:val="5D285026"/>
    <w:rsid w:val="5D373386"/>
    <w:rsid w:val="5D5C0E3F"/>
    <w:rsid w:val="5D5D2953"/>
    <w:rsid w:val="5D5E619D"/>
    <w:rsid w:val="5D697358"/>
    <w:rsid w:val="5D747A99"/>
    <w:rsid w:val="5D9249ED"/>
    <w:rsid w:val="5D965719"/>
    <w:rsid w:val="5DA1646B"/>
    <w:rsid w:val="5DB03139"/>
    <w:rsid w:val="5DC32A29"/>
    <w:rsid w:val="5DDB1F64"/>
    <w:rsid w:val="5DDC5DDB"/>
    <w:rsid w:val="5DE55498"/>
    <w:rsid w:val="5DF04FFA"/>
    <w:rsid w:val="5DF905DA"/>
    <w:rsid w:val="5E063C72"/>
    <w:rsid w:val="5E19167C"/>
    <w:rsid w:val="5E1B1BFB"/>
    <w:rsid w:val="5E2E51B3"/>
    <w:rsid w:val="5E3653EC"/>
    <w:rsid w:val="5E3C01D4"/>
    <w:rsid w:val="5E5166CA"/>
    <w:rsid w:val="5E6F443D"/>
    <w:rsid w:val="5E70354F"/>
    <w:rsid w:val="5E757AFE"/>
    <w:rsid w:val="5E781EA8"/>
    <w:rsid w:val="5E7E38A5"/>
    <w:rsid w:val="5E802B0B"/>
    <w:rsid w:val="5E8C7523"/>
    <w:rsid w:val="5E94632E"/>
    <w:rsid w:val="5E9C2B92"/>
    <w:rsid w:val="5EA65556"/>
    <w:rsid w:val="5EA762EA"/>
    <w:rsid w:val="5F0B6E89"/>
    <w:rsid w:val="5F111534"/>
    <w:rsid w:val="5F2A6E35"/>
    <w:rsid w:val="5F3A0F0C"/>
    <w:rsid w:val="5F5E606D"/>
    <w:rsid w:val="5F615C7D"/>
    <w:rsid w:val="5F81073D"/>
    <w:rsid w:val="5FA840C8"/>
    <w:rsid w:val="5FB20DDC"/>
    <w:rsid w:val="5FBC6FFC"/>
    <w:rsid w:val="5FCE7044"/>
    <w:rsid w:val="5FD91B32"/>
    <w:rsid w:val="5FDA625F"/>
    <w:rsid w:val="5FDE3D1C"/>
    <w:rsid w:val="5FEB36B0"/>
    <w:rsid w:val="600037C3"/>
    <w:rsid w:val="60070235"/>
    <w:rsid w:val="600B76B1"/>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EE316A"/>
    <w:rsid w:val="60F765D6"/>
    <w:rsid w:val="60FD3BD2"/>
    <w:rsid w:val="61273959"/>
    <w:rsid w:val="61402D8F"/>
    <w:rsid w:val="616020F1"/>
    <w:rsid w:val="61954924"/>
    <w:rsid w:val="619B0A4D"/>
    <w:rsid w:val="619E6915"/>
    <w:rsid w:val="619F45F8"/>
    <w:rsid w:val="61BC5698"/>
    <w:rsid w:val="61C05E29"/>
    <w:rsid w:val="61C4413E"/>
    <w:rsid w:val="61C918FB"/>
    <w:rsid w:val="61E220CA"/>
    <w:rsid w:val="620B4DE2"/>
    <w:rsid w:val="620F48D2"/>
    <w:rsid w:val="621F3A28"/>
    <w:rsid w:val="622D4D58"/>
    <w:rsid w:val="623817CD"/>
    <w:rsid w:val="623D05EF"/>
    <w:rsid w:val="625671C6"/>
    <w:rsid w:val="626D5F1F"/>
    <w:rsid w:val="62774225"/>
    <w:rsid w:val="627E2DFB"/>
    <w:rsid w:val="628D5A05"/>
    <w:rsid w:val="629635F2"/>
    <w:rsid w:val="62B9713E"/>
    <w:rsid w:val="62BB4CFB"/>
    <w:rsid w:val="62DB156F"/>
    <w:rsid w:val="62E35C5C"/>
    <w:rsid w:val="62EA49F7"/>
    <w:rsid w:val="63061303"/>
    <w:rsid w:val="6308602C"/>
    <w:rsid w:val="631B2082"/>
    <w:rsid w:val="6324615B"/>
    <w:rsid w:val="63655BF1"/>
    <w:rsid w:val="63793840"/>
    <w:rsid w:val="6381414F"/>
    <w:rsid w:val="639869FA"/>
    <w:rsid w:val="639D4CF9"/>
    <w:rsid w:val="63A6496D"/>
    <w:rsid w:val="63A83FEC"/>
    <w:rsid w:val="63D92053"/>
    <w:rsid w:val="63E37B79"/>
    <w:rsid w:val="63FC1B88"/>
    <w:rsid w:val="63FF5094"/>
    <w:rsid w:val="64035403"/>
    <w:rsid w:val="642B1E03"/>
    <w:rsid w:val="642E206A"/>
    <w:rsid w:val="64316389"/>
    <w:rsid w:val="64334D4A"/>
    <w:rsid w:val="644D4301"/>
    <w:rsid w:val="6477289B"/>
    <w:rsid w:val="649176C0"/>
    <w:rsid w:val="64987293"/>
    <w:rsid w:val="649E57C1"/>
    <w:rsid w:val="64A11F98"/>
    <w:rsid w:val="64B0249D"/>
    <w:rsid w:val="64D179F6"/>
    <w:rsid w:val="64D442AC"/>
    <w:rsid w:val="64EE5352"/>
    <w:rsid w:val="64FD012C"/>
    <w:rsid w:val="64FE6EBF"/>
    <w:rsid w:val="650401CF"/>
    <w:rsid w:val="65040F88"/>
    <w:rsid w:val="65256ED5"/>
    <w:rsid w:val="65357ADE"/>
    <w:rsid w:val="653D52DC"/>
    <w:rsid w:val="655373D5"/>
    <w:rsid w:val="657A0FFC"/>
    <w:rsid w:val="65837118"/>
    <w:rsid w:val="6593581A"/>
    <w:rsid w:val="659F7D1B"/>
    <w:rsid w:val="65A300A1"/>
    <w:rsid w:val="65CF7598"/>
    <w:rsid w:val="65DB5C3D"/>
    <w:rsid w:val="65DC330D"/>
    <w:rsid w:val="65ED11DD"/>
    <w:rsid w:val="65F00576"/>
    <w:rsid w:val="66126967"/>
    <w:rsid w:val="66187927"/>
    <w:rsid w:val="66383CCB"/>
    <w:rsid w:val="66780DEE"/>
    <w:rsid w:val="668E1E21"/>
    <w:rsid w:val="66926F8C"/>
    <w:rsid w:val="66966882"/>
    <w:rsid w:val="66A504F5"/>
    <w:rsid w:val="66A7157D"/>
    <w:rsid w:val="66B703DE"/>
    <w:rsid w:val="66D51A3C"/>
    <w:rsid w:val="66F269C9"/>
    <w:rsid w:val="67285BDC"/>
    <w:rsid w:val="673D5663"/>
    <w:rsid w:val="6757733A"/>
    <w:rsid w:val="6759381B"/>
    <w:rsid w:val="67600C28"/>
    <w:rsid w:val="67C1521F"/>
    <w:rsid w:val="67C541F4"/>
    <w:rsid w:val="67D41EE5"/>
    <w:rsid w:val="67D5211A"/>
    <w:rsid w:val="67D975ED"/>
    <w:rsid w:val="67E1461B"/>
    <w:rsid w:val="67FB2FC2"/>
    <w:rsid w:val="67FB3202"/>
    <w:rsid w:val="67FC180B"/>
    <w:rsid w:val="6838125F"/>
    <w:rsid w:val="684E7153"/>
    <w:rsid w:val="68535A2D"/>
    <w:rsid w:val="68572B2F"/>
    <w:rsid w:val="685A46C3"/>
    <w:rsid w:val="685C4343"/>
    <w:rsid w:val="68872F66"/>
    <w:rsid w:val="689070BF"/>
    <w:rsid w:val="68942469"/>
    <w:rsid w:val="68996F46"/>
    <w:rsid w:val="68A270B1"/>
    <w:rsid w:val="68A65066"/>
    <w:rsid w:val="68E63EB3"/>
    <w:rsid w:val="69180510"/>
    <w:rsid w:val="69522C18"/>
    <w:rsid w:val="6975567D"/>
    <w:rsid w:val="699D0A15"/>
    <w:rsid w:val="69A41F02"/>
    <w:rsid w:val="69A85914"/>
    <w:rsid w:val="69B354E1"/>
    <w:rsid w:val="69B54893"/>
    <w:rsid w:val="69CA3513"/>
    <w:rsid w:val="69CD6B71"/>
    <w:rsid w:val="69D4612E"/>
    <w:rsid w:val="69F0666F"/>
    <w:rsid w:val="69FA018D"/>
    <w:rsid w:val="6A25465E"/>
    <w:rsid w:val="6A31115D"/>
    <w:rsid w:val="6A530131"/>
    <w:rsid w:val="6A572716"/>
    <w:rsid w:val="6A732B1A"/>
    <w:rsid w:val="6A87076D"/>
    <w:rsid w:val="6A9421CF"/>
    <w:rsid w:val="6A9454E3"/>
    <w:rsid w:val="6A945F72"/>
    <w:rsid w:val="6AA3205B"/>
    <w:rsid w:val="6AA47B81"/>
    <w:rsid w:val="6ACF2D0F"/>
    <w:rsid w:val="6AD51554"/>
    <w:rsid w:val="6ADD27C8"/>
    <w:rsid w:val="6AFC23BD"/>
    <w:rsid w:val="6AFF188E"/>
    <w:rsid w:val="6B030F7C"/>
    <w:rsid w:val="6B1F5D43"/>
    <w:rsid w:val="6B287CCA"/>
    <w:rsid w:val="6B2B0A7A"/>
    <w:rsid w:val="6B37191E"/>
    <w:rsid w:val="6B3724F2"/>
    <w:rsid w:val="6B3B6738"/>
    <w:rsid w:val="6B447D73"/>
    <w:rsid w:val="6B4D0219"/>
    <w:rsid w:val="6B607F4C"/>
    <w:rsid w:val="6B640321"/>
    <w:rsid w:val="6B67752D"/>
    <w:rsid w:val="6B756B33"/>
    <w:rsid w:val="6BA33D44"/>
    <w:rsid w:val="6BB55287"/>
    <w:rsid w:val="6BDD77EF"/>
    <w:rsid w:val="6C120F5B"/>
    <w:rsid w:val="6C332D06"/>
    <w:rsid w:val="6C356159"/>
    <w:rsid w:val="6C3A4C18"/>
    <w:rsid w:val="6C4068D5"/>
    <w:rsid w:val="6C554EC8"/>
    <w:rsid w:val="6C586C5D"/>
    <w:rsid w:val="6C5E35D9"/>
    <w:rsid w:val="6C627C1D"/>
    <w:rsid w:val="6C6E0D72"/>
    <w:rsid w:val="6C79385B"/>
    <w:rsid w:val="6C8568B5"/>
    <w:rsid w:val="6CAB51F7"/>
    <w:rsid w:val="6CB00C5D"/>
    <w:rsid w:val="6CCB7647"/>
    <w:rsid w:val="6D0441AB"/>
    <w:rsid w:val="6D0446EE"/>
    <w:rsid w:val="6D1B140E"/>
    <w:rsid w:val="6D481945"/>
    <w:rsid w:val="6D524B22"/>
    <w:rsid w:val="6D60667F"/>
    <w:rsid w:val="6D6650F6"/>
    <w:rsid w:val="6D6D32A5"/>
    <w:rsid w:val="6D96704E"/>
    <w:rsid w:val="6D9B51DF"/>
    <w:rsid w:val="6E6A491D"/>
    <w:rsid w:val="6E9A6491"/>
    <w:rsid w:val="6EAE6CA6"/>
    <w:rsid w:val="6EBA5637"/>
    <w:rsid w:val="6EBD1FEB"/>
    <w:rsid w:val="6EBD65BB"/>
    <w:rsid w:val="6ECD14C3"/>
    <w:rsid w:val="6ED609B9"/>
    <w:rsid w:val="6EF06A3A"/>
    <w:rsid w:val="6EF36A95"/>
    <w:rsid w:val="6F1E315D"/>
    <w:rsid w:val="6F231086"/>
    <w:rsid w:val="6F2C1077"/>
    <w:rsid w:val="6F4412DE"/>
    <w:rsid w:val="6F4831D1"/>
    <w:rsid w:val="6F525DFE"/>
    <w:rsid w:val="6F6649B1"/>
    <w:rsid w:val="6F8754C1"/>
    <w:rsid w:val="6FAA2D41"/>
    <w:rsid w:val="6FAB6244"/>
    <w:rsid w:val="6FB01FF6"/>
    <w:rsid w:val="6FEC5DB0"/>
    <w:rsid w:val="6FF653BE"/>
    <w:rsid w:val="700E441B"/>
    <w:rsid w:val="702D3037"/>
    <w:rsid w:val="703379DD"/>
    <w:rsid w:val="704915C5"/>
    <w:rsid w:val="70774D12"/>
    <w:rsid w:val="70854008"/>
    <w:rsid w:val="708A15DA"/>
    <w:rsid w:val="70A00296"/>
    <w:rsid w:val="70B94AEA"/>
    <w:rsid w:val="70D07922"/>
    <w:rsid w:val="70D32F6E"/>
    <w:rsid w:val="70E17706"/>
    <w:rsid w:val="70F21646"/>
    <w:rsid w:val="70F83DE3"/>
    <w:rsid w:val="71170489"/>
    <w:rsid w:val="712944B7"/>
    <w:rsid w:val="713118C3"/>
    <w:rsid w:val="71456AD4"/>
    <w:rsid w:val="71772037"/>
    <w:rsid w:val="71902C0D"/>
    <w:rsid w:val="71E84DCD"/>
    <w:rsid w:val="720F23F1"/>
    <w:rsid w:val="72266C97"/>
    <w:rsid w:val="72422A05"/>
    <w:rsid w:val="72511D57"/>
    <w:rsid w:val="72525910"/>
    <w:rsid w:val="7272141E"/>
    <w:rsid w:val="72920575"/>
    <w:rsid w:val="729A51BF"/>
    <w:rsid w:val="72C31F67"/>
    <w:rsid w:val="72F36FA5"/>
    <w:rsid w:val="73075151"/>
    <w:rsid w:val="730F2443"/>
    <w:rsid w:val="73487C44"/>
    <w:rsid w:val="738A19B2"/>
    <w:rsid w:val="73986D48"/>
    <w:rsid w:val="73DC14A1"/>
    <w:rsid w:val="73E3664B"/>
    <w:rsid w:val="74221866"/>
    <w:rsid w:val="74460C31"/>
    <w:rsid w:val="745948C9"/>
    <w:rsid w:val="74782083"/>
    <w:rsid w:val="74786307"/>
    <w:rsid w:val="74864AE5"/>
    <w:rsid w:val="74933140"/>
    <w:rsid w:val="74B36971"/>
    <w:rsid w:val="74C01A29"/>
    <w:rsid w:val="74C62724"/>
    <w:rsid w:val="74F00783"/>
    <w:rsid w:val="74F21A8E"/>
    <w:rsid w:val="74F23FC5"/>
    <w:rsid w:val="75092D2E"/>
    <w:rsid w:val="750D091A"/>
    <w:rsid w:val="751C2AB7"/>
    <w:rsid w:val="751F35C6"/>
    <w:rsid w:val="7521074C"/>
    <w:rsid w:val="752124FA"/>
    <w:rsid w:val="752673FA"/>
    <w:rsid w:val="75445278"/>
    <w:rsid w:val="75616D9B"/>
    <w:rsid w:val="756D2420"/>
    <w:rsid w:val="757A60AE"/>
    <w:rsid w:val="757D4451"/>
    <w:rsid w:val="75842A89"/>
    <w:rsid w:val="75D21089"/>
    <w:rsid w:val="75D33B60"/>
    <w:rsid w:val="75D62561"/>
    <w:rsid w:val="75DA47EA"/>
    <w:rsid w:val="75DC446A"/>
    <w:rsid w:val="75EB0030"/>
    <w:rsid w:val="75FB2A78"/>
    <w:rsid w:val="75FC2BB5"/>
    <w:rsid w:val="7608635A"/>
    <w:rsid w:val="760B1736"/>
    <w:rsid w:val="761E2EDE"/>
    <w:rsid w:val="764346F2"/>
    <w:rsid w:val="76764547"/>
    <w:rsid w:val="767A1884"/>
    <w:rsid w:val="7681376B"/>
    <w:rsid w:val="76BB18DA"/>
    <w:rsid w:val="76CE66B2"/>
    <w:rsid w:val="76E7048B"/>
    <w:rsid w:val="76F57F48"/>
    <w:rsid w:val="76F679B7"/>
    <w:rsid w:val="771405C6"/>
    <w:rsid w:val="77186802"/>
    <w:rsid w:val="77230004"/>
    <w:rsid w:val="77244002"/>
    <w:rsid w:val="774626EC"/>
    <w:rsid w:val="7759121E"/>
    <w:rsid w:val="776817C4"/>
    <w:rsid w:val="77787CC7"/>
    <w:rsid w:val="77844FC2"/>
    <w:rsid w:val="778C19C1"/>
    <w:rsid w:val="77BA4E88"/>
    <w:rsid w:val="77BB147D"/>
    <w:rsid w:val="77DE7388"/>
    <w:rsid w:val="77E617D9"/>
    <w:rsid w:val="78123276"/>
    <w:rsid w:val="781B6350"/>
    <w:rsid w:val="782A528E"/>
    <w:rsid w:val="783853A3"/>
    <w:rsid w:val="784234F5"/>
    <w:rsid w:val="78606B54"/>
    <w:rsid w:val="78661D77"/>
    <w:rsid w:val="787542C9"/>
    <w:rsid w:val="787C4A52"/>
    <w:rsid w:val="787D1A38"/>
    <w:rsid w:val="78833D88"/>
    <w:rsid w:val="78970D25"/>
    <w:rsid w:val="78C70562"/>
    <w:rsid w:val="78D86532"/>
    <w:rsid w:val="78F148D9"/>
    <w:rsid w:val="78FC74B6"/>
    <w:rsid w:val="7908482C"/>
    <w:rsid w:val="792279DB"/>
    <w:rsid w:val="792E74DB"/>
    <w:rsid w:val="7948489C"/>
    <w:rsid w:val="795A56A5"/>
    <w:rsid w:val="797C1AA1"/>
    <w:rsid w:val="79A731EA"/>
    <w:rsid w:val="79AB2C72"/>
    <w:rsid w:val="79B25E17"/>
    <w:rsid w:val="79BB4445"/>
    <w:rsid w:val="7A2E4173"/>
    <w:rsid w:val="7A492DB0"/>
    <w:rsid w:val="7A6A2399"/>
    <w:rsid w:val="7A6F26A9"/>
    <w:rsid w:val="7A934CC7"/>
    <w:rsid w:val="7AAD65DE"/>
    <w:rsid w:val="7AAD7251"/>
    <w:rsid w:val="7AAE4CD2"/>
    <w:rsid w:val="7AB93CAD"/>
    <w:rsid w:val="7AC027B5"/>
    <w:rsid w:val="7ACC2F08"/>
    <w:rsid w:val="7AD43747"/>
    <w:rsid w:val="7ADD5745"/>
    <w:rsid w:val="7AFB7263"/>
    <w:rsid w:val="7B062FF2"/>
    <w:rsid w:val="7B4771D3"/>
    <w:rsid w:val="7B4969DA"/>
    <w:rsid w:val="7B4B57FE"/>
    <w:rsid w:val="7B695405"/>
    <w:rsid w:val="7B6B0909"/>
    <w:rsid w:val="7BBA7BC4"/>
    <w:rsid w:val="7BC02A7A"/>
    <w:rsid w:val="7BC31525"/>
    <w:rsid w:val="7BF42DEB"/>
    <w:rsid w:val="7BF444AB"/>
    <w:rsid w:val="7BFE0356"/>
    <w:rsid w:val="7C050FEE"/>
    <w:rsid w:val="7C152DB6"/>
    <w:rsid w:val="7C1F696C"/>
    <w:rsid w:val="7C241FA4"/>
    <w:rsid w:val="7C2B567E"/>
    <w:rsid w:val="7C2F7F24"/>
    <w:rsid w:val="7C3D0C61"/>
    <w:rsid w:val="7C4F6127"/>
    <w:rsid w:val="7C557027"/>
    <w:rsid w:val="7C705B15"/>
    <w:rsid w:val="7C743857"/>
    <w:rsid w:val="7C7524A0"/>
    <w:rsid w:val="7C774202"/>
    <w:rsid w:val="7C8F51E8"/>
    <w:rsid w:val="7CC2473D"/>
    <w:rsid w:val="7CF32D47"/>
    <w:rsid w:val="7CF47DC4"/>
    <w:rsid w:val="7D2D7E4F"/>
    <w:rsid w:val="7D3763C6"/>
    <w:rsid w:val="7D3D1C6F"/>
    <w:rsid w:val="7D574C31"/>
    <w:rsid w:val="7D7D2444"/>
    <w:rsid w:val="7DC17AA5"/>
    <w:rsid w:val="7DC225BC"/>
    <w:rsid w:val="7DD947CA"/>
    <w:rsid w:val="7DD949C1"/>
    <w:rsid w:val="7E0405CD"/>
    <w:rsid w:val="7E3F400C"/>
    <w:rsid w:val="7E3F5C67"/>
    <w:rsid w:val="7E485A8B"/>
    <w:rsid w:val="7E710432"/>
    <w:rsid w:val="7E723DC7"/>
    <w:rsid w:val="7E784FFE"/>
    <w:rsid w:val="7E985A2E"/>
    <w:rsid w:val="7EAF56A8"/>
    <w:rsid w:val="7EBF2EFE"/>
    <w:rsid w:val="7F0D36A8"/>
    <w:rsid w:val="7F0D6F9B"/>
    <w:rsid w:val="7F267E5E"/>
    <w:rsid w:val="7F315A30"/>
    <w:rsid w:val="7F511034"/>
    <w:rsid w:val="7F531E4A"/>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13659</Words>
  <Characters>14282</Characters>
  <Lines>120</Lines>
  <Paragraphs>34</Paragraphs>
  <TotalTime>8</TotalTime>
  <ScaleCrop>false</ScaleCrop>
  <LinksUpToDate>false</LinksUpToDate>
  <CharactersWithSpaces>15040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杨喜笑</cp:lastModifiedBy>
  <cp:lastPrinted>2019-09-10T07:16:00Z</cp:lastPrinted>
  <dcterms:modified xsi:type="dcterms:W3CDTF">2022-12-13T11:20:43Z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7C874A77AA8D4DEBB146A54206B9C58F</vt:lpwstr>
  </property>
</Properties>
</file>