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bCs/>
          <w:sz w:val="52"/>
          <w:szCs w:val="52"/>
          <w:u w:val="none"/>
        </w:rPr>
      </w:pPr>
      <w:r>
        <w:rPr>
          <w:rFonts w:hint="eastAsia" w:hAnsi="宋体"/>
          <w:b/>
          <w:sz w:val="52"/>
          <w:szCs w:val="52"/>
          <w:u w:val="none"/>
        </w:rPr>
        <w:t>长沙市轨道交通运营有限公司</w:t>
      </w:r>
    </w:p>
    <w:p>
      <w:pPr>
        <w:pStyle w:val="25"/>
        <w:adjustRightInd w:val="0"/>
        <w:snapToGrid w:val="0"/>
        <w:spacing w:line="360" w:lineRule="auto"/>
        <w:jc w:val="center"/>
        <w:rPr>
          <w:rFonts w:hAnsi="宋体"/>
          <w:b/>
          <w:sz w:val="52"/>
          <w:szCs w:val="52"/>
          <w:u w:val="none"/>
        </w:rPr>
      </w:pPr>
      <w:r>
        <w:rPr>
          <w:rFonts w:hint="eastAsia" w:hAnsi="宋体"/>
          <w:b/>
          <w:sz w:val="52"/>
          <w:szCs w:val="52"/>
          <w:u w:val="none"/>
        </w:rPr>
        <w:t>自主竞争性谈判文件</w:t>
      </w:r>
    </w:p>
    <w:p>
      <w:pPr>
        <w:pStyle w:val="25"/>
        <w:adjustRightInd w:val="0"/>
        <w:snapToGrid w:val="0"/>
        <w:spacing w:before="159" w:beforeLines="50" w:line="360" w:lineRule="auto"/>
        <w:rPr>
          <w:b/>
          <w:sz w:val="32"/>
          <w:szCs w:val="32"/>
          <w:u w:val="none"/>
        </w:rPr>
      </w:pPr>
    </w:p>
    <w:p>
      <w:pPr>
        <w:pStyle w:val="25"/>
        <w:adjustRightInd w:val="0"/>
        <w:snapToGrid w:val="0"/>
        <w:spacing w:line="360" w:lineRule="auto"/>
        <w:rPr>
          <w:rFonts w:ascii="华文中宋" w:hAnsi="华文中宋" w:eastAsia="华文中宋"/>
          <w:sz w:val="32"/>
          <w:szCs w:val="32"/>
          <w:u w:val="none"/>
        </w:rPr>
      </w:pPr>
    </w:p>
    <w:p>
      <w:pPr>
        <w:spacing w:line="360" w:lineRule="auto"/>
        <w:ind w:firstLine="321" w:firstLineChars="100"/>
        <w:rPr>
          <w:rFonts w:ascii="宋体" w:hAnsi="宋体" w:cs="Courier New"/>
          <w:b/>
          <w:sz w:val="32"/>
          <w:szCs w:val="21"/>
          <w:u w:val="single"/>
        </w:rPr>
      </w:pPr>
      <w:r>
        <w:rPr>
          <w:rFonts w:hint="eastAsia" w:ascii="宋体" w:hAnsi="宋体" w:cs="Courier New"/>
          <w:b/>
          <w:sz w:val="32"/>
          <w:szCs w:val="21"/>
          <w:u w:val="none"/>
        </w:rPr>
        <w:t>谈判项目名称：</w:t>
      </w:r>
      <w:r>
        <w:rPr>
          <w:rFonts w:hint="eastAsia" w:ascii="宋体" w:hAnsi="宋体" w:cs="Courier New"/>
          <w:b/>
          <w:sz w:val="32"/>
          <w:szCs w:val="21"/>
          <w:u w:val="single"/>
        </w:rPr>
        <w:t>长沙市轨道交通1、2、3、4、5号线运营期2022年-2023年代理购电服务项目</w:t>
      </w:r>
    </w:p>
    <w:p>
      <w:pPr>
        <w:spacing w:line="360" w:lineRule="auto"/>
        <w:ind w:left="2240" w:firstLine="321" w:firstLineChars="100"/>
        <w:jc w:val="left"/>
        <w:rPr>
          <w:rFonts w:ascii="宋体" w:hAnsi="宋体" w:cs="Courier New"/>
          <w:b/>
          <w:sz w:val="32"/>
          <w:szCs w:val="21"/>
          <w:u w:val="none"/>
        </w:rPr>
      </w:pPr>
    </w:p>
    <w:p>
      <w:pPr>
        <w:pStyle w:val="25"/>
        <w:adjustRightInd w:val="0"/>
        <w:snapToGrid w:val="0"/>
        <w:spacing w:line="360" w:lineRule="auto"/>
        <w:ind w:firstLine="321" w:firstLineChars="100"/>
        <w:rPr>
          <w:rFonts w:hint="eastAsia" w:hAnsi="宋体"/>
          <w:b/>
          <w:sz w:val="32"/>
          <w:u w:val="single"/>
        </w:rPr>
      </w:pPr>
      <w:r>
        <w:rPr>
          <w:rFonts w:hint="eastAsia" w:hAnsi="宋体"/>
          <w:b/>
          <w:sz w:val="32"/>
          <w:u w:val="none"/>
        </w:rPr>
        <w:t>采购单位名称：</w:t>
      </w:r>
      <w:r>
        <w:rPr>
          <w:rFonts w:hint="eastAsia" w:hAnsi="宋体"/>
          <w:b/>
          <w:sz w:val="32"/>
          <w:u w:val="single"/>
        </w:rPr>
        <w:t xml:space="preserve"> </w:t>
      </w:r>
      <w:r>
        <w:rPr>
          <w:rFonts w:hint="eastAsia" w:hAnsi="宋体"/>
          <w:b/>
          <w:sz w:val="32"/>
          <w:u w:val="single"/>
          <w:lang w:eastAsia="zh-CN"/>
        </w:rPr>
        <w:t>长沙市轨道交通运营有限公司</w:t>
      </w:r>
      <w:r>
        <w:rPr>
          <w:rFonts w:hint="eastAsia" w:hAnsi="宋体"/>
          <w:b/>
          <w:sz w:val="32"/>
          <w:u w:val="single"/>
        </w:rPr>
        <w:t xml:space="preserve"> </w:t>
      </w:r>
    </w:p>
    <w:p>
      <w:pPr>
        <w:pStyle w:val="25"/>
        <w:adjustRightInd w:val="0"/>
        <w:snapToGrid w:val="0"/>
        <w:spacing w:line="360" w:lineRule="auto"/>
        <w:ind w:firstLine="2570" w:firstLineChars="800"/>
        <w:rPr>
          <w:rFonts w:hint="eastAsia" w:hAnsi="宋体"/>
          <w:b/>
          <w:sz w:val="32"/>
          <w:u w:val="single"/>
        </w:rPr>
      </w:pPr>
      <w:r>
        <w:rPr>
          <w:rFonts w:hint="eastAsia" w:hAnsi="宋体"/>
          <w:b/>
          <w:sz w:val="32"/>
          <w:u w:val="single"/>
        </w:rPr>
        <w:t xml:space="preserve"> </w:t>
      </w:r>
      <w:r>
        <w:rPr>
          <w:rFonts w:hint="eastAsia" w:hAnsi="宋体"/>
          <w:b/>
          <w:sz w:val="32"/>
          <w:u w:val="single"/>
          <w:lang w:eastAsia="zh-CN"/>
        </w:rPr>
        <w:t>长沙市轨道交通一号线建设发展有限公司</w:t>
      </w:r>
      <w:r>
        <w:rPr>
          <w:rFonts w:hint="eastAsia" w:hAnsi="宋体"/>
          <w:b/>
          <w:sz w:val="32"/>
          <w:u w:val="single"/>
        </w:rPr>
        <w:t xml:space="preserve"> </w:t>
      </w:r>
    </w:p>
    <w:p>
      <w:pPr>
        <w:pStyle w:val="25"/>
        <w:adjustRightInd w:val="0"/>
        <w:snapToGrid w:val="0"/>
        <w:spacing w:line="360" w:lineRule="auto"/>
        <w:ind w:firstLine="2570" w:firstLineChars="800"/>
        <w:rPr>
          <w:rFonts w:hint="eastAsia" w:hAnsi="宋体"/>
          <w:b/>
          <w:sz w:val="32"/>
          <w:u w:val="single"/>
        </w:rPr>
      </w:pPr>
      <w:r>
        <w:rPr>
          <w:rFonts w:hint="eastAsia" w:hAnsi="宋体"/>
          <w:b/>
          <w:sz w:val="32"/>
          <w:u w:val="single"/>
        </w:rPr>
        <w:t xml:space="preserve"> </w:t>
      </w:r>
      <w:r>
        <w:rPr>
          <w:rFonts w:hint="eastAsia" w:hAnsi="宋体"/>
          <w:b/>
          <w:sz w:val="32"/>
          <w:u w:val="single"/>
          <w:lang w:eastAsia="zh-CN"/>
        </w:rPr>
        <w:t>长沙市轨道交通三号线建设发展有限公司</w:t>
      </w:r>
      <w:r>
        <w:rPr>
          <w:rFonts w:hint="eastAsia" w:hAnsi="宋体"/>
          <w:b/>
          <w:sz w:val="32"/>
          <w:u w:val="single"/>
        </w:rPr>
        <w:t xml:space="preserve"> </w:t>
      </w:r>
    </w:p>
    <w:p>
      <w:pPr>
        <w:pStyle w:val="25"/>
        <w:adjustRightInd w:val="0"/>
        <w:snapToGrid w:val="0"/>
        <w:spacing w:line="360" w:lineRule="auto"/>
        <w:ind w:firstLine="2570" w:firstLineChars="800"/>
        <w:rPr>
          <w:rFonts w:hint="eastAsia" w:hAnsi="宋体"/>
          <w:b/>
          <w:sz w:val="32"/>
          <w:u w:val="single"/>
        </w:rPr>
      </w:pPr>
      <w:r>
        <w:rPr>
          <w:rFonts w:hint="eastAsia" w:hAnsi="宋体"/>
          <w:b/>
          <w:sz w:val="32"/>
          <w:u w:val="single"/>
        </w:rPr>
        <w:t xml:space="preserve"> </w:t>
      </w:r>
      <w:r>
        <w:rPr>
          <w:rFonts w:hint="eastAsia" w:hAnsi="宋体"/>
          <w:b/>
          <w:sz w:val="32"/>
          <w:u w:val="single"/>
          <w:lang w:eastAsia="zh-CN"/>
        </w:rPr>
        <w:t>长沙市轨道交通四号线建设发展有限公司</w:t>
      </w:r>
      <w:r>
        <w:rPr>
          <w:rFonts w:hint="eastAsia" w:hAnsi="宋体"/>
          <w:b/>
          <w:sz w:val="32"/>
          <w:u w:val="single"/>
        </w:rPr>
        <w:t xml:space="preserve"> </w:t>
      </w:r>
    </w:p>
    <w:p>
      <w:pPr>
        <w:pStyle w:val="25"/>
        <w:adjustRightInd w:val="0"/>
        <w:snapToGrid w:val="0"/>
        <w:spacing w:line="360" w:lineRule="auto"/>
        <w:ind w:firstLine="2570" w:firstLineChars="800"/>
        <w:rPr>
          <w:rFonts w:hint="eastAsia" w:hAnsi="宋体"/>
          <w:b/>
          <w:sz w:val="32"/>
          <w:u w:val="single"/>
        </w:rPr>
      </w:pPr>
      <w:r>
        <w:rPr>
          <w:rFonts w:hint="eastAsia" w:hAnsi="宋体"/>
          <w:b/>
          <w:sz w:val="32"/>
          <w:u w:val="single"/>
        </w:rPr>
        <w:t xml:space="preserve"> </w:t>
      </w:r>
      <w:r>
        <w:rPr>
          <w:rFonts w:hint="eastAsia" w:hAnsi="宋体"/>
          <w:b/>
          <w:sz w:val="32"/>
          <w:u w:val="single"/>
          <w:lang w:eastAsia="zh-CN"/>
        </w:rPr>
        <w:t>长沙市轨道交通五号线建设发展有限公司</w:t>
      </w:r>
      <w:r>
        <w:rPr>
          <w:rFonts w:hint="eastAsia" w:hAnsi="宋体"/>
          <w:b/>
          <w:sz w:val="32"/>
          <w:u w:val="single"/>
        </w:rPr>
        <w:t xml:space="preserve"> </w:t>
      </w:r>
    </w:p>
    <w:p>
      <w:pPr>
        <w:pStyle w:val="25"/>
        <w:adjustRightInd w:val="0"/>
        <w:snapToGrid w:val="0"/>
        <w:spacing w:line="360" w:lineRule="auto"/>
        <w:rPr>
          <w:rFonts w:hAnsi="宋体" w:cs="宋体"/>
          <w:b/>
          <w:sz w:val="32"/>
          <w:u w:val="none"/>
        </w:rPr>
      </w:pPr>
    </w:p>
    <w:p>
      <w:pPr>
        <w:pStyle w:val="25"/>
        <w:adjustRightInd w:val="0"/>
        <w:snapToGrid w:val="0"/>
        <w:spacing w:line="360" w:lineRule="auto"/>
        <w:ind w:firstLine="321" w:firstLineChars="100"/>
        <w:rPr>
          <w:rFonts w:hAnsi="宋体"/>
          <w:b/>
          <w:sz w:val="32"/>
          <w:u w:val="none"/>
        </w:rPr>
      </w:pPr>
    </w:p>
    <w:p>
      <w:pPr>
        <w:pStyle w:val="25"/>
        <w:adjustRightInd w:val="0"/>
        <w:snapToGrid w:val="0"/>
        <w:spacing w:line="360" w:lineRule="auto"/>
        <w:ind w:firstLine="321" w:firstLineChars="100"/>
        <w:rPr>
          <w:rFonts w:hAnsi="宋体"/>
          <w:b/>
          <w:color w:val="FF0000"/>
          <w:sz w:val="32"/>
          <w:u w:val="single"/>
        </w:rPr>
      </w:pPr>
      <w:r>
        <w:rPr>
          <w:rFonts w:hint="eastAsia" w:hAnsi="宋体"/>
          <w:b/>
          <w:sz w:val="32"/>
          <w:u w:val="none"/>
        </w:rPr>
        <w:t>谈判项目编号：</w:t>
      </w:r>
      <w:r>
        <w:rPr>
          <w:rFonts w:hint="eastAsia" w:hAnsi="宋体"/>
          <w:b/>
          <w:sz w:val="32"/>
          <w:u w:val="single"/>
        </w:rPr>
        <w:t>长轨运服采【20</w:t>
      </w:r>
      <w:r>
        <w:rPr>
          <w:rFonts w:hint="eastAsia" w:hAnsi="宋体"/>
          <w:b/>
          <w:sz w:val="32"/>
          <w:u w:val="single"/>
          <w:lang w:val="en-US" w:eastAsia="zh-CN"/>
        </w:rPr>
        <w:t>22</w:t>
      </w:r>
      <w:r>
        <w:rPr>
          <w:rFonts w:hint="eastAsia" w:hAnsi="宋体"/>
          <w:b/>
          <w:sz w:val="32"/>
          <w:u w:val="single"/>
        </w:rPr>
        <w:t>】</w:t>
      </w:r>
      <w:r>
        <w:rPr>
          <w:rFonts w:hint="eastAsia" w:hAnsi="宋体"/>
          <w:b/>
          <w:sz w:val="32"/>
          <w:u w:val="single"/>
          <w:lang w:val="en-US" w:eastAsia="zh-CN"/>
        </w:rPr>
        <w:t>027</w:t>
      </w:r>
      <w:r>
        <w:rPr>
          <w:rFonts w:hint="eastAsia" w:hAnsi="宋体"/>
          <w:b/>
          <w:sz w:val="32"/>
          <w:u w:val="single"/>
        </w:rPr>
        <w:t>号</w:t>
      </w:r>
    </w:p>
    <w:p>
      <w:pPr>
        <w:pStyle w:val="25"/>
        <w:adjustRightInd w:val="0"/>
        <w:snapToGrid w:val="0"/>
        <w:spacing w:line="360" w:lineRule="auto"/>
        <w:rPr>
          <w:rFonts w:ascii="仿宋_GB2312" w:hAnsi="宋体" w:eastAsia="仿宋_GB2312"/>
          <w:b/>
          <w:sz w:val="32"/>
          <w:u w:val="none"/>
        </w:rPr>
      </w:pPr>
    </w:p>
    <w:p>
      <w:pPr>
        <w:pStyle w:val="25"/>
        <w:adjustRightInd w:val="0"/>
        <w:snapToGrid w:val="0"/>
        <w:spacing w:line="360" w:lineRule="auto"/>
        <w:rPr>
          <w:rFonts w:ascii="仿宋_GB2312" w:hAnsi="宋体" w:eastAsia="仿宋_GB2312"/>
          <w:bCs/>
          <w:sz w:val="32"/>
          <w:u w:val="none"/>
        </w:rPr>
      </w:pPr>
    </w:p>
    <w:p>
      <w:pPr>
        <w:pStyle w:val="25"/>
        <w:adjustRightInd w:val="0"/>
        <w:snapToGrid w:val="0"/>
        <w:spacing w:line="360" w:lineRule="auto"/>
        <w:jc w:val="center"/>
        <w:rPr>
          <w:rFonts w:hAnsi="宋体"/>
          <w:b/>
          <w:sz w:val="32"/>
          <w:u w:val="none"/>
        </w:rPr>
      </w:pPr>
      <w:r>
        <w:rPr>
          <w:rFonts w:hint="eastAsia" w:hAnsi="宋体"/>
          <w:b/>
          <w:sz w:val="32"/>
          <w:u w:val="none"/>
        </w:rPr>
        <w:t>二〇二二年</w:t>
      </w:r>
      <w:r>
        <w:rPr>
          <w:rFonts w:hint="eastAsia" w:hAnsi="宋体"/>
          <w:b/>
          <w:sz w:val="32"/>
          <w:u w:val="none"/>
          <w:lang w:eastAsia="zh-CN"/>
        </w:rPr>
        <w:t>九</w:t>
      </w:r>
      <w:r>
        <w:rPr>
          <w:rFonts w:hint="eastAsia" w:hAnsi="宋体"/>
          <w:b/>
          <w:sz w:val="32"/>
          <w:u w:val="none"/>
        </w:rPr>
        <w:t>月</w:t>
      </w:r>
    </w:p>
    <w:p>
      <w:pPr>
        <w:pStyle w:val="25"/>
        <w:adjustRightInd w:val="0"/>
        <w:snapToGrid w:val="0"/>
        <w:spacing w:line="360" w:lineRule="auto"/>
        <w:jc w:val="center"/>
        <w:rPr>
          <w:rFonts w:hAnsi="宋体"/>
          <w:b/>
          <w:sz w:val="32"/>
          <w:u w:val="none"/>
        </w:rPr>
        <w:sectPr>
          <w:footerReference r:id="rId3" w:type="default"/>
          <w:pgSz w:w="11906" w:h="16838"/>
          <w:pgMar w:top="2098" w:right="1474" w:bottom="1984" w:left="1587" w:header="851" w:footer="992" w:gutter="0"/>
          <w:pgNumType w:start="1"/>
          <w:cols w:space="0" w:num="1"/>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bCs/>
          <w:sz w:val="32"/>
          <w:szCs w:val="32"/>
          <w:u w:val="none"/>
        </w:rPr>
      </w:pPr>
      <w:bookmarkStart w:id="0" w:name="_Toc14891064"/>
      <w:r>
        <w:rPr>
          <w:rFonts w:hint="eastAsia" w:ascii="宋体" w:hAnsi="宋体" w:cs="宋体"/>
          <w:b/>
          <w:bCs/>
          <w:sz w:val="32"/>
          <w:szCs w:val="32"/>
          <w:u w:val="none"/>
        </w:rPr>
        <w:t>目   录</w:t>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u w:val="none"/>
        </w:rPr>
        <w:instrText xml:space="preserve">TOC \o "1-2" \h \u </w:instrText>
      </w:r>
      <w:r>
        <w:rPr>
          <w:rFonts w:hint="eastAsia" w:ascii="宋体" w:hAnsi="宋体" w:cs="宋体"/>
          <w:u w:val="none"/>
        </w:rPr>
        <w:fldChar w:fldCharType="separate"/>
      </w:r>
      <w:r>
        <w:rPr>
          <w:rFonts w:hint="eastAsia" w:ascii="宋体" w:hAnsi="宋体" w:cs="宋体"/>
          <w:u w:val="none"/>
        </w:rPr>
        <w:fldChar w:fldCharType="begin"/>
      </w:r>
      <w:r>
        <w:rPr>
          <w:rFonts w:hint="eastAsia" w:ascii="宋体" w:hAnsi="宋体" w:cs="宋体"/>
        </w:rPr>
        <w:instrText xml:space="preserve"> HYPERLINK \l _Toc12448 </w:instrText>
      </w:r>
      <w:r>
        <w:rPr>
          <w:rFonts w:hint="eastAsia" w:ascii="宋体" w:hAnsi="宋体" w:cs="宋体"/>
        </w:rPr>
        <w:fldChar w:fldCharType="separate"/>
      </w:r>
      <w:r>
        <w:rPr>
          <w:rFonts w:hint="eastAsia" w:ascii="宋体" w:hAnsi="宋体" w:cs="宋体"/>
          <w:szCs w:val="32"/>
        </w:rPr>
        <w:t>第一章  谈判邀请公告</w:t>
      </w:r>
      <w:r>
        <w:tab/>
      </w:r>
      <w:r>
        <w:fldChar w:fldCharType="begin"/>
      </w:r>
      <w:r>
        <w:instrText xml:space="preserve"> PAGEREF _Toc12448 \h </w:instrText>
      </w:r>
      <w:r>
        <w:fldChar w:fldCharType="separate"/>
      </w:r>
      <w:r>
        <w:t>1</w:t>
      </w:r>
      <w:r>
        <w:fldChar w:fldCharType="end"/>
      </w:r>
      <w:r>
        <w:rPr>
          <w:rFonts w:hint="eastAsia" w:ascii="宋体" w:hAnsi="宋体" w:cs="宋体"/>
          <w:u w:val="none"/>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_Toc25243 </w:instrText>
      </w:r>
      <w:r>
        <w:rPr>
          <w:rFonts w:hint="eastAsia" w:ascii="宋体" w:hAnsi="宋体" w:cs="宋体"/>
        </w:rPr>
        <w:fldChar w:fldCharType="separate"/>
      </w:r>
      <w:r>
        <w:rPr>
          <w:rFonts w:hint="eastAsia" w:ascii="宋体" w:hAnsi="宋体" w:cs="宋体"/>
          <w:bCs w:val="0"/>
          <w:szCs w:val="32"/>
        </w:rPr>
        <w:t>第二章  谈判须知</w:t>
      </w:r>
      <w:r>
        <w:tab/>
      </w:r>
      <w:r>
        <w:fldChar w:fldCharType="begin"/>
      </w:r>
      <w:r>
        <w:instrText xml:space="preserve"> PAGEREF _Toc25243 \h </w:instrText>
      </w:r>
      <w:r>
        <w:fldChar w:fldCharType="separate"/>
      </w:r>
      <w:r>
        <w:t>4</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_Toc15079 </w:instrText>
      </w:r>
      <w:r>
        <w:rPr>
          <w:rFonts w:hint="eastAsia" w:ascii="宋体" w:hAnsi="宋体" w:cs="宋体"/>
        </w:rPr>
        <w:fldChar w:fldCharType="separate"/>
      </w:r>
      <w:r>
        <w:rPr>
          <w:rFonts w:hint="eastAsia" w:ascii="宋体" w:hAnsi="宋体" w:cs="宋体"/>
        </w:rPr>
        <w:t>谈判须知前附表</w:t>
      </w:r>
      <w:r>
        <w:tab/>
      </w:r>
      <w:r>
        <w:fldChar w:fldCharType="begin"/>
      </w:r>
      <w:r>
        <w:instrText xml:space="preserve"> PAGEREF _Toc15079 \h </w:instrText>
      </w:r>
      <w:r>
        <w:fldChar w:fldCharType="separate"/>
      </w:r>
      <w:r>
        <w:t>4</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_Toc19706 </w:instrText>
      </w:r>
      <w:r>
        <w:rPr>
          <w:rFonts w:hint="eastAsia" w:ascii="宋体" w:hAnsi="宋体" w:cs="宋体"/>
        </w:rPr>
        <w:fldChar w:fldCharType="separate"/>
      </w:r>
      <w:r>
        <w:rPr>
          <w:rFonts w:hint="eastAsia" w:ascii="宋体" w:hAnsi="宋体" w:cs="宋体"/>
        </w:rPr>
        <w:t>谈判须知正文</w:t>
      </w:r>
      <w:r>
        <w:tab/>
      </w:r>
      <w:r>
        <w:fldChar w:fldCharType="begin"/>
      </w:r>
      <w:r>
        <w:instrText xml:space="preserve"> PAGEREF _Toc19706 \h </w:instrText>
      </w:r>
      <w:r>
        <w:fldChar w:fldCharType="separate"/>
      </w:r>
      <w:r>
        <w:t>6</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_Toc21708 </w:instrText>
      </w:r>
      <w:r>
        <w:rPr>
          <w:rFonts w:hint="eastAsia" w:ascii="宋体" w:hAnsi="宋体" w:cs="宋体"/>
        </w:rPr>
        <w:fldChar w:fldCharType="separate"/>
      </w:r>
      <w:r>
        <w:rPr>
          <w:rFonts w:hint="eastAsia" w:ascii="宋体" w:hAnsi="宋体" w:cs="宋体"/>
          <w:szCs w:val="21"/>
        </w:rPr>
        <w:t>一、说明</w:t>
      </w:r>
      <w:r>
        <w:tab/>
      </w:r>
      <w:r>
        <w:fldChar w:fldCharType="begin"/>
      </w:r>
      <w:r>
        <w:instrText xml:space="preserve"> PAGEREF _Toc21708 \h </w:instrText>
      </w:r>
      <w:r>
        <w:fldChar w:fldCharType="separate"/>
      </w:r>
      <w:r>
        <w:t>6</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_Toc5733 </w:instrText>
      </w:r>
      <w:r>
        <w:rPr>
          <w:rFonts w:hint="eastAsia" w:ascii="宋体" w:hAnsi="宋体" w:cs="宋体"/>
        </w:rPr>
        <w:fldChar w:fldCharType="separate"/>
      </w:r>
      <w:r>
        <w:rPr>
          <w:rFonts w:hint="eastAsia" w:ascii="宋体" w:hAnsi="宋体" w:cs="宋体"/>
          <w:szCs w:val="21"/>
        </w:rPr>
        <w:t>二、谈判文件</w:t>
      </w:r>
      <w:r>
        <w:tab/>
      </w:r>
      <w:r>
        <w:fldChar w:fldCharType="begin"/>
      </w:r>
      <w:r>
        <w:instrText xml:space="preserve"> PAGEREF _Toc5733 \h </w:instrText>
      </w:r>
      <w:r>
        <w:fldChar w:fldCharType="separate"/>
      </w:r>
      <w:r>
        <w:t>7</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_Toc19677 </w:instrText>
      </w:r>
      <w:r>
        <w:rPr>
          <w:rFonts w:hint="eastAsia" w:ascii="宋体" w:hAnsi="宋体" w:cs="宋体"/>
        </w:rPr>
        <w:fldChar w:fldCharType="separate"/>
      </w:r>
      <w:r>
        <w:rPr>
          <w:rFonts w:hint="eastAsia" w:ascii="宋体" w:hAnsi="宋体" w:cs="宋体"/>
          <w:szCs w:val="21"/>
        </w:rPr>
        <w:t>三、响应文件</w:t>
      </w:r>
      <w:r>
        <w:tab/>
      </w:r>
      <w:r>
        <w:fldChar w:fldCharType="begin"/>
      </w:r>
      <w:r>
        <w:instrText xml:space="preserve"> PAGEREF _Toc19677 \h </w:instrText>
      </w:r>
      <w:r>
        <w:fldChar w:fldCharType="separate"/>
      </w:r>
      <w:r>
        <w:t>8</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_Toc25692 </w:instrText>
      </w:r>
      <w:r>
        <w:rPr>
          <w:rFonts w:hint="eastAsia" w:ascii="宋体" w:hAnsi="宋体" w:cs="宋体"/>
        </w:rPr>
        <w:fldChar w:fldCharType="separate"/>
      </w:r>
      <w:r>
        <w:rPr>
          <w:rFonts w:hint="eastAsia" w:ascii="宋体" w:hAnsi="宋体" w:cs="宋体"/>
          <w:szCs w:val="21"/>
        </w:rPr>
        <w:t>四、响应文件的递交</w:t>
      </w:r>
      <w:r>
        <w:tab/>
      </w:r>
      <w:r>
        <w:fldChar w:fldCharType="begin"/>
      </w:r>
      <w:r>
        <w:instrText xml:space="preserve"> PAGEREF _Toc25692 \h </w:instrText>
      </w:r>
      <w:r>
        <w:fldChar w:fldCharType="separate"/>
      </w:r>
      <w:r>
        <w:t>11</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_Toc10014 </w:instrText>
      </w:r>
      <w:r>
        <w:rPr>
          <w:rFonts w:hint="eastAsia" w:ascii="宋体" w:hAnsi="宋体" w:cs="宋体"/>
        </w:rPr>
        <w:fldChar w:fldCharType="separate"/>
      </w:r>
      <w:r>
        <w:rPr>
          <w:rFonts w:hint="eastAsia" w:ascii="宋体" w:hAnsi="宋体" w:cs="宋体"/>
          <w:szCs w:val="21"/>
        </w:rPr>
        <w:t>五、响应文件的评审</w:t>
      </w:r>
      <w:r>
        <w:tab/>
      </w:r>
      <w:r>
        <w:fldChar w:fldCharType="begin"/>
      </w:r>
      <w:r>
        <w:instrText xml:space="preserve"> PAGEREF _Toc10014 \h </w:instrText>
      </w:r>
      <w:r>
        <w:fldChar w:fldCharType="separate"/>
      </w:r>
      <w:r>
        <w:t>11</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_Toc21834 </w:instrText>
      </w:r>
      <w:r>
        <w:rPr>
          <w:rFonts w:hint="eastAsia" w:ascii="宋体" w:hAnsi="宋体" w:cs="宋体"/>
        </w:rPr>
        <w:fldChar w:fldCharType="separate"/>
      </w:r>
      <w:r>
        <w:rPr>
          <w:rFonts w:hint="eastAsia" w:ascii="宋体" w:hAnsi="宋体" w:cs="宋体"/>
          <w:szCs w:val="21"/>
        </w:rPr>
        <w:t>六、响应文件的澄清、说明及补正</w:t>
      </w:r>
      <w:r>
        <w:tab/>
      </w:r>
      <w:r>
        <w:fldChar w:fldCharType="begin"/>
      </w:r>
      <w:r>
        <w:instrText xml:space="preserve"> PAGEREF _Toc21834 \h </w:instrText>
      </w:r>
      <w:r>
        <w:fldChar w:fldCharType="separate"/>
      </w:r>
      <w:r>
        <w:t>12</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_Toc28891 </w:instrText>
      </w:r>
      <w:r>
        <w:rPr>
          <w:rFonts w:hint="eastAsia" w:ascii="宋体" w:hAnsi="宋体" w:cs="宋体"/>
        </w:rPr>
        <w:fldChar w:fldCharType="separate"/>
      </w:r>
      <w:r>
        <w:rPr>
          <w:rFonts w:hint="eastAsia" w:ascii="宋体" w:hAnsi="宋体" w:cs="宋体"/>
          <w:szCs w:val="21"/>
        </w:rPr>
        <w:t>七、中选结果与授予合同</w:t>
      </w:r>
      <w:r>
        <w:tab/>
      </w:r>
      <w:r>
        <w:fldChar w:fldCharType="begin"/>
      </w:r>
      <w:r>
        <w:instrText xml:space="preserve"> PAGEREF _Toc28891 \h </w:instrText>
      </w:r>
      <w:r>
        <w:fldChar w:fldCharType="separate"/>
      </w:r>
      <w:r>
        <w:t>12</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_Toc20378 </w:instrText>
      </w:r>
      <w:r>
        <w:rPr>
          <w:rFonts w:hint="eastAsia" w:ascii="宋体" w:hAnsi="宋体" w:cs="宋体"/>
        </w:rPr>
        <w:fldChar w:fldCharType="separate"/>
      </w:r>
      <w:r>
        <w:rPr>
          <w:rFonts w:hint="eastAsia" w:ascii="宋体" w:hAnsi="宋体" w:cs="宋体"/>
          <w:szCs w:val="21"/>
        </w:rPr>
        <w:t>八、其他</w:t>
      </w:r>
      <w:r>
        <w:tab/>
      </w:r>
      <w:r>
        <w:fldChar w:fldCharType="begin"/>
      </w:r>
      <w:r>
        <w:instrText xml:space="preserve"> PAGEREF _Toc20378 \h </w:instrText>
      </w:r>
      <w:r>
        <w:fldChar w:fldCharType="separate"/>
      </w:r>
      <w:r>
        <w:t>13</w:t>
      </w:r>
      <w:r>
        <w:fldChar w:fldCharType="end"/>
      </w:r>
      <w:r>
        <w:rPr>
          <w:rFonts w:hint="eastAsia" w:ascii="宋体" w:hAnsi="宋体" w:cs="宋体"/>
          <w:u w:val="none"/>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_Toc29690 </w:instrText>
      </w:r>
      <w:r>
        <w:rPr>
          <w:rFonts w:hint="eastAsia" w:ascii="宋体" w:hAnsi="宋体" w:cs="宋体"/>
        </w:rPr>
        <w:fldChar w:fldCharType="separate"/>
      </w:r>
      <w:r>
        <w:rPr>
          <w:rFonts w:hint="eastAsia" w:ascii="宋体" w:hAnsi="宋体" w:cs="宋体"/>
          <w:bCs w:val="0"/>
          <w:szCs w:val="32"/>
        </w:rPr>
        <w:t>第三章  评审办法及标准</w:t>
      </w:r>
      <w:r>
        <w:tab/>
      </w:r>
      <w:r>
        <w:fldChar w:fldCharType="begin"/>
      </w:r>
      <w:r>
        <w:instrText xml:space="preserve"> PAGEREF _Toc29690 \h </w:instrText>
      </w:r>
      <w:r>
        <w:fldChar w:fldCharType="separate"/>
      </w:r>
      <w:r>
        <w:t>16</w:t>
      </w:r>
      <w:r>
        <w:fldChar w:fldCharType="end"/>
      </w:r>
      <w:r>
        <w:rPr>
          <w:rFonts w:hint="eastAsia" w:ascii="宋体" w:hAnsi="宋体" w:cs="宋体"/>
          <w:u w:val="none"/>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_Toc1583 </w:instrText>
      </w:r>
      <w:r>
        <w:rPr>
          <w:rFonts w:hint="eastAsia" w:ascii="宋体" w:hAnsi="宋体" w:cs="宋体"/>
        </w:rPr>
        <w:fldChar w:fldCharType="separate"/>
      </w:r>
      <w:r>
        <w:rPr>
          <w:rFonts w:hint="eastAsia" w:ascii="宋体" w:hAnsi="宋体" w:cs="宋体"/>
          <w:bCs w:val="0"/>
          <w:szCs w:val="32"/>
        </w:rPr>
        <w:t>第四章  用户需求书（另册）</w:t>
      </w:r>
      <w:r>
        <w:tab/>
      </w:r>
      <w:r>
        <w:fldChar w:fldCharType="begin"/>
      </w:r>
      <w:r>
        <w:instrText xml:space="preserve"> PAGEREF _Toc1583 \h </w:instrText>
      </w:r>
      <w:r>
        <w:fldChar w:fldCharType="separate"/>
      </w:r>
      <w:r>
        <w:t>22</w:t>
      </w:r>
      <w:r>
        <w:fldChar w:fldCharType="end"/>
      </w:r>
      <w:r>
        <w:rPr>
          <w:rFonts w:hint="eastAsia" w:ascii="宋体" w:hAnsi="宋体" w:cs="宋体"/>
          <w:u w:val="none"/>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_Toc19970 </w:instrText>
      </w:r>
      <w:r>
        <w:rPr>
          <w:rFonts w:hint="eastAsia" w:ascii="宋体" w:hAnsi="宋体" w:cs="宋体"/>
        </w:rPr>
        <w:fldChar w:fldCharType="separate"/>
      </w:r>
      <w:r>
        <w:rPr>
          <w:rFonts w:hint="eastAsia" w:ascii="宋体" w:hAnsi="宋体" w:cs="宋体"/>
          <w:bCs w:val="0"/>
          <w:strike w:val="0"/>
          <w:dstrike w:val="0"/>
          <w:szCs w:val="32"/>
        </w:rPr>
        <w:t>第五章  谈判最高限价</w:t>
      </w:r>
      <w:r>
        <w:tab/>
      </w:r>
      <w:r>
        <w:fldChar w:fldCharType="begin"/>
      </w:r>
      <w:r>
        <w:instrText xml:space="preserve"> PAGEREF _Toc19970 \h </w:instrText>
      </w:r>
      <w:r>
        <w:fldChar w:fldCharType="separate"/>
      </w:r>
      <w:r>
        <w:t>23</w:t>
      </w:r>
      <w:r>
        <w:fldChar w:fldCharType="end"/>
      </w:r>
      <w:r>
        <w:rPr>
          <w:rFonts w:hint="eastAsia" w:ascii="宋体" w:hAnsi="宋体" w:cs="宋体"/>
          <w:u w:val="none"/>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_Toc17888 </w:instrText>
      </w:r>
      <w:r>
        <w:rPr>
          <w:rFonts w:hint="eastAsia" w:ascii="宋体" w:hAnsi="宋体" w:cs="宋体"/>
        </w:rPr>
        <w:fldChar w:fldCharType="separate"/>
      </w:r>
      <w:r>
        <w:rPr>
          <w:rFonts w:hint="eastAsia" w:ascii="宋体" w:hAnsi="宋体" w:cs="宋体"/>
          <w:bCs w:val="0"/>
          <w:szCs w:val="32"/>
        </w:rPr>
        <w:t>第六章  合同格式条款</w:t>
      </w:r>
      <w:r>
        <w:tab/>
      </w:r>
      <w:r>
        <w:fldChar w:fldCharType="begin"/>
      </w:r>
      <w:r>
        <w:instrText xml:space="preserve"> PAGEREF _Toc17888 \h </w:instrText>
      </w:r>
      <w:r>
        <w:fldChar w:fldCharType="separate"/>
      </w:r>
      <w:r>
        <w:t>24</w:t>
      </w:r>
      <w:r>
        <w:fldChar w:fldCharType="end"/>
      </w:r>
      <w:r>
        <w:rPr>
          <w:rFonts w:hint="eastAsia" w:ascii="宋体" w:hAnsi="宋体" w:cs="宋体"/>
          <w:u w:val="none"/>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_Toc20529 </w:instrText>
      </w:r>
      <w:r>
        <w:rPr>
          <w:rFonts w:hint="eastAsia" w:ascii="宋体" w:hAnsi="宋体" w:cs="宋体"/>
        </w:rPr>
        <w:fldChar w:fldCharType="separate"/>
      </w:r>
      <w:r>
        <w:rPr>
          <w:rFonts w:hint="eastAsia" w:ascii="宋体" w:hAnsi="宋体" w:cs="宋体"/>
          <w:szCs w:val="32"/>
        </w:rPr>
        <w:t xml:space="preserve">第七章  </w:t>
      </w:r>
      <w:r>
        <w:rPr>
          <w:rFonts w:hint="eastAsia" w:ascii="宋体" w:hAnsi="宋体" w:cs="宋体"/>
          <w:bCs/>
          <w:szCs w:val="32"/>
        </w:rPr>
        <w:t>响应文件组成</w:t>
      </w:r>
      <w:r>
        <w:tab/>
      </w:r>
      <w:r>
        <w:fldChar w:fldCharType="begin"/>
      </w:r>
      <w:r>
        <w:instrText xml:space="preserve"> PAGEREF _Toc20529 \h </w:instrText>
      </w:r>
      <w:r>
        <w:fldChar w:fldCharType="separate"/>
      </w:r>
      <w:r>
        <w:t>41</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_Toc31665 </w:instrText>
      </w:r>
      <w:r>
        <w:rPr>
          <w:rFonts w:hint="eastAsia" w:ascii="宋体" w:hAnsi="宋体" w:cs="宋体"/>
        </w:rPr>
        <w:fldChar w:fldCharType="separate"/>
      </w:r>
      <w:r>
        <w:rPr>
          <w:rFonts w:hint="eastAsia" w:ascii="宋体" w:hAnsi="宋体" w:cs="宋体"/>
          <w:szCs w:val="32"/>
        </w:rPr>
        <w:t>一、谈判承诺书</w:t>
      </w:r>
      <w:r>
        <w:tab/>
      </w:r>
      <w:r>
        <w:fldChar w:fldCharType="begin"/>
      </w:r>
      <w:r>
        <w:instrText xml:space="preserve"> PAGEREF _Toc31665 \h </w:instrText>
      </w:r>
      <w:r>
        <w:fldChar w:fldCharType="separate"/>
      </w:r>
      <w:r>
        <w:t>43</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_Toc31053 </w:instrText>
      </w:r>
      <w:r>
        <w:rPr>
          <w:rFonts w:hint="eastAsia" w:ascii="宋体" w:hAnsi="宋体" w:cs="宋体"/>
        </w:rPr>
        <w:fldChar w:fldCharType="separate"/>
      </w:r>
      <w:r>
        <w:rPr>
          <w:rFonts w:hint="eastAsia" w:ascii="宋体" w:hAnsi="宋体" w:cs="宋体"/>
          <w:szCs w:val="32"/>
        </w:rPr>
        <w:t>二、法定代表人身份证明书</w:t>
      </w:r>
      <w:r>
        <w:tab/>
      </w:r>
      <w:r>
        <w:fldChar w:fldCharType="begin"/>
      </w:r>
      <w:r>
        <w:instrText xml:space="preserve"> PAGEREF _Toc31053 \h </w:instrText>
      </w:r>
      <w:r>
        <w:fldChar w:fldCharType="separate"/>
      </w:r>
      <w:r>
        <w:t>44</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_Toc8658 </w:instrText>
      </w:r>
      <w:r>
        <w:rPr>
          <w:rFonts w:hint="eastAsia" w:ascii="宋体" w:hAnsi="宋体" w:cs="宋体"/>
        </w:rPr>
        <w:fldChar w:fldCharType="separate"/>
      </w:r>
      <w:r>
        <w:rPr>
          <w:rFonts w:hint="eastAsia" w:ascii="宋体" w:hAnsi="宋体" w:cs="宋体"/>
          <w:szCs w:val="32"/>
        </w:rPr>
        <w:t>三、授权委托书</w:t>
      </w:r>
      <w:r>
        <w:tab/>
      </w:r>
      <w:r>
        <w:fldChar w:fldCharType="begin"/>
      </w:r>
      <w:r>
        <w:instrText xml:space="preserve"> PAGEREF _Toc8658 \h </w:instrText>
      </w:r>
      <w:r>
        <w:fldChar w:fldCharType="separate"/>
      </w:r>
      <w:r>
        <w:t>45</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_Toc7972 </w:instrText>
      </w:r>
      <w:r>
        <w:rPr>
          <w:rFonts w:hint="eastAsia" w:ascii="宋体" w:hAnsi="宋体" w:cs="宋体"/>
        </w:rPr>
        <w:fldChar w:fldCharType="separate"/>
      </w:r>
      <w:r>
        <w:rPr>
          <w:rFonts w:hint="eastAsia" w:ascii="宋体" w:hAnsi="宋体" w:cs="宋体"/>
          <w:szCs w:val="32"/>
        </w:rPr>
        <w:t>四、谈判单位资格证明文件</w:t>
      </w:r>
      <w:r>
        <w:tab/>
      </w:r>
      <w:r>
        <w:fldChar w:fldCharType="begin"/>
      </w:r>
      <w:r>
        <w:instrText xml:space="preserve"> PAGEREF _Toc7972 \h </w:instrText>
      </w:r>
      <w:r>
        <w:fldChar w:fldCharType="separate"/>
      </w:r>
      <w:r>
        <w:t>46</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_Toc29112 </w:instrText>
      </w:r>
      <w:r>
        <w:rPr>
          <w:rFonts w:hint="eastAsia" w:ascii="宋体" w:hAnsi="宋体" w:cs="宋体"/>
        </w:rPr>
        <w:fldChar w:fldCharType="separate"/>
      </w:r>
      <w:r>
        <w:rPr>
          <w:rFonts w:hint="eastAsia" w:ascii="宋体" w:hAnsi="宋体" w:eastAsia="宋体" w:cs="宋体"/>
          <w:szCs w:val="32"/>
          <w:lang w:eastAsia="zh-CN"/>
        </w:rPr>
        <w:t>五、计分</w:t>
      </w:r>
      <w:r>
        <w:rPr>
          <w:rFonts w:hint="eastAsia" w:ascii="宋体" w:hAnsi="宋体" w:eastAsia="宋体" w:cs="宋体"/>
          <w:szCs w:val="32"/>
        </w:rPr>
        <w:t>业绩</w:t>
      </w:r>
      <w:r>
        <w:rPr>
          <w:rFonts w:hint="eastAsia" w:ascii="宋体" w:hAnsi="宋体" w:eastAsia="宋体" w:cs="宋体"/>
          <w:szCs w:val="32"/>
          <w:lang w:eastAsia="zh-CN"/>
        </w:rPr>
        <w:t>证明文件</w:t>
      </w:r>
      <w:r>
        <w:tab/>
      </w:r>
      <w:r>
        <w:fldChar w:fldCharType="begin"/>
      </w:r>
      <w:r>
        <w:instrText xml:space="preserve"> PAGEREF _Toc29112 \h </w:instrText>
      </w:r>
      <w:r>
        <w:fldChar w:fldCharType="separate"/>
      </w:r>
      <w:r>
        <w:t>47</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_Toc19663 </w:instrText>
      </w:r>
      <w:r>
        <w:rPr>
          <w:rFonts w:hint="eastAsia" w:ascii="宋体" w:hAnsi="宋体" w:cs="宋体"/>
        </w:rPr>
        <w:fldChar w:fldCharType="separate"/>
      </w:r>
      <w:r>
        <w:rPr>
          <w:rFonts w:hint="eastAsia" w:ascii="宋体" w:hAnsi="宋体" w:eastAsia="宋体" w:cs="宋体"/>
          <w:szCs w:val="32"/>
          <w:lang w:eastAsia="zh-CN"/>
        </w:rPr>
        <w:t>六、报价一览表</w:t>
      </w:r>
      <w:r>
        <w:tab/>
      </w:r>
      <w:r>
        <w:fldChar w:fldCharType="begin"/>
      </w:r>
      <w:r>
        <w:instrText xml:space="preserve"> PAGEREF _Toc19663 \h </w:instrText>
      </w:r>
      <w:r>
        <w:fldChar w:fldCharType="separate"/>
      </w:r>
      <w:r>
        <w:t>48</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_Toc27587 </w:instrText>
      </w:r>
      <w:r>
        <w:rPr>
          <w:rFonts w:hint="eastAsia" w:ascii="宋体" w:hAnsi="宋体" w:cs="宋体"/>
        </w:rPr>
        <w:fldChar w:fldCharType="separate"/>
      </w:r>
      <w:r>
        <w:rPr>
          <w:rFonts w:hint="eastAsia" w:ascii="宋体" w:hAnsi="宋体" w:eastAsia="宋体" w:cs="宋体"/>
          <w:szCs w:val="32"/>
          <w:lang w:eastAsia="zh-CN"/>
        </w:rPr>
        <w:t>七、电力市场化交易历史价差一览表</w:t>
      </w:r>
      <w:r>
        <w:tab/>
      </w:r>
      <w:r>
        <w:fldChar w:fldCharType="begin"/>
      </w:r>
      <w:r>
        <w:instrText xml:space="preserve"> PAGEREF _Toc27587 \h </w:instrText>
      </w:r>
      <w:r>
        <w:fldChar w:fldCharType="separate"/>
      </w:r>
      <w:r>
        <w:t>49</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_Toc17453 </w:instrText>
      </w:r>
      <w:r>
        <w:rPr>
          <w:rFonts w:hint="eastAsia" w:ascii="宋体" w:hAnsi="宋体" w:cs="宋体"/>
        </w:rPr>
        <w:fldChar w:fldCharType="separate"/>
      </w:r>
      <w:r>
        <w:rPr>
          <w:rFonts w:hint="eastAsia" w:ascii="宋体" w:hAnsi="宋体" w:eastAsia="宋体" w:cs="宋体"/>
          <w:szCs w:val="32"/>
          <w:lang w:eastAsia="zh-CN"/>
        </w:rPr>
        <w:t>八、关联发电企业一览表</w:t>
      </w:r>
      <w:r>
        <w:tab/>
      </w:r>
      <w:r>
        <w:fldChar w:fldCharType="begin"/>
      </w:r>
      <w:r>
        <w:instrText xml:space="preserve"> PAGEREF _Toc17453 \h </w:instrText>
      </w:r>
      <w:r>
        <w:fldChar w:fldCharType="separate"/>
      </w:r>
      <w:r>
        <w:t>50</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_Toc2383 </w:instrText>
      </w:r>
      <w:r>
        <w:rPr>
          <w:rFonts w:hint="eastAsia" w:ascii="宋体" w:hAnsi="宋体" w:cs="宋体"/>
        </w:rPr>
        <w:fldChar w:fldCharType="separate"/>
      </w:r>
      <w:r>
        <w:rPr>
          <w:rFonts w:hint="eastAsia" w:ascii="宋体" w:hAnsi="宋体" w:eastAsia="宋体" w:cs="宋体"/>
          <w:szCs w:val="32"/>
          <w:lang w:eastAsia="zh-CN"/>
        </w:rPr>
        <w:t>九、关联发电企业电力市场内新能源装机容量一览表</w:t>
      </w:r>
      <w:r>
        <w:tab/>
      </w:r>
      <w:r>
        <w:fldChar w:fldCharType="begin"/>
      </w:r>
      <w:r>
        <w:instrText xml:space="preserve"> PAGEREF _Toc2383 \h </w:instrText>
      </w:r>
      <w:r>
        <w:fldChar w:fldCharType="separate"/>
      </w:r>
      <w:r>
        <w:t>51</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_Toc17468 </w:instrText>
      </w:r>
      <w:r>
        <w:rPr>
          <w:rFonts w:hint="eastAsia" w:ascii="宋体" w:hAnsi="宋体" w:cs="宋体"/>
        </w:rPr>
        <w:fldChar w:fldCharType="separate"/>
      </w:r>
      <w:r>
        <w:rPr>
          <w:rFonts w:hint="eastAsia" w:ascii="宋体" w:hAnsi="宋体" w:eastAsia="宋体" w:cs="宋体"/>
          <w:szCs w:val="32"/>
          <w:lang w:eastAsia="zh-CN"/>
        </w:rPr>
        <w:t>十、服务方案（如有）</w:t>
      </w:r>
      <w:r>
        <w:tab/>
      </w:r>
      <w:r>
        <w:fldChar w:fldCharType="begin"/>
      </w:r>
      <w:r>
        <w:instrText xml:space="preserve"> PAGEREF _Toc17468 \h </w:instrText>
      </w:r>
      <w:r>
        <w:fldChar w:fldCharType="separate"/>
      </w:r>
      <w:r>
        <w:t>52</w:t>
      </w:r>
      <w:r>
        <w:fldChar w:fldCharType="end"/>
      </w:r>
      <w:r>
        <w:rPr>
          <w:rFonts w:hint="eastAsia" w:ascii="宋体" w:hAnsi="宋体" w:cs="宋体"/>
          <w:u w:val="none"/>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cs="宋体"/>
          <w:u w:val="none"/>
        </w:rPr>
        <w:fldChar w:fldCharType="begin"/>
      </w:r>
      <w:r>
        <w:rPr>
          <w:rFonts w:hint="eastAsia" w:ascii="宋体" w:hAnsi="宋体" w:cs="宋体"/>
        </w:rPr>
        <w:instrText xml:space="preserve"> HYPERLINK \l _Toc21544 </w:instrText>
      </w:r>
      <w:r>
        <w:rPr>
          <w:rFonts w:hint="eastAsia" w:ascii="宋体" w:hAnsi="宋体" w:cs="宋体"/>
        </w:rPr>
        <w:fldChar w:fldCharType="separate"/>
      </w:r>
      <w:r>
        <w:rPr>
          <w:rFonts w:hint="eastAsia" w:ascii="宋体" w:hAnsi="宋体" w:eastAsia="宋体" w:cs="宋体"/>
          <w:szCs w:val="32"/>
          <w:lang w:eastAsia="zh-CN"/>
        </w:rPr>
        <w:t>十一、其他资料（如有）</w:t>
      </w:r>
      <w:r>
        <w:tab/>
      </w:r>
      <w:r>
        <w:fldChar w:fldCharType="begin"/>
      </w:r>
      <w:r>
        <w:instrText xml:space="preserve"> PAGEREF _Toc21544 \h </w:instrText>
      </w:r>
      <w:r>
        <w:fldChar w:fldCharType="separate"/>
      </w:r>
      <w:r>
        <w:t>53</w:t>
      </w:r>
      <w:r>
        <w:fldChar w:fldCharType="end"/>
      </w:r>
      <w:r>
        <w:rPr>
          <w:rFonts w:hint="eastAsia" w:ascii="宋体" w:hAnsi="宋体" w:cs="宋体"/>
          <w:u w:val="none"/>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szCs w:val="21"/>
          <w:highlight w:val="cyan"/>
          <w:u w:val="none"/>
        </w:rPr>
        <w:sectPr>
          <w:footerReference r:id="rId4" w:type="default"/>
          <w:pgSz w:w="11906" w:h="16838"/>
          <w:pgMar w:top="2098" w:right="1474" w:bottom="1984" w:left="1587" w:header="851" w:footer="992" w:gutter="0"/>
          <w:cols w:space="0" w:num="1"/>
          <w:docGrid w:type="lines" w:linePitch="319" w:charSpace="0"/>
        </w:sectPr>
      </w:pPr>
      <w:r>
        <w:rPr>
          <w:rFonts w:hint="eastAsia" w:ascii="宋体" w:hAnsi="宋体" w:cs="宋体"/>
          <w:u w:val="none"/>
        </w:rPr>
        <w:fldChar w:fldCharType="end"/>
      </w:r>
      <w:bookmarkStart w:id="1" w:name="_Toc29614"/>
      <w:bookmarkStart w:id="2" w:name="_Toc5016"/>
    </w:p>
    <w:p>
      <w:pPr>
        <w:pStyle w:val="3"/>
        <w:keepNext w:val="0"/>
        <w:spacing w:line="360" w:lineRule="auto"/>
        <w:rPr>
          <w:rFonts w:ascii="宋体" w:hAnsi="宋体" w:cs="宋体"/>
          <w:sz w:val="32"/>
          <w:szCs w:val="32"/>
          <w:u w:val="none"/>
        </w:rPr>
      </w:pPr>
      <w:bookmarkStart w:id="3" w:name="_Toc12448"/>
      <w:bookmarkStart w:id="4" w:name="_Toc3621"/>
      <w:bookmarkStart w:id="5" w:name="_Toc13376"/>
      <w:r>
        <w:rPr>
          <w:rFonts w:hint="eastAsia" w:ascii="宋体" w:hAnsi="宋体" w:cs="宋体"/>
          <w:sz w:val="32"/>
          <w:szCs w:val="32"/>
          <w:u w:val="none"/>
        </w:rPr>
        <w:t>第一章  谈判邀请公告</w:t>
      </w:r>
      <w:bookmarkEnd w:id="0"/>
      <w:bookmarkEnd w:id="1"/>
      <w:bookmarkEnd w:id="2"/>
      <w:bookmarkEnd w:id="3"/>
      <w:bookmarkEnd w:id="4"/>
      <w:bookmarkEnd w:id="5"/>
    </w:p>
    <w:p>
      <w:pPr>
        <w:keepNext w:val="0"/>
        <w:keepLines w:val="0"/>
        <w:pageBreakBefore w:val="0"/>
        <w:kinsoku/>
        <w:wordWrap/>
        <w:overflowPunct/>
        <w:topLinePunct w:val="0"/>
        <w:autoSpaceDE/>
        <w:autoSpaceDN/>
        <w:bidi w:val="0"/>
        <w:spacing w:line="360" w:lineRule="auto"/>
        <w:ind w:left="0" w:leftChars="0" w:firstLine="420" w:firstLineChars="200"/>
        <w:jc w:val="left"/>
        <w:textAlignment w:val="auto"/>
        <w:rPr>
          <w:rFonts w:ascii="宋体" w:hAnsi="宋体" w:cs="宋体"/>
          <w:iCs/>
          <w:szCs w:val="21"/>
          <w:u w:val="none"/>
        </w:rPr>
      </w:pPr>
      <w:r>
        <w:rPr>
          <w:rStyle w:val="56"/>
          <w:rFonts w:hint="eastAsia"/>
          <w:color w:val="auto"/>
          <w:kern w:val="0"/>
          <w:u w:val="none"/>
          <w:shd w:val="clear" w:color="auto" w:fill="FFFFFF"/>
          <w:lang w:eastAsia="zh-CN"/>
        </w:rPr>
        <w:t>长沙市轨道交通运营有限公司、长沙市轨道交通一号线建设发展有限公司、长沙市轨道交通三号线建设发展有限公司、长沙市轨道交通四号线建设发展有限公司、长沙市轨道交通五号线建设发展有限公司</w:t>
      </w:r>
      <w:r>
        <w:rPr>
          <w:rStyle w:val="56"/>
          <w:rFonts w:hint="eastAsia"/>
          <w:color w:val="auto"/>
          <w:kern w:val="0"/>
          <w:u w:val="none"/>
          <w:shd w:val="clear" w:color="auto" w:fill="FFFFFF"/>
        </w:rPr>
        <w:t>对长沙市轨道交通1、2、3、4、5号线运营期2022年-2023年代理购电服务项目进行自主竞争性谈判采购，现发布公告，邀请符合条件的单位参与谈判采购活动，本项目为不含税报价。</w:t>
      </w:r>
    </w:p>
    <w:p>
      <w:pPr>
        <w:pStyle w:val="41"/>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项目概况</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项目名称：长沙市轨道交通1、2、3、4、5号线运营期2022年-2023年代理购电服务项目</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项目编号：长轨运服采【20</w:t>
      </w:r>
      <w:r>
        <w:rPr>
          <w:rStyle w:val="56"/>
          <w:rFonts w:hint="eastAsia"/>
          <w:color w:val="auto"/>
          <w:kern w:val="0"/>
          <w:u w:val="none"/>
          <w:shd w:val="clear" w:color="auto" w:fill="FFFFFF"/>
          <w:lang w:val="en-US" w:eastAsia="zh-CN"/>
        </w:rPr>
        <w:t>22</w:t>
      </w:r>
      <w:r>
        <w:rPr>
          <w:rStyle w:val="56"/>
          <w:rFonts w:hint="eastAsia"/>
          <w:color w:val="auto"/>
          <w:kern w:val="0"/>
          <w:u w:val="none"/>
          <w:shd w:val="clear" w:color="auto" w:fill="FFFFFF"/>
        </w:rPr>
        <w:t>】</w:t>
      </w:r>
      <w:r>
        <w:rPr>
          <w:rStyle w:val="56"/>
          <w:rFonts w:hint="eastAsia"/>
          <w:color w:val="auto"/>
          <w:kern w:val="0"/>
          <w:u w:val="none"/>
          <w:shd w:val="clear" w:color="auto" w:fill="FFFFFF"/>
          <w:lang w:val="en-US" w:eastAsia="zh-CN"/>
        </w:rPr>
        <w:t>027</w:t>
      </w:r>
      <w:r>
        <w:rPr>
          <w:rStyle w:val="56"/>
          <w:rFonts w:hint="eastAsia"/>
          <w:color w:val="auto"/>
          <w:kern w:val="0"/>
          <w:u w:val="none"/>
          <w:shd w:val="clear" w:color="auto" w:fill="FFFFFF"/>
        </w:rPr>
        <w:t>号</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最高限价：</w:t>
      </w:r>
      <w:r>
        <w:rPr>
          <w:rStyle w:val="56"/>
          <w:rFonts w:hint="eastAsia" w:ascii="Times New Roman" w:hAnsi="Times New Roman" w:eastAsia="宋体" w:cs="Times New Roman"/>
          <w:color w:val="auto"/>
          <w:kern w:val="0"/>
          <w:u w:val="none"/>
          <w:shd w:val="clear" w:color="auto" w:fill="FFFFFF"/>
          <w:lang w:val="en-US" w:eastAsia="zh-CN"/>
        </w:rPr>
        <w:t>95万元，谈判单位正价差代理费≤1.90元/兆瓦时；谈判单位负价差分成比例≤10%</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 xml:space="preserve">标段划分：共划分 </w:t>
      </w:r>
      <w:r>
        <w:rPr>
          <w:rFonts w:hint="eastAsia"/>
          <w:color w:val="000000"/>
          <w:sz w:val="21"/>
          <w:szCs w:val="21"/>
          <w:u w:val="none"/>
          <w:shd w:val="clear" w:color="auto" w:fill="FFFFFF"/>
          <w:lang w:val="en-US" w:eastAsia="zh-CN" w:bidi="ar"/>
        </w:rPr>
        <w:t>/</w:t>
      </w:r>
      <w:r>
        <w:rPr>
          <w:rStyle w:val="56"/>
          <w:rFonts w:hint="eastAsia"/>
          <w:color w:val="auto"/>
          <w:kern w:val="0"/>
          <w:u w:val="none"/>
          <w:shd w:val="clear" w:color="auto" w:fill="FFFFFF"/>
        </w:rPr>
        <w:t xml:space="preserve"> 个标段。</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服务期限：本项目服务期限为</w:t>
      </w:r>
      <w:r>
        <w:rPr>
          <w:rStyle w:val="56"/>
          <w:rFonts w:hint="eastAsia" w:ascii="Times New Roman" w:hAnsi="Times New Roman" w:eastAsia="宋体" w:cs="Times New Roman"/>
          <w:color w:val="auto"/>
          <w:kern w:val="0"/>
          <w:u w:val="none"/>
          <w:shd w:val="clear" w:color="auto" w:fill="FFFFFF"/>
          <w:lang w:val="en-US" w:eastAsia="zh-CN"/>
        </w:rPr>
        <w:t>2022年10月1日至2023年9月30日，总计12个月</w:t>
      </w:r>
      <w:r>
        <w:rPr>
          <w:rFonts w:hint="default" w:ascii="Times New Roman" w:hAnsi="Times New Roman" w:eastAsia="仿宋_GB2312" w:cs="Times New Roman"/>
          <w:bCs/>
          <w:color w:val="auto"/>
          <w:sz w:val="32"/>
          <w:szCs w:val="32"/>
          <w:u w:val="none"/>
          <w:lang w:val="en-US" w:eastAsia="zh-CN"/>
        </w:rPr>
        <w:t>。</w:t>
      </w:r>
      <w:r>
        <w:rPr>
          <w:rStyle w:val="56"/>
          <w:rFonts w:hint="eastAsia"/>
          <w:color w:val="auto"/>
          <w:kern w:val="0"/>
          <w:u w:val="none"/>
          <w:shd w:val="clear" w:color="auto" w:fill="FFFFFF"/>
        </w:rPr>
        <w:t>（实际</w:t>
      </w:r>
      <w:r>
        <w:rPr>
          <w:rStyle w:val="56"/>
          <w:rFonts w:hint="eastAsia"/>
          <w:color w:val="auto"/>
          <w:kern w:val="0"/>
          <w:u w:val="none"/>
          <w:shd w:val="clear" w:color="auto" w:fill="FFFFFF"/>
          <w:lang w:eastAsia="zh-CN"/>
        </w:rPr>
        <w:t>进场</w:t>
      </w:r>
      <w:r>
        <w:rPr>
          <w:rStyle w:val="56"/>
          <w:rFonts w:hint="eastAsia"/>
          <w:color w:val="auto"/>
          <w:kern w:val="0"/>
          <w:u w:val="none"/>
          <w:shd w:val="clear" w:color="auto" w:fill="FFFFFF"/>
        </w:rPr>
        <w:t>时间以采购单位发出</w:t>
      </w:r>
      <w:r>
        <w:rPr>
          <w:rStyle w:val="56"/>
          <w:rFonts w:hint="eastAsia"/>
          <w:color w:val="auto"/>
          <w:kern w:val="0"/>
          <w:u w:val="none"/>
          <w:shd w:val="clear" w:color="auto" w:fill="FFFFFF"/>
          <w:lang w:eastAsia="zh-CN"/>
        </w:rPr>
        <w:t>书面通知上载明的日期为准</w:t>
      </w:r>
      <w:r>
        <w:rPr>
          <w:rStyle w:val="56"/>
          <w:rFonts w:hint="eastAsia"/>
          <w:color w:val="auto"/>
          <w:kern w:val="0"/>
          <w:u w:val="none"/>
          <w:shd w:val="clear" w:color="auto" w:fill="FFFFFF"/>
        </w:rPr>
        <w:t>）。（具体详见用户需求书）</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采购范围：本项目主要</w:t>
      </w:r>
      <w:r>
        <w:rPr>
          <w:rStyle w:val="56"/>
          <w:rFonts w:hint="eastAsia" w:ascii="Times New Roman" w:hAnsi="Times New Roman" w:eastAsia="宋体" w:cs="Times New Roman"/>
          <w:color w:val="auto"/>
          <w:kern w:val="0"/>
          <w:u w:val="none"/>
          <w:shd w:val="clear" w:color="auto" w:fill="FFFFFF"/>
          <w:lang w:val="en-US" w:eastAsia="zh-CN"/>
        </w:rPr>
        <w:t>由谈判单位根据《湖南省电力中长期交易规则》、湖南省电力交易中心交易公告，为长沙市轨道交通1、2、3、4、5号线代理开展电力市场化交易（含采购单位、谈判单位、电力交易中心三方协议签订，交易公示及绑定手续办理）</w:t>
      </w:r>
      <w:r>
        <w:rPr>
          <w:rStyle w:val="56"/>
          <w:rFonts w:hint="eastAsia"/>
          <w:color w:val="auto"/>
          <w:kern w:val="0"/>
          <w:u w:val="none"/>
          <w:shd w:val="clear" w:color="auto" w:fill="FFFFFF"/>
        </w:rPr>
        <w:t>的服务。（具体详见用户需求书）</w:t>
      </w:r>
    </w:p>
    <w:p>
      <w:pPr>
        <w:pStyle w:val="41"/>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资格要求</w:t>
      </w:r>
    </w:p>
    <w:p>
      <w:pPr>
        <w:keepNext w:val="0"/>
        <w:keepLines w:val="0"/>
        <w:pageBreakBefore w:val="0"/>
        <w:numPr>
          <w:ilvl w:val="0"/>
          <w:numId w:val="8"/>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谈判单位须为具有独立法人资格、自主经营、独立核算的公司/单位</w:t>
      </w:r>
      <w:r>
        <w:rPr>
          <w:rStyle w:val="56"/>
          <w:rFonts w:hint="eastAsia"/>
          <w:color w:val="auto"/>
          <w:kern w:val="0"/>
          <w:u w:val="none"/>
          <w:shd w:val="clear" w:color="auto" w:fill="FFFFFF"/>
          <w:lang w:eastAsia="zh-CN"/>
        </w:rPr>
        <w:t>，</w:t>
      </w:r>
      <w:r>
        <w:rPr>
          <w:rFonts w:hint="eastAsia" w:ascii="宋体" w:hAnsi="宋体"/>
          <w:u w:val="none"/>
        </w:rPr>
        <w:t>在国内合法销售和提供本项目要求产品及服务，经营活动中无不良记录（提供电力交易平台、“信用中国”网站等政府指定网站网页打印，并加盖单位公章）的售电公司</w:t>
      </w:r>
      <w:r>
        <w:rPr>
          <w:rStyle w:val="56"/>
          <w:rFonts w:hint="eastAsia"/>
          <w:color w:val="auto"/>
          <w:kern w:val="0"/>
          <w:u w:val="none"/>
          <w:shd w:val="clear" w:color="auto" w:fill="FFFFFF"/>
        </w:rPr>
        <w:t>。</w:t>
      </w:r>
    </w:p>
    <w:p>
      <w:pPr>
        <w:keepNext w:val="0"/>
        <w:keepLines w:val="0"/>
        <w:pageBreakBefore w:val="0"/>
        <w:numPr>
          <w:ilvl w:val="0"/>
          <w:numId w:val="8"/>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ascii="Times New Roman" w:hAnsi="Times New Roman" w:eastAsia="宋体" w:cs="Times New Roman"/>
          <w:color w:val="auto"/>
          <w:kern w:val="0"/>
          <w:u w:val="none"/>
          <w:shd w:val="clear" w:color="auto" w:fill="FFFFFF"/>
        </w:rPr>
        <w:t>谈判单位须是列入湖南省发改委公布的湖南省售电公司目录且已在交易中心完成市场注册的售电公司</w:t>
      </w:r>
      <w:r>
        <w:rPr>
          <w:rStyle w:val="56"/>
          <w:rFonts w:hint="eastAsia" w:ascii="Times New Roman" w:hAnsi="Times New Roman" w:eastAsia="宋体" w:cs="Times New Roman"/>
          <w:color w:val="auto"/>
          <w:kern w:val="0"/>
          <w:u w:val="none"/>
          <w:shd w:val="clear" w:color="auto" w:fill="FFFFFF"/>
          <w:lang w:eastAsia="zh-CN"/>
        </w:rPr>
        <w:t>。</w:t>
      </w:r>
    </w:p>
    <w:p>
      <w:pPr>
        <w:keepNext w:val="0"/>
        <w:keepLines w:val="0"/>
        <w:pageBreakBefore w:val="0"/>
        <w:numPr>
          <w:ilvl w:val="0"/>
          <w:numId w:val="8"/>
        </w:numPr>
        <w:kinsoku/>
        <w:wordWrap/>
        <w:overflowPunct/>
        <w:topLinePunct w:val="0"/>
        <w:autoSpaceDE/>
        <w:autoSpaceDN/>
        <w:bidi w:val="0"/>
        <w:spacing w:line="360" w:lineRule="auto"/>
        <w:ind w:left="0" w:leftChars="0" w:firstLine="420" w:firstLineChars="200"/>
        <w:textAlignment w:val="auto"/>
        <w:rPr>
          <w:rStyle w:val="56"/>
          <w:rFonts w:hint="eastAsia" w:ascii="Times New Roman" w:hAnsi="Times New Roman" w:eastAsia="宋体" w:cs="Times New Roman"/>
          <w:color w:val="auto"/>
          <w:kern w:val="0"/>
          <w:u w:val="none"/>
          <w:shd w:val="clear" w:color="auto" w:fill="FFFFFF"/>
        </w:rPr>
      </w:pPr>
      <w:r>
        <w:rPr>
          <w:rStyle w:val="56"/>
          <w:rFonts w:hint="eastAsia" w:ascii="Times New Roman" w:hAnsi="Times New Roman" w:eastAsia="宋体" w:cs="Times New Roman"/>
          <w:color w:val="auto"/>
          <w:kern w:val="0"/>
          <w:u w:val="none"/>
          <w:shd w:val="clear" w:color="auto" w:fill="FFFFFF"/>
        </w:rPr>
        <w:t>谈判单位须具有在本项目谈判截止之日前12个月内累计不少于2.5亿千瓦时湖南省电力市场交易成交电量。不接受联合体业绩、港澳台或境外业绩。</w:t>
      </w:r>
      <w:bookmarkStart w:id="140" w:name="_GoBack"/>
      <w:bookmarkEnd w:id="140"/>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Style w:val="56"/>
          <w:color w:val="auto"/>
          <w:u w:val="none"/>
          <w:shd w:val="clear" w:color="auto" w:fill="FFFFFF"/>
        </w:rPr>
      </w:pPr>
      <w:r>
        <w:rPr>
          <w:rFonts w:hint="eastAsia"/>
          <w:u w:val="none"/>
        </w:rPr>
        <w:t>业绩证明材料以同时提供的谈判单位与电力交易中心平台交易截图或结算清单（均须加盖谈判单位公章）为准</w:t>
      </w:r>
      <w:r>
        <w:rPr>
          <w:rStyle w:val="56"/>
          <w:rFonts w:hint="eastAsia"/>
          <w:color w:val="auto"/>
          <w:u w:val="none"/>
          <w:shd w:val="clear" w:color="auto" w:fill="FFFFFF"/>
        </w:rPr>
        <w:t>。</w:t>
      </w:r>
    </w:p>
    <w:p>
      <w:pPr>
        <w:keepNext w:val="0"/>
        <w:keepLines w:val="0"/>
        <w:pageBreakBefore w:val="0"/>
        <w:numPr>
          <w:ilvl w:val="0"/>
          <w:numId w:val="8"/>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color w:val="auto"/>
          <w:u w:val="none"/>
          <w:shd w:val="clear" w:color="auto" w:fill="FFFFFF"/>
        </w:rPr>
        <w:t>本</w:t>
      </w:r>
      <w:r>
        <w:rPr>
          <w:rStyle w:val="56"/>
          <w:rFonts w:hint="eastAsia"/>
          <w:color w:val="auto"/>
          <w:u w:val="none"/>
          <w:shd w:val="clear" w:color="auto" w:fill="FFFFFF"/>
        </w:rPr>
        <w:t>次采购</w:t>
      </w:r>
      <w:r>
        <w:rPr>
          <w:rStyle w:val="56"/>
          <w:color w:val="auto"/>
          <w:u w:val="none"/>
          <w:shd w:val="clear" w:color="auto" w:fill="FFFFFF"/>
        </w:rPr>
        <w:t>不接受联合体</w:t>
      </w:r>
      <w:r>
        <w:rPr>
          <w:rStyle w:val="56"/>
          <w:rFonts w:hint="eastAsia"/>
          <w:color w:val="auto"/>
          <w:kern w:val="0"/>
          <w:u w:val="none"/>
          <w:shd w:val="clear" w:color="auto" w:fill="FFFFFF"/>
        </w:rPr>
        <w:t>。</w:t>
      </w:r>
    </w:p>
    <w:p>
      <w:pPr>
        <w:keepNext w:val="0"/>
        <w:keepLines w:val="0"/>
        <w:pageBreakBefore w:val="0"/>
        <w:numPr>
          <w:ilvl w:val="0"/>
          <w:numId w:val="8"/>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color w:val="auto"/>
          <w:u w:val="none"/>
          <w:shd w:val="clear" w:color="auto" w:fill="FFFFFF"/>
        </w:rPr>
        <w:t>被长沙市轨道交通集团</w:t>
      </w:r>
      <w:r>
        <w:rPr>
          <w:rStyle w:val="56"/>
          <w:rFonts w:hint="eastAsia"/>
          <w:color w:val="auto"/>
          <w:u w:val="none"/>
          <w:shd w:val="clear" w:color="auto" w:fill="FFFFFF"/>
        </w:rPr>
        <w:t>有限公司或长沙市轨道交通运营有限公司函告禁止在一定期限内参与投标的单位按函告内容执行</w:t>
      </w:r>
      <w:r>
        <w:rPr>
          <w:rStyle w:val="56"/>
          <w:rFonts w:hint="eastAsia"/>
          <w:color w:val="auto"/>
          <w:kern w:val="0"/>
          <w:u w:val="none"/>
          <w:shd w:val="clear" w:color="auto" w:fill="FFFFFF"/>
        </w:rPr>
        <w:t>。</w:t>
      </w:r>
    </w:p>
    <w:p>
      <w:pPr>
        <w:pStyle w:val="41"/>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评审办法</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Cs w:val="21"/>
          <w:u w:val="none"/>
          <w:lang w:val="en-US" w:eastAsia="zh-CN"/>
        </w:rPr>
      </w:pPr>
      <w:r>
        <w:rPr>
          <w:rStyle w:val="56"/>
          <w:rFonts w:hint="eastAsia"/>
          <w:color w:val="auto"/>
          <w:kern w:val="0"/>
          <w:u w:val="none"/>
          <w:shd w:val="clear" w:color="auto" w:fill="FFFFFF"/>
        </w:rPr>
        <w:t>本项目评审办法采用综合评</w:t>
      </w:r>
      <w:r>
        <w:rPr>
          <w:rStyle w:val="56"/>
          <w:rFonts w:hint="eastAsia"/>
          <w:color w:val="auto"/>
          <w:kern w:val="0"/>
          <w:u w:val="none"/>
          <w:shd w:val="clear" w:color="auto" w:fill="FFFFFF"/>
          <w:lang w:eastAsia="zh-CN"/>
        </w:rPr>
        <w:t>审</w:t>
      </w:r>
      <w:r>
        <w:rPr>
          <w:rStyle w:val="56"/>
          <w:rFonts w:hint="eastAsia"/>
          <w:color w:val="auto"/>
          <w:kern w:val="0"/>
          <w:u w:val="none"/>
          <w:shd w:val="clear" w:color="auto" w:fill="FFFFFF"/>
        </w:rPr>
        <w:t>法</w:t>
      </w:r>
      <w:r>
        <w:rPr>
          <w:rStyle w:val="56"/>
          <w:rFonts w:hint="eastAsia"/>
          <w:color w:val="auto"/>
          <w:kern w:val="0"/>
          <w:u w:val="none"/>
          <w:shd w:val="clear" w:color="auto" w:fill="FFFFFF"/>
          <w:lang w:eastAsia="zh-CN"/>
        </w:rPr>
        <w:t>。</w:t>
      </w:r>
    </w:p>
    <w:p>
      <w:pPr>
        <w:pStyle w:val="41"/>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自主竞争性谈判文件的获取</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凡有意参加谈判的单位，</w:t>
      </w:r>
      <w:r>
        <w:rPr>
          <w:rStyle w:val="56"/>
          <w:rFonts w:hint="eastAsia"/>
          <w:color w:val="auto"/>
          <w:kern w:val="0"/>
          <w:u w:val="none"/>
          <w:shd w:val="clear" w:color="auto" w:fill="FFFFFF"/>
          <w:lang w:val="en-US" w:eastAsia="zh-CN"/>
        </w:rPr>
        <w:t>自本公告发布之日起登录长沙市轨道交通集团有限公司官方网站（http://www.hncsmtr.com/）获取自主竞争性谈判文件。</w:t>
      </w:r>
    </w:p>
    <w:p>
      <w:pPr>
        <w:pStyle w:val="41"/>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谈判文件的澄清与答疑</w:t>
      </w:r>
    </w:p>
    <w:p>
      <w:pPr>
        <w:pStyle w:val="41"/>
        <w:keepNext w:val="0"/>
        <w:keepLines w:val="0"/>
        <w:pageBreakBefore w:val="0"/>
        <w:numPr>
          <w:ilvl w:val="0"/>
          <w:numId w:val="9"/>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本项目不组织答疑会和现场踏勘。</w:t>
      </w:r>
    </w:p>
    <w:p>
      <w:pPr>
        <w:pStyle w:val="41"/>
        <w:keepNext w:val="0"/>
        <w:keepLines w:val="0"/>
        <w:pageBreakBefore w:val="0"/>
        <w:numPr>
          <w:ilvl w:val="0"/>
          <w:numId w:val="9"/>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谈判单位若对谈判文件有任何疑问，应于20</w:t>
      </w:r>
      <w:r>
        <w:rPr>
          <w:rStyle w:val="56"/>
          <w:rFonts w:hint="eastAsia" w:ascii="Times New Roman" w:hAnsi="Times New Roman" w:cs="Times New Roman"/>
          <w:color w:val="auto"/>
          <w:sz w:val="21"/>
          <w:u w:val="none"/>
          <w:shd w:val="clear" w:color="auto" w:fill="FFFFFF"/>
          <w:lang w:val="en-US" w:eastAsia="zh-CN"/>
        </w:rPr>
        <w:t>22</w:t>
      </w:r>
      <w:r>
        <w:rPr>
          <w:rStyle w:val="56"/>
          <w:rFonts w:hint="eastAsia" w:ascii="Times New Roman" w:hAnsi="Times New Roman" w:cs="Times New Roman"/>
          <w:color w:val="auto"/>
          <w:sz w:val="21"/>
          <w:u w:val="none"/>
          <w:shd w:val="clear" w:color="auto" w:fill="FFFFFF"/>
        </w:rPr>
        <w:t>年</w:t>
      </w:r>
      <w:r>
        <w:rPr>
          <w:rStyle w:val="56"/>
          <w:rFonts w:hint="eastAsia" w:ascii="Times New Roman" w:hAnsi="Times New Roman" w:cs="Times New Roman"/>
          <w:color w:val="auto"/>
          <w:sz w:val="21"/>
          <w:u w:val="none"/>
          <w:shd w:val="clear" w:color="auto" w:fill="FFFFFF"/>
          <w:lang w:val="en-US" w:eastAsia="zh-CN"/>
        </w:rPr>
        <w:t>9</w:t>
      </w:r>
      <w:r>
        <w:rPr>
          <w:rStyle w:val="56"/>
          <w:rFonts w:hint="eastAsia" w:ascii="Times New Roman" w:hAnsi="Times New Roman" w:cs="Times New Roman"/>
          <w:color w:val="auto"/>
          <w:sz w:val="21"/>
          <w:u w:val="none"/>
          <w:shd w:val="clear" w:color="auto" w:fill="FFFFFF"/>
        </w:rPr>
        <w:t>月</w:t>
      </w:r>
      <w:r>
        <w:rPr>
          <w:rStyle w:val="56"/>
          <w:rFonts w:hint="eastAsia" w:ascii="Times New Roman" w:hAnsi="Times New Roman" w:cs="Times New Roman"/>
          <w:color w:val="auto"/>
          <w:sz w:val="21"/>
          <w:u w:val="none"/>
          <w:shd w:val="clear" w:color="auto" w:fill="FFFFFF"/>
          <w:lang w:val="en-US" w:eastAsia="zh-CN"/>
        </w:rPr>
        <w:t>9</w:t>
      </w:r>
      <w:r>
        <w:rPr>
          <w:rStyle w:val="56"/>
          <w:rFonts w:hint="eastAsia" w:ascii="Times New Roman" w:hAnsi="Times New Roman" w:cs="Times New Roman"/>
          <w:color w:val="auto"/>
          <w:sz w:val="21"/>
          <w:u w:val="none"/>
          <w:shd w:val="clear" w:color="auto" w:fill="FFFFFF"/>
        </w:rPr>
        <w:t>日17：00时（含）前（节假日除外）以书面形式（经法定代表人签字或盖章，并加盖单位公章）递交至采购单位。</w:t>
      </w:r>
    </w:p>
    <w:p>
      <w:pPr>
        <w:pStyle w:val="41"/>
        <w:keepNext w:val="0"/>
        <w:keepLines w:val="0"/>
        <w:pageBreakBefore w:val="0"/>
        <w:numPr>
          <w:ilvl w:val="0"/>
          <w:numId w:val="9"/>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在谈判截止时间前，采购单位或采购代理机构可主动地或在解答谈判单位提出的问题时对谈判文件进行澄清或修改。</w:t>
      </w:r>
    </w:p>
    <w:p>
      <w:pPr>
        <w:pStyle w:val="41"/>
        <w:keepNext w:val="0"/>
        <w:keepLines w:val="0"/>
        <w:pageBreakBefore w:val="0"/>
        <w:numPr>
          <w:ilvl w:val="0"/>
          <w:numId w:val="9"/>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41"/>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响应文件的递交</w:t>
      </w:r>
    </w:p>
    <w:p>
      <w:pPr>
        <w:pStyle w:val="41"/>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响应文件递交的截止时间及谈判时间为20</w:t>
      </w:r>
      <w:r>
        <w:rPr>
          <w:rStyle w:val="56"/>
          <w:rFonts w:hint="eastAsia" w:ascii="Times New Roman" w:hAnsi="Times New Roman" w:cs="Times New Roman"/>
          <w:color w:val="auto"/>
          <w:sz w:val="21"/>
          <w:u w:val="none"/>
          <w:shd w:val="clear" w:color="auto" w:fill="FFFFFF"/>
          <w:lang w:val="en-US" w:eastAsia="zh-CN"/>
        </w:rPr>
        <w:t>22</w:t>
      </w:r>
      <w:r>
        <w:rPr>
          <w:rStyle w:val="56"/>
          <w:rFonts w:hint="eastAsia" w:ascii="Times New Roman" w:hAnsi="Times New Roman" w:cs="Times New Roman"/>
          <w:color w:val="auto"/>
          <w:sz w:val="21"/>
          <w:u w:val="none"/>
          <w:shd w:val="clear" w:color="auto" w:fill="FFFFFF"/>
        </w:rPr>
        <w:t>年</w:t>
      </w:r>
      <w:r>
        <w:rPr>
          <w:rStyle w:val="56"/>
          <w:rFonts w:hint="eastAsia" w:ascii="Times New Roman" w:hAnsi="Times New Roman" w:cs="Times New Roman"/>
          <w:color w:val="auto"/>
          <w:sz w:val="21"/>
          <w:u w:val="none"/>
          <w:shd w:val="clear" w:color="auto" w:fill="FFFFFF"/>
          <w:lang w:val="en-US" w:eastAsia="zh-CN"/>
        </w:rPr>
        <w:t>9</w:t>
      </w:r>
      <w:r>
        <w:rPr>
          <w:rStyle w:val="56"/>
          <w:rFonts w:hint="eastAsia" w:ascii="Times New Roman" w:hAnsi="Times New Roman" w:cs="Times New Roman"/>
          <w:color w:val="auto"/>
          <w:sz w:val="21"/>
          <w:u w:val="none"/>
          <w:shd w:val="clear" w:color="auto" w:fill="FFFFFF"/>
        </w:rPr>
        <w:t>月</w:t>
      </w:r>
      <w:r>
        <w:rPr>
          <w:rStyle w:val="56"/>
          <w:rFonts w:hint="eastAsia" w:ascii="Times New Roman" w:hAnsi="Times New Roman" w:cs="Times New Roman"/>
          <w:color w:val="auto"/>
          <w:sz w:val="21"/>
          <w:u w:val="none"/>
          <w:shd w:val="clear" w:color="auto" w:fill="FFFFFF"/>
          <w:lang w:val="en-US" w:eastAsia="zh-CN"/>
        </w:rPr>
        <w:t>16</w:t>
      </w:r>
      <w:r>
        <w:rPr>
          <w:rStyle w:val="56"/>
          <w:rFonts w:hint="eastAsia" w:ascii="Times New Roman" w:hAnsi="Times New Roman" w:cs="Times New Roman"/>
          <w:color w:val="auto"/>
          <w:sz w:val="21"/>
          <w:u w:val="none"/>
          <w:shd w:val="clear" w:color="auto" w:fill="FFFFFF"/>
        </w:rPr>
        <w:t>日</w:t>
      </w:r>
      <w:r>
        <w:rPr>
          <w:rStyle w:val="56"/>
          <w:rFonts w:hint="eastAsia" w:ascii="Times New Roman" w:hAnsi="Times New Roman" w:cs="Times New Roman"/>
          <w:color w:val="auto"/>
          <w:sz w:val="21"/>
          <w:u w:val="none"/>
          <w:shd w:val="clear" w:color="auto" w:fill="FFFFFF"/>
          <w:lang w:val="en-US" w:eastAsia="zh-CN"/>
        </w:rPr>
        <w:t>9</w:t>
      </w:r>
      <w:r>
        <w:rPr>
          <w:rStyle w:val="56"/>
          <w:rFonts w:hint="eastAsia" w:ascii="Times New Roman" w:hAnsi="Times New Roman" w:cs="Times New Roman"/>
          <w:color w:val="auto"/>
          <w:sz w:val="21"/>
          <w:u w:val="none"/>
          <w:shd w:val="clear" w:color="auto" w:fill="FFFFFF"/>
        </w:rPr>
        <w:t>时</w:t>
      </w:r>
      <w:r>
        <w:rPr>
          <w:rStyle w:val="56"/>
          <w:rFonts w:hint="eastAsia" w:ascii="Times New Roman" w:hAnsi="Times New Roman" w:cs="Times New Roman"/>
          <w:color w:val="auto"/>
          <w:sz w:val="21"/>
          <w:u w:val="none"/>
          <w:shd w:val="clear" w:color="auto" w:fill="FFFFFF"/>
          <w:lang w:val="en-US" w:eastAsia="zh-CN"/>
        </w:rPr>
        <w:t>30</w:t>
      </w:r>
      <w:r>
        <w:rPr>
          <w:rStyle w:val="56"/>
          <w:rFonts w:hint="eastAsia" w:ascii="Times New Roman" w:hAnsi="Times New Roman" w:cs="Times New Roman"/>
          <w:color w:val="auto"/>
          <w:sz w:val="21"/>
          <w:u w:val="none"/>
          <w:shd w:val="clear" w:color="auto" w:fill="FFFFFF"/>
        </w:rPr>
        <w:t>分，地点为长沙市劳动东路二段48号黄兴车辆段综合楼9楼910电子评标室。</w:t>
      </w:r>
    </w:p>
    <w:p>
      <w:pPr>
        <w:pStyle w:val="41"/>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逾期送达的或者未送达指定地点的或者未密封的响应文件（含电子文件），采购单位或采购代理机构将予以拒收。</w:t>
      </w:r>
    </w:p>
    <w:p>
      <w:pPr>
        <w:pStyle w:val="41"/>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谈判单位代表应佩戴口罩，携带身份证进行实名登记，配合做好体温检测，提供“健康码”、“行程码”及48小时内核酸检测证明，否则响应文件将予以拒收。</w:t>
      </w:r>
    </w:p>
    <w:p>
      <w:pPr>
        <w:pStyle w:val="41"/>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中选原则</w:t>
      </w:r>
    </w:p>
    <w:p>
      <w:pPr>
        <w:pStyle w:val="41"/>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hint="eastAsia" w:ascii="Times New Roman" w:hAnsi="Times New Roman" w:eastAsia="宋体" w:cs="Times New Roman"/>
          <w:color w:val="auto"/>
          <w:sz w:val="21"/>
          <w:u w:val="none"/>
          <w:shd w:val="clear" w:color="auto" w:fill="FFFFFF"/>
        </w:rPr>
      </w:pPr>
      <w:r>
        <w:rPr>
          <w:rStyle w:val="56"/>
          <w:rFonts w:hint="eastAsia" w:ascii="Times New Roman" w:hAnsi="Times New Roman" w:eastAsia="宋体" w:cs="Times New Roman"/>
          <w:color w:val="auto"/>
          <w:sz w:val="21"/>
          <w:u w:val="none"/>
          <w:shd w:val="clear" w:color="auto" w:fill="FFFFFF"/>
        </w:rPr>
        <w:t>谈判评审小组按照综合得分由高到低的顺序推荐不超过3名中选候选人</w:t>
      </w:r>
      <w:r>
        <w:rPr>
          <w:rStyle w:val="56"/>
          <w:rFonts w:hint="eastAsia" w:ascii="Times New Roman" w:hAnsi="Times New Roman" w:eastAsia="宋体" w:cs="Times New Roman"/>
          <w:color w:val="auto"/>
          <w:sz w:val="21"/>
          <w:u w:val="none"/>
          <w:shd w:val="clear" w:color="auto" w:fill="FFFFFF"/>
          <w:lang w:eastAsia="zh-CN"/>
        </w:rPr>
        <w:t>，</w:t>
      </w:r>
      <w:r>
        <w:rPr>
          <w:rStyle w:val="56"/>
          <w:rFonts w:hint="eastAsia" w:ascii="Times New Roman" w:hAnsi="Times New Roman" w:eastAsia="宋体" w:cs="Times New Roman"/>
          <w:color w:val="auto"/>
          <w:sz w:val="21"/>
          <w:u w:val="none"/>
          <w:shd w:val="clear" w:color="auto" w:fill="FFFFFF"/>
        </w:rPr>
        <w:t>并对排名第一的中选候选人进行公示。经公示无异议后，确定排名第一的中选候选人为中选人。</w:t>
      </w:r>
    </w:p>
    <w:p>
      <w:pPr>
        <w:pStyle w:val="41"/>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Fonts w:hint="eastAsia" w:asciiTheme="minorEastAsia" w:hAnsiTheme="minorEastAsia" w:cstheme="minorEastAsia"/>
          <w:spacing w:val="0"/>
          <w:sz w:val="21"/>
          <w:szCs w:val="21"/>
          <w:u w:val="none"/>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r>
        <w:rPr>
          <w:rStyle w:val="56"/>
          <w:rFonts w:hint="eastAsia" w:ascii="Times New Roman" w:hAnsi="Times New Roman" w:cs="Times New Roman"/>
          <w:color w:val="auto"/>
          <w:sz w:val="21"/>
          <w:u w:val="none"/>
          <w:shd w:val="clear" w:color="auto" w:fill="FFFFFF"/>
        </w:rPr>
        <w:t>。</w:t>
      </w:r>
    </w:p>
    <w:p>
      <w:pPr>
        <w:pStyle w:val="41"/>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异议与投诉</w:t>
      </w:r>
    </w:p>
    <w:p>
      <w:pPr>
        <w:pStyle w:val="41"/>
        <w:keepNext w:val="0"/>
        <w:keepLines w:val="0"/>
        <w:pageBreakBefore w:val="0"/>
        <w:numPr>
          <w:ilvl w:val="0"/>
          <w:numId w:val="12"/>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供应商或者其他利害关系人对评审结果有异议的，应当在结果公示规定的期限内向采购人提出。异议的提出与处理按《长沙市轨道交通运营有限公司服务类采购管理办法(试行）》执行。</w:t>
      </w:r>
    </w:p>
    <w:p>
      <w:pPr>
        <w:pStyle w:val="41"/>
        <w:keepNext w:val="0"/>
        <w:keepLines w:val="0"/>
        <w:pageBreakBefore w:val="0"/>
        <w:numPr>
          <w:ilvl w:val="0"/>
          <w:numId w:val="12"/>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1"/>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jc w:val="both"/>
        <w:textAlignment w:val="auto"/>
        <w:rPr>
          <w:rStyle w:val="56"/>
          <w:rFonts w:ascii="Times New Roman" w:hAnsi="Times New Roman" w:cs="Times New Roman"/>
          <w:b/>
          <w:bCs/>
          <w:color w:val="auto"/>
          <w:sz w:val="21"/>
          <w:u w:val="none"/>
          <w:shd w:val="clear" w:color="auto" w:fill="FFFFFF"/>
        </w:rPr>
      </w:pPr>
      <w:r>
        <w:rPr>
          <w:rStyle w:val="56"/>
          <w:rFonts w:ascii="Times New Roman" w:hAnsi="Times New Roman" w:cs="Times New Roman"/>
          <w:b/>
          <w:bCs/>
          <w:color w:val="auto"/>
          <w:sz w:val="21"/>
          <w:u w:val="none"/>
          <w:shd w:val="clear" w:color="auto" w:fill="FFFFFF"/>
        </w:rPr>
        <w:t>联系方式</w:t>
      </w:r>
    </w:p>
    <w:p>
      <w:pPr>
        <w:pStyle w:val="4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56"/>
          <w:rFonts w:hint="eastAsia" w:ascii="Times New Roman" w:hAnsi="Times New Roman" w:cs="Times New Roman"/>
          <w:color w:val="auto"/>
          <w:sz w:val="21"/>
          <w:u w:val="none"/>
          <w:shd w:val="clear" w:color="auto" w:fill="FFFFFF"/>
          <w:lang w:eastAsia="zh-CN"/>
        </w:rPr>
      </w:pPr>
      <w:r>
        <w:rPr>
          <w:rStyle w:val="56"/>
          <w:rFonts w:ascii="Times New Roman" w:hAnsi="Times New Roman" w:cs="Times New Roman"/>
          <w:color w:val="auto"/>
          <w:sz w:val="21"/>
          <w:u w:val="none"/>
          <w:shd w:val="clear" w:color="auto" w:fill="FFFFFF"/>
        </w:rPr>
        <w:t>采购人：</w:t>
      </w:r>
      <w:r>
        <w:rPr>
          <w:rStyle w:val="56"/>
          <w:rFonts w:hint="eastAsia" w:ascii="Times New Roman" w:hAnsi="Times New Roman" w:cs="Times New Roman"/>
          <w:color w:val="auto"/>
          <w:sz w:val="21"/>
          <w:u w:val="none"/>
          <w:shd w:val="clear" w:color="auto" w:fill="FFFFFF"/>
          <w:lang w:eastAsia="zh-CN"/>
        </w:rPr>
        <w:t>长沙市轨道交通运营有限公司</w:t>
      </w:r>
    </w:p>
    <w:p>
      <w:pPr>
        <w:pStyle w:val="4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56"/>
          <w:rFonts w:hint="eastAsia" w:ascii="Times New Roman" w:hAnsi="Times New Roman" w:cs="Times New Roman"/>
          <w:color w:val="auto"/>
          <w:sz w:val="21"/>
          <w:u w:val="none"/>
          <w:shd w:val="clear" w:color="auto" w:fill="FFFFFF"/>
          <w:lang w:eastAsia="zh-CN"/>
        </w:rPr>
      </w:pPr>
      <w:r>
        <w:rPr>
          <w:rStyle w:val="56"/>
          <w:rFonts w:hint="eastAsia" w:ascii="Times New Roman" w:hAnsi="Times New Roman" w:cs="Times New Roman"/>
          <w:color w:val="auto"/>
          <w:sz w:val="21"/>
          <w:u w:val="none"/>
          <w:shd w:val="clear" w:color="auto" w:fill="FFFFFF"/>
          <w:lang w:eastAsia="zh-CN"/>
        </w:rPr>
        <w:t>长沙市轨道交通一号线建设发展有限公司</w:t>
      </w:r>
    </w:p>
    <w:p>
      <w:pPr>
        <w:pStyle w:val="4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56"/>
          <w:rFonts w:hint="eastAsia" w:ascii="Times New Roman" w:hAnsi="Times New Roman" w:cs="Times New Roman"/>
          <w:color w:val="auto"/>
          <w:sz w:val="21"/>
          <w:u w:val="none"/>
          <w:shd w:val="clear" w:color="auto" w:fill="FFFFFF"/>
          <w:lang w:eastAsia="zh-CN"/>
        </w:rPr>
      </w:pPr>
      <w:r>
        <w:rPr>
          <w:rStyle w:val="56"/>
          <w:rFonts w:hint="eastAsia" w:ascii="Times New Roman" w:hAnsi="Times New Roman" w:cs="Times New Roman"/>
          <w:color w:val="auto"/>
          <w:sz w:val="21"/>
          <w:u w:val="none"/>
          <w:shd w:val="clear" w:color="auto" w:fill="FFFFFF"/>
          <w:lang w:eastAsia="zh-CN"/>
        </w:rPr>
        <w:t>长沙市轨道交通三号线建设发展有限公司</w:t>
      </w:r>
    </w:p>
    <w:p>
      <w:pPr>
        <w:pStyle w:val="4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56"/>
          <w:rFonts w:hint="eastAsia" w:ascii="Times New Roman" w:hAnsi="Times New Roman" w:cs="Times New Roman"/>
          <w:color w:val="auto"/>
          <w:sz w:val="21"/>
          <w:u w:val="none"/>
          <w:shd w:val="clear" w:color="auto" w:fill="FFFFFF"/>
          <w:lang w:eastAsia="zh-CN"/>
        </w:rPr>
      </w:pPr>
      <w:r>
        <w:rPr>
          <w:rStyle w:val="56"/>
          <w:rFonts w:hint="eastAsia" w:ascii="Times New Roman" w:hAnsi="Times New Roman" w:cs="Times New Roman"/>
          <w:color w:val="auto"/>
          <w:sz w:val="21"/>
          <w:u w:val="none"/>
          <w:shd w:val="clear" w:color="auto" w:fill="FFFFFF"/>
          <w:lang w:eastAsia="zh-CN"/>
        </w:rPr>
        <w:t>长沙市轨道交通四号线建设发展有限公司</w:t>
      </w:r>
    </w:p>
    <w:p>
      <w:pPr>
        <w:pStyle w:val="4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56"/>
          <w:rFonts w:hint="eastAsia" w:ascii="Times New Roman" w:hAnsi="Times New Roman" w:eastAsia="宋体" w:cs="Times New Roman"/>
          <w:color w:val="auto"/>
          <w:sz w:val="21"/>
          <w:u w:val="none"/>
          <w:shd w:val="clear" w:color="auto" w:fill="FFFFFF"/>
          <w:lang w:eastAsia="zh-CN"/>
        </w:rPr>
      </w:pPr>
      <w:r>
        <w:rPr>
          <w:rStyle w:val="56"/>
          <w:rFonts w:hint="eastAsia" w:ascii="Times New Roman" w:hAnsi="Times New Roman" w:cs="Times New Roman"/>
          <w:color w:val="auto"/>
          <w:sz w:val="21"/>
          <w:u w:val="none"/>
          <w:shd w:val="clear" w:color="auto" w:fill="FFFFFF"/>
          <w:lang w:eastAsia="zh-CN"/>
        </w:rPr>
        <w:t>长沙市轨道交通五号线建设发展有限公司</w:t>
      </w:r>
    </w:p>
    <w:p>
      <w:pPr>
        <w:pStyle w:val="41"/>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highlight w:val="yellow"/>
          <w:u w:val="none"/>
          <w:shd w:val="clear" w:color="auto" w:fill="FFFFFF"/>
        </w:rPr>
      </w:pPr>
      <w:r>
        <w:rPr>
          <w:rStyle w:val="56"/>
          <w:rFonts w:ascii="Times New Roman" w:hAnsi="Times New Roman" w:cs="Times New Roman"/>
          <w:color w:val="auto"/>
          <w:sz w:val="21"/>
          <w:u w:val="none"/>
          <w:shd w:val="clear" w:color="auto" w:fill="FFFFFF"/>
        </w:rPr>
        <w:t>地</w:t>
      </w:r>
      <w:r>
        <w:rPr>
          <w:rStyle w:val="56"/>
          <w:rFonts w:hint="eastAsia" w:ascii="Times New Roman" w:hAnsi="Times New Roman" w:cs="Times New Roman"/>
          <w:color w:val="auto"/>
          <w:sz w:val="21"/>
          <w:u w:val="none"/>
          <w:shd w:val="clear" w:color="auto" w:fill="FFFFFF"/>
        </w:rPr>
        <w:t xml:space="preserve">  </w:t>
      </w:r>
      <w:r>
        <w:rPr>
          <w:rStyle w:val="56"/>
          <w:rFonts w:ascii="Times New Roman" w:hAnsi="Times New Roman" w:cs="Times New Roman"/>
          <w:color w:val="auto"/>
          <w:sz w:val="21"/>
          <w:u w:val="none"/>
          <w:shd w:val="clear" w:color="auto" w:fill="FFFFFF"/>
        </w:rPr>
        <w:t>址：</w:t>
      </w:r>
      <w:r>
        <w:rPr>
          <w:rStyle w:val="56"/>
          <w:rFonts w:hint="eastAsia" w:ascii="Times New Roman" w:hAnsi="Times New Roman" w:cs="Times New Roman"/>
          <w:color w:val="auto"/>
          <w:sz w:val="21"/>
          <w:u w:val="none"/>
          <w:shd w:val="clear" w:color="auto" w:fill="FFFFFF"/>
        </w:rPr>
        <w:t>湖南省</w:t>
      </w:r>
      <w:r>
        <w:rPr>
          <w:rStyle w:val="56"/>
          <w:rFonts w:ascii="Times New Roman" w:hAnsi="Times New Roman" w:cs="Times New Roman"/>
          <w:color w:val="auto"/>
          <w:sz w:val="21"/>
          <w:u w:val="none"/>
          <w:shd w:val="clear" w:color="auto" w:fill="FFFFFF"/>
        </w:rPr>
        <w:t>长沙市劳动东路二段48号黄兴车辆段</w:t>
      </w:r>
    </w:p>
    <w:p>
      <w:pPr>
        <w:pStyle w:val="41"/>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hint="eastAsia" w:ascii="Times New Roman" w:hAnsi="Times New Roman" w:eastAsia="宋体" w:cs="Times New Roman"/>
          <w:color w:val="auto"/>
          <w:sz w:val="21"/>
          <w:u w:val="none"/>
          <w:shd w:val="clear" w:color="auto" w:fill="FFFFFF"/>
          <w:lang w:eastAsia="zh-CN"/>
        </w:rPr>
      </w:pPr>
      <w:r>
        <w:rPr>
          <w:rStyle w:val="56"/>
          <w:rFonts w:ascii="Times New Roman" w:hAnsi="Times New Roman" w:cs="Times New Roman"/>
          <w:color w:val="auto"/>
          <w:sz w:val="21"/>
          <w:u w:val="none"/>
          <w:shd w:val="clear" w:color="auto" w:fill="FFFFFF"/>
        </w:rPr>
        <w:t>联系人：</w:t>
      </w:r>
      <w:r>
        <w:rPr>
          <w:rStyle w:val="56"/>
          <w:rFonts w:hint="eastAsia" w:ascii="Times New Roman" w:hAnsi="Times New Roman" w:cs="Times New Roman"/>
          <w:color w:val="auto"/>
          <w:sz w:val="21"/>
          <w:u w:val="none"/>
          <w:shd w:val="clear" w:color="auto" w:fill="FFFFFF"/>
          <w:lang w:eastAsia="zh-CN"/>
        </w:rPr>
        <w:t>黄工</w:t>
      </w:r>
    </w:p>
    <w:p>
      <w:pPr>
        <w:pStyle w:val="41"/>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hint="default" w:ascii="Times New Roman" w:hAnsi="Times New Roman" w:eastAsia="宋体" w:cs="Times New Roman"/>
          <w:color w:val="auto"/>
          <w:sz w:val="21"/>
          <w:u w:val="none"/>
          <w:shd w:val="clear" w:color="auto" w:fill="FFFFFF"/>
          <w:lang w:val="en-US" w:eastAsia="zh-CN"/>
        </w:rPr>
      </w:pPr>
      <w:r>
        <w:rPr>
          <w:rStyle w:val="56"/>
          <w:rFonts w:ascii="Times New Roman" w:hAnsi="Times New Roman" w:cs="Times New Roman"/>
          <w:color w:val="auto"/>
          <w:sz w:val="21"/>
          <w:u w:val="none"/>
          <w:shd w:val="clear" w:color="auto" w:fill="FFFFFF"/>
        </w:rPr>
        <w:t>电</w:t>
      </w:r>
      <w:r>
        <w:rPr>
          <w:rStyle w:val="56"/>
          <w:rFonts w:hint="eastAsia" w:ascii="Times New Roman" w:hAnsi="Times New Roman" w:cs="Times New Roman"/>
          <w:color w:val="auto"/>
          <w:sz w:val="21"/>
          <w:u w:val="none"/>
          <w:shd w:val="clear" w:color="auto" w:fill="FFFFFF"/>
        </w:rPr>
        <w:t xml:space="preserve">  </w:t>
      </w:r>
      <w:r>
        <w:rPr>
          <w:rStyle w:val="56"/>
          <w:rFonts w:ascii="Times New Roman" w:hAnsi="Times New Roman" w:cs="Times New Roman"/>
          <w:color w:val="auto"/>
          <w:sz w:val="21"/>
          <w:u w:val="none"/>
          <w:shd w:val="clear" w:color="auto" w:fill="FFFFFF"/>
        </w:rPr>
        <w:t>话：0731-</w:t>
      </w:r>
      <w:r>
        <w:rPr>
          <w:rStyle w:val="56"/>
          <w:rFonts w:hint="eastAsia" w:ascii="Times New Roman" w:hAnsi="Times New Roman" w:cs="Times New Roman"/>
          <w:color w:val="auto"/>
          <w:sz w:val="21"/>
          <w:u w:val="none"/>
          <w:shd w:val="clear" w:color="auto" w:fill="FFFFFF"/>
          <w:lang w:val="en-US" w:eastAsia="zh-CN"/>
        </w:rPr>
        <w:t>86852462</w:t>
      </w:r>
    </w:p>
    <w:p>
      <w:pPr>
        <w:pStyle w:val="41"/>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jc w:val="right"/>
        <w:textAlignment w:val="auto"/>
        <w:rPr>
          <w:rStyle w:val="56"/>
          <w:rFonts w:ascii="Times New Roman" w:hAnsi="Times New Roman" w:cs="Times New Roman"/>
          <w:color w:val="auto"/>
          <w:sz w:val="21"/>
          <w:u w:val="none"/>
          <w:shd w:val="clear" w:color="auto" w:fill="FFFFFF"/>
        </w:rPr>
      </w:pPr>
      <w:r>
        <w:rPr>
          <w:rFonts w:hint="eastAsia"/>
          <w:sz w:val="21"/>
          <w:szCs w:val="21"/>
          <w:u w:val="none"/>
        </w:rPr>
        <w:t>20</w:t>
      </w:r>
      <w:r>
        <w:rPr>
          <w:rFonts w:hint="eastAsia"/>
          <w:sz w:val="21"/>
          <w:szCs w:val="21"/>
          <w:u w:val="none"/>
          <w:lang w:val="en-US" w:eastAsia="zh-CN"/>
        </w:rPr>
        <w:t>22</w:t>
      </w:r>
      <w:r>
        <w:rPr>
          <w:rFonts w:hint="eastAsia"/>
          <w:sz w:val="21"/>
          <w:szCs w:val="21"/>
          <w:u w:val="none"/>
        </w:rPr>
        <w:t>年</w:t>
      </w:r>
      <w:r>
        <w:rPr>
          <w:rFonts w:hint="eastAsia"/>
          <w:sz w:val="21"/>
          <w:szCs w:val="21"/>
          <w:u w:val="none"/>
          <w:lang w:val="en-US" w:eastAsia="zh-CN"/>
        </w:rPr>
        <w:t>9</w:t>
      </w:r>
      <w:r>
        <w:rPr>
          <w:rFonts w:hint="eastAsia"/>
          <w:sz w:val="21"/>
          <w:szCs w:val="21"/>
          <w:u w:val="none"/>
        </w:rPr>
        <w:t>月</w:t>
      </w:r>
      <w:r>
        <w:rPr>
          <w:rFonts w:hint="eastAsia"/>
          <w:sz w:val="21"/>
          <w:szCs w:val="21"/>
          <w:u w:val="none"/>
          <w:lang w:val="en-US" w:eastAsia="zh-CN"/>
        </w:rPr>
        <w:t>2</w:t>
      </w:r>
      <w:r>
        <w:rPr>
          <w:rFonts w:hint="eastAsia"/>
          <w:sz w:val="21"/>
          <w:szCs w:val="21"/>
          <w:u w:val="none"/>
        </w:rPr>
        <w:t>日</w:t>
      </w:r>
    </w:p>
    <w:p>
      <w:pPr>
        <w:pStyle w:val="3"/>
        <w:keepNext w:val="0"/>
        <w:spacing w:after="240"/>
        <w:rPr>
          <w:rFonts w:ascii="黑体" w:hAnsi="黑体" w:eastAsia="黑体"/>
          <w:bCs w:val="0"/>
          <w:sz w:val="32"/>
          <w:szCs w:val="32"/>
          <w:u w:val="none"/>
        </w:rPr>
      </w:pPr>
      <w:r>
        <w:rPr>
          <w:rFonts w:ascii="黑体" w:hAnsi="黑体" w:eastAsia="黑体"/>
          <w:b w:val="0"/>
          <w:bCs w:val="0"/>
          <w:sz w:val="32"/>
          <w:szCs w:val="32"/>
          <w:u w:val="none"/>
        </w:rPr>
        <w:br w:type="page"/>
      </w:r>
      <w:bookmarkStart w:id="6" w:name="_Toc14891065"/>
      <w:bookmarkStart w:id="7" w:name="_Toc25243"/>
      <w:bookmarkStart w:id="8" w:name="_Toc6753"/>
      <w:bookmarkStart w:id="9" w:name="_Toc5145"/>
      <w:bookmarkStart w:id="10" w:name="_Toc10483"/>
      <w:bookmarkStart w:id="11" w:name="_Toc8914"/>
      <w:r>
        <w:rPr>
          <w:rFonts w:hint="eastAsia" w:ascii="宋体" w:hAnsi="宋体" w:cs="宋体"/>
          <w:bCs w:val="0"/>
          <w:sz w:val="32"/>
          <w:szCs w:val="32"/>
          <w:u w:val="none"/>
        </w:rPr>
        <w:t>第二章  谈判须知</w:t>
      </w:r>
      <w:bookmarkEnd w:id="6"/>
      <w:bookmarkEnd w:id="7"/>
      <w:bookmarkEnd w:id="8"/>
      <w:bookmarkEnd w:id="9"/>
      <w:bookmarkEnd w:id="10"/>
      <w:bookmarkEnd w:id="11"/>
    </w:p>
    <w:p>
      <w:pPr>
        <w:pStyle w:val="4"/>
        <w:keepNext w:val="0"/>
        <w:keepLines w:val="0"/>
        <w:jc w:val="center"/>
        <w:rPr>
          <w:rFonts w:ascii="宋体" w:hAnsi="宋体" w:cs="宋体"/>
          <w:sz w:val="32"/>
          <w:u w:val="none"/>
        </w:rPr>
      </w:pPr>
      <w:bookmarkStart w:id="12" w:name="_Toc9591"/>
      <w:bookmarkStart w:id="13" w:name="_Toc15079"/>
      <w:bookmarkStart w:id="14" w:name="_Toc14891066"/>
      <w:bookmarkStart w:id="15" w:name="_Toc5430"/>
      <w:bookmarkStart w:id="16" w:name="_Toc6617"/>
      <w:bookmarkStart w:id="17" w:name="_Toc28089"/>
      <w:r>
        <w:rPr>
          <w:rFonts w:hint="eastAsia" w:ascii="宋体" w:hAnsi="宋体" w:cs="宋体"/>
          <w:sz w:val="32"/>
          <w:u w:val="none"/>
        </w:rPr>
        <w:t>谈判须知前附表</w:t>
      </w:r>
      <w:bookmarkEnd w:id="12"/>
      <w:bookmarkEnd w:id="13"/>
      <w:bookmarkEnd w:id="14"/>
      <w:bookmarkEnd w:id="15"/>
      <w:bookmarkEnd w:id="16"/>
      <w:bookmarkEnd w:id="17"/>
    </w:p>
    <w:tbl>
      <w:tblPr>
        <w:tblStyle w:val="47"/>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4"/>
        <w:gridCol w:w="73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名  称</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采购项目</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s="宋体"/>
                <w:szCs w:val="21"/>
                <w:u w:val="none"/>
              </w:rPr>
            </w:pPr>
            <w:r>
              <w:rPr>
                <w:rFonts w:hint="eastAsia" w:ascii="宋体" w:hAnsi="宋体" w:cs="宋体"/>
                <w:szCs w:val="21"/>
                <w:u w:val="none"/>
              </w:rPr>
              <w:t>长沙市轨道交通1、2、3、4、5号线运营期2022年-2023年代理购电服务项目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采购单位</w:t>
            </w:r>
          </w:p>
        </w:tc>
        <w:tc>
          <w:tcPr>
            <w:tcW w:w="7338"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Style w:val="56"/>
                <w:rFonts w:hint="eastAsia" w:ascii="Times New Roman" w:hAnsi="Times New Roman" w:eastAsia="宋体" w:cs="Times New Roman"/>
                <w:color w:val="auto"/>
                <w:kern w:val="0"/>
                <w:u w:val="none"/>
                <w:shd w:val="clear" w:color="auto" w:fill="FFFFFF"/>
                <w:lang w:eastAsia="zh-CN"/>
              </w:rPr>
            </w:pPr>
            <w:r>
              <w:rPr>
                <w:rStyle w:val="56"/>
                <w:rFonts w:hint="eastAsia" w:ascii="Times New Roman" w:hAnsi="Times New Roman" w:eastAsia="宋体" w:cs="Times New Roman"/>
                <w:color w:val="auto"/>
                <w:kern w:val="0"/>
                <w:u w:val="none"/>
                <w:shd w:val="clear" w:color="auto" w:fill="FFFFFF"/>
                <w:lang w:eastAsia="zh-CN"/>
              </w:rPr>
              <w:t>长沙市轨道交通运营有限公司</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Style w:val="56"/>
                <w:rFonts w:hint="eastAsia" w:ascii="Times New Roman" w:hAnsi="Times New Roman" w:eastAsia="宋体" w:cs="Times New Roman"/>
                <w:color w:val="auto"/>
                <w:kern w:val="0"/>
                <w:u w:val="none"/>
                <w:shd w:val="clear" w:color="auto" w:fill="FFFFFF"/>
                <w:lang w:eastAsia="zh-CN"/>
              </w:rPr>
            </w:pPr>
            <w:r>
              <w:rPr>
                <w:rStyle w:val="56"/>
                <w:rFonts w:hint="eastAsia" w:ascii="Times New Roman" w:hAnsi="Times New Roman" w:eastAsia="宋体" w:cs="Times New Roman"/>
                <w:color w:val="auto"/>
                <w:kern w:val="0"/>
                <w:u w:val="none"/>
                <w:shd w:val="clear" w:color="auto" w:fill="FFFFFF"/>
                <w:lang w:eastAsia="zh-CN"/>
              </w:rPr>
              <w:t>长沙市轨道交通一号线建设发展有限公司</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Style w:val="56"/>
                <w:rFonts w:hint="eastAsia" w:ascii="Times New Roman" w:hAnsi="Times New Roman" w:eastAsia="宋体" w:cs="Times New Roman"/>
                <w:color w:val="auto"/>
                <w:kern w:val="0"/>
                <w:u w:val="none"/>
                <w:shd w:val="clear" w:color="auto" w:fill="FFFFFF"/>
                <w:lang w:eastAsia="zh-CN"/>
              </w:rPr>
            </w:pPr>
            <w:r>
              <w:rPr>
                <w:rStyle w:val="56"/>
                <w:rFonts w:hint="eastAsia" w:ascii="Times New Roman" w:hAnsi="Times New Roman" w:eastAsia="宋体" w:cs="Times New Roman"/>
                <w:color w:val="auto"/>
                <w:kern w:val="0"/>
                <w:u w:val="none"/>
                <w:shd w:val="clear" w:color="auto" w:fill="FFFFFF"/>
                <w:lang w:eastAsia="zh-CN"/>
              </w:rPr>
              <w:t>长沙市轨道交通三号线建设发展有限公司</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Style w:val="56"/>
                <w:rFonts w:hint="eastAsia" w:ascii="Times New Roman" w:hAnsi="Times New Roman" w:eastAsia="宋体" w:cs="Times New Roman"/>
                <w:color w:val="auto"/>
                <w:kern w:val="0"/>
                <w:u w:val="none"/>
                <w:shd w:val="clear" w:color="auto" w:fill="FFFFFF"/>
                <w:lang w:eastAsia="zh-CN"/>
              </w:rPr>
            </w:pPr>
            <w:r>
              <w:rPr>
                <w:rStyle w:val="56"/>
                <w:rFonts w:hint="eastAsia" w:ascii="Times New Roman" w:hAnsi="Times New Roman" w:eastAsia="宋体" w:cs="Times New Roman"/>
                <w:color w:val="auto"/>
                <w:kern w:val="0"/>
                <w:u w:val="none"/>
                <w:shd w:val="clear" w:color="auto" w:fill="FFFFFF"/>
                <w:lang w:eastAsia="zh-CN"/>
              </w:rPr>
              <w:t>长沙市轨道交通四号线建设发展有限公司</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eastAsia="zh-CN"/>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采购代理机构</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iCs/>
                <w:szCs w:val="21"/>
                <w:u w:val="none"/>
                <w:lang w:val="en-US" w:eastAsia="zh-CN"/>
              </w:rPr>
            </w:pPr>
            <w:r>
              <w:rPr>
                <w:rFonts w:hint="eastAsia" w:ascii="宋体" w:hAnsi="宋体" w:cs="宋体"/>
                <w:iCs/>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color w:val="FF0000"/>
                <w:szCs w:val="21"/>
                <w:u w:val="none"/>
              </w:rPr>
            </w:pPr>
            <w:r>
              <w:rPr>
                <w:rFonts w:hint="eastAsia" w:ascii="宋体" w:hAnsi="宋体" w:cs="宋体"/>
                <w:b/>
                <w:szCs w:val="21"/>
                <w:u w:val="none"/>
              </w:rPr>
              <w:t>最高限价</w:t>
            </w:r>
          </w:p>
        </w:tc>
        <w:tc>
          <w:tcPr>
            <w:tcW w:w="7338"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Style w:val="56"/>
                <w:rFonts w:hint="eastAsia" w:ascii="Times New Roman" w:hAnsi="Times New Roman" w:eastAsia="宋体" w:cs="Times New Roman"/>
                <w:color w:val="auto"/>
                <w:kern w:val="0"/>
                <w:u w:val="none"/>
                <w:shd w:val="clear" w:color="auto" w:fill="FFFFFF"/>
                <w:lang w:eastAsia="zh-CN"/>
              </w:rPr>
            </w:pPr>
            <w:r>
              <w:rPr>
                <w:rStyle w:val="56"/>
                <w:rFonts w:hint="eastAsia" w:ascii="Times New Roman" w:hAnsi="Times New Roman" w:eastAsia="宋体" w:cs="Times New Roman"/>
                <w:color w:val="auto"/>
                <w:kern w:val="0"/>
                <w:u w:val="none"/>
                <w:shd w:val="clear" w:color="auto" w:fill="FFFFFF"/>
                <w:lang w:val="en-US" w:eastAsia="zh-CN"/>
              </w:rPr>
              <w:t>95万</w:t>
            </w:r>
            <w:r>
              <w:rPr>
                <w:rStyle w:val="56"/>
                <w:rFonts w:hint="eastAsia" w:ascii="Times New Roman" w:hAnsi="Times New Roman" w:eastAsia="宋体" w:cs="Times New Roman"/>
                <w:color w:val="auto"/>
                <w:kern w:val="0"/>
                <w:u w:val="none"/>
                <w:shd w:val="clear" w:color="auto" w:fill="FFFFFF"/>
                <w:lang w:eastAsia="zh-CN"/>
              </w:rPr>
              <w:t>元，</w:t>
            </w:r>
            <w:r>
              <w:rPr>
                <w:rStyle w:val="56"/>
                <w:rFonts w:hint="eastAsia" w:ascii="Times New Roman" w:hAnsi="Times New Roman" w:eastAsia="宋体" w:cs="Times New Roman"/>
                <w:color w:val="auto"/>
                <w:kern w:val="0"/>
                <w:u w:val="none"/>
                <w:shd w:val="clear" w:color="auto" w:fill="FFFFFF"/>
                <w:lang w:val="en-US" w:eastAsia="zh-CN"/>
              </w:rPr>
              <w:t>谈判单位正价差代理费≤1.90元</w:t>
            </w:r>
            <w:r>
              <w:rPr>
                <w:rFonts w:hint="eastAsia"/>
                <w:color w:val="000000"/>
                <w:sz w:val="21"/>
                <w:szCs w:val="21"/>
                <w:u w:val="none"/>
                <w:shd w:val="clear" w:color="auto" w:fill="FFFFFF"/>
                <w:lang w:val="en-US" w:eastAsia="zh-CN" w:bidi="ar"/>
              </w:rPr>
              <w:t>/</w:t>
            </w:r>
            <w:r>
              <w:rPr>
                <w:rStyle w:val="56"/>
                <w:rFonts w:hint="eastAsia" w:ascii="Times New Roman" w:hAnsi="Times New Roman" w:eastAsia="宋体" w:cs="Times New Roman"/>
                <w:color w:val="auto"/>
                <w:kern w:val="0"/>
                <w:u w:val="none"/>
                <w:shd w:val="clear" w:color="auto" w:fill="FFFFFF"/>
                <w:lang w:val="en-US" w:eastAsia="zh-CN"/>
              </w:rPr>
              <w:t>兆瓦时；谈判单位负价差分成比例≤10%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评审办法</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s="宋体"/>
                <w:iCs/>
                <w:color w:val="FF0000"/>
                <w:szCs w:val="21"/>
                <w:u w:val="none"/>
              </w:rPr>
            </w:pPr>
            <w:r>
              <w:rPr>
                <w:rStyle w:val="56"/>
                <w:rFonts w:hint="eastAsia"/>
                <w:color w:val="auto"/>
                <w:kern w:val="0"/>
                <w:u w:val="none"/>
                <w:shd w:val="clear" w:color="auto" w:fill="FFFFFF"/>
              </w:rPr>
              <w:sym w:font="Wingdings 2" w:char="00A3"/>
            </w:r>
            <w:r>
              <w:rPr>
                <w:rStyle w:val="56"/>
                <w:rFonts w:hint="eastAsia"/>
                <w:color w:val="auto"/>
                <w:kern w:val="0"/>
                <w:u w:val="none"/>
                <w:shd w:val="clear" w:color="auto" w:fill="FFFFFF"/>
              </w:rPr>
              <w:t xml:space="preserve">经符合性审查合格后的最低价法   </w:t>
            </w:r>
            <w:r>
              <w:rPr>
                <w:rStyle w:val="56"/>
                <w:rFonts w:hint="eastAsia"/>
                <w:color w:val="auto"/>
                <w:kern w:val="0"/>
                <w:u w:val="none"/>
                <w:shd w:val="clear" w:color="auto" w:fill="FFFFFF"/>
              </w:rPr>
              <w:sym w:font="Wingdings 2" w:char="0052"/>
            </w:r>
            <w:r>
              <w:rPr>
                <w:rStyle w:val="56"/>
                <w:rFonts w:hint="eastAsia"/>
                <w:color w:val="auto"/>
                <w:kern w:val="0"/>
                <w:u w:val="none"/>
                <w:shd w:val="clear" w:color="auto" w:fill="FFFFFF"/>
              </w:rPr>
              <w:t>综合评</w:t>
            </w:r>
            <w:r>
              <w:rPr>
                <w:rStyle w:val="56"/>
                <w:rFonts w:hint="eastAsia"/>
                <w:color w:val="auto"/>
                <w:kern w:val="0"/>
                <w:u w:val="none"/>
                <w:shd w:val="clear" w:color="auto" w:fill="FFFFFF"/>
                <w:lang w:eastAsia="zh-CN"/>
              </w:rPr>
              <w:t>审</w:t>
            </w:r>
            <w:r>
              <w:rPr>
                <w:rStyle w:val="56"/>
                <w:rFonts w:hint="eastAsia"/>
                <w:color w:val="auto"/>
                <w:kern w:val="0"/>
                <w:u w:val="none"/>
                <w:shd w:val="clear" w:color="auto" w:fill="FFFFFF"/>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资格要求</w:t>
            </w:r>
          </w:p>
        </w:tc>
        <w:tc>
          <w:tcPr>
            <w:tcW w:w="7338" w:type="dxa"/>
            <w:vAlign w:val="center"/>
          </w:tcPr>
          <w:p>
            <w:pPr>
              <w:keepNext w:val="0"/>
              <w:keepLines w:val="0"/>
              <w:pageBreakBefore w:val="0"/>
              <w:widowControl w:val="0"/>
              <w:numPr>
                <w:ilvl w:val="0"/>
                <w:numId w:val="13"/>
              </w:numPr>
              <w:kinsoku/>
              <w:wordWrap/>
              <w:overflowPunct/>
              <w:topLinePunct w:val="0"/>
              <w:autoSpaceDE/>
              <w:autoSpaceDN/>
              <w:bidi w:val="0"/>
              <w:spacing w:line="360" w:lineRule="auto"/>
              <w:ind w:firstLine="0"/>
              <w:textAlignment w:val="auto"/>
              <w:rPr>
                <w:rFonts w:ascii="宋体" w:hAnsi="宋体" w:cs="宋体"/>
                <w:color w:val="000000"/>
                <w:szCs w:val="21"/>
                <w:u w:val="none"/>
              </w:rPr>
            </w:pPr>
            <w:r>
              <w:rPr>
                <w:rStyle w:val="56"/>
                <w:rFonts w:hint="eastAsia"/>
                <w:color w:val="auto"/>
                <w:kern w:val="0"/>
                <w:u w:val="none"/>
                <w:shd w:val="clear" w:color="auto" w:fill="FFFFFF"/>
              </w:rPr>
              <w:t>谈判单位须为具有独立法人资格、自主经营、独立核算的公司</w:t>
            </w:r>
            <w:r>
              <w:rPr>
                <w:rStyle w:val="56"/>
                <w:rFonts w:hint="eastAsia"/>
                <w:color w:val="auto"/>
                <w:kern w:val="0"/>
                <w:u w:val="none"/>
                <w:shd w:val="clear" w:color="auto" w:fill="FFFFFF"/>
                <w:lang w:val="en-US" w:eastAsia="zh-CN"/>
              </w:rPr>
              <w:t>/</w:t>
            </w:r>
            <w:r>
              <w:rPr>
                <w:rStyle w:val="56"/>
                <w:rFonts w:hint="eastAsia"/>
                <w:color w:val="auto"/>
                <w:kern w:val="0"/>
                <w:u w:val="none"/>
                <w:shd w:val="clear" w:color="auto" w:fill="FFFFFF"/>
              </w:rPr>
              <w:t>单位</w:t>
            </w:r>
            <w:r>
              <w:rPr>
                <w:rStyle w:val="56"/>
                <w:rFonts w:hint="eastAsia"/>
                <w:color w:val="auto"/>
                <w:kern w:val="0"/>
                <w:u w:val="none"/>
                <w:shd w:val="clear" w:color="auto" w:fill="FFFFFF"/>
                <w:lang w:eastAsia="zh-CN"/>
              </w:rPr>
              <w:t>，</w:t>
            </w:r>
            <w:r>
              <w:rPr>
                <w:rFonts w:hint="eastAsia" w:ascii="宋体" w:hAnsi="宋体"/>
                <w:u w:val="none"/>
              </w:rPr>
              <w:t>在国内合法销售和提供本项目要求产品及服务，经营活动中无不良记录（提供电力交易平台、“信用中国”网站等政府指定网站网页打印，并加盖单位公章）的售电公司</w:t>
            </w:r>
            <w:r>
              <w:rPr>
                <w:rFonts w:hint="eastAsia" w:ascii="宋体" w:hAnsi="宋体" w:cs="宋体"/>
                <w:color w:val="000000"/>
                <w:szCs w:val="21"/>
                <w:u w:val="none"/>
              </w:rPr>
              <w:t>。</w:t>
            </w:r>
          </w:p>
          <w:p>
            <w:pPr>
              <w:keepNext w:val="0"/>
              <w:keepLines w:val="0"/>
              <w:pageBreakBefore w:val="0"/>
              <w:widowControl w:val="0"/>
              <w:numPr>
                <w:ilvl w:val="0"/>
                <w:numId w:val="13"/>
              </w:numPr>
              <w:kinsoku/>
              <w:wordWrap/>
              <w:overflowPunct/>
              <w:topLinePunct w:val="0"/>
              <w:autoSpaceDE/>
              <w:autoSpaceDN/>
              <w:bidi w:val="0"/>
              <w:spacing w:line="360" w:lineRule="auto"/>
              <w:ind w:firstLine="0"/>
              <w:textAlignment w:val="auto"/>
              <w:rPr>
                <w:rFonts w:ascii="宋体" w:hAnsi="宋体" w:cs="宋体"/>
                <w:color w:val="000000"/>
                <w:szCs w:val="21"/>
                <w:u w:val="none"/>
              </w:rPr>
            </w:pPr>
            <w:r>
              <w:rPr>
                <w:rStyle w:val="56"/>
                <w:rFonts w:hint="eastAsia" w:ascii="Times New Roman" w:hAnsi="Times New Roman" w:eastAsia="宋体" w:cs="Times New Roman"/>
                <w:color w:val="auto"/>
                <w:kern w:val="0"/>
                <w:u w:val="none"/>
                <w:shd w:val="clear" w:color="auto" w:fill="FFFFFF"/>
              </w:rPr>
              <w:t>谈判单位须是列入湖南省发改委公布的湖南省售电公司目录且已在交易中心完成市场注册的售电公司</w:t>
            </w:r>
            <w:r>
              <w:rPr>
                <w:rStyle w:val="56"/>
                <w:rFonts w:hint="eastAsia"/>
                <w:color w:val="auto"/>
                <w:kern w:val="0"/>
                <w:u w:val="none"/>
                <w:shd w:val="clear" w:color="auto" w:fill="FFFFFF"/>
              </w:rPr>
              <w:t>。</w:t>
            </w:r>
          </w:p>
          <w:p>
            <w:pPr>
              <w:keepNext w:val="0"/>
              <w:keepLines w:val="0"/>
              <w:pageBreakBefore w:val="0"/>
              <w:widowControl w:val="0"/>
              <w:numPr>
                <w:ilvl w:val="0"/>
                <w:numId w:val="13"/>
              </w:numPr>
              <w:kinsoku/>
              <w:wordWrap/>
              <w:overflowPunct/>
              <w:topLinePunct w:val="0"/>
              <w:autoSpaceDE/>
              <w:autoSpaceDN/>
              <w:bidi w:val="0"/>
              <w:spacing w:line="360" w:lineRule="auto"/>
              <w:ind w:firstLine="0"/>
              <w:textAlignment w:val="auto"/>
              <w:rPr>
                <w:rStyle w:val="56"/>
                <w:color w:val="auto"/>
                <w:kern w:val="0"/>
                <w:u w:val="none"/>
                <w:shd w:val="clear" w:color="auto" w:fill="FFFFFF"/>
              </w:rPr>
            </w:pPr>
            <w:r>
              <w:rPr>
                <w:rStyle w:val="56"/>
                <w:rFonts w:hint="eastAsia" w:ascii="Times New Roman" w:hAnsi="Times New Roman" w:eastAsia="宋体" w:cs="Times New Roman"/>
                <w:color w:val="auto"/>
                <w:kern w:val="0"/>
                <w:u w:val="none"/>
                <w:shd w:val="clear" w:color="auto" w:fill="FFFFFF"/>
              </w:rPr>
              <w:t>谈判单位须具有在本项目谈判截止之日前12个月内累计不少于2.5亿千瓦时湖南省电力市场交易成交电量。不接受联合体业绩、港澳台或境外业绩</w:t>
            </w:r>
            <w:r>
              <w:rPr>
                <w:rStyle w:val="56"/>
                <w:rFonts w:hint="eastAsia"/>
                <w:color w:val="auto"/>
                <w:kern w:val="0"/>
                <w:u w:val="none"/>
                <w:shd w:val="clear" w:color="auto" w:fill="FFFFFF"/>
              </w:rPr>
              <w:t>。</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000000"/>
                <w:szCs w:val="21"/>
                <w:u w:val="none"/>
              </w:rPr>
            </w:pPr>
            <w:r>
              <w:rPr>
                <w:rFonts w:hint="eastAsia"/>
                <w:u w:val="none"/>
              </w:rPr>
              <w:t>业绩证明材料以同时提供的谈判单位与电力交易中心平台交易截图或结算清单（均须加盖谈判单位公章）为准</w:t>
            </w:r>
            <w:r>
              <w:rPr>
                <w:rStyle w:val="56"/>
                <w:rFonts w:hint="eastAsia"/>
                <w:color w:val="auto"/>
                <w:u w:val="none"/>
                <w:shd w:val="clear" w:color="auto" w:fill="FFFFFF"/>
              </w:rPr>
              <w:t>。</w:t>
            </w:r>
          </w:p>
          <w:p>
            <w:pPr>
              <w:keepNext w:val="0"/>
              <w:keepLines w:val="0"/>
              <w:pageBreakBefore w:val="0"/>
              <w:widowControl w:val="0"/>
              <w:numPr>
                <w:ilvl w:val="0"/>
                <w:numId w:val="13"/>
              </w:numPr>
              <w:kinsoku/>
              <w:wordWrap/>
              <w:overflowPunct/>
              <w:topLinePunct w:val="0"/>
              <w:autoSpaceDE/>
              <w:autoSpaceDN/>
              <w:bidi w:val="0"/>
              <w:spacing w:line="360" w:lineRule="auto"/>
              <w:ind w:firstLine="0"/>
              <w:textAlignment w:val="auto"/>
              <w:rPr>
                <w:rFonts w:ascii="宋体" w:hAnsi="宋体" w:cs="宋体"/>
                <w:color w:val="000000"/>
                <w:szCs w:val="21"/>
                <w:u w:val="none"/>
              </w:rPr>
            </w:pPr>
            <w:r>
              <w:rPr>
                <w:rStyle w:val="56"/>
                <w:color w:val="auto"/>
                <w:u w:val="none"/>
                <w:shd w:val="clear" w:color="auto" w:fill="FFFFFF"/>
              </w:rPr>
              <w:t>本</w:t>
            </w:r>
            <w:r>
              <w:rPr>
                <w:rStyle w:val="56"/>
                <w:rFonts w:hint="eastAsia"/>
                <w:color w:val="auto"/>
                <w:u w:val="none"/>
                <w:shd w:val="clear" w:color="auto" w:fill="FFFFFF"/>
              </w:rPr>
              <w:t>次采购</w:t>
            </w:r>
            <w:r>
              <w:rPr>
                <w:rStyle w:val="56"/>
                <w:color w:val="auto"/>
                <w:u w:val="none"/>
                <w:shd w:val="clear" w:color="auto" w:fill="FFFFFF"/>
              </w:rPr>
              <w:t>不接受联合体</w:t>
            </w:r>
            <w:r>
              <w:rPr>
                <w:rFonts w:hint="eastAsia" w:ascii="宋体" w:hAnsi="宋体" w:cs="宋体"/>
                <w:color w:val="000000"/>
                <w:szCs w:val="21"/>
                <w:u w:val="none"/>
              </w:rPr>
              <w:t>。</w:t>
            </w:r>
          </w:p>
          <w:p>
            <w:pPr>
              <w:keepNext w:val="0"/>
              <w:keepLines w:val="0"/>
              <w:pageBreakBefore w:val="0"/>
              <w:widowControl w:val="0"/>
              <w:numPr>
                <w:ilvl w:val="0"/>
                <w:numId w:val="13"/>
              </w:numPr>
              <w:kinsoku/>
              <w:wordWrap/>
              <w:overflowPunct/>
              <w:topLinePunct w:val="0"/>
              <w:autoSpaceDE/>
              <w:autoSpaceDN/>
              <w:bidi w:val="0"/>
              <w:spacing w:line="360" w:lineRule="auto"/>
              <w:ind w:firstLine="0"/>
              <w:textAlignment w:val="auto"/>
              <w:rPr>
                <w:rFonts w:ascii="宋体" w:hAnsi="宋体" w:cs="宋体"/>
                <w:color w:val="000000"/>
                <w:szCs w:val="21"/>
                <w:u w:val="none"/>
              </w:rPr>
            </w:pPr>
            <w:r>
              <w:rPr>
                <w:rStyle w:val="56"/>
                <w:color w:val="auto"/>
                <w:u w:val="none"/>
                <w:shd w:val="clear" w:color="auto" w:fill="FFFFFF"/>
              </w:rPr>
              <w:t>被长沙市轨道交通集团</w:t>
            </w:r>
            <w:r>
              <w:rPr>
                <w:rStyle w:val="56"/>
                <w:rFonts w:hint="eastAsia"/>
                <w:color w:val="auto"/>
                <w:u w:val="none"/>
                <w:shd w:val="clear" w:color="auto" w:fill="FFFFFF"/>
              </w:rPr>
              <w:t>有限公司或长沙市轨道交通运营有限公司函告禁止在一定期限内参与投标的单位按函告内容执行</w:t>
            </w:r>
            <w:r>
              <w:rPr>
                <w:rFonts w:hint="eastAsia" w:ascii="宋体" w:hAnsi="宋体" w:cs="宋体"/>
                <w:color w:val="00000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谈判答疑文件</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递交截止时间</w:t>
            </w:r>
          </w:p>
        </w:tc>
        <w:tc>
          <w:tcPr>
            <w:tcW w:w="7338" w:type="dxa"/>
            <w:vAlign w:val="center"/>
          </w:tcPr>
          <w:p>
            <w:pPr>
              <w:pStyle w:val="25"/>
              <w:keepNext w:val="0"/>
              <w:keepLines w:val="0"/>
              <w:pageBreakBefore w:val="0"/>
              <w:widowControl w:val="0"/>
              <w:kinsoku/>
              <w:wordWrap/>
              <w:overflowPunct/>
              <w:topLinePunct w:val="0"/>
              <w:autoSpaceDE/>
              <w:autoSpaceDN/>
              <w:bidi w:val="0"/>
              <w:adjustRightInd w:val="0"/>
              <w:snapToGrid w:val="0"/>
              <w:textAlignment w:val="auto"/>
              <w:rPr>
                <w:rFonts w:hAnsi="宋体" w:cs="宋体"/>
                <w:color w:val="000000"/>
                <w:u w:val="none"/>
              </w:rPr>
            </w:pPr>
            <w:r>
              <w:rPr>
                <w:rFonts w:hint="eastAsia" w:hAnsi="宋体" w:cs="宋体"/>
                <w:u w:val="none"/>
              </w:rPr>
              <w:t>20</w:t>
            </w:r>
            <w:r>
              <w:rPr>
                <w:rFonts w:hint="eastAsia" w:hAnsi="宋体" w:cs="宋体"/>
                <w:u w:val="none"/>
                <w:lang w:val="en-US" w:eastAsia="zh-CN"/>
              </w:rPr>
              <w:t>22</w:t>
            </w:r>
            <w:r>
              <w:rPr>
                <w:rFonts w:hint="eastAsia" w:hAnsi="宋体" w:cs="宋体"/>
                <w:u w:val="none"/>
              </w:rPr>
              <w:t>年</w:t>
            </w:r>
            <w:r>
              <w:rPr>
                <w:rFonts w:hint="eastAsia" w:hAnsi="宋体" w:cs="宋体"/>
                <w:u w:val="none"/>
                <w:lang w:val="en-US" w:eastAsia="zh-CN"/>
              </w:rPr>
              <w:t>9</w:t>
            </w:r>
            <w:r>
              <w:rPr>
                <w:rFonts w:hint="eastAsia" w:hAnsi="宋体" w:cs="宋体"/>
                <w:u w:val="none"/>
              </w:rPr>
              <w:t>月</w:t>
            </w:r>
            <w:r>
              <w:rPr>
                <w:rFonts w:hint="eastAsia" w:hAnsi="宋体" w:cs="宋体"/>
                <w:u w:val="none"/>
                <w:lang w:val="en-US" w:eastAsia="zh-CN"/>
              </w:rPr>
              <w:t>9</w:t>
            </w:r>
            <w:r>
              <w:rPr>
                <w:rFonts w:hint="eastAsia" w:hAnsi="宋体" w:cs="宋体"/>
                <w:u w:val="none"/>
              </w:rPr>
              <w:t>日17时00分(北京时间)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谈判答疑文件</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递交方式及地点</w:t>
            </w:r>
          </w:p>
        </w:tc>
        <w:tc>
          <w:tcPr>
            <w:tcW w:w="7338"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Style w:val="56"/>
                <w:rFonts w:hint="eastAsia"/>
                <w:color w:val="FF0000"/>
                <w:kern w:val="0"/>
                <w:u w:val="none"/>
                <w:shd w:val="clear" w:color="auto" w:fill="FFFFFF"/>
              </w:rPr>
            </w:pPr>
            <w:r>
              <w:rPr>
                <w:rStyle w:val="56"/>
                <w:rFonts w:hint="eastAsia"/>
                <w:color w:val="auto"/>
                <w:kern w:val="0"/>
                <w:u w:val="none"/>
                <w:shd w:val="clear" w:color="auto" w:fill="FFFFFF"/>
              </w:rPr>
              <w:t>谈判答疑文件应以书面形式递交至长沙市劳动东路二段48号黄兴车辆段综合楼9楼90</w:t>
            </w:r>
            <w:r>
              <w:rPr>
                <w:rStyle w:val="56"/>
                <w:rFonts w:hint="eastAsia"/>
                <w:color w:val="auto"/>
                <w:kern w:val="0"/>
                <w:u w:val="none"/>
                <w:shd w:val="clear" w:color="auto" w:fill="FFFFFF"/>
                <w:lang w:val="en-US" w:eastAsia="zh-CN"/>
              </w:rPr>
              <w:t>9</w:t>
            </w:r>
            <w:r>
              <w:rPr>
                <w:rStyle w:val="56"/>
                <w:rFonts w:hint="eastAsia"/>
                <w:color w:val="auto"/>
                <w:kern w:val="0"/>
                <w:u w:val="none"/>
                <w:shd w:val="clear" w:color="auto" w:fill="FFFFFF"/>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响应文件的递交</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截止及谈判时间</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s="宋体"/>
                <w:szCs w:val="21"/>
                <w:u w:val="none"/>
              </w:rPr>
            </w:pPr>
            <w:r>
              <w:rPr>
                <w:rFonts w:hint="eastAsia" w:ascii="宋体" w:hAnsi="宋体" w:cs="宋体"/>
                <w:szCs w:val="21"/>
                <w:u w:val="none"/>
              </w:rPr>
              <w:t>20</w:t>
            </w:r>
            <w:r>
              <w:rPr>
                <w:rFonts w:hint="eastAsia" w:ascii="宋体" w:hAnsi="宋体" w:cs="宋体"/>
                <w:szCs w:val="21"/>
                <w:u w:val="none"/>
                <w:lang w:val="en-US" w:eastAsia="zh-CN"/>
              </w:rPr>
              <w:t>22</w:t>
            </w:r>
            <w:r>
              <w:rPr>
                <w:rFonts w:hint="eastAsia" w:ascii="宋体" w:hAnsi="宋体" w:cs="宋体"/>
                <w:szCs w:val="21"/>
                <w:u w:val="none"/>
              </w:rPr>
              <w:t>年</w:t>
            </w:r>
            <w:r>
              <w:rPr>
                <w:rFonts w:hint="eastAsia" w:ascii="宋体" w:hAnsi="宋体" w:cs="宋体"/>
                <w:szCs w:val="21"/>
                <w:u w:val="none"/>
                <w:lang w:val="en-US" w:eastAsia="zh-CN"/>
              </w:rPr>
              <w:t>9</w:t>
            </w:r>
            <w:r>
              <w:rPr>
                <w:rFonts w:hint="eastAsia" w:ascii="宋体" w:hAnsi="宋体" w:cs="宋体"/>
                <w:szCs w:val="21"/>
                <w:u w:val="none"/>
              </w:rPr>
              <w:t>月</w:t>
            </w:r>
            <w:r>
              <w:rPr>
                <w:rFonts w:hint="eastAsia" w:ascii="宋体" w:hAnsi="宋体" w:cs="宋体"/>
                <w:szCs w:val="21"/>
                <w:u w:val="none"/>
                <w:lang w:val="en-US" w:eastAsia="zh-CN"/>
              </w:rPr>
              <w:t>16</w:t>
            </w:r>
            <w:r>
              <w:rPr>
                <w:rFonts w:hint="eastAsia" w:ascii="宋体" w:hAnsi="宋体" w:cs="宋体"/>
                <w:szCs w:val="21"/>
                <w:u w:val="none"/>
              </w:rPr>
              <w:t>日</w:t>
            </w:r>
            <w:r>
              <w:rPr>
                <w:rFonts w:hint="eastAsia" w:ascii="宋体" w:hAnsi="宋体" w:cs="宋体"/>
                <w:szCs w:val="21"/>
                <w:u w:val="none"/>
                <w:lang w:val="en-US" w:eastAsia="zh-CN"/>
              </w:rPr>
              <w:t>9</w:t>
            </w:r>
            <w:r>
              <w:rPr>
                <w:rFonts w:hint="eastAsia" w:ascii="宋体" w:hAnsi="宋体" w:cs="宋体"/>
                <w:szCs w:val="21"/>
                <w:u w:val="none"/>
              </w:rPr>
              <w:t>时</w:t>
            </w:r>
            <w:r>
              <w:rPr>
                <w:rFonts w:hint="eastAsia" w:ascii="宋体" w:hAnsi="宋体" w:cs="宋体"/>
                <w:szCs w:val="21"/>
                <w:u w:val="none"/>
                <w:lang w:val="en-US" w:eastAsia="zh-CN"/>
              </w:rPr>
              <w:t>30</w:t>
            </w:r>
            <w:r>
              <w:rPr>
                <w:rFonts w:hint="eastAsia" w:ascii="宋体" w:hAnsi="宋体" w:cs="宋体"/>
                <w:szCs w:val="21"/>
                <w:u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响应文件的递交</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及谈判地点</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s="宋体"/>
                <w:szCs w:val="21"/>
                <w:u w:val="none"/>
              </w:rPr>
            </w:pPr>
            <w:r>
              <w:rPr>
                <w:rFonts w:hint="eastAsia" w:ascii="宋体" w:hAnsi="宋体" w:cs="宋体"/>
                <w:bCs/>
                <w:szCs w:val="21"/>
                <w:u w:val="none"/>
              </w:rPr>
              <w:t>长沙市劳动东路二段48号黄兴车辆段综合楼9楼910</w:t>
            </w:r>
            <w:r>
              <w:rPr>
                <w:rStyle w:val="56"/>
                <w:rFonts w:hint="eastAsia"/>
                <w:color w:val="auto"/>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6"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谈判现场验证</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须提交的资料</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FF0000"/>
                <w:szCs w:val="21"/>
                <w:u w:val="none"/>
              </w:rPr>
            </w:pPr>
            <w:r>
              <w:rPr>
                <w:rFonts w:hint="eastAsia" w:ascii="宋体" w:hAnsi="宋体" w:cs="宋体"/>
                <w:iCs/>
                <w:szCs w:val="21"/>
                <w:u w:val="none"/>
              </w:rPr>
              <w:t>1.谈判单位代表是谈判单位法定代表人参加的，法定代表人须提供法定代表人身份证明书原件</w:t>
            </w:r>
            <w:r>
              <w:rPr>
                <w:rFonts w:hint="eastAsia" w:ascii="宋体" w:hAnsi="宋体" w:cs="宋体"/>
                <w:b/>
                <w:bCs/>
                <w:iCs/>
                <w:szCs w:val="21"/>
                <w:u w:val="none"/>
              </w:rPr>
              <w:t>（格式详见本文件第七章）</w:t>
            </w:r>
            <w:r>
              <w:rPr>
                <w:rFonts w:hint="eastAsia" w:ascii="宋体" w:hAnsi="宋体" w:cs="宋体"/>
                <w:szCs w:val="21"/>
                <w:u w:val="none"/>
              </w:rPr>
              <w:t>及本人身份证原件。</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iCs/>
                <w:szCs w:val="21"/>
                <w:u w:val="none"/>
              </w:rPr>
            </w:pPr>
            <w:r>
              <w:rPr>
                <w:rFonts w:hint="eastAsia" w:ascii="宋体" w:hAnsi="宋体" w:cs="宋体"/>
                <w:szCs w:val="21"/>
                <w:u w:val="none"/>
              </w:rPr>
              <w:t>2.谈判单位代表是由谈判单位法定代表人授权的委托代理人参加的，其授权委托代理人须提供授权委托书原件</w:t>
            </w:r>
            <w:r>
              <w:rPr>
                <w:rFonts w:hint="eastAsia" w:ascii="宋体" w:hAnsi="宋体" w:cs="宋体"/>
                <w:b/>
                <w:szCs w:val="21"/>
                <w:u w:val="none"/>
              </w:rPr>
              <w:t>（格式详见本文件</w:t>
            </w:r>
            <w:r>
              <w:rPr>
                <w:rFonts w:hint="eastAsia" w:ascii="宋体" w:hAnsi="宋体" w:cs="宋体"/>
                <w:b/>
                <w:bCs/>
                <w:iCs/>
                <w:szCs w:val="21"/>
                <w:u w:val="none"/>
              </w:rPr>
              <w:t>第七章</w:t>
            </w:r>
            <w:r>
              <w:rPr>
                <w:rFonts w:hint="eastAsia" w:ascii="宋体" w:hAnsi="宋体" w:cs="宋体"/>
                <w:b/>
                <w:szCs w:val="21"/>
                <w:u w:val="none"/>
              </w:rPr>
              <w:t>）</w:t>
            </w:r>
            <w:r>
              <w:rPr>
                <w:rFonts w:hint="eastAsia" w:ascii="宋体" w:hAnsi="宋体" w:cs="宋体"/>
                <w:szCs w:val="21"/>
                <w:u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响应文件有效期</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s="宋体"/>
                <w:szCs w:val="21"/>
                <w:u w:val="none"/>
              </w:rPr>
            </w:pPr>
            <w:r>
              <w:rPr>
                <w:rFonts w:hint="eastAsia" w:ascii="宋体" w:hAnsi="宋体" w:cs="宋体"/>
                <w:szCs w:val="21"/>
                <w:u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响应文件份数及要求</w:t>
            </w:r>
          </w:p>
        </w:tc>
        <w:tc>
          <w:tcPr>
            <w:tcW w:w="7338"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Style w:val="56"/>
                <w:rFonts w:hint="eastAsia"/>
                <w:color w:val="auto"/>
                <w:kern w:val="0"/>
                <w:u w:val="none"/>
                <w:shd w:val="clear" w:color="auto" w:fill="FFFFFF"/>
              </w:rPr>
            </w:pPr>
            <w:r>
              <w:rPr>
                <w:rStyle w:val="56"/>
                <w:rFonts w:hint="eastAsia"/>
                <w:color w:val="auto"/>
                <w:kern w:val="0"/>
                <w:u w:val="none"/>
                <w:shd w:val="clear" w:color="auto" w:fill="FFFFFF"/>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color w:val="FF0000"/>
                <w:szCs w:val="21"/>
                <w:u w:val="none"/>
              </w:rPr>
            </w:pPr>
            <w:r>
              <w:rPr>
                <w:rFonts w:hint="eastAsia" w:ascii="宋体" w:hAnsi="宋体" w:cs="宋体"/>
                <w:b/>
                <w:color w:val="auto"/>
                <w:szCs w:val="21"/>
                <w:u w:val="none"/>
              </w:rPr>
              <w:t>项目支付方式</w:t>
            </w:r>
          </w:p>
        </w:tc>
        <w:tc>
          <w:tcPr>
            <w:tcW w:w="7338"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Style w:val="56"/>
                <w:rFonts w:hint="eastAsia" w:ascii="Times New Roman" w:hAnsi="Times New Roman" w:eastAsia="宋体" w:cs="Times New Roman"/>
                <w:color w:val="auto"/>
                <w:kern w:val="0"/>
                <w:u w:val="none"/>
                <w:shd w:val="clear" w:color="auto" w:fill="FFFFFF"/>
              </w:rPr>
            </w:pPr>
            <w:r>
              <w:rPr>
                <w:rStyle w:val="56"/>
                <w:rFonts w:hint="eastAsia" w:ascii="Times New Roman" w:hAnsi="Times New Roman" w:eastAsia="宋体" w:cs="Times New Roman"/>
                <w:color w:val="auto"/>
                <w:kern w:val="0"/>
                <w:u w:val="none"/>
                <w:shd w:val="clear" w:color="auto" w:fill="FFFFFF"/>
                <w:lang w:val="en-US" w:eastAsia="zh-CN"/>
              </w:rPr>
              <w:t>甲方电费（含代理费、电费优惠等）均通过电网企业相关账户进行缴纳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信息发布</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指定媒体</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szCs w:val="21"/>
                <w:u w:val="none"/>
              </w:rPr>
            </w:pPr>
            <w:r>
              <w:rPr>
                <w:rFonts w:hint="eastAsia" w:ascii="宋体" w:hAnsi="宋体" w:cs="宋体"/>
                <w:szCs w:val="21"/>
                <w:u w:val="none"/>
              </w:rPr>
              <w:t>长沙市轨道交通集团有限公司</w:t>
            </w:r>
            <w:r>
              <w:rPr>
                <w:u w:val="none"/>
              </w:rPr>
              <w:fldChar w:fldCharType="begin"/>
            </w:r>
            <w:r>
              <w:rPr>
                <w:u w:val="none"/>
              </w:rPr>
              <w:instrText xml:space="preserve"> HYPERLINK "http://www.hncsmtr.com/" </w:instrText>
            </w:r>
            <w:r>
              <w:rPr>
                <w:u w:val="none"/>
              </w:rPr>
              <w:fldChar w:fldCharType="separate"/>
            </w:r>
            <w:r>
              <w:rPr>
                <w:rStyle w:val="56"/>
                <w:rFonts w:hint="eastAsia" w:ascii="宋体" w:hAnsi="宋体" w:cs="宋体"/>
                <w:color w:val="auto"/>
                <w:szCs w:val="21"/>
                <w:u w:val="none"/>
              </w:rPr>
              <w:t>http://www.hncsmtr.com/</w:t>
            </w:r>
            <w:r>
              <w:rPr>
                <w:rStyle w:val="56"/>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bCs/>
                <w:szCs w:val="21"/>
                <w:u w:val="none"/>
              </w:rPr>
            </w:pPr>
            <w:r>
              <w:rPr>
                <w:rFonts w:hint="eastAsia" w:ascii="宋体" w:hAnsi="宋体" w:cs="宋体"/>
                <w:b/>
                <w:bCs/>
                <w:szCs w:val="21"/>
                <w:u w:val="none"/>
              </w:rPr>
              <w:t>自主竞争性谈判</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bCs/>
                <w:szCs w:val="21"/>
                <w:u w:val="none"/>
              </w:rPr>
              <w:t>文件的获取</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szCs w:val="21"/>
                <w:u w:val="none"/>
              </w:rPr>
            </w:pPr>
            <w:r>
              <w:rPr>
                <w:rFonts w:hint="eastAsia" w:ascii="宋体" w:hAnsi="宋体" w:cs="宋体"/>
                <w:szCs w:val="21"/>
                <w:u w:val="none"/>
              </w:rPr>
              <w:t>“信息发布指定媒介”中对应采购项目谈判邀请公告附件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采购代理服务费</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szCs w:val="21"/>
                <w:u w:val="none"/>
              </w:rPr>
            </w:pPr>
            <w:r>
              <w:rPr>
                <w:rFonts w:hint="eastAsia" w:ascii="宋体" w:hAnsi="宋体" w:cs="宋体"/>
                <w:szCs w:val="21"/>
                <w:u w:val="none"/>
              </w:rPr>
              <w:t>本项目采购代理服务费以中选价为基数，按《采购代理服务费收费参照汇率表》(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b/>
                <w:szCs w:val="21"/>
                <w:u w:val="none"/>
              </w:rPr>
            </w:pPr>
            <w:r>
              <w:rPr>
                <w:rFonts w:hint="eastAsia" w:ascii="宋体" w:hAnsi="宋体" w:cs="宋体"/>
                <w:b/>
                <w:szCs w:val="21"/>
                <w:u w:val="none"/>
              </w:rPr>
              <w:t>其他规定</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Cs w:val="21"/>
                <w:u w:val="none"/>
                <w:lang w:eastAsia="zh-CN"/>
              </w:rPr>
            </w:pPr>
            <w:r>
              <w:rPr>
                <w:rFonts w:hint="eastAsia" w:ascii="宋体" w:hAnsi="宋体" w:cs="宋体"/>
                <w:color w:val="auto"/>
                <w:szCs w:val="21"/>
                <w:u w:val="none"/>
                <w:lang w:val="en-US" w:eastAsia="zh-CN"/>
              </w:rPr>
              <w:t>/</w:t>
            </w:r>
          </w:p>
        </w:tc>
      </w:tr>
    </w:tbl>
    <w:p>
      <w:pPr>
        <w:pStyle w:val="4"/>
        <w:keepNext w:val="0"/>
        <w:keepLines w:val="0"/>
        <w:jc w:val="center"/>
        <w:rPr>
          <w:rFonts w:ascii="黑体" w:hAnsi="黑体" w:eastAsia="黑体"/>
          <w:sz w:val="30"/>
          <w:szCs w:val="30"/>
          <w:u w:val="none"/>
        </w:rPr>
      </w:pPr>
      <w:bookmarkStart w:id="18" w:name="_Toc14891067"/>
    </w:p>
    <w:p>
      <w:pPr>
        <w:widowControl/>
        <w:jc w:val="left"/>
        <w:rPr>
          <w:u w:val="none"/>
        </w:rPr>
      </w:pPr>
      <w:r>
        <w:rPr>
          <w:u w:val="none"/>
        </w:rPr>
        <w:br w:type="page"/>
      </w:r>
    </w:p>
    <w:p>
      <w:pPr>
        <w:pStyle w:val="4"/>
        <w:keepNext w:val="0"/>
        <w:keepLines w:val="0"/>
        <w:jc w:val="center"/>
        <w:rPr>
          <w:rFonts w:ascii="宋体" w:hAnsi="宋体" w:cs="宋体"/>
          <w:sz w:val="32"/>
          <w:u w:val="none"/>
        </w:rPr>
      </w:pPr>
      <w:bookmarkStart w:id="19" w:name="_Toc16939"/>
      <w:bookmarkStart w:id="20" w:name="_Toc31558"/>
      <w:bookmarkStart w:id="21" w:name="_Toc30640"/>
      <w:bookmarkStart w:id="22" w:name="_Toc19706"/>
      <w:bookmarkStart w:id="23" w:name="_Toc26157"/>
      <w:bookmarkStart w:id="24" w:name="_Hlk71364110"/>
      <w:r>
        <w:rPr>
          <w:rFonts w:hint="eastAsia" w:ascii="宋体" w:hAnsi="宋体" w:cs="宋体"/>
          <w:sz w:val="32"/>
          <w:u w:val="none"/>
        </w:rPr>
        <w:t>谈判须知正文</w:t>
      </w:r>
      <w:bookmarkEnd w:id="18"/>
      <w:bookmarkEnd w:id="19"/>
      <w:bookmarkEnd w:id="20"/>
      <w:bookmarkEnd w:id="21"/>
      <w:bookmarkEnd w:id="22"/>
      <w:bookmarkEnd w:id="23"/>
    </w:p>
    <w:bookmarkEnd w:id="24"/>
    <w:p>
      <w:pPr>
        <w:pStyle w:val="4"/>
        <w:keepNext w:val="0"/>
        <w:keepLines w:val="0"/>
        <w:pageBreakBefore w:val="0"/>
        <w:kinsoku/>
        <w:wordWrap/>
        <w:overflowPunct/>
        <w:topLinePunct w:val="0"/>
        <w:autoSpaceDE/>
        <w:autoSpaceDN/>
        <w:bidi w:val="0"/>
        <w:spacing w:line="560" w:lineRule="exact"/>
        <w:textAlignment w:val="auto"/>
        <w:rPr>
          <w:rFonts w:ascii="宋体" w:hAnsi="宋体" w:cs="宋体"/>
          <w:sz w:val="21"/>
          <w:szCs w:val="21"/>
          <w:u w:val="none"/>
        </w:rPr>
      </w:pPr>
      <w:bookmarkStart w:id="25" w:name="_Toc11440"/>
      <w:bookmarkStart w:id="26" w:name="_Toc14891068"/>
      <w:bookmarkStart w:id="27" w:name="_Toc21708"/>
      <w:r>
        <w:rPr>
          <w:rFonts w:hint="eastAsia" w:ascii="宋体" w:hAnsi="宋体" w:cs="宋体"/>
          <w:sz w:val="21"/>
          <w:szCs w:val="21"/>
          <w:u w:val="none"/>
        </w:rPr>
        <w:t>一、说明</w:t>
      </w:r>
      <w:bookmarkEnd w:id="25"/>
      <w:bookmarkEnd w:id="26"/>
      <w:bookmarkEnd w:id="27"/>
    </w:p>
    <w:p>
      <w:pPr>
        <w:keepNext w:val="0"/>
        <w:keepLines w:val="0"/>
        <w:pageBreakBefore w:val="0"/>
        <w:widowControl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szCs w:val="21"/>
          <w:u w:val="none"/>
        </w:rPr>
      </w:pPr>
      <w:r>
        <w:rPr>
          <w:rFonts w:hint="eastAsia" w:ascii="宋体" w:hAnsi="宋体" w:cs="宋体"/>
          <w:b/>
          <w:bCs/>
          <w:szCs w:val="21"/>
          <w:u w:val="none"/>
        </w:rPr>
        <w:t>1.</w:t>
      </w:r>
      <w:r>
        <w:rPr>
          <w:rFonts w:hint="eastAsia" w:ascii="宋体" w:hAnsi="宋体" w:cs="宋体"/>
          <w:b/>
          <w:szCs w:val="21"/>
          <w:u w:val="none"/>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szCs w:val="21"/>
          <w:u w:val="none"/>
        </w:rPr>
      </w:pPr>
      <w:r>
        <w:rPr>
          <w:rFonts w:hint="eastAsia" w:ascii="宋体" w:hAnsi="宋体" w:cs="宋体"/>
          <w:b/>
          <w:szCs w:val="21"/>
          <w:u w:val="none"/>
        </w:rPr>
        <w:t>2.本谈判文件的解释权属于长沙市轨道交通运营有限公司。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3.定义</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b/>
          <w:szCs w:val="21"/>
          <w:u w:val="none"/>
        </w:rPr>
      </w:pPr>
      <w:r>
        <w:rPr>
          <w:rFonts w:hint="eastAsia" w:ascii="宋体" w:hAnsi="宋体" w:cs="宋体"/>
          <w:szCs w:val="21"/>
          <w:u w:val="none"/>
        </w:rPr>
        <w:t>3.1“采购单位”是指依法进行采购的法人组织。本项目的采购单位名称见</w:t>
      </w:r>
      <w:r>
        <w:rPr>
          <w:rFonts w:hint="eastAsia" w:ascii="宋体" w:hAnsi="宋体" w:cs="宋体"/>
          <w:b/>
          <w:szCs w:val="21"/>
          <w:u w:val="none"/>
        </w:rPr>
        <w:t>前附表</w:t>
      </w:r>
      <w:r>
        <w:rPr>
          <w:rFonts w:hint="eastAsia" w:ascii="宋体" w:hAnsi="宋体" w:cs="宋体"/>
          <w:szCs w:val="21"/>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3.2“谈判单位”是指响应本谈判文件要求、参加谈判的法人组织。</w:t>
      </w:r>
      <w:r>
        <w:rPr>
          <w:rFonts w:hint="eastAsia" w:ascii="宋体" w:hAnsi="宋体"/>
          <w:szCs w:val="21"/>
          <w:u w:val="none"/>
        </w:rPr>
        <w:t>参与本项目的谈判单位</w:t>
      </w:r>
      <w:r>
        <w:rPr>
          <w:rFonts w:hint="eastAsia" w:hAnsi="宋体"/>
          <w:u w:val="none"/>
        </w:rPr>
        <w:t>应按</w:t>
      </w:r>
      <w:r>
        <w:rPr>
          <w:rFonts w:hint="eastAsia" w:hAnsi="宋体"/>
          <w:b/>
          <w:u w:val="none"/>
        </w:rPr>
        <w:t>前附表</w:t>
      </w:r>
      <w:r>
        <w:rPr>
          <w:rFonts w:hint="eastAsia" w:hAnsi="宋体"/>
          <w:u w:val="none"/>
        </w:rPr>
        <w:t>规定的要求获取谈判文件。</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3.3“采购代理机构”是指接受采购单位委托，代理采购项目的机构。本采购项目的采购代理机构名称见</w:t>
      </w:r>
      <w:r>
        <w:rPr>
          <w:rFonts w:hint="eastAsia" w:ascii="宋体" w:hAnsi="宋体" w:cs="宋体"/>
          <w:b/>
          <w:bCs/>
          <w:szCs w:val="21"/>
          <w:u w:val="none"/>
        </w:rPr>
        <w:t>前附表</w:t>
      </w:r>
      <w:r>
        <w:rPr>
          <w:rFonts w:hint="eastAsia" w:ascii="宋体" w:hAnsi="宋体" w:cs="宋体"/>
          <w:szCs w:val="21"/>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3.4“谈判</w:t>
      </w:r>
      <w:r>
        <w:rPr>
          <w:rFonts w:hint="eastAsia" w:ascii="宋体" w:hAnsi="宋体" w:cs="宋体"/>
          <w:bCs/>
          <w:szCs w:val="21"/>
          <w:u w:val="none"/>
        </w:rPr>
        <w:t>评审</w:t>
      </w:r>
      <w:r>
        <w:rPr>
          <w:rFonts w:hint="eastAsia" w:ascii="宋体" w:hAnsi="宋体" w:cs="宋体"/>
          <w:szCs w:val="21"/>
          <w:u w:val="none"/>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4.谈判单位资格要求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4.1参与谈判的单位应当符合</w:t>
      </w:r>
      <w:r>
        <w:rPr>
          <w:rFonts w:hint="eastAsia" w:ascii="宋体" w:hAnsi="宋体" w:cs="宋体"/>
          <w:b/>
          <w:szCs w:val="21"/>
          <w:u w:val="none"/>
        </w:rPr>
        <w:t>前附表</w:t>
      </w:r>
      <w:r>
        <w:rPr>
          <w:rFonts w:hint="eastAsia" w:ascii="宋体" w:hAnsi="宋体" w:cs="宋体"/>
          <w:szCs w:val="21"/>
          <w:u w:val="none"/>
        </w:rPr>
        <w:t>中规定的资格要求；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4.2参与谈判的单位存在下列情形之一的，其</w:t>
      </w:r>
      <w:r>
        <w:rPr>
          <w:rFonts w:hint="eastAsia" w:ascii="宋体" w:hAnsi="宋体" w:cs="宋体"/>
          <w:bCs/>
          <w:szCs w:val="21"/>
          <w:u w:val="none"/>
        </w:rPr>
        <w:t>谈判</w:t>
      </w:r>
      <w:r>
        <w:rPr>
          <w:rFonts w:hint="eastAsia" w:ascii="宋体" w:hAnsi="宋体" w:cs="宋体"/>
          <w:szCs w:val="21"/>
          <w:u w:val="none"/>
        </w:rPr>
        <w:t>将被</w:t>
      </w:r>
      <w:r>
        <w:rPr>
          <w:rFonts w:hint="eastAsia" w:ascii="宋体" w:hAnsi="宋体" w:cs="宋体"/>
          <w:b/>
          <w:bCs/>
          <w:szCs w:val="21"/>
          <w:u w:val="none"/>
        </w:rPr>
        <w:t>否决</w:t>
      </w:r>
      <w:r>
        <w:rPr>
          <w:rFonts w:hint="eastAsia" w:ascii="宋体" w:hAnsi="宋体" w:cs="宋体"/>
          <w:szCs w:val="21"/>
          <w:u w:val="none"/>
        </w:rPr>
        <w:t>：</w:t>
      </w:r>
    </w:p>
    <w:p>
      <w:pPr>
        <w:pStyle w:val="357"/>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Fonts w:hAnsi="宋体" w:cs="宋体"/>
          <w:sz w:val="21"/>
          <w:szCs w:val="21"/>
          <w:u w:val="none"/>
        </w:rPr>
      </w:pPr>
      <w:r>
        <w:rPr>
          <w:rFonts w:hint="eastAsia" w:hAnsi="宋体" w:cs="宋体"/>
          <w:sz w:val="21"/>
          <w:szCs w:val="21"/>
          <w:u w:val="none"/>
        </w:rPr>
        <w:t>（1）与采购单位（或本项目采购代理机构）存在利害关系且可能影响采购公正性；</w:t>
      </w:r>
    </w:p>
    <w:p>
      <w:pPr>
        <w:pStyle w:val="357"/>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Fonts w:hAnsi="宋体" w:cs="宋体"/>
          <w:sz w:val="21"/>
          <w:szCs w:val="21"/>
          <w:u w:val="none"/>
        </w:rPr>
      </w:pPr>
      <w:r>
        <w:rPr>
          <w:rFonts w:hint="eastAsia" w:hAnsi="宋体" w:cs="宋体"/>
          <w:sz w:val="21"/>
          <w:szCs w:val="21"/>
          <w:u w:val="none"/>
        </w:rPr>
        <w:t>（2）谈判单位法定代表人或负责人与其他谈判单位法定代表人或负责人为同一人；</w:t>
      </w:r>
    </w:p>
    <w:p>
      <w:pPr>
        <w:pStyle w:val="357"/>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Fonts w:hAnsi="宋体" w:cs="宋体"/>
          <w:sz w:val="21"/>
          <w:szCs w:val="21"/>
          <w:u w:val="none"/>
        </w:rPr>
      </w:pPr>
      <w:r>
        <w:rPr>
          <w:rFonts w:hint="eastAsia" w:hAnsi="宋体" w:cs="宋体"/>
          <w:sz w:val="21"/>
          <w:szCs w:val="21"/>
          <w:u w:val="none"/>
        </w:rPr>
        <w:t>（3）与本采购项目的其他谈判单位存在控股、管理关系；</w:t>
      </w:r>
    </w:p>
    <w:p>
      <w:pPr>
        <w:pStyle w:val="357"/>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Fonts w:hAnsi="宋体" w:cs="宋体"/>
          <w:sz w:val="21"/>
          <w:szCs w:val="21"/>
          <w:u w:val="none"/>
        </w:rPr>
      </w:pPr>
      <w:r>
        <w:rPr>
          <w:rFonts w:hint="eastAsia" w:hAnsi="宋体" w:cs="宋体"/>
          <w:sz w:val="21"/>
          <w:szCs w:val="21"/>
          <w:u w:val="none"/>
        </w:rPr>
        <w:t>（4）被责令停产停业、暂扣或者吊销许可证、暂扣或者吊销执照；</w:t>
      </w:r>
    </w:p>
    <w:p>
      <w:pPr>
        <w:pStyle w:val="357"/>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Fonts w:hAnsi="宋体" w:cs="宋体"/>
          <w:sz w:val="21"/>
          <w:szCs w:val="21"/>
          <w:u w:val="none"/>
        </w:rPr>
      </w:pPr>
      <w:r>
        <w:rPr>
          <w:rFonts w:hint="eastAsia" w:hAnsi="宋体" w:cs="宋体"/>
          <w:sz w:val="21"/>
          <w:szCs w:val="21"/>
          <w:u w:val="none"/>
        </w:rPr>
        <w:t>（5）进入破产、清算、注销程序，或存在其他可能丧失履约能力的情形；</w:t>
      </w:r>
    </w:p>
    <w:p>
      <w:pPr>
        <w:pStyle w:val="357"/>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Fonts w:hAnsi="宋体" w:cs="宋体"/>
          <w:sz w:val="21"/>
          <w:szCs w:val="21"/>
          <w:u w:val="none"/>
        </w:rPr>
      </w:pPr>
      <w:r>
        <w:rPr>
          <w:rFonts w:hint="eastAsia" w:hAnsi="宋体" w:cs="宋体"/>
          <w:sz w:val="21"/>
          <w:szCs w:val="21"/>
          <w:u w:val="none"/>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（8）不同谈判单位的谈判保证金从同一账户转出的情形。</w:t>
      </w:r>
    </w:p>
    <w:p>
      <w:pPr>
        <w:keepNext w:val="0"/>
        <w:keepLines w:val="0"/>
        <w:pageBreakBefore w:val="0"/>
        <w:widowControl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5.参与谈判的费用</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5.2采购代理服务费由中选单位全额承担。本项目采购代理服务费以中选价为基数，按谈判须知</w:t>
      </w:r>
      <w:r>
        <w:rPr>
          <w:rFonts w:hint="eastAsia" w:ascii="宋体" w:hAnsi="宋体" w:cs="宋体"/>
          <w:b/>
          <w:bCs/>
          <w:szCs w:val="21"/>
          <w:u w:val="none"/>
        </w:rPr>
        <w:t>《采购代理服务费收费标准》（详见本须知附件）</w:t>
      </w:r>
      <w:r>
        <w:rPr>
          <w:rFonts w:hint="eastAsia" w:ascii="宋体" w:hAnsi="宋体" w:cs="宋体"/>
          <w:szCs w:val="21"/>
          <w:u w:val="none"/>
        </w:rPr>
        <w:t>向中选单位收取。</w:t>
      </w:r>
    </w:p>
    <w:p>
      <w:pPr>
        <w:pStyle w:val="25"/>
        <w:keepNext w:val="0"/>
        <w:keepLines w:val="0"/>
        <w:pageBreakBefore w:val="0"/>
        <w:widowControl w:val="0"/>
        <w:kinsoku/>
        <w:wordWrap/>
        <w:overflowPunct/>
        <w:topLinePunct w:val="0"/>
        <w:autoSpaceDE/>
        <w:autoSpaceDN/>
        <w:bidi w:val="0"/>
        <w:adjustRightInd w:val="0"/>
        <w:snapToGrid w:val="0"/>
        <w:spacing w:line="560" w:lineRule="exact"/>
        <w:ind w:firstLine="422" w:firstLineChars="200"/>
        <w:textAlignment w:val="auto"/>
        <w:rPr>
          <w:rFonts w:hAnsi="宋体" w:cs="宋体"/>
          <w:b/>
          <w:bCs/>
          <w:u w:val="none"/>
        </w:rPr>
      </w:pPr>
      <w:r>
        <w:rPr>
          <w:rFonts w:hint="eastAsia" w:hAnsi="宋体" w:cs="宋体"/>
          <w:b/>
          <w:u w:val="none"/>
        </w:rPr>
        <w:t>6．</w:t>
      </w:r>
      <w:r>
        <w:rPr>
          <w:rFonts w:hint="eastAsia" w:hAnsi="宋体"/>
          <w:b/>
          <w:bCs/>
          <w:u w:val="none"/>
        </w:rPr>
        <w:t>谈判现场验证资料</w:t>
      </w:r>
    </w:p>
    <w:p>
      <w:pPr>
        <w:pStyle w:val="25"/>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6.1谈判单位代表为谈判单位法定代表人的：应提供法定代表人身份证明书</w:t>
      </w:r>
      <w:r>
        <w:rPr>
          <w:rFonts w:hint="eastAsia" w:hAnsi="宋体" w:cs="宋体"/>
          <w:b/>
          <w:bCs/>
          <w:u w:val="none"/>
        </w:rPr>
        <w:t>（见</w:t>
      </w:r>
      <w:r>
        <w:rPr>
          <w:rFonts w:hint="eastAsia" w:hAnsi="宋体" w:cs="宋体"/>
          <w:b/>
          <w:bCs/>
          <w:iCs/>
          <w:u w:val="none"/>
        </w:rPr>
        <w:t>第七章</w:t>
      </w:r>
      <w:r>
        <w:rPr>
          <w:rFonts w:hint="eastAsia" w:hAnsi="宋体" w:cs="宋体"/>
          <w:b/>
          <w:bCs/>
          <w:u w:val="none"/>
        </w:rPr>
        <w:t>响应文件格式）</w:t>
      </w:r>
      <w:r>
        <w:rPr>
          <w:rFonts w:hint="eastAsia" w:hAnsi="宋体" w:cs="宋体"/>
          <w:u w:val="none"/>
        </w:rPr>
        <w:t>原件及本人身份证原件。</w:t>
      </w:r>
    </w:p>
    <w:p>
      <w:pPr>
        <w:pStyle w:val="25"/>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Ansi="宋体" w:cs="宋体"/>
          <w:b/>
          <w:strike/>
          <w:u w:val="none"/>
        </w:rPr>
      </w:pPr>
      <w:r>
        <w:rPr>
          <w:rFonts w:hint="eastAsia" w:hAnsi="宋体" w:cs="宋体"/>
          <w:u w:val="none"/>
        </w:rPr>
        <w:t>6.2谈判单位代表不是谈判单位法定代表人的：应提供授权委托书</w:t>
      </w:r>
      <w:r>
        <w:rPr>
          <w:rFonts w:hint="eastAsia" w:hAnsi="宋体" w:cs="宋体"/>
          <w:b/>
          <w:bCs/>
          <w:u w:val="none"/>
        </w:rPr>
        <w:t>（见</w:t>
      </w:r>
      <w:r>
        <w:rPr>
          <w:rFonts w:hint="eastAsia" w:hAnsi="宋体" w:cs="宋体"/>
          <w:b/>
          <w:bCs/>
          <w:iCs/>
          <w:u w:val="none"/>
        </w:rPr>
        <w:t>第七章</w:t>
      </w:r>
      <w:r>
        <w:rPr>
          <w:rFonts w:hint="eastAsia" w:hAnsi="宋体" w:cs="宋体"/>
          <w:b/>
          <w:bCs/>
          <w:u w:val="none"/>
        </w:rPr>
        <w:t>响应文件格式）</w:t>
      </w:r>
      <w:r>
        <w:rPr>
          <w:rFonts w:hint="eastAsia" w:hAnsi="宋体" w:cs="宋体"/>
          <w:u w:val="none"/>
        </w:rPr>
        <w:t>原件及本人身份证原件。</w:t>
      </w:r>
    </w:p>
    <w:p>
      <w:pPr>
        <w:pStyle w:val="4"/>
        <w:keepNext w:val="0"/>
        <w:keepLines w:val="0"/>
        <w:pageBreakBefore w:val="0"/>
        <w:kinsoku/>
        <w:wordWrap/>
        <w:overflowPunct/>
        <w:topLinePunct w:val="0"/>
        <w:autoSpaceDE/>
        <w:autoSpaceDN/>
        <w:bidi w:val="0"/>
        <w:spacing w:line="560" w:lineRule="exact"/>
        <w:textAlignment w:val="auto"/>
        <w:rPr>
          <w:rFonts w:ascii="宋体" w:hAnsi="宋体" w:cs="宋体"/>
          <w:sz w:val="21"/>
          <w:szCs w:val="21"/>
          <w:u w:val="none"/>
        </w:rPr>
      </w:pPr>
      <w:bookmarkStart w:id="28" w:name="_Toc5733"/>
      <w:bookmarkStart w:id="29" w:name="_Toc14891069"/>
      <w:bookmarkStart w:id="30" w:name="_Toc303"/>
      <w:r>
        <w:rPr>
          <w:rFonts w:hint="eastAsia" w:ascii="宋体" w:hAnsi="宋体" w:cs="宋体"/>
          <w:sz w:val="21"/>
          <w:szCs w:val="21"/>
          <w:u w:val="none"/>
        </w:rPr>
        <w:t>二、谈判文件</w:t>
      </w:r>
      <w:bookmarkEnd w:id="28"/>
      <w:bookmarkEnd w:id="29"/>
      <w:bookmarkEnd w:id="30"/>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7．谈判文件的组成</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7.1谈判文件由下列文件组成：</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第一章 谈判邀请公告</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第二章 谈判须知</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第三章 评审办法及标准</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第四章 用户需求书</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第五章 最高限价</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第六章 合同格式条款</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第七章 响应文件组成</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7.2</w:t>
      </w:r>
      <w:r>
        <w:rPr>
          <w:rFonts w:hint="eastAsia" w:hAnsi="宋体" w:cs="宋体"/>
          <w:kern w:val="0"/>
          <w:u w:val="none"/>
        </w:rPr>
        <w:t>响应文件递交截止时间前对谈判文件澄清或者修改内容，均为谈判文件的组成部分。</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7.3谈判单位应仔细阅读</w:t>
      </w:r>
      <w:r>
        <w:rPr>
          <w:rFonts w:hint="eastAsia" w:ascii="宋体" w:hAnsi="宋体" w:cs="宋体"/>
          <w:bCs/>
          <w:szCs w:val="21"/>
          <w:u w:val="none"/>
        </w:rPr>
        <w:t>谈判</w:t>
      </w:r>
      <w:r>
        <w:rPr>
          <w:rFonts w:hint="eastAsia" w:ascii="宋体" w:hAnsi="宋体" w:cs="宋体"/>
          <w:szCs w:val="21"/>
          <w:u w:val="none"/>
        </w:rPr>
        <w:t>文件的全部内容，按照</w:t>
      </w:r>
      <w:r>
        <w:rPr>
          <w:rFonts w:hint="eastAsia" w:ascii="宋体" w:hAnsi="宋体" w:cs="宋体"/>
          <w:bCs/>
          <w:szCs w:val="21"/>
          <w:u w:val="none"/>
        </w:rPr>
        <w:t>谈判</w:t>
      </w:r>
      <w:r>
        <w:rPr>
          <w:rFonts w:hint="eastAsia" w:ascii="宋体" w:hAnsi="宋体" w:cs="宋体"/>
          <w:szCs w:val="21"/>
          <w:u w:val="none"/>
        </w:rPr>
        <w:t>文件要求编制响应文件。任何对</w:t>
      </w:r>
      <w:r>
        <w:rPr>
          <w:rFonts w:hint="eastAsia" w:ascii="宋体" w:hAnsi="宋体" w:cs="宋体"/>
          <w:bCs/>
          <w:szCs w:val="21"/>
          <w:u w:val="none"/>
        </w:rPr>
        <w:t>谈判</w:t>
      </w:r>
      <w:r>
        <w:rPr>
          <w:rFonts w:hint="eastAsia" w:ascii="宋体" w:hAnsi="宋体" w:cs="宋体"/>
          <w:szCs w:val="21"/>
          <w:u w:val="none"/>
        </w:rPr>
        <w:t>文件的忽略或误解不能作为响应文件存在缺陷或瑕疵的理由，其风险由谈判单位承担。</w:t>
      </w:r>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kern w:val="0"/>
          <w:szCs w:val="21"/>
          <w:u w:val="none"/>
        </w:rPr>
      </w:pPr>
      <w:r>
        <w:rPr>
          <w:rFonts w:hint="eastAsia" w:ascii="宋体" w:hAnsi="宋体" w:cs="宋体"/>
          <w:b/>
          <w:bCs/>
          <w:szCs w:val="21"/>
          <w:u w:val="none"/>
        </w:rPr>
        <w:t>8.</w:t>
      </w:r>
      <w:r>
        <w:rPr>
          <w:rFonts w:hint="eastAsia" w:ascii="宋体" w:hAnsi="宋体" w:cs="宋体"/>
          <w:b/>
          <w:kern w:val="0"/>
          <w:szCs w:val="21"/>
          <w:u w:val="none"/>
        </w:rPr>
        <w:t>谈判文件的澄清及答疑</w:t>
      </w:r>
    </w:p>
    <w:p>
      <w:pPr>
        <w:keepNext w:val="0"/>
        <w:keepLines w:val="0"/>
        <w:pageBreakBefore w:val="0"/>
        <w:kinsoku/>
        <w:wordWrap/>
        <w:overflowPunct/>
        <w:topLinePunct w:val="0"/>
        <w:autoSpaceDE/>
        <w:autoSpaceDN/>
        <w:bidi w:val="0"/>
        <w:spacing w:line="560" w:lineRule="exact"/>
        <w:ind w:firstLine="420" w:firstLineChars="200"/>
        <w:textAlignment w:val="auto"/>
        <w:rPr>
          <w:rFonts w:ascii="宋体" w:hAnsi="宋体" w:cs="宋体"/>
          <w:iCs/>
          <w:szCs w:val="21"/>
          <w:u w:val="none"/>
        </w:rPr>
      </w:pPr>
      <w:r>
        <w:rPr>
          <w:rFonts w:hint="eastAsia" w:ascii="宋体" w:hAnsi="宋体" w:cs="宋体"/>
          <w:iCs/>
          <w:szCs w:val="21"/>
          <w:u w:val="none"/>
        </w:rPr>
        <w:t>8.1.谈判单位应仔细阅读和检查谈判文件的全部内容，如有疑问，</w:t>
      </w:r>
      <w:r>
        <w:rPr>
          <w:rFonts w:hint="eastAsia" w:ascii="宋体" w:hAnsi="宋体" w:cs="宋体"/>
          <w:szCs w:val="21"/>
          <w:u w:val="none"/>
        </w:rPr>
        <w:t>应按</w:t>
      </w:r>
      <w:r>
        <w:rPr>
          <w:rFonts w:hint="eastAsia" w:ascii="宋体" w:hAnsi="宋体" w:cs="宋体"/>
          <w:b/>
          <w:bCs/>
          <w:szCs w:val="21"/>
          <w:u w:val="none"/>
        </w:rPr>
        <w:t>前附表</w:t>
      </w:r>
      <w:r>
        <w:rPr>
          <w:rFonts w:hint="eastAsia" w:ascii="宋体" w:hAnsi="宋体" w:cs="宋体"/>
          <w:szCs w:val="21"/>
          <w:u w:val="none"/>
        </w:rPr>
        <w:t>规定的时间、方式及地点</w:t>
      </w:r>
      <w:r>
        <w:rPr>
          <w:rFonts w:hint="eastAsia" w:ascii="宋体" w:hAnsi="宋体" w:cs="宋体"/>
          <w:iCs/>
          <w:szCs w:val="21"/>
          <w:u w:val="none"/>
        </w:rPr>
        <w:t>向</w:t>
      </w:r>
      <w:r>
        <w:rPr>
          <w:rFonts w:hint="eastAsia" w:ascii="宋体" w:hAnsi="宋体" w:cs="宋体"/>
          <w:iCs/>
          <w:color w:val="auto"/>
          <w:szCs w:val="21"/>
          <w:u w:val="none"/>
        </w:rPr>
        <w:t>采购</w:t>
      </w:r>
      <w:r>
        <w:rPr>
          <w:rFonts w:hint="eastAsia" w:ascii="宋体" w:hAnsi="宋体" w:cs="宋体"/>
          <w:iCs/>
          <w:color w:val="auto"/>
          <w:szCs w:val="21"/>
          <w:u w:val="none"/>
          <w:lang w:eastAsia="zh-CN"/>
        </w:rPr>
        <w:t>单位</w:t>
      </w:r>
      <w:r>
        <w:rPr>
          <w:rFonts w:hint="eastAsia" w:ascii="宋体" w:hAnsi="宋体" w:cs="宋体"/>
          <w:iCs/>
          <w:szCs w:val="21"/>
          <w:u w:val="none"/>
        </w:rPr>
        <w:t>提出，</w:t>
      </w:r>
      <w:r>
        <w:rPr>
          <w:rFonts w:hint="eastAsia" w:ascii="宋体" w:hAnsi="宋体" w:cs="宋体"/>
          <w:szCs w:val="21"/>
          <w:u w:val="none"/>
        </w:rPr>
        <w:t>否则，由此引起的损失由谈判单位自己承担。</w:t>
      </w:r>
    </w:p>
    <w:p>
      <w:pPr>
        <w:keepNext w:val="0"/>
        <w:keepLines w:val="0"/>
        <w:pageBreakBefore w:val="0"/>
        <w:kinsoku/>
        <w:wordWrap/>
        <w:overflowPunct/>
        <w:topLinePunct w:val="0"/>
        <w:autoSpaceDE/>
        <w:autoSpaceDN/>
        <w:bidi w:val="0"/>
        <w:spacing w:line="560" w:lineRule="exact"/>
        <w:ind w:firstLine="420" w:firstLineChars="200"/>
        <w:textAlignment w:val="auto"/>
        <w:rPr>
          <w:rFonts w:ascii="宋体" w:hAnsi="宋体" w:cs="宋体"/>
          <w:iCs/>
          <w:szCs w:val="21"/>
          <w:u w:val="none"/>
        </w:rPr>
      </w:pPr>
      <w:r>
        <w:rPr>
          <w:rFonts w:hint="eastAsia" w:ascii="宋体" w:hAnsi="宋体" w:cs="宋体"/>
          <w:iCs/>
          <w:szCs w:val="21"/>
          <w:u w:val="none"/>
        </w:rPr>
        <w:t>8.2.在谈判截止时间前，采购单位或采购代理机构可主动地或在解答谈判单位提出的问题时对谈判文件进行澄清或修改。</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kern w:val="0"/>
          <w:szCs w:val="21"/>
          <w:u w:val="none"/>
        </w:rPr>
      </w:pPr>
      <w:r>
        <w:rPr>
          <w:rFonts w:hint="eastAsia" w:ascii="宋体" w:hAnsi="宋体" w:cs="宋体"/>
          <w:szCs w:val="21"/>
          <w:u w:val="none"/>
        </w:rPr>
        <w:t>8.3</w:t>
      </w:r>
      <w:r>
        <w:rPr>
          <w:rFonts w:hint="eastAsia" w:ascii="宋体" w:hAnsi="宋体" w:cs="宋体"/>
          <w:kern w:val="0"/>
          <w:szCs w:val="21"/>
          <w:u w:val="none"/>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szCs w:val="21"/>
          <w:u w:val="none"/>
        </w:rPr>
      </w:pPr>
      <w:r>
        <w:rPr>
          <w:rFonts w:hint="eastAsia" w:ascii="宋体" w:hAnsi="宋体" w:cs="宋体"/>
          <w:b/>
          <w:bCs/>
          <w:szCs w:val="21"/>
          <w:u w:val="none"/>
        </w:rPr>
        <w:t>9.</w:t>
      </w:r>
      <w:r>
        <w:rPr>
          <w:rFonts w:hint="eastAsia" w:ascii="宋体" w:hAnsi="宋体" w:cs="宋体"/>
          <w:b/>
          <w:kern w:val="0"/>
          <w:szCs w:val="21"/>
          <w:u w:val="none"/>
        </w:rPr>
        <w:t>响应文件递交截止时间、谈判会议时间及地点</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9.1谈判单位递交响应文件截止时间、谈判会议时间及地点见</w:t>
      </w:r>
      <w:r>
        <w:rPr>
          <w:rFonts w:hint="eastAsia" w:hAnsi="宋体" w:cs="宋体"/>
          <w:b/>
          <w:bCs/>
          <w:u w:val="none"/>
        </w:rPr>
        <w:t>前附表</w:t>
      </w:r>
      <w:r>
        <w:rPr>
          <w:rFonts w:hint="eastAsia" w:hAnsi="宋体" w:cs="宋体"/>
          <w:u w:val="none"/>
        </w:rPr>
        <w:t>。</w:t>
      </w:r>
    </w:p>
    <w:p>
      <w:pPr>
        <w:pStyle w:val="4"/>
        <w:keepNext w:val="0"/>
        <w:keepLines w:val="0"/>
        <w:pageBreakBefore w:val="0"/>
        <w:kinsoku/>
        <w:wordWrap/>
        <w:overflowPunct/>
        <w:topLinePunct w:val="0"/>
        <w:autoSpaceDE/>
        <w:autoSpaceDN/>
        <w:bidi w:val="0"/>
        <w:spacing w:line="560" w:lineRule="exact"/>
        <w:textAlignment w:val="auto"/>
        <w:rPr>
          <w:rFonts w:ascii="宋体" w:hAnsi="宋体" w:cs="宋体"/>
          <w:sz w:val="21"/>
          <w:szCs w:val="21"/>
          <w:u w:val="none"/>
        </w:rPr>
      </w:pPr>
      <w:bookmarkStart w:id="31" w:name="_Toc9387"/>
      <w:bookmarkStart w:id="32" w:name="_Toc14891070"/>
      <w:bookmarkStart w:id="33" w:name="_Toc19677"/>
      <w:r>
        <w:rPr>
          <w:rFonts w:hint="eastAsia" w:ascii="宋体" w:hAnsi="宋体" w:cs="宋体"/>
          <w:sz w:val="21"/>
          <w:szCs w:val="21"/>
          <w:u w:val="none"/>
        </w:rPr>
        <w:t>三、响应文件</w:t>
      </w:r>
      <w:bookmarkEnd w:id="31"/>
      <w:bookmarkEnd w:id="32"/>
      <w:bookmarkEnd w:id="33"/>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10.一般要求</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bCs/>
          <w:szCs w:val="21"/>
          <w:u w:val="none"/>
        </w:rPr>
      </w:pPr>
      <w:r>
        <w:rPr>
          <w:rFonts w:hint="eastAsia" w:ascii="宋体" w:hAnsi="宋体" w:cs="宋体"/>
          <w:bCs/>
          <w:szCs w:val="21"/>
          <w:u w:val="none"/>
        </w:rPr>
        <w:t>10.1</w:t>
      </w:r>
      <w:bookmarkStart w:id="34" w:name="_Hlk68706641"/>
      <w:r>
        <w:rPr>
          <w:rFonts w:hint="eastAsia" w:ascii="宋体" w:hAnsi="宋体" w:cs="宋体"/>
          <w:bCs/>
          <w:szCs w:val="21"/>
          <w:u w:val="none"/>
        </w:rPr>
        <w:t>谈判单位应仔细阅读谈判文件的所有内容，按谈判文件的要求编制响应文件，</w:t>
      </w:r>
      <w:r>
        <w:rPr>
          <w:rFonts w:hint="eastAsia" w:ascii="宋体" w:hAnsi="宋体" w:cs="宋体"/>
          <w:b/>
          <w:szCs w:val="21"/>
          <w:u w:val="none"/>
        </w:rPr>
        <w:t>严禁复制、粘贴，</w:t>
      </w:r>
      <w:r>
        <w:rPr>
          <w:rFonts w:hint="eastAsia" w:ascii="宋体" w:hAnsi="宋体" w:cs="宋体"/>
          <w:bCs/>
          <w:szCs w:val="21"/>
          <w:u w:val="none"/>
        </w:rPr>
        <w:t>并保证所提供的全部资料的真实性。</w:t>
      </w:r>
      <w:bookmarkEnd w:id="34"/>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bCs/>
          <w:szCs w:val="21"/>
          <w:u w:val="none"/>
        </w:rPr>
      </w:pPr>
      <w:r>
        <w:rPr>
          <w:rFonts w:hint="eastAsia" w:ascii="宋体" w:hAnsi="宋体" w:cs="宋体"/>
          <w:bCs/>
          <w:szCs w:val="21"/>
          <w:u w:val="none"/>
        </w:rPr>
        <w:t>10.2</w:t>
      </w:r>
      <w:r>
        <w:rPr>
          <w:rFonts w:hint="eastAsia" w:ascii="宋体" w:hAnsi="宋体" w:cs="宋体"/>
          <w:szCs w:val="21"/>
          <w:u w:val="none"/>
        </w:rPr>
        <w:t>谈判单位提交的响应文件、谈判单位与采购单位及采购代理机构的所有来往函电均使用中文。</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bCs/>
          <w:u w:val="none"/>
        </w:rPr>
        <w:t>10.3</w:t>
      </w:r>
      <w:r>
        <w:rPr>
          <w:rFonts w:hint="eastAsia" w:hAnsi="宋体" w:cs="宋体"/>
          <w:u w:val="none"/>
        </w:rPr>
        <w:t>计量单位应使用我国法定计量单位，未列明时应默认为我国法定计量单位。</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10.4响应文件应采用书面形式，电报、传真、电子邮件形式的响应文件概不接受。</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10.5谈判单位提交的响应文件应按谈判文件中提供的响应文件格式编制。</w:t>
      </w:r>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11.</w:t>
      </w:r>
      <w:r>
        <w:rPr>
          <w:rFonts w:hint="eastAsia" w:ascii="宋体" w:hAnsi="宋体" w:cs="宋体"/>
          <w:b/>
          <w:szCs w:val="21"/>
          <w:u w:val="none"/>
        </w:rPr>
        <w:t>响应文件</w:t>
      </w:r>
      <w:r>
        <w:rPr>
          <w:rFonts w:hint="eastAsia" w:ascii="宋体" w:hAnsi="宋体" w:cs="宋体"/>
          <w:b/>
          <w:bCs/>
          <w:szCs w:val="21"/>
          <w:u w:val="none"/>
        </w:rPr>
        <w:t>的组成</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color w:val="auto"/>
          <w:szCs w:val="21"/>
          <w:u w:val="none"/>
        </w:rPr>
      </w:pPr>
      <w:r>
        <w:rPr>
          <w:rFonts w:hint="eastAsia" w:ascii="宋体" w:hAnsi="宋体" w:cs="宋体"/>
          <w:color w:val="auto"/>
          <w:szCs w:val="21"/>
          <w:u w:val="none"/>
        </w:rPr>
        <w:t>11.1响应文件应包括下列内容：</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color w:val="auto"/>
          <w:u w:val="none"/>
        </w:rPr>
      </w:pPr>
      <w:r>
        <w:rPr>
          <w:rFonts w:hint="eastAsia" w:hAnsi="宋体" w:cs="宋体"/>
          <w:color w:val="auto"/>
          <w:u w:val="none"/>
        </w:rPr>
        <w:t>（1）谈判承诺书</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color w:val="auto"/>
          <w:u w:val="none"/>
        </w:rPr>
      </w:pPr>
      <w:r>
        <w:rPr>
          <w:rFonts w:hint="eastAsia" w:hAnsi="宋体" w:cs="宋体"/>
          <w:color w:val="auto"/>
          <w:u w:val="none"/>
        </w:rPr>
        <w:t>（2）法定代表人身份证明书</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color w:val="auto"/>
          <w:u w:val="none"/>
        </w:rPr>
      </w:pPr>
      <w:r>
        <w:rPr>
          <w:rFonts w:hint="eastAsia" w:hAnsi="宋体" w:cs="宋体"/>
          <w:color w:val="auto"/>
          <w:u w:val="none"/>
        </w:rPr>
        <w:t>（3）授权委托书</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color w:val="auto"/>
          <w:u w:val="none"/>
        </w:rPr>
      </w:pPr>
      <w:r>
        <w:rPr>
          <w:rFonts w:hint="eastAsia" w:hAnsi="宋体" w:cs="宋体"/>
          <w:color w:val="auto"/>
          <w:u w:val="none"/>
        </w:rPr>
        <w:t>（4）谈判单位资格条件证明文件</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int="eastAsia" w:hAnsi="宋体" w:cs="宋体"/>
          <w:color w:val="auto"/>
          <w:u w:val="none"/>
        </w:rPr>
      </w:pPr>
      <w:r>
        <w:rPr>
          <w:rFonts w:hint="eastAsia" w:hAnsi="宋体" w:cs="宋体"/>
          <w:color w:val="auto"/>
          <w:u w:val="none"/>
        </w:rPr>
        <w:t>（5）</w:t>
      </w:r>
      <w:r>
        <w:rPr>
          <w:rFonts w:hint="eastAsia" w:ascii="宋体" w:hAnsi="宋体"/>
          <w:color w:val="auto"/>
          <w:szCs w:val="21"/>
          <w:u w:val="none"/>
          <w:lang w:eastAsia="zh-CN"/>
        </w:rPr>
        <w:t>计分业绩证明文件</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color w:val="auto"/>
          <w:u w:val="none"/>
        </w:rPr>
      </w:pPr>
      <w:r>
        <w:rPr>
          <w:rFonts w:hint="eastAsia" w:hAnsi="宋体" w:cs="宋体"/>
          <w:color w:val="auto"/>
          <w:u w:val="none"/>
          <w:lang w:eastAsia="zh-CN"/>
        </w:rPr>
        <w:t>（</w:t>
      </w:r>
      <w:r>
        <w:rPr>
          <w:rFonts w:hint="eastAsia" w:hAnsi="宋体" w:cs="宋体"/>
          <w:color w:val="auto"/>
          <w:u w:val="none"/>
          <w:lang w:val="en-US" w:eastAsia="zh-CN"/>
        </w:rPr>
        <w:t>6</w:t>
      </w:r>
      <w:r>
        <w:rPr>
          <w:rFonts w:hint="eastAsia" w:hAnsi="宋体" w:cs="宋体"/>
          <w:color w:val="auto"/>
          <w:u w:val="none"/>
          <w:lang w:eastAsia="zh-CN"/>
        </w:rPr>
        <w:t>）</w:t>
      </w:r>
      <w:r>
        <w:rPr>
          <w:rFonts w:hint="eastAsia" w:hAnsi="宋体" w:cs="宋体"/>
          <w:color w:val="auto"/>
          <w:u w:val="none"/>
        </w:rPr>
        <w:t>报价一览表</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int="eastAsia" w:hAnsi="宋体" w:eastAsia="宋体" w:cs="宋体"/>
          <w:color w:val="auto"/>
          <w:u w:val="none"/>
          <w:lang w:val="en-US" w:eastAsia="zh-CN"/>
        </w:rPr>
      </w:pPr>
      <w:r>
        <w:rPr>
          <w:rFonts w:hint="eastAsia" w:hAnsi="宋体" w:cs="宋体"/>
          <w:color w:val="auto"/>
          <w:u w:val="none"/>
        </w:rPr>
        <w:t>（</w:t>
      </w:r>
      <w:r>
        <w:rPr>
          <w:rFonts w:hint="eastAsia" w:hAnsi="宋体" w:cs="宋体"/>
          <w:color w:val="auto"/>
          <w:u w:val="none"/>
          <w:lang w:val="en-US" w:eastAsia="zh-CN"/>
        </w:rPr>
        <w:t>7</w:t>
      </w:r>
      <w:r>
        <w:rPr>
          <w:rFonts w:hint="eastAsia" w:hAnsi="宋体" w:cs="宋体"/>
          <w:color w:val="auto"/>
          <w:u w:val="none"/>
        </w:rPr>
        <w:t>）</w:t>
      </w:r>
      <w:r>
        <w:rPr>
          <w:rFonts w:hint="eastAsia" w:ascii="宋体" w:hAnsi="宋体" w:eastAsia="宋体" w:cs="Times New Roman"/>
          <w:color w:val="auto"/>
          <w:szCs w:val="21"/>
          <w:u w:val="none"/>
        </w:rPr>
        <w:t>电力市场化交易历史价</w:t>
      </w:r>
      <w:r>
        <w:rPr>
          <w:rFonts w:hint="eastAsia" w:ascii="宋体" w:hAnsi="宋体" w:eastAsia="宋体" w:cs="Times New Roman"/>
          <w:color w:val="auto"/>
          <w:szCs w:val="21"/>
          <w:u w:val="none"/>
          <w:lang w:eastAsia="zh-CN"/>
        </w:rPr>
        <w:t>差一览表</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int="eastAsia" w:hAnsi="宋体" w:eastAsia="宋体" w:cs="宋体"/>
          <w:color w:val="auto"/>
          <w:u w:val="none"/>
          <w:lang w:eastAsia="zh-CN"/>
        </w:rPr>
      </w:pPr>
      <w:r>
        <w:rPr>
          <w:rFonts w:hint="eastAsia" w:hAnsi="宋体" w:cs="宋体"/>
          <w:color w:val="auto"/>
          <w:u w:val="none"/>
          <w:lang w:eastAsia="zh-CN"/>
        </w:rPr>
        <w:t>（</w:t>
      </w:r>
      <w:r>
        <w:rPr>
          <w:rFonts w:hint="eastAsia" w:hAnsi="宋体" w:cs="宋体"/>
          <w:color w:val="auto"/>
          <w:u w:val="none"/>
          <w:lang w:val="en-US" w:eastAsia="zh-CN"/>
        </w:rPr>
        <w:t>8</w:t>
      </w:r>
      <w:r>
        <w:rPr>
          <w:rFonts w:hint="eastAsia" w:hAnsi="宋体" w:cs="宋体"/>
          <w:color w:val="auto"/>
          <w:u w:val="none"/>
          <w:lang w:eastAsia="zh-CN"/>
        </w:rPr>
        <w:t>）</w:t>
      </w:r>
      <w:r>
        <w:rPr>
          <w:rFonts w:hint="eastAsia" w:ascii="宋体" w:hAnsi="宋体"/>
          <w:color w:val="auto"/>
          <w:szCs w:val="21"/>
          <w:u w:val="none"/>
          <w:lang w:eastAsia="zh-CN"/>
        </w:rPr>
        <w:t>关联发电企业一览表</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int="eastAsia" w:hAnsi="宋体" w:eastAsia="宋体" w:cs="宋体"/>
          <w:color w:val="auto"/>
          <w:u w:val="none"/>
          <w:lang w:eastAsia="zh-CN"/>
        </w:rPr>
      </w:pPr>
      <w:r>
        <w:rPr>
          <w:rFonts w:hint="eastAsia" w:hAnsi="宋体" w:cs="宋体"/>
          <w:color w:val="auto"/>
          <w:u w:val="none"/>
          <w:lang w:eastAsia="zh-CN"/>
        </w:rPr>
        <w:t>（</w:t>
      </w:r>
      <w:r>
        <w:rPr>
          <w:rFonts w:hint="eastAsia" w:hAnsi="宋体" w:cs="宋体"/>
          <w:color w:val="auto"/>
          <w:u w:val="none"/>
          <w:lang w:val="en-US" w:eastAsia="zh-CN"/>
        </w:rPr>
        <w:t>9</w:t>
      </w:r>
      <w:r>
        <w:rPr>
          <w:rFonts w:hint="eastAsia" w:hAnsi="宋体" w:cs="宋体"/>
          <w:color w:val="auto"/>
          <w:u w:val="none"/>
          <w:lang w:eastAsia="zh-CN"/>
        </w:rPr>
        <w:t>）</w:t>
      </w:r>
      <w:r>
        <w:t>关联发电企业电力市场内</w:t>
      </w:r>
      <w:r>
        <w:rPr>
          <w:rFonts w:hint="eastAsia"/>
        </w:rPr>
        <w:t>新能源</w:t>
      </w:r>
      <w:r>
        <w:t>装机</w:t>
      </w:r>
      <w:r>
        <w:rPr>
          <w:rFonts w:hint="eastAsia"/>
        </w:rPr>
        <w:t>容量</w:t>
      </w:r>
      <w:r>
        <w:rPr>
          <w:rFonts w:hint="eastAsia"/>
          <w:lang w:eastAsia="zh-CN"/>
        </w:rPr>
        <w:t>一览表</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int="eastAsia" w:hAnsi="宋体" w:eastAsia="宋体" w:cs="宋体"/>
          <w:color w:val="auto"/>
          <w:u w:val="none"/>
          <w:lang w:eastAsia="zh-CN"/>
        </w:rPr>
      </w:pPr>
      <w:r>
        <w:rPr>
          <w:rFonts w:hint="eastAsia" w:hAnsi="宋体" w:cs="宋体"/>
          <w:color w:val="auto"/>
          <w:u w:val="none"/>
          <w:lang w:eastAsia="zh-CN"/>
        </w:rPr>
        <w:t>（</w:t>
      </w:r>
      <w:r>
        <w:rPr>
          <w:rFonts w:hint="eastAsia" w:hAnsi="宋体" w:cs="宋体"/>
          <w:color w:val="auto"/>
          <w:u w:val="none"/>
          <w:lang w:val="en-US" w:eastAsia="zh-CN"/>
        </w:rPr>
        <w:t>10</w:t>
      </w:r>
      <w:r>
        <w:rPr>
          <w:rFonts w:hint="eastAsia" w:hAnsi="宋体" w:cs="宋体"/>
          <w:color w:val="auto"/>
          <w:u w:val="none"/>
          <w:lang w:eastAsia="zh-CN"/>
        </w:rPr>
        <w:t>）</w:t>
      </w:r>
      <w:r>
        <w:rPr>
          <w:rFonts w:hint="eastAsia" w:hAnsi="宋体" w:cs="宋体"/>
          <w:color w:val="auto"/>
          <w:u w:val="none"/>
        </w:rPr>
        <w:t>服务方案（如有）</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int="eastAsia" w:hAnsi="宋体" w:cs="宋体"/>
          <w:color w:val="auto"/>
          <w:u w:val="none"/>
        </w:rPr>
      </w:pPr>
      <w:r>
        <w:rPr>
          <w:rFonts w:hint="eastAsia" w:hAnsi="宋体" w:cs="宋体"/>
          <w:color w:val="auto"/>
          <w:u w:val="none"/>
        </w:rPr>
        <w:t>（</w:t>
      </w:r>
      <w:r>
        <w:rPr>
          <w:rFonts w:hint="eastAsia" w:hAnsi="宋体" w:cs="宋体"/>
          <w:color w:val="auto"/>
          <w:u w:val="none"/>
          <w:lang w:val="en-US" w:eastAsia="zh-CN"/>
        </w:rPr>
        <w:t>11</w:t>
      </w:r>
      <w:r>
        <w:rPr>
          <w:rFonts w:hint="eastAsia" w:hAnsi="宋体" w:cs="宋体"/>
          <w:color w:val="auto"/>
          <w:u w:val="none"/>
        </w:rPr>
        <w:t>）其他资料（如有）</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11.2在谈判过程中，谈判单位根据</w:t>
      </w:r>
      <w:r>
        <w:rPr>
          <w:rFonts w:hint="eastAsia" w:hAnsi="宋体" w:cs="宋体"/>
          <w:kern w:val="0"/>
          <w:u w:val="none"/>
        </w:rPr>
        <w:t>谈判评审小组</w:t>
      </w:r>
      <w:r>
        <w:rPr>
          <w:rFonts w:hint="eastAsia" w:hAnsi="宋体" w:cs="宋体"/>
          <w:bCs/>
          <w:u w:val="none"/>
        </w:rPr>
        <w:t>要求</w:t>
      </w:r>
      <w:r>
        <w:rPr>
          <w:rFonts w:hint="eastAsia" w:hAnsi="宋体" w:cs="宋体"/>
          <w:kern w:val="0"/>
          <w:u w:val="none"/>
        </w:rPr>
        <w:t>提交的</w:t>
      </w:r>
      <w:r>
        <w:rPr>
          <w:rFonts w:hint="eastAsia" w:hAnsi="宋体" w:cs="宋体"/>
          <w:u w:val="none"/>
        </w:rPr>
        <w:t>书面承诺或其他文件是响应文件的有效组成部分。</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11.3谈判单位无论成交与否，其递交的响应文件均不予退还。</w:t>
      </w:r>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12.报价要求</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color w:val="auto"/>
          <w:szCs w:val="21"/>
          <w:u w:val="none"/>
        </w:rPr>
      </w:pPr>
      <w:r>
        <w:rPr>
          <w:rFonts w:hint="eastAsia" w:ascii="宋体" w:hAnsi="宋体" w:cs="宋体"/>
          <w:color w:val="auto"/>
          <w:szCs w:val="21"/>
          <w:u w:val="none"/>
        </w:rPr>
        <w:t>12.1本项目为一轮报价。谈判单位应按第七章“响应文件格式”的要求在报价文件中进行报价。谈判单位所报的</w:t>
      </w:r>
      <w:r>
        <w:rPr>
          <w:rFonts w:hint="eastAsia" w:ascii="宋体" w:hAnsi="宋体" w:cs="宋体"/>
          <w:color w:val="auto"/>
          <w:szCs w:val="21"/>
          <w:u w:val="none"/>
          <w:lang w:eastAsia="zh-CN"/>
        </w:rPr>
        <w:t>“正价差代理费”和“负价差分成比例”</w:t>
      </w:r>
      <w:r>
        <w:rPr>
          <w:rFonts w:hint="eastAsia" w:ascii="宋体" w:hAnsi="宋体" w:cs="宋体"/>
          <w:color w:val="auto"/>
          <w:szCs w:val="21"/>
          <w:u w:val="none"/>
        </w:rPr>
        <w:t>均不得超过最高限价，不超过最高限价的谈判</w:t>
      </w:r>
      <w:r>
        <w:rPr>
          <w:rFonts w:hint="eastAsia" w:ascii="宋体" w:hAnsi="宋体" w:cs="宋体"/>
          <w:color w:val="auto"/>
          <w:szCs w:val="21"/>
          <w:u w:val="none"/>
          <w:lang w:eastAsia="zh-CN"/>
        </w:rPr>
        <w:t>“正价差代理费”和“负价差分成比例”</w:t>
      </w:r>
      <w:r>
        <w:rPr>
          <w:rFonts w:hint="eastAsia" w:ascii="宋体" w:hAnsi="宋体" w:cs="宋体"/>
          <w:color w:val="auto"/>
          <w:szCs w:val="21"/>
          <w:u w:val="none"/>
        </w:rPr>
        <w:t>为有效报价。</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color w:val="auto"/>
          <w:szCs w:val="21"/>
          <w:u w:val="none"/>
        </w:rPr>
      </w:pPr>
      <w:r>
        <w:rPr>
          <w:rFonts w:hint="eastAsia" w:ascii="宋体" w:hAnsi="宋体" w:cs="宋体"/>
          <w:color w:val="auto"/>
          <w:szCs w:val="21"/>
          <w:u w:val="none"/>
        </w:rPr>
        <w:t>12.2本项目以含增值税</w:t>
      </w:r>
      <w:r>
        <w:rPr>
          <w:rFonts w:hint="eastAsia" w:ascii="宋体" w:hAnsi="宋体" w:cs="宋体"/>
          <w:color w:val="auto"/>
          <w:szCs w:val="21"/>
          <w:u w:val="none"/>
          <w:lang w:eastAsia="zh-CN"/>
        </w:rPr>
        <w:t>报价</w:t>
      </w:r>
      <w:r>
        <w:rPr>
          <w:rFonts w:hint="eastAsia" w:ascii="宋体" w:hAnsi="宋体" w:cs="宋体"/>
          <w:color w:val="auto"/>
          <w:szCs w:val="21"/>
          <w:u w:val="none"/>
        </w:rPr>
        <w:t>进行评审。</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12.3谈判单位应充分了解该项目的总体情况以及影响谈判报价的其他要素。</w:t>
      </w:r>
      <w:r>
        <w:rPr>
          <w:rFonts w:hint="eastAsia" w:ascii="宋体" w:hAnsi="宋体" w:cs="宋体"/>
          <w:b/>
          <w:szCs w:val="21"/>
          <w:u w:val="none"/>
        </w:rPr>
        <w:t>最终结算以长沙市轨道交通运营有限公司审核为准。</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color w:val="auto"/>
          <w:szCs w:val="21"/>
          <w:u w:val="none"/>
        </w:rPr>
      </w:pPr>
      <w:r>
        <w:rPr>
          <w:rFonts w:hint="eastAsia" w:ascii="宋体" w:hAnsi="宋体" w:cs="宋体"/>
          <w:color w:val="auto"/>
          <w:szCs w:val="21"/>
          <w:u w:val="none"/>
        </w:rPr>
        <w:t>12.</w:t>
      </w:r>
      <w:r>
        <w:rPr>
          <w:rFonts w:hint="eastAsia" w:ascii="宋体" w:hAnsi="宋体" w:cs="宋体"/>
          <w:color w:val="auto"/>
          <w:szCs w:val="21"/>
          <w:u w:val="none"/>
          <w:lang w:val="en-US" w:eastAsia="zh-CN"/>
        </w:rPr>
        <w:t>4</w:t>
      </w:r>
      <w:r>
        <w:rPr>
          <w:rFonts w:hint="eastAsia" w:ascii="宋体" w:hAnsi="宋体" w:cs="宋体"/>
          <w:color w:val="auto"/>
          <w:szCs w:val="21"/>
          <w:u w:val="none"/>
        </w:rPr>
        <w:t>本项目设置最高限价，谈判单位所报</w:t>
      </w:r>
      <w:r>
        <w:rPr>
          <w:rFonts w:hint="eastAsia" w:ascii="宋体" w:hAnsi="宋体" w:cs="宋体"/>
          <w:b/>
          <w:bCs/>
          <w:color w:val="auto"/>
          <w:szCs w:val="21"/>
          <w:u w:val="none"/>
        </w:rPr>
        <w:t>含税</w:t>
      </w:r>
      <w:r>
        <w:rPr>
          <w:rFonts w:hint="eastAsia" w:ascii="宋体" w:hAnsi="宋体" w:cs="宋体"/>
          <w:b/>
          <w:bCs/>
          <w:color w:val="auto"/>
          <w:szCs w:val="21"/>
          <w:u w:val="none"/>
          <w:lang w:eastAsia="zh-CN"/>
        </w:rPr>
        <w:t>报价</w:t>
      </w:r>
      <w:r>
        <w:rPr>
          <w:rFonts w:hint="eastAsia" w:ascii="宋体" w:hAnsi="宋体" w:cs="宋体"/>
          <w:b/>
          <w:bCs/>
          <w:color w:val="auto"/>
          <w:szCs w:val="21"/>
          <w:u w:val="none"/>
        </w:rPr>
        <w:t>不能超过最高限价，不超过最高限价的报价为有效报价</w:t>
      </w:r>
      <w:r>
        <w:rPr>
          <w:rFonts w:hint="eastAsia" w:ascii="宋体" w:hAnsi="宋体" w:cs="宋体"/>
          <w:color w:val="auto"/>
          <w:szCs w:val="21"/>
          <w:u w:val="none"/>
        </w:rPr>
        <w:t>。本项目最高限价见</w:t>
      </w:r>
      <w:r>
        <w:rPr>
          <w:rFonts w:hint="eastAsia" w:ascii="宋体" w:hAnsi="宋体" w:cs="宋体"/>
          <w:b/>
          <w:color w:val="auto"/>
          <w:szCs w:val="21"/>
          <w:u w:val="none"/>
        </w:rPr>
        <w:t>前附表</w:t>
      </w:r>
      <w:r>
        <w:rPr>
          <w:rFonts w:hint="eastAsia" w:ascii="宋体" w:hAnsi="宋体" w:cs="宋体"/>
          <w:color w:val="auto"/>
          <w:szCs w:val="21"/>
          <w:u w:val="none"/>
        </w:rPr>
        <w:t>。</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12.</w:t>
      </w:r>
      <w:r>
        <w:rPr>
          <w:rFonts w:hint="eastAsia" w:ascii="宋体" w:hAnsi="宋体" w:cs="宋体"/>
          <w:szCs w:val="21"/>
          <w:u w:val="none"/>
          <w:lang w:val="en-US" w:eastAsia="zh-CN"/>
        </w:rPr>
        <w:t>5</w:t>
      </w:r>
      <w:r>
        <w:rPr>
          <w:rFonts w:hint="eastAsia" w:ascii="宋体" w:hAnsi="宋体" w:cs="宋体"/>
          <w:szCs w:val="21"/>
          <w:u w:val="none"/>
        </w:rPr>
        <w:t>谈判单位应按谈判文件规定的要求、责任范围和合同条件，</w:t>
      </w:r>
      <w:r>
        <w:rPr>
          <w:rFonts w:hint="eastAsia" w:ascii="宋体" w:hAnsi="宋体" w:cs="宋体"/>
          <w:b/>
          <w:bCs/>
          <w:szCs w:val="21"/>
          <w:u w:val="none"/>
        </w:rPr>
        <w:t>以人民币报价，以元为单位，保留小数点后两位</w:t>
      </w:r>
      <w:r>
        <w:rPr>
          <w:rFonts w:hint="eastAsia" w:ascii="宋体" w:hAnsi="宋体" w:cs="宋体"/>
          <w:szCs w:val="21"/>
          <w:u w:val="none"/>
        </w:rPr>
        <w:t>。</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12.</w:t>
      </w:r>
      <w:r>
        <w:rPr>
          <w:rFonts w:hint="eastAsia" w:ascii="宋体" w:hAnsi="宋体" w:cs="宋体"/>
          <w:szCs w:val="21"/>
          <w:u w:val="none"/>
          <w:lang w:val="en-US" w:eastAsia="zh-CN"/>
        </w:rPr>
        <w:t>6</w:t>
      </w:r>
      <w:r>
        <w:rPr>
          <w:rFonts w:hint="eastAsia" w:ascii="宋体" w:hAnsi="宋体" w:cs="宋体"/>
          <w:szCs w:val="21"/>
          <w:u w:val="none"/>
        </w:rPr>
        <w:t>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12.</w:t>
      </w:r>
      <w:r>
        <w:rPr>
          <w:rFonts w:hint="eastAsia" w:hAnsi="宋体" w:cs="宋体"/>
          <w:u w:val="none"/>
          <w:lang w:val="en-US" w:eastAsia="zh-CN"/>
        </w:rPr>
        <w:t>7</w:t>
      </w:r>
      <w:r>
        <w:rPr>
          <w:rFonts w:hint="eastAsia" w:hAnsi="宋体" w:cs="宋体"/>
          <w:u w:val="none"/>
        </w:rPr>
        <w:t>谈判单位递交两份或多份内容不同的报价文件，或在一份报价文件中对同一项目报有两个或多个报价，且未声明哪一个有效的，将被认为是非实质响应被拒绝。</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color w:val="FF0000"/>
          <w:szCs w:val="21"/>
          <w:u w:val="none"/>
        </w:rPr>
      </w:pPr>
      <w:r>
        <w:rPr>
          <w:rFonts w:hint="eastAsia" w:ascii="宋体" w:hAnsi="宋体" w:cs="宋体"/>
          <w:bCs/>
          <w:szCs w:val="21"/>
          <w:u w:val="none"/>
        </w:rPr>
        <w:t>12.</w:t>
      </w:r>
      <w:r>
        <w:rPr>
          <w:rFonts w:hint="eastAsia" w:ascii="宋体" w:hAnsi="宋体" w:cs="宋体"/>
          <w:bCs/>
          <w:szCs w:val="21"/>
          <w:u w:val="none"/>
          <w:lang w:val="en-US" w:eastAsia="zh-CN"/>
        </w:rPr>
        <w:t>8</w:t>
      </w:r>
      <w:r>
        <w:rPr>
          <w:rFonts w:hint="eastAsia" w:ascii="宋体" w:hAnsi="宋体" w:cs="宋体"/>
          <w:bCs/>
          <w:szCs w:val="21"/>
          <w:u w:val="none"/>
        </w:rPr>
        <w:t>最低报价不能作为中选的保证。</w:t>
      </w:r>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13.响应文件有效期</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szCs w:val="21"/>
          <w:u w:val="none"/>
        </w:rPr>
      </w:pPr>
      <w:r>
        <w:rPr>
          <w:rFonts w:hint="eastAsia" w:ascii="宋体" w:hAnsi="宋体" w:cs="宋体"/>
          <w:szCs w:val="21"/>
          <w:u w:val="none"/>
        </w:rPr>
        <w:t>13.1响应文件有效期见</w:t>
      </w:r>
      <w:r>
        <w:rPr>
          <w:rFonts w:hint="eastAsia" w:ascii="宋体" w:hAnsi="宋体" w:cs="宋体"/>
          <w:b/>
          <w:szCs w:val="21"/>
          <w:u w:val="none"/>
        </w:rPr>
        <w:t>前附表</w:t>
      </w:r>
      <w:r>
        <w:rPr>
          <w:rFonts w:hint="eastAsia" w:ascii="宋体" w:hAnsi="宋体" w:cs="宋体"/>
          <w:szCs w:val="21"/>
          <w:u w:val="none"/>
        </w:rPr>
        <w:t>，在此期间响应文件对谈判单位具有法律约束力，从</w:t>
      </w:r>
      <w:r>
        <w:rPr>
          <w:rFonts w:hint="eastAsia" w:ascii="宋体" w:hAnsi="宋体" w:cs="宋体"/>
          <w:b/>
          <w:szCs w:val="21"/>
          <w:u w:val="none"/>
        </w:rPr>
        <w:t>前附表</w:t>
      </w:r>
      <w:r>
        <w:rPr>
          <w:rFonts w:hint="eastAsia" w:ascii="宋体" w:hAnsi="宋体" w:cs="宋体"/>
          <w:szCs w:val="21"/>
          <w:u w:val="none"/>
        </w:rPr>
        <w:t>规定的</w:t>
      </w:r>
      <w:r>
        <w:rPr>
          <w:rFonts w:hint="eastAsia" w:ascii="宋体" w:hAnsi="宋体" w:cs="宋体"/>
          <w:kern w:val="0"/>
          <w:szCs w:val="21"/>
          <w:u w:val="none"/>
        </w:rPr>
        <w:t>响应文件递交截止时间</w:t>
      </w:r>
      <w:r>
        <w:rPr>
          <w:rFonts w:hint="eastAsia" w:ascii="宋体" w:hAnsi="宋体" w:cs="宋体"/>
          <w:szCs w:val="21"/>
          <w:u w:val="none"/>
        </w:rPr>
        <w:t>之日起计算。响应文件有效期不足的将被视为无效响应。</w:t>
      </w:r>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14.响应文件的编制</w:t>
      </w:r>
    </w:p>
    <w:p>
      <w:pPr>
        <w:pStyle w:val="357"/>
        <w:keepNext w:val="0"/>
        <w:keepLines w:val="0"/>
        <w:pageBreakBefore w:val="0"/>
        <w:kinsoku/>
        <w:wordWrap/>
        <w:overflowPunct/>
        <w:topLinePunct w:val="0"/>
        <w:autoSpaceDE/>
        <w:autoSpaceDN/>
        <w:bidi w:val="0"/>
        <w:spacing w:line="560" w:lineRule="exact"/>
        <w:ind w:firstLine="420" w:firstLineChars="200"/>
        <w:jc w:val="both"/>
        <w:textAlignment w:val="auto"/>
        <w:rPr>
          <w:rFonts w:hAnsi="宋体" w:cs="宋体"/>
          <w:sz w:val="21"/>
          <w:szCs w:val="21"/>
          <w:u w:val="none"/>
        </w:rPr>
      </w:pPr>
      <w:r>
        <w:rPr>
          <w:rFonts w:hint="eastAsia" w:hAnsi="宋体" w:cs="宋体"/>
          <w:sz w:val="21"/>
          <w:szCs w:val="21"/>
          <w:u w:val="none"/>
        </w:rPr>
        <w:t>14.1响应文件应按</w:t>
      </w:r>
      <w:r>
        <w:rPr>
          <w:rFonts w:hint="eastAsia" w:hAnsi="宋体" w:cs="宋体"/>
          <w:b/>
          <w:bCs/>
          <w:sz w:val="21"/>
          <w:szCs w:val="21"/>
          <w:u w:val="none"/>
        </w:rPr>
        <w:t>第七章</w:t>
      </w:r>
      <w:r>
        <w:rPr>
          <w:rFonts w:hint="eastAsia" w:hAnsi="宋体" w:cs="宋体"/>
          <w:sz w:val="21"/>
          <w:szCs w:val="21"/>
          <w:u w:val="none"/>
        </w:rPr>
        <w:t>“响应文件格式”进行编写，如有必要，可以增加附页，作为响应文件的组成部分。</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14.2响应文件应用不褪色的材料书写或打印（建议双面打印），并按</w:t>
      </w:r>
      <w:r>
        <w:rPr>
          <w:rFonts w:hint="eastAsia" w:hAnsi="宋体" w:cs="宋体"/>
          <w:b/>
          <w:bCs/>
          <w:u w:val="none"/>
        </w:rPr>
        <w:t>第七章</w:t>
      </w:r>
      <w:r>
        <w:rPr>
          <w:rFonts w:hint="eastAsia" w:hAnsi="宋体" w:cs="宋体"/>
          <w:u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u w:val="none"/>
        </w:rPr>
        <w:t>第七章</w:t>
      </w:r>
      <w:r>
        <w:rPr>
          <w:rFonts w:hint="eastAsia" w:hAnsi="宋体" w:cs="宋体"/>
          <w:u w:val="none"/>
        </w:rPr>
        <w:t>“响应文件格式”的要求。</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14.3响应文件应尽量避免涂改、行间插字或删除。如果出现上述情况，改动之处应由谈判单位的法定代表人或其授权的代理人签字或盖单位公章。</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u w:val="none"/>
        </w:rPr>
        <w:t>“正本”</w:t>
      </w:r>
      <w:r>
        <w:rPr>
          <w:rFonts w:hint="eastAsia" w:hAnsi="宋体" w:cs="宋体"/>
          <w:u w:val="none"/>
        </w:rPr>
        <w:t>或</w:t>
      </w:r>
      <w:r>
        <w:rPr>
          <w:rFonts w:hint="eastAsia" w:hAnsi="宋体" w:cs="宋体"/>
          <w:b/>
          <w:bCs/>
          <w:u w:val="none"/>
        </w:rPr>
        <w:t>“副本”</w:t>
      </w:r>
      <w:r>
        <w:rPr>
          <w:rFonts w:hint="eastAsia" w:hAnsi="宋体" w:cs="宋体"/>
          <w:u w:val="none"/>
        </w:rPr>
        <w:t>的字样，若响应文件副本为正本的复印件，还需在谈判文件要求盖章处加盖单位公章。当正本和副本有差异时，以正本为准。</w:t>
      </w:r>
    </w:p>
    <w:p>
      <w:pPr>
        <w:pStyle w:val="4"/>
        <w:keepNext w:val="0"/>
        <w:keepLines w:val="0"/>
        <w:pageBreakBefore w:val="0"/>
        <w:kinsoku/>
        <w:wordWrap/>
        <w:overflowPunct/>
        <w:topLinePunct w:val="0"/>
        <w:autoSpaceDE/>
        <w:autoSpaceDN/>
        <w:bidi w:val="0"/>
        <w:spacing w:line="560" w:lineRule="exact"/>
        <w:textAlignment w:val="auto"/>
        <w:rPr>
          <w:rFonts w:ascii="宋体" w:hAnsi="宋体" w:cs="宋体"/>
          <w:sz w:val="21"/>
          <w:szCs w:val="21"/>
          <w:u w:val="none"/>
        </w:rPr>
      </w:pPr>
      <w:bookmarkStart w:id="35" w:name="_Toc1468"/>
      <w:bookmarkStart w:id="36" w:name="_Toc14891071"/>
      <w:bookmarkStart w:id="37" w:name="_Toc25692"/>
      <w:r>
        <w:rPr>
          <w:rFonts w:hint="eastAsia" w:ascii="宋体" w:hAnsi="宋体" w:cs="宋体"/>
          <w:sz w:val="21"/>
          <w:szCs w:val="21"/>
          <w:u w:val="none"/>
        </w:rPr>
        <w:t>四、响应文件的递交</w:t>
      </w:r>
      <w:bookmarkEnd w:id="35"/>
      <w:bookmarkEnd w:id="36"/>
      <w:bookmarkEnd w:id="37"/>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15.</w:t>
      </w:r>
      <w:r>
        <w:rPr>
          <w:rFonts w:hint="eastAsia" w:ascii="宋体" w:hAnsi="宋体" w:cs="宋体"/>
          <w:b/>
          <w:szCs w:val="21"/>
          <w:u w:val="none"/>
        </w:rPr>
        <w:t>响应文件</w:t>
      </w:r>
      <w:r>
        <w:rPr>
          <w:rFonts w:hint="eastAsia" w:ascii="宋体" w:hAnsi="宋体" w:cs="宋体"/>
          <w:b/>
          <w:bCs/>
          <w:szCs w:val="21"/>
          <w:u w:val="none"/>
        </w:rPr>
        <w:t>的密封</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b/>
          <w:bCs/>
          <w:szCs w:val="21"/>
          <w:u w:val="none"/>
        </w:rPr>
      </w:pPr>
      <w:r>
        <w:rPr>
          <w:rFonts w:hint="eastAsia" w:ascii="宋体" w:hAnsi="宋体" w:cs="宋体"/>
          <w:szCs w:val="21"/>
          <w:u w:val="none"/>
        </w:rPr>
        <w:t>15.1谈判单位须将响应文件一正两副与电子文件一起密封包装。</w:t>
      </w:r>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16.响应文件的标记</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b/>
          <w:bCs/>
          <w:szCs w:val="21"/>
          <w:u w:val="none"/>
        </w:rPr>
      </w:pPr>
      <w:r>
        <w:rPr>
          <w:rFonts w:hint="eastAsia" w:ascii="宋体" w:hAnsi="宋体" w:cs="宋体"/>
          <w:szCs w:val="21"/>
          <w:u w:val="none"/>
        </w:rPr>
        <w:t>16.1</w:t>
      </w:r>
      <w:r>
        <w:rPr>
          <w:rFonts w:hint="eastAsia" w:ascii="宋体" w:hAnsi="宋体" w:cs="宋体"/>
          <w:bCs/>
          <w:szCs w:val="21"/>
          <w:u w:val="none"/>
        </w:rPr>
        <w:t>响应文件的密封封套上须写明如下内容</w:t>
      </w:r>
      <w:r>
        <w:rPr>
          <w:rFonts w:hint="eastAsia" w:ascii="宋体" w:hAnsi="宋体" w:cs="宋体"/>
          <w:szCs w:val="21"/>
          <w:u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keepNext w:val="0"/>
              <w:keepLines w:val="0"/>
              <w:pageBreakBefore w:val="0"/>
              <w:kinsoku/>
              <w:wordWrap/>
              <w:overflowPunct/>
              <w:topLinePunct w:val="0"/>
              <w:autoSpaceDE/>
              <w:autoSpaceDN/>
              <w:bidi w:val="0"/>
              <w:spacing w:line="560" w:lineRule="exact"/>
              <w:textAlignment w:val="auto"/>
              <w:rPr>
                <w:rFonts w:ascii="宋体" w:hAnsi="宋体" w:cs="宋体"/>
                <w:szCs w:val="21"/>
                <w:u w:val="none"/>
              </w:rPr>
            </w:pPr>
            <w:r>
              <w:rPr>
                <w:rFonts w:hint="eastAsia" w:ascii="宋体" w:hAnsi="宋体" w:cs="宋体"/>
                <w:szCs w:val="21"/>
                <w:u w:val="none"/>
              </w:rPr>
              <w:t xml:space="preserve">采购单位： </w:t>
            </w:r>
            <w:r>
              <w:rPr>
                <w:rFonts w:ascii="宋体" w:hAnsi="宋体" w:cs="宋体"/>
                <w:szCs w:val="21"/>
                <w:u w:val="none"/>
              </w:rPr>
              <w:t xml:space="preserve">         </w:t>
            </w:r>
            <w:r>
              <w:rPr>
                <w:rFonts w:hint="eastAsia" w:ascii="宋体" w:hAnsi="宋体" w:cs="宋体"/>
                <w:szCs w:val="21"/>
                <w:u w:val="none"/>
              </w:rPr>
              <w:t xml:space="preserve">                       </w:t>
            </w:r>
            <w:r>
              <w:rPr>
                <w:rFonts w:ascii="宋体" w:hAnsi="宋体" w:cs="宋体"/>
                <w:szCs w:val="21"/>
                <w:u w:val="none"/>
              </w:rPr>
              <w:t xml:space="preserve">     </w:t>
            </w:r>
          </w:p>
          <w:p>
            <w:pPr>
              <w:keepNext w:val="0"/>
              <w:keepLines w:val="0"/>
              <w:pageBreakBefore w:val="0"/>
              <w:kinsoku/>
              <w:wordWrap/>
              <w:overflowPunct/>
              <w:topLinePunct w:val="0"/>
              <w:autoSpaceDE/>
              <w:autoSpaceDN/>
              <w:bidi w:val="0"/>
              <w:spacing w:line="560" w:lineRule="exact"/>
              <w:textAlignment w:val="auto"/>
              <w:rPr>
                <w:rFonts w:ascii="宋体" w:hAnsi="宋体" w:cs="宋体"/>
                <w:szCs w:val="21"/>
                <w:u w:val="none"/>
              </w:rPr>
            </w:pPr>
            <w:r>
              <w:rPr>
                <w:rFonts w:hint="eastAsia" w:ascii="宋体" w:hAnsi="宋体" w:cs="宋体"/>
                <w:szCs w:val="21"/>
                <w:u w:val="none"/>
              </w:rPr>
              <w:t xml:space="preserve">项目名称： </w:t>
            </w:r>
            <w:r>
              <w:rPr>
                <w:rFonts w:ascii="宋体" w:hAnsi="宋体" w:cs="宋体"/>
                <w:szCs w:val="21"/>
                <w:u w:val="none"/>
              </w:rPr>
              <w:t xml:space="preserve">           </w:t>
            </w:r>
            <w:r>
              <w:rPr>
                <w:rFonts w:hint="eastAsia" w:ascii="宋体" w:hAnsi="宋体" w:cs="宋体"/>
                <w:szCs w:val="21"/>
                <w:u w:val="none"/>
              </w:rPr>
              <w:t xml:space="preserve">                  </w:t>
            </w:r>
            <w:r>
              <w:rPr>
                <w:rFonts w:ascii="宋体" w:hAnsi="宋体" w:cs="宋体"/>
                <w:szCs w:val="21"/>
                <w:u w:val="none"/>
              </w:rPr>
              <w:t xml:space="preserve">        </w:t>
            </w:r>
          </w:p>
          <w:p>
            <w:pPr>
              <w:keepNext w:val="0"/>
              <w:keepLines w:val="0"/>
              <w:pageBreakBefore w:val="0"/>
              <w:kinsoku/>
              <w:wordWrap/>
              <w:overflowPunct/>
              <w:topLinePunct w:val="0"/>
              <w:autoSpaceDE/>
              <w:autoSpaceDN/>
              <w:bidi w:val="0"/>
              <w:spacing w:line="560" w:lineRule="exact"/>
              <w:textAlignment w:val="auto"/>
              <w:rPr>
                <w:rFonts w:ascii="宋体" w:hAnsi="宋体" w:cs="宋体"/>
                <w:szCs w:val="21"/>
                <w:u w:val="none"/>
              </w:rPr>
            </w:pPr>
            <w:r>
              <w:rPr>
                <w:rFonts w:hint="eastAsia" w:ascii="宋体" w:hAnsi="宋体" w:cs="宋体"/>
                <w:szCs w:val="21"/>
                <w:u w:val="none"/>
              </w:rPr>
              <w:t xml:space="preserve">谈判单位：（填写单位名称并加盖单位公章）         </w:t>
            </w:r>
          </w:p>
          <w:p>
            <w:pPr>
              <w:keepNext w:val="0"/>
              <w:keepLines w:val="0"/>
              <w:pageBreakBefore w:val="0"/>
              <w:kinsoku/>
              <w:wordWrap/>
              <w:overflowPunct/>
              <w:topLinePunct w:val="0"/>
              <w:autoSpaceDE/>
              <w:autoSpaceDN/>
              <w:bidi w:val="0"/>
              <w:spacing w:line="560" w:lineRule="exact"/>
              <w:ind w:firstLine="840" w:firstLineChars="400"/>
              <w:textAlignment w:val="auto"/>
              <w:rPr>
                <w:rFonts w:ascii="宋体" w:hAnsi="宋体" w:cs="宋体"/>
                <w:szCs w:val="21"/>
                <w:u w:val="none"/>
              </w:rPr>
            </w:pPr>
            <w:r>
              <w:rPr>
                <w:rFonts w:hint="eastAsia" w:ascii="宋体" w:hAnsi="宋体"/>
                <w:bCs/>
                <w:szCs w:val="21"/>
                <w:u w:val="none"/>
              </w:rPr>
              <w:t xml:space="preserve">     年    月</w:t>
            </w:r>
            <w:r>
              <w:rPr>
                <w:rFonts w:hint="eastAsia" w:ascii="宋体" w:hAnsi="宋体"/>
                <w:bCs/>
                <w:i/>
                <w:iCs/>
                <w:szCs w:val="21"/>
                <w:u w:val="none"/>
              </w:rPr>
              <w:t xml:space="preserve">    </w:t>
            </w:r>
            <w:r>
              <w:rPr>
                <w:rFonts w:hint="eastAsia" w:ascii="宋体" w:hAnsi="宋体"/>
                <w:bCs/>
                <w:szCs w:val="21"/>
                <w:u w:val="none"/>
              </w:rPr>
              <w:t>日</w:t>
            </w:r>
          </w:p>
        </w:tc>
      </w:tr>
    </w:tbl>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17.响应文件的递交与接收</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kern w:val="0"/>
          <w:szCs w:val="21"/>
          <w:u w:val="none"/>
        </w:rPr>
      </w:pPr>
      <w:r>
        <w:rPr>
          <w:rFonts w:hint="eastAsia" w:ascii="宋体" w:hAnsi="宋体" w:cs="宋体"/>
          <w:szCs w:val="21"/>
          <w:u w:val="none"/>
        </w:rPr>
        <w:t>17.1谈判单位应按要求在</w:t>
      </w:r>
      <w:r>
        <w:rPr>
          <w:rFonts w:hint="eastAsia" w:ascii="宋体" w:hAnsi="宋体" w:cs="宋体"/>
          <w:kern w:val="0"/>
          <w:szCs w:val="21"/>
          <w:u w:val="none"/>
        </w:rPr>
        <w:t>响应文件递交截止时间</w:t>
      </w:r>
      <w:r>
        <w:rPr>
          <w:rFonts w:hint="eastAsia" w:ascii="宋体" w:hAnsi="宋体" w:cs="宋体"/>
          <w:szCs w:val="21"/>
          <w:u w:val="none"/>
        </w:rPr>
        <w:t>前，将响应文件送达指定地点，响应文件递交截止时间、地点及要求见</w:t>
      </w:r>
      <w:r>
        <w:rPr>
          <w:rFonts w:hint="eastAsia" w:ascii="宋体" w:hAnsi="宋体" w:cs="宋体"/>
          <w:b/>
          <w:szCs w:val="21"/>
          <w:u w:val="none"/>
        </w:rPr>
        <w:t>前附表</w:t>
      </w:r>
      <w:r>
        <w:rPr>
          <w:rFonts w:hint="eastAsia" w:ascii="宋体" w:hAnsi="宋体" w:cs="宋体"/>
          <w:szCs w:val="21"/>
          <w:u w:val="none"/>
        </w:rPr>
        <w:t>。</w:t>
      </w:r>
      <w:r>
        <w:rPr>
          <w:rFonts w:hint="eastAsia" w:ascii="宋体" w:hAnsi="宋体" w:cs="宋体"/>
          <w:kern w:val="0"/>
          <w:szCs w:val="21"/>
          <w:u w:val="none"/>
        </w:rPr>
        <w:t>在截止时间后送达的响应文件，</w:t>
      </w:r>
      <w:r>
        <w:rPr>
          <w:rFonts w:hint="eastAsia" w:hAnsi="宋体" w:cs="宋体"/>
          <w:kern w:val="0"/>
          <w:u w:val="none"/>
        </w:rPr>
        <w:t>采购单位、采购代理机构应当拒收。</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b/>
          <w:szCs w:val="21"/>
          <w:u w:val="none"/>
        </w:rPr>
      </w:pPr>
      <w:r>
        <w:rPr>
          <w:rFonts w:hint="eastAsia" w:ascii="宋体" w:hAnsi="宋体" w:cs="宋体"/>
          <w:bCs/>
          <w:szCs w:val="21"/>
          <w:u w:val="none"/>
        </w:rPr>
        <w:t>17.2采购单位、</w:t>
      </w:r>
      <w:r>
        <w:rPr>
          <w:rFonts w:hint="eastAsia" w:hAnsi="宋体" w:cs="宋体"/>
          <w:kern w:val="0"/>
          <w:u w:val="none"/>
        </w:rPr>
        <w:t>采购代理机构</w:t>
      </w:r>
      <w:r>
        <w:rPr>
          <w:rFonts w:hint="eastAsia" w:ascii="宋体" w:hAnsi="宋体" w:cs="宋体"/>
          <w:bCs/>
          <w:szCs w:val="21"/>
          <w:u w:val="none"/>
        </w:rPr>
        <w:t>在</w:t>
      </w:r>
      <w:r>
        <w:rPr>
          <w:rFonts w:hint="eastAsia" w:ascii="宋体" w:hAnsi="宋体" w:cs="宋体"/>
          <w:b/>
          <w:bCs/>
          <w:szCs w:val="21"/>
          <w:u w:val="none"/>
        </w:rPr>
        <w:t>前附表</w:t>
      </w:r>
      <w:r>
        <w:rPr>
          <w:rFonts w:hint="eastAsia" w:ascii="宋体" w:hAnsi="宋体" w:cs="宋体"/>
          <w:bCs/>
          <w:szCs w:val="21"/>
          <w:u w:val="none"/>
        </w:rPr>
        <w:t>规定的谈判时间和地点，组织谈判单位签到并接收响应文件。</w:t>
      </w:r>
    </w:p>
    <w:p>
      <w:pPr>
        <w:pStyle w:val="4"/>
        <w:keepNext w:val="0"/>
        <w:keepLines w:val="0"/>
        <w:pageBreakBefore w:val="0"/>
        <w:kinsoku/>
        <w:wordWrap/>
        <w:overflowPunct/>
        <w:topLinePunct w:val="0"/>
        <w:autoSpaceDE/>
        <w:autoSpaceDN/>
        <w:bidi w:val="0"/>
        <w:spacing w:line="560" w:lineRule="exact"/>
        <w:textAlignment w:val="auto"/>
        <w:rPr>
          <w:rFonts w:ascii="宋体" w:hAnsi="宋体" w:cs="宋体"/>
          <w:sz w:val="21"/>
          <w:szCs w:val="21"/>
          <w:u w:val="none"/>
        </w:rPr>
      </w:pPr>
      <w:bookmarkStart w:id="38" w:name="_Toc10014"/>
      <w:bookmarkStart w:id="39" w:name="_Toc14891072"/>
      <w:bookmarkStart w:id="40" w:name="_Toc13483"/>
      <w:r>
        <w:rPr>
          <w:rFonts w:hint="eastAsia" w:ascii="宋体" w:hAnsi="宋体" w:cs="宋体"/>
          <w:sz w:val="21"/>
          <w:szCs w:val="21"/>
          <w:u w:val="none"/>
        </w:rPr>
        <w:t>五、响应文件的评审</w:t>
      </w:r>
      <w:bookmarkEnd w:id="38"/>
      <w:bookmarkEnd w:id="39"/>
      <w:bookmarkEnd w:id="40"/>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szCs w:val="21"/>
          <w:u w:val="none"/>
        </w:rPr>
      </w:pPr>
      <w:r>
        <w:rPr>
          <w:rFonts w:hint="eastAsia" w:ascii="宋体" w:hAnsi="宋体" w:cs="宋体"/>
          <w:b/>
          <w:szCs w:val="21"/>
          <w:u w:val="none"/>
        </w:rPr>
        <w:t>18.</w:t>
      </w:r>
      <w:r>
        <w:rPr>
          <w:rFonts w:hint="eastAsia" w:ascii="宋体" w:hAnsi="宋体" w:cs="宋体"/>
          <w:bCs/>
          <w:szCs w:val="21"/>
          <w:u w:val="none"/>
        </w:rPr>
        <w:t>评审由谈判评审小组负责，谈判评审小组应按照本谈判文件</w:t>
      </w:r>
      <w:r>
        <w:rPr>
          <w:rFonts w:hint="eastAsia" w:ascii="宋体" w:hAnsi="宋体" w:cs="宋体"/>
          <w:b/>
          <w:szCs w:val="21"/>
          <w:u w:val="none"/>
        </w:rPr>
        <w:t>第三章</w:t>
      </w:r>
      <w:r>
        <w:rPr>
          <w:rFonts w:hint="eastAsia" w:ascii="宋体" w:hAnsi="宋体" w:cs="宋体"/>
          <w:bCs/>
          <w:szCs w:val="21"/>
          <w:u w:val="none"/>
        </w:rPr>
        <w:t>“评审办法及标准”的内容和程序对响应文件进行评审。</w:t>
      </w:r>
    </w:p>
    <w:p>
      <w:pPr>
        <w:pStyle w:val="4"/>
        <w:keepNext w:val="0"/>
        <w:keepLines w:val="0"/>
        <w:pageBreakBefore w:val="0"/>
        <w:kinsoku/>
        <w:wordWrap/>
        <w:overflowPunct/>
        <w:topLinePunct w:val="0"/>
        <w:autoSpaceDE/>
        <w:autoSpaceDN/>
        <w:bidi w:val="0"/>
        <w:spacing w:line="560" w:lineRule="exact"/>
        <w:textAlignment w:val="auto"/>
        <w:rPr>
          <w:rFonts w:ascii="宋体" w:hAnsi="宋体" w:cs="宋体"/>
          <w:sz w:val="21"/>
          <w:szCs w:val="21"/>
          <w:u w:val="none"/>
        </w:rPr>
      </w:pPr>
      <w:bookmarkStart w:id="41" w:name="_Toc21358"/>
      <w:bookmarkStart w:id="42" w:name="_Toc21834"/>
      <w:bookmarkStart w:id="43" w:name="_Toc14891073"/>
      <w:r>
        <w:rPr>
          <w:rFonts w:hint="eastAsia" w:ascii="宋体" w:hAnsi="宋体" w:cs="宋体"/>
          <w:sz w:val="21"/>
          <w:szCs w:val="21"/>
          <w:u w:val="none"/>
        </w:rPr>
        <w:t>六、响应文件的澄清、说明及补正</w:t>
      </w:r>
      <w:bookmarkEnd w:id="41"/>
      <w:bookmarkEnd w:id="42"/>
      <w:bookmarkEnd w:id="43"/>
    </w:p>
    <w:p>
      <w:pPr>
        <w:keepNext w:val="0"/>
        <w:keepLines w:val="0"/>
        <w:pageBreakBefore w:val="0"/>
        <w:widowControl/>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kern w:val="0"/>
          <w:szCs w:val="21"/>
          <w:u w:val="none"/>
        </w:rPr>
      </w:pPr>
      <w:r>
        <w:rPr>
          <w:rFonts w:hint="eastAsia" w:ascii="宋体" w:hAnsi="宋体" w:cs="宋体"/>
          <w:b/>
          <w:kern w:val="0"/>
          <w:szCs w:val="21"/>
          <w:u w:val="none"/>
        </w:rPr>
        <w:t>19.澄清</w:t>
      </w:r>
    </w:p>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ascii="宋体" w:hAnsi="宋体" w:cs="宋体"/>
          <w:kern w:val="0"/>
          <w:szCs w:val="21"/>
          <w:u w:val="none"/>
        </w:rPr>
      </w:pPr>
      <w:r>
        <w:rPr>
          <w:rFonts w:hint="eastAsia" w:ascii="宋体" w:hAnsi="宋体" w:cs="宋体"/>
          <w:kern w:val="0"/>
          <w:szCs w:val="21"/>
          <w:u w:val="none"/>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kern w:val="0"/>
          <w:szCs w:val="21"/>
          <w:u w:val="none"/>
        </w:rPr>
      </w:pPr>
      <w:r>
        <w:rPr>
          <w:rFonts w:hint="eastAsia" w:ascii="宋体" w:hAnsi="宋体" w:cs="宋体"/>
          <w:b/>
          <w:kern w:val="0"/>
          <w:szCs w:val="21"/>
          <w:u w:val="none"/>
        </w:rPr>
        <w:t>20.说明及补正</w:t>
      </w:r>
    </w:p>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ascii="宋体" w:hAnsi="宋体" w:cs="宋体"/>
          <w:kern w:val="0"/>
          <w:szCs w:val="21"/>
          <w:u w:val="none"/>
        </w:rPr>
      </w:pPr>
      <w:r>
        <w:rPr>
          <w:rFonts w:hint="eastAsia" w:ascii="宋体" w:hAnsi="宋体" w:cs="宋体"/>
          <w:kern w:val="0"/>
          <w:szCs w:val="21"/>
          <w:u w:val="none"/>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ascii="宋体" w:hAnsi="宋体" w:cs="宋体"/>
          <w:kern w:val="0"/>
          <w:szCs w:val="21"/>
          <w:u w:val="none"/>
        </w:rPr>
      </w:pPr>
      <w:r>
        <w:rPr>
          <w:rFonts w:hint="eastAsia" w:ascii="宋体" w:hAnsi="宋体" w:cs="宋体"/>
          <w:kern w:val="0"/>
          <w:szCs w:val="21"/>
          <w:u w:val="none"/>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ascii="宋体" w:hAnsi="宋体" w:cs="宋体"/>
          <w:b/>
          <w:color w:val="auto"/>
          <w:szCs w:val="21"/>
          <w:u w:val="none"/>
        </w:rPr>
      </w:pPr>
      <w:r>
        <w:rPr>
          <w:rFonts w:hint="eastAsia" w:ascii="宋体" w:hAnsi="宋体" w:cs="宋体"/>
          <w:color w:val="auto"/>
          <w:kern w:val="0"/>
          <w:szCs w:val="21"/>
          <w:u w:val="none"/>
        </w:rPr>
        <w:t>20.3与谈判文件有重大偏离的响应文件将被拒绝。重大偏离指</w:t>
      </w:r>
      <w:r>
        <w:rPr>
          <w:rFonts w:hint="eastAsia" w:ascii="宋体" w:hAnsi="宋体" w:cs="宋体"/>
          <w:color w:val="auto"/>
          <w:szCs w:val="21"/>
          <w:u w:val="none"/>
          <w:lang w:eastAsia="zh-CN"/>
        </w:rPr>
        <w:t>“正价差代理费”和“负价差分成比例”</w:t>
      </w:r>
      <w:r>
        <w:rPr>
          <w:rFonts w:hint="eastAsia" w:ascii="宋体" w:hAnsi="宋体" w:cs="宋体"/>
          <w:color w:val="auto"/>
          <w:kern w:val="0"/>
          <w:szCs w:val="21"/>
          <w:u w:val="none"/>
        </w:rPr>
        <w:t>、谈判含增值税报价、谈判有效期、服务期明显不能满足谈判文件的要求。这些偏离不允许在响应文件递交截止时间之后修正。</w:t>
      </w:r>
    </w:p>
    <w:p>
      <w:pPr>
        <w:pStyle w:val="4"/>
        <w:keepNext w:val="0"/>
        <w:keepLines w:val="0"/>
        <w:pageBreakBefore w:val="0"/>
        <w:kinsoku/>
        <w:wordWrap/>
        <w:overflowPunct/>
        <w:topLinePunct w:val="0"/>
        <w:autoSpaceDE/>
        <w:autoSpaceDN/>
        <w:bidi w:val="0"/>
        <w:spacing w:line="560" w:lineRule="exact"/>
        <w:textAlignment w:val="auto"/>
        <w:rPr>
          <w:rFonts w:ascii="宋体" w:hAnsi="宋体" w:cs="宋体"/>
          <w:sz w:val="21"/>
          <w:szCs w:val="21"/>
          <w:u w:val="none"/>
        </w:rPr>
      </w:pPr>
      <w:bookmarkStart w:id="44" w:name="_Toc20130"/>
      <w:bookmarkStart w:id="45" w:name="_Toc14891074"/>
      <w:bookmarkStart w:id="46" w:name="_Toc28891"/>
      <w:r>
        <w:rPr>
          <w:rFonts w:hint="eastAsia" w:ascii="宋体" w:hAnsi="宋体" w:cs="宋体"/>
          <w:sz w:val="21"/>
          <w:szCs w:val="21"/>
          <w:u w:val="none"/>
        </w:rPr>
        <w:t>七、中选结果与授予合同</w:t>
      </w:r>
      <w:bookmarkEnd w:id="44"/>
      <w:bookmarkEnd w:id="45"/>
      <w:bookmarkEnd w:id="46"/>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21.中选信息的公布</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21.1中选单位确定后，采购单位应将结果信息在</w:t>
      </w:r>
      <w:r>
        <w:rPr>
          <w:rFonts w:hint="eastAsia" w:hAnsi="宋体" w:cs="宋体"/>
          <w:b/>
          <w:u w:val="none"/>
        </w:rPr>
        <w:t>前附表</w:t>
      </w:r>
      <w:r>
        <w:rPr>
          <w:rFonts w:hint="eastAsia" w:hAnsi="宋体" w:cs="宋体"/>
          <w:u w:val="none"/>
        </w:rPr>
        <w:t>指定的媒体上公布，</w:t>
      </w:r>
      <w:r>
        <w:rPr>
          <w:rFonts w:hint="eastAsia" w:hAnsi="宋体" w:cs="宋体"/>
          <w:b/>
          <w:bCs/>
          <w:u w:val="none"/>
        </w:rPr>
        <w:t>公示期限为3个工作日</w:t>
      </w:r>
      <w:r>
        <w:rPr>
          <w:rFonts w:hint="eastAsia" w:hAnsi="宋体" w:cs="宋体"/>
          <w:u w:val="none"/>
        </w:rPr>
        <w:t>。</w:t>
      </w:r>
    </w:p>
    <w:p>
      <w:pPr>
        <w:pStyle w:val="25"/>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hAnsi="宋体" w:cs="宋体"/>
          <w:b/>
          <w:bCs/>
          <w:u w:val="none"/>
        </w:rPr>
      </w:pPr>
      <w:r>
        <w:rPr>
          <w:rFonts w:hint="eastAsia" w:hAnsi="宋体" w:cs="宋体"/>
          <w:b/>
          <w:bCs/>
          <w:u w:val="none"/>
        </w:rPr>
        <w:t>22.评审结果异议</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b/>
          <w:u w:val="none"/>
        </w:rPr>
      </w:pPr>
      <w:r>
        <w:rPr>
          <w:rFonts w:hint="eastAsia" w:hAnsi="宋体" w:cs="宋体"/>
          <w:kern w:val="0"/>
          <w:u w:val="none"/>
        </w:rPr>
        <w:t>22.1谈判单位对评审结果有异议的，应当在结果公示期间提出。</w:t>
      </w:r>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23.中选通知</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23.1中选单位确定后，采购单位将以书面形式向中选单位发出中选通知书。中选通知书对采购单位和中选单位具有同等法律效力。</w:t>
      </w:r>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24.签订合同</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24.1谈判文件、中选单位的响应文件及其补充的文件等均为签订合同的依据。</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24.2中选单位应当在中选通知书发出后及时与采购单位签订合同。</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24.3中选单位应当按照合同约定履行义务。</w:t>
      </w:r>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25.纪律和监督</w:t>
      </w:r>
    </w:p>
    <w:p>
      <w:pPr>
        <w:keepNext w:val="0"/>
        <w:keepLines w:val="0"/>
        <w:pageBreakBefore w:val="0"/>
        <w:kinsoku/>
        <w:wordWrap/>
        <w:overflowPunct/>
        <w:topLinePunct w:val="0"/>
        <w:autoSpaceDE/>
        <w:autoSpaceDN/>
        <w:bidi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25.1对采购单位的纪律要求</w:t>
      </w:r>
    </w:p>
    <w:p>
      <w:pPr>
        <w:pStyle w:val="357"/>
        <w:keepNext w:val="0"/>
        <w:keepLines w:val="0"/>
        <w:pageBreakBefore w:val="0"/>
        <w:kinsoku/>
        <w:wordWrap/>
        <w:overflowPunct/>
        <w:topLinePunct w:val="0"/>
        <w:autoSpaceDE/>
        <w:autoSpaceDN/>
        <w:bidi w:val="0"/>
        <w:spacing w:line="560" w:lineRule="exact"/>
        <w:ind w:firstLine="420" w:firstLineChars="200"/>
        <w:jc w:val="both"/>
        <w:textAlignment w:val="auto"/>
        <w:rPr>
          <w:rFonts w:hAnsi="宋体" w:cs="宋体"/>
          <w:sz w:val="21"/>
          <w:szCs w:val="21"/>
          <w:u w:val="none"/>
        </w:rPr>
      </w:pPr>
      <w:r>
        <w:rPr>
          <w:rFonts w:hint="eastAsia" w:hAnsi="宋体" w:cs="宋体"/>
          <w:sz w:val="21"/>
          <w:szCs w:val="21"/>
          <w:u w:val="none"/>
        </w:rPr>
        <w:t>采购单位不得泄露谈判活动中应当保密的情况和资料，不得与谈判单位串通损害国家利益、社会公共利益或者他人合法权益。</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25.2对谈判单位的纪律要求</w:t>
      </w:r>
    </w:p>
    <w:p>
      <w:pPr>
        <w:pStyle w:val="357"/>
        <w:keepNext w:val="0"/>
        <w:keepLines w:val="0"/>
        <w:pageBreakBefore w:val="0"/>
        <w:kinsoku/>
        <w:wordWrap/>
        <w:overflowPunct/>
        <w:topLinePunct w:val="0"/>
        <w:autoSpaceDE/>
        <w:autoSpaceDN/>
        <w:bidi w:val="0"/>
        <w:spacing w:line="560" w:lineRule="exact"/>
        <w:ind w:firstLine="420" w:firstLineChars="200"/>
        <w:jc w:val="both"/>
        <w:textAlignment w:val="auto"/>
        <w:rPr>
          <w:rFonts w:hAnsi="宋体" w:cs="宋体"/>
          <w:sz w:val="21"/>
          <w:szCs w:val="21"/>
          <w:u w:val="none"/>
        </w:rPr>
      </w:pPr>
      <w:r>
        <w:rPr>
          <w:rFonts w:hint="eastAsia" w:hAnsi="宋体" w:cs="宋体"/>
          <w:sz w:val="21"/>
          <w:szCs w:val="21"/>
          <w:u w:val="none"/>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25.3对</w:t>
      </w:r>
      <w:r>
        <w:rPr>
          <w:rFonts w:hint="eastAsia" w:ascii="宋体" w:hAnsi="宋体" w:cs="宋体"/>
          <w:b/>
          <w:szCs w:val="21"/>
          <w:u w:val="none"/>
        </w:rPr>
        <w:t>谈判评审小组</w:t>
      </w:r>
      <w:r>
        <w:rPr>
          <w:rFonts w:hint="eastAsia" w:ascii="宋体" w:hAnsi="宋体" w:cs="宋体"/>
          <w:b/>
          <w:bCs/>
          <w:szCs w:val="21"/>
          <w:u w:val="none"/>
        </w:rPr>
        <w:t>成员的纪律要求</w:t>
      </w:r>
    </w:p>
    <w:p>
      <w:pPr>
        <w:pStyle w:val="357"/>
        <w:keepNext w:val="0"/>
        <w:keepLines w:val="0"/>
        <w:pageBreakBefore w:val="0"/>
        <w:kinsoku/>
        <w:wordWrap/>
        <w:overflowPunct/>
        <w:topLinePunct w:val="0"/>
        <w:autoSpaceDE/>
        <w:autoSpaceDN/>
        <w:bidi w:val="0"/>
        <w:spacing w:line="560" w:lineRule="exact"/>
        <w:ind w:firstLine="420" w:firstLineChars="200"/>
        <w:jc w:val="both"/>
        <w:textAlignment w:val="auto"/>
        <w:rPr>
          <w:rFonts w:hAnsi="宋体" w:cs="宋体"/>
          <w:sz w:val="21"/>
          <w:szCs w:val="21"/>
          <w:u w:val="none"/>
        </w:rPr>
      </w:pPr>
      <w:r>
        <w:rPr>
          <w:rFonts w:hint="eastAsia" w:hAnsi="宋体" w:cs="宋体"/>
          <w:sz w:val="21"/>
          <w:szCs w:val="21"/>
          <w:u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w:t>
      </w:r>
      <w:r>
        <w:rPr>
          <w:rFonts w:hint="eastAsia" w:hAnsi="宋体" w:cs="宋体"/>
          <w:b/>
          <w:bCs/>
          <w:sz w:val="21"/>
          <w:szCs w:val="21"/>
          <w:u w:val="none"/>
        </w:rPr>
        <w:t>第</w:t>
      </w:r>
      <w:bookmarkStart w:id="47" w:name="page32"/>
      <w:bookmarkEnd w:id="47"/>
      <w:r>
        <w:rPr>
          <w:rFonts w:hint="eastAsia" w:hAnsi="宋体" w:cs="宋体"/>
          <w:b/>
          <w:bCs/>
          <w:sz w:val="21"/>
          <w:szCs w:val="21"/>
          <w:u w:val="none"/>
        </w:rPr>
        <w:t>三章</w:t>
      </w:r>
      <w:r>
        <w:rPr>
          <w:rFonts w:hint="eastAsia" w:hAnsi="宋体" w:cs="宋体"/>
          <w:sz w:val="21"/>
          <w:szCs w:val="21"/>
          <w:u w:val="none"/>
        </w:rPr>
        <w:t>“评审办法及标准”没有规定的评审因素和标准进行评审。</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25.4对与评审活动有关的工作人员的纪律要求</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pageBreakBefore w:val="0"/>
        <w:kinsoku/>
        <w:wordWrap/>
        <w:overflowPunct/>
        <w:topLinePunct w:val="0"/>
        <w:autoSpaceDE/>
        <w:autoSpaceDN/>
        <w:bidi w:val="0"/>
        <w:spacing w:line="560" w:lineRule="exact"/>
        <w:textAlignment w:val="auto"/>
        <w:rPr>
          <w:rFonts w:ascii="宋体" w:hAnsi="宋体" w:cs="宋体"/>
          <w:sz w:val="21"/>
          <w:szCs w:val="21"/>
          <w:u w:val="none"/>
        </w:rPr>
      </w:pPr>
      <w:bookmarkStart w:id="48" w:name="_Toc2045"/>
      <w:bookmarkStart w:id="49" w:name="_Toc14891075"/>
      <w:bookmarkStart w:id="50" w:name="_Toc20378"/>
      <w:r>
        <w:rPr>
          <w:rFonts w:hint="eastAsia" w:ascii="宋体" w:hAnsi="宋体" w:cs="宋体"/>
          <w:sz w:val="21"/>
          <w:szCs w:val="21"/>
          <w:u w:val="none"/>
        </w:rPr>
        <w:t>八、其他</w:t>
      </w:r>
      <w:bookmarkEnd w:id="48"/>
      <w:bookmarkEnd w:id="49"/>
      <w:bookmarkEnd w:id="50"/>
    </w:p>
    <w:p>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宋体" w:hAnsi="宋体" w:cs="宋体"/>
          <w:b/>
          <w:bCs/>
          <w:szCs w:val="21"/>
          <w:u w:val="none"/>
        </w:rPr>
      </w:pPr>
      <w:r>
        <w:rPr>
          <w:rFonts w:hint="eastAsia" w:ascii="宋体" w:hAnsi="宋体" w:cs="宋体"/>
          <w:b/>
          <w:bCs/>
          <w:szCs w:val="21"/>
          <w:u w:val="none"/>
        </w:rPr>
        <w:t>26.处罚规定</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26.1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竞价保证金，或（和）禁止其一定期限内（最多三年）参与采购人项目招标采购活动，并出具书面处理决定。除此之外，如谈判单位给采购人造成的损失超过谈判保证金数额的，谈判单位应当对超过部分给予赔偿。包括但不限于下列情形：</w:t>
      </w:r>
    </w:p>
    <w:p>
      <w:pPr>
        <w:pStyle w:val="25"/>
        <w:keepNext w:val="0"/>
        <w:keepLines w:val="0"/>
        <w:pageBreakBefore w:val="0"/>
        <w:numPr>
          <w:ilvl w:val="0"/>
          <w:numId w:val="14"/>
        </w:numPr>
        <w:kinsoku/>
        <w:wordWrap/>
        <w:overflowPunct/>
        <w:topLinePunct w:val="0"/>
        <w:autoSpaceDE/>
        <w:autoSpaceDN/>
        <w:bidi w:val="0"/>
        <w:adjustRightInd w:val="0"/>
        <w:snapToGrid w:val="0"/>
        <w:spacing w:line="560" w:lineRule="exact"/>
        <w:ind w:left="0" w:firstLine="420" w:firstLineChars="200"/>
        <w:textAlignment w:val="auto"/>
        <w:rPr>
          <w:rFonts w:hAnsi="宋体" w:cs="宋体"/>
          <w:u w:val="none"/>
        </w:rPr>
      </w:pPr>
      <w:r>
        <w:rPr>
          <w:rFonts w:hint="eastAsia" w:hAnsi="宋体" w:cs="宋体"/>
          <w:u w:val="none"/>
        </w:rPr>
        <w:t>谈判单位提出撤回或撤销或放弃中选资格或对报价提出实质性修改；</w:t>
      </w:r>
    </w:p>
    <w:p>
      <w:pPr>
        <w:pStyle w:val="25"/>
        <w:keepNext w:val="0"/>
        <w:keepLines w:val="0"/>
        <w:pageBreakBefore w:val="0"/>
        <w:numPr>
          <w:ilvl w:val="0"/>
          <w:numId w:val="14"/>
        </w:numPr>
        <w:kinsoku/>
        <w:wordWrap/>
        <w:overflowPunct/>
        <w:topLinePunct w:val="0"/>
        <w:autoSpaceDE/>
        <w:autoSpaceDN/>
        <w:bidi w:val="0"/>
        <w:adjustRightInd w:val="0"/>
        <w:snapToGrid w:val="0"/>
        <w:spacing w:line="560" w:lineRule="exact"/>
        <w:ind w:left="0" w:firstLine="420" w:firstLineChars="200"/>
        <w:textAlignment w:val="auto"/>
        <w:rPr>
          <w:rFonts w:hAnsi="宋体" w:cs="宋体"/>
          <w:u w:val="none"/>
        </w:rPr>
      </w:pPr>
      <w:r>
        <w:rPr>
          <w:rFonts w:hint="eastAsia" w:hAnsi="宋体" w:cs="宋体"/>
          <w:u w:val="none"/>
        </w:rPr>
        <w:t>中选单位未能在规定期限内签订合同或不按报价结果签订合同；</w:t>
      </w:r>
    </w:p>
    <w:p>
      <w:pPr>
        <w:pStyle w:val="25"/>
        <w:keepNext w:val="0"/>
        <w:keepLines w:val="0"/>
        <w:pageBreakBefore w:val="0"/>
        <w:numPr>
          <w:ilvl w:val="0"/>
          <w:numId w:val="14"/>
        </w:numPr>
        <w:kinsoku/>
        <w:wordWrap/>
        <w:overflowPunct/>
        <w:topLinePunct w:val="0"/>
        <w:autoSpaceDE/>
        <w:autoSpaceDN/>
        <w:bidi w:val="0"/>
        <w:adjustRightInd w:val="0"/>
        <w:snapToGrid w:val="0"/>
        <w:spacing w:line="560" w:lineRule="exact"/>
        <w:ind w:left="0" w:firstLine="420" w:firstLineChars="200"/>
        <w:textAlignment w:val="auto"/>
        <w:rPr>
          <w:rFonts w:hAnsi="宋体" w:cs="宋体"/>
          <w:color w:val="auto"/>
          <w:u w:val="none"/>
        </w:rPr>
      </w:pPr>
      <w:r>
        <w:rPr>
          <w:rFonts w:hint="eastAsia" w:hAnsi="宋体" w:cs="宋体"/>
          <w:color w:val="auto"/>
          <w:u w:val="none"/>
        </w:rPr>
        <w:t>中选单位未能在规定期限内提交履约保证金；</w:t>
      </w:r>
    </w:p>
    <w:p>
      <w:pPr>
        <w:pStyle w:val="25"/>
        <w:keepNext w:val="0"/>
        <w:keepLines w:val="0"/>
        <w:pageBreakBefore w:val="0"/>
        <w:numPr>
          <w:ilvl w:val="0"/>
          <w:numId w:val="14"/>
        </w:numPr>
        <w:kinsoku/>
        <w:wordWrap/>
        <w:overflowPunct/>
        <w:topLinePunct w:val="0"/>
        <w:autoSpaceDE/>
        <w:autoSpaceDN/>
        <w:bidi w:val="0"/>
        <w:adjustRightInd w:val="0"/>
        <w:snapToGrid w:val="0"/>
        <w:spacing w:line="560" w:lineRule="exact"/>
        <w:ind w:left="0" w:firstLine="420" w:firstLineChars="200"/>
        <w:textAlignment w:val="auto"/>
        <w:rPr>
          <w:rFonts w:hAnsi="宋体" w:cs="宋体"/>
          <w:u w:val="none"/>
        </w:rPr>
      </w:pPr>
      <w:r>
        <w:rPr>
          <w:rFonts w:hint="eastAsia" w:hAnsi="宋体" w:cs="宋体"/>
          <w:u w:val="none"/>
        </w:rPr>
        <w:t>中选单位在合同订立过程中未能完全响应采购文件、清单、附件、合同要求以致合同无法订立的；</w:t>
      </w:r>
    </w:p>
    <w:p>
      <w:pPr>
        <w:pStyle w:val="25"/>
        <w:keepNext w:val="0"/>
        <w:keepLines w:val="0"/>
        <w:pageBreakBefore w:val="0"/>
        <w:numPr>
          <w:ilvl w:val="0"/>
          <w:numId w:val="14"/>
        </w:numPr>
        <w:kinsoku/>
        <w:wordWrap/>
        <w:overflowPunct/>
        <w:topLinePunct w:val="0"/>
        <w:autoSpaceDE/>
        <w:autoSpaceDN/>
        <w:bidi w:val="0"/>
        <w:adjustRightInd w:val="0"/>
        <w:snapToGrid w:val="0"/>
        <w:spacing w:line="560" w:lineRule="exact"/>
        <w:ind w:left="0" w:firstLine="420" w:firstLineChars="200"/>
        <w:textAlignment w:val="auto"/>
        <w:rPr>
          <w:rFonts w:hAnsi="宋体" w:cs="宋体"/>
          <w:u w:val="none"/>
        </w:rPr>
      </w:pPr>
      <w:r>
        <w:rPr>
          <w:rFonts w:hint="eastAsia" w:hAnsi="宋体" w:cs="宋体"/>
          <w:u w:val="none"/>
        </w:rPr>
        <w:t>经查实谈判单位报价资料弄虚作假的；</w:t>
      </w:r>
    </w:p>
    <w:p>
      <w:pPr>
        <w:pStyle w:val="25"/>
        <w:keepNext w:val="0"/>
        <w:keepLines w:val="0"/>
        <w:pageBreakBefore w:val="0"/>
        <w:numPr>
          <w:ilvl w:val="0"/>
          <w:numId w:val="14"/>
        </w:numPr>
        <w:kinsoku/>
        <w:wordWrap/>
        <w:overflowPunct/>
        <w:topLinePunct w:val="0"/>
        <w:autoSpaceDE/>
        <w:autoSpaceDN/>
        <w:bidi w:val="0"/>
        <w:adjustRightInd w:val="0"/>
        <w:snapToGrid w:val="0"/>
        <w:spacing w:line="560" w:lineRule="exact"/>
        <w:ind w:left="0" w:firstLine="420" w:firstLineChars="200"/>
        <w:textAlignment w:val="auto"/>
        <w:rPr>
          <w:rFonts w:hAnsi="宋体" w:cs="宋体"/>
          <w:u w:val="none"/>
        </w:rPr>
      </w:pPr>
      <w:r>
        <w:rPr>
          <w:rFonts w:hint="eastAsia" w:hAnsi="宋体" w:cs="宋体"/>
          <w:u w:val="none"/>
        </w:rPr>
        <w:t>串通参与谈判相关行为的。如不同谈判单位的谈判保证金从同一账户转出。</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26.2谈判单位不允许有挂靠或转包的行为，采购单位或评审小组在任何时候发现谈判单位是挂靠或转包的，该谈判单位按照不合格供应商处理，采购单位有权取消其中选资格或（和）没收谈判保证金，已签订合同的，终止合同，没收履约保证金，并追究该谈判单位的有关法律责任。</w:t>
      </w:r>
    </w:p>
    <w:p>
      <w:pPr>
        <w:pStyle w:val="25"/>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Ansi="宋体" w:cs="宋体"/>
          <w:u w:val="none"/>
        </w:rPr>
      </w:pPr>
      <w:r>
        <w:rPr>
          <w:rFonts w:hint="eastAsia" w:hAnsi="宋体" w:cs="宋体"/>
          <w:u w:val="none"/>
        </w:rPr>
        <w:t>26.3.法律法规中规定的其他情形。</w:t>
      </w:r>
    </w:p>
    <w:p>
      <w:pPr>
        <w:pStyle w:val="46"/>
        <w:ind w:left="0" w:leftChars="0" w:firstLine="0"/>
        <w:rPr>
          <w:b/>
          <w:bCs/>
          <w:color w:val="FF0000"/>
          <w:highlight w:val="cyan"/>
          <w:u w:val="none"/>
        </w:rPr>
      </w:pPr>
    </w:p>
    <w:p>
      <w:pPr>
        <w:pStyle w:val="46"/>
        <w:ind w:left="0" w:leftChars="0" w:firstLine="0"/>
        <w:rPr>
          <w:b/>
          <w:bCs/>
          <w:color w:val="FF0000"/>
          <w:highlight w:val="cyan"/>
          <w:u w:val="none"/>
        </w:rPr>
        <w:sectPr>
          <w:footerReference r:id="rId5" w:type="default"/>
          <w:pgSz w:w="11906" w:h="16838"/>
          <w:pgMar w:top="2098" w:right="1474" w:bottom="1984" w:left="1587" w:header="851" w:footer="992" w:gutter="0"/>
          <w:pgNumType w:fmt="decimal" w:start="1"/>
          <w:cols w:space="0" w:num="1"/>
          <w:docGrid w:type="lines" w:linePitch="319" w:charSpace="0"/>
        </w:sectPr>
      </w:pPr>
    </w:p>
    <w:p>
      <w:pPr>
        <w:adjustRightInd w:val="0"/>
        <w:snapToGrid w:val="0"/>
        <w:spacing w:line="360" w:lineRule="auto"/>
        <w:jc w:val="left"/>
        <w:rPr>
          <w:rFonts w:ascii="宋体" w:hAnsi="宋体" w:cs="宋体"/>
          <w:b/>
          <w:bCs/>
          <w:strike w:val="0"/>
          <w:dstrike w:val="0"/>
          <w:color w:val="auto"/>
          <w:szCs w:val="21"/>
          <w:u w:val="none"/>
        </w:rPr>
      </w:pPr>
      <w:r>
        <w:rPr>
          <w:rFonts w:hint="eastAsia" w:ascii="宋体" w:hAnsi="宋体" w:cs="宋体"/>
          <w:b/>
          <w:bCs/>
          <w:strike w:val="0"/>
          <w:dstrike w:val="0"/>
          <w:color w:val="auto"/>
          <w:szCs w:val="21"/>
          <w:u w:val="none"/>
        </w:rPr>
        <w:t>附件：</w:t>
      </w:r>
    </w:p>
    <w:p>
      <w:pPr>
        <w:pStyle w:val="13"/>
        <w:jc w:val="center"/>
        <w:rPr>
          <w:rFonts w:ascii="宋体" w:hAnsi="宋体" w:cs="宋体"/>
          <w:b/>
          <w:strike w:val="0"/>
          <w:dstrike w:val="0"/>
          <w:color w:val="auto"/>
          <w:szCs w:val="21"/>
          <w:u w:val="none"/>
        </w:rPr>
      </w:pPr>
      <w:r>
        <w:rPr>
          <w:rFonts w:hint="eastAsia" w:ascii="宋体" w:hAnsi="宋体" w:cs="宋体"/>
          <w:b/>
          <w:strike w:val="0"/>
          <w:dstrike w:val="0"/>
          <w:color w:val="auto"/>
          <w:szCs w:val="21"/>
          <w:u w:val="none"/>
        </w:rPr>
        <w:t>采购代理服务费收费参照汇率表</w:t>
      </w:r>
    </w:p>
    <w:p>
      <w:pPr>
        <w:rPr>
          <w:strike w:val="0"/>
          <w:dstrike w:val="0"/>
          <w:color w:val="auto"/>
          <w:u w:val="none"/>
        </w:rPr>
      </w:pPr>
    </w:p>
    <w:tbl>
      <w:tblPr>
        <w:tblStyle w:val="48"/>
        <w:tblpPr w:leftFromText="180" w:rightFromText="180" w:vertAnchor="text" w:horzAnchor="page" w:tblpXSpec="center" w:tblpY="236"/>
        <w:tblOverlap w:val="never"/>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12"/>
        <w:gridCol w:w="2342"/>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s="宋体"/>
                <w:strike w:val="0"/>
                <w:dstrike w:val="0"/>
                <w:color w:val="auto"/>
                <w:szCs w:val="21"/>
                <w:u w:val="none"/>
              </w:rPr>
            </w:pPr>
            <w:r>
              <w:rPr>
                <w:rFonts w:hint="eastAsia" w:ascii="宋体" w:hAnsi="宋体" w:cs="宋体"/>
                <w:strike w:val="0"/>
                <w:dstrike w:val="0"/>
                <w:color w:val="auto"/>
                <w:szCs w:val="21"/>
                <w:u w:val="none"/>
              </w:rPr>
              <w:t>汇率</w:t>
            </w:r>
          </w:p>
          <w:p>
            <w:pPr>
              <w:adjustRightInd w:val="0"/>
              <w:snapToGrid w:val="0"/>
              <w:rPr>
                <w:rFonts w:ascii="宋体" w:hAnsi="宋体" w:cs="宋体"/>
                <w:strike w:val="0"/>
                <w:dstrike w:val="0"/>
                <w:color w:val="auto"/>
                <w:szCs w:val="21"/>
                <w:u w:val="none"/>
              </w:rPr>
            </w:pPr>
            <w:r>
              <w:rPr>
                <w:rFonts w:hint="eastAsia" w:ascii="宋体" w:hAnsi="宋体" w:cs="宋体"/>
                <w:strike w:val="0"/>
                <w:dstrike w:val="0"/>
                <w:color w:val="auto"/>
                <w:szCs w:val="21"/>
                <w:u w:val="none"/>
              </w:rPr>
              <w:t>中选金额</w:t>
            </w:r>
          </w:p>
        </w:tc>
        <w:tc>
          <w:tcPr>
            <w:tcW w:w="2412" w:type="dxa"/>
            <w:tcBorders>
              <w:top w:val="single" w:color="auto" w:sz="12" w:space="0"/>
            </w:tcBorders>
            <w:vAlign w:val="center"/>
          </w:tcPr>
          <w:p>
            <w:pPr>
              <w:adjustRightInd w:val="0"/>
              <w:snapToGrid w:val="0"/>
              <w:jc w:val="center"/>
              <w:rPr>
                <w:rFonts w:ascii="宋体" w:hAnsi="宋体" w:cs="宋体"/>
                <w:strike w:val="0"/>
                <w:dstrike w:val="0"/>
                <w:color w:val="auto"/>
                <w:szCs w:val="21"/>
                <w:u w:val="none"/>
              </w:rPr>
            </w:pPr>
            <w:r>
              <w:rPr>
                <w:rFonts w:hint="eastAsia" w:ascii="宋体" w:hAnsi="宋体" w:cs="宋体"/>
                <w:strike w:val="0"/>
                <w:dstrike w:val="0"/>
                <w:color w:val="auto"/>
                <w:szCs w:val="21"/>
                <w:u w:val="none"/>
              </w:rPr>
              <w:t>货物采购</w:t>
            </w:r>
          </w:p>
        </w:tc>
        <w:tc>
          <w:tcPr>
            <w:tcW w:w="2342" w:type="dxa"/>
            <w:tcBorders>
              <w:top w:val="single" w:color="auto" w:sz="12" w:space="0"/>
            </w:tcBorders>
            <w:vAlign w:val="center"/>
          </w:tcPr>
          <w:p>
            <w:pPr>
              <w:adjustRightInd w:val="0"/>
              <w:snapToGrid w:val="0"/>
              <w:jc w:val="center"/>
              <w:rPr>
                <w:rFonts w:ascii="宋体" w:hAnsi="宋体" w:cs="宋体"/>
                <w:strike w:val="0"/>
                <w:dstrike w:val="0"/>
                <w:color w:val="auto"/>
                <w:szCs w:val="21"/>
                <w:u w:val="none"/>
              </w:rPr>
            </w:pPr>
            <w:r>
              <w:rPr>
                <w:rFonts w:hint="eastAsia" w:ascii="宋体" w:hAnsi="宋体" w:cs="宋体"/>
                <w:strike w:val="0"/>
                <w:dstrike w:val="0"/>
                <w:color w:val="auto"/>
                <w:szCs w:val="21"/>
                <w:u w:val="none"/>
              </w:rPr>
              <w:t>服务采购</w:t>
            </w:r>
          </w:p>
        </w:tc>
        <w:tc>
          <w:tcPr>
            <w:tcW w:w="2382" w:type="dxa"/>
            <w:tcBorders>
              <w:top w:val="single" w:color="auto" w:sz="12" w:space="0"/>
              <w:right w:val="single" w:color="auto" w:sz="12" w:space="0"/>
            </w:tcBorders>
            <w:vAlign w:val="center"/>
          </w:tcPr>
          <w:p>
            <w:pPr>
              <w:adjustRightInd w:val="0"/>
              <w:snapToGrid w:val="0"/>
              <w:jc w:val="center"/>
              <w:rPr>
                <w:rFonts w:ascii="宋体" w:hAnsi="宋体" w:cs="宋体"/>
                <w:strike w:val="0"/>
                <w:dstrike w:val="0"/>
                <w:color w:val="auto"/>
                <w:szCs w:val="21"/>
                <w:u w:val="none"/>
              </w:rPr>
            </w:pPr>
            <w:r>
              <w:rPr>
                <w:rFonts w:hint="eastAsia" w:ascii="宋体" w:hAnsi="宋体" w:cs="宋体"/>
                <w:strike w:val="0"/>
                <w:dstrike w:val="0"/>
                <w:color w:val="auto"/>
                <w:szCs w:val="21"/>
                <w:u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s="宋体"/>
                <w:strike w:val="0"/>
                <w:dstrike w:val="0"/>
                <w:color w:val="auto"/>
                <w:szCs w:val="21"/>
                <w:u w:val="none"/>
              </w:rPr>
            </w:pPr>
            <w:r>
              <w:rPr>
                <w:rFonts w:hint="eastAsia" w:ascii="宋体" w:hAnsi="宋体" w:cs="宋体"/>
                <w:strike w:val="0"/>
                <w:dstrike w:val="0"/>
                <w:color w:val="auto"/>
                <w:szCs w:val="21"/>
                <w:u w:val="none"/>
              </w:rPr>
              <w:t>100万元以下</w:t>
            </w:r>
          </w:p>
        </w:tc>
        <w:tc>
          <w:tcPr>
            <w:tcW w:w="2412" w:type="dxa"/>
            <w:vAlign w:val="center"/>
          </w:tcPr>
          <w:p>
            <w:pPr>
              <w:adjustRightInd w:val="0"/>
              <w:snapToGrid w:val="0"/>
              <w:jc w:val="center"/>
              <w:rPr>
                <w:rFonts w:ascii="宋体" w:hAnsi="宋体" w:cs="宋体"/>
                <w:strike w:val="0"/>
                <w:dstrike w:val="0"/>
                <w:color w:val="auto"/>
                <w:szCs w:val="21"/>
                <w:u w:val="none"/>
              </w:rPr>
            </w:pPr>
            <w:r>
              <w:rPr>
                <w:rFonts w:hint="eastAsia" w:ascii="宋体" w:hAnsi="宋体" w:cs="宋体"/>
                <w:strike w:val="0"/>
                <w:dstrike w:val="0"/>
                <w:color w:val="auto"/>
                <w:szCs w:val="21"/>
                <w:u w:val="none"/>
              </w:rPr>
              <w:t>1.5%</w:t>
            </w:r>
          </w:p>
        </w:tc>
        <w:tc>
          <w:tcPr>
            <w:tcW w:w="2342" w:type="dxa"/>
            <w:vAlign w:val="center"/>
          </w:tcPr>
          <w:p>
            <w:pPr>
              <w:adjustRightInd w:val="0"/>
              <w:snapToGrid w:val="0"/>
              <w:jc w:val="center"/>
              <w:rPr>
                <w:rFonts w:ascii="宋体" w:hAnsi="宋体" w:cs="宋体"/>
                <w:strike w:val="0"/>
                <w:dstrike w:val="0"/>
                <w:color w:val="auto"/>
                <w:szCs w:val="21"/>
                <w:u w:val="none"/>
              </w:rPr>
            </w:pPr>
            <w:r>
              <w:rPr>
                <w:rFonts w:hint="eastAsia" w:ascii="宋体" w:hAnsi="宋体" w:cs="宋体"/>
                <w:strike w:val="0"/>
                <w:dstrike w:val="0"/>
                <w:color w:val="auto"/>
                <w:szCs w:val="21"/>
                <w:u w:val="none"/>
              </w:rPr>
              <w:t>1.5%</w:t>
            </w:r>
          </w:p>
        </w:tc>
        <w:tc>
          <w:tcPr>
            <w:tcW w:w="2382" w:type="dxa"/>
            <w:tcBorders>
              <w:right w:val="single" w:color="auto" w:sz="12" w:space="0"/>
            </w:tcBorders>
            <w:vAlign w:val="center"/>
          </w:tcPr>
          <w:p>
            <w:pPr>
              <w:adjustRightInd w:val="0"/>
              <w:snapToGrid w:val="0"/>
              <w:jc w:val="center"/>
              <w:rPr>
                <w:rFonts w:ascii="宋体" w:hAnsi="宋体" w:cs="宋体"/>
                <w:strike w:val="0"/>
                <w:dstrike w:val="0"/>
                <w:color w:val="auto"/>
                <w:szCs w:val="21"/>
                <w:u w:val="none"/>
              </w:rPr>
            </w:pPr>
            <w:r>
              <w:rPr>
                <w:rFonts w:hint="eastAsia" w:ascii="宋体" w:hAnsi="宋体" w:cs="宋体"/>
                <w:strike w:val="0"/>
                <w:dstrike w:val="0"/>
                <w:color w:val="auto"/>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s="宋体"/>
                <w:strike w:val="0"/>
                <w:dstrike w:val="0"/>
                <w:color w:val="auto"/>
                <w:szCs w:val="21"/>
                <w:u w:val="none"/>
              </w:rPr>
            </w:pPr>
            <w:r>
              <w:rPr>
                <w:rFonts w:hint="eastAsia" w:ascii="宋体" w:hAnsi="宋体" w:cs="宋体"/>
                <w:strike w:val="0"/>
                <w:dstrike w:val="0"/>
                <w:color w:val="auto"/>
                <w:szCs w:val="21"/>
                <w:u w:val="none"/>
              </w:rPr>
              <w:t>100～400万元</w:t>
            </w:r>
          </w:p>
        </w:tc>
        <w:tc>
          <w:tcPr>
            <w:tcW w:w="2412" w:type="dxa"/>
            <w:vAlign w:val="center"/>
          </w:tcPr>
          <w:p>
            <w:pPr>
              <w:adjustRightInd w:val="0"/>
              <w:snapToGrid w:val="0"/>
              <w:jc w:val="center"/>
              <w:rPr>
                <w:rFonts w:ascii="宋体" w:hAnsi="宋体" w:cs="宋体"/>
                <w:strike w:val="0"/>
                <w:dstrike w:val="0"/>
                <w:color w:val="auto"/>
                <w:szCs w:val="21"/>
                <w:u w:val="none"/>
              </w:rPr>
            </w:pPr>
            <w:r>
              <w:rPr>
                <w:rFonts w:hint="eastAsia" w:ascii="宋体" w:hAnsi="宋体" w:cs="宋体"/>
                <w:strike w:val="0"/>
                <w:dstrike w:val="0"/>
                <w:color w:val="auto"/>
                <w:szCs w:val="21"/>
                <w:u w:val="none"/>
              </w:rPr>
              <w:t>1.1%</w:t>
            </w:r>
          </w:p>
        </w:tc>
        <w:tc>
          <w:tcPr>
            <w:tcW w:w="2342" w:type="dxa"/>
            <w:vAlign w:val="center"/>
          </w:tcPr>
          <w:p>
            <w:pPr>
              <w:adjustRightInd w:val="0"/>
              <w:snapToGrid w:val="0"/>
              <w:jc w:val="center"/>
              <w:rPr>
                <w:rFonts w:ascii="宋体" w:hAnsi="宋体" w:cs="宋体"/>
                <w:strike w:val="0"/>
                <w:dstrike w:val="0"/>
                <w:color w:val="auto"/>
                <w:szCs w:val="21"/>
                <w:u w:val="none"/>
              </w:rPr>
            </w:pPr>
            <w:r>
              <w:rPr>
                <w:rFonts w:hint="eastAsia" w:ascii="宋体" w:hAnsi="宋体" w:cs="宋体"/>
                <w:strike w:val="0"/>
                <w:dstrike w:val="0"/>
                <w:color w:val="auto"/>
                <w:szCs w:val="21"/>
                <w:u w:val="none"/>
              </w:rPr>
              <w:t>0.8%</w:t>
            </w:r>
          </w:p>
        </w:tc>
        <w:tc>
          <w:tcPr>
            <w:tcW w:w="2382" w:type="dxa"/>
            <w:tcBorders>
              <w:right w:val="single" w:color="auto" w:sz="12" w:space="0"/>
            </w:tcBorders>
            <w:vAlign w:val="center"/>
          </w:tcPr>
          <w:p>
            <w:pPr>
              <w:adjustRightInd w:val="0"/>
              <w:snapToGrid w:val="0"/>
              <w:jc w:val="center"/>
              <w:rPr>
                <w:rFonts w:ascii="宋体" w:hAnsi="宋体" w:cs="宋体"/>
                <w:strike w:val="0"/>
                <w:dstrike w:val="0"/>
                <w:color w:val="auto"/>
                <w:szCs w:val="21"/>
                <w:u w:val="none"/>
              </w:rPr>
            </w:pPr>
            <w:r>
              <w:rPr>
                <w:rFonts w:hint="eastAsia" w:ascii="宋体" w:hAnsi="宋体" w:cs="宋体"/>
                <w:strike w:val="0"/>
                <w:dstrike w:val="0"/>
                <w:color w:val="auto"/>
                <w:szCs w:val="21"/>
                <w:u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s="宋体"/>
                <w:strike w:val="0"/>
                <w:dstrike w:val="0"/>
                <w:color w:val="auto"/>
                <w:szCs w:val="21"/>
                <w:u w:val="none"/>
              </w:rPr>
            </w:pPr>
            <w:r>
              <w:rPr>
                <w:rFonts w:hint="eastAsia" w:ascii="宋体" w:hAnsi="宋体" w:cs="宋体"/>
                <w:strike w:val="0"/>
                <w:dstrike w:val="0"/>
                <w:color w:val="auto"/>
                <w:szCs w:val="21"/>
                <w:u w:val="none"/>
              </w:rPr>
              <w:t>备注</w:t>
            </w:r>
          </w:p>
        </w:tc>
        <w:tc>
          <w:tcPr>
            <w:tcW w:w="7136"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s="宋体"/>
                <w:strike w:val="0"/>
                <w:dstrike w:val="0"/>
                <w:color w:val="auto"/>
                <w:szCs w:val="21"/>
                <w:u w:val="none"/>
              </w:rPr>
            </w:pPr>
            <w:r>
              <w:rPr>
                <w:rFonts w:hint="eastAsia" w:ascii="宋体" w:hAnsi="宋体" w:cs="宋体"/>
                <w:strike w:val="0"/>
                <w:dstrike w:val="0"/>
                <w:color w:val="auto"/>
                <w:szCs w:val="21"/>
                <w:u w:val="none"/>
              </w:rPr>
              <w:t>采购代理服务费的收费标准为：以中选价为基数，按《采购代理服务费收费参照汇率表》进行计算后，向中选单位收取。服务费超过2万元的，按2万元计取，服务费低于5000元的，按5000元计取。</w:t>
            </w:r>
          </w:p>
        </w:tc>
      </w:tr>
    </w:tbl>
    <w:p>
      <w:pPr>
        <w:adjustRightInd w:val="0"/>
        <w:snapToGrid w:val="0"/>
        <w:spacing w:line="360" w:lineRule="auto"/>
        <w:rPr>
          <w:rFonts w:ascii="宋体" w:hAnsi="宋体" w:cs="宋体"/>
          <w:strike w:val="0"/>
          <w:dstrike w:val="0"/>
          <w:color w:val="auto"/>
          <w:szCs w:val="21"/>
          <w:u w:val="none"/>
        </w:rPr>
      </w:pPr>
      <w:r>
        <w:rPr>
          <w:rFonts w:hint="eastAsia" w:ascii="宋体" w:hAnsi="宋体" w:cs="宋体"/>
          <w:strike w:val="0"/>
          <w:dstrike w:val="0"/>
          <w:color w:val="auto"/>
          <w:szCs w:val="21"/>
          <w:u w:val="none"/>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trike w:val="0"/>
          <w:dstrike w:val="0"/>
          <w:color w:val="auto"/>
          <w:szCs w:val="21"/>
          <w:u w:val="none"/>
        </w:rPr>
      </w:pPr>
      <w:r>
        <w:rPr>
          <w:rFonts w:hint="eastAsia" w:ascii="宋体" w:hAnsi="宋体" w:cs="宋体"/>
          <w:strike w:val="0"/>
          <w:dstrike w:val="0"/>
          <w:color w:val="auto"/>
          <w:szCs w:val="21"/>
          <w:u w:val="none"/>
        </w:rPr>
        <w:t>100万元×1.0%＝1万元</w:t>
      </w:r>
    </w:p>
    <w:p>
      <w:pPr>
        <w:adjustRightInd w:val="0"/>
        <w:snapToGrid w:val="0"/>
        <w:spacing w:line="360" w:lineRule="auto"/>
        <w:ind w:firstLine="420" w:firstLineChars="200"/>
        <w:jc w:val="left"/>
        <w:rPr>
          <w:rFonts w:ascii="宋体" w:hAnsi="宋体" w:cs="宋体"/>
          <w:strike w:val="0"/>
          <w:dstrike w:val="0"/>
          <w:color w:val="auto"/>
          <w:szCs w:val="21"/>
          <w:u w:val="none"/>
        </w:rPr>
      </w:pPr>
      <w:r>
        <w:rPr>
          <w:rFonts w:hint="eastAsia" w:ascii="宋体" w:hAnsi="宋体" w:cs="宋体"/>
          <w:strike w:val="0"/>
          <w:dstrike w:val="0"/>
          <w:color w:val="auto"/>
          <w:szCs w:val="21"/>
          <w:u w:val="none"/>
        </w:rPr>
        <w:t>（300-100）万元×0.7%＝1.4万元</w:t>
      </w:r>
    </w:p>
    <w:p>
      <w:pPr>
        <w:adjustRightInd w:val="0"/>
        <w:snapToGrid w:val="0"/>
        <w:spacing w:line="360" w:lineRule="auto"/>
        <w:ind w:firstLine="420" w:firstLineChars="200"/>
        <w:jc w:val="left"/>
        <w:rPr>
          <w:rFonts w:ascii="宋体" w:hAnsi="宋体" w:cs="宋体"/>
          <w:strike w:val="0"/>
          <w:dstrike w:val="0"/>
          <w:color w:val="auto"/>
          <w:szCs w:val="21"/>
          <w:u w:val="none"/>
        </w:rPr>
      </w:pPr>
      <w:r>
        <w:rPr>
          <w:rFonts w:hint="eastAsia" w:ascii="宋体" w:hAnsi="宋体" w:cs="宋体"/>
          <w:strike w:val="0"/>
          <w:dstrike w:val="0"/>
          <w:color w:val="auto"/>
          <w:szCs w:val="21"/>
          <w:u w:val="none"/>
        </w:rPr>
        <w:t>合计收费＝1+1.4＝2.4（万元）</w:t>
      </w:r>
    </w:p>
    <w:p>
      <w:pPr>
        <w:adjustRightInd w:val="0"/>
        <w:snapToGrid w:val="0"/>
        <w:spacing w:line="360" w:lineRule="auto"/>
        <w:ind w:firstLine="420" w:firstLineChars="200"/>
        <w:jc w:val="left"/>
        <w:rPr>
          <w:rFonts w:ascii="宋体" w:hAnsi="宋体" w:cs="宋体"/>
          <w:strike w:val="0"/>
          <w:dstrike w:val="0"/>
          <w:color w:val="auto"/>
          <w:szCs w:val="21"/>
          <w:u w:val="none"/>
        </w:rPr>
      </w:pPr>
      <w:r>
        <w:rPr>
          <w:rFonts w:hint="eastAsia" w:ascii="宋体" w:hAnsi="宋体" w:cs="宋体"/>
          <w:strike w:val="0"/>
          <w:dstrike w:val="0"/>
          <w:color w:val="auto"/>
          <w:szCs w:val="21"/>
          <w:u w:val="none"/>
        </w:rPr>
        <w:t>本项目采购代理服务费为2万元</w:t>
      </w:r>
    </w:p>
    <w:p>
      <w:pPr>
        <w:pStyle w:val="13"/>
        <w:rPr>
          <w:rFonts w:ascii="宋体" w:hAnsi="宋体" w:cs="宋体"/>
          <w:color w:val="auto"/>
          <w:szCs w:val="21"/>
          <w:u w:val="none"/>
        </w:rPr>
      </w:pPr>
    </w:p>
    <w:p>
      <w:pPr>
        <w:rPr>
          <w:u w:val="none"/>
        </w:rPr>
        <w:sectPr>
          <w:footerReference r:id="rId6" w:type="default"/>
          <w:pgSz w:w="11906" w:h="16838"/>
          <w:pgMar w:top="2098" w:right="1474" w:bottom="1984" w:left="1587" w:header="851" w:footer="992" w:gutter="0"/>
          <w:pgNumType w:fmt="decimal"/>
          <w:cols w:space="0" w:num="1"/>
          <w:docGrid w:type="lines" w:linePitch="319" w:charSpace="0"/>
        </w:sectPr>
      </w:pPr>
    </w:p>
    <w:p>
      <w:pPr>
        <w:pStyle w:val="3"/>
        <w:keepNext w:val="0"/>
        <w:spacing w:line="360" w:lineRule="auto"/>
        <w:rPr>
          <w:rFonts w:ascii="宋体" w:hAnsi="宋体" w:cs="宋体"/>
          <w:bCs w:val="0"/>
          <w:sz w:val="32"/>
          <w:szCs w:val="32"/>
          <w:u w:val="none"/>
        </w:rPr>
      </w:pPr>
      <w:bookmarkStart w:id="51" w:name="_Toc29690"/>
      <w:bookmarkStart w:id="52" w:name="_Toc1719"/>
      <w:bookmarkStart w:id="53" w:name="_Toc28427"/>
      <w:bookmarkStart w:id="54" w:name="_Toc4275"/>
      <w:bookmarkStart w:id="55" w:name="_Toc5567"/>
      <w:r>
        <w:rPr>
          <w:rFonts w:hint="eastAsia" w:ascii="宋体" w:hAnsi="宋体" w:cs="宋体"/>
          <w:bCs w:val="0"/>
          <w:sz w:val="32"/>
          <w:szCs w:val="32"/>
          <w:u w:val="none"/>
        </w:rPr>
        <w:t>第三章  评审办法及标准</w:t>
      </w:r>
      <w:bookmarkEnd w:id="51"/>
      <w:bookmarkEnd w:id="52"/>
      <w:bookmarkEnd w:id="53"/>
      <w:bookmarkEnd w:id="54"/>
      <w:bookmarkEnd w:id="55"/>
    </w:p>
    <w:p>
      <w:pPr>
        <w:adjustRightInd w:val="0"/>
        <w:snapToGrid w:val="0"/>
        <w:spacing w:line="360" w:lineRule="auto"/>
        <w:ind w:left="632" w:hanging="632" w:hangingChars="300"/>
        <w:rPr>
          <w:rFonts w:ascii="宋体" w:hAnsi="宋体" w:cs="宋体"/>
          <w:b/>
          <w:szCs w:val="21"/>
          <w:u w:val="none"/>
        </w:rPr>
      </w:pPr>
    </w:p>
    <w:p>
      <w:pPr>
        <w:adjustRightInd w:val="0"/>
        <w:snapToGrid w:val="0"/>
        <w:spacing w:line="360" w:lineRule="auto"/>
        <w:ind w:left="632" w:hanging="632" w:hangingChars="300"/>
        <w:rPr>
          <w:rFonts w:ascii="宋体" w:hAnsi="宋体" w:cs="宋体"/>
          <w:b/>
          <w:szCs w:val="21"/>
          <w:u w:val="none"/>
        </w:rPr>
      </w:pPr>
      <w:r>
        <w:rPr>
          <w:rFonts w:hint="eastAsia" w:ascii="宋体" w:hAnsi="宋体" w:cs="宋体"/>
          <w:b/>
          <w:szCs w:val="21"/>
          <w:u w:val="none"/>
        </w:rPr>
        <w:t>一、评审办法</w:t>
      </w:r>
    </w:p>
    <w:p>
      <w:pPr>
        <w:widowControl/>
        <w:adjustRightInd w:val="0"/>
        <w:snapToGrid w:val="0"/>
        <w:spacing w:line="360" w:lineRule="auto"/>
        <w:ind w:firstLine="420" w:firstLineChars="200"/>
        <w:rPr>
          <w:rFonts w:ascii="宋体" w:hAnsi="宋体" w:cs="宋体"/>
          <w:bCs/>
          <w:szCs w:val="21"/>
          <w:u w:val="none"/>
        </w:rPr>
      </w:pPr>
      <w:r>
        <w:rPr>
          <w:rFonts w:hint="eastAsia" w:ascii="宋体" w:hAnsi="宋体" w:cs="宋体"/>
          <w:bCs/>
          <w:szCs w:val="21"/>
          <w:u w:val="none"/>
        </w:rPr>
        <w:t>1.1本项目采用：</w:t>
      </w:r>
    </w:p>
    <w:p>
      <w:pPr>
        <w:widowControl/>
        <w:adjustRightInd w:val="0"/>
        <w:snapToGrid w:val="0"/>
        <w:spacing w:line="360" w:lineRule="auto"/>
        <w:ind w:firstLine="420" w:firstLineChars="200"/>
        <w:rPr>
          <w:rFonts w:ascii="宋体" w:hAnsi="宋体" w:cs="宋体"/>
          <w:szCs w:val="21"/>
          <w:u w:val="none"/>
        </w:rPr>
      </w:pPr>
      <w:r>
        <w:rPr>
          <w:rFonts w:hint="eastAsia" w:ascii="宋体" w:hAnsi="宋体" w:cs="宋体"/>
          <w:bCs/>
          <w:szCs w:val="21"/>
          <w:u w:val="none"/>
        </w:rPr>
        <w:sym w:font="Wingdings 2" w:char="00A3"/>
      </w:r>
      <w:r>
        <w:rPr>
          <w:rFonts w:hint="eastAsia" w:ascii="宋体" w:hAnsi="宋体" w:cs="宋体"/>
          <w:bCs/>
          <w:szCs w:val="21"/>
          <w:u w:val="none"/>
        </w:rPr>
        <w:t>经符合性审查合格后的</w:t>
      </w:r>
      <w:r>
        <w:rPr>
          <w:rFonts w:hint="eastAsia" w:ascii="宋体" w:hAnsi="宋体" w:cs="宋体"/>
          <w:b/>
          <w:bCs/>
          <w:szCs w:val="21"/>
          <w:u w:val="none"/>
        </w:rPr>
        <w:t>最低价法</w:t>
      </w:r>
      <w:r>
        <w:rPr>
          <w:rFonts w:hint="eastAsia" w:ascii="宋体" w:hAnsi="宋体" w:cs="宋体"/>
          <w:szCs w:val="21"/>
          <w:u w:val="none"/>
        </w:rPr>
        <w:t>。</w:t>
      </w:r>
    </w:p>
    <w:p>
      <w:pPr>
        <w:widowControl/>
        <w:adjustRightInd w:val="0"/>
        <w:snapToGrid w:val="0"/>
        <w:spacing w:line="360" w:lineRule="auto"/>
        <w:ind w:firstLine="420" w:firstLineChars="200"/>
        <w:rPr>
          <w:rFonts w:ascii="宋体" w:hAnsi="宋体" w:cs="宋体"/>
          <w:szCs w:val="21"/>
          <w:u w:val="none"/>
        </w:rPr>
      </w:pPr>
      <w:r>
        <w:rPr>
          <w:rFonts w:hint="eastAsia" w:ascii="宋体" w:hAnsi="宋体" w:cs="宋体"/>
          <w:bCs/>
          <w:szCs w:val="21"/>
          <w:u w:val="none"/>
        </w:rPr>
        <w:sym w:font="Wingdings 2" w:char="0052"/>
      </w:r>
      <w:r>
        <w:rPr>
          <w:rFonts w:hint="eastAsia" w:ascii="宋体" w:hAnsi="宋体" w:cs="宋体"/>
          <w:b/>
          <w:szCs w:val="21"/>
          <w:u w:val="none"/>
        </w:rPr>
        <w:t>综合评</w:t>
      </w:r>
      <w:r>
        <w:rPr>
          <w:rFonts w:hint="eastAsia" w:ascii="宋体" w:hAnsi="宋体" w:cs="宋体"/>
          <w:b/>
          <w:szCs w:val="21"/>
          <w:u w:val="none"/>
          <w:lang w:eastAsia="zh-CN"/>
        </w:rPr>
        <w:t>审</w:t>
      </w:r>
      <w:r>
        <w:rPr>
          <w:rFonts w:hint="eastAsia" w:ascii="宋体" w:hAnsi="宋体" w:cs="宋体"/>
          <w:b/>
          <w:szCs w:val="21"/>
          <w:u w:val="none"/>
        </w:rPr>
        <w:t>法</w:t>
      </w:r>
      <w:r>
        <w:rPr>
          <w:rFonts w:hint="eastAsia" w:ascii="宋体" w:hAnsi="宋体" w:cs="宋体"/>
          <w:bCs/>
          <w:szCs w:val="21"/>
          <w:u w:val="none"/>
        </w:rPr>
        <w:t>，商务技术</w:t>
      </w:r>
      <w:r>
        <w:rPr>
          <w:rFonts w:hint="eastAsia" w:ascii="宋体" w:hAnsi="宋体" w:cs="宋体"/>
          <w:bCs/>
          <w:szCs w:val="21"/>
          <w:u w:val="none"/>
          <w:lang w:val="en-US" w:eastAsia="zh-CN"/>
        </w:rPr>
        <w:t>70</w:t>
      </w:r>
      <w:r>
        <w:rPr>
          <w:rFonts w:hint="eastAsia" w:ascii="宋体" w:hAnsi="宋体" w:cs="宋体"/>
          <w:bCs/>
          <w:szCs w:val="21"/>
          <w:u w:val="none"/>
        </w:rPr>
        <w:t>分，报价</w:t>
      </w:r>
      <w:r>
        <w:rPr>
          <w:rFonts w:hint="eastAsia" w:ascii="宋体" w:hAnsi="宋体" w:cs="宋体"/>
          <w:bCs/>
          <w:szCs w:val="21"/>
          <w:u w:val="none"/>
          <w:lang w:val="en-US" w:eastAsia="zh-CN"/>
        </w:rPr>
        <w:t>30</w:t>
      </w:r>
      <w:r>
        <w:rPr>
          <w:rFonts w:hint="eastAsia" w:ascii="宋体" w:hAnsi="宋体" w:cs="宋体"/>
          <w:bCs/>
          <w:szCs w:val="21"/>
          <w:u w:val="none"/>
        </w:rPr>
        <w:t>分，总分</w:t>
      </w:r>
      <w:r>
        <w:rPr>
          <w:rFonts w:hint="eastAsia" w:ascii="宋体" w:hAnsi="宋体" w:cs="宋体"/>
          <w:bCs/>
          <w:szCs w:val="21"/>
          <w:u w:val="none"/>
          <w:lang w:val="en-US" w:eastAsia="zh-CN"/>
        </w:rPr>
        <w:t>100</w:t>
      </w:r>
      <w:r>
        <w:rPr>
          <w:rFonts w:hint="eastAsia" w:ascii="宋体" w:hAnsi="宋体" w:cs="宋体"/>
          <w:bCs/>
          <w:szCs w:val="21"/>
          <w:u w:val="none"/>
        </w:rPr>
        <w:t>分。</w:t>
      </w:r>
    </w:p>
    <w:p>
      <w:pPr>
        <w:adjustRightInd w:val="0"/>
        <w:snapToGrid w:val="0"/>
        <w:spacing w:line="360" w:lineRule="auto"/>
        <w:ind w:left="632" w:hanging="632" w:hangingChars="300"/>
        <w:rPr>
          <w:rFonts w:ascii="宋体" w:hAnsi="宋体" w:cs="宋体"/>
          <w:b/>
          <w:szCs w:val="21"/>
          <w:u w:val="none"/>
        </w:rPr>
      </w:pPr>
      <w:r>
        <w:rPr>
          <w:rFonts w:hint="eastAsia" w:ascii="宋体" w:hAnsi="宋体" w:cs="宋体"/>
          <w:b/>
          <w:szCs w:val="21"/>
          <w:u w:val="none"/>
        </w:rPr>
        <w:t>二、谈判程序</w:t>
      </w:r>
    </w:p>
    <w:p>
      <w:pPr>
        <w:widowControl/>
        <w:adjustRightInd w:val="0"/>
        <w:snapToGrid w:val="0"/>
        <w:spacing w:line="360" w:lineRule="auto"/>
        <w:ind w:firstLine="420" w:firstLineChars="200"/>
        <w:rPr>
          <w:rFonts w:ascii="宋体" w:hAnsi="宋体" w:cs="宋体"/>
          <w:bCs/>
          <w:szCs w:val="21"/>
          <w:u w:val="none"/>
        </w:rPr>
      </w:pPr>
      <w:r>
        <w:rPr>
          <w:rFonts w:hint="eastAsia" w:ascii="宋体" w:hAnsi="宋体" w:cs="宋体"/>
          <w:bCs/>
          <w:szCs w:val="21"/>
          <w:u w:val="none"/>
        </w:rPr>
        <w:t>2.1采购单位在</w:t>
      </w:r>
      <w:r>
        <w:rPr>
          <w:rFonts w:hint="eastAsia" w:ascii="宋体" w:hAnsi="宋体" w:cs="宋体"/>
          <w:b/>
          <w:szCs w:val="21"/>
          <w:u w:val="none"/>
        </w:rPr>
        <w:t>前附表</w:t>
      </w:r>
      <w:r>
        <w:rPr>
          <w:rFonts w:hint="eastAsia" w:ascii="宋体" w:hAnsi="宋体" w:cs="宋体"/>
          <w:bCs/>
          <w:szCs w:val="21"/>
          <w:u w:val="none"/>
        </w:rPr>
        <w:t>内规定的谈判时间及地点组织谈判活动。谈判活动由采购单位、采购代理机构（如有）、谈判单位代表参与。</w:t>
      </w:r>
    </w:p>
    <w:p>
      <w:pPr>
        <w:widowControl/>
        <w:adjustRightInd w:val="0"/>
        <w:snapToGrid w:val="0"/>
        <w:spacing w:line="360" w:lineRule="auto"/>
        <w:ind w:firstLine="420" w:firstLineChars="200"/>
        <w:rPr>
          <w:rFonts w:ascii="宋体" w:hAnsi="宋体" w:cs="宋体"/>
          <w:b/>
          <w:szCs w:val="21"/>
          <w:u w:val="none"/>
        </w:rPr>
      </w:pPr>
      <w:r>
        <w:rPr>
          <w:rFonts w:hint="eastAsia" w:ascii="宋体" w:hAnsi="宋体" w:cs="宋体"/>
          <w:bCs/>
          <w:szCs w:val="21"/>
          <w:u w:val="none"/>
        </w:rPr>
        <w:t>2.2谈判程序分为：</w:t>
      </w:r>
      <w:r>
        <w:rPr>
          <w:rFonts w:hint="eastAsia" w:ascii="宋体" w:hAnsi="宋体" w:cs="宋体"/>
          <w:b/>
          <w:szCs w:val="21"/>
          <w:u w:val="none"/>
        </w:rPr>
        <w:t>谈判验证阶段及谈判评审阶段。</w:t>
      </w:r>
    </w:p>
    <w:p>
      <w:pPr>
        <w:adjustRightInd w:val="0"/>
        <w:snapToGrid w:val="0"/>
        <w:spacing w:line="360" w:lineRule="auto"/>
        <w:ind w:left="632" w:hanging="632" w:hangingChars="300"/>
        <w:rPr>
          <w:rFonts w:ascii="宋体" w:hAnsi="宋体" w:cs="宋体"/>
          <w:b/>
          <w:szCs w:val="21"/>
          <w:u w:val="none"/>
        </w:rPr>
      </w:pPr>
      <w:r>
        <w:rPr>
          <w:rFonts w:hint="eastAsia" w:ascii="宋体" w:hAnsi="宋体" w:cs="宋体"/>
          <w:b/>
          <w:szCs w:val="21"/>
          <w:u w:val="none"/>
        </w:rPr>
        <w:t>三、谈判验证阶段</w:t>
      </w:r>
    </w:p>
    <w:p>
      <w:pPr>
        <w:widowControl/>
        <w:adjustRightInd w:val="0"/>
        <w:snapToGrid w:val="0"/>
        <w:spacing w:line="360" w:lineRule="auto"/>
        <w:ind w:firstLine="420" w:firstLineChars="200"/>
        <w:rPr>
          <w:rFonts w:ascii="宋体" w:hAnsi="宋体" w:cs="宋体"/>
          <w:bCs/>
          <w:szCs w:val="21"/>
          <w:u w:val="none"/>
        </w:rPr>
      </w:pPr>
      <w:r>
        <w:rPr>
          <w:rFonts w:hint="eastAsia" w:ascii="宋体" w:hAnsi="宋体" w:cs="宋体"/>
          <w:bCs/>
          <w:szCs w:val="21"/>
          <w:u w:val="none"/>
        </w:rPr>
        <w:t>谈判验证阶段分为身份验证和唱价。</w:t>
      </w:r>
    </w:p>
    <w:p>
      <w:pPr>
        <w:widowControl/>
        <w:adjustRightInd w:val="0"/>
        <w:snapToGrid w:val="0"/>
        <w:spacing w:line="360" w:lineRule="auto"/>
        <w:ind w:firstLine="420" w:firstLineChars="200"/>
        <w:rPr>
          <w:rFonts w:ascii="宋体" w:hAnsi="宋体" w:cs="宋体"/>
          <w:bCs/>
          <w:szCs w:val="21"/>
          <w:u w:val="none"/>
        </w:rPr>
      </w:pPr>
      <w:r>
        <w:rPr>
          <w:rFonts w:hint="eastAsia" w:ascii="宋体" w:hAnsi="宋体" w:cs="宋体"/>
          <w:bCs/>
          <w:szCs w:val="21"/>
          <w:u w:val="none"/>
        </w:rPr>
        <w:t>3.1身份验证阶段</w:t>
      </w:r>
    </w:p>
    <w:p>
      <w:pPr>
        <w:widowControl/>
        <w:adjustRightInd w:val="0"/>
        <w:snapToGrid w:val="0"/>
        <w:spacing w:line="360" w:lineRule="auto"/>
        <w:ind w:firstLine="420" w:firstLineChars="200"/>
        <w:rPr>
          <w:rFonts w:ascii="宋体" w:hAnsi="宋体" w:cs="宋体"/>
          <w:bCs/>
          <w:szCs w:val="21"/>
          <w:u w:val="none"/>
        </w:rPr>
      </w:pPr>
      <w:r>
        <w:rPr>
          <w:rFonts w:hint="eastAsia" w:ascii="宋体" w:hAnsi="宋体" w:cs="宋体"/>
          <w:bCs/>
          <w:szCs w:val="21"/>
          <w:u w:val="none"/>
        </w:rPr>
        <w:t>3.1.1采购单位按本文件</w:t>
      </w:r>
      <w:r>
        <w:rPr>
          <w:rFonts w:hint="eastAsia" w:ascii="宋体" w:hAnsi="宋体" w:cs="宋体"/>
          <w:b/>
          <w:szCs w:val="21"/>
          <w:u w:val="none"/>
        </w:rPr>
        <w:t>前附表</w:t>
      </w:r>
      <w:r>
        <w:rPr>
          <w:rFonts w:hint="eastAsia" w:ascii="宋体" w:hAnsi="宋体" w:cs="宋体"/>
          <w:bCs/>
          <w:szCs w:val="21"/>
          <w:u w:val="none"/>
        </w:rPr>
        <w:t>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u w:val="none"/>
        </w:rPr>
      </w:pPr>
      <w:r>
        <w:rPr>
          <w:rFonts w:hint="eastAsia" w:ascii="宋体" w:hAnsi="宋体" w:cs="宋体"/>
          <w:bCs/>
          <w:szCs w:val="21"/>
          <w:u w:val="none"/>
        </w:rPr>
        <w:t>3.1.2参与谈判的代表身份经验证不合格的，视为无效响应，</w:t>
      </w:r>
      <w:r>
        <w:rPr>
          <w:rFonts w:hint="eastAsia" w:ascii="宋体" w:hAnsi="宋体" w:cs="宋体"/>
          <w:szCs w:val="21"/>
          <w:u w:val="none"/>
        </w:rPr>
        <w:t>不得进入下一阶段。</w:t>
      </w:r>
    </w:p>
    <w:p>
      <w:pPr>
        <w:adjustRightInd w:val="0"/>
        <w:snapToGrid w:val="0"/>
        <w:spacing w:line="360" w:lineRule="auto"/>
        <w:ind w:firstLine="420" w:firstLineChars="200"/>
        <w:rPr>
          <w:rFonts w:ascii="宋体" w:hAnsi="宋体" w:cs="宋体"/>
          <w:bCs/>
          <w:szCs w:val="21"/>
          <w:u w:val="none"/>
        </w:rPr>
      </w:pPr>
      <w:r>
        <w:rPr>
          <w:rFonts w:hint="eastAsia" w:ascii="宋体" w:hAnsi="宋体" w:cs="宋体"/>
          <w:bCs/>
          <w:szCs w:val="21"/>
          <w:u w:val="none"/>
        </w:rPr>
        <w:t>3.2.唱价阶段</w:t>
      </w:r>
    </w:p>
    <w:p>
      <w:pPr>
        <w:adjustRightInd w:val="0"/>
        <w:snapToGrid w:val="0"/>
        <w:spacing w:line="360" w:lineRule="auto"/>
        <w:ind w:firstLine="420" w:firstLineChars="200"/>
        <w:rPr>
          <w:rFonts w:ascii="宋体" w:hAnsi="宋体" w:cs="宋体"/>
          <w:bCs/>
          <w:szCs w:val="21"/>
          <w:u w:val="none"/>
        </w:rPr>
      </w:pPr>
      <w:r>
        <w:rPr>
          <w:rFonts w:hint="eastAsia" w:ascii="宋体" w:hAnsi="宋体" w:cs="宋体"/>
          <w:bCs/>
          <w:szCs w:val="21"/>
          <w:u w:val="none"/>
        </w:rPr>
        <w:t>3.2.1身份验证结束后，由采购单位或采购代理机构（如有）当众拆封经身份验证合格的谈判单位的谈判响应文件，宣读响应文件中《报价一览表》内容，并记录在案。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u w:val="none"/>
        </w:rPr>
      </w:pPr>
      <w:r>
        <w:rPr>
          <w:rFonts w:hint="eastAsia" w:ascii="宋体" w:hAnsi="宋体" w:cs="宋体"/>
          <w:bCs/>
          <w:szCs w:val="21"/>
          <w:u w:val="none"/>
        </w:rPr>
        <w:t>3.2.2谈判单位法定代表人或授权委托人、现场监督员、记录人等有关人员在唱价记录表上签字确认，谈判单位对本阶段有异议的应当场提出，采购单位或采购代理机构（如有）人员当场作出答复，并记录在案，未提出的，视为无异议。</w:t>
      </w:r>
    </w:p>
    <w:p>
      <w:pPr>
        <w:adjustRightInd w:val="0"/>
        <w:snapToGrid w:val="0"/>
        <w:spacing w:line="360" w:lineRule="auto"/>
        <w:ind w:left="632" w:hanging="632" w:hangingChars="300"/>
        <w:rPr>
          <w:rFonts w:ascii="宋体" w:hAnsi="宋体" w:cs="宋体"/>
          <w:b/>
          <w:szCs w:val="21"/>
          <w:u w:val="none"/>
        </w:rPr>
      </w:pPr>
      <w:r>
        <w:rPr>
          <w:rFonts w:hint="eastAsia" w:ascii="宋体" w:hAnsi="宋体" w:cs="宋体"/>
          <w:b/>
          <w:szCs w:val="21"/>
          <w:u w:val="none"/>
        </w:rPr>
        <w:t>四、谈判评审阶段</w:t>
      </w:r>
    </w:p>
    <w:p>
      <w:pPr>
        <w:adjustRightInd w:val="0"/>
        <w:snapToGrid w:val="0"/>
        <w:spacing w:line="360" w:lineRule="auto"/>
        <w:ind w:firstLine="420" w:firstLineChars="200"/>
        <w:rPr>
          <w:rFonts w:ascii="宋体" w:hAnsi="宋体" w:cs="宋体"/>
          <w:bCs/>
          <w:szCs w:val="21"/>
          <w:u w:val="none"/>
        </w:rPr>
      </w:pPr>
      <w:r>
        <w:rPr>
          <w:rFonts w:hint="eastAsia" w:ascii="宋体" w:hAnsi="宋体" w:cs="宋体"/>
          <w:bCs/>
          <w:szCs w:val="21"/>
          <w:u w:val="none"/>
        </w:rPr>
        <w:t>谈判评审阶段分为符合性审查、详细评审及推荐中选单位。</w:t>
      </w:r>
    </w:p>
    <w:p>
      <w:pPr>
        <w:adjustRightInd w:val="0"/>
        <w:snapToGrid w:val="0"/>
        <w:spacing w:line="360" w:lineRule="auto"/>
        <w:ind w:firstLine="422" w:firstLineChars="200"/>
        <w:rPr>
          <w:rFonts w:ascii="宋体" w:hAnsi="宋体" w:cs="宋体"/>
          <w:b/>
          <w:szCs w:val="21"/>
          <w:u w:val="none"/>
        </w:rPr>
      </w:pPr>
      <w:r>
        <w:rPr>
          <w:rFonts w:hint="eastAsia" w:ascii="宋体" w:hAnsi="宋体" w:cs="宋体"/>
          <w:b/>
          <w:szCs w:val="21"/>
          <w:u w:val="none"/>
        </w:rPr>
        <w:t>4.1符合性审查阶段</w:t>
      </w:r>
    </w:p>
    <w:p>
      <w:pPr>
        <w:adjustRightInd w:val="0"/>
        <w:snapToGrid w:val="0"/>
        <w:spacing w:line="360" w:lineRule="auto"/>
        <w:ind w:firstLine="420" w:firstLineChars="200"/>
        <w:rPr>
          <w:rFonts w:ascii="宋体" w:hAnsi="宋体" w:cs="宋体"/>
          <w:szCs w:val="21"/>
          <w:u w:val="none"/>
        </w:rPr>
      </w:pPr>
      <w:r>
        <w:rPr>
          <w:rFonts w:hint="eastAsia" w:ascii="宋体" w:hAnsi="宋体" w:cs="宋体"/>
          <w:szCs w:val="21"/>
          <w:u w:val="none"/>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u w:val="none"/>
        </w:rPr>
      </w:pPr>
      <w:r>
        <w:rPr>
          <w:rFonts w:hint="eastAsia" w:ascii="宋体" w:hAnsi="宋体" w:cs="宋体"/>
          <w:szCs w:val="21"/>
          <w:u w:val="none"/>
        </w:rPr>
        <w:t>4.1.1资格的符合性审查</w:t>
      </w:r>
    </w:p>
    <w:p>
      <w:pPr>
        <w:adjustRightInd w:val="0"/>
        <w:snapToGrid w:val="0"/>
        <w:spacing w:line="360" w:lineRule="auto"/>
        <w:ind w:firstLine="420" w:firstLineChars="200"/>
        <w:rPr>
          <w:rFonts w:ascii="宋体" w:hAnsi="宋体" w:cs="宋体"/>
          <w:szCs w:val="21"/>
          <w:u w:val="none"/>
        </w:rPr>
      </w:pPr>
      <w:r>
        <w:rPr>
          <w:rFonts w:hint="eastAsia" w:ascii="宋体" w:hAnsi="宋体" w:cs="宋体"/>
          <w:szCs w:val="21"/>
          <w:u w:val="none"/>
        </w:rPr>
        <w:t>谈判评审</w:t>
      </w:r>
      <w:r>
        <w:rPr>
          <w:rFonts w:hint="eastAsia" w:ascii="宋体" w:hAnsi="宋体" w:cs="宋体"/>
          <w:bCs/>
          <w:szCs w:val="21"/>
          <w:u w:val="none"/>
        </w:rPr>
        <w:t>小组</w:t>
      </w:r>
      <w:r>
        <w:rPr>
          <w:rFonts w:hint="eastAsia" w:ascii="宋体" w:hAnsi="宋体" w:cs="宋体"/>
          <w:szCs w:val="21"/>
          <w:u w:val="none"/>
        </w:rPr>
        <w:t>根据本谈判文件</w:t>
      </w:r>
      <w:r>
        <w:rPr>
          <w:rFonts w:hint="eastAsia" w:ascii="宋体" w:hAnsi="宋体" w:cs="宋体"/>
          <w:b/>
          <w:szCs w:val="21"/>
          <w:u w:val="none"/>
        </w:rPr>
        <w:t>前附表</w:t>
      </w:r>
      <w:r>
        <w:rPr>
          <w:rFonts w:hint="eastAsia" w:ascii="宋体" w:hAnsi="宋体" w:cs="宋体"/>
          <w:szCs w:val="21"/>
          <w:u w:val="none"/>
        </w:rPr>
        <w:t>内规定的谈判单位资格要求，对谈判单位进行符合性审查，资格审查以谈判单位递交的原件资料为准。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u w:val="none"/>
        </w:rPr>
      </w:pPr>
      <w:r>
        <w:rPr>
          <w:rFonts w:hint="eastAsia" w:ascii="宋体" w:hAnsi="宋体" w:cs="宋体"/>
          <w:szCs w:val="21"/>
          <w:u w:val="none"/>
        </w:rPr>
        <w:t>4.1.2报价的符合性审查</w:t>
      </w:r>
    </w:p>
    <w:p>
      <w:pPr>
        <w:adjustRightInd w:val="0"/>
        <w:snapToGrid w:val="0"/>
        <w:spacing w:line="360" w:lineRule="auto"/>
        <w:ind w:firstLine="420" w:firstLineChars="200"/>
        <w:rPr>
          <w:rFonts w:ascii="宋体" w:hAnsi="宋体" w:cs="宋体"/>
          <w:szCs w:val="21"/>
          <w:u w:val="none"/>
        </w:rPr>
      </w:pPr>
      <w:r>
        <w:rPr>
          <w:rFonts w:hint="eastAsia" w:ascii="宋体" w:hAnsi="宋体" w:cs="宋体"/>
          <w:szCs w:val="21"/>
          <w:u w:val="none"/>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u w:val="none"/>
        </w:rPr>
      </w:pPr>
      <w:r>
        <w:rPr>
          <w:rFonts w:hint="eastAsia" w:ascii="宋体" w:hAnsi="宋体" w:cs="宋体"/>
          <w:szCs w:val="21"/>
          <w:u w:val="none"/>
        </w:rPr>
        <w:t>4.1.3有下列情形之一的，为符合性审查不合格，视为无效响应，不进入下一阶段：</w:t>
      </w:r>
    </w:p>
    <w:p>
      <w:pPr>
        <w:adjustRightInd w:val="0"/>
        <w:snapToGrid w:val="0"/>
        <w:spacing w:line="360" w:lineRule="auto"/>
        <w:ind w:firstLine="420" w:firstLineChars="200"/>
        <w:rPr>
          <w:rFonts w:ascii="宋体" w:hAnsi="宋体"/>
          <w:b/>
          <w:bCs/>
          <w:szCs w:val="21"/>
          <w:u w:val="none"/>
        </w:rPr>
      </w:pPr>
      <w:r>
        <w:rPr>
          <w:rFonts w:hint="eastAsia" w:ascii="宋体" w:hAnsi="宋体"/>
          <w:szCs w:val="21"/>
          <w:u w:val="none"/>
        </w:rPr>
        <w:t>（1）未按照谈判文件规定要求签署盖章的。</w:t>
      </w:r>
    </w:p>
    <w:p>
      <w:pPr>
        <w:adjustRightInd w:val="0"/>
        <w:snapToGrid w:val="0"/>
        <w:spacing w:line="360" w:lineRule="auto"/>
        <w:ind w:firstLine="420" w:firstLineChars="200"/>
        <w:rPr>
          <w:rFonts w:ascii="宋体" w:hAnsi="宋体"/>
          <w:szCs w:val="21"/>
          <w:u w:val="none"/>
        </w:rPr>
      </w:pPr>
      <w:r>
        <w:rPr>
          <w:rFonts w:hint="eastAsia" w:ascii="宋体" w:hAnsi="宋体"/>
          <w:szCs w:val="21"/>
          <w:u w:val="none"/>
        </w:rPr>
        <w:t>（2）响应</w:t>
      </w:r>
      <w:r>
        <w:rPr>
          <w:rFonts w:hint="eastAsia" w:ascii="宋体" w:hAnsi="宋体" w:cs="宋体"/>
          <w:kern w:val="0"/>
          <w:szCs w:val="21"/>
          <w:u w:val="none"/>
        </w:rPr>
        <w:t>文件有效期不满足谈判文件规定的。</w:t>
      </w:r>
    </w:p>
    <w:p>
      <w:pPr>
        <w:adjustRightInd w:val="0"/>
        <w:snapToGrid w:val="0"/>
        <w:spacing w:line="360" w:lineRule="auto"/>
        <w:ind w:firstLine="420" w:firstLineChars="200"/>
        <w:rPr>
          <w:rFonts w:ascii="宋体" w:hAnsi="宋体"/>
          <w:szCs w:val="21"/>
          <w:u w:val="none"/>
        </w:rPr>
      </w:pPr>
      <w:r>
        <w:rPr>
          <w:rFonts w:hint="eastAsia" w:ascii="宋体" w:hAnsi="宋体"/>
          <w:szCs w:val="21"/>
          <w:u w:val="none"/>
        </w:rPr>
        <w:t>（3）不满足资格条件要求的。</w:t>
      </w:r>
    </w:p>
    <w:p>
      <w:pPr>
        <w:adjustRightInd w:val="0"/>
        <w:snapToGrid w:val="0"/>
        <w:spacing w:line="360" w:lineRule="auto"/>
        <w:ind w:firstLine="420" w:firstLineChars="200"/>
        <w:rPr>
          <w:rFonts w:ascii="宋体" w:hAnsi="宋体"/>
          <w:szCs w:val="21"/>
          <w:u w:val="none"/>
        </w:rPr>
      </w:pPr>
      <w:r>
        <w:rPr>
          <w:rFonts w:hint="eastAsia" w:ascii="宋体" w:hAnsi="宋体"/>
          <w:szCs w:val="21"/>
          <w:u w:val="none"/>
        </w:rPr>
        <w:t>（4）不满足用户需求书要求的。</w:t>
      </w:r>
    </w:p>
    <w:p>
      <w:pPr>
        <w:adjustRightInd w:val="0"/>
        <w:snapToGrid w:val="0"/>
        <w:spacing w:line="360" w:lineRule="auto"/>
        <w:ind w:firstLine="420" w:firstLineChars="200"/>
        <w:rPr>
          <w:rFonts w:ascii="宋体" w:hAnsi="宋体"/>
          <w:color w:val="auto"/>
          <w:szCs w:val="21"/>
          <w:u w:val="none"/>
        </w:rPr>
      </w:pPr>
      <w:r>
        <w:rPr>
          <w:rFonts w:hint="eastAsia" w:ascii="宋体" w:hAnsi="宋体"/>
          <w:color w:val="auto"/>
          <w:szCs w:val="21"/>
          <w:u w:val="none"/>
        </w:rPr>
        <w:t>（5）</w:t>
      </w:r>
      <w:r>
        <w:rPr>
          <w:rFonts w:hint="eastAsia" w:ascii="宋体" w:hAnsi="宋体" w:cs="宋体"/>
          <w:color w:val="auto"/>
          <w:szCs w:val="21"/>
          <w:u w:val="none"/>
          <w:lang w:eastAsia="zh-CN"/>
        </w:rPr>
        <w:t>“正价差代理费”和“负价差分成比例”</w:t>
      </w:r>
      <w:r>
        <w:rPr>
          <w:rFonts w:hint="eastAsia" w:ascii="宋体" w:hAnsi="宋体" w:cs="宋体"/>
          <w:color w:val="auto"/>
          <w:kern w:val="0"/>
          <w:szCs w:val="21"/>
          <w:u w:val="none"/>
        </w:rPr>
        <w:t>超过</w:t>
      </w:r>
      <w:r>
        <w:rPr>
          <w:rFonts w:hint="eastAsia" w:ascii="宋体" w:hAnsi="宋体"/>
          <w:color w:val="auto"/>
          <w:szCs w:val="21"/>
          <w:u w:val="none"/>
        </w:rPr>
        <w:t>谈判最高限价的</w:t>
      </w:r>
      <w:r>
        <w:rPr>
          <w:rFonts w:hint="eastAsia" w:ascii="宋体" w:hAnsi="宋体" w:cs="宋体"/>
          <w:color w:val="auto"/>
          <w:kern w:val="0"/>
          <w:szCs w:val="21"/>
          <w:u w:val="none"/>
        </w:rPr>
        <w:t>。</w:t>
      </w:r>
    </w:p>
    <w:p>
      <w:pPr>
        <w:adjustRightInd w:val="0"/>
        <w:snapToGrid w:val="0"/>
        <w:spacing w:line="360" w:lineRule="auto"/>
        <w:ind w:firstLine="420" w:firstLineChars="200"/>
        <w:rPr>
          <w:rFonts w:ascii="宋体" w:hAnsi="宋体"/>
          <w:szCs w:val="21"/>
          <w:u w:val="none"/>
        </w:rPr>
      </w:pPr>
      <w:r>
        <w:rPr>
          <w:rFonts w:hint="eastAsia" w:ascii="宋体" w:hAnsi="宋体" w:cs="宋体"/>
          <w:kern w:val="0"/>
          <w:szCs w:val="21"/>
          <w:u w:val="none"/>
        </w:rPr>
        <w:t>（6）</w:t>
      </w:r>
      <w:r>
        <w:rPr>
          <w:rFonts w:hint="eastAsia" w:ascii="宋体" w:hAnsi="宋体"/>
          <w:szCs w:val="21"/>
          <w:u w:val="none"/>
        </w:rPr>
        <w:t>递交两份或多份内容不同的报价文件，或在一份报价文件中对同一项目报有两个或多个报价，且未声明哪一个有效的，谈判文件另有要求的除外。</w:t>
      </w:r>
    </w:p>
    <w:p>
      <w:pPr>
        <w:widowControl/>
        <w:adjustRightInd w:val="0"/>
        <w:snapToGrid w:val="0"/>
        <w:spacing w:line="360" w:lineRule="auto"/>
        <w:ind w:firstLine="420" w:firstLineChars="200"/>
        <w:rPr>
          <w:rFonts w:ascii="宋体" w:hAnsi="宋体" w:cs="宋体"/>
          <w:szCs w:val="21"/>
          <w:u w:val="none"/>
        </w:rPr>
      </w:pPr>
      <w:r>
        <w:rPr>
          <w:rFonts w:hint="eastAsia" w:ascii="宋体" w:hAnsi="宋体" w:cs="宋体"/>
          <w:szCs w:val="21"/>
          <w:u w:val="none"/>
        </w:rPr>
        <w:t>4.1.4算术错误修正</w:t>
      </w:r>
    </w:p>
    <w:p>
      <w:pPr>
        <w:widowControl/>
        <w:adjustRightInd w:val="0"/>
        <w:snapToGrid w:val="0"/>
        <w:spacing w:line="360" w:lineRule="auto"/>
        <w:ind w:firstLine="420" w:firstLineChars="200"/>
        <w:rPr>
          <w:rFonts w:ascii="宋体" w:hAnsi="宋体" w:cs="宋体"/>
          <w:szCs w:val="21"/>
          <w:u w:val="none"/>
        </w:rPr>
      </w:pPr>
      <w:r>
        <w:rPr>
          <w:rFonts w:hint="eastAsia" w:ascii="宋体" w:hAnsi="宋体" w:cs="宋体"/>
          <w:szCs w:val="21"/>
          <w:u w:val="none"/>
        </w:rPr>
        <w:t>谈判评审小组检查谈判单位的报价是否有算术错误，算术性错误分析和修正按以下原则进行，修正的价格经谈判单位进行确认后具有约束力。谈判单位不接受修正价格的，应当予以否决。</w:t>
      </w:r>
    </w:p>
    <w:p>
      <w:pPr>
        <w:widowControl/>
        <w:adjustRightInd w:val="0"/>
        <w:snapToGrid w:val="0"/>
        <w:spacing w:line="360" w:lineRule="auto"/>
        <w:ind w:firstLine="420" w:firstLineChars="200"/>
        <w:rPr>
          <w:rFonts w:ascii="宋体" w:hAnsi="宋体" w:cs="宋体"/>
          <w:szCs w:val="21"/>
          <w:u w:val="none"/>
        </w:rPr>
      </w:pPr>
      <w:r>
        <w:rPr>
          <w:rFonts w:hint="eastAsia" w:ascii="宋体" w:hAnsi="宋体" w:cs="宋体"/>
          <w:szCs w:val="21"/>
          <w:u w:val="none"/>
        </w:rPr>
        <w:t>（1）响应文件中的大写金额与小写金额不一致的，以大写金额为准。</w:t>
      </w:r>
    </w:p>
    <w:p>
      <w:pPr>
        <w:widowControl/>
        <w:adjustRightInd w:val="0"/>
        <w:snapToGrid w:val="0"/>
        <w:spacing w:line="360" w:lineRule="auto"/>
        <w:ind w:firstLine="420" w:firstLineChars="200"/>
        <w:rPr>
          <w:rFonts w:ascii="宋体" w:hAnsi="宋体" w:cs="宋体"/>
          <w:szCs w:val="21"/>
          <w:u w:val="none"/>
        </w:rPr>
      </w:pPr>
      <w:r>
        <w:rPr>
          <w:rFonts w:hint="eastAsia" w:ascii="宋体" w:hAnsi="宋体" w:cs="宋体"/>
          <w:szCs w:val="21"/>
          <w:u w:val="none"/>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szCs w:val="21"/>
          <w:u w:val="none"/>
        </w:rPr>
      </w:pPr>
      <w:r>
        <w:rPr>
          <w:rFonts w:hint="eastAsia" w:ascii="宋体" w:hAnsi="宋体" w:cs="宋体"/>
          <w:szCs w:val="21"/>
          <w:u w:val="none"/>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szCs w:val="21"/>
          <w:u w:val="none"/>
        </w:rPr>
      </w:pPr>
      <w:r>
        <w:rPr>
          <w:rFonts w:hint="eastAsia" w:ascii="宋体" w:hAnsi="宋体" w:cs="宋体"/>
          <w:szCs w:val="21"/>
          <w:u w:val="none"/>
        </w:rPr>
        <w:t>（4）如果分项报价中存在缺漏项，则视为缺漏项价格已包含在其他分项报价之中。</w:t>
      </w:r>
    </w:p>
    <w:p>
      <w:pPr>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kern w:val="0"/>
          <w:szCs w:val="21"/>
          <w:u w:val="none"/>
        </w:rPr>
        <w:t>谈判评审小组应按以下</w:t>
      </w:r>
      <w:r>
        <w:rPr>
          <w:rFonts w:hint="eastAsia" w:ascii="宋体" w:hAnsi="宋体" w:cs="宋体"/>
          <w:szCs w:val="21"/>
          <w:u w:val="none"/>
          <w:shd w:val="clear" w:color="auto" w:fill="FFFFFF"/>
        </w:rPr>
        <w:t>规定的评审因素和标准</w:t>
      </w:r>
      <w:r>
        <w:rPr>
          <w:rFonts w:hint="eastAsia" w:ascii="宋体" w:hAnsi="宋体" w:cs="宋体"/>
          <w:kern w:val="0"/>
          <w:szCs w:val="21"/>
          <w:u w:val="none"/>
        </w:rPr>
        <w:t>对经符合性审查合格的谈判单位进行详细评审及</w:t>
      </w:r>
      <w:r>
        <w:rPr>
          <w:rFonts w:hint="eastAsia" w:ascii="宋体" w:hAnsi="宋体" w:cs="宋体"/>
          <w:szCs w:val="21"/>
          <w:u w:val="none"/>
          <w:shd w:val="clear" w:color="auto" w:fill="FFFFFF"/>
        </w:rPr>
        <w:t>计分，并计算出评审总得分。</w:t>
      </w:r>
    </w:p>
    <w:p>
      <w:pPr>
        <w:adjustRightInd w:val="0"/>
        <w:snapToGrid w:val="0"/>
        <w:spacing w:line="360" w:lineRule="auto"/>
        <w:ind w:firstLine="420" w:firstLineChars="200"/>
        <w:rPr>
          <w:rFonts w:ascii="宋体" w:hAnsi="宋体" w:cs="宋体"/>
          <w:color w:val="auto"/>
          <w:szCs w:val="21"/>
          <w:u w:val="none"/>
          <w:shd w:val="clear" w:color="auto" w:fill="FFFFFF"/>
        </w:rPr>
      </w:pPr>
      <w:r>
        <w:rPr>
          <w:rFonts w:hint="eastAsia" w:ascii="宋体" w:hAnsi="宋体" w:cs="宋体"/>
          <w:color w:val="auto"/>
          <w:szCs w:val="21"/>
          <w:u w:val="none"/>
          <w:shd w:val="clear" w:color="auto" w:fill="FFFFFF"/>
        </w:rPr>
        <w:t>4.</w:t>
      </w:r>
      <w:r>
        <w:rPr>
          <w:rFonts w:hint="eastAsia" w:ascii="宋体" w:hAnsi="宋体" w:cs="宋体"/>
          <w:color w:val="auto"/>
          <w:szCs w:val="21"/>
          <w:u w:val="none"/>
          <w:shd w:val="clear" w:color="auto" w:fill="FFFFFF"/>
          <w:lang w:val="en-US" w:eastAsia="zh-CN"/>
        </w:rPr>
        <w:t>2</w:t>
      </w:r>
      <w:r>
        <w:rPr>
          <w:rFonts w:hint="eastAsia" w:ascii="宋体" w:hAnsi="宋体" w:cs="宋体"/>
          <w:color w:val="auto"/>
          <w:szCs w:val="21"/>
          <w:u w:val="none"/>
          <w:shd w:val="clear" w:color="auto" w:fill="FFFFFF"/>
        </w:rPr>
        <w:t>详细评审的程序</w:t>
      </w:r>
    </w:p>
    <w:p>
      <w:pPr>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szCs w:val="21"/>
          <w:u w:val="none"/>
        </w:rPr>
        <w:t>（1）</w:t>
      </w:r>
      <w:r>
        <w:rPr>
          <w:rFonts w:hint="eastAsia" w:ascii="宋体" w:hAnsi="宋体" w:cs="宋体"/>
          <w:bCs/>
          <w:szCs w:val="21"/>
          <w:u w:val="none"/>
          <w:shd w:val="clear" w:color="auto" w:fill="FFFFFF"/>
        </w:rPr>
        <w:t>商务</w:t>
      </w:r>
      <w:r>
        <w:rPr>
          <w:rFonts w:hint="eastAsia" w:ascii="宋体" w:hAnsi="宋体" w:cs="宋体"/>
          <w:bCs/>
          <w:szCs w:val="21"/>
          <w:u w:val="none"/>
          <w:shd w:val="clear" w:color="auto" w:fill="FFFFFF"/>
          <w:lang w:eastAsia="zh-CN"/>
        </w:rPr>
        <w:t>技术</w:t>
      </w:r>
      <w:r>
        <w:rPr>
          <w:rFonts w:hint="eastAsia" w:ascii="宋体" w:hAnsi="宋体" w:cs="宋体"/>
          <w:szCs w:val="21"/>
          <w:u w:val="none"/>
          <w:shd w:val="clear" w:color="auto" w:fill="FFFFFF"/>
        </w:rPr>
        <w:t>评审（见</w:t>
      </w:r>
      <w:r>
        <w:rPr>
          <w:rFonts w:hint="eastAsia" w:ascii="宋体" w:hAnsi="宋体" w:cs="宋体"/>
          <w:bCs/>
          <w:szCs w:val="21"/>
          <w:u w:val="none"/>
          <w:shd w:val="clear" w:color="auto" w:fill="FFFFFF"/>
        </w:rPr>
        <w:t xml:space="preserve">附表 </w:t>
      </w:r>
      <w:r>
        <w:rPr>
          <w:rFonts w:hint="eastAsia" w:ascii="宋体" w:hAnsi="宋体" w:cs="宋体"/>
          <w:bCs/>
          <w:szCs w:val="21"/>
          <w:u w:val="none"/>
          <w:shd w:val="clear" w:color="auto" w:fill="FFFFFF"/>
          <w:lang w:val="en-US" w:eastAsia="zh-CN"/>
        </w:rPr>
        <w:t>1</w:t>
      </w:r>
      <w:r>
        <w:rPr>
          <w:rFonts w:hint="eastAsia" w:ascii="宋体" w:hAnsi="宋体" w:cs="宋体"/>
          <w:bCs/>
          <w:szCs w:val="21"/>
          <w:u w:val="none"/>
          <w:shd w:val="clear" w:color="auto" w:fill="FFFFFF"/>
        </w:rPr>
        <w:t xml:space="preserve"> </w:t>
      </w:r>
      <w:r>
        <w:rPr>
          <w:rFonts w:hint="eastAsia" w:ascii="宋体" w:hAnsi="宋体" w:cs="宋体"/>
          <w:szCs w:val="21"/>
          <w:u w:val="none"/>
          <w:shd w:val="clear" w:color="auto" w:fill="FFFFFF"/>
        </w:rPr>
        <w:t>）；</w:t>
      </w:r>
    </w:p>
    <w:p>
      <w:pPr>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szCs w:val="21"/>
          <w:u w:val="none"/>
        </w:rPr>
        <w:t>（</w:t>
      </w:r>
      <w:r>
        <w:rPr>
          <w:rFonts w:hint="eastAsia" w:ascii="宋体" w:hAnsi="宋体" w:cs="宋体"/>
          <w:szCs w:val="21"/>
          <w:u w:val="none"/>
          <w:lang w:val="en-US" w:eastAsia="zh-CN"/>
        </w:rPr>
        <w:t>2</w:t>
      </w:r>
      <w:r>
        <w:rPr>
          <w:rFonts w:hint="eastAsia" w:ascii="宋体" w:hAnsi="宋体" w:cs="宋体"/>
          <w:szCs w:val="21"/>
          <w:u w:val="none"/>
        </w:rPr>
        <w:t>）</w:t>
      </w:r>
      <w:r>
        <w:rPr>
          <w:rFonts w:hint="eastAsia" w:ascii="宋体" w:hAnsi="宋体" w:cs="宋体"/>
          <w:szCs w:val="21"/>
          <w:u w:val="none"/>
          <w:shd w:val="clear" w:color="auto" w:fill="FFFFFF"/>
        </w:rPr>
        <w:t xml:space="preserve">谈判报价评审（见附表 </w:t>
      </w:r>
      <w:r>
        <w:rPr>
          <w:rFonts w:hint="eastAsia" w:ascii="宋体" w:hAnsi="宋体" w:cs="宋体"/>
          <w:szCs w:val="21"/>
          <w:u w:val="none"/>
          <w:shd w:val="clear" w:color="auto" w:fill="FFFFFF"/>
          <w:lang w:val="en-US" w:eastAsia="zh-CN"/>
        </w:rPr>
        <w:t>2</w:t>
      </w:r>
      <w:r>
        <w:rPr>
          <w:rFonts w:hint="eastAsia" w:ascii="宋体" w:hAnsi="宋体" w:cs="宋体"/>
          <w:szCs w:val="21"/>
          <w:u w:val="none"/>
          <w:shd w:val="clear" w:color="auto" w:fill="FFFFFF"/>
        </w:rPr>
        <w:t xml:space="preserve"> ）；</w:t>
      </w:r>
    </w:p>
    <w:p>
      <w:pPr>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szCs w:val="21"/>
          <w:u w:val="none"/>
        </w:rPr>
        <w:t>（</w:t>
      </w:r>
      <w:r>
        <w:rPr>
          <w:rFonts w:hint="eastAsia" w:ascii="宋体" w:hAnsi="宋体" w:cs="宋体"/>
          <w:szCs w:val="21"/>
          <w:u w:val="none"/>
          <w:lang w:val="en-US" w:eastAsia="zh-CN"/>
        </w:rPr>
        <w:t>3</w:t>
      </w:r>
      <w:r>
        <w:rPr>
          <w:rFonts w:hint="eastAsia" w:ascii="宋体" w:hAnsi="宋体" w:cs="宋体"/>
          <w:szCs w:val="21"/>
          <w:u w:val="none"/>
        </w:rPr>
        <w:t>）</w:t>
      </w:r>
      <w:r>
        <w:rPr>
          <w:rFonts w:hint="eastAsia" w:ascii="宋体" w:hAnsi="宋体" w:cs="宋体"/>
          <w:szCs w:val="21"/>
          <w:u w:val="none"/>
          <w:shd w:val="clear" w:color="auto" w:fill="FFFFFF"/>
        </w:rPr>
        <w:t>计算各谈判单位的综合得分；</w:t>
      </w:r>
    </w:p>
    <w:p>
      <w:pPr>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szCs w:val="21"/>
          <w:u w:val="none"/>
        </w:rPr>
        <w:t>（</w:t>
      </w:r>
      <w:r>
        <w:rPr>
          <w:rFonts w:hint="eastAsia" w:ascii="宋体" w:hAnsi="宋体" w:cs="宋体"/>
          <w:szCs w:val="21"/>
          <w:u w:val="none"/>
          <w:lang w:val="en-US" w:eastAsia="zh-CN"/>
        </w:rPr>
        <w:t>4</w:t>
      </w:r>
      <w:r>
        <w:rPr>
          <w:rFonts w:hint="eastAsia" w:ascii="宋体" w:hAnsi="宋体" w:cs="宋体"/>
          <w:szCs w:val="21"/>
          <w:u w:val="none"/>
        </w:rPr>
        <w:t>）</w:t>
      </w:r>
      <w:r>
        <w:rPr>
          <w:rFonts w:hint="eastAsia" w:ascii="宋体" w:hAnsi="宋体" w:cs="宋体"/>
          <w:szCs w:val="21"/>
          <w:u w:val="none"/>
          <w:shd w:val="clear" w:color="auto" w:fill="FFFFFF"/>
        </w:rPr>
        <w:t>按综合得分从高至低确定谈判单位的排序。</w:t>
      </w:r>
    </w:p>
    <w:p>
      <w:pPr>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szCs w:val="21"/>
          <w:u w:val="none"/>
          <w:shd w:val="clear" w:color="auto" w:fill="FFFFFF"/>
        </w:rPr>
        <w:t>4.2.1评审项目的分值没有区间的由</w:t>
      </w:r>
      <w:r>
        <w:rPr>
          <w:rFonts w:hint="eastAsia" w:ascii="宋体" w:hAnsi="宋体" w:cs="宋体"/>
          <w:kern w:val="0"/>
          <w:szCs w:val="21"/>
          <w:u w:val="none"/>
        </w:rPr>
        <w:t>谈判评审小组</w:t>
      </w:r>
      <w:r>
        <w:rPr>
          <w:rFonts w:hint="eastAsia" w:ascii="宋体" w:hAnsi="宋体" w:cs="宋体"/>
          <w:szCs w:val="21"/>
          <w:u w:val="none"/>
          <w:shd w:val="clear" w:color="auto" w:fill="FFFFFF"/>
        </w:rPr>
        <w:t>集体评议评分；评审项目的分值有区间的由</w:t>
      </w:r>
      <w:r>
        <w:rPr>
          <w:rFonts w:hint="eastAsia" w:ascii="宋体" w:hAnsi="宋体" w:cs="宋体"/>
          <w:kern w:val="0"/>
          <w:szCs w:val="21"/>
          <w:u w:val="none"/>
        </w:rPr>
        <w:t>谈判评审小组</w:t>
      </w:r>
      <w:r>
        <w:rPr>
          <w:rFonts w:hint="eastAsia" w:ascii="宋体" w:hAnsi="宋体" w:cs="宋体"/>
          <w:szCs w:val="21"/>
          <w:u w:val="none"/>
          <w:shd w:val="clear" w:color="auto" w:fill="FFFFFF"/>
        </w:rPr>
        <w:t>集体评议后，</w:t>
      </w:r>
      <w:r>
        <w:rPr>
          <w:rFonts w:hint="eastAsia" w:ascii="宋体" w:hAnsi="宋体" w:cs="宋体"/>
          <w:kern w:val="0"/>
          <w:szCs w:val="21"/>
          <w:u w:val="none"/>
        </w:rPr>
        <w:t>谈判评审小组</w:t>
      </w:r>
      <w:r>
        <w:rPr>
          <w:rFonts w:hint="eastAsia" w:ascii="宋体" w:hAnsi="宋体" w:cs="宋体"/>
          <w:szCs w:val="21"/>
          <w:u w:val="none"/>
          <w:shd w:val="clear" w:color="auto" w:fill="FFFFFF"/>
        </w:rPr>
        <w:t>成员独自评分。有下列情况之一者，该评标因素的评审计分为无效分：</w:t>
      </w:r>
    </w:p>
    <w:p>
      <w:pPr>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szCs w:val="21"/>
          <w:u w:val="none"/>
          <w:shd w:val="clear" w:color="auto" w:fill="FFFFFF"/>
        </w:rPr>
        <w:t>（1）单项评审计分高出规定最高分或低于规定最低分的；</w:t>
      </w:r>
    </w:p>
    <w:p>
      <w:pPr>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szCs w:val="21"/>
          <w:u w:val="none"/>
          <w:shd w:val="clear" w:color="auto" w:fill="FFFFFF"/>
        </w:rPr>
        <w:t>（2）同一项目有两个或两个以上评审计分的；</w:t>
      </w:r>
    </w:p>
    <w:p>
      <w:pPr>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szCs w:val="21"/>
          <w:u w:val="none"/>
          <w:shd w:val="clear" w:color="auto" w:fill="FFFFFF"/>
        </w:rPr>
        <w:t>（3）评审过程中</w:t>
      </w:r>
      <w:r>
        <w:rPr>
          <w:rFonts w:hint="eastAsia" w:ascii="宋体" w:hAnsi="宋体" w:cs="宋体"/>
          <w:kern w:val="0"/>
          <w:szCs w:val="21"/>
          <w:u w:val="none"/>
        </w:rPr>
        <w:t>谈判评审小组</w:t>
      </w:r>
      <w:r>
        <w:rPr>
          <w:rFonts w:hint="eastAsia" w:ascii="宋体" w:hAnsi="宋体" w:cs="宋体"/>
          <w:szCs w:val="21"/>
          <w:u w:val="none"/>
          <w:shd w:val="clear" w:color="auto" w:fill="FFFFFF"/>
        </w:rPr>
        <w:t>成员存在讨论、修改、参照调整已评审分数的情形的；</w:t>
      </w:r>
    </w:p>
    <w:p>
      <w:pPr>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szCs w:val="21"/>
          <w:u w:val="none"/>
          <w:shd w:val="clear" w:color="auto" w:fill="FFFFFF"/>
        </w:rPr>
        <w:t>（4）如有采购单位评委，采购单位评委在评审过程中发表倾向性意见，或存在干扰其他谈判小组成员独立评审权的行为。</w:t>
      </w:r>
    </w:p>
    <w:p>
      <w:pPr>
        <w:pStyle w:val="13"/>
        <w:rPr>
          <w:rFonts w:ascii="宋体" w:hAnsi="宋体" w:cs="宋体"/>
          <w:szCs w:val="21"/>
          <w:u w:val="none"/>
          <w:shd w:val="clear" w:color="auto" w:fill="FFFFFF"/>
        </w:rPr>
      </w:pPr>
      <w:r>
        <w:rPr>
          <w:rFonts w:hint="eastAsia" w:ascii="宋体" w:hAnsi="宋体" w:cs="宋体"/>
          <w:szCs w:val="21"/>
          <w:u w:val="none"/>
          <w:shd w:val="clear" w:color="auto" w:fill="FFFFFF"/>
        </w:rPr>
        <w:t>4.3.1评审因素各部分的分值为：</w:t>
      </w:r>
    </w:p>
    <w:tbl>
      <w:tblPr>
        <w:tblStyle w:val="47"/>
        <w:tblpPr w:leftFromText="180" w:rightFromText="180" w:vertAnchor="text" w:horzAnchor="page" w:tblpXSpec="center" w:tblpY="11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4821"/>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19" w:type="dxa"/>
            <w:vAlign w:val="center"/>
          </w:tcPr>
          <w:p>
            <w:pPr>
              <w:jc w:val="center"/>
              <w:rPr>
                <w:rFonts w:ascii="宋体" w:hAnsi="宋体" w:cs="宋体"/>
                <w:szCs w:val="21"/>
                <w:u w:val="none"/>
                <w:shd w:val="clear" w:color="auto" w:fill="FFFFFF"/>
              </w:rPr>
            </w:pPr>
            <w:r>
              <w:rPr>
                <w:rFonts w:hint="eastAsia" w:ascii="宋体" w:hAnsi="宋体" w:cs="宋体"/>
                <w:szCs w:val="21"/>
                <w:u w:val="none"/>
                <w:shd w:val="clear" w:color="auto" w:fill="FFFFFF"/>
              </w:rPr>
              <w:t>序号</w:t>
            </w:r>
          </w:p>
        </w:tc>
        <w:tc>
          <w:tcPr>
            <w:tcW w:w="4821" w:type="dxa"/>
            <w:vAlign w:val="center"/>
          </w:tcPr>
          <w:p>
            <w:pPr>
              <w:jc w:val="center"/>
              <w:rPr>
                <w:rFonts w:ascii="宋体" w:hAnsi="宋体" w:cs="宋体"/>
                <w:szCs w:val="21"/>
                <w:u w:val="none"/>
                <w:shd w:val="clear" w:color="auto" w:fill="FFFFFF"/>
              </w:rPr>
            </w:pPr>
            <w:r>
              <w:rPr>
                <w:rFonts w:hint="eastAsia" w:ascii="宋体" w:hAnsi="宋体" w:cs="宋体"/>
                <w:szCs w:val="21"/>
                <w:u w:val="none"/>
                <w:shd w:val="clear" w:color="auto" w:fill="FFFFFF"/>
              </w:rPr>
              <w:t>项目</w:t>
            </w:r>
          </w:p>
        </w:tc>
        <w:tc>
          <w:tcPr>
            <w:tcW w:w="3021" w:type="dxa"/>
            <w:vAlign w:val="center"/>
          </w:tcPr>
          <w:p>
            <w:pPr>
              <w:jc w:val="center"/>
              <w:rPr>
                <w:rFonts w:ascii="宋体" w:hAnsi="宋体" w:cs="宋体"/>
                <w:szCs w:val="21"/>
                <w:u w:val="none"/>
                <w:shd w:val="clear" w:color="auto" w:fill="FFFFFF"/>
              </w:rPr>
            </w:pPr>
            <w:r>
              <w:rPr>
                <w:rFonts w:hint="eastAsia" w:ascii="宋体" w:hAnsi="宋体" w:cs="宋体"/>
                <w:szCs w:val="21"/>
                <w:u w:val="none"/>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19" w:type="dxa"/>
            <w:vAlign w:val="center"/>
          </w:tcPr>
          <w:p>
            <w:pPr>
              <w:jc w:val="center"/>
              <w:rPr>
                <w:rFonts w:ascii="宋体" w:hAnsi="宋体" w:cs="宋体"/>
                <w:szCs w:val="21"/>
                <w:u w:val="none"/>
                <w:shd w:val="clear" w:color="auto" w:fill="FFFFFF"/>
              </w:rPr>
            </w:pPr>
            <w:r>
              <w:rPr>
                <w:rFonts w:ascii="宋体" w:hAnsi="宋体" w:cs="宋体"/>
                <w:szCs w:val="21"/>
                <w:u w:val="none"/>
                <w:shd w:val="clear" w:color="auto" w:fill="FFFFFF"/>
              </w:rPr>
              <w:t>1</w:t>
            </w:r>
          </w:p>
        </w:tc>
        <w:tc>
          <w:tcPr>
            <w:tcW w:w="4821" w:type="dxa"/>
            <w:vAlign w:val="center"/>
          </w:tcPr>
          <w:p>
            <w:pPr>
              <w:jc w:val="center"/>
              <w:rPr>
                <w:rFonts w:ascii="宋体" w:hAnsi="宋体" w:cs="宋体"/>
                <w:szCs w:val="21"/>
                <w:u w:val="none"/>
                <w:shd w:val="clear" w:color="auto" w:fill="FFFFFF"/>
              </w:rPr>
            </w:pPr>
            <w:r>
              <w:rPr>
                <w:rFonts w:hint="eastAsia" w:ascii="宋体" w:hAnsi="宋体" w:cs="宋体"/>
                <w:szCs w:val="21"/>
                <w:u w:val="none"/>
                <w:shd w:val="clear" w:color="auto" w:fill="FFFFFF"/>
              </w:rPr>
              <w:t>商务</w:t>
            </w:r>
          </w:p>
        </w:tc>
        <w:tc>
          <w:tcPr>
            <w:tcW w:w="3021" w:type="dxa"/>
            <w:vMerge w:val="restart"/>
            <w:vAlign w:val="center"/>
          </w:tcPr>
          <w:p>
            <w:pPr>
              <w:jc w:val="center"/>
              <w:rPr>
                <w:rFonts w:hint="default" w:ascii="宋体" w:hAnsi="宋体" w:eastAsia="宋体" w:cs="宋体"/>
                <w:szCs w:val="21"/>
                <w:u w:val="none"/>
                <w:shd w:val="clear" w:color="auto" w:fill="FFFFFF"/>
                <w:lang w:val="en-US" w:eastAsia="zh-CN"/>
              </w:rPr>
            </w:pPr>
            <w:r>
              <w:rPr>
                <w:rFonts w:hint="eastAsia" w:ascii="宋体" w:hAnsi="宋体" w:cs="宋体"/>
                <w:szCs w:val="21"/>
                <w:u w:val="none"/>
                <w:shd w:val="clear" w:color="auto" w:fill="FFFFFF"/>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19" w:type="dxa"/>
            <w:vAlign w:val="center"/>
          </w:tcPr>
          <w:p>
            <w:pPr>
              <w:jc w:val="center"/>
              <w:rPr>
                <w:rFonts w:ascii="宋体" w:hAnsi="宋体" w:cs="宋体"/>
                <w:szCs w:val="21"/>
                <w:u w:val="none"/>
                <w:shd w:val="clear" w:color="auto" w:fill="FFFFFF"/>
              </w:rPr>
            </w:pPr>
            <w:r>
              <w:rPr>
                <w:rFonts w:ascii="宋体" w:hAnsi="宋体" w:cs="宋体"/>
                <w:szCs w:val="21"/>
                <w:u w:val="none"/>
                <w:shd w:val="clear" w:color="auto" w:fill="FFFFFF"/>
              </w:rPr>
              <w:t>2</w:t>
            </w:r>
          </w:p>
        </w:tc>
        <w:tc>
          <w:tcPr>
            <w:tcW w:w="4821" w:type="dxa"/>
            <w:vAlign w:val="center"/>
          </w:tcPr>
          <w:p>
            <w:pPr>
              <w:jc w:val="center"/>
              <w:rPr>
                <w:rFonts w:ascii="宋体" w:hAnsi="宋体" w:cs="宋体"/>
                <w:szCs w:val="21"/>
                <w:u w:val="none"/>
                <w:shd w:val="clear" w:color="auto" w:fill="FFFFFF"/>
              </w:rPr>
            </w:pPr>
            <w:r>
              <w:rPr>
                <w:rFonts w:hint="eastAsia" w:ascii="宋体" w:hAnsi="宋体" w:cs="宋体"/>
                <w:szCs w:val="21"/>
                <w:u w:val="none"/>
                <w:shd w:val="clear" w:color="auto" w:fill="FFFFFF"/>
              </w:rPr>
              <w:t>技术</w:t>
            </w:r>
          </w:p>
        </w:tc>
        <w:tc>
          <w:tcPr>
            <w:tcW w:w="3021" w:type="dxa"/>
            <w:vMerge w:val="continue"/>
            <w:vAlign w:val="center"/>
          </w:tcPr>
          <w:p>
            <w:pPr>
              <w:jc w:val="center"/>
              <w:rPr>
                <w:rFonts w:ascii="宋体" w:hAnsi="宋体" w:cs="宋体"/>
                <w:szCs w:val="21"/>
                <w:u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19" w:type="dxa"/>
            <w:vAlign w:val="center"/>
          </w:tcPr>
          <w:p>
            <w:pPr>
              <w:jc w:val="center"/>
              <w:rPr>
                <w:rFonts w:ascii="宋体" w:hAnsi="宋体" w:cs="宋体"/>
                <w:szCs w:val="21"/>
                <w:u w:val="none"/>
                <w:shd w:val="clear" w:color="auto" w:fill="FFFFFF"/>
              </w:rPr>
            </w:pPr>
            <w:r>
              <w:rPr>
                <w:rFonts w:ascii="宋体" w:hAnsi="宋体" w:cs="宋体"/>
                <w:szCs w:val="21"/>
                <w:u w:val="none"/>
                <w:shd w:val="clear" w:color="auto" w:fill="FFFFFF"/>
              </w:rPr>
              <w:t>3</w:t>
            </w:r>
          </w:p>
        </w:tc>
        <w:tc>
          <w:tcPr>
            <w:tcW w:w="4821" w:type="dxa"/>
            <w:vAlign w:val="center"/>
          </w:tcPr>
          <w:p>
            <w:pPr>
              <w:jc w:val="center"/>
              <w:rPr>
                <w:rFonts w:ascii="宋体" w:hAnsi="宋体" w:cs="宋体"/>
                <w:szCs w:val="21"/>
                <w:u w:val="none"/>
                <w:shd w:val="clear" w:color="auto" w:fill="FFFFFF"/>
              </w:rPr>
            </w:pPr>
            <w:r>
              <w:rPr>
                <w:rFonts w:hint="eastAsia" w:ascii="宋体" w:hAnsi="宋体" w:cs="宋体"/>
                <w:szCs w:val="21"/>
                <w:u w:val="none"/>
                <w:shd w:val="clear" w:color="auto" w:fill="FFFFFF"/>
              </w:rPr>
              <w:t>报价</w:t>
            </w:r>
          </w:p>
        </w:tc>
        <w:tc>
          <w:tcPr>
            <w:tcW w:w="3021" w:type="dxa"/>
            <w:vAlign w:val="center"/>
          </w:tcPr>
          <w:p>
            <w:pPr>
              <w:jc w:val="center"/>
              <w:rPr>
                <w:rFonts w:hint="default" w:ascii="宋体" w:hAnsi="宋体" w:eastAsia="宋体" w:cs="宋体"/>
                <w:szCs w:val="21"/>
                <w:u w:val="none"/>
                <w:shd w:val="clear" w:color="auto" w:fill="FFFFFF"/>
                <w:lang w:val="en-US" w:eastAsia="zh-CN"/>
              </w:rPr>
            </w:pPr>
            <w:r>
              <w:rPr>
                <w:rFonts w:hint="eastAsia" w:ascii="宋体" w:hAnsi="宋体" w:cs="宋体"/>
                <w:szCs w:val="21"/>
                <w:u w:val="none"/>
                <w:shd w:val="clear" w:color="auto" w:fill="FFFFFF"/>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040" w:type="dxa"/>
            <w:gridSpan w:val="2"/>
            <w:vAlign w:val="center"/>
          </w:tcPr>
          <w:p>
            <w:pPr>
              <w:jc w:val="center"/>
              <w:rPr>
                <w:rFonts w:ascii="宋体" w:hAnsi="宋体" w:cs="宋体"/>
                <w:szCs w:val="21"/>
                <w:u w:val="none"/>
                <w:shd w:val="clear" w:color="auto" w:fill="FFFFFF"/>
              </w:rPr>
            </w:pPr>
            <w:r>
              <w:rPr>
                <w:rFonts w:hint="eastAsia" w:ascii="宋体" w:hAnsi="宋体" w:cs="宋体"/>
                <w:szCs w:val="21"/>
                <w:u w:val="none"/>
                <w:shd w:val="clear" w:color="auto" w:fill="FFFFFF"/>
              </w:rPr>
              <w:t>合计</w:t>
            </w:r>
          </w:p>
        </w:tc>
        <w:tc>
          <w:tcPr>
            <w:tcW w:w="3021" w:type="dxa"/>
            <w:vAlign w:val="center"/>
          </w:tcPr>
          <w:p>
            <w:pPr>
              <w:jc w:val="center"/>
              <w:rPr>
                <w:rFonts w:hint="default" w:ascii="宋体" w:hAnsi="宋体" w:eastAsia="宋体" w:cs="宋体"/>
                <w:szCs w:val="21"/>
                <w:u w:val="none"/>
                <w:shd w:val="clear" w:color="auto" w:fill="FFFFFF"/>
                <w:lang w:val="en-US" w:eastAsia="zh-CN"/>
              </w:rPr>
            </w:pPr>
            <w:r>
              <w:rPr>
                <w:rFonts w:hint="eastAsia" w:ascii="宋体" w:hAnsi="宋体" w:cs="宋体"/>
                <w:szCs w:val="21"/>
                <w:u w:val="none"/>
                <w:shd w:val="clear" w:color="auto" w:fill="FFFFFF"/>
                <w:lang w:val="en-US" w:eastAsia="zh-CN"/>
              </w:rPr>
              <w:t>100</w:t>
            </w:r>
          </w:p>
        </w:tc>
      </w:tr>
    </w:tbl>
    <w:p>
      <w:pPr>
        <w:rPr>
          <w:u w:val="none"/>
        </w:rPr>
      </w:pPr>
    </w:p>
    <w:p>
      <w:pPr>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szCs w:val="21"/>
          <w:u w:val="none"/>
          <w:shd w:val="clear" w:color="auto" w:fill="FFFFFF"/>
        </w:rPr>
        <w:t>4.4.1谈判单位各单项得分之和即为谈判单位评审得分。</w:t>
      </w:r>
    </w:p>
    <w:p>
      <w:pPr>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szCs w:val="21"/>
          <w:u w:val="none"/>
          <w:shd w:val="clear" w:color="auto" w:fill="FFFFFF"/>
        </w:rPr>
        <w:t>4.5.1谈判评审小组应当根据详细评审的结果对谈判单位进行排序，2个以上投标人综合得分相同时，</w:t>
      </w:r>
      <w:r>
        <w:rPr>
          <w:rFonts w:hint="eastAsia" w:ascii="宋体" w:hAnsi="宋体" w:cs="宋体"/>
          <w:szCs w:val="21"/>
          <w:u w:val="none"/>
          <w:shd w:val="clear" w:color="auto" w:fill="FFFFFF"/>
          <w:lang w:eastAsia="zh-CN"/>
        </w:rPr>
        <w:t>则以“负价差分成比例”谈判单位低的排序靠前；若“负价差分成比例”</w:t>
      </w:r>
      <w:r>
        <w:rPr>
          <w:rFonts w:hint="eastAsia" w:ascii="宋体" w:hAnsi="宋体" w:cs="宋体"/>
          <w:szCs w:val="21"/>
          <w:u w:val="none"/>
          <w:shd w:val="clear" w:color="auto" w:fill="FFFFFF"/>
        </w:rPr>
        <w:t>得分亦相同时，</w:t>
      </w:r>
      <w:r>
        <w:rPr>
          <w:rFonts w:hint="eastAsia" w:ascii="宋体" w:hAnsi="宋体" w:cs="宋体"/>
          <w:szCs w:val="21"/>
          <w:u w:val="none"/>
          <w:shd w:val="clear" w:color="auto" w:fill="FFFFFF"/>
          <w:lang w:eastAsia="zh-CN"/>
        </w:rPr>
        <w:t>则以“正价差代理费”低的排序靠前；若“正价差代理费”得分仍相同时，则</w:t>
      </w:r>
      <w:r>
        <w:rPr>
          <w:rFonts w:hint="eastAsia" w:ascii="宋体" w:hAnsi="宋体" w:cs="宋体"/>
          <w:szCs w:val="21"/>
          <w:u w:val="none"/>
          <w:shd w:val="clear" w:color="auto" w:fill="FFFFFF"/>
        </w:rPr>
        <w:t>由谈判评审小组投票决定排序。</w:t>
      </w:r>
    </w:p>
    <w:p>
      <w:pPr>
        <w:widowControl/>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szCs w:val="21"/>
          <w:u w:val="none"/>
          <w:shd w:val="clear" w:color="auto" w:fill="FFFFFF"/>
        </w:rPr>
        <w:t>5.1</w:t>
      </w:r>
      <w:r>
        <w:rPr>
          <w:rFonts w:hint="eastAsia" w:ascii="宋体" w:hAnsi="宋体" w:eastAsia="宋体" w:cs="宋体"/>
          <w:kern w:val="0"/>
          <w:szCs w:val="21"/>
          <w:u w:val="none"/>
        </w:rPr>
        <w:t>.谈判评审小组按照综合得分由高到低的顺序推荐不超过3名中选候选人</w:t>
      </w:r>
      <w:r>
        <w:rPr>
          <w:rFonts w:hint="eastAsia" w:ascii="宋体" w:hAnsi="宋体" w:eastAsia="宋体" w:cs="宋体"/>
          <w:kern w:val="0"/>
          <w:szCs w:val="21"/>
          <w:u w:val="none"/>
          <w:lang w:eastAsia="zh-CN"/>
        </w:rPr>
        <w:t>，</w:t>
      </w:r>
      <w:r>
        <w:rPr>
          <w:rFonts w:hint="eastAsia" w:ascii="宋体" w:hAnsi="宋体" w:eastAsia="宋体" w:cs="宋体"/>
          <w:kern w:val="0"/>
          <w:szCs w:val="21"/>
          <w:u w:val="none"/>
        </w:rPr>
        <w:t>并对排名第一的中选候选人进行公示。经公示无异议后，确定排名第一的中选候选人为中选人。</w:t>
      </w:r>
    </w:p>
    <w:p>
      <w:pPr>
        <w:widowControl/>
        <w:adjustRightInd w:val="0"/>
        <w:snapToGrid w:val="0"/>
        <w:spacing w:line="360" w:lineRule="auto"/>
        <w:ind w:firstLine="420" w:firstLineChars="200"/>
        <w:rPr>
          <w:rFonts w:ascii="宋体" w:hAnsi="宋体" w:cs="宋体"/>
          <w:szCs w:val="21"/>
          <w:u w:val="none"/>
          <w:shd w:val="clear" w:color="auto" w:fill="FFFFFF"/>
        </w:rPr>
      </w:pPr>
      <w:r>
        <w:rPr>
          <w:rFonts w:hint="eastAsia" w:ascii="宋体" w:hAnsi="宋体" w:cs="宋体"/>
          <w:szCs w:val="21"/>
          <w:u w:val="none"/>
          <w:shd w:val="clear" w:color="auto" w:fill="FFFFFF"/>
        </w:rPr>
        <w:t>5.2.</w:t>
      </w:r>
      <w:r>
        <w:rPr>
          <w:rFonts w:hint="eastAsia" w:asciiTheme="minorEastAsia" w:hAnsiTheme="minorEastAsia" w:cstheme="minorEastAsia"/>
          <w:spacing w:val="0"/>
          <w:sz w:val="21"/>
          <w:szCs w:val="21"/>
          <w:u w:val="none"/>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r>
        <w:rPr>
          <w:rFonts w:hint="eastAsia" w:ascii="宋体" w:hAnsi="宋体" w:cs="宋体"/>
          <w:szCs w:val="21"/>
          <w:u w:val="none"/>
          <w:shd w:val="clear" w:color="auto" w:fill="FFFFFF"/>
        </w:rPr>
        <w:t>。</w:t>
      </w:r>
    </w:p>
    <w:p>
      <w:pPr>
        <w:rPr>
          <w:rFonts w:ascii="宋体" w:hAnsi="宋体"/>
          <w:bCs/>
          <w:szCs w:val="21"/>
          <w:u w:val="none"/>
        </w:rPr>
      </w:pPr>
    </w:p>
    <w:p>
      <w:pPr>
        <w:pStyle w:val="13"/>
        <w:rPr>
          <w:rFonts w:hint="eastAsia"/>
          <w:u w:val="none"/>
          <w:lang w:eastAsia="zh-CN"/>
        </w:rPr>
        <w:sectPr>
          <w:pgSz w:w="11906" w:h="16838"/>
          <w:pgMar w:top="2098" w:right="1474" w:bottom="1984" w:left="1587" w:header="851" w:footer="992" w:gutter="0"/>
          <w:pgNumType w:fmt="decimal"/>
          <w:cols w:space="0" w:num="1"/>
          <w:docGrid w:type="lines" w:linePitch="319" w:charSpace="0"/>
        </w:sectPr>
      </w:pPr>
    </w:p>
    <w:p>
      <w:pPr>
        <w:pStyle w:val="13"/>
        <w:rPr>
          <w:rFonts w:hint="eastAsia"/>
          <w:u w:val="none"/>
          <w:lang w:val="en-US" w:eastAsia="zh-CN"/>
        </w:rPr>
      </w:pPr>
      <w:r>
        <w:rPr>
          <w:rFonts w:hint="eastAsia"/>
          <w:u w:val="none"/>
          <w:lang w:eastAsia="zh-CN"/>
        </w:rPr>
        <w:t>附表</w:t>
      </w:r>
      <w:r>
        <w:rPr>
          <w:rFonts w:hint="eastAsia"/>
          <w:u w:val="none"/>
          <w:lang w:val="en-US" w:eastAsia="zh-CN"/>
        </w:rPr>
        <w:t>1</w:t>
      </w:r>
    </w:p>
    <w:p>
      <w:pPr>
        <w:spacing w:line="360" w:lineRule="exact"/>
        <w:jc w:val="center"/>
        <w:rPr>
          <w:rFonts w:ascii="宋体" w:hAnsi="宋体"/>
          <w:b/>
          <w:sz w:val="32"/>
          <w:szCs w:val="32"/>
          <w:u w:val="none"/>
        </w:rPr>
      </w:pPr>
      <w:r>
        <w:rPr>
          <w:rFonts w:hint="eastAsia" w:ascii="宋体" w:hAnsi="宋体"/>
          <w:b/>
          <w:sz w:val="32"/>
          <w:szCs w:val="32"/>
          <w:u w:val="none"/>
        </w:rPr>
        <w:t>商务及技术评分表（权重70%）</w:t>
      </w:r>
    </w:p>
    <w:tbl>
      <w:tblPr>
        <w:tblStyle w:val="47"/>
        <w:tblW w:w="10429"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706"/>
        <w:gridCol w:w="710"/>
        <w:gridCol w:w="1325"/>
        <w:gridCol w:w="1238"/>
        <w:gridCol w:w="64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trHeight w:val="404" w:hRule="atLeast"/>
          <w:jc w:val="center"/>
        </w:trPr>
        <w:tc>
          <w:tcPr>
            <w:tcW w:w="706" w:type="dxa"/>
            <w:tcBorders>
              <w:tl2br w:val="nil"/>
              <w:tr2bl w:val="nil"/>
            </w:tcBorders>
            <w:vAlign w:val="center"/>
          </w:tcPr>
          <w:p>
            <w:pPr>
              <w:pStyle w:val="366"/>
              <w:spacing w:line="360" w:lineRule="auto"/>
              <w:jc w:val="center"/>
              <w:rPr>
                <w:b/>
                <w:bCs/>
                <w:u w:val="none"/>
              </w:rPr>
            </w:pPr>
            <w:r>
              <w:rPr>
                <w:rFonts w:hint="eastAsia"/>
                <w:b/>
                <w:bCs/>
                <w:u w:val="none"/>
                <w:lang w:val="en-US"/>
              </w:rPr>
              <w:t>序号</w:t>
            </w:r>
          </w:p>
        </w:tc>
        <w:tc>
          <w:tcPr>
            <w:tcW w:w="710" w:type="dxa"/>
            <w:tcBorders>
              <w:right w:val="single" w:color="auto" w:sz="4" w:space="0"/>
              <w:tl2br w:val="nil"/>
              <w:tr2bl w:val="nil"/>
            </w:tcBorders>
            <w:vAlign w:val="center"/>
          </w:tcPr>
          <w:p>
            <w:pPr>
              <w:pStyle w:val="366"/>
              <w:spacing w:line="360" w:lineRule="auto"/>
              <w:jc w:val="center"/>
              <w:rPr>
                <w:b/>
                <w:bCs/>
                <w:u w:val="none"/>
              </w:rPr>
            </w:pPr>
            <w:r>
              <w:rPr>
                <w:rFonts w:hint="eastAsia"/>
                <w:b/>
                <w:bCs/>
                <w:u w:val="none"/>
              </w:rPr>
              <w:t>类别</w:t>
            </w:r>
          </w:p>
        </w:tc>
        <w:tc>
          <w:tcPr>
            <w:tcW w:w="1325" w:type="dxa"/>
            <w:tcBorders>
              <w:left w:val="single" w:color="auto" w:sz="4" w:space="0"/>
              <w:tl2br w:val="nil"/>
              <w:tr2bl w:val="nil"/>
            </w:tcBorders>
            <w:vAlign w:val="center"/>
          </w:tcPr>
          <w:p>
            <w:pPr>
              <w:pStyle w:val="366"/>
              <w:spacing w:line="360" w:lineRule="auto"/>
              <w:jc w:val="center"/>
              <w:rPr>
                <w:b/>
                <w:bCs/>
                <w:u w:val="none"/>
              </w:rPr>
            </w:pPr>
            <w:r>
              <w:rPr>
                <w:b/>
                <w:bCs/>
                <w:u w:val="none"/>
              </w:rPr>
              <w:t>评审因素</w:t>
            </w:r>
          </w:p>
        </w:tc>
        <w:tc>
          <w:tcPr>
            <w:tcW w:w="1238" w:type="dxa"/>
            <w:tcBorders>
              <w:tl2br w:val="nil"/>
              <w:tr2bl w:val="nil"/>
            </w:tcBorders>
            <w:vAlign w:val="center"/>
          </w:tcPr>
          <w:p>
            <w:pPr>
              <w:pStyle w:val="366"/>
              <w:spacing w:line="360" w:lineRule="auto"/>
              <w:jc w:val="center"/>
              <w:rPr>
                <w:b/>
                <w:bCs/>
                <w:u w:val="none"/>
              </w:rPr>
            </w:pPr>
            <w:r>
              <w:rPr>
                <w:b/>
                <w:bCs/>
                <w:u w:val="none"/>
              </w:rPr>
              <w:t>最高分值</w:t>
            </w:r>
          </w:p>
        </w:tc>
        <w:tc>
          <w:tcPr>
            <w:tcW w:w="6450" w:type="dxa"/>
            <w:tcBorders>
              <w:tl2br w:val="nil"/>
              <w:tr2bl w:val="nil"/>
            </w:tcBorders>
            <w:vAlign w:val="center"/>
          </w:tcPr>
          <w:p>
            <w:pPr>
              <w:pStyle w:val="366"/>
              <w:spacing w:line="360" w:lineRule="auto"/>
              <w:jc w:val="center"/>
              <w:rPr>
                <w:b/>
                <w:bCs/>
                <w:u w:val="none"/>
              </w:rPr>
            </w:pPr>
            <w:r>
              <w:rPr>
                <w:b/>
                <w:bCs/>
                <w:u w:val="none"/>
              </w:rPr>
              <w:t>评审标准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05" w:hRule="atLeast"/>
          <w:jc w:val="center"/>
        </w:trPr>
        <w:tc>
          <w:tcPr>
            <w:tcW w:w="706" w:type="dxa"/>
            <w:tcBorders>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cs="Times New Roman"/>
                <w:u w:val="none"/>
                <w:lang w:val="en-US"/>
              </w:rPr>
            </w:pPr>
            <w:r>
              <w:rPr>
                <w:rFonts w:ascii="Times New Roman" w:hAnsi="Times New Roman" w:cs="Times New Roman"/>
                <w:u w:val="none"/>
                <w:lang w:val="en-US"/>
              </w:rPr>
              <w:t>1</w:t>
            </w:r>
          </w:p>
        </w:tc>
        <w:tc>
          <w:tcPr>
            <w:tcW w:w="710" w:type="dxa"/>
            <w:vMerge w:val="restart"/>
            <w:tcBorders>
              <w:right w:val="single" w:color="auto" w:sz="4" w:space="0"/>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cs="Times New Roman"/>
                <w:u w:val="none"/>
              </w:rPr>
            </w:pPr>
            <w:r>
              <w:rPr>
                <w:rFonts w:hint="eastAsia" w:ascii="Times New Roman" w:hAnsi="Times New Roman" w:cs="Times New Roman"/>
                <w:u w:val="none"/>
              </w:rPr>
              <w:t>商务及技术（</w:t>
            </w:r>
            <w:r>
              <w:rPr>
                <w:rFonts w:hint="eastAsia" w:ascii="Times New Roman" w:hAnsi="Times New Roman" w:cs="Times New Roman"/>
                <w:u w:val="none"/>
                <w:lang w:val="en-US"/>
              </w:rPr>
              <w:t>70</w:t>
            </w:r>
            <w:r>
              <w:rPr>
                <w:rFonts w:hint="eastAsia" w:ascii="Times New Roman" w:hAnsi="Times New Roman" w:cs="Times New Roman"/>
                <w:u w:val="none"/>
              </w:rPr>
              <w:t>）</w:t>
            </w:r>
          </w:p>
        </w:tc>
        <w:tc>
          <w:tcPr>
            <w:tcW w:w="1325" w:type="dxa"/>
            <w:tcBorders>
              <w:left w:val="single" w:color="auto" w:sz="4" w:space="0"/>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kern w:val="2"/>
                <w:sz w:val="21"/>
                <w:szCs w:val="24"/>
                <w:u w:val="none"/>
                <w:lang w:val="en-US" w:eastAsia="zh-CN" w:bidi="zh-CN"/>
              </w:rPr>
            </w:pPr>
            <w:r>
              <w:rPr>
                <w:rFonts w:hint="eastAsia" w:ascii="Times New Roman" w:hAnsi="Times New Roman" w:cs="Times New Roman"/>
                <w:u w:val="none"/>
              </w:rPr>
              <w:t>响应文件的编制</w:t>
            </w:r>
          </w:p>
        </w:tc>
        <w:tc>
          <w:tcPr>
            <w:tcW w:w="1238" w:type="dxa"/>
            <w:tcBorders>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kern w:val="2"/>
                <w:sz w:val="21"/>
                <w:szCs w:val="24"/>
                <w:u w:val="none"/>
                <w:lang w:val="en-US" w:eastAsia="zh-CN" w:bidi="zh-CN"/>
              </w:rPr>
            </w:pPr>
            <w:r>
              <w:rPr>
                <w:rFonts w:hint="eastAsia" w:ascii="Times New Roman" w:hAnsi="Times New Roman" w:cs="Times New Roman"/>
                <w:u w:val="none"/>
                <w:lang w:val="en-US" w:eastAsia="zh-CN"/>
              </w:rPr>
              <w:t>5</w:t>
            </w:r>
          </w:p>
        </w:tc>
        <w:tc>
          <w:tcPr>
            <w:tcW w:w="6450" w:type="dxa"/>
            <w:tcBorders>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380" w:lineRule="exact"/>
              <w:ind w:firstLine="0" w:firstLineChars="0"/>
              <w:jc w:val="left"/>
              <w:textAlignment w:val="auto"/>
              <w:rPr>
                <w:rFonts w:hint="eastAsia" w:ascii="Times New Roman" w:hAnsi="Times New Roman" w:cs="Times New Roman"/>
                <w:u w:val="none"/>
              </w:rPr>
            </w:pPr>
            <w:r>
              <w:rPr>
                <w:rFonts w:hint="eastAsia" w:ascii="Times New Roman" w:hAnsi="Times New Roman" w:cs="Times New Roman"/>
                <w:u w:val="none"/>
              </w:rPr>
              <w:t>完全满足谈判文件并响应的得</w:t>
            </w:r>
            <w:r>
              <w:rPr>
                <w:rFonts w:hint="eastAsia" w:ascii="Times New Roman" w:hAnsi="Times New Roman" w:cs="Times New Roman"/>
                <w:u w:val="none"/>
                <w:lang w:val="en-US" w:eastAsia="zh-CN"/>
              </w:rPr>
              <w:t>5</w:t>
            </w:r>
            <w:r>
              <w:rPr>
                <w:rFonts w:hint="eastAsia" w:ascii="Times New Roman" w:hAnsi="Times New Roman" w:cs="Times New Roman"/>
                <w:u w:val="none"/>
              </w:rPr>
              <w:t>分。</w:t>
            </w:r>
          </w:p>
          <w:p>
            <w:pPr>
              <w:pStyle w:val="366"/>
              <w:keepNext w:val="0"/>
              <w:keepLines w:val="0"/>
              <w:pageBreakBefore w:val="0"/>
              <w:kinsoku/>
              <w:wordWrap/>
              <w:overflowPunct/>
              <w:topLinePunct w:val="0"/>
              <w:autoSpaceDE/>
              <w:autoSpaceDN/>
              <w:bidi w:val="0"/>
              <w:adjustRightInd/>
              <w:snapToGrid/>
              <w:spacing w:line="380" w:lineRule="exact"/>
              <w:ind w:firstLine="0" w:firstLineChars="0"/>
              <w:jc w:val="left"/>
              <w:textAlignment w:val="auto"/>
              <w:rPr>
                <w:rFonts w:hint="eastAsia" w:ascii="Times New Roman" w:hAnsi="Times New Roman" w:eastAsia="宋体" w:cs="Times New Roman"/>
                <w:kern w:val="2"/>
                <w:sz w:val="21"/>
                <w:szCs w:val="24"/>
                <w:u w:val="none"/>
                <w:lang w:val="zh-CN" w:eastAsia="zh-CN" w:bidi="zh-CN"/>
              </w:rPr>
            </w:pPr>
            <w:r>
              <w:rPr>
                <w:rFonts w:hint="eastAsia" w:ascii="Times New Roman" w:hAnsi="Times New Roman" w:cs="Times New Roman"/>
                <w:u w:val="none"/>
              </w:rPr>
              <w:t>存在细微偏差的，每处扣</w:t>
            </w:r>
            <w:r>
              <w:rPr>
                <w:rFonts w:hint="eastAsia" w:ascii="Times New Roman" w:hAnsi="Times New Roman" w:cs="Times New Roman"/>
                <w:u w:val="none"/>
                <w:lang w:val="en-US" w:eastAsia="zh-CN"/>
              </w:rPr>
              <w:t>1</w:t>
            </w:r>
            <w:r>
              <w:rPr>
                <w:rFonts w:hint="eastAsia" w:ascii="Times New Roman" w:hAnsi="Times New Roman" w:cs="Times New Roman"/>
                <w:u w:val="none"/>
              </w:rPr>
              <w:t>分，扣完为止。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1442" w:hRule="atLeast"/>
          <w:jc w:val="center"/>
        </w:trPr>
        <w:tc>
          <w:tcPr>
            <w:tcW w:w="706" w:type="dxa"/>
            <w:tcBorders>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cs="Times New Roman"/>
                <w:u w:val="none"/>
                <w:lang w:val="en-US"/>
              </w:rPr>
            </w:pPr>
            <w:r>
              <w:rPr>
                <w:rFonts w:ascii="Times New Roman" w:hAnsi="Times New Roman" w:cs="Times New Roman"/>
                <w:u w:val="none"/>
                <w:lang w:val="en-US"/>
              </w:rPr>
              <w:t>2</w:t>
            </w:r>
          </w:p>
        </w:tc>
        <w:tc>
          <w:tcPr>
            <w:tcW w:w="710" w:type="dxa"/>
            <w:vMerge w:val="continue"/>
            <w:tcBorders>
              <w:right w:val="single" w:color="auto" w:sz="4" w:space="0"/>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cs="Times New Roman"/>
                <w:u w:val="none"/>
              </w:rPr>
            </w:pPr>
          </w:p>
        </w:tc>
        <w:tc>
          <w:tcPr>
            <w:tcW w:w="1325" w:type="dxa"/>
            <w:tcBorders>
              <w:left w:val="single" w:color="auto" w:sz="4" w:space="0"/>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kern w:val="2"/>
                <w:sz w:val="21"/>
                <w:szCs w:val="24"/>
                <w:u w:val="none"/>
                <w:lang w:val="zh-CN" w:eastAsia="zh-CN" w:bidi="zh-CN"/>
              </w:rPr>
            </w:pPr>
            <w:r>
              <w:rPr>
                <w:rFonts w:ascii="Times New Roman" w:hAnsi="Times New Roman" w:cs="Times New Roman"/>
                <w:u w:val="none"/>
              </w:rPr>
              <w:t>计分业绩</w:t>
            </w:r>
          </w:p>
        </w:tc>
        <w:tc>
          <w:tcPr>
            <w:tcW w:w="1238" w:type="dxa"/>
            <w:tcBorders>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kern w:val="2"/>
                <w:sz w:val="21"/>
                <w:szCs w:val="24"/>
                <w:u w:val="none"/>
                <w:lang w:val="en-US" w:eastAsia="zh-CN" w:bidi="zh-CN"/>
              </w:rPr>
            </w:pPr>
            <w:r>
              <w:rPr>
                <w:rFonts w:hint="eastAsia" w:ascii="Times New Roman" w:hAnsi="Times New Roman" w:cs="Times New Roman"/>
                <w:u w:val="none"/>
                <w:lang w:val="en-US"/>
              </w:rPr>
              <w:t>1</w:t>
            </w:r>
            <w:r>
              <w:rPr>
                <w:rFonts w:hint="eastAsia" w:ascii="Times New Roman" w:hAnsi="Times New Roman" w:cs="Times New Roman"/>
                <w:u w:val="none"/>
                <w:lang w:val="en-US" w:eastAsia="zh-CN"/>
              </w:rPr>
              <w:t>5</w:t>
            </w:r>
          </w:p>
        </w:tc>
        <w:tc>
          <w:tcPr>
            <w:tcW w:w="6450" w:type="dxa"/>
            <w:tcBorders>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380" w:lineRule="exact"/>
              <w:ind w:firstLine="0" w:firstLineChars="0"/>
              <w:textAlignment w:val="auto"/>
              <w:rPr>
                <w:rFonts w:hint="default" w:ascii="Times New Roman" w:hAnsi="Times New Roman" w:eastAsia="宋体" w:cs="Times New Roman"/>
                <w:u w:val="none"/>
                <w:lang w:val="en-US" w:eastAsia="zh-CN"/>
              </w:rPr>
            </w:pPr>
            <w:r>
              <w:rPr>
                <w:rFonts w:hint="eastAsia" w:ascii="宋体" w:hAnsi="宋体"/>
                <w:color w:val="auto"/>
                <w:szCs w:val="21"/>
                <w:highlight w:val="none"/>
                <w:u w:val="none"/>
                <w:lang w:val="en-US" w:eastAsia="zh-CN"/>
              </w:rPr>
              <w:t>谈判单位</w:t>
            </w:r>
            <w:r>
              <w:rPr>
                <w:rFonts w:hint="eastAsia" w:ascii="宋体" w:hAnsi="宋体"/>
                <w:color w:val="auto"/>
                <w:szCs w:val="21"/>
                <w:highlight w:val="none"/>
                <w:u w:val="none"/>
              </w:rPr>
              <w:t>具有1个计分业绩得基本分</w:t>
            </w:r>
            <w:r>
              <w:rPr>
                <w:rFonts w:hint="eastAsia" w:ascii="宋体" w:hAnsi="宋体"/>
                <w:color w:val="auto"/>
                <w:szCs w:val="21"/>
                <w:highlight w:val="none"/>
                <w:u w:val="none"/>
                <w:lang w:val="en-US" w:eastAsia="zh-CN"/>
              </w:rPr>
              <w:t>10</w:t>
            </w:r>
            <w:r>
              <w:rPr>
                <w:rFonts w:hint="eastAsia" w:ascii="宋体" w:hAnsi="宋体"/>
                <w:color w:val="auto"/>
                <w:szCs w:val="21"/>
                <w:highlight w:val="none"/>
                <w:u w:val="none"/>
              </w:rPr>
              <w:t>分</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增加1个计分业绩加</w:t>
            </w:r>
            <w:r>
              <w:rPr>
                <w:rFonts w:hint="eastAsia" w:ascii="宋体" w:hAnsi="宋体"/>
                <w:color w:val="auto"/>
                <w:szCs w:val="21"/>
                <w:highlight w:val="none"/>
                <w:u w:val="none"/>
                <w:lang w:val="en-US" w:eastAsia="zh-CN"/>
              </w:rPr>
              <w:t>5</w:t>
            </w:r>
            <w:r>
              <w:rPr>
                <w:rFonts w:hint="eastAsia" w:ascii="宋体" w:hAnsi="宋体"/>
                <w:color w:val="auto"/>
                <w:szCs w:val="21"/>
                <w:highlight w:val="none"/>
                <w:u w:val="none"/>
              </w:rPr>
              <w:t>分。</w:t>
            </w:r>
          </w:p>
          <w:p>
            <w:pPr>
              <w:pStyle w:val="366"/>
              <w:keepNext w:val="0"/>
              <w:keepLines w:val="0"/>
              <w:pageBreakBefore w:val="0"/>
              <w:kinsoku/>
              <w:wordWrap/>
              <w:overflowPunct/>
              <w:topLinePunct w:val="0"/>
              <w:autoSpaceDE/>
              <w:autoSpaceDN/>
              <w:bidi w:val="0"/>
              <w:adjustRightInd/>
              <w:snapToGrid/>
              <w:spacing w:line="380" w:lineRule="exact"/>
              <w:ind w:firstLine="0" w:firstLineChars="0"/>
              <w:textAlignment w:val="auto"/>
              <w:rPr>
                <w:rFonts w:hint="eastAsia" w:ascii="Times New Roman" w:hAnsi="Times New Roman" w:eastAsia="宋体" w:cs="Times New Roman"/>
                <w:kern w:val="2"/>
                <w:sz w:val="21"/>
                <w:szCs w:val="24"/>
                <w:u w:val="none"/>
                <w:lang w:val="en-US" w:eastAsia="zh-CN" w:bidi="zh-CN"/>
              </w:rPr>
            </w:pPr>
            <w:r>
              <w:rPr>
                <w:rFonts w:hint="eastAsia"/>
                <w:u w:val="none"/>
              </w:rPr>
              <w:t>业绩证明材料以同时提供的谈判单位与电力交易中心平台交易截图或结算清单（均须加盖谈判单位公章）为准。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140" w:hRule="atLeast"/>
          <w:jc w:val="center"/>
        </w:trPr>
        <w:tc>
          <w:tcPr>
            <w:tcW w:w="706" w:type="dxa"/>
            <w:tcBorders>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u w:val="none"/>
                <w:lang w:val="en-US" w:eastAsia="zh-CN"/>
              </w:rPr>
            </w:pPr>
            <w:r>
              <w:rPr>
                <w:rFonts w:hint="eastAsia" w:ascii="Times New Roman" w:hAnsi="Times New Roman" w:cs="Times New Roman"/>
                <w:u w:val="none"/>
                <w:lang w:val="en-US" w:eastAsia="zh-CN"/>
              </w:rPr>
              <w:t>3</w:t>
            </w:r>
          </w:p>
        </w:tc>
        <w:tc>
          <w:tcPr>
            <w:tcW w:w="710" w:type="dxa"/>
            <w:vMerge w:val="continue"/>
            <w:tcBorders>
              <w:right w:val="single" w:color="auto" w:sz="4" w:space="0"/>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cs="Times New Roman"/>
                <w:u w:val="none"/>
              </w:rPr>
            </w:pPr>
          </w:p>
        </w:tc>
        <w:tc>
          <w:tcPr>
            <w:tcW w:w="1325" w:type="dxa"/>
            <w:tcBorders>
              <w:left w:val="single" w:color="auto" w:sz="4" w:space="0"/>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kern w:val="2"/>
                <w:sz w:val="21"/>
                <w:szCs w:val="24"/>
                <w:u w:val="none"/>
                <w:lang w:val="zh-CN" w:eastAsia="zh-CN" w:bidi="zh-CN"/>
              </w:rPr>
            </w:pPr>
            <w:r>
              <w:rPr>
                <w:kern w:val="0"/>
                <w:u w:val="none"/>
              </w:rPr>
              <w:t>电力市场化交易历史价差</w:t>
            </w:r>
          </w:p>
        </w:tc>
        <w:tc>
          <w:tcPr>
            <w:tcW w:w="1238" w:type="dxa"/>
            <w:tcBorders>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kern w:val="2"/>
                <w:sz w:val="21"/>
                <w:szCs w:val="24"/>
                <w:u w:val="none"/>
                <w:lang w:val="en-US" w:eastAsia="zh-CN" w:bidi="zh-CN"/>
              </w:rPr>
            </w:pPr>
            <w:r>
              <w:rPr>
                <w:rFonts w:hint="eastAsia"/>
                <w:kern w:val="0"/>
                <w:u w:val="none"/>
                <w:lang w:val="en-US"/>
              </w:rPr>
              <w:t>25</w:t>
            </w:r>
          </w:p>
        </w:tc>
        <w:tc>
          <w:tcPr>
            <w:tcW w:w="64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u w:val="none"/>
              </w:rPr>
            </w:pPr>
            <w:r>
              <w:rPr>
                <w:u w:val="none"/>
              </w:rPr>
              <w:t>按照各谈判单位谈判邀请公告截止之日</w:t>
            </w:r>
            <w:r>
              <w:rPr>
                <w:rFonts w:hint="eastAsia"/>
                <w:u w:val="none"/>
              </w:rPr>
              <w:t>前6个月的</w:t>
            </w:r>
            <w:r>
              <w:rPr>
                <w:u w:val="none"/>
              </w:rPr>
              <w:t>月度电力市场交易价差之和进行</w:t>
            </w:r>
            <w:r>
              <w:rPr>
                <w:rFonts w:hint="eastAsia"/>
                <w:u w:val="none"/>
              </w:rPr>
              <w:t>评审</w:t>
            </w:r>
            <w:r>
              <w:rPr>
                <w:u w:val="none"/>
              </w:rPr>
              <w:t>，市场交易价差之和最低</w:t>
            </w:r>
            <w:r>
              <w:rPr>
                <w:u w:val="none"/>
                <w:lang w:val="zh-CN"/>
              </w:rPr>
              <w:t>的为基准价，</w:t>
            </w:r>
            <w:r>
              <w:rPr>
                <w:u w:val="none"/>
              </w:rPr>
              <w:t>得</w:t>
            </w:r>
            <w:r>
              <w:rPr>
                <w:rFonts w:hint="eastAsia"/>
                <w:u w:val="none"/>
              </w:rPr>
              <w:t>25</w:t>
            </w:r>
            <w:r>
              <w:rPr>
                <w:u w:val="none"/>
              </w:rPr>
              <w:t>分；其他谈判单位得分按照下列公式计算</w:t>
            </w:r>
            <w:r>
              <w:rPr>
                <w:u w:val="none"/>
                <w:lang w:val="zh-CN"/>
              </w:rPr>
              <w:t>（保留2位小数，第3位四舍五入）</w:t>
            </w:r>
            <w:r>
              <w:rPr>
                <w:u w:val="none"/>
              </w:rPr>
              <w:t>：</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u w:val="none"/>
              </w:rPr>
            </w:pPr>
            <w:r>
              <w:rPr>
                <w:u w:val="none"/>
              </w:rPr>
              <w:t>谈判单位得分=</w:t>
            </w:r>
            <w:r>
              <w:rPr>
                <w:u w:val="none"/>
                <w:lang w:val="zh-CN"/>
              </w:rPr>
              <w:t>基准价</w:t>
            </w:r>
            <w:r>
              <w:rPr>
                <w:u w:val="none"/>
              </w:rPr>
              <w:t>÷谈判单位市场交易价差之和×</w:t>
            </w:r>
            <w:r>
              <w:rPr>
                <w:rFonts w:hint="eastAsia"/>
                <w:u w:val="none"/>
              </w:rPr>
              <w:t>25</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Times New Roman" w:hAnsi="Times New Roman" w:eastAsia="宋体" w:cs="Times New Roman"/>
                <w:kern w:val="2"/>
                <w:sz w:val="21"/>
                <w:szCs w:val="24"/>
                <w:u w:val="none"/>
                <w:lang w:val="en-US" w:eastAsia="zh-CN" w:bidi="ar-SA"/>
              </w:rPr>
            </w:pPr>
            <w:r>
              <w:rPr>
                <w:u w:val="none"/>
              </w:rPr>
              <w:t>注：须提供证明文件，</w:t>
            </w:r>
            <w:r>
              <w:rPr>
                <w:rFonts w:hint="eastAsia"/>
                <w:u w:val="none"/>
                <w:lang w:val="en-US" w:eastAsia="zh-CN"/>
              </w:rPr>
              <w:t>并</w:t>
            </w:r>
            <w:r>
              <w:rPr>
                <w:rFonts w:hint="eastAsia"/>
                <w:u w:val="none"/>
              </w:rPr>
              <w:t>加盖谈判单位公章</w:t>
            </w:r>
            <w:r>
              <w:rPr>
                <w:u w:val="none"/>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671" w:hRule="atLeast"/>
          <w:jc w:val="center"/>
        </w:trPr>
        <w:tc>
          <w:tcPr>
            <w:tcW w:w="706" w:type="dxa"/>
            <w:tcBorders>
              <w:right w:val="single" w:color="auto" w:sz="4" w:space="0"/>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u w:val="none"/>
                <w:lang w:val="en-US" w:eastAsia="zh-CN"/>
              </w:rPr>
            </w:pPr>
            <w:r>
              <w:rPr>
                <w:rFonts w:hint="eastAsia" w:ascii="Times New Roman" w:hAnsi="Times New Roman" w:cs="Times New Roman"/>
                <w:u w:val="none"/>
                <w:lang w:val="en-US" w:eastAsia="zh-CN"/>
              </w:rPr>
              <w:t>4</w:t>
            </w:r>
          </w:p>
        </w:tc>
        <w:tc>
          <w:tcPr>
            <w:tcW w:w="710" w:type="dxa"/>
            <w:vMerge w:val="continue"/>
            <w:tcBorders>
              <w:right w:val="single" w:color="auto" w:sz="4" w:space="0"/>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cs="Times New Roman"/>
                <w:u w:val="none"/>
                <w:lang w:val="en-US"/>
              </w:rPr>
            </w:pPr>
          </w:p>
        </w:tc>
        <w:tc>
          <w:tcPr>
            <w:tcW w:w="1325" w:type="dxa"/>
            <w:tcBorders>
              <w:lef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kern w:val="0"/>
                <w:sz w:val="21"/>
                <w:szCs w:val="24"/>
                <w:u w:val="none"/>
                <w:lang w:val="en-US" w:eastAsia="zh-CN" w:bidi="ar-SA"/>
              </w:rPr>
            </w:pPr>
            <w:r>
              <w:rPr>
                <w:kern w:val="0"/>
                <w:u w:val="none"/>
              </w:rPr>
              <w:t>关联发电企业</w:t>
            </w:r>
          </w:p>
        </w:tc>
        <w:tc>
          <w:tcPr>
            <w:tcW w:w="123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kern w:val="0"/>
                <w:sz w:val="21"/>
                <w:szCs w:val="24"/>
                <w:u w:val="none"/>
                <w:lang w:val="en-US" w:eastAsia="zh-CN" w:bidi="ar-SA"/>
              </w:rPr>
            </w:pPr>
            <w:r>
              <w:rPr>
                <w:rFonts w:hint="eastAsia"/>
                <w:kern w:val="0"/>
                <w:u w:val="none"/>
              </w:rPr>
              <w:t>5</w:t>
            </w:r>
          </w:p>
        </w:tc>
        <w:tc>
          <w:tcPr>
            <w:tcW w:w="64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Times New Roman" w:hAnsi="Times New Roman" w:eastAsia="宋体" w:cs="Times New Roman"/>
                <w:u w:val="none"/>
              </w:rPr>
            </w:pPr>
            <w:r>
              <w:rPr>
                <w:rFonts w:ascii="Times New Roman" w:hAnsi="Times New Roman" w:eastAsia="宋体" w:cs="Times New Roman"/>
                <w:u w:val="none"/>
              </w:rPr>
              <w:t>无关联发电企业的，计0分；</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Times New Roman" w:hAnsi="Times New Roman" w:eastAsia="宋体" w:cs="Times New Roman"/>
                <w:u w:val="none"/>
              </w:rPr>
            </w:pPr>
            <w:r>
              <w:rPr>
                <w:rFonts w:ascii="Times New Roman" w:hAnsi="Times New Roman" w:eastAsia="宋体" w:cs="Times New Roman"/>
                <w:u w:val="none"/>
              </w:rPr>
              <w:t>有</w:t>
            </w:r>
            <w:r>
              <w:rPr>
                <w:rFonts w:hint="eastAsia" w:ascii="Times New Roman" w:hAnsi="Times New Roman" w:eastAsia="宋体" w:cs="Times New Roman"/>
                <w:u w:val="none"/>
              </w:rPr>
              <w:t>关联火力发电</w:t>
            </w:r>
            <w:r>
              <w:rPr>
                <w:rFonts w:ascii="Times New Roman" w:hAnsi="Times New Roman" w:eastAsia="宋体" w:cs="Times New Roman"/>
                <w:u w:val="none"/>
              </w:rPr>
              <w:t>企业的，计</w:t>
            </w:r>
            <w:r>
              <w:rPr>
                <w:rFonts w:hint="eastAsia" w:ascii="Times New Roman" w:hAnsi="Times New Roman" w:eastAsia="宋体" w:cs="Times New Roman"/>
                <w:u w:val="none"/>
              </w:rPr>
              <w:t>3</w:t>
            </w:r>
            <w:r>
              <w:rPr>
                <w:rFonts w:ascii="Times New Roman" w:hAnsi="Times New Roman" w:eastAsia="宋体" w:cs="Times New Roman"/>
                <w:u w:val="none"/>
              </w:rPr>
              <w:t>分；</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Times New Roman" w:hAnsi="Times New Roman" w:eastAsia="宋体" w:cs="Times New Roman"/>
                <w:u w:val="none"/>
                <w:lang w:eastAsia="zh-CN"/>
              </w:rPr>
            </w:pPr>
            <w:r>
              <w:rPr>
                <w:rFonts w:hint="eastAsia" w:ascii="Times New Roman" w:hAnsi="Times New Roman" w:eastAsia="宋体" w:cs="Times New Roman"/>
                <w:u w:val="none"/>
              </w:rPr>
              <w:t>有关联新能源发电企业的，计5分。</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default" w:ascii="Times New Roman" w:hAnsi="Times New Roman" w:eastAsia="宋体" w:cs="Times New Roman"/>
                <w:u w:val="none"/>
                <w:lang w:val="en-US" w:eastAsia="zh-CN"/>
              </w:rPr>
            </w:pPr>
            <w:r>
              <w:rPr>
                <w:rFonts w:hint="eastAsia" w:ascii="Times New Roman" w:hAnsi="Times New Roman" w:eastAsia="宋体" w:cs="Times New Roman"/>
                <w:u w:val="none"/>
                <w:lang w:eastAsia="zh-CN"/>
              </w:rPr>
              <w:t>本项合计</w:t>
            </w:r>
            <w:r>
              <w:rPr>
                <w:rFonts w:hint="eastAsia" w:ascii="Times New Roman" w:hAnsi="Times New Roman" w:eastAsia="宋体" w:cs="Times New Roman"/>
                <w:u w:val="none"/>
                <w:lang w:val="en-US" w:eastAsia="zh-CN"/>
              </w:rPr>
              <w:t>5分。</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Times New Roman" w:hAnsi="Times New Roman" w:eastAsia="宋体" w:cs="Times New Roman"/>
                <w:u w:val="none"/>
              </w:rPr>
            </w:pPr>
            <w:r>
              <w:rPr>
                <w:rFonts w:ascii="Times New Roman" w:hAnsi="Times New Roman" w:eastAsia="宋体" w:cs="Times New Roman"/>
                <w:u w:val="none"/>
              </w:rPr>
              <w:t>注：</w:t>
            </w:r>
            <w:r>
              <w:rPr>
                <w:rFonts w:hint="eastAsia"/>
              </w:rPr>
              <w:t>1.</w:t>
            </w:r>
            <w:r>
              <w:t>须提供</w:t>
            </w:r>
            <w:r>
              <w:rPr>
                <w:rFonts w:hint="eastAsia"/>
              </w:rPr>
              <w:t>自有、</w:t>
            </w:r>
            <w:r>
              <w:t>控股</w:t>
            </w:r>
            <w:r>
              <w:rPr>
                <w:rFonts w:hint="eastAsia"/>
              </w:rPr>
              <w:t>股东自有</w:t>
            </w:r>
            <w:r>
              <w:t>、</w:t>
            </w:r>
            <w:r>
              <w:rPr>
                <w:rFonts w:hint="eastAsia"/>
              </w:rPr>
              <w:t>租赁或战略</w:t>
            </w:r>
            <w:r>
              <w:t>合作等关联性证明文件</w:t>
            </w:r>
            <w:r>
              <w:rPr>
                <w:rFonts w:hint="eastAsia"/>
              </w:rPr>
              <w:t>（包括但不限于营业执照、发电许可证、合作协议）</w:t>
            </w:r>
            <w:r>
              <w:t>，并加盖</w:t>
            </w:r>
            <w:r>
              <w:rPr>
                <w:rFonts w:hint="eastAsia"/>
                <w:lang w:eastAsia="zh-CN"/>
              </w:rPr>
              <w:t>谈判</w:t>
            </w:r>
            <w:r>
              <w:t>单位公章。</w:t>
            </w:r>
            <w:r>
              <w:rPr>
                <w:rFonts w:hint="eastAsia"/>
              </w:rPr>
              <w:t>其中租赁或战略</w:t>
            </w:r>
            <w:r>
              <w:t>合作</w:t>
            </w:r>
            <w:r>
              <w:rPr>
                <w:rFonts w:hint="eastAsia"/>
              </w:rPr>
              <w:t>的应覆盖本项目服务期，未覆盖的需承诺有相同发电企业覆盖</w:t>
            </w:r>
            <w:r>
              <w:rPr>
                <w:rFonts w:hint="eastAsia" w:ascii="Times New Roman" w:hAnsi="Times New Roman" w:eastAsia="宋体" w:cs="Times New Roman"/>
                <w:u w:val="none"/>
              </w:rPr>
              <w:t>服务期。关联发电企业以本项目谈判邀请公告截止之日止最新的《湖南电力交易中心有限公司电力市场交易公告》月度交易发电企业准入目录名单为准。</w:t>
            </w:r>
          </w:p>
          <w:p>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rPr>
              <w:t>2.新能源是指“风电、光伏、生物质和垃圾发电”。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0" w:hRule="atLeast"/>
          <w:jc w:val="center"/>
        </w:trPr>
        <w:tc>
          <w:tcPr>
            <w:tcW w:w="706" w:type="dxa"/>
            <w:tcBorders>
              <w:right w:val="single" w:color="auto" w:sz="4" w:space="0"/>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u w:val="none"/>
                <w:lang w:val="en-US" w:eastAsia="zh-CN"/>
              </w:rPr>
            </w:pPr>
            <w:r>
              <w:rPr>
                <w:rFonts w:hint="eastAsia" w:ascii="Times New Roman" w:hAnsi="Times New Roman" w:cs="Times New Roman"/>
                <w:u w:val="none"/>
                <w:lang w:val="en-US" w:eastAsia="zh-CN"/>
              </w:rPr>
              <w:t>5</w:t>
            </w:r>
          </w:p>
        </w:tc>
        <w:tc>
          <w:tcPr>
            <w:tcW w:w="710" w:type="dxa"/>
            <w:vMerge w:val="continue"/>
            <w:tcBorders>
              <w:right w:val="single" w:color="auto" w:sz="4" w:space="0"/>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cs="Times New Roman"/>
                <w:u w:val="none"/>
                <w:lang w:val="en-US"/>
              </w:rPr>
            </w:pPr>
          </w:p>
        </w:tc>
        <w:tc>
          <w:tcPr>
            <w:tcW w:w="1325" w:type="dxa"/>
            <w:tcBorders>
              <w:lef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kern w:val="2"/>
                <w:sz w:val="21"/>
                <w:szCs w:val="24"/>
                <w:u w:val="none"/>
                <w:lang w:val="en-US" w:eastAsia="zh-CN" w:bidi="ar-SA"/>
              </w:rPr>
            </w:pPr>
            <w:r>
              <w:rPr>
                <w:u w:val="none"/>
              </w:rPr>
              <w:t>关联发电企业电力市场内</w:t>
            </w:r>
            <w:r>
              <w:rPr>
                <w:rFonts w:hint="eastAsia"/>
                <w:u w:val="none"/>
              </w:rPr>
              <w:t>新能源</w:t>
            </w:r>
            <w:r>
              <w:rPr>
                <w:u w:val="none"/>
              </w:rPr>
              <w:t>装机</w:t>
            </w:r>
            <w:r>
              <w:rPr>
                <w:rFonts w:hint="eastAsia"/>
                <w:u w:val="none"/>
              </w:rPr>
              <w:t>容量</w:t>
            </w:r>
          </w:p>
        </w:tc>
        <w:tc>
          <w:tcPr>
            <w:tcW w:w="123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kern w:val="0"/>
                <w:sz w:val="21"/>
                <w:szCs w:val="24"/>
                <w:u w:val="none"/>
                <w:lang w:val="en-US" w:eastAsia="zh-CN" w:bidi="ar-SA"/>
              </w:rPr>
            </w:pPr>
            <w:r>
              <w:rPr>
                <w:rFonts w:hint="eastAsia"/>
                <w:kern w:val="0"/>
                <w:u w:val="none"/>
              </w:rPr>
              <w:t>15</w:t>
            </w:r>
          </w:p>
        </w:tc>
        <w:tc>
          <w:tcPr>
            <w:tcW w:w="64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Times New Roman" w:hAnsi="Times New Roman" w:eastAsia="宋体" w:cs="Times New Roman"/>
                <w:u w:val="none"/>
              </w:rPr>
            </w:pPr>
            <w:r>
              <w:rPr>
                <w:rFonts w:ascii="Times New Roman" w:hAnsi="Times New Roman" w:eastAsia="宋体" w:cs="Times New Roman"/>
                <w:u w:val="none"/>
              </w:rPr>
              <w:t>截止2022年8月31日各谈判单位关联发电企业电力市场内</w:t>
            </w:r>
            <w:r>
              <w:rPr>
                <w:rFonts w:hint="eastAsia" w:ascii="Times New Roman" w:hAnsi="Times New Roman" w:eastAsia="宋体" w:cs="Times New Roman"/>
                <w:u w:val="none"/>
              </w:rPr>
              <w:t>新</w:t>
            </w:r>
            <w:r>
              <w:rPr>
                <w:rFonts w:ascii="Times New Roman" w:hAnsi="Times New Roman" w:eastAsia="宋体" w:cs="Times New Roman"/>
                <w:u w:val="none"/>
              </w:rPr>
              <w:t>能源装机容量最高</w:t>
            </w:r>
            <w:r>
              <w:rPr>
                <w:rFonts w:ascii="Times New Roman" w:hAnsi="Times New Roman" w:eastAsia="宋体" w:cs="Times New Roman"/>
                <w:u w:val="none"/>
                <w:lang w:val="zh-CN"/>
              </w:rPr>
              <w:t>的为基准价，得</w:t>
            </w:r>
            <w:r>
              <w:rPr>
                <w:rFonts w:hint="eastAsia" w:ascii="Times New Roman" w:hAnsi="Times New Roman" w:eastAsia="宋体" w:cs="Times New Roman"/>
                <w:u w:val="none"/>
              </w:rPr>
              <w:t>15</w:t>
            </w:r>
            <w:r>
              <w:rPr>
                <w:rFonts w:ascii="Times New Roman" w:hAnsi="Times New Roman" w:eastAsia="宋体" w:cs="Times New Roman"/>
                <w:u w:val="none"/>
              </w:rPr>
              <w:t>分；其他谈判单位得分按照下列公式计算</w:t>
            </w:r>
            <w:r>
              <w:rPr>
                <w:rFonts w:ascii="Times New Roman" w:hAnsi="Times New Roman" w:eastAsia="宋体" w:cs="Times New Roman"/>
                <w:u w:val="none"/>
                <w:lang w:val="zh-CN"/>
              </w:rPr>
              <w:t>（保留2位小数，第3位四舍五入）</w:t>
            </w:r>
            <w:r>
              <w:rPr>
                <w:rFonts w:ascii="Times New Roman" w:hAnsi="Times New Roman" w:eastAsia="宋体" w:cs="Times New Roman"/>
                <w:u w:val="none"/>
              </w:rPr>
              <w:t>：</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Times New Roman" w:hAnsi="Times New Roman" w:eastAsia="宋体" w:cs="Times New Roman"/>
                <w:u w:val="none"/>
              </w:rPr>
            </w:pPr>
            <w:r>
              <w:rPr>
                <w:rFonts w:ascii="Times New Roman" w:hAnsi="Times New Roman" w:eastAsia="宋体" w:cs="Times New Roman"/>
                <w:u w:val="none"/>
              </w:rPr>
              <w:t>谈判单位得分=谈判单位</w:t>
            </w:r>
            <w:r>
              <w:rPr>
                <w:rFonts w:hint="eastAsia" w:ascii="Times New Roman" w:hAnsi="Times New Roman" w:eastAsia="宋体" w:cs="Times New Roman"/>
                <w:u w:val="none"/>
              </w:rPr>
              <w:t>新</w:t>
            </w:r>
            <w:r>
              <w:rPr>
                <w:rFonts w:ascii="Times New Roman" w:hAnsi="Times New Roman" w:eastAsia="宋体" w:cs="Times New Roman"/>
                <w:u w:val="none"/>
              </w:rPr>
              <w:t>能源装机容量÷</w:t>
            </w:r>
            <w:r>
              <w:rPr>
                <w:rFonts w:ascii="Times New Roman" w:hAnsi="Times New Roman" w:eastAsia="宋体" w:cs="Times New Roman"/>
                <w:u w:val="none"/>
                <w:lang w:val="zh-CN"/>
              </w:rPr>
              <w:t>基准价</w:t>
            </w:r>
            <w:r>
              <w:rPr>
                <w:rFonts w:ascii="Times New Roman" w:hAnsi="Times New Roman" w:eastAsia="宋体" w:cs="Times New Roman"/>
                <w:u w:val="none"/>
              </w:rPr>
              <w:t>×</w:t>
            </w:r>
            <w:r>
              <w:rPr>
                <w:rFonts w:hint="eastAsia" w:ascii="Times New Roman" w:hAnsi="Times New Roman" w:eastAsia="宋体" w:cs="Times New Roman"/>
                <w:u w:val="none"/>
              </w:rPr>
              <w:t>15</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Times New Roman" w:hAnsi="Times New Roman" w:eastAsia="宋体" w:cs="Times New Roman"/>
                <w:u w:val="none"/>
              </w:rPr>
            </w:pPr>
            <w:r>
              <w:rPr>
                <w:rFonts w:ascii="Times New Roman" w:hAnsi="Times New Roman" w:eastAsia="宋体" w:cs="Times New Roman"/>
                <w:u w:val="none"/>
              </w:rPr>
              <w:t>注：1.</w:t>
            </w:r>
            <w:r>
              <w:t>须提供</w:t>
            </w:r>
            <w:r>
              <w:rPr>
                <w:rFonts w:hint="eastAsia"/>
              </w:rPr>
              <w:t>自有、</w:t>
            </w:r>
            <w:r>
              <w:t>控股</w:t>
            </w:r>
            <w:r>
              <w:rPr>
                <w:rFonts w:hint="eastAsia"/>
              </w:rPr>
              <w:t>股东自有</w:t>
            </w:r>
            <w:r>
              <w:t>、</w:t>
            </w:r>
            <w:r>
              <w:rPr>
                <w:rFonts w:hint="eastAsia"/>
              </w:rPr>
              <w:t>租赁或战略</w:t>
            </w:r>
            <w:r>
              <w:t>合作等关联性证明文件</w:t>
            </w:r>
            <w:r>
              <w:rPr>
                <w:rFonts w:hint="eastAsia"/>
              </w:rPr>
              <w:t>（包括但不限于营业执照、发电许可证、合作协议）</w:t>
            </w:r>
            <w:r>
              <w:t>，并加盖</w:t>
            </w:r>
            <w:r>
              <w:rPr>
                <w:rFonts w:hint="eastAsia"/>
                <w:lang w:eastAsia="zh-CN"/>
              </w:rPr>
              <w:t>谈判</w:t>
            </w:r>
            <w:r>
              <w:t>单位公章。</w:t>
            </w:r>
            <w:r>
              <w:rPr>
                <w:rFonts w:hint="eastAsia"/>
              </w:rPr>
              <w:t>其中租赁或战略</w:t>
            </w:r>
            <w:r>
              <w:t>合作</w:t>
            </w:r>
            <w:r>
              <w:rPr>
                <w:rFonts w:hint="eastAsia"/>
              </w:rPr>
              <w:t>的应覆盖本项目服务期，未覆盖的需承诺有相同发电容量覆盖服务期。</w:t>
            </w:r>
            <w:r>
              <w:t>关联发电企业以本项目谈判邀请公告截止之日止最新的《湖南电力交易中心有限公司电力市场交易公告》月度交易发电企业准入目录名单为准</w:t>
            </w:r>
            <w:r>
              <w:rPr>
                <w:rFonts w:ascii="Times New Roman" w:hAnsi="Times New Roman" w:eastAsia="宋体" w:cs="Times New Roman"/>
                <w:u w:val="none"/>
              </w:rPr>
              <w:t>。</w:t>
            </w:r>
          </w:p>
          <w:p>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auto"/>
              <w:rPr>
                <w:rFonts w:ascii="Times New Roman" w:hAnsi="Times New Roman" w:eastAsia="宋体" w:cs="Times New Roman"/>
                <w:u w:val="none"/>
              </w:rPr>
            </w:pPr>
            <w:r>
              <w:rPr>
                <w:rFonts w:hint="eastAsia" w:ascii="Times New Roman" w:hAnsi="Times New Roman" w:eastAsia="宋体" w:cs="Times New Roman"/>
                <w:u w:val="none"/>
              </w:rPr>
              <w:t>2.新</w:t>
            </w:r>
            <w:r>
              <w:rPr>
                <w:rFonts w:ascii="Times New Roman" w:hAnsi="Times New Roman" w:eastAsia="宋体" w:cs="Times New Roman"/>
                <w:u w:val="none"/>
              </w:rPr>
              <w:t>能源装机容量单位统一为</w:t>
            </w:r>
            <w:r>
              <w:rPr>
                <w:rFonts w:hint="eastAsia" w:ascii="Times New Roman" w:hAnsi="Times New Roman" w:eastAsia="宋体" w:cs="Times New Roman"/>
                <w:u w:val="none"/>
              </w:rPr>
              <w:t>“</w:t>
            </w:r>
            <w:r>
              <w:rPr>
                <w:rFonts w:ascii="Times New Roman" w:hAnsi="Times New Roman" w:eastAsia="宋体" w:cs="Times New Roman"/>
                <w:u w:val="none"/>
              </w:rPr>
              <w:t>兆瓦</w:t>
            </w:r>
            <w:r>
              <w:rPr>
                <w:rFonts w:hint="eastAsia" w:ascii="Times New Roman" w:hAnsi="Times New Roman" w:eastAsia="宋体" w:cs="Times New Roman"/>
                <w:u w:val="none"/>
              </w:rPr>
              <w:t>”。</w:t>
            </w:r>
          </w:p>
          <w:p>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rPr>
              <w:t>3.新能源是指“风电、光伏、生物质和垃圾发电”。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0" w:hRule="atLeast"/>
          <w:jc w:val="center"/>
        </w:trPr>
        <w:tc>
          <w:tcPr>
            <w:tcW w:w="706" w:type="dxa"/>
            <w:tcBorders>
              <w:right w:val="single" w:color="auto" w:sz="4" w:space="0"/>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u w:val="none"/>
                <w:lang w:val="en-US" w:eastAsia="zh-CN"/>
              </w:rPr>
            </w:pPr>
            <w:r>
              <w:rPr>
                <w:rFonts w:hint="eastAsia" w:ascii="Times New Roman" w:hAnsi="Times New Roman" w:cs="Times New Roman"/>
                <w:u w:val="none"/>
                <w:lang w:val="en-US" w:eastAsia="zh-CN"/>
              </w:rPr>
              <w:t>6</w:t>
            </w:r>
          </w:p>
        </w:tc>
        <w:tc>
          <w:tcPr>
            <w:tcW w:w="710" w:type="dxa"/>
            <w:vMerge w:val="continue"/>
            <w:tcBorders>
              <w:right w:val="single" w:color="auto" w:sz="4" w:space="0"/>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cs="Times New Roman"/>
                <w:u w:val="none"/>
                <w:lang w:val="en-US"/>
              </w:rPr>
            </w:pPr>
          </w:p>
        </w:tc>
        <w:tc>
          <w:tcPr>
            <w:tcW w:w="1325" w:type="dxa"/>
            <w:tcBorders>
              <w:lef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trike/>
                <w:kern w:val="0"/>
                <w:sz w:val="21"/>
                <w:szCs w:val="24"/>
                <w:u w:val="none"/>
                <w:lang w:val="en-US" w:eastAsia="zh-CN" w:bidi="ar-SA"/>
              </w:rPr>
            </w:pPr>
            <w:r>
              <w:rPr>
                <w:kern w:val="0"/>
                <w:u w:val="none"/>
              </w:rPr>
              <w:t>增值服务</w:t>
            </w:r>
          </w:p>
        </w:tc>
        <w:tc>
          <w:tcPr>
            <w:tcW w:w="123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strike/>
                <w:kern w:val="0"/>
                <w:sz w:val="21"/>
                <w:szCs w:val="24"/>
                <w:u w:val="none"/>
                <w:lang w:val="en-US" w:eastAsia="zh-CN" w:bidi="ar-SA"/>
              </w:rPr>
            </w:pPr>
            <w:r>
              <w:rPr>
                <w:rFonts w:hint="eastAsia"/>
                <w:kern w:val="0"/>
                <w:u w:val="none"/>
              </w:rPr>
              <w:t>5</w:t>
            </w:r>
          </w:p>
        </w:tc>
        <w:tc>
          <w:tcPr>
            <w:tcW w:w="6450" w:type="dxa"/>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380" w:lineRule="exact"/>
              <w:ind w:left="0" w:leftChars="0" w:firstLine="0" w:firstLineChars="0"/>
              <w:textAlignment w:val="auto"/>
              <w:rPr>
                <w:rFonts w:hint="eastAsia" w:ascii="Calibri" w:hAnsi="Calibri" w:eastAsia="宋体" w:cs="Calibri"/>
                <w:strike/>
                <w:kern w:val="0"/>
                <w:sz w:val="21"/>
                <w:szCs w:val="24"/>
                <w:u w:val="none"/>
                <w:lang w:val="en-US" w:eastAsia="zh-CN" w:bidi="ar-SA"/>
              </w:rPr>
            </w:pPr>
            <w:r>
              <w:rPr>
                <w:rFonts w:hint="eastAsia" w:ascii="Times New Roman" w:hAnsi="Times New Roman" w:eastAsia="宋体" w:cs="Times New Roman"/>
                <w:sz w:val="21"/>
                <w:szCs w:val="21"/>
                <w:u w:val="none"/>
              </w:rPr>
              <w:t>针对售电服务内容，提出相关增值服务，经过评委集体评议，每提出一条增值服务加1分，最多加5分。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0" w:hRule="atLeast"/>
          <w:jc w:val="center"/>
        </w:trPr>
        <w:tc>
          <w:tcPr>
            <w:tcW w:w="2741" w:type="dxa"/>
            <w:gridSpan w:val="3"/>
            <w:tcBorders>
              <w:tl2br w:val="nil"/>
              <w:tr2bl w:val="nil"/>
            </w:tcBorders>
            <w:vAlign w:val="center"/>
          </w:tcPr>
          <w:p>
            <w:pPr>
              <w:pStyle w:val="366"/>
              <w:spacing w:line="360" w:lineRule="auto"/>
              <w:jc w:val="center"/>
              <w:rPr>
                <w:rFonts w:ascii="Times New Roman" w:hAnsi="Times New Roman" w:cs="Times New Roman"/>
                <w:u w:val="none"/>
                <w:lang w:val="en-US"/>
              </w:rPr>
            </w:pPr>
            <w:r>
              <w:rPr>
                <w:rFonts w:hint="eastAsia" w:ascii="Times New Roman" w:hAnsi="Times New Roman" w:cs="Times New Roman"/>
                <w:u w:val="none"/>
                <w:lang w:val="en-US"/>
              </w:rPr>
              <w:t>合计</w:t>
            </w:r>
          </w:p>
        </w:tc>
        <w:tc>
          <w:tcPr>
            <w:tcW w:w="1238" w:type="dxa"/>
            <w:tcBorders>
              <w:tl2br w:val="nil"/>
              <w:tr2bl w:val="nil"/>
            </w:tcBorders>
            <w:vAlign w:val="center"/>
          </w:tcPr>
          <w:p>
            <w:pPr>
              <w:pStyle w:val="366"/>
              <w:spacing w:line="360" w:lineRule="auto"/>
              <w:jc w:val="center"/>
              <w:rPr>
                <w:rFonts w:ascii="Times New Roman" w:hAnsi="Times New Roman" w:cs="Times New Roman"/>
                <w:u w:val="none"/>
                <w:lang w:val="en-US"/>
              </w:rPr>
            </w:pPr>
            <w:r>
              <w:rPr>
                <w:rFonts w:hint="eastAsia" w:ascii="Times New Roman" w:hAnsi="Times New Roman" w:cs="Times New Roman"/>
                <w:u w:val="none"/>
                <w:lang w:val="en-US"/>
              </w:rPr>
              <w:t>70</w:t>
            </w:r>
          </w:p>
        </w:tc>
        <w:tc>
          <w:tcPr>
            <w:tcW w:w="6450" w:type="dxa"/>
            <w:tcBorders>
              <w:tl2br w:val="nil"/>
              <w:tr2bl w:val="nil"/>
            </w:tcBorders>
            <w:vAlign w:val="center"/>
          </w:tcPr>
          <w:p>
            <w:pPr>
              <w:pStyle w:val="366"/>
              <w:spacing w:line="360" w:lineRule="auto"/>
              <w:jc w:val="center"/>
              <w:rPr>
                <w:rFonts w:ascii="Times New Roman" w:hAnsi="Times New Roman" w:cs="Times New Roman"/>
                <w:u w:val="none"/>
              </w:rPr>
            </w:pPr>
          </w:p>
        </w:tc>
      </w:tr>
    </w:tbl>
    <w:p>
      <w:pPr>
        <w:spacing w:line="360" w:lineRule="exact"/>
        <w:ind w:firstLine="316" w:firstLineChars="150"/>
        <w:jc w:val="left"/>
        <w:rPr>
          <w:rFonts w:ascii="宋体" w:hAnsi="宋体" w:cs="宋体"/>
          <w:b/>
          <w:color w:val="auto"/>
          <w:szCs w:val="21"/>
          <w:highlight w:val="none"/>
          <w:u w:val="none"/>
        </w:rPr>
      </w:pPr>
      <w:r>
        <w:rPr>
          <w:rFonts w:hint="eastAsia" w:ascii="宋体" w:hAnsi="宋体" w:cs="宋体"/>
          <w:b/>
          <w:color w:val="auto"/>
          <w:szCs w:val="21"/>
          <w:highlight w:val="none"/>
          <w:u w:val="none"/>
        </w:rPr>
        <w:t>评审说明：</w:t>
      </w:r>
    </w:p>
    <w:p>
      <w:pPr>
        <w:spacing w:line="360" w:lineRule="exact"/>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1.细微偏差是指</w:t>
      </w:r>
      <w:r>
        <w:rPr>
          <w:rFonts w:hint="eastAsia" w:ascii="宋体" w:hAnsi="宋体" w:cs="宋体"/>
          <w:color w:val="auto"/>
          <w:szCs w:val="21"/>
          <w:highlight w:val="none"/>
          <w:u w:val="none"/>
          <w:lang w:val="en-US" w:eastAsia="zh-CN"/>
        </w:rPr>
        <w:t>响应</w:t>
      </w:r>
      <w:r>
        <w:rPr>
          <w:rFonts w:hint="eastAsia" w:ascii="宋体" w:hAnsi="宋体" w:cs="宋体"/>
          <w:color w:val="auto"/>
          <w:szCs w:val="21"/>
          <w:highlight w:val="none"/>
          <w:u w:val="none"/>
        </w:rPr>
        <w:t>文件在实质性响应了</w:t>
      </w:r>
      <w:r>
        <w:rPr>
          <w:rFonts w:hint="eastAsia" w:ascii="宋体" w:hAnsi="宋体" w:cs="宋体"/>
          <w:color w:val="auto"/>
          <w:szCs w:val="21"/>
          <w:highlight w:val="none"/>
          <w:u w:val="none"/>
          <w:lang w:val="en-US" w:eastAsia="zh-CN"/>
        </w:rPr>
        <w:t>谈判</w:t>
      </w:r>
      <w:r>
        <w:rPr>
          <w:rFonts w:hint="eastAsia" w:ascii="宋体" w:hAnsi="宋体" w:cs="宋体"/>
          <w:color w:val="auto"/>
          <w:szCs w:val="21"/>
          <w:highlight w:val="none"/>
          <w:u w:val="none"/>
        </w:rPr>
        <w:t>文件要求，但在个别地方存在漏项或者提供了不完整的信息和数据或者</w:t>
      </w:r>
      <w:r>
        <w:rPr>
          <w:rFonts w:hint="eastAsia" w:ascii="宋体" w:hAnsi="宋体" w:cs="宋体"/>
          <w:color w:val="auto"/>
          <w:szCs w:val="21"/>
          <w:highlight w:val="none"/>
          <w:u w:val="none"/>
          <w:lang w:val="en-US" w:eastAsia="zh-CN"/>
        </w:rPr>
        <w:t>响应</w:t>
      </w:r>
      <w:r>
        <w:rPr>
          <w:rFonts w:hint="eastAsia" w:ascii="宋体" w:hAnsi="宋体" w:cs="宋体"/>
          <w:color w:val="auto"/>
          <w:szCs w:val="21"/>
          <w:highlight w:val="none"/>
          <w:u w:val="none"/>
        </w:rPr>
        <w:t>文件字体、标点符号等地方存在与</w:t>
      </w:r>
      <w:r>
        <w:rPr>
          <w:rFonts w:hint="eastAsia" w:ascii="宋体" w:hAnsi="宋体" w:cs="宋体"/>
          <w:color w:val="auto"/>
          <w:szCs w:val="21"/>
          <w:highlight w:val="none"/>
          <w:u w:val="none"/>
          <w:lang w:val="en-US" w:eastAsia="zh-CN"/>
        </w:rPr>
        <w:t>谈判</w:t>
      </w:r>
      <w:r>
        <w:rPr>
          <w:rFonts w:hint="eastAsia" w:ascii="宋体" w:hAnsi="宋体" w:cs="宋体"/>
          <w:color w:val="auto"/>
          <w:szCs w:val="21"/>
          <w:highlight w:val="none"/>
          <w:u w:val="none"/>
        </w:rPr>
        <w:t>文件规定不完全一致等情况，并且补正这些遗漏或者不完整不会对其他</w:t>
      </w:r>
      <w:r>
        <w:rPr>
          <w:rFonts w:hint="eastAsia" w:ascii="宋体" w:hAnsi="宋体" w:cs="宋体"/>
          <w:color w:val="auto"/>
          <w:szCs w:val="21"/>
          <w:highlight w:val="none"/>
          <w:u w:val="none"/>
          <w:lang w:val="en-US" w:eastAsia="zh-CN"/>
        </w:rPr>
        <w:t>谈判单位</w:t>
      </w:r>
      <w:r>
        <w:rPr>
          <w:rFonts w:hint="eastAsia" w:ascii="宋体" w:hAnsi="宋体" w:cs="宋体"/>
          <w:color w:val="auto"/>
          <w:szCs w:val="21"/>
          <w:highlight w:val="none"/>
          <w:u w:val="none"/>
        </w:rPr>
        <w:t>造成不公平的结果。细微偏差不影响</w:t>
      </w:r>
      <w:r>
        <w:rPr>
          <w:rFonts w:hint="eastAsia" w:ascii="宋体" w:hAnsi="宋体" w:cs="宋体"/>
          <w:color w:val="auto"/>
          <w:szCs w:val="21"/>
          <w:highlight w:val="none"/>
          <w:u w:val="none"/>
          <w:lang w:val="en-US" w:eastAsia="zh-CN"/>
        </w:rPr>
        <w:t>响应</w:t>
      </w:r>
      <w:r>
        <w:rPr>
          <w:rFonts w:hint="eastAsia" w:ascii="宋体" w:hAnsi="宋体" w:cs="宋体"/>
          <w:color w:val="auto"/>
          <w:szCs w:val="21"/>
          <w:highlight w:val="none"/>
          <w:u w:val="none"/>
        </w:rPr>
        <w:t>文件的有效性。</w:t>
      </w:r>
    </w:p>
    <w:p>
      <w:pPr>
        <w:spacing w:line="360" w:lineRule="exact"/>
        <w:ind w:firstLine="420" w:firstLineChars="200"/>
        <w:jc w:val="left"/>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rPr>
        <w:t>2.计分业绩是指：</w:t>
      </w:r>
      <w:r>
        <w:rPr>
          <w:rFonts w:hint="eastAsia" w:ascii="宋体" w:hAnsi="宋体" w:eastAsia="宋体" w:cs="宋体"/>
          <w:color w:val="auto"/>
          <w:szCs w:val="21"/>
          <w:highlight w:val="none"/>
          <w:u w:val="none"/>
        </w:rPr>
        <w:t>谈判单位须具有在本项目谈判截止之日前12个月内累计不少于</w:t>
      </w:r>
      <w:r>
        <w:rPr>
          <w:rFonts w:hint="eastAsia" w:ascii="宋体" w:hAnsi="宋体" w:eastAsia="宋体" w:cs="宋体"/>
          <w:color w:val="auto"/>
          <w:szCs w:val="21"/>
          <w:highlight w:val="none"/>
          <w:u w:val="none"/>
          <w:lang w:val="en-US" w:eastAsia="zh-CN"/>
        </w:rPr>
        <w:t>3.</w:t>
      </w:r>
      <w:r>
        <w:rPr>
          <w:rFonts w:hint="eastAsia" w:ascii="宋体" w:hAnsi="宋体" w:eastAsia="宋体" w:cs="宋体"/>
          <w:color w:val="auto"/>
          <w:szCs w:val="21"/>
          <w:highlight w:val="none"/>
          <w:u w:val="none"/>
        </w:rPr>
        <w:t>5亿</w:t>
      </w:r>
      <w:r>
        <w:rPr>
          <w:rFonts w:hint="eastAsia" w:ascii="宋体" w:hAnsi="宋体" w:cs="宋体"/>
          <w:kern w:val="0"/>
          <w:u w:val="none"/>
        </w:rPr>
        <w:t>千瓦时湖南省电力市场交易成交电量</w:t>
      </w:r>
      <w:r>
        <w:rPr>
          <w:rFonts w:hint="eastAsia" w:ascii="宋体" w:hAnsi="宋体" w:cs="宋体"/>
          <w:kern w:val="0"/>
          <w:u w:val="none"/>
          <w:lang w:eastAsia="zh-CN"/>
        </w:rPr>
        <w:t>。</w:t>
      </w:r>
      <w:r>
        <w:rPr>
          <w:rFonts w:hint="eastAsia" w:ascii="宋体" w:hAnsi="宋体" w:eastAsia="宋体" w:cs="宋体"/>
          <w:color w:val="auto"/>
          <w:szCs w:val="21"/>
          <w:highlight w:val="none"/>
          <w:u w:val="none"/>
          <w:lang w:val="en-US" w:eastAsia="zh-CN"/>
        </w:rPr>
        <w:t>不接受联合体业绩、港澳台或境外业绩。</w:t>
      </w:r>
    </w:p>
    <w:p>
      <w:pPr>
        <w:spacing w:line="360" w:lineRule="exact"/>
        <w:ind w:firstLine="420" w:firstLineChars="200"/>
        <w:jc w:val="left"/>
        <w:rPr>
          <w:spacing w:val="-4"/>
          <w:sz w:val="22"/>
          <w:u w:val="none"/>
        </w:rPr>
      </w:pPr>
      <w:r>
        <w:rPr>
          <w:rFonts w:hint="eastAsia" w:ascii="宋体" w:hAnsi="宋体" w:eastAsia="宋体" w:cs="宋体"/>
          <w:color w:val="auto"/>
          <w:szCs w:val="21"/>
          <w:highlight w:val="none"/>
          <w:u w:val="none"/>
          <w:lang w:val="en-US" w:eastAsia="zh-CN"/>
        </w:rPr>
        <w:t>业绩证明材料以同时提供的谈判单位与电力交易中心平台交易截图或结算清单（均须加盖谈判单位公章）为准。</w:t>
      </w:r>
    </w:p>
    <w:p>
      <w:pPr>
        <w:rPr>
          <w:rFonts w:hint="default"/>
          <w:u w:val="none"/>
          <w:lang w:val="en-US" w:eastAsia="zh-CN"/>
        </w:rPr>
        <w:sectPr>
          <w:pgSz w:w="11906" w:h="16838"/>
          <w:pgMar w:top="2098" w:right="1474" w:bottom="1984" w:left="1587" w:header="851" w:footer="992" w:gutter="0"/>
          <w:pgNumType w:fmt="decimal"/>
          <w:cols w:space="0" w:num="1"/>
          <w:docGrid w:type="lines" w:linePitch="319" w:charSpace="0"/>
        </w:sectPr>
      </w:pPr>
    </w:p>
    <w:p>
      <w:pPr>
        <w:pStyle w:val="2"/>
        <w:rPr>
          <w:rFonts w:hint="eastAsia"/>
          <w:u w:val="none"/>
          <w:lang w:val="en-US" w:eastAsia="zh-CN"/>
        </w:rPr>
      </w:pPr>
      <w:r>
        <w:rPr>
          <w:rFonts w:hint="eastAsia"/>
          <w:u w:val="none"/>
          <w:lang w:val="en-US" w:eastAsia="zh-CN"/>
        </w:rPr>
        <w:t>附表2</w:t>
      </w:r>
    </w:p>
    <w:p>
      <w:pPr>
        <w:spacing w:line="360" w:lineRule="exact"/>
        <w:jc w:val="center"/>
        <w:rPr>
          <w:rFonts w:ascii="宋体" w:hAnsi="宋体"/>
          <w:b/>
          <w:sz w:val="32"/>
          <w:szCs w:val="32"/>
          <w:u w:val="none"/>
        </w:rPr>
      </w:pPr>
      <w:r>
        <w:rPr>
          <w:rFonts w:hint="eastAsia" w:ascii="宋体" w:hAnsi="宋体"/>
          <w:b/>
          <w:sz w:val="32"/>
          <w:szCs w:val="32"/>
          <w:u w:val="none"/>
        </w:rPr>
        <w:t>报价评分表（权重30%）</w:t>
      </w:r>
    </w:p>
    <w:tbl>
      <w:tblPr>
        <w:tblStyle w:val="47"/>
        <w:tblW w:w="10232"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592"/>
        <w:gridCol w:w="963"/>
        <w:gridCol w:w="1375"/>
        <w:gridCol w:w="730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57" w:hRule="atLeast"/>
          <w:jc w:val="center"/>
        </w:trPr>
        <w:tc>
          <w:tcPr>
            <w:tcW w:w="592" w:type="dxa"/>
            <w:tcBorders>
              <w:tl2br w:val="nil"/>
              <w:tr2bl w:val="nil"/>
            </w:tcBorders>
            <w:vAlign w:val="center"/>
          </w:tcPr>
          <w:p>
            <w:pPr>
              <w:pStyle w:val="366"/>
              <w:spacing w:line="360" w:lineRule="auto"/>
              <w:rPr>
                <w:b/>
                <w:bCs/>
                <w:u w:val="none"/>
              </w:rPr>
            </w:pPr>
            <w:r>
              <w:rPr>
                <w:rFonts w:hint="eastAsia"/>
                <w:b/>
                <w:bCs/>
                <w:u w:val="none"/>
                <w:lang w:val="en-US"/>
              </w:rPr>
              <w:t>序号</w:t>
            </w:r>
          </w:p>
        </w:tc>
        <w:tc>
          <w:tcPr>
            <w:tcW w:w="963" w:type="dxa"/>
            <w:tcBorders>
              <w:tl2br w:val="nil"/>
              <w:tr2bl w:val="nil"/>
            </w:tcBorders>
            <w:vAlign w:val="center"/>
          </w:tcPr>
          <w:p>
            <w:pPr>
              <w:pStyle w:val="366"/>
              <w:spacing w:line="360" w:lineRule="auto"/>
              <w:rPr>
                <w:b/>
                <w:bCs/>
                <w:u w:val="none"/>
              </w:rPr>
            </w:pPr>
            <w:r>
              <w:rPr>
                <w:b/>
                <w:bCs/>
                <w:u w:val="none"/>
              </w:rPr>
              <w:t>评审因素</w:t>
            </w:r>
          </w:p>
        </w:tc>
        <w:tc>
          <w:tcPr>
            <w:tcW w:w="1375" w:type="dxa"/>
            <w:tcBorders>
              <w:tl2br w:val="nil"/>
              <w:tr2bl w:val="nil"/>
            </w:tcBorders>
            <w:vAlign w:val="center"/>
          </w:tcPr>
          <w:p>
            <w:pPr>
              <w:pStyle w:val="366"/>
              <w:spacing w:line="360" w:lineRule="auto"/>
              <w:jc w:val="center"/>
              <w:rPr>
                <w:b/>
                <w:bCs/>
                <w:u w:val="none"/>
              </w:rPr>
            </w:pPr>
            <w:r>
              <w:rPr>
                <w:b/>
                <w:bCs/>
                <w:u w:val="none"/>
              </w:rPr>
              <w:t>最高分值</w:t>
            </w:r>
          </w:p>
        </w:tc>
        <w:tc>
          <w:tcPr>
            <w:tcW w:w="7302" w:type="dxa"/>
            <w:tcBorders>
              <w:tl2br w:val="nil"/>
              <w:tr2bl w:val="nil"/>
            </w:tcBorders>
            <w:vAlign w:val="center"/>
          </w:tcPr>
          <w:p>
            <w:pPr>
              <w:pStyle w:val="366"/>
              <w:spacing w:line="360" w:lineRule="auto"/>
              <w:jc w:val="center"/>
              <w:rPr>
                <w:b/>
                <w:bCs/>
                <w:u w:val="none"/>
              </w:rPr>
            </w:pPr>
            <w:r>
              <w:rPr>
                <w:b/>
                <w:bCs/>
                <w:u w:val="none"/>
              </w:rPr>
              <w:t>评审标准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483" w:hRule="atLeast"/>
          <w:jc w:val="center"/>
        </w:trPr>
        <w:tc>
          <w:tcPr>
            <w:tcW w:w="592" w:type="dxa"/>
            <w:vMerge w:val="restart"/>
            <w:tcBorders>
              <w:tl2br w:val="nil"/>
              <w:tr2bl w:val="nil"/>
            </w:tcBorders>
            <w:vAlign w:val="center"/>
          </w:tcPr>
          <w:p>
            <w:pPr>
              <w:pStyle w:val="366"/>
              <w:spacing w:line="360" w:lineRule="auto"/>
              <w:jc w:val="center"/>
              <w:rPr>
                <w:rFonts w:ascii="Times New Roman" w:hAnsi="Times New Roman" w:cs="Times New Roman"/>
                <w:u w:val="none"/>
                <w:lang w:val="en-US"/>
              </w:rPr>
            </w:pPr>
            <w:r>
              <w:rPr>
                <w:rFonts w:ascii="Times New Roman" w:hAnsi="Times New Roman" w:cs="Times New Roman"/>
                <w:u w:val="none"/>
                <w:lang w:val="en-US"/>
              </w:rPr>
              <w:t>1</w:t>
            </w:r>
          </w:p>
        </w:tc>
        <w:tc>
          <w:tcPr>
            <w:tcW w:w="963" w:type="dxa"/>
            <w:vMerge w:val="restart"/>
            <w:tcBorders>
              <w:tl2br w:val="nil"/>
              <w:tr2bl w:val="nil"/>
            </w:tcBorders>
            <w:vAlign w:val="center"/>
          </w:tcPr>
          <w:p>
            <w:pPr>
              <w:pStyle w:val="366"/>
              <w:spacing w:line="360" w:lineRule="auto"/>
              <w:jc w:val="center"/>
              <w:rPr>
                <w:rFonts w:hint="eastAsia" w:ascii="宋体" w:hAnsi="宋体" w:eastAsia="宋体" w:cs="宋体"/>
                <w:sz w:val="21"/>
                <w:szCs w:val="21"/>
                <w:u w:val="none"/>
              </w:rPr>
            </w:pPr>
            <w:r>
              <w:rPr>
                <w:rFonts w:hint="eastAsia" w:ascii="宋体" w:hAnsi="宋体" w:eastAsia="宋体" w:cs="宋体"/>
                <w:sz w:val="21"/>
                <w:szCs w:val="21"/>
                <w:u w:val="none"/>
              </w:rPr>
              <w:t>报价评审</w:t>
            </w:r>
          </w:p>
        </w:tc>
        <w:tc>
          <w:tcPr>
            <w:tcW w:w="1375" w:type="dxa"/>
            <w:tcBorders>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1"/>
                <w:szCs w:val="21"/>
                <w:u w:val="none"/>
                <w:lang w:val="en-US" w:eastAsia="zh-CN" w:bidi="zh-CN"/>
              </w:rPr>
            </w:pPr>
            <w:r>
              <w:rPr>
                <w:rFonts w:hint="eastAsia" w:ascii="宋体" w:hAnsi="宋体" w:eastAsia="宋体" w:cs="宋体"/>
                <w:sz w:val="21"/>
                <w:szCs w:val="21"/>
                <w:u w:val="none"/>
                <w:lang w:val="en-US"/>
              </w:rPr>
              <w:t>正价差代理费（20）</w:t>
            </w:r>
          </w:p>
        </w:tc>
        <w:tc>
          <w:tcPr>
            <w:tcW w:w="7302" w:type="dxa"/>
            <w:tcBorders>
              <w:tl2br w:val="nil"/>
              <w:tr2bl w:val="nil"/>
            </w:tcBorders>
            <w:vAlign w:val="center"/>
          </w:tcPr>
          <w:p>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sz w:val="21"/>
                <w:szCs w:val="21"/>
                <w:u w:val="none"/>
                <w:lang w:val="zh-CN"/>
              </w:rPr>
            </w:pPr>
            <w:r>
              <w:rPr>
                <w:rFonts w:hint="eastAsia" w:ascii="宋体" w:hAnsi="宋体" w:eastAsia="宋体" w:cs="宋体"/>
                <w:sz w:val="21"/>
                <w:szCs w:val="21"/>
                <w:u w:val="none"/>
                <w:lang w:val="zh-CN"/>
              </w:rPr>
              <w:t>谈判评审小组应按以下要求对经符合性审查合格的谈判单位进行详细评审：</w:t>
            </w:r>
          </w:p>
          <w:p>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sz w:val="21"/>
                <w:szCs w:val="21"/>
                <w:u w:val="none"/>
                <w:lang w:val="zh-CN"/>
              </w:rPr>
            </w:pPr>
            <w:r>
              <w:rPr>
                <w:rFonts w:hint="eastAsia" w:ascii="宋体" w:hAnsi="宋体" w:eastAsia="宋体" w:cs="宋体"/>
                <w:sz w:val="21"/>
                <w:szCs w:val="21"/>
                <w:u w:val="none"/>
                <w:lang w:val="zh-CN"/>
              </w:rPr>
              <w:t>（1）以经谈判评审小组一致认定满足《竞争性谈判文件》要求且</w:t>
            </w:r>
            <w:r>
              <w:rPr>
                <w:rFonts w:hint="eastAsia" w:ascii="宋体" w:hAnsi="宋体" w:eastAsia="宋体" w:cs="宋体"/>
                <w:b/>
                <w:bCs/>
                <w:sz w:val="21"/>
                <w:szCs w:val="21"/>
                <w:u w:val="none"/>
              </w:rPr>
              <w:t>正价差代理费</w:t>
            </w:r>
            <w:r>
              <w:rPr>
                <w:rFonts w:hint="eastAsia" w:ascii="宋体" w:hAnsi="宋体" w:eastAsia="宋体" w:cs="宋体"/>
                <w:sz w:val="21"/>
                <w:szCs w:val="21"/>
                <w:u w:val="none"/>
                <w:lang w:val="en-US" w:eastAsia="zh-CN"/>
              </w:rPr>
              <w:t>最低的</w:t>
            </w:r>
            <w:r>
              <w:rPr>
                <w:rFonts w:hint="eastAsia" w:ascii="宋体" w:hAnsi="宋体" w:eastAsia="宋体" w:cs="宋体"/>
                <w:sz w:val="21"/>
                <w:szCs w:val="21"/>
                <w:u w:val="none"/>
                <w:lang w:val="zh-CN"/>
              </w:rPr>
              <w:t>为基准价，其得分为满分。</w:t>
            </w:r>
          </w:p>
          <w:p>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sz w:val="21"/>
                <w:szCs w:val="21"/>
                <w:u w:val="none"/>
                <w:lang w:val="zh-CN"/>
              </w:rPr>
            </w:pPr>
            <w:r>
              <w:rPr>
                <w:rFonts w:hint="eastAsia" w:ascii="宋体" w:hAnsi="宋体" w:eastAsia="宋体" w:cs="宋体"/>
                <w:sz w:val="21"/>
                <w:szCs w:val="21"/>
                <w:u w:val="none"/>
                <w:lang w:val="zh-CN"/>
              </w:rPr>
              <w:t>（2）其他有效单位的得分统一按下列公式计算（保留2位小数，第3位四舍五入）：谈判单位得分=(基准价／正价差代理费)×20</w:t>
            </w:r>
          </w:p>
          <w:p>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bCs/>
                <w:sz w:val="21"/>
                <w:szCs w:val="21"/>
                <w:u w:val="none"/>
                <w:lang w:val="en-US" w:eastAsia="zh-CN"/>
              </w:rPr>
            </w:pPr>
            <w:r>
              <w:rPr>
                <w:rFonts w:hint="eastAsia" w:ascii="宋体" w:hAnsi="宋体" w:eastAsia="宋体" w:cs="宋体"/>
                <w:b/>
                <w:bCs/>
                <w:sz w:val="21"/>
                <w:szCs w:val="21"/>
                <w:u w:val="none"/>
                <w:lang w:val="en-US" w:eastAsia="zh-CN"/>
              </w:rPr>
              <w:t>备注：</w:t>
            </w:r>
          </w:p>
          <w:p>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sz w:val="21"/>
                <w:szCs w:val="21"/>
                <w:u w:val="none"/>
                <w:lang w:val="en-US" w:eastAsia="zh-CN"/>
              </w:rPr>
            </w:pPr>
            <w:r>
              <w:rPr>
                <w:rFonts w:hint="eastAsia" w:ascii="宋体" w:hAnsi="宋体" w:eastAsia="宋体" w:cs="宋体"/>
                <w:b/>
                <w:bCs/>
                <w:sz w:val="21"/>
                <w:szCs w:val="21"/>
                <w:u w:val="none"/>
                <w:lang w:val="zh-CN"/>
              </w:rPr>
              <w:t>（</w:t>
            </w:r>
            <w:r>
              <w:rPr>
                <w:rFonts w:hint="eastAsia" w:ascii="宋体" w:hAnsi="宋体" w:eastAsia="宋体" w:cs="宋体"/>
                <w:b/>
                <w:bCs/>
                <w:sz w:val="21"/>
                <w:szCs w:val="21"/>
                <w:u w:val="none"/>
                <w:lang w:val="en-US" w:eastAsia="zh-CN"/>
              </w:rPr>
              <w:t>1</w:t>
            </w:r>
            <w:r>
              <w:rPr>
                <w:rFonts w:hint="eastAsia" w:ascii="宋体" w:hAnsi="宋体" w:eastAsia="宋体" w:cs="宋体"/>
                <w:b/>
                <w:bCs/>
                <w:sz w:val="21"/>
                <w:szCs w:val="21"/>
                <w:u w:val="none"/>
                <w:lang w:val="zh-CN"/>
              </w:rPr>
              <w:t>）正价差代理费</w:t>
            </w:r>
            <w:r>
              <w:rPr>
                <w:rFonts w:hint="eastAsia" w:ascii="宋体" w:hAnsi="宋体" w:eastAsia="宋体" w:cs="宋体"/>
                <w:sz w:val="21"/>
                <w:szCs w:val="21"/>
                <w:u w:val="none"/>
                <w:lang w:val="en-US"/>
              </w:rPr>
              <w:t>=</w:t>
            </w:r>
            <w:r>
              <w:rPr>
                <w:rFonts w:hint="eastAsia" w:ascii="宋体" w:hAnsi="宋体" w:eastAsia="宋体" w:cs="宋体"/>
                <w:sz w:val="21"/>
                <w:szCs w:val="21"/>
                <w:u w:val="none"/>
                <w:lang w:val="en-US" w:eastAsia="zh-CN"/>
              </w:rPr>
              <w:t>《</w:t>
            </w:r>
            <w:r>
              <w:rPr>
                <w:rFonts w:hint="eastAsia" w:ascii="宋体" w:hAnsi="宋体" w:eastAsia="宋体" w:cs="宋体"/>
                <w:sz w:val="21"/>
                <w:szCs w:val="21"/>
                <w:u w:val="none"/>
                <w:lang w:val="zh-CN" w:eastAsia="zh-CN"/>
              </w:rPr>
              <w:t>湖南电力交易中心有限公司</w:t>
            </w:r>
            <w:r>
              <w:rPr>
                <w:rFonts w:hint="eastAsia" w:ascii="宋体" w:hAnsi="宋体" w:eastAsia="宋体" w:cs="宋体"/>
                <w:sz w:val="21"/>
                <w:szCs w:val="21"/>
                <w:u w:val="none"/>
                <w:lang w:val="en-US" w:eastAsia="zh-CN"/>
              </w:rPr>
              <w:t>发布的最新一期</w:t>
            </w:r>
            <w:r>
              <w:rPr>
                <w:rFonts w:hint="eastAsia" w:ascii="宋体" w:hAnsi="宋体" w:eastAsia="宋体" w:cs="宋体"/>
                <w:sz w:val="21"/>
                <w:szCs w:val="21"/>
                <w:u w:val="none"/>
                <w:lang w:val="zh-CN" w:eastAsia="zh-CN"/>
              </w:rPr>
              <w:t>电力市场交易</w:t>
            </w:r>
            <w:r>
              <w:rPr>
                <w:rFonts w:hint="eastAsia" w:ascii="宋体" w:hAnsi="宋体" w:eastAsia="宋体" w:cs="宋体"/>
                <w:sz w:val="21"/>
                <w:szCs w:val="21"/>
                <w:u w:val="none"/>
                <w:lang w:val="en-US" w:eastAsia="zh-CN"/>
              </w:rPr>
              <w:t>的</w:t>
            </w:r>
            <w:r>
              <w:rPr>
                <w:rFonts w:hint="eastAsia" w:ascii="宋体" w:hAnsi="宋体" w:eastAsia="宋体" w:cs="宋体"/>
                <w:sz w:val="21"/>
                <w:szCs w:val="21"/>
                <w:u w:val="none"/>
                <w:lang w:val="zh-CN" w:eastAsia="zh-CN"/>
              </w:rPr>
              <w:t>公告</w:t>
            </w:r>
            <w:r>
              <w:rPr>
                <w:rFonts w:hint="eastAsia" w:ascii="宋体" w:hAnsi="宋体" w:eastAsia="宋体" w:cs="宋体"/>
                <w:sz w:val="21"/>
                <w:szCs w:val="21"/>
                <w:u w:val="none"/>
                <w:lang w:val="en-US" w:eastAsia="zh-CN"/>
              </w:rPr>
              <w:t>》</w:t>
            </w:r>
            <w:r>
              <w:rPr>
                <w:rFonts w:hint="eastAsia" w:ascii="宋体" w:hAnsi="宋体" w:eastAsia="宋体" w:cs="宋体"/>
                <w:sz w:val="21"/>
                <w:szCs w:val="21"/>
                <w:u w:val="none"/>
                <w:lang w:val="zh-CN" w:eastAsia="zh-CN"/>
              </w:rPr>
              <w:t>中的最低标准代理服务费（最低标准代理服务费）</w:t>
            </w:r>
            <w:r>
              <w:rPr>
                <w:rFonts w:hint="eastAsia" w:ascii="宋体" w:hAnsi="宋体" w:eastAsia="宋体" w:cs="宋体"/>
                <w:sz w:val="21"/>
                <w:szCs w:val="21"/>
                <w:u w:val="none"/>
                <w:lang w:val="en-US" w:eastAsia="zh-CN"/>
              </w:rPr>
              <w:t>+正价差代理费上浮价差（0≤X≤0.4）</w:t>
            </w:r>
          </w:p>
          <w:p>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b/>
                <w:bCs/>
                <w:sz w:val="21"/>
                <w:szCs w:val="21"/>
                <w:u w:val="none"/>
                <w:lang w:val="zh-CN"/>
              </w:rPr>
              <w:t>（</w:t>
            </w:r>
            <w:r>
              <w:rPr>
                <w:rFonts w:hint="eastAsia" w:ascii="宋体" w:hAnsi="宋体" w:eastAsia="宋体" w:cs="宋体"/>
                <w:b/>
                <w:bCs/>
                <w:sz w:val="21"/>
                <w:szCs w:val="21"/>
                <w:u w:val="none"/>
                <w:lang w:val="en-US" w:eastAsia="zh-CN"/>
              </w:rPr>
              <w:t>2</w:t>
            </w:r>
            <w:r>
              <w:rPr>
                <w:rFonts w:hint="eastAsia" w:ascii="宋体" w:hAnsi="宋体" w:eastAsia="宋体" w:cs="宋体"/>
                <w:b/>
                <w:bCs/>
                <w:sz w:val="21"/>
                <w:szCs w:val="21"/>
                <w:u w:val="none"/>
                <w:lang w:val="zh-CN"/>
              </w:rPr>
              <w:t>）最低标准代理服务费</w:t>
            </w:r>
            <w:r>
              <w:rPr>
                <w:rFonts w:hint="eastAsia" w:ascii="宋体" w:hAnsi="宋体" w:eastAsia="宋体" w:cs="宋体"/>
                <w:b/>
                <w:bCs/>
                <w:sz w:val="21"/>
                <w:szCs w:val="21"/>
                <w:u w:val="none"/>
                <w:lang w:val="en-US" w:eastAsia="zh-CN"/>
              </w:rPr>
              <w:t>评审取值说明：</w:t>
            </w:r>
            <w:r>
              <w:rPr>
                <w:rFonts w:hint="eastAsia" w:ascii="宋体" w:hAnsi="宋体" w:eastAsia="宋体" w:cs="宋体"/>
                <w:sz w:val="21"/>
                <w:szCs w:val="21"/>
                <w:u w:val="none"/>
                <w:lang w:val="en-US" w:eastAsia="zh-CN"/>
              </w:rPr>
              <w:t>以《</w:t>
            </w:r>
            <w:r>
              <w:rPr>
                <w:rFonts w:hint="eastAsia" w:ascii="宋体" w:hAnsi="宋体" w:eastAsia="宋体" w:cs="宋体"/>
                <w:sz w:val="21"/>
                <w:szCs w:val="21"/>
                <w:u w:val="none"/>
                <w:lang w:val="zh-CN" w:eastAsia="zh-CN"/>
              </w:rPr>
              <w:t>湖南电力交易中心有限公司</w:t>
            </w:r>
            <w:r>
              <w:rPr>
                <w:rFonts w:hint="eastAsia" w:ascii="宋体" w:hAnsi="宋体" w:eastAsia="宋体" w:cs="宋体"/>
                <w:sz w:val="21"/>
                <w:szCs w:val="21"/>
                <w:u w:val="none"/>
                <w:lang w:val="en-US" w:eastAsia="zh-CN"/>
              </w:rPr>
              <w:t>发布的最新一期</w:t>
            </w:r>
            <w:r>
              <w:rPr>
                <w:rFonts w:hint="eastAsia" w:ascii="宋体" w:hAnsi="宋体" w:eastAsia="宋体" w:cs="宋体"/>
                <w:sz w:val="21"/>
                <w:szCs w:val="21"/>
                <w:u w:val="none"/>
                <w:lang w:val="zh-CN" w:eastAsia="zh-CN"/>
              </w:rPr>
              <w:t>电力市场交易</w:t>
            </w:r>
            <w:r>
              <w:rPr>
                <w:rFonts w:hint="eastAsia" w:ascii="宋体" w:hAnsi="宋体" w:eastAsia="宋体" w:cs="宋体"/>
                <w:sz w:val="21"/>
                <w:szCs w:val="21"/>
                <w:u w:val="none"/>
                <w:lang w:val="en-US" w:eastAsia="zh-CN"/>
              </w:rPr>
              <w:t>的</w:t>
            </w:r>
            <w:r>
              <w:rPr>
                <w:rFonts w:hint="eastAsia" w:ascii="宋体" w:hAnsi="宋体" w:eastAsia="宋体" w:cs="宋体"/>
                <w:sz w:val="21"/>
                <w:szCs w:val="21"/>
                <w:u w:val="none"/>
                <w:lang w:val="zh-CN" w:eastAsia="zh-CN"/>
              </w:rPr>
              <w:t>公告</w:t>
            </w:r>
            <w:r>
              <w:rPr>
                <w:rFonts w:hint="eastAsia" w:ascii="宋体" w:hAnsi="宋体" w:eastAsia="宋体" w:cs="宋体"/>
                <w:sz w:val="21"/>
                <w:szCs w:val="21"/>
                <w:u w:val="none"/>
                <w:lang w:val="en-US" w:eastAsia="zh-CN"/>
              </w:rPr>
              <w:t>》</w:t>
            </w:r>
            <w:r>
              <w:rPr>
                <w:rFonts w:hint="eastAsia" w:ascii="宋体" w:hAnsi="宋体" w:eastAsia="宋体" w:cs="宋体"/>
                <w:sz w:val="21"/>
                <w:szCs w:val="21"/>
                <w:u w:val="none"/>
                <w:lang w:val="zh-CN" w:eastAsia="zh-CN"/>
              </w:rPr>
              <w:t>中的最低标准代理服务费</w:t>
            </w:r>
            <w:r>
              <w:rPr>
                <w:rFonts w:hint="eastAsia" w:ascii="宋体" w:hAnsi="宋体" w:eastAsia="宋体" w:cs="宋体"/>
                <w:sz w:val="21"/>
                <w:szCs w:val="21"/>
                <w:u w:val="none"/>
                <w:lang w:val="en-US" w:eastAsia="zh-CN"/>
              </w:rPr>
              <w:t>为本项目评审取值，例如：《关于组织2022年8月</w:t>
            </w:r>
            <w:r>
              <w:rPr>
                <w:rFonts w:hint="eastAsia" w:ascii="宋体" w:hAnsi="宋体" w:eastAsia="宋体" w:cs="宋体"/>
                <w:sz w:val="21"/>
                <w:szCs w:val="21"/>
                <w:u w:val="none"/>
                <w:lang w:val="zh-CN" w:eastAsia="zh-CN"/>
              </w:rPr>
              <w:t>电力市场交易</w:t>
            </w:r>
            <w:r>
              <w:rPr>
                <w:rFonts w:hint="eastAsia" w:ascii="宋体" w:hAnsi="宋体" w:eastAsia="宋体" w:cs="宋体"/>
                <w:sz w:val="21"/>
                <w:szCs w:val="21"/>
                <w:u w:val="none"/>
                <w:lang w:val="en-US" w:eastAsia="zh-CN"/>
              </w:rPr>
              <w:t>的</w:t>
            </w:r>
            <w:r>
              <w:rPr>
                <w:rFonts w:hint="eastAsia" w:ascii="宋体" w:hAnsi="宋体" w:eastAsia="宋体" w:cs="宋体"/>
                <w:sz w:val="21"/>
                <w:szCs w:val="21"/>
                <w:u w:val="none"/>
                <w:lang w:val="zh-CN" w:eastAsia="zh-CN"/>
              </w:rPr>
              <w:t>公告</w:t>
            </w:r>
            <w:r>
              <w:rPr>
                <w:rFonts w:hint="eastAsia" w:ascii="宋体" w:hAnsi="宋体" w:eastAsia="宋体" w:cs="宋体"/>
                <w:sz w:val="21"/>
                <w:szCs w:val="21"/>
                <w:u w:val="none"/>
                <w:lang w:val="en-US" w:eastAsia="zh-CN"/>
              </w:rPr>
              <w:t>》中</w:t>
            </w:r>
            <w:r>
              <w:rPr>
                <w:rFonts w:hint="eastAsia" w:ascii="宋体" w:hAnsi="宋体" w:eastAsia="宋体" w:cs="宋体"/>
                <w:sz w:val="21"/>
                <w:szCs w:val="21"/>
                <w:u w:val="none"/>
                <w:lang w:val="zh-CN" w:eastAsia="zh-CN"/>
              </w:rPr>
              <w:t>最低标准代理服务费</w:t>
            </w:r>
            <w:r>
              <w:rPr>
                <w:rFonts w:hint="eastAsia" w:ascii="宋体" w:hAnsi="宋体" w:eastAsia="宋体" w:cs="宋体"/>
                <w:sz w:val="21"/>
                <w:szCs w:val="21"/>
                <w:u w:val="none"/>
                <w:lang w:val="en-US" w:eastAsia="zh-CN"/>
              </w:rPr>
              <w:t>为1.5元/兆瓦时至2.5元/兆瓦时，则</w:t>
            </w:r>
            <w:r>
              <w:rPr>
                <w:rFonts w:hint="eastAsia" w:ascii="宋体" w:hAnsi="宋体" w:eastAsia="宋体" w:cs="宋体"/>
                <w:sz w:val="21"/>
                <w:szCs w:val="21"/>
                <w:u w:val="none"/>
                <w:lang w:val="zh-CN" w:eastAsia="zh-CN"/>
              </w:rPr>
              <w:t>最低标准代理服务费</w:t>
            </w:r>
            <w:r>
              <w:rPr>
                <w:rFonts w:hint="eastAsia" w:ascii="宋体" w:hAnsi="宋体" w:eastAsia="宋体" w:cs="宋体"/>
                <w:sz w:val="21"/>
                <w:szCs w:val="21"/>
                <w:u w:val="none"/>
                <w:lang w:val="en-US" w:eastAsia="zh-CN"/>
              </w:rPr>
              <w:t>评审取值为1.5元/兆瓦时。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715" w:hRule="atLeast"/>
          <w:jc w:val="center"/>
        </w:trPr>
        <w:tc>
          <w:tcPr>
            <w:tcW w:w="592" w:type="dxa"/>
            <w:vMerge w:val="continue"/>
            <w:tcBorders>
              <w:tl2br w:val="nil"/>
              <w:tr2bl w:val="nil"/>
            </w:tcBorders>
            <w:vAlign w:val="center"/>
          </w:tcPr>
          <w:p>
            <w:pPr>
              <w:pStyle w:val="366"/>
              <w:spacing w:line="360" w:lineRule="auto"/>
              <w:jc w:val="center"/>
              <w:rPr>
                <w:rFonts w:ascii="Times New Roman" w:hAnsi="Times New Roman" w:cs="Times New Roman"/>
                <w:u w:val="none"/>
                <w:lang w:val="en-US"/>
              </w:rPr>
            </w:pPr>
          </w:p>
        </w:tc>
        <w:tc>
          <w:tcPr>
            <w:tcW w:w="963" w:type="dxa"/>
            <w:vMerge w:val="continue"/>
            <w:tcBorders>
              <w:tl2br w:val="nil"/>
              <w:tr2bl w:val="nil"/>
            </w:tcBorders>
            <w:vAlign w:val="center"/>
          </w:tcPr>
          <w:p>
            <w:pPr>
              <w:pStyle w:val="366"/>
              <w:spacing w:line="360" w:lineRule="auto"/>
              <w:jc w:val="center"/>
              <w:rPr>
                <w:rFonts w:hint="eastAsia" w:ascii="宋体" w:hAnsi="宋体" w:eastAsia="宋体" w:cs="宋体"/>
                <w:sz w:val="21"/>
                <w:szCs w:val="21"/>
                <w:u w:val="none"/>
              </w:rPr>
            </w:pPr>
          </w:p>
        </w:tc>
        <w:tc>
          <w:tcPr>
            <w:tcW w:w="1375" w:type="dxa"/>
            <w:tcBorders>
              <w:tl2br w:val="nil"/>
              <w:tr2bl w:val="nil"/>
            </w:tcBorders>
            <w:vAlign w:val="center"/>
          </w:tcPr>
          <w:p>
            <w:pPr>
              <w:pStyle w:val="36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1"/>
                <w:szCs w:val="21"/>
                <w:u w:val="none"/>
                <w:lang w:val="en-US" w:eastAsia="zh-CN" w:bidi="zh-CN"/>
              </w:rPr>
            </w:pPr>
            <w:r>
              <w:rPr>
                <w:rFonts w:hint="eastAsia" w:ascii="宋体" w:hAnsi="宋体" w:eastAsia="宋体" w:cs="宋体"/>
                <w:sz w:val="21"/>
                <w:szCs w:val="21"/>
                <w:u w:val="none"/>
                <w:lang w:val="en-US"/>
              </w:rPr>
              <w:t>负价差分成比例（10）</w:t>
            </w:r>
          </w:p>
        </w:tc>
        <w:tc>
          <w:tcPr>
            <w:tcW w:w="7302" w:type="dxa"/>
            <w:tcBorders>
              <w:tl2br w:val="nil"/>
              <w:tr2bl w:val="nil"/>
            </w:tcBorders>
            <w:vAlign w:val="center"/>
          </w:tcPr>
          <w:p>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sz w:val="21"/>
                <w:szCs w:val="21"/>
                <w:u w:val="none"/>
                <w:lang w:val="zh-CN"/>
              </w:rPr>
            </w:pPr>
            <w:r>
              <w:rPr>
                <w:rFonts w:hint="eastAsia" w:ascii="宋体" w:hAnsi="宋体" w:eastAsia="宋体" w:cs="宋体"/>
                <w:sz w:val="21"/>
                <w:szCs w:val="21"/>
                <w:u w:val="none"/>
                <w:lang w:val="zh-CN"/>
              </w:rPr>
              <w:t>谈判评审小组应按以下要求对经符合性审查合格的谈判单位进行详细评审：</w:t>
            </w:r>
          </w:p>
          <w:p>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sz w:val="21"/>
                <w:szCs w:val="21"/>
                <w:u w:val="none"/>
                <w:lang w:val="zh-CN"/>
              </w:rPr>
            </w:pPr>
            <w:r>
              <w:rPr>
                <w:rFonts w:hint="eastAsia" w:ascii="宋体" w:hAnsi="宋体" w:eastAsia="宋体" w:cs="宋体"/>
                <w:sz w:val="21"/>
                <w:szCs w:val="21"/>
                <w:u w:val="none"/>
                <w:lang w:val="en-US"/>
              </w:rPr>
              <w:t>1.</w:t>
            </w:r>
            <w:r>
              <w:rPr>
                <w:rFonts w:hint="eastAsia" w:ascii="宋体" w:hAnsi="宋体" w:eastAsia="宋体" w:cs="宋体"/>
                <w:sz w:val="21"/>
                <w:szCs w:val="21"/>
                <w:u w:val="none"/>
                <w:lang w:val="zh-CN"/>
              </w:rPr>
              <w:t>以经谈判评审小组一致认定满足《竞争性谈判文件》要求且</w:t>
            </w:r>
            <w:r>
              <w:rPr>
                <w:rFonts w:hint="eastAsia" w:ascii="宋体" w:hAnsi="宋体" w:eastAsia="宋体" w:cs="宋体"/>
                <w:b/>
                <w:bCs/>
                <w:sz w:val="21"/>
                <w:szCs w:val="21"/>
                <w:u w:val="none"/>
                <w:lang w:val="zh-CN"/>
              </w:rPr>
              <w:t>负价差分成比例</w:t>
            </w:r>
            <w:r>
              <w:rPr>
                <w:rFonts w:hint="eastAsia" w:ascii="宋体" w:hAnsi="宋体" w:eastAsia="宋体" w:cs="宋体"/>
                <w:sz w:val="21"/>
                <w:szCs w:val="21"/>
                <w:u w:val="none"/>
                <w:lang w:val="zh-CN"/>
              </w:rPr>
              <w:t>最低的+</w:t>
            </w:r>
            <w:r>
              <w:rPr>
                <w:rFonts w:hint="eastAsia" w:ascii="宋体" w:hAnsi="宋体" w:eastAsia="宋体" w:cs="宋体"/>
                <w:sz w:val="21"/>
                <w:szCs w:val="21"/>
                <w:u w:val="none"/>
                <w:lang w:val="en-US"/>
              </w:rPr>
              <w:t>5</w:t>
            </w:r>
            <w:r>
              <w:rPr>
                <w:rFonts w:hint="eastAsia" w:ascii="宋体" w:hAnsi="宋体" w:eastAsia="宋体" w:cs="宋体"/>
                <w:sz w:val="21"/>
                <w:szCs w:val="21"/>
                <w:u w:val="none"/>
                <w:lang w:val="zh-CN"/>
              </w:rPr>
              <w:t>为基准价，其得分为满分。</w:t>
            </w:r>
          </w:p>
          <w:p>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0"/>
                <w:sz w:val="21"/>
                <w:szCs w:val="21"/>
                <w:u w:val="none"/>
                <w:lang w:val="en-US" w:eastAsia="zh-CN" w:bidi="zh-CN"/>
              </w:rPr>
            </w:pPr>
            <w:r>
              <w:rPr>
                <w:rFonts w:hint="eastAsia" w:ascii="宋体" w:hAnsi="宋体" w:eastAsia="宋体" w:cs="宋体"/>
                <w:sz w:val="21"/>
                <w:szCs w:val="21"/>
                <w:u w:val="none"/>
                <w:lang w:val="en-US"/>
              </w:rPr>
              <w:t>2.</w:t>
            </w:r>
            <w:r>
              <w:rPr>
                <w:rFonts w:hint="eastAsia" w:ascii="宋体" w:hAnsi="宋体" w:eastAsia="宋体" w:cs="宋体"/>
                <w:sz w:val="21"/>
                <w:szCs w:val="21"/>
                <w:u w:val="none"/>
                <w:lang w:val="zh-CN"/>
              </w:rPr>
              <w:t>其他有效单位的得分统一按下列公式计算（保留2位小数，第3位四舍五入）：谈判单位得分=(基准价／</w:t>
            </w:r>
            <w:r>
              <w:rPr>
                <w:rFonts w:hint="eastAsia" w:ascii="宋体" w:hAnsi="宋体" w:eastAsia="宋体" w:cs="宋体"/>
                <w:b/>
                <w:bCs/>
                <w:sz w:val="21"/>
                <w:szCs w:val="21"/>
                <w:u w:val="none"/>
                <w:lang w:val="zh-CN"/>
              </w:rPr>
              <w:t>负价差分成比例</w:t>
            </w:r>
            <w:r>
              <w:rPr>
                <w:rFonts w:hint="eastAsia" w:ascii="宋体" w:hAnsi="宋体" w:eastAsia="宋体" w:cs="宋体"/>
                <w:sz w:val="21"/>
                <w:szCs w:val="21"/>
                <w:u w:val="none"/>
                <w:lang w:val="zh-CN"/>
              </w:rPr>
              <w:t>+</w:t>
            </w:r>
            <w:r>
              <w:rPr>
                <w:rFonts w:hint="eastAsia" w:ascii="宋体" w:hAnsi="宋体" w:eastAsia="宋体" w:cs="宋体"/>
                <w:sz w:val="21"/>
                <w:szCs w:val="21"/>
                <w:u w:val="none"/>
                <w:lang w:val="en-US"/>
              </w:rPr>
              <w:t>5</w:t>
            </w:r>
            <w:r>
              <w:rPr>
                <w:rFonts w:hint="eastAsia" w:ascii="宋体" w:hAnsi="宋体" w:eastAsia="宋体" w:cs="宋体"/>
                <w:sz w:val="21"/>
                <w:szCs w:val="21"/>
                <w:u w:val="none"/>
                <w:lang w:val="zh-CN"/>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0" w:hRule="atLeast"/>
          <w:jc w:val="center"/>
        </w:trPr>
        <w:tc>
          <w:tcPr>
            <w:tcW w:w="1555" w:type="dxa"/>
            <w:gridSpan w:val="2"/>
            <w:tcBorders>
              <w:tl2br w:val="nil"/>
              <w:tr2bl w:val="nil"/>
            </w:tcBorders>
            <w:vAlign w:val="center"/>
          </w:tcPr>
          <w:p>
            <w:pPr>
              <w:pStyle w:val="366"/>
              <w:jc w:val="center"/>
              <w:rPr>
                <w:u w:val="none"/>
                <w:lang w:val="en-US"/>
              </w:rPr>
            </w:pPr>
            <w:r>
              <w:rPr>
                <w:rFonts w:hint="eastAsia"/>
                <w:u w:val="none"/>
                <w:lang w:val="en-US"/>
              </w:rPr>
              <w:t>合计</w:t>
            </w:r>
          </w:p>
        </w:tc>
        <w:tc>
          <w:tcPr>
            <w:tcW w:w="1375" w:type="dxa"/>
            <w:tcBorders>
              <w:tl2br w:val="nil"/>
              <w:tr2bl w:val="nil"/>
            </w:tcBorders>
            <w:vAlign w:val="center"/>
          </w:tcPr>
          <w:p>
            <w:pPr>
              <w:pStyle w:val="366"/>
              <w:jc w:val="center"/>
              <w:rPr>
                <w:u w:val="none"/>
                <w:lang w:val="en-US"/>
              </w:rPr>
            </w:pPr>
            <w:r>
              <w:rPr>
                <w:rFonts w:hint="eastAsia"/>
                <w:u w:val="none"/>
                <w:lang w:val="en-US"/>
              </w:rPr>
              <w:t>30</w:t>
            </w:r>
          </w:p>
        </w:tc>
        <w:tc>
          <w:tcPr>
            <w:tcW w:w="7302" w:type="dxa"/>
            <w:tcBorders>
              <w:tl2br w:val="nil"/>
              <w:tr2bl w:val="nil"/>
            </w:tcBorders>
            <w:vAlign w:val="center"/>
          </w:tcPr>
          <w:p>
            <w:pPr>
              <w:pStyle w:val="366"/>
              <w:spacing w:before="3" w:line="270" w:lineRule="atLeast"/>
              <w:jc w:val="center"/>
              <w:rPr>
                <w:u w:val="none"/>
              </w:rPr>
            </w:pPr>
          </w:p>
        </w:tc>
      </w:tr>
    </w:tbl>
    <w:p>
      <w:pPr>
        <w:pStyle w:val="46"/>
        <w:keepNext w:val="0"/>
        <w:keepLines w:val="0"/>
        <w:pageBreakBefore w:val="0"/>
        <w:widowControl w:val="0"/>
        <w:kinsoku/>
        <w:wordWrap/>
        <w:overflowPunct/>
        <w:topLinePunct w:val="0"/>
        <w:autoSpaceDE/>
        <w:autoSpaceDN/>
        <w:bidi w:val="0"/>
        <w:adjustRightInd/>
        <w:snapToGrid/>
        <w:spacing w:line="560" w:lineRule="exact"/>
        <w:ind w:left="0" w:leftChars="0" w:firstLine="0"/>
        <w:textAlignment w:val="auto"/>
        <w:rPr>
          <w:rFonts w:hint="default" w:ascii="Times New Roman" w:hAnsi="Times New Roman" w:eastAsia="宋体" w:cs="Times New Roman"/>
          <w:b/>
          <w:bCs/>
          <w:color w:val="auto"/>
          <w:sz w:val="21"/>
          <w:szCs w:val="21"/>
          <w:u w:val="none"/>
          <w:lang w:val="en-US" w:eastAsia="zh-CN" w:bidi="ar"/>
        </w:rPr>
        <w:sectPr>
          <w:pgSz w:w="11906" w:h="16838"/>
          <w:pgMar w:top="2098" w:right="1474" w:bottom="1984" w:left="1587" w:header="851" w:footer="992" w:gutter="0"/>
          <w:pgNumType w:fmt="decimal"/>
          <w:cols w:space="0" w:num="1"/>
          <w:docGrid w:type="lines" w:linePitch="319" w:charSpace="0"/>
        </w:sectPr>
      </w:pPr>
    </w:p>
    <w:p>
      <w:pPr>
        <w:pStyle w:val="3"/>
        <w:keepNext w:val="0"/>
        <w:spacing w:line="360" w:lineRule="auto"/>
        <w:rPr>
          <w:rFonts w:ascii="宋体" w:hAnsi="宋体" w:cs="宋体"/>
          <w:bCs w:val="0"/>
          <w:sz w:val="32"/>
          <w:szCs w:val="32"/>
          <w:u w:val="none"/>
        </w:rPr>
      </w:pPr>
      <w:bookmarkStart w:id="56" w:name="_Toc18202"/>
      <w:bookmarkStart w:id="57" w:name="_Toc17997"/>
      <w:bookmarkStart w:id="58" w:name="_Toc23442"/>
      <w:bookmarkStart w:id="59" w:name="_Toc17562"/>
      <w:bookmarkStart w:id="60" w:name="_Toc14891077"/>
      <w:bookmarkStart w:id="61" w:name="_Toc1583"/>
      <w:r>
        <w:rPr>
          <w:rFonts w:hint="eastAsia" w:ascii="宋体" w:hAnsi="宋体" w:cs="宋体"/>
          <w:bCs w:val="0"/>
          <w:sz w:val="32"/>
          <w:szCs w:val="32"/>
          <w:u w:val="none"/>
        </w:rPr>
        <w:t>第四章  用户需求书</w:t>
      </w:r>
      <w:bookmarkEnd w:id="56"/>
      <w:bookmarkEnd w:id="57"/>
      <w:bookmarkEnd w:id="58"/>
      <w:bookmarkEnd w:id="59"/>
      <w:bookmarkEnd w:id="60"/>
      <w:r>
        <w:rPr>
          <w:rFonts w:hint="eastAsia" w:ascii="宋体" w:hAnsi="宋体" w:cs="宋体"/>
          <w:bCs w:val="0"/>
          <w:sz w:val="32"/>
          <w:szCs w:val="32"/>
          <w:u w:val="none"/>
        </w:rPr>
        <w:t>（另册）</w:t>
      </w:r>
      <w:bookmarkEnd w:id="61"/>
    </w:p>
    <w:p>
      <w:pPr>
        <w:spacing w:line="360" w:lineRule="auto"/>
        <w:rPr>
          <w:u w:val="none"/>
        </w:r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u w:val="none"/>
        </w:rPr>
      </w:pPr>
      <w:r>
        <w:rPr>
          <w:rFonts w:hint="eastAsia" w:ascii="宋体" w:hAnsi="宋体" w:cs="宋体"/>
          <w:u w:val="none"/>
        </w:rPr>
        <w:t>用户需求书详见本项目谈判邀请公告附件：</w:t>
      </w:r>
      <w:r>
        <w:rPr>
          <w:rStyle w:val="56"/>
          <w:rFonts w:hint="eastAsia"/>
          <w:color w:val="auto"/>
          <w:kern w:val="0"/>
          <w:u w:val="none"/>
          <w:shd w:val="clear" w:color="auto" w:fill="FFFFFF"/>
        </w:rPr>
        <w:t>长沙市轨道交通1、2、3、4、5号线运营期2022年-2023年代理购电服务项目</w:t>
      </w:r>
      <w:r>
        <w:rPr>
          <w:rFonts w:hint="eastAsia" w:ascii="宋体" w:hAnsi="宋体" w:cs="宋体"/>
          <w:u w:val="none"/>
        </w:rPr>
        <w:t>用户需求书。</w:t>
      </w:r>
    </w:p>
    <w:p>
      <w:pPr>
        <w:rPr>
          <w:u w:val="none"/>
        </w:rPr>
        <w:sectPr>
          <w:headerReference r:id="rId7" w:type="default"/>
          <w:footerReference r:id="rId8" w:type="default"/>
          <w:pgSz w:w="11906" w:h="16838"/>
          <w:pgMar w:top="2098" w:right="1474" w:bottom="1984" w:left="1587" w:header="851" w:footer="992" w:gutter="0"/>
          <w:pgNumType w:fmt="decimal"/>
          <w:cols w:space="0" w:num="1"/>
          <w:docGrid w:type="lines" w:linePitch="319" w:charSpace="0"/>
        </w:sectPr>
      </w:pPr>
    </w:p>
    <w:p>
      <w:pPr>
        <w:pStyle w:val="3"/>
        <w:keepNext w:val="0"/>
        <w:rPr>
          <w:rFonts w:ascii="宋体" w:hAnsi="宋体" w:cs="宋体"/>
          <w:bCs w:val="0"/>
          <w:strike w:val="0"/>
          <w:dstrike w:val="0"/>
          <w:color w:val="auto"/>
          <w:sz w:val="32"/>
          <w:szCs w:val="32"/>
          <w:u w:val="none"/>
        </w:rPr>
      </w:pPr>
      <w:bookmarkStart w:id="62" w:name="_Toc31851"/>
      <w:bookmarkStart w:id="63" w:name="_Toc19970"/>
      <w:bookmarkStart w:id="64" w:name="_Toc22262"/>
      <w:bookmarkStart w:id="65" w:name="_Toc19554"/>
      <w:bookmarkStart w:id="66" w:name="_Toc17441"/>
      <w:bookmarkStart w:id="67" w:name="_Toc13521"/>
      <w:bookmarkStart w:id="68" w:name="_Toc14891078"/>
      <w:r>
        <w:rPr>
          <w:rFonts w:hint="eastAsia" w:ascii="宋体" w:hAnsi="宋体" w:cs="宋体"/>
          <w:bCs w:val="0"/>
          <w:strike w:val="0"/>
          <w:dstrike w:val="0"/>
          <w:color w:val="auto"/>
          <w:sz w:val="32"/>
          <w:szCs w:val="32"/>
          <w:u w:val="none"/>
        </w:rPr>
        <w:t>第五章  谈判最高限价</w:t>
      </w:r>
      <w:bookmarkEnd w:id="62"/>
      <w:bookmarkEnd w:id="63"/>
    </w:p>
    <w:p>
      <w:pPr>
        <w:rPr>
          <w:strike w:val="0"/>
          <w:dstrike w:val="0"/>
          <w:color w:val="auto"/>
          <w:u w:val="none"/>
        </w:rPr>
      </w:pPr>
    </w:p>
    <w:p>
      <w:pPr>
        <w:adjustRightInd w:val="0"/>
        <w:snapToGrid w:val="0"/>
        <w:spacing w:line="360" w:lineRule="auto"/>
        <w:ind w:firstLine="420" w:firstLineChars="200"/>
        <w:rPr>
          <w:rFonts w:hint="eastAsia" w:ascii="宋体" w:hAnsi="宋体" w:eastAsia="宋体" w:cs="宋体"/>
          <w:strike w:val="0"/>
          <w:dstrike w:val="0"/>
          <w:color w:val="auto"/>
          <w:u w:val="none"/>
          <w:lang w:eastAsia="zh-CN"/>
        </w:rPr>
      </w:pPr>
      <w:r>
        <w:rPr>
          <w:rFonts w:hint="eastAsia" w:ascii="宋体" w:hAnsi="宋体" w:cs="宋体"/>
          <w:strike w:val="0"/>
          <w:dstrike w:val="0"/>
          <w:color w:val="auto"/>
          <w:u w:val="none"/>
        </w:rPr>
        <w:t>本项目谈判最高限价：</w:t>
      </w:r>
      <w:r>
        <w:rPr>
          <w:rStyle w:val="56"/>
          <w:rFonts w:hint="eastAsia" w:ascii="Times New Roman" w:hAnsi="Times New Roman" w:eastAsia="宋体" w:cs="Times New Roman"/>
          <w:color w:val="auto"/>
          <w:kern w:val="0"/>
          <w:u w:val="none"/>
          <w:shd w:val="clear" w:color="auto" w:fill="FFFFFF"/>
          <w:lang w:val="en-US" w:eastAsia="zh-CN"/>
        </w:rPr>
        <w:t>95万元，谈判单位正价差代理费≤1.90元/兆瓦时；谈判单位负价差分成比例≤10%</w:t>
      </w:r>
      <w:r>
        <w:rPr>
          <w:rStyle w:val="56"/>
          <w:rFonts w:hint="eastAsia"/>
          <w:color w:val="auto"/>
          <w:kern w:val="0"/>
          <w:u w:val="none"/>
          <w:shd w:val="clear" w:color="auto" w:fill="FFFFFF"/>
          <w:lang w:eastAsia="zh-CN"/>
        </w:rPr>
        <w:t>。</w:t>
      </w:r>
    </w:p>
    <w:p>
      <w:pPr>
        <w:pStyle w:val="46"/>
        <w:ind w:left="0" w:leftChars="0" w:firstLine="0" w:firstLineChars="0"/>
        <w:rPr>
          <w:strike/>
          <w:dstrike w:val="0"/>
          <w:color w:val="auto"/>
          <w:u w:val="none"/>
        </w:rPr>
        <w:sectPr>
          <w:pgSz w:w="11906" w:h="16838"/>
          <w:pgMar w:top="2098" w:right="1474" w:bottom="1984" w:left="1587" w:header="851" w:footer="992" w:gutter="0"/>
          <w:pgNumType w:fmt="decimal"/>
          <w:cols w:space="0" w:num="1"/>
          <w:docGrid w:type="lines" w:linePitch="319" w:charSpace="0"/>
        </w:sectPr>
      </w:pPr>
    </w:p>
    <w:p>
      <w:pPr>
        <w:pStyle w:val="3"/>
        <w:keepNext w:val="0"/>
        <w:rPr>
          <w:rFonts w:ascii="宋体" w:hAnsi="宋体" w:cs="宋体"/>
          <w:bCs w:val="0"/>
          <w:color w:val="FF0000"/>
          <w:sz w:val="32"/>
          <w:szCs w:val="32"/>
          <w:u w:val="none"/>
        </w:rPr>
      </w:pPr>
      <w:bookmarkStart w:id="69" w:name="_Toc17888"/>
      <w:r>
        <w:rPr>
          <w:rFonts w:hint="eastAsia" w:ascii="宋体" w:hAnsi="宋体" w:cs="宋体"/>
          <w:bCs w:val="0"/>
          <w:sz w:val="32"/>
          <w:szCs w:val="32"/>
          <w:u w:val="none"/>
        </w:rPr>
        <w:t>第六章  合同格式条款</w:t>
      </w:r>
      <w:bookmarkEnd w:id="64"/>
      <w:bookmarkEnd w:id="65"/>
      <w:bookmarkEnd w:id="66"/>
      <w:bookmarkEnd w:id="67"/>
      <w:bookmarkEnd w:id="68"/>
      <w:bookmarkEnd w:id="69"/>
    </w:p>
    <w:p>
      <w:pPr>
        <w:pageBreakBefore w:val="0"/>
        <w:widowControl/>
        <w:kinsoku/>
        <w:wordWrap/>
        <w:overflowPunct/>
        <w:topLinePunct w:val="0"/>
        <w:autoSpaceDE/>
        <w:autoSpaceDN/>
        <w:bidi w:val="0"/>
        <w:spacing w:before="156" w:beforeLines="50" w:after="156" w:line="240" w:lineRule="atLeast"/>
        <w:jc w:val="right"/>
        <w:textAlignment w:val="auto"/>
        <w:rPr>
          <w:rFonts w:ascii="宋体" w:hAnsi="宋体"/>
          <w:color w:val="auto"/>
          <w:sz w:val="28"/>
          <w:szCs w:val="28"/>
          <w:highlight w:val="none"/>
          <w:lang w:eastAsia="zh-CN"/>
        </w:rPr>
      </w:pPr>
      <w:bookmarkStart w:id="70" w:name="_Toc5097"/>
      <w:bookmarkStart w:id="71" w:name="_Toc20891"/>
      <w:bookmarkStart w:id="72" w:name="_Toc29654"/>
      <w:bookmarkStart w:id="73" w:name="_Toc18525"/>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lang w:eastAsia="zh-CN"/>
        </w:rPr>
        <w:t>合同编号:</w:t>
      </w:r>
    </w:p>
    <w:p>
      <w:pPr>
        <w:pageBreakBefore w:val="0"/>
        <w:widowControl/>
        <w:kinsoku/>
        <w:wordWrap/>
        <w:overflowPunct/>
        <w:topLinePunct w:val="0"/>
        <w:autoSpaceDE/>
        <w:autoSpaceDN/>
        <w:bidi w:val="0"/>
        <w:spacing w:after="0" w:line="240" w:lineRule="atLeast"/>
        <w:textAlignment w:val="auto"/>
        <w:rPr>
          <w:rFonts w:hint="eastAsia" w:ascii="黑体" w:hAnsi="黑体" w:eastAsia="黑体" w:cs="黑体"/>
          <w:b w:val="0"/>
          <w:bCs/>
          <w:color w:val="auto"/>
          <w:sz w:val="32"/>
          <w:szCs w:val="32"/>
          <w:highlight w:val="none"/>
          <w:lang w:eastAsia="zh-CN"/>
        </w:rPr>
      </w:pPr>
    </w:p>
    <w:p>
      <w:pPr>
        <w:pageBreakBefore w:val="0"/>
        <w:widowControl/>
        <w:kinsoku/>
        <w:wordWrap/>
        <w:overflowPunct/>
        <w:topLinePunct w:val="0"/>
        <w:autoSpaceDE/>
        <w:autoSpaceDN/>
        <w:bidi w:val="0"/>
        <w:spacing w:line="240" w:lineRule="atLeast"/>
        <w:textAlignment w:val="auto"/>
        <w:rPr>
          <w:rFonts w:hint="eastAsia"/>
          <w:color w:val="auto"/>
          <w:highlight w:val="none"/>
          <w:lang w:eastAsia="zh-CN"/>
        </w:rPr>
      </w:pPr>
    </w:p>
    <w:p>
      <w:pPr>
        <w:pageBreakBefore w:val="0"/>
        <w:widowControl/>
        <w:kinsoku/>
        <w:wordWrap/>
        <w:overflowPunct/>
        <w:topLinePunct w:val="0"/>
        <w:autoSpaceDE/>
        <w:autoSpaceDN/>
        <w:bidi w:val="0"/>
        <w:spacing w:before="156" w:beforeLines="50" w:after="156" w:line="240" w:lineRule="atLeast"/>
        <w:jc w:val="center"/>
        <w:textAlignment w:val="auto"/>
        <w:rPr>
          <w:rFonts w:ascii="宋体" w:hAnsi="宋体"/>
          <w:b/>
          <w:color w:val="auto"/>
          <w:sz w:val="52"/>
          <w:szCs w:val="52"/>
          <w:highlight w:val="none"/>
          <w:lang w:eastAsia="zh-CN"/>
        </w:rPr>
      </w:pPr>
      <w:r>
        <w:rPr>
          <w:rFonts w:hint="eastAsia" w:ascii="宋体" w:hAnsi="宋体"/>
          <w:b/>
          <w:color w:val="auto"/>
          <w:sz w:val="52"/>
          <w:szCs w:val="52"/>
          <w:highlight w:val="none"/>
          <w:lang w:eastAsia="zh-CN"/>
        </w:rPr>
        <w:t>代理购售电合同</w:t>
      </w:r>
    </w:p>
    <w:p>
      <w:pPr>
        <w:pageBreakBefore w:val="0"/>
        <w:widowControl/>
        <w:kinsoku/>
        <w:wordWrap/>
        <w:overflowPunct/>
        <w:topLinePunct w:val="0"/>
        <w:autoSpaceDE/>
        <w:autoSpaceDN/>
        <w:bidi w:val="0"/>
        <w:spacing w:line="240" w:lineRule="atLeast"/>
        <w:textAlignment w:val="auto"/>
        <w:rPr>
          <w:rFonts w:ascii="宋体" w:hAnsi="宋体"/>
          <w:color w:val="auto"/>
          <w:sz w:val="30"/>
          <w:szCs w:val="30"/>
          <w:highlight w:val="none"/>
          <w:lang w:eastAsia="zh-CN"/>
        </w:rPr>
      </w:pPr>
    </w:p>
    <w:p>
      <w:pPr>
        <w:pageBreakBefore w:val="0"/>
        <w:widowControl/>
        <w:kinsoku/>
        <w:wordWrap/>
        <w:overflowPunct/>
        <w:topLinePunct w:val="0"/>
        <w:autoSpaceDE/>
        <w:autoSpaceDN/>
        <w:bidi w:val="0"/>
        <w:spacing w:line="240" w:lineRule="atLeast"/>
        <w:textAlignment w:val="auto"/>
        <w:rPr>
          <w:rFonts w:ascii="宋体" w:hAnsi="宋体"/>
          <w:color w:val="auto"/>
          <w:sz w:val="30"/>
          <w:szCs w:val="30"/>
          <w:highlight w:val="none"/>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835" w:firstLineChars="297"/>
        <w:textAlignment w:val="auto"/>
        <w:rPr>
          <w:rFonts w:hint="default" w:ascii="仿宋" w:hAnsi="仿宋" w:eastAsia="仿宋" w:cs="仿宋"/>
          <w:b/>
          <w:color w:val="auto"/>
          <w:sz w:val="28"/>
          <w:szCs w:val="28"/>
          <w:highlight w:val="none"/>
          <w:u w:val="dotted"/>
          <w:lang w:val="en-US"/>
        </w:rPr>
      </w:pPr>
      <w:r>
        <w:rPr>
          <w:rFonts w:hint="eastAsia" w:ascii="仿宋" w:hAnsi="仿宋" w:eastAsia="仿宋" w:cs="仿宋"/>
          <w:b/>
          <w:color w:val="auto"/>
          <w:sz w:val="28"/>
          <w:szCs w:val="28"/>
          <w:highlight w:val="none"/>
        </w:rPr>
        <w:t>项目名称：</w:t>
      </w:r>
      <w:r>
        <w:rPr>
          <w:rFonts w:hint="eastAsia" w:ascii="仿宋_GB2312" w:hAnsi="仿宋_GB2312" w:eastAsia="仿宋_GB2312" w:cs="仿宋_GB2312"/>
          <w:kern w:val="2"/>
          <w:sz w:val="30"/>
          <w:szCs w:val="30"/>
          <w:highlight w:val="none"/>
          <w:u w:val="dotted"/>
          <w:lang w:val="en-US" w:eastAsia="zh-CN" w:bidi="ar-SA"/>
        </w:rPr>
        <w:t>长沙市轨道交通1、2、3、4、5号线运营期2022年-2023年代理购电服务项目</w:t>
      </w:r>
    </w:p>
    <w:p>
      <w:pPr>
        <w:pageBreakBefore w:val="0"/>
        <w:widowControl/>
        <w:kinsoku/>
        <w:wordWrap/>
        <w:overflowPunct/>
        <w:topLinePunct w:val="0"/>
        <w:autoSpaceDE/>
        <w:autoSpaceDN/>
        <w:bidi w:val="0"/>
        <w:adjustRightInd w:val="0"/>
        <w:snapToGrid w:val="0"/>
        <w:spacing w:line="240" w:lineRule="atLeast"/>
        <w:ind w:firstLine="835" w:firstLineChars="297"/>
        <w:textAlignment w:val="auto"/>
        <w:rPr>
          <w:rFonts w:hint="eastAsia" w:ascii="仿宋" w:hAnsi="仿宋" w:eastAsia="仿宋" w:cs="仿宋"/>
          <w:b/>
          <w:color w:val="auto"/>
          <w:sz w:val="28"/>
          <w:szCs w:val="28"/>
          <w:highlight w:val="none"/>
        </w:rPr>
      </w:pPr>
    </w:p>
    <w:p>
      <w:pPr>
        <w:pageBreakBefore w:val="0"/>
        <w:widowControl/>
        <w:kinsoku/>
        <w:wordWrap/>
        <w:overflowPunct/>
        <w:topLinePunct w:val="0"/>
        <w:autoSpaceDE/>
        <w:autoSpaceDN/>
        <w:bidi w:val="0"/>
        <w:adjustRightInd w:val="0"/>
        <w:snapToGrid w:val="0"/>
        <w:spacing w:line="240" w:lineRule="atLeast"/>
        <w:ind w:firstLine="835" w:firstLineChars="297"/>
        <w:textAlignment w:val="auto"/>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项目地点：</w:t>
      </w:r>
      <w:r>
        <w:rPr>
          <w:rFonts w:hint="eastAsia" w:ascii="仿宋_GB2312" w:hAnsi="仿宋_GB2312" w:eastAsia="仿宋_GB2312" w:cs="仿宋_GB2312"/>
          <w:sz w:val="30"/>
          <w:szCs w:val="30"/>
          <w:highlight w:val="none"/>
          <w:u w:val="dotted"/>
        </w:rPr>
        <w:t>湖南省长沙市</w:t>
      </w:r>
    </w:p>
    <w:p>
      <w:pPr>
        <w:pageBreakBefore w:val="0"/>
        <w:widowControl/>
        <w:kinsoku/>
        <w:wordWrap/>
        <w:overflowPunct/>
        <w:topLinePunct w:val="0"/>
        <w:autoSpaceDE/>
        <w:autoSpaceDN/>
        <w:bidi w:val="0"/>
        <w:adjustRightInd w:val="0"/>
        <w:snapToGrid w:val="0"/>
        <w:spacing w:line="240" w:lineRule="atLeast"/>
        <w:ind w:firstLine="835" w:firstLineChars="297"/>
        <w:textAlignment w:val="auto"/>
        <w:rPr>
          <w:rFonts w:hint="eastAsia" w:ascii="仿宋" w:hAnsi="仿宋" w:eastAsia="仿宋" w:cs="仿宋"/>
          <w:b/>
          <w:color w:val="auto"/>
          <w:sz w:val="28"/>
          <w:szCs w:val="28"/>
          <w:highlight w:val="none"/>
        </w:rPr>
      </w:pPr>
    </w:p>
    <w:p>
      <w:pPr>
        <w:adjustRightInd w:val="0"/>
        <w:snapToGrid w:val="0"/>
        <w:spacing w:line="360" w:lineRule="auto"/>
        <w:ind w:firstLine="562" w:firstLineChars="200"/>
        <w:rPr>
          <w:rFonts w:hint="eastAsia" w:ascii="仿宋_GB2312" w:hAnsi="仿宋_GB2312" w:eastAsia="仿宋_GB2312" w:cs="仿宋_GB2312"/>
          <w:sz w:val="30"/>
          <w:szCs w:val="30"/>
          <w:highlight w:val="none"/>
          <w:u w:val="dotted"/>
          <w:lang w:val="en-US" w:eastAsia="zh-CN"/>
        </w:rPr>
      </w:pPr>
      <w:r>
        <w:rPr>
          <w:rFonts w:hint="eastAsia" w:ascii="仿宋" w:hAnsi="仿宋" w:eastAsia="仿宋" w:cs="仿宋"/>
          <w:b/>
          <w:color w:val="auto"/>
          <w:sz w:val="28"/>
          <w:szCs w:val="28"/>
          <w:highlight w:val="none"/>
        </w:rPr>
        <w:t>甲    方：</w:t>
      </w:r>
      <w:r>
        <w:rPr>
          <w:rFonts w:hint="eastAsia" w:ascii="仿宋" w:hAnsi="仿宋" w:eastAsia="仿宋" w:cs="仿宋"/>
          <w:b/>
          <w:color w:val="auto"/>
          <w:sz w:val="28"/>
          <w:szCs w:val="28"/>
          <w:highlight w:val="none"/>
          <w:lang w:val="en-US" w:eastAsia="zh-CN"/>
        </w:rPr>
        <w:t xml:space="preserve"> </w:t>
      </w:r>
      <w:r>
        <w:rPr>
          <w:rFonts w:hint="eastAsia" w:ascii="仿宋_GB2312" w:hAnsi="仿宋_GB2312" w:eastAsia="仿宋_GB2312" w:cs="仿宋_GB2312"/>
          <w:sz w:val="30"/>
          <w:szCs w:val="30"/>
          <w:highlight w:val="none"/>
          <w:u w:val="dotted"/>
          <w:lang w:val="en-US" w:eastAsia="zh-CN"/>
        </w:rPr>
        <w:t>长沙市轨道交通一号线建设发展有限公司</w:t>
      </w:r>
    </w:p>
    <w:p>
      <w:pPr>
        <w:adjustRightInd w:val="0"/>
        <w:snapToGrid w:val="0"/>
        <w:spacing w:line="360" w:lineRule="auto"/>
        <w:ind w:firstLine="2100" w:firstLineChars="700"/>
        <w:rPr>
          <w:rFonts w:hint="eastAsia" w:ascii="仿宋_GB2312" w:hAnsi="仿宋_GB2312" w:eastAsia="仿宋_GB2312" w:cs="仿宋_GB2312"/>
          <w:sz w:val="30"/>
          <w:szCs w:val="30"/>
          <w:highlight w:val="none"/>
          <w:u w:val="dotted"/>
          <w:lang w:val="en-US" w:eastAsia="zh-CN"/>
        </w:rPr>
      </w:pPr>
      <w:r>
        <w:rPr>
          <w:rFonts w:hint="eastAsia" w:ascii="仿宋_GB2312" w:hAnsi="仿宋_GB2312" w:eastAsia="仿宋_GB2312" w:cs="仿宋_GB2312"/>
          <w:sz w:val="30"/>
          <w:szCs w:val="30"/>
          <w:highlight w:val="none"/>
          <w:u w:val="dotted"/>
          <w:lang w:val="en-US" w:eastAsia="zh-CN"/>
        </w:rPr>
        <w:t>长沙市轨道交通运营有限公司</w:t>
      </w:r>
    </w:p>
    <w:p>
      <w:pPr>
        <w:adjustRightInd w:val="0"/>
        <w:snapToGrid w:val="0"/>
        <w:spacing w:line="360" w:lineRule="auto"/>
        <w:ind w:firstLine="2100" w:firstLineChars="700"/>
        <w:rPr>
          <w:rFonts w:hint="eastAsia" w:ascii="仿宋_GB2312" w:hAnsi="仿宋_GB2312" w:eastAsia="仿宋_GB2312" w:cs="仿宋_GB2312"/>
          <w:sz w:val="30"/>
          <w:szCs w:val="30"/>
          <w:highlight w:val="none"/>
          <w:u w:val="dotted"/>
          <w:lang w:val="en-US" w:eastAsia="zh-CN"/>
        </w:rPr>
      </w:pPr>
      <w:r>
        <w:rPr>
          <w:rFonts w:hint="eastAsia" w:ascii="仿宋_GB2312" w:hAnsi="仿宋_GB2312" w:eastAsia="仿宋_GB2312" w:cs="仿宋_GB2312"/>
          <w:sz w:val="30"/>
          <w:szCs w:val="30"/>
          <w:highlight w:val="none"/>
          <w:u w:val="dotted"/>
          <w:lang w:val="en-US" w:eastAsia="zh-CN"/>
        </w:rPr>
        <w:t>长沙市轨道交通三号线建设发展有限公司</w:t>
      </w:r>
    </w:p>
    <w:p>
      <w:pPr>
        <w:adjustRightInd w:val="0"/>
        <w:snapToGrid w:val="0"/>
        <w:spacing w:line="360" w:lineRule="auto"/>
        <w:ind w:firstLine="2100" w:firstLineChars="700"/>
        <w:rPr>
          <w:rFonts w:hint="eastAsia" w:ascii="仿宋_GB2312" w:hAnsi="仿宋_GB2312" w:eastAsia="仿宋_GB2312" w:cs="仿宋_GB2312"/>
          <w:sz w:val="30"/>
          <w:szCs w:val="30"/>
          <w:highlight w:val="none"/>
          <w:u w:val="dotted"/>
          <w:lang w:val="en-US" w:eastAsia="zh-CN"/>
        </w:rPr>
      </w:pPr>
      <w:r>
        <w:rPr>
          <w:rFonts w:hint="eastAsia" w:ascii="仿宋_GB2312" w:hAnsi="仿宋_GB2312" w:eastAsia="仿宋_GB2312" w:cs="仿宋_GB2312"/>
          <w:sz w:val="30"/>
          <w:szCs w:val="30"/>
          <w:highlight w:val="none"/>
          <w:u w:val="dotted"/>
          <w:lang w:val="en-US" w:eastAsia="zh-CN"/>
        </w:rPr>
        <w:t>长沙市轨道交通四号线建设发展有限公司</w:t>
      </w:r>
    </w:p>
    <w:p>
      <w:pPr>
        <w:adjustRightInd w:val="0"/>
        <w:snapToGrid w:val="0"/>
        <w:spacing w:line="360" w:lineRule="auto"/>
        <w:ind w:firstLine="2100" w:firstLineChars="700"/>
        <w:rPr>
          <w:rFonts w:ascii="仿宋" w:hAnsi="仿宋" w:eastAsia="仿宋" w:cs="仿宋"/>
          <w:b/>
          <w:color w:val="auto"/>
          <w:sz w:val="28"/>
          <w:szCs w:val="28"/>
          <w:highlight w:val="none"/>
          <w:u w:val="dotted"/>
        </w:rPr>
      </w:pPr>
      <w:r>
        <w:rPr>
          <w:rFonts w:hint="eastAsia" w:ascii="仿宋_GB2312" w:hAnsi="仿宋_GB2312" w:eastAsia="仿宋_GB2312" w:cs="仿宋_GB2312"/>
          <w:sz w:val="30"/>
          <w:szCs w:val="30"/>
          <w:highlight w:val="none"/>
          <w:u w:val="dotted"/>
          <w:lang w:val="en-US" w:eastAsia="zh-CN"/>
        </w:rPr>
        <w:t>长沙市轨道交通五号线建设发展有限公司</w:t>
      </w:r>
    </w:p>
    <w:p>
      <w:pPr>
        <w:pStyle w:val="13"/>
        <w:pageBreakBefore w:val="0"/>
        <w:widowControl/>
        <w:kinsoku/>
        <w:wordWrap/>
        <w:overflowPunct/>
        <w:topLinePunct w:val="0"/>
        <w:autoSpaceDE/>
        <w:autoSpaceDN/>
        <w:bidi w:val="0"/>
        <w:spacing w:line="240" w:lineRule="atLeast"/>
        <w:textAlignment w:val="auto"/>
        <w:rPr>
          <w:rFonts w:hint="eastAsia"/>
          <w:color w:val="auto"/>
          <w:highlight w:val="none"/>
        </w:rPr>
      </w:pPr>
    </w:p>
    <w:p>
      <w:pPr>
        <w:keepNext/>
        <w:keepLines w:val="0"/>
        <w:pageBreakBefore w:val="0"/>
        <w:widowControl/>
        <w:kinsoku/>
        <w:wordWrap/>
        <w:overflowPunct/>
        <w:topLinePunct w:val="0"/>
        <w:autoSpaceDE/>
        <w:autoSpaceDN/>
        <w:bidi w:val="0"/>
        <w:adjustRightInd/>
        <w:snapToGrid/>
        <w:spacing w:before="0" w:after="0" w:line="240" w:lineRule="atLeast"/>
        <w:ind w:firstLine="560" w:firstLineChars="200"/>
        <w:jc w:val="left"/>
        <w:textAlignment w:val="auto"/>
        <w:outlineLvl w:val="9"/>
        <w:rPr>
          <w:rFonts w:hint="eastAsia" w:ascii="仿宋" w:hAnsi="仿宋" w:eastAsia="仿宋" w:cs="仿宋"/>
          <w:bCs w:val="0"/>
          <w:color w:val="auto"/>
          <w:kern w:val="2"/>
          <w:sz w:val="28"/>
          <w:szCs w:val="28"/>
          <w:highlight w:val="none"/>
          <w:u w:val="dotted"/>
        </w:rPr>
      </w:pPr>
      <w:r>
        <w:rPr>
          <w:rFonts w:hint="eastAsia" w:ascii="仿宋" w:hAnsi="仿宋" w:eastAsia="仿宋" w:cs="仿宋"/>
          <w:color w:val="auto"/>
          <w:sz w:val="28"/>
          <w:szCs w:val="28"/>
          <w:highlight w:val="none"/>
        </w:rPr>
        <w:t>乙    方</w:t>
      </w:r>
      <w:r>
        <w:rPr>
          <w:rFonts w:hint="eastAsia" w:ascii="仿宋" w:hAnsi="仿宋" w:eastAsia="仿宋" w:cs="仿宋"/>
          <w:bCs w:val="0"/>
          <w:color w:val="auto"/>
          <w:kern w:val="2"/>
          <w:sz w:val="28"/>
          <w:szCs w:val="28"/>
          <w:highlight w:val="none"/>
        </w:rPr>
        <w:t>：</w:t>
      </w:r>
      <w:r>
        <w:rPr>
          <w:rFonts w:hint="eastAsia" w:ascii="仿宋" w:hAnsi="仿宋" w:eastAsia="仿宋" w:cs="仿宋"/>
          <w:bCs w:val="0"/>
          <w:color w:val="auto"/>
          <w:kern w:val="2"/>
          <w:sz w:val="28"/>
          <w:szCs w:val="28"/>
          <w:highlight w:val="none"/>
          <w:u w:val="dotted"/>
        </w:rPr>
        <w:t xml:space="preserve">                                  </w:t>
      </w:r>
    </w:p>
    <w:p>
      <w:pPr>
        <w:pageBreakBefore w:val="0"/>
        <w:widowControl/>
        <w:kinsoku/>
        <w:wordWrap/>
        <w:overflowPunct/>
        <w:topLinePunct w:val="0"/>
        <w:autoSpaceDE/>
        <w:autoSpaceDN/>
        <w:bidi w:val="0"/>
        <w:spacing w:line="240" w:lineRule="atLeast"/>
        <w:textAlignment w:val="auto"/>
        <w:rPr>
          <w:rFonts w:ascii="宋体" w:hAnsi="宋体"/>
          <w:color w:val="auto"/>
          <w:sz w:val="28"/>
          <w:szCs w:val="28"/>
          <w:highlight w:val="none"/>
          <w:u w:val="single"/>
          <w:lang w:eastAsia="zh-CN"/>
        </w:rPr>
      </w:pPr>
    </w:p>
    <w:p>
      <w:pPr>
        <w:pageBreakBefore w:val="0"/>
        <w:widowControl/>
        <w:kinsoku/>
        <w:wordWrap/>
        <w:overflowPunct/>
        <w:topLinePunct w:val="0"/>
        <w:autoSpaceDE/>
        <w:autoSpaceDN/>
        <w:bidi w:val="0"/>
        <w:spacing w:before="156" w:beforeLines="50" w:after="156" w:line="240" w:lineRule="atLeast"/>
        <w:jc w:val="center"/>
        <w:textAlignment w:val="auto"/>
        <w:rPr>
          <w:rFonts w:hint="eastAsia" w:ascii="宋体" w:hAnsi="宋体"/>
          <w:b/>
          <w:color w:val="auto"/>
          <w:sz w:val="36"/>
          <w:szCs w:val="36"/>
          <w:highlight w:val="none"/>
          <w:lang w:eastAsia="zh-CN"/>
        </w:rPr>
        <w:sectPr>
          <w:footerReference r:id="rId9" w:type="default"/>
          <w:pgSz w:w="11906" w:h="16838"/>
          <w:pgMar w:top="1440" w:right="1797" w:bottom="1440" w:left="1797" w:header="851" w:footer="567" w:gutter="0"/>
          <w:pgNumType w:fmt="decimal"/>
          <w:cols w:space="720" w:num="1"/>
          <w:docGrid w:type="lines" w:linePitch="312" w:charSpace="0"/>
        </w:sectPr>
      </w:pPr>
    </w:p>
    <w:p>
      <w:pPr>
        <w:pageBreakBefore w:val="0"/>
        <w:widowControl/>
        <w:kinsoku/>
        <w:wordWrap/>
        <w:overflowPunct/>
        <w:topLinePunct w:val="0"/>
        <w:autoSpaceDE/>
        <w:autoSpaceDN/>
        <w:bidi w:val="0"/>
        <w:spacing w:before="156" w:beforeLines="50" w:after="156" w:line="240" w:lineRule="atLeast"/>
        <w:jc w:val="center"/>
        <w:textAlignment w:val="auto"/>
        <w:rPr>
          <w:rFonts w:ascii="宋体" w:hAnsi="宋体"/>
          <w:b/>
          <w:color w:val="auto"/>
          <w:sz w:val="36"/>
          <w:szCs w:val="36"/>
          <w:highlight w:val="none"/>
          <w:lang w:eastAsia="zh-CN"/>
        </w:rPr>
      </w:pPr>
      <w:r>
        <w:rPr>
          <w:rFonts w:hint="eastAsia" w:ascii="宋体" w:hAnsi="宋体"/>
          <w:b/>
          <w:color w:val="auto"/>
          <w:sz w:val="36"/>
          <w:szCs w:val="36"/>
          <w:highlight w:val="none"/>
          <w:lang w:eastAsia="zh-CN"/>
        </w:rPr>
        <w:t>代理电力交易服务合同</w:t>
      </w:r>
    </w:p>
    <w:p>
      <w:pPr>
        <w:pageBreakBefore w:val="0"/>
        <w:widowControl/>
        <w:kinsoku/>
        <w:wordWrap/>
        <w:overflowPunct/>
        <w:topLinePunct w:val="0"/>
        <w:autoSpaceDE/>
        <w:autoSpaceDN/>
        <w:bidi w:val="0"/>
        <w:spacing w:after="0" w:line="240" w:lineRule="atLeast"/>
        <w:jc w:val="center"/>
        <w:textAlignment w:val="auto"/>
        <w:rPr>
          <w:rFonts w:ascii="宋体" w:hAnsi="宋体"/>
          <w:b/>
          <w:color w:val="auto"/>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ascii="仿宋_GB2312" w:hAnsi="仿宋_GB2312" w:eastAsia="仿宋_GB2312" w:cs="仿宋_GB2312"/>
          <w:b/>
          <w:color w:val="auto"/>
          <w:kern w:val="2"/>
          <w:sz w:val="24"/>
          <w:szCs w:val="24"/>
          <w:highlight w:val="none"/>
          <w:lang w:eastAsia="zh-CN" w:bidi="ar-SA"/>
        </w:rPr>
      </w:pPr>
      <w:r>
        <w:rPr>
          <w:rFonts w:hint="eastAsia" w:ascii="仿宋_GB2312" w:hAnsi="仿宋_GB2312" w:eastAsia="仿宋_GB2312" w:cs="仿宋_GB2312"/>
          <w:b/>
          <w:color w:val="auto"/>
          <w:kern w:val="2"/>
          <w:sz w:val="24"/>
          <w:szCs w:val="24"/>
          <w:highlight w:val="none"/>
          <w:lang w:eastAsia="zh-CN" w:bidi="ar-SA"/>
        </w:rPr>
        <w:t>甲方:</w:t>
      </w:r>
      <w:r>
        <w:rPr>
          <w:rFonts w:hint="eastAsia" w:ascii="仿宋_GB2312" w:hAnsi="仿宋_GB2312" w:eastAsia="仿宋_GB2312" w:cs="仿宋_GB2312"/>
          <w:b/>
          <w:color w:val="auto"/>
          <w:kern w:val="2"/>
          <w:sz w:val="24"/>
          <w:szCs w:val="24"/>
          <w:highlight w:val="none"/>
          <w:lang w:val="en-US" w:eastAsia="zh-CN" w:bidi="ar-SA"/>
        </w:rPr>
        <w:t xml:space="preserve"> </w:t>
      </w:r>
      <w:r>
        <w:rPr>
          <w:rFonts w:hint="eastAsia" w:ascii="仿宋_GB2312" w:hAnsi="仿宋_GB2312" w:eastAsia="仿宋_GB2312" w:cs="仿宋_GB2312"/>
          <w:color w:val="auto"/>
          <w:kern w:val="2"/>
          <w:sz w:val="24"/>
          <w:szCs w:val="24"/>
          <w:highlight w:val="none"/>
          <w:u w:val="single"/>
          <w:lang w:val="en-US" w:eastAsia="zh-CN" w:bidi="ar"/>
        </w:rPr>
        <w:t>长沙市轨道交通一号线建设发展有限公司</w:t>
      </w:r>
      <w:r>
        <w:rPr>
          <w:rFonts w:hint="eastAsia" w:ascii="仿宋_GB2312" w:hAnsi="仿宋_GB2312" w:eastAsia="仿宋_GB2312" w:cs="仿宋_GB2312"/>
          <w:b/>
          <w:color w:val="auto"/>
          <w:kern w:val="2"/>
          <w:sz w:val="24"/>
          <w:szCs w:val="24"/>
          <w:highlight w:val="none"/>
          <w:lang w:eastAsia="zh-CN" w:bidi="ar-SA"/>
        </w:rPr>
        <w:t xml:space="preserve"> </w:t>
      </w:r>
    </w:p>
    <w:p>
      <w:pPr>
        <w:keepNext w:val="0"/>
        <w:keepLines w:val="0"/>
        <w:pageBreakBefore w:val="0"/>
        <w:widowControl w:val="0"/>
        <w:kinsoku/>
        <w:wordWrap/>
        <w:overflowPunct/>
        <w:topLinePunct w:val="0"/>
        <w:autoSpaceDE/>
        <w:autoSpaceDN/>
        <w:bidi w:val="0"/>
        <w:adjustRightInd/>
        <w:snapToGrid w:val="0"/>
        <w:spacing w:after="0" w:line="360" w:lineRule="auto"/>
        <w:ind w:firstLine="720" w:firstLineChars="300"/>
        <w:jc w:val="left"/>
        <w:textAlignment w:val="auto"/>
        <w:rPr>
          <w:rFonts w:hint="eastAsia" w:ascii="仿宋_GB2312" w:hAnsi="仿宋_GB2312" w:eastAsia="仿宋_GB2312" w:cs="仿宋_GB2312"/>
          <w:color w:val="auto"/>
          <w:kern w:val="2"/>
          <w:sz w:val="24"/>
          <w:szCs w:val="24"/>
          <w:highlight w:val="none"/>
          <w:u w:val="single"/>
          <w:lang w:val="en-US" w:eastAsia="zh-CN" w:bidi="ar"/>
        </w:rPr>
      </w:pPr>
      <w:r>
        <w:rPr>
          <w:rFonts w:hint="eastAsia" w:ascii="仿宋_GB2312" w:hAnsi="仿宋_GB2312" w:eastAsia="仿宋_GB2312" w:cs="仿宋_GB2312"/>
          <w:color w:val="auto"/>
          <w:kern w:val="2"/>
          <w:sz w:val="24"/>
          <w:szCs w:val="24"/>
          <w:highlight w:val="none"/>
          <w:u w:val="single"/>
          <w:lang w:val="en-US" w:eastAsia="zh-CN" w:bidi="ar"/>
        </w:rPr>
        <w:t>长沙市轨道交通运营有限公司</w:t>
      </w:r>
    </w:p>
    <w:p>
      <w:pPr>
        <w:keepNext w:val="0"/>
        <w:keepLines w:val="0"/>
        <w:pageBreakBefore w:val="0"/>
        <w:widowControl w:val="0"/>
        <w:kinsoku/>
        <w:wordWrap/>
        <w:overflowPunct/>
        <w:topLinePunct w:val="0"/>
        <w:autoSpaceDE/>
        <w:autoSpaceDN/>
        <w:bidi w:val="0"/>
        <w:adjustRightInd/>
        <w:snapToGrid w:val="0"/>
        <w:spacing w:after="0" w:line="360" w:lineRule="auto"/>
        <w:ind w:firstLine="720" w:firstLineChars="300"/>
        <w:jc w:val="left"/>
        <w:textAlignment w:val="auto"/>
        <w:rPr>
          <w:rFonts w:hint="eastAsia" w:ascii="仿宋_GB2312" w:hAnsi="仿宋_GB2312" w:eastAsia="仿宋_GB2312" w:cs="仿宋_GB2312"/>
          <w:color w:val="auto"/>
          <w:kern w:val="2"/>
          <w:sz w:val="24"/>
          <w:szCs w:val="24"/>
          <w:highlight w:val="none"/>
          <w:u w:val="single"/>
          <w:lang w:val="en-US" w:eastAsia="zh-CN" w:bidi="ar"/>
        </w:rPr>
      </w:pPr>
      <w:r>
        <w:rPr>
          <w:rFonts w:hint="eastAsia" w:ascii="仿宋_GB2312" w:hAnsi="仿宋_GB2312" w:eastAsia="仿宋_GB2312" w:cs="仿宋_GB2312"/>
          <w:color w:val="auto"/>
          <w:kern w:val="2"/>
          <w:sz w:val="24"/>
          <w:szCs w:val="24"/>
          <w:highlight w:val="none"/>
          <w:u w:val="single"/>
          <w:lang w:val="en-US" w:eastAsia="zh-CN" w:bidi="ar"/>
        </w:rPr>
        <w:t>长沙市轨道交通三号线建设发展有限公司</w:t>
      </w:r>
    </w:p>
    <w:p>
      <w:pPr>
        <w:keepNext w:val="0"/>
        <w:keepLines w:val="0"/>
        <w:pageBreakBefore w:val="0"/>
        <w:widowControl w:val="0"/>
        <w:kinsoku/>
        <w:wordWrap/>
        <w:overflowPunct/>
        <w:topLinePunct w:val="0"/>
        <w:autoSpaceDE/>
        <w:autoSpaceDN/>
        <w:bidi w:val="0"/>
        <w:adjustRightInd/>
        <w:snapToGrid w:val="0"/>
        <w:spacing w:after="0" w:line="360" w:lineRule="auto"/>
        <w:ind w:firstLine="720" w:firstLineChars="300"/>
        <w:jc w:val="left"/>
        <w:textAlignment w:val="auto"/>
        <w:rPr>
          <w:rFonts w:hint="eastAsia" w:ascii="仿宋_GB2312" w:hAnsi="仿宋_GB2312" w:eastAsia="仿宋_GB2312" w:cs="仿宋_GB2312"/>
          <w:color w:val="auto"/>
          <w:kern w:val="2"/>
          <w:sz w:val="24"/>
          <w:szCs w:val="24"/>
          <w:highlight w:val="none"/>
          <w:u w:val="single"/>
          <w:lang w:val="en-US" w:eastAsia="zh-CN" w:bidi="ar"/>
        </w:rPr>
      </w:pPr>
      <w:r>
        <w:rPr>
          <w:rFonts w:hint="eastAsia" w:ascii="仿宋_GB2312" w:hAnsi="仿宋_GB2312" w:eastAsia="仿宋_GB2312" w:cs="仿宋_GB2312"/>
          <w:color w:val="auto"/>
          <w:kern w:val="2"/>
          <w:sz w:val="24"/>
          <w:szCs w:val="24"/>
          <w:highlight w:val="none"/>
          <w:u w:val="single"/>
          <w:lang w:val="en-US" w:eastAsia="zh-CN" w:bidi="ar"/>
        </w:rPr>
        <w:t>长沙市轨道交通四号线建设发展有限公司</w:t>
      </w:r>
    </w:p>
    <w:p>
      <w:pPr>
        <w:keepNext w:val="0"/>
        <w:keepLines w:val="0"/>
        <w:pageBreakBefore w:val="0"/>
        <w:widowControl w:val="0"/>
        <w:kinsoku/>
        <w:wordWrap/>
        <w:overflowPunct/>
        <w:topLinePunct w:val="0"/>
        <w:autoSpaceDE/>
        <w:autoSpaceDN/>
        <w:bidi w:val="0"/>
        <w:adjustRightInd/>
        <w:snapToGrid w:val="0"/>
        <w:spacing w:after="0" w:line="360" w:lineRule="auto"/>
        <w:ind w:firstLine="720" w:firstLineChars="300"/>
        <w:jc w:val="left"/>
        <w:textAlignment w:val="auto"/>
        <w:rPr>
          <w:rFonts w:hint="eastAsia" w:ascii="仿宋_GB2312" w:hAnsi="仿宋_GB2312" w:eastAsia="仿宋_GB2312" w:cs="仿宋_GB2312"/>
          <w:b/>
          <w:color w:val="auto"/>
          <w:kern w:val="2"/>
          <w:sz w:val="24"/>
          <w:szCs w:val="24"/>
          <w:highlight w:val="none"/>
          <w:lang w:eastAsia="zh-CN" w:bidi="ar-SA"/>
        </w:rPr>
      </w:pPr>
      <w:r>
        <w:rPr>
          <w:rFonts w:hint="eastAsia" w:ascii="仿宋_GB2312" w:hAnsi="仿宋_GB2312" w:eastAsia="仿宋_GB2312" w:cs="仿宋_GB2312"/>
          <w:color w:val="auto"/>
          <w:kern w:val="2"/>
          <w:sz w:val="24"/>
          <w:szCs w:val="24"/>
          <w:highlight w:val="none"/>
          <w:u w:val="single"/>
          <w:lang w:val="en-US" w:eastAsia="zh-CN" w:bidi="ar"/>
        </w:rPr>
        <w:t>长沙市轨道交通五号线建设发展有限公司</w:t>
      </w:r>
      <w:r>
        <w:rPr>
          <w:rFonts w:hint="eastAsia" w:ascii="仿宋_GB2312" w:hAnsi="仿宋_GB2312" w:eastAsia="仿宋_GB2312" w:cs="仿宋_GB2312"/>
          <w:b/>
          <w:color w:val="auto"/>
          <w:kern w:val="2"/>
          <w:sz w:val="24"/>
          <w:szCs w:val="24"/>
          <w:highlight w:val="none"/>
          <w:lang w:eastAsia="zh-CN" w:bidi="ar-SA"/>
        </w:rPr>
        <w:t xml:space="preserve">                  </w:t>
      </w: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ascii="仿宋_GB2312" w:hAnsi="仿宋_GB2312" w:eastAsia="仿宋_GB2312" w:cs="仿宋_GB2312"/>
          <w:b/>
          <w:color w:val="auto"/>
          <w:kern w:val="2"/>
          <w:sz w:val="24"/>
          <w:szCs w:val="24"/>
          <w:highlight w:val="none"/>
          <w:lang w:eastAsia="zh-CN" w:bidi="ar-SA"/>
        </w:rPr>
      </w:pPr>
      <w:r>
        <w:rPr>
          <w:rFonts w:hint="eastAsia" w:ascii="仿宋_GB2312" w:hAnsi="仿宋_GB2312" w:eastAsia="仿宋_GB2312" w:cs="仿宋_GB2312"/>
          <w:b/>
          <w:color w:val="auto"/>
          <w:kern w:val="2"/>
          <w:sz w:val="24"/>
          <w:szCs w:val="24"/>
          <w:highlight w:val="none"/>
          <w:lang w:eastAsia="zh-CN" w:bidi="ar-SA"/>
        </w:rPr>
        <w:t xml:space="preserve">乙方: </w:t>
      </w:r>
      <w:r>
        <w:rPr>
          <w:rFonts w:hint="eastAsia" w:ascii="仿宋_GB2312" w:hAnsi="仿宋_GB2312" w:eastAsia="仿宋_GB2312" w:cs="仿宋_GB2312"/>
          <w:b/>
          <w:color w:val="auto"/>
          <w:kern w:val="2"/>
          <w:sz w:val="24"/>
          <w:szCs w:val="24"/>
          <w:highlight w:val="none"/>
          <w:u w:val="single"/>
          <w:lang w:val="en-US" w:eastAsia="zh-CN" w:bidi="ar-SA"/>
        </w:rPr>
        <w:t xml:space="preserve">                            </w:t>
      </w:r>
      <w:r>
        <w:rPr>
          <w:rFonts w:hint="eastAsia" w:ascii="仿宋_GB2312" w:hAnsi="仿宋_GB2312" w:eastAsia="仿宋_GB2312" w:cs="仿宋_GB2312"/>
          <w:b/>
          <w:color w:val="auto"/>
          <w:kern w:val="2"/>
          <w:sz w:val="24"/>
          <w:szCs w:val="24"/>
          <w:highlight w:val="none"/>
          <w:lang w:eastAsia="zh-CN" w:bidi="ar-SA"/>
        </w:rPr>
        <w:t xml:space="preserve">                                      </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eastAsia="zh-CN" w:bidi="ar"/>
        </w:rPr>
      </w:pPr>
      <w:r>
        <w:rPr>
          <w:rFonts w:hint="eastAsia" w:ascii="仿宋_GB2312" w:hAnsi="仿宋_GB2312" w:eastAsia="仿宋_GB2312" w:cs="仿宋_GB2312"/>
          <w:color w:val="auto"/>
          <w:kern w:val="2"/>
          <w:szCs w:val="24"/>
          <w:highlight w:val="none"/>
          <w:lang w:eastAsia="zh-CN" w:bidi="ar"/>
        </w:rPr>
        <w:t>本合同由甲乙双方依照《中华人民共和国民法典》及其他有关法律、行政法规，遵循平等、自愿、公平和诚实信用的原则，双方就开展电力市场交易服务项目达成如下协议,并由双方共同恪守。</w:t>
      </w:r>
    </w:p>
    <w:p>
      <w:pPr>
        <w:widowControl w:val="0"/>
        <w:adjustRightInd w:val="0"/>
        <w:snapToGrid w:val="0"/>
        <w:spacing w:after="0" w:line="360" w:lineRule="auto"/>
        <w:ind w:firstLine="472" w:firstLineChars="196"/>
        <w:jc w:val="both"/>
        <w:rPr>
          <w:rFonts w:hint="eastAsia" w:ascii="仿宋_GB2312" w:hAnsi="仿宋_GB2312" w:eastAsia="仿宋_GB2312" w:cs="仿宋_GB2312"/>
          <w:b/>
          <w:color w:val="auto"/>
          <w:kern w:val="2"/>
          <w:sz w:val="24"/>
          <w:szCs w:val="24"/>
          <w:highlight w:val="none"/>
          <w:lang w:eastAsia="zh-CN" w:bidi="ar"/>
        </w:rPr>
      </w:pPr>
      <w:r>
        <w:rPr>
          <w:rFonts w:hint="eastAsia" w:ascii="仿宋_GB2312" w:hAnsi="仿宋_GB2312" w:eastAsia="仿宋_GB2312" w:cs="仿宋_GB2312"/>
          <w:b/>
          <w:color w:val="auto"/>
          <w:kern w:val="2"/>
          <w:sz w:val="24"/>
          <w:szCs w:val="24"/>
          <w:highlight w:val="none"/>
          <w:lang w:val="en-US" w:eastAsia="zh-CN" w:bidi="ar"/>
        </w:rPr>
        <w:t>一、交易周期</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1.1 乙方代理甲方在湖南电力交易平台参与电力交易(包括但不限于年度协议与月度、日前、实时竞价交易等方式)。代理周期为</w:t>
      </w:r>
      <w:r>
        <w:rPr>
          <w:rFonts w:hint="eastAsia" w:ascii="仿宋_GB2312" w:hAnsi="仿宋_GB2312" w:eastAsia="仿宋_GB2312" w:cs="仿宋_GB2312"/>
          <w:color w:val="auto"/>
          <w:kern w:val="2"/>
          <w:szCs w:val="24"/>
          <w:highlight w:val="none"/>
          <w:u w:val="single"/>
          <w:lang w:val="en-US" w:eastAsia="zh-CN" w:bidi="ar"/>
        </w:rPr>
        <w:t xml:space="preserve">    </w:t>
      </w:r>
      <w:r>
        <w:rPr>
          <w:rFonts w:hint="eastAsia" w:ascii="仿宋_GB2312" w:hAnsi="仿宋_GB2312" w:eastAsia="仿宋_GB2312" w:cs="仿宋_GB2312"/>
          <w:color w:val="auto"/>
          <w:kern w:val="2"/>
          <w:szCs w:val="24"/>
          <w:highlight w:val="none"/>
          <w:lang w:val="en-US" w:eastAsia="zh-CN" w:bidi="ar"/>
        </w:rPr>
        <w:t>年(</w:t>
      </w:r>
      <w:r>
        <w:rPr>
          <w:rFonts w:hint="eastAsia" w:ascii="仿宋_GB2312" w:hAnsi="仿宋_GB2312" w:eastAsia="仿宋_GB2312" w:cs="仿宋_GB2312"/>
          <w:color w:val="auto"/>
          <w:kern w:val="2"/>
          <w:szCs w:val="24"/>
          <w:highlight w:val="none"/>
          <w:u w:val="single"/>
          <w:lang w:val="en-US" w:eastAsia="zh-CN" w:bidi="ar"/>
        </w:rPr>
        <w:t xml:space="preserve">    </w:t>
      </w:r>
      <w:r>
        <w:rPr>
          <w:rFonts w:hint="eastAsia" w:ascii="仿宋_GB2312" w:hAnsi="仿宋_GB2312" w:eastAsia="仿宋_GB2312" w:cs="仿宋_GB2312"/>
          <w:color w:val="auto"/>
          <w:kern w:val="2"/>
          <w:szCs w:val="24"/>
          <w:highlight w:val="none"/>
          <w:lang w:val="en-US" w:eastAsia="zh-CN" w:bidi="ar"/>
        </w:rPr>
        <w:t xml:space="preserve"> 年</w:t>
      </w:r>
      <w:r>
        <w:rPr>
          <w:rFonts w:hint="eastAsia" w:ascii="仿宋_GB2312" w:hAnsi="仿宋_GB2312" w:eastAsia="仿宋_GB2312" w:cs="仿宋_GB2312"/>
          <w:color w:val="auto"/>
          <w:kern w:val="2"/>
          <w:szCs w:val="24"/>
          <w:highlight w:val="none"/>
          <w:u w:val="single"/>
          <w:lang w:val="en-US" w:eastAsia="zh-CN" w:bidi="ar"/>
        </w:rPr>
        <w:t xml:space="preserve">    </w:t>
      </w:r>
      <w:r>
        <w:rPr>
          <w:rFonts w:hint="eastAsia" w:ascii="仿宋_GB2312" w:hAnsi="仿宋_GB2312" w:eastAsia="仿宋_GB2312" w:cs="仿宋_GB2312"/>
          <w:color w:val="auto"/>
          <w:kern w:val="2"/>
          <w:szCs w:val="24"/>
          <w:highlight w:val="none"/>
          <w:lang w:val="en-US" w:eastAsia="zh-CN" w:bidi="ar"/>
        </w:rPr>
        <w:t>月</w:t>
      </w:r>
      <w:r>
        <w:rPr>
          <w:rFonts w:hint="eastAsia" w:ascii="仿宋_GB2312" w:hAnsi="仿宋_GB2312" w:eastAsia="仿宋_GB2312" w:cs="仿宋_GB2312"/>
          <w:color w:val="auto"/>
          <w:kern w:val="2"/>
          <w:szCs w:val="24"/>
          <w:highlight w:val="none"/>
          <w:u w:val="single"/>
          <w:lang w:val="en-US" w:eastAsia="zh-CN" w:bidi="ar"/>
        </w:rPr>
        <w:t xml:space="preserve">    </w:t>
      </w:r>
      <w:r>
        <w:rPr>
          <w:rFonts w:hint="eastAsia" w:ascii="仿宋_GB2312" w:hAnsi="仿宋_GB2312" w:eastAsia="仿宋_GB2312" w:cs="仿宋_GB2312"/>
          <w:color w:val="auto"/>
          <w:kern w:val="2"/>
          <w:szCs w:val="24"/>
          <w:highlight w:val="none"/>
          <w:lang w:val="en-US" w:eastAsia="zh-CN" w:bidi="ar"/>
        </w:rPr>
        <w:t>日至</w:t>
      </w:r>
      <w:r>
        <w:rPr>
          <w:rFonts w:hint="eastAsia" w:ascii="仿宋_GB2312" w:hAnsi="仿宋_GB2312" w:eastAsia="仿宋_GB2312" w:cs="仿宋_GB2312"/>
          <w:color w:val="auto"/>
          <w:kern w:val="2"/>
          <w:szCs w:val="24"/>
          <w:highlight w:val="none"/>
          <w:u w:val="single"/>
          <w:lang w:val="en-US" w:eastAsia="zh-CN" w:bidi="ar"/>
        </w:rPr>
        <w:t xml:space="preserve">    </w:t>
      </w:r>
      <w:r>
        <w:rPr>
          <w:rFonts w:hint="eastAsia" w:ascii="仿宋_GB2312" w:hAnsi="仿宋_GB2312" w:eastAsia="仿宋_GB2312" w:cs="仿宋_GB2312"/>
          <w:color w:val="auto"/>
          <w:kern w:val="2"/>
          <w:szCs w:val="24"/>
          <w:highlight w:val="none"/>
          <w:lang w:val="en-US" w:eastAsia="zh-CN" w:bidi="ar"/>
        </w:rPr>
        <w:t>年</w:t>
      </w:r>
      <w:r>
        <w:rPr>
          <w:rFonts w:hint="eastAsia" w:ascii="仿宋_GB2312" w:hAnsi="仿宋_GB2312" w:eastAsia="仿宋_GB2312" w:cs="仿宋_GB2312"/>
          <w:color w:val="auto"/>
          <w:kern w:val="2"/>
          <w:szCs w:val="24"/>
          <w:highlight w:val="none"/>
          <w:u w:val="single"/>
          <w:lang w:val="en-US" w:eastAsia="zh-CN" w:bidi="ar"/>
        </w:rPr>
        <w:t xml:space="preserve">    </w:t>
      </w:r>
      <w:r>
        <w:rPr>
          <w:rFonts w:hint="eastAsia" w:ascii="仿宋_GB2312" w:hAnsi="仿宋_GB2312" w:eastAsia="仿宋_GB2312" w:cs="仿宋_GB2312"/>
          <w:color w:val="auto"/>
          <w:kern w:val="2"/>
          <w:szCs w:val="24"/>
          <w:highlight w:val="none"/>
          <w:lang w:val="en-US" w:eastAsia="zh-CN" w:bidi="ar"/>
        </w:rPr>
        <w:t>月</w:t>
      </w:r>
      <w:r>
        <w:rPr>
          <w:rFonts w:hint="eastAsia" w:ascii="仿宋_GB2312" w:hAnsi="仿宋_GB2312" w:eastAsia="仿宋_GB2312" w:cs="仿宋_GB2312"/>
          <w:color w:val="auto"/>
          <w:kern w:val="2"/>
          <w:szCs w:val="24"/>
          <w:highlight w:val="none"/>
          <w:u w:val="single"/>
          <w:lang w:val="en-US" w:eastAsia="zh-CN" w:bidi="ar"/>
        </w:rPr>
        <w:t xml:space="preserve">    </w:t>
      </w:r>
      <w:r>
        <w:rPr>
          <w:rFonts w:hint="eastAsia" w:ascii="仿宋_GB2312" w:hAnsi="仿宋_GB2312" w:eastAsia="仿宋_GB2312" w:cs="仿宋_GB2312"/>
          <w:color w:val="auto"/>
          <w:kern w:val="2"/>
          <w:szCs w:val="24"/>
          <w:highlight w:val="none"/>
          <w:lang w:val="en-US" w:eastAsia="zh-CN" w:bidi="ar"/>
        </w:rPr>
        <w:t>日)。</w:t>
      </w:r>
      <w:r>
        <w:rPr>
          <w:rFonts w:hint="eastAsia" w:ascii="仿宋_GB2312" w:hAnsi="仿宋_GB2312" w:eastAsia="仿宋_GB2312" w:cs="仿宋_GB2312"/>
          <w:color w:val="auto"/>
          <w:kern w:val="2"/>
          <w:szCs w:val="24"/>
          <w:highlight w:val="none"/>
          <w:lang w:eastAsia="zh-CN" w:bidi="ar"/>
        </w:rPr>
        <w:t>具体详见用户需求书/技术规格书。</w:t>
      </w:r>
    </w:p>
    <w:p>
      <w:pPr>
        <w:widowControl w:val="0"/>
        <w:adjustRightInd w:val="0"/>
        <w:snapToGrid w:val="0"/>
        <w:spacing w:after="0" w:line="360" w:lineRule="auto"/>
        <w:ind w:firstLine="472" w:firstLineChars="196"/>
        <w:jc w:val="both"/>
        <w:rPr>
          <w:rFonts w:hint="default" w:ascii="仿宋_GB2312" w:hAnsi="仿宋_GB2312" w:eastAsia="仿宋_GB2312" w:cs="仿宋_GB2312"/>
          <w:strike/>
          <w:dstrike w:val="0"/>
          <w:color w:val="auto"/>
          <w:kern w:val="2"/>
          <w:szCs w:val="24"/>
          <w:highlight w:val="none"/>
          <w:lang w:val="en-US" w:eastAsia="zh-CN" w:bidi="ar"/>
        </w:rPr>
      </w:pPr>
      <w:r>
        <w:rPr>
          <w:rFonts w:hint="eastAsia" w:ascii="仿宋_GB2312" w:hAnsi="仿宋_GB2312" w:eastAsia="仿宋_GB2312" w:cs="仿宋_GB2312"/>
          <w:b/>
          <w:color w:val="auto"/>
          <w:kern w:val="2"/>
          <w:sz w:val="24"/>
          <w:szCs w:val="24"/>
          <w:highlight w:val="none"/>
          <w:lang w:val="en-US" w:eastAsia="zh-CN" w:bidi="ar"/>
        </w:rPr>
        <w:t>二、</w:t>
      </w:r>
      <w:bookmarkStart w:id="74" w:name="_Toc5531"/>
      <w:bookmarkStart w:id="75" w:name="_Toc8563"/>
      <w:r>
        <w:rPr>
          <w:rFonts w:hint="eastAsia" w:ascii="仿宋_GB2312" w:hAnsi="仿宋_GB2312" w:eastAsia="仿宋_GB2312" w:cs="仿宋_GB2312"/>
          <w:b/>
          <w:color w:val="auto"/>
          <w:kern w:val="2"/>
          <w:sz w:val="24"/>
          <w:szCs w:val="24"/>
          <w:highlight w:val="none"/>
          <w:lang w:val="en-US" w:eastAsia="zh-CN" w:bidi="ar"/>
        </w:rPr>
        <w:t>电量购买</w:t>
      </w:r>
      <w:bookmarkEnd w:id="74"/>
      <w:bookmarkEnd w:id="75"/>
      <w:r>
        <w:rPr>
          <w:rFonts w:hint="eastAsia" w:ascii="仿宋_GB2312" w:hAnsi="仿宋_GB2312" w:eastAsia="仿宋_GB2312" w:cs="仿宋_GB2312"/>
          <w:b/>
          <w:color w:val="auto"/>
          <w:kern w:val="2"/>
          <w:sz w:val="24"/>
          <w:szCs w:val="24"/>
          <w:highlight w:val="none"/>
          <w:lang w:val="en-US" w:eastAsia="zh-CN" w:bidi="ar"/>
        </w:rPr>
        <w:t>与电费结算</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2.1乙方应根据甲方历史同期电量及运营情况，合理申报每月购电量，按照“基准价+上下浮动”方式申报价差。</w:t>
      </w:r>
    </w:p>
    <w:p>
      <w:pPr>
        <w:pStyle w:val="41"/>
        <w:widowControl w:val="0"/>
        <w:adjustRightInd w:val="0"/>
        <w:snapToGrid w:val="0"/>
        <w:spacing w:before="0" w:beforeAutospacing="0" w:after="0" w:afterAutospacing="0" w:line="360" w:lineRule="auto"/>
        <w:ind w:firstLine="480" w:firstLineChars="200"/>
        <w:jc w:val="both"/>
        <w:rPr>
          <w:rFonts w:hint="default"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2.2乙方月度电价高于基准价时为正价差，需收取的代理费按照乙方报价执行。报价文件详见附件。</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2.3乙方月度电价低于基准价时为负价差，负价差需进行的优惠分成按照乙方报价执行。报价文件详见附件。</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2.4偏差考核：甲方不承担偏差考核。</w:t>
      </w:r>
    </w:p>
    <w:p>
      <w:pPr>
        <w:pStyle w:val="41"/>
        <w:widowControl w:val="0"/>
        <w:adjustRightInd w:val="0"/>
        <w:snapToGrid w:val="0"/>
        <w:spacing w:before="0" w:beforeAutospacing="0" w:after="0" w:afterAutospacing="0" w:line="360" w:lineRule="auto"/>
        <w:ind w:firstLine="480" w:firstLineChars="200"/>
        <w:jc w:val="both"/>
        <w:rPr>
          <w:rFonts w:hint="default" w:ascii="仿宋_GB2312" w:hAnsi="仿宋_GB2312" w:eastAsia="仿宋_GB2312" w:cs="仿宋_GB2312"/>
          <w:strike w:val="0"/>
          <w:dstrike w:val="0"/>
          <w:color w:val="auto"/>
          <w:kern w:val="2"/>
          <w:szCs w:val="24"/>
          <w:highlight w:val="none"/>
          <w:lang w:val="en-US" w:eastAsia="zh-CN" w:bidi="ar"/>
        </w:rPr>
      </w:pPr>
      <w:r>
        <w:rPr>
          <w:rFonts w:hint="eastAsia" w:ascii="仿宋_GB2312" w:hAnsi="仿宋_GB2312" w:eastAsia="仿宋_GB2312" w:cs="仿宋_GB2312"/>
          <w:strike w:val="0"/>
          <w:dstrike w:val="0"/>
          <w:color w:val="auto"/>
          <w:kern w:val="2"/>
          <w:szCs w:val="24"/>
          <w:highlight w:val="none"/>
          <w:lang w:val="en-US" w:eastAsia="zh-CN" w:bidi="ar"/>
        </w:rPr>
        <w:t>2.5甲方电费（含代理费、电费优惠等）均通过电网企业相关账户进行缴纳。</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2.6本协议的签订不影响甲方与电网企业的用电方式,甲方按期向电网企业支付电费,并取得电网企业提供的用电增值税发票。</w:t>
      </w:r>
    </w:p>
    <w:p>
      <w:pPr>
        <w:widowControl w:val="0"/>
        <w:adjustRightInd w:val="0"/>
        <w:snapToGrid w:val="0"/>
        <w:spacing w:after="0" w:line="360" w:lineRule="auto"/>
        <w:ind w:firstLine="472" w:firstLineChars="196"/>
        <w:jc w:val="both"/>
        <w:rPr>
          <w:rFonts w:hint="eastAsia" w:ascii="仿宋_GB2312" w:hAnsi="仿宋_GB2312" w:eastAsia="仿宋_GB2312" w:cs="仿宋_GB2312"/>
          <w:b/>
          <w:color w:val="auto"/>
          <w:kern w:val="2"/>
          <w:sz w:val="24"/>
          <w:szCs w:val="24"/>
          <w:highlight w:val="none"/>
          <w:lang w:val="en-US" w:eastAsia="zh-CN" w:bidi="ar"/>
        </w:rPr>
      </w:pPr>
      <w:r>
        <w:rPr>
          <w:rFonts w:hint="eastAsia" w:ascii="仿宋_GB2312" w:hAnsi="仿宋_GB2312" w:eastAsia="仿宋_GB2312" w:cs="仿宋_GB2312"/>
          <w:b/>
          <w:color w:val="auto"/>
          <w:kern w:val="2"/>
          <w:sz w:val="24"/>
          <w:szCs w:val="24"/>
          <w:highlight w:val="none"/>
          <w:lang w:val="en-US" w:eastAsia="zh-CN" w:bidi="ar"/>
        </w:rPr>
        <w:t>三、签订时间</w:t>
      </w:r>
    </w:p>
    <w:p>
      <w:pPr>
        <w:pStyle w:val="41"/>
        <w:widowControl w:val="0"/>
        <w:adjustRightInd w:val="0"/>
        <w:snapToGrid w:val="0"/>
        <w:spacing w:before="0" w:beforeAutospacing="0" w:after="0" w:afterAutospacing="0" w:line="360" w:lineRule="auto"/>
        <w:ind w:firstLine="480" w:firstLineChars="200"/>
        <w:jc w:val="both"/>
        <w:rPr>
          <w:rFonts w:hint="default"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本合同于</w:t>
      </w:r>
      <w:r>
        <w:rPr>
          <w:rFonts w:hint="eastAsia" w:ascii="仿宋_GB2312" w:hAnsi="仿宋_GB2312" w:eastAsia="仿宋_GB2312" w:cs="仿宋_GB2312"/>
          <w:color w:val="auto"/>
          <w:kern w:val="2"/>
          <w:szCs w:val="24"/>
          <w:highlight w:val="none"/>
          <w:u w:val="single"/>
          <w:lang w:val="en-US" w:eastAsia="zh-CN" w:bidi="ar"/>
        </w:rPr>
        <w:t xml:space="preserve">      </w:t>
      </w:r>
      <w:r>
        <w:rPr>
          <w:rFonts w:hint="eastAsia" w:ascii="仿宋_GB2312" w:hAnsi="仿宋_GB2312" w:eastAsia="仿宋_GB2312" w:cs="仿宋_GB2312"/>
          <w:color w:val="auto"/>
          <w:kern w:val="2"/>
          <w:szCs w:val="24"/>
          <w:highlight w:val="none"/>
          <w:lang w:val="en-US" w:eastAsia="zh-CN" w:bidi="ar"/>
        </w:rPr>
        <w:t>年</w:t>
      </w:r>
      <w:r>
        <w:rPr>
          <w:rFonts w:hint="eastAsia" w:ascii="仿宋_GB2312" w:hAnsi="仿宋_GB2312" w:eastAsia="仿宋_GB2312" w:cs="仿宋_GB2312"/>
          <w:color w:val="auto"/>
          <w:kern w:val="2"/>
          <w:szCs w:val="24"/>
          <w:highlight w:val="none"/>
          <w:u w:val="single"/>
          <w:lang w:val="en-US" w:eastAsia="zh-CN" w:bidi="ar"/>
        </w:rPr>
        <w:t xml:space="preserve">      </w:t>
      </w:r>
      <w:r>
        <w:rPr>
          <w:rFonts w:hint="eastAsia" w:ascii="仿宋_GB2312" w:hAnsi="仿宋_GB2312" w:eastAsia="仿宋_GB2312" w:cs="仿宋_GB2312"/>
          <w:color w:val="auto"/>
          <w:kern w:val="2"/>
          <w:szCs w:val="24"/>
          <w:highlight w:val="none"/>
          <w:lang w:val="en-US" w:eastAsia="zh-CN" w:bidi="ar"/>
        </w:rPr>
        <w:t>月</w:t>
      </w:r>
      <w:r>
        <w:rPr>
          <w:rFonts w:hint="eastAsia" w:ascii="仿宋_GB2312" w:hAnsi="仿宋_GB2312" w:eastAsia="仿宋_GB2312" w:cs="仿宋_GB2312"/>
          <w:color w:val="auto"/>
          <w:kern w:val="2"/>
          <w:szCs w:val="24"/>
          <w:highlight w:val="none"/>
          <w:u w:val="single"/>
          <w:lang w:val="en-US" w:eastAsia="zh-CN" w:bidi="ar"/>
        </w:rPr>
        <w:t xml:space="preserve">      </w:t>
      </w:r>
      <w:r>
        <w:rPr>
          <w:rFonts w:hint="eastAsia" w:ascii="仿宋_GB2312" w:hAnsi="仿宋_GB2312" w:eastAsia="仿宋_GB2312" w:cs="仿宋_GB2312"/>
          <w:color w:val="auto"/>
          <w:kern w:val="2"/>
          <w:szCs w:val="24"/>
          <w:highlight w:val="none"/>
          <w:lang w:val="en-US" w:eastAsia="zh-CN" w:bidi="ar"/>
        </w:rPr>
        <w:t>日签订。</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2" w:firstLineChars="196"/>
        <w:jc w:val="both"/>
        <w:textAlignment w:val="auto"/>
        <w:rPr>
          <w:rFonts w:hint="eastAsia" w:ascii="仿宋_GB2312" w:hAnsi="仿宋_GB2312" w:eastAsia="仿宋_GB2312" w:cs="仿宋_GB2312"/>
          <w:b/>
          <w:color w:val="auto"/>
          <w:kern w:val="2"/>
          <w:sz w:val="24"/>
          <w:szCs w:val="24"/>
          <w:highlight w:val="none"/>
          <w:lang w:val="en-US" w:eastAsia="zh-CN" w:bidi="ar"/>
        </w:rPr>
      </w:pPr>
      <w:r>
        <w:rPr>
          <w:rFonts w:hint="eastAsia" w:ascii="仿宋_GB2312" w:hAnsi="仿宋_GB2312" w:eastAsia="仿宋_GB2312" w:cs="仿宋_GB2312"/>
          <w:b/>
          <w:color w:val="auto"/>
          <w:kern w:val="2"/>
          <w:sz w:val="24"/>
          <w:szCs w:val="24"/>
          <w:highlight w:val="none"/>
          <w:lang w:val="en-US" w:eastAsia="zh-CN" w:bidi="ar"/>
        </w:rPr>
        <w:t>四、签订地点</w:t>
      </w:r>
    </w:p>
    <w:p>
      <w:pPr>
        <w:pStyle w:val="4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 xml:space="preserve">本合同在 </w:t>
      </w:r>
      <w:r>
        <w:rPr>
          <w:rFonts w:hint="eastAsia" w:ascii="仿宋_GB2312" w:hAnsi="仿宋_GB2312" w:eastAsia="仿宋_GB2312" w:cs="仿宋_GB2312"/>
          <w:color w:val="auto"/>
          <w:sz w:val="24"/>
          <w:szCs w:val="24"/>
          <w:highlight w:val="none"/>
          <w:u w:val="single"/>
        </w:rPr>
        <w:t>长沙市雨花区</w:t>
      </w:r>
      <w:r>
        <w:rPr>
          <w:rFonts w:hint="eastAsia" w:ascii="仿宋_GB2312" w:hAnsi="仿宋_GB2312" w:eastAsia="仿宋_GB2312" w:cs="仿宋_GB2312"/>
          <w:color w:val="auto"/>
          <w:kern w:val="2"/>
          <w:szCs w:val="24"/>
          <w:highlight w:val="none"/>
          <w:u w:val="single"/>
          <w:lang w:val="en-US" w:eastAsia="zh-CN" w:bidi="ar"/>
        </w:rPr>
        <w:t xml:space="preserve"> </w:t>
      </w:r>
      <w:r>
        <w:rPr>
          <w:rFonts w:hint="eastAsia" w:ascii="仿宋_GB2312" w:hAnsi="仿宋_GB2312" w:eastAsia="仿宋_GB2312" w:cs="仿宋_GB2312"/>
          <w:color w:val="auto"/>
          <w:kern w:val="2"/>
          <w:szCs w:val="24"/>
          <w:highlight w:val="none"/>
          <w:lang w:val="en-US" w:eastAsia="zh-CN" w:bidi="ar"/>
        </w:rPr>
        <w:t xml:space="preserve"> 签订。</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2" w:firstLineChars="196"/>
        <w:jc w:val="both"/>
        <w:textAlignment w:val="auto"/>
        <w:rPr>
          <w:rFonts w:hint="eastAsia" w:ascii="仿宋_GB2312" w:hAnsi="仿宋_GB2312" w:eastAsia="仿宋_GB2312" w:cs="仿宋_GB2312"/>
          <w:b/>
          <w:color w:val="auto"/>
          <w:kern w:val="2"/>
          <w:sz w:val="24"/>
          <w:szCs w:val="24"/>
          <w:highlight w:val="none"/>
          <w:lang w:val="en-US" w:eastAsia="zh-CN" w:bidi="ar"/>
        </w:rPr>
      </w:pPr>
      <w:r>
        <w:rPr>
          <w:rFonts w:hint="eastAsia" w:ascii="仿宋_GB2312" w:hAnsi="仿宋_GB2312" w:eastAsia="仿宋_GB2312" w:cs="仿宋_GB2312"/>
          <w:b/>
          <w:color w:val="auto"/>
          <w:kern w:val="2"/>
          <w:sz w:val="24"/>
          <w:szCs w:val="24"/>
          <w:highlight w:val="none"/>
          <w:lang w:val="en-US" w:eastAsia="zh-CN" w:bidi="ar"/>
        </w:rPr>
        <w:t>五、合同生效</w:t>
      </w:r>
    </w:p>
    <w:p>
      <w:pPr>
        <w:pStyle w:val="4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本合同自</w:t>
      </w:r>
      <w:r>
        <w:rPr>
          <w:rFonts w:hint="eastAsia" w:ascii="仿宋_GB2312" w:hAnsi="仿宋_GB2312" w:eastAsia="仿宋_GB2312" w:cs="仿宋_GB2312"/>
          <w:color w:val="auto"/>
          <w:kern w:val="2"/>
          <w:szCs w:val="24"/>
          <w:highlight w:val="none"/>
          <w:u w:val="single"/>
          <w:lang w:val="en-US" w:eastAsia="zh-CN" w:bidi="ar"/>
        </w:rPr>
        <w:t>合同双方法定代表人或其授权代表签字并加盖合同专用章</w:t>
      </w:r>
      <w:r>
        <w:rPr>
          <w:rFonts w:hint="eastAsia" w:ascii="仿宋_GB2312" w:hAnsi="仿宋_GB2312" w:eastAsia="仿宋_GB2312" w:cs="仿宋_GB2312"/>
          <w:color w:val="auto"/>
          <w:kern w:val="2"/>
          <w:szCs w:val="24"/>
          <w:highlight w:val="none"/>
          <w:lang w:val="en-US" w:eastAsia="zh-CN" w:bidi="ar"/>
        </w:rPr>
        <w:t>生效。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2" w:firstLineChars="196"/>
        <w:jc w:val="both"/>
        <w:textAlignment w:val="auto"/>
        <w:rPr>
          <w:rFonts w:hint="eastAsia" w:ascii="仿宋_GB2312" w:hAnsi="仿宋_GB2312" w:eastAsia="仿宋_GB2312" w:cs="仿宋_GB2312"/>
          <w:b/>
          <w:color w:val="auto"/>
          <w:kern w:val="2"/>
          <w:sz w:val="24"/>
          <w:szCs w:val="24"/>
          <w:highlight w:val="none"/>
          <w:lang w:val="en-US" w:eastAsia="zh-CN" w:bidi="ar"/>
        </w:rPr>
      </w:pPr>
      <w:r>
        <w:rPr>
          <w:rFonts w:hint="eastAsia" w:ascii="仿宋_GB2312" w:hAnsi="仿宋_GB2312" w:eastAsia="仿宋_GB2312" w:cs="仿宋_GB2312"/>
          <w:b/>
          <w:color w:val="auto"/>
          <w:kern w:val="2"/>
          <w:sz w:val="24"/>
          <w:szCs w:val="24"/>
          <w:highlight w:val="none"/>
          <w:lang w:val="en-US" w:eastAsia="zh-CN" w:bidi="ar"/>
        </w:rPr>
        <w:t>六、合同份数</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0" w:firstLineChars="196"/>
        <w:jc w:val="both"/>
        <w:textAlignment w:val="auto"/>
        <w:rPr>
          <w:rFonts w:hint="eastAsia" w:ascii="仿宋_GB2312" w:hAnsi="仿宋_GB2312" w:eastAsia="仿宋_GB2312" w:cs="仿宋_GB2312"/>
          <w:b/>
          <w:color w:val="auto"/>
          <w:kern w:val="2"/>
          <w:sz w:val="24"/>
          <w:szCs w:val="24"/>
          <w:highlight w:val="none"/>
          <w:lang w:val="en-US" w:eastAsia="zh-CN" w:bidi="ar"/>
        </w:rPr>
      </w:pPr>
      <w:r>
        <w:rPr>
          <w:rFonts w:hint="eastAsia" w:ascii="仿宋_GB2312" w:hAnsi="仿宋_GB2312" w:eastAsia="仿宋_GB2312" w:cs="仿宋_GB2312"/>
          <w:color w:val="auto"/>
          <w:sz w:val="24"/>
          <w:highlight w:val="none"/>
        </w:rPr>
        <w:t>本合同一式十二份（其中正本二份、副本十份），甲方执八份（一正七副）、乙方执四份（一正三副）。合同正本和副本具有同等效力，当合同副本与正本之</w:t>
      </w:r>
      <w:r>
        <w:rPr>
          <w:rFonts w:hint="eastAsia" w:ascii="仿宋_GB2312" w:hAnsi="仿宋_GB2312" w:eastAsia="仿宋_GB2312" w:cs="仿宋_GB2312"/>
          <w:color w:val="auto"/>
          <w:sz w:val="24"/>
          <w:highlight w:val="none"/>
          <w:lang w:val="en-US" w:eastAsia="zh-CN"/>
        </w:rPr>
        <w:t>间存有差异时，以合同正本为准。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2" w:firstLineChars="196"/>
        <w:jc w:val="both"/>
        <w:textAlignment w:val="auto"/>
        <w:rPr>
          <w:rFonts w:hint="eastAsia" w:ascii="仿宋_GB2312" w:hAnsi="仿宋_GB2312" w:eastAsia="仿宋_GB2312" w:cs="仿宋_GB2312"/>
          <w:b/>
          <w:color w:val="auto"/>
          <w:kern w:val="2"/>
          <w:sz w:val="24"/>
          <w:szCs w:val="24"/>
          <w:highlight w:val="none"/>
          <w:lang w:val="en-US" w:eastAsia="zh-CN" w:bidi="ar"/>
        </w:rPr>
      </w:pPr>
      <w:r>
        <w:rPr>
          <w:rFonts w:hint="eastAsia" w:ascii="仿宋_GB2312" w:hAnsi="仿宋_GB2312" w:eastAsia="仿宋_GB2312" w:cs="仿宋_GB2312"/>
          <w:b/>
          <w:color w:val="auto"/>
          <w:kern w:val="2"/>
          <w:sz w:val="24"/>
          <w:szCs w:val="24"/>
          <w:highlight w:val="none"/>
          <w:lang w:val="en-US" w:eastAsia="zh-CN" w:bidi="ar"/>
        </w:rPr>
        <w:t>七、双方权利与义务</w:t>
      </w:r>
    </w:p>
    <w:p>
      <w:pPr>
        <w:pStyle w:val="4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7.1 甲方有权知悉当月交易全过程、交易数据、交易结果。必须按时缴交电费。</w:t>
      </w:r>
    </w:p>
    <w:p>
      <w:pPr>
        <w:pStyle w:val="4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7.2乙方在湖南省电力交易中心发布月度、年度交易公告后，应及时与甲方联系，根据甲方历史同期电量及运营情况，合理申报购电量。</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7.3 因政府主管部门或有管辖权的法院或仲裁庭以及国际机构的行为、自然灾害等不可抗力因素造成当月的月度交易无法进行的,根据湖南省电力交易中心认定，甲乙双方当月承担本合同项下对应的交易责任。</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7.4 甲方应按</w:t>
      </w:r>
      <w:r>
        <w:rPr>
          <w:rFonts w:hint="eastAsia" w:ascii="仿宋_GB2312" w:hAnsi="仿宋_GB2312" w:eastAsia="仿宋_GB2312" w:cs="仿宋_GB2312"/>
          <w:color w:val="auto"/>
          <w:kern w:val="2"/>
          <w:szCs w:val="24"/>
          <w:highlight w:val="none"/>
          <w:u w:val="none"/>
          <w:lang w:val="en-US" w:eastAsia="zh-CN" w:bidi="ar"/>
        </w:rPr>
        <w:t>湖南省电力交易要</w:t>
      </w:r>
      <w:r>
        <w:rPr>
          <w:rFonts w:hint="eastAsia" w:ascii="仿宋_GB2312" w:hAnsi="仿宋_GB2312" w:eastAsia="仿宋_GB2312" w:cs="仿宋_GB2312"/>
          <w:color w:val="auto"/>
          <w:kern w:val="2"/>
          <w:szCs w:val="24"/>
          <w:highlight w:val="none"/>
          <w:lang w:val="en-US" w:eastAsia="zh-CN" w:bidi="ar"/>
        </w:rPr>
        <w:t>求提供有关资料协助乙方完成本合同约定的电量交易采购工作,每项资料应通过</w:t>
      </w:r>
      <w:r>
        <w:rPr>
          <w:rFonts w:hint="eastAsia" w:ascii="仿宋_GB2312" w:hAnsi="仿宋_GB2312" w:eastAsia="仿宋_GB2312" w:cs="仿宋_GB2312"/>
          <w:color w:val="auto"/>
          <w:kern w:val="2"/>
          <w:szCs w:val="24"/>
          <w:highlight w:val="none"/>
          <w:u w:val="single"/>
          <w:lang w:val="en-US" w:eastAsia="zh-CN" w:bidi="ar"/>
        </w:rPr>
        <w:t>书面/电子邮件/传真</w:t>
      </w:r>
      <w:r>
        <w:rPr>
          <w:rFonts w:hint="eastAsia" w:ascii="仿宋_GB2312" w:hAnsi="仿宋_GB2312" w:eastAsia="仿宋_GB2312" w:cs="仿宋_GB2312"/>
          <w:color w:val="auto"/>
          <w:kern w:val="2"/>
          <w:szCs w:val="24"/>
          <w:highlight w:val="none"/>
          <w:lang w:val="en-US" w:eastAsia="zh-CN" w:bidi="ar"/>
        </w:rPr>
        <w:t>方式发送,因甲方原因导致注册及资质申请工作未能及时完成无法参与交易时,对应损失由甲方承担。</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7.5 甲、乙双方对因签署和履行本合同而获得的各项有关的信息(包括但不限于本合同履行期间任意一方知悉对方的任何文件及材料),负有严格的保密义务,未经一方书面同意,另一方不得向第三方泄露。</w:t>
      </w:r>
    </w:p>
    <w:p>
      <w:pPr>
        <w:pStyle w:val="41"/>
        <w:widowControl w:val="0"/>
        <w:adjustRightInd w:val="0"/>
        <w:snapToGrid w:val="0"/>
        <w:spacing w:before="0" w:beforeAutospacing="0" w:after="0" w:afterAutospacing="0" w:line="360" w:lineRule="auto"/>
        <w:ind w:firstLine="482" w:firstLineChars="200"/>
        <w:jc w:val="both"/>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kern w:val="2"/>
          <w:sz w:val="24"/>
          <w:szCs w:val="24"/>
          <w:highlight w:val="none"/>
          <w:lang w:val="en-US" w:eastAsia="zh-CN" w:bidi="ar"/>
        </w:rPr>
        <w:t>八、</w:t>
      </w:r>
      <w:r>
        <w:rPr>
          <w:rFonts w:hint="eastAsia" w:ascii="仿宋_GB2312" w:hAnsi="仿宋_GB2312" w:eastAsia="仿宋_GB2312" w:cs="仿宋_GB2312"/>
          <w:b/>
          <w:color w:val="auto"/>
          <w:sz w:val="24"/>
          <w:highlight w:val="none"/>
        </w:rPr>
        <w:t>履约担保</w:t>
      </w:r>
    </w:p>
    <w:p>
      <w:pPr>
        <w:widowControl w:val="0"/>
        <w:adjustRightInd w:val="0"/>
        <w:snapToGrid w:val="0"/>
        <w:spacing w:after="0" w:line="360" w:lineRule="auto"/>
        <w:ind w:firstLine="480" w:firstLineChars="200"/>
        <w:jc w:val="left"/>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8.1 乙方</w:t>
      </w:r>
      <w:r>
        <w:rPr>
          <w:rFonts w:hint="eastAsia" w:ascii="仿宋_GB2312" w:hAnsi="仿宋_GB2312" w:eastAsia="仿宋_GB2312" w:cs="仿宋_GB2312"/>
          <w:color w:val="auto"/>
          <w:kern w:val="0"/>
          <w:sz w:val="24"/>
          <w:highlight w:val="none"/>
          <w:u w:val="single"/>
          <w:lang w:val="en-US" w:eastAsia="zh-CN"/>
        </w:rPr>
        <w:t>□需要/☑不需要</w:t>
      </w:r>
      <w:r>
        <w:rPr>
          <w:rFonts w:hint="eastAsia" w:ascii="仿宋_GB2312" w:hAnsi="仿宋_GB2312" w:eastAsia="仿宋_GB2312" w:cs="仿宋_GB2312"/>
          <w:color w:val="auto"/>
          <w:kern w:val="0"/>
          <w:sz w:val="24"/>
          <w:highlight w:val="none"/>
          <w:lang w:val="en-US" w:eastAsia="zh-CN"/>
        </w:rPr>
        <w:t>提供履约担保。</w:t>
      </w:r>
    </w:p>
    <w:p>
      <w:pPr>
        <w:widowControl w:val="0"/>
        <w:adjustRightInd w:val="0"/>
        <w:snapToGrid w:val="0"/>
        <w:spacing w:after="0" w:line="360" w:lineRule="auto"/>
        <w:ind w:firstLine="480" w:firstLineChars="200"/>
        <w:jc w:val="left"/>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8.2如需要乙方提供履约担保，则：</w:t>
      </w:r>
    </w:p>
    <w:p>
      <w:pPr>
        <w:widowControl w:val="0"/>
        <w:adjustRightInd w:val="0"/>
        <w:snapToGrid w:val="0"/>
        <w:spacing w:after="0" w:line="360" w:lineRule="auto"/>
        <w:ind w:firstLine="480" w:firstLineChars="200"/>
        <w:jc w:val="left"/>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8.2.1履约担保用于补偿甲方因乙方不能完成其合同义务而蒙受的损失，甲方有权直接从履约担保中扣划遭受损失相应的金额。乙方应在本合同签订后30个工作日内提供履约担保。</w:t>
      </w:r>
    </w:p>
    <w:p>
      <w:pPr>
        <w:widowControl w:val="0"/>
        <w:adjustRightInd w:val="0"/>
        <w:snapToGrid w:val="0"/>
        <w:spacing w:after="0" w:line="360" w:lineRule="auto"/>
        <w:ind w:firstLine="480" w:firstLineChars="200"/>
        <w:jc w:val="left"/>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8.2.2乙方提供履约担保的形式、金额及期限可采用以下方式之一：</w:t>
      </w:r>
    </w:p>
    <w:p>
      <w:pPr>
        <w:widowControl w:val="0"/>
        <w:adjustRightInd w:val="0"/>
        <w:snapToGrid w:val="0"/>
        <w:spacing w:after="0" w:line="360" w:lineRule="auto"/>
        <w:ind w:firstLine="480" w:firstLineChars="200"/>
        <w:jc w:val="left"/>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（1）采用银行履约保函形式，银行履约保函的担保额度为</w:t>
      </w:r>
      <w:r>
        <w:rPr>
          <w:rFonts w:hint="eastAsia" w:ascii="宋体" w:hAnsi="宋体" w:cs="宋体"/>
          <w:color w:val="auto"/>
          <w:sz w:val="21"/>
          <w:szCs w:val="21"/>
          <w:highlight w:val="none"/>
          <w:u w:val="single"/>
          <w:lang w:val="en-US" w:eastAsia="zh-CN"/>
        </w:rPr>
        <w:t>9.5万元</w:t>
      </w:r>
      <w:r>
        <w:rPr>
          <w:rFonts w:hint="eastAsia" w:ascii="宋体" w:hAnsi="宋体" w:cs="宋体"/>
          <w:color w:val="auto"/>
          <w:sz w:val="21"/>
          <w:szCs w:val="21"/>
          <w:highlight w:val="none"/>
          <w:u w:val="single"/>
        </w:rPr>
        <w:t>（每个甲方收取1.</w:t>
      </w:r>
      <w:r>
        <w:rPr>
          <w:rFonts w:hint="eastAsia" w:ascii="宋体" w:hAnsi="宋体" w:cs="宋体"/>
          <w:color w:val="auto"/>
          <w:sz w:val="21"/>
          <w:szCs w:val="21"/>
          <w:highlight w:val="none"/>
          <w:u w:val="single"/>
          <w:lang w:val="en-US" w:eastAsia="zh-CN"/>
        </w:rPr>
        <w:t>9</w:t>
      </w:r>
      <w:r>
        <w:rPr>
          <w:rFonts w:hint="eastAsia" w:ascii="宋体" w:hAnsi="宋体" w:cs="宋体"/>
          <w:color w:val="auto"/>
          <w:sz w:val="21"/>
          <w:szCs w:val="21"/>
          <w:highlight w:val="none"/>
          <w:u w:val="single"/>
        </w:rPr>
        <w:t>万元</w:t>
      </w:r>
      <w:r>
        <w:rPr>
          <w:rFonts w:hint="eastAsia" w:ascii="宋体" w:hAnsi="宋体" w:cs="宋体"/>
          <w:color w:val="auto"/>
          <w:sz w:val="21"/>
          <w:szCs w:val="21"/>
          <w:highlight w:val="none"/>
          <w:u w:val="single"/>
          <w:lang w:eastAsia="zh-CN"/>
        </w:rPr>
        <w:t>）</w:t>
      </w:r>
      <w:r>
        <w:rPr>
          <w:rFonts w:hint="eastAsia" w:ascii="仿宋_GB2312" w:hAnsi="仿宋_GB2312" w:eastAsia="仿宋_GB2312" w:cs="仿宋_GB2312"/>
          <w:color w:val="auto"/>
          <w:kern w:val="0"/>
          <w:sz w:val="24"/>
          <w:highlight w:val="none"/>
          <w:lang w:val="en-US" w:eastAsia="zh-CN"/>
        </w:rPr>
        <w:t xml:space="preserve"> ，担保期限为自保函生效之日起，至服务期满之日止。银行履约保函应为在中国境内注册和营业的银行出具的、以甲方为受益人首次申请即作为无条件付款的保函，银行履约保函格式具体详见合同附录。</w:t>
      </w:r>
    </w:p>
    <w:p>
      <w:pPr>
        <w:widowControl w:val="0"/>
        <w:adjustRightInd w:val="0"/>
        <w:snapToGrid w:val="0"/>
        <w:spacing w:after="0" w:line="360" w:lineRule="auto"/>
        <w:ind w:firstLine="480" w:firstLineChars="200"/>
        <w:jc w:val="left"/>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（2）采用现金形式，现金担保额度为</w:t>
      </w:r>
      <w:r>
        <w:rPr>
          <w:rFonts w:hint="eastAsia" w:ascii="宋体" w:hAnsi="宋体" w:cs="宋体"/>
          <w:color w:val="auto"/>
          <w:sz w:val="21"/>
          <w:szCs w:val="21"/>
          <w:highlight w:val="none"/>
          <w:u w:val="single"/>
          <w:lang w:val="en-US" w:eastAsia="zh-CN"/>
        </w:rPr>
        <w:t>9.5万元</w:t>
      </w:r>
      <w:r>
        <w:rPr>
          <w:rFonts w:hint="eastAsia" w:ascii="宋体" w:hAnsi="宋体" w:cs="宋体"/>
          <w:color w:val="auto"/>
          <w:sz w:val="21"/>
          <w:szCs w:val="21"/>
          <w:highlight w:val="none"/>
          <w:u w:val="single"/>
        </w:rPr>
        <w:t>（每个甲方收取1.</w:t>
      </w:r>
      <w:r>
        <w:rPr>
          <w:rFonts w:hint="eastAsia" w:ascii="宋体" w:hAnsi="宋体" w:cs="宋体"/>
          <w:color w:val="auto"/>
          <w:sz w:val="21"/>
          <w:szCs w:val="21"/>
          <w:highlight w:val="none"/>
          <w:u w:val="single"/>
          <w:lang w:val="en-US" w:eastAsia="zh-CN"/>
        </w:rPr>
        <w:t>9</w:t>
      </w:r>
      <w:r>
        <w:rPr>
          <w:rFonts w:hint="eastAsia" w:ascii="宋体" w:hAnsi="宋体" w:cs="宋体"/>
          <w:color w:val="auto"/>
          <w:sz w:val="21"/>
          <w:szCs w:val="21"/>
          <w:highlight w:val="none"/>
          <w:u w:val="single"/>
        </w:rPr>
        <w:t>万元</w:t>
      </w:r>
      <w:r>
        <w:rPr>
          <w:rFonts w:hint="eastAsia" w:ascii="宋体" w:hAnsi="宋体" w:cs="宋体"/>
          <w:color w:val="auto"/>
          <w:sz w:val="21"/>
          <w:szCs w:val="21"/>
          <w:highlight w:val="none"/>
          <w:u w:val="single"/>
          <w:lang w:eastAsia="zh-CN"/>
        </w:rPr>
        <w:t>）</w:t>
      </w:r>
      <w:r>
        <w:rPr>
          <w:rFonts w:hint="eastAsia" w:ascii="仿宋_GB2312" w:hAnsi="仿宋_GB2312" w:eastAsia="仿宋_GB2312" w:cs="仿宋_GB2312"/>
          <w:color w:val="auto"/>
          <w:kern w:val="0"/>
          <w:sz w:val="24"/>
          <w:highlight w:val="none"/>
          <w:lang w:val="en-US" w:eastAsia="zh-CN"/>
        </w:rPr>
        <w:t>，担保期限为履约保证金到账之日起，至服务期满之日止。履约担保以现金形式提交的，乙方应从其基本账户通过转帐或电汇至甲方指定的账户。</w:t>
      </w:r>
    </w:p>
    <w:p>
      <w:pPr>
        <w:widowControl w:val="0"/>
        <w:adjustRightInd w:val="0"/>
        <w:snapToGrid w:val="0"/>
        <w:spacing w:after="0" w:line="360" w:lineRule="auto"/>
        <w:ind w:firstLine="480" w:firstLineChars="200"/>
        <w:jc w:val="left"/>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8.3 在乙方完成其合同义务包括任何保证义务后，甲方将把履约担保无息退还乙方。</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2" w:firstLineChars="196"/>
        <w:jc w:val="both"/>
        <w:textAlignment w:val="auto"/>
        <w:rPr>
          <w:rFonts w:hint="eastAsia" w:ascii="仿宋_GB2312" w:hAnsi="仿宋_GB2312" w:eastAsia="仿宋_GB2312" w:cs="仿宋_GB2312"/>
          <w:b/>
          <w:color w:val="auto"/>
          <w:kern w:val="2"/>
          <w:sz w:val="24"/>
          <w:szCs w:val="24"/>
          <w:highlight w:val="none"/>
          <w:lang w:val="en-US" w:eastAsia="zh-CN" w:bidi="ar"/>
        </w:rPr>
      </w:pPr>
      <w:r>
        <w:rPr>
          <w:rFonts w:hint="eastAsia" w:ascii="仿宋_GB2312" w:hAnsi="仿宋_GB2312" w:eastAsia="仿宋_GB2312" w:cs="仿宋_GB2312"/>
          <w:b/>
          <w:color w:val="auto"/>
          <w:kern w:val="2"/>
          <w:sz w:val="24"/>
          <w:szCs w:val="24"/>
          <w:highlight w:val="none"/>
          <w:lang w:val="en-US" w:eastAsia="zh-CN" w:bidi="ar"/>
        </w:rPr>
        <w:t>九、项目实施要求</w:t>
      </w:r>
    </w:p>
    <w:p>
      <w:pPr>
        <w:widowControl w:val="0"/>
        <w:adjustRightInd w:val="0"/>
        <w:snapToGrid w:val="0"/>
        <w:spacing w:after="0" w:line="360" w:lineRule="auto"/>
        <w:ind w:firstLine="480" w:firstLineChars="200"/>
        <w:jc w:val="left"/>
        <w:rPr>
          <w:rFonts w:hint="eastAsia" w:ascii="仿宋_GB2312" w:hAnsi="仿宋_GB2312" w:eastAsia="仿宋_GB2312" w:cs="仿宋_GB2312"/>
          <w:color w:val="auto"/>
          <w:kern w:val="0"/>
          <w:sz w:val="24"/>
          <w:highlight w:val="none"/>
          <w:u w:val="single"/>
          <w:lang w:val="en-US" w:eastAsia="zh-CN"/>
        </w:rPr>
      </w:pPr>
      <w:r>
        <w:rPr>
          <w:rFonts w:hint="eastAsia" w:ascii="仿宋_GB2312" w:hAnsi="仿宋_GB2312" w:eastAsia="仿宋_GB2312" w:cs="仿宋_GB2312"/>
          <w:color w:val="auto"/>
          <w:kern w:val="0"/>
          <w:sz w:val="24"/>
          <w:highlight w:val="none"/>
          <w:u w:val="single"/>
          <w:lang w:val="en-US" w:eastAsia="zh-CN"/>
        </w:rPr>
        <w:t>具体详见用户需求书/技术规格书。</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2" w:firstLineChars="196"/>
        <w:jc w:val="both"/>
        <w:textAlignment w:val="auto"/>
        <w:rPr>
          <w:rFonts w:hint="eastAsia" w:ascii="仿宋_GB2312" w:hAnsi="仿宋_GB2312" w:eastAsia="仿宋_GB2312" w:cs="仿宋_GB2312"/>
          <w:b/>
          <w:color w:val="auto"/>
          <w:kern w:val="2"/>
          <w:sz w:val="24"/>
          <w:szCs w:val="24"/>
          <w:highlight w:val="none"/>
          <w:lang w:val="en-US" w:eastAsia="zh-CN" w:bidi="ar"/>
        </w:rPr>
      </w:pPr>
      <w:r>
        <w:rPr>
          <w:rFonts w:hint="eastAsia" w:ascii="仿宋_GB2312" w:hAnsi="仿宋_GB2312" w:eastAsia="仿宋_GB2312" w:cs="仿宋_GB2312"/>
          <w:b/>
          <w:color w:val="auto"/>
          <w:kern w:val="2"/>
          <w:sz w:val="24"/>
          <w:szCs w:val="24"/>
          <w:highlight w:val="none"/>
          <w:lang w:val="en-US" w:eastAsia="zh-CN" w:bidi="ar"/>
        </w:rPr>
        <w:t>十、项目验收</w:t>
      </w:r>
    </w:p>
    <w:p>
      <w:pPr>
        <w:widowControl w:val="0"/>
        <w:adjustRightInd w:val="0"/>
        <w:snapToGrid w:val="0"/>
        <w:spacing w:after="0" w:line="360" w:lineRule="auto"/>
        <w:ind w:firstLine="480" w:firstLineChars="200"/>
        <w:jc w:val="left"/>
        <w:rPr>
          <w:rFonts w:hint="default"/>
          <w:color w:val="auto"/>
          <w:highlight w:val="none"/>
          <w:lang w:val="en-US" w:eastAsia="zh-CN"/>
        </w:rPr>
      </w:pPr>
      <w:r>
        <w:rPr>
          <w:rFonts w:hint="eastAsia" w:ascii="仿宋_GB2312" w:hAnsi="仿宋_GB2312" w:eastAsia="仿宋_GB2312" w:cs="仿宋_GB2312"/>
          <w:color w:val="auto"/>
          <w:kern w:val="0"/>
          <w:sz w:val="24"/>
          <w:highlight w:val="none"/>
          <w:u w:val="single"/>
          <w:lang w:val="en-US" w:eastAsia="zh-CN"/>
        </w:rPr>
        <w:t>具体详见用户需求书/技术规格书。</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2" w:firstLineChars="196"/>
        <w:jc w:val="both"/>
        <w:textAlignment w:val="auto"/>
        <w:rPr>
          <w:rFonts w:hint="eastAsia" w:ascii="仿宋_GB2312" w:hAnsi="仿宋_GB2312" w:eastAsia="仿宋_GB2312" w:cs="仿宋_GB2312"/>
          <w:b/>
          <w:color w:val="auto"/>
          <w:kern w:val="2"/>
          <w:sz w:val="24"/>
          <w:szCs w:val="24"/>
          <w:highlight w:val="none"/>
          <w:lang w:val="en-US" w:eastAsia="zh-CN" w:bidi="ar"/>
        </w:rPr>
      </w:pPr>
      <w:r>
        <w:rPr>
          <w:rFonts w:hint="eastAsia" w:ascii="仿宋_GB2312" w:hAnsi="仿宋_GB2312" w:eastAsia="仿宋_GB2312" w:cs="仿宋_GB2312"/>
          <w:b/>
          <w:color w:val="auto"/>
          <w:kern w:val="2"/>
          <w:sz w:val="24"/>
          <w:szCs w:val="24"/>
          <w:highlight w:val="none"/>
          <w:lang w:val="en-US" w:eastAsia="zh-CN" w:bidi="ar"/>
        </w:rPr>
        <w:t>十一、违约责任</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违约责任在用户需求书/技术规格书中明确的，按用户需求书/技术规格书执行，无明确约定的，按下述条款执行。</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0" w:firstLineChars="196"/>
        <w:jc w:val="both"/>
        <w:textAlignment w:val="auto"/>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11.1因乙方原因，未按要求在电力交易中心与甲方进行零售用户绑定，导致甲方承受经济损失的。甲方有权解除合同并要求乙方承担法律责任及全部经济损失。</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0" w:firstLineChars="196"/>
        <w:jc w:val="both"/>
        <w:textAlignment w:val="auto"/>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11.2因乙方原因，在甲方企业营销户号及所属企业信息变更时，未按要求在电力交易中心进行注册、绑定、备案等相关手续，导致甲方承受经济损失的。甲方有权解除合同并要求乙方承担法律责任及全部经济损失。</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0" w:firstLineChars="196"/>
        <w:jc w:val="both"/>
        <w:textAlignment w:val="auto"/>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11.3因乙方原因，未按要求在电力交易中心采购足额电量，导致甲方电力供应中断或承受经济损失的。甲方有权解除合同并要求乙方承担法律责任及全部经济损失。</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0" w:firstLineChars="196"/>
        <w:jc w:val="both"/>
        <w:textAlignment w:val="auto"/>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11.4因乙方原因，甲方与电网企业出现电费结算延期、错漏，导致甲方承受经济损失的。甲方有权要求乙方承担法律责任及全部经济损失。</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0" w:firstLineChars="196"/>
        <w:jc w:val="both"/>
        <w:textAlignment w:val="auto"/>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11.5当电力交易规则发生改变，乙方未提前向甲方进行说明与分析，导致甲方承受经济损失的。甲方有权要求乙方承担法律责任及全部经济损失。</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0" w:firstLineChars="196"/>
        <w:jc w:val="both"/>
        <w:textAlignment w:val="auto"/>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11.6当乙方因自身经营原因在服务周期内退出电力交易市场，导致甲方承受经济损失的。甲方有权解除合同并要求乙方承担法律责任及全部经济损失。</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11.7当购电量与实际使用电量产生偏差超出交易公告允许范围时，由乙方通过湖南省电力交易中心允许的交易方式进行处理，甲方当月实际用电量与申报电量偏差的全部考核由乙方承担。</w:t>
      </w:r>
    </w:p>
    <w:p>
      <w:pPr>
        <w:pStyle w:val="41"/>
        <w:widowControl w:val="0"/>
        <w:adjustRightInd w:val="0"/>
        <w:snapToGrid w:val="0"/>
        <w:spacing w:before="0" w:beforeAutospacing="0" w:after="0" w:afterAutospacing="0" w:line="360" w:lineRule="auto"/>
        <w:ind w:firstLine="480" w:firstLineChars="200"/>
        <w:jc w:val="both"/>
        <w:rPr>
          <w:rFonts w:hint="default"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11.8乙方应在湖南省电力交易中心发布月度、年度交易公告后3个工作日内告知甲方交易情况，提供交易公告，未及时告知甲方或未及时提供交易公告的，甲方有权要求乙方支付人民币1000元/次的违约金。</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11.9乙方应向甲方提交每月的月交易全过程、交易数据、交易结果。当月未提交甲方的，则甲方有权要求乙方支付人民币1000元/次的违约金。</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11.10 乙方存在违法代理购售电行为的，乙方应承担相应法律责任和</w:t>
      </w:r>
      <w:r>
        <w:rPr>
          <w:rFonts w:hint="eastAsia" w:ascii="仿宋_GB2312" w:hAnsi="仿宋_GB2312" w:eastAsia="仿宋_GB2312" w:cs="仿宋_GB2312"/>
          <w:color w:val="auto"/>
          <w:kern w:val="0"/>
          <w:sz w:val="24"/>
          <w:highlight w:val="none"/>
        </w:rPr>
        <w:t>由此给甲方造成的</w:t>
      </w:r>
      <w:r>
        <w:rPr>
          <w:rFonts w:hint="eastAsia" w:ascii="仿宋_GB2312" w:hAnsi="仿宋_GB2312" w:eastAsia="仿宋_GB2312" w:cs="仿宋_GB2312"/>
          <w:color w:val="auto"/>
          <w:kern w:val="0"/>
          <w:sz w:val="24"/>
          <w:highlight w:val="none"/>
          <w:lang w:val="en-US" w:eastAsia="zh-CN"/>
        </w:rPr>
        <w:t>全部</w:t>
      </w:r>
      <w:r>
        <w:rPr>
          <w:rFonts w:hint="eastAsia" w:ascii="仿宋_GB2312" w:hAnsi="仿宋_GB2312" w:eastAsia="仿宋_GB2312" w:cs="仿宋_GB2312"/>
          <w:color w:val="auto"/>
          <w:kern w:val="0"/>
          <w:sz w:val="24"/>
          <w:highlight w:val="none"/>
        </w:rPr>
        <w:t>损失</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lang w:val="en-US" w:eastAsia="zh-CN"/>
        </w:rPr>
        <w:t>同时</w:t>
      </w:r>
      <w:r>
        <w:rPr>
          <w:rFonts w:hint="eastAsia" w:ascii="仿宋_GB2312" w:hAnsi="仿宋_GB2312" w:eastAsia="仿宋_GB2312" w:cs="仿宋_GB2312"/>
          <w:color w:val="auto"/>
          <w:kern w:val="2"/>
          <w:szCs w:val="24"/>
          <w:highlight w:val="none"/>
          <w:lang w:val="en-US" w:eastAsia="zh-CN" w:bidi="ar"/>
        </w:rPr>
        <w:t>甲方有权解除本合同。</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11.11如乙方存在隐瞒收取或超额收取服务代理费的行为（如有服务代理费），每查实一次，甲方有权要求乙方退还服务代理费，并有权要求乙方支付</w:t>
      </w:r>
      <w:r>
        <w:rPr>
          <w:rFonts w:hint="eastAsia" w:ascii="仿宋_GB2312" w:hAnsi="仿宋_GB2312" w:eastAsia="仿宋_GB2312" w:cs="仿宋_GB2312"/>
          <w:color w:val="auto"/>
          <w:kern w:val="0"/>
          <w:sz w:val="24"/>
          <w:highlight w:val="none"/>
          <w:lang w:val="en-US" w:eastAsia="zh-CN"/>
        </w:rPr>
        <w:t>人民币</w:t>
      </w:r>
      <w:r>
        <w:rPr>
          <w:rFonts w:hint="eastAsia" w:ascii="仿宋_GB2312" w:hAnsi="仿宋_GB2312" w:eastAsia="仿宋_GB2312" w:cs="仿宋_GB2312"/>
          <w:color w:val="auto"/>
          <w:kern w:val="2"/>
          <w:szCs w:val="24"/>
          <w:highlight w:val="none"/>
          <w:lang w:val="en-US" w:eastAsia="zh-CN" w:bidi="ar"/>
        </w:rPr>
        <w:t>20000元/次违约金。</w:t>
      </w:r>
      <w:r>
        <w:rPr>
          <w:rFonts w:hint="eastAsia" w:ascii="仿宋_GB2312" w:hAnsi="仿宋_GB2312" w:eastAsia="仿宋_GB2312" w:cs="仿宋_GB2312"/>
          <w:color w:val="auto"/>
          <w:kern w:val="0"/>
          <w:sz w:val="24"/>
          <w:highlight w:val="none"/>
          <w:lang w:val="en-US" w:eastAsia="zh-CN"/>
        </w:rPr>
        <w:t>同时</w:t>
      </w:r>
      <w:r>
        <w:rPr>
          <w:rFonts w:hint="eastAsia" w:ascii="仿宋_GB2312" w:hAnsi="仿宋_GB2312" w:eastAsia="仿宋_GB2312" w:cs="仿宋_GB2312"/>
          <w:color w:val="auto"/>
          <w:kern w:val="2"/>
          <w:szCs w:val="24"/>
          <w:highlight w:val="none"/>
          <w:lang w:val="en-US" w:eastAsia="zh-CN" w:bidi="ar"/>
        </w:rPr>
        <w:t>甲方有权解除本合同。</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11.12 因乙方责任造成甲方停电，乙方应承担由此给甲方造成的全部损失并按20000元/次的标准向甲方支付违约金。</w:t>
      </w:r>
    </w:p>
    <w:p>
      <w:pPr>
        <w:pStyle w:val="41"/>
        <w:widowControl w:val="0"/>
        <w:adjustRightInd w:val="0"/>
        <w:snapToGrid w:val="0"/>
        <w:spacing w:before="0" w:beforeAutospacing="0" w:after="0" w:afterAutospacing="0" w:line="360" w:lineRule="auto"/>
        <w:ind w:firstLine="480" w:firstLineChars="200"/>
        <w:jc w:val="both"/>
        <w:rPr>
          <w:rFonts w:hint="default" w:ascii="仿宋_GB2312" w:hAnsi="仿宋_GB2312" w:eastAsia="仿宋_GB2312" w:cs="仿宋_GB2312"/>
          <w:strike/>
          <w:dstrike w:val="0"/>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 xml:space="preserve">11.13 </w:t>
      </w:r>
      <w:r>
        <w:rPr>
          <w:rFonts w:hint="default" w:ascii="仿宋_GB2312" w:hAnsi="仿宋_GB2312" w:eastAsia="仿宋_GB2312" w:cs="仿宋_GB2312"/>
          <w:color w:val="auto"/>
          <w:kern w:val="2"/>
          <w:szCs w:val="24"/>
          <w:highlight w:val="none"/>
          <w:lang w:val="en-US" w:eastAsia="zh-CN" w:bidi="ar"/>
        </w:rPr>
        <w:t>因乙方原因</w:t>
      </w:r>
      <w:r>
        <w:rPr>
          <w:rFonts w:hint="eastAsia" w:ascii="仿宋_GB2312" w:hAnsi="仿宋_GB2312" w:eastAsia="仿宋_GB2312" w:cs="仿宋_GB2312"/>
          <w:color w:val="auto"/>
          <w:kern w:val="2"/>
          <w:szCs w:val="24"/>
          <w:highlight w:val="none"/>
          <w:lang w:val="en-US" w:eastAsia="zh-CN" w:bidi="ar"/>
        </w:rPr>
        <w:t>导致</w:t>
      </w:r>
      <w:r>
        <w:rPr>
          <w:rFonts w:hint="default" w:ascii="仿宋_GB2312" w:hAnsi="仿宋_GB2312" w:eastAsia="仿宋_GB2312" w:cs="仿宋_GB2312"/>
          <w:color w:val="auto"/>
          <w:kern w:val="2"/>
          <w:szCs w:val="24"/>
          <w:highlight w:val="none"/>
          <w:lang w:val="en-US" w:eastAsia="zh-CN" w:bidi="ar"/>
        </w:rPr>
        <w:t>甲方</w:t>
      </w:r>
      <w:r>
        <w:rPr>
          <w:rFonts w:hint="eastAsia" w:ascii="仿宋_GB2312" w:hAnsi="仿宋_GB2312" w:eastAsia="仿宋_GB2312" w:cs="仿宋_GB2312"/>
          <w:color w:val="auto"/>
          <w:kern w:val="2"/>
          <w:szCs w:val="24"/>
          <w:highlight w:val="none"/>
          <w:lang w:val="en-US" w:eastAsia="zh-CN" w:bidi="ar"/>
        </w:rPr>
        <w:t>用电范围</w:t>
      </w:r>
      <w:r>
        <w:rPr>
          <w:rFonts w:hint="default" w:ascii="仿宋_GB2312" w:hAnsi="仿宋_GB2312" w:eastAsia="仿宋_GB2312" w:cs="仿宋_GB2312"/>
          <w:color w:val="auto"/>
          <w:kern w:val="2"/>
          <w:szCs w:val="24"/>
          <w:highlight w:val="none"/>
          <w:lang w:val="en-US" w:eastAsia="zh-CN" w:bidi="ar"/>
        </w:rPr>
        <w:t>现场发生安全事故的，乙方应按国家有关安全生产的法律法规的规定进行上报和妥善处理，</w:t>
      </w:r>
      <w:r>
        <w:rPr>
          <w:rFonts w:hint="eastAsia" w:ascii="仿宋_GB2312" w:hAnsi="仿宋_GB2312" w:eastAsia="仿宋_GB2312" w:cs="仿宋_GB2312"/>
          <w:color w:val="auto"/>
          <w:sz w:val="24"/>
          <w:szCs w:val="24"/>
          <w:highlight w:val="none"/>
          <w:lang w:eastAsia="zh-CN"/>
        </w:rPr>
        <w:t>由乙方</w:t>
      </w:r>
      <w:r>
        <w:rPr>
          <w:rFonts w:hint="eastAsia" w:ascii="仿宋_GB2312" w:hAnsi="仿宋_GB2312" w:eastAsia="仿宋_GB2312" w:cs="仿宋_GB2312"/>
          <w:color w:val="auto"/>
          <w:sz w:val="24"/>
          <w:szCs w:val="24"/>
          <w:highlight w:val="none"/>
        </w:rPr>
        <w:t>承担全部责任及由此而</w:t>
      </w:r>
      <w:r>
        <w:rPr>
          <w:rFonts w:hint="eastAsia" w:ascii="仿宋_GB2312" w:hAnsi="仿宋_GB2312" w:eastAsia="仿宋_GB2312" w:cs="仿宋_GB2312"/>
          <w:color w:val="auto"/>
          <w:sz w:val="24"/>
          <w:szCs w:val="24"/>
          <w:highlight w:val="none"/>
          <w:lang w:eastAsia="zh-CN"/>
        </w:rPr>
        <w:t>产</w:t>
      </w:r>
      <w:r>
        <w:rPr>
          <w:rFonts w:hint="eastAsia" w:ascii="仿宋_GB2312" w:hAnsi="仿宋_GB2312" w:eastAsia="仿宋_GB2312" w:cs="仿宋_GB2312"/>
          <w:color w:val="auto"/>
          <w:sz w:val="24"/>
          <w:szCs w:val="24"/>
          <w:highlight w:val="none"/>
        </w:rPr>
        <w:t>生的一切费用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并赔偿由此给甲方造成的全部损失。</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11.14 任何一方违反本合同约定条款视为违约，合同另一方有权要求违约方赔偿违约造成的经济损失。</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11.15 如合同约定需要乙方提供履约担保，而乙方未在本合同签订后 30 工作日内提供履约担保的，甲方有权要求乙方支付</w:t>
      </w:r>
      <w:r>
        <w:rPr>
          <w:rFonts w:hint="eastAsia" w:ascii="仿宋_GB2312" w:hAnsi="仿宋_GB2312" w:eastAsia="仿宋_GB2312" w:cs="仿宋_GB2312"/>
          <w:color w:val="auto"/>
          <w:kern w:val="0"/>
          <w:sz w:val="24"/>
          <w:highlight w:val="none"/>
          <w:lang w:val="en-US" w:eastAsia="zh-CN"/>
        </w:rPr>
        <w:t>人民币</w:t>
      </w:r>
      <w:r>
        <w:rPr>
          <w:rFonts w:hint="eastAsia" w:ascii="仿宋_GB2312" w:hAnsi="仿宋_GB2312" w:eastAsia="仿宋_GB2312" w:cs="仿宋_GB2312"/>
          <w:color w:val="auto"/>
          <w:kern w:val="2"/>
          <w:szCs w:val="24"/>
          <w:highlight w:val="none"/>
          <w:lang w:val="en-US" w:eastAsia="zh-CN" w:bidi="ar"/>
        </w:rPr>
        <w:t>300 元/天的违约金，本项违约金最高额度为1万元。</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 xml:space="preserve">11.16 违约的处理原则 </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在本合同履行期限届满之前，任何一方明确表示或以自己的行为表明不履行合同义务的，另外一方可在履行期限届满前解除合同并要求其承担相应的违约责任。</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11.17 乙方应以现金或转账方式支付违约金，甲方根据税法相关规定开具收款收据或增值税发票。乙方在接到甲方的违约通知后，应按通知要求支付违约金。</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11.18 履约担保因扣除、扣除不足额时（如有履约担保），乙方应于接到甲方通知之日起 3 日内补足至本合同第 8.2.2 条约定的数额，每逾期一日按300 元/天的标准向甲方支付违约金。</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11.19 乙方未依约向甲方支付违约金的，甲方有权从履约担保中直接扣除（如有履约担保）。</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宋体"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11.20 乙方存在违约的，还应承担甲方为实现权力而支出的全部费用，包括但不限于案件受理费、律师费、保全费、保全保险费、公告费、执行费、差旅费等费用。</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2" w:firstLineChars="196"/>
        <w:jc w:val="both"/>
        <w:textAlignment w:val="auto"/>
        <w:rPr>
          <w:rFonts w:hint="default" w:ascii="仿宋_GB2312" w:hAnsi="仿宋_GB2312" w:eastAsia="仿宋_GB2312" w:cs="仿宋_GB2312"/>
          <w:b/>
          <w:color w:val="auto"/>
          <w:kern w:val="2"/>
          <w:sz w:val="24"/>
          <w:szCs w:val="24"/>
          <w:highlight w:val="none"/>
          <w:lang w:val="en-US" w:eastAsia="zh-CN" w:bidi="ar"/>
        </w:rPr>
      </w:pPr>
      <w:r>
        <w:rPr>
          <w:rFonts w:hint="eastAsia" w:ascii="仿宋_GB2312" w:hAnsi="仿宋_GB2312" w:eastAsia="仿宋_GB2312" w:cs="仿宋_GB2312"/>
          <w:b/>
          <w:color w:val="auto"/>
          <w:kern w:val="2"/>
          <w:sz w:val="24"/>
          <w:szCs w:val="24"/>
          <w:highlight w:val="none"/>
          <w:lang w:val="en-US" w:eastAsia="zh-CN" w:bidi="ar"/>
        </w:rPr>
        <w:t>十二、合同变更和解除</w:t>
      </w:r>
    </w:p>
    <w:p>
      <w:pPr>
        <w:pStyle w:val="41"/>
        <w:widowControl w:val="0"/>
        <w:adjustRightInd w:val="0"/>
        <w:snapToGrid w:val="0"/>
        <w:spacing w:before="0" w:beforeAutospacing="0" w:after="0" w:afterAutospacing="0" w:line="360" w:lineRule="auto"/>
        <w:ind w:firstLine="480" w:firstLineChars="200"/>
        <w:jc w:val="both"/>
        <w:rPr>
          <w:rFonts w:hint="default"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 xml:space="preserve">12.1 </w:t>
      </w:r>
      <w:r>
        <w:rPr>
          <w:rFonts w:hint="eastAsia" w:ascii="仿宋_GB2312" w:hAnsi="仿宋_GB2312" w:eastAsia="仿宋_GB2312" w:cs="仿宋_GB2312"/>
          <w:color w:val="auto"/>
          <w:sz w:val="24"/>
          <w:highlight w:val="none"/>
        </w:rPr>
        <w:t>本合同一经签订，双方不得擅自变更、解除合同。</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12.2任何一方提出解除合同的，应提前30天书面通知对方，违约方应赔偿由此给守约方造成的直接损失和间接损失。因不可抗力导致的合同解除，双方各自承担自身的损失。</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12.3因乙方原因提前终止合同的，乙方应承担由此给甲方造成的损失，甲方有权没收乙方所交全部履约担保（如有）。同时甲方有权要求乙方支付</w:t>
      </w:r>
      <w:r>
        <w:rPr>
          <w:rFonts w:hint="eastAsia" w:ascii="仿宋_GB2312" w:hAnsi="仿宋_GB2312" w:eastAsia="仿宋_GB2312" w:cs="仿宋_GB2312"/>
          <w:color w:val="auto"/>
          <w:kern w:val="0"/>
          <w:sz w:val="24"/>
          <w:highlight w:val="none"/>
          <w:lang w:val="en-US" w:eastAsia="zh-CN"/>
        </w:rPr>
        <w:t>人民币</w:t>
      </w:r>
      <w:r>
        <w:rPr>
          <w:rFonts w:hint="eastAsia" w:ascii="仿宋_GB2312" w:hAnsi="仿宋_GB2312" w:eastAsia="仿宋_GB2312" w:cs="仿宋_GB2312"/>
          <w:color w:val="auto"/>
          <w:kern w:val="2"/>
          <w:szCs w:val="24"/>
          <w:highlight w:val="none"/>
          <w:lang w:val="en-US" w:eastAsia="zh-CN" w:bidi="ar"/>
        </w:rPr>
        <w:t>50000元违约金。</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12.4本合同可经由甲乙双方协商一致后书面解除,合同的解除不影响任意一方根据本合同或者相关的法律法规向对方寻求赔偿的权利，也不影响一方在合同解除前到期的付款、支付违约金等义务的履行。</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12.5因国家法律、法规发生变化或者政府有关部门、监管机构出台有关规定、规则或者经协商一致，双方在保持合同关系不变的情况下，双方另行签订协议。</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 xml:space="preserve">12.6如任何一方发生下列事件，则另一方有权在发出解除通知后解除本合同： </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 xml:space="preserve">（1）一方被申请破产、清算或被吊销营业执照； </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 xml:space="preserve">（2）一方与另一实体联合、合并或将其所有或大部分资产转移给另一实体，而该存续的企业不能合理地承担其在本合同项下的所有义务。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2" w:firstLineChars="196"/>
        <w:jc w:val="both"/>
        <w:textAlignment w:val="auto"/>
        <w:rPr>
          <w:rFonts w:hint="default" w:ascii="仿宋_GB2312" w:hAnsi="仿宋_GB2312" w:eastAsia="仿宋_GB2312" w:cs="仿宋_GB2312"/>
          <w:b/>
          <w:color w:val="auto"/>
          <w:kern w:val="2"/>
          <w:sz w:val="24"/>
          <w:szCs w:val="24"/>
          <w:highlight w:val="none"/>
          <w:lang w:val="en-US" w:eastAsia="zh-CN" w:bidi="ar"/>
        </w:rPr>
      </w:pPr>
      <w:r>
        <w:rPr>
          <w:rFonts w:hint="eastAsia" w:ascii="仿宋_GB2312" w:hAnsi="仿宋_GB2312" w:eastAsia="仿宋_GB2312" w:cs="仿宋_GB2312"/>
          <w:b/>
          <w:color w:val="auto"/>
          <w:kern w:val="2"/>
          <w:sz w:val="24"/>
          <w:szCs w:val="24"/>
          <w:highlight w:val="none"/>
          <w:lang w:val="en-US" w:eastAsia="zh-CN" w:bidi="ar"/>
        </w:rPr>
        <w:t>十三、争议解决</w:t>
      </w:r>
    </w:p>
    <w:p>
      <w:pPr>
        <w:widowControl w:val="0"/>
        <w:adjustRightInd w:val="0"/>
        <w:snapToGrid w:val="0"/>
        <w:spacing w:after="0" w:line="360" w:lineRule="auto"/>
        <w:ind w:firstLine="480" w:firstLineChars="200"/>
        <w:jc w:val="left"/>
        <w:rPr>
          <w:rFonts w:hint="eastAsia" w:ascii="仿宋_GB2312" w:hAnsi="仿宋_GB2312" w:eastAsia="仿宋_GB2312" w:cs="仿宋_GB2312"/>
          <w:color w:val="auto"/>
          <w:kern w:val="0"/>
          <w:sz w:val="24"/>
          <w:szCs w:val="24"/>
          <w:highlight w:val="none"/>
          <w:lang w:eastAsia="zh-CN" w:bidi="ar-SA"/>
        </w:rPr>
      </w:pPr>
      <w:r>
        <w:rPr>
          <w:rFonts w:hint="eastAsia" w:ascii="仿宋_GB2312" w:hAnsi="仿宋_GB2312" w:eastAsia="仿宋_GB2312" w:cs="仿宋_GB2312"/>
          <w:color w:val="auto"/>
          <w:kern w:val="0"/>
          <w:sz w:val="24"/>
          <w:highlight w:val="none"/>
        </w:rPr>
        <w:t>因本合同以及与本合同有关事项发生争议的，双方可以就争议自行和解，也可以就争议请求行政主管部门、行业协会或其他第三方进行调解。自行和解或双</w:t>
      </w:r>
      <w:r>
        <w:rPr>
          <w:rFonts w:hint="eastAsia" w:ascii="仿宋_GB2312" w:hAnsi="仿宋_GB2312" w:eastAsia="仿宋_GB2312" w:cs="仿宋_GB2312"/>
          <w:color w:val="auto"/>
          <w:kern w:val="0"/>
          <w:sz w:val="24"/>
          <w:szCs w:val="24"/>
          <w:highlight w:val="none"/>
          <w:lang w:eastAsia="zh-CN" w:bidi="ar-SA"/>
        </w:rPr>
        <w:t>方调解达成协议的，经签字并盖章后作为合同补充文件，双方均应遵照执行。当事人不愿和解、调解或者和解、调解不成的，采取下列第</w:t>
      </w:r>
      <w:r>
        <w:rPr>
          <w:rFonts w:hint="eastAsia" w:ascii="仿宋_GB2312" w:hAnsi="仿宋_GB2312" w:eastAsia="仿宋_GB2312" w:cs="仿宋_GB2312"/>
          <w:color w:val="auto"/>
          <w:kern w:val="0"/>
          <w:sz w:val="24"/>
          <w:szCs w:val="24"/>
          <w:highlight w:val="none"/>
          <w:u w:val="single"/>
          <w:lang w:eastAsia="zh-CN" w:bidi="ar-SA"/>
        </w:rPr>
        <w:t>（2）</w:t>
      </w:r>
      <w:r>
        <w:rPr>
          <w:rFonts w:hint="eastAsia" w:ascii="仿宋_GB2312" w:hAnsi="仿宋_GB2312" w:eastAsia="仿宋_GB2312" w:cs="仿宋_GB2312"/>
          <w:color w:val="auto"/>
          <w:kern w:val="0"/>
          <w:sz w:val="24"/>
          <w:szCs w:val="24"/>
          <w:highlight w:val="none"/>
          <w:lang w:eastAsia="zh-CN" w:bidi="ar-SA"/>
        </w:rPr>
        <w:t>种方式解决：</w:t>
      </w:r>
    </w:p>
    <w:p>
      <w:pPr>
        <w:widowControl w:val="0"/>
        <w:adjustRightInd w:val="0"/>
        <w:snapToGrid w:val="0"/>
        <w:spacing w:after="0" w:line="360" w:lineRule="auto"/>
        <w:ind w:firstLine="480" w:firstLineChars="200"/>
        <w:jc w:val="left"/>
        <w:rPr>
          <w:rFonts w:hint="eastAsia" w:ascii="仿宋_GB2312" w:hAnsi="仿宋_GB2312" w:eastAsia="仿宋_GB2312" w:cs="仿宋_GB2312"/>
          <w:color w:val="auto"/>
          <w:kern w:val="0"/>
          <w:sz w:val="24"/>
          <w:szCs w:val="24"/>
          <w:highlight w:val="none"/>
          <w:lang w:eastAsia="zh-CN" w:bidi="ar-SA"/>
        </w:rPr>
      </w:pPr>
      <w:r>
        <w:rPr>
          <w:rFonts w:hint="eastAsia" w:ascii="仿宋_GB2312" w:hAnsi="仿宋_GB2312" w:eastAsia="仿宋_GB2312" w:cs="仿宋_GB2312"/>
          <w:color w:val="auto"/>
          <w:kern w:val="0"/>
          <w:sz w:val="24"/>
          <w:szCs w:val="24"/>
          <w:highlight w:val="none"/>
          <w:lang w:eastAsia="zh-CN" w:bidi="ar-SA"/>
        </w:rPr>
        <w:t>（</w:t>
      </w:r>
      <w:r>
        <w:rPr>
          <w:rFonts w:hint="eastAsia" w:ascii="仿宋_GB2312" w:hAnsi="仿宋_GB2312" w:eastAsia="仿宋_GB2312" w:cs="仿宋_GB2312"/>
          <w:color w:val="auto"/>
          <w:kern w:val="0"/>
          <w:sz w:val="24"/>
          <w:szCs w:val="24"/>
          <w:highlight w:val="none"/>
          <w:lang w:val="en-US" w:eastAsia="zh-CN" w:bidi="ar-SA"/>
        </w:rPr>
        <w:t>1</w:t>
      </w:r>
      <w:r>
        <w:rPr>
          <w:rFonts w:hint="eastAsia" w:ascii="仿宋_GB2312" w:hAnsi="仿宋_GB2312" w:eastAsia="仿宋_GB2312" w:cs="仿宋_GB2312"/>
          <w:color w:val="auto"/>
          <w:kern w:val="0"/>
          <w:sz w:val="24"/>
          <w:szCs w:val="24"/>
          <w:highlight w:val="none"/>
          <w:lang w:eastAsia="zh-CN" w:bidi="ar-SA"/>
        </w:rPr>
        <w:t>）向</w:t>
      </w:r>
      <w:r>
        <w:rPr>
          <w:rFonts w:hint="eastAsia" w:ascii="仿宋_GB2312" w:hAnsi="仿宋_GB2312" w:eastAsia="仿宋_GB2312" w:cs="仿宋_GB2312"/>
          <w:color w:val="auto"/>
          <w:kern w:val="0"/>
          <w:sz w:val="24"/>
          <w:szCs w:val="24"/>
          <w:highlight w:val="none"/>
          <w:u w:val="single"/>
          <w:lang w:eastAsia="zh-CN" w:bidi="ar-SA"/>
        </w:rPr>
        <w:t>长沙</w:t>
      </w:r>
      <w:r>
        <w:rPr>
          <w:rFonts w:hint="eastAsia" w:ascii="仿宋_GB2312" w:hAnsi="仿宋_GB2312" w:eastAsia="仿宋_GB2312" w:cs="仿宋_GB2312"/>
          <w:color w:val="auto"/>
          <w:kern w:val="0"/>
          <w:sz w:val="24"/>
          <w:szCs w:val="24"/>
          <w:highlight w:val="none"/>
          <w:lang w:eastAsia="zh-CN" w:bidi="ar-SA"/>
        </w:rPr>
        <w:t>仲裁委员会申请仲裁；</w:t>
      </w:r>
    </w:p>
    <w:p>
      <w:pPr>
        <w:widowControl w:val="0"/>
        <w:adjustRightInd w:val="0"/>
        <w:snapToGrid w:val="0"/>
        <w:spacing w:after="0" w:line="360" w:lineRule="auto"/>
        <w:ind w:firstLine="480" w:firstLineChars="200"/>
        <w:jc w:val="left"/>
        <w:rPr>
          <w:rFonts w:hint="eastAsia" w:ascii="仿宋_GB2312" w:hAnsi="仿宋_GB2312" w:eastAsia="仿宋_GB2312" w:cs="仿宋_GB2312"/>
          <w:color w:val="auto"/>
          <w:kern w:val="0"/>
          <w:sz w:val="24"/>
          <w:szCs w:val="24"/>
          <w:highlight w:val="none"/>
          <w:lang w:eastAsia="zh-CN" w:bidi="ar-SA"/>
        </w:rPr>
      </w:pPr>
      <w:r>
        <w:rPr>
          <w:rFonts w:hint="eastAsia" w:ascii="仿宋_GB2312" w:hAnsi="仿宋_GB2312" w:eastAsia="仿宋_GB2312" w:cs="仿宋_GB2312"/>
          <w:color w:val="auto"/>
          <w:kern w:val="0"/>
          <w:sz w:val="24"/>
          <w:szCs w:val="24"/>
          <w:highlight w:val="none"/>
          <w:lang w:eastAsia="zh-CN" w:bidi="ar-SA"/>
        </w:rPr>
        <w:t>（</w:t>
      </w:r>
      <w:r>
        <w:rPr>
          <w:rFonts w:hint="eastAsia" w:ascii="仿宋_GB2312" w:hAnsi="仿宋_GB2312" w:eastAsia="仿宋_GB2312" w:cs="仿宋_GB2312"/>
          <w:color w:val="auto"/>
          <w:kern w:val="0"/>
          <w:sz w:val="24"/>
          <w:szCs w:val="24"/>
          <w:highlight w:val="none"/>
          <w:lang w:val="en-US" w:eastAsia="zh-CN" w:bidi="ar-SA"/>
        </w:rPr>
        <w:t>2</w:t>
      </w:r>
      <w:r>
        <w:rPr>
          <w:rFonts w:hint="eastAsia" w:ascii="仿宋_GB2312" w:hAnsi="仿宋_GB2312" w:eastAsia="仿宋_GB2312" w:cs="仿宋_GB2312"/>
          <w:color w:val="auto"/>
          <w:kern w:val="0"/>
          <w:sz w:val="24"/>
          <w:szCs w:val="24"/>
          <w:highlight w:val="none"/>
          <w:lang w:eastAsia="zh-CN" w:bidi="ar-SA"/>
        </w:rPr>
        <w:t>）向</w:t>
      </w:r>
      <w:r>
        <w:rPr>
          <w:rFonts w:hint="eastAsia" w:ascii="仿宋_GB2312" w:hAnsi="仿宋_GB2312" w:eastAsia="仿宋_GB2312" w:cs="仿宋_GB2312"/>
          <w:color w:val="auto"/>
          <w:kern w:val="0"/>
          <w:sz w:val="24"/>
          <w:szCs w:val="24"/>
          <w:highlight w:val="none"/>
          <w:u w:val="single"/>
          <w:lang w:eastAsia="zh-CN" w:bidi="ar-SA"/>
        </w:rPr>
        <w:t>甲方所在地</w:t>
      </w:r>
      <w:r>
        <w:rPr>
          <w:rFonts w:hint="eastAsia" w:ascii="仿宋_GB2312" w:hAnsi="仿宋_GB2312" w:eastAsia="仿宋_GB2312" w:cs="仿宋_GB2312"/>
          <w:color w:val="auto"/>
          <w:kern w:val="0"/>
          <w:sz w:val="24"/>
          <w:szCs w:val="24"/>
          <w:highlight w:val="none"/>
          <w:lang w:eastAsia="zh-CN" w:bidi="ar-SA"/>
        </w:rPr>
        <w:t>人民法院起诉。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2" w:firstLineChars="196"/>
        <w:jc w:val="both"/>
        <w:textAlignment w:val="auto"/>
        <w:rPr>
          <w:rFonts w:hint="default" w:ascii="仿宋_GB2312" w:hAnsi="仿宋_GB2312" w:eastAsia="仿宋_GB2312" w:cs="仿宋_GB2312"/>
          <w:b/>
          <w:color w:val="auto"/>
          <w:kern w:val="2"/>
          <w:sz w:val="24"/>
          <w:szCs w:val="24"/>
          <w:highlight w:val="none"/>
          <w:lang w:val="en-US" w:eastAsia="zh-CN" w:bidi="ar"/>
        </w:rPr>
      </w:pPr>
      <w:r>
        <w:rPr>
          <w:rFonts w:hint="eastAsia" w:ascii="仿宋_GB2312" w:hAnsi="仿宋_GB2312" w:eastAsia="仿宋_GB2312" w:cs="仿宋_GB2312"/>
          <w:b/>
          <w:color w:val="auto"/>
          <w:kern w:val="2"/>
          <w:sz w:val="24"/>
          <w:szCs w:val="24"/>
          <w:highlight w:val="none"/>
          <w:lang w:val="en-US" w:eastAsia="zh-CN" w:bidi="ar"/>
        </w:rPr>
        <w:t>十四、其他</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r>
        <w:rPr>
          <w:rFonts w:hint="eastAsia" w:ascii="仿宋_GB2312" w:hAnsi="仿宋_GB2312" w:eastAsia="仿宋_GB2312" w:cs="仿宋_GB2312"/>
          <w:color w:val="auto"/>
          <w:kern w:val="2"/>
          <w:szCs w:val="24"/>
          <w:highlight w:val="none"/>
          <w:lang w:val="en-US" w:eastAsia="zh-CN" w:bidi="ar"/>
        </w:rPr>
        <w:t>14.1 本合同未尽事宜,甲乙双方可另行以书面形式签订补充协议,补充合同与本合同有同等效力。补充协议与本合同存在冲突的,以补充协议为准。湖南省政府相关部门及湖南省电力交易中心对电力交易合同有新的规定时,甲乙双方经协商一致可以按照规定格式重新签订新的合同,但代理合同期限及电量偏差考核承担不做调整。</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72" w:firstLineChars="196"/>
        <w:jc w:val="both"/>
        <w:textAlignment w:val="auto"/>
        <w:rPr>
          <w:rFonts w:hint="default" w:ascii="仿宋_GB2312" w:hAnsi="仿宋_GB2312" w:eastAsia="仿宋_GB2312" w:cs="仿宋_GB2312"/>
          <w:color w:val="auto"/>
          <w:kern w:val="2"/>
          <w:szCs w:val="24"/>
          <w:highlight w:val="none"/>
          <w:u w:val="none"/>
          <w:lang w:val="en-US" w:eastAsia="zh-CN" w:bidi="ar"/>
        </w:rPr>
      </w:pPr>
      <w:r>
        <w:rPr>
          <w:rFonts w:hint="eastAsia" w:ascii="仿宋_GB2312" w:hAnsi="仿宋_GB2312" w:eastAsia="仿宋_GB2312" w:cs="仿宋_GB2312"/>
          <w:b/>
          <w:color w:val="auto"/>
          <w:kern w:val="2"/>
          <w:sz w:val="24"/>
          <w:szCs w:val="24"/>
          <w:highlight w:val="none"/>
          <w:lang w:val="en-US" w:eastAsia="zh-CN" w:bidi="ar"/>
        </w:rPr>
        <w:t>十五、双方约定的其他事项</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u w:val="none"/>
          <w:lang w:val="en-US" w:eastAsia="zh-CN" w:bidi="ar"/>
        </w:rPr>
      </w:pPr>
      <w:r>
        <w:rPr>
          <w:rFonts w:hint="eastAsia" w:ascii="仿宋_GB2312" w:hAnsi="仿宋_GB2312" w:eastAsia="仿宋_GB2312" w:cs="仿宋_GB2312"/>
          <w:bCs/>
          <w:color w:val="auto"/>
          <w:sz w:val="24"/>
          <w:highlight w:val="none"/>
          <w:u w:val="single"/>
          <w:lang w:val="en-US" w:eastAsia="zh-CN"/>
        </w:rPr>
        <w:t>本合同中甲方（</w:t>
      </w:r>
      <w:r>
        <w:rPr>
          <w:rFonts w:hint="eastAsia" w:ascii="仿宋_GB2312" w:hAnsi="仿宋_GB2312" w:eastAsia="仿宋_GB2312" w:cs="仿宋_GB2312"/>
          <w:bCs/>
          <w:color w:val="auto"/>
          <w:sz w:val="24"/>
          <w:highlight w:val="none"/>
          <w:u w:val="single"/>
          <w:lang w:val="en-US" w:eastAsia="zh-CN"/>
        </w:rPr>
        <w:sym w:font="Wingdings" w:char="00FE"/>
      </w:r>
      <w:r>
        <w:rPr>
          <w:rFonts w:hint="eastAsia" w:ascii="仿宋_GB2312" w:hAnsi="仿宋_GB2312" w:eastAsia="仿宋_GB2312" w:cs="仿宋_GB2312"/>
          <w:bCs/>
          <w:color w:val="auto"/>
          <w:sz w:val="24"/>
          <w:highlight w:val="none"/>
          <w:u w:val="single"/>
          <w:lang w:val="en-US" w:eastAsia="zh-CN"/>
        </w:rPr>
        <w:t>长沙市轨道交通一号线建设发展有限公司、</w:t>
      </w:r>
      <w:r>
        <w:rPr>
          <w:rFonts w:hint="eastAsia" w:ascii="仿宋_GB2312" w:hAnsi="仿宋_GB2312" w:eastAsia="仿宋_GB2312" w:cs="仿宋_GB2312"/>
          <w:bCs/>
          <w:color w:val="auto"/>
          <w:sz w:val="24"/>
          <w:highlight w:val="none"/>
          <w:u w:val="single"/>
          <w:lang w:val="en-US" w:eastAsia="zh-CN"/>
        </w:rPr>
        <w:sym w:font="Wingdings" w:char="00FE"/>
      </w:r>
      <w:r>
        <w:rPr>
          <w:rFonts w:hint="eastAsia" w:ascii="仿宋_GB2312" w:hAnsi="仿宋_GB2312" w:eastAsia="仿宋_GB2312" w:cs="仿宋_GB2312"/>
          <w:bCs/>
          <w:color w:val="auto"/>
          <w:sz w:val="24"/>
          <w:highlight w:val="none"/>
          <w:u w:val="single"/>
          <w:lang w:val="en-US" w:eastAsia="zh-CN"/>
        </w:rPr>
        <w:t>长沙市轨道交通运营有限公司、</w:t>
      </w:r>
      <w:r>
        <w:rPr>
          <w:rFonts w:hint="eastAsia" w:ascii="仿宋_GB2312" w:hAnsi="仿宋_GB2312" w:eastAsia="仿宋_GB2312" w:cs="仿宋_GB2312"/>
          <w:bCs/>
          <w:color w:val="auto"/>
          <w:sz w:val="24"/>
          <w:highlight w:val="none"/>
          <w:u w:val="single"/>
          <w:lang w:val="en-US" w:eastAsia="zh-CN"/>
        </w:rPr>
        <w:sym w:font="Wingdings" w:char="00FE"/>
      </w:r>
      <w:r>
        <w:rPr>
          <w:rFonts w:hint="eastAsia" w:ascii="仿宋_GB2312" w:hAnsi="仿宋_GB2312" w:eastAsia="仿宋_GB2312" w:cs="仿宋_GB2312"/>
          <w:bCs/>
          <w:color w:val="auto"/>
          <w:sz w:val="24"/>
          <w:highlight w:val="none"/>
          <w:u w:val="single"/>
          <w:lang w:val="en-US" w:eastAsia="zh-CN"/>
        </w:rPr>
        <w:t>长沙市轨道交通三号线建设发展有限公司、</w:t>
      </w:r>
      <w:r>
        <w:rPr>
          <w:rFonts w:hint="eastAsia" w:ascii="仿宋_GB2312" w:hAnsi="仿宋_GB2312" w:eastAsia="仿宋_GB2312" w:cs="仿宋_GB2312"/>
          <w:bCs/>
          <w:color w:val="auto"/>
          <w:sz w:val="24"/>
          <w:highlight w:val="none"/>
          <w:u w:val="single"/>
          <w:lang w:val="en-US" w:eastAsia="zh-CN"/>
        </w:rPr>
        <w:sym w:font="Wingdings" w:char="00FE"/>
      </w:r>
      <w:r>
        <w:rPr>
          <w:rFonts w:hint="eastAsia" w:ascii="仿宋_GB2312" w:hAnsi="仿宋_GB2312" w:eastAsia="仿宋_GB2312" w:cs="仿宋_GB2312"/>
          <w:bCs/>
          <w:color w:val="auto"/>
          <w:sz w:val="24"/>
          <w:highlight w:val="none"/>
          <w:u w:val="single"/>
          <w:lang w:val="en-US" w:eastAsia="zh-CN"/>
        </w:rPr>
        <w:t>长沙市轨道交通四号线建设发展有限公司、</w:t>
      </w:r>
      <w:r>
        <w:rPr>
          <w:rFonts w:hint="eastAsia" w:ascii="仿宋_GB2312" w:hAnsi="仿宋_GB2312" w:eastAsia="仿宋_GB2312" w:cs="仿宋_GB2312"/>
          <w:bCs/>
          <w:color w:val="auto"/>
          <w:sz w:val="24"/>
          <w:highlight w:val="none"/>
          <w:u w:val="single"/>
          <w:lang w:val="en-US" w:eastAsia="zh-CN"/>
        </w:rPr>
        <w:sym w:font="Wingdings" w:char="00FE"/>
      </w:r>
      <w:r>
        <w:rPr>
          <w:rFonts w:hint="eastAsia" w:ascii="仿宋_GB2312" w:hAnsi="仿宋_GB2312" w:eastAsia="仿宋_GB2312" w:cs="仿宋_GB2312"/>
          <w:bCs/>
          <w:color w:val="auto"/>
          <w:sz w:val="24"/>
          <w:highlight w:val="none"/>
          <w:u w:val="single"/>
          <w:lang w:val="en-US" w:eastAsia="zh-CN"/>
        </w:rPr>
        <w:t>长沙市轨道交通五号线建设发展有限公司）如果涉及多个付款人，则根据计量与支付条款各自承担资金的支付、发票的收讫，各甲方对应付乙方的合同款项互不承担连带责任</w:t>
      </w:r>
      <w:r>
        <w:rPr>
          <w:rFonts w:hint="eastAsia" w:ascii="仿宋_GB2312" w:hAnsi="仿宋_GB2312" w:eastAsia="仿宋_GB2312" w:cs="仿宋_GB2312"/>
          <w:color w:val="auto"/>
          <w:kern w:val="2"/>
          <w:szCs w:val="24"/>
          <w:highlight w:val="none"/>
          <w:u w:val="none"/>
          <w:lang w:val="en-US" w:eastAsia="zh-CN" w:bidi="ar"/>
        </w:rPr>
        <w:t>。</w:t>
      </w: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jc w:val="both"/>
        <w:rPr>
          <w:rFonts w:hint="eastAsia" w:ascii="仿宋_GB2312" w:hAnsi="仿宋_GB2312" w:eastAsia="仿宋_GB2312" w:cs="仿宋_GB2312"/>
          <w:color w:val="auto"/>
          <w:kern w:val="2"/>
          <w:szCs w:val="24"/>
          <w:highlight w:val="none"/>
          <w:lang w:val="en-US" w:eastAsia="zh-CN" w:bidi="ar"/>
        </w:rPr>
      </w:pPr>
    </w:p>
    <w:p>
      <w:pPr>
        <w:pStyle w:val="41"/>
        <w:widowControl w:val="0"/>
        <w:adjustRightInd w:val="0"/>
        <w:snapToGrid w:val="0"/>
        <w:spacing w:before="0" w:beforeAutospacing="0" w:after="0" w:afterAutospacing="0" w:line="360" w:lineRule="auto"/>
        <w:jc w:val="both"/>
        <w:rPr>
          <w:rFonts w:hint="eastAsia" w:ascii="仿宋_GB2312" w:hAnsi="仿宋_GB2312" w:eastAsia="仿宋_GB2312" w:cs="仿宋_GB2312"/>
          <w:color w:val="auto"/>
          <w:kern w:val="2"/>
          <w:szCs w:val="24"/>
          <w:highlight w:val="none"/>
          <w:lang w:val="en-US" w:eastAsia="zh-CN" w:bidi="ar"/>
        </w:rPr>
      </w:pP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（本页无正文）</w:t>
      </w:r>
    </w:p>
    <w:p>
      <w:pPr>
        <w:snapToGrid w:val="0"/>
        <w:spacing w:line="360" w:lineRule="auto"/>
        <w:rPr>
          <w:rFonts w:hint="eastAsia" w:ascii="仿宋_GB2312" w:hAnsi="仿宋_GB2312" w:eastAsia="仿宋_GB2312" w:cs="仿宋_GB2312"/>
          <w:color w:val="auto"/>
          <w:sz w:val="24"/>
          <w:highlight w:val="none"/>
        </w:rPr>
      </w:pPr>
    </w:p>
    <w:p>
      <w:pPr>
        <w:snapToGrid w:val="0"/>
        <w:spacing w:line="360" w:lineRule="auto"/>
        <w:rPr>
          <w:rFonts w:hint="eastAsia" w:ascii="仿宋_GB2312" w:hAnsi="仿宋_GB2312" w:eastAsia="仿宋_GB2312" w:cs="仿宋_GB2312"/>
          <w:color w:val="auto"/>
          <w:sz w:val="24"/>
          <w:highlight w:val="none"/>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甲方</w:t>
            </w:r>
            <w:r>
              <w:rPr>
                <w:rFonts w:hint="eastAsia" w:ascii="仿宋_GB2312" w:hAnsi="仿宋_GB2312" w:eastAsia="仿宋_GB2312" w:cs="仿宋_GB2312"/>
                <w:color w:val="auto"/>
                <w:sz w:val="24"/>
                <w:highlight w:val="none"/>
              </w:rPr>
              <w:t>：(盖章)</w:t>
            </w:r>
          </w:p>
          <w:p>
            <w:pPr>
              <w:pStyle w:val="25"/>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4252" w:type="dxa"/>
            <w:tcBorders>
              <w:top w:val="nil"/>
              <w:left w:val="nil"/>
              <w:bottom w:val="nil"/>
              <w:right w:val="nil"/>
            </w:tcBorders>
            <w:noWrap w:val="0"/>
            <w:vAlign w:val="top"/>
          </w:tcPr>
          <w:p>
            <w:pPr>
              <w:pStyle w:val="25"/>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乙方</w:t>
            </w:r>
            <w:r>
              <w:rPr>
                <w:rFonts w:hint="eastAsia" w:ascii="仿宋_GB2312" w:hAnsi="仿宋_GB2312" w:eastAsia="仿宋_GB2312" w:cs="仿宋_GB2312"/>
                <w:color w:val="auto"/>
                <w:sz w:val="24"/>
                <w:highlight w:val="none"/>
              </w:rPr>
              <w:t>：（盖章）</w:t>
            </w:r>
          </w:p>
          <w:p>
            <w:pPr>
              <w:pStyle w:val="25"/>
              <w:snapToGrid w:val="0"/>
              <w:spacing w:line="360" w:lineRule="auto"/>
              <w:rPr>
                <w:rFonts w:hint="eastAsia" w:ascii="仿宋_GB2312" w:hAnsi="仿宋_GB2312" w:eastAsia="仿宋_GB2312" w:cs="仿宋_GB2312"/>
                <w:color w:val="auto"/>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法定代表人或其授权代表：</w:t>
            </w:r>
          </w:p>
          <w:p>
            <w:pPr>
              <w:pStyle w:val="25"/>
              <w:snapToGrid w:val="0"/>
              <w:spacing w:line="360" w:lineRule="auto"/>
              <w:ind w:left="19" w:leftChars="9"/>
              <w:rPr>
                <w:rFonts w:hint="eastAsia" w:ascii="仿宋_GB2312" w:hAnsi="仿宋_GB2312" w:eastAsia="仿宋_GB2312" w:cs="仿宋_GB2312"/>
                <w:color w:val="auto"/>
                <w:sz w:val="24"/>
                <w:highlight w:val="none"/>
              </w:rPr>
            </w:pP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法定代表人或其授权代表：</w:t>
            </w:r>
          </w:p>
          <w:p>
            <w:pPr>
              <w:pStyle w:val="25"/>
              <w:snapToGrid w:val="0"/>
              <w:spacing w:line="360" w:lineRule="auto"/>
              <w:ind w:left="34" w:leftChars="16"/>
              <w:rPr>
                <w:rFonts w:hint="eastAsia" w:ascii="仿宋_GB2312" w:hAnsi="仿宋_GB2312" w:eastAsia="仿宋_GB2312" w:cs="仿宋_GB2312"/>
                <w:color w:val="auto"/>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地址：  </w:t>
            </w:r>
          </w:p>
        </w:tc>
        <w:tc>
          <w:tcPr>
            <w:tcW w:w="4252" w:type="dxa"/>
            <w:tcBorders>
              <w:top w:val="nil"/>
              <w:left w:val="nil"/>
              <w:bottom w:val="nil"/>
              <w:right w:val="nil"/>
            </w:tcBorders>
            <w:noWrap w:val="0"/>
            <w:vAlign w:val="top"/>
          </w:tcPr>
          <w:p>
            <w:pPr>
              <w:pStyle w:val="25"/>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邮编：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电话：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传真：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账号：</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w:t>
            </w:r>
          </w:p>
        </w:tc>
      </w:tr>
    </w:tbl>
    <w:p>
      <w:pPr>
        <w:pStyle w:val="46"/>
        <w:ind w:left="0" w:leftChars="0" w:firstLine="0" w:firstLineChars="0"/>
        <w:rPr>
          <w:rFonts w:hint="eastAsia" w:ascii="仿宋_GB2312" w:hAnsi="仿宋_GB2312" w:eastAsia="仿宋_GB2312" w:cs="仿宋_GB2312"/>
          <w:b/>
          <w:color w:val="auto"/>
          <w:sz w:val="32"/>
          <w:szCs w:val="32"/>
          <w:highlight w:val="none"/>
        </w:rPr>
      </w:pPr>
      <w:bookmarkStart w:id="76" w:name="_Toc2997"/>
      <w:bookmarkStart w:id="77" w:name="_Toc319826220"/>
      <w:bookmarkStart w:id="78" w:name="_Toc14554"/>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b/>
          <w:color w:val="auto"/>
          <w:sz w:val="32"/>
          <w:szCs w:val="32"/>
          <w:highlight w:val="none"/>
        </w:rPr>
      </w:pP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b/>
          <w:color w:val="auto"/>
          <w:sz w:val="32"/>
          <w:szCs w:val="32"/>
          <w:highlight w:val="none"/>
        </w:rPr>
      </w:pP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b/>
          <w:color w:val="auto"/>
          <w:sz w:val="32"/>
          <w:szCs w:val="32"/>
          <w:highlight w:val="none"/>
        </w:rPr>
        <w:sectPr>
          <w:pgSz w:w="11906" w:h="16838"/>
          <w:pgMar w:top="1440" w:right="1797" w:bottom="1440" w:left="1797" w:header="851" w:footer="567" w:gutter="0"/>
          <w:pgNumType w:fmt="decimal"/>
          <w:cols w:space="720" w:num="1"/>
          <w:docGrid w:type="lines" w:linePitch="312" w:charSpace="0"/>
        </w:sectPr>
      </w:pPr>
    </w:p>
    <w:p>
      <w:pPr>
        <w:keepNext w:val="0"/>
        <w:keepLines w:val="0"/>
        <w:pageBreakBefore w:val="0"/>
        <w:tabs>
          <w:tab w:val="left" w:pos="900"/>
        </w:tabs>
        <w:kinsoku/>
        <w:wordWrap/>
        <w:overflowPunct/>
        <w:topLinePunct w:val="0"/>
        <w:autoSpaceDE/>
        <w:autoSpaceDN/>
        <w:bidi w:val="0"/>
        <w:adjustRightInd w:val="0"/>
        <w:snapToGrid w:val="0"/>
        <w:spacing w:line="360" w:lineRule="auto"/>
        <w:jc w:val="center"/>
        <w:textAlignment w:val="baseline"/>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32"/>
          <w:szCs w:val="32"/>
          <w:highlight w:val="none"/>
        </w:rPr>
        <w:t>合同附件</w:t>
      </w:r>
      <w:bookmarkEnd w:id="76"/>
      <w:bookmarkEnd w:id="77"/>
      <w:bookmarkEnd w:id="78"/>
    </w:p>
    <w:p>
      <w:pPr>
        <w:keepNext w:val="0"/>
        <w:keepLines w:val="0"/>
        <w:pageBreakBefore w:val="0"/>
        <w:kinsoku/>
        <w:wordWrap/>
        <w:overflowPunct/>
        <w:topLinePunct w:val="0"/>
        <w:autoSpaceDE/>
        <w:autoSpaceDN/>
        <w:bidi w:val="0"/>
        <w:adjustRightInd w:val="0"/>
        <w:snapToGrid w:val="0"/>
        <w:outlineLvl w:val="9"/>
        <w:rPr>
          <w:rFonts w:hint="eastAsia" w:ascii="仿宋_GB2312" w:hAnsi="仿宋_GB2312" w:eastAsia="仿宋_GB2312" w:cs="仿宋_GB2312"/>
          <w:b/>
          <w:color w:val="auto"/>
          <w:sz w:val="24"/>
          <w:highlight w:val="none"/>
        </w:rPr>
      </w:pPr>
      <w:bookmarkStart w:id="79" w:name="_Toc19384"/>
      <w:bookmarkStart w:id="80" w:name="_Toc17490"/>
      <w:r>
        <w:rPr>
          <w:rFonts w:hint="eastAsia" w:ascii="仿宋_GB2312" w:hAnsi="仿宋_GB2312" w:eastAsia="仿宋_GB2312" w:cs="仿宋_GB2312"/>
          <w:b/>
          <w:color w:val="auto"/>
          <w:sz w:val="24"/>
          <w:highlight w:val="none"/>
        </w:rPr>
        <w:t>附件1 廉政协议</w:t>
      </w:r>
    </w:p>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廉政协议</w:t>
      </w:r>
    </w:p>
    <w:p>
      <w:pPr>
        <w:keepNext w:val="0"/>
        <w:keepLines w:val="0"/>
        <w:pageBreakBefore w:val="0"/>
        <w:widowControl/>
        <w:kinsoku/>
        <w:wordWrap/>
        <w:overflowPunct/>
        <w:topLinePunct w:val="0"/>
        <w:autoSpaceDE/>
        <w:autoSpaceDN/>
        <w:bidi w:val="0"/>
        <w:snapToGrid w:val="0"/>
        <w:spacing w:line="360" w:lineRule="auto"/>
        <w:jc w:val="left"/>
        <w:outlineLvl w:val="9"/>
        <w:rPr>
          <w:rFonts w:hint="eastAsia" w:ascii="仿宋_GB2312" w:hAnsi="仿宋_GB2312" w:eastAsia="仿宋_GB2312" w:cs="仿宋_GB2312"/>
          <w:color w:val="auto"/>
          <w:kern w:val="0"/>
          <w:sz w:val="24"/>
          <w:highlight w:val="none"/>
          <w:lang w:bidi="en-US"/>
        </w:rPr>
      </w:pP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outlineLvl w:val="9"/>
        <w:rPr>
          <w:rFonts w:hint="eastAsia" w:ascii="仿宋_GB2312" w:hAnsi="仿宋_GB2312" w:eastAsia="仿宋_GB2312" w:cs="仿宋_GB2312"/>
          <w:b/>
          <w:color w:val="auto"/>
          <w:kern w:val="2"/>
          <w:sz w:val="24"/>
          <w:szCs w:val="24"/>
          <w:highlight w:val="none"/>
          <w:lang w:eastAsia="zh-CN" w:bidi="ar-SA"/>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kern w:val="2"/>
          <w:sz w:val="24"/>
          <w:szCs w:val="24"/>
          <w:highlight w:val="none"/>
          <w:u w:val="single"/>
          <w:lang w:val="en-US" w:eastAsia="zh-CN" w:bidi="ar"/>
        </w:rPr>
        <w:t>长沙市轨道交通一号线建设发展有限公司</w:t>
      </w:r>
      <w:r>
        <w:rPr>
          <w:rFonts w:hint="eastAsia" w:ascii="仿宋_GB2312" w:hAnsi="仿宋_GB2312" w:eastAsia="仿宋_GB2312" w:cs="仿宋_GB2312"/>
          <w:b/>
          <w:color w:val="auto"/>
          <w:kern w:val="2"/>
          <w:sz w:val="24"/>
          <w:szCs w:val="24"/>
          <w:highlight w:val="none"/>
          <w:lang w:eastAsia="zh-CN" w:bidi="ar-SA"/>
        </w:rPr>
        <w:t xml:space="preserve"> </w:t>
      </w:r>
    </w:p>
    <w:p>
      <w:pPr>
        <w:keepNext w:val="0"/>
        <w:keepLines w:val="0"/>
        <w:pageBreakBefore w:val="0"/>
        <w:widowControl w:val="0"/>
        <w:kinsoku/>
        <w:wordWrap/>
        <w:overflowPunct/>
        <w:topLinePunct w:val="0"/>
        <w:autoSpaceDE/>
        <w:autoSpaceDN/>
        <w:bidi w:val="0"/>
        <w:adjustRightInd/>
        <w:snapToGrid w:val="0"/>
        <w:spacing w:after="0" w:line="360" w:lineRule="auto"/>
        <w:ind w:firstLine="720" w:firstLineChars="300"/>
        <w:jc w:val="left"/>
        <w:textAlignment w:val="auto"/>
        <w:outlineLvl w:val="9"/>
        <w:rPr>
          <w:rFonts w:hint="eastAsia" w:ascii="仿宋_GB2312" w:hAnsi="仿宋_GB2312" w:eastAsia="仿宋_GB2312" w:cs="仿宋_GB2312"/>
          <w:color w:val="auto"/>
          <w:kern w:val="2"/>
          <w:sz w:val="24"/>
          <w:szCs w:val="24"/>
          <w:highlight w:val="none"/>
          <w:u w:val="single"/>
          <w:lang w:val="en-US" w:eastAsia="zh-CN" w:bidi="ar"/>
        </w:rPr>
      </w:pPr>
      <w:r>
        <w:rPr>
          <w:rFonts w:hint="eastAsia" w:ascii="仿宋_GB2312" w:hAnsi="仿宋_GB2312" w:eastAsia="仿宋_GB2312" w:cs="仿宋_GB2312"/>
          <w:color w:val="auto"/>
          <w:kern w:val="2"/>
          <w:sz w:val="24"/>
          <w:szCs w:val="24"/>
          <w:highlight w:val="none"/>
          <w:u w:val="single"/>
          <w:lang w:val="en-US" w:eastAsia="zh-CN" w:bidi="ar"/>
        </w:rPr>
        <w:t>长沙市轨道交通运营有限公司</w:t>
      </w:r>
    </w:p>
    <w:p>
      <w:pPr>
        <w:keepNext w:val="0"/>
        <w:keepLines w:val="0"/>
        <w:pageBreakBefore w:val="0"/>
        <w:widowControl w:val="0"/>
        <w:kinsoku/>
        <w:wordWrap/>
        <w:overflowPunct/>
        <w:topLinePunct w:val="0"/>
        <w:autoSpaceDE/>
        <w:autoSpaceDN/>
        <w:bidi w:val="0"/>
        <w:adjustRightInd/>
        <w:snapToGrid w:val="0"/>
        <w:spacing w:after="0" w:line="360" w:lineRule="auto"/>
        <w:ind w:firstLine="720" w:firstLineChars="300"/>
        <w:jc w:val="left"/>
        <w:textAlignment w:val="auto"/>
        <w:outlineLvl w:val="9"/>
        <w:rPr>
          <w:rFonts w:hint="eastAsia" w:ascii="仿宋_GB2312" w:hAnsi="仿宋_GB2312" w:eastAsia="仿宋_GB2312" w:cs="仿宋_GB2312"/>
          <w:color w:val="auto"/>
          <w:kern w:val="2"/>
          <w:sz w:val="24"/>
          <w:szCs w:val="24"/>
          <w:highlight w:val="none"/>
          <w:u w:val="single"/>
          <w:lang w:val="en-US" w:eastAsia="zh-CN" w:bidi="ar"/>
        </w:rPr>
      </w:pPr>
      <w:r>
        <w:rPr>
          <w:rFonts w:hint="eastAsia" w:ascii="仿宋_GB2312" w:hAnsi="仿宋_GB2312" w:eastAsia="仿宋_GB2312" w:cs="仿宋_GB2312"/>
          <w:color w:val="auto"/>
          <w:kern w:val="2"/>
          <w:sz w:val="24"/>
          <w:szCs w:val="24"/>
          <w:highlight w:val="none"/>
          <w:u w:val="single"/>
          <w:lang w:val="en-US" w:eastAsia="zh-CN" w:bidi="ar"/>
        </w:rPr>
        <w:t>长沙市轨道交通三号线建设发展有限公司</w:t>
      </w:r>
    </w:p>
    <w:p>
      <w:pPr>
        <w:keepNext w:val="0"/>
        <w:keepLines w:val="0"/>
        <w:pageBreakBefore w:val="0"/>
        <w:widowControl w:val="0"/>
        <w:kinsoku/>
        <w:wordWrap/>
        <w:overflowPunct/>
        <w:topLinePunct w:val="0"/>
        <w:autoSpaceDE/>
        <w:autoSpaceDN/>
        <w:bidi w:val="0"/>
        <w:adjustRightInd/>
        <w:snapToGrid w:val="0"/>
        <w:spacing w:after="0" w:line="360" w:lineRule="auto"/>
        <w:ind w:firstLine="720" w:firstLineChars="300"/>
        <w:jc w:val="left"/>
        <w:textAlignment w:val="auto"/>
        <w:outlineLvl w:val="9"/>
        <w:rPr>
          <w:rFonts w:hint="eastAsia" w:ascii="仿宋_GB2312" w:hAnsi="仿宋_GB2312" w:eastAsia="仿宋_GB2312" w:cs="仿宋_GB2312"/>
          <w:color w:val="auto"/>
          <w:kern w:val="2"/>
          <w:sz w:val="24"/>
          <w:szCs w:val="24"/>
          <w:highlight w:val="none"/>
          <w:u w:val="single"/>
          <w:lang w:val="en-US" w:eastAsia="zh-CN" w:bidi="ar"/>
        </w:rPr>
      </w:pPr>
      <w:r>
        <w:rPr>
          <w:rFonts w:hint="eastAsia" w:ascii="仿宋_GB2312" w:hAnsi="仿宋_GB2312" w:eastAsia="仿宋_GB2312" w:cs="仿宋_GB2312"/>
          <w:color w:val="auto"/>
          <w:kern w:val="2"/>
          <w:sz w:val="24"/>
          <w:szCs w:val="24"/>
          <w:highlight w:val="none"/>
          <w:u w:val="single"/>
          <w:lang w:val="en-US" w:eastAsia="zh-CN" w:bidi="ar"/>
        </w:rPr>
        <w:t>长沙市轨道交通四号线建设发展有限公司</w:t>
      </w:r>
    </w:p>
    <w:p>
      <w:pPr>
        <w:keepNext w:val="0"/>
        <w:keepLines w:val="0"/>
        <w:pageBreakBefore w:val="0"/>
        <w:widowControl w:val="0"/>
        <w:kinsoku/>
        <w:wordWrap/>
        <w:overflowPunct/>
        <w:topLinePunct w:val="0"/>
        <w:autoSpaceDE/>
        <w:autoSpaceDN/>
        <w:bidi w:val="0"/>
        <w:adjustRightInd/>
        <w:snapToGrid w:val="0"/>
        <w:spacing w:after="0" w:line="360" w:lineRule="auto"/>
        <w:ind w:firstLine="720" w:firstLineChars="300"/>
        <w:jc w:val="left"/>
        <w:textAlignment w:val="auto"/>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kern w:val="2"/>
          <w:sz w:val="24"/>
          <w:szCs w:val="24"/>
          <w:highlight w:val="none"/>
          <w:u w:val="single"/>
          <w:lang w:val="en-US" w:eastAsia="zh-CN" w:bidi="ar"/>
        </w:rPr>
        <w:t>长沙市轨道交通五号线建设发展有限公司</w:t>
      </w:r>
    </w:p>
    <w:p>
      <w:pPr>
        <w:pStyle w:val="14"/>
        <w:keepNext w:val="0"/>
        <w:keepLines w:val="0"/>
        <w:pageBreakBefore w:val="0"/>
        <w:kinsoku/>
        <w:wordWrap/>
        <w:overflowPunct/>
        <w:topLinePunct w:val="0"/>
        <w:autoSpaceDE/>
        <w:autoSpaceDN/>
        <w:bidi w:val="0"/>
        <w:snapToGrid w:val="0"/>
        <w:spacing w:line="440" w:lineRule="exact"/>
        <w:ind w:firstLine="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w:t>
      </w:r>
      <w:r>
        <w:rPr>
          <w:rFonts w:hint="eastAsia" w:ascii="仿宋_GB2312" w:hAnsi="仿宋_GB2312" w:eastAsia="仿宋_GB2312" w:cs="仿宋_GB2312"/>
          <w:color w:val="auto"/>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line="440" w:lineRule="exact"/>
        <w:ind w:firstLine="480"/>
        <w:jc w:val="lef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根据国家法律、法规以及有关廉政建设的规定，为做好合同执行过程中党风廉政建设，保证建设及运营资金的安全和有效使用以及投资效益，甲、乙双方特订立如下廉政协议：</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b/>
          <w:color w:val="auto"/>
          <w:sz w:val="24"/>
          <w:highlight w:val="none"/>
        </w:rPr>
      </w:pPr>
      <w:bookmarkStart w:id="81" w:name="_Toc59896701"/>
      <w:bookmarkStart w:id="82" w:name="_Toc59900969"/>
      <w:r>
        <w:rPr>
          <w:rFonts w:hint="eastAsia" w:ascii="仿宋_GB2312" w:hAnsi="仿宋_GB2312" w:eastAsia="仿宋_GB2312" w:cs="仿宋_GB2312"/>
          <w:b/>
          <w:color w:val="auto"/>
          <w:sz w:val="24"/>
          <w:highlight w:val="none"/>
        </w:rPr>
        <w:t xml:space="preserve">第一条 </w:t>
      </w:r>
      <w:bookmarkEnd w:id="81"/>
      <w:bookmarkEnd w:id="82"/>
      <w:r>
        <w:rPr>
          <w:rFonts w:hint="eastAsia" w:ascii="仿宋_GB2312" w:hAnsi="仿宋_GB2312" w:eastAsia="仿宋_GB2312" w:cs="仿宋_GB2312"/>
          <w:b/>
          <w:color w:val="auto"/>
          <w:sz w:val="24"/>
          <w:highlight w:val="none"/>
        </w:rPr>
        <w:t>共同责任</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（一）严格遵守党和国家有关法律法规及湖南省、长沙市的相关规定。</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（二）严格执行</w:t>
      </w:r>
      <w:r>
        <w:rPr>
          <w:rFonts w:hint="eastAsia" w:ascii="仿宋_GB2312" w:hAnsi="仿宋_GB2312" w:eastAsia="仿宋_GB2312" w:cs="仿宋_GB2312"/>
          <w:color w:val="auto"/>
          <w:sz w:val="24"/>
          <w:highlight w:val="none"/>
          <w:u w:val="single"/>
          <w:lang w:val="en-US" w:eastAsia="zh-CN"/>
        </w:rPr>
        <w:t>长沙市轨道交通1、2、3、4、5号线运营期2022年-2023年代理购电服务</w:t>
      </w:r>
      <w:r>
        <w:rPr>
          <w:rFonts w:hint="eastAsia" w:ascii="仿宋_GB2312" w:hAnsi="仿宋_GB2312" w:eastAsia="仿宋_GB2312" w:cs="仿宋_GB2312"/>
          <w:color w:val="auto"/>
          <w:sz w:val="24"/>
          <w:highlight w:val="none"/>
        </w:rPr>
        <w:t>（以下称主合同）的合同文件，自觉按合同办事。</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（三）双方的业务活动坚持公开、公正、诚信、透明的原则（除法律认定的商业秘密和合同文件另有规定之外），不得损害国家和集体利益，违反工程建设规章制度。</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（四）建立健全廉政制度，开展廉政教育，设立廉政告示牌，公布举报电话，监督并认真查处违纪违法行为。</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（五）发现对方在业务活动中有违反廉政规定的行为，有及时提醒对方纠正的权利和义务。</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第二条 共同权利</w:t>
      </w:r>
    </w:p>
    <w:p>
      <w:pPr>
        <w:keepNext w:val="0"/>
        <w:keepLines w:val="0"/>
        <w:pageBreakBefore w:val="0"/>
        <w:kinsoku/>
        <w:wordWrap/>
        <w:overflowPunct/>
        <w:topLinePunct w:val="0"/>
        <w:autoSpaceDE/>
        <w:autoSpaceDN/>
        <w:bidi w:val="0"/>
        <w:adjustRightInd w:val="0"/>
        <w:snapToGrid w:val="0"/>
        <w:spacing w:line="440" w:lineRule="exac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发现对方严重违反本协议义务条款的行为，有向其上级有关部门举报、建议给予处理并要求告知处理结果的权利。</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b/>
          <w:color w:val="auto"/>
          <w:sz w:val="24"/>
          <w:highlight w:val="none"/>
        </w:rPr>
      </w:pPr>
      <w:bookmarkStart w:id="83" w:name="_Toc59896702"/>
      <w:bookmarkStart w:id="84" w:name="_Toc59900970"/>
      <w:r>
        <w:rPr>
          <w:rFonts w:hint="eastAsia" w:ascii="仿宋_GB2312" w:hAnsi="仿宋_GB2312" w:eastAsia="仿宋_GB2312" w:cs="仿宋_GB2312"/>
          <w:b/>
          <w:color w:val="auto"/>
          <w:sz w:val="24"/>
          <w:highlight w:val="none"/>
        </w:rPr>
        <w:t>第三条 甲方的义务</w:t>
      </w:r>
      <w:bookmarkEnd w:id="83"/>
      <w:bookmarkEnd w:id="84"/>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（一）甲方及其工作人员不得索要或接受乙方的礼金、有价证券和贵重物品。</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（二）甲方及其工作人员不得在乙方报销任何应由甲方或个人支付的费用等。</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（三）甲方及其工作人员不得参加乙方安排的超标准宴请和娱乐活动。</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（四）甲方及其工作人员不得接受乙方提供的通讯工具、交通工具和高档办公用品等。</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（五）甲方及其工作人员不得要求或者接受乙方为其住房装修、婚丧嫁娶活动、配偶子女的工作安排以及出国出境、旅游等提供方便等。</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（六）甲方及其工作人员不得有违反法律、法规、廉洁从业规定的其他行为。</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b/>
          <w:color w:val="auto"/>
          <w:sz w:val="24"/>
          <w:highlight w:val="none"/>
        </w:rPr>
      </w:pPr>
      <w:bookmarkStart w:id="85" w:name="_Toc59900971"/>
      <w:bookmarkStart w:id="86" w:name="_Toc59896703"/>
      <w:r>
        <w:rPr>
          <w:rFonts w:hint="eastAsia" w:ascii="仿宋_GB2312" w:hAnsi="仿宋_GB2312" w:eastAsia="仿宋_GB2312" w:cs="仿宋_GB2312"/>
          <w:b/>
          <w:color w:val="auto"/>
          <w:sz w:val="24"/>
          <w:highlight w:val="none"/>
        </w:rPr>
        <w:t>第四条 乙方义务</w:t>
      </w:r>
      <w:bookmarkEnd w:id="85"/>
      <w:bookmarkEnd w:id="86"/>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（一）乙方不得以任何理由向甲方及其工作人员行贿或馈赠礼金、有价证券、贵重物品。</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（三）乙方不得以任何理由安排甲方工作人员参加超标准宴请、健身及娱乐活动。</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（四）乙方不得为甲方及其工作人员购置或提供通讯工具、交通工具和高档办公用品等。</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（五）乙方不得为甲方及其工作人员住房装修、婚丧嫁娶活动、配偶子女的工作安排以及出国出境、旅游等提供方便等。</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（六）乙方不得有违反法律、法规、廉洁从业规定的其他行为。</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第五条 违约责任</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第七条 本协议有效期为甲乙双方签署之日起至主合同完全履行完毕之日止。</w:t>
      </w:r>
    </w:p>
    <w:p>
      <w:pPr>
        <w:keepNext w:val="0"/>
        <w:keepLines w:val="0"/>
        <w:pageBreakBefore w:val="0"/>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第八条 本协议作为主合同的附件，与主合同具有同等的法律效力，经合同双方签署立即生效。</w:t>
      </w:r>
    </w:p>
    <w:p>
      <w:pPr>
        <w:keepNext w:val="0"/>
        <w:keepLines w:val="0"/>
        <w:pageBreakBefore w:val="0"/>
        <w:kinsoku/>
        <w:wordWrap/>
        <w:overflowPunct/>
        <w:topLinePunct w:val="0"/>
        <w:autoSpaceDE/>
        <w:autoSpaceDN/>
        <w:bidi w:val="0"/>
        <w:snapToGrid w:val="0"/>
        <w:spacing w:line="440" w:lineRule="exact"/>
        <w:outlineLvl w:val="9"/>
        <w:rPr>
          <w:rFonts w:hint="eastAsia" w:ascii="仿宋_GB2312" w:hAnsi="仿宋_GB2312" w:eastAsia="仿宋_GB2312" w:cs="仿宋_GB2312"/>
          <w:color w:val="auto"/>
          <w:sz w:val="24"/>
          <w:highlight w:val="none"/>
        </w:rPr>
        <w:sectPr>
          <w:pgSz w:w="11906" w:h="16838"/>
          <w:pgMar w:top="1440" w:right="1797" w:bottom="1440" w:left="1797" w:header="851" w:footer="567" w:gutter="0"/>
          <w:pgNumType w:fmt="decimal"/>
          <w:cols w:space="720" w:num="1"/>
          <w:docGrid w:type="lines" w:linePitch="312" w:charSpace="0"/>
        </w:sectPr>
      </w:pPr>
    </w:p>
    <w:p>
      <w:pPr>
        <w:keepNext w:val="0"/>
        <w:keepLines w:val="0"/>
        <w:pageBreakBefore w:val="0"/>
        <w:kinsoku/>
        <w:wordWrap/>
        <w:overflowPunct/>
        <w:topLinePunct w:val="0"/>
        <w:autoSpaceDE/>
        <w:autoSpaceDN/>
        <w:bidi w:val="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（本页无正文）</w:t>
      </w:r>
    </w:p>
    <w:p>
      <w:pPr>
        <w:pStyle w:val="13"/>
        <w:keepNext w:val="0"/>
        <w:keepLines w:val="0"/>
        <w:pageBreakBefore w:val="0"/>
        <w:kinsoku/>
        <w:wordWrap/>
        <w:overflowPunct/>
        <w:topLinePunct w:val="0"/>
        <w:autoSpaceDE/>
        <w:autoSpaceDN/>
        <w:bidi w:val="0"/>
        <w:outlineLvl w:val="9"/>
        <w:rPr>
          <w:rFonts w:hint="eastAsia" w:ascii="仿宋_GB2312" w:hAnsi="仿宋_GB2312" w:eastAsia="仿宋_GB2312" w:cs="仿宋_GB2312"/>
          <w:color w:val="auto"/>
          <w:highlight w:val="none"/>
        </w:rPr>
      </w:pPr>
    </w:p>
    <w:p>
      <w:pPr>
        <w:keepNext w:val="0"/>
        <w:keepLines w:val="0"/>
        <w:pageBreakBefore w:val="0"/>
        <w:kinsoku/>
        <w:wordWrap/>
        <w:overflowPunct/>
        <w:topLinePunct w:val="0"/>
        <w:autoSpaceDE/>
        <w:autoSpaceDN/>
        <w:bidi w:val="0"/>
        <w:outlineLvl w:val="9"/>
        <w:rPr>
          <w:rFonts w:hint="eastAsia" w:ascii="仿宋_GB2312" w:hAnsi="仿宋_GB2312" w:eastAsia="仿宋_GB2312" w:cs="仿宋_GB2312"/>
          <w:color w:val="auto"/>
          <w:highlight w:val="none"/>
        </w:rPr>
      </w:pPr>
    </w:p>
    <w:p>
      <w:pPr>
        <w:pStyle w:val="13"/>
        <w:keepNext w:val="0"/>
        <w:keepLines w:val="0"/>
        <w:pageBreakBefore w:val="0"/>
        <w:kinsoku/>
        <w:wordWrap/>
        <w:overflowPunct/>
        <w:topLinePunct w:val="0"/>
        <w:autoSpaceDE/>
        <w:autoSpaceDN/>
        <w:bidi w:val="0"/>
        <w:outlineLvl w:val="9"/>
        <w:rPr>
          <w:rFonts w:hint="eastAsia" w:ascii="仿宋_GB2312" w:hAnsi="仿宋_GB2312" w:eastAsia="仿宋_GB2312" w:cs="仿宋_GB2312"/>
          <w:color w:val="auto"/>
          <w:highlight w:val="none"/>
        </w:rPr>
      </w:pPr>
    </w:p>
    <w:p>
      <w:pPr>
        <w:keepNext w:val="0"/>
        <w:keepLines w:val="0"/>
        <w:pageBreakBefore w:val="0"/>
        <w:kinsoku/>
        <w:wordWrap/>
        <w:overflowPunct/>
        <w:topLinePunct w:val="0"/>
        <w:autoSpaceDE/>
        <w:autoSpaceDN/>
        <w:bidi w:val="0"/>
        <w:outlineLvl w:val="9"/>
        <w:rPr>
          <w:rFonts w:hint="eastAsia" w:ascii="仿宋_GB2312" w:hAnsi="仿宋_GB2312" w:eastAsia="仿宋_GB2312" w:cs="仿宋_GB2312"/>
          <w:color w:val="auto"/>
          <w:highlight w:val="none"/>
        </w:rPr>
      </w:pPr>
    </w:p>
    <w:p>
      <w:pPr>
        <w:keepNext w:val="0"/>
        <w:keepLines w:val="0"/>
        <w:pageBreakBefore w:val="0"/>
        <w:kinsoku/>
        <w:wordWrap/>
        <w:overflowPunct/>
        <w:topLinePunct w:val="0"/>
        <w:autoSpaceDE/>
        <w:autoSpaceDN/>
        <w:bidi w:val="0"/>
        <w:outlineLvl w:val="9"/>
        <w:rPr>
          <w:rFonts w:hint="eastAsia" w:ascii="仿宋_GB2312" w:hAnsi="仿宋_GB2312" w:eastAsia="仿宋_GB2312" w:cs="仿宋_GB2312"/>
          <w:color w:val="auto"/>
          <w:highlight w:val="none"/>
        </w:rPr>
      </w:pPr>
    </w:p>
    <w:p>
      <w:pPr>
        <w:keepNext w:val="0"/>
        <w:keepLines w:val="0"/>
        <w:pageBreakBefore w:val="0"/>
        <w:kinsoku/>
        <w:wordWrap/>
        <w:overflowPunct/>
        <w:topLinePunct w:val="0"/>
        <w:autoSpaceDE/>
        <w:autoSpaceDN/>
        <w:bidi w:val="0"/>
        <w:outlineLvl w:val="9"/>
        <w:rPr>
          <w:rFonts w:hint="eastAsia" w:ascii="仿宋_GB2312" w:hAnsi="仿宋_GB2312" w:eastAsia="仿宋_GB2312" w:cs="仿宋_GB2312"/>
          <w:color w:val="auto"/>
          <w:highlight w:val="none"/>
        </w:rPr>
      </w:pPr>
    </w:p>
    <w:p>
      <w:pPr>
        <w:keepNext w:val="0"/>
        <w:keepLines w:val="0"/>
        <w:pageBreakBefore w:val="0"/>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（盖章）            </w:t>
      </w:r>
      <w:r>
        <w:rPr>
          <w:rFonts w:hint="eastAsia" w:ascii="仿宋_GB2312" w:hAnsi="仿宋_GB2312" w:eastAsia="仿宋_GB2312" w:cs="仿宋_GB2312"/>
          <w:color w:val="auto"/>
          <w:sz w:val="24"/>
          <w:highlight w:val="none"/>
        </w:rPr>
        <w:t xml:space="preserve">             乙方：</w:t>
      </w:r>
      <w:r>
        <w:rPr>
          <w:rFonts w:hint="eastAsia" w:ascii="仿宋_GB2312" w:hAnsi="仿宋_GB2312" w:eastAsia="仿宋_GB2312" w:cs="仿宋_GB2312"/>
          <w:color w:val="auto"/>
          <w:sz w:val="24"/>
          <w:highlight w:val="none"/>
          <w:u w:val="single"/>
        </w:rPr>
        <w:t xml:space="preserve"> （盖章）                 </w:t>
      </w:r>
    </w:p>
    <w:p>
      <w:pPr>
        <w:keepNext w:val="0"/>
        <w:keepLines w:val="0"/>
        <w:pageBreakBefore w:val="0"/>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（签字）           </w:t>
      </w:r>
    </w:p>
    <w:p>
      <w:pPr>
        <w:keepNext w:val="0"/>
        <w:keepLines w:val="0"/>
        <w:pageBreakBefore w:val="0"/>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或授权代理人：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或授权代理人：</w:t>
      </w:r>
      <w:r>
        <w:rPr>
          <w:rFonts w:hint="eastAsia" w:ascii="仿宋_GB2312" w:hAnsi="仿宋_GB2312" w:eastAsia="仿宋_GB2312" w:cs="仿宋_GB2312"/>
          <w:color w:val="auto"/>
          <w:sz w:val="24"/>
          <w:highlight w:val="none"/>
          <w:u w:val="single"/>
        </w:rPr>
        <w:t xml:space="preserve">（签字）           </w:t>
      </w:r>
    </w:p>
    <w:p>
      <w:pPr>
        <w:keepNext w:val="0"/>
        <w:keepLines w:val="0"/>
        <w:pageBreakBefore w:val="0"/>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电话：</w:t>
      </w:r>
      <w:r>
        <w:rPr>
          <w:rFonts w:hint="eastAsia" w:ascii="仿宋_GB2312" w:hAnsi="仿宋_GB2312" w:eastAsia="仿宋_GB2312" w:cs="仿宋_GB2312"/>
          <w:color w:val="auto"/>
          <w:sz w:val="24"/>
          <w:highlight w:val="none"/>
          <w:u w:val="single"/>
        </w:rPr>
        <w:t xml:space="preserve">                          </w:t>
      </w:r>
    </w:p>
    <w:p>
      <w:pPr>
        <w:keepNext w:val="0"/>
        <w:keepLines w:val="0"/>
        <w:pageBreakBefore w:val="0"/>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甲方监督单位：</w:t>
      </w:r>
      <w:r>
        <w:rPr>
          <w:rFonts w:hint="eastAsia" w:ascii="仿宋_GB2312" w:hAnsi="仿宋_GB2312" w:eastAsia="仿宋_GB2312" w:cs="仿宋_GB2312"/>
          <w:color w:val="auto"/>
          <w:sz w:val="24"/>
          <w:highlight w:val="none"/>
          <w:u w:val="single"/>
        </w:rPr>
        <w:t xml:space="preserve">（盖章）      </w:t>
      </w:r>
      <w:r>
        <w:rPr>
          <w:rFonts w:hint="eastAsia" w:ascii="仿宋_GB2312" w:hAnsi="仿宋_GB2312" w:eastAsia="仿宋_GB2312" w:cs="仿宋_GB2312"/>
          <w:color w:val="auto"/>
          <w:sz w:val="24"/>
          <w:highlight w:val="none"/>
        </w:rPr>
        <w:t xml:space="preserve">             乙方监督单位：</w:t>
      </w:r>
      <w:r>
        <w:rPr>
          <w:rFonts w:hint="eastAsia" w:ascii="仿宋_GB2312" w:hAnsi="仿宋_GB2312" w:eastAsia="仿宋_GB2312" w:cs="仿宋_GB2312"/>
          <w:color w:val="auto"/>
          <w:sz w:val="24"/>
          <w:highlight w:val="none"/>
          <w:u w:val="single"/>
        </w:rPr>
        <w:t xml:space="preserve">（盖章）        </w:t>
      </w:r>
    </w:p>
    <w:p>
      <w:pPr>
        <w:pStyle w:val="14"/>
        <w:keepNext w:val="0"/>
        <w:keepLines w:val="0"/>
        <w:pageBreakBefore w:val="0"/>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bCs/>
          <w:color w:val="auto"/>
          <w:sz w:val="24"/>
          <w:highlight w:val="none"/>
        </w:rPr>
        <w:br w:type="page"/>
      </w:r>
      <w:bookmarkEnd w:id="79"/>
      <w:bookmarkEnd w:id="80"/>
      <w:r>
        <w:rPr>
          <w:rFonts w:hint="eastAsia" w:ascii="仿宋_GB2312" w:hAnsi="仿宋_GB2312" w:eastAsia="仿宋_GB2312" w:cs="仿宋_GB2312"/>
          <w:b/>
          <w:color w:val="auto"/>
          <w:sz w:val="24"/>
          <w:highlight w:val="none"/>
        </w:rPr>
        <w:t>附件2 保密协议</w:t>
      </w:r>
    </w:p>
    <w:p>
      <w:pPr>
        <w:keepNext w:val="0"/>
        <w:keepLines w:val="0"/>
        <w:pageBreakBefore w:val="0"/>
        <w:widowControl/>
        <w:kinsoku/>
        <w:wordWrap/>
        <w:overflowPunct/>
        <w:topLinePunct w:val="0"/>
        <w:autoSpaceDE/>
        <w:autoSpaceDN/>
        <w:bidi w:val="0"/>
        <w:snapToGrid w:val="0"/>
        <w:spacing w:line="360" w:lineRule="auto"/>
        <w:jc w:val="center"/>
        <w:outlineLvl w:val="9"/>
        <w:rPr>
          <w:rFonts w:hint="eastAsia" w:ascii="仿宋_GB2312" w:hAnsi="仿宋_GB2312" w:eastAsia="仿宋_GB2312" w:cs="仿宋_GB2312"/>
          <w:color w:val="auto"/>
          <w:kern w:val="0"/>
          <w:sz w:val="32"/>
          <w:szCs w:val="32"/>
          <w:highlight w:val="none"/>
          <w:lang w:bidi="en-US"/>
        </w:rPr>
      </w:pPr>
      <w:r>
        <w:rPr>
          <w:rFonts w:hint="eastAsia" w:ascii="仿宋_GB2312" w:hAnsi="仿宋_GB2312" w:eastAsia="仿宋_GB2312" w:cs="仿宋_GB2312"/>
          <w:b/>
          <w:bCs/>
          <w:smallCaps/>
          <w:color w:val="auto"/>
          <w:kern w:val="0"/>
          <w:sz w:val="32"/>
          <w:szCs w:val="32"/>
          <w:highlight w:val="none"/>
          <w:lang w:bidi="en-US"/>
        </w:rPr>
        <w:t>保密协议</w:t>
      </w:r>
    </w:p>
    <w:p>
      <w:pPr>
        <w:keepNext w:val="0"/>
        <w:keepLines w:val="0"/>
        <w:pageBreakBefore w:val="0"/>
        <w:widowControl/>
        <w:kinsoku/>
        <w:wordWrap/>
        <w:overflowPunct/>
        <w:topLinePunct w:val="0"/>
        <w:autoSpaceDE/>
        <w:autoSpaceDN/>
        <w:bidi w:val="0"/>
        <w:snapToGrid w:val="0"/>
        <w:spacing w:line="360" w:lineRule="auto"/>
        <w:jc w:val="left"/>
        <w:outlineLvl w:val="9"/>
        <w:rPr>
          <w:rFonts w:hint="eastAsia" w:ascii="仿宋_GB2312" w:hAnsi="仿宋_GB2312" w:eastAsia="仿宋_GB2312" w:cs="仿宋_GB2312"/>
          <w:color w:val="auto"/>
          <w:kern w:val="0"/>
          <w:sz w:val="24"/>
          <w:highlight w:val="none"/>
          <w:lang w:bidi="en-US"/>
        </w:rPr>
      </w:pP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outlineLvl w:val="9"/>
        <w:rPr>
          <w:rFonts w:hint="eastAsia" w:ascii="仿宋_GB2312" w:hAnsi="仿宋_GB2312" w:eastAsia="仿宋_GB2312" w:cs="仿宋_GB2312"/>
          <w:b/>
          <w:color w:val="auto"/>
          <w:kern w:val="2"/>
          <w:sz w:val="24"/>
          <w:szCs w:val="24"/>
          <w:highlight w:val="none"/>
          <w:lang w:eastAsia="zh-CN" w:bidi="ar-SA"/>
        </w:rPr>
      </w:pPr>
      <w:r>
        <w:rPr>
          <w:rFonts w:hint="eastAsia" w:ascii="仿宋_GB2312" w:hAnsi="仿宋_GB2312" w:eastAsia="仿宋_GB2312" w:cs="仿宋_GB2312"/>
          <w:color w:val="auto"/>
          <w:kern w:val="0"/>
          <w:sz w:val="24"/>
          <w:highlight w:val="none"/>
          <w:lang w:bidi="en-US"/>
        </w:rPr>
        <w:t>甲方（全称）：</w:t>
      </w:r>
      <w:r>
        <w:rPr>
          <w:rFonts w:hint="eastAsia" w:ascii="仿宋_GB2312" w:hAnsi="仿宋_GB2312" w:eastAsia="仿宋_GB2312" w:cs="仿宋_GB2312"/>
          <w:color w:val="auto"/>
          <w:kern w:val="2"/>
          <w:sz w:val="24"/>
          <w:szCs w:val="24"/>
          <w:highlight w:val="none"/>
          <w:u w:val="single"/>
          <w:lang w:val="en-US" w:eastAsia="zh-CN" w:bidi="ar"/>
        </w:rPr>
        <w:t>长沙市轨道交通一号线建设发展有限公司</w:t>
      </w:r>
      <w:r>
        <w:rPr>
          <w:rFonts w:hint="eastAsia" w:ascii="仿宋_GB2312" w:hAnsi="仿宋_GB2312" w:eastAsia="仿宋_GB2312" w:cs="仿宋_GB2312"/>
          <w:b/>
          <w:color w:val="auto"/>
          <w:kern w:val="2"/>
          <w:sz w:val="24"/>
          <w:szCs w:val="24"/>
          <w:highlight w:val="none"/>
          <w:lang w:eastAsia="zh-CN" w:bidi="ar-SA"/>
        </w:rPr>
        <w:t xml:space="preserve"> </w:t>
      </w:r>
    </w:p>
    <w:p>
      <w:pPr>
        <w:keepNext w:val="0"/>
        <w:keepLines w:val="0"/>
        <w:pageBreakBefore w:val="0"/>
        <w:widowControl w:val="0"/>
        <w:kinsoku/>
        <w:wordWrap/>
        <w:overflowPunct/>
        <w:topLinePunct w:val="0"/>
        <w:autoSpaceDE/>
        <w:autoSpaceDN/>
        <w:bidi w:val="0"/>
        <w:adjustRightInd/>
        <w:snapToGrid w:val="0"/>
        <w:spacing w:after="0" w:line="360" w:lineRule="auto"/>
        <w:ind w:firstLine="1680" w:firstLineChars="700"/>
        <w:jc w:val="left"/>
        <w:textAlignment w:val="auto"/>
        <w:outlineLvl w:val="9"/>
        <w:rPr>
          <w:rFonts w:hint="eastAsia" w:ascii="仿宋_GB2312" w:hAnsi="仿宋_GB2312" w:eastAsia="仿宋_GB2312" w:cs="仿宋_GB2312"/>
          <w:color w:val="auto"/>
          <w:kern w:val="2"/>
          <w:sz w:val="24"/>
          <w:szCs w:val="24"/>
          <w:highlight w:val="none"/>
          <w:u w:val="single"/>
          <w:lang w:val="en-US" w:eastAsia="zh-CN" w:bidi="ar"/>
        </w:rPr>
      </w:pPr>
      <w:r>
        <w:rPr>
          <w:rFonts w:hint="eastAsia" w:ascii="仿宋_GB2312" w:hAnsi="仿宋_GB2312" w:eastAsia="仿宋_GB2312" w:cs="仿宋_GB2312"/>
          <w:color w:val="auto"/>
          <w:kern w:val="2"/>
          <w:sz w:val="24"/>
          <w:szCs w:val="24"/>
          <w:highlight w:val="none"/>
          <w:u w:val="single"/>
          <w:lang w:val="en-US" w:eastAsia="zh-CN" w:bidi="ar"/>
        </w:rPr>
        <w:t>长沙市轨道交通运营有限公司</w:t>
      </w:r>
    </w:p>
    <w:p>
      <w:pPr>
        <w:keepNext w:val="0"/>
        <w:keepLines w:val="0"/>
        <w:pageBreakBefore w:val="0"/>
        <w:widowControl w:val="0"/>
        <w:kinsoku/>
        <w:wordWrap/>
        <w:overflowPunct/>
        <w:topLinePunct w:val="0"/>
        <w:autoSpaceDE/>
        <w:autoSpaceDN/>
        <w:bidi w:val="0"/>
        <w:adjustRightInd/>
        <w:snapToGrid w:val="0"/>
        <w:spacing w:after="0" w:line="360" w:lineRule="auto"/>
        <w:ind w:firstLine="1680" w:firstLineChars="700"/>
        <w:jc w:val="left"/>
        <w:textAlignment w:val="auto"/>
        <w:outlineLvl w:val="9"/>
        <w:rPr>
          <w:rFonts w:hint="eastAsia" w:ascii="仿宋_GB2312" w:hAnsi="仿宋_GB2312" w:eastAsia="仿宋_GB2312" w:cs="仿宋_GB2312"/>
          <w:color w:val="auto"/>
          <w:kern w:val="2"/>
          <w:sz w:val="24"/>
          <w:szCs w:val="24"/>
          <w:highlight w:val="none"/>
          <w:u w:val="single"/>
          <w:lang w:val="en-US" w:eastAsia="zh-CN" w:bidi="ar"/>
        </w:rPr>
      </w:pPr>
      <w:r>
        <w:rPr>
          <w:rFonts w:hint="eastAsia" w:ascii="仿宋_GB2312" w:hAnsi="仿宋_GB2312" w:eastAsia="仿宋_GB2312" w:cs="仿宋_GB2312"/>
          <w:color w:val="auto"/>
          <w:kern w:val="2"/>
          <w:sz w:val="24"/>
          <w:szCs w:val="24"/>
          <w:highlight w:val="none"/>
          <w:u w:val="single"/>
          <w:lang w:val="en-US" w:eastAsia="zh-CN" w:bidi="ar"/>
        </w:rPr>
        <w:t>长沙市轨道交通三号线建设发展有限公司</w:t>
      </w:r>
    </w:p>
    <w:p>
      <w:pPr>
        <w:keepNext w:val="0"/>
        <w:keepLines w:val="0"/>
        <w:pageBreakBefore w:val="0"/>
        <w:widowControl w:val="0"/>
        <w:kinsoku/>
        <w:wordWrap/>
        <w:overflowPunct/>
        <w:topLinePunct w:val="0"/>
        <w:autoSpaceDE/>
        <w:autoSpaceDN/>
        <w:bidi w:val="0"/>
        <w:adjustRightInd/>
        <w:snapToGrid w:val="0"/>
        <w:spacing w:after="0" w:line="360" w:lineRule="auto"/>
        <w:ind w:firstLine="1680" w:firstLineChars="700"/>
        <w:jc w:val="left"/>
        <w:textAlignment w:val="auto"/>
        <w:outlineLvl w:val="9"/>
        <w:rPr>
          <w:rFonts w:hint="eastAsia" w:ascii="仿宋_GB2312" w:hAnsi="仿宋_GB2312" w:eastAsia="仿宋_GB2312" w:cs="仿宋_GB2312"/>
          <w:color w:val="auto"/>
          <w:kern w:val="2"/>
          <w:sz w:val="24"/>
          <w:szCs w:val="24"/>
          <w:highlight w:val="none"/>
          <w:u w:val="single"/>
          <w:lang w:val="en-US" w:eastAsia="zh-CN" w:bidi="ar"/>
        </w:rPr>
      </w:pPr>
      <w:r>
        <w:rPr>
          <w:rFonts w:hint="eastAsia" w:ascii="仿宋_GB2312" w:hAnsi="仿宋_GB2312" w:eastAsia="仿宋_GB2312" w:cs="仿宋_GB2312"/>
          <w:color w:val="auto"/>
          <w:kern w:val="2"/>
          <w:sz w:val="24"/>
          <w:szCs w:val="24"/>
          <w:highlight w:val="none"/>
          <w:u w:val="single"/>
          <w:lang w:val="en-US" w:eastAsia="zh-CN" w:bidi="ar"/>
        </w:rPr>
        <w:t>长沙市轨道交通四号线建设发展有限公司</w:t>
      </w:r>
    </w:p>
    <w:p>
      <w:pPr>
        <w:keepNext w:val="0"/>
        <w:keepLines w:val="0"/>
        <w:pageBreakBefore w:val="0"/>
        <w:widowControl w:val="0"/>
        <w:kinsoku/>
        <w:wordWrap/>
        <w:overflowPunct/>
        <w:topLinePunct w:val="0"/>
        <w:autoSpaceDE/>
        <w:autoSpaceDN/>
        <w:bidi w:val="0"/>
        <w:adjustRightInd/>
        <w:snapToGrid w:val="0"/>
        <w:spacing w:after="0" w:line="360" w:lineRule="auto"/>
        <w:ind w:firstLine="1680" w:firstLineChars="700"/>
        <w:jc w:val="left"/>
        <w:textAlignment w:val="auto"/>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kern w:val="2"/>
          <w:sz w:val="24"/>
          <w:szCs w:val="24"/>
          <w:highlight w:val="none"/>
          <w:u w:val="single"/>
          <w:lang w:val="en-US" w:eastAsia="zh-CN" w:bidi="ar"/>
        </w:rPr>
        <w:t>长沙市轨道交通五号线建设发展有限公司</w:t>
      </w:r>
    </w:p>
    <w:p>
      <w:pPr>
        <w:keepNext w:val="0"/>
        <w:keepLines w:val="0"/>
        <w:pageBreakBefore w:val="0"/>
        <w:widowControl/>
        <w:kinsoku/>
        <w:wordWrap/>
        <w:overflowPunct/>
        <w:topLinePunct w:val="0"/>
        <w:autoSpaceDE/>
        <w:autoSpaceDN/>
        <w:bidi w:val="0"/>
        <w:snapToGrid w:val="0"/>
        <w:spacing w:line="360" w:lineRule="auto"/>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乙方（全称）：</w:t>
      </w:r>
      <w:r>
        <w:rPr>
          <w:rFonts w:hint="eastAsia" w:ascii="仿宋_GB2312" w:hAnsi="仿宋_GB2312" w:eastAsia="仿宋_GB2312" w:cs="仿宋_GB2312"/>
          <w:color w:val="auto"/>
          <w:kern w:val="0"/>
          <w:sz w:val="24"/>
          <w:highlight w:val="none"/>
          <w:u w:val="single"/>
          <w:lang w:bidi="en-US"/>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鉴于甲方和乙方签订的</w:t>
      </w:r>
      <w:r>
        <w:rPr>
          <w:rFonts w:hint="eastAsia" w:ascii="仿宋_GB2312" w:hAnsi="仿宋_GB2312" w:eastAsia="仿宋_GB2312" w:cs="仿宋_GB2312"/>
          <w:color w:val="auto"/>
          <w:kern w:val="0"/>
          <w:sz w:val="24"/>
          <w:highlight w:val="none"/>
          <w:u w:val="single"/>
          <w:lang w:val="en-US" w:eastAsia="zh-CN" w:bidi="en-US"/>
        </w:rPr>
        <w:t>长沙市轨道交通1、2、3、4、5号线运营期2022年-2023年代理购电服务</w:t>
      </w:r>
      <w:r>
        <w:rPr>
          <w:rFonts w:hint="eastAsia" w:ascii="仿宋_GB2312" w:hAnsi="仿宋_GB2312" w:eastAsia="仿宋_GB2312" w:cs="仿宋_GB2312"/>
          <w:color w:val="auto"/>
          <w:kern w:val="0"/>
          <w:sz w:val="24"/>
          <w:highlight w:val="none"/>
          <w:lang w:bidi="en-US"/>
        </w:rPr>
        <w:t>合同（以下简称主合同）在执行过程中，甲方需要向乙方提供相关资料、披露有关信息。为进一步明确乙方的保密义务，甲、乙双方特签订以下本协议。</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第一条 保密内容</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甲、乙双方确认，乙方应承担保密义务的内容为：</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3、其他事项：甲方依照法律规定和有关协议（包括与项目对方当事人以及其他项目当事人订立协议、合同）的约定要求乙方承担保密义务的其他事项。</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第二条 乙方的保密义务</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1、乙方应主动采取加密措施对上述第一条所列内容进行保密，防止不承担同等保密义务的任何第三者知悉及使用。</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2、乙方不得刺探或者以其他不正当手段（包括利用计算机进行检索、浏览、复制等）获取主合同及主合同执行过程中的甲方秘密。</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3、乙方不得向不承担同等保密义务的任何第三人披露上述第一条所列内容。</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4、乙方不得允许（包括出借、赠与、出租、转让等行为）或协助不承担同等保密义务的任何第三人使用上述第一条所列内容。</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5、不论因何种原因主合同终止后，乙方都不得利用上述第一条所列内容为其他与甲方有竞争关系的第三人提供服务或进行合作。</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7、乙方如发现上述第一条所列内容被泄露或者自己过失泄露秘密，应当采取有效措施防止泄密进一步扩大，并及时向甲方报告。</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第三条 保密期限</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color w:val="auto"/>
          <w:kern w:val="0"/>
          <w:sz w:val="24"/>
          <w:highlight w:val="none"/>
          <w:lang w:bidi="en-US"/>
        </w:rPr>
        <w:t>甲、乙双方确认，乙方的保密义务自本协议签订时开始，到甲方将上述第一条所列内容公开时止。乙方是否继续履行主合同，均不影响保密义务的承担。</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第四条 违约责任</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color w:val="auto"/>
          <w:kern w:val="0"/>
          <w:sz w:val="24"/>
          <w:highlight w:val="none"/>
          <w:lang w:bidi="en-US"/>
        </w:rPr>
        <w:t>人民币</w:t>
      </w:r>
      <w:r>
        <w:rPr>
          <w:rFonts w:hint="eastAsia" w:ascii="仿宋_GB2312" w:hAnsi="仿宋_GB2312" w:eastAsia="仿宋_GB2312" w:cs="仿宋_GB2312"/>
          <w:b/>
          <w:color w:val="auto"/>
          <w:kern w:val="0"/>
          <w:sz w:val="24"/>
          <w:highlight w:val="none"/>
          <w:u w:val="single"/>
          <w:lang w:bidi="en-US"/>
        </w:rPr>
        <w:t>1000</w:t>
      </w:r>
      <w:r>
        <w:rPr>
          <w:rFonts w:hint="eastAsia" w:ascii="仿宋_GB2312" w:hAnsi="仿宋_GB2312" w:eastAsia="仿宋_GB2312" w:cs="仿宋_GB2312"/>
          <w:b/>
          <w:color w:val="auto"/>
          <w:kern w:val="0"/>
          <w:sz w:val="24"/>
          <w:highlight w:val="none"/>
          <w:lang w:bidi="en-US"/>
        </w:rPr>
        <w:t>元</w:t>
      </w:r>
      <w:r>
        <w:rPr>
          <w:rFonts w:hint="eastAsia" w:ascii="仿宋_GB2312" w:hAnsi="仿宋_GB2312" w:eastAsia="仿宋_GB2312" w:cs="仿宋_GB2312"/>
          <w:color w:val="auto"/>
          <w:kern w:val="0"/>
          <w:sz w:val="24"/>
          <w:highlight w:val="none"/>
          <w:lang w:bidi="en-US"/>
        </w:rPr>
        <w:t>的违约金。</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2、因乙方未履行本协议第二条规定的保密义务，给甲方造成损失或严重后果的，每发生一次，乙方应承担以下赔偿责任：</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（1）甲方调查乙方的违反协议行为而发生的所有费用；</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（2）因乙方的违反协议行为给甲方造成的经济损失，损失赔偿金额为</w:t>
      </w:r>
      <w:r>
        <w:rPr>
          <w:rFonts w:hint="eastAsia" w:ascii="仿宋_GB2312" w:hAnsi="仿宋_GB2312" w:eastAsia="仿宋_GB2312" w:cs="仿宋_GB2312"/>
          <w:b/>
          <w:color w:val="auto"/>
          <w:kern w:val="0"/>
          <w:sz w:val="24"/>
          <w:highlight w:val="none"/>
          <w:lang w:bidi="en-US"/>
        </w:rPr>
        <w:t>主合同签约合同价的</w:t>
      </w:r>
      <w:r>
        <w:rPr>
          <w:rFonts w:hint="eastAsia" w:ascii="仿宋_GB2312" w:hAnsi="仿宋_GB2312" w:eastAsia="仿宋_GB2312" w:cs="仿宋_GB2312"/>
          <w:b/>
          <w:color w:val="auto"/>
          <w:kern w:val="0"/>
          <w:sz w:val="24"/>
          <w:highlight w:val="none"/>
          <w:u w:val="single"/>
          <w:lang w:bidi="en-US"/>
        </w:rPr>
        <w:t>1</w:t>
      </w:r>
      <w:r>
        <w:rPr>
          <w:rFonts w:hint="eastAsia" w:ascii="仿宋_GB2312" w:hAnsi="仿宋_GB2312" w:eastAsia="仿宋_GB2312" w:cs="仿宋_GB2312"/>
          <w:b/>
          <w:color w:val="auto"/>
          <w:kern w:val="0"/>
          <w:sz w:val="24"/>
          <w:highlight w:val="none"/>
          <w:lang w:bidi="en-US"/>
        </w:rPr>
        <w:t>％</w:t>
      </w:r>
      <w:r>
        <w:rPr>
          <w:rFonts w:hint="eastAsia" w:ascii="仿宋_GB2312" w:hAnsi="仿宋_GB2312" w:eastAsia="仿宋_GB2312" w:cs="仿宋_GB2312"/>
          <w:color w:val="auto"/>
          <w:kern w:val="0"/>
          <w:sz w:val="24"/>
          <w:highlight w:val="none"/>
          <w:lang w:bidi="en-US"/>
        </w:rPr>
        <w:t>（有证据证明甲方实际损失超过这一金额的，以甲方实际损失为准）。</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第五条 争议的解决</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color w:val="auto"/>
          <w:kern w:val="0"/>
          <w:sz w:val="24"/>
          <w:highlight w:val="none"/>
          <w:u w:val="single"/>
          <w:lang w:bidi="en-US"/>
        </w:rPr>
        <w:t>甲方所在地人民法院</w:t>
      </w:r>
      <w:r>
        <w:rPr>
          <w:rFonts w:hint="eastAsia" w:ascii="仿宋_GB2312" w:hAnsi="仿宋_GB2312" w:eastAsia="仿宋_GB2312" w:cs="仿宋_GB2312"/>
          <w:color w:val="auto"/>
          <w:kern w:val="0"/>
          <w:sz w:val="24"/>
          <w:highlight w:val="none"/>
          <w:lang w:bidi="en-US"/>
        </w:rPr>
        <w:t>提起诉讼。</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第六条 协议的效力和变更</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1、本协议自双方法定代表人或其授权代表签字并加盖公章后生效。</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2、任何对本协议所作的任何增补和修改，除非由双方合法指派的代表书面做出，否则视为无效或对双方均无约束力。</w:t>
      </w:r>
    </w:p>
    <w:p>
      <w:pPr>
        <w:keepNext w:val="0"/>
        <w:keepLines w:val="0"/>
        <w:pageBreakBefore w:val="0"/>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p>
    <w:p>
      <w:pPr>
        <w:keepNext w:val="0"/>
        <w:keepLines w:val="0"/>
        <w:pageBreakBefore w:val="0"/>
        <w:widowControl/>
        <w:kinsoku/>
        <w:wordWrap/>
        <w:overflowPunct/>
        <w:topLinePunct w:val="0"/>
        <w:autoSpaceDE/>
        <w:autoSpaceDN/>
        <w:bidi w:val="0"/>
        <w:snapToGrid w:val="0"/>
        <w:spacing w:line="360" w:lineRule="auto"/>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br w:type="page"/>
      </w:r>
      <w:r>
        <w:rPr>
          <w:rFonts w:hint="eastAsia" w:ascii="仿宋_GB2312" w:hAnsi="仿宋_GB2312" w:eastAsia="仿宋_GB2312" w:cs="仿宋_GB2312"/>
          <w:color w:val="auto"/>
          <w:kern w:val="0"/>
          <w:sz w:val="24"/>
          <w:highlight w:val="none"/>
          <w:lang w:bidi="en-US"/>
        </w:rPr>
        <w:t>（本页无正文）</w:t>
      </w:r>
    </w:p>
    <w:p>
      <w:pPr>
        <w:keepNext w:val="0"/>
        <w:keepLines w:val="0"/>
        <w:pageBreakBefore w:val="0"/>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p>
    <w:p>
      <w:pPr>
        <w:keepNext w:val="0"/>
        <w:keepLines w:val="0"/>
        <w:pageBreakBefore w:val="0"/>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p>
    <w:p>
      <w:pPr>
        <w:keepNext w:val="0"/>
        <w:keepLines w:val="0"/>
        <w:pageBreakBefore w:val="0"/>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keepNext w:val="0"/>
              <w:keepLines w:val="0"/>
              <w:pageBreakBefore w:val="0"/>
              <w:kinsoku/>
              <w:wordWrap/>
              <w:overflowPunct/>
              <w:topLinePunct w:val="0"/>
              <w:autoSpaceDE/>
              <w:autoSpaceDN/>
              <w:bidi w:val="0"/>
              <w:adjustRightInd w:val="0"/>
              <w:snapToGrid w:val="0"/>
              <w:spacing w:line="360" w:lineRule="auto"/>
              <w:textAlignment w:val="baseline"/>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甲方：(盖章)</w:t>
            </w:r>
          </w:p>
        </w:tc>
        <w:tc>
          <w:tcPr>
            <w:tcW w:w="4252" w:type="dxa"/>
            <w:noWrap w:val="0"/>
            <w:vAlign w:val="top"/>
          </w:tcPr>
          <w:p>
            <w:pPr>
              <w:keepNext w:val="0"/>
              <w:keepLines w:val="0"/>
              <w:pageBreakBefore w:val="0"/>
              <w:kinsoku/>
              <w:wordWrap/>
              <w:overflowPunct/>
              <w:topLinePunct w:val="0"/>
              <w:autoSpaceDE/>
              <w:autoSpaceDN/>
              <w:bidi w:val="0"/>
              <w:adjustRightInd w:val="0"/>
              <w:snapToGrid w:val="0"/>
              <w:spacing w:line="360" w:lineRule="auto"/>
              <w:textAlignment w:val="baseline"/>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eepNext w:val="0"/>
              <w:keepLines w:val="0"/>
              <w:pageBreakBefore w:val="0"/>
              <w:kinsoku/>
              <w:wordWrap/>
              <w:overflowPunct/>
              <w:topLinePunct w:val="0"/>
              <w:autoSpaceDE/>
              <w:autoSpaceDN/>
              <w:bidi w:val="0"/>
              <w:adjustRightInd w:val="0"/>
              <w:snapToGrid w:val="0"/>
              <w:spacing w:line="360" w:lineRule="auto"/>
              <w:ind w:left="19" w:leftChars="9"/>
              <w:textAlignment w:val="baseline"/>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法定代表人或其授权代表：（签字）</w:t>
            </w:r>
          </w:p>
          <w:p>
            <w:pPr>
              <w:keepNext w:val="0"/>
              <w:keepLines w:val="0"/>
              <w:pageBreakBefore w:val="0"/>
              <w:kinsoku/>
              <w:wordWrap/>
              <w:overflowPunct/>
              <w:topLinePunct w:val="0"/>
              <w:autoSpaceDE/>
              <w:autoSpaceDN/>
              <w:bidi w:val="0"/>
              <w:adjustRightInd w:val="0"/>
              <w:snapToGrid w:val="0"/>
              <w:spacing w:line="360" w:lineRule="auto"/>
              <w:ind w:left="19" w:leftChars="9"/>
              <w:textAlignment w:val="baseline"/>
              <w:outlineLvl w:val="9"/>
              <w:rPr>
                <w:rFonts w:hint="eastAsia" w:ascii="仿宋_GB2312" w:hAnsi="仿宋_GB2312" w:eastAsia="仿宋_GB2312" w:cs="仿宋_GB2312"/>
                <w:color w:val="auto"/>
                <w:kern w:val="0"/>
                <w:sz w:val="24"/>
                <w:highlight w:val="none"/>
              </w:rPr>
            </w:pPr>
          </w:p>
        </w:tc>
        <w:tc>
          <w:tcPr>
            <w:tcW w:w="4252" w:type="dxa"/>
            <w:noWrap w:val="0"/>
            <w:vAlign w:val="top"/>
          </w:tcPr>
          <w:p>
            <w:pPr>
              <w:keepNext w:val="0"/>
              <w:keepLines w:val="0"/>
              <w:pageBreakBefore w:val="0"/>
              <w:kinsoku/>
              <w:wordWrap/>
              <w:overflowPunct/>
              <w:topLinePunct w:val="0"/>
              <w:autoSpaceDE/>
              <w:autoSpaceDN/>
              <w:bidi w:val="0"/>
              <w:adjustRightInd w:val="0"/>
              <w:snapToGrid w:val="0"/>
              <w:spacing w:line="360" w:lineRule="auto"/>
              <w:ind w:left="34" w:leftChars="16"/>
              <w:textAlignment w:val="baseline"/>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eepNext w:val="0"/>
              <w:keepLines w:val="0"/>
              <w:pageBreakBefore w:val="0"/>
              <w:kinsoku/>
              <w:wordWrap/>
              <w:overflowPunct/>
              <w:topLinePunct w:val="0"/>
              <w:autoSpaceDE/>
              <w:autoSpaceDN/>
              <w:bidi w:val="0"/>
              <w:adjustRightInd w:val="0"/>
              <w:snapToGrid w:val="0"/>
              <w:spacing w:line="360" w:lineRule="auto"/>
              <w:ind w:left="19" w:leftChars="9"/>
              <w:textAlignment w:val="baseline"/>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w:t>
            </w:r>
          </w:p>
        </w:tc>
        <w:tc>
          <w:tcPr>
            <w:tcW w:w="4252" w:type="dxa"/>
            <w:noWrap w:val="0"/>
            <w:vAlign w:val="top"/>
          </w:tcPr>
          <w:p>
            <w:pPr>
              <w:keepNext w:val="0"/>
              <w:keepLines w:val="0"/>
              <w:pageBreakBefore w:val="0"/>
              <w:kinsoku/>
              <w:wordWrap/>
              <w:overflowPunct/>
              <w:topLinePunct w:val="0"/>
              <w:autoSpaceDE/>
              <w:autoSpaceDN/>
              <w:bidi w:val="0"/>
              <w:adjustRightInd w:val="0"/>
              <w:snapToGrid w:val="0"/>
              <w:spacing w:line="360" w:lineRule="auto"/>
              <w:ind w:left="34" w:leftChars="16"/>
              <w:textAlignment w:val="baseline"/>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w:t>
            </w:r>
          </w:p>
        </w:tc>
      </w:tr>
    </w:tbl>
    <w:p>
      <w:pPr>
        <w:keepNext w:val="0"/>
        <w:keepLines w:val="0"/>
        <w:pageBreakBefore w:val="0"/>
        <w:kinsoku/>
        <w:wordWrap/>
        <w:overflowPunct/>
        <w:topLinePunct w:val="0"/>
        <w:autoSpaceDE/>
        <w:autoSpaceDN/>
        <w:bidi w:val="0"/>
        <w:adjustRightInd w:val="0"/>
        <w:snapToGrid w:val="0"/>
        <w:spacing w:line="444" w:lineRule="exact"/>
        <w:jc w:val="left"/>
        <w:outlineLvl w:val="9"/>
        <w:rPr>
          <w:rFonts w:hint="eastAsia" w:ascii="仿宋_GB2312" w:hAnsi="仿宋_GB2312" w:eastAsia="仿宋_GB2312" w:cs="仿宋_GB2312"/>
          <w:b/>
          <w:color w:val="auto"/>
          <w:sz w:val="24"/>
          <w:highlight w:val="none"/>
        </w:rPr>
      </w:pPr>
    </w:p>
    <w:p>
      <w:pPr>
        <w:keepNext w:val="0"/>
        <w:keepLines w:val="0"/>
        <w:pageBreakBefore w:val="0"/>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eastAsia="zh-CN" w:bidi="en-US"/>
        </w:rPr>
      </w:pPr>
    </w:p>
    <w:p>
      <w:pPr>
        <w:keepNext w:val="0"/>
        <w:keepLines w:val="0"/>
        <w:pageBreakBefore w:val="0"/>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p>
    <w:p>
      <w:pPr>
        <w:keepNext w:val="0"/>
        <w:keepLines w:val="0"/>
        <w:pageBreakBefore w:val="0"/>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p>
    <w:p>
      <w:pPr>
        <w:keepNext w:val="0"/>
        <w:keepLines w:val="0"/>
        <w:pageBreakBefore w:val="0"/>
        <w:kinsoku/>
        <w:wordWrap/>
        <w:overflowPunct/>
        <w:topLinePunct w:val="0"/>
        <w:autoSpaceDE/>
        <w:autoSpaceDN/>
        <w:bidi w:val="0"/>
        <w:adjustRightInd w:val="0"/>
        <w:snapToGrid w:val="0"/>
        <w:spacing w:line="444" w:lineRule="exact"/>
        <w:jc w:val="left"/>
        <w:outlineLvl w:val="9"/>
        <w:rPr>
          <w:rFonts w:hint="eastAsia" w:ascii="仿宋_GB2312" w:hAnsi="仿宋_GB2312" w:eastAsia="仿宋_GB2312" w:cs="仿宋_GB2312"/>
          <w:b/>
          <w:color w:val="auto"/>
          <w:sz w:val="24"/>
          <w:highlight w:val="none"/>
        </w:rPr>
      </w:pPr>
      <w:bookmarkStart w:id="87" w:name="3"/>
      <w:bookmarkEnd w:id="87"/>
    </w:p>
    <w:p>
      <w:pPr>
        <w:keepNext w:val="0"/>
        <w:keepLines w:val="0"/>
        <w:pageBreakBefore w:val="0"/>
        <w:widowControl/>
        <w:kinsoku/>
        <w:wordWrap/>
        <w:overflowPunct/>
        <w:topLinePunct w:val="0"/>
        <w:autoSpaceDE/>
        <w:autoSpaceDN/>
        <w:bidi w:val="0"/>
        <w:spacing w:line="240" w:lineRule="atLeast"/>
        <w:ind w:firstLine="482" w:firstLineChars="200"/>
        <w:textAlignment w:val="auto"/>
        <w:outlineLvl w:val="9"/>
        <w:rPr>
          <w:rFonts w:ascii="宋体" w:hAnsi="宋体"/>
          <w:bCs/>
          <w:color w:val="auto"/>
          <w:sz w:val="28"/>
          <w:szCs w:val="28"/>
          <w:highlight w:val="none"/>
          <w:lang w:eastAsia="zh-CN"/>
        </w:rPr>
      </w:pPr>
      <w:r>
        <w:rPr>
          <w:rFonts w:hint="eastAsia" w:ascii="仿宋_GB2312" w:hAnsi="仿宋_GB2312" w:eastAsia="仿宋_GB2312" w:cs="仿宋_GB2312"/>
          <w:b/>
          <w:color w:val="auto"/>
          <w:sz w:val="24"/>
          <w:highlight w:val="none"/>
        </w:rPr>
        <w:br w:type="page"/>
      </w: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附件3 中标通知书/中选通知书/谈判记录表</w:t>
      </w: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rPr>
        <w:t xml:space="preserve">附件4 </w:t>
      </w:r>
      <w:r>
        <w:rPr>
          <w:rFonts w:hint="eastAsia" w:ascii="仿宋_GB2312" w:hAnsi="仿宋_GB2312" w:eastAsia="仿宋_GB2312" w:cs="仿宋_GB2312"/>
          <w:b/>
          <w:color w:val="auto"/>
          <w:sz w:val="24"/>
          <w:highlight w:val="none"/>
          <w:lang w:val="en-US" w:eastAsia="zh-CN"/>
        </w:rPr>
        <w:t>报价文件</w:t>
      </w: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附件5 澄清与答疑文件</w:t>
      </w: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rPr>
        <w:t>附件</w:t>
      </w:r>
      <w:r>
        <w:rPr>
          <w:rFonts w:hint="eastAsia" w:ascii="仿宋_GB2312" w:hAnsi="仿宋_GB2312" w:eastAsia="仿宋_GB2312" w:cs="仿宋_GB2312"/>
          <w:b/>
          <w:color w:val="auto"/>
          <w:sz w:val="24"/>
          <w:highlight w:val="none"/>
          <w:lang w:val="en-US" w:eastAsia="zh-CN"/>
        </w:rPr>
        <w:t>6</w:t>
      </w:r>
      <w:r>
        <w:rPr>
          <w:rFonts w:hint="eastAsia" w:ascii="仿宋_GB2312" w:hAnsi="仿宋_GB2312" w:eastAsia="仿宋_GB2312" w:cs="仿宋_GB2312"/>
          <w:b/>
          <w:color w:val="auto"/>
          <w:sz w:val="24"/>
          <w:highlight w:val="none"/>
        </w:rPr>
        <w:t xml:space="preserve"> 用户需求书/技术规格书</w:t>
      </w: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pStyle w:val="14"/>
        <w:keepNext w:val="0"/>
        <w:keepLines w:val="0"/>
        <w:pageBreakBefore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lang w:val="en-US" w:eastAsia="zh-CN"/>
        </w:rPr>
      </w:pPr>
    </w:p>
    <w:p>
      <w:pPr>
        <w:keepNext w:val="0"/>
        <w:keepLines w:val="0"/>
        <w:pageBreakBefore w:val="0"/>
        <w:kinsoku/>
        <w:wordWrap/>
        <w:overflowPunct/>
        <w:topLinePunct w:val="0"/>
        <w:autoSpaceDE/>
        <w:autoSpaceDN/>
        <w:bidi w:val="0"/>
        <w:adjustRightInd w:val="0"/>
        <w:snapToGrid w:val="0"/>
        <w:spacing w:line="360" w:lineRule="auto"/>
        <w:outlineLvl w:val="9"/>
        <w:rPr>
          <w:rFonts w:hint="eastAsia" w:ascii="仿宋_GB2312" w:hAnsi="仿宋_GB2312" w:eastAsia="仿宋_GB2312" w:cs="仿宋_GB2312"/>
          <w:b/>
          <w:bCs/>
          <w:color w:val="auto"/>
          <w:sz w:val="24"/>
          <w:highlight w:val="none"/>
        </w:rPr>
        <w:sectPr>
          <w:footerReference r:id="rId10" w:type="default"/>
          <w:pgSz w:w="11906" w:h="16838"/>
          <w:pgMar w:top="2098" w:right="1474" w:bottom="1984" w:left="1587" w:header="851" w:footer="992" w:gutter="0"/>
          <w:pgNumType w:fmt="decimal"/>
          <w:cols w:space="0" w:num="1"/>
          <w:docGrid w:type="lines" w:linePitch="319" w:charSpace="0"/>
        </w:sectPr>
      </w:pPr>
      <w:bookmarkStart w:id="88" w:name="_Toc20623"/>
    </w:p>
    <w:p>
      <w:pPr>
        <w:keepNext w:val="0"/>
        <w:keepLines w:val="0"/>
        <w:pageBreakBefore w:val="0"/>
        <w:kinsoku/>
        <w:wordWrap/>
        <w:overflowPunct/>
        <w:topLinePunct w:val="0"/>
        <w:autoSpaceDE/>
        <w:autoSpaceDN/>
        <w:bidi w:val="0"/>
        <w:adjustRightInd w:val="0"/>
        <w:snapToGrid w:val="0"/>
        <w:spacing w:line="360" w:lineRule="auto"/>
        <w:outlineLvl w:val="9"/>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 xml:space="preserve">附录1 </w:t>
      </w:r>
      <w:bookmarkEnd w:id="88"/>
      <w:bookmarkStart w:id="89" w:name="_Toc437444977"/>
      <w:bookmarkStart w:id="90" w:name="_Toc319826226"/>
      <w:bookmarkStart w:id="91" w:name="_Toc16781"/>
      <w:bookmarkStart w:id="92" w:name="_Toc12472"/>
      <w:r>
        <w:rPr>
          <w:rFonts w:hint="eastAsia" w:ascii="仿宋_GB2312" w:hAnsi="仿宋_GB2312" w:eastAsia="仿宋_GB2312" w:cs="仿宋_GB2312"/>
          <w:b/>
          <w:bCs/>
          <w:color w:val="auto"/>
          <w:sz w:val="24"/>
          <w:highlight w:val="none"/>
        </w:rPr>
        <w:t>银行履约保函</w:t>
      </w:r>
      <w:bookmarkEnd w:id="89"/>
      <w:bookmarkEnd w:id="90"/>
      <w:bookmarkEnd w:id="91"/>
      <w:r>
        <w:rPr>
          <w:rFonts w:hint="eastAsia" w:ascii="仿宋_GB2312" w:hAnsi="仿宋_GB2312" w:eastAsia="仿宋_GB2312" w:cs="仿宋_GB2312"/>
          <w:b/>
          <w:bCs/>
          <w:color w:val="auto"/>
          <w:sz w:val="24"/>
          <w:highlight w:val="none"/>
        </w:rPr>
        <w:t>（格式）</w:t>
      </w:r>
      <w:bookmarkEnd w:id="92"/>
    </w:p>
    <w:p>
      <w:pPr>
        <w:keepNext w:val="0"/>
        <w:keepLines w:val="0"/>
        <w:pageBreakBefore w:val="0"/>
        <w:kinsoku/>
        <w:wordWrap/>
        <w:overflowPunct/>
        <w:topLinePunct w:val="0"/>
        <w:autoSpaceDE/>
        <w:autoSpaceDN/>
        <w:bidi w:val="0"/>
        <w:jc w:val="center"/>
        <w:outlineLvl w:val="9"/>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bCs/>
          <w:color w:val="auto"/>
          <w:sz w:val="24"/>
          <w:highlight w:val="none"/>
        </w:rPr>
        <w:t>保函编号：</w:t>
      </w:r>
    </w:p>
    <w:p>
      <w:pPr>
        <w:keepNext w:val="0"/>
        <w:keepLines w:val="0"/>
        <w:pageBreakBefore w:val="0"/>
        <w:kinsoku/>
        <w:wordWrap/>
        <w:overflowPunct/>
        <w:topLinePunct w:val="0"/>
        <w:autoSpaceDE/>
        <w:autoSpaceDN/>
        <w:bidi w:val="0"/>
        <w:jc w:val="center"/>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银行履约保函</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u w:val="single"/>
          <w:lang w:eastAsia="zh-CN" w:bidi="ar-SA"/>
        </w:rPr>
      </w:pPr>
      <w:r>
        <w:rPr>
          <w:rFonts w:hint="eastAsia" w:ascii="仿宋_GB2312" w:hAnsi="仿宋_GB2312" w:eastAsia="仿宋_GB2312" w:cs="仿宋_GB2312"/>
          <w:color w:val="auto"/>
          <w:kern w:val="2"/>
          <w:sz w:val="24"/>
          <w:szCs w:val="20"/>
          <w:highlight w:val="none"/>
          <w:lang w:eastAsia="zh-CN" w:bidi="ar-SA"/>
        </w:rPr>
        <w:t>甲方（全称）：</w:t>
      </w:r>
      <w:r>
        <w:rPr>
          <w:rFonts w:hint="eastAsia" w:ascii="仿宋_GB2312" w:hAnsi="仿宋_GB2312" w:eastAsia="仿宋_GB2312" w:cs="仿宋_GB2312"/>
          <w:color w:val="auto"/>
          <w:kern w:val="2"/>
          <w:sz w:val="24"/>
          <w:szCs w:val="20"/>
          <w:highlight w:val="none"/>
          <w:u w:val="single"/>
          <w:lang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 xml:space="preserve">鉴于甲方 </w:t>
      </w:r>
      <w:r>
        <w:rPr>
          <w:rFonts w:hint="eastAsia" w:ascii="仿宋_GB2312" w:hAnsi="仿宋_GB2312" w:eastAsia="仿宋_GB2312" w:cs="仿宋_GB2312"/>
          <w:color w:val="auto"/>
          <w:kern w:val="2"/>
          <w:sz w:val="24"/>
          <w:szCs w:val="20"/>
          <w:highlight w:val="none"/>
          <w:u w:val="single"/>
          <w:lang w:eastAsia="zh-CN" w:bidi="ar-SA"/>
        </w:rPr>
        <w:t xml:space="preserve">          </w:t>
      </w:r>
      <w:r>
        <w:rPr>
          <w:rFonts w:hint="eastAsia" w:ascii="仿宋_GB2312" w:hAnsi="仿宋_GB2312" w:eastAsia="仿宋_GB2312" w:cs="仿宋_GB2312"/>
          <w:color w:val="auto"/>
          <w:kern w:val="2"/>
          <w:sz w:val="24"/>
          <w:szCs w:val="20"/>
          <w:highlight w:val="none"/>
          <w:lang w:eastAsia="zh-CN" w:bidi="ar-SA"/>
        </w:rPr>
        <w:t xml:space="preserve">（以下简称“你方”）与 </w:t>
      </w:r>
      <w:r>
        <w:rPr>
          <w:rFonts w:hint="eastAsia" w:ascii="仿宋_GB2312" w:hAnsi="仿宋_GB2312" w:eastAsia="仿宋_GB2312" w:cs="仿宋_GB2312"/>
          <w:color w:val="auto"/>
          <w:kern w:val="2"/>
          <w:sz w:val="24"/>
          <w:szCs w:val="20"/>
          <w:highlight w:val="none"/>
          <w:u w:val="single"/>
          <w:lang w:eastAsia="zh-CN" w:bidi="ar-SA"/>
        </w:rPr>
        <w:t xml:space="preserve">          </w:t>
      </w:r>
      <w:r>
        <w:rPr>
          <w:rFonts w:hint="eastAsia" w:ascii="仿宋_GB2312" w:hAnsi="仿宋_GB2312" w:eastAsia="仿宋_GB2312" w:cs="仿宋_GB2312"/>
          <w:color w:val="auto"/>
          <w:kern w:val="2"/>
          <w:sz w:val="24"/>
          <w:szCs w:val="20"/>
          <w:highlight w:val="none"/>
          <w:lang w:eastAsia="zh-CN" w:bidi="ar-SA"/>
        </w:rPr>
        <w:t>（乙方全称，以下简称“乙方”）于</w:t>
      </w:r>
      <w:r>
        <w:rPr>
          <w:rFonts w:hint="eastAsia" w:ascii="仿宋_GB2312" w:hAnsi="仿宋_GB2312" w:eastAsia="仿宋_GB2312" w:cs="仿宋_GB2312"/>
          <w:color w:val="auto"/>
          <w:kern w:val="2"/>
          <w:sz w:val="24"/>
          <w:szCs w:val="20"/>
          <w:highlight w:val="none"/>
          <w:u w:val="single"/>
          <w:lang w:eastAsia="zh-CN" w:bidi="ar-SA"/>
        </w:rPr>
        <w:t xml:space="preserve">    </w:t>
      </w:r>
      <w:r>
        <w:rPr>
          <w:rFonts w:hint="eastAsia" w:ascii="仿宋_GB2312" w:hAnsi="仿宋_GB2312" w:eastAsia="仿宋_GB2312" w:cs="仿宋_GB2312"/>
          <w:color w:val="auto"/>
          <w:kern w:val="2"/>
          <w:sz w:val="24"/>
          <w:szCs w:val="20"/>
          <w:highlight w:val="none"/>
          <w:lang w:eastAsia="zh-CN" w:bidi="ar-SA"/>
        </w:rPr>
        <w:t>年</w:t>
      </w:r>
      <w:r>
        <w:rPr>
          <w:rFonts w:hint="eastAsia" w:ascii="仿宋_GB2312" w:hAnsi="仿宋_GB2312" w:eastAsia="仿宋_GB2312" w:cs="仿宋_GB2312"/>
          <w:color w:val="auto"/>
          <w:kern w:val="2"/>
          <w:sz w:val="24"/>
          <w:szCs w:val="20"/>
          <w:highlight w:val="none"/>
          <w:u w:val="single"/>
          <w:lang w:eastAsia="zh-CN" w:bidi="ar-SA"/>
        </w:rPr>
        <w:t xml:space="preserve">   </w:t>
      </w:r>
      <w:r>
        <w:rPr>
          <w:rFonts w:hint="eastAsia" w:ascii="仿宋_GB2312" w:hAnsi="仿宋_GB2312" w:eastAsia="仿宋_GB2312" w:cs="仿宋_GB2312"/>
          <w:color w:val="auto"/>
          <w:kern w:val="2"/>
          <w:sz w:val="24"/>
          <w:szCs w:val="20"/>
          <w:highlight w:val="none"/>
          <w:lang w:eastAsia="zh-CN" w:bidi="ar-SA"/>
        </w:rPr>
        <w:t>月</w:t>
      </w:r>
      <w:r>
        <w:rPr>
          <w:rFonts w:hint="eastAsia" w:ascii="仿宋_GB2312" w:hAnsi="仿宋_GB2312" w:eastAsia="仿宋_GB2312" w:cs="仿宋_GB2312"/>
          <w:color w:val="auto"/>
          <w:kern w:val="2"/>
          <w:sz w:val="24"/>
          <w:szCs w:val="20"/>
          <w:highlight w:val="none"/>
          <w:u w:val="single"/>
          <w:lang w:eastAsia="zh-CN" w:bidi="ar-SA"/>
        </w:rPr>
        <w:t xml:space="preserve">   </w:t>
      </w:r>
      <w:r>
        <w:rPr>
          <w:rFonts w:hint="eastAsia" w:ascii="仿宋_GB2312" w:hAnsi="仿宋_GB2312" w:eastAsia="仿宋_GB2312" w:cs="仿宋_GB2312"/>
          <w:color w:val="auto"/>
          <w:kern w:val="2"/>
          <w:sz w:val="24"/>
          <w:szCs w:val="20"/>
          <w:highlight w:val="none"/>
          <w:lang w:eastAsia="zh-CN" w:bidi="ar-SA"/>
        </w:rPr>
        <w:t xml:space="preserve">日协商一致共同签订合同编号为 </w:t>
      </w:r>
      <w:r>
        <w:rPr>
          <w:rFonts w:hint="eastAsia" w:ascii="仿宋_GB2312" w:hAnsi="仿宋_GB2312" w:eastAsia="仿宋_GB2312" w:cs="仿宋_GB2312"/>
          <w:color w:val="auto"/>
          <w:kern w:val="2"/>
          <w:sz w:val="24"/>
          <w:szCs w:val="20"/>
          <w:highlight w:val="none"/>
          <w:u w:val="single"/>
          <w:lang w:eastAsia="zh-CN" w:bidi="ar-SA"/>
        </w:rPr>
        <w:t xml:space="preserve">   </w:t>
      </w:r>
      <w:r>
        <w:rPr>
          <w:rFonts w:hint="eastAsia" w:ascii="仿宋_GB2312" w:hAnsi="仿宋_GB2312" w:eastAsia="仿宋_GB2312" w:cs="仿宋_GB2312"/>
          <w:color w:val="auto"/>
          <w:kern w:val="2"/>
          <w:sz w:val="24"/>
          <w:szCs w:val="20"/>
          <w:highlight w:val="none"/>
          <w:lang w:eastAsia="zh-CN" w:bidi="ar-SA"/>
        </w:rPr>
        <w:t xml:space="preserve"> 的《 </w:t>
      </w:r>
      <w:r>
        <w:rPr>
          <w:rFonts w:hint="eastAsia" w:ascii="仿宋_GB2312" w:hAnsi="仿宋_GB2312" w:eastAsia="仿宋_GB2312" w:cs="仿宋_GB2312"/>
          <w:color w:val="auto"/>
          <w:kern w:val="2"/>
          <w:sz w:val="24"/>
          <w:szCs w:val="20"/>
          <w:highlight w:val="none"/>
          <w:u w:val="single"/>
          <w:lang w:eastAsia="zh-CN" w:bidi="ar-SA"/>
        </w:rPr>
        <w:t xml:space="preserve">   </w:t>
      </w:r>
      <w:r>
        <w:rPr>
          <w:rFonts w:hint="eastAsia" w:ascii="仿宋_GB2312" w:hAnsi="仿宋_GB2312" w:eastAsia="仿宋_GB2312" w:cs="仿宋_GB2312"/>
          <w:color w:val="auto"/>
          <w:kern w:val="2"/>
          <w:sz w:val="24"/>
          <w:szCs w:val="20"/>
          <w:highlight w:val="none"/>
          <w:lang w:eastAsia="zh-CN" w:bidi="ar-SA"/>
        </w:rPr>
        <w:t>合同》（以下简称“合同”）。 我方愿意无条件地、不可撤销地就乙方履行与你方签订的合同，向你方提供以下见索即付担保：</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1、担保金额为人民币（大写）</w:t>
      </w:r>
      <w:r>
        <w:rPr>
          <w:rFonts w:hint="eastAsia" w:ascii="仿宋_GB2312" w:hAnsi="仿宋_GB2312" w:eastAsia="仿宋_GB2312" w:cs="仿宋_GB2312"/>
          <w:color w:val="auto"/>
          <w:kern w:val="2"/>
          <w:sz w:val="24"/>
          <w:szCs w:val="20"/>
          <w:highlight w:val="none"/>
          <w:u w:val="single"/>
          <w:lang w:eastAsia="zh-CN" w:bidi="ar-SA"/>
        </w:rPr>
        <w:t xml:space="preserve">   </w:t>
      </w:r>
      <w:r>
        <w:rPr>
          <w:rFonts w:hint="eastAsia" w:ascii="仿宋_GB2312" w:hAnsi="仿宋_GB2312" w:eastAsia="仿宋_GB2312" w:cs="仿宋_GB2312"/>
          <w:color w:val="auto"/>
          <w:kern w:val="2"/>
          <w:sz w:val="24"/>
          <w:szCs w:val="20"/>
          <w:highlight w:val="none"/>
          <w:lang w:eastAsia="zh-CN" w:bidi="ar-SA"/>
        </w:rPr>
        <w:t xml:space="preserve">元（小写：¥ </w:t>
      </w:r>
      <w:r>
        <w:rPr>
          <w:rFonts w:hint="eastAsia" w:ascii="仿宋_GB2312" w:hAnsi="仿宋_GB2312" w:eastAsia="仿宋_GB2312" w:cs="仿宋_GB2312"/>
          <w:color w:val="auto"/>
          <w:kern w:val="2"/>
          <w:sz w:val="24"/>
          <w:szCs w:val="20"/>
          <w:highlight w:val="none"/>
          <w:u w:val="single"/>
          <w:lang w:eastAsia="zh-CN" w:bidi="ar-SA"/>
        </w:rPr>
        <w:t xml:space="preserve">   </w:t>
      </w:r>
      <w:r>
        <w:rPr>
          <w:rFonts w:hint="eastAsia" w:ascii="仿宋_GB2312" w:hAnsi="仿宋_GB2312" w:eastAsia="仿宋_GB2312" w:cs="仿宋_GB2312"/>
          <w:color w:val="auto"/>
          <w:kern w:val="2"/>
          <w:sz w:val="24"/>
          <w:szCs w:val="20"/>
          <w:highlight w:val="none"/>
          <w:lang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 xml:space="preserve">2、担保期限为自本保函生效之日起至 </w:t>
      </w:r>
      <w:r>
        <w:rPr>
          <w:rFonts w:hint="eastAsia" w:ascii="仿宋_GB2312" w:hAnsi="仿宋_GB2312" w:eastAsia="仿宋_GB2312" w:cs="仿宋_GB2312"/>
          <w:color w:val="auto"/>
          <w:kern w:val="2"/>
          <w:sz w:val="24"/>
          <w:szCs w:val="20"/>
          <w:highlight w:val="none"/>
          <w:u w:val="single"/>
          <w:lang w:eastAsia="zh-CN" w:bidi="ar-SA"/>
        </w:rPr>
        <w:t xml:space="preserve">   </w:t>
      </w:r>
      <w:r>
        <w:rPr>
          <w:rFonts w:hint="eastAsia" w:ascii="仿宋_GB2312" w:hAnsi="仿宋_GB2312" w:eastAsia="仿宋_GB2312" w:cs="仿宋_GB2312"/>
          <w:color w:val="auto"/>
          <w:kern w:val="2"/>
          <w:sz w:val="24"/>
          <w:szCs w:val="20"/>
          <w:highlight w:val="none"/>
          <w:lang w:eastAsia="zh-CN" w:bidi="ar-SA"/>
        </w:rPr>
        <w:t xml:space="preserve"> 之日止。</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3、在本担保有效期内，因乙方违反合同约定的义务给你方造成经济损失时，我方在收到你方以书面形式提出的在担保金额内的赔偿要求后，在 7 个工作日内无条件支付。</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4、你方和乙方按合同约定变更合同时，我方承担本担保规定的义务不变。</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5、因本保函发生的纠纷，可由双方协商解决，协商不成的，任何一方均可提请在你方所在地人民法院起诉。</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本保函自我方加盖公章之日起生效。</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担保人（盖公章）：</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签字：</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地址：</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邮政编码：</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电话：</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传真：</w:t>
      </w:r>
    </w:p>
    <w:p>
      <w:pPr>
        <w:keepNext w:val="0"/>
        <w:keepLines w:val="0"/>
        <w:pageBreakBefore w:val="0"/>
        <w:widowControl w:val="0"/>
        <w:kinsoku/>
        <w:wordWrap/>
        <w:overflowPunct/>
        <w:topLinePunct w:val="0"/>
        <w:autoSpaceDE/>
        <w:autoSpaceDN/>
        <w:bidi w:val="0"/>
        <w:adjustRightInd w:val="0"/>
        <w:snapToGrid w:val="0"/>
        <w:spacing w:after="0" w:line="360" w:lineRule="auto"/>
        <w:ind w:left="15" w:leftChars="7" w:firstLine="480"/>
        <w:jc w:val="both"/>
        <w:outlineLvl w:val="9"/>
        <w:rPr>
          <w:rFonts w:hint="eastAsia" w:ascii="仿宋_GB2312" w:hAnsi="仿宋_GB2312" w:eastAsia="仿宋_GB2312" w:cs="仿宋_GB2312"/>
          <w:color w:val="auto"/>
          <w:kern w:val="2"/>
          <w:sz w:val="24"/>
          <w:szCs w:val="20"/>
          <w:highlight w:val="none"/>
          <w:lang w:eastAsia="zh-CN" w:bidi="ar-SA"/>
        </w:rPr>
      </w:pPr>
      <w:r>
        <w:rPr>
          <w:rFonts w:hint="eastAsia" w:ascii="仿宋_GB2312" w:hAnsi="仿宋_GB2312" w:eastAsia="仿宋_GB2312" w:cs="仿宋_GB2312"/>
          <w:color w:val="auto"/>
          <w:kern w:val="2"/>
          <w:sz w:val="24"/>
          <w:szCs w:val="20"/>
          <w:highlight w:val="none"/>
          <w:lang w:eastAsia="zh-CN" w:bidi="ar-SA"/>
        </w:rPr>
        <w:t>时间：</w:t>
      </w:r>
    </w:p>
    <w:p>
      <w:pPr>
        <w:pStyle w:val="2"/>
        <w:keepNext w:val="0"/>
        <w:keepLines w:val="0"/>
        <w:pageBreakBefore w:val="0"/>
        <w:kinsoku/>
        <w:wordWrap/>
        <w:overflowPunct/>
        <w:topLinePunct w:val="0"/>
        <w:autoSpaceDE/>
        <w:autoSpaceDN/>
        <w:bidi w:val="0"/>
        <w:ind w:firstLine="420" w:firstLineChars="200"/>
        <w:outlineLvl w:val="9"/>
        <w:rPr>
          <w:u w:val="none"/>
        </w:rPr>
        <w:sectPr>
          <w:pgSz w:w="11906" w:h="16838"/>
          <w:pgMar w:top="2098" w:right="1474" w:bottom="1984" w:left="1587" w:header="851" w:footer="992" w:gutter="0"/>
          <w:pgNumType w:fmt="decimal"/>
          <w:cols w:space="0" w:num="1"/>
          <w:docGrid w:type="lines" w:linePitch="319" w:charSpace="0"/>
        </w:sectPr>
      </w:pPr>
    </w:p>
    <w:p>
      <w:pPr>
        <w:snapToGrid w:val="0"/>
        <w:spacing w:line="360" w:lineRule="auto"/>
        <w:jc w:val="center"/>
        <w:outlineLvl w:val="0"/>
        <w:rPr>
          <w:rFonts w:ascii="宋体" w:hAnsi="宋体" w:cs="宋体"/>
          <w:bCs/>
          <w:sz w:val="32"/>
          <w:szCs w:val="32"/>
          <w:u w:val="none"/>
        </w:rPr>
      </w:pPr>
      <w:bookmarkStart w:id="93" w:name="_Toc20529"/>
      <w:r>
        <w:rPr>
          <w:rFonts w:hint="eastAsia" w:ascii="宋体" w:hAnsi="宋体" w:cs="宋体"/>
          <w:u w:val="none"/>
        </w:rPr>
        <mc:AlternateContent>
          <mc:Choice Requires="wps">
            <w:drawing>
              <wp:anchor distT="0" distB="0" distL="114300" distR="114300" simplePos="0" relativeHeight="251662336"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2336;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u w:val="none"/>
        </w:rPr>
        <w:t>第七章</w:t>
      </w:r>
      <w:bookmarkStart w:id="94" w:name="_Toc14891079"/>
      <w:r>
        <w:rPr>
          <w:rFonts w:hint="eastAsia" w:ascii="宋体" w:hAnsi="宋体" w:cs="宋体"/>
          <w:b/>
          <w:sz w:val="32"/>
          <w:szCs w:val="32"/>
          <w:u w:val="none"/>
        </w:rPr>
        <w:t xml:space="preserve">  </w:t>
      </w:r>
      <w:r>
        <w:rPr>
          <w:rFonts w:hint="eastAsia" w:ascii="宋体" w:hAnsi="宋体" w:cs="宋体"/>
          <w:b/>
          <w:bCs/>
          <w:sz w:val="32"/>
          <w:szCs w:val="32"/>
          <w:u w:val="none"/>
        </w:rPr>
        <w:t>响应文件组成</w:t>
      </w:r>
      <w:bookmarkEnd w:id="70"/>
      <w:bookmarkEnd w:id="71"/>
      <w:bookmarkEnd w:id="72"/>
      <w:bookmarkEnd w:id="73"/>
      <w:bookmarkEnd w:id="93"/>
      <w:bookmarkEnd w:id="94"/>
    </w:p>
    <w:p>
      <w:pPr>
        <w:spacing w:line="360" w:lineRule="auto"/>
        <w:rPr>
          <w:rFonts w:ascii="宋体" w:hAnsi="宋体"/>
          <w:b/>
          <w:bCs/>
          <w:sz w:val="52"/>
          <w:szCs w:val="52"/>
          <w:u w:val="none"/>
        </w:rPr>
      </w:pPr>
    </w:p>
    <w:p>
      <w:pPr>
        <w:spacing w:line="360" w:lineRule="auto"/>
        <w:jc w:val="center"/>
        <w:rPr>
          <w:rFonts w:ascii="宋体" w:hAnsi="宋体"/>
          <w:b/>
          <w:bCs/>
          <w:sz w:val="52"/>
          <w:szCs w:val="52"/>
          <w:u w:val="none"/>
        </w:rPr>
      </w:pPr>
      <w:r>
        <w:rPr>
          <w:rFonts w:hint="eastAsia" w:ascii="宋体" w:hAnsi="宋体"/>
          <w:b/>
          <w:bCs/>
          <w:sz w:val="52"/>
          <w:szCs w:val="52"/>
          <w:u w:val="none"/>
        </w:rPr>
        <w:t>自主竞争性谈判</w:t>
      </w:r>
    </w:p>
    <w:p>
      <w:pPr>
        <w:adjustRightInd w:val="0"/>
        <w:snapToGrid w:val="0"/>
        <w:spacing w:line="360" w:lineRule="auto"/>
        <w:jc w:val="center"/>
        <w:rPr>
          <w:rFonts w:ascii="宋体" w:hAnsi="宋体"/>
          <w:b/>
          <w:bCs/>
          <w:sz w:val="52"/>
          <w:szCs w:val="52"/>
          <w:u w:val="none"/>
        </w:rPr>
      </w:pPr>
      <w:r>
        <w:rPr>
          <w:rFonts w:hint="eastAsia" w:ascii="宋体" w:hAnsi="宋体"/>
          <w:b/>
          <w:bCs/>
          <w:sz w:val="52"/>
          <w:szCs w:val="52"/>
          <w:u w:val="none"/>
        </w:rPr>
        <w:t>响应文件</w:t>
      </w:r>
    </w:p>
    <w:p>
      <w:pPr>
        <w:spacing w:line="360" w:lineRule="auto"/>
        <w:rPr>
          <w:rFonts w:ascii="宋体" w:hAnsi="宋体"/>
          <w:b/>
          <w:bCs/>
          <w:sz w:val="28"/>
          <w:szCs w:val="28"/>
          <w:u w:val="none"/>
        </w:rPr>
      </w:pPr>
    </w:p>
    <w:p>
      <w:pPr>
        <w:pStyle w:val="25"/>
        <w:spacing w:line="360" w:lineRule="auto"/>
        <w:rPr>
          <w:rFonts w:hAnsi="宋体"/>
          <w:b/>
          <w:bCs/>
          <w:sz w:val="32"/>
          <w:szCs w:val="32"/>
          <w:u w:val="none"/>
        </w:rPr>
      </w:pPr>
    </w:p>
    <w:p>
      <w:pPr>
        <w:pStyle w:val="25"/>
        <w:adjustRightInd w:val="0"/>
        <w:snapToGrid w:val="0"/>
        <w:spacing w:line="360" w:lineRule="auto"/>
        <w:rPr>
          <w:rFonts w:hAnsi="宋体"/>
          <w:b/>
          <w:bCs/>
          <w:sz w:val="32"/>
          <w:szCs w:val="32"/>
          <w:u w:val="none"/>
        </w:rPr>
      </w:pPr>
      <w:r>
        <w:rPr>
          <w:rFonts w:hint="eastAsia" w:hAnsi="宋体"/>
          <w:b/>
          <w:bCs/>
          <w:sz w:val="32"/>
          <w:szCs w:val="32"/>
          <w:u w:val="none"/>
        </w:rPr>
        <w:t>谈判项目名称：</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none"/>
        </w:rPr>
      </w:pPr>
    </w:p>
    <w:p>
      <w:pPr>
        <w:pStyle w:val="25"/>
        <w:adjustRightInd w:val="0"/>
        <w:snapToGrid w:val="0"/>
        <w:spacing w:line="360" w:lineRule="auto"/>
        <w:rPr>
          <w:rFonts w:hAnsi="宋体"/>
          <w:b/>
          <w:bCs/>
          <w:sz w:val="32"/>
          <w:szCs w:val="32"/>
          <w:u w:val="none"/>
        </w:rPr>
      </w:pPr>
      <w:r>
        <w:rPr>
          <w:rFonts w:hint="eastAsia" w:hAnsi="宋体"/>
          <w:b/>
          <w:bCs/>
          <w:sz w:val="32"/>
          <w:szCs w:val="32"/>
          <w:u w:val="none"/>
        </w:rPr>
        <w:t>谈判单位名称：</w:t>
      </w:r>
      <w:r>
        <w:rPr>
          <w:rFonts w:hint="eastAsia" w:hAnsi="宋体"/>
          <w:b/>
          <w:bCs/>
          <w:sz w:val="32"/>
          <w:szCs w:val="32"/>
          <w:u w:val="single"/>
        </w:rPr>
        <w:t xml:space="preserve">      （加盖单位公章）</w:t>
      </w:r>
    </w:p>
    <w:p>
      <w:pPr>
        <w:pStyle w:val="25"/>
        <w:adjustRightInd w:val="0"/>
        <w:snapToGrid w:val="0"/>
        <w:spacing w:line="360" w:lineRule="auto"/>
        <w:rPr>
          <w:rFonts w:hAnsi="宋体"/>
          <w:b/>
          <w:bCs/>
          <w:sz w:val="32"/>
          <w:szCs w:val="32"/>
          <w:u w:val="none"/>
        </w:rPr>
      </w:pPr>
    </w:p>
    <w:p>
      <w:pPr>
        <w:pStyle w:val="25"/>
        <w:adjustRightInd w:val="0"/>
        <w:snapToGrid w:val="0"/>
        <w:spacing w:line="360" w:lineRule="auto"/>
        <w:rPr>
          <w:rFonts w:hAnsi="宋体"/>
          <w:b/>
          <w:bCs/>
          <w:sz w:val="32"/>
          <w:szCs w:val="32"/>
          <w:u w:val="none"/>
        </w:rPr>
      </w:pPr>
      <w:r>
        <w:rPr>
          <w:rFonts w:hint="eastAsia" w:hAnsi="宋体"/>
          <w:b/>
          <w:bCs/>
          <w:sz w:val="32"/>
          <w:szCs w:val="32"/>
          <w:u w:val="none"/>
        </w:rPr>
        <w:t>谈判项目编号：</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none"/>
        </w:rPr>
      </w:pPr>
    </w:p>
    <w:p>
      <w:pPr>
        <w:pStyle w:val="25"/>
        <w:adjustRightInd w:val="0"/>
        <w:snapToGrid w:val="0"/>
        <w:spacing w:line="360" w:lineRule="auto"/>
        <w:rPr>
          <w:rFonts w:hAnsi="宋体"/>
          <w:b/>
          <w:bCs/>
          <w:sz w:val="32"/>
          <w:szCs w:val="32"/>
          <w:u w:val="none"/>
        </w:rPr>
      </w:pPr>
    </w:p>
    <w:p>
      <w:pPr>
        <w:pStyle w:val="25"/>
        <w:adjustRightInd w:val="0"/>
        <w:snapToGrid w:val="0"/>
        <w:spacing w:line="360" w:lineRule="auto"/>
        <w:rPr>
          <w:rFonts w:hAnsi="宋体"/>
          <w:b/>
          <w:bCs/>
          <w:sz w:val="32"/>
          <w:szCs w:val="32"/>
          <w:u w:val="none"/>
        </w:rPr>
      </w:pPr>
    </w:p>
    <w:p>
      <w:pPr>
        <w:pStyle w:val="25"/>
        <w:adjustRightInd w:val="0"/>
        <w:snapToGrid w:val="0"/>
        <w:spacing w:line="360" w:lineRule="auto"/>
        <w:rPr>
          <w:rFonts w:hAnsi="宋体"/>
          <w:b/>
          <w:bCs/>
          <w:sz w:val="32"/>
          <w:szCs w:val="32"/>
          <w:u w:val="none"/>
        </w:rPr>
      </w:pPr>
    </w:p>
    <w:p>
      <w:pPr>
        <w:pStyle w:val="25"/>
        <w:adjustRightInd w:val="0"/>
        <w:snapToGrid w:val="0"/>
        <w:spacing w:line="360" w:lineRule="auto"/>
        <w:rPr>
          <w:rFonts w:hAnsi="宋体"/>
          <w:b/>
          <w:bCs/>
          <w:sz w:val="32"/>
          <w:szCs w:val="32"/>
          <w:u w:val="none"/>
        </w:rPr>
      </w:pPr>
    </w:p>
    <w:p>
      <w:pPr>
        <w:pStyle w:val="25"/>
        <w:adjustRightInd w:val="0"/>
        <w:snapToGrid w:val="0"/>
        <w:spacing w:line="360" w:lineRule="auto"/>
        <w:rPr>
          <w:rFonts w:hAnsi="宋体"/>
          <w:b/>
          <w:bCs/>
          <w:sz w:val="32"/>
          <w:szCs w:val="32"/>
          <w:u w:val="none"/>
        </w:rPr>
      </w:pPr>
    </w:p>
    <w:p>
      <w:pPr>
        <w:pStyle w:val="25"/>
        <w:adjustRightInd w:val="0"/>
        <w:snapToGrid w:val="0"/>
        <w:spacing w:line="360" w:lineRule="auto"/>
        <w:jc w:val="center"/>
        <w:rPr>
          <w:rFonts w:hAnsi="宋体"/>
          <w:b/>
          <w:bCs/>
          <w:sz w:val="32"/>
          <w:szCs w:val="32"/>
          <w:u w:val="none"/>
        </w:rPr>
      </w:pPr>
      <w:r>
        <w:rPr>
          <w:rFonts w:hint="eastAsia" w:hAnsi="宋体"/>
          <w:b/>
          <w:bCs/>
          <w:sz w:val="32"/>
          <w:szCs w:val="32"/>
          <w:u w:val="none"/>
        </w:rPr>
        <w:t>日  期：   年   月   日</w:t>
      </w:r>
    </w:p>
    <w:p>
      <w:pPr>
        <w:spacing w:line="360" w:lineRule="exact"/>
        <w:rPr>
          <w:rFonts w:ascii="宋体" w:hAnsi="宋体"/>
          <w:b/>
          <w:u w:val="none"/>
        </w:rPr>
      </w:pPr>
    </w:p>
    <w:p>
      <w:pPr>
        <w:adjustRightInd w:val="0"/>
        <w:snapToGrid w:val="0"/>
        <w:spacing w:line="360" w:lineRule="auto"/>
        <w:jc w:val="center"/>
        <w:outlineLvl w:val="0"/>
        <w:rPr>
          <w:rFonts w:ascii="黑体" w:eastAsia="黑体"/>
          <w:b/>
          <w:sz w:val="32"/>
          <w:szCs w:val="32"/>
          <w:u w:val="none"/>
        </w:rPr>
        <w:sectPr>
          <w:pgSz w:w="11906" w:h="16838"/>
          <w:pgMar w:top="2098" w:right="1474" w:bottom="1984" w:left="1587" w:header="851" w:footer="992" w:gutter="0"/>
          <w:pgNumType w:fmt="decimal"/>
          <w:cols w:space="0" w:num="1"/>
          <w:docGrid w:type="lines" w:linePitch="319" w:charSpace="0"/>
        </w:sectPr>
      </w:pPr>
    </w:p>
    <w:p>
      <w:pPr>
        <w:widowControl/>
        <w:spacing w:line="360" w:lineRule="auto"/>
        <w:jc w:val="center"/>
        <w:rPr>
          <w:rFonts w:hAnsi="宋体" w:cs="宋体"/>
          <w:b/>
          <w:bCs/>
          <w:sz w:val="32"/>
          <w:szCs w:val="32"/>
          <w:u w:val="none"/>
        </w:rPr>
      </w:pPr>
      <w:r>
        <w:rPr>
          <w:rFonts w:hint="eastAsia" w:ascii="宋体" w:hAnsi="宋体"/>
          <w:b/>
          <w:sz w:val="32"/>
          <w:szCs w:val="32"/>
          <w:u w:val="none"/>
        </w:rPr>
        <w:t>目   录</w:t>
      </w:r>
    </w:p>
    <w:p>
      <w:pPr>
        <w:adjustRightInd w:val="0"/>
        <w:snapToGrid w:val="0"/>
        <w:spacing w:line="360" w:lineRule="auto"/>
        <w:ind w:firstLine="480" w:firstLineChars="200"/>
        <w:outlineLvl w:val="0"/>
        <w:rPr>
          <w:rFonts w:ascii="宋体" w:hAnsi="宋体"/>
          <w:sz w:val="24"/>
          <w:u w:val="none"/>
        </w:rPr>
      </w:pPr>
    </w:p>
    <w:p>
      <w:pPr>
        <w:adjustRightInd w:val="0"/>
        <w:snapToGrid w:val="0"/>
        <w:spacing w:line="360" w:lineRule="auto"/>
        <w:rPr>
          <w:rFonts w:ascii="宋体" w:hAnsi="宋体"/>
          <w:szCs w:val="21"/>
          <w:u w:val="none"/>
        </w:rPr>
      </w:pPr>
      <w:r>
        <w:rPr>
          <w:rFonts w:hint="eastAsia" w:ascii="宋体" w:hAnsi="宋体"/>
          <w:szCs w:val="21"/>
          <w:u w:val="none"/>
        </w:rPr>
        <w:t>一、谈判承诺书</w:t>
      </w:r>
    </w:p>
    <w:p>
      <w:pPr>
        <w:adjustRightInd w:val="0"/>
        <w:snapToGrid w:val="0"/>
        <w:spacing w:line="360" w:lineRule="auto"/>
        <w:jc w:val="left"/>
        <w:rPr>
          <w:rFonts w:ascii="宋体" w:hAnsi="宋体"/>
          <w:szCs w:val="21"/>
          <w:u w:val="none"/>
        </w:rPr>
      </w:pPr>
      <w:r>
        <w:rPr>
          <w:rFonts w:hint="eastAsia" w:ascii="宋体" w:hAnsi="宋体"/>
          <w:szCs w:val="21"/>
          <w:u w:val="none"/>
        </w:rPr>
        <w:t>二、法定代表人身份证明书</w:t>
      </w:r>
    </w:p>
    <w:p>
      <w:pPr>
        <w:adjustRightInd w:val="0"/>
        <w:snapToGrid w:val="0"/>
        <w:spacing w:line="360" w:lineRule="auto"/>
        <w:jc w:val="left"/>
        <w:rPr>
          <w:rFonts w:ascii="宋体" w:hAnsi="宋体"/>
          <w:szCs w:val="21"/>
          <w:u w:val="none"/>
        </w:rPr>
      </w:pPr>
      <w:r>
        <w:rPr>
          <w:rFonts w:hint="eastAsia" w:ascii="宋体" w:hAnsi="宋体"/>
          <w:szCs w:val="21"/>
          <w:u w:val="none"/>
        </w:rPr>
        <w:t>三、授权委托书</w:t>
      </w:r>
    </w:p>
    <w:p>
      <w:pPr>
        <w:adjustRightInd w:val="0"/>
        <w:snapToGrid w:val="0"/>
        <w:spacing w:line="360" w:lineRule="auto"/>
        <w:jc w:val="left"/>
        <w:rPr>
          <w:rFonts w:hAnsi="宋体"/>
          <w:szCs w:val="21"/>
          <w:u w:val="none"/>
        </w:rPr>
      </w:pPr>
      <w:r>
        <w:rPr>
          <w:rFonts w:hint="eastAsia" w:ascii="宋体" w:hAnsi="宋体"/>
          <w:szCs w:val="21"/>
          <w:u w:val="none"/>
        </w:rPr>
        <w:t>四、</w:t>
      </w:r>
      <w:r>
        <w:rPr>
          <w:rFonts w:hint="eastAsia" w:hAnsi="宋体"/>
          <w:szCs w:val="21"/>
          <w:u w:val="none"/>
        </w:rPr>
        <w:t>谈判单位资格条件证明文件</w:t>
      </w:r>
    </w:p>
    <w:p>
      <w:pPr>
        <w:adjustRightInd w:val="0"/>
        <w:snapToGrid w:val="0"/>
        <w:spacing w:line="360" w:lineRule="auto"/>
        <w:rPr>
          <w:rFonts w:hint="eastAsia" w:ascii="宋体" w:hAnsi="宋体" w:eastAsia="宋体"/>
          <w:szCs w:val="21"/>
          <w:u w:val="none"/>
          <w:lang w:eastAsia="zh-CN"/>
        </w:rPr>
      </w:pPr>
      <w:r>
        <w:rPr>
          <w:rFonts w:hint="eastAsia" w:ascii="宋体" w:hAnsi="宋体"/>
          <w:szCs w:val="21"/>
          <w:u w:val="none"/>
        </w:rPr>
        <w:t>五、</w:t>
      </w:r>
      <w:r>
        <w:rPr>
          <w:rFonts w:hint="eastAsia" w:ascii="宋体" w:hAnsi="宋体"/>
          <w:szCs w:val="21"/>
          <w:u w:val="none"/>
          <w:lang w:eastAsia="zh-CN"/>
        </w:rPr>
        <w:t>计分业绩证明文件</w:t>
      </w:r>
    </w:p>
    <w:p>
      <w:pPr>
        <w:adjustRightInd w:val="0"/>
        <w:snapToGrid w:val="0"/>
        <w:spacing w:line="360" w:lineRule="auto"/>
        <w:rPr>
          <w:rFonts w:ascii="宋体" w:hAnsi="宋体"/>
          <w:szCs w:val="21"/>
          <w:u w:val="none"/>
        </w:rPr>
      </w:pPr>
      <w:r>
        <w:rPr>
          <w:rFonts w:hint="eastAsia" w:hAnsi="宋体"/>
          <w:bCs/>
          <w:szCs w:val="21"/>
          <w:u w:val="none"/>
          <w:lang w:eastAsia="zh-CN"/>
        </w:rPr>
        <w:t>六、</w:t>
      </w:r>
      <w:r>
        <w:rPr>
          <w:rFonts w:hint="eastAsia" w:ascii="宋体" w:hAnsi="宋体"/>
          <w:szCs w:val="21"/>
          <w:u w:val="none"/>
        </w:rPr>
        <w:t>报价一览表</w:t>
      </w:r>
    </w:p>
    <w:p>
      <w:pPr>
        <w:adjustRightInd w:val="0"/>
        <w:snapToGrid w:val="0"/>
        <w:spacing w:line="360" w:lineRule="auto"/>
        <w:rPr>
          <w:rFonts w:hint="eastAsia" w:ascii="宋体" w:hAnsi="宋体" w:eastAsia="宋体"/>
          <w:szCs w:val="21"/>
          <w:u w:val="none"/>
          <w:lang w:eastAsia="zh-CN"/>
        </w:rPr>
      </w:pPr>
      <w:r>
        <w:rPr>
          <w:rFonts w:hint="eastAsia" w:ascii="宋体" w:hAnsi="宋体"/>
          <w:szCs w:val="21"/>
          <w:u w:val="none"/>
          <w:lang w:eastAsia="zh-CN"/>
        </w:rPr>
        <w:t>七</w:t>
      </w:r>
      <w:r>
        <w:rPr>
          <w:rFonts w:hint="eastAsia" w:ascii="宋体" w:hAnsi="宋体"/>
          <w:szCs w:val="21"/>
          <w:u w:val="none"/>
        </w:rPr>
        <w:t>、</w:t>
      </w:r>
      <w:r>
        <w:rPr>
          <w:rFonts w:hint="eastAsia" w:ascii="宋体" w:hAnsi="宋体" w:eastAsia="宋体" w:cs="Times New Roman"/>
          <w:szCs w:val="21"/>
          <w:u w:val="none"/>
        </w:rPr>
        <w:t>电力市场化交易历史价差</w:t>
      </w:r>
      <w:r>
        <w:rPr>
          <w:rFonts w:hint="eastAsia" w:ascii="宋体" w:hAnsi="宋体" w:eastAsia="宋体" w:cs="Times New Roman"/>
          <w:szCs w:val="21"/>
          <w:u w:val="none"/>
          <w:lang w:eastAsia="zh-CN"/>
        </w:rPr>
        <w:t>一览表</w:t>
      </w:r>
    </w:p>
    <w:p>
      <w:pPr>
        <w:adjustRightInd w:val="0"/>
        <w:snapToGrid w:val="0"/>
        <w:spacing w:line="360" w:lineRule="auto"/>
        <w:jc w:val="left"/>
        <w:rPr>
          <w:rFonts w:ascii="宋体" w:hAnsi="宋体"/>
          <w:szCs w:val="21"/>
          <w:u w:val="none"/>
        </w:rPr>
      </w:pPr>
      <w:r>
        <w:rPr>
          <w:rFonts w:hint="eastAsia" w:ascii="宋体" w:hAnsi="宋体"/>
          <w:szCs w:val="21"/>
          <w:u w:val="none"/>
          <w:lang w:eastAsia="zh-CN"/>
        </w:rPr>
        <w:t>八</w:t>
      </w:r>
      <w:r>
        <w:rPr>
          <w:rFonts w:hint="eastAsia" w:ascii="宋体" w:hAnsi="宋体"/>
          <w:szCs w:val="21"/>
          <w:u w:val="none"/>
        </w:rPr>
        <w:t>、</w:t>
      </w:r>
      <w:r>
        <w:rPr>
          <w:rFonts w:hint="eastAsia" w:ascii="宋体" w:hAnsi="宋体"/>
          <w:szCs w:val="21"/>
          <w:u w:val="none"/>
          <w:lang w:eastAsia="zh-CN"/>
        </w:rPr>
        <w:t>关联发电企业一览表</w:t>
      </w:r>
    </w:p>
    <w:p>
      <w:pPr>
        <w:adjustRightInd w:val="0"/>
        <w:snapToGrid w:val="0"/>
        <w:spacing w:line="360" w:lineRule="auto"/>
        <w:jc w:val="left"/>
        <w:rPr>
          <w:rFonts w:hint="eastAsia" w:ascii="宋体" w:hAnsi="宋体" w:eastAsia="宋体" w:cs="Times New Roman"/>
          <w:szCs w:val="21"/>
          <w:u w:val="none"/>
          <w:lang w:eastAsia="zh-CN"/>
        </w:rPr>
      </w:pPr>
      <w:r>
        <w:rPr>
          <w:rFonts w:hint="eastAsia" w:ascii="宋体" w:hAnsi="宋体" w:eastAsia="宋体" w:cs="Times New Roman"/>
          <w:szCs w:val="21"/>
          <w:u w:val="none"/>
          <w:lang w:eastAsia="zh-CN"/>
        </w:rPr>
        <w:t>九、关联发电企业电力市场内新能源装机容量一览表</w:t>
      </w:r>
    </w:p>
    <w:p>
      <w:pPr>
        <w:adjustRightInd w:val="0"/>
        <w:snapToGrid w:val="0"/>
        <w:spacing w:line="360" w:lineRule="auto"/>
        <w:rPr>
          <w:rFonts w:hint="eastAsia" w:ascii="宋体" w:hAnsi="宋体"/>
          <w:szCs w:val="21"/>
          <w:u w:val="none"/>
          <w:lang w:eastAsia="zh-CN"/>
        </w:rPr>
      </w:pPr>
      <w:r>
        <w:rPr>
          <w:rFonts w:hint="eastAsia" w:ascii="宋体" w:hAnsi="宋体"/>
          <w:szCs w:val="21"/>
          <w:u w:val="none"/>
          <w:lang w:eastAsia="zh-CN"/>
        </w:rPr>
        <w:t>十、</w:t>
      </w:r>
      <w:r>
        <w:rPr>
          <w:rFonts w:hint="eastAsia" w:hAnsi="宋体"/>
          <w:bCs/>
          <w:szCs w:val="21"/>
          <w:u w:val="none"/>
        </w:rPr>
        <w:t>服务方案（如有）</w:t>
      </w:r>
    </w:p>
    <w:p>
      <w:pPr>
        <w:adjustRightInd w:val="0"/>
        <w:snapToGrid w:val="0"/>
        <w:spacing w:line="360" w:lineRule="auto"/>
        <w:rPr>
          <w:rFonts w:ascii="宋体" w:hAnsi="宋体"/>
          <w:szCs w:val="21"/>
          <w:u w:val="none"/>
        </w:rPr>
      </w:pPr>
      <w:r>
        <w:rPr>
          <w:rFonts w:hint="eastAsia" w:ascii="宋体" w:hAnsi="宋体"/>
          <w:szCs w:val="21"/>
          <w:u w:val="none"/>
          <w:lang w:eastAsia="zh-CN"/>
        </w:rPr>
        <w:t>十一、</w:t>
      </w:r>
      <w:r>
        <w:rPr>
          <w:rFonts w:hint="eastAsia" w:ascii="宋体" w:hAnsi="宋体"/>
          <w:szCs w:val="21"/>
          <w:u w:val="none"/>
        </w:rPr>
        <w:t>其他资料（如有）</w:t>
      </w:r>
    </w:p>
    <w:p>
      <w:pPr>
        <w:ind w:firstLine="480" w:firstLineChars="200"/>
        <w:jc w:val="center"/>
        <w:outlineLvl w:val="1"/>
        <w:rPr>
          <w:rFonts w:ascii="黑体" w:hAnsi="黑体" w:eastAsia="黑体"/>
          <w:b/>
          <w:sz w:val="32"/>
          <w:szCs w:val="32"/>
          <w:u w:val="none"/>
        </w:rPr>
      </w:pPr>
      <w:r>
        <w:rPr>
          <w:rFonts w:hint="eastAsia" w:ascii="宋体" w:hAnsi="宋体"/>
          <w:sz w:val="24"/>
          <w:u w:val="none"/>
        </w:rPr>
        <w:br w:type="page"/>
      </w:r>
      <w:bookmarkStart w:id="95" w:name="_Toc7657"/>
      <w:bookmarkStart w:id="96" w:name="_Toc31665"/>
      <w:bookmarkStart w:id="97" w:name="_Toc32569"/>
      <w:bookmarkStart w:id="98" w:name="_Toc14530"/>
      <w:bookmarkStart w:id="99" w:name="_Toc32600"/>
      <w:r>
        <w:rPr>
          <w:rFonts w:hint="eastAsia" w:ascii="宋体" w:hAnsi="宋体" w:cs="宋体"/>
          <w:b/>
          <w:sz w:val="32"/>
          <w:szCs w:val="32"/>
          <w:u w:val="none"/>
        </w:rPr>
        <w:t>一、谈判承诺书</w:t>
      </w:r>
      <w:bookmarkEnd w:id="95"/>
      <w:bookmarkEnd w:id="96"/>
      <w:bookmarkEnd w:id="97"/>
      <w:bookmarkEnd w:id="98"/>
      <w:bookmarkEnd w:id="99"/>
    </w:p>
    <w:p>
      <w:pPr>
        <w:adjustRightInd w:val="0"/>
        <w:snapToGrid w:val="0"/>
        <w:spacing w:line="400" w:lineRule="exact"/>
        <w:rPr>
          <w:rFonts w:ascii="仿宋_GB2312" w:hAnsi="宋体" w:eastAsia="仿宋_GB2312"/>
          <w:szCs w:val="21"/>
          <w:u w:val="none"/>
        </w:rPr>
      </w:pPr>
    </w:p>
    <w:p>
      <w:pPr>
        <w:adjustRightInd w:val="0"/>
        <w:snapToGrid w:val="0"/>
        <w:spacing w:line="400" w:lineRule="exact"/>
        <w:rPr>
          <w:rFonts w:ascii="宋体" w:hAnsi="宋体"/>
          <w:szCs w:val="21"/>
          <w:u w:val="none"/>
        </w:rPr>
      </w:pPr>
      <w:r>
        <w:rPr>
          <w:rFonts w:hint="eastAsia" w:ascii="宋体" w:hAnsi="宋体"/>
          <w:szCs w:val="21"/>
          <w:u w:val="none"/>
        </w:rPr>
        <w:t>致</w:t>
      </w:r>
      <w:r>
        <w:rPr>
          <w:rFonts w:hint="eastAsia" w:ascii="宋体" w:hAnsi="宋体" w:cs="宋体"/>
          <w:szCs w:val="21"/>
          <w:u w:val="single"/>
        </w:rPr>
        <w:t xml:space="preserve">      (采购单位)      </w:t>
      </w:r>
      <w:r>
        <w:rPr>
          <w:rFonts w:hint="eastAsia" w:ascii="宋体" w:hAnsi="宋体" w:cs="宋体"/>
          <w:szCs w:val="21"/>
          <w:u w:val="none"/>
        </w:rPr>
        <w:t>：</w:t>
      </w:r>
    </w:p>
    <w:p>
      <w:pPr>
        <w:adjustRightInd w:val="0"/>
        <w:snapToGrid w:val="0"/>
        <w:spacing w:line="400" w:lineRule="exact"/>
        <w:ind w:firstLine="420" w:firstLineChars="200"/>
        <w:rPr>
          <w:rFonts w:ascii="宋体" w:hAnsi="宋体"/>
          <w:szCs w:val="21"/>
          <w:u w:val="none"/>
        </w:rPr>
      </w:pPr>
      <w:r>
        <w:rPr>
          <w:rFonts w:hint="eastAsia" w:ascii="宋体" w:hAnsi="宋体"/>
          <w:szCs w:val="21"/>
          <w:u w:val="none"/>
        </w:rPr>
        <w:t>我方已仔细研究了</w:t>
      </w:r>
      <w:r>
        <w:rPr>
          <w:rFonts w:hint="eastAsia" w:ascii="宋体" w:hAnsi="宋体" w:eastAsia="宋体" w:cs="宋体"/>
          <w:szCs w:val="21"/>
          <w:u w:val="single"/>
        </w:rPr>
        <w:t xml:space="preserve">     (项目名称)        </w:t>
      </w:r>
      <w:r>
        <w:rPr>
          <w:rFonts w:hint="eastAsia" w:ascii="宋体" w:hAnsi="宋体"/>
          <w:szCs w:val="21"/>
          <w:u w:val="none"/>
        </w:rPr>
        <w:t>的竞争性谈判文件（谈判项目编号：</w:t>
      </w:r>
      <w:r>
        <w:rPr>
          <w:rFonts w:hint="eastAsia" w:ascii="宋体" w:hAnsi="宋体" w:eastAsia="宋体" w:cs="宋体"/>
          <w:szCs w:val="21"/>
          <w:u w:val="single"/>
        </w:rPr>
        <w:t xml:space="preserve">         </w:t>
      </w:r>
      <w:r>
        <w:rPr>
          <w:rFonts w:hint="eastAsia" w:ascii="宋体" w:hAnsi="宋体"/>
          <w:szCs w:val="21"/>
          <w:u w:val="none"/>
        </w:rPr>
        <w:t>）的全部内容，</w:t>
      </w:r>
      <w:r>
        <w:rPr>
          <w:rFonts w:hint="eastAsia" w:hAnsi="宋体"/>
          <w:szCs w:val="21"/>
          <w:u w:val="none"/>
        </w:rPr>
        <w:t>知悉参加竞争性谈判的风险，我方承诺接受谈判文件的全部条款且无任何异议。</w:t>
      </w:r>
    </w:p>
    <w:p>
      <w:pPr>
        <w:pStyle w:val="25"/>
        <w:numPr>
          <w:ilvl w:val="0"/>
          <w:numId w:val="15"/>
        </w:numPr>
        <w:adjustRightInd w:val="0"/>
        <w:snapToGrid w:val="0"/>
        <w:spacing w:line="400" w:lineRule="exact"/>
        <w:rPr>
          <w:rFonts w:hAnsi="宋体"/>
          <w:u w:val="none"/>
        </w:rPr>
      </w:pPr>
      <w:r>
        <w:rPr>
          <w:rFonts w:hint="eastAsia"/>
          <w:u w:val="none"/>
        </w:rPr>
        <w:t>参与本项目竞争性谈判活动系本公司自愿行为。</w:t>
      </w:r>
    </w:p>
    <w:p>
      <w:pPr>
        <w:pStyle w:val="25"/>
        <w:numPr>
          <w:ilvl w:val="0"/>
          <w:numId w:val="15"/>
        </w:numPr>
        <w:adjustRightInd w:val="0"/>
        <w:snapToGrid w:val="0"/>
        <w:spacing w:line="400" w:lineRule="exact"/>
        <w:rPr>
          <w:u w:val="none"/>
        </w:rPr>
      </w:pPr>
      <w:r>
        <w:rPr>
          <w:rFonts w:hint="eastAsia"/>
          <w:u w:val="none"/>
        </w:rPr>
        <w:t>我方同意在谈判文件中规定的提交响应文件截止时间起</w:t>
      </w:r>
      <w:r>
        <w:rPr>
          <w:rFonts w:hint="eastAsia" w:ascii="宋体" w:hAnsi="宋体" w:eastAsia="宋体" w:cs="宋体"/>
          <w:kern w:val="2"/>
          <w:sz w:val="21"/>
          <w:szCs w:val="21"/>
          <w:u w:val="single"/>
          <w:lang w:val="en-US" w:eastAsia="zh-CN" w:bidi="ar-SA"/>
        </w:rPr>
        <w:t>180</w:t>
      </w:r>
      <w:r>
        <w:rPr>
          <w:rFonts w:hint="eastAsia"/>
          <w:u w:val="none"/>
        </w:rPr>
        <w:t>日历天内(响应文件有效期)遵守本响应文件中的承诺且在此期限期满之前均具有法律约束力。</w:t>
      </w:r>
    </w:p>
    <w:p>
      <w:pPr>
        <w:pStyle w:val="25"/>
        <w:numPr>
          <w:ilvl w:val="0"/>
          <w:numId w:val="15"/>
        </w:numPr>
        <w:adjustRightInd w:val="0"/>
        <w:snapToGrid w:val="0"/>
        <w:spacing w:line="400" w:lineRule="exact"/>
        <w:rPr>
          <w:u w:val="none"/>
        </w:rPr>
      </w:pPr>
      <w:r>
        <w:rPr>
          <w:rFonts w:hint="eastAsia"/>
          <w:u w:val="none"/>
        </w:rPr>
        <w:t>我方提交的响应文件均为</w:t>
      </w:r>
      <w:r>
        <w:rPr>
          <w:rFonts w:hint="eastAsia"/>
          <w:b/>
          <w:bCs/>
          <w:u w:val="none"/>
        </w:rPr>
        <w:t>正本一份和副本两份</w:t>
      </w:r>
      <w:r>
        <w:rPr>
          <w:rFonts w:hint="eastAsia"/>
          <w:u w:val="none"/>
        </w:rPr>
        <w:t>，电子文件（包括响应文件全部内容）一份，并保证响应文件提供的数据和材料是真实、准确的，</w:t>
      </w:r>
      <w:r>
        <w:rPr>
          <w:rFonts w:hint="eastAsia"/>
          <w:b/>
          <w:bCs/>
          <w:u w:val="none"/>
        </w:rPr>
        <w:t>均无复制、粘贴之情形，且无低于成本的恶意报价行为</w:t>
      </w:r>
      <w:r>
        <w:rPr>
          <w:rFonts w:hint="eastAsia"/>
          <w:u w:val="none"/>
        </w:rPr>
        <w:t>。否则，愿承担由此引起的一切法律责任。</w:t>
      </w:r>
    </w:p>
    <w:p>
      <w:pPr>
        <w:pStyle w:val="25"/>
        <w:numPr>
          <w:ilvl w:val="0"/>
          <w:numId w:val="15"/>
        </w:numPr>
        <w:adjustRightInd w:val="0"/>
        <w:snapToGrid w:val="0"/>
        <w:spacing w:line="400" w:lineRule="exact"/>
        <w:rPr>
          <w:u w:val="none"/>
        </w:rPr>
      </w:pPr>
      <w:r>
        <w:rPr>
          <w:rFonts w:hint="eastAsia"/>
          <w:u w:val="none"/>
        </w:rPr>
        <w:t>遵守贵司各项管理制度和谈判现场纪律，服从现场工作人员管理，自觉维护贵司谈判活动秩序。</w:t>
      </w:r>
    </w:p>
    <w:p>
      <w:pPr>
        <w:pStyle w:val="25"/>
        <w:numPr>
          <w:ilvl w:val="0"/>
          <w:numId w:val="15"/>
        </w:numPr>
        <w:adjustRightInd w:val="0"/>
        <w:snapToGrid w:val="0"/>
        <w:spacing w:line="400" w:lineRule="exact"/>
        <w:rPr>
          <w:u w:val="none"/>
        </w:rPr>
      </w:pPr>
      <w:r>
        <w:rPr>
          <w:rFonts w:hint="eastAsia"/>
          <w:u w:val="none"/>
        </w:rPr>
        <w:t>保证没有组织、参与围标、串标行为。</w:t>
      </w:r>
    </w:p>
    <w:p>
      <w:pPr>
        <w:pStyle w:val="25"/>
        <w:numPr>
          <w:ilvl w:val="0"/>
          <w:numId w:val="15"/>
        </w:numPr>
        <w:adjustRightInd w:val="0"/>
        <w:snapToGrid w:val="0"/>
        <w:spacing w:line="400" w:lineRule="exact"/>
        <w:rPr>
          <w:u w:val="none"/>
        </w:rPr>
      </w:pPr>
      <w:r>
        <w:rPr>
          <w:rFonts w:hint="eastAsia"/>
          <w:u w:val="none"/>
        </w:rPr>
        <w:t>不与采购单位或采购代理机构或谈判评审小组成员私下联络和串通以牟取中选；不以他人名义参与谈判或者以其他方式弄虚作假骗取中选；不在谈判结束后进行虚假、恶意质疑和投诉。</w:t>
      </w:r>
    </w:p>
    <w:p>
      <w:pPr>
        <w:pStyle w:val="25"/>
        <w:numPr>
          <w:ilvl w:val="0"/>
          <w:numId w:val="15"/>
        </w:numPr>
        <w:adjustRightInd w:val="0"/>
        <w:snapToGrid w:val="0"/>
        <w:spacing w:line="400" w:lineRule="exact"/>
        <w:rPr>
          <w:u w:val="none"/>
        </w:rPr>
      </w:pPr>
      <w:r>
        <w:rPr>
          <w:rFonts w:hint="eastAsia"/>
          <w:u w:val="none"/>
        </w:rPr>
        <w:t>我方承诺为本项目拟配备人员均满足技术标准及要求且均为我方正式在职人员。若拟配备人员不满足技术标准及要求或证件造假或非我方正式在职人员，视为虚假响应，贵方有权取消我方谈判资格；如已中选，贵方有权取消我方中选供应商资格。</w:t>
      </w:r>
    </w:p>
    <w:p>
      <w:pPr>
        <w:pStyle w:val="25"/>
        <w:numPr>
          <w:ilvl w:val="0"/>
          <w:numId w:val="15"/>
        </w:numPr>
        <w:adjustRightInd w:val="0"/>
        <w:snapToGrid w:val="0"/>
        <w:spacing w:line="400" w:lineRule="exact"/>
        <w:rPr>
          <w:u w:val="none"/>
        </w:rPr>
      </w:pPr>
      <w:r>
        <w:rPr>
          <w:rFonts w:hint="eastAsia"/>
          <w:u w:val="none"/>
        </w:rPr>
        <w:t>我方承诺，若贵方需要，我方愿意提供任何与本次谈判有关的数据、情况和技术资料。</w:t>
      </w:r>
    </w:p>
    <w:p>
      <w:pPr>
        <w:pStyle w:val="25"/>
        <w:numPr>
          <w:ilvl w:val="0"/>
          <w:numId w:val="15"/>
        </w:numPr>
        <w:adjustRightInd w:val="0"/>
        <w:snapToGrid w:val="0"/>
        <w:spacing w:line="400" w:lineRule="exact"/>
        <w:rPr>
          <w:u w:val="none"/>
        </w:rPr>
      </w:pPr>
      <w:r>
        <w:rPr>
          <w:rFonts w:hint="eastAsia"/>
          <w:u w:val="none"/>
        </w:rPr>
        <w:t>我方承诺遵守相关法律法规及贵司的有关规定，保证在获得成交资格后，按照谈判文件确定的事项签订合同，履行双方所签订的合同，并承担合同规定的责任和义务。</w:t>
      </w:r>
    </w:p>
    <w:p>
      <w:pPr>
        <w:pStyle w:val="25"/>
        <w:numPr>
          <w:ilvl w:val="0"/>
          <w:numId w:val="15"/>
        </w:numPr>
        <w:adjustRightInd w:val="0"/>
        <w:snapToGrid w:val="0"/>
        <w:spacing w:line="400" w:lineRule="exact"/>
        <w:rPr>
          <w:u w:val="none"/>
        </w:rPr>
      </w:pPr>
      <w:r>
        <w:rPr>
          <w:rFonts w:hint="eastAsia"/>
          <w:u w:val="none"/>
        </w:rPr>
        <w:t>我方承诺在参与本次竞争性谈判过程中，若出现本文件</w:t>
      </w:r>
      <w:r>
        <w:rPr>
          <w:rFonts w:hint="eastAsia"/>
          <w:b/>
          <w:bCs/>
          <w:u w:val="none"/>
        </w:rPr>
        <w:t>谈判须知正文</w:t>
      </w:r>
      <w:r>
        <w:rPr>
          <w:rFonts w:hint="eastAsia"/>
          <w:u w:val="none"/>
        </w:rPr>
        <w:t>第26条规定之情形，我方无条件接受条款规定作出的处罚。</w:t>
      </w:r>
    </w:p>
    <w:p>
      <w:pPr>
        <w:pStyle w:val="25"/>
        <w:numPr>
          <w:ilvl w:val="0"/>
          <w:numId w:val="15"/>
        </w:numPr>
        <w:adjustRightInd w:val="0"/>
        <w:snapToGrid w:val="0"/>
        <w:spacing w:line="400" w:lineRule="exact"/>
        <w:rPr>
          <w:u w:val="none"/>
        </w:rPr>
      </w:pPr>
      <w:r>
        <w:rPr>
          <w:rFonts w:hint="eastAsia"/>
          <w:u w:val="none"/>
        </w:rPr>
        <w:t>我方承诺完全响应本文件第四章“用户需求书”及第六章“合同格式条款”内的全部内容。</w:t>
      </w:r>
    </w:p>
    <w:p>
      <w:pPr>
        <w:pStyle w:val="25"/>
        <w:numPr>
          <w:ilvl w:val="0"/>
          <w:numId w:val="15"/>
        </w:numPr>
        <w:adjustRightInd w:val="0"/>
        <w:snapToGrid w:val="0"/>
        <w:spacing w:line="400" w:lineRule="exact"/>
        <w:rPr>
          <w:u w:val="none"/>
        </w:rPr>
      </w:pPr>
      <w:r>
        <w:rPr>
          <w:rFonts w:hint="eastAsia"/>
          <w:u w:val="none"/>
        </w:rPr>
        <w:t>如有违反本承诺书内容的行为，愿意承担由此产生的法律责任及后果。</w:t>
      </w:r>
    </w:p>
    <w:p>
      <w:pPr>
        <w:spacing w:line="400" w:lineRule="exact"/>
        <w:rPr>
          <w:rFonts w:ascii="宋体" w:hAnsi="宋体" w:cs="宋体"/>
          <w:szCs w:val="21"/>
          <w:u w:val="none"/>
        </w:rPr>
      </w:pPr>
    </w:p>
    <w:p>
      <w:pPr>
        <w:spacing w:line="400" w:lineRule="exact"/>
        <w:rPr>
          <w:rFonts w:ascii="宋体" w:hAnsi="宋体" w:cs="宋体"/>
          <w:szCs w:val="21"/>
          <w:u w:val="none"/>
        </w:rPr>
      </w:pPr>
      <w:r>
        <w:rPr>
          <w:rFonts w:hint="eastAsia" w:ascii="宋体" w:hAnsi="宋体" w:cs="宋体"/>
          <w:szCs w:val="21"/>
          <w:u w:val="none"/>
        </w:rPr>
        <w:t>谈判单位名称：</w:t>
      </w:r>
      <w:r>
        <w:rPr>
          <w:rFonts w:hint="eastAsia" w:ascii="宋体" w:hAnsi="宋体" w:eastAsia="宋体" w:cs="宋体"/>
          <w:szCs w:val="21"/>
          <w:u w:val="single"/>
        </w:rPr>
        <w:t xml:space="preserve">    （盖单位章）         </w:t>
      </w:r>
    </w:p>
    <w:p>
      <w:pPr>
        <w:spacing w:line="400" w:lineRule="exact"/>
        <w:rPr>
          <w:rFonts w:ascii="宋体" w:hAnsi="宋体" w:cs="宋体"/>
          <w:szCs w:val="21"/>
          <w:u w:val="none"/>
        </w:rPr>
      </w:pPr>
      <w:r>
        <w:rPr>
          <w:rFonts w:hint="eastAsia" w:ascii="宋体" w:hAnsi="宋体" w:cs="宋体"/>
          <w:szCs w:val="21"/>
          <w:u w:val="none"/>
        </w:rPr>
        <w:t>法定代表人(签字或盖章)：</w:t>
      </w:r>
      <w:r>
        <w:rPr>
          <w:rFonts w:hint="eastAsia" w:ascii="宋体" w:hAnsi="宋体" w:eastAsia="宋体" w:cs="宋体"/>
          <w:szCs w:val="21"/>
          <w:u w:val="single"/>
        </w:rPr>
        <w:t xml:space="preserve">               </w:t>
      </w:r>
    </w:p>
    <w:p>
      <w:pPr>
        <w:spacing w:line="400" w:lineRule="exact"/>
        <w:rPr>
          <w:rFonts w:ascii="宋体" w:hAnsi="宋体" w:cs="宋体"/>
          <w:szCs w:val="21"/>
          <w:u w:val="none"/>
        </w:rPr>
      </w:pPr>
      <w:r>
        <w:rPr>
          <w:rFonts w:hint="eastAsia" w:ascii="宋体" w:hAnsi="宋体" w:cs="宋体"/>
          <w:szCs w:val="21"/>
          <w:u w:val="none"/>
        </w:rPr>
        <w:t>日期</w:t>
      </w:r>
      <w:r>
        <w:rPr>
          <w:rFonts w:hint="eastAsia" w:ascii="宋体" w:hAnsi="宋体" w:eastAsia="宋体" w:cs="宋体"/>
          <w:szCs w:val="21"/>
          <w:u w:val="none"/>
        </w:rPr>
        <w:t>：</w:t>
      </w:r>
      <w:r>
        <w:rPr>
          <w:rFonts w:hint="eastAsia" w:ascii="宋体" w:hAnsi="宋体" w:eastAsia="宋体" w:cs="宋体"/>
          <w:szCs w:val="21"/>
          <w:u w:val="single"/>
        </w:rPr>
        <w:t xml:space="preserve">    </w:t>
      </w:r>
      <w:r>
        <w:rPr>
          <w:rFonts w:hint="eastAsia" w:ascii="宋体" w:hAnsi="宋体" w:cs="宋体"/>
          <w:szCs w:val="21"/>
          <w:u w:val="none"/>
        </w:rPr>
        <w:t>年</w:t>
      </w:r>
      <w:r>
        <w:rPr>
          <w:rFonts w:hint="eastAsia" w:ascii="宋体" w:hAnsi="宋体" w:eastAsia="宋体" w:cs="宋体"/>
          <w:szCs w:val="21"/>
          <w:u w:val="single"/>
        </w:rPr>
        <w:t xml:space="preserve">  </w:t>
      </w:r>
      <w:r>
        <w:rPr>
          <w:rFonts w:hint="eastAsia" w:ascii="宋体" w:hAnsi="宋体" w:cs="宋体"/>
          <w:szCs w:val="21"/>
          <w:u w:val="single"/>
        </w:rPr>
        <w:t xml:space="preserve"> </w:t>
      </w:r>
      <w:r>
        <w:rPr>
          <w:rFonts w:hint="eastAsia" w:ascii="宋体" w:hAnsi="宋体" w:cs="宋体"/>
          <w:szCs w:val="21"/>
          <w:u w:val="none"/>
        </w:rPr>
        <w:t>月</w:t>
      </w:r>
      <w:r>
        <w:rPr>
          <w:rFonts w:hint="eastAsia" w:ascii="宋体" w:hAnsi="宋体" w:cs="宋体"/>
          <w:szCs w:val="21"/>
          <w:u w:val="single"/>
        </w:rPr>
        <w:t xml:space="preserve">   </w:t>
      </w:r>
      <w:r>
        <w:rPr>
          <w:rFonts w:hint="eastAsia" w:ascii="宋体" w:hAnsi="宋体" w:cs="宋体"/>
          <w:szCs w:val="21"/>
          <w:u w:val="none"/>
        </w:rPr>
        <w:t>日</w:t>
      </w:r>
    </w:p>
    <w:p>
      <w:pPr>
        <w:rPr>
          <w:rFonts w:ascii="宋体" w:hAnsi="宋体"/>
          <w:szCs w:val="21"/>
          <w:u w:val="none"/>
        </w:rPr>
      </w:pPr>
      <w:r>
        <w:rPr>
          <w:rFonts w:hint="eastAsia" w:ascii="宋体" w:hAnsi="宋体"/>
          <w:szCs w:val="21"/>
          <w:u w:val="none"/>
        </w:rPr>
        <w:br w:type="page"/>
      </w:r>
    </w:p>
    <w:p>
      <w:pPr>
        <w:adjustRightInd w:val="0"/>
        <w:snapToGrid w:val="0"/>
        <w:spacing w:line="360" w:lineRule="auto"/>
        <w:ind w:right="24"/>
        <w:jc w:val="center"/>
        <w:outlineLvl w:val="1"/>
        <w:rPr>
          <w:rFonts w:ascii="宋体" w:hAnsi="宋体" w:cs="宋体"/>
          <w:b/>
          <w:sz w:val="32"/>
          <w:szCs w:val="32"/>
          <w:u w:val="none"/>
        </w:rPr>
      </w:pPr>
      <w:bookmarkStart w:id="100" w:name="_Toc31277"/>
      <w:bookmarkStart w:id="101" w:name="_Toc10496"/>
      <w:bookmarkStart w:id="102" w:name="_Toc1313"/>
      <w:bookmarkStart w:id="103" w:name="_Toc3026"/>
      <w:bookmarkStart w:id="104" w:name="_Toc31053"/>
      <w:r>
        <w:rPr>
          <w:rFonts w:hint="eastAsia" w:ascii="宋体" w:hAnsi="宋体" w:cs="宋体"/>
          <w:b/>
          <w:sz w:val="32"/>
          <w:szCs w:val="32"/>
          <w:u w:val="none"/>
        </w:rPr>
        <w:t>二、法定代表人身份证明书</w:t>
      </w:r>
      <w:bookmarkEnd w:id="100"/>
      <w:bookmarkEnd w:id="101"/>
      <w:bookmarkEnd w:id="102"/>
      <w:bookmarkEnd w:id="103"/>
      <w:bookmarkEnd w:id="104"/>
    </w:p>
    <w:p>
      <w:pPr>
        <w:snapToGrid w:val="0"/>
        <w:spacing w:line="480" w:lineRule="auto"/>
        <w:rPr>
          <w:rFonts w:ascii="宋体" w:hAnsi="宋体"/>
          <w:szCs w:val="21"/>
          <w:u w:val="none"/>
        </w:rPr>
      </w:pP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szCs w:val="21"/>
          <w:u w:val="none"/>
        </w:rPr>
        <w:t>谈判单位</w:t>
      </w:r>
      <w:r>
        <w:rPr>
          <w:rFonts w:hint="eastAsia" w:ascii="宋体" w:hAnsi="宋体" w:cs="宋体"/>
          <w:kern w:val="0"/>
          <w:szCs w:val="21"/>
          <w:u w:val="none"/>
        </w:rPr>
        <w:t>名称：</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b/>
          <w:bCs/>
          <w:kern w:val="0"/>
          <w:szCs w:val="21"/>
          <w:u w:val="none"/>
        </w:rPr>
      </w:pPr>
      <w:r>
        <w:rPr>
          <w:rFonts w:hint="eastAsia" w:ascii="宋体" w:hAnsi="宋体" w:cs="宋体"/>
          <w:kern w:val="0"/>
          <w:szCs w:val="21"/>
          <w:u w:val="none"/>
        </w:rPr>
        <w:t>注册号：</w:t>
      </w:r>
      <w:r>
        <w:rPr>
          <w:rFonts w:hint="eastAsia" w:ascii="宋体" w:hAnsi="宋体" w:eastAsia="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u w:val="none"/>
        </w:rPr>
      </w:pPr>
      <w:r>
        <w:rPr>
          <w:rFonts w:hint="eastAsia" w:ascii="宋体" w:hAnsi="宋体" w:cs="宋体"/>
          <w:kern w:val="0"/>
          <w:szCs w:val="21"/>
          <w:u w:val="none"/>
        </w:rPr>
        <w:t>注册地址：</w:t>
      </w:r>
      <w:r>
        <w:rPr>
          <w:rFonts w:hint="eastAsia" w:ascii="宋体" w:hAnsi="宋体" w:eastAsia="宋体" w:cs="宋体"/>
          <w:kern w:val="0"/>
          <w:szCs w:val="21"/>
          <w:u w:val="single"/>
        </w:rPr>
        <w:t xml:space="preserve">                      </w:t>
      </w:r>
    </w:p>
    <w:p>
      <w:pPr>
        <w:spacing w:line="360" w:lineRule="auto"/>
        <w:rPr>
          <w:rFonts w:ascii="宋体" w:hAnsi="宋体" w:cs="宋体"/>
          <w:kern w:val="0"/>
          <w:szCs w:val="21"/>
          <w:u w:val="none"/>
        </w:rPr>
      </w:pPr>
      <w:r>
        <w:rPr>
          <w:rFonts w:hint="eastAsia" w:ascii="宋体" w:hAnsi="宋体" w:cs="宋体"/>
          <w:kern w:val="0"/>
          <w:szCs w:val="21"/>
          <w:u w:val="none"/>
        </w:rPr>
        <w:t>成立日期：</w:t>
      </w:r>
      <w:r>
        <w:rPr>
          <w:rFonts w:hint="eastAsia" w:ascii="宋体" w:hAnsi="宋体" w:eastAsia="宋体" w:cs="宋体"/>
          <w:kern w:val="0"/>
          <w:szCs w:val="21"/>
          <w:u w:val="single"/>
        </w:rPr>
        <w:t xml:space="preserve">   </w:t>
      </w:r>
      <w:r>
        <w:rPr>
          <w:rFonts w:hint="eastAsia" w:ascii="宋体" w:hAnsi="宋体"/>
          <w:szCs w:val="21"/>
          <w:u w:val="none"/>
        </w:rPr>
        <w:t>年</w:t>
      </w:r>
      <w:r>
        <w:rPr>
          <w:rFonts w:hint="eastAsia" w:ascii="宋体" w:hAnsi="宋体" w:eastAsia="宋体" w:cs="宋体"/>
          <w:kern w:val="0"/>
          <w:szCs w:val="21"/>
          <w:u w:val="single"/>
        </w:rPr>
        <w:t xml:space="preserve">   </w:t>
      </w:r>
      <w:r>
        <w:rPr>
          <w:rFonts w:hint="eastAsia" w:ascii="宋体" w:hAnsi="宋体"/>
          <w:szCs w:val="21"/>
          <w:u w:val="none"/>
        </w:rPr>
        <w:t>月</w:t>
      </w:r>
      <w:r>
        <w:rPr>
          <w:rFonts w:hint="eastAsia" w:ascii="宋体" w:hAnsi="宋体" w:eastAsia="宋体" w:cs="宋体"/>
          <w:kern w:val="0"/>
          <w:szCs w:val="21"/>
          <w:u w:val="single"/>
        </w:rPr>
        <w:t xml:space="preserve">   </w:t>
      </w:r>
      <w:r>
        <w:rPr>
          <w:rFonts w:hint="eastAsia" w:ascii="宋体" w:hAnsi="宋体"/>
          <w:szCs w:val="21"/>
          <w:u w:val="none"/>
        </w:rPr>
        <w:t>日</w:t>
      </w:r>
    </w:p>
    <w:p>
      <w:pPr>
        <w:autoSpaceDE w:val="0"/>
        <w:autoSpaceDN w:val="0"/>
        <w:adjustRightInd w:val="0"/>
        <w:snapToGrid w:val="0"/>
        <w:spacing w:before="159" w:beforeLines="50" w:line="360" w:lineRule="auto"/>
        <w:jc w:val="left"/>
        <w:rPr>
          <w:rFonts w:ascii="宋体" w:hAnsi="宋体" w:cs="宋体"/>
          <w:kern w:val="0"/>
          <w:szCs w:val="21"/>
          <w:u w:val="none"/>
        </w:rPr>
      </w:pPr>
      <w:r>
        <w:rPr>
          <w:rFonts w:hint="eastAsia" w:ascii="宋体" w:hAnsi="宋体" w:cs="宋体"/>
          <w:kern w:val="0"/>
          <w:szCs w:val="21"/>
          <w:u w:val="none"/>
        </w:rPr>
        <w:t>经营期限：</w:t>
      </w:r>
      <w:r>
        <w:rPr>
          <w:rFonts w:hint="eastAsia" w:ascii="宋体" w:hAnsi="宋体" w:eastAsia="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u w:val="none"/>
        </w:rPr>
      </w:pPr>
      <w:r>
        <w:rPr>
          <w:rFonts w:hint="eastAsia" w:ascii="宋体" w:hAnsi="宋体" w:cs="宋体"/>
          <w:kern w:val="0"/>
          <w:szCs w:val="21"/>
          <w:u w:val="none"/>
        </w:rPr>
        <w:t>经营范围：</w:t>
      </w:r>
      <w:r>
        <w:rPr>
          <w:rFonts w:hint="eastAsia" w:ascii="宋体" w:hAnsi="宋体" w:eastAsia="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u w:val="none"/>
        </w:rPr>
      </w:pPr>
      <w:r>
        <w:rPr>
          <w:rFonts w:hint="eastAsia" w:ascii="宋体" w:hAnsi="宋体" w:cs="宋体"/>
          <w:kern w:val="0"/>
          <w:szCs w:val="21"/>
          <w:u w:val="none"/>
        </w:rPr>
        <w:t>姓名：</w:t>
      </w:r>
      <w:r>
        <w:rPr>
          <w:rFonts w:hint="eastAsia" w:ascii="宋体" w:hAnsi="宋体" w:eastAsia="宋体" w:cs="宋体"/>
          <w:kern w:val="0"/>
          <w:szCs w:val="21"/>
          <w:u w:val="single"/>
        </w:rPr>
        <w:t xml:space="preserve">       </w:t>
      </w:r>
      <w:r>
        <w:rPr>
          <w:rFonts w:hint="eastAsia" w:ascii="宋体" w:hAnsi="宋体" w:cs="宋体"/>
          <w:kern w:val="0"/>
          <w:szCs w:val="21"/>
          <w:u w:val="none"/>
        </w:rPr>
        <w:t>性别：</w:t>
      </w:r>
      <w:r>
        <w:rPr>
          <w:rFonts w:hint="eastAsia" w:ascii="宋体" w:hAnsi="宋体" w:eastAsia="宋体" w:cs="宋体"/>
          <w:kern w:val="0"/>
          <w:szCs w:val="21"/>
          <w:u w:val="single"/>
        </w:rPr>
        <w:t xml:space="preserve">   </w:t>
      </w:r>
      <w:r>
        <w:rPr>
          <w:rFonts w:hint="eastAsia" w:ascii="宋体" w:hAnsi="宋体" w:cs="宋体"/>
          <w:kern w:val="0"/>
          <w:szCs w:val="21"/>
          <w:u w:val="none"/>
        </w:rPr>
        <w:t>年龄：</w:t>
      </w:r>
      <w:r>
        <w:rPr>
          <w:rFonts w:hint="eastAsia" w:ascii="宋体" w:hAnsi="宋体" w:eastAsia="宋体" w:cs="宋体"/>
          <w:kern w:val="0"/>
          <w:szCs w:val="21"/>
          <w:u w:val="single"/>
        </w:rPr>
        <w:t xml:space="preserve">   </w:t>
      </w:r>
      <w:r>
        <w:rPr>
          <w:rFonts w:hint="eastAsia" w:ascii="宋体" w:hAnsi="宋体" w:cs="宋体"/>
          <w:kern w:val="0"/>
          <w:szCs w:val="21"/>
          <w:u w:val="none"/>
        </w:rPr>
        <w:t>系</w:t>
      </w:r>
      <w:r>
        <w:rPr>
          <w:rFonts w:hint="eastAsia" w:ascii="宋体" w:hAnsi="宋体" w:eastAsia="宋体" w:cs="宋体"/>
          <w:kern w:val="0"/>
          <w:szCs w:val="21"/>
          <w:u w:val="single"/>
        </w:rPr>
        <w:t xml:space="preserve">    （谈判单位名称）    </w:t>
      </w:r>
      <w:r>
        <w:rPr>
          <w:rFonts w:hint="eastAsia" w:ascii="宋体" w:hAnsi="宋体" w:cs="宋体"/>
          <w:kern w:val="0"/>
          <w:szCs w:val="21"/>
          <w:u w:val="none"/>
        </w:rPr>
        <w:t>的法定代表人。</w:t>
      </w:r>
    </w:p>
    <w:p>
      <w:pPr>
        <w:autoSpaceDE w:val="0"/>
        <w:autoSpaceDN w:val="0"/>
        <w:adjustRightInd w:val="0"/>
        <w:snapToGrid w:val="0"/>
        <w:spacing w:before="159" w:beforeLines="50" w:line="360" w:lineRule="auto"/>
        <w:jc w:val="left"/>
        <w:rPr>
          <w:rFonts w:ascii="宋体" w:hAnsi="宋体" w:cs="宋体"/>
          <w:kern w:val="0"/>
          <w:szCs w:val="21"/>
          <w:u w:val="none"/>
        </w:rPr>
      </w:pPr>
      <w:r>
        <w:rPr>
          <w:rFonts w:hint="eastAsia" w:ascii="宋体" w:hAnsi="宋体" w:cs="宋体"/>
          <w:kern w:val="0"/>
          <w:szCs w:val="21"/>
          <w:u w:val="none"/>
        </w:rPr>
        <w:t>特此证明。</w:t>
      </w:r>
    </w:p>
    <w:p>
      <w:pPr>
        <w:autoSpaceDE w:val="0"/>
        <w:autoSpaceDN w:val="0"/>
        <w:adjustRightInd w:val="0"/>
        <w:snapToGrid w:val="0"/>
        <w:spacing w:line="360" w:lineRule="auto"/>
        <w:jc w:val="left"/>
        <w:rPr>
          <w:rFonts w:ascii="宋体" w:hAnsi="宋体"/>
          <w:szCs w:val="21"/>
          <w:u w:val="none"/>
        </w:rPr>
      </w:pPr>
      <w:r>
        <w:rPr>
          <w:rFonts w:ascii="宋体" w:hAnsi="宋体"/>
          <w:szCs w:val="21"/>
          <w:u w:val="none"/>
        </w:rPr>
        <mc:AlternateContent>
          <mc:Choice Requires="wps">
            <w:drawing>
              <wp:anchor distT="0" distB="0" distL="114300" distR="114300" simplePos="0" relativeHeight="251665408"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1072;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u w:val="none"/>
        </w:rPr>
        <mc:AlternateContent>
          <mc:Choice Requires="wps">
            <w:drawing>
              <wp:anchor distT="0" distB="0" distL="114300" distR="114300" simplePos="0" relativeHeight="251663360"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3120;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u w:val="none"/>
        </w:rPr>
      </w:pPr>
    </w:p>
    <w:p>
      <w:pPr>
        <w:autoSpaceDE w:val="0"/>
        <w:autoSpaceDN w:val="0"/>
        <w:adjustRightInd w:val="0"/>
        <w:snapToGrid w:val="0"/>
        <w:spacing w:line="360" w:lineRule="auto"/>
        <w:jc w:val="left"/>
        <w:rPr>
          <w:rFonts w:ascii="宋体" w:hAnsi="宋体"/>
          <w:szCs w:val="21"/>
          <w:u w:val="none"/>
        </w:rPr>
      </w:pPr>
    </w:p>
    <w:p>
      <w:pPr>
        <w:autoSpaceDE w:val="0"/>
        <w:autoSpaceDN w:val="0"/>
        <w:adjustRightInd w:val="0"/>
        <w:snapToGrid w:val="0"/>
        <w:spacing w:line="360" w:lineRule="auto"/>
        <w:jc w:val="left"/>
        <w:rPr>
          <w:rFonts w:ascii="宋体" w:hAnsi="宋体"/>
          <w:szCs w:val="21"/>
          <w:u w:val="none"/>
        </w:rPr>
      </w:pPr>
    </w:p>
    <w:p>
      <w:pPr>
        <w:autoSpaceDE w:val="0"/>
        <w:autoSpaceDN w:val="0"/>
        <w:adjustRightInd w:val="0"/>
        <w:snapToGrid w:val="0"/>
        <w:spacing w:line="360" w:lineRule="auto"/>
        <w:jc w:val="left"/>
        <w:rPr>
          <w:rFonts w:ascii="宋体" w:hAnsi="宋体"/>
          <w:szCs w:val="21"/>
          <w:u w:val="none"/>
        </w:rPr>
      </w:pPr>
    </w:p>
    <w:p>
      <w:pPr>
        <w:autoSpaceDE w:val="0"/>
        <w:autoSpaceDN w:val="0"/>
        <w:adjustRightInd w:val="0"/>
        <w:snapToGrid w:val="0"/>
        <w:spacing w:line="360" w:lineRule="auto"/>
        <w:jc w:val="left"/>
        <w:rPr>
          <w:rFonts w:ascii="宋体" w:hAnsi="宋体"/>
          <w:szCs w:val="21"/>
          <w:u w:val="none"/>
        </w:rPr>
      </w:pPr>
    </w:p>
    <w:p>
      <w:pPr>
        <w:autoSpaceDE w:val="0"/>
        <w:autoSpaceDN w:val="0"/>
        <w:adjustRightInd w:val="0"/>
        <w:snapToGrid w:val="0"/>
        <w:spacing w:line="360" w:lineRule="auto"/>
        <w:jc w:val="left"/>
        <w:rPr>
          <w:rFonts w:ascii="宋体" w:hAnsi="宋体"/>
          <w:b/>
          <w:szCs w:val="21"/>
          <w:u w:val="none"/>
        </w:rPr>
      </w:pPr>
      <w:r>
        <w:rPr>
          <w:rFonts w:ascii="宋体" w:hAnsi="宋体"/>
          <w:szCs w:val="21"/>
          <w:u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4384;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u w:val="none"/>
        </w:rPr>
      </w:pPr>
    </w:p>
    <w:p>
      <w:pPr>
        <w:autoSpaceDE w:val="0"/>
        <w:autoSpaceDN w:val="0"/>
        <w:adjustRightInd w:val="0"/>
        <w:snapToGrid w:val="0"/>
        <w:spacing w:line="360" w:lineRule="auto"/>
        <w:jc w:val="left"/>
        <w:rPr>
          <w:rFonts w:ascii="宋体" w:hAnsi="宋体"/>
          <w:b/>
          <w:szCs w:val="21"/>
          <w:u w:val="none"/>
        </w:rPr>
      </w:pPr>
    </w:p>
    <w:p>
      <w:pPr>
        <w:autoSpaceDE w:val="0"/>
        <w:autoSpaceDN w:val="0"/>
        <w:adjustRightInd w:val="0"/>
        <w:snapToGrid w:val="0"/>
        <w:spacing w:line="360" w:lineRule="auto"/>
        <w:jc w:val="left"/>
        <w:rPr>
          <w:rFonts w:ascii="宋体" w:hAnsi="宋体"/>
          <w:b/>
          <w:szCs w:val="21"/>
          <w:u w:val="none"/>
        </w:rPr>
      </w:pPr>
    </w:p>
    <w:p>
      <w:pPr>
        <w:autoSpaceDE w:val="0"/>
        <w:autoSpaceDN w:val="0"/>
        <w:adjustRightInd w:val="0"/>
        <w:snapToGrid w:val="0"/>
        <w:spacing w:line="360" w:lineRule="auto"/>
        <w:jc w:val="left"/>
        <w:rPr>
          <w:rFonts w:ascii="宋体" w:hAnsi="宋体"/>
          <w:b/>
          <w:szCs w:val="21"/>
          <w:u w:val="none"/>
        </w:rPr>
      </w:pPr>
    </w:p>
    <w:p>
      <w:pPr>
        <w:autoSpaceDE w:val="0"/>
        <w:autoSpaceDN w:val="0"/>
        <w:adjustRightInd w:val="0"/>
        <w:snapToGrid w:val="0"/>
        <w:spacing w:line="360" w:lineRule="auto"/>
        <w:jc w:val="left"/>
        <w:rPr>
          <w:rFonts w:ascii="宋体" w:hAnsi="宋体"/>
          <w:b/>
          <w:szCs w:val="21"/>
          <w:u w:val="none"/>
        </w:rPr>
      </w:pPr>
    </w:p>
    <w:p>
      <w:pPr>
        <w:autoSpaceDE w:val="0"/>
        <w:autoSpaceDN w:val="0"/>
        <w:adjustRightInd w:val="0"/>
        <w:snapToGrid w:val="0"/>
        <w:spacing w:line="360" w:lineRule="auto"/>
        <w:jc w:val="left"/>
        <w:rPr>
          <w:rFonts w:ascii="宋体" w:hAnsi="宋体"/>
          <w:szCs w:val="21"/>
          <w:u w:val="none"/>
        </w:rPr>
      </w:pPr>
      <w:r>
        <w:rPr>
          <w:rFonts w:hint="eastAsia" w:ascii="宋体" w:hAnsi="宋体"/>
          <w:b/>
          <w:szCs w:val="21"/>
          <w:u w:val="none"/>
        </w:rPr>
        <w:t>备注：上述证件复印件可另附页，另附页时，证件复印件均须加盖单位公章。</w:t>
      </w:r>
    </w:p>
    <w:p>
      <w:pPr>
        <w:snapToGrid w:val="0"/>
        <w:rPr>
          <w:rFonts w:ascii="宋体" w:hAnsi="宋体"/>
          <w:szCs w:val="21"/>
          <w:u w:val="none"/>
        </w:rPr>
      </w:pPr>
    </w:p>
    <w:p>
      <w:pPr>
        <w:snapToGrid w:val="0"/>
        <w:rPr>
          <w:rFonts w:ascii="宋体" w:hAnsi="宋体"/>
          <w:szCs w:val="21"/>
          <w:u w:val="none"/>
        </w:rPr>
      </w:pPr>
    </w:p>
    <w:p>
      <w:pPr>
        <w:snapToGrid w:val="0"/>
        <w:rPr>
          <w:rFonts w:ascii="宋体" w:hAnsi="宋体"/>
          <w:szCs w:val="21"/>
          <w:u w:val="none"/>
        </w:rPr>
      </w:pPr>
    </w:p>
    <w:p>
      <w:pPr>
        <w:adjustRightInd w:val="0"/>
        <w:snapToGrid w:val="0"/>
        <w:spacing w:line="360" w:lineRule="auto"/>
        <w:ind w:right="420"/>
        <w:rPr>
          <w:rFonts w:hint="eastAsia" w:ascii="宋体" w:hAnsi="宋体" w:eastAsia="宋体" w:cs="宋体"/>
          <w:kern w:val="0"/>
          <w:szCs w:val="21"/>
          <w:u w:val="single"/>
        </w:rPr>
      </w:pPr>
      <w:r>
        <w:rPr>
          <w:rFonts w:hint="eastAsia" w:ascii="宋体" w:hAnsi="宋体"/>
          <w:szCs w:val="21"/>
          <w:u w:val="none"/>
        </w:rPr>
        <w:t>谈判单位名称（盖单位章）：</w:t>
      </w:r>
      <w:r>
        <w:rPr>
          <w:rFonts w:hint="eastAsia" w:ascii="宋体" w:hAnsi="宋体" w:eastAsia="宋体" w:cs="宋体"/>
          <w:kern w:val="0"/>
          <w:szCs w:val="21"/>
          <w:u w:val="single"/>
        </w:rPr>
        <w:t xml:space="preserve">    </w:t>
      </w:r>
      <w:r>
        <w:rPr>
          <w:rFonts w:hint="eastAsia"/>
          <w:u w:val="none"/>
        </w:rPr>
        <w:t>（盖单位章）</w:t>
      </w:r>
      <w:r>
        <w:rPr>
          <w:rFonts w:hint="eastAsia" w:ascii="宋体" w:hAnsi="宋体" w:eastAsia="宋体" w:cs="宋体"/>
          <w:kern w:val="0"/>
          <w:szCs w:val="21"/>
          <w:u w:val="single"/>
        </w:rPr>
        <w:t xml:space="preserve">    </w:t>
      </w:r>
    </w:p>
    <w:p>
      <w:pPr>
        <w:spacing w:line="360" w:lineRule="auto"/>
        <w:rPr>
          <w:rFonts w:ascii="宋体"/>
          <w:u w:val="none"/>
        </w:rPr>
      </w:pPr>
      <w:r>
        <w:rPr>
          <w:rFonts w:hint="eastAsia"/>
          <w:u w:val="none"/>
        </w:rPr>
        <w:t>日期</w:t>
      </w:r>
      <w:r>
        <w:rPr>
          <w:rFonts w:hint="eastAsia" w:ascii="宋体" w:hAnsi="宋体"/>
          <w:szCs w:val="21"/>
          <w:u w:val="none"/>
        </w:rPr>
        <w:t>：</w:t>
      </w:r>
      <w:r>
        <w:rPr>
          <w:rFonts w:hint="eastAsia" w:ascii="宋体" w:hAnsi="宋体" w:eastAsia="宋体" w:cs="宋体"/>
          <w:kern w:val="0"/>
          <w:szCs w:val="21"/>
          <w:u w:val="single"/>
        </w:rPr>
        <w:t xml:space="preserve">   </w:t>
      </w:r>
      <w:r>
        <w:rPr>
          <w:rFonts w:hint="eastAsia" w:ascii="宋体" w:hAnsi="宋体"/>
          <w:szCs w:val="21"/>
          <w:u w:val="none"/>
        </w:rPr>
        <w:t>年</w:t>
      </w:r>
      <w:r>
        <w:rPr>
          <w:rFonts w:hint="eastAsia" w:ascii="宋体" w:hAnsi="宋体" w:eastAsia="宋体" w:cs="宋体"/>
          <w:kern w:val="0"/>
          <w:szCs w:val="21"/>
          <w:u w:val="single"/>
        </w:rPr>
        <w:t xml:space="preserve">   </w:t>
      </w:r>
      <w:r>
        <w:rPr>
          <w:rFonts w:hint="eastAsia" w:ascii="宋体" w:hAnsi="宋体"/>
          <w:szCs w:val="21"/>
          <w:u w:val="none"/>
        </w:rPr>
        <w:t>月</w:t>
      </w:r>
      <w:r>
        <w:rPr>
          <w:rFonts w:hint="eastAsia" w:ascii="宋体" w:hAnsi="宋体" w:eastAsia="宋体" w:cs="宋体"/>
          <w:kern w:val="0"/>
          <w:szCs w:val="21"/>
          <w:u w:val="single"/>
        </w:rPr>
        <w:t xml:space="preserve">   </w:t>
      </w:r>
      <w:r>
        <w:rPr>
          <w:rFonts w:hint="eastAsia" w:ascii="宋体" w:hAnsi="宋体"/>
          <w:szCs w:val="21"/>
          <w:u w:val="none"/>
        </w:rPr>
        <w:t>日</w:t>
      </w:r>
    </w:p>
    <w:p>
      <w:pPr>
        <w:adjustRightInd w:val="0"/>
        <w:snapToGrid w:val="0"/>
        <w:spacing w:line="360" w:lineRule="auto"/>
        <w:ind w:right="24"/>
        <w:jc w:val="center"/>
        <w:outlineLvl w:val="1"/>
        <w:rPr>
          <w:rFonts w:ascii="黑体" w:hAnsi="宋体" w:eastAsia="黑体"/>
          <w:b/>
          <w:sz w:val="32"/>
          <w:szCs w:val="32"/>
          <w:u w:val="none"/>
        </w:rPr>
      </w:pPr>
      <w:r>
        <w:rPr>
          <w:rFonts w:ascii="黑体" w:hAnsi="华文中宋" w:eastAsia="黑体"/>
          <w:bCs/>
          <w:sz w:val="24"/>
          <w:u w:val="none"/>
        </w:rPr>
        <w:br w:type="page"/>
      </w:r>
      <w:bookmarkStart w:id="105" w:name="_Toc14170"/>
      <w:bookmarkStart w:id="106" w:name="_Toc8658"/>
      <w:bookmarkStart w:id="107" w:name="_Toc21066"/>
      <w:bookmarkStart w:id="108" w:name="_Toc27642"/>
      <w:bookmarkStart w:id="109" w:name="_Toc761"/>
      <w:r>
        <w:rPr>
          <w:rFonts w:hint="eastAsia" w:ascii="宋体" w:hAnsi="宋体" w:cs="宋体"/>
          <w:b/>
          <w:sz w:val="32"/>
          <w:szCs w:val="32"/>
          <w:u w:val="none"/>
        </w:rPr>
        <w:t>三、授权委托书</w:t>
      </w:r>
      <w:bookmarkEnd w:id="105"/>
      <w:bookmarkEnd w:id="106"/>
      <w:bookmarkEnd w:id="107"/>
      <w:bookmarkEnd w:id="108"/>
      <w:bookmarkEnd w:id="109"/>
    </w:p>
    <w:p>
      <w:pPr>
        <w:adjustRightInd w:val="0"/>
        <w:snapToGrid w:val="0"/>
        <w:spacing w:line="360" w:lineRule="auto"/>
        <w:jc w:val="center"/>
        <w:rPr>
          <w:rFonts w:ascii="黑体" w:hAnsi="华文中宋" w:eastAsia="黑体"/>
          <w:b/>
          <w:sz w:val="28"/>
          <w:szCs w:val="28"/>
          <w:u w:val="none"/>
        </w:rPr>
      </w:pPr>
    </w:p>
    <w:p>
      <w:pPr>
        <w:autoSpaceDE w:val="0"/>
        <w:autoSpaceDN w:val="0"/>
        <w:adjustRightInd w:val="0"/>
        <w:snapToGrid w:val="0"/>
        <w:spacing w:before="159" w:beforeLines="50" w:line="360" w:lineRule="auto"/>
        <w:ind w:firstLine="420" w:firstLineChars="200"/>
        <w:rPr>
          <w:rFonts w:ascii="宋体" w:hAnsi="宋体" w:cs="宋体"/>
          <w:kern w:val="0"/>
          <w:szCs w:val="21"/>
          <w:u w:val="none"/>
        </w:rPr>
      </w:pPr>
      <w:r>
        <w:rPr>
          <w:rFonts w:hint="eastAsia" w:ascii="宋体" w:hAnsi="宋体" w:cs="宋体"/>
          <w:kern w:val="0"/>
          <w:szCs w:val="21"/>
          <w:u w:val="none"/>
        </w:rPr>
        <w:t>本人</w:t>
      </w:r>
      <w:r>
        <w:rPr>
          <w:rFonts w:hint="eastAsia" w:ascii="宋体" w:hAnsi="宋体" w:eastAsia="宋体" w:cs="宋体"/>
          <w:kern w:val="0"/>
          <w:szCs w:val="21"/>
          <w:u w:val="single"/>
        </w:rPr>
        <w:t>（姓名、职务）</w:t>
      </w:r>
      <w:r>
        <w:rPr>
          <w:rFonts w:hint="eastAsia" w:ascii="宋体" w:hAnsi="宋体" w:cs="宋体"/>
          <w:kern w:val="0"/>
          <w:szCs w:val="21"/>
          <w:u w:val="none"/>
        </w:rPr>
        <w:t>系</w:t>
      </w:r>
      <w:r>
        <w:rPr>
          <w:rFonts w:hint="eastAsia" w:ascii="宋体" w:hAnsi="宋体" w:eastAsia="宋体" w:cs="宋体"/>
          <w:kern w:val="0"/>
          <w:szCs w:val="21"/>
          <w:u w:val="single"/>
        </w:rPr>
        <w:t>（谈判单位名称）</w:t>
      </w:r>
      <w:r>
        <w:rPr>
          <w:rFonts w:hint="eastAsia" w:ascii="宋体" w:hAnsi="宋体" w:cs="宋体"/>
          <w:kern w:val="0"/>
          <w:szCs w:val="21"/>
          <w:u w:val="none"/>
        </w:rPr>
        <w:t>的法定代表人，现授权</w:t>
      </w:r>
      <w:r>
        <w:rPr>
          <w:rFonts w:hint="eastAsia" w:ascii="宋体" w:hAnsi="宋体" w:eastAsia="宋体" w:cs="宋体"/>
          <w:kern w:val="0"/>
          <w:szCs w:val="21"/>
          <w:u w:val="single"/>
        </w:rPr>
        <w:t>（姓名、职务）</w:t>
      </w:r>
      <w:r>
        <w:rPr>
          <w:rFonts w:hint="eastAsia" w:ascii="宋体" w:hAnsi="宋体" w:cs="宋体"/>
          <w:kern w:val="0"/>
          <w:szCs w:val="21"/>
          <w:u w:val="none"/>
        </w:rPr>
        <w:t>为我方代理人。代理人根据授权，以我方名义签署、澄清、补正、修改、撤回、提交</w:t>
      </w:r>
      <w:r>
        <w:rPr>
          <w:rFonts w:hint="eastAsia" w:ascii="宋体" w:hAnsi="宋体" w:eastAsia="宋体" w:cs="宋体"/>
          <w:kern w:val="0"/>
          <w:szCs w:val="21"/>
          <w:u w:val="single"/>
        </w:rPr>
        <w:t>（项目名称、项目编号）</w:t>
      </w:r>
      <w:r>
        <w:rPr>
          <w:rFonts w:hint="eastAsia" w:ascii="宋体" w:hAnsi="宋体" w:cs="宋体"/>
          <w:kern w:val="0"/>
          <w:szCs w:val="21"/>
          <w:u w:val="none"/>
        </w:rPr>
        <w:t>响应文件及与本谈判项目的有关事宜，其法律后果由我方承担。</w:t>
      </w:r>
    </w:p>
    <w:p>
      <w:pPr>
        <w:spacing w:line="360" w:lineRule="auto"/>
        <w:ind w:firstLine="420" w:firstLineChars="200"/>
        <w:rPr>
          <w:rFonts w:ascii="宋体" w:hAnsi="宋体" w:cs="宋体"/>
          <w:kern w:val="0"/>
          <w:szCs w:val="21"/>
          <w:u w:val="none"/>
        </w:rPr>
      </w:pPr>
    </w:p>
    <w:p>
      <w:pPr>
        <w:pStyle w:val="13"/>
        <w:spacing w:line="360" w:lineRule="auto"/>
        <w:ind w:left="0" w:leftChars="0" w:firstLine="420" w:firstLineChars="200"/>
        <w:rPr>
          <w:u w:val="none"/>
        </w:rPr>
      </w:pPr>
      <w:r>
        <w:rPr>
          <w:rFonts w:hint="eastAsia" w:ascii="宋体" w:hAnsi="宋体"/>
          <w:szCs w:val="21"/>
          <w:u w:val="none"/>
        </w:rPr>
        <w:t>本授权书于</w:t>
      </w:r>
      <w:r>
        <w:rPr>
          <w:rFonts w:hint="eastAsia" w:ascii="宋体" w:hAnsi="宋体" w:eastAsia="宋体" w:cs="宋体"/>
          <w:kern w:val="0"/>
          <w:sz w:val="21"/>
          <w:szCs w:val="21"/>
          <w:u w:val="single"/>
          <w:lang w:val="en-US" w:eastAsia="zh-CN" w:bidi="ar-SA"/>
        </w:rPr>
        <w:t xml:space="preserve">    </w:t>
      </w:r>
      <w:r>
        <w:rPr>
          <w:rFonts w:hint="eastAsia" w:ascii="宋体" w:hAnsi="宋体"/>
          <w:szCs w:val="21"/>
          <w:u w:val="none"/>
        </w:rPr>
        <w:t>年</w:t>
      </w:r>
      <w:r>
        <w:rPr>
          <w:rFonts w:hint="eastAsia" w:ascii="宋体" w:hAnsi="宋体" w:eastAsia="宋体" w:cs="宋体"/>
          <w:kern w:val="0"/>
          <w:sz w:val="21"/>
          <w:szCs w:val="21"/>
          <w:u w:val="single"/>
          <w:lang w:val="en-US" w:eastAsia="zh-CN" w:bidi="ar-SA"/>
        </w:rPr>
        <w:t xml:space="preserve">    </w:t>
      </w:r>
      <w:r>
        <w:rPr>
          <w:rFonts w:hint="eastAsia" w:ascii="宋体" w:hAnsi="宋体"/>
          <w:szCs w:val="21"/>
          <w:u w:val="none"/>
        </w:rPr>
        <w:t>月</w:t>
      </w:r>
      <w:r>
        <w:rPr>
          <w:rFonts w:hint="eastAsia" w:ascii="宋体" w:hAnsi="宋体" w:eastAsia="宋体" w:cs="宋体"/>
          <w:kern w:val="0"/>
          <w:sz w:val="21"/>
          <w:szCs w:val="21"/>
          <w:u w:val="single"/>
          <w:lang w:val="en-US" w:eastAsia="zh-CN" w:bidi="ar-SA"/>
        </w:rPr>
        <w:t xml:space="preserve">    </w:t>
      </w:r>
      <w:r>
        <w:rPr>
          <w:rFonts w:hint="eastAsia" w:ascii="宋体" w:hAnsi="宋体"/>
          <w:szCs w:val="21"/>
          <w:u w:val="none"/>
        </w:rPr>
        <w:t>日签字生效，特此声明。</w:t>
      </w:r>
    </w:p>
    <w:p>
      <w:pPr>
        <w:spacing w:line="360" w:lineRule="auto"/>
        <w:ind w:firstLine="420" w:firstLineChars="200"/>
        <w:rPr>
          <w:rFonts w:ascii="宋体" w:hAnsi="宋体" w:cs="宋体"/>
          <w:kern w:val="0"/>
          <w:szCs w:val="21"/>
          <w:u w:val="none"/>
        </w:rPr>
      </w:pPr>
    </w:p>
    <w:p>
      <w:pPr>
        <w:pStyle w:val="46"/>
        <w:spacing w:after="0" w:line="360" w:lineRule="auto"/>
        <w:ind w:left="0" w:leftChars="0" w:firstLineChars="200"/>
        <w:rPr>
          <w:rFonts w:ascii="宋体" w:hAnsi="宋体" w:cs="宋体"/>
          <w:szCs w:val="21"/>
          <w:u w:val="none"/>
        </w:rPr>
      </w:pPr>
      <w:r>
        <w:rPr>
          <w:rFonts w:hint="eastAsia" w:ascii="宋体" w:hAnsi="宋体" w:cs="宋体"/>
          <w:szCs w:val="21"/>
          <w:u w:val="none"/>
        </w:rPr>
        <w:t>委托期限：</w:t>
      </w:r>
      <w:r>
        <w:rPr>
          <w:rFonts w:hint="eastAsia" w:ascii="宋体" w:hAnsi="宋体" w:eastAsia="宋体" w:cs="宋体"/>
          <w:kern w:val="0"/>
          <w:sz w:val="21"/>
          <w:szCs w:val="21"/>
          <w:u w:val="single"/>
          <w:lang w:val="en-US" w:eastAsia="zh-CN" w:bidi="ar-SA"/>
        </w:rPr>
        <w:t xml:space="preserve">    </w:t>
      </w:r>
      <w:r>
        <w:rPr>
          <w:rFonts w:hint="eastAsia" w:ascii="宋体" w:hAnsi="宋体" w:cs="Times New Roman"/>
          <w:kern w:val="2"/>
          <w:szCs w:val="21"/>
          <w:u w:val="none"/>
          <w:lang w:bidi="ar"/>
        </w:rPr>
        <w:t>年</w:t>
      </w:r>
      <w:r>
        <w:rPr>
          <w:rFonts w:hint="eastAsia" w:ascii="宋体" w:hAnsi="宋体" w:eastAsia="宋体" w:cs="宋体"/>
          <w:kern w:val="0"/>
          <w:sz w:val="21"/>
          <w:szCs w:val="21"/>
          <w:u w:val="single"/>
          <w:lang w:val="en-US" w:eastAsia="zh-CN" w:bidi="ar-SA"/>
        </w:rPr>
        <w:t xml:space="preserve">    </w:t>
      </w:r>
      <w:r>
        <w:rPr>
          <w:rFonts w:hint="eastAsia" w:ascii="宋体" w:hAnsi="宋体" w:cs="Times New Roman"/>
          <w:kern w:val="2"/>
          <w:szCs w:val="21"/>
          <w:u w:val="none"/>
          <w:lang w:bidi="ar"/>
        </w:rPr>
        <w:t>月</w:t>
      </w:r>
      <w:r>
        <w:rPr>
          <w:rFonts w:hint="eastAsia" w:ascii="宋体" w:hAnsi="宋体" w:eastAsia="宋体" w:cs="宋体"/>
          <w:kern w:val="0"/>
          <w:sz w:val="21"/>
          <w:szCs w:val="21"/>
          <w:u w:val="single"/>
          <w:lang w:val="en-US" w:eastAsia="zh-CN" w:bidi="ar-SA"/>
        </w:rPr>
        <w:t xml:space="preserve">    </w:t>
      </w:r>
      <w:r>
        <w:rPr>
          <w:rFonts w:hint="eastAsia" w:ascii="宋体" w:hAnsi="宋体" w:cs="Times New Roman"/>
          <w:kern w:val="2"/>
          <w:szCs w:val="21"/>
          <w:u w:val="none"/>
          <w:lang w:bidi="ar"/>
        </w:rPr>
        <w:t>日</w:t>
      </w:r>
      <w:r>
        <w:rPr>
          <w:rFonts w:hint="eastAsia" w:ascii="宋体" w:hAnsi="宋体" w:cs="宋体"/>
          <w:szCs w:val="21"/>
          <w:u w:val="none"/>
        </w:rPr>
        <w:t>至</w:t>
      </w:r>
      <w:r>
        <w:rPr>
          <w:rFonts w:hint="eastAsia" w:ascii="宋体" w:hAnsi="宋体" w:eastAsia="宋体" w:cs="宋体"/>
          <w:kern w:val="0"/>
          <w:sz w:val="21"/>
          <w:szCs w:val="21"/>
          <w:u w:val="single"/>
          <w:lang w:val="en-US" w:eastAsia="zh-CN" w:bidi="ar-SA"/>
        </w:rPr>
        <w:t xml:space="preserve">    </w:t>
      </w:r>
      <w:r>
        <w:rPr>
          <w:rFonts w:hint="eastAsia" w:ascii="宋体" w:hAnsi="宋体" w:cs="Times New Roman"/>
          <w:kern w:val="2"/>
          <w:szCs w:val="21"/>
          <w:u w:val="none"/>
          <w:lang w:bidi="ar"/>
        </w:rPr>
        <w:t>年</w:t>
      </w:r>
      <w:r>
        <w:rPr>
          <w:rFonts w:hint="eastAsia" w:ascii="宋体" w:hAnsi="宋体" w:eastAsia="宋体" w:cs="宋体"/>
          <w:kern w:val="0"/>
          <w:sz w:val="21"/>
          <w:szCs w:val="21"/>
          <w:u w:val="single"/>
          <w:lang w:val="en-US" w:eastAsia="zh-CN" w:bidi="ar-SA"/>
        </w:rPr>
        <w:t xml:space="preserve">    </w:t>
      </w:r>
      <w:r>
        <w:rPr>
          <w:rFonts w:hint="eastAsia" w:ascii="宋体" w:hAnsi="宋体" w:cs="Times New Roman"/>
          <w:kern w:val="2"/>
          <w:szCs w:val="21"/>
          <w:u w:val="none"/>
          <w:lang w:bidi="ar"/>
        </w:rPr>
        <w:t xml:space="preserve">月 </w:t>
      </w:r>
      <w:r>
        <w:rPr>
          <w:rFonts w:hint="eastAsia" w:ascii="宋体" w:hAnsi="宋体" w:eastAsia="宋体" w:cs="宋体"/>
          <w:kern w:val="0"/>
          <w:sz w:val="21"/>
          <w:szCs w:val="21"/>
          <w:u w:val="single"/>
          <w:lang w:val="en-US" w:eastAsia="zh-CN" w:bidi="ar-SA"/>
        </w:rPr>
        <w:t xml:space="preserve">   </w:t>
      </w:r>
      <w:r>
        <w:rPr>
          <w:rFonts w:hint="eastAsia" w:ascii="宋体" w:hAnsi="宋体" w:cs="Times New Roman"/>
          <w:kern w:val="2"/>
          <w:szCs w:val="21"/>
          <w:u w:val="none"/>
          <w:lang w:bidi="ar"/>
        </w:rPr>
        <w:t>日</w:t>
      </w:r>
    </w:p>
    <w:p>
      <w:pPr>
        <w:spacing w:line="360" w:lineRule="auto"/>
        <w:ind w:firstLine="420" w:firstLineChars="200"/>
        <w:rPr>
          <w:rFonts w:ascii="宋体" w:hAnsi="宋体" w:cs="宋体"/>
          <w:kern w:val="0"/>
          <w:szCs w:val="21"/>
          <w:u w:val="none"/>
        </w:rPr>
      </w:pPr>
      <w:r>
        <w:rPr>
          <w:rFonts w:hint="eastAsia" w:ascii="宋体" w:hAnsi="宋体" w:cs="宋体"/>
          <w:kern w:val="0"/>
          <w:szCs w:val="21"/>
          <w:u w:val="none"/>
        </w:rPr>
        <w:t>代理人无转委托权。</w:t>
      </w:r>
    </w:p>
    <w:p>
      <w:pPr>
        <w:spacing w:line="360" w:lineRule="auto"/>
        <w:rPr>
          <w:rFonts w:ascii="宋体" w:hAnsi="宋体"/>
          <w:szCs w:val="21"/>
          <w:u w:val="none"/>
        </w:rPr>
      </w:pPr>
      <w:r>
        <w:rPr>
          <w:rFonts w:ascii="宋体" w:hAnsi="宋体"/>
          <w:szCs w:val="21"/>
          <w:u w:val="none"/>
        </w:rPr>
        <mc:AlternateContent>
          <mc:Choice Requires="wps">
            <w:drawing>
              <wp:anchor distT="0" distB="0" distL="114300" distR="114300" simplePos="0" relativeHeight="251660288"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6192;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p>
    <w:p>
      <w:pPr>
        <w:spacing w:line="360" w:lineRule="auto"/>
        <w:ind w:firstLine="435"/>
        <w:rPr>
          <w:rFonts w:ascii="宋体" w:hAnsi="宋体"/>
          <w:szCs w:val="21"/>
          <w:u w:val="none"/>
        </w:rPr>
      </w:pPr>
      <w:r>
        <w:rPr>
          <w:rFonts w:ascii="宋体" w:hAnsi="宋体"/>
          <w:szCs w:val="21"/>
          <w:u w:val="none"/>
        </w:rPr>
        <mc:AlternateContent>
          <mc:Choice Requires="wps">
            <w:drawing>
              <wp:anchor distT="0" distB="0" distL="114300" distR="114300" simplePos="0" relativeHeight="251663360" behindDoc="0" locked="0" layoutInCell="1" allowOverlap="1">
                <wp:simplePos x="0" y="0"/>
                <wp:positionH relativeFrom="column">
                  <wp:posOffset>3573780</wp:posOffset>
                </wp:positionH>
                <wp:positionV relativeFrom="paragraph">
                  <wp:posOffset>43180</wp:posOffset>
                </wp:positionV>
                <wp:extent cx="1511300" cy="1221105"/>
                <wp:effectExtent l="4445" t="4445" r="8255" b="1270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51130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19pt;z-index:251663360;mso-width-relative:page;mso-height-relative:page;" fillcolor="#FFFFFF" filled="t" stroked="t" coordsize="21600,21600" o:gfxdata="UEsDBAoAAAAAAIdO4kAAAAAAAAAAAAAAAAAEAAAAZHJzL1BLAwQUAAAACACHTuJAKHKqytYAAAAJ&#10;AQAADwAAAGRycy9kb3ducmV2LnhtbE2PQU+EMBCF7yb+h2ZMvLktGMmClD1o1sTjLnvxNtAKKJ0S&#10;WnbRX+940tPM5L28+V65W90oznYOgycNyUaBsNR6M1Cn4VTv77YgQkQyOHqyGr5sgF11fVViYfyF&#10;DvZ8jJ3gEAoFauhjnAopQ9tbh2HjJ0usvfvZYeRz7qSZ8cLhbpSpUpl0OBB/6HGyT71tP4+L09AM&#10;6Qm/D/WLcvn+Pr6u9cfy9qz17U2iHkFEu8Y/M/ziMzpUzNT4hUwQo4aHLGX0qCHjwfpWKV4aNuZ5&#10;ArIq5f8G1Q9QSwMEFAAAAAgAh07iQHyglSxDAgAAlAQAAA4AAABkcnMvZTJvRG9jLnhtbK1UwW7U&#10;MBC9I/EPlu80ybILbbTZqtqqCKlApcIHeB0nsbA9ZuzdbPkZJG79CD4H8RtMnLRsC4ceyCHyZMZv&#10;3ryZyfJ0bw3bKQwaXMWLo5wz5STU2rUV//Tx4sUxZyEKVwsDTlX8RgV+unr+bNn7Us2gA1MrZATi&#10;Qtn7incx+jLLguyUFeEIvHLkbACtiGRim9UoekK3Jpvl+ausB6w9glQh0Nfz0cknRHwKIDSNluoc&#10;5NYqF0dUVEZEKil02ge+SmybRsn4oWmCisxUnCqN6U1J6LwZ3tlqKcoWhe+0nCiIp1B4VJMV2lHS&#10;e6hzEQXbov4LymqJEKCJRxJsNhaSFKEqivyRNted8CrVQlIHfy96+H+w8v3uCpmuK37CmROWGv7r&#10;2+3PH9/ZfNCm96GkkGt/hUN1wV+C/ByYg3UnXKvOEKHvlKiJUTHEZw8uDEagq2zTv4OaoMU2QpJp&#10;36AdAEkAtk/duLnvhtpHJuljsSiKlzk1SpKvmM2KIl+kHKK8u+4xxDcKLBsOFUdqd4IXu8sQBzqi&#10;vAtJ9MHo+kIbkwxsN2uDbCdoNC7SM6GHwzDjWE/iLGYLImI9CRVcm5I8CAuHaHl6/oVmdaTlMdpW&#10;/PgwyLiBkkoDO1G/E29sQtxv9lM/NlDfkKYI4zDTKtOhA/zKWU+DTAS/bAUqzsxbR305KebzYfKT&#10;MV+8npGBh57NoUc4SVAVj5yNx3Uct2XrUbcdZSpS8Q7OqJeNTioPVEdW0wTQsCbxp8UatuHQTlF/&#10;fia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yqsrWAAAACQEAAA8AAAAAAAAAAQAgAAAAIgAA&#10;AGRycy9kb3ducmV2LnhtbFBLAQIUABQAAAAIAIdO4kB8oJUsQwIAAJQEAAAOAAAAAAAAAAEAIAAA&#10;ACUBAABkcnMvZTJvRG9jLnhtbFBLBQYAAAAABgAGAFkBAADa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szCs w:val="21"/>
          <w:u w:val="none"/>
        </w:rPr>
        <mc:AlternateContent>
          <mc:Choice Requires="wps">
            <w:drawing>
              <wp:anchor distT="0" distB="0" distL="114300" distR="114300" simplePos="0" relativeHeight="251661312" behindDoc="1" locked="0" layoutInCell="1" allowOverlap="1">
                <wp:simplePos x="0" y="0"/>
                <wp:positionH relativeFrom="column">
                  <wp:posOffset>1697355</wp:posOffset>
                </wp:positionH>
                <wp:positionV relativeFrom="paragraph">
                  <wp:posOffset>33655</wp:posOffset>
                </wp:positionV>
                <wp:extent cx="1450340" cy="1221105"/>
                <wp:effectExtent l="4445" t="4445" r="12065" b="12700"/>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45034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114.2pt;z-index:-251655168;mso-width-relative:page;mso-height-relative:page;" fillcolor="#FFFFFF" filled="t" stroked="t" coordsize="21600,21600" o:gfxdata="UEsDBAoAAAAAAIdO4kAAAAAAAAAAAAAAAAAEAAAAZHJzL1BLAwQUAAAACACHTuJAxKAxVtgAAAAJ&#10;AQAADwAAAGRycy9kb3ducmV2LnhtbE2PwU6DQBCG7ya+w2ZMvNml1IIgSw+amnhs6cXbwK6AsrOE&#10;XVr06R1PeppM/i//fFPsFjuIs5l870jBehWBMNQ43VOr4FTt7x5A+ICkcXBkFHwZD7vy+qrAXLsL&#10;Hcz5GFrBJeRzVNCFMOZS+qYzFv3KjYY4e3eTxcDr1Eo94YXL7SDjKEqkxZ74QoejeepM83mcrYK6&#10;j0/4faheIpvtN+F1qT7mt2elbm/W0SOIYJbwB8OvPqtDyU61m0l7MSiIk3TDqIItD87vs20KomYw&#10;SxOQZSH/f1D+AFBLAwQUAAAACACHTuJAhyJlPkQCAACUBAAADgAAAGRycy9lMm9Eb2MueG1srVTB&#10;btQwEL0j8Q+W7zTJskvbaLNVtVURUoFKhQ/wOk5iYXvM2LvZ8jNI3PgIPgfxG0yctGwLhx7IIfJk&#10;xm/evJnJ8mxvDdspDBpcxYujnDPlJNTatRX/+OHyxQlnIQpXCwNOVfxWBX62ev5s2ftSzaADUytk&#10;BOJC2fuKdzH6MsuC7JQV4Qi8cuRsAK2IZGKb1Sh6Qrcmm+X5q6wHrD2CVCHQ14vRySdEfAogNI2W&#10;6gLk1ioXR1RURkQqKXTaB75KbJtGyfi+aYKKzFScKo3pTUnovBne2WopyhaF77ScKIinUHhUkxXa&#10;UdJ7qAsRBdui/gvKaokQoIlHEmw2FpIUoSqK/JE2N53wKtVCUgd/L3r4f7Dy3e4ama4rfsyZE5Ya&#10;/uvr958/vrH5oE3vQ0khN/4ah+qCvwL5KTAH6064Vp0jQt8pUROjYojPHlwYjEBX2aZ/CzVBi22E&#10;JNO+QTsAkgBsn7pxe98NtY9M0sdivshfzqlRknzFbFYU+SLlEOXddY8hvlZg2XCoOFK7E7zYXYU4&#10;0BHlXUiiD0bXl9qYZGC7WRtkO0GjcZmeCT0chhnH+oqfLmYLImI9CRVcm5I8CAuHaHl6/oVmdaTl&#10;MdpW/OQwyLiBkkoDO1G/E29sQtxv9lM/NlDfkqYI4zDTKtOhA/zCWU+DTAQ/bwUqzswbR305LeaD&#10;iDEZ88XxjAw89GwOPcJJgqp45Gw8ruO4LVuPuu0oU5GKd3BOvWx0UnmgOrKaJoCGNYk/LdawDYd2&#10;ivrzM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SgMVbYAAAACQEAAA8AAAAAAAAAAQAgAAAA&#10;IgAAAGRycy9kb3ducmV2LnhtbFBLAQIUABQAAAAIAIdO4kCHImU+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u w:val="none"/>
        </w:rPr>
      </w:pPr>
    </w:p>
    <w:p>
      <w:pPr>
        <w:spacing w:line="360" w:lineRule="auto"/>
        <w:ind w:firstLine="435"/>
        <w:rPr>
          <w:rFonts w:ascii="宋体" w:hAnsi="宋体"/>
          <w:szCs w:val="21"/>
          <w:u w:val="none"/>
        </w:rPr>
      </w:pPr>
    </w:p>
    <w:p>
      <w:pPr>
        <w:spacing w:line="360" w:lineRule="auto"/>
        <w:ind w:firstLine="435"/>
        <w:rPr>
          <w:rFonts w:ascii="宋体" w:hAnsi="宋体"/>
          <w:szCs w:val="21"/>
          <w:u w:val="none"/>
        </w:rPr>
      </w:pPr>
    </w:p>
    <w:p>
      <w:pPr>
        <w:spacing w:line="360" w:lineRule="auto"/>
        <w:ind w:firstLine="435"/>
        <w:rPr>
          <w:rFonts w:ascii="宋体" w:hAnsi="宋体"/>
          <w:szCs w:val="21"/>
          <w:u w:val="none"/>
        </w:rPr>
      </w:pPr>
    </w:p>
    <w:p>
      <w:pPr>
        <w:autoSpaceDE w:val="0"/>
        <w:autoSpaceDN w:val="0"/>
        <w:adjustRightInd w:val="0"/>
        <w:snapToGrid w:val="0"/>
        <w:spacing w:line="360" w:lineRule="auto"/>
        <w:jc w:val="left"/>
        <w:rPr>
          <w:rFonts w:ascii="宋体" w:hAnsi="宋体"/>
          <w:szCs w:val="21"/>
          <w:u w:val="none"/>
        </w:rPr>
      </w:pPr>
      <w:r>
        <w:rPr>
          <w:rFonts w:hint="eastAsia" w:ascii="宋体" w:hAnsi="宋体"/>
          <w:b/>
          <w:szCs w:val="21"/>
          <w:u w:val="none"/>
        </w:rPr>
        <w:t xml:space="preserve">备注：上述证件复印件可另附页，另附页时，证件复印件均须加盖单位公章。 </w:t>
      </w:r>
    </w:p>
    <w:p>
      <w:pPr>
        <w:adjustRightInd w:val="0"/>
        <w:snapToGrid w:val="0"/>
        <w:spacing w:line="360" w:lineRule="auto"/>
        <w:ind w:right="420"/>
        <w:rPr>
          <w:rFonts w:ascii="宋体" w:hAnsi="宋体"/>
          <w:szCs w:val="21"/>
          <w:u w:val="none"/>
        </w:rPr>
      </w:pPr>
    </w:p>
    <w:p>
      <w:pPr>
        <w:adjustRightInd w:val="0"/>
        <w:snapToGrid w:val="0"/>
        <w:spacing w:line="360" w:lineRule="auto"/>
        <w:ind w:right="420"/>
        <w:rPr>
          <w:rFonts w:ascii="宋体" w:hAnsi="宋体"/>
          <w:szCs w:val="21"/>
          <w:u w:val="none"/>
        </w:rPr>
      </w:pPr>
    </w:p>
    <w:p>
      <w:pPr>
        <w:pStyle w:val="13"/>
        <w:ind w:left="0" w:leftChars="0"/>
        <w:rPr>
          <w:u w:val="none"/>
        </w:rPr>
      </w:pPr>
    </w:p>
    <w:p>
      <w:pPr>
        <w:adjustRightInd w:val="0"/>
        <w:snapToGrid w:val="0"/>
        <w:spacing w:line="360" w:lineRule="auto"/>
        <w:ind w:right="420"/>
        <w:rPr>
          <w:rFonts w:ascii="宋体" w:hAnsi="宋体"/>
          <w:szCs w:val="21"/>
          <w:u w:val="none"/>
        </w:rPr>
      </w:pPr>
      <w:r>
        <w:rPr>
          <w:rFonts w:hint="eastAsia" w:ascii="宋体" w:hAnsi="宋体"/>
          <w:szCs w:val="21"/>
          <w:u w:val="none"/>
        </w:rPr>
        <w:t>谈判单位名称（盖单位章）：</w:t>
      </w:r>
      <w:r>
        <w:rPr>
          <w:rFonts w:hint="eastAsia" w:ascii="宋体" w:hAnsi="宋体" w:eastAsia="宋体" w:cs="宋体"/>
          <w:kern w:val="0"/>
          <w:szCs w:val="21"/>
          <w:u w:val="single"/>
        </w:rPr>
        <w:t xml:space="preserve">                    </w:t>
      </w:r>
    </w:p>
    <w:p>
      <w:pPr>
        <w:adjustRightInd w:val="0"/>
        <w:snapToGrid w:val="0"/>
        <w:spacing w:line="360" w:lineRule="auto"/>
        <w:ind w:right="420"/>
        <w:rPr>
          <w:rFonts w:ascii="宋体" w:hAnsi="宋体"/>
          <w:szCs w:val="21"/>
          <w:u w:val="none"/>
        </w:rPr>
      </w:pPr>
      <w:r>
        <w:rPr>
          <w:rFonts w:hint="eastAsia" w:ascii="宋体" w:hAnsi="宋体"/>
          <w:szCs w:val="21"/>
          <w:u w:val="none"/>
        </w:rPr>
        <w:t>法定代表人（亲笔签字）：</w:t>
      </w:r>
      <w:r>
        <w:rPr>
          <w:rFonts w:hint="eastAsia" w:ascii="宋体" w:hAnsi="宋体" w:eastAsia="宋体" w:cs="宋体"/>
          <w:kern w:val="0"/>
          <w:szCs w:val="21"/>
          <w:u w:val="single"/>
        </w:rPr>
        <w:t xml:space="preserve">                      </w:t>
      </w:r>
    </w:p>
    <w:p>
      <w:pPr>
        <w:adjustRightInd w:val="0"/>
        <w:snapToGrid w:val="0"/>
        <w:spacing w:line="360" w:lineRule="auto"/>
        <w:ind w:right="420"/>
        <w:rPr>
          <w:rFonts w:ascii="宋体" w:hAnsi="宋体"/>
          <w:szCs w:val="21"/>
          <w:u w:val="none"/>
        </w:rPr>
      </w:pPr>
      <w:r>
        <w:rPr>
          <w:rFonts w:hint="eastAsia" w:ascii="宋体" w:hAnsi="宋体"/>
          <w:szCs w:val="21"/>
          <w:u w:val="none"/>
        </w:rPr>
        <w:t>委托代理人（亲笔签字）：</w:t>
      </w:r>
      <w:r>
        <w:rPr>
          <w:rFonts w:hint="eastAsia" w:ascii="宋体" w:hAnsi="宋体" w:eastAsia="宋体" w:cs="宋体"/>
          <w:kern w:val="0"/>
          <w:szCs w:val="21"/>
          <w:u w:val="single"/>
        </w:rPr>
        <w:t xml:space="preserve">                      </w:t>
      </w:r>
    </w:p>
    <w:p>
      <w:pPr>
        <w:spacing w:line="360" w:lineRule="auto"/>
        <w:rPr>
          <w:rFonts w:ascii="宋体" w:hAnsi="宋体"/>
          <w:szCs w:val="21"/>
          <w:u w:val="none"/>
        </w:rPr>
        <w:sectPr>
          <w:pgSz w:w="11906" w:h="16838"/>
          <w:pgMar w:top="2098" w:right="1474" w:bottom="1984" w:left="1587" w:header="851" w:footer="992" w:gutter="0"/>
          <w:pgNumType w:fmt="decimal"/>
          <w:cols w:space="0" w:num="1"/>
          <w:docGrid w:type="lines" w:linePitch="319" w:charSpace="0"/>
        </w:sectPr>
      </w:pPr>
      <w:r>
        <w:rPr>
          <w:rFonts w:hint="eastAsia"/>
          <w:u w:val="none"/>
        </w:rPr>
        <w:t>日期</w:t>
      </w:r>
      <w:r>
        <w:rPr>
          <w:rFonts w:hint="eastAsia" w:ascii="宋体" w:hAnsi="宋体"/>
          <w:szCs w:val="21"/>
          <w:u w:val="none"/>
        </w:rPr>
        <w:t>：</w:t>
      </w:r>
      <w:r>
        <w:rPr>
          <w:rFonts w:hint="eastAsia" w:ascii="宋体" w:hAnsi="宋体" w:eastAsia="宋体" w:cs="宋体"/>
          <w:kern w:val="0"/>
          <w:szCs w:val="21"/>
          <w:u w:val="single"/>
        </w:rPr>
        <w:t xml:space="preserve">     </w:t>
      </w:r>
      <w:r>
        <w:rPr>
          <w:rFonts w:hint="eastAsia" w:ascii="宋体" w:hAnsi="宋体"/>
          <w:szCs w:val="21"/>
          <w:u w:val="none"/>
        </w:rPr>
        <w:t>年</w:t>
      </w:r>
      <w:r>
        <w:rPr>
          <w:rFonts w:hint="eastAsia" w:ascii="宋体" w:hAnsi="宋体" w:eastAsia="宋体" w:cs="宋体"/>
          <w:kern w:val="0"/>
          <w:szCs w:val="21"/>
          <w:u w:val="single"/>
        </w:rPr>
        <w:t xml:space="preserve">    </w:t>
      </w:r>
      <w:r>
        <w:rPr>
          <w:rFonts w:hint="eastAsia" w:ascii="宋体" w:hAnsi="宋体"/>
          <w:szCs w:val="21"/>
          <w:u w:val="none"/>
        </w:rPr>
        <w:t>月</w:t>
      </w:r>
      <w:r>
        <w:rPr>
          <w:rFonts w:hint="eastAsia" w:ascii="宋体" w:hAnsi="宋体" w:eastAsia="宋体" w:cs="宋体"/>
          <w:kern w:val="0"/>
          <w:szCs w:val="21"/>
          <w:u w:val="single"/>
        </w:rPr>
        <w:t xml:space="preserve">    </w:t>
      </w:r>
      <w:r>
        <w:rPr>
          <w:rFonts w:hint="eastAsia" w:ascii="宋体" w:hAnsi="宋体"/>
          <w:szCs w:val="21"/>
          <w:u w:val="none"/>
        </w:rPr>
        <w:t>日</w:t>
      </w:r>
    </w:p>
    <w:p>
      <w:pPr>
        <w:adjustRightInd w:val="0"/>
        <w:snapToGrid w:val="0"/>
        <w:spacing w:line="360" w:lineRule="auto"/>
        <w:ind w:right="24"/>
        <w:jc w:val="center"/>
        <w:outlineLvl w:val="1"/>
        <w:rPr>
          <w:rFonts w:ascii="宋体" w:hAnsi="宋体" w:cs="宋体"/>
          <w:b/>
          <w:sz w:val="32"/>
          <w:szCs w:val="32"/>
          <w:u w:val="none"/>
        </w:rPr>
      </w:pPr>
      <w:bookmarkStart w:id="110" w:name="_Toc2295"/>
      <w:bookmarkStart w:id="111" w:name="_Toc18944"/>
      <w:bookmarkStart w:id="112" w:name="_Toc11357"/>
      <w:bookmarkStart w:id="113" w:name="_Toc8191"/>
      <w:bookmarkStart w:id="114" w:name="_Toc7972"/>
      <w:r>
        <w:rPr>
          <w:rFonts w:hint="eastAsia" w:ascii="宋体" w:hAnsi="宋体" w:cs="宋体"/>
          <w:b/>
          <w:sz w:val="32"/>
          <w:szCs w:val="32"/>
          <w:u w:val="none"/>
        </w:rPr>
        <w:t>四、谈判单位资格证明文件</w:t>
      </w:r>
      <w:bookmarkEnd w:id="110"/>
      <w:bookmarkEnd w:id="111"/>
      <w:bookmarkEnd w:id="112"/>
      <w:bookmarkEnd w:id="113"/>
      <w:bookmarkEnd w:id="114"/>
    </w:p>
    <w:p>
      <w:pPr>
        <w:adjustRightInd w:val="0"/>
        <w:snapToGrid w:val="0"/>
        <w:spacing w:line="360" w:lineRule="auto"/>
        <w:rPr>
          <w:rFonts w:ascii="仿宋" w:hAnsi="仿宋" w:eastAsia="仿宋"/>
          <w:bCs/>
          <w:szCs w:val="21"/>
          <w:u w:val="none"/>
        </w:rPr>
      </w:pPr>
    </w:p>
    <w:p>
      <w:pPr>
        <w:adjustRightInd w:val="0"/>
        <w:snapToGrid w:val="0"/>
        <w:spacing w:line="360" w:lineRule="auto"/>
        <w:ind w:firstLine="420" w:firstLineChars="200"/>
        <w:rPr>
          <w:rFonts w:ascii="宋体" w:hAnsi="宋体"/>
          <w:bCs/>
          <w:szCs w:val="21"/>
          <w:highlight w:val="cyan"/>
          <w:u w:val="none"/>
        </w:rPr>
      </w:pPr>
      <w:r>
        <w:rPr>
          <w:rFonts w:hint="eastAsia" w:ascii="宋体" w:hAnsi="宋体"/>
          <w:bCs/>
          <w:szCs w:val="21"/>
          <w:u w:val="none"/>
        </w:rPr>
        <w:t>根据本谈判文件</w:t>
      </w:r>
      <w:r>
        <w:rPr>
          <w:rFonts w:hint="eastAsia" w:ascii="宋体" w:hAnsi="宋体"/>
          <w:b/>
          <w:bCs/>
          <w:szCs w:val="21"/>
          <w:u w:val="none"/>
        </w:rPr>
        <w:t>前附表</w:t>
      </w:r>
      <w:r>
        <w:rPr>
          <w:rFonts w:hint="eastAsia" w:ascii="宋体" w:hAnsi="宋体"/>
          <w:bCs/>
          <w:szCs w:val="21"/>
          <w:u w:val="none"/>
        </w:rPr>
        <w:t>内的资格要求，本章节须附下列证明文件</w:t>
      </w:r>
      <w:r>
        <w:rPr>
          <w:rFonts w:hint="eastAsia" w:ascii="宋体" w:hAnsi="宋体"/>
          <w:b/>
          <w:bCs w:val="0"/>
          <w:szCs w:val="21"/>
          <w:u w:val="none"/>
          <w:lang w:eastAsia="zh-CN"/>
        </w:rPr>
        <w:t>原件</w:t>
      </w:r>
      <w:r>
        <w:rPr>
          <w:rFonts w:hint="eastAsia" w:ascii="宋体" w:hAnsi="宋体"/>
          <w:b/>
          <w:szCs w:val="21"/>
          <w:u w:val="none"/>
        </w:rPr>
        <w:t>扫描件</w:t>
      </w:r>
      <w:r>
        <w:rPr>
          <w:rFonts w:hint="eastAsia" w:ascii="宋体" w:hAnsi="宋体"/>
          <w:b/>
          <w:szCs w:val="21"/>
          <w:u w:val="none"/>
          <w:lang w:eastAsia="zh-CN"/>
        </w:rPr>
        <w:t>打印版</w:t>
      </w:r>
      <w:r>
        <w:rPr>
          <w:rFonts w:hint="eastAsia" w:ascii="宋体" w:hAnsi="宋体"/>
          <w:bCs/>
          <w:szCs w:val="21"/>
          <w:u w:val="none"/>
        </w:rPr>
        <w:t>：</w:t>
      </w:r>
    </w:p>
    <w:p>
      <w:pPr>
        <w:numPr>
          <w:ilvl w:val="0"/>
          <w:numId w:val="16"/>
        </w:num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谈判单位须为具有独立法人资格、自主经营、独立核算的公司/单位</w:t>
      </w:r>
      <w:r>
        <w:rPr>
          <w:rStyle w:val="56"/>
          <w:rFonts w:hint="eastAsia"/>
          <w:color w:val="auto"/>
          <w:kern w:val="0"/>
          <w:u w:val="none"/>
          <w:shd w:val="clear" w:color="auto" w:fill="FFFFFF"/>
          <w:lang w:eastAsia="zh-CN"/>
        </w:rPr>
        <w:t>，</w:t>
      </w:r>
      <w:r>
        <w:rPr>
          <w:rFonts w:hint="eastAsia" w:ascii="宋体" w:hAnsi="宋体"/>
          <w:u w:val="none"/>
        </w:rPr>
        <w:t>在国内合法销售和提供本项目要求产品及服务，经营活动中无不良记录（提供电力交易平台、“信用中国”网站等政府指定网站网页打印，并加盖单位公章）的售电公司</w:t>
      </w:r>
      <w:r>
        <w:rPr>
          <w:rStyle w:val="56"/>
          <w:rFonts w:hint="eastAsia"/>
          <w:color w:val="auto"/>
          <w:kern w:val="0"/>
          <w:u w:val="none"/>
          <w:shd w:val="clear" w:color="auto" w:fill="FFFFFF"/>
        </w:rPr>
        <w:t>。</w:t>
      </w:r>
    </w:p>
    <w:p>
      <w:pPr>
        <w:numPr>
          <w:ilvl w:val="0"/>
          <w:numId w:val="16"/>
        </w:numPr>
        <w:spacing w:line="360" w:lineRule="auto"/>
        <w:ind w:firstLine="420" w:firstLineChars="200"/>
        <w:rPr>
          <w:rStyle w:val="56"/>
          <w:color w:val="auto"/>
          <w:kern w:val="0"/>
          <w:u w:val="none"/>
          <w:shd w:val="clear" w:color="auto" w:fill="FFFFFF"/>
        </w:rPr>
      </w:pPr>
      <w:r>
        <w:rPr>
          <w:rStyle w:val="56"/>
          <w:rFonts w:hint="eastAsia" w:ascii="Times New Roman" w:hAnsi="Times New Roman" w:eastAsia="宋体" w:cs="Times New Roman"/>
          <w:color w:val="auto"/>
          <w:kern w:val="0"/>
          <w:u w:val="none"/>
          <w:shd w:val="clear" w:color="auto" w:fill="FFFFFF"/>
        </w:rPr>
        <w:t>谈判单位须是列入湖南省发改委公布的湖南省售电公司目录且已在交易中心完成市场注册的售电公司</w:t>
      </w:r>
      <w:r>
        <w:rPr>
          <w:rStyle w:val="56"/>
          <w:rFonts w:hint="eastAsia" w:ascii="Times New Roman" w:hAnsi="Times New Roman" w:eastAsia="宋体" w:cs="Times New Roman"/>
          <w:color w:val="auto"/>
          <w:kern w:val="0"/>
          <w:u w:val="none"/>
          <w:shd w:val="clear" w:color="auto" w:fill="FFFFFF"/>
          <w:lang w:eastAsia="zh-CN"/>
        </w:rPr>
        <w:t>。</w:t>
      </w:r>
    </w:p>
    <w:p>
      <w:pPr>
        <w:numPr>
          <w:ilvl w:val="0"/>
          <w:numId w:val="16"/>
        </w:numPr>
        <w:spacing w:line="360" w:lineRule="auto"/>
        <w:ind w:firstLine="420" w:firstLineChars="200"/>
        <w:rPr>
          <w:rStyle w:val="56"/>
          <w:rFonts w:hint="eastAsia" w:ascii="Times New Roman" w:hAnsi="Times New Roman" w:eastAsia="宋体" w:cs="Times New Roman"/>
          <w:color w:val="auto"/>
          <w:kern w:val="0"/>
          <w:u w:val="none"/>
          <w:shd w:val="clear" w:color="auto" w:fill="FFFFFF"/>
        </w:rPr>
      </w:pPr>
      <w:r>
        <w:rPr>
          <w:rStyle w:val="56"/>
          <w:rFonts w:hint="eastAsia" w:ascii="Times New Roman" w:hAnsi="Times New Roman" w:eastAsia="宋体" w:cs="Times New Roman"/>
          <w:color w:val="auto"/>
          <w:kern w:val="0"/>
          <w:u w:val="none"/>
          <w:shd w:val="clear" w:color="auto" w:fill="FFFFFF"/>
        </w:rPr>
        <w:t>谈判单位须具有在本项目谈判截止之日前12个月内累计不少于2.5亿千瓦时湖南省电力市场交易成交电量。不接受联合体业绩、港澳台或境外业绩。</w:t>
      </w:r>
    </w:p>
    <w:p>
      <w:pPr>
        <w:spacing w:line="360" w:lineRule="auto"/>
        <w:ind w:firstLine="420" w:firstLineChars="200"/>
        <w:rPr>
          <w:rStyle w:val="56"/>
          <w:color w:val="auto"/>
          <w:u w:val="none"/>
          <w:shd w:val="clear" w:color="auto" w:fill="FFFFFF"/>
        </w:rPr>
      </w:pPr>
      <w:r>
        <w:rPr>
          <w:rFonts w:hint="eastAsia"/>
          <w:u w:val="none"/>
        </w:rPr>
        <w:t>业绩证明材料以同时提供的谈判单位与电力交易中心平台交易截图或结算清单（均须加盖谈判单位公章）为准</w:t>
      </w:r>
      <w:r>
        <w:rPr>
          <w:rStyle w:val="56"/>
          <w:rFonts w:hint="eastAsia"/>
          <w:color w:val="auto"/>
          <w:u w:val="none"/>
          <w:shd w:val="clear" w:color="auto" w:fill="FFFFFF"/>
        </w:rPr>
        <w:t>。</w:t>
      </w:r>
    </w:p>
    <w:p>
      <w:pPr>
        <w:numPr>
          <w:ilvl w:val="0"/>
          <w:numId w:val="16"/>
        </w:numPr>
        <w:spacing w:line="360" w:lineRule="auto"/>
        <w:ind w:firstLine="420" w:firstLineChars="200"/>
        <w:rPr>
          <w:rStyle w:val="56"/>
          <w:color w:val="auto"/>
          <w:kern w:val="0"/>
          <w:u w:val="none"/>
          <w:shd w:val="clear" w:color="auto" w:fill="FFFFFF"/>
        </w:rPr>
      </w:pPr>
      <w:r>
        <w:rPr>
          <w:rStyle w:val="56"/>
          <w:color w:val="auto"/>
          <w:u w:val="none"/>
          <w:shd w:val="clear" w:color="auto" w:fill="FFFFFF"/>
        </w:rPr>
        <w:t>本</w:t>
      </w:r>
      <w:r>
        <w:rPr>
          <w:rStyle w:val="56"/>
          <w:rFonts w:hint="eastAsia"/>
          <w:color w:val="auto"/>
          <w:u w:val="none"/>
          <w:shd w:val="clear" w:color="auto" w:fill="FFFFFF"/>
        </w:rPr>
        <w:t>次采购</w:t>
      </w:r>
      <w:r>
        <w:rPr>
          <w:rStyle w:val="56"/>
          <w:color w:val="auto"/>
          <w:u w:val="none"/>
          <w:shd w:val="clear" w:color="auto" w:fill="FFFFFF"/>
        </w:rPr>
        <w:t>不接受联合体</w:t>
      </w:r>
      <w:r>
        <w:rPr>
          <w:rStyle w:val="56"/>
          <w:rFonts w:hint="eastAsia"/>
          <w:color w:val="auto"/>
          <w:kern w:val="0"/>
          <w:u w:val="none"/>
          <w:shd w:val="clear" w:color="auto" w:fill="FFFFFF"/>
        </w:rPr>
        <w:t>。</w:t>
      </w:r>
    </w:p>
    <w:p>
      <w:pPr>
        <w:numPr>
          <w:ilvl w:val="0"/>
          <w:numId w:val="16"/>
        </w:numPr>
        <w:spacing w:line="360" w:lineRule="auto"/>
        <w:ind w:firstLine="420" w:firstLineChars="200"/>
        <w:rPr>
          <w:rStyle w:val="56"/>
          <w:color w:val="auto"/>
          <w:kern w:val="0"/>
          <w:u w:val="none"/>
          <w:shd w:val="clear" w:color="auto" w:fill="FFFFFF"/>
        </w:rPr>
      </w:pPr>
      <w:r>
        <w:rPr>
          <w:rStyle w:val="56"/>
          <w:color w:val="auto"/>
          <w:u w:val="none"/>
          <w:shd w:val="clear" w:color="auto" w:fill="FFFFFF"/>
        </w:rPr>
        <w:t>被长沙市轨道交通集团</w:t>
      </w:r>
      <w:r>
        <w:rPr>
          <w:rStyle w:val="56"/>
          <w:rFonts w:hint="eastAsia"/>
          <w:color w:val="auto"/>
          <w:u w:val="none"/>
          <w:shd w:val="clear" w:color="auto" w:fill="FFFFFF"/>
        </w:rPr>
        <w:t>有限公司或长沙市轨道交通运营有限公司函告禁止在一定期限内参与投标的单位按函告内容执行</w:t>
      </w:r>
      <w:r>
        <w:rPr>
          <w:rStyle w:val="56"/>
          <w:rFonts w:hint="eastAsia"/>
          <w:color w:val="auto"/>
          <w:kern w:val="0"/>
          <w:u w:val="none"/>
          <w:shd w:val="clear" w:color="auto" w:fill="FFFFFF"/>
        </w:rPr>
        <w:t>。</w:t>
      </w:r>
    </w:p>
    <w:p>
      <w:pPr>
        <w:pStyle w:val="13"/>
        <w:rPr>
          <w:u w:val="none"/>
        </w:rPr>
      </w:pPr>
    </w:p>
    <w:p>
      <w:pPr>
        <w:adjustRightInd w:val="0"/>
        <w:snapToGrid w:val="0"/>
        <w:spacing w:line="360" w:lineRule="auto"/>
        <w:ind w:firstLine="420" w:firstLineChars="200"/>
        <w:rPr>
          <w:rFonts w:ascii="宋体" w:hAnsi="宋体" w:cs="宋体"/>
          <w:kern w:val="0"/>
          <w:szCs w:val="21"/>
          <w:u w:val="none"/>
        </w:rPr>
      </w:pPr>
      <w:r>
        <w:rPr>
          <w:rFonts w:hint="eastAsia" w:ascii="宋体" w:hAnsi="宋体" w:cs="宋体"/>
          <w:kern w:val="0"/>
          <w:szCs w:val="21"/>
          <w:u w:val="none"/>
        </w:rPr>
        <w:t>谈判单位认为与本项目资格条件有关的其它证明文件（如有，格式自拟）。</w:t>
      </w:r>
    </w:p>
    <w:p>
      <w:pPr>
        <w:pStyle w:val="13"/>
        <w:rPr>
          <w:u w:val="none"/>
        </w:rPr>
      </w:pPr>
    </w:p>
    <w:p>
      <w:pPr>
        <w:adjustRightInd w:val="0"/>
        <w:snapToGrid w:val="0"/>
        <w:spacing w:line="360" w:lineRule="auto"/>
        <w:ind w:firstLine="422" w:firstLineChars="200"/>
        <w:rPr>
          <w:rFonts w:ascii="宋体" w:hAnsi="宋体"/>
          <w:b/>
          <w:bCs/>
          <w:szCs w:val="21"/>
          <w:u w:val="none"/>
        </w:rPr>
      </w:pPr>
      <w:r>
        <w:rPr>
          <w:rFonts w:hint="eastAsia" w:ascii="宋体" w:hAnsi="宋体"/>
          <w:b/>
          <w:bCs/>
          <w:szCs w:val="21"/>
          <w:u w:val="none"/>
        </w:rPr>
        <w:t>备注：</w:t>
      </w:r>
    </w:p>
    <w:p>
      <w:pPr>
        <w:adjustRightInd w:val="0"/>
        <w:snapToGrid w:val="0"/>
        <w:spacing w:line="360" w:lineRule="auto"/>
        <w:ind w:firstLine="422" w:firstLineChars="200"/>
        <w:rPr>
          <w:rFonts w:ascii="宋体" w:hAnsi="宋体"/>
          <w:b/>
          <w:bCs/>
          <w:szCs w:val="21"/>
          <w:u w:val="none"/>
        </w:rPr>
      </w:pPr>
      <w:r>
        <w:rPr>
          <w:rFonts w:hint="eastAsia" w:ascii="宋体" w:hAnsi="宋体"/>
          <w:b/>
          <w:bCs/>
          <w:szCs w:val="21"/>
          <w:u w:val="none"/>
        </w:rPr>
        <w:t>1.上述证明文件</w:t>
      </w:r>
      <w:r>
        <w:rPr>
          <w:rFonts w:hint="eastAsia" w:ascii="宋体" w:hAnsi="宋体"/>
          <w:b/>
          <w:bCs/>
          <w:szCs w:val="21"/>
          <w:u w:val="none"/>
          <w:lang w:eastAsia="zh-CN"/>
        </w:rPr>
        <w:t>扫描</w:t>
      </w:r>
      <w:r>
        <w:rPr>
          <w:rFonts w:hint="eastAsia" w:ascii="宋体" w:hAnsi="宋体"/>
          <w:b/>
          <w:bCs/>
          <w:szCs w:val="21"/>
          <w:u w:val="none"/>
        </w:rPr>
        <w:t>件</w:t>
      </w:r>
      <w:r>
        <w:rPr>
          <w:rFonts w:hint="eastAsia" w:ascii="宋体" w:hAnsi="宋体"/>
          <w:b/>
          <w:szCs w:val="21"/>
          <w:u w:val="none"/>
          <w:lang w:eastAsia="zh-CN"/>
        </w:rPr>
        <w:t>打印版</w:t>
      </w:r>
      <w:r>
        <w:rPr>
          <w:rFonts w:hint="eastAsia" w:ascii="宋体" w:hAnsi="宋体"/>
          <w:b/>
          <w:bCs/>
          <w:szCs w:val="21"/>
          <w:u w:val="none"/>
        </w:rPr>
        <w:t>均须加盖谈判单位公章。</w:t>
      </w:r>
    </w:p>
    <w:p>
      <w:pPr>
        <w:adjustRightInd w:val="0"/>
        <w:snapToGrid w:val="0"/>
        <w:spacing w:line="360" w:lineRule="auto"/>
        <w:ind w:firstLine="422" w:firstLineChars="200"/>
        <w:rPr>
          <w:rFonts w:hint="eastAsia" w:ascii="宋体" w:hAnsi="宋体"/>
          <w:b/>
          <w:bCs/>
          <w:szCs w:val="21"/>
          <w:u w:val="none"/>
        </w:rPr>
      </w:pPr>
      <w:r>
        <w:rPr>
          <w:rFonts w:hint="eastAsia" w:ascii="宋体" w:hAnsi="宋体"/>
          <w:b/>
          <w:bCs/>
          <w:szCs w:val="21"/>
          <w:u w:val="none"/>
        </w:rPr>
        <w:t>2.上述证明文件如须递交原件的，应用文件袋单独包装，在响应文件递交的同时一并提交。</w:t>
      </w:r>
    </w:p>
    <w:p>
      <w:pPr>
        <w:pStyle w:val="46"/>
        <w:rPr>
          <w:u w:val="none"/>
        </w:rPr>
      </w:pPr>
    </w:p>
    <w:p>
      <w:pPr>
        <w:pStyle w:val="13"/>
        <w:rPr>
          <w:u w:val="none"/>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eastAsia="宋体" w:cs="宋体"/>
          <w:b/>
          <w:sz w:val="32"/>
          <w:szCs w:val="32"/>
          <w:u w:val="none"/>
          <w:lang w:eastAsia="zh-CN"/>
        </w:rPr>
      </w:pPr>
      <w:bookmarkStart w:id="115" w:name="_Toc29112"/>
      <w:r>
        <w:rPr>
          <w:rFonts w:hint="eastAsia" w:ascii="宋体" w:hAnsi="宋体" w:eastAsia="宋体" w:cs="宋体"/>
          <w:b/>
          <w:sz w:val="32"/>
          <w:szCs w:val="32"/>
          <w:u w:val="none"/>
          <w:lang w:eastAsia="zh-CN"/>
        </w:rPr>
        <w:t>五、计分</w:t>
      </w:r>
      <w:r>
        <w:rPr>
          <w:rFonts w:hint="eastAsia" w:ascii="宋体" w:hAnsi="宋体" w:eastAsia="宋体" w:cs="宋体"/>
          <w:b/>
          <w:sz w:val="32"/>
          <w:szCs w:val="32"/>
          <w:u w:val="none"/>
        </w:rPr>
        <w:t>业绩</w:t>
      </w:r>
      <w:r>
        <w:rPr>
          <w:rFonts w:hint="eastAsia" w:ascii="宋体" w:hAnsi="宋体" w:eastAsia="宋体" w:cs="宋体"/>
          <w:b/>
          <w:sz w:val="32"/>
          <w:szCs w:val="32"/>
          <w:u w:val="none"/>
          <w:lang w:eastAsia="zh-CN"/>
        </w:rPr>
        <w:t>证明文件</w:t>
      </w:r>
      <w:bookmarkEnd w:id="115"/>
    </w:p>
    <w:p>
      <w:pPr>
        <w:pStyle w:val="46"/>
        <w:spacing w:after="0" w:line="360" w:lineRule="auto"/>
        <w:ind w:left="0" w:leftChars="0" w:firstLine="0"/>
        <w:jc w:val="both"/>
        <w:rPr>
          <w:rStyle w:val="56"/>
          <w:rFonts w:ascii="Times New Roman" w:hAnsi="Times New Roman" w:cs="Times New Roman"/>
          <w:color w:val="auto"/>
          <w:u w:val="none"/>
          <w:shd w:val="clear" w:color="auto" w:fill="FFFFFF"/>
        </w:rPr>
      </w:pPr>
    </w:p>
    <w:tbl>
      <w:tblPr>
        <w:tblStyle w:val="47"/>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3517"/>
        <w:gridCol w:w="3793"/>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4"/>
            <w:tcBorders>
              <w:top w:val="single" w:color="auto" w:sz="8" w:space="0"/>
              <w:left w:val="single" w:color="auto" w:sz="8" w:space="0"/>
              <w:right w:val="single" w:color="auto" w:sz="8" w:space="0"/>
            </w:tcBorders>
            <w:vAlign w:val="center"/>
          </w:tcPr>
          <w:p>
            <w:pPr>
              <w:spacing w:line="360" w:lineRule="auto"/>
              <w:jc w:val="center"/>
              <w:rPr>
                <w:rFonts w:hAnsi="宋体" w:cs="宋体"/>
                <w:szCs w:val="21"/>
                <w:u w:val="none"/>
              </w:rPr>
            </w:pPr>
            <w:r>
              <w:rPr>
                <w:rFonts w:hint="eastAsia" w:ascii="黑体" w:hAnsi="黑体" w:eastAsia="黑体" w:cs="黑体"/>
                <w:bCs/>
                <w:sz w:val="28"/>
                <w:szCs w:val="28"/>
                <w:u w:val="none"/>
              </w:rPr>
              <w:t>谈判单位</w:t>
            </w:r>
            <w:r>
              <w:rPr>
                <w:rFonts w:hint="eastAsia" w:ascii="黑体" w:hAnsi="黑体" w:eastAsia="黑体" w:cs="黑体"/>
                <w:bCs/>
                <w:sz w:val="28"/>
                <w:szCs w:val="28"/>
                <w:u w:val="none"/>
                <w:lang w:eastAsia="zh-CN"/>
              </w:rPr>
              <w:t>计分</w:t>
            </w:r>
            <w:r>
              <w:rPr>
                <w:rFonts w:hint="eastAsia" w:ascii="黑体" w:hAnsi="黑体" w:eastAsia="黑体" w:cs="黑体"/>
                <w:bCs/>
                <w:sz w:val="28"/>
                <w:szCs w:val="28"/>
                <w:u w:val="none"/>
              </w:rPr>
              <w:t>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int="eastAsia" w:hAnsi="宋体" w:eastAsia="宋体" w:cs="宋体"/>
                <w:b/>
                <w:bCs/>
                <w:szCs w:val="21"/>
                <w:u w:val="none"/>
                <w:lang w:eastAsia="zh-CN"/>
              </w:rPr>
            </w:pPr>
            <w:r>
              <w:rPr>
                <w:rFonts w:hint="eastAsia" w:hAnsi="宋体" w:cs="宋体"/>
                <w:b/>
                <w:bCs/>
                <w:szCs w:val="21"/>
                <w:u w:val="none"/>
                <w:lang w:eastAsia="zh-CN"/>
              </w:rPr>
              <w:t>序号</w:t>
            </w:r>
          </w:p>
        </w:tc>
        <w:tc>
          <w:tcPr>
            <w:tcW w:w="3517" w:type="dxa"/>
            <w:tcBorders>
              <w:left w:val="single" w:color="auto" w:sz="8" w:space="0"/>
              <w:right w:val="single" w:color="auto" w:sz="8" w:space="0"/>
            </w:tcBorders>
            <w:vAlign w:val="center"/>
          </w:tcPr>
          <w:p>
            <w:pPr>
              <w:jc w:val="center"/>
              <w:rPr>
                <w:rFonts w:hAnsi="宋体" w:cs="宋体"/>
                <w:b/>
                <w:bCs/>
                <w:szCs w:val="21"/>
                <w:u w:val="none"/>
              </w:rPr>
            </w:pPr>
            <w:r>
              <w:rPr>
                <w:rFonts w:hint="eastAsia" w:hAnsi="宋体" w:cs="宋体"/>
                <w:b/>
                <w:bCs/>
                <w:szCs w:val="21"/>
                <w:u w:val="none"/>
                <w:lang w:eastAsia="zh-CN"/>
              </w:rPr>
              <w:t>交易时间</w:t>
            </w:r>
          </w:p>
        </w:tc>
        <w:tc>
          <w:tcPr>
            <w:tcW w:w="3793" w:type="dxa"/>
            <w:tcBorders>
              <w:left w:val="single" w:color="auto" w:sz="8" w:space="0"/>
              <w:right w:val="single" w:color="auto" w:sz="8" w:space="0"/>
            </w:tcBorders>
            <w:vAlign w:val="center"/>
          </w:tcPr>
          <w:p>
            <w:pPr>
              <w:jc w:val="center"/>
              <w:rPr>
                <w:rFonts w:hint="eastAsia" w:hAnsi="宋体" w:cs="宋体"/>
                <w:b/>
                <w:bCs/>
                <w:szCs w:val="21"/>
                <w:u w:val="none"/>
              </w:rPr>
            </w:pPr>
            <w:r>
              <w:rPr>
                <w:rFonts w:hint="eastAsia" w:hAnsi="宋体" w:cs="宋体"/>
                <w:b/>
                <w:bCs/>
                <w:szCs w:val="21"/>
                <w:u w:val="none"/>
              </w:rPr>
              <w:t>湖南省电力市场交易成交电量</w:t>
            </w:r>
          </w:p>
          <w:p>
            <w:pPr>
              <w:jc w:val="center"/>
              <w:rPr>
                <w:rFonts w:hint="eastAsia" w:hAnsi="宋体" w:eastAsia="宋体" w:cs="宋体"/>
                <w:b/>
                <w:bCs/>
                <w:szCs w:val="21"/>
                <w:u w:val="none"/>
                <w:lang w:eastAsia="zh-CN"/>
              </w:rPr>
            </w:pPr>
            <w:r>
              <w:rPr>
                <w:rFonts w:hint="eastAsia" w:hAnsi="宋体" w:cs="宋体"/>
                <w:b/>
                <w:bCs/>
                <w:szCs w:val="21"/>
                <w:u w:val="none"/>
                <w:lang w:eastAsia="zh-CN"/>
              </w:rPr>
              <w:t>（单位：兆瓦时）</w:t>
            </w:r>
          </w:p>
        </w:tc>
        <w:tc>
          <w:tcPr>
            <w:tcW w:w="870" w:type="dxa"/>
            <w:tcBorders>
              <w:left w:val="single" w:color="auto" w:sz="8" w:space="0"/>
              <w:right w:val="single" w:color="auto" w:sz="8" w:space="0"/>
            </w:tcBorders>
            <w:vAlign w:val="center"/>
          </w:tcPr>
          <w:p>
            <w:pPr>
              <w:jc w:val="center"/>
              <w:rPr>
                <w:rFonts w:hAnsi="宋体" w:cs="宋体"/>
                <w:b/>
                <w:bCs/>
                <w:szCs w:val="21"/>
                <w:u w:val="none"/>
              </w:rPr>
            </w:pPr>
            <w:r>
              <w:rPr>
                <w:rFonts w:hint="eastAsia" w:hAnsi="宋体" w:cs="宋体"/>
                <w:b/>
                <w:bCs/>
                <w:szCs w:val="21"/>
                <w:u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int="eastAsia" w:hAnsi="宋体" w:cs="宋体"/>
                <w:b/>
                <w:bCs/>
                <w:szCs w:val="21"/>
                <w:u w:val="none"/>
                <w:lang w:eastAsia="zh-CN"/>
              </w:rPr>
            </w:pPr>
          </w:p>
        </w:tc>
        <w:tc>
          <w:tcPr>
            <w:tcW w:w="3517" w:type="dxa"/>
            <w:tcBorders>
              <w:left w:val="single" w:color="auto" w:sz="8" w:space="0"/>
              <w:right w:val="single" w:color="auto" w:sz="8" w:space="0"/>
            </w:tcBorders>
            <w:vAlign w:val="center"/>
          </w:tcPr>
          <w:p>
            <w:pPr>
              <w:jc w:val="center"/>
              <w:rPr>
                <w:rFonts w:hint="eastAsia" w:hAnsi="宋体" w:cs="宋体"/>
                <w:b/>
                <w:bCs/>
                <w:szCs w:val="21"/>
                <w:u w:val="none"/>
                <w:lang w:eastAsia="zh-CN"/>
              </w:rPr>
            </w:pPr>
          </w:p>
        </w:tc>
        <w:tc>
          <w:tcPr>
            <w:tcW w:w="3793" w:type="dxa"/>
            <w:tcBorders>
              <w:left w:val="single" w:color="auto" w:sz="8" w:space="0"/>
              <w:right w:val="single" w:color="auto" w:sz="8" w:space="0"/>
            </w:tcBorders>
            <w:vAlign w:val="center"/>
          </w:tcPr>
          <w:p>
            <w:pPr>
              <w:jc w:val="center"/>
              <w:rPr>
                <w:rFonts w:hint="eastAsia" w:hAnsi="宋体" w:cs="宋体"/>
                <w:b/>
                <w:bCs/>
                <w:szCs w:val="21"/>
                <w:u w:val="none"/>
              </w:rPr>
            </w:pPr>
          </w:p>
        </w:tc>
        <w:tc>
          <w:tcPr>
            <w:tcW w:w="870" w:type="dxa"/>
            <w:tcBorders>
              <w:left w:val="single" w:color="auto" w:sz="8" w:space="0"/>
              <w:right w:val="single" w:color="auto" w:sz="8" w:space="0"/>
            </w:tcBorders>
            <w:vAlign w:val="center"/>
          </w:tcPr>
          <w:p>
            <w:pPr>
              <w:jc w:val="center"/>
              <w:rPr>
                <w:rFonts w:hint="eastAsia" w:hAnsi="宋体" w:cs="宋体"/>
                <w:b/>
                <w:bCs/>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92" w:hRule="atLeast"/>
          <w:jc w:val="center"/>
        </w:trPr>
        <w:tc>
          <w:tcPr>
            <w:tcW w:w="1158" w:type="dxa"/>
            <w:tcBorders>
              <w:left w:val="single" w:color="auto" w:sz="8" w:space="0"/>
              <w:right w:val="single" w:color="auto" w:sz="8" w:space="0"/>
            </w:tcBorders>
            <w:vAlign w:val="center"/>
          </w:tcPr>
          <w:p>
            <w:pPr>
              <w:jc w:val="center"/>
              <w:rPr>
                <w:rFonts w:hint="eastAsia" w:hAnsi="宋体" w:cs="宋体"/>
                <w:b/>
                <w:bCs/>
                <w:szCs w:val="21"/>
                <w:u w:val="none"/>
                <w:lang w:eastAsia="zh-CN"/>
              </w:rPr>
            </w:pPr>
          </w:p>
        </w:tc>
        <w:tc>
          <w:tcPr>
            <w:tcW w:w="3517" w:type="dxa"/>
            <w:tcBorders>
              <w:left w:val="single" w:color="auto" w:sz="8" w:space="0"/>
              <w:right w:val="single" w:color="auto" w:sz="8" w:space="0"/>
            </w:tcBorders>
            <w:vAlign w:val="center"/>
          </w:tcPr>
          <w:p>
            <w:pPr>
              <w:jc w:val="center"/>
              <w:rPr>
                <w:rFonts w:hint="eastAsia" w:hAnsi="宋体" w:cs="宋体"/>
                <w:b/>
                <w:bCs/>
                <w:szCs w:val="21"/>
                <w:u w:val="none"/>
                <w:lang w:eastAsia="zh-CN"/>
              </w:rPr>
            </w:pPr>
          </w:p>
        </w:tc>
        <w:tc>
          <w:tcPr>
            <w:tcW w:w="3793" w:type="dxa"/>
            <w:tcBorders>
              <w:left w:val="single" w:color="auto" w:sz="8" w:space="0"/>
              <w:right w:val="single" w:color="auto" w:sz="8" w:space="0"/>
            </w:tcBorders>
            <w:vAlign w:val="center"/>
          </w:tcPr>
          <w:p>
            <w:pPr>
              <w:jc w:val="center"/>
              <w:rPr>
                <w:rFonts w:hint="eastAsia" w:hAnsi="宋体" w:cs="宋体"/>
                <w:b/>
                <w:bCs/>
                <w:szCs w:val="21"/>
                <w:u w:val="none"/>
              </w:rPr>
            </w:pPr>
          </w:p>
        </w:tc>
        <w:tc>
          <w:tcPr>
            <w:tcW w:w="870" w:type="dxa"/>
            <w:tcBorders>
              <w:left w:val="single" w:color="auto" w:sz="8" w:space="0"/>
              <w:right w:val="single" w:color="auto" w:sz="8" w:space="0"/>
            </w:tcBorders>
            <w:vAlign w:val="center"/>
          </w:tcPr>
          <w:p>
            <w:pPr>
              <w:jc w:val="center"/>
              <w:rPr>
                <w:rFonts w:hint="eastAsia" w:hAnsi="宋体" w:cs="宋体"/>
                <w:b/>
                <w:bCs/>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int="eastAsia" w:hAnsi="宋体" w:cs="宋体"/>
                <w:b/>
                <w:bCs/>
                <w:szCs w:val="21"/>
                <w:u w:val="none"/>
                <w:lang w:eastAsia="zh-CN"/>
              </w:rPr>
            </w:pPr>
          </w:p>
        </w:tc>
        <w:tc>
          <w:tcPr>
            <w:tcW w:w="3517" w:type="dxa"/>
            <w:tcBorders>
              <w:left w:val="single" w:color="auto" w:sz="8" w:space="0"/>
              <w:right w:val="single" w:color="auto" w:sz="8" w:space="0"/>
            </w:tcBorders>
            <w:vAlign w:val="center"/>
          </w:tcPr>
          <w:p>
            <w:pPr>
              <w:jc w:val="center"/>
              <w:rPr>
                <w:rFonts w:hint="eastAsia" w:hAnsi="宋体" w:cs="宋体"/>
                <w:b/>
                <w:bCs/>
                <w:szCs w:val="21"/>
                <w:u w:val="none"/>
                <w:lang w:eastAsia="zh-CN"/>
              </w:rPr>
            </w:pPr>
          </w:p>
        </w:tc>
        <w:tc>
          <w:tcPr>
            <w:tcW w:w="3793" w:type="dxa"/>
            <w:tcBorders>
              <w:left w:val="single" w:color="auto" w:sz="8" w:space="0"/>
              <w:right w:val="single" w:color="auto" w:sz="8" w:space="0"/>
            </w:tcBorders>
            <w:vAlign w:val="center"/>
          </w:tcPr>
          <w:p>
            <w:pPr>
              <w:jc w:val="center"/>
              <w:rPr>
                <w:rFonts w:hint="eastAsia" w:hAnsi="宋体" w:cs="宋体"/>
                <w:b/>
                <w:bCs/>
                <w:szCs w:val="21"/>
                <w:u w:val="none"/>
              </w:rPr>
            </w:pPr>
          </w:p>
        </w:tc>
        <w:tc>
          <w:tcPr>
            <w:tcW w:w="870" w:type="dxa"/>
            <w:tcBorders>
              <w:left w:val="single" w:color="auto" w:sz="8" w:space="0"/>
              <w:right w:val="single" w:color="auto" w:sz="8" w:space="0"/>
            </w:tcBorders>
            <w:vAlign w:val="center"/>
          </w:tcPr>
          <w:p>
            <w:pPr>
              <w:jc w:val="center"/>
              <w:rPr>
                <w:rFonts w:hint="eastAsia" w:hAnsi="宋体" w:cs="宋体"/>
                <w:b/>
                <w:bCs/>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4675" w:type="dxa"/>
            <w:gridSpan w:val="2"/>
            <w:tcBorders>
              <w:left w:val="single" w:color="auto" w:sz="8" w:space="0"/>
              <w:right w:val="single" w:color="auto" w:sz="8" w:space="0"/>
            </w:tcBorders>
            <w:vAlign w:val="center"/>
          </w:tcPr>
          <w:p>
            <w:pPr>
              <w:jc w:val="center"/>
              <w:rPr>
                <w:rFonts w:hint="eastAsia" w:hAnsi="宋体" w:cs="宋体"/>
                <w:b/>
                <w:bCs/>
                <w:szCs w:val="21"/>
                <w:u w:val="none"/>
                <w:lang w:eastAsia="zh-CN"/>
              </w:rPr>
            </w:pPr>
            <w:r>
              <w:rPr>
                <w:rFonts w:hint="eastAsia" w:hAnsi="宋体" w:cs="宋体"/>
                <w:b/>
                <w:bCs/>
                <w:szCs w:val="21"/>
                <w:u w:val="none"/>
                <w:lang w:eastAsia="zh-CN"/>
              </w:rPr>
              <w:t>合计</w:t>
            </w:r>
          </w:p>
        </w:tc>
        <w:tc>
          <w:tcPr>
            <w:tcW w:w="3793" w:type="dxa"/>
            <w:tcBorders>
              <w:left w:val="single" w:color="auto" w:sz="8" w:space="0"/>
              <w:right w:val="single" w:color="auto" w:sz="8" w:space="0"/>
            </w:tcBorders>
            <w:vAlign w:val="center"/>
          </w:tcPr>
          <w:p>
            <w:pPr>
              <w:jc w:val="center"/>
              <w:rPr>
                <w:rFonts w:hint="eastAsia" w:hAnsi="宋体" w:cs="宋体"/>
                <w:b/>
                <w:bCs/>
                <w:szCs w:val="21"/>
                <w:u w:val="none"/>
              </w:rPr>
            </w:pPr>
          </w:p>
        </w:tc>
        <w:tc>
          <w:tcPr>
            <w:tcW w:w="870" w:type="dxa"/>
            <w:tcBorders>
              <w:left w:val="single" w:color="auto" w:sz="8" w:space="0"/>
              <w:right w:val="single" w:color="auto" w:sz="8" w:space="0"/>
            </w:tcBorders>
            <w:vAlign w:val="center"/>
          </w:tcPr>
          <w:p>
            <w:pPr>
              <w:jc w:val="center"/>
              <w:rPr>
                <w:rFonts w:hint="eastAsia" w:hAnsi="宋体" w:cs="宋体"/>
                <w:b/>
                <w:bCs/>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5" w:hRule="atLeast"/>
          <w:jc w:val="center"/>
        </w:trPr>
        <w:tc>
          <w:tcPr>
            <w:tcW w:w="9338" w:type="dxa"/>
            <w:gridSpan w:val="4"/>
            <w:tcBorders>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Cs w:val="21"/>
                <w:u w:val="none"/>
              </w:rPr>
            </w:pPr>
            <w:r>
              <w:rPr>
                <w:rFonts w:hint="eastAsia"/>
                <w:u w:val="none"/>
                <w:lang w:eastAsia="zh-CN"/>
              </w:rPr>
              <w:t>注：</w:t>
            </w:r>
            <w:r>
              <w:rPr>
                <w:rFonts w:hint="eastAsia"/>
                <w:u w:val="none"/>
              </w:rPr>
              <w:t>业绩证明材料以同时提供的谈判单位与电力交易中心平台交易截图或结算清单（均须加盖谈判单位公章）为准</w:t>
            </w:r>
            <w:r>
              <w:rPr>
                <w:rFonts w:hint="eastAsia"/>
                <w:u w:val="none"/>
                <w:lang w:eastAsia="zh-CN"/>
              </w:rPr>
              <w:t>，</w:t>
            </w:r>
            <w:r>
              <w:rPr>
                <w:rStyle w:val="56"/>
                <w:rFonts w:hint="eastAsia"/>
                <w:color w:val="auto"/>
                <w:u w:val="none"/>
                <w:shd w:val="clear" w:color="auto" w:fill="FFFFFF"/>
              </w:rPr>
              <w:t>并按顺序附后。</w:t>
            </w:r>
          </w:p>
        </w:tc>
      </w:tr>
    </w:tbl>
    <w:p>
      <w:pPr>
        <w:pStyle w:val="46"/>
        <w:spacing w:after="0" w:line="360" w:lineRule="auto"/>
        <w:ind w:left="0" w:leftChars="0" w:firstLine="0"/>
        <w:jc w:val="both"/>
        <w:rPr>
          <w:rStyle w:val="56"/>
          <w:rFonts w:ascii="Times New Roman" w:hAnsi="Times New Roman" w:cs="Times New Roman"/>
          <w:color w:val="auto"/>
          <w:u w:val="none"/>
          <w:shd w:val="clear" w:color="auto" w:fill="FFFFFF"/>
        </w:rPr>
      </w:pPr>
    </w:p>
    <w:p>
      <w:pPr>
        <w:pStyle w:val="46"/>
        <w:spacing w:after="0" w:line="360" w:lineRule="auto"/>
        <w:ind w:left="0" w:leftChars="0" w:firstLine="0"/>
        <w:jc w:val="both"/>
        <w:rPr>
          <w:rStyle w:val="56"/>
          <w:rFonts w:ascii="Times New Roman" w:hAnsi="Times New Roman" w:cs="Times New Roman"/>
          <w:color w:val="auto"/>
          <w:u w:val="none"/>
          <w:shd w:val="clear" w:color="auto" w:fill="FFFFFF"/>
        </w:r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color w:val="FF0000"/>
          <w:highlight w:val="cyan"/>
          <w:u w:val="none"/>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eastAsia="宋体" w:cs="宋体"/>
          <w:b/>
          <w:sz w:val="32"/>
          <w:szCs w:val="32"/>
          <w:u w:val="none"/>
          <w:lang w:eastAsia="zh-CN"/>
        </w:rPr>
      </w:pPr>
      <w:bookmarkStart w:id="116" w:name="_Toc30403"/>
      <w:bookmarkStart w:id="117" w:name="_Toc7528"/>
      <w:bookmarkStart w:id="118" w:name="_Toc9230"/>
      <w:bookmarkStart w:id="119" w:name="_Toc20484"/>
      <w:bookmarkStart w:id="120" w:name="_Toc19663"/>
      <w:r>
        <w:rPr>
          <w:rFonts w:hint="eastAsia" w:ascii="宋体" w:hAnsi="宋体" w:eastAsia="宋体" w:cs="宋体"/>
          <w:b/>
          <w:sz w:val="32"/>
          <w:szCs w:val="32"/>
          <w:u w:val="none"/>
          <w:lang w:eastAsia="zh-CN"/>
        </w:rPr>
        <w:t>六、</w:t>
      </w:r>
      <w:bookmarkEnd w:id="116"/>
      <w:bookmarkEnd w:id="117"/>
      <w:bookmarkEnd w:id="118"/>
      <w:bookmarkEnd w:id="119"/>
      <w:r>
        <w:rPr>
          <w:rFonts w:hint="eastAsia" w:ascii="宋体" w:hAnsi="宋体" w:eastAsia="宋体" w:cs="宋体"/>
          <w:b/>
          <w:sz w:val="32"/>
          <w:szCs w:val="32"/>
          <w:u w:val="none"/>
          <w:lang w:eastAsia="zh-CN"/>
        </w:rPr>
        <w:t>报价一览表</w:t>
      </w:r>
      <w:bookmarkEnd w:id="120"/>
    </w:p>
    <w:p>
      <w:pPr>
        <w:adjustRightInd w:val="0"/>
        <w:snapToGrid w:val="0"/>
        <w:jc w:val="right"/>
        <w:rPr>
          <w:rFonts w:ascii="黑体" w:hAnsi="宋体" w:eastAsia="黑体"/>
          <w:sz w:val="24"/>
          <w:u w:val="none"/>
        </w:rPr>
      </w:pPr>
    </w:p>
    <w:tbl>
      <w:tblPr>
        <w:tblStyle w:val="47"/>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u w:val="none"/>
              </w:rPr>
            </w:pPr>
            <w:r>
              <w:rPr>
                <w:rFonts w:hint="eastAsia" w:ascii="宋体" w:hAnsi="宋体" w:cs="宋体"/>
                <w:b/>
                <w:bCs/>
                <w:szCs w:val="21"/>
                <w:u w:val="none"/>
              </w:rPr>
              <w:t>项目名称</w:t>
            </w:r>
          </w:p>
        </w:tc>
        <w:tc>
          <w:tcPr>
            <w:tcW w:w="6297" w:type="dxa"/>
            <w:vAlign w:val="center"/>
          </w:tcPr>
          <w:p>
            <w:pPr>
              <w:rPr>
                <w:rFonts w:ascii="宋体" w:hAnsi="宋体"/>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u w:val="none"/>
              </w:rPr>
            </w:pPr>
            <w:r>
              <w:rPr>
                <w:rFonts w:hint="eastAsia" w:ascii="宋体" w:hAnsi="宋体" w:cs="宋体"/>
                <w:b/>
                <w:bCs/>
                <w:szCs w:val="21"/>
                <w:u w:val="none"/>
              </w:rPr>
              <w:t>项目编号</w:t>
            </w:r>
          </w:p>
        </w:tc>
        <w:tc>
          <w:tcPr>
            <w:tcW w:w="6297" w:type="dxa"/>
            <w:vAlign w:val="center"/>
          </w:tcPr>
          <w:p>
            <w:pPr>
              <w:rPr>
                <w:rFonts w:ascii="宋体" w:hAnsi="宋体"/>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u w:val="none"/>
              </w:rPr>
            </w:pPr>
            <w:r>
              <w:rPr>
                <w:rFonts w:hint="eastAsia"/>
                <w:b/>
                <w:bCs/>
                <w:u w:val="none"/>
              </w:rPr>
              <w:t>服务期限</w:t>
            </w:r>
          </w:p>
        </w:tc>
        <w:tc>
          <w:tcPr>
            <w:tcW w:w="6297" w:type="dxa"/>
            <w:vAlign w:val="center"/>
          </w:tcPr>
          <w:p>
            <w:pPr>
              <w:rPr>
                <w:rFonts w:ascii="宋体" w:hAnsi="宋体"/>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rFonts w:hint="eastAsia" w:eastAsia="宋体"/>
                <w:b/>
                <w:bCs/>
                <w:u w:val="none"/>
                <w:lang w:eastAsia="zh-CN"/>
              </w:rPr>
            </w:pPr>
            <w:r>
              <w:rPr>
                <w:rFonts w:hint="eastAsia"/>
                <w:b/>
                <w:bCs/>
                <w:u w:val="none"/>
                <w:lang w:eastAsia="zh-CN"/>
              </w:rPr>
              <w:t>正价差代理费</w:t>
            </w:r>
          </w:p>
        </w:tc>
        <w:tc>
          <w:tcPr>
            <w:tcW w:w="6297" w:type="dxa"/>
            <w:vAlign w:val="center"/>
          </w:tcPr>
          <w:p>
            <w:pPr>
              <w:spacing w:line="420" w:lineRule="exact"/>
              <w:jc w:val="left"/>
              <w:rPr>
                <w:rFonts w:ascii="宋体" w:hAnsi="宋体"/>
                <w:szCs w:val="21"/>
                <w:u w:val="none"/>
              </w:rPr>
            </w:pPr>
            <w:r>
              <w:rPr>
                <w:rStyle w:val="56"/>
                <w:rFonts w:hint="eastAsia" w:ascii="Times New Roman" w:hAnsi="Times New Roman" w:eastAsia="宋体" w:cs="Times New Roman"/>
                <w:color w:val="auto"/>
                <w:kern w:val="0"/>
                <w:u w:val="none"/>
                <w:shd w:val="clear" w:color="auto" w:fill="FFFFFF"/>
                <w:lang w:val="en-US" w:eastAsia="zh-CN"/>
              </w:rPr>
              <w:t>正价差代理费</w:t>
            </w:r>
            <w:r>
              <w:rPr>
                <w:rStyle w:val="56"/>
                <w:rFonts w:hint="eastAsia" w:cs="Times New Roman"/>
                <w:color w:val="auto"/>
                <w:kern w:val="0"/>
                <w:u w:val="none"/>
                <w:shd w:val="clear" w:color="auto" w:fill="FFFFFF"/>
                <w:lang w:val="en-US" w:eastAsia="zh-CN"/>
              </w:rPr>
              <w:t xml:space="preserve">   </w:t>
            </w:r>
            <w:r>
              <w:rPr>
                <w:rStyle w:val="56"/>
                <w:rFonts w:hint="eastAsia" w:ascii="Times New Roman" w:hAnsi="Times New Roman" w:eastAsia="宋体" w:cs="Times New Roman"/>
                <w:color w:val="auto"/>
                <w:kern w:val="0"/>
                <w:u w:val="none"/>
                <w:shd w:val="clear" w:color="auto" w:fill="FFFFFF"/>
                <w:lang w:val="en-US" w:eastAsia="zh-CN"/>
              </w:rPr>
              <w:t>元/兆瓦时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rFonts w:hint="eastAsia" w:ascii="宋体" w:hAnsi="宋体" w:eastAsia="宋体"/>
                <w:b/>
                <w:bCs/>
                <w:szCs w:val="21"/>
                <w:u w:val="none"/>
                <w:lang w:eastAsia="zh-CN"/>
              </w:rPr>
            </w:pPr>
            <w:r>
              <w:rPr>
                <w:rFonts w:hint="eastAsia" w:ascii="宋体" w:hAnsi="宋体"/>
                <w:b/>
                <w:bCs/>
                <w:szCs w:val="21"/>
                <w:u w:val="none"/>
                <w:lang w:eastAsia="zh-CN"/>
              </w:rPr>
              <w:t>负价差分成比例</w:t>
            </w:r>
          </w:p>
        </w:tc>
        <w:tc>
          <w:tcPr>
            <w:tcW w:w="6297" w:type="dxa"/>
            <w:vAlign w:val="center"/>
          </w:tcPr>
          <w:p>
            <w:pPr>
              <w:spacing w:line="420" w:lineRule="exact"/>
              <w:jc w:val="left"/>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cs="Times New Roman"/>
                <w:color w:val="auto"/>
                <w:kern w:val="0"/>
                <w:u w:val="none"/>
                <w:shd w:val="clear" w:color="auto" w:fill="FFFFFF"/>
                <w:lang w:val="en-US" w:eastAsia="zh-CN"/>
              </w:rPr>
              <w:t xml:space="preserve">采购单位   </w:t>
            </w:r>
            <w:r>
              <w:rPr>
                <w:rStyle w:val="56"/>
                <w:rFonts w:hint="eastAsia" w:ascii="Times New Roman" w:hAnsi="Times New Roman" w:eastAsia="宋体" w:cs="Times New Roman"/>
                <w:color w:val="auto"/>
                <w:kern w:val="0"/>
                <w:u w:val="none"/>
                <w:shd w:val="clear" w:color="auto" w:fill="FFFFFF"/>
                <w:lang w:val="en-US" w:eastAsia="zh-CN"/>
              </w:rPr>
              <w:t>%</w:t>
            </w:r>
          </w:p>
          <w:p>
            <w:pPr>
              <w:spacing w:line="420" w:lineRule="exact"/>
              <w:jc w:val="left"/>
              <w:rPr>
                <w:rFonts w:hint="default" w:ascii="宋体" w:hAnsi="宋体"/>
                <w:szCs w:val="21"/>
                <w:u w:val="none"/>
                <w:lang w:val="en-US"/>
              </w:rPr>
            </w:pPr>
            <w:r>
              <w:rPr>
                <w:rStyle w:val="56"/>
                <w:rFonts w:hint="eastAsia" w:cs="Times New Roman"/>
                <w:color w:val="auto"/>
                <w:kern w:val="0"/>
                <w:u w:val="none"/>
                <w:shd w:val="clear" w:color="auto" w:fill="FFFFFF"/>
                <w:lang w:val="en-US" w:eastAsia="zh-CN"/>
              </w:rPr>
              <w:t>谈判单位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2523" w:type="dxa"/>
            <w:vAlign w:val="center"/>
          </w:tcPr>
          <w:p>
            <w:pPr>
              <w:spacing w:line="420" w:lineRule="exact"/>
              <w:jc w:val="center"/>
              <w:rPr>
                <w:rFonts w:ascii="宋体" w:hAnsi="宋体"/>
                <w:b/>
                <w:bCs/>
                <w:szCs w:val="21"/>
                <w:u w:val="none"/>
              </w:rPr>
            </w:pPr>
            <w:r>
              <w:rPr>
                <w:rFonts w:ascii="宋体" w:hAnsi="宋体"/>
                <w:b/>
                <w:bCs/>
                <w:szCs w:val="21"/>
                <w:u w:val="none"/>
              </w:rPr>
              <w:t>备  注</w:t>
            </w:r>
          </w:p>
        </w:tc>
        <w:tc>
          <w:tcPr>
            <w:tcW w:w="6297" w:type="dxa"/>
            <w:vAlign w:val="center"/>
          </w:tcPr>
          <w:p>
            <w:pPr>
              <w:spacing w:line="420" w:lineRule="exact"/>
              <w:rPr>
                <w:rFonts w:ascii="宋体" w:hAnsi="宋体"/>
                <w:szCs w:val="21"/>
                <w:u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22" w:firstLineChars="200"/>
        <w:textAlignment w:val="auto"/>
        <w:rPr>
          <w:rFonts w:ascii="宋体" w:hAnsi="宋体" w:cs="宋体"/>
          <w:b/>
          <w:color w:val="auto"/>
          <w:szCs w:val="21"/>
          <w:u w:val="none"/>
        </w:rPr>
      </w:pPr>
      <w:r>
        <w:rPr>
          <w:rFonts w:hint="eastAsia" w:ascii="宋体" w:hAnsi="宋体" w:cs="宋体"/>
          <w:b/>
          <w:color w:val="auto"/>
          <w:szCs w:val="21"/>
          <w:u w:val="none"/>
        </w:rPr>
        <w:t>注：1.所有报价保留小数点后两位，小数点后第三位“四舍五入”。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22" w:firstLineChars="200"/>
        <w:textAlignment w:val="auto"/>
        <w:rPr>
          <w:rFonts w:ascii="宋体" w:hAnsi="宋体" w:cs="宋体"/>
          <w:b/>
          <w:color w:val="auto"/>
          <w:szCs w:val="21"/>
          <w:u w:val="none"/>
        </w:rPr>
      </w:pPr>
      <w:r>
        <w:rPr>
          <w:rFonts w:hint="eastAsia" w:ascii="宋体" w:hAnsi="宋体" w:cs="宋体"/>
          <w:b/>
          <w:color w:val="auto"/>
          <w:szCs w:val="21"/>
          <w:u w:val="none"/>
        </w:rPr>
        <w:t>2.本表内“</w:t>
      </w:r>
      <w:r>
        <w:rPr>
          <w:rFonts w:hint="eastAsia"/>
          <w:b/>
          <w:bCs/>
          <w:color w:val="auto"/>
          <w:u w:val="none"/>
          <w:lang w:eastAsia="zh-CN"/>
        </w:rPr>
        <w:t>正价差代理费</w:t>
      </w:r>
      <w:r>
        <w:rPr>
          <w:rFonts w:hint="eastAsia" w:ascii="宋体" w:hAnsi="宋体" w:cs="宋体"/>
          <w:b/>
          <w:color w:val="auto"/>
          <w:szCs w:val="21"/>
          <w:u w:val="none"/>
        </w:rPr>
        <w:t>”是包含了所有隐含的管理费、税金和利润等其他费用的报价。</w:t>
      </w:r>
    </w:p>
    <w:p>
      <w:pPr>
        <w:pStyle w:val="13"/>
        <w:keepNext w:val="0"/>
        <w:keepLines w:val="0"/>
        <w:pageBreakBefore w:val="0"/>
        <w:widowControl w:val="0"/>
        <w:kinsoku/>
        <w:wordWrap/>
        <w:overflowPunct/>
        <w:topLinePunct w:val="0"/>
        <w:autoSpaceDE/>
        <w:autoSpaceDN/>
        <w:bidi w:val="0"/>
        <w:spacing w:line="500" w:lineRule="exact"/>
        <w:ind w:left="0" w:leftChars="0" w:firstLine="422" w:firstLineChars="200"/>
        <w:textAlignment w:val="auto"/>
        <w:rPr>
          <w:rFonts w:ascii="宋体" w:hAnsi="宋体" w:cs="宋体"/>
          <w:b/>
          <w:color w:val="auto"/>
          <w:szCs w:val="21"/>
          <w:u w:val="none"/>
        </w:rPr>
      </w:pPr>
      <w:r>
        <w:rPr>
          <w:rFonts w:hint="eastAsia" w:ascii="宋体" w:hAnsi="宋体" w:cs="宋体"/>
          <w:b/>
          <w:color w:val="auto"/>
          <w:szCs w:val="21"/>
          <w:u w:val="none"/>
        </w:rPr>
        <w:t>3.本项目设置最高限价，谈判单位所报</w:t>
      </w:r>
      <w:r>
        <w:rPr>
          <w:rFonts w:hint="eastAsia"/>
          <w:b/>
          <w:bCs/>
          <w:color w:val="auto"/>
          <w:u w:val="none"/>
          <w:lang w:eastAsia="zh-CN"/>
        </w:rPr>
        <w:t>正价差代理费和</w:t>
      </w:r>
      <w:r>
        <w:rPr>
          <w:rFonts w:hint="eastAsia" w:ascii="宋体" w:hAnsi="宋体"/>
          <w:b/>
          <w:bCs/>
          <w:color w:val="auto"/>
          <w:szCs w:val="21"/>
          <w:u w:val="none"/>
          <w:lang w:eastAsia="zh-CN"/>
        </w:rPr>
        <w:t>负价差分成比例</w:t>
      </w:r>
      <w:r>
        <w:rPr>
          <w:rFonts w:hint="eastAsia" w:ascii="宋体" w:hAnsi="宋体" w:cs="宋体"/>
          <w:b/>
          <w:color w:val="auto"/>
          <w:szCs w:val="21"/>
          <w:u w:val="none"/>
        </w:rPr>
        <w:t>不能超过最高限价，不超过最高限价的谈判</w:t>
      </w:r>
      <w:r>
        <w:rPr>
          <w:rFonts w:hint="eastAsia"/>
          <w:b/>
          <w:bCs/>
          <w:color w:val="auto"/>
          <w:u w:val="none"/>
          <w:lang w:eastAsia="zh-CN"/>
        </w:rPr>
        <w:t>正价差代理费和</w:t>
      </w:r>
      <w:r>
        <w:rPr>
          <w:rFonts w:hint="eastAsia" w:ascii="宋体" w:hAnsi="宋体"/>
          <w:b/>
          <w:bCs/>
          <w:color w:val="auto"/>
          <w:szCs w:val="21"/>
          <w:u w:val="none"/>
          <w:lang w:eastAsia="zh-CN"/>
        </w:rPr>
        <w:t>负价差分成比例</w:t>
      </w:r>
      <w:r>
        <w:rPr>
          <w:rFonts w:hint="eastAsia" w:ascii="宋体" w:hAnsi="宋体" w:cs="宋体"/>
          <w:b/>
          <w:color w:val="auto"/>
          <w:szCs w:val="21"/>
          <w:u w:val="none"/>
        </w:rPr>
        <w:t>为有效报价。</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22" w:firstLineChars="200"/>
        <w:textAlignment w:val="auto"/>
        <w:rPr>
          <w:rFonts w:ascii="宋体" w:hAnsi="宋体"/>
          <w:b/>
          <w:color w:val="auto"/>
          <w:szCs w:val="21"/>
          <w:u w:val="none"/>
        </w:rPr>
      </w:pPr>
      <w:r>
        <w:rPr>
          <w:rFonts w:hint="eastAsia" w:ascii="宋体" w:hAnsi="宋体"/>
          <w:b/>
          <w:color w:val="auto"/>
          <w:szCs w:val="21"/>
          <w:u w:val="none"/>
        </w:rPr>
        <w:t>4.本项目谈判报价评审时，以“</w:t>
      </w:r>
      <w:r>
        <w:rPr>
          <w:rFonts w:hint="eastAsia"/>
          <w:b/>
          <w:bCs/>
          <w:color w:val="auto"/>
          <w:u w:val="none"/>
          <w:lang w:eastAsia="zh-CN"/>
        </w:rPr>
        <w:t>正价差代理费和</w:t>
      </w:r>
      <w:r>
        <w:rPr>
          <w:rFonts w:hint="eastAsia" w:ascii="宋体" w:hAnsi="宋体"/>
          <w:b/>
          <w:bCs/>
          <w:color w:val="auto"/>
          <w:szCs w:val="21"/>
          <w:u w:val="none"/>
          <w:lang w:eastAsia="zh-CN"/>
        </w:rPr>
        <w:t>负价差分成比例</w:t>
      </w:r>
      <w:r>
        <w:rPr>
          <w:rFonts w:hint="eastAsia" w:ascii="宋体" w:hAnsi="宋体"/>
          <w:b/>
          <w:color w:val="auto"/>
          <w:szCs w:val="21"/>
          <w:u w:val="none"/>
        </w:rPr>
        <w:t>”进行评审。</w:t>
      </w:r>
    </w:p>
    <w:p>
      <w:pPr>
        <w:pStyle w:val="27"/>
        <w:keepNext w:val="0"/>
        <w:keepLines w:val="0"/>
        <w:pageBreakBefore w:val="0"/>
        <w:widowControl w:val="0"/>
        <w:kinsoku/>
        <w:wordWrap/>
        <w:overflowPunct/>
        <w:topLinePunct w:val="0"/>
        <w:autoSpaceDE/>
        <w:autoSpaceDN/>
        <w:bidi w:val="0"/>
        <w:adjustRightInd w:val="0"/>
        <w:snapToGrid w:val="0"/>
        <w:spacing w:line="500" w:lineRule="exact"/>
        <w:ind w:left="0" w:leftChars="0" w:firstLine="420" w:firstLineChars="200"/>
        <w:textAlignment w:val="auto"/>
        <w:rPr>
          <w:rFonts w:ascii="宋体" w:hAnsi="宋体"/>
          <w:bCs/>
          <w:sz w:val="21"/>
          <w:szCs w:val="21"/>
          <w:u w:val="none"/>
        </w:rPr>
      </w:pPr>
      <w:bookmarkStart w:id="121" w:name="_Toc5231"/>
      <w:r>
        <w:rPr>
          <w:rFonts w:hint="eastAsia" w:ascii="宋体" w:hAnsi="宋体"/>
          <w:sz w:val="21"/>
          <w:szCs w:val="21"/>
          <w:u w:val="none"/>
        </w:rPr>
        <w:t>谈判单位名称：    （盖单位章）</w:t>
      </w:r>
      <w:bookmarkEnd w:id="121"/>
      <w:r>
        <w:rPr>
          <w:rFonts w:hint="eastAsia" w:ascii="宋体" w:hAnsi="宋体"/>
          <w:sz w:val="21"/>
          <w:szCs w:val="21"/>
          <w:u w:val="non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20" w:firstLineChars="200"/>
        <w:textAlignment w:val="auto"/>
        <w:rPr>
          <w:rFonts w:ascii="宋体" w:hAnsi="宋体"/>
          <w:szCs w:val="21"/>
          <w:u w:val="none"/>
        </w:rPr>
      </w:pPr>
      <w:bookmarkStart w:id="122" w:name="_Toc28605"/>
      <w:r>
        <w:rPr>
          <w:rFonts w:hint="eastAsia" w:ascii="宋体" w:hAnsi="宋体"/>
          <w:szCs w:val="21"/>
          <w:u w:val="none"/>
        </w:rPr>
        <w:t>法定代表人或其委托代理人(签字或盖章)：</w:t>
      </w:r>
      <w:bookmarkEnd w:id="122"/>
      <w:r>
        <w:rPr>
          <w:rFonts w:hint="eastAsia" w:ascii="宋体" w:hAnsi="宋体"/>
          <w:szCs w:val="21"/>
          <w:u w:val="none"/>
        </w:rPr>
        <w:t xml:space="preserve">               </w:t>
      </w:r>
    </w:p>
    <w:p>
      <w:pPr>
        <w:keepNext w:val="0"/>
        <w:keepLines w:val="0"/>
        <w:pageBreakBefore w:val="0"/>
        <w:widowControl w:val="0"/>
        <w:kinsoku/>
        <w:wordWrap/>
        <w:overflowPunct/>
        <w:topLinePunct w:val="0"/>
        <w:autoSpaceDE/>
        <w:autoSpaceDN/>
        <w:bidi w:val="0"/>
        <w:spacing w:line="500" w:lineRule="exact"/>
        <w:ind w:left="0" w:leftChars="0" w:firstLine="420" w:firstLineChars="200"/>
        <w:textAlignment w:val="auto"/>
        <w:rPr>
          <w:rFonts w:ascii="黑体" w:eastAsia="黑体"/>
          <w:b/>
          <w:bCs/>
          <w:sz w:val="32"/>
          <w:szCs w:val="32"/>
          <w:u w:val="none"/>
        </w:rPr>
      </w:pPr>
      <w:r>
        <w:rPr>
          <w:rFonts w:hint="eastAsia" w:ascii="宋体" w:hAnsi="宋体"/>
          <w:szCs w:val="21"/>
          <w:u w:val="none"/>
        </w:rPr>
        <w:t>日期：    年    月    日</w:t>
      </w:r>
    </w:p>
    <w:p>
      <w:pPr>
        <w:adjustRightInd w:val="0"/>
        <w:snapToGrid w:val="0"/>
        <w:jc w:val="both"/>
        <w:rPr>
          <w:rFonts w:ascii="黑体" w:eastAsia="黑体"/>
          <w:b/>
          <w:bCs/>
          <w:color w:val="FF0000"/>
          <w:sz w:val="32"/>
          <w:szCs w:val="32"/>
          <w:u w:val="none"/>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eastAsia="宋体" w:cs="宋体"/>
          <w:b/>
          <w:sz w:val="32"/>
          <w:szCs w:val="32"/>
          <w:u w:val="none"/>
          <w:lang w:eastAsia="zh-CN"/>
        </w:rPr>
      </w:pPr>
      <w:bookmarkStart w:id="123" w:name="_Toc25553"/>
      <w:bookmarkStart w:id="124" w:name="_Toc15835"/>
      <w:bookmarkStart w:id="125" w:name="_Toc21225"/>
      <w:bookmarkStart w:id="126" w:name="_Toc5387"/>
      <w:bookmarkStart w:id="127" w:name="_Toc27587"/>
      <w:r>
        <w:rPr>
          <w:rFonts w:hint="eastAsia" w:ascii="宋体" w:hAnsi="宋体" w:eastAsia="宋体" w:cs="宋体"/>
          <w:b/>
          <w:sz w:val="32"/>
          <w:szCs w:val="32"/>
          <w:u w:val="none"/>
          <w:lang w:eastAsia="zh-CN"/>
        </w:rPr>
        <w:t>七、</w:t>
      </w:r>
      <w:bookmarkEnd w:id="123"/>
      <w:bookmarkEnd w:id="124"/>
      <w:bookmarkEnd w:id="125"/>
      <w:bookmarkEnd w:id="126"/>
      <w:r>
        <w:rPr>
          <w:rFonts w:hint="eastAsia" w:ascii="宋体" w:hAnsi="宋体" w:eastAsia="宋体" w:cs="宋体"/>
          <w:b/>
          <w:sz w:val="32"/>
          <w:szCs w:val="32"/>
          <w:u w:val="none"/>
          <w:lang w:eastAsia="zh-CN"/>
        </w:rPr>
        <w:t>电力市场化交易历史价差一览表</w:t>
      </w:r>
      <w:bookmarkEnd w:id="127"/>
    </w:p>
    <w:tbl>
      <w:tblPr>
        <w:tblStyle w:val="47"/>
        <w:tblpPr w:leftFromText="180" w:rightFromText="180" w:vertAnchor="text" w:horzAnchor="page" w:tblpXSpec="center" w:tblpY="338"/>
        <w:tblOverlap w:val="never"/>
        <w:tblW w:w="5672" w:type="pct"/>
        <w:jc w:val="center"/>
        <w:tblLayout w:type="fixed"/>
        <w:tblCellMar>
          <w:top w:w="0" w:type="dxa"/>
          <w:left w:w="108" w:type="dxa"/>
          <w:bottom w:w="0" w:type="dxa"/>
          <w:right w:w="108" w:type="dxa"/>
        </w:tblCellMar>
      </w:tblPr>
      <w:tblGrid>
        <w:gridCol w:w="4575"/>
        <w:gridCol w:w="2100"/>
        <w:gridCol w:w="2100"/>
        <w:gridCol w:w="1505"/>
      </w:tblGrid>
      <w:tr>
        <w:tblPrEx>
          <w:tblCellMar>
            <w:top w:w="0" w:type="dxa"/>
            <w:left w:w="108" w:type="dxa"/>
            <w:bottom w:w="0" w:type="dxa"/>
            <w:right w:w="108" w:type="dxa"/>
          </w:tblCellMar>
        </w:tblPrEx>
        <w:trPr>
          <w:trHeight w:val="594" w:hRule="atLeast"/>
          <w:jc w:val="center"/>
        </w:trPr>
        <w:tc>
          <w:tcPr>
            <w:tcW w:w="10280"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r>
              <w:rPr>
                <w:rFonts w:hint="eastAsia" w:ascii="宋体" w:hAnsi="宋体" w:eastAsia="宋体" w:cs="宋体"/>
                <w:b/>
                <w:bCs/>
                <w:sz w:val="32"/>
                <w:szCs w:val="32"/>
              </w:rPr>
              <w:t>谈判单位谈判邀请公告截止之日前6个月的月度电力市场交易价差一览表（元/兆瓦时）</w:t>
            </w:r>
          </w:p>
        </w:tc>
      </w:tr>
      <w:tr>
        <w:tblPrEx>
          <w:tblCellMar>
            <w:top w:w="0" w:type="dxa"/>
            <w:left w:w="108" w:type="dxa"/>
            <w:bottom w:w="0" w:type="dxa"/>
            <w:right w:w="108" w:type="dxa"/>
          </w:tblCellMar>
        </w:tblPrEx>
        <w:trPr>
          <w:trHeight w:val="594" w:hRule="atLeast"/>
          <w:jc w:val="center"/>
        </w:trPr>
        <w:tc>
          <w:tcPr>
            <w:tcW w:w="45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lang w:eastAsia="zh-CN"/>
              </w:rPr>
              <w:t>谈判单位名称</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kern w:val="0"/>
                <w:sz w:val="21"/>
                <w:szCs w:val="24"/>
                <w:lang w:val="en-US" w:eastAsia="zh-CN" w:bidi="ar"/>
              </w:rPr>
            </w:pPr>
            <w:r>
              <w:rPr>
                <w:rFonts w:hint="eastAsia" w:ascii="宋体" w:hAnsi="宋体" w:eastAsia="宋体" w:cs="宋体"/>
                <w:b/>
                <w:bCs/>
                <w:kern w:val="0"/>
                <w:lang w:eastAsia="zh-CN" w:bidi="ar"/>
              </w:rPr>
              <w:t>月份</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kern w:val="0"/>
                <w:sz w:val="21"/>
                <w:szCs w:val="24"/>
                <w:lang w:val="en-US" w:eastAsia="zh-CN" w:bidi="ar"/>
              </w:rPr>
            </w:pPr>
            <w:r>
              <w:rPr>
                <w:rFonts w:hint="eastAsia" w:ascii="宋体" w:hAnsi="宋体" w:eastAsia="宋体" w:cs="宋体"/>
                <w:b/>
                <w:bCs/>
                <w:kern w:val="0"/>
                <w:sz w:val="21"/>
                <w:szCs w:val="24"/>
                <w:lang w:val="en-US" w:eastAsia="zh-CN" w:bidi="ar"/>
              </w:rPr>
              <w:t>价差</w:t>
            </w:r>
          </w:p>
        </w:tc>
        <w:tc>
          <w:tcPr>
            <w:tcW w:w="150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kern w:val="0"/>
                <w:sz w:val="21"/>
                <w:szCs w:val="24"/>
                <w:lang w:val="en-US" w:eastAsia="zh-CN" w:bidi="ar"/>
              </w:rPr>
            </w:pPr>
            <w:r>
              <w:rPr>
                <w:rFonts w:hint="eastAsia" w:ascii="宋体" w:hAnsi="宋体" w:eastAsia="宋体" w:cs="宋体"/>
                <w:b/>
                <w:bCs/>
                <w:kern w:val="0"/>
                <w:lang w:eastAsia="zh-CN" w:bidi="ar"/>
              </w:rPr>
              <w:t>备注</w:t>
            </w:r>
          </w:p>
        </w:tc>
      </w:tr>
      <w:tr>
        <w:tblPrEx>
          <w:tblCellMar>
            <w:top w:w="0" w:type="dxa"/>
            <w:left w:w="108" w:type="dxa"/>
            <w:bottom w:w="0" w:type="dxa"/>
            <w:right w:w="108" w:type="dxa"/>
          </w:tblCellMar>
        </w:tblPrEx>
        <w:trPr>
          <w:trHeight w:val="594" w:hRule="atLeast"/>
          <w:jc w:val="center"/>
        </w:trPr>
        <w:tc>
          <w:tcPr>
            <w:tcW w:w="4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18"/>
                <w:szCs w:val="18"/>
                <w:lang w:eastAsia="zh-CN"/>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p>
        </w:tc>
        <w:tc>
          <w:tcPr>
            <w:tcW w:w="150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lang w:eastAsia="zh-CN" w:bidi="ar"/>
              </w:rPr>
            </w:pPr>
          </w:p>
        </w:tc>
      </w:tr>
      <w:tr>
        <w:tblPrEx>
          <w:tblCellMar>
            <w:top w:w="0" w:type="dxa"/>
            <w:left w:w="108" w:type="dxa"/>
            <w:bottom w:w="0" w:type="dxa"/>
            <w:right w:w="108" w:type="dxa"/>
          </w:tblCellMar>
        </w:tblPrEx>
        <w:trPr>
          <w:trHeight w:val="594" w:hRule="atLeast"/>
          <w:jc w:val="center"/>
        </w:trPr>
        <w:tc>
          <w:tcPr>
            <w:tcW w:w="45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18"/>
                <w:szCs w:val="18"/>
                <w:lang w:eastAsia="zh-CN"/>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p>
        </w:tc>
        <w:tc>
          <w:tcPr>
            <w:tcW w:w="150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lang w:eastAsia="zh-CN" w:bidi="ar"/>
              </w:rPr>
            </w:pPr>
          </w:p>
        </w:tc>
      </w:tr>
      <w:tr>
        <w:tblPrEx>
          <w:tblCellMar>
            <w:top w:w="0" w:type="dxa"/>
            <w:left w:w="108" w:type="dxa"/>
            <w:bottom w:w="0" w:type="dxa"/>
            <w:right w:w="108" w:type="dxa"/>
          </w:tblCellMar>
        </w:tblPrEx>
        <w:trPr>
          <w:trHeight w:val="594" w:hRule="atLeast"/>
          <w:jc w:val="center"/>
        </w:trPr>
        <w:tc>
          <w:tcPr>
            <w:tcW w:w="45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18"/>
                <w:szCs w:val="18"/>
                <w:lang w:eastAsia="zh-CN"/>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p>
        </w:tc>
        <w:tc>
          <w:tcPr>
            <w:tcW w:w="150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lang w:eastAsia="zh-CN" w:bidi="ar"/>
              </w:rPr>
            </w:pPr>
          </w:p>
        </w:tc>
      </w:tr>
      <w:tr>
        <w:tblPrEx>
          <w:tblCellMar>
            <w:top w:w="0" w:type="dxa"/>
            <w:left w:w="108" w:type="dxa"/>
            <w:bottom w:w="0" w:type="dxa"/>
            <w:right w:w="108" w:type="dxa"/>
          </w:tblCellMar>
        </w:tblPrEx>
        <w:trPr>
          <w:trHeight w:val="594" w:hRule="atLeast"/>
          <w:jc w:val="center"/>
        </w:trPr>
        <w:tc>
          <w:tcPr>
            <w:tcW w:w="45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18"/>
                <w:szCs w:val="18"/>
                <w:lang w:eastAsia="zh-CN"/>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p>
        </w:tc>
        <w:tc>
          <w:tcPr>
            <w:tcW w:w="150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lang w:eastAsia="zh-CN" w:bidi="ar"/>
              </w:rPr>
            </w:pPr>
          </w:p>
        </w:tc>
      </w:tr>
      <w:tr>
        <w:tblPrEx>
          <w:tblCellMar>
            <w:top w:w="0" w:type="dxa"/>
            <w:left w:w="108" w:type="dxa"/>
            <w:bottom w:w="0" w:type="dxa"/>
            <w:right w:w="108" w:type="dxa"/>
          </w:tblCellMar>
        </w:tblPrEx>
        <w:trPr>
          <w:trHeight w:val="594" w:hRule="atLeast"/>
          <w:jc w:val="center"/>
        </w:trPr>
        <w:tc>
          <w:tcPr>
            <w:tcW w:w="45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18"/>
                <w:szCs w:val="18"/>
                <w:lang w:eastAsia="zh-CN"/>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p>
        </w:tc>
        <w:tc>
          <w:tcPr>
            <w:tcW w:w="150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lang w:eastAsia="zh-CN" w:bidi="ar"/>
              </w:rPr>
            </w:pPr>
          </w:p>
        </w:tc>
      </w:tr>
      <w:tr>
        <w:tblPrEx>
          <w:tblCellMar>
            <w:top w:w="0" w:type="dxa"/>
            <w:left w:w="108" w:type="dxa"/>
            <w:bottom w:w="0" w:type="dxa"/>
            <w:right w:w="108" w:type="dxa"/>
          </w:tblCellMar>
        </w:tblPrEx>
        <w:trPr>
          <w:trHeight w:val="594" w:hRule="atLeast"/>
          <w:jc w:val="center"/>
        </w:trPr>
        <w:tc>
          <w:tcPr>
            <w:tcW w:w="45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18"/>
                <w:szCs w:val="18"/>
                <w:lang w:eastAsia="zh-CN"/>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p>
        </w:tc>
        <w:tc>
          <w:tcPr>
            <w:tcW w:w="150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lang w:eastAsia="zh-CN" w:bidi="ar"/>
              </w:rPr>
            </w:pPr>
          </w:p>
        </w:tc>
      </w:tr>
      <w:tr>
        <w:tblPrEx>
          <w:tblCellMar>
            <w:top w:w="0" w:type="dxa"/>
            <w:left w:w="108" w:type="dxa"/>
            <w:bottom w:w="0" w:type="dxa"/>
            <w:right w:w="108" w:type="dxa"/>
          </w:tblCellMar>
        </w:tblPrEx>
        <w:trPr>
          <w:trHeight w:val="594" w:hRule="atLeast"/>
          <w:jc w:val="center"/>
        </w:trPr>
        <w:tc>
          <w:tcPr>
            <w:tcW w:w="45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合计</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val="en-US" w:eastAsia="zh-CN" w:bidi="ar"/>
              </w:rPr>
            </w:pPr>
            <w:r>
              <w:rPr>
                <w:rFonts w:hint="eastAsia" w:ascii="宋体" w:hAnsi="宋体" w:eastAsia="宋体" w:cs="宋体"/>
                <w:kern w:val="0"/>
                <w:lang w:val="en-US" w:eastAsia="zh-CN" w:bidi="ar"/>
              </w:rPr>
              <w:t>/</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lang w:eastAsia="zh-CN" w:bidi="ar"/>
              </w:rPr>
            </w:pPr>
          </w:p>
        </w:tc>
        <w:tc>
          <w:tcPr>
            <w:tcW w:w="150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lang w:eastAsia="zh-CN" w:bidi="ar"/>
              </w:rPr>
            </w:pPr>
          </w:p>
        </w:tc>
      </w:tr>
      <w:tr>
        <w:tblPrEx>
          <w:tblCellMar>
            <w:top w:w="0" w:type="dxa"/>
            <w:left w:w="108" w:type="dxa"/>
            <w:bottom w:w="0" w:type="dxa"/>
            <w:right w:w="108" w:type="dxa"/>
          </w:tblCellMar>
        </w:tblPrEx>
        <w:trPr>
          <w:trHeight w:val="594" w:hRule="atLeast"/>
          <w:jc w:val="center"/>
        </w:trPr>
        <w:tc>
          <w:tcPr>
            <w:tcW w:w="10280" w:type="dxa"/>
            <w:gridSpan w:val="4"/>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kern w:val="0"/>
                <w:lang w:eastAsia="zh-CN" w:bidi="ar"/>
              </w:rPr>
            </w:pPr>
            <w:r>
              <w:rPr>
                <w:rFonts w:hint="eastAsia" w:ascii="宋体" w:hAnsi="宋体" w:eastAsia="宋体" w:cs="宋体"/>
                <w:kern w:val="0"/>
                <w:sz w:val="18"/>
                <w:szCs w:val="18"/>
                <w:lang w:bidi="ar"/>
              </w:rPr>
              <w:t>备注：正数为正价差，负数为负价差。不含正价差代理费。</w:t>
            </w:r>
          </w:p>
        </w:tc>
      </w:tr>
    </w:tbl>
    <w:p>
      <w:pPr>
        <w:pStyle w:val="46"/>
        <w:ind w:firstLine="0"/>
        <w:jc w:val="center"/>
        <w:rPr>
          <w:rFonts w:ascii="仿宋_GB2312" w:hAnsi="仿宋_GB2312" w:eastAsia="仿宋_GB2312" w:cs="仿宋_GB2312"/>
          <w:sz w:val="32"/>
          <w:szCs w:val="32"/>
        </w:rPr>
      </w:pPr>
    </w:p>
    <w:p>
      <w:pPr>
        <w:pStyle w:val="2"/>
        <w:numPr>
          <w:ilvl w:val="0"/>
          <w:numId w:val="17"/>
        </w:numPr>
        <w:rPr>
          <w:rFonts w:hint="eastAsia"/>
          <w:lang w:eastAsia="zh-CN"/>
        </w:rPr>
        <w:sectPr>
          <w:pgSz w:w="11906" w:h="16838"/>
          <w:pgMar w:top="2098" w:right="1474" w:bottom="1984" w:left="1587" w:header="851" w:footer="992" w:gutter="0"/>
          <w:pgNumType w:fmt="decimal"/>
          <w:cols w:space="0" w:num="1"/>
          <w:docGrid w:type="lines" w:linePitch="319" w:charSpace="0"/>
        </w:sectPr>
      </w:pPr>
    </w:p>
    <w:p>
      <w:pPr>
        <w:spacing w:line="360" w:lineRule="exact"/>
        <w:rPr>
          <w:rFonts w:ascii="宋体" w:hAnsi="宋体"/>
          <w:szCs w:val="21"/>
          <w:u w:val="none"/>
        </w:rPr>
      </w:pPr>
    </w:p>
    <w:p>
      <w:pPr>
        <w:adjustRightInd w:val="0"/>
        <w:snapToGrid w:val="0"/>
        <w:spacing w:line="360" w:lineRule="auto"/>
        <w:ind w:right="24"/>
        <w:jc w:val="center"/>
        <w:outlineLvl w:val="1"/>
        <w:rPr>
          <w:rFonts w:hint="eastAsia" w:ascii="宋体" w:hAnsi="宋体" w:eastAsia="宋体" w:cs="宋体"/>
          <w:b/>
          <w:sz w:val="32"/>
          <w:szCs w:val="32"/>
          <w:u w:val="none"/>
          <w:lang w:eastAsia="zh-CN"/>
        </w:rPr>
      </w:pPr>
      <w:bookmarkStart w:id="128" w:name="_Toc17453"/>
      <w:bookmarkStart w:id="129" w:name="_Toc22739"/>
      <w:bookmarkStart w:id="130" w:name="_Toc9077"/>
      <w:bookmarkStart w:id="131" w:name="_Toc27585"/>
      <w:bookmarkStart w:id="132" w:name="_Toc27918"/>
      <w:r>
        <w:rPr>
          <w:rFonts w:hint="eastAsia" w:ascii="宋体" w:hAnsi="宋体" w:eastAsia="宋体" w:cs="宋体"/>
          <w:b/>
          <w:sz w:val="32"/>
          <w:szCs w:val="32"/>
          <w:u w:val="none"/>
          <w:lang w:eastAsia="zh-CN"/>
        </w:rPr>
        <w:t>八、关联发电企业一览表</w:t>
      </w:r>
      <w:bookmarkEnd w:id="128"/>
    </w:p>
    <w:p>
      <w:pPr>
        <w:pStyle w:val="46"/>
        <w:numPr>
          <w:ilvl w:val="0"/>
          <w:numId w:val="0"/>
        </w:numPr>
        <w:jc w:val="left"/>
        <w:rPr>
          <w:rFonts w:hint="eastAsia" w:ascii="宋体" w:hAnsi="宋体"/>
          <w:bCs/>
          <w:szCs w:val="21"/>
          <w:u w:val="none"/>
        </w:rPr>
      </w:pPr>
    </w:p>
    <w:p>
      <w:pPr>
        <w:pStyle w:val="46"/>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bCs/>
          <w:szCs w:val="21"/>
          <w:u w:val="none"/>
        </w:rPr>
      </w:pPr>
      <w:r>
        <w:rPr>
          <w:rFonts w:hint="eastAsia" w:ascii="宋体" w:hAnsi="宋体"/>
          <w:bCs/>
          <w:szCs w:val="21"/>
          <w:u w:val="none"/>
        </w:rPr>
        <w:t>根据本谈判文件</w:t>
      </w:r>
      <w:r>
        <w:rPr>
          <w:rFonts w:hint="eastAsia" w:ascii="宋体" w:hAnsi="宋体"/>
          <w:bCs/>
          <w:szCs w:val="21"/>
          <w:u w:val="none"/>
          <w:lang w:eastAsia="zh-CN"/>
        </w:rPr>
        <w:t>的</w:t>
      </w:r>
      <w:r>
        <w:rPr>
          <w:rFonts w:hint="eastAsia" w:ascii="宋体" w:hAnsi="宋体"/>
          <w:bCs/>
          <w:szCs w:val="21"/>
          <w:u w:val="none"/>
        </w:rPr>
        <w:t>要求，本章节须附下列证明文件：</w:t>
      </w:r>
    </w:p>
    <w:p>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pPr>
      <w:r>
        <w:rPr>
          <w:rFonts w:hint="eastAsia"/>
        </w:rPr>
        <w:t>1.</w:t>
      </w:r>
      <w:r>
        <w:t>须提供控股、合作等关联性证明文件，并加盖单位公章。关联发电企业以本项目谈判邀请公告截止之日止最新的《湖南电力交易中心有限公司电力市场交易公告》月度交易发电企业准入目录名单为准。</w:t>
      </w:r>
    </w:p>
    <w:p>
      <w:pPr>
        <w:pStyle w:val="46"/>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bCs/>
          <w:szCs w:val="21"/>
          <w:u w:val="none"/>
          <w:lang w:eastAsia="zh-CN"/>
        </w:rPr>
        <w:sectPr>
          <w:pgSz w:w="11906" w:h="16838"/>
          <w:pgMar w:top="2098" w:right="1474" w:bottom="1984" w:left="1587" w:header="851" w:footer="992" w:gutter="0"/>
          <w:pgNumType w:fmt="decimal"/>
          <w:cols w:space="0" w:num="1"/>
          <w:docGrid w:type="lines" w:linePitch="319" w:charSpace="0"/>
        </w:sectPr>
      </w:pPr>
      <w:r>
        <w:rPr>
          <w:rFonts w:hint="eastAsia" w:ascii="Times New Roman" w:hAnsi="Times New Roman" w:eastAsia="宋体" w:cs="Times New Roman"/>
          <w:sz w:val="21"/>
          <w:szCs w:val="21"/>
        </w:rPr>
        <w:t>2.新能源是指“风电、光伏、生物质和垃圾发电”。</w:t>
      </w:r>
    </w:p>
    <w:p>
      <w:pPr>
        <w:adjustRightInd w:val="0"/>
        <w:snapToGrid w:val="0"/>
        <w:spacing w:line="360" w:lineRule="auto"/>
        <w:ind w:right="24"/>
        <w:jc w:val="center"/>
        <w:outlineLvl w:val="1"/>
        <w:rPr>
          <w:rFonts w:hint="eastAsia" w:ascii="宋体" w:hAnsi="宋体" w:eastAsia="宋体" w:cs="宋体"/>
          <w:b/>
          <w:sz w:val="32"/>
          <w:szCs w:val="32"/>
          <w:u w:val="none"/>
          <w:lang w:eastAsia="zh-CN"/>
        </w:rPr>
      </w:pPr>
      <w:bookmarkStart w:id="133" w:name="_Toc2383"/>
      <w:r>
        <w:rPr>
          <w:rFonts w:hint="eastAsia" w:ascii="宋体" w:hAnsi="宋体" w:eastAsia="宋体" w:cs="宋体"/>
          <w:b/>
          <w:sz w:val="32"/>
          <w:szCs w:val="32"/>
          <w:u w:val="none"/>
          <w:lang w:eastAsia="zh-CN"/>
        </w:rPr>
        <w:t>九、关联发电企业电力市场内新能源装机容量一览表</w:t>
      </w:r>
      <w:bookmarkEnd w:id="133"/>
    </w:p>
    <w:p>
      <w:pPr>
        <w:pStyle w:val="46"/>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bCs/>
          <w:szCs w:val="21"/>
          <w:u w:val="none"/>
        </w:rPr>
      </w:pPr>
    </w:p>
    <w:p>
      <w:pPr>
        <w:pStyle w:val="46"/>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bCs/>
          <w:szCs w:val="21"/>
          <w:u w:val="none"/>
          <w:lang w:eastAsia="zh-CN"/>
        </w:rPr>
      </w:pPr>
      <w:r>
        <w:rPr>
          <w:rFonts w:hint="eastAsia" w:ascii="宋体" w:hAnsi="宋体" w:eastAsia="宋体"/>
          <w:bCs/>
          <w:szCs w:val="21"/>
          <w:u w:val="none"/>
        </w:rPr>
        <w:t>根据本谈判文件</w:t>
      </w:r>
      <w:r>
        <w:rPr>
          <w:rFonts w:hint="eastAsia" w:ascii="宋体" w:hAnsi="宋体" w:eastAsia="宋体"/>
          <w:bCs/>
          <w:szCs w:val="21"/>
          <w:u w:val="none"/>
          <w:lang w:eastAsia="zh-CN"/>
        </w:rPr>
        <w:t>的</w:t>
      </w:r>
      <w:r>
        <w:rPr>
          <w:rFonts w:hint="eastAsia" w:ascii="宋体" w:hAnsi="宋体" w:eastAsia="宋体"/>
          <w:bCs/>
          <w:szCs w:val="21"/>
          <w:u w:val="none"/>
        </w:rPr>
        <w:t>要求，本章节须附关联发电企业电力市场内新能源装机容量证明文件</w:t>
      </w:r>
      <w:r>
        <w:rPr>
          <w:rFonts w:hint="eastAsia" w:ascii="宋体" w:hAnsi="宋体" w:eastAsia="宋体"/>
          <w:bCs/>
          <w:szCs w:val="21"/>
          <w:u w:val="none"/>
          <w:lang w:eastAsia="zh-CN"/>
        </w:rPr>
        <w:t>，</w:t>
      </w:r>
      <w:r>
        <w:rPr>
          <w:rFonts w:hint="eastAsia" w:ascii="宋体" w:hAnsi="宋体" w:eastAsia="宋体"/>
          <w:bCs/>
          <w:szCs w:val="21"/>
          <w:u w:val="none"/>
        </w:rPr>
        <w:t>并加盖单位公章</w:t>
      </w:r>
      <w:r>
        <w:rPr>
          <w:rFonts w:hint="eastAsia" w:ascii="宋体" w:hAnsi="宋体" w:eastAsia="宋体"/>
          <w:bCs/>
          <w:szCs w:val="21"/>
          <w:u w:val="none"/>
          <w:lang w:eastAsia="zh-CN"/>
        </w:rPr>
        <w:t>。</w:t>
      </w:r>
    </w:p>
    <w:p>
      <w:pPr>
        <w:pStyle w:val="46"/>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bCs/>
          <w:szCs w:val="21"/>
          <w:u w:val="none"/>
          <w:lang w:val="en-US" w:eastAsia="zh-CN"/>
        </w:rPr>
      </w:pPr>
      <w:r>
        <w:rPr>
          <w:rFonts w:hint="eastAsia" w:ascii="宋体" w:hAnsi="宋体" w:eastAsia="宋体"/>
          <w:bCs/>
          <w:szCs w:val="21"/>
          <w:u w:val="none"/>
          <w:lang w:val="en-US" w:eastAsia="zh-CN"/>
        </w:rPr>
        <w:t>注：</w:t>
      </w:r>
    </w:p>
    <w:p>
      <w:pPr>
        <w:pStyle w:val="46"/>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bCs/>
          <w:szCs w:val="21"/>
          <w:u w:val="none"/>
        </w:rPr>
      </w:pPr>
      <w:r>
        <w:rPr>
          <w:rFonts w:hint="eastAsia" w:ascii="宋体" w:hAnsi="宋体" w:eastAsia="宋体"/>
          <w:bCs/>
          <w:szCs w:val="21"/>
          <w:u w:val="none"/>
          <w:lang w:val="en-US" w:eastAsia="zh-CN"/>
        </w:rPr>
        <w:t>1.</w:t>
      </w:r>
      <w:r>
        <w:rPr>
          <w:rFonts w:hint="eastAsia" w:ascii="宋体" w:hAnsi="宋体" w:eastAsia="宋体"/>
          <w:bCs/>
          <w:szCs w:val="21"/>
          <w:u w:val="none"/>
        </w:rPr>
        <w:t>新能源装机容量单位统一为“兆瓦”。</w:t>
      </w:r>
    </w:p>
    <w:p>
      <w:pPr>
        <w:pStyle w:val="46"/>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bCs/>
          <w:szCs w:val="21"/>
          <w:u w:val="none"/>
          <w:lang w:eastAsia="zh-CN"/>
        </w:rPr>
        <w:sectPr>
          <w:pgSz w:w="11906" w:h="16838"/>
          <w:pgMar w:top="2098" w:right="1474" w:bottom="1984" w:left="1587" w:header="851" w:footer="992" w:gutter="0"/>
          <w:pgNumType w:fmt="decimal"/>
          <w:cols w:space="0" w:num="1"/>
          <w:docGrid w:type="lines" w:linePitch="319" w:charSpace="0"/>
        </w:sectPr>
      </w:pPr>
      <w:r>
        <w:rPr>
          <w:rFonts w:hint="eastAsia" w:ascii="宋体" w:hAnsi="宋体" w:eastAsia="宋体"/>
          <w:bCs/>
          <w:szCs w:val="21"/>
          <w:u w:val="none"/>
          <w:lang w:val="en-US" w:eastAsia="zh-CN"/>
        </w:rPr>
        <w:t>2.</w:t>
      </w:r>
      <w:r>
        <w:rPr>
          <w:rFonts w:hint="eastAsia" w:ascii="宋体" w:hAnsi="宋体" w:eastAsia="宋体"/>
          <w:bCs/>
          <w:szCs w:val="21"/>
          <w:u w:val="none"/>
        </w:rPr>
        <w:t>.新能源是指“风电、光伏、生物质和垃圾发电”。</w:t>
      </w:r>
    </w:p>
    <w:p>
      <w:pPr>
        <w:adjustRightInd w:val="0"/>
        <w:snapToGrid w:val="0"/>
        <w:spacing w:line="360" w:lineRule="auto"/>
        <w:ind w:right="24"/>
        <w:jc w:val="center"/>
        <w:outlineLvl w:val="1"/>
        <w:rPr>
          <w:rFonts w:hint="eastAsia" w:ascii="宋体" w:hAnsi="宋体" w:eastAsia="宋体" w:cs="宋体"/>
          <w:b/>
          <w:sz w:val="32"/>
          <w:szCs w:val="32"/>
          <w:u w:val="none"/>
          <w:lang w:eastAsia="zh-CN"/>
        </w:rPr>
      </w:pPr>
      <w:bookmarkStart w:id="134" w:name="_Toc17468"/>
      <w:r>
        <w:rPr>
          <w:rFonts w:hint="eastAsia" w:ascii="宋体" w:hAnsi="宋体" w:eastAsia="宋体" w:cs="宋体"/>
          <w:b/>
          <w:sz w:val="32"/>
          <w:szCs w:val="32"/>
          <w:u w:val="none"/>
          <w:lang w:eastAsia="zh-CN"/>
        </w:rPr>
        <w:t>十、服务方案（如有）</w:t>
      </w:r>
      <w:bookmarkEnd w:id="134"/>
    </w:p>
    <w:p>
      <w:pPr>
        <w:adjustRightInd w:val="0"/>
        <w:snapToGrid w:val="0"/>
        <w:ind w:left="-88" w:leftChars="-42" w:firstLine="211" w:firstLineChars="100"/>
        <w:jc w:val="center"/>
        <w:rPr>
          <w:rFonts w:ascii="黑体" w:hAnsi="宋体" w:eastAsia="黑体"/>
          <w:b/>
          <w:bCs/>
          <w:szCs w:val="21"/>
          <w:u w:val="none"/>
        </w:rPr>
      </w:pPr>
    </w:p>
    <w:p>
      <w:pPr>
        <w:adjustRightInd w:val="0"/>
        <w:snapToGrid w:val="0"/>
        <w:rPr>
          <w:rFonts w:ascii="宋体" w:hAnsi="宋体"/>
          <w:b/>
          <w:szCs w:val="21"/>
          <w:u w:val="none"/>
        </w:rPr>
      </w:pPr>
      <w:r>
        <w:rPr>
          <w:rFonts w:hint="eastAsia" w:ascii="宋体" w:hAnsi="宋体"/>
          <w:b/>
          <w:szCs w:val="21"/>
          <w:u w:val="none"/>
        </w:rPr>
        <w:t>1.服务方案说明</w:t>
      </w:r>
    </w:p>
    <w:p>
      <w:pPr>
        <w:adjustRightInd w:val="0"/>
        <w:snapToGrid w:val="0"/>
        <w:spacing w:line="360" w:lineRule="auto"/>
        <w:ind w:firstLine="420" w:firstLineChars="200"/>
        <w:rPr>
          <w:rFonts w:ascii="宋体" w:hAnsi="宋体"/>
          <w:szCs w:val="21"/>
          <w:u w:val="none"/>
        </w:rPr>
      </w:pPr>
    </w:p>
    <w:p>
      <w:pPr>
        <w:adjustRightInd w:val="0"/>
        <w:snapToGrid w:val="0"/>
        <w:spacing w:line="360" w:lineRule="auto"/>
        <w:ind w:firstLine="420" w:firstLineChars="200"/>
        <w:rPr>
          <w:rFonts w:ascii="宋体" w:hAnsi="宋体"/>
          <w:szCs w:val="21"/>
          <w:u w:val="none"/>
        </w:rPr>
      </w:pPr>
      <w:r>
        <w:rPr>
          <w:rFonts w:hint="eastAsia" w:ascii="宋体" w:hAnsi="宋体"/>
          <w:szCs w:val="21"/>
          <w:u w:val="none"/>
        </w:rPr>
        <w:t>1.1谈判单位应根据“用户需求书”规定编写服务方案或服务大纲。</w:t>
      </w:r>
    </w:p>
    <w:p>
      <w:pPr>
        <w:adjustRightInd w:val="0"/>
        <w:snapToGrid w:val="0"/>
        <w:spacing w:line="360" w:lineRule="auto"/>
        <w:ind w:firstLine="420" w:firstLineChars="200"/>
        <w:rPr>
          <w:rFonts w:ascii="宋体" w:hAnsi="宋体"/>
          <w:szCs w:val="21"/>
          <w:u w:val="none"/>
        </w:rPr>
      </w:pPr>
      <w:r>
        <w:rPr>
          <w:rFonts w:hint="eastAsia" w:ascii="宋体" w:hAnsi="宋体"/>
          <w:szCs w:val="21"/>
          <w:u w:val="none"/>
        </w:rPr>
        <w:t>1.2服务方案或服务大纲应包括：(1)服务目标、范围和任务；(2)服务方案；(3)服务团队组织安排计划；(4)工作流程；(5)进度计划及保证措施；(6)质量保证措施；(7)合理化建议；(8)其他。</w:t>
      </w:r>
    </w:p>
    <w:p>
      <w:pPr>
        <w:adjustRightInd w:val="0"/>
        <w:snapToGrid w:val="0"/>
        <w:rPr>
          <w:rFonts w:ascii="宋体" w:hAnsi="宋体"/>
          <w:szCs w:val="21"/>
          <w:u w:val="none"/>
        </w:rPr>
      </w:pPr>
    </w:p>
    <w:p>
      <w:pPr>
        <w:adjustRightInd w:val="0"/>
        <w:snapToGrid w:val="0"/>
        <w:rPr>
          <w:rFonts w:ascii="宋体" w:hAnsi="宋体"/>
          <w:szCs w:val="21"/>
          <w:u w:val="none"/>
        </w:rPr>
      </w:pPr>
    </w:p>
    <w:p>
      <w:pPr>
        <w:adjustRightInd w:val="0"/>
        <w:snapToGrid w:val="0"/>
        <w:rPr>
          <w:rFonts w:ascii="宋体" w:hAnsi="宋体"/>
          <w:szCs w:val="21"/>
          <w:u w:val="none"/>
        </w:rPr>
      </w:pPr>
    </w:p>
    <w:p>
      <w:pPr>
        <w:adjustRightInd w:val="0"/>
        <w:snapToGrid w:val="0"/>
        <w:rPr>
          <w:rFonts w:ascii="宋体" w:hAnsi="宋体"/>
          <w:szCs w:val="21"/>
          <w:u w:val="none"/>
        </w:rPr>
      </w:pPr>
    </w:p>
    <w:p>
      <w:pPr>
        <w:adjustRightInd w:val="0"/>
        <w:snapToGrid w:val="0"/>
        <w:rPr>
          <w:rFonts w:ascii="宋体" w:hAnsi="宋体"/>
          <w:szCs w:val="21"/>
          <w:u w:val="none"/>
        </w:rPr>
      </w:pPr>
    </w:p>
    <w:p>
      <w:pPr>
        <w:adjustRightInd w:val="0"/>
        <w:snapToGrid w:val="0"/>
        <w:rPr>
          <w:rFonts w:ascii="宋体" w:hAnsi="宋体"/>
          <w:szCs w:val="21"/>
          <w:u w:val="none"/>
        </w:rPr>
      </w:pPr>
    </w:p>
    <w:p>
      <w:pPr>
        <w:adjustRightInd w:val="0"/>
        <w:snapToGrid w:val="0"/>
        <w:rPr>
          <w:rFonts w:ascii="宋体" w:hAnsi="宋体"/>
          <w:szCs w:val="21"/>
          <w:u w:val="none"/>
        </w:rPr>
      </w:pPr>
    </w:p>
    <w:p>
      <w:pPr>
        <w:adjustRightInd w:val="0"/>
        <w:snapToGrid w:val="0"/>
        <w:rPr>
          <w:rFonts w:ascii="宋体" w:hAnsi="宋体"/>
          <w:szCs w:val="21"/>
          <w:u w:val="none"/>
        </w:rPr>
      </w:pPr>
    </w:p>
    <w:p>
      <w:pPr>
        <w:adjustRightInd w:val="0"/>
        <w:snapToGrid w:val="0"/>
        <w:rPr>
          <w:rFonts w:ascii="宋体" w:hAnsi="宋体"/>
          <w:szCs w:val="21"/>
          <w:u w:val="none"/>
        </w:rPr>
      </w:pPr>
    </w:p>
    <w:p>
      <w:pPr>
        <w:adjustRightInd w:val="0"/>
        <w:snapToGrid w:val="0"/>
        <w:rPr>
          <w:rFonts w:ascii="宋体" w:hAnsi="宋体"/>
          <w:szCs w:val="21"/>
          <w:u w:val="none"/>
        </w:rPr>
      </w:pPr>
    </w:p>
    <w:p>
      <w:pPr>
        <w:adjustRightInd w:val="0"/>
        <w:snapToGrid w:val="0"/>
        <w:rPr>
          <w:rFonts w:ascii="宋体" w:hAnsi="宋体"/>
          <w:szCs w:val="21"/>
          <w:u w:val="none"/>
        </w:rPr>
      </w:pPr>
    </w:p>
    <w:p>
      <w:pPr>
        <w:adjustRightInd w:val="0"/>
        <w:snapToGrid w:val="0"/>
        <w:rPr>
          <w:rFonts w:ascii="宋体" w:hAnsi="宋体"/>
          <w:szCs w:val="21"/>
          <w:u w:val="none"/>
        </w:rPr>
      </w:pPr>
    </w:p>
    <w:p>
      <w:pPr>
        <w:adjustRightInd w:val="0"/>
        <w:snapToGrid w:val="0"/>
        <w:rPr>
          <w:rFonts w:ascii="宋体" w:hAnsi="宋体"/>
          <w:szCs w:val="21"/>
          <w:u w:val="none"/>
        </w:rPr>
      </w:pPr>
    </w:p>
    <w:p>
      <w:pPr>
        <w:adjustRightInd w:val="0"/>
        <w:snapToGrid w:val="0"/>
        <w:rPr>
          <w:rFonts w:ascii="宋体" w:hAnsi="宋体"/>
          <w:szCs w:val="21"/>
          <w:u w:val="none"/>
        </w:rPr>
      </w:pPr>
    </w:p>
    <w:p>
      <w:pPr>
        <w:pStyle w:val="27"/>
        <w:adjustRightInd w:val="0"/>
        <w:snapToGrid w:val="0"/>
        <w:spacing w:line="360" w:lineRule="auto"/>
        <w:rPr>
          <w:rFonts w:ascii="宋体" w:hAnsi="宋体"/>
          <w:bCs/>
          <w:sz w:val="21"/>
          <w:szCs w:val="21"/>
          <w:u w:val="none"/>
        </w:rPr>
      </w:pPr>
      <w:r>
        <w:rPr>
          <w:rFonts w:hint="eastAsia" w:ascii="宋体" w:hAnsi="宋体"/>
          <w:sz w:val="21"/>
          <w:szCs w:val="21"/>
          <w:u w:val="none"/>
        </w:rPr>
        <w:t xml:space="preserve">谈判单位名称：    （盖单位章）    </w:t>
      </w:r>
    </w:p>
    <w:p>
      <w:pPr>
        <w:adjustRightInd w:val="0"/>
        <w:snapToGrid w:val="0"/>
        <w:spacing w:line="360" w:lineRule="auto"/>
        <w:rPr>
          <w:rFonts w:ascii="宋体" w:hAnsi="宋体"/>
          <w:szCs w:val="21"/>
          <w:u w:val="none"/>
        </w:rPr>
      </w:pPr>
      <w:r>
        <w:rPr>
          <w:rFonts w:hint="eastAsia" w:ascii="宋体" w:hAnsi="宋体"/>
          <w:szCs w:val="21"/>
          <w:u w:val="none"/>
        </w:rPr>
        <w:t xml:space="preserve">法定代表人或其委托代理人(签字或盖章)：               </w:t>
      </w:r>
    </w:p>
    <w:p>
      <w:pPr>
        <w:spacing w:line="360" w:lineRule="exact"/>
        <w:rPr>
          <w:rFonts w:ascii="宋体" w:hAnsi="宋体"/>
          <w:szCs w:val="21"/>
          <w:u w:val="none"/>
        </w:rPr>
      </w:pPr>
      <w:r>
        <w:rPr>
          <w:rFonts w:hint="eastAsia" w:ascii="宋体" w:hAnsi="宋体"/>
          <w:szCs w:val="21"/>
          <w:u w:val="none"/>
        </w:rPr>
        <w:t>日期：   年   月   日</w:t>
      </w:r>
    </w:p>
    <w:p>
      <w:pPr>
        <w:pStyle w:val="46"/>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bCs/>
          <w:szCs w:val="21"/>
          <w:u w:val="none"/>
          <w:lang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eastAsia="宋体" w:cs="宋体"/>
          <w:b/>
          <w:sz w:val="32"/>
          <w:szCs w:val="32"/>
          <w:u w:val="none"/>
          <w:lang w:eastAsia="zh-CN"/>
        </w:rPr>
      </w:pPr>
      <w:bookmarkStart w:id="135" w:name="_Toc21544"/>
      <w:r>
        <w:rPr>
          <w:rFonts w:hint="eastAsia" w:ascii="宋体" w:hAnsi="宋体" w:eastAsia="宋体" w:cs="宋体"/>
          <w:b/>
          <w:sz w:val="32"/>
          <w:szCs w:val="32"/>
          <w:u w:val="none"/>
          <w:lang w:eastAsia="zh-CN"/>
        </w:rPr>
        <w:t>十一、其他资料</w:t>
      </w:r>
      <w:bookmarkEnd w:id="129"/>
      <w:bookmarkEnd w:id="130"/>
      <w:bookmarkEnd w:id="131"/>
      <w:r>
        <w:rPr>
          <w:rFonts w:hint="eastAsia" w:ascii="宋体" w:hAnsi="宋体" w:eastAsia="宋体" w:cs="宋体"/>
          <w:b/>
          <w:sz w:val="32"/>
          <w:szCs w:val="32"/>
          <w:u w:val="none"/>
          <w:lang w:eastAsia="zh-CN"/>
        </w:rPr>
        <w:t>（如有）</w:t>
      </w:r>
      <w:bookmarkEnd w:id="132"/>
      <w:bookmarkEnd w:id="135"/>
    </w:p>
    <w:p>
      <w:pPr>
        <w:adjustRightInd w:val="0"/>
        <w:snapToGrid w:val="0"/>
        <w:spacing w:before="159" w:beforeLines="50" w:line="360" w:lineRule="auto"/>
        <w:ind w:firstLine="420" w:firstLineChars="200"/>
        <w:jc w:val="left"/>
        <w:rPr>
          <w:rFonts w:ascii="宋体" w:hAnsi="宋体"/>
          <w:szCs w:val="21"/>
          <w:u w:val="none"/>
        </w:rPr>
      </w:pPr>
      <w:bookmarkStart w:id="136" w:name="_Toc10648"/>
      <w:bookmarkStart w:id="137" w:name="_Toc18188"/>
      <w:bookmarkStart w:id="138" w:name="_Toc22084"/>
      <w:bookmarkStart w:id="139" w:name="_Toc5412"/>
      <w:r>
        <w:rPr>
          <w:rFonts w:hint="eastAsia" w:ascii="宋体" w:hAnsi="宋体"/>
          <w:szCs w:val="21"/>
          <w:u w:val="none"/>
        </w:rPr>
        <w:t>谈判单位认为需要提供的其他报价资料，格式自拟。</w:t>
      </w:r>
      <w:bookmarkEnd w:id="136"/>
      <w:bookmarkEnd w:id="137"/>
      <w:bookmarkEnd w:id="138"/>
      <w:bookmarkEnd w:id="139"/>
    </w:p>
    <w:sectPr>
      <w:pgSz w:w="11906" w:h="16838"/>
      <w:pgMar w:top="2098" w:right="1474" w:bottom="1984" w:left="1587"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18</w:t>
                    </w:r>
                    <w:r>
                      <w:fldChar w:fldCharType="end"/>
                    </w:r>
                  </w:p>
                </w:txbxContent>
              </v:textbox>
            </v:shape>
          </w:pict>
        </mc:Fallback>
      </mc:AlternateConten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25</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hint="eastAsia" w:eastAsia="楷体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hint="eastAsia" w:eastAsia="楷体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1">
    <w:nsid w:val="B4CDEB94"/>
    <w:multiLevelType w:val="singleLevel"/>
    <w:tmpl w:val="B4CDEB94"/>
    <w:lvl w:ilvl="0" w:tentative="0">
      <w:start w:val="1"/>
      <w:numFmt w:val="decimal"/>
      <w:suff w:val="nothing"/>
      <w:lvlText w:val="%1．"/>
      <w:lvlJc w:val="left"/>
      <w:pPr>
        <w:ind w:left="0" w:firstLine="400"/>
      </w:pPr>
      <w:rPr>
        <w:rFonts w:hint="default"/>
      </w:rPr>
    </w:lvl>
  </w:abstractNum>
  <w:abstractNum w:abstractNumId="2">
    <w:nsid w:val="C29E6077"/>
    <w:multiLevelType w:val="singleLevel"/>
    <w:tmpl w:val="C29E6077"/>
    <w:lvl w:ilvl="0" w:tentative="0">
      <w:start w:val="1"/>
      <w:numFmt w:val="decimal"/>
      <w:lvlText w:val="(%1)"/>
      <w:lvlJc w:val="left"/>
      <w:pPr>
        <w:ind w:left="425" w:hanging="425"/>
      </w:pPr>
      <w:rPr>
        <w:rFonts w:hint="default"/>
      </w:rPr>
    </w:lvl>
  </w:abstractNum>
  <w:abstractNum w:abstractNumId="3">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4">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5">
    <w:nsid w:val="F90AF49E"/>
    <w:multiLevelType w:val="singleLevel"/>
    <w:tmpl w:val="F90AF49E"/>
    <w:lvl w:ilvl="0" w:tentative="0">
      <w:start w:val="1"/>
      <w:numFmt w:val="decimal"/>
      <w:suff w:val="nothing"/>
      <w:lvlText w:val="%1．"/>
      <w:lvlJc w:val="left"/>
      <w:pPr>
        <w:ind w:left="0" w:firstLine="400"/>
      </w:pPr>
      <w:rPr>
        <w:rFonts w:hint="default"/>
      </w:rPr>
    </w:lvl>
  </w:abstractNum>
  <w:abstractNum w:abstractNumId="6">
    <w:nsid w:val="FE293A88"/>
    <w:multiLevelType w:val="singleLevel"/>
    <w:tmpl w:val="FE293A88"/>
    <w:lvl w:ilvl="0" w:tentative="0">
      <w:start w:val="3"/>
      <w:numFmt w:val="chineseCounting"/>
      <w:pStyle w:val="359"/>
      <w:suff w:val="nothing"/>
      <w:lvlText w:val="%1、"/>
      <w:lvlJc w:val="left"/>
      <w:rPr>
        <w:rFonts w:hint="eastAsia"/>
      </w:rPr>
    </w:lvl>
  </w:abstractNum>
  <w:abstractNum w:abstractNumId="7">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8">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9">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2">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3">
    <w:nsid w:val="49773830"/>
    <w:multiLevelType w:val="singleLevel"/>
    <w:tmpl w:val="49773830"/>
    <w:lvl w:ilvl="0" w:tentative="0">
      <w:start w:val="1"/>
      <w:numFmt w:val="decimal"/>
      <w:suff w:val="nothing"/>
      <w:lvlText w:val="%1．"/>
      <w:lvlJc w:val="left"/>
      <w:pPr>
        <w:ind w:left="0" w:firstLine="400"/>
      </w:pPr>
      <w:rPr>
        <w:rFonts w:hint="default"/>
      </w:rPr>
    </w:lvl>
  </w:abstractNum>
  <w:abstractNum w:abstractNumId="14">
    <w:nsid w:val="4C4E39B4"/>
    <w:multiLevelType w:val="singleLevel"/>
    <w:tmpl w:val="4C4E39B4"/>
    <w:lvl w:ilvl="0" w:tentative="0">
      <w:start w:val="8"/>
      <w:numFmt w:val="chineseCounting"/>
      <w:suff w:val="nothing"/>
      <w:lvlText w:val="%1、"/>
      <w:lvlJc w:val="left"/>
      <w:rPr>
        <w:rFonts w:hint="eastAsia"/>
      </w:rPr>
    </w:lvl>
  </w:abstractNum>
  <w:abstractNum w:abstractNumId="1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16">
    <w:nsid w:val="66829DCA"/>
    <w:multiLevelType w:val="singleLevel"/>
    <w:tmpl w:val="66829DCA"/>
    <w:lvl w:ilvl="0" w:tentative="0">
      <w:start w:val="1"/>
      <w:numFmt w:val="decimal"/>
      <w:suff w:val="nothing"/>
      <w:lvlText w:val="%1．"/>
      <w:lvlJc w:val="left"/>
      <w:pPr>
        <w:ind w:left="0" w:firstLine="400"/>
      </w:pPr>
      <w:rPr>
        <w:rFonts w:hint="default"/>
      </w:rPr>
    </w:lvl>
  </w:abstractNum>
  <w:num w:numId="1">
    <w:abstractNumId w:val="7"/>
  </w:num>
  <w:num w:numId="2">
    <w:abstractNumId w:val="9"/>
  </w:num>
  <w:num w:numId="3">
    <w:abstractNumId w:val="6"/>
  </w:num>
  <w:num w:numId="4">
    <w:abstractNumId w:val="10"/>
  </w:num>
  <w:num w:numId="5">
    <w:abstractNumId w:val="15"/>
  </w:num>
  <w:num w:numId="6">
    <w:abstractNumId w:val="11"/>
  </w:num>
  <w:num w:numId="7">
    <w:abstractNumId w:val="0"/>
  </w:num>
  <w:num w:numId="8">
    <w:abstractNumId w:val="5"/>
  </w:num>
  <w:num w:numId="9">
    <w:abstractNumId w:val="8"/>
  </w:num>
  <w:num w:numId="10">
    <w:abstractNumId w:val="4"/>
  </w:num>
  <w:num w:numId="11">
    <w:abstractNumId w:val="1"/>
  </w:num>
  <w:num w:numId="12">
    <w:abstractNumId w:val="3"/>
  </w:num>
  <w:num w:numId="13">
    <w:abstractNumId w:val="13"/>
  </w:num>
  <w:num w:numId="14">
    <w:abstractNumId w:val="2"/>
  </w:num>
  <w:num w:numId="15">
    <w:abstractNumId w:val="12"/>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10"/>
  <w:drawingGridVerticalSpacing w:val="159"/>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0MDFjYzY1Y2EzNTgwY2JhMjNjZjNmNTViYTA2MjgifQ=="/>
  </w:docVars>
  <w:rsids>
    <w:rsidRoot w:val="0070784A"/>
    <w:rsid w:val="00005EC9"/>
    <w:rsid w:val="00006D21"/>
    <w:rsid w:val="00016902"/>
    <w:rsid w:val="000274C6"/>
    <w:rsid w:val="00052640"/>
    <w:rsid w:val="00063D15"/>
    <w:rsid w:val="00074928"/>
    <w:rsid w:val="00091C9D"/>
    <w:rsid w:val="000C106E"/>
    <w:rsid w:val="000C21C5"/>
    <w:rsid w:val="000E0193"/>
    <w:rsid w:val="000E7968"/>
    <w:rsid w:val="000F4DE1"/>
    <w:rsid w:val="00115FE6"/>
    <w:rsid w:val="00116BAE"/>
    <w:rsid w:val="001453A1"/>
    <w:rsid w:val="00162D59"/>
    <w:rsid w:val="00186162"/>
    <w:rsid w:val="0019086A"/>
    <w:rsid w:val="001C23BF"/>
    <w:rsid w:val="001D6D72"/>
    <w:rsid w:val="001E02FE"/>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68C0"/>
    <w:rsid w:val="00331810"/>
    <w:rsid w:val="003469C0"/>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53EE9"/>
    <w:rsid w:val="0045503A"/>
    <w:rsid w:val="0046304B"/>
    <w:rsid w:val="00473865"/>
    <w:rsid w:val="0048093D"/>
    <w:rsid w:val="00495DBC"/>
    <w:rsid w:val="00495F57"/>
    <w:rsid w:val="004978CA"/>
    <w:rsid w:val="004B3D80"/>
    <w:rsid w:val="004B41B1"/>
    <w:rsid w:val="00500B91"/>
    <w:rsid w:val="00504DED"/>
    <w:rsid w:val="00526589"/>
    <w:rsid w:val="00545140"/>
    <w:rsid w:val="0055214F"/>
    <w:rsid w:val="005556A5"/>
    <w:rsid w:val="0056117D"/>
    <w:rsid w:val="0056143E"/>
    <w:rsid w:val="005837A3"/>
    <w:rsid w:val="0058523E"/>
    <w:rsid w:val="0058754B"/>
    <w:rsid w:val="005C688B"/>
    <w:rsid w:val="005E6BBB"/>
    <w:rsid w:val="005F037B"/>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30CC6"/>
    <w:rsid w:val="00740D0D"/>
    <w:rsid w:val="007656DC"/>
    <w:rsid w:val="007821C6"/>
    <w:rsid w:val="0078370F"/>
    <w:rsid w:val="00787C0E"/>
    <w:rsid w:val="00793ABB"/>
    <w:rsid w:val="0079784E"/>
    <w:rsid w:val="007D0446"/>
    <w:rsid w:val="007F3811"/>
    <w:rsid w:val="00802770"/>
    <w:rsid w:val="0081382B"/>
    <w:rsid w:val="00820369"/>
    <w:rsid w:val="0084147A"/>
    <w:rsid w:val="00842E06"/>
    <w:rsid w:val="0084367C"/>
    <w:rsid w:val="008511F3"/>
    <w:rsid w:val="00864C78"/>
    <w:rsid w:val="008B6242"/>
    <w:rsid w:val="008C7C9F"/>
    <w:rsid w:val="008D7CB4"/>
    <w:rsid w:val="00901FFA"/>
    <w:rsid w:val="00915948"/>
    <w:rsid w:val="00923E97"/>
    <w:rsid w:val="009407F4"/>
    <w:rsid w:val="009955C7"/>
    <w:rsid w:val="009A5642"/>
    <w:rsid w:val="009B5270"/>
    <w:rsid w:val="009C10AF"/>
    <w:rsid w:val="009D41D7"/>
    <w:rsid w:val="009D7D4A"/>
    <w:rsid w:val="009E03FD"/>
    <w:rsid w:val="009E2384"/>
    <w:rsid w:val="00A34DC1"/>
    <w:rsid w:val="00A41E73"/>
    <w:rsid w:val="00A46FA2"/>
    <w:rsid w:val="00A618F2"/>
    <w:rsid w:val="00A61CCE"/>
    <w:rsid w:val="00A92B7C"/>
    <w:rsid w:val="00AA1709"/>
    <w:rsid w:val="00AA21B6"/>
    <w:rsid w:val="00AB013C"/>
    <w:rsid w:val="00AC26D2"/>
    <w:rsid w:val="00AD758B"/>
    <w:rsid w:val="00AF11ED"/>
    <w:rsid w:val="00B01BA0"/>
    <w:rsid w:val="00B2613B"/>
    <w:rsid w:val="00B32406"/>
    <w:rsid w:val="00B74689"/>
    <w:rsid w:val="00B82298"/>
    <w:rsid w:val="00B832A9"/>
    <w:rsid w:val="00B92FA2"/>
    <w:rsid w:val="00BD47EB"/>
    <w:rsid w:val="00BD51DE"/>
    <w:rsid w:val="00BE15B5"/>
    <w:rsid w:val="00C0069B"/>
    <w:rsid w:val="00C1468A"/>
    <w:rsid w:val="00C20479"/>
    <w:rsid w:val="00C21D69"/>
    <w:rsid w:val="00C24579"/>
    <w:rsid w:val="00C26D33"/>
    <w:rsid w:val="00C34E11"/>
    <w:rsid w:val="00C532E5"/>
    <w:rsid w:val="00C57914"/>
    <w:rsid w:val="00C6008B"/>
    <w:rsid w:val="00C668B4"/>
    <w:rsid w:val="00C758E3"/>
    <w:rsid w:val="00C84172"/>
    <w:rsid w:val="00CB534B"/>
    <w:rsid w:val="00CE51F2"/>
    <w:rsid w:val="00CE631C"/>
    <w:rsid w:val="00CE703D"/>
    <w:rsid w:val="00CF0192"/>
    <w:rsid w:val="00CF040C"/>
    <w:rsid w:val="00D069C6"/>
    <w:rsid w:val="00D164FE"/>
    <w:rsid w:val="00D31733"/>
    <w:rsid w:val="00D40D79"/>
    <w:rsid w:val="00D43330"/>
    <w:rsid w:val="00D45708"/>
    <w:rsid w:val="00D6362F"/>
    <w:rsid w:val="00D84A7F"/>
    <w:rsid w:val="00D95761"/>
    <w:rsid w:val="00D958E3"/>
    <w:rsid w:val="00DA51BD"/>
    <w:rsid w:val="00DE5673"/>
    <w:rsid w:val="00DF363F"/>
    <w:rsid w:val="00E24889"/>
    <w:rsid w:val="00E32EEF"/>
    <w:rsid w:val="00E342DB"/>
    <w:rsid w:val="00E5084D"/>
    <w:rsid w:val="00E74692"/>
    <w:rsid w:val="00E761DC"/>
    <w:rsid w:val="00E77817"/>
    <w:rsid w:val="00E944EE"/>
    <w:rsid w:val="00EC7F43"/>
    <w:rsid w:val="00EF6911"/>
    <w:rsid w:val="00F00894"/>
    <w:rsid w:val="00F02213"/>
    <w:rsid w:val="00F175B5"/>
    <w:rsid w:val="00F338DB"/>
    <w:rsid w:val="00F37996"/>
    <w:rsid w:val="00F410E0"/>
    <w:rsid w:val="00F52B22"/>
    <w:rsid w:val="00F579E9"/>
    <w:rsid w:val="00FA17B5"/>
    <w:rsid w:val="00FA6734"/>
    <w:rsid w:val="00FE331E"/>
    <w:rsid w:val="00FE3699"/>
    <w:rsid w:val="00FE6AFF"/>
    <w:rsid w:val="011E3D92"/>
    <w:rsid w:val="0123584C"/>
    <w:rsid w:val="01375331"/>
    <w:rsid w:val="01403F6F"/>
    <w:rsid w:val="014D6F55"/>
    <w:rsid w:val="01791910"/>
    <w:rsid w:val="01932790"/>
    <w:rsid w:val="01D94140"/>
    <w:rsid w:val="01EA6EEC"/>
    <w:rsid w:val="01F95304"/>
    <w:rsid w:val="01FA47FF"/>
    <w:rsid w:val="021B19D1"/>
    <w:rsid w:val="02263AD9"/>
    <w:rsid w:val="023870D5"/>
    <w:rsid w:val="024C0DC0"/>
    <w:rsid w:val="02787973"/>
    <w:rsid w:val="02787D91"/>
    <w:rsid w:val="029749D1"/>
    <w:rsid w:val="029A1968"/>
    <w:rsid w:val="02A84E4A"/>
    <w:rsid w:val="02AB7973"/>
    <w:rsid w:val="02BF5617"/>
    <w:rsid w:val="02DF0C01"/>
    <w:rsid w:val="02FB4FEB"/>
    <w:rsid w:val="03190CB5"/>
    <w:rsid w:val="036A7762"/>
    <w:rsid w:val="03727DAF"/>
    <w:rsid w:val="037C1244"/>
    <w:rsid w:val="03C055D4"/>
    <w:rsid w:val="03D41287"/>
    <w:rsid w:val="03F31A5E"/>
    <w:rsid w:val="03F91117"/>
    <w:rsid w:val="03FC0CEA"/>
    <w:rsid w:val="04107C23"/>
    <w:rsid w:val="04240981"/>
    <w:rsid w:val="042B3AFB"/>
    <w:rsid w:val="04EE0D07"/>
    <w:rsid w:val="05031B6B"/>
    <w:rsid w:val="054E6891"/>
    <w:rsid w:val="055967E4"/>
    <w:rsid w:val="057228FE"/>
    <w:rsid w:val="05CA44E8"/>
    <w:rsid w:val="05E36661"/>
    <w:rsid w:val="05EB6762"/>
    <w:rsid w:val="05F607BC"/>
    <w:rsid w:val="05F777CC"/>
    <w:rsid w:val="061842D1"/>
    <w:rsid w:val="062F07EF"/>
    <w:rsid w:val="067362CB"/>
    <w:rsid w:val="067428EB"/>
    <w:rsid w:val="0676319E"/>
    <w:rsid w:val="067B6F39"/>
    <w:rsid w:val="069C40D7"/>
    <w:rsid w:val="06A765D7"/>
    <w:rsid w:val="06C96275"/>
    <w:rsid w:val="06D118A6"/>
    <w:rsid w:val="06D605B3"/>
    <w:rsid w:val="07076C16"/>
    <w:rsid w:val="070C68F7"/>
    <w:rsid w:val="071C6A43"/>
    <w:rsid w:val="071F0B70"/>
    <w:rsid w:val="072B22BC"/>
    <w:rsid w:val="074C43F1"/>
    <w:rsid w:val="07650D5D"/>
    <w:rsid w:val="076619FA"/>
    <w:rsid w:val="07A76048"/>
    <w:rsid w:val="07B16F85"/>
    <w:rsid w:val="07C94578"/>
    <w:rsid w:val="08232382"/>
    <w:rsid w:val="08246E93"/>
    <w:rsid w:val="082F5114"/>
    <w:rsid w:val="083D23B2"/>
    <w:rsid w:val="08534C69"/>
    <w:rsid w:val="086136BB"/>
    <w:rsid w:val="08786792"/>
    <w:rsid w:val="08807627"/>
    <w:rsid w:val="08832554"/>
    <w:rsid w:val="0896057A"/>
    <w:rsid w:val="089F6734"/>
    <w:rsid w:val="08D54CEA"/>
    <w:rsid w:val="093252EE"/>
    <w:rsid w:val="09422E59"/>
    <w:rsid w:val="094A4EE7"/>
    <w:rsid w:val="0959407C"/>
    <w:rsid w:val="095E38C5"/>
    <w:rsid w:val="097D1C20"/>
    <w:rsid w:val="098A3350"/>
    <w:rsid w:val="09A23D38"/>
    <w:rsid w:val="09AB154E"/>
    <w:rsid w:val="09B259BF"/>
    <w:rsid w:val="0A0A57FB"/>
    <w:rsid w:val="0A2948BE"/>
    <w:rsid w:val="0A316A36"/>
    <w:rsid w:val="0A451CA7"/>
    <w:rsid w:val="0A57416B"/>
    <w:rsid w:val="0A5B6057"/>
    <w:rsid w:val="0A6F1B02"/>
    <w:rsid w:val="0AA7304A"/>
    <w:rsid w:val="0AE24958"/>
    <w:rsid w:val="0AF46E84"/>
    <w:rsid w:val="0AF74A1D"/>
    <w:rsid w:val="0B2D2864"/>
    <w:rsid w:val="0B4432D5"/>
    <w:rsid w:val="0B590F4A"/>
    <w:rsid w:val="0B8511E8"/>
    <w:rsid w:val="0B8E420A"/>
    <w:rsid w:val="0BA81653"/>
    <w:rsid w:val="0BAA700E"/>
    <w:rsid w:val="0BD7795F"/>
    <w:rsid w:val="0BEB10E2"/>
    <w:rsid w:val="0C1A66D1"/>
    <w:rsid w:val="0C411CD0"/>
    <w:rsid w:val="0C596A1F"/>
    <w:rsid w:val="0C5B1FA9"/>
    <w:rsid w:val="0C8E4136"/>
    <w:rsid w:val="0CA062F8"/>
    <w:rsid w:val="0CED2457"/>
    <w:rsid w:val="0D165872"/>
    <w:rsid w:val="0D232FE9"/>
    <w:rsid w:val="0D2C1377"/>
    <w:rsid w:val="0D5C5AB2"/>
    <w:rsid w:val="0D614F04"/>
    <w:rsid w:val="0D691927"/>
    <w:rsid w:val="0D6A4C3D"/>
    <w:rsid w:val="0D6B79A8"/>
    <w:rsid w:val="0D894C89"/>
    <w:rsid w:val="0D904269"/>
    <w:rsid w:val="0DB37F58"/>
    <w:rsid w:val="0DBD7268"/>
    <w:rsid w:val="0DCC335E"/>
    <w:rsid w:val="0DF87606"/>
    <w:rsid w:val="0E04554D"/>
    <w:rsid w:val="0E0C0187"/>
    <w:rsid w:val="0E197CD6"/>
    <w:rsid w:val="0E3C619F"/>
    <w:rsid w:val="0E4137B5"/>
    <w:rsid w:val="0E720AFA"/>
    <w:rsid w:val="0E760DED"/>
    <w:rsid w:val="0E94477A"/>
    <w:rsid w:val="0EA93835"/>
    <w:rsid w:val="0EBC2000"/>
    <w:rsid w:val="0F143C2E"/>
    <w:rsid w:val="0F340DCE"/>
    <w:rsid w:val="0F3918CC"/>
    <w:rsid w:val="0F397095"/>
    <w:rsid w:val="0F4006B3"/>
    <w:rsid w:val="0F904BE6"/>
    <w:rsid w:val="0FD663C6"/>
    <w:rsid w:val="0FEA3549"/>
    <w:rsid w:val="0FED06EC"/>
    <w:rsid w:val="0FF52AA9"/>
    <w:rsid w:val="10044A9B"/>
    <w:rsid w:val="1008523D"/>
    <w:rsid w:val="101443B8"/>
    <w:rsid w:val="10190CBD"/>
    <w:rsid w:val="102D14D1"/>
    <w:rsid w:val="106119F9"/>
    <w:rsid w:val="108711C7"/>
    <w:rsid w:val="10A05079"/>
    <w:rsid w:val="10BB784F"/>
    <w:rsid w:val="10D355A2"/>
    <w:rsid w:val="1102722C"/>
    <w:rsid w:val="113118BF"/>
    <w:rsid w:val="11342822"/>
    <w:rsid w:val="11627CCB"/>
    <w:rsid w:val="1165541F"/>
    <w:rsid w:val="117935E0"/>
    <w:rsid w:val="118640B3"/>
    <w:rsid w:val="11FB35F8"/>
    <w:rsid w:val="121F52D5"/>
    <w:rsid w:val="12321665"/>
    <w:rsid w:val="123C49C0"/>
    <w:rsid w:val="12440908"/>
    <w:rsid w:val="12492C39"/>
    <w:rsid w:val="126C7EC0"/>
    <w:rsid w:val="1277417D"/>
    <w:rsid w:val="12BE7F96"/>
    <w:rsid w:val="12E70400"/>
    <w:rsid w:val="12F068F7"/>
    <w:rsid w:val="12F745E0"/>
    <w:rsid w:val="12F96D8F"/>
    <w:rsid w:val="1319085D"/>
    <w:rsid w:val="13286CF2"/>
    <w:rsid w:val="13294F44"/>
    <w:rsid w:val="133B07D3"/>
    <w:rsid w:val="1342515B"/>
    <w:rsid w:val="1356443E"/>
    <w:rsid w:val="135A67EC"/>
    <w:rsid w:val="1360694E"/>
    <w:rsid w:val="136253A7"/>
    <w:rsid w:val="136544CD"/>
    <w:rsid w:val="13A72C3B"/>
    <w:rsid w:val="13A934D3"/>
    <w:rsid w:val="13C0328F"/>
    <w:rsid w:val="13C719E1"/>
    <w:rsid w:val="13DC2553"/>
    <w:rsid w:val="14215CAB"/>
    <w:rsid w:val="142F3F7D"/>
    <w:rsid w:val="14760CCE"/>
    <w:rsid w:val="149B2B25"/>
    <w:rsid w:val="149C34F4"/>
    <w:rsid w:val="149D261B"/>
    <w:rsid w:val="157939BE"/>
    <w:rsid w:val="15836462"/>
    <w:rsid w:val="15B360ED"/>
    <w:rsid w:val="15CA4090"/>
    <w:rsid w:val="15E46AEA"/>
    <w:rsid w:val="15E73C5F"/>
    <w:rsid w:val="15F25C65"/>
    <w:rsid w:val="161C194F"/>
    <w:rsid w:val="165805AA"/>
    <w:rsid w:val="167D6633"/>
    <w:rsid w:val="1695644C"/>
    <w:rsid w:val="16A6065A"/>
    <w:rsid w:val="16C7330C"/>
    <w:rsid w:val="16CE41FA"/>
    <w:rsid w:val="16E77616"/>
    <w:rsid w:val="16E80C72"/>
    <w:rsid w:val="16F862E2"/>
    <w:rsid w:val="170B4961"/>
    <w:rsid w:val="172D2B29"/>
    <w:rsid w:val="176159C8"/>
    <w:rsid w:val="17762075"/>
    <w:rsid w:val="17C50F2C"/>
    <w:rsid w:val="17C57205"/>
    <w:rsid w:val="17CB2366"/>
    <w:rsid w:val="186407CC"/>
    <w:rsid w:val="1871686D"/>
    <w:rsid w:val="187F73B4"/>
    <w:rsid w:val="188416DE"/>
    <w:rsid w:val="188542AB"/>
    <w:rsid w:val="1888103C"/>
    <w:rsid w:val="18940F06"/>
    <w:rsid w:val="189E1726"/>
    <w:rsid w:val="18AE213F"/>
    <w:rsid w:val="18EF3A7F"/>
    <w:rsid w:val="19160AEA"/>
    <w:rsid w:val="19202945"/>
    <w:rsid w:val="19266EAE"/>
    <w:rsid w:val="193E61A9"/>
    <w:rsid w:val="1977008B"/>
    <w:rsid w:val="19A52E4A"/>
    <w:rsid w:val="19AC41D9"/>
    <w:rsid w:val="19B175FE"/>
    <w:rsid w:val="19BA2DA6"/>
    <w:rsid w:val="19CB3F91"/>
    <w:rsid w:val="19D43730"/>
    <w:rsid w:val="19E17184"/>
    <w:rsid w:val="19E716B5"/>
    <w:rsid w:val="19FB2C3C"/>
    <w:rsid w:val="1A1B5EE6"/>
    <w:rsid w:val="1A351A94"/>
    <w:rsid w:val="1A3B188F"/>
    <w:rsid w:val="1A416618"/>
    <w:rsid w:val="1A4F4961"/>
    <w:rsid w:val="1A527E86"/>
    <w:rsid w:val="1A5F0DA7"/>
    <w:rsid w:val="1A8011C2"/>
    <w:rsid w:val="1A864FC7"/>
    <w:rsid w:val="1A967D50"/>
    <w:rsid w:val="1A970FB3"/>
    <w:rsid w:val="1AAB45F6"/>
    <w:rsid w:val="1AC83294"/>
    <w:rsid w:val="1ADC4BA2"/>
    <w:rsid w:val="1AF205C1"/>
    <w:rsid w:val="1AFA5418"/>
    <w:rsid w:val="1B106349"/>
    <w:rsid w:val="1B133EBD"/>
    <w:rsid w:val="1B3F107D"/>
    <w:rsid w:val="1B4A3CA9"/>
    <w:rsid w:val="1B524AC2"/>
    <w:rsid w:val="1B791B76"/>
    <w:rsid w:val="1BB6133F"/>
    <w:rsid w:val="1BBD3D34"/>
    <w:rsid w:val="1BBE13E9"/>
    <w:rsid w:val="1BC54211"/>
    <w:rsid w:val="1BCC07FF"/>
    <w:rsid w:val="1BED31A7"/>
    <w:rsid w:val="1C2416AE"/>
    <w:rsid w:val="1C2D03AA"/>
    <w:rsid w:val="1C60574F"/>
    <w:rsid w:val="1C694603"/>
    <w:rsid w:val="1CB3587E"/>
    <w:rsid w:val="1CD56934"/>
    <w:rsid w:val="1CE400B3"/>
    <w:rsid w:val="1CE442E3"/>
    <w:rsid w:val="1D012A8E"/>
    <w:rsid w:val="1D0B7468"/>
    <w:rsid w:val="1D1736BA"/>
    <w:rsid w:val="1D2119DA"/>
    <w:rsid w:val="1D2530AE"/>
    <w:rsid w:val="1D481945"/>
    <w:rsid w:val="1D497F91"/>
    <w:rsid w:val="1D6651E0"/>
    <w:rsid w:val="1D9F6122"/>
    <w:rsid w:val="1DE63A32"/>
    <w:rsid w:val="1DEB189E"/>
    <w:rsid w:val="1E2B1E83"/>
    <w:rsid w:val="1E453774"/>
    <w:rsid w:val="1E58492F"/>
    <w:rsid w:val="1E5B7F7C"/>
    <w:rsid w:val="1E5E5C12"/>
    <w:rsid w:val="1E7277E4"/>
    <w:rsid w:val="1E8D7EC4"/>
    <w:rsid w:val="1E9811D0"/>
    <w:rsid w:val="1EB05FC3"/>
    <w:rsid w:val="1EB06519"/>
    <w:rsid w:val="1EB57C64"/>
    <w:rsid w:val="1EB75293"/>
    <w:rsid w:val="1EDA17E8"/>
    <w:rsid w:val="1EDD61C5"/>
    <w:rsid w:val="1EDE506D"/>
    <w:rsid w:val="1EE456C8"/>
    <w:rsid w:val="1EFA23B0"/>
    <w:rsid w:val="1F1C3BAF"/>
    <w:rsid w:val="1F2F00D5"/>
    <w:rsid w:val="1F3031B6"/>
    <w:rsid w:val="1F375C0D"/>
    <w:rsid w:val="1F3D0CE1"/>
    <w:rsid w:val="1F444EB4"/>
    <w:rsid w:val="1F541C2F"/>
    <w:rsid w:val="1FA7260B"/>
    <w:rsid w:val="1FCC5AE8"/>
    <w:rsid w:val="1FEE3736"/>
    <w:rsid w:val="2034266D"/>
    <w:rsid w:val="20441BF7"/>
    <w:rsid w:val="20567811"/>
    <w:rsid w:val="206472BB"/>
    <w:rsid w:val="207B20B8"/>
    <w:rsid w:val="20AE2C72"/>
    <w:rsid w:val="20B47E17"/>
    <w:rsid w:val="20C87EE6"/>
    <w:rsid w:val="20DF6696"/>
    <w:rsid w:val="21156537"/>
    <w:rsid w:val="21584C46"/>
    <w:rsid w:val="218469C1"/>
    <w:rsid w:val="21FB6487"/>
    <w:rsid w:val="22511F8F"/>
    <w:rsid w:val="22590C76"/>
    <w:rsid w:val="225B5552"/>
    <w:rsid w:val="22620C72"/>
    <w:rsid w:val="22753215"/>
    <w:rsid w:val="22754B37"/>
    <w:rsid w:val="22AE5F02"/>
    <w:rsid w:val="22B71369"/>
    <w:rsid w:val="22E54FD6"/>
    <w:rsid w:val="231F3C6E"/>
    <w:rsid w:val="23305E7B"/>
    <w:rsid w:val="23641680"/>
    <w:rsid w:val="23B24AE2"/>
    <w:rsid w:val="23D26F32"/>
    <w:rsid w:val="23F724F4"/>
    <w:rsid w:val="24207C9D"/>
    <w:rsid w:val="2432177F"/>
    <w:rsid w:val="243A6885"/>
    <w:rsid w:val="244A7E06"/>
    <w:rsid w:val="24552B00"/>
    <w:rsid w:val="24582CE4"/>
    <w:rsid w:val="246C3202"/>
    <w:rsid w:val="2483022C"/>
    <w:rsid w:val="24CD7C86"/>
    <w:rsid w:val="250462EA"/>
    <w:rsid w:val="252D7657"/>
    <w:rsid w:val="25355DF2"/>
    <w:rsid w:val="25390605"/>
    <w:rsid w:val="253A3746"/>
    <w:rsid w:val="25671777"/>
    <w:rsid w:val="256C29A0"/>
    <w:rsid w:val="25716113"/>
    <w:rsid w:val="25752417"/>
    <w:rsid w:val="25933BDB"/>
    <w:rsid w:val="25B66BA8"/>
    <w:rsid w:val="25C37B84"/>
    <w:rsid w:val="25E70ABF"/>
    <w:rsid w:val="262732E8"/>
    <w:rsid w:val="266E4660"/>
    <w:rsid w:val="26A45747"/>
    <w:rsid w:val="26B20955"/>
    <w:rsid w:val="26CF4594"/>
    <w:rsid w:val="271E4DAB"/>
    <w:rsid w:val="27255727"/>
    <w:rsid w:val="274759C4"/>
    <w:rsid w:val="274B7559"/>
    <w:rsid w:val="278E4F1E"/>
    <w:rsid w:val="27944F81"/>
    <w:rsid w:val="27BF157B"/>
    <w:rsid w:val="27FA6A57"/>
    <w:rsid w:val="28166B73"/>
    <w:rsid w:val="282442D9"/>
    <w:rsid w:val="284367B5"/>
    <w:rsid w:val="285718A5"/>
    <w:rsid w:val="28EB4C69"/>
    <w:rsid w:val="28F865CB"/>
    <w:rsid w:val="29053276"/>
    <w:rsid w:val="29250E1B"/>
    <w:rsid w:val="292A336C"/>
    <w:rsid w:val="295A53EB"/>
    <w:rsid w:val="297665B1"/>
    <w:rsid w:val="29802F8C"/>
    <w:rsid w:val="29803AA3"/>
    <w:rsid w:val="29884B07"/>
    <w:rsid w:val="298957C4"/>
    <w:rsid w:val="29BD5F8E"/>
    <w:rsid w:val="29DF4E52"/>
    <w:rsid w:val="2A1D6A45"/>
    <w:rsid w:val="2A2102CB"/>
    <w:rsid w:val="2A6F6EBA"/>
    <w:rsid w:val="2A774E1D"/>
    <w:rsid w:val="2A830C79"/>
    <w:rsid w:val="2A8D5961"/>
    <w:rsid w:val="2AD11736"/>
    <w:rsid w:val="2AE65071"/>
    <w:rsid w:val="2B0E0405"/>
    <w:rsid w:val="2B1029CF"/>
    <w:rsid w:val="2B1D6E88"/>
    <w:rsid w:val="2B1F7D54"/>
    <w:rsid w:val="2B2032D9"/>
    <w:rsid w:val="2B4D51E4"/>
    <w:rsid w:val="2B5F0E77"/>
    <w:rsid w:val="2B7F64C1"/>
    <w:rsid w:val="2BA3212D"/>
    <w:rsid w:val="2BE7007A"/>
    <w:rsid w:val="2BFE408A"/>
    <w:rsid w:val="2C234403"/>
    <w:rsid w:val="2C916010"/>
    <w:rsid w:val="2CA927FA"/>
    <w:rsid w:val="2CDF0482"/>
    <w:rsid w:val="2D22640D"/>
    <w:rsid w:val="2D464D5F"/>
    <w:rsid w:val="2D4E5097"/>
    <w:rsid w:val="2D592D22"/>
    <w:rsid w:val="2D8C0151"/>
    <w:rsid w:val="2DA27975"/>
    <w:rsid w:val="2DFB00B5"/>
    <w:rsid w:val="2E474078"/>
    <w:rsid w:val="2E556795"/>
    <w:rsid w:val="2E697CA3"/>
    <w:rsid w:val="2E6D4E98"/>
    <w:rsid w:val="2E7931EC"/>
    <w:rsid w:val="2E7B0389"/>
    <w:rsid w:val="2E944745"/>
    <w:rsid w:val="2E9705D3"/>
    <w:rsid w:val="2E9C3022"/>
    <w:rsid w:val="2E9F2106"/>
    <w:rsid w:val="2EBC6814"/>
    <w:rsid w:val="2EBE0475"/>
    <w:rsid w:val="2EC1790D"/>
    <w:rsid w:val="2ED718A0"/>
    <w:rsid w:val="2EE23871"/>
    <w:rsid w:val="2EE71A9D"/>
    <w:rsid w:val="2EEF6BEA"/>
    <w:rsid w:val="2F1D1D68"/>
    <w:rsid w:val="2F2A65B2"/>
    <w:rsid w:val="2F6C2DFA"/>
    <w:rsid w:val="2FAD2438"/>
    <w:rsid w:val="2FC811E9"/>
    <w:rsid w:val="3022617D"/>
    <w:rsid w:val="303E6666"/>
    <w:rsid w:val="30464B56"/>
    <w:rsid w:val="30473068"/>
    <w:rsid w:val="307C2C0D"/>
    <w:rsid w:val="30896BCA"/>
    <w:rsid w:val="308C66BA"/>
    <w:rsid w:val="30967620"/>
    <w:rsid w:val="30BD1FE5"/>
    <w:rsid w:val="30F36C74"/>
    <w:rsid w:val="30F90CD1"/>
    <w:rsid w:val="30F9318B"/>
    <w:rsid w:val="31272F44"/>
    <w:rsid w:val="31605B7D"/>
    <w:rsid w:val="31662A68"/>
    <w:rsid w:val="316B62D0"/>
    <w:rsid w:val="31936105"/>
    <w:rsid w:val="319475D5"/>
    <w:rsid w:val="31A57A34"/>
    <w:rsid w:val="31AE740B"/>
    <w:rsid w:val="31B658D4"/>
    <w:rsid w:val="31B9385A"/>
    <w:rsid w:val="32316E69"/>
    <w:rsid w:val="325B404D"/>
    <w:rsid w:val="32887E5F"/>
    <w:rsid w:val="329A50AF"/>
    <w:rsid w:val="329E5AD1"/>
    <w:rsid w:val="329E6A56"/>
    <w:rsid w:val="32B169BA"/>
    <w:rsid w:val="32C02899"/>
    <w:rsid w:val="32CC51E5"/>
    <w:rsid w:val="32E6051A"/>
    <w:rsid w:val="32F02F31"/>
    <w:rsid w:val="32F33B15"/>
    <w:rsid w:val="330B7D6A"/>
    <w:rsid w:val="332A2B6E"/>
    <w:rsid w:val="332B5568"/>
    <w:rsid w:val="335A3660"/>
    <w:rsid w:val="33753436"/>
    <w:rsid w:val="33A40443"/>
    <w:rsid w:val="33A718ED"/>
    <w:rsid w:val="33AA3E3F"/>
    <w:rsid w:val="33C61EE3"/>
    <w:rsid w:val="33EF143A"/>
    <w:rsid w:val="3402290E"/>
    <w:rsid w:val="341D5FA7"/>
    <w:rsid w:val="344A35D0"/>
    <w:rsid w:val="34873182"/>
    <w:rsid w:val="34AC6BE3"/>
    <w:rsid w:val="34EB329F"/>
    <w:rsid w:val="34F942C8"/>
    <w:rsid w:val="34FE1F7D"/>
    <w:rsid w:val="35270865"/>
    <w:rsid w:val="356F6C4A"/>
    <w:rsid w:val="35A87AF3"/>
    <w:rsid w:val="35C42A65"/>
    <w:rsid w:val="36041B6D"/>
    <w:rsid w:val="3609516B"/>
    <w:rsid w:val="361B7BDC"/>
    <w:rsid w:val="364221AD"/>
    <w:rsid w:val="36627D01"/>
    <w:rsid w:val="36AC6FD2"/>
    <w:rsid w:val="36AE45FE"/>
    <w:rsid w:val="36D4159F"/>
    <w:rsid w:val="36E67798"/>
    <w:rsid w:val="36E7289C"/>
    <w:rsid w:val="36FF0DB1"/>
    <w:rsid w:val="37067020"/>
    <w:rsid w:val="372649E2"/>
    <w:rsid w:val="372C02AF"/>
    <w:rsid w:val="372C59AA"/>
    <w:rsid w:val="372E2279"/>
    <w:rsid w:val="373000B7"/>
    <w:rsid w:val="37412D8C"/>
    <w:rsid w:val="37424DCB"/>
    <w:rsid w:val="377A54BF"/>
    <w:rsid w:val="37824D2F"/>
    <w:rsid w:val="37963F54"/>
    <w:rsid w:val="379A6B89"/>
    <w:rsid w:val="37B7401D"/>
    <w:rsid w:val="37BF2E3D"/>
    <w:rsid w:val="37D107AA"/>
    <w:rsid w:val="37FD7E74"/>
    <w:rsid w:val="380A6843"/>
    <w:rsid w:val="3843710D"/>
    <w:rsid w:val="38926D93"/>
    <w:rsid w:val="38B04B0E"/>
    <w:rsid w:val="38E54BBA"/>
    <w:rsid w:val="38FD54AF"/>
    <w:rsid w:val="390741E5"/>
    <w:rsid w:val="391F264A"/>
    <w:rsid w:val="39243472"/>
    <w:rsid w:val="392B2144"/>
    <w:rsid w:val="394205BC"/>
    <w:rsid w:val="3997588E"/>
    <w:rsid w:val="39B46D56"/>
    <w:rsid w:val="39C828E7"/>
    <w:rsid w:val="39DD557C"/>
    <w:rsid w:val="39F552D0"/>
    <w:rsid w:val="39FC4298"/>
    <w:rsid w:val="3A4536A9"/>
    <w:rsid w:val="3A552184"/>
    <w:rsid w:val="3A60099C"/>
    <w:rsid w:val="3A800711"/>
    <w:rsid w:val="3A810CA0"/>
    <w:rsid w:val="3A96496C"/>
    <w:rsid w:val="3A9F3479"/>
    <w:rsid w:val="3ABC7EEE"/>
    <w:rsid w:val="3AC0768C"/>
    <w:rsid w:val="3AED2009"/>
    <w:rsid w:val="3B1939D0"/>
    <w:rsid w:val="3B581890"/>
    <w:rsid w:val="3BA96372"/>
    <w:rsid w:val="3BAB26D3"/>
    <w:rsid w:val="3BD009CC"/>
    <w:rsid w:val="3BDE0A34"/>
    <w:rsid w:val="3BF45BDB"/>
    <w:rsid w:val="3C0812EB"/>
    <w:rsid w:val="3C2B1FE6"/>
    <w:rsid w:val="3C541C9F"/>
    <w:rsid w:val="3C8779B9"/>
    <w:rsid w:val="3C8B2C2B"/>
    <w:rsid w:val="3C940215"/>
    <w:rsid w:val="3C9F058C"/>
    <w:rsid w:val="3CA60B04"/>
    <w:rsid w:val="3CB74ABF"/>
    <w:rsid w:val="3CC97C4F"/>
    <w:rsid w:val="3CCA29EB"/>
    <w:rsid w:val="3CCC5DBF"/>
    <w:rsid w:val="3D3B124C"/>
    <w:rsid w:val="3D3F2BE0"/>
    <w:rsid w:val="3D497E6A"/>
    <w:rsid w:val="3D567E34"/>
    <w:rsid w:val="3D634958"/>
    <w:rsid w:val="3D6C6B53"/>
    <w:rsid w:val="3D8A01C7"/>
    <w:rsid w:val="3D8C6BB2"/>
    <w:rsid w:val="3D987150"/>
    <w:rsid w:val="3D9D71C0"/>
    <w:rsid w:val="3D9E333B"/>
    <w:rsid w:val="3DBC00BF"/>
    <w:rsid w:val="3DCB1A6B"/>
    <w:rsid w:val="3DED30AA"/>
    <w:rsid w:val="3DFF671E"/>
    <w:rsid w:val="3E3102BB"/>
    <w:rsid w:val="3E614AA5"/>
    <w:rsid w:val="3E704F26"/>
    <w:rsid w:val="3EB02545"/>
    <w:rsid w:val="3EB21D54"/>
    <w:rsid w:val="3EF93562"/>
    <w:rsid w:val="3F12422F"/>
    <w:rsid w:val="3F18661A"/>
    <w:rsid w:val="3F7512EA"/>
    <w:rsid w:val="3F850EA5"/>
    <w:rsid w:val="3F9730B9"/>
    <w:rsid w:val="3FBD58AF"/>
    <w:rsid w:val="3FC55901"/>
    <w:rsid w:val="3FC92B3F"/>
    <w:rsid w:val="3FC9458D"/>
    <w:rsid w:val="3FD033AD"/>
    <w:rsid w:val="3FE23C01"/>
    <w:rsid w:val="401924B3"/>
    <w:rsid w:val="401F021A"/>
    <w:rsid w:val="404148A6"/>
    <w:rsid w:val="40572AB6"/>
    <w:rsid w:val="405D3459"/>
    <w:rsid w:val="4068264C"/>
    <w:rsid w:val="407728FD"/>
    <w:rsid w:val="40CA0DB3"/>
    <w:rsid w:val="40D64B0A"/>
    <w:rsid w:val="40DC5CDB"/>
    <w:rsid w:val="41050052"/>
    <w:rsid w:val="410603FC"/>
    <w:rsid w:val="410D06B8"/>
    <w:rsid w:val="4156426C"/>
    <w:rsid w:val="41A274B6"/>
    <w:rsid w:val="41C034AF"/>
    <w:rsid w:val="41C061C4"/>
    <w:rsid w:val="42107DDD"/>
    <w:rsid w:val="42311D52"/>
    <w:rsid w:val="424A712C"/>
    <w:rsid w:val="4263268C"/>
    <w:rsid w:val="428C44AE"/>
    <w:rsid w:val="429F7E60"/>
    <w:rsid w:val="42A66B85"/>
    <w:rsid w:val="42B615E6"/>
    <w:rsid w:val="42CB2D35"/>
    <w:rsid w:val="42D21256"/>
    <w:rsid w:val="42F759C4"/>
    <w:rsid w:val="43023463"/>
    <w:rsid w:val="43144A19"/>
    <w:rsid w:val="431C38CE"/>
    <w:rsid w:val="433F0A06"/>
    <w:rsid w:val="434660D0"/>
    <w:rsid w:val="43554BAC"/>
    <w:rsid w:val="435D3A52"/>
    <w:rsid w:val="43770B04"/>
    <w:rsid w:val="438751EB"/>
    <w:rsid w:val="43A027A3"/>
    <w:rsid w:val="43AA1E91"/>
    <w:rsid w:val="43AF27CC"/>
    <w:rsid w:val="43BA343C"/>
    <w:rsid w:val="43F8127E"/>
    <w:rsid w:val="4428525F"/>
    <w:rsid w:val="444A0170"/>
    <w:rsid w:val="44621887"/>
    <w:rsid w:val="44667276"/>
    <w:rsid w:val="448259B3"/>
    <w:rsid w:val="44A37922"/>
    <w:rsid w:val="44B63420"/>
    <w:rsid w:val="44B71DE6"/>
    <w:rsid w:val="44BE70AA"/>
    <w:rsid w:val="44DB6B8D"/>
    <w:rsid w:val="45561319"/>
    <w:rsid w:val="45DE130F"/>
    <w:rsid w:val="45F8252B"/>
    <w:rsid w:val="46153B79"/>
    <w:rsid w:val="4625595A"/>
    <w:rsid w:val="4655670F"/>
    <w:rsid w:val="46690BD8"/>
    <w:rsid w:val="469236DF"/>
    <w:rsid w:val="46CD6A3D"/>
    <w:rsid w:val="46D23AA8"/>
    <w:rsid w:val="46D446A7"/>
    <w:rsid w:val="46ED7A5B"/>
    <w:rsid w:val="47165D61"/>
    <w:rsid w:val="475D1752"/>
    <w:rsid w:val="476E2F0C"/>
    <w:rsid w:val="47767BD4"/>
    <w:rsid w:val="477737C9"/>
    <w:rsid w:val="477D0471"/>
    <w:rsid w:val="47E250E6"/>
    <w:rsid w:val="47FB44E3"/>
    <w:rsid w:val="4804332F"/>
    <w:rsid w:val="48117779"/>
    <w:rsid w:val="482374AD"/>
    <w:rsid w:val="48523ECB"/>
    <w:rsid w:val="48527D6A"/>
    <w:rsid w:val="48594C7C"/>
    <w:rsid w:val="48677399"/>
    <w:rsid w:val="48767191"/>
    <w:rsid w:val="488A747A"/>
    <w:rsid w:val="489640A7"/>
    <w:rsid w:val="489E300A"/>
    <w:rsid w:val="4909055C"/>
    <w:rsid w:val="4955748F"/>
    <w:rsid w:val="49634005"/>
    <w:rsid w:val="49694B92"/>
    <w:rsid w:val="496D4E83"/>
    <w:rsid w:val="49737357"/>
    <w:rsid w:val="49E36EF3"/>
    <w:rsid w:val="4A0366CF"/>
    <w:rsid w:val="4A256483"/>
    <w:rsid w:val="4A38641F"/>
    <w:rsid w:val="4A4E6A63"/>
    <w:rsid w:val="4A800E57"/>
    <w:rsid w:val="4A9F5D83"/>
    <w:rsid w:val="4AB52052"/>
    <w:rsid w:val="4AF859CC"/>
    <w:rsid w:val="4B657DEC"/>
    <w:rsid w:val="4B683B54"/>
    <w:rsid w:val="4B6B5BFE"/>
    <w:rsid w:val="4B6F63D5"/>
    <w:rsid w:val="4B8152D3"/>
    <w:rsid w:val="4B83273C"/>
    <w:rsid w:val="4B965649"/>
    <w:rsid w:val="4B9A1834"/>
    <w:rsid w:val="4BBA0F4B"/>
    <w:rsid w:val="4BC03621"/>
    <w:rsid w:val="4BC22F72"/>
    <w:rsid w:val="4BEC1DA9"/>
    <w:rsid w:val="4C431ECB"/>
    <w:rsid w:val="4C454D9D"/>
    <w:rsid w:val="4C6D4FD8"/>
    <w:rsid w:val="4C956109"/>
    <w:rsid w:val="4CB12B2C"/>
    <w:rsid w:val="4CBC2827"/>
    <w:rsid w:val="4CC312B6"/>
    <w:rsid w:val="4CC748AA"/>
    <w:rsid w:val="4CCE79E7"/>
    <w:rsid w:val="4CDD2221"/>
    <w:rsid w:val="4CEC7C13"/>
    <w:rsid w:val="4D1737DC"/>
    <w:rsid w:val="4D225F85"/>
    <w:rsid w:val="4D297313"/>
    <w:rsid w:val="4D2E5116"/>
    <w:rsid w:val="4D4946C3"/>
    <w:rsid w:val="4D553C64"/>
    <w:rsid w:val="4D6215E1"/>
    <w:rsid w:val="4D667D39"/>
    <w:rsid w:val="4D6A6CFA"/>
    <w:rsid w:val="4D6F53B7"/>
    <w:rsid w:val="4D8C427F"/>
    <w:rsid w:val="4D9739B2"/>
    <w:rsid w:val="4D97704E"/>
    <w:rsid w:val="4DB579D1"/>
    <w:rsid w:val="4DBD70EB"/>
    <w:rsid w:val="4DD51249"/>
    <w:rsid w:val="4E5B174E"/>
    <w:rsid w:val="4E6E459C"/>
    <w:rsid w:val="4E817FEA"/>
    <w:rsid w:val="4E98618A"/>
    <w:rsid w:val="4E9D352C"/>
    <w:rsid w:val="4EB95E17"/>
    <w:rsid w:val="4EB96475"/>
    <w:rsid w:val="4EFB4CDF"/>
    <w:rsid w:val="4F0A4F22"/>
    <w:rsid w:val="4F6B02B8"/>
    <w:rsid w:val="4F7156E6"/>
    <w:rsid w:val="4FA43165"/>
    <w:rsid w:val="4FB6214D"/>
    <w:rsid w:val="4FCF52B1"/>
    <w:rsid w:val="4FF82FCD"/>
    <w:rsid w:val="4FFA116E"/>
    <w:rsid w:val="4FFA2095"/>
    <w:rsid w:val="50151DD1"/>
    <w:rsid w:val="502A1801"/>
    <w:rsid w:val="50AA42C7"/>
    <w:rsid w:val="50D41344"/>
    <w:rsid w:val="50D47596"/>
    <w:rsid w:val="50E65CE2"/>
    <w:rsid w:val="511E0033"/>
    <w:rsid w:val="51202751"/>
    <w:rsid w:val="51366F1E"/>
    <w:rsid w:val="5143280B"/>
    <w:rsid w:val="51546F21"/>
    <w:rsid w:val="515D758B"/>
    <w:rsid w:val="517A638F"/>
    <w:rsid w:val="517F2D8F"/>
    <w:rsid w:val="51826FF2"/>
    <w:rsid w:val="518A1586"/>
    <w:rsid w:val="519C4558"/>
    <w:rsid w:val="51A86476"/>
    <w:rsid w:val="51C8534D"/>
    <w:rsid w:val="51D05FAF"/>
    <w:rsid w:val="51D51C1A"/>
    <w:rsid w:val="51DD620D"/>
    <w:rsid w:val="51F83F85"/>
    <w:rsid w:val="52051862"/>
    <w:rsid w:val="52100AA2"/>
    <w:rsid w:val="52245275"/>
    <w:rsid w:val="52262073"/>
    <w:rsid w:val="522A5D40"/>
    <w:rsid w:val="52535651"/>
    <w:rsid w:val="52AB2578"/>
    <w:rsid w:val="53163533"/>
    <w:rsid w:val="53274B28"/>
    <w:rsid w:val="535C0EA9"/>
    <w:rsid w:val="537F1DE8"/>
    <w:rsid w:val="53876B42"/>
    <w:rsid w:val="53E43F94"/>
    <w:rsid w:val="53EC2A4F"/>
    <w:rsid w:val="541E4FD7"/>
    <w:rsid w:val="54333B92"/>
    <w:rsid w:val="5444354A"/>
    <w:rsid w:val="544D7D8B"/>
    <w:rsid w:val="545F7AE6"/>
    <w:rsid w:val="547A6B2A"/>
    <w:rsid w:val="54905ECA"/>
    <w:rsid w:val="54C51909"/>
    <w:rsid w:val="54D049E4"/>
    <w:rsid w:val="54F16968"/>
    <w:rsid w:val="54F75F49"/>
    <w:rsid w:val="551D6AF9"/>
    <w:rsid w:val="554D7917"/>
    <w:rsid w:val="556324F2"/>
    <w:rsid w:val="55A60ADC"/>
    <w:rsid w:val="55D857C5"/>
    <w:rsid w:val="56253A26"/>
    <w:rsid w:val="5638334C"/>
    <w:rsid w:val="56725887"/>
    <w:rsid w:val="56780FF9"/>
    <w:rsid w:val="567A0BDF"/>
    <w:rsid w:val="56870578"/>
    <w:rsid w:val="568F259A"/>
    <w:rsid w:val="569241C0"/>
    <w:rsid w:val="56973027"/>
    <w:rsid w:val="56A1616C"/>
    <w:rsid w:val="56A33B67"/>
    <w:rsid w:val="56A40E03"/>
    <w:rsid w:val="56C45A8D"/>
    <w:rsid w:val="56E20A0E"/>
    <w:rsid w:val="57034731"/>
    <w:rsid w:val="5737516A"/>
    <w:rsid w:val="57431AE0"/>
    <w:rsid w:val="576A2A02"/>
    <w:rsid w:val="57730A91"/>
    <w:rsid w:val="57A27BD5"/>
    <w:rsid w:val="57C762A2"/>
    <w:rsid w:val="57DE6F4C"/>
    <w:rsid w:val="58005114"/>
    <w:rsid w:val="5812512F"/>
    <w:rsid w:val="58207565"/>
    <w:rsid w:val="588C140C"/>
    <w:rsid w:val="58B21650"/>
    <w:rsid w:val="58C00F3E"/>
    <w:rsid w:val="58C21630"/>
    <w:rsid w:val="58C919AA"/>
    <w:rsid w:val="59103E6F"/>
    <w:rsid w:val="59373C72"/>
    <w:rsid w:val="5945207E"/>
    <w:rsid w:val="595B4F2E"/>
    <w:rsid w:val="596C42A4"/>
    <w:rsid w:val="596D221D"/>
    <w:rsid w:val="59A237B5"/>
    <w:rsid w:val="59A77712"/>
    <w:rsid w:val="59B02759"/>
    <w:rsid w:val="59D32AE1"/>
    <w:rsid w:val="5A144EA7"/>
    <w:rsid w:val="5A706348"/>
    <w:rsid w:val="5A72604D"/>
    <w:rsid w:val="5A7F77CE"/>
    <w:rsid w:val="5AA20C09"/>
    <w:rsid w:val="5ABC5F71"/>
    <w:rsid w:val="5AF81EC0"/>
    <w:rsid w:val="5AF8422D"/>
    <w:rsid w:val="5B0E4DAE"/>
    <w:rsid w:val="5B0E6862"/>
    <w:rsid w:val="5B58464F"/>
    <w:rsid w:val="5B8509D1"/>
    <w:rsid w:val="5B90297B"/>
    <w:rsid w:val="5BC70423"/>
    <w:rsid w:val="5BF154A0"/>
    <w:rsid w:val="5C076A71"/>
    <w:rsid w:val="5C11606C"/>
    <w:rsid w:val="5C4E0A2D"/>
    <w:rsid w:val="5C524815"/>
    <w:rsid w:val="5C64452B"/>
    <w:rsid w:val="5C7719CE"/>
    <w:rsid w:val="5C8E79BD"/>
    <w:rsid w:val="5C9407AC"/>
    <w:rsid w:val="5C981DBF"/>
    <w:rsid w:val="5CE96177"/>
    <w:rsid w:val="5D23703E"/>
    <w:rsid w:val="5D2719C9"/>
    <w:rsid w:val="5D2773E7"/>
    <w:rsid w:val="5D285026"/>
    <w:rsid w:val="5D373386"/>
    <w:rsid w:val="5D5C0E3F"/>
    <w:rsid w:val="5D5D2953"/>
    <w:rsid w:val="5D5E619D"/>
    <w:rsid w:val="5D697358"/>
    <w:rsid w:val="5D747A99"/>
    <w:rsid w:val="5D9249ED"/>
    <w:rsid w:val="5DA1646B"/>
    <w:rsid w:val="5DB03139"/>
    <w:rsid w:val="5DC32A29"/>
    <w:rsid w:val="5DDB1F64"/>
    <w:rsid w:val="5DDC5DDB"/>
    <w:rsid w:val="5DF04FFA"/>
    <w:rsid w:val="5DF905DA"/>
    <w:rsid w:val="5E063C72"/>
    <w:rsid w:val="5E19167C"/>
    <w:rsid w:val="5E3653EC"/>
    <w:rsid w:val="5E3C01D4"/>
    <w:rsid w:val="5E5166CA"/>
    <w:rsid w:val="5E6F443D"/>
    <w:rsid w:val="5E70354F"/>
    <w:rsid w:val="5E781EA8"/>
    <w:rsid w:val="5E802B0B"/>
    <w:rsid w:val="5E8C7523"/>
    <w:rsid w:val="5E94632E"/>
    <w:rsid w:val="5E9C2B92"/>
    <w:rsid w:val="5EA762EA"/>
    <w:rsid w:val="5F111534"/>
    <w:rsid w:val="5F3A0F0C"/>
    <w:rsid w:val="5F5E606D"/>
    <w:rsid w:val="5FA840C8"/>
    <w:rsid w:val="5FB20DDC"/>
    <w:rsid w:val="5FBC6FFC"/>
    <w:rsid w:val="5FD91B32"/>
    <w:rsid w:val="5FDE3D1C"/>
    <w:rsid w:val="5FEB36B0"/>
    <w:rsid w:val="600037C3"/>
    <w:rsid w:val="60070235"/>
    <w:rsid w:val="600B76B1"/>
    <w:rsid w:val="60117D06"/>
    <w:rsid w:val="60247960"/>
    <w:rsid w:val="60337FBD"/>
    <w:rsid w:val="604A33D1"/>
    <w:rsid w:val="60557909"/>
    <w:rsid w:val="60600E46"/>
    <w:rsid w:val="608A1A1F"/>
    <w:rsid w:val="608B596D"/>
    <w:rsid w:val="608E7CA1"/>
    <w:rsid w:val="60B20DDE"/>
    <w:rsid w:val="60B53DBD"/>
    <w:rsid w:val="60B86965"/>
    <w:rsid w:val="60C43183"/>
    <w:rsid w:val="60CF6017"/>
    <w:rsid w:val="60E84D86"/>
    <w:rsid w:val="60EC58A1"/>
    <w:rsid w:val="60F765D6"/>
    <w:rsid w:val="61273959"/>
    <w:rsid w:val="619B0A4D"/>
    <w:rsid w:val="619E6915"/>
    <w:rsid w:val="619F45F8"/>
    <w:rsid w:val="61BC5698"/>
    <w:rsid w:val="61C05E29"/>
    <w:rsid w:val="61C4413E"/>
    <w:rsid w:val="61E220CA"/>
    <w:rsid w:val="620B4DE2"/>
    <w:rsid w:val="620F48D2"/>
    <w:rsid w:val="621F3A28"/>
    <w:rsid w:val="622D4D58"/>
    <w:rsid w:val="623817CD"/>
    <w:rsid w:val="623D05EF"/>
    <w:rsid w:val="625671C6"/>
    <w:rsid w:val="626D5F1F"/>
    <w:rsid w:val="62774225"/>
    <w:rsid w:val="627E2DFB"/>
    <w:rsid w:val="628D5A05"/>
    <w:rsid w:val="629635F2"/>
    <w:rsid w:val="62B9713E"/>
    <w:rsid w:val="62DB156F"/>
    <w:rsid w:val="62E35C5C"/>
    <w:rsid w:val="62EA49F7"/>
    <w:rsid w:val="6308602C"/>
    <w:rsid w:val="631B2082"/>
    <w:rsid w:val="6324615B"/>
    <w:rsid w:val="63655BF1"/>
    <w:rsid w:val="6381414F"/>
    <w:rsid w:val="639869FA"/>
    <w:rsid w:val="63A6496D"/>
    <w:rsid w:val="63A83FEC"/>
    <w:rsid w:val="63D92053"/>
    <w:rsid w:val="63E37B79"/>
    <w:rsid w:val="63FC1B88"/>
    <w:rsid w:val="63FF5094"/>
    <w:rsid w:val="64035403"/>
    <w:rsid w:val="642B1E03"/>
    <w:rsid w:val="64334D4A"/>
    <w:rsid w:val="644D4301"/>
    <w:rsid w:val="6477289B"/>
    <w:rsid w:val="649176C0"/>
    <w:rsid w:val="64987293"/>
    <w:rsid w:val="649E57C1"/>
    <w:rsid w:val="64A11F98"/>
    <w:rsid w:val="64B0249D"/>
    <w:rsid w:val="64D179F6"/>
    <w:rsid w:val="64D442AC"/>
    <w:rsid w:val="64FD012C"/>
    <w:rsid w:val="650401CF"/>
    <w:rsid w:val="65040F88"/>
    <w:rsid w:val="65256ED5"/>
    <w:rsid w:val="653D52DC"/>
    <w:rsid w:val="655373D5"/>
    <w:rsid w:val="657A0FFC"/>
    <w:rsid w:val="6593581A"/>
    <w:rsid w:val="659F7D1B"/>
    <w:rsid w:val="65A300A1"/>
    <w:rsid w:val="65DB5C3D"/>
    <w:rsid w:val="65DC330D"/>
    <w:rsid w:val="65ED11DD"/>
    <w:rsid w:val="65F00576"/>
    <w:rsid w:val="66126967"/>
    <w:rsid w:val="66383CCB"/>
    <w:rsid w:val="66780DEE"/>
    <w:rsid w:val="668E1E21"/>
    <w:rsid w:val="66926F8C"/>
    <w:rsid w:val="66966882"/>
    <w:rsid w:val="66A7157D"/>
    <w:rsid w:val="66B703DE"/>
    <w:rsid w:val="66D51A3C"/>
    <w:rsid w:val="66F269C9"/>
    <w:rsid w:val="67285BDC"/>
    <w:rsid w:val="673D5663"/>
    <w:rsid w:val="67C1521F"/>
    <w:rsid w:val="67C541F4"/>
    <w:rsid w:val="67D41EE5"/>
    <w:rsid w:val="67E1461B"/>
    <w:rsid w:val="67FB2FC2"/>
    <w:rsid w:val="67FB3202"/>
    <w:rsid w:val="67FC180B"/>
    <w:rsid w:val="6838125F"/>
    <w:rsid w:val="684E7153"/>
    <w:rsid w:val="68572B2F"/>
    <w:rsid w:val="689070BF"/>
    <w:rsid w:val="68942469"/>
    <w:rsid w:val="68996F46"/>
    <w:rsid w:val="68A270B1"/>
    <w:rsid w:val="68E63EB3"/>
    <w:rsid w:val="69180510"/>
    <w:rsid w:val="694335BE"/>
    <w:rsid w:val="69522C18"/>
    <w:rsid w:val="6975567D"/>
    <w:rsid w:val="699D0A15"/>
    <w:rsid w:val="69A41F02"/>
    <w:rsid w:val="69A85914"/>
    <w:rsid w:val="69B54893"/>
    <w:rsid w:val="69F0666F"/>
    <w:rsid w:val="69FA018D"/>
    <w:rsid w:val="6A25465E"/>
    <w:rsid w:val="6A31115D"/>
    <w:rsid w:val="6A530131"/>
    <w:rsid w:val="6A572716"/>
    <w:rsid w:val="6A732B1A"/>
    <w:rsid w:val="6A87076D"/>
    <w:rsid w:val="6A9454E3"/>
    <w:rsid w:val="6A945F72"/>
    <w:rsid w:val="6AA3205B"/>
    <w:rsid w:val="6AA47B81"/>
    <w:rsid w:val="6ACF2D0F"/>
    <w:rsid w:val="6ADD27C8"/>
    <w:rsid w:val="6AFC23BD"/>
    <w:rsid w:val="6AFF188E"/>
    <w:rsid w:val="6B030F7C"/>
    <w:rsid w:val="6B1F5D43"/>
    <w:rsid w:val="6B287CCA"/>
    <w:rsid w:val="6B37191E"/>
    <w:rsid w:val="6B3B6738"/>
    <w:rsid w:val="6B4D0219"/>
    <w:rsid w:val="6B607F4C"/>
    <w:rsid w:val="6B67752D"/>
    <w:rsid w:val="6B756B33"/>
    <w:rsid w:val="6BA33D44"/>
    <w:rsid w:val="6BDD77EF"/>
    <w:rsid w:val="6C3A4C18"/>
    <w:rsid w:val="6C4068D5"/>
    <w:rsid w:val="6C8568B5"/>
    <w:rsid w:val="6CAB51F7"/>
    <w:rsid w:val="6CB00C5D"/>
    <w:rsid w:val="6CCB7647"/>
    <w:rsid w:val="6D0441AB"/>
    <w:rsid w:val="6D481945"/>
    <w:rsid w:val="6D6650F6"/>
    <w:rsid w:val="6D6D32A5"/>
    <w:rsid w:val="6D96704E"/>
    <w:rsid w:val="6E6A491D"/>
    <w:rsid w:val="6ECD14C3"/>
    <w:rsid w:val="6ED609B9"/>
    <w:rsid w:val="6EF06A3A"/>
    <w:rsid w:val="6F231086"/>
    <w:rsid w:val="6F2C1077"/>
    <w:rsid w:val="6F4412DE"/>
    <w:rsid w:val="6F4831D1"/>
    <w:rsid w:val="6F525DFE"/>
    <w:rsid w:val="6F5348EE"/>
    <w:rsid w:val="6F6649B1"/>
    <w:rsid w:val="6FB01FF6"/>
    <w:rsid w:val="6FEC5DB0"/>
    <w:rsid w:val="700E441B"/>
    <w:rsid w:val="702D3037"/>
    <w:rsid w:val="703379DD"/>
    <w:rsid w:val="70854008"/>
    <w:rsid w:val="70A00296"/>
    <w:rsid w:val="70D07922"/>
    <w:rsid w:val="70D32F6E"/>
    <w:rsid w:val="70F21646"/>
    <w:rsid w:val="71170489"/>
    <w:rsid w:val="71902C0D"/>
    <w:rsid w:val="71E84DCD"/>
    <w:rsid w:val="72511D57"/>
    <w:rsid w:val="72525910"/>
    <w:rsid w:val="7272141E"/>
    <w:rsid w:val="72920575"/>
    <w:rsid w:val="729A51BF"/>
    <w:rsid w:val="72C31F67"/>
    <w:rsid w:val="73075151"/>
    <w:rsid w:val="730F2443"/>
    <w:rsid w:val="73487C44"/>
    <w:rsid w:val="738A19B2"/>
    <w:rsid w:val="73986D48"/>
    <w:rsid w:val="73E3664B"/>
    <w:rsid w:val="74460C31"/>
    <w:rsid w:val="745948C9"/>
    <w:rsid w:val="74782083"/>
    <w:rsid w:val="74786307"/>
    <w:rsid w:val="74933140"/>
    <w:rsid w:val="74B36971"/>
    <w:rsid w:val="74F00783"/>
    <w:rsid w:val="74F21A8E"/>
    <w:rsid w:val="74F23FC5"/>
    <w:rsid w:val="75092D2E"/>
    <w:rsid w:val="751F35C6"/>
    <w:rsid w:val="7521074C"/>
    <w:rsid w:val="752124FA"/>
    <w:rsid w:val="752673FA"/>
    <w:rsid w:val="75445278"/>
    <w:rsid w:val="75616D9B"/>
    <w:rsid w:val="756D2420"/>
    <w:rsid w:val="757A60AE"/>
    <w:rsid w:val="75842A89"/>
    <w:rsid w:val="75D33B60"/>
    <w:rsid w:val="75EB0030"/>
    <w:rsid w:val="75FB2A78"/>
    <w:rsid w:val="7608635A"/>
    <w:rsid w:val="761E2EDE"/>
    <w:rsid w:val="764346F2"/>
    <w:rsid w:val="767A1884"/>
    <w:rsid w:val="7681376B"/>
    <w:rsid w:val="76CE66B2"/>
    <w:rsid w:val="76E7048B"/>
    <w:rsid w:val="76F679B7"/>
    <w:rsid w:val="771405C6"/>
    <w:rsid w:val="77186802"/>
    <w:rsid w:val="77244002"/>
    <w:rsid w:val="774626EC"/>
    <w:rsid w:val="7759121E"/>
    <w:rsid w:val="77844FC2"/>
    <w:rsid w:val="778C19C1"/>
    <w:rsid w:val="77BA4E88"/>
    <w:rsid w:val="77DE7388"/>
    <w:rsid w:val="77E617D9"/>
    <w:rsid w:val="78123276"/>
    <w:rsid w:val="781B6350"/>
    <w:rsid w:val="782A528E"/>
    <w:rsid w:val="78606B54"/>
    <w:rsid w:val="78661D77"/>
    <w:rsid w:val="787542C9"/>
    <w:rsid w:val="787C4A52"/>
    <w:rsid w:val="787D1A38"/>
    <w:rsid w:val="78833D88"/>
    <w:rsid w:val="78970D25"/>
    <w:rsid w:val="78C70562"/>
    <w:rsid w:val="78F148D9"/>
    <w:rsid w:val="7908482C"/>
    <w:rsid w:val="792279DB"/>
    <w:rsid w:val="797C1AA1"/>
    <w:rsid w:val="79A731EA"/>
    <w:rsid w:val="79B25E17"/>
    <w:rsid w:val="7A6A2399"/>
    <w:rsid w:val="7A6F26A9"/>
    <w:rsid w:val="7A934CC7"/>
    <w:rsid w:val="7AAD65DE"/>
    <w:rsid w:val="7AB93CAD"/>
    <w:rsid w:val="7AC027B5"/>
    <w:rsid w:val="7ACC2F08"/>
    <w:rsid w:val="7AD43747"/>
    <w:rsid w:val="7ADD5745"/>
    <w:rsid w:val="7AFB7263"/>
    <w:rsid w:val="7B062FF2"/>
    <w:rsid w:val="7B4771D3"/>
    <w:rsid w:val="7B4969DA"/>
    <w:rsid w:val="7B4B57FE"/>
    <w:rsid w:val="7B8B2BD8"/>
    <w:rsid w:val="7BBA7BC4"/>
    <w:rsid w:val="7BF444AB"/>
    <w:rsid w:val="7BFE0356"/>
    <w:rsid w:val="7C050FEE"/>
    <w:rsid w:val="7C1F696C"/>
    <w:rsid w:val="7C241FA4"/>
    <w:rsid w:val="7C2F7F24"/>
    <w:rsid w:val="7C4F6127"/>
    <w:rsid w:val="7C557027"/>
    <w:rsid w:val="7C705B15"/>
    <w:rsid w:val="7C743857"/>
    <w:rsid w:val="7C774202"/>
    <w:rsid w:val="7CF32D47"/>
    <w:rsid w:val="7CF47DC4"/>
    <w:rsid w:val="7D2D7E4F"/>
    <w:rsid w:val="7D3D1C6F"/>
    <w:rsid w:val="7D7D2444"/>
    <w:rsid w:val="7DC17AA5"/>
    <w:rsid w:val="7DC225BC"/>
    <w:rsid w:val="7DD947CA"/>
    <w:rsid w:val="7DD949C1"/>
    <w:rsid w:val="7E3F400C"/>
    <w:rsid w:val="7E3F5C67"/>
    <w:rsid w:val="7E485A8B"/>
    <w:rsid w:val="7E710432"/>
    <w:rsid w:val="7E723DC7"/>
    <w:rsid w:val="7E784FFE"/>
    <w:rsid w:val="7EAF56A8"/>
    <w:rsid w:val="7F0D36A8"/>
    <w:rsid w:val="7F0D6F9B"/>
    <w:rsid w:val="7F267E5E"/>
    <w:rsid w:val="7F315A30"/>
    <w:rsid w:val="7F511034"/>
    <w:rsid w:val="7F531E4A"/>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jc w:val="center"/>
      <w:outlineLvl w:val="0"/>
    </w:pPr>
    <w:rPr>
      <w:b/>
      <w:bCs/>
      <w:kern w:val="0"/>
      <w:sz w:val="24"/>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8"/>
    <w:qFormat/>
    <w:uiPriority w:val="99"/>
    <w:pPr>
      <w:spacing w:after="120"/>
    </w:pPr>
  </w:style>
  <w:style w:type="paragraph" w:styleId="12">
    <w:name w:val="toc 7"/>
    <w:basedOn w:val="1"/>
    <w:next w:val="1"/>
    <w:qFormat/>
    <w:uiPriority w:val="0"/>
    <w:pPr>
      <w:ind w:left="2520" w:leftChars="1200"/>
    </w:pPr>
    <w:rPr>
      <w:rFonts w:ascii="Calibri" w:hAnsi="Calibri"/>
      <w:szCs w:val="22"/>
    </w:rPr>
  </w:style>
  <w:style w:type="paragraph" w:styleId="13">
    <w:name w:val="table of authorities"/>
    <w:basedOn w:val="1"/>
    <w:next w:val="1"/>
    <w:qFormat/>
    <w:uiPriority w:val="99"/>
    <w:pPr>
      <w:ind w:left="420" w:leftChars="200"/>
    </w:pPr>
  </w:style>
  <w:style w:type="paragraph" w:styleId="14">
    <w:name w:val="Normal Indent"/>
    <w:basedOn w:val="1"/>
    <w:link w:val="294"/>
    <w:qFormat/>
    <w:uiPriority w:val="99"/>
    <w:pPr>
      <w:widowControl/>
      <w:ind w:firstLine="420"/>
      <w:jc w:val="left"/>
    </w:pPr>
    <w:rPr>
      <w:kern w:val="0"/>
      <w:sz w:val="20"/>
      <w:szCs w:val="20"/>
    </w:rPr>
  </w:style>
  <w:style w:type="paragraph" w:styleId="15">
    <w:name w:val="Document Map"/>
    <w:basedOn w:val="1"/>
    <w:link w:val="128"/>
    <w:qFormat/>
    <w:uiPriority w:val="0"/>
    <w:pPr>
      <w:shd w:val="clear" w:color="auto" w:fill="000080"/>
    </w:pPr>
  </w:style>
  <w:style w:type="paragraph" w:styleId="16">
    <w:name w:val="toa heading"/>
    <w:basedOn w:val="1"/>
    <w:next w:val="1"/>
    <w:unhideWhenUsed/>
    <w:qFormat/>
    <w:uiPriority w:val="0"/>
    <w:pPr>
      <w:spacing w:before="120"/>
    </w:pPr>
    <w:rPr>
      <w:rFonts w:hint="eastAsia" w:ascii="Arial" w:hAnsi="Arial"/>
    </w:rPr>
  </w:style>
  <w:style w:type="paragraph" w:styleId="17">
    <w:name w:val="annotation text"/>
    <w:basedOn w:val="1"/>
    <w:link w:val="110"/>
    <w:unhideWhenUsed/>
    <w:qFormat/>
    <w:uiPriority w:val="99"/>
    <w:pPr>
      <w:jc w:val="left"/>
    </w:pPr>
  </w:style>
  <w:style w:type="paragraph" w:styleId="18">
    <w:name w:val="Salutation"/>
    <w:basedOn w:val="1"/>
    <w:next w:val="1"/>
    <w:link w:val="115"/>
    <w:qFormat/>
    <w:uiPriority w:val="0"/>
    <w:rPr>
      <w:rFonts w:ascii="仿宋_GB2312" w:eastAsia="仿宋_GB2312"/>
      <w:sz w:val="24"/>
    </w:rPr>
  </w:style>
  <w:style w:type="paragraph" w:styleId="19">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Indent"/>
    <w:basedOn w:val="1"/>
    <w:link w:val="98"/>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7"/>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0"/>
    <w:qFormat/>
    <w:uiPriority w:val="0"/>
    <w:rPr>
      <w:rFonts w:ascii="Calibri" w:hAnsi="Calibri" w:cs="黑体"/>
      <w:sz w:val="24"/>
      <w:szCs w:val="22"/>
    </w:rPr>
  </w:style>
  <w:style w:type="paragraph" w:styleId="28">
    <w:name w:val="Body Text Indent 2"/>
    <w:basedOn w:val="1"/>
    <w:link w:val="102"/>
    <w:qFormat/>
    <w:uiPriority w:val="0"/>
    <w:pPr>
      <w:spacing w:after="120" w:line="480" w:lineRule="auto"/>
      <w:ind w:left="420" w:leftChars="200"/>
    </w:pPr>
  </w:style>
  <w:style w:type="paragraph" w:styleId="29">
    <w:name w:val="Balloon Text"/>
    <w:basedOn w:val="1"/>
    <w:link w:val="97"/>
    <w:qFormat/>
    <w:uiPriority w:val="0"/>
    <w:rPr>
      <w:rFonts w:ascii="Calibri" w:hAnsi="Calibri" w:cs="黑体"/>
      <w:sz w:val="18"/>
      <w:szCs w:val="18"/>
    </w:rPr>
  </w:style>
  <w:style w:type="paragraph" w:styleId="30">
    <w:name w:val="footer"/>
    <w:basedOn w:val="1"/>
    <w:link w:val="63"/>
    <w:unhideWhenUsed/>
    <w:qFormat/>
    <w:uiPriority w:val="0"/>
    <w:pPr>
      <w:tabs>
        <w:tab w:val="center" w:pos="4153"/>
        <w:tab w:val="right" w:pos="8306"/>
      </w:tabs>
      <w:snapToGrid w:val="0"/>
      <w:jc w:val="left"/>
    </w:pPr>
    <w:rPr>
      <w:sz w:val="18"/>
      <w:szCs w:val="18"/>
    </w:rPr>
  </w:style>
  <w:style w:type="paragraph" w:styleId="3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6"/>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5"/>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3"/>
    <w:qFormat/>
    <w:uiPriority w:val="0"/>
    <w:pPr>
      <w:spacing w:after="120" w:line="480" w:lineRule="auto"/>
    </w:p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1"/>
    <w:qFormat/>
    <w:uiPriority w:val="0"/>
    <w:pPr>
      <w:spacing w:before="240" w:after="60"/>
      <w:jc w:val="center"/>
      <w:outlineLvl w:val="0"/>
    </w:pPr>
    <w:rPr>
      <w:rFonts w:ascii="Cambria" w:hAnsi="Cambria"/>
      <w:b/>
      <w:sz w:val="32"/>
    </w:rPr>
  </w:style>
  <w:style w:type="paragraph" w:styleId="44">
    <w:name w:val="annotation subject"/>
    <w:basedOn w:val="17"/>
    <w:next w:val="17"/>
    <w:link w:val="87"/>
    <w:qFormat/>
    <w:uiPriority w:val="0"/>
    <w:rPr>
      <w:rFonts w:ascii="Calibri" w:hAnsi="Calibri" w:cs="黑体"/>
      <w:b/>
      <w:bCs/>
    </w:rPr>
  </w:style>
  <w:style w:type="paragraph" w:styleId="45">
    <w:name w:val="Body Text First Indent"/>
    <w:basedOn w:val="2"/>
    <w:link w:val="176"/>
    <w:unhideWhenUsed/>
    <w:qFormat/>
    <w:uiPriority w:val="0"/>
    <w:pPr>
      <w:spacing w:line="500" w:lineRule="exact"/>
      <w:ind w:firstLine="420" w:firstLineChars="200"/>
    </w:pPr>
  </w:style>
  <w:style w:type="paragraph" w:styleId="46">
    <w:name w:val="Body Text First Indent 2"/>
    <w:basedOn w:val="20"/>
    <w:qFormat/>
    <w:uiPriority w:val="6"/>
    <w:pPr>
      <w:ind w:firstLine="420"/>
      <w:jc w:val="left"/>
    </w:pPr>
    <w:rPr>
      <w:rFonts w:cs="Calibri"/>
      <w:kern w:val="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1"/>
    <w:qFormat/>
    <w:uiPriority w:val="0"/>
    <w:rPr>
      <w:sz w:val="18"/>
      <w:szCs w:val="18"/>
    </w:rPr>
  </w:style>
  <w:style w:type="character" w:customStyle="1" w:styleId="63">
    <w:name w:val="页脚 字符"/>
    <w:basedOn w:val="49"/>
    <w:link w:val="30"/>
    <w:qFormat/>
    <w:uiPriority w:val="0"/>
    <w:rPr>
      <w:sz w:val="18"/>
      <w:szCs w:val="18"/>
    </w:rPr>
  </w:style>
  <w:style w:type="character" w:customStyle="1" w:styleId="64">
    <w:name w:val="标题 1 字符"/>
    <w:basedOn w:val="49"/>
    <w:link w:val="3"/>
    <w:qFormat/>
    <w:uiPriority w:val="0"/>
    <w:rPr>
      <w:rFonts w:ascii="Times New Roman" w:hAnsi="Times New Roman" w:eastAsia="宋体" w:cs="Times New Roman"/>
      <w:b/>
      <w:bCs/>
      <w:kern w:val="0"/>
      <w:sz w:val="24"/>
      <w:szCs w:val="20"/>
    </w:rPr>
  </w:style>
  <w:style w:type="character" w:customStyle="1" w:styleId="65">
    <w:name w:val="标题 2 字符"/>
    <w:basedOn w:val="49"/>
    <w:link w:val="4"/>
    <w:qFormat/>
    <w:uiPriority w:val="0"/>
    <w:rPr>
      <w:rFonts w:ascii="Arial" w:hAnsi="Arial" w:eastAsia="宋体" w:cs="Times New Roman"/>
      <w:b/>
      <w:bCs/>
      <w:kern w:val="0"/>
      <w:sz w:val="24"/>
      <w:szCs w:val="32"/>
    </w:rPr>
  </w:style>
  <w:style w:type="character" w:customStyle="1" w:styleId="66">
    <w:name w:val="标题 3 字符"/>
    <w:basedOn w:val="49"/>
    <w:link w:val="5"/>
    <w:qFormat/>
    <w:uiPriority w:val="0"/>
    <w:rPr>
      <w:rFonts w:ascii="Times New Roman" w:hAnsi="Times New Roman" w:eastAsia="宋体" w:cs="Times New Roman"/>
      <w:b/>
      <w:bCs/>
      <w:kern w:val="0"/>
      <w:sz w:val="32"/>
      <w:szCs w:val="32"/>
    </w:rPr>
  </w:style>
  <w:style w:type="character" w:customStyle="1" w:styleId="67">
    <w:name w:val="标题 4 字符"/>
    <w:basedOn w:val="49"/>
    <w:link w:val="6"/>
    <w:qFormat/>
    <w:uiPriority w:val="0"/>
    <w:rPr>
      <w:rFonts w:ascii="Arial" w:hAnsi="Arial" w:eastAsia="黑体" w:cs="Times New Roman"/>
      <w:b/>
      <w:bCs/>
      <w:kern w:val="0"/>
      <w:sz w:val="28"/>
      <w:szCs w:val="28"/>
    </w:rPr>
  </w:style>
  <w:style w:type="character" w:customStyle="1" w:styleId="68">
    <w:name w:val="标题 5 字符"/>
    <w:basedOn w:val="49"/>
    <w:link w:val="7"/>
    <w:qFormat/>
    <w:uiPriority w:val="0"/>
    <w:rPr>
      <w:rFonts w:ascii="Times New Roman" w:hAnsi="Times New Roman" w:eastAsia="宋体" w:cs="Times New Roman"/>
      <w:b/>
      <w:bCs/>
      <w:kern w:val="0"/>
      <w:sz w:val="28"/>
      <w:szCs w:val="28"/>
    </w:rPr>
  </w:style>
  <w:style w:type="character" w:customStyle="1" w:styleId="69">
    <w:name w:val="标题 6 字符"/>
    <w:basedOn w:val="49"/>
    <w:link w:val="8"/>
    <w:qFormat/>
    <w:uiPriority w:val="0"/>
    <w:rPr>
      <w:rFonts w:ascii="Arial" w:hAnsi="Arial" w:eastAsia="黑体" w:cs="Times New Roman"/>
      <w:b/>
      <w:bCs/>
      <w:kern w:val="0"/>
      <w:sz w:val="24"/>
      <w:szCs w:val="24"/>
    </w:rPr>
  </w:style>
  <w:style w:type="character" w:customStyle="1" w:styleId="70">
    <w:name w:val="标题 7 字符"/>
    <w:basedOn w:val="49"/>
    <w:link w:val="9"/>
    <w:qFormat/>
    <w:uiPriority w:val="0"/>
    <w:rPr>
      <w:rFonts w:ascii="Times New Roman" w:hAnsi="Times New Roman" w:eastAsia="宋体" w:cs="Times New Roman"/>
      <w:b/>
      <w:bCs/>
      <w:kern w:val="0"/>
      <w:sz w:val="24"/>
      <w:szCs w:val="24"/>
    </w:rPr>
  </w:style>
  <w:style w:type="character" w:customStyle="1" w:styleId="71">
    <w:name w:val="标题 8 字符"/>
    <w:basedOn w:val="49"/>
    <w:link w:val="10"/>
    <w:qFormat/>
    <w:uiPriority w:val="0"/>
    <w:rPr>
      <w:rFonts w:ascii="Arial" w:hAnsi="Arial" w:eastAsia="黑体" w:cs="Times New Roman"/>
      <w:kern w:val="0"/>
      <w:sz w:val="24"/>
      <w:szCs w:val="24"/>
    </w:rPr>
  </w:style>
  <w:style w:type="character" w:customStyle="1" w:styleId="72">
    <w:name w:val="标题 9 字符"/>
    <w:basedOn w:val="49"/>
    <w:link w:val="11"/>
    <w:qFormat/>
    <w:uiPriority w:val="0"/>
    <w:rPr>
      <w:rFonts w:ascii="Arial" w:hAnsi="Arial" w:eastAsia="黑体" w:cs="Times New Roman"/>
      <w:kern w:val="0"/>
      <w:sz w:val="20"/>
      <w:szCs w:val="21"/>
    </w:rPr>
  </w:style>
  <w:style w:type="character" w:customStyle="1" w:styleId="73">
    <w:name w:val="正文文本 2 字符"/>
    <w:basedOn w:val="49"/>
    <w:link w:val="39"/>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29"/>
    <w:qFormat/>
    <w:locked/>
    <w:uiPriority w:val="0"/>
    <w:rPr>
      <w:rFonts w:ascii="Calibri" w:hAnsi="Calibri" w:eastAsia="宋体" w:cs="黑体"/>
      <w:sz w:val="18"/>
      <w:szCs w:val="18"/>
    </w:rPr>
  </w:style>
  <w:style w:type="character" w:customStyle="1" w:styleId="98">
    <w:name w:val="正文文本缩进 字符"/>
    <w:basedOn w:val="49"/>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3"/>
    <w:qFormat/>
    <w:uiPriority w:val="0"/>
    <w:rPr>
      <w:rFonts w:ascii="Cambria" w:hAnsi="Cambria" w:eastAsia="宋体" w:cs="Times New Roman"/>
      <w:b/>
      <w:sz w:val="32"/>
      <w:szCs w:val="24"/>
    </w:rPr>
  </w:style>
  <w:style w:type="character" w:customStyle="1" w:styleId="102">
    <w:name w:val="正文文本缩进 2 字符"/>
    <w:basedOn w:val="49"/>
    <w:link w:val="28"/>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5"/>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7"/>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0"/>
    <w:qFormat/>
    <w:uiPriority w:val="0"/>
    <w:rPr>
      <w:rFonts w:ascii="Arial" w:hAnsi="Arial" w:eastAsia="宋体" w:cs="Arial"/>
      <w:kern w:val="0"/>
      <w:sz w:val="24"/>
      <w:szCs w:val="24"/>
    </w:rPr>
  </w:style>
  <w:style w:type="character" w:customStyle="1" w:styleId="115">
    <w:name w:val="称呼 字符"/>
    <w:basedOn w:val="49"/>
    <w:link w:val="18"/>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2"/>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6"/>
    <w:qFormat/>
    <w:uiPriority w:val="0"/>
    <w:rPr>
      <w:rFonts w:ascii="Calibri" w:hAnsi="Calibri" w:eastAsia="宋体" w:cs="黑体"/>
      <w:sz w:val="16"/>
      <w:szCs w:val="16"/>
    </w:rPr>
  </w:style>
  <w:style w:type="character" w:customStyle="1" w:styleId="126">
    <w:name w:val="副标题 字符"/>
    <w:basedOn w:val="49"/>
    <w:link w:val="34"/>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5"/>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7"/>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19"/>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首行缩进 字符"/>
    <w:basedOn w:val="173"/>
    <w:link w:val="45"/>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2"/>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5"/>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4"/>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5"/>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5"/>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 w:type="paragraph" w:customStyle="1" w:styleId="36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7CA47-0283-4058-B383-FCC9AD4C6B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56</Pages>
  <Words>22495</Words>
  <Characters>23401</Characters>
  <Lines>133</Lines>
  <Paragraphs>37</Paragraphs>
  <TotalTime>4</TotalTime>
  <ScaleCrop>false</ScaleCrop>
  <LinksUpToDate>false</LinksUpToDate>
  <CharactersWithSpaces>24738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铁道学院</cp:lastModifiedBy>
  <cp:lastPrinted>2022-09-01T09:00:00Z</cp:lastPrinted>
  <dcterms:modified xsi:type="dcterms:W3CDTF">2022-09-01T13:25:05Z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7C874A77AA8D4DEBB146A54206B9C58F</vt:lpwstr>
  </property>
</Properties>
</file>