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u w:val="none"/>
          <w:lang w:eastAsia="zh-CN"/>
        </w:rPr>
      </w:pPr>
      <w:bookmarkStart w:id="0" w:name="_Toc30403"/>
      <w:bookmarkStart w:id="1" w:name="_Toc20484"/>
      <w:bookmarkStart w:id="2" w:name="_Toc9230"/>
      <w:bookmarkStart w:id="3" w:name="_Toc7528"/>
      <w:bookmarkStart w:id="4" w:name="_Toc19663"/>
      <w:r>
        <w:rPr>
          <w:rFonts w:hint="eastAsia" w:ascii="宋体" w:hAnsi="宋体" w:eastAsia="宋体" w:cs="宋体"/>
          <w:b/>
          <w:sz w:val="32"/>
          <w:szCs w:val="32"/>
          <w:u w:val="none"/>
          <w:lang w:eastAsia="zh-CN"/>
        </w:rPr>
        <w:t>六、</w:t>
      </w:r>
      <w:bookmarkEnd w:id="0"/>
      <w:bookmarkEnd w:id="1"/>
      <w:bookmarkEnd w:id="2"/>
      <w:bookmarkEnd w:id="3"/>
      <w:r>
        <w:rPr>
          <w:rFonts w:hint="eastAsia" w:ascii="宋体" w:hAnsi="宋体" w:eastAsia="宋体" w:cs="宋体"/>
          <w:b/>
          <w:sz w:val="32"/>
          <w:szCs w:val="32"/>
          <w:u w:val="none"/>
          <w:lang w:eastAsia="zh-CN"/>
        </w:rPr>
        <w:t>报价一览表</w:t>
      </w:r>
      <w:bookmarkEnd w:id="4"/>
    </w:p>
    <w:p>
      <w:pPr>
        <w:adjustRightInd w:val="0"/>
        <w:snapToGrid w:val="0"/>
        <w:jc w:val="right"/>
        <w:rPr>
          <w:rFonts w:ascii="黑体" w:hAnsi="宋体" w:eastAsia="黑体"/>
          <w:sz w:val="24"/>
          <w:u w:val="none"/>
        </w:rPr>
      </w:pPr>
    </w:p>
    <w:tbl>
      <w:tblPr>
        <w:tblStyle w:val="7"/>
        <w:tblW w:w="8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62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3" w:type="dxa"/>
            <w:vAlign w:val="center"/>
          </w:tcPr>
          <w:p>
            <w:pPr>
              <w:spacing w:line="420" w:lineRule="exact"/>
              <w:jc w:val="center"/>
              <w:rPr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u w:val="none"/>
              </w:rPr>
              <w:t>项目名称</w:t>
            </w:r>
          </w:p>
        </w:tc>
        <w:tc>
          <w:tcPr>
            <w:tcW w:w="6297" w:type="dxa"/>
            <w:vAlign w:val="center"/>
          </w:tcPr>
          <w:p>
            <w:pPr>
              <w:rPr>
                <w:rFonts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3" w:type="dxa"/>
            <w:vAlign w:val="center"/>
          </w:tcPr>
          <w:p>
            <w:pPr>
              <w:spacing w:line="420" w:lineRule="exact"/>
              <w:jc w:val="center"/>
              <w:rPr>
                <w:b/>
                <w:bCs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u w:val="none"/>
              </w:rPr>
              <w:t>项目编号</w:t>
            </w:r>
          </w:p>
        </w:tc>
        <w:tc>
          <w:tcPr>
            <w:tcW w:w="6297" w:type="dxa"/>
            <w:vAlign w:val="center"/>
          </w:tcPr>
          <w:p>
            <w:pPr>
              <w:rPr>
                <w:rFonts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3" w:type="dxa"/>
            <w:vAlign w:val="center"/>
          </w:tcPr>
          <w:p>
            <w:pPr>
              <w:spacing w:line="420" w:lineRule="exact"/>
              <w:jc w:val="center"/>
              <w:rPr>
                <w:b/>
                <w:bCs/>
                <w:u w:val="none"/>
              </w:rPr>
            </w:pPr>
            <w:r>
              <w:rPr>
                <w:rFonts w:hint="eastAsia"/>
                <w:b/>
                <w:bCs/>
                <w:u w:val="none"/>
              </w:rPr>
              <w:t>服务期限</w:t>
            </w:r>
          </w:p>
        </w:tc>
        <w:tc>
          <w:tcPr>
            <w:tcW w:w="6297" w:type="dxa"/>
            <w:vAlign w:val="center"/>
          </w:tcPr>
          <w:p>
            <w:pPr>
              <w:rPr>
                <w:rFonts w:ascii="宋体" w:hAnsi="宋体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3" w:type="dxa"/>
            <w:vAlign w:val="center"/>
          </w:tcPr>
          <w:p>
            <w:pPr>
              <w:spacing w:line="420" w:lineRule="exact"/>
              <w:jc w:val="center"/>
              <w:rPr>
                <w:rFonts w:hint="default" w:eastAsia="宋体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u w:val="none"/>
                <w:lang w:eastAsia="zh-CN"/>
              </w:rPr>
              <w:t>正价差代理费</w:t>
            </w:r>
          </w:p>
        </w:tc>
        <w:tc>
          <w:tcPr>
            <w:tcW w:w="6297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湖南电力交易中心有限公司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发布的最新一期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电力市场交易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中的最低标准代理服务费（最低标准代理服务费）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+</w:t>
            </w:r>
            <w:r>
              <w:rPr>
                <w:rStyle w:val="9"/>
                <w:rFonts w:hint="eastAsia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  <w:t>正价差代理费上浮价差</w:t>
            </w:r>
            <w:r>
              <w:rPr>
                <w:rStyle w:val="9"/>
                <w:rFonts w:hint="eastAsia" w:cs="Times New Roman"/>
                <w:color w:val="auto"/>
                <w:kern w:val="0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Times New Roman" w:hAnsi="Times New Roman" w:eastAsia="宋体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  <w:t>元/兆瓦时</w:t>
            </w:r>
            <w:r>
              <w:rPr>
                <w:rStyle w:val="9"/>
                <w:rFonts w:hint="eastAsia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2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  <w:lang w:eastAsia="zh-CN"/>
              </w:rPr>
              <w:t>负价差分成比例</w:t>
            </w:r>
          </w:p>
        </w:tc>
        <w:tc>
          <w:tcPr>
            <w:tcW w:w="6297" w:type="dxa"/>
            <w:vAlign w:val="center"/>
          </w:tcPr>
          <w:p>
            <w:pPr>
              <w:spacing w:line="420" w:lineRule="exact"/>
              <w:jc w:val="left"/>
              <w:rPr>
                <w:rStyle w:val="9"/>
                <w:rFonts w:hint="eastAsia" w:ascii="Times New Roman" w:hAnsi="Times New Roman" w:eastAsia="宋体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</w:pPr>
            <w:r>
              <w:rPr>
                <w:rStyle w:val="9"/>
                <w:rFonts w:hint="eastAsia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  <w:t>采购单位</w:t>
            </w:r>
            <w:r>
              <w:rPr>
                <w:rStyle w:val="9"/>
                <w:rFonts w:hint="eastAsia" w:cs="Times New Roman"/>
                <w:color w:val="auto"/>
                <w:kern w:val="0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Times New Roman" w:hAnsi="Times New Roman" w:eastAsia="宋体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  <w:t>%</w:t>
            </w:r>
            <w:bookmarkStart w:id="7" w:name="_GoBack"/>
            <w:bookmarkEnd w:id="7"/>
          </w:p>
          <w:p>
            <w:pPr>
              <w:spacing w:line="420" w:lineRule="exact"/>
              <w:jc w:val="left"/>
              <w:rPr>
                <w:rFonts w:hint="default" w:ascii="宋体" w:hAnsi="宋体"/>
                <w:szCs w:val="21"/>
                <w:u w:val="none"/>
                <w:lang w:val="en-US"/>
              </w:rPr>
            </w:pPr>
            <w:r>
              <w:rPr>
                <w:rStyle w:val="9"/>
                <w:rFonts w:hint="eastAsia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  <w:t>谈判单位</w:t>
            </w:r>
            <w:r>
              <w:rPr>
                <w:rStyle w:val="9"/>
                <w:rFonts w:hint="eastAsia" w:cs="Times New Roman"/>
                <w:color w:val="auto"/>
                <w:kern w:val="0"/>
                <w:u w:val="singl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Style w:val="9"/>
                <w:rFonts w:hint="eastAsia" w:cs="Times New Roman"/>
                <w:color w:val="auto"/>
                <w:kern w:val="0"/>
                <w:u w:val="none"/>
                <w:shd w:val="clear" w:color="auto" w:fill="FFFFFF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2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ascii="宋体" w:hAnsi="宋体"/>
                <w:b/>
                <w:bCs/>
                <w:szCs w:val="21"/>
                <w:u w:val="none"/>
              </w:rPr>
              <w:t>备  注</w:t>
            </w:r>
          </w:p>
        </w:tc>
        <w:tc>
          <w:tcPr>
            <w:tcW w:w="6297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）正价差代理费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=《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湖南电力交易中心有限公司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发布的最新一期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电力市场交易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中的最低标准代理服务费（最低标准代理服务费）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+正价差代理费上浮价差（0≤X≤0.4）；</w:t>
            </w:r>
          </w:p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）最低标准代理服务费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评审取值说明：以《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湖南电力交易中心有限公司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发布的最新一期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电力市场交易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中的最低标准代理服务费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为本项目评审取值，例如：《关于组织2022年8月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电力市场交易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》中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最低标准代理服务费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为1.5元/兆瓦时至2.5元/兆瓦时，则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zh-CN" w:eastAsia="zh-CN"/>
              </w:rPr>
              <w:t>最低标准代理服务费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评审取值为1.5元/兆瓦时；</w:t>
            </w:r>
          </w:p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（3）谈判单位负价差分成比例≤10%。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22" w:firstLineChars="200"/>
        <w:textAlignment w:val="auto"/>
        <w:rPr>
          <w:rFonts w:ascii="宋体" w:hAnsi="宋体" w:cs="宋体"/>
          <w:b/>
          <w:color w:val="auto"/>
          <w:szCs w:val="21"/>
          <w:u w:val="none"/>
        </w:rPr>
      </w:pPr>
      <w:r>
        <w:rPr>
          <w:rFonts w:hint="eastAsia" w:ascii="宋体" w:hAnsi="宋体" w:cs="宋体"/>
          <w:b/>
          <w:color w:val="auto"/>
          <w:szCs w:val="21"/>
          <w:u w:val="none"/>
        </w:rPr>
        <w:t>注：1.所有报价保留小数点后两位，小数点后第三位“四舍五入”。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22" w:firstLineChars="200"/>
        <w:textAlignment w:val="auto"/>
        <w:rPr>
          <w:rFonts w:ascii="宋体" w:hAnsi="宋体" w:cs="宋体"/>
          <w:b/>
          <w:color w:val="auto"/>
          <w:szCs w:val="21"/>
          <w:u w:val="none"/>
        </w:rPr>
      </w:pPr>
      <w:r>
        <w:rPr>
          <w:rFonts w:hint="eastAsia" w:ascii="宋体" w:hAnsi="宋体" w:cs="宋体"/>
          <w:b/>
          <w:color w:val="auto"/>
          <w:szCs w:val="21"/>
          <w:u w:val="none"/>
        </w:rPr>
        <w:t>2.本表内“</w:t>
      </w:r>
      <w:r>
        <w:rPr>
          <w:rFonts w:hint="eastAsia"/>
          <w:b/>
          <w:bCs/>
          <w:color w:val="auto"/>
          <w:u w:val="none"/>
          <w:lang w:eastAsia="zh-CN"/>
        </w:rPr>
        <w:t>正价差代理费</w:t>
      </w:r>
      <w:r>
        <w:rPr>
          <w:rFonts w:hint="eastAsia" w:ascii="宋体" w:hAnsi="宋体" w:cs="宋体"/>
          <w:b/>
          <w:color w:val="auto"/>
          <w:szCs w:val="21"/>
          <w:u w:val="none"/>
        </w:rPr>
        <w:t>”是包含了所有隐含的管理费、税金和利润等其他费用的报价。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422" w:firstLineChars="200"/>
        <w:textAlignment w:val="auto"/>
        <w:rPr>
          <w:rFonts w:ascii="宋体" w:hAnsi="宋体" w:cs="宋体"/>
          <w:b/>
          <w:color w:val="auto"/>
          <w:szCs w:val="21"/>
          <w:u w:val="none"/>
        </w:rPr>
      </w:pPr>
      <w:r>
        <w:rPr>
          <w:rFonts w:hint="eastAsia" w:ascii="宋体" w:hAnsi="宋体" w:cs="宋体"/>
          <w:b/>
          <w:color w:val="auto"/>
          <w:szCs w:val="21"/>
          <w:u w:val="none"/>
        </w:rPr>
        <w:t>3.本项目设置最高限价，谈判单位所报</w:t>
      </w:r>
      <w:r>
        <w:rPr>
          <w:rFonts w:hint="eastAsia"/>
          <w:b/>
          <w:bCs/>
          <w:color w:val="auto"/>
          <w:u w:val="none"/>
          <w:lang w:eastAsia="zh-CN"/>
        </w:rPr>
        <w:t>正价差代理费和</w:t>
      </w:r>
      <w:r>
        <w:rPr>
          <w:rFonts w:hint="eastAsia" w:ascii="宋体" w:hAnsi="宋体"/>
          <w:b/>
          <w:bCs/>
          <w:color w:val="auto"/>
          <w:szCs w:val="21"/>
          <w:u w:val="none"/>
          <w:lang w:eastAsia="zh-CN"/>
        </w:rPr>
        <w:t>负价差分成比例</w:t>
      </w:r>
      <w:r>
        <w:rPr>
          <w:rFonts w:hint="eastAsia" w:ascii="宋体" w:hAnsi="宋体" w:cs="宋体"/>
          <w:b/>
          <w:color w:val="auto"/>
          <w:szCs w:val="21"/>
          <w:u w:val="none"/>
        </w:rPr>
        <w:t>不能超过最高限价，不超过最高限价的谈判</w:t>
      </w:r>
      <w:r>
        <w:rPr>
          <w:rFonts w:hint="eastAsia"/>
          <w:b/>
          <w:bCs/>
          <w:color w:val="auto"/>
          <w:u w:val="none"/>
          <w:lang w:eastAsia="zh-CN"/>
        </w:rPr>
        <w:t>正价差代理费和</w:t>
      </w:r>
      <w:r>
        <w:rPr>
          <w:rFonts w:hint="eastAsia" w:ascii="宋体" w:hAnsi="宋体"/>
          <w:b/>
          <w:bCs/>
          <w:color w:val="auto"/>
          <w:szCs w:val="21"/>
          <w:u w:val="none"/>
          <w:lang w:eastAsia="zh-CN"/>
        </w:rPr>
        <w:t>负价差分成比例</w:t>
      </w:r>
      <w:r>
        <w:rPr>
          <w:rFonts w:hint="eastAsia" w:ascii="宋体" w:hAnsi="宋体" w:cs="宋体"/>
          <w:b/>
          <w:color w:val="auto"/>
          <w:szCs w:val="21"/>
          <w:u w:val="none"/>
        </w:rPr>
        <w:t>为有效报价。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22" w:firstLineChars="200"/>
        <w:textAlignment w:val="auto"/>
        <w:rPr>
          <w:rFonts w:ascii="宋体" w:hAnsi="宋体"/>
          <w:b/>
          <w:color w:val="auto"/>
          <w:szCs w:val="21"/>
          <w:u w:val="none"/>
        </w:rPr>
      </w:pPr>
      <w:r>
        <w:rPr>
          <w:rFonts w:hint="eastAsia" w:ascii="宋体" w:hAnsi="宋体"/>
          <w:b/>
          <w:color w:val="auto"/>
          <w:szCs w:val="21"/>
          <w:u w:val="none"/>
        </w:rPr>
        <w:t>4.本项目谈判报价评审时，以“</w:t>
      </w:r>
      <w:r>
        <w:rPr>
          <w:rFonts w:hint="eastAsia"/>
          <w:b/>
          <w:bCs/>
          <w:color w:val="auto"/>
          <w:u w:val="none"/>
          <w:lang w:eastAsia="zh-CN"/>
        </w:rPr>
        <w:t>正价差代理费和</w:t>
      </w:r>
      <w:r>
        <w:rPr>
          <w:rFonts w:hint="eastAsia" w:ascii="宋体" w:hAnsi="宋体"/>
          <w:b/>
          <w:bCs/>
          <w:color w:val="auto"/>
          <w:szCs w:val="21"/>
          <w:u w:val="none"/>
          <w:lang w:eastAsia="zh-CN"/>
        </w:rPr>
        <w:t>负价差分成比例</w:t>
      </w:r>
      <w:r>
        <w:rPr>
          <w:rFonts w:hint="eastAsia" w:ascii="宋体" w:hAnsi="宋体"/>
          <w:b/>
          <w:color w:val="auto"/>
          <w:szCs w:val="21"/>
          <w:u w:val="none"/>
        </w:rPr>
        <w:t>”进行评审。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20" w:firstLineChars="200"/>
        <w:textAlignment w:val="auto"/>
        <w:rPr>
          <w:rFonts w:ascii="宋体" w:hAnsi="宋体"/>
          <w:bCs/>
          <w:sz w:val="21"/>
          <w:szCs w:val="21"/>
          <w:u w:val="none"/>
        </w:rPr>
      </w:pPr>
      <w:bookmarkStart w:id="5" w:name="_Toc5231"/>
      <w:r>
        <w:rPr>
          <w:rFonts w:hint="eastAsia" w:ascii="宋体" w:hAnsi="宋体"/>
          <w:sz w:val="21"/>
          <w:szCs w:val="21"/>
          <w:u w:val="none"/>
        </w:rPr>
        <w:t>谈判单位名称：    （盖单位章）</w:t>
      </w:r>
      <w:bookmarkEnd w:id="5"/>
      <w:r>
        <w:rPr>
          <w:rFonts w:hint="eastAsia" w:ascii="宋体" w:hAnsi="宋体"/>
          <w:sz w:val="21"/>
          <w:szCs w:val="21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20" w:firstLineChars="200"/>
        <w:textAlignment w:val="auto"/>
        <w:rPr>
          <w:rFonts w:ascii="宋体" w:hAnsi="宋体"/>
          <w:szCs w:val="21"/>
          <w:u w:val="none"/>
        </w:rPr>
      </w:pPr>
      <w:bookmarkStart w:id="6" w:name="_Toc28605"/>
      <w:r>
        <w:rPr>
          <w:rFonts w:hint="eastAsia" w:ascii="宋体" w:hAnsi="宋体"/>
          <w:szCs w:val="21"/>
          <w:u w:val="none"/>
        </w:rPr>
        <w:t>法定代表人或其委托代理人(签字或盖章)：</w:t>
      </w:r>
      <w:bookmarkEnd w:id="6"/>
      <w:r>
        <w:rPr>
          <w:rFonts w:hint="eastAsia" w:ascii="宋体" w:hAnsi="宋体"/>
          <w:szCs w:val="21"/>
          <w:u w:val="non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420" w:firstLineChars="200"/>
        <w:textAlignment w:val="auto"/>
      </w:pPr>
      <w:r>
        <w:rPr>
          <w:rFonts w:hint="eastAsia" w:ascii="宋体" w:hAnsi="宋体"/>
          <w:szCs w:val="21"/>
          <w:u w:val="none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AwN2E4MjAwNzRhMGY2N2M5ZjVhOTdiZmFlMGMifQ=="/>
  </w:docVars>
  <w:rsids>
    <w:rsidRoot w:val="63725765"/>
    <w:rsid w:val="06492192"/>
    <w:rsid w:val="194735EF"/>
    <w:rsid w:val="2B1862EE"/>
    <w:rsid w:val="500E3CB6"/>
    <w:rsid w:val="6186757B"/>
    <w:rsid w:val="6372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Date"/>
    <w:basedOn w:val="1"/>
    <w:next w:val="1"/>
    <w:qFormat/>
    <w:uiPriority w:val="0"/>
    <w:rPr>
      <w:rFonts w:ascii="Calibri" w:hAnsi="Calibri" w:cs="黑体"/>
      <w:sz w:val="24"/>
      <w:szCs w:val="22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99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579</Characters>
  <Lines>0</Lines>
  <Paragraphs>0</Paragraphs>
  <TotalTime>1</TotalTime>
  <ScaleCrop>false</ScaleCrop>
  <LinksUpToDate>false</LinksUpToDate>
  <CharactersWithSpaces>625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2022-09-13T02:54:00Z</dcterms:created>
  <dc:creator>HMZ</dc:creator>
  <cp:lastModifiedBy>HMZ</cp:lastModifiedBy>
  <dcterms:modified xsi:type="dcterms:W3CDTF">2022-09-14T04:42:10Z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00DFD166DA7146A6907161800BE10120</vt:lpwstr>
  </property>
</Properties>
</file>