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jc w:val="both"/>
        <w:rPr>
          <w:rFonts w:hAnsi="宋体"/>
          <w:b/>
          <w:color w:val="auto"/>
          <w:sz w:val="52"/>
          <w:szCs w:val="52"/>
          <w:highlight w:val="none"/>
        </w:rPr>
      </w:pPr>
    </w:p>
    <w:p>
      <w:pPr>
        <w:pStyle w:val="25"/>
        <w:jc w:val="center"/>
        <w:rPr>
          <w:rFonts w:hAnsi="宋体"/>
          <w:b/>
          <w:bCs/>
          <w:color w:val="auto"/>
          <w:sz w:val="52"/>
          <w:szCs w:val="52"/>
          <w:highlight w:val="none"/>
        </w:rPr>
      </w:pPr>
      <w:r>
        <w:rPr>
          <w:rFonts w:hint="eastAsia" w:hAnsi="宋体"/>
          <w:b/>
          <w:color w:val="auto"/>
          <w:sz w:val="52"/>
          <w:szCs w:val="52"/>
          <w:highlight w:val="none"/>
        </w:rPr>
        <w:t>长沙市轨道交通运营有限公司</w:t>
      </w:r>
    </w:p>
    <w:p>
      <w:pPr>
        <w:pStyle w:val="25"/>
        <w:adjustRightInd w:val="0"/>
        <w:snapToGrid w:val="0"/>
        <w:spacing w:line="360" w:lineRule="auto"/>
        <w:jc w:val="center"/>
        <w:rPr>
          <w:b/>
          <w:color w:val="auto"/>
          <w:sz w:val="32"/>
          <w:szCs w:val="32"/>
          <w:highlight w:val="none"/>
        </w:rPr>
      </w:pPr>
      <w:r>
        <w:rPr>
          <w:rFonts w:hint="eastAsia" w:hAnsi="宋体"/>
          <w:b/>
          <w:color w:val="auto"/>
          <w:sz w:val="52"/>
          <w:szCs w:val="52"/>
          <w:highlight w:val="none"/>
        </w:rPr>
        <w:t>自主竞争性谈判文件</w:t>
      </w:r>
    </w:p>
    <w:p>
      <w:pPr>
        <w:pStyle w:val="25"/>
        <w:adjustRightInd w:val="0"/>
        <w:snapToGrid w:val="0"/>
        <w:spacing w:line="360" w:lineRule="auto"/>
        <w:rPr>
          <w:rFonts w:hint="eastAsia" w:ascii="华文中宋" w:hAnsi="华文中宋" w:eastAsia="华文中宋"/>
          <w:color w:val="auto"/>
          <w:sz w:val="32"/>
          <w:szCs w:val="32"/>
          <w:highlight w:val="none"/>
          <w:lang w:eastAsia="zh-CN"/>
        </w:rPr>
      </w:pPr>
    </w:p>
    <w:p>
      <w:pPr>
        <w:pStyle w:val="25"/>
        <w:adjustRightInd w:val="0"/>
        <w:snapToGrid w:val="0"/>
        <w:spacing w:line="360" w:lineRule="auto"/>
        <w:rPr>
          <w:rFonts w:hint="eastAsia" w:ascii="华文中宋" w:hAnsi="华文中宋" w:eastAsia="华文中宋"/>
          <w:color w:val="auto"/>
          <w:sz w:val="32"/>
          <w:szCs w:val="32"/>
          <w:highlight w:val="none"/>
          <w:lang w:eastAsia="zh-CN"/>
        </w:rPr>
      </w:pPr>
    </w:p>
    <w:p>
      <w:pPr>
        <w:keepNext w:val="0"/>
        <w:keepLines w:val="0"/>
        <w:pageBreakBefore w:val="0"/>
        <w:widowControl w:val="0"/>
        <w:kinsoku/>
        <w:wordWrap/>
        <w:overflowPunct/>
        <w:topLinePunct w:val="0"/>
        <w:autoSpaceDE/>
        <w:autoSpaceDN/>
        <w:bidi w:val="0"/>
        <w:spacing w:line="360" w:lineRule="auto"/>
        <w:ind w:left="2287" w:leftChars="152" w:right="0" w:rightChars="0" w:hanging="1968" w:hangingChars="700"/>
        <w:jc w:val="both"/>
        <w:textAlignment w:val="auto"/>
        <w:rPr>
          <w:rFonts w:hint="eastAsia" w:ascii="宋体" w:hAnsi="宋体" w:cs="Courier New"/>
          <w:b/>
          <w:bCs w:val="0"/>
          <w:color w:val="auto"/>
          <w:sz w:val="28"/>
          <w:szCs w:val="20"/>
          <w:highlight w:val="none"/>
          <w:u w:val="single"/>
          <w:lang w:eastAsia="zh-CN"/>
        </w:rPr>
      </w:pPr>
      <w:r>
        <w:rPr>
          <w:rFonts w:hint="eastAsia" w:ascii="宋体" w:hAnsi="宋体" w:cs="Courier New"/>
          <w:b/>
          <w:bCs w:val="0"/>
          <w:color w:val="auto"/>
          <w:sz w:val="28"/>
          <w:szCs w:val="20"/>
          <w:highlight w:val="none"/>
        </w:rPr>
        <w:t>谈判项目名称：</w:t>
      </w:r>
      <w:r>
        <w:rPr>
          <w:rFonts w:hint="eastAsia" w:ascii="宋体" w:hAnsi="宋体" w:cs="Courier New"/>
          <w:b/>
          <w:bCs w:val="0"/>
          <w:color w:val="auto"/>
          <w:sz w:val="28"/>
          <w:szCs w:val="20"/>
          <w:highlight w:val="none"/>
          <w:u w:val="single"/>
          <w:lang w:eastAsia="zh-CN"/>
        </w:rPr>
        <w:t>长沙市轨道交通1、2、3、4、5号线运营期2022年-2023年计量器具及化验委外检测服务项目（第二次）</w:t>
      </w:r>
    </w:p>
    <w:p>
      <w:pPr>
        <w:pStyle w:val="2"/>
        <w:rPr>
          <w:rFonts w:hint="eastAsia"/>
          <w:color w:val="auto"/>
          <w:sz w:val="20"/>
          <w:szCs w:val="22"/>
          <w:highlight w:val="none"/>
          <w:lang w:eastAsia="zh-CN"/>
        </w:rPr>
      </w:pPr>
    </w:p>
    <w:p>
      <w:pPr>
        <w:rPr>
          <w:rFonts w:hint="eastAsia"/>
          <w:color w:val="auto"/>
          <w:highlight w:val="none"/>
          <w:lang w:eastAsia="zh-CN"/>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1" w:firstLineChars="100"/>
        <w:jc w:val="both"/>
        <w:textAlignment w:val="auto"/>
        <w:rPr>
          <w:rFonts w:hint="eastAsia" w:hAnsi="宋体"/>
          <w:b/>
          <w:bCs w:val="0"/>
          <w:color w:val="auto"/>
          <w:sz w:val="28"/>
          <w:szCs w:val="20"/>
          <w:highlight w:val="none"/>
          <w:u w:val="single"/>
          <w:lang w:eastAsia="zh-CN"/>
        </w:rPr>
      </w:pPr>
      <w:r>
        <w:rPr>
          <w:rFonts w:hint="eastAsia" w:hAnsi="宋体"/>
          <w:b/>
          <w:bCs w:val="0"/>
          <w:color w:val="auto"/>
          <w:sz w:val="28"/>
          <w:szCs w:val="20"/>
          <w:highlight w:val="none"/>
        </w:rPr>
        <w:t>采购单位名称</w:t>
      </w:r>
      <w:r>
        <w:rPr>
          <w:rFonts w:hint="eastAsia" w:hAnsi="宋体"/>
          <w:b/>
          <w:bCs w:val="0"/>
          <w:color w:val="auto"/>
          <w:sz w:val="32"/>
          <w:highlight w:val="none"/>
        </w:rPr>
        <w:t>：</w:t>
      </w:r>
      <w:r>
        <w:rPr>
          <w:rFonts w:hint="eastAsia" w:hAnsi="宋体"/>
          <w:b/>
          <w:bCs w:val="0"/>
          <w:color w:val="auto"/>
          <w:sz w:val="28"/>
          <w:szCs w:val="20"/>
          <w:highlight w:val="none"/>
          <w:u w:val="single"/>
          <w:lang w:eastAsia="zh-CN"/>
        </w:rPr>
        <w:t>长沙市轨道交通运营有限公司</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2249" w:firstLineChars="800"/>
        <w:jc w:val="both"/>
        <w:textAlignment w:val="auto"/>
        <w:rPr>
          <w:rFonts w:hint="eastAsia" w:hAnsi="宋体"/>
          <w:b/>
          <w:bCs w:val="0"/>
          <w:color w:val="auto"/>
          <w:sz w:val="28"/>
          <w:szCs w:val="20"/>
          <w:highlight w:val="none"/>
          <w:u w:val="single"/>
          <w:lang w:eastAsia="zh-CN"/>
        </w:rPr>
      </w:pPr>
      <w:r>
        <w:rPr>
          <w:rFonts w:hint="eastAsia" w:hAnsi="宋体"/>
          <w:b/>
          <w:bCs w:val="0"/>
          <w:color w:val="auto"/>
          <w:sz w:val="28"/>
          <w:szCs w:val="20"/>
          <w:highlight w:val="none"/>
          <w:u w:val="single"/>
        </w:rPr>
        <w:t>长沙市轨道交通</w:t>
      </w:r>
      <w:r>
        <w:rPr>
          <w:rFonts w:hint="eastAsia" w:hAnsi="宋体"/>
          <w:b/>
          <w:bCs w:val="0"/>
          <w:color w:val="auto"/>
          <w:sz w:val="28"/>
          <w:szCs w:val="20"/>
          <w:highlight w:val="none"/>
          <w:u w:val="single"/>
          <w:lang w:eastAsia="zh-CN"/>
        </w:rPr>
        <w:t>一</w:t>
      </w:r>
      <w:r>
        <w:rPr>
          <w:rFonts w:hint="eastAsia" w:hAnsi="宋体"/>
          <w:b/>
          <w:bCs w:val="0"/>
          <w:color w:val="auto"/>
          <w:sz w:val="28"/>
          <w:szCs w:val="20"/>
          <w:highlight w:val="none"/>
          <w:u w:val="single"/>
        </w:rPr>
        <w:t>号线建设发展有限公司</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2249" w:firstLineChars="800"/>
        <w:jc w:val="both"/>
        <w:textAlignment w:val="auto"/>
        <w:rPr>
          <w:rFonts w:hint="eastAsia" w:hAnsi="宋体"/>
          <w:b/>
          <w:bCs w:val="0"/>
          <w:color w:val="auto"/>
          <w:sz w:val="28"/>
          <w:szCs w:val="20"/>
          <w:highlight w:val="none"/>
          <w:u w:val="single"/>
          <w:lang w:eastAsia="zh-CN"/>
        </w:rPr>
      </w:pPr>
      <w:r>
        <w:rPr>
          <w:rFonts w:hint="eastAsia" w:hAnsi="宋体"/>
          <w:b/>
          <w:bCs w:val="0"/>
          <w:color w:val="auto"/>
          <w:sz w:val="28"/>
          <w:szCs w:val="20"/>
          <w:highlight w:val="none"/>
          <w:u w:val="single"/>
        </w:rPr>
        <w:t>长沙市轨道交通</w:t>
      </w:r>
      <w:r>
        <w:rPr>
          <w:rFonts w:hint="eastAsia" w:hAnsi="宋体"/>
          <w:b/>
          <w:bCs w:val="0"/>
          <w:color w:val="auto"/>
          <w:sz w:val="28"/>
          <w:szCs w:val="20"/>
          <w:highlight w:val="none"/>
          <w:u w:val="single"/>
          <w:lang w:eastAsia="zh-CN"/>
        </w:rPr>
        <w:t>三</w:t>
      </w:r>
      <w:r>
        <w:rPr>
          <w:rFonts w:hint="eastAsia" w:hAnsi="宋体"/>
          <w:b/>
          <w:bCs w:val="0"/>
          <w:color w:val="auto"/>
          <w:sz w:val="28"/>
          <w:szCs w:val="20"/>
          <w:highlight w:val="none"/>
          <w:u w:val="single"/>
        </w:rPr>
        <w:t>号线建设发展有限公司</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2249" w:firstLineChars="800"/>
        <w:jc w:val="both"/>
        <w:textAlignment w:val="auto"/>
        <w:rPr>
          <w:rFonts w:hint="eastAsia" w:hAnsi="宋体"/>
          <w:b/>
          <w:bCs w:val="0"/>
          <w:color w:val="auto"/>
          <w:sz w:val="28"/>
          <w:szCs w:val="20"/>
          <w:highlight w:val="none"/>
          <w:u w:val="single"/>
          <w:lang w:eastAsia="zh-CN"/>
        </w:rPr>
      </w:pPr>
      <w:r>
        <w:rPr>
          <w:rFonts w:hint="eastAsia" w:hAnsi="宋体"/>
          <w:b/>
          <w:bCs w:val="0"/>
          <w:color w:val="auto"/>
          <w:sz w:val="28"/>
          <w:szCs w:val="20"/>
          <w:highlight w:val="none"/>
          <w:u w:val="single"/>
        </w:rPr>
        <w:t>长沙市轨道交通</w:t>
      </w:r>
      <w:r>
        <w:rPr>
          <w:rFonts w:hint="eastAsia" w:hAnsi="宋体"/>
          <w:b/>
          <w:bCs w:val="0"/>
          <w:color w:val="auto"/>
          <w:sz w:val="28"/>
          <w:szCs w:val="20"/>
          <w:highlight w:val="none"/>
          <w:u w:val="single"/>
          <w:lang w:eastAsia="zh-CN"/>
        </w:rPr>
        <w:t>四</w:t>
      </w:r>
      <w:r>
        <w:rPr>
          <w:rFonts w:hint="eastAsia" w:hAnsi="宋体"/>
          <w:b/>
          <w:bCs w:val="0"/>
          <w:color w:val="auto"/>
          <w:sz w:val="28"/>
          <w:szCs w:val="20"/>
          <w:highlight w:val="none"/>
          <w:u w:val="single"/>
        </w:rPr>
        <w:t>号线建设发展有限公司</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2249" w:firstLineChars="800"/>
        <w:jc w:val="both"/>
        <w:textAlignment w:val="auto"/>
        <w:rPr>
          <w:rFonts w:hint="eastAsia" w:hAnsi="宋体" w:eastAsia="宋体"/>
          <w:b/>
          <w:bCs w:val="0"/>
          <w:strike w:val="0"/>
          <w:dstrike w:val="0"/>
          <w:color w:val="auto"/>
          <w:sz w:val="28"/>
          <w:szCs w:val="20"/>
          <w:highlight w:val="none"/>
          <w:u w:val="none"/>
          <w:lang w:eastAsia="zh-CN"/>
        </w:rPr>
      </w:pPr>
      <w:r>
        <w:rPr>
          <w:rFonts w:hint="eastAsia" w:hAnsi="宋体"/>
          <w:b/>
          <w:bCs w:val="0"/>
          <w:color w:val="auto"/>
          <w:sz w:val="28"/>
          <w:szCs w:val="20"/>
          <w:highlight w:val="none"/>
          <w:u w:val="single"/>
        </w:rPr>
        <w:t>长沙市轨道交通</w:t>
      </w:r>
      <w:r>
        <w:rPr>
          <w:rFonts w:hint="eastAsia" w:hAnsi="宋体"/>
          <w:b/>
          <w:bCs w:val="0"/>
          <w:color w:val="auto"/>
          <w:sz w:val="28"/>
          <w:szCs w:val="20"/>
          <w:highlight w:val="none"/>
          <w:u w:val="single"/>
          <w:lang w:eastAsia="zh-CN"/>
        </w:rPr>
        <w:t>五</w:t>
      </w:r>
      <w:r>
        <w:rPr>
          <w:rFonts w:hint="eastAsia" w:hAnsi="宋体"/>
          <w:b/>
          <w:bCs w:val="0"/>
          <w:color w:val="auto"/>
          <w:sz w:val="28"/>
          <w:szCs w:val="20"/>
          <w:highlight w:val="none"/>
          <w:u w:val="single"/>
        </w:rPr>
        <w:t>号线建设发展有限公司</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321" w:firstLineChars="100"/>
        <w:textAlignment w:val="auto"/>
        <w:rPr>
          <w:rFonts w:hint="eastAsia" w:hAnsi="宋体"/>
          <w:b/>
          <w:bCs w:val="0"/>
          <w:strike w:val="0"/>
          <w:dstrike w:val="0"/>
          <w:color w:val="auto"/>
          <w:sz w:val="32"/>
          <w:highlight w:val="none"/>
          <w:u w:val="non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281" w:firstLineChars="100"/>
        <w:textAlignment w:val="auto"/>
        <w:rPr>
          <w:rFonts w:hint="default" w:hAnsi="宋体" w:eastAsia="宋体"/>
          <w:b/>
          <w:bCs w:val="0"/>
          <w:color w:val="auto"/>
          <w:sz w:val="28"/>
          <w:szCs w:val="20"/>
          <w:highlight w:val="none"/>
          <w:u w:val="single"/>
          <w:lang w:val="en-US" w:eastAsia="zh-CN"/>
        </w:rPr>
      </w:pPr>
      <w:r>
        <w:rPr>
          <w:rFonts w:hint="eastAsia" w:hAnsi="宋体"/>
          <w:b/>
          <w:bCs w:val="0"/>
          <w:color w:val="auto"/>
          <w:sz w:val="28"/>
          <w:szCs w:val="20"/>
          <w:highlight w:val="none"/>
        </w:rPr>
        <w:t>谈判项目编号：</w:t>
      </w:r>
      <w:r>
        <w:rPr>
          <w:rFonts w:hint="eastAsia" w:hAnsi="宋体"/>
          <w:b/>
          <w:bCs w:val="0"/>
          <w:color w:val="auto"/>
          <w:sz w:val="28"/>
          <w:szCs w:val="20"/>
          <w:highlight w:val="none"/>
          <w:u w:val="single"/>
        </w:rPr>
        <w:t>长轨运</w:t>
      </w:r>
      <w:r>
        <w:rPr>
          <w:rFonts w:hint="eastAsia" w:hAnsi="宋体"/>
          <w:b/>
          <w:bCs w:val="0"/>
          <w:color w:val="auto"/>
          <w:sz w:val="28"/>
          <w:szCs w:val="20"/>
          <w:highlight w:val="none"/>
          <w:u w:val="single"/>
          <w:lang w:eastAsia="zh-CN"/>
        </w:rPr>
        <w:t>服采</w:t>
      </w:r>
      <w:r>
        <w:rPr>
          <w:rFonts w:hint="eastAsia" w:hAnsi="宋体"/>
          <w:b/>
          <w:bCs w:val="0"/>
          <w:color w:val="auto"/>
          <w:sz w:val="28"/>
          <w:szCs w:val="20"/>
          <w:highlight w:val="none"/>
          <w:u w:val="single"/>
        </w:rPr>
        <w:t>【20</w:t>
      </w:r>
      <w:r>
        <w:rPr>
          <w:rFonts w:hint="eastAsia" w:hAnsi="宋体"/>
          <w:b/>
          <w:bCs w:val="0"/>
          <w:color w:val="auto"/>
          <w:sz w:val="28"/>
          <w:szCs w:val="20"/>
          <w:highlight w:val="none"/>
          <w:u w:val="single"/>
          <w:lang w:val="en-US" w:eastAsia="zh-CN"/>
        </w:rPr>
        <w:t>22</w:t>
      </w:r>
      <w:r>
        <w:rPr>
          <w:rFonts w:hint="eastAsia" w:hAnsi="宋体"/>
          <w:b/>
          <w:bCs w:val="0"/>
          <w:color w:val="auto"/>
          <w:sz w:val="28"/>
          <w:szCs w:val="20"/>
          <w:highlight w:val="none"/>
          <w:u w:val="single"/>
        </w:rPr>
        <w:t>】</w:t>
      </w:r>
      <w:r>
        <w:rPr>
          <w:rFonts w:hint="eastAsia" w:hAnsi="宋体"/>
          <w:b/>
          <w:bCs w:val="0"/>
          <w:color w:val="auto"/>
          <w:sz w:val="28"/>
          <w:szCs w:val="20"/>
          <w:highlight w:val="none"/>
          <w:u w:val="single"/>
          <w:lang w:val="en-US" w:eastAsia="zh-CN"/>
        </w:rPr>
        <w:t>013号</w:t>
      </w:r>
    </w:p>
    <w:p>
      <w:pPr>
        <w:pStyle w:val="25"/>
        <w:adjustRightInd w:val="0"/>
        <w:snapToGrid w:val="0"/>
        <w:spacing w:beforeLines="50" w:line="360" w:lineRule="auto"/>
        <w:rPr>
          <w:b/>
          <w:color w:val="auto"/>
          <w:sz w:val="32"/>
          <w:szCs w:val="32"/>
          <w:highlight w:val="none"/>
        </w:rPr>
      </w:pPr>
    </w:p>
    <w:p>
      <w:pPr>
        <w:pStyle w:val="25"/>
        <w:adjustRightInd w:val="0"/>
        <w:snapToGrid w:val="0"/>
        <w:spacing w:line="360" w:lineRule="auto"/>
        <w:rPr>
          <w:rFonts w:hint="eastAsia" w:ascii="仿宋_GB2312" w:hAnsi="宋体" w:eastAsia="仿宋_GB2312"/>
          <w:b/>
          <w:color w:val="auto"/>
          <w:sz w:val="32"/>
          <w:highlight w:val="none"/>
          <w:lang w:eastAsia="zh-CN"/>
        </w:rPr>
      </w:pPr>
    </w:p>
    <w:p>
      <w:pPr>
        <w:pStyle w:val="25"/>
        <w:adjustRightInd w:val="0"/>
        <w:snapToGrid w:val="0"/>
        <w:spacing w:line="360" w:lineRule="auto"/>
        <w:rPr>
          <w:rFonts w:ascii="仿宋_GB2312" w:hAnsi="宋体" w:eastAsia="仿宋_GB2312"/>
          <w:b w:val="0"/>
          <w:bCs/>
          <w:color w:val="auto"/>
          <w:sz w:val="32"/>
          <w:highlight w:val="none"/>
        </w:rPr>
      </w:pPr>
    </w:p>
    <w:p>
      <w:pPr>
        <w:pStyle w:val="25"/>
        <w:adjustRightInd w:val="0"/>
        <w:snapToGrid w:val="0"/>
        <w:spacing w:line="360" w:lineRule="auto"/>
        <w:jc w:val="center"/>
        <w:rPr>
          <w:rFonts w:hint="eastAsia" w:hAnsi="宋体"/>
          <w:b w:val="0"/>
          <w:bCs/>
          <w:color w:val="auto"/>
          <w:sz w:val="32"/>
          <w:highlight w:val="none"/>
          <w:u w:val="none"/>
        </w:rPr>
      </w:pPr>
      <w:r>
        <w:rPr>
          <w:rFonts w:hint="eastAsia" w:hAnsi="宋体"/>
          <w:b/>
          <w:bCs w:val="0"/>
          <w:color w:val="auto"/>
          <w:sz w:val="32"/>
          <w:highlight w:val="none"/>
          <w:u w:val="none"/>
        </w:rPr>
        <w:t>二〇二</w:t>
      </w:r>
      <w:r>
        <w:rPr>
          <w:rFonts w:hint="eastAsia" w:hAnsi="宋体"/>
          <w:b/>
          <w:bCs w:val="0"/>
          <w:color w:val="auto"/>
          <w:sz w:val="32"/>
          <w:highlight w:val="none"/>
          <w:u w:val="none"/>
          <w:lang w:eastAsia="zh-CN"/>
        </w:rPr>
        <w:t>二</w:t>
      </w:r>
      <w:r>
        <w:rPr>
          <w:rFonts w:hint="eastAsia" w:hAnsi="宋体"/>
          <w:b/>
          <w:bCs w:val="0"/>
          <w:color w:val="auto"/>
          <w:sz w:val="32"/>
          <w:highlight w:val="none"/>
          <w:u w:val="none"/>
        </w:rPr>
        <w:t>年</w:t>
      </w:r>
      <w:r>
        <w:rPr>
          <w:rFonts w:hint="eastAsia" w:hAnsi="宋体"/>
          <w:b/>
          <w:bCs w:val="0"/>
          <w:color w:val="auto"/>
          <w:sz w:val="32"/>
          <w:highlight w:val="none"/>
          <w:u w:val="none"/>
          <w:lang w:val="en-US" w:eastAsia="zh-CN"/>
        </w:rPr>
        <w:t>六</w:t>
      </w:r>
      <w:r>
        <w:rPr>
          <w:rFonts w:hint="eastAsia" w:hAnsi="宋体"/>
          <w:b/>
          <w:bCs w:val="0"/>
          <w:color w:val="auto"/>
          <w:sz w:val="32"/>
          <w:highlight w:val="none"/>
          <w:u w:val="none"/>
        </w:rPr>
        <w:t>月</w:t>
      </w:r>
    </w:p>
    <w:p>
      <w:pPr>
        <w:pStyle w:val="25"/>
        <w:adjustRightInd w:val="0"/>
        <w:snapToGrid w:val="0"/>
        <w:spacing w:line="360" w:lineRule="auto"/>
        <w:jc w:val="center"/>
        <w:rPr>
          <w:rFonts w:hint="eastAsia" w:hAnsi="宋体"/>
          <w:b/>
          <w:color w:val="auto"/>
          <w:sz w:val="32"/>
          <w:highlight w:val="none"/>
        </w:rPr>
      </w:pPr>
    </w:p>
    <w:p>
      <w:pPr>
        <w:pStyle w:val="25"/>
        <w:adjustRightInd w:val="0"/>
        <w:snapToGrid w:val="0"/>
        <w:spacing w:line="360" w:lineRule="auto"/>
        <w:jc w:val="center"/>
        <w:rPr>
          <w:rFonts w:hint="eastAsia" w:hAnsi="宋体"/>
          <w:b/>
          <w:color w:val="auto"/>
          <w:sz w:val="32"/>
          <w:highlight w:val="none"/>
        </w:rPr>
        <w:sectPr>
          <w:footerReference r:id="rId3" w:type="default"/>
          <w:pgSz w:w="11906" w:h="16838"/>
          <w:pgMar w:top="1440" w:right="1797" w:bottom="1440" w:left="1797" w:header="851" w:footer="851" w:gutter="0"/>
          <w:pgBorders>
            <w:top w:val="none" w:sz="0" w:space="0"/>
            <w:left w:val="none" w:sz="0" w:space="0"/>
            <w:bottom w:val="none" w:sz="0" w:space="0"/>
            <w:right w:val="none" w:sz="0" w:space="0"/>
          </w:pgBorders>
          <w:pgNumType w:fmt="decimal" w:start="1"/>
          <w:cols w:space="720" w:num="1"/>
          <w:docGrid w:linePitch="312" w:charSpace="0"/>
        </w:sectPr>
      </w:pPr>
    </w:p>
    <w:p>
      <w:pPr>
        <w:jc w:val="center"/>
        <w:rPr>
          <w:rFonts w:hint="eastAsia" w:ascii="宋体" w:hAnsi="宋体" w:cs="宋体"/>
          <w:b/>
          <w:bCs/>
          <w:color w:val="auto"/>
          <w:sz w:val="32"/>
          <w:szCs w:val="32"/>
          <w:highlight w:val="none"/>
          <w:lang w:eastAsia="zh-CN"/>
        </w:rPr>
      </w:pPr>
      <w:bookmarkStart w:id="0" w:name="_Toc14891064"/>
      <w:r>
        <w:rPr>
          <w:rFonts w:hint="eastAsia" w:ascii="宋体" w:hAnsi="宋体" w:cs="宋体"/>
          <w:b/>
          <w:bCs/>
          <w:color w:val="auto"/>
          <w:sz w:val="32"/>
          <w:szCs w:val="32"/>
          <w:highlight w:val="none"/>
          <w:lang w:eastAsia="zh-CN"/>
        </w:rPr>
        <w:t>目</w:t>
      </w:r>
      <w:r>
        <w:rPr>
          <w:rFonts w:hint="eastAsia" w:ascii="宋体" w:hAnsi="宋体" w:cs="宋体"/>
          <w:b/>
          <w:bCs/>
          <w:color w:val="auto"/>
          <w:sz w:val="32"/>
          <w:szCs w:val="32"/>
          <w:highlight w:val="none"/>
          <w:lang w:val="en-US" w:eastAsia="zh-CN"/>
        </w:rPr>
        <w:t xml:space="preserve">   </w:t>
      </w:r>
      <w:r>
        <w:rPr>
          <w:rFonts w:hint="eastAsia" w:ascii="宋体" w:hAnsi="宋体" w:cs="宋体"/>
          <w:b/>
          <w:bCs/>
          <w:color w:val="auto"/>
          <w:sz w:val="32"/>
          <w:szCs w:val="32"/>
          <w:highlight w:val="none"/>
          <w:lang w:eastAsia="zh-CN"/>
        </w:rPr>
        <w:t>录</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lang w:eastAsia="zh-CN"/>
        </w:rPr>
      </w:pP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highlight w:val="none"/>
        </w:rPr>
        <w:instrText xml:space="preserve"> HYPERLINK \l _Toc16773 </w:instrText>
      </w:r>
      <w:r>
        <w:rPr>
          <w:highlight w:val="none"/>
        </w:rPr>
        <w:fldChar w:fldCharType="separate"/>
      </w:r>
      <w:r>
        <w:rPr>
          <w:rFonts w:hint="eastAsia" w:ascii="宋体" w:hAnsi="宋体" w:eastAsia="宋体" w:cs="宋体"/>
          <w:szCs w:val="32"/>
        </w:rPr>
        <w:t xml:space="preserve">第一章 </w:t>
      </w:r>
      <w:r>
        <w:rPr>
          <w:rFonts w:hint="eastAsia" w:ascii="宋体" w:hAnsi="宋体" w:eastAsia="宋体" w:cs="宋体"/>
          <w:szCs w:val="32"/>
          <w:highlight w:val="none"/>
        </w:rPr>
        <w:t>谈判邀请公告</w:t>
      </w:r>
      <w:r>
        <w:tab/>
      </w:r>
      <w:r>
        <w:fldChar w:fldCharType="begin"/>
      </w:r>
      <w:r>
        <w:instrText xml:space="preserve"> PAGEREF _Toc16773 \h </w:instrText>
      </w:r>
      <w:r>
        <w:fldChar w:fldCharType="separate"/>
      </w:r>
      <w:r>
        <w:t>3</w:t>
      </w:r>
      <w:r>
        <w:fldChar w:fldCharType="end"/>
      </w:r>
      <w:r>
        <w:rPr>
          <w:color w:val="auto"/>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_Toc6467 </w:instrText>
      </w:r>
      <w:r>
        <w:rPr>
          <w:highlight w:val="none"/>
        </w:rPr>
        <w:fldChar w:fldCharType="separate"/>
      </w:r>
      <w:r>
        <w:rPr>
          <w:rFonts w:hint="eastAsia" w:ascii="宋体" w:hAnsi="宋体" w:eastAsia="宋体" w:cs="宋体"/>
          <w:bCs w:val="0"/>
          <w:szCs w:val="32"/>
          <w:highlight w:val="none"/>
        </w:rPr>
        <w:t xml:space="preserve">第二章 </w:t>
      </w:r>
      <w:r>
        <w:rPr>
          <w:rFonts w:hint="eastAsia" w:ascii="宋体" w:hAnsi="宋体" w:cs="宋体"/>
          <w:bCs w:val="0"/>
          <w:szCs w:val="32"/>
          <w:highlight w:val="none"/>
          <w:lang w:val="en-US" w:eastAsia="zh-CN"/>
        </w:rPr>
        <w:t xml:space="preserve"> </w:t>
      </w:r>
      <w:r>
        <w:rPr>
          <w:rFonts w:hint="eastAsia" w:ascii="宋体" w:hAnsi="宋体" w:eastAsia="宋体" w:cs="宋体"/>
          <w:bCs w:val="0"/>
          <w:szCs w:val="32"/>
          <w:highlight w:val="none"/>
        </w:rPr>
        <w:t>谈判须知</w:t>
      </w:r>
      <w:r>
        <w:tab/>
      </w:r>
      <w:r>
        <w:fldChar w:fldCharType="begin"/>
      </w:r>
      <w:r>
        <w:instrText xml:space="preserve"> PAGEREF _Toc6467 \h </w:instrText>
      </w:r>
      <w:r>
        <w:fldChar w:fldCharType="separate"/>
      </w:r>
      <w:r>
        <w:t>7</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_Toc15736 </w:instrText>
      </w:r>
      <w:r>
        <w:rPr>
          <w:highlight w:val="none"/>
        </w:rPr>
        <w:fldChar w:fldCharType="separate"/>
      </w:r>
      <w:r>
        <w:rPr>
          <w:rFonts w:hint="eastAsia" w:ascii="宋体" w:hAnsi="宋体" w:eastAsia="宋体" w:cs="宋体"/>
          <w:szCs w:val="32"/>
          <w:highlight w:val="none"/>
        </w:rPr>
        <w:t>谈判须知前附表</w:t>
      </w:r>
      <w:r>
        <w:tab/>
      </w:r>
      <w:r>
        <w:fldChar w:fldCharType="begin"/>
      </w:r>
      <w:r>
        <w:instrText xml:space="preserve"> PAGEREF _Toc15736 \h </w:instrText>
      </w:r>
      <w:r>
        <w:fldChar w:fldCharType="separate"/>
      </w:r>
      <w:r>
        <w:t>7</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_Toc27130 </w:instrText>
      </w:r>
      <w:r>
        <w:rPr>
          <w:highlight w:val="none"/>
        </w:rPr>
        <w:fldChar w:fldCharType="separate"/>
      </w:r>
      <w:r>
        <w:rPr>
          <w:rFonts w:hint="eastAsia" w:ascii="宋体" w:hAnsi="宋体" w:eastAsia="宋体" w:cs="宋体"/>
          <w:bCs/>
          <w:szCs w:val="32"/>
          <w:highlight w:val="none"/>
        </w:rPr>
        <w:t>谈判须知正文</w:t>
      </w:r>
      <w:r>
        <w:tab/>
      </w:r>
      <w:r>
        <w:fldChar w:fldCharType="begin"/>
      </w:r>
      <w:r>
        <w:instrText xml:space="preserve"> PAGEREF _Toc27130 \h </w:instrText>
      </w:r>
      <w:r>
        <w:fldChar w:fldCharType="separate"/>
      </w:r>
      <w:r>
        <w:t>10</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_Toc1733 </w:instrText>
      </w:r>
      <w:r>
        <w:rPr>
          <w:highlight w:val="none"/>
        </w:rPr>
        <w:fldChar w:fldCharType="separate"/>
      </w:r>
      <w:r>
        <w:rPr>
          <w:rFonts w:hint="eastAsia" w:ascii="宋体" w:hAnsi="宋体" w:eastAsia="宋体" w:cs="宋体"/>
          <w:szCs w:val="21"/>
          <w:highlight w:val="none"/>
        </w:rPr>
        <w:t>一、说明</w:t>
      </w:r>
      <w:r>
        <w:tab/>
      </w:r>
      <w:r>
        <w:fldChar w:fldCharType="begin"/>
      </w:r>
      <w:r>
        <w:instrText xml:space="preserve"> PAGEREF _Toc1733 \h </w:instrText>
      </w:r>
      <w:r>
        <w:fldChar w:fldCharType="separate"/>
      </w:r>
      <w:r>
        <w:t>10</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_Toc16481 </w:instrText>
      </w:r>
      <w:r>
        <w:rPr>
          <w:highlight w:val="none"/>
        </w:rPr>
        <w:fldChar w:fldCharType="separate"/>
      </w:r>
      <w:r>
        <w:rPr>
          <w:rFonts w:hint="eastAsia" w:ascii="宋体" w:hAnsi="宋体" w:eastAsia="宋体" w:cs="宋体"/>
          <w:szCs w:val="21"/>
          <w:highlight w:val="none"/>
        </w:rPr>
        <w:t>二、谈判文件</w:t>
      </w:r>
      <w:r>
        <w:tab/>
      </w:r>
      <w:r>
        <w:fldChar w:fldCharType="begin"/>
      </w:r>
      <w:r>
        <w:instrText xml:space="preserve"> PAGEREF _Toc16481 \h </w:instrText>
      </w:r>
      <w:r>
        <w:fldChar w:fldCharType="separate"/>
      </w:r>
      <w:r>
        <w:t>10</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_Toc16069 </w:instrText>
      </w:r>
      <w:r>
        <w:rPr>
          <w:highlight w:val="none"/>
        </w:rPr>
        <w:fldChar w:fldCharType="separate"/>
      </w:r>
      <w:r>
        <w:rPr>
          <w:rFonts w:hint="eastAsia" w:ascii="宋体" w:hAnsi="宋体" w:eastAsia="宋体" w:cs="宋体"/>
          <w:szCs w:val="21"/>
          <w:highlight w:val="none"/>
        </w:rPr>
        <w:t>三、响应文件</w:t>
      </w:r>
      <w:r>
        <w:tab/>
      </w:r>
      <w:r>
        <w:fldChar w:fldCharType="begin"/>
      </w:r>
      <w:r>
        <w:instrText xml:space="preserve"> PAGEREF _Toc16069 \h </w:instrText>
      </w:r>
      <w:r>
        <w:fldChar w:fldCharType="separate"/>
      </w:r>
      <w:r>
        <w:t>11</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_Toc28767 </w:instrText>
      </w:r>
      <w:r>
        <w:rPr>
          <w:highlight w:val="none"/>
        </w:rPr>
        <w:fldChar w:fldCharType="separate"/>
      </w:r>
      <w:r>
        <w:rPr>
          <w:rFonts w:hint="eastAsia" w:ascii="宋体" w:hAnsi="宋体" w:eastAsia="宋体" w:cs="宋体"/>
          <w:szCs w:val="21"/>
          <w:highlight w:val="none"/>
        </w:rPr>
        <w:t>四、响应文件的递交</w:t>
      </w:r>
      <w:r>
        <w:tab/>
      </w:r>
      <w:r>
        <w:fldChar w:fldCharType="begin"/>
      </w:r>
      <w:r>
        <w:instrText xml:space="preserve"> PAGEREF _Toc28767 \h </w:instrText>
      </w:r>
      <w:r>
        <w:fldChar w:fldCharType="separate"/>
      </w:r>
      <w:r>
        <w:t>13</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_Toc2544 </w:instrText>
      </w:r>
      <w:r>
        <w:rPr>
          <w:highlight w:val="none"/>
        </w:rPr>
        <w:fldChar w:fldCharType="separate"/>
      </w:r>
      <w:r>
        <w:rPr>
          <w:rFonts w:hint="eastAsia" w:ascii="宋体" w:hAnsi="宋体" w:eastAsia="宋体" w:cs="宋体"/>
          <w:szCs w:val="21"/>
          <w:highlight w:val="none"/>
        </w:rPr>
        <w:t>五、响应文件的评审</w:t>
      </w:r>
      <w:r>
        <w:tab/>
      </w:r>
      <w:r>
        <w:fldChar w:fldCharType="begin"/>
      </w:r>
      <w:r>
        <w:instrText xml:space="preserve"> PAGEREF _Toc2544 \h </w:instrText>
      </w:r>
      <w:r>
        <w:fldChar w:fldCharType="separate"/>
      </w:r>
      <w:r>
        <w:t>14</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_Toc21518 </w:instrText>
      </w:r>
      <w:r>
        <w:rPr>
          <w:highlight w:val="none"/>
        </w:rPr>
        <w:fldChar w:fldCharType="separate"/>
      </w:r>
      <w:r>
        <w:rPr>
          <w:rFonts w:hint="eastAsia" w:ascii="宋体" w:hAnsi="宋体" w:eastAsia="宋体" w:cs="宋体"/>
          <w:szCs w:val="21"/>
          <w:highlight w:val="none"/>
        </w:rPr>
        <w:t>六、响应文件的澄清、说明及补正</w:t>
      </w:r>
      <w:r>
        <w:tab/>
      </w:r>
      <w:r>
        <w:fldChar w:fldCharType="begin"/>
      </w:r>
      <w:r>
        <w:instrText xml:space="preserve"> PAGEREF _Toc21518 \h </w:instrText>
      </w:r>
      <w:r>
        <w:fldChar w:fldCharType="separate"/>
      </w:r>
      <w:r>
        <w:t>14</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_Toc2930 </w:instrText>
      </w:r>
      <w:r>
        <w:rPr>
          <w:highlight w:val="none"/>
        </w:rPr>
        <w:fldChar w:fldCharType="separate"/>
      </w:r>
      <w:r>
        <w:rPr>
          <w:rFonts w:hint="eastAsia" w:ascii="宋体" w:hAnsi="宋体" w:eastAsia="宋体" w:cs="宋体"/>
          <w:szCs w:val="21"/>
          <w:highlight w:val="none"/>
        </w:rPr>
        <w:t>七、中选结果与授予合同</w:t>
      </w:r>
      <w:r>
        <w:tab/>
      </w:r>
      <w:r>
        <w:fldChar w:fldCharType="begin"/>
      </w:r>
      <w:r>
        <w:instrText xml:space="preserve"> PAGEREF _Toc2930 \h </w:instrText>
      </w:r>
      <w:r>
        <w:fldChar w:fldCharType="separate"/>
      </w:r>
      <w:r>
        <w:t>14</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_Toc21884 </w:instrText>
      </w:r>
      <w:r>
        <w:rPr>
          <w:highlight w:val="none"/>
        </w:rPr>
        <w:fldChar w:fldCharType="separate"/>
      </w:r>
      <w:r>
        <w:rPr>
          <w:rFonts w:hint="eastAsia" w:ascii="宋体" w:hAnsi="宋体" w:eastAsia="宋体" w:cs="宋体"/>
          <w:szCs w:val="21"/>
          <w:highlight w:val="none"/>
        </w:rPr>
        <w:t>八、其他</w:t>
      </w:r>
      <w:r>
        <w:tab/>
      </w:r>
      <w:r>
        <w:fldChar w:fldCharType="begin"/>
      </w:r>
      <w:r>
        <w:instrText xml:space="preserve"> PAGEREF _Toc21884 \h </w:instrText>
      </w:r>
      <w:r>
        <w:fldChar w:fldCharType="separate"/>
      </w:r>
      <w:r>
        <w:t>15</w:t>
      </w:r>
      <w:r>
        <w:fldChar w:fldCharType="end"/>
      </w:r>
      <w:r>
        <w:rPr>
          <w:color w:val="auto"/>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_Toc21097 </w:instrText>
      </w:r>
      <w:r>
        <w:rPr>
          <w:highlight w:val="none"/>
        </w:rPr>
        <w:fldChar w:fldCharType="separate"/>
      </w:r>
      <w:r>
        <w:rPr>
          <w:rFonts w:hint="eastAsia" w:ascii="宋体" w:hAnsi="宋体" w:eastAsia="宋体" w:cs="宋体"/>
          <w:bCs w:val="0"/>
          <w:szCs w:val="32"/>
          <w:highlight w:val="none"/>
        </w:rPr>
        <w:t>第三章  评审办法及标准</w:t>
      </w:r>
      <w:r>
        <w:tab/>
      </w:r>
      <w:r>
        <w:fldChar w:fldCharType="begin"/>
      </w:r>
      <w:r>
        <w:instrText xml:space="preserve"> PAGEREF _Toc21097 \h </w:instrText>
      </w:r>
      <w:r>
        <w:fldChar w:fldCharType="separate"/>
      </w:r>
      <w:r>
        <w:t>17</w:t>
      </w:r>
      <w:r>
        <w:fldChar w:fldCharType="end"/>
      </w:r>
      <w:r>
        <w:rPr>
          <w:color w:val="auto"/>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_Toc1907 </w:instrText>
      </w:r>
      <w:r>
        <w:rPr>
          <w:highlight w:val="none"/>
        </w:rPr>
        <w:fldChar w:fldCharType="separate"/>
      </w:r>
      <w:r>
        <w:rPr>
          <w:rFonts w:hint="eastAsia" w:ascii="宋体" w:hAnsi="宋体" w:eastAsia="宋体" w:cs="宋体"/>
          <w:bCs w:val="0"/>
          <w:szCs w:val="32"/>
          <w:highlight w:val="none"/>
        </w:rPr>
        <w:t>第四章  用户需求书</w:t>
      </w:r>
      <w:r>
        <w:rPr>
          <w:rFonts w:hint="eastAsia" w:ascii="宋体" w:hAnsi="宋体" w:cs="宋体"/>
          <w:bCs w:val="0"/>
          <w:szCs w:val="32"/>
          <w:highlight w:val="none"/>
          <w:lang w:eastAsia="zh-CN"/>
        </w:rPr>
        <w:t>（另册）</w:t>
      </w:r>
      <w:r>
        <w:tab/>
      </w:r>
      <w:r>
        <w:fldChar w:fldCharType="begin"/>
      </w:r>
      <w:r>
        <w:instrText xml:space="preserve"> PAGEREF _Toc1907 \h </w:instrText>
      </w:r>
      <w:r>
        <w:fldChar w:fldCharType="separate"/>
      </w:r>
      <w:r>
        <w:t>19</w:t>
      </w:r>
      <w:r>
        <w:fldChar w:fldCharType="end"/>
      </w:r>
      <w:r>
        <w:rPr>
          <w:color w:val="auto"/>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_Toc28179 </w:instrText>
      </w:r>
      <w:r>
        <w:rPr>
          <w:highlight w:val="none"/>
        </w:rPr>
        <w:fldChar w:fldCharType="separate"/>
      </w:r>
      <w:r>
        <w:rPr>
          <w:rFonts w:hint="eastAsia" w:ascii="宋体" w:hAnsi="宋体" w:eastAsia="宋体" w:cs="宋体"/>
          <w:bCs w:val="0"/>
          <w:szCs w:val="32"/>
          <w:highlight w:val="none"/>
        </w:rPr>
        <w:t xml:space="preserve">第五章 </w:t>
      </w:r>
      <w:r>
        <w:rPr>
          <w:rFonts w:hint="eastAsia" w:ascii="宋体" w:hAnsi="宋体" w:cs="宋体"/>
          <w:bCs w:val="0"/>
          <w:szCs w:val="32"/>
          <w:highlight w:val="none"/>
          <w:lang w:val="en-US" w:eastAsia="zh-CN"/>
        </w:rPr>
        <w:t xml:space="preserve"> </w:t>
      </w:r>
      <w:r>
        <w:rPr>
          <w:rFonts w:hint="eastAsia" w:ascii="宋体" w:hAnsi="宋体" w:eastAsia="宋体" w:cs="宋体"/>
          <w:bCs w:val="0"/>
          <w:szCs w:val="32"/>
          <w:highlight w:val="none"/>
        </w:rPr>
        <w:t>合同格式条款</w:t>
      </w:r>
      <w:r>
        <w:tab/>
      </w:r>
      <w:r>
        <w:fldChar w:fldCharType="begin"/>
      </w:r>
      <w:r>
        <w:instrText xml:space="preserve"> PAGEREF _Toc28179 \h </w:instrText>
      </w:r>
      <w:r>
        <w:fldChar w:fldCharType="separate"/>
      </w:r>
      <w:r>
        <w:t>20</w:t>
      </w:r>
      <w:r>
        <w:fldChar w:fldCharType="end"/>
      </w:r>
      <w:r>
        <w:rPr>
          <w:color w:val="auto"/>
          <w:highlight w:val="none"/>
        </w:rPr>
        <w:fldChar w:fldCharType="end"/>
      </w:r>
    </w:p>
    <w:p>
      <w:pPr>
        <w:pStyle w:val="3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_Toc19817 </w:instrText>
      </w:r>
      <w:r>
        <w:rPr>
          <w:highlight w:val="none"/>
        </w:rPr>
        <w:fldChar w:fldCharType="separate"/>
      </w:r>
      <w:r>
        <w:rPr>
          <w:rFonts w:hint="eastAsia" w:ascii="宋体" w:hAnsi="宋体" w:eastAsia="宋体" w:cs="宋体"/>
          <w:szCs w:val="32"/>
          <w:highlight w:val="none"/>
        </w:rPr>
        <w:t>第</w:t>
      </w:r>
      <w:r>
        <w:rPr>
          <w:rFonts w:hint="eastAsia" w:ascii="宋体" w:hAnsi="宋体" w:cs="宋体"/>
          <w:szCs w:val="32"/>
          <w:highlight w:val="none"/>
          <w:lang w:eastAsia="zh-CN"/>
        </w:rPr>
        <w:t>六</w:t>
      </w:r>
      <w:r>
        <w:rPr>
          <w:rFonts w:hint="eastAsia" w:ascii="宋体" w:hAnsi="宋体" w:eastAsia="宋体" w:cs="宋体"/>
          <w:szCs w:val="32"/>
          <w:highlight w:val="none"/>
        </w:rPr>
        <w:t xml:space="preserve">章  </w:t>
      </w:r>
      <w:r>
        <w:rPr>
          <w:rFonts w:hint="eastAsia" w:ascii="宋体" w:hAnsi="宋体" w:eastAsia="宋体" w:cs="宋体"/>
          <w:bCs/>
          <w:szCs w:val="32"/>
          <w:highlight w:val="none"/>
        </w:rPr>
        <w:t>响应文件组成</w:t>
      </w:r>
      <w:r>
        <w:tab/>
      </w:r>
      <w:r>
        <w:fldChar w:fldCharType="begin"/>
      </w:r>
      <w:r>
        <w:instrText xml:space="preserve"> PAGEREF _Toc19817 \h </w:instrText>
      </w:r>
      <w:r>
        <w:fldChar w:fldCharType="separate"/>
      </w:r>
      <w:r>
        <w:t>44</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_Toc18552 </w:instrText>
      </w:r>
      <w:r>
        <w:rPr>
          <w:highlight w:val="none"/>
        </w:rPr>
        <w:fldChar w:fldCharType="separate"/>
      </w:r>
      <w:r>
        <w:rPr>
          <w:rFonts w:hint="eastAsia" w:ascii="宋体" w:hAnsi="宋体" w:eastAsia="宋体" w:cs="宋体"/>
          <w:szCs w:val="32"/>
          <w:highlight w:val="none"/>
        </w:rPr>
        <w:t>一、谈判承诺书</w:t>
      </w:r>
      <w:r>
        <w:tab/>
      </w:r>
      <w:r>
        <w:fldChar w:fldCharType="begin"/>
      </w:r>
      <w:r>
        <w:instrText xml:space="preserve"> PAGEREF _Toc18552 \h </w:instrText>
      </w:r>
      <w:r>
        <w:fldChar w:fldCharType="separate"/>
      </w:r>
      <w:r>
        <w:t>46</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_Toc21512 </w:instrText>
      </w:r>
      <w:r>
        <w:rPr>
          <w:highlight w:val="none"/>
        </w:rPr>
        <w:fldChar w:fldCharType="separate"/>
      </w:r>
      <w:r>
        <w:rPr>
          <w:rFonts w:hint="eastAsia" w:ascii="宋体" w:hAnsi="宋体" w:eastAsia="宋体" w:cs="宋体"/>
          <w:szCs w:val="32"/>
          <w:highlight w:val="none"/>
        </w:rPr>
        <w:t>二、法定代表人身份证明书</w:t>
      </w:r>
      <w:r>
        <w:tab/>
      </w:r>
      <w:r>
        <w:fldChar w:fldCharType="begin"/>
      </w:r>
      <w:r>
        <w:instrText xml:space="preserve"> PAGEREF _Toc21512 \h </w:instrText>
      </w:r>
      <w:r>
        <w:fldChar w:fldCharType="separate"/>
      </w:r>
      <w:r>
        <w:t>47</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_Toc9041 </w:instrText>
      </w:r>
      <w:r>
        <w:rPr>
          <w:highlight w:val="none"/>
        </w:rPr>
        <w:fldChar w:fldCharType="separate"/>
      </w:r>
      <w:r>
        <w:rPr>
          <w:rFonts w:hint="eastAsia" w:ascii="宋体" w:hAnsi="宋体" w:eastAsia="宋体" w:cs="宋体"/>
          <w:szCs w:val="32"/>
          <w:highlight w:val="none"/>
        </w:rPr>
        <w:t>三、授权委托书</w:t>
      </w:r>
      <w:r>
        <w:tab/>
      </w:r>
      <w:r>
        <w:fldChar w:fldCharType="begin"/>
      </w:r>
      <w:r>
        <w:instrText xml:space="preserve"> PAGEREF _Toc9041 \h </w:instrText>
      </w:r>
      <w:r>
        <w:fldChar w:fldCharType="separate"/>
      </w:r>
      <w:r>
        <w:t>48</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_Toc26357 </w:instrText>
      </w:r>
      <w:r>
        <w:rPr>
          <w:highlight w:val="none"/>
        </w:rPr>
        <w:fldChar w:fldCharType="separate"/>
      </w:r>
      <w:r>
        <w:rPr>
          <w:rFonts w:hint="eastAsia" w:ascii="宋体" w:hAnsi="宋体" w:eastAsia="宋体" w:cs="宋体"/>
          <w:szCs w:val="32"/>
          <w:highlight w:val="none"/>
        </w:rPr>
        <w:t>四、谈判单位资格证明文件</w:t>
      </w:r>
      <w:r>
        <w:tab/>
      </w:r>
      <w:r>
        <w:fldChar w:fldCharType="begin"/>
      </w:r>
      <w:r>
        <w:instrText xml:space="preserve"> PAGEREF _Toc26357 \h </w:instrText>
      </w:r>
      <w:r>
        <w:fldChar w:fldCharType="separate"/>
      </w:r>
      <w:r>
        <w:t>49</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_Toc12607 </w:instrText>
      </w:r>
      <w:r>
        <w:rPr>
          <w:highlight w:val="none"/>
        </w:rPr>
        <w:fldChar w:fldCharType="separate"/>
      </w:r>
      <w:r>
        <w:rPr>
          <w:rFonts w:hint="eastAsia" w:hAnsi="宋体" w:cs="宋体"/>
          <w:bCs w:val="0"/>
          <w:szCs w:val="28"/>
          <w:highlight w:val="none"/>
          <w:lang w:eastAsia="zh-CN"/>
        </w:rPr>
        <w:t>五</w:t>
      </w:r>
      <w:r>
        <w:rPr>
          <w:rFonts w:hAnsi="宋体" w:cs="宋体"/>
          <w:bCs w:val="0"/>
          <w:szCs w:val="28"/>
          <w:highlight w:val="none"/>
        </w:rPr>
        <w:t>、</w:t>
      </w:r>
      <w:r>
        <w:rPr>
          <w:rFonts w:hint="eastAsia" w:ascii="宋体" w:hAnsi="宋体" w:eastAsia="宋体" w:cs="宋体"/>
          <w:szCs w:val="32"/>
          <w:highlight w:val="none"/>
        </w:rPr>
        <w:t>报价一览表</w:t>
      </w:r>
      <w:r>
        <w:tab/>
      </w:r>
      <w:r>
        <w:fldChar w:fldCharType="begin"/>
      </w:r>
      <w:r>
        <w:instrText xml:space="preserve"> PAGEREF _Toc12607 \h </w:instrText>
      </w:r>
      <w:r>
        <w:fldChar w:fldCharType="separate"/>
      </w:r>
      <w:r>
        <w:t>56</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_Toc21941 </w:instrText>
      </w:r>
      <w:r>
        <w:rPr>
          <w:highlight w:val="none"/>
        </w:rPr>
        <w:fldChar w:fldCharType="separate"/>
      </w:r>
      <w:r>
        <w:rPr>
          <w:rFonts w:hint="eastAsia" w:ascii="宋体" w:hAnsi="宋体" w:eastAsia="宋体" w:cs="宋体"/>
          <w:szCs w:val="32"/>
        </w:rPr>
        <w:t xml:space="preserve">六、 </w:t>
      </w:r>
      <w:r>
        <w:rPr>
          <w:rFonts w:hint="eastAsia" w:ascii="宋体" w:hAnsi="宋体" w:eastAsia="宋体" w:cs="宋体"/>
          <w:szCs w:val="32"/>
          <w:highlight w:val="none"/>
        </w:rPr>
        <w:t>分项价格表</w:t>
      </w:r>
      <w:r>
        <w:tab/>
      </w:r>
      <w:r>
        <w:fldChar w:fldCharType="begin"/>
      </w:r>
      <w:r>
        <w:instrText xml:space="preserve"> PAGEREF _Toc21941 \h </w:instrText>
      </w:r>
      <w:r>
        <w:fldChar w:fldCharType="separate"/>
      </w:r>
      <w:r>
        <w:t>57</w:t>
      </w:r>
      <w:r>
        <w:fldChar w:fldCharType="end"/>
      </w:r>
      <w:r>
        <w:rPr>
          <w:color w:val="auto"/>
          <w:highlight w:val="none"/>
        </w:rPr>
        <w:fldChar w:fldCharType="end"/>
      </w:r>
    </w:p>
    <w:p>
      <w:pPr>
        <w:pStyle w:val="37"/>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pPr>
      <w:r>
        <w:rPr>
          <w:color w:val="auto"/>
          <w:highlight w:val="none"/>
        </w:rPr>
        <w:fldChar w:fldCharType="begin"/>
      </w:r>
      <w:r>
        <w:rPr>
          <w:highlight w:val="none"/>
        </w:rPr>
        <w:instrText xml:space="preserve"> HYPERLINK \l _Toc21893 </w:instrText>
      </w:r>
      <w:r>
        <w:rPr>
          <w:highlight w:val="none"/>
        </w:rPr>
        <w:fldChar w:fldCharType="separate"/>
      </w:r>
      <w:r>
        <w:rPr>
          <w:rFonts w:hint="eastAsia" w:ascii="宋体" w:hAnsi="宋体" w:cs="宋体"/>
          <w:szCs w:val="32"/>
          <w:highlight w:val="none"/>
          <w:lang w:val="en-US" w:eastAsia="zh-CN"/>
        </w:rPr>
        <w:t>七</w:t>
      </w:r>
      <w:r>
        <w:rPr>
          <w:rFonts w:hint="eastAsia" w:ascii="宋体" w:hAnsi="宋体" w:eastAsia="宋体" w:cs="宋体"/>
          <w:szCs w:val="32"/>
          <w:highlight w:val="none"/>
        </w:rPr>
        <w:t>、其他资料</w:t>
      </w:r>
      <w:r>
        <w:rPr>
          <w:rFonts w:hint="eastAsia" w:ascii="宋体" w:hAnsi="宋体" w:eastAsia="宋体" w:cs="宋体"/>
          <w:szCs w:val="32"/>
          <w:highlight w:val="none"/>
          <w:lang w:eastAsia="zh-CN"/>
        </w:rPr>
        <w:t>（如有）</w:t>
      </w:r>
      <w:r>
        <w:tab/>
      </w:r>
      <w:r>
        <w:fldChar w:fldCharType="begin"/>
      </w:r>
      <w:r>
        <w:instrText xml:space="preserve"> PAGEREF _Toc21893 \h </w:instrText>
      </w:r>
      <w:r>
        <w:fldChar w:fldCharType="separate"/>
      </w:r>
      <w:r>
        <w:t>74</w:t>
      </w:r>
      <w:r>
        <w:fldChar w:fldCharType="end"/>
      </w:r>
      <w:r>
        <w:rPr>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color w:val="auto"/>
          <w:highlight w:val="none"/>
        </w:rPr>
        <w:fldChar w:fldCharType="end"/>
      </w:r>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2"/>
          <w:szCs w:val="32"/>
          <w:highlight w:val="none"/>
        </w:rPr>
        <w:sectPr>
          <w:footerReference r:id="rId4"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bookmarkStart w:id="1" w:name="_Toc29614"/>
      <w:bookmarkStart w:id="2" w:name="_Toc5016"/>
    </w:p>
    <w:p>
      <w:pPr>
        <w:pStyle w:val="3"/>
        <w:keepNext w:val="0"/>
        <w:keepLines w:val="0"/>
        <w:pageBreakBefore w:val="0"/>
        <w:widowControl w:val="0"/>
        <w:numPr>
          <w:ilvl w:val="0"/>
          <w:numId w:val="6"/>
        </w:numPr>
        <w:kinsoku/>
        <w:wordWrap/>
        <w:overflowPunct/>
        <w:topLinePunct w:val="0"/>
        <w:autoSpaceDE/>
        <w:autoSpaceDN/>
        <w:bidi w:val="0"/>
        <w:spacing w:line="360" w:lineRule="auto"/>
        <w:jc w:val="center"/>
        <w:textAlignment w:val="auto"/>
        <w:rPr>
          <w:rFonts w:hint="eastAsia" w:ascii="宋体" w:hAnsi="宋体" w:eastAsia="宋体" w:cs="宋体"/>
          <w:color w:val="auto"/>
          <w:sz w:val="32"/>
          <w:szCs w:val="32"/>
          <w:highlight w:val="none"/>
        </w:rPr>
      </w:pPr>
      <w:bookmarkStart w:id="3" w:name="_Toc13376"/>
      <w:r>
        <w:rPr>
          <w:rFonts w:hint="eastAsia" w:ascii="宋体" w:hAnsi="宋体" w:eastAsia="宋体" w:cs="宋体"/>
          <w:color w:val="auto"/>
          <w:sz w:val="32"/>
          <w:szCs w:val="32"/>
          <w:highlight w:val="none"/>
        </w:rPr>
        <w:t xml:space="preserve"> </w:t>
      </w:r>
      <w:bookmarkStart w:id="4" w:name="_Toc16773"/>
      <w:r>
        <w:rPr>
          <w:rFonts w:hint="eastAsia" w:ascii="宋体" w:hAnsi="宋体" w:eastAsia="宋体" w:cs="宋体"/>
          <w:color w:val="auto"/>
          <w:sz w:val="32"/>
          <w:szCs w:val="32"/>
          <w:highlight w:val="none"/>
        </w:rPr>
        <w:t>谈判邀请公告</w:t>
      </w:r>
      <w:bookmarkEnd w:id="0"/>
      <w:bookmarkEnd w:id="1"/>
      <w:bookmarkEnd w:id="2"/>
      <w:bookmarkEnd w:id="3"/>
      <w:bookmarkEnd w:id="4"/>
    </w:p>
    <w:p>
      <w:pPr>
        <w:numPr>
          <w:ilvl w:val="0"/>
          <w:numId w:val="0"/>
        </w:numPr>
        <w:rPr>
          <w:rFonts w:hint="eastAsia"/>
          <w:color w:val="auto"/>
          <w:highlight w:val="none"/>
        </w:rPr>
      </w:pPr>
    </w:p>
    <w:p>
      <w:pPr>
        <w:keepNext w:val="0"/>
        <w:keepLines w:val="0"/>
        <w:pageBreakBefore w:val="0"/>
        <w:kinsoku/>
        <w:wordWrap/>
        <w:overflowPunct/>
        <w:topLinePunct w:val="0"/>
        <w:bidi w:val="0"/>
        <w:spacing w:line="360" w:lineRule="auto"/>
        <w:ind w:firstLine="420" w:firstLineChars="200"/>
        <w:jc w:val="left"/>
        <w:outlineLvl w:val="9"/>
        <w:rPr>
          <w:rFonts w:hint="eastAsia" w:ascii="宋体" w:hAnsi="宋体" w:eastAsia="宋体" w:cs="宋体"/>
          <w:iCs/>
          <w:color w:val="auto"/>
          <w:szCs w:val="21"/>
          <w:highlight w:val="none"/>
          <w:u w:val="none"/>
        </w:rPr>
      </w:pPr>
      <w:r>
        <w:rPr>
          <w:rFonts w:hint="eastAsia" w:ascii="宋体" w:hAnsi="宋体" w:cs="宋体"/>
          <w:b w:val="0"/>
          <w:bCs w:val="0"/>
          <w:iCs/>
          <w:color w:val="auto"/>
          <w:szCs w:val="21"/>
          <w:highlight w:val="none"/>
          <w:u w:val="single"/>
          <w:lang w:eastAsia="zh-CN"/>
        </w:rPr>
        <w:t>智埔国际建设集团有限公司</w:t>
      </w:r>
      <w:r>
        <w:rPr>
          <w:rFonts w:hint="eastAsia" w:ascii="宋体" w:hAnsi="宋体" w:eastAsia="宋体" w:cs="宋体"/>
          <w:b w:val="0"/>
          <w:bCs w:val="0"/>
          <w:color w:val="auto"/>
          <w:szCs w:val="21"/>
          <w:highlight w:val="none"/>
          <w:u w:val="none"/>
        </w:rPr>
        <w:t>受</w:t>
      </w:r>
      <w:r>
        <w:rPr>
          <w:rFonts w:hint="eastAsia" w:ascii="宋体" w:hAnsi="宋体" w:cs="宋体"/>
          <w:b w:val="0"/>
          <w:bCs w:val="0"/>
          <w:iCs/>
          <w:color w:val="auto"/>
          <w:szCs w:val="21"/>
          <w:highlight w:val="none"/>
          <w:u w:val="single"/>
          <w:lang w:eastAsia="zh-CN"/>
        </w:rPr>
        <w:t>长沙市轨道交通运营有限公司</w:t>
      </w:r>
      <w:r>
        <w:rPr>
          <w:rFonts w:hint="eastAsia" w:ascii="宋体" w:hAnsi="宋体" w:cs="宋体"/>
          <w:b w:val="0"/>
          <w:bCs w:val="0"/>
          <w:iCs/>
          <w:color w:val="auto"/>
          <w:szCs w:val="21"/>
          <w:highlight w:val="none"/>
          <w:u w:val="none"/>
          <w:lang w:eastAsia="zh-CN"/>
        </w:rPr>
        <w:t>、</w:t>
      </w:r>
      <w:r>
        <w:rPr>
          <w:rFonts w:hint="eastAsia" w:ascii="宋体" w:hAnsi="宋体" w:cs="宋体"/>
          <w:b w:val="0"/>
          <w:bCs w:val="0"/>
          <w:iCs/>
          <w:color w:val="auto"/>
          <w:szCs w:val="21"/>
          <w:highlight w:val="none"/>
          <w:u w:val="single"/>
          <w:lang w:eastAsia="zh-CN"/>
        </w:rPr>
        <w:t>长沙市轨道交通一号线建设发展有限公司</w:t>
      </w:r>
      <w:r>
        <w:rPr>
          <w:rFonts w:hint="eastAsia" w:ascii="宋体" w:hAnsi="宋体" w:cs="宋体"/>
          <w:b w:val="0"/>
          <w:bCs w:val="0"/>
          <w:iCs/>
          <w:color w:val="auto"/>
          <w:szCs w:val="21"/>
          <w:highlight w:val="none"/>
          <w:u w:val="none"/>
          <w:lang w:eastAsia="zh-CN"/>
        </w:rPr>
        <w:t>、</w:t>
      </w:r>
      <w:r>
        <w:rPr>
          <w:rFonts w:hint="eastAsia" w:ascii="宋体" w:hAnsi="宋体" w:cs="宋体"/>
          <w:b w:val="0"/>
          <w:bCs w:val="0"/>
          <w:iCs/>
          <w:color w:val="auto"/>
          <w:szCs w:val="21"/>
          <w:highlight w:val="none"/>
          <w:u w:val="single"/>
          <w:lang w:eastAsia="zh-CN"/>
        </w:rPr>
        <w:t>长沙市轨道交通三号线建设发展有限公司</w:t>
      </w:r>
      <w:r>
        <w:rPr>
          <w:rFonts w:hint="eastAsia" w:ascii="宋体" w:hAnsi="宋体" w:cs="宋体"/>
          <w:b w:val="0"/>
          <w:bCs w:val="0"/>
          <w:iCs/>
          <w:color w:val="auto"/>
          <w:szCs w:val="21"/>
          <w:highlight w:val="none"/>
          <w:u w:val="none"/>
          <w:lang w:eastAsia="zh-CN"/>
        </w:rPr>
        <w:t>、</w:t>
      </w:r>
      <w:r>
        <w:rPr>
          <w:rFonts w:hint="eastAsia" w:ascii="宋体" w:hAnsi="宋体" w:cs="宋体"/>
          <w:b w:val="0"/>
          <w:bCs w:val="0"/>
          <w:iCs/>
          <w:color w:val="auto"/>
          <w:szCs w:val="21"/>
          <w:highlight w:val="none"/>
          <w:u w:val="single"/>
          <w:lang w:eastAsia="zh-CN"/>
        </w:rPr>
        <w:t>长沙市轨道交通四号线建设发展有限公司</w:t>
      </w:r>
      <w:r>
        <w:rPr>
          <w:rFonts w:hint="eastAsia" w:ascii="宋体" w:hAnsi="宋体" w:cs="宋体"/>
          <w:b w:val="0"/>
          <w:bCs w:val="0"/>
          <w:iCs/>
          <w:color w:val="auto"/>
          <w:szCs w:val="21"/>
          <w:highlight w:val="none"/>
          <w:u w:val="none"/>
          <w:lang w:eastAsia="zh-CN"/>
        </w:rPr>
        <w:t>、</w:t>
      </w:r>
      <w:r>
        <w:rPr>
          <w:rFonts w:hint="eastAsia" w:ascii="宋体" w:hAnsi="宋体" w:cs="宋体"/>
          <w:b w:val="0"/>
          <w:bCs w:val="0"/>
          <w:iCs/>
          <w:color w:val="auto"/>
          <w:szCs w:val="21"/>
          <w:highlight w:val="none"/>
          <w:u w:val="single"/>
          <w:lang w:eastAsia="zh-CN"/>
        </w:rPr>
        <w:t>长沙市轨道交通五号线建设发展有限公司</w:t>
      </w:r>
      <w:r>
        <w:rPr>
          <w:rFonts w:hint="eastAsia" w:ascii="宋体" w:hAnsi="宋体" w:eastAsia="宋体" w:cs="宋体"/>
          <w:color w:val="auto"/>
          <w:szCs w:val="21"/>
          <w:highlight w:val="none"/>
          <w:u w:val="none"/>
        </w:rPr>
        <w:t>的委托，</w:t>
      </w:r>
      <w:r>
        <w:rPr>
          <w:rFonts w:hint="eastAsia" w:ascii="宋体" w:hAnsi="宋体" w:eastAsia="宋体" w:cs="宋体"/>
          <w:iCs/>
          <w:color w:val="auto"/>
          <w:szCs w:val="21"/>
          <w:highlight w:val="none"/>
          <w:u w:val="none"/>
        </w:rPr>
        <w:t>对</w:t>
      </w:r>
      <w:r>
        <w:rPr>
          <w:rFonts w:hint="eastAsia" w:ascii="宋体" w:hAnsi="宋体" w:cs="宋体"/>
          <w:iCs/>
          <w:color w:val="auto"/>
          <w:szCs w:val="21"/>
          <w:highlight w:val="none"/>
          <w:u w:val="single"/>
          <w:lang w:eastAsia="zh-CN"/>
        </w:rPr>
        <w:t>长沙市轨道交通1、2、3、4、5号线运营期2022年-2023年计量器具及化验委外检测服务项目</w:t>
      </w:r>
      <w:r>
        <w:rPr>
          <w:rFonts w:hint="eastAsia" w:ascii="宋体"/>
          <w:color w:val="000000"/>
          <w:szCs w:val="21"/>
          <w:lang w:eastAsia="zh-CN"/>
        </w:rPr>
        <w:t>（第二次）</w:t>
      </w:r>
      <w:r>
        <w:rPr>
          <w:rFonts w:hint="eastAsia" w:ascii="宋体" w:hAnsi="宋体" w:eastAsia="宋体" w:cs="宋体"/>
          <w:iCs/>
          <w:color w:val="auto"/>
          <w:szCs w:val="21"/>
          <w:highlight w:val="none"/>
          <w:u w:val="none"/>
        </w:rPr>
        <w:t>进行自主竞争性谈判采购，现发布公告，邀请符合条件的单位参与谈判采购活动。</w:t>
      </w:r>
    </w:p>
    <w:p>
      <w:pPr>
        <w:pStyle w:val="25"/>
        <w:keepNext w:val="0"/>
        <w:keepLines w:val="0"/>
        <w:pageBreakBefore w:val="0"/>
        <w:kinsoku/>
        <w:wordWrap/>
        <w:overflowPunct/>
        <w:topLinePunct w:val="0"/>
        <w:bidi w:val="0"/>
        <w:adjustRightInd w:val="0"/>
        <w:snapToGrid w:val="0"/>
        <w:spacing w:line="360" w:lineRule="auto"/>
        <w:ind w:firstLine="422" w:firstLineChars="200"/>
        <w:outlineLvl w:val="9"/>
        <w:rPr>
          <w:rFonts w:hint="eastAsia" w:ascii="宋体" w:hAnsi="宋体" w:eastAsia="宋体" w:cs="宋体"/>
          <w:b/>
          <w:iCs/>
          <w:color w:val="auto"/>
          <w:highlight w:val="none"/>
          <w:u w:val="none"/>
        </w:rPr>
      </w:pPr>
      <w:r>
        <w:rPr>
          <w:rFonts w:hint="eastAsia" w:ascii="宋体" w:hAnsi="宋体" w:eastAsia="宋体" w:cs="宋体"/>
          <w:b/>
          <w:iCs/>
          <w:color w:val="auto"/>
          <w:highlight w:val="none"/>
          <w:u w:val="none"/>
        </w:rPr>
        <w:t>一、项目概况</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int="eastAsia" w:hAnsi="宋体" w:cs="宋体"/>
          <w:iCs/>
          <w:color w:val="auto"/>
          <w:szCs w:val="21"/>
          <w:highlight w:val="none"/>
          <w:u w:val="none"/>
          <w:lang w:eastAsia="zh-CN"/>
        </w:rPr>
      </w:pPr>
      <w:r>
        <w:rPr>
          <w:rFonts w:hint="eastAsia" w:ascii="宋体" w:hAnsi="宋体" w:eastAsia="宋体" w:cs="宋体"/>
          <w:iCs/>
          <w:color w:val="auto"/>
          <w:highlight w:val="none"/>
          <w:u w:val="none"/>
        </w:rPr>
        <w:t>1.项目名称：</w:t>
      </w:r>
      <w:r>
        <w:rPr>
          <w:rFonts w:hint="eastAsia" w:hAnsi="宋体" w:cs="宋体"/>
          <w:iCs/>
          <w:color w:val="auto"/>
          <w:szCs w:val="21"/>
          <w:highlight w:val="none"/>
          <w:u w:val="none"/>
          <w:lang w:eastAsia="zh-CN"/>
        </w:rPr>
        <w:t>长沙市轨道交通1、2、3、4、5号线运营期2022年-2023年计量器具及化验委外检测服务项目</w:t>
      </w:r>
      <w:r>
        <w:rPr>
          <w:rFonts w:hint="eastAsia" w:ascii="宋体"/>
          <w:color w:val="000000"/>
          <w:szCs w:val="21"/>
          <w:lang w:eastAsia="zh-CN"/>
        </w:rPr>
        <w:t>（第二次）</w:t>
      </w:r>
    </w:p>
    <w:p>
      <w:pPr>
        <w:pStyle w:val="25"/>
        <w:adjustRightInd w:val="0"/>
        <w:snapToGrid w:val="0"/>
        <w:spacing w:line="360" w:lineRule="auto"/>
        <w:ind w:firstLine="420" w:firstLineChars="200"/>
        <w:rPr>
          <w:rFonts w:hint="eastAsia" w:hAnsi="宋体" w:cs="宋体"/>
          <w:iCs/>
          <w:color w:val="auto"/>
          <w:szCs w:val="21"/>
          <w:highlight w:val="none"/>
          <w:u w:val="none"/>
          <w:lang w:eastAsia="zh-CN"/>
        </w:rPr>
      </w:pPr>
      <w:r>
        <w:rPr>
          <w:rFonts w:hint="eastAsia" w:hAnsi="宋体" w:cs="宋体"/>
          <w:iCs/>
        </w:rPr>
        <w:t>2</w:t>
      </w:r>
      <w:r>
        <w:rPr>
          <w:rFonts w:hAnsi="宋体" w:cs="宋体"/>
          <w:iCs/>
        </w:rPr>
        <w:t>.</w:t>
      </w:r>
      <w:r>
        <w:rPr>
          <w:rFonts w:hint="eastAsia" w:hAnsi="宋体" w:cs="宋体"/>
          <w:iCs/>
          <w:color w:val="auto"/>
          <w:szCs w:val="21"/>
          <w:highlight w:val="none"/>
          <w:u w:val="none"/>
          <w:lang w:eastAsia="zh-CN"/>
        </w:rPr>
        <w:t>项目编号：长轨运服采【20</w:t>
      </w:r>
      <w:r>
        <w:rPr>
          <w:rFonts w:hint="eastAsia" w:hAnsi="宋体" w:cs="宋体"/>
          <w:iCs/>
          <w:color w:val="auto"/>
          <w:szCs w:val="21"/>
          <w:highlight w:val="none"/>
          <w:u w:val="none"/>
          <w:lang w:val="en-US" w:eastAsia="zh-CN"/>
        </w:rPr>
        <w:t>22</w:t>
      </w:r>
      <w:r>
        <w:rPr>
          <w:rFonts w:hint="eastAsia" w:hAnsi="宋体" w:cs="宋体"/>
          <w:iCs/>
          <w:color w:val="auto"/>
          <w:szCs w:val="21"/>
          <w:highlight w:val="none"/>
          <w:u w:val="none"/>
          <w:lang w:eastAsia="zh-CN"/>
        </w:rPr>
        <w:t>】</w:t>
      </w:r>
      <w:r>
        <w:rPr>
          <w:rFonts w:hint="eastAsia" w:hAnsi="宋体" w:cs="宋体"/>
          <w:iCs/>
          <w:color w:val="auto"/>
          <w:szCs w:val="21"/>
          <w:highlight w:val="none"/>
          <w:u w:val="none"/>
          <w:lang w:val="en-US" w:eastAsia="zh-CN"/>
        </w:rPr>
        <w:t>013</w:t>
      </w:r>
      <w:r>
        <w:rPr>
          <w:rFonts w:hint="eastAsia" w:hAnsi="宋体" w:cs="宋体"/>
          <w:iCs/>
          <w:color w:val="auto"/>
          <w:szCs w:val="21"/>
          <w:highlight w:val="none"/>
          <w:u w:val="none"/>
          <w:lang w:eastAsia="zh-CN"/>
        </w:rPr>
        <w:t>号</w:t>
      </w:r>
    </w:p>
    <w:p>
      <w:pPr>
        <w:pStyle w:val="25"/>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iCs/>
          <w:color w:val="auto"/>
          <w:highlight w:val="none"/>
          <w:u w:val="none"/>
        </w:rPr>
      </w:pPr>
      <w:r>
        <w:rPr>
          <w:rFonts w:hint="eastAsia" w:hAnsi="宋体" w:cs="宋体"/>
          <w:iCs/>
          <w:color w:val="auto"/>
          <w:highlight w:val="none"/>
          <w:u w:val="none"/>
          <w:lang w:val="en-US" w:eastAsia="zh-CN"/>
        </w:rPr>
        <w:t>3</w:t>
      </w:r>
      <w:r>
        <w:rPr>
          <w:rFonts w:hint="eastAsia" w:ascii="宋体" w:hAnsi="宋体" w:eastAsia="宋体" w:cs="宋体"/>
          <w:iCs/>
          <w:color w:val="auto"/>
          <w:highlight w:val="none"/>
          <w:u w:val="none"/>
        </w:rPr>
        <w:t>.</w:t>
      </w:r>
      <w:r>
        <w:rPr>
          <w:rFonts w:hint="eastAsia" w:hAnsi="宋体" w:cs="宋体"/>
          <w:iCs/>
          <w:color w:val="auto"/>
          <w:highlight w:val="none"/>
          <w:u w:val="none"/>
          <w:lang w:eastAsia="zh-CN"/>
        </w:rPr>
        <w:t>最高限价</w:t>
      </w:r>
      <w:r>
        <w:rPr>
          <w:rFonts w:hint="eastAsia" w:ascii="宋体" w:hAnsi="宋体" w:eastAsia="宋体" w:cs="宋体"/>
          <w:iCs/>
          <w:color w:val="auto"/>
          <w:highlight w:val="none"/>
          <w:u w:val="none"/>
        </w:rPr>
        <w:t>：</w:t>
      </w:r>
      <w:r>
        <w:rPr>
          <w:rFonts w:hint="eastAsia" w:ascii="宋体" w:hAnsi="宋体" w:eastAsia="宋体" w:cs="宋体"/>
          <w:bCs/>
          <w:color w:val="auto"/>
          <w:kern w:val="2"/>
          <w:sz w:val="21"/>
          <w:szCs w:val="21"/>
          <w:highlight w:val="none"/>
          <w:u w:val="none"/>
          <w:lang w:val="en-US" w:eastAsia="zh-CN" w:bidi="ar-SA"/>
        </w:rPr>
        <w:t>338158.46元</w:t>
      </w:r>
    </w:p>
    <w:p>
      <w:pPr>
        <w:keepNext w:val="0"/>
        <w:keepLines w:val="0"/>
        <w:pageBreakBefore w:val="0"/>
        <w:kinsoku/>
        <w:wordWrap/>
        <w:overflowPunct/>
        <w:topLinePunct w:val="0"/>
        <w:bidi w:val="0"/>
        <w:snapToGrid w:val="0"/>
        <w:spacing w:line="360" w:lineRule="auto"/>
        <w:ind w:firstLine="420" w:firstLineChars="200"/>
        <w:outlineLvl w:val="9"/>
        <w:rPr>
          <w:rFonts w:hint="eastAsia" w:ascii="宋体" w:hAnsi="宋体" w:eastAsia="宋体" w:cs="宋体"/>
          <w:iCs/>
          <w:color w:val="auto"/>
          <w:sz w:val="21"/>
          <w:szCs w:val="21"/>
          <w:highlight w:val="none"/>
          <w:u w:val="none"/>
        </w:rPr>
      </w:pPr>
      <w:r>
        <w:rPr>
          <w:rFonts w:hint="eastAsia" w:ascii="宋体" w:hAnsi="宋体" w:cs="宋体"/>
          <w:iCs/>
          <w:color w:val="auto"/>
          <w:sz w:val="21"/>
          <w:szCs w:val="21"/>
          <w:highlight w:val="none"/>
          <w:u w:val="none"/>
          <w:lang w:val="en-US" w:eastAsia="zh-CN"/>
        </w:rPr>
        <w:t>4</w:t>
      </w:r>
      <w:r>
        <w:rPr>
          <w:rFonts w:hint="eastAsia" w:ascii="宋体" w:hAnsi="宋体" w:eastAsia="宋体" w:cs="宋体"/>
          <w:iCs/>
          <w:color w:val="auto"/>
          <w:sz w:val="21"/>
          <w:szCs w:val="21"/>
          <w:highlight w:val="none"/>
          <w:u w:val="none"/>
        </w:rPr>
        <w:t>.</w:t>
      </w:r>
      <w:r>
        <w:rPr>
          <w:rFonts w:hint="eastAsia" w:ascii="宋体" w:hAnsi="宋体" w:eastAsia="宋体" w:cs="宋体"/>
          <w:bCs/>
          <w:color w:val="auto"/>
          <w:szCs w:val="21"/>
          <w:highlight w:val="none"/>
          <w:u w:val="none"/>
        </w:rPr>
        <w:t xml:space="preserve">标段划分：共划分1 </w:t>
      </w:r>
      <w:r>
        <w:rPr>
          <w:rFonts w:hint="eastAsia" w:ascii="宋体" w:hAnsi="宋体" w:eastAsia="宋体" w:cs="宋体"/>
          <w:color w:val="auto"/>
          <w:szCs w:val="21"/>
          <w:highlight w:val="none"/>
          <w:u w:val="none"/>
        </w:rPr>
        <w:t>个标段</w:t>
      </w:r>
    </w:p>
    <w:p>
      <w:pPr>
        <w:keepNext w:val="0"/>
        <w:keepLines w:val="0"/>
        <w:pageBreakBefore w:val="0"/>
        <w:kinsoku/>
        <w:wordWrap/>
        <w:overflowPunct/>
        <w:topLinePunct w:val="0"/>
        <w:bidi w:val="0"/>
        <w:snapToGrid w:val="0"/>
        <w:spacing w:line="360" w:lineRule="auto"/>
        <w:ind w:firstLine="420" w:firstLineChars="200"/>
        <w:outlineLvl w:val="9"/>
        <w:rPr>
          <w:rFonts w:hint="eastAsia"/>
          <w:color w:val="auto"/>
          <w:highlight w:val="none"/>
          <w:lang w:val="en-US" w:eastAsia="zh-CN"/>
        </w:rPr>
      </w:pPr>
      <w:r>
        <w:rPr>
          <w:rFonts w:hint="eastAsia" w:ascii="宋体" w:hAnsi="宋体" w:eastAsia="宋体" w:cs="宋体"/>
          <w:bCs/>
          <w:color w:val="auto"/>
          <w:szCs w:val="21"/>
          <w:highlight w:val="none"/>
          <w:u w:val="none"/>
        </w:rPr>
        <w:t>5.</w:t>
      </w:r>
      <w:r>
        <w:rPr>
          <w:rFonts w:hint="eastAsia" w:ascii="宋体" w:hAnsi="宋体" w:eastAsia="宋体" w:cs="宋体"/>
          <w:bCs/>
          <w:color w:val="auto"/>
          <w:szCs w:val="21"/>
          <w:highlight w:val="none"/>
          <w:u w:val="none"/>
          <w:lang w:val="en-US" w:eastAsia="zh-CN"/>
        </w:rPr>
        <w:t>服务期限：</w:t>
      </w:r>
      <w:bookmarkStart w:id="5" w:name="_Toc32765"/>
      <w:bookmarkStart w:id="6" w:name="_Toc225"/>
      <w:r>
        <w:rPr>
          <w:rFonts w:hint="eastAsia" w:ascii="宋体" w:hAnsi="宋体" w:eastAsia="宋体" w:cs="宋体"/>
          <w:bCs/>
          <w:color w:val="auto"/>
          <w:szCs w:val="21"/>
          <w:highlight w:val="none"/>
          <w:u w:val="none"/>
          <w:lang w:val="en-US" w:eastAsia="zh-CN"/>
        </w:rPr>
        <w:t>本项目服务期限暂定为2022年至2023年，总计12个月（实际服务时间以采购单位发出的进场通知起算，总计12个月)。</w:t>
      </w:r>
      <w:bookmarkEnd w:id="5"/>
      <w:bookmarkEnd w:id="6"/>
      <w:r>
        <w:rPr>
          <w:rFonts w:hint="eastAsia"/>
          <w:color w:val="auto"/>
          <w:highlight w:val="none"/>
          <w:lang w:val="en-US" w:eastAsia="zh-CN"/>
        </w:rPr>
        <w:t>（具体详见用户需求书）</w:t>
      </w:r>
    </w:p>
    <w:p>
      <w:pPr>
        <w:keepNext w:val="0"/>
        <w:keepLines w:val="0"/>
        <w:pageBreakBefore w:val="0"/>
        <w:kinsoku/>
        <w:wordWrap/>
        <w:overflowPunct/>
        <w:topLinePunct w:val="0"/>
        <w:autoSpaceDE/>
        <w:autoSpaceDN/>
        <w:bidi w:val="0"/>
        <w:snapToGrid w:val="0"/>
        <w:spacing w:line="360" w:lineRule="auto"/>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bCs/>
          <w:color w:val="auto"/>
          <w:szCs w:val="21"/>
          <w:highlight w:val="none"/>
          <w:u w:val="none"/>
          <w:lang w:val="en-US" w:eastAsia="zh-CN"/>
        </w:rPr>
        <w:t>6.</w:t>
      </w:r>
      <w:r>
        <w:rPr>
          <w:rFonts w:hint="eastAsia" w:ascii="宋体" w:hAnsi="宋体" w:cs="宋体"/>
          <w:iCs/>
          <w:color w:val="auto"/>
          <w:sz w:val="21"/>
          <w:szCs w:val="21"/>
          <w:highlight w:val="none"/>
          <w:u w:val="none"/>
          <w:lang w:eastAsia="zh-CN"/>
        </w:rPr>
        <w:t>采购范围</w:t>
      </w:r>
      <w:r>
        <w:rPr>
          <w:rFonts w:hint="eastAsia" w:ascii="宋体" w:hAnsi="宋体" w:eastAsia="宋体" w:cs="宋体"/>
          <w:iCs/>
          <w:color w:val="auto"/>
          <w:sz w:val="21"/>
          <w:szCs w:val="21"/>
          <w:highlight w:val="none"/>
          <w:u w:val="none"/>
        </w:rPr>
        <w:t>：</w:t>
      </w:r>
      <w:r>
        <w:rPr>
          <w:rFonts w:hint="eastAsia" w:ascii="宋体" w:hAnsi="宋体" w:eastAsia="宋体" w:cs="宋体"/>
          <w:iCs/>
          <w:color w:val="auto"/>
          <w:sz w:val="21"/>
          <w:szCs w:val="21"/>
          <w:highlight w:val="none"/>
          <w:u w:val="none"/>
          <w:lang w:val="en-US" w:eastAsia="zh-CN"/>
        </w:rPr>
        <w:t>本项目</w:t>
      </w:r>
      <w:r>
        <w:rPr>
          <w:rFonts w:hint="eastAsia" w:ascii="宋体" w:hAnsi="宋体" w:cs="宋体"/>
          <w:iCs/>
          <w:color w:val="auto"/>
          <w:sz w:val="21"/>
          <w:szCs w:val="21"/>
          <w:highlight w:val="none"/>
          <w:u w:val="none"/>
          <w:lang w:val="en-US" w:eastAsia="zh-CN"/>
        </w:rPr>
        <w:t>主要</w:t>
      </w:r>
      <w:r>
        <w:rPr>
          <w:rFonts w:hint="eastAsia" w:ascii="宋体" w:hAnsi="宋体" w:eastAsia="宋体" w:cs="宋体"/>
          <w:iCs/>
          <w:color w:val="auto"/>
          <w:sz w:val="21"/>
          <w:szCs w:val="21"/>
          <w:highlight w:val="none"/>
          <w:u w:val="none"/>
          <w:lang w:val="en-US" w:eastAsia="zh-CN"/>
        </w:rPr>
        <w:t>是对长沙市轨道交通1、2、3、4、5号线运营期所属计量器具及变压器油提供委外检测相关服务。</w:t>
      </w:r>
      <w:r>
        <w:rPr>
          <w:rFonts w:hint="eastAsia" w:cs="宋体" w:asciiTheme="minorEastAsia" w:hAnsiTheme="minorEastAsia"/>
          <w:bCs/>
          <w:color w:val="auto"/>
          <w:szCs w:val="21"/>
          <w:highlight w:val="none"/>
        </w:rPr>
        <w:t>(具体详见用户需求书及检测清单)</w:t>
      </w:r>
    </w:p>
    <w:p>
      <w:pPr>
        <w:pStyle w:val="25"/>
        <w:keepNext w:val="0"/>
        <w:keepLines w:val="0"/>
        <w:pageBreakBefore w:val="0"/>
        <w:kinsoku/>
        <w:wordWrap/>
        <w:overflowPunct/>
        <w:topLinePunct w:val="0"/>
        <w:bidi w:val="0"/>
        <w:adjustRightInd w:val="0"/>
        <w:snapToGrid w:val="0"/>
        <w:spacing w:line="360" w:lineRule="auto"/>
        <w:ind w:firstLine="422" w:firstLineChars="200"/>
        <w:outlineLvl w:val="9"/>
        <w:rPr>
          <w:rFonts w:hint="eastAsia" w:ascii="宋体" w:hAnsi="宋体" w:eastAsia="宋体" w:cs="宋体"/>
          <w:b/>
          <w:iCs/>
          <w:color w:val="auto"/>
          <w:highlight w:val="none"/>
          <w:u w:val="none"/>
        </w:rPr>
      </w:pPr>
      <w:r>
        <w:rPr>
          <w:rFonts w:hint="eastAsia" w:ascii="宋体" w:hAnsi="宋体" w:eastAsia="宋体" w:cs="宋体"/>
          <w:b/>
          <w:iCs/>
          <w:color w:val="auto"/>
          <w:highlight w:val="none"/>
          <w:u w:val="none"/>
        </w:rPr>
        <w:t>二、资格要求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谈判单位</w:t>
      </w:r>
      <w:r>
        <w:rPr>
          <w:rFonts w:hint="eastAsia" w:ascii="宋体" w:hAnsi="宋体" w:eastAsia="宋体" w:cs="宋体"/>
          <w:color w:val="auto"/>
          <w:sz w:val="21"/>
          <w:szCs w:val="21"/>
          <w:highlight w:val="none"/>
          <w:u w:val="none"/>
        </w:rPr>
        <w:t>须为具有独立法人资格、自主经营、独立核算的公司。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谈判单位</w:t>
      </w:r>
      <w:r>
        <w:rPr>
          <w:rFonts w:hint="eastAsia" w:ascii="宋体" w:hAnsi="宋体" w:eastAsia="宋体" w:cs="宋体"/>
          <w:color w:val="auto"/>
          <w:sz w:val="21"/>
          <w:szCs w:val="21"/>
          <w:highlight w:val="none"/>
          <w:u w:val="none"/>
          <w:lang w:val="en-US" w:eastAsia="zh-CN"/>
        </w:rPr>
        <w:t>须具有中国合格评定国家认可委员会颁发的检测或校准实验室认可资质（CNAS资质），且其证书附表中的自检范围须占本项目检测清单总项目比重（自检率）的60%（不含）以上。检测清单</w:t>
      </w:r>
      <w:r>
        <w:rPr>
          <w:rFonts w:hint="eastAsia" w:ascii="宋体" w:hAnsi="宋体" w:eastAsia="宋体" w:cs="宋体"/>
          <w:color w:val="auto"/>
          <w:sz w:val="21"/>
          <w:szCs w:val="21"/>
          <w:highlight w:val="none"/>
          <w:u w:val="none"/>
        </w:rPr>
        <w:t>具体详见</w:t>
      </w:r>
      <w:r>
        <w:rPr>
          <w:rFonts w:hint="eastAsia" w:ascii="宋体" w:hAnsi="宋体" w:eastAsia="宋体" w:cs="宋体"/>
          <w:color w:val="auto"/>
          <w:sz w:val="21"/>
          <w:szCs w:val="21"/>
          <w:highlight w:val="none"/>
          <w:u w:val="none"/>
          <w:lang w:val="en-US" w:eastAsia="zh-CN"/>
        </w:rPr>
        <w:t>第六章响应文件</w:t>
      </w:r>
      <w:r>
        <w:rPr>
          <w:rFonts w:hint="eastAsia" w:ascii="宋体" w:hAnsi="宋体" w:eastAsia="宋体" w:cs="宋体"/>
          <w:color w:val="auto"/>
          <w:sz w:val="21"/>
          <w:szCs w:val="21"/>
          <w:highlight w:val="none"/>
          <w:u w:val="none"/>
        </w:rPr>
        <w:t>附</w:t>
      </w:r>
      <w:r>
        <w:rPr>
          <w:rFonts w:hint="eastAsia" w:ascii="宋体" w:hAnsi="宋体" w:eastAsia="宋体" w:cs="宋体"/>
          <w:color w:val="auto"/>
          <w:sz w:val="21"/>
          <w:szCs w:val="21"/>
          <w:highlight w:val="none"/>
          <w:u w:val="none"/>
          <w:lang w:val="en-US" w:eastAsia="zh-CN"/>
        </w:rPr>
        <w:t>件</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长沙市轨道交通1、2、3、4、5号线运营期2022年-2023年计量器具及化验委外检测清单评审表</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3.谈判单位在本项目谈判截止之日前36个月内须具有计量器具检测服务业绩。不接受联合体业绩、港澳台或境外业绩。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业绩证明材料以同时提供的合同原件扫描件和发票（开票金额不少于合同金额的10%）原件扫描件为准（均须加盖投标人单位公章），业绩金额以合同中金额为准，时间以合同中采购单位的签字时间为准。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4.谈判单位拟投入本项目的项目服务人员须满足最低配备要求，详见谈判邀请公告附表《项目人员最低配备要求表》。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5.本次谈判不接受联合体形式参与谈判。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6.被长沙市轨道交通集团有限公司及长沙市轨道交通运营有限公司函告禁止在一定期限内参与投标的单位按函告内容执行。</w:t>
      </w:r>
    </w:p>
    <w:p>
      <w:pPr>
        <w:keepNext w:val="0"/>
        <w:keepLines w:val="0"/>
        <w:pageBreakBefore w:val="0"/>
        <w:kinsoku/>
        <w:wordWrap/>
        <w:overflowPunct/>
        <w:topLinePunct w:val="0"/>
        <w:autoSpaceDE/>
        <w:autoSpaceDN/>
        <w:bidi w:val="0"/>
        <w:adjustRightInd/>
        <w:snapToGrid/>
        <w:spacing w:line="360" w:lineRule="auto"/>
        <w:ind w:firstLine="422" w:firstLineChars="200"/>
        <w:textAlignment w:val="auto"/>
        <w:outlineLvl w:val="9"/>
        <w:rPr>
          <w:rFonts w:hint="eastAsia" w:ascii="宋体" w:hAnsi="宋体" w:eastAsia="宋体" w:cs="宋体"/>
          <w:b/>
          <w:bCs/>
          <w:iCs/>
          <w:color w:val="auto"/>
          <w:sz w:val="21"/>
          <w:szCs w:val="21"/>
          <w:highlight w:val="none"/>
          <w:u w:val="none"/>
        </w:rPr>
      </w:pPr>
      <w:r>
        <w:rPr>
          <w:rFonts w:hint="eastAsia" w:ascii="宋体" w:hAnsi="宋体" w:eastAsia="宋体" w:cs="宋体"/>
          <w:b/>
          <w:bCs/>
          <w:color w:val="auto"/>
          <w:sz w:val="21"/>
          <w:szCs w:val="21"/>
          <w:highlight w:val="none"/>
          <w:u w:val="none"/>
        </w:rPr>
        <w:t>三、</w:t>
      </w:r>
      <w:r>
        <w:rPr>
          <w:rFonts w:hint="eastAsia" w:ascii="宋体" w:hAnsi="宋体" w:eastAsia="宋体" w:cs="宋体"/>
          <w:b/>
          <w:bCs/>
          <w:iCs/>
          <w:color w:val="auto"/>
          <w:sz w:val="21"/>
          <w:szCs w:val="21"/>
          <w:highlight w:val="none"/>
          <w:u w:val="none"/>
        </w:rPr>
        <w:t>评审办法</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color w:val="auto"/>
          <w:sz w:val="21"/>
          <w:szCs w:val="21"/>
          <w:highlight w:val="none"/>
          <w:u w:val="none"/>
        </w:rPr>
      </w:pPr>
      <w:r>
        <w:rPr>
          <w:rFonts w:hint="eastAsia" w:ascii="宋体" w:hAnsi="宋体" w:eastAsia="宋体" w:cs="宋体"/>
          <w:iCs/>
          <w:color w:val="auto"/>
          <w:sz w:val="21"/>
          <w:szCs w:val="21"/>
          <w:highlight w:val="none"/>
          <w:u w:val="none"/>
        </w:rPr>
        <w:t>本项目评审办法采用</w:t>
      </w:r>
      <w:r>
        <w:rPr>
          <w:rFonts w:hint="eastAsia" w:ascii="宋体" w:hAnsi="宋体" w:eastAsia="宋体" w:cs="宋体"/>
          <w:bCs/>
          <w:color w:val="auto"/>
          <w:sz w:val="21"/>
          <w:szCs w:val="21"/>
          <w:highlight w:val="none"/>
          <w:u w:val="none"/>
          <w:lang w:val="en-US" w:eastAsia="zh-CN"/>
        </w:rPr>
        <w:t>经符合性审查合格后的最低价法</w:t>
      </w:r>
      <w:r>
        <w:rPr>
          <w:rFonts w:hint="eastAsia" w:ascii="宋体" w:hAnsi="宋体" w:eastAsia="宋体" w:cs="宋体"/>
          <w:bCs/>
          <w:color w:val="auto"/>
          <w:sz w:val="21"/>
          <w:szCs w:val="21"/>
          <w:highlight w:val="none"/>
          <w:u w:val="none"/>
        </w:rPr>
        <w:t>。</w:t>
      </w:r>
    </w:p>
    <w:p>
      <w:pPr>
        <w:keepNext w:val="0"/>
        <w:keepLines w:val="0"/>
        <w:pageBreakBefore w:val="0"/>
        <w:widowControl/>
        <w:kinsoku/>
        <w:wordWrap/>
        <w:overflowPunct/>
        <w:topLinePunct w:val="0"/>
        <w:bidi w:val="0"/>
        <w:spacing w:line="360" w:lineRule="auto"/>
        <w:ind w:firstLine="422" w:firstLineChars="200"/>
        <w:outlineLvl w:val="9"/>
        <w:rPr>
          <w:rFonts w:hint="eastAsia" w:ascii="宋体" w:hAnsi="宋体" w:eastAsia="宋体" w:cs="宋体"/>
          <w:b/>
          <w:bCs/>
          <w:color w:val="auto"/>
          <w:szCs w:val="21"/>
          <w:highlight w:val="none"/>
          <w:u w:val="none"/>
        </w:rPr>
      </w:pPr>
      <w:r>
        <w:rPr>
          <w:rFonts w:hint="eastAsia" w:ascii="宋体" w:hAnsi="宋体" w:eastAsia="宋体" w:cs="宋体"/>
          <w:b/>
          <w:bCs/>
          <w:color w:val="auto"/>
          <w:szCs w:val="21"/>
          <w:highlight w:val="none"/>
          <w:u w:val="none"/>
        </w:rPr>
        <w:t>四、自主竞争性谈判文件的获取</w:t>
      </w:r>
    </w:p>
    <w:p>
      <w:pPr>
        <w:spacing w:line="360" w:lineRule="auto"/>
        <w:ind w:firstLine="420" w:firstLineChars="200"/>
        <w:rPr>
          <w:rFonts w:hint="eastAsia" w:ascii="宋体" w:hAnsi="宋体" w:eastAsia="宋体" w:cs="宋体"/>
          <w:color w:val="auto"/>
          <w:szCs w:val="21"/>
          <w:highlight w:val="none"/>
          <w:u w:val="none"/>
        </w:rPr>
      </w:pPr>
      <w:bookmarkStart w:id="7" w:name="_Hlk75876044"/>
      <w:r>
        <w:rPr>
          <w:rFonts w:hint="eastAsia" w:ascii="宋体" w:hAnsi="宋体" w:cs="宋体"/>
          <w:color w:val="auto"/>
          <w:szCs w:val="21"/>
          <w:highlight w:val="none"/>
        </w:rPr>
        <w:t>凡有意参加谈判的单位，自本公告发布之日起登录长沙市轨道交通集团有限公司官方网站</w:t>
      </w:r>
      <w:r>
        <w:rPr>
          <w:rFonts w:hint="eastAsia" w:ascii="宋体" w:hAnsi="宋体" w:cs="宋体"/>
          <w:color w:val="auto"/>
          <w:kern w:val="0"/>
          <w:szCs w:val="21"/>
          <w:highlight w:val="none"/>
        </w:rPr>
        <w:t>（http://www.hncsmtr.com/）</w:t>
      </w:r>
      <w:r>
        <w:rPr>
          <w:rFonts w:hint="eastAsia" w:ascii="宋体" w:hAnsi="宋体" w:cs="宋体"/>
          <w:color w:val="auto"/>
          <w:szCs w:val="21"/>
          <w:highlight w:val="none"/>
        </w:rPr>
        <w:t>获取自主竞争性谈判文件</w:t>
      </w:r>
      <w:bookmarkEnd w:id="7"/>
      <w:r>
        <w:rPr>
          <w:rFonts w:hint="eastAsia" w:ascii="宋体" w:hAnsi="宋体" w:cs="宋体"/>
          <w:color w:val="auto"/>
          <w:szCs w:val="21"/>
          <w:highlight w:val="none"/>
        </w:rPr>
        <w:t>。</w:t>
      </w:r>
    </w:p>
    <w:p>
      <w:pPr>
        <w:keepNext w:val="0"/>
        <w:keepLines w:val="0"/>
        <w:pageBreakBefore w:val="0"/>
        <w:kinsoku/>
        <w:wordWrap/>
        <w:overflowPunct/>
        <w:topLinePunct w:val="0"/>
        <w:bidi w:val="0"/>
        <w:spacing w:line="360" w:lineRule="auto"/>
        <w:ind w:firstLine="422" w:firstLineChars="200"/>
        <w:outlineLvl w:val="9"/>
        <w:rPr>
          <w:rFonts w:hint="eastAsia" w:ascii="宋体" w:hAnsi="宋体" w:eastAsia="宋体" w:cs="宋体"/>
          <w:b/>
          <w:bCs/>
          <w:color w:val="auto"/>
          <w:szCs w:val="21"/>
          <w:highlight w:val="none"/>
          <w:u w:val="none"/>
        </w:rPr>
      </w:pPr>
      <w:r>
        <w:rPr>
          <w:rFonts w:hint="eastAsia" w:ascii="宋体" w:hAnsi="宋体" w:eastAsia="宋体" w:cs="宋体"/>
          <w:b/>
          <w:bCs/>
          <w:color w:val="auto"/>
          <w:szCs w:val="21"/>
          <w:highlight w:val="none"/>
          <w:u w:val="none"/>
        </w:rPr>
        <w:t>五、</w:t>
      </w:r>
      <w:r>
        <w:rPr>
          <w:rFonts w:hint="eastAsia" w:ascii="宋体" w:hAnsi="宋体" w:eastAsia="宋体" w:cs="宋体"/>
          <w:b/>
          <w:bCs/>
          <w:iCs/>
          <w:color w:val="auto"/>
          <w:szCs w:val="21"/>
          <w:highlight w:val="none"/>
          <w:u w:val="none"/>
        </w:rPr>
        <w:t>谈判文件的</w:t>
      </w:r>
      <w:r>
        <w:rPr>
          <w:rFonts w:hint="eastAsia" w:ascii="宋体" w:hAnsi="宋体" w:eastAsia="宋体" w:cs="宋体"/>
          <w:b/>
          <w:bCs/>
          <w:color w:val="auto"/>
          <w:szCs w:val="21"/>
          <w:highlight w:val="none"/>
          <w:u w:val="none"/>
        </w:rPr>
        <w:t>澄清与答疑</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iCs/>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eastAsia="宋体" w:cs="宋体"/>
          <w:iCs/>
          <w:color w:val="auto"/>
          <w:szCs w:val="21"/>
          <w:highlight w:val="none"/>
          <w:u w:val="none"/>
        </w:rPr>
        <w:t>本项目不组织答疑会和现场踏勘。</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iCs/>
          <w:color w:val="auto"/>
          <w:szCs w:val="21"/>
          <w:highlight w:val="none"/>
          <w:u w:val="none"/>
        </w:rPr>
      </w:pPr>
      <w:r>
        <w:rPr>
          <w:rFonts w:hint="eastAsia" w:ascii="宋体" w:hAnsi="宋体" w:eastAsia="宋体" w:cs="宋体"/>
          <w:iCs/>
          <w:color w:val="auto"/>
          <w:szCs w:val="21"/>
          <w:highlight w:val="none"/>
          <w:u w:val="none"/>
        </w:rPr>
        <w:t>2.谈判单位若对谈判文件有任何疑问，</w:t>
      </w:r>
      <w:r>
        <w:rPr>
          <w:rFonts w:hint="eastAsia" w:ascii="宋体" w:hAnsi="宋体" w:eastAsia="宋体" w:cs="宋体"/>
          <w:color w:val="auto"/>
          <w:szCs w:val="21"/>
          <w:highlight w:val="none"/>
          <w:u w:val="none"/>
        </w:rPr>
        <w:t>应于</w:t>
      </w:r>
      <w:r>
        <w:rPr>
          <w:rFonts w:hint="eastAsia" w:ascii="宋体" w:hAnsi="宋体" w:eastAsia="宋体" w:cs="宋体"/>
          <w:color w:val="auto"/>
          <w:szCs w:val="21"/>
          <w:highlight w:val="none"/>
          <w:u w:val="single"/>
        </w:rPr>
        <w:t>20</w:t>
      </w:r>
      <w:r>
        <w:rPr>
          <w:rFonts w:hint="eastAsia" w:ascii="宋体" w:hAnsi="宋体" w:cs="宋体"/>
          <w:color w:val="auto"/>
          <w:szCs w:val="21"/>
          <w:highlight w:val="none"/>
          <w:u w:val="single"/>
          <w:lang w:val="en-US" w:eastAsia="zh-CN"/>
        </w:rPr>
        <w:t>22</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none"/>
          <w:lang w:val="en-US" w:eastAsia="zh-CN"/>
        </w:rPr>
        <w:t>月</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none"/>
          <w:lang w:val="en-US" w:eastAsia="zh-CN"/>
        </w:rPr>
        <w:t>日</w:t>
      </w:r>
      <w:r>
        <w:rPr>
          <w:rFonts w:hint="eastAsia" w:ascii="宋体" w:hAnsi="宋体" w:eastAsia="宋体" w:cs="宋体"/>
          <w:iCs/>
          <w:color w:val="auto"/>
          <w:szCs w:val="21"/>
          <w:highlight w:val="none"/>
          <w:u w:val="none"/>
        </w:rPr>
        <w:t>17：00时（含）前（节假日除外）以书面形式（经法定代表人签字或盖章，并加盖单位公章）递交至采购代理机构。</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iCs/>
          <w:color w:val="auto"/>
          <w:szCs w:val="21"/>
          <w:highlight w:val="none"/>
          <w:u w:val="none"/>
        </w:rPr>
      </w:pPr>
      <w:r>
        <w:rPr>
          <w:rFonts w:hint="eastAsia" w:ascii="宋体" w:hAnsi="宋体" w:eastAsia="宋体" w:cs="宋体"/>
          <w:iCs/>
          <w:color w:val="auto"/>
          <w:szCs w:val="21"/>
          <w:highlight w:val="none"/>
          <w:u w:val="none"/>
        </w:rPr>
        <w:t>3.在谈判截止时间前，采购单位或采购代理机构可主动地或在解答谈判单位提出的问题时对谈判文件进行澄清或修改。</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iCs/>
          <w:color w:val="auto"/>
          <w:szCs w:val="21"/>
          <w:highlight w:val="none"/>
          <w:u w:val="none"/>
        </w:rPr>
      </w:pPr>
      <w:r>
        <w:rPr>
          <w:rFonts w:hint="eastAsia" w:ascii="宋体" w:hAnsi="宋体" w:eastAsia="宋体" w:cs="宋体"/>
          <w:iCs/>
          <w:color w:val="auto"/>
          <w:szCs w:val="21"/>
          <w:highlight w:val="none"/>
          <w:u w:val="none"/>
        </w:rPr>
        <w:t>4.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w:t>
      </w:r>
      <w:r>
        <w:rPr>
          <w:rFonts w:hint="eastAsia" w:ascii="宋体" w:hAnsi="宋体" w:eastAsia="宋体" w:cs="宋体"/>
          <w:iCs/>
          <w:color w:val="auto"/>
          <w:szCs w:val="21"/>
          <w:highlight w:val="none"/>
          <w:u w:val="none"/>
          <w:lang w:eastAsia="zh-CN"/>
        </w:rPr>
        <w:t>，</w:t>
      </w:r>
      <w:r>
        <w:rPr>
          <w:rFonts w:hint="eastAsia" w:ascii="宋体" w:hAnsi="宋体" w:eastAsia="宋体" w:cs="宋体"/>
          <w:iCs/>
          <w:color w:val="auto"/>
          <w:szCs w:val="21"/>
          <w:highlight w:val="none"/>
          <w:u w:val="none"/>
        </w:rPr>
        <w:t>采购单位或代理机构不负任何责任。</w:t>
      </w:r>
    </w:p>
    <w:p>
      <w:pPr>
        <w:widowControl/>
        <w:spacing w:line="408" w:lineRule="auto"/>
        <w:ind w:firstLine="480"/>
        <w:rPr>
          <w:rFonts w:ascii="宋体" w:hAnsi="宋体" w:cs="宋体"/>
          <w:b/>
          <w:bCs/>
          <w:color w:val="auto"/>
          <w:kern w:val="0"/>
          <w:szCs w:val="21"/>
          <w:highlight w:val="none"/>
        </w:rPr>
      </w:pPr>
      <w:r>
        <w:rPr>
          <w:rFonts w:hint="eastAsia" w:ascii="宋体" w:hAnsi="宋体" w:cs="宋体"/>
          <w:b/>
          <w:bCs/>
          <w:color w:val="auto"/>
          <w:kern w:val="0"/>
          <w:szCs w:val="21"/>
          <w:highlight w:val="none"/>
        </w:rPr>
        <w:t>六、投标保证金</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1.所有谈判单位须在城轨采购网（网址：www.mtrmart.com）注册参与并按要求提交投标保证金。本次投标保证金的金额为（人民币）</w:t>
      </w:r>
      <w:r>
        <w:rPr>
          <w:rFonts w:hint="eastAsia" w:ascii="宋体" w:hAnsi="宋体" w:cs="宋体"/>
          <w:iCs/>
          <w:color w:val="auto"/>
          <w:szCs w:val="21"/>
          <w:highlight w:val="none"/>
          <w:lang w:val="en-US" w:eastAsia="zh-CN"/>
        </w:rPr>
        <w:t>6700</w:t>
      </w:r>
      <w:r>
        <w:rPr>
          <w:rFonts w:hint="eastAsia" w:ascii="宋体" w:hAnsi="宋体" w:cs="宋体"/>
          <w:iCs/>
          <w:color w:val="auto"/>
          <w:szCs w:val="21"/>
          <w:highlight w:val="none"/>
        </w:rPr>
        <w:t>元，投标保证金必须由谈判单位的银行对公账户转出，否则将无权限参加本次谈判。</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2.本次参与谈判单位的投标保证金必须在</w:t>
      </w:r>
      <w:r>
        <w:rPr>
          <w:rFonts w:hint="eastAsia" w:ascii="宋体" w:hAnsi="宋体" w:eastAsia="宋体" w:cs="宋体"/>
          <w:color w:val="auto"/>
          <w:szCs w:val="21"/>
          <w:highlight w:val="none"/>
          <w:u w:val="single"/>
        </w:rPr>
        <w:t>20</w:t>
      </w:r>
      <w:r>
        <w:rPr>
          <w:rFonts w:hint="eastAsia" w:ascii="宋体" w:hAnsi="宋体" w:cs="宋体"/>
          <w:color w:val="auto"/>
          <w:szCs w:val="21"/>
          <w:highlight w:val="none"/>
          <w:u w:val="single"/>
          <w:lang w:val="en-US" w:eastAsia="zh-CN"/>
        </w:rPr>
        <w:t>22</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none"/>
          <w:lang w:val="en-US" w:eastAsia="zh-CN"/>
        </w:rPr>
        <w:t>月</w:t>
      </w:r>
      <w:r>
        <w:rPr>
          <w:rFonts w:hint="eastAsia" w:ascii="宋体" w:hAnsi="宋体" w:cs="宋体"/>
          <w:color w:val="auto"/>
          <w:szCs w:val="21"/>
          <w:highlight w:val="none"/>
          <w:u w:val="single"/>
          <w:lang w:val="en-US" w:eastAsia="zh-CN"/>
        </w:rPr>
        <w:t>18</w:t>
      </w:r>
      <w:r>
        <w:rPr>
          <w:rFonts w:hint="eastAsia" w:ascii="宋体" w:hAnsi="宋体" w:cs="宋体"/>
          <w:color w:val="auto"/>
          <w:szCs w:val="21"/>
          <w:highlight w:val="none"/>
          <w:u w:val="none"/>
          <w:lang w:val="en-US" w:eastAsia="zh-CN"/>
        </w:rPr>
        <w:t>日</w:t>
      </w:r>
      <w:r>
        <w:rPr>
          <w:rFonts w:hint="eastAsia" w:ascii="宋体" w:hAnsi="宋体" w:cs="宋体"/>
          <w:iCs/>
          <w:color w:val="auto"/>
          <w:szCs w:val="21"/>
          <w:highlight w:val="none"/>
          <w:lang w:val="en-US" w:eastAsia="zh-CN"/>
        </w:rPr>
        <w:t>9</w:t>
      </w:r>
      <w:r>
        <w:rPr>
          <w:rFonts w:hint="eastAsia" w:ascii="宋体" w:hAnsi="宋体" w:cs="宋体"/>
          <w:iCs/>
          <w:color w:val="auto"/>
          <w:szCs w:val="21"/>
          <w:highlight w:val="none"/>
        </w:rPr>
        <w:t>:00前(含)到达专用账户（以托管银行到账的日期为准），逾期或未提交投标保证金的谈判单位，将无权限参加本次谈判。</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3.本次投标保证金的提交仅接受银行转账的方式，投标保证金由广州地铁物资有限公司代收、代退。账户名为广州地铁物资有限公司（开户分行：平安银行广州分行营业部），城轨采购网（网址：www.mtrmart.com）系统会为本项目自动生成投标保证金账户信息（虚拟子账户），相关账户信息以实际信息为准。</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4.投标保证金的退还：未中选单位的投标保证金，将在本项目结果公告截止后予以退还；中选单位的投标保证金将在签署合同并提交履约保证金后予以退还。如在退还投标保证金时发生银行费用，则在投标保证金金额内扣减后将余额退回。</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5.出现包括但不限于下列情况的，采购单位将按照长沙市轨道交通运营有限公司相关文本和合同条款等相关规定，视其情节轻重，给予没收部分或全部投标保证金，并出具书面处理决定，除此之外，如谈判单位给采购单位造成的损失超过投标保证金数额的，谈判单位应当对超过部分给予赔偿。</w:t>
      </w:r>
    </w:p>
    <w:p>
      <w:pPr>
        <w:spacing w:line="360" w:lineRule="auto"/>
        <w:ind w:firstLine="420" w:firstLineChars="200"/>
        <w:rPr>
          <w:rFonts w:hint="eastAsia" w:ascii="宋体" w:hAnsi="宋体" w:cs="宋体"/>
          <w:iCs/>
          <w:color w:val="auto"/>
          <w:szCs w:val="21"/>
          <w:highlight w:val="none"/>
        </w:rPr>
      </w:pPr>
      <w:r>
        <w:rPr>
          <w:rFonts w:hint="eastAsia" w:ascii="宋体" w:hAnsi="宋体" w:cs="宋体"/>
          <w:iCs/>
          <w:color w:val="auto"/>
          <w:szCs w:val="21"/>
          <w:highlight w:val="none"/>
        </w:rPr>
        <w:t>（1）谈判单位提出撤回或撤销或放弃中选资格或对报价提出实质性修改；</w:t>
      </w:r>
    </w:p>
    <w:p>
      <w:pPr>
        <w:pStyle w:val="2"/>
      </w:pP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（2）中选单位未能在规定期限内签订合同或不按报价结果签订合同；</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（3）中选单位未能在规定期限内提交履约保证金；</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（4）中选单位在合同订立过程中未能完全响应采购文件、清单、附件、合同要求以致合同无法订立的；</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（5）经查实谈判单位报价资料弄虚作假的；</w:t>
      </w:r>
    </w:p>
    <w:p>
      <w:pPr>
        <w:spacing w:line="360" w:lineRule="auto"/>
        <w:ind w:firstLine="420" w:firstLineChars="200"/>
        <w:rPr>
          <w:rFonts w:ascii="宋体" w:hAnsi="宋体" w:cs="宋体"/>
          <w:iCs/>
          <w:color w:val="auto"/>
          <w:szCs w:val="21"/>
          <w:highlight w:val="none"/>
        </w:rPr>
      </w:pPr>
      <w:r>
        <w:rPr>
          <w:rFonts w:hint="eastAsia" w:ascii="宋体" w:hAnsi="宋体" w:cs="宋体"/>
          <w:iCs/>
          <w:color w:val="auto"/>
          <w:szCs w:val="21"/>
          <w:highlight w:val="none"/>
        </w:rPr>
        <w:t>（6）串通参与谈判相关行为的。如不同谈判单位的投标保证金从同一账户转出。</w:t>
      </w:r>
    </w:p>
    <w:p>
      <w:pPr>
        <w:spacing w:line="360" w:lineRule="auto"/>
        <w:ind w:firstLine="422" w:firstLineChars="200"/>
        <w:rPr>
          <w:rFonts w:ascii="宋体" w:hAnsi="宋体" w:cs="宋体"/>
          <w:b/>
          <w:bCs/>
          <w:iCs/>
          <w:color w:val="auto"/>
          <w:szCs w:val="21"/>
          <w:highlight w:val="none"/>
        </w:rPr>
      </w:pPr>
      <w:r>
        <w:rPr>
          <w:rFonts w:hint="eastAsia" w:ascii="宋体" w:hAnsi="宋体" w:cs="宋体"/>
          <w:b/>
          <w:bCs/>
          <w:color w:val="auto"/>
          <w:kern w:val="0"/>
          <w:szCs w:val="21"/>
          <w:highlight w:val="none"/>
        </w:rPr>
        <w:t>七、</w:t>
      </w:r>
      <w:r>
        <w:rPr>
          <w:rFonts w:hint="eastAsia" w:ascii="宋体" w:hAnsi="宋体" w:cs="宋体"/>
          <w:b/>
          <w:bCs/>
          <w:iCs/>
          <w:color w:val="auto"/>
          <w:szCs w:val="21"/>
          <w:highlight w:val="none"/>
        </w:rPr>
        <w:t>响应文件的递交</w:t>
      </w:r>
    </w:p>
    <w:p>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1.响应文件递交的截止时间及谈判时间为</w:t>
      </w:r>
      <w:r>
        <w:rPr>
          <w:rFonts w:hint="eastAsia" w:ascii="宋体" w:hAnsi="宋体" w:eastAsia="宋体" w:cs="宋体"/>
          <w:color w:val="auto"/>
          <w:szCs w:val="21"/>
          <w:highlight w:val="none"/>
          <w:u w:val="single"/>
        </w:rPr>
        <w:t>20</w:t>
      </w:r>
      <w:r>
        <w:rPr>
          <w:rFonts w:hint="eastAsia" w:ascii="宋体" w:hAnsi="宋体" w:cs="宋体"/>
          <w:color w:val="auto"/>
          <w:szCs w:val="21"/>
          <w:highlight w:val="none"/>
          <w:u w:val="single"/>
          <w:lang w:val="en-US" w:eastAsia="zh-CN"/>
        </w:rPr>
        <w:t>22</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single"/>
          <w:lang w:val="en-US" w:eastAsia="zh-CN"/>
        </w:rPr>
        <w:t>7</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single"/>
          <w:lang w:val="en-US" w:eastAsia="zh-CN"/>
        </w:rPr>
        <w:t>18</w:t>
      </w:r>
      <w:r>
        <w:rPr>
          <w:rFonts w:hint="eastAsia" w:ascii="宋体" w:hAnsi="宋体" w:eastAsia="宋体" w:cs="宋体"/>
          <w:color w:val="auto"/>
          <w:szCs w:val="21"/>
          <w:highlight w:val="none"/>
          <w:u w:val="none"/>
        </w:rPr>
        <w:t>日</w:t>
      </w:r>
      <w:r>
        <w:rPr>
          <w:rFonts w:hint="eastAsia" w:ascii="宋体" w:hAnsi="宋体"/>
          <w:bCs/>
          <w:color w:val="auto"/>
          <w:szCs w:val="21"/>
          <w:highlight w:val="none"/>
        </w:rPr>
        <w:t>14时30分，地点为</w:t>
      </w:r>
      <w:r>
        <w:rPr>
          <w:rFonts w:hint="eastAsia" w:ascii="宋体" w:hAnsi="宋体" w:cs="宋体"/>
          <w:color w:val="auto"/>
          <w:szCs w:val="21"/>
          <w:highlight w:val="none"/>
        </w:rPr>
        <w:t>长沙市劳动东路二段48号黄兴车辆段综合楼9楼910室。</w:t>
      </w:r>
    </w:p>
    <w:p>
      <w:pPr>
        <w:pStyle w:val="46"/>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2.谈判单位代表应佩戴口罩，携带身份证进行实名登记，配合做好体温检测，提供“健</w:t>
      </w:r>
    </w:p>
    <w:p>
      <w:pPr>
        <w:pStyle w:val="46"/>
        <w:ind w:left="0" w:leftChars="0" w:firstLine="0" w:firstLineChars="0"/>
        <w:rPr>
          <w:rFonts w:ascii="宋体" w:hAnsi="宋体" w:cs="宋体"/>
          <w:color w:val="auto"/>
          <w:szCs w:val="21"/>
          <w:highlight w:val="none"/>
        </w:rPr>
      </w:pPr>
      <w:r>
        <w:rPr>
          <w:rFonts w:hint="eastAsia" w:ascii="宋体" w:hAnsi="宋体" w:cs="宋体"/>
          <w:b/>
          <w:bCs/>
          <w:color w:val="auto"/>
          <w:szCs w:val="21"/>
          <w:highlight w:val="none"/>
          <w:lang w:val="en-US" w:eastAsia="zh-CN"/>
        </w:rPr>
        <w:t>康码”、“行程码”及48小时内核酸检测证明，否则响应文件</w:t>
      </w:r>
      <w:r>
        <w:rPr>
          <w:rFonts w:hint="eastAsia" w:ascii="宋体" w:hAnsi="宋体" w:eastAsia="宋体" w:cs="宋体"/>
          <w:b/>
          <w:bCs/>
          <w:color w:val="auto"/>
          <w:kern w:val="2"/>
          <w:sz w:val="21"/>
          <w:szCs w:val="21"/>
          <w:highlight w:val="none"/>
          <w:lang w:val="en-US" w:eastAsia="zh-CN" w:bidi="ar-SA"/>
        </w:rPr>
        <w:t>将予以拒收。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.逾期送达的或者未送达指定地点的或者未密封的响应文件，采购单位或采购代理机构将予以</w:t>
      </w:r>
      <w:r>
        <w:rPr>
          <w:rFonts w:hint="eastAsia" w:ascii="宋体" w:hAnsi="宋体" w:cs="宋体"/>
          <w:b/>
          <w:bCs/>
          <w:color w:val="auto"/>
          <w:szCs w:val="21"/>
          <w:highlight w:val="none"/>
        </w:rPr>
        <w:t>拒收</w:t>
      </w:r>
      <w:r>
        <w:rPr>
          <w:rFonts w:hint="eastAsia" w:ascii="宋体" w:hAnsi="宋体" w:cs="宋体"/>
          <w:color w:val="auto"/>
          <w:szCs w:val="21"/>
          <w:highlight w:val="none"/>
        </w:rPr>
        <w:t>。</w:t>
      </w:r>
    </w:p>
    <w:p>
      <w:pPr>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八、中标原则</w:t>
      </w:r>
    </w:p>
    <w:p>
      <w:pPr>
        <w:adjustRightInd w:val="0"/>
        <w:snapToGrid w:val="0"/>
        <w:spacing w:line="360" w:lineRule="auto"/>
        <w:ind w:firstLine="420" w:firstLineChars="200"/>
        <w:jc w:val="left"/>
        <w:rPr>
          <w:rFonts w:hint="eastAsia"/>
          <w:color w:val="auto"/>
          <w:highlight w:val="none"/>
          <w:lang w:val="en-US" w:eastAsia="zh-CN"/>
        </w:rPr>
      </w:pPr>
      <w:r>
        <w:rPr>
          <w:rFonts w:hint="eastAsia"/>
          <w:color w:val="auto"/>
          <w:highlight w:val="none"/>
          <w:lang w:val="en-US" w:eastAsia="zh-CN"/>
        </w:rPr>
        <w:t>1.谈判评审小组按照得分由高到低的顺序推荐不超过1名中选候选人。经公示无异议后，确定排名第一的中选候选人为中选单位;</w:t>
      </w:r>
    </w:p>
    <w:p>
      <w:pPr>
        <w:keepNext w:val="0"/>
        <w:keepLines w:val="0"/>
        <w:pageBreakBefore w:val="0"/>
        <w:kinsoku/>
        <w:wordWrap/>
        <w:overflowPunct/>
        <w:topLinePunct w:val="0"/>
        <w:bidi w:val="0"/>
        <w:spacing w:line="360" w:lineRule="auto"/>
        <w:ind w:firstLine="420" w:firstLineChars="200"/>
        <w:outlineLvl w:val="9"/>
        <w:rPr>
          <w:rFonts w:hint="eastAsia"/>
          <w:color w:val="auto"/>
          <w:highlight w:val="none"/>
          <w:lang w:val="en-US" w:eastAsia="zh-CN"/>
        </w:rPr>
      </w:pPr>
      <w:r>
        <w:rPr>
          <w:rFonts w:hint="eastAsia"/>
          <w:color w:val="auto"/>
          <w:highlight w:val="none"/>
          <w:lang w:val="en-US" w:eastAsia="zh-CN"/>
        </w:rPr>
        <w:t>2.排名第一的中选候选人中选后放弃中选、因不可抗力不能履行合同，或者被查实存在影响中选结果的违法行为等情形，不符合中选条件的，采购单位可以按照评审小组的评分排序依次递补确定中选单位，也可以重新开展采购活动。</w:t>
      </w:r>
    </w:p>
    <w:p>
      <w:pPr>
        <w:keepNext w:val="0"/>
        <w:keepLines w:val="0"/>
        <w:pageBreakBefore w:val="0"/>
        <w:kinsoku/>
        <w:wordWrap/>
        <w:overflowPunct/>
        <w:topLinePunct w:val="0"/>
        <w:bidi w:val="0"/>
        <w:spacing w:line="360" w:lineRule="auto"/>
        <w:ind w:firstLine="422" w:firstLineChars="200"/>
        <w:outlineLvl w:val="9"/>
        <w:rPr>
          <w:rFonts w:hint="eastAsia" w:ascii="宋体" w:hAnsi="宋体" w:eastAsia="宋体" w:cs="宋体"/>
          <w:b/>
          <w:color w:val="auto"/>
          <w:szCs w:val="21"/>
          <w:highlight w:val="none"/>
          <w:u w:val="none"/>
        </w:rPr>
      </w:pPr>
      <w:r>
        <w:rPr>
          <w:rFonts w:hint="eastAsia" w:ascii="宋体" w:hAnsi="宋体" w:cs="宋体"/>
          <w:b/>
          <w:iCs/>
          <w:color w:val="auto"/>
          <w:szCs w:val="21"/>
          <w:highlight w:val="none"/>
          <w:u w:val="none"/>
          <w:lang w:val="en-US" w:eastAsia="zh-CN"/>
        </w:rPr>
        <w:t>九</w:t>
      </w:r>
      <w:r>
        <w:rPr>
          <w:rFonts w:hint="eastAsia" w:ascii="宋体" w:hAnsi="宋体" w:eastAsia="宋体" w:cs="宋体"/>
          <w:b/>
          <w:iCs/>
          <w:color w:val="auto"/>
          <w:szCs w:val="21"/>
          <w:highlight w:val="none"/>
          <w:u w:val="none"/>
        </w:rPr>
        <w:t>、采购单位及其委托的采购代理机构的名称、地址和联系方法</w:t>
      </w:r>
    </w:p>
    <w:p>
      <w:pPr>
        <w:keepNext w:val="0"/>
        <w:keepLines w:val="0"/>
        <w:pageBreakBefore w:val="0"/>
        <w:kinsoku/>
        <w:wordWrap/>
        <w:overflowPunct/>
        <w:topLinePunct w:val="0"/>
        <w:bidi w:val="0"/>
        <w:adjustRightInd w:val="0"/>
        <w:snapToGrid w:val="0"/>
        <w:spacing w:line="360" w:lineRule="auto"/>
        <w:ind w:firstLine="411" w:firstLineChars="196"/>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采购单位：</w:t>
      </w:r>
      <w:r>
        <w:rPr>
          <w:rFonts w:hint="eastAsia" w:ascii="宋体" w:hAnsi="宋体" w:eastAsia="宋体" w:cs="宋体"/>
          <w:color w:val="auto"/>
          <w:sz w:val="21"/>
          <w:szCs w:val="21"/>
          <w:highlight w:val="none"/>
          <w:u w:val="none"/>
          <w:lang w:eastAsia="zh-CN"/>
        </w:rPr>
        <w:t>长沙市轨道交通运营有限公司</w:t>
      </w:r>
    </w:p>
    <w:p>
      <w:pPr>
        <w:keepNext w:val="0"/>
        <w:keepLines w:val="0"/>
        <w:pageBreakBefore w:val="0"/>
        <w:kinsoku/>
        <w:wordWrap/>
        <w:overflowPunct/>
        <w:topLinePunct w:val="0"/>
        <w:bidi w:val="0"/>
        <w:adjustRightInd w:val="0"/>
        <w:snapToGrid w:val="0"/>
        <w:spacing w:line="360" w:lineRule="auto"/>
        <w:ind w:firstLine="1470" w:firstLineChars="700"/>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长沙市轨道交通一号线建设发展有限公司</w:t>
      </w:r>
    </w:p>
    <w:p>
      <w:pPr>
        <w:keepNext w:val="0"/>
        <w:keepLines w:val="0"/>
        <w:pageBreakBefore w:val="0"/>
        <w:kinsoku/>
        <w:wordWrap/>
        <w:overflowPunct/>
        <w:topLinePunct w:val="0"/>
        <w:bidi w:val="0"/>
        <w:adjustRightInd w:val="0"/>
        <w:snapToGrid w:val="0"/>
        <w:spacing w:line="360" w:lineRule="auto"/>
        <w:ind w:firstLine="1461" w:firstLineChars="696"/>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长沙市轨道交通三号线建设发展有限公司</w:t>
      </w:r>
    </w:p>
    <w:p>
      <w:pPr>
        <w:keepNext w:val="0"/>
        <w:keepLines w:val="0"/>
        <w:pageBreakBefore w:val="0"/>
        <w:kinsoku/>
        <w:wordWrap/>
        <w:overflowPunct/>
        <w:topLinePunct w:val="0"/>
        <w:bidi w:val="0"/>
        <w:adjustRightInd w:val="0"/>
        <w:snapToGrid w:val="0"/>
        <w:spacing w:line="360" w:lineRule="auto"/>
        <w:ind w:firstLine="1461" w:firstLineChars="696"/>
        <w:outlineLvl w:val="9"/>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长沙市轨道交通四号线建设发展有限公司</w:t>
      </w:r>
    </w:p>
    <w:p>
      <w:pPr>
        <w:keepNext w:val="0"/>
        <w:keepLines w:val="0"/>
        <w:pageBreakBefore w:val="0"/>
        <w:kinsoku/>
        <w:wordWrap/>
        <w:overflowPunct/>
        <w:topLinePunct w:val="0"/>
        <w:bidi w:val="0"/>
        <w:adjustRightInd w:val="0"/>
        <w:snapToGrid w:val="0"/>
        <w:spacing w:line="360" w:lineRule="auto"/>
        <w:ind w:firstLine="1470" w:firstLineChars="700"/>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长沙市轨道交通五号线建设发展有限公司</w:t>
      </w:r>
    </w:p>
    <w:p>
      <w:pPr>
        <w:keepNext w:val="0"/>
        <w:keepLines w:val="0"/>
        <w:pageBreakBefore w:val="0"/>
        <w:kinsoku/>
        <w:wordWrap/>
        <w:overflowPunct/>
        <w:topLinePunct w:val="0"/>
        <w:bidi w:val="0"/>
        <w:adjustRightInd w:val="0"/>
        <w:snapToGrid w:val="0"/>
        <w:spacing w:line="360" w:lineRule="auto"/>
        <w:ind w:firstLine="411" w:firstLineChars="196"/>
        <w:outlineLvl w:val="9"/>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地  址：</w:t>
      </w:r>
      <w:r>
        <w:rPr>
          <w:rFonts w:hint="eastAsia" w:ascii="宋体" w:hAnsi="宋体" w:eastAsia="宋体" w:cs="宋体"/>
          <w:color w:val="auto"/>
          <w:sz w:val="21"/>
          <w:szCs w:val="21"/>
          <w:highlight w:val="none"/>
          <w:u w:val="none"/>
        </w:rPr>
        <w:t>长沙市劳动东路二段48号长沙市轨道交通运营有限公司综合楼910室</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联系人：</w:t>
      </w:r>
      <w:r>
        <w:rPr>
          <w:rFonts w:hint="eastAsia" w:ascii="宋体" w:hAnsi="宋体" w:cs="宋体"/>
          <w:bCs/>
          <w:color w:val="auto"/>
          <w:szCs w:val="21"/>
          <w:highlight w:val="none"/>
          <w:u w:val="none"/>
          <w:lang w:val="en-US" w:eastAsia="zh-CN"/>
        </w:rPr>
        <w:t>奉</w:t>
      </w:r>
      <w:r>
        <w:rPr>
          <w:rFonts w:hint="eastAsia" w:ascii="宋体" w:hAnsi="宋体" w:eastAsia="宋体" w:cs="宋体"/>
          <w:bCs/>
          <w:color w:val="auto"/>
          <w:szCs w:val="21"/>
          <w:highlight w:val="none"/>
          <w:u w:val="none"/>
        </w:rPr>
        <w:t>工</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bCs/>
          <w:color w:val="auto"/>
          <w:szCs w:val="21"/>
          <w:highlight w:val="none"/>
          <w:u w:val="none"/>
          <w:lang w:val="en-US" w:eastAsia="zh-CN"/>
        </w:rPr>
      </w:pPr>
      <w:r>
        <w:rPr>
          <w:rFonts w:hint="eastAsia" w:ascii="宋体" w:hAnsi="宋体" w:eastAsia="宋体" w:cs="宋体"/>
          <w:bCs/>
          <w:color w:val="auto"/>
          <w:szCs w:val="21"/>
          <w:highlight w:val="none"/>
          <w:u w:val="none"/>
        </w:rPr>
        <w:t>电  话：</w:t>
      </w:r>
      <w:r>
        <w:rPr>
          <w:rFonts w:hint="eastAsia" w:ascii="宋体" w:hAnsi="宋体" w:eastAsia="宋体" w:cs="宋体"/>
          <w:color w:val="auto"/>
          <w:szCs w:val="21"/>
          <w:highlight w:val="none"/>
          <w:u w:val="none"/>
        </w:rPr>
        <w:t>0731-86852373</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color w:val="auto"/>
          <w:szCs w:val="21"/>
          <w:highlight w:val="none"/>
          <w:u w:val="none"/>
          <w:lang w:val="en-US" w:eastAsia="zh-CN"/>
        </w:rPr>
      </w:pPr>
      <w:r>
        <w:rPr>
          <w:rFonts w:hint="eastAsia" w:ascii="宋体" w:hAnsi="宋体" w:eastAsia="宋体" w:cs="宋体"/>
          <w:bCs/>
          <w:color w:val="auto"/>
          <w:szCs w:val="21"/>
          <w:highlight w:val="none"/>
          <w:u w:val="none"/>
        </w:rPr>
        <w:t>监督举报电话：</w:t>
      </w:r>
      <w:r>
        <w:rPr>
          <w:rFonts w:hint="eastAsia" w:ascii="宋体" w:hAnsi="宋体" w:eastAsia="宋体" w:cs="宋体"/>
          <w:color w:val="auto"/>
          <w:szCs w:val="21"/>
          <w:highlight w:val="none"/>
          <w:u w:val="none"/>
        </w:rPr>
        <w:t>0731-8685224</w:t>
      </w:r>
      <w:r>
        <w:rPr>
          <w:rFonts w:hint="eastAsia" w:ascii="宋体" w:hAnsi="宋体" w:eastAsia="宋体" w:cs="宋体"/>
          <w:color w:val="auto"/>
          <w:szCs w:val="21"/>
          <w:highlight w:val="none"/>
          <w:u w:val="none"/>
          <w:lang w:val="en-US" w:eastAsia="zh-CN"/>
        </w:rPr>
        <w:t>7</w:t>
      </w:r>
    </w:p>
    <w:p>
      <w:pPr>
        <w:keepNext w:val="0"/>
        <w:keepLines w:val="0"/>
        <w:pageBreakBefore w:val="0"/>
        <w:kinsoku/>
        <w:wordWrap/>
        <w:overflowPunct/>
        <w:topLinePunct w:val="0"/>
        <w:bidi w:val="0"/>
        <w:adjustRightInd w:val="0"/>
        <w:snapToGrid w:val="0"/>
        <w:spacing w:line="360" w:lineRule="auto"/>
        <w:ind w:firstLine="420" w:firstLineChars="200"/>
        <w:outlineLvl w:val="9"/>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联系人：文工</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采购代理机构：</w:t>
      </w:r>
      <w:r>
        <w:rPr>
          <w:rFonts w:hint="eastAsia" w:ascii="宋体" w:hAnsi="宋体" w:cs="宋体"/>
          <w:b w:val="0"/>
          <w:bCs w:val="0"/>
          <w:iCs/>
          <w:color w:val="auto"/>
          <w:szCs w:val="21"/>
          <w:highlight w:val="none"/>
          <w:u w:val="none"/>
          <w:lang w:eastAsia="zh-CN"/>
        </w:rPr>
        <w:t>智埔国际建设集团有限公司</w:t>
      </w:r>
    </w:p>
    <w:p>
      <w:pPr>
        <w:keepNext w:val="0"/>
        <w:keepLines w:val="0"/>
        <w:pageBreakBefore w:val="0"/>
        <w:kinsoku/>
        <w:wordWrap/>
        <w:overflowPunct/>
        <w:topLinePunct w:val="0"/>
        <w:bidi w:val="0"/>
        <w:spacing w:line="360" w:lineRule="auto"/>
        <w:ind w:firstLine="420" w:firstLineChars="200"/>
        <w:outlineLvl w:val="9"/>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u w:val="none"/>
        </w:rPr>
        <w:t>0731-</w:t>
      </w:r>
      <w:r>
        <w:rPr>
          <w:rFonts w:hint="eastAsia" w:ascii="宋体" w:hAnsi="宋体" w:cs="宋体"/>
          <w:color w:val="auto"/>
          <w:szCs w:val="21"/>
          <w:highlight w:val="none"/>
          <w:u w:val="none"/>
          <w:lang w:val="en-US" w:eastAsia="zh-CN"/>
        </w:rPr>
        <w:t xml:space="preserve">89670268         </w:t>
      </w:r>
    </w:p>
    <w:p>
      <w:pPr>
        <w:keepNext w:val="0"/>
        <w:keepLines w:val="0"/>
        <w:pageBreakBefore w:val="0"/>
        <w:kinsoku/>
        <w:wordWrap/>
        <w:overflowPunct/>
        <w:topLinePunct w:val="0"/>
        <w:bidi w:val="0"/>
        <w:spacing w:line="360" w:lineRule="auto"/>
        <w:ind w:firstLine="420" w:firstLineChars="200"/>
        <w:outlineLvl w:val="9"/>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联系人：</w:t>
      </w:r>
      <w:r>
        <w:rPr>
          <w:rFonts w:hint="eastAsia" w:ascii="宋体" w:hAnsi="宋体" w:cs="宋体"/>
          <w:color w:val="auto"/>
          <w:szCs w:val="21"/>
          <w:highlight w:val="none"/>
          <w:u w:val="none"/>
          <w:lang w:eastAsia="zh-CN"/>
        </w:rPr>
        <w:t>李工</w:t>
      </w:r>
      <w:r>
        <w:rPr>
          <w:rFonts w:hint="eastAsia" w:ascii="宋体" w:hAnsi="宋体" w:cs="宋体"/>
          <w:color w:val="auto"/>
          <w:szCs w:val="21"/>
          <w:highlight w:val="none"/>
          <w:u w:val="none"/>
          <w:lang w:val="en-US" w:eastAsia="zh-CN"/>
        </w:rPr>
        <w:t xml:space="preserve">         </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cs="宋体"/>
          <w:color w:val="auto"/>
          <w:szCs w:val="21"/>
          <w:highlight w:val="none"/>
          <w:u w:val="none"/>
          <w:lang w:val="en-US" w:eastAsia="zh-CN"/>
        </w:rPr>
      </w:pPr>
      <w:r>
        <w:rPr>
          <w:rFonts w:hint="eastAsia" w:ascii="宋体" w:hAnsi="宋体" w:eastAsia="宋体" w:cs="宋体"/>
          <w:color w:val="auto"/>
          <w:szCs w:val="21"/>
          <w:highlight w:val="none"/>
          <w:u w:val="none"/>
        </w:rPr>
        <w:t>地址：</w:t>
      </w:r>
      <w:r>
        <w:rPr>
          <w:rFonts w:hint="eastAsia" w:ascii="宋体" w:hAnsi="宋体" w:cs="宋体"/>
          <w:color w:val="auto"/>
          <w:szCs w:val="21"/>
          <w:highlight w:val="none"/>
          <w:u w:val="none"/>
          <w:lang w:eastAsia="zh-CN"/>
        </w:rPr>
        <w:t>长沙市岳麓区文轩路</w:t>
      </w:r>
      <w:r>
        <w:rPr>
          <w:rFonts w:hint="eastAsia" w:ascii="宋体" w:hAnsi="宋体" w:cs="宋体"/>
          <w:color w:val="auto"/>
          <w:szCs w:val="21"/>
          <w:highlight w:val="none"/>
          <w:u w:val="none"/>
          <w:lang w:val="en-US" w:eastAsia="zh-CN"/>
        </w:rPr>
        <w:t xml:space="preserve">27号麓谷企业广场B5栋5楼       </w:t>
      </w:r>
    </w:p>
    <w:p>
      <w:pPr>
        <w:pStyle w:val="2"/>
        <w:rPr>
          <w:rFonts w:hint="eastAsia"/>
          <w:color w:val="auto"/>
          <w:highlight w:val="none"/>
          <w:lang w:val="en-US" w:eastAsia="zh-CN"/>
        </w:rPr>
      </w:pPr>
    </w:p>
    <w:p>
      <w:pPr>
        <w:keepNext w:val="0"/>
        <w:keepLines w:val="0"/>
        <w:pageBreakBefore w:val="0"/>
        <w:kinsoku/>
        <w:wordWrap/>
        <w:overflowPunct/>
        <w:topLinePunct w:val="0"/>
        <w:autoSpaceDE/>
        <w:autoSpaceDN/>
        <w:bidi w:val="0"/>
        <w:adjustRightInd w:val="0"/>
        <w:snapToGrid w:val="0"/>
        <w:spacing w:line="360" w:lineRule="auto"/>
        <w:ind w:left="0" w:leftChars="0" w:firstLine="4401" w:firstLineChars="2096"/>
        <w:jc w:val="center"/>
        <w:textAlignment w:val="auto"/>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20</w:t>
      </w:r>
      <w:r>
        <w:rPr>
          <w:rFonts w:hint="eastAsia" w:ascii="宋体" w:hAnsi="宋体" w:cs="宋体"/>
          <w:color w:val="auto"/>
          <w:szCs w:val="21"/>
          <w:highlight w:val="none"/>
          <w:u w:val="none"/>
          <w:lang w:val="en-US" w:eastAsia="zh-CN"/>
        </w:rPr>
        <w:t>22</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7月5日</w:t>
      </w:r>
    </w:p>
    <w:p>
      <w:pPr>
        <w:pStyle w:val="2"/>
        <w:rPr>
          <w:rFonts w:hint="eastAsia" w:ascii="宋体" w:hAnsi="宋体" w:eastAsia="宋体" w:cs="宋体"/>
          <w:color w:val="auto"/>
          <w:szCs w:val="21"/>
          <w:highlight w:val="none"/>
          <w:u w:val="none"/>
          <w:lang w:val="en-US" w:eastAsia="zh-CN"/>
        </w:rPr>
      </w:pPr>
    </w:p>
    <w:p>
      <w:pPr>
        <w:rPr>
          <w:rFonts w:hint="eastAsia"/>
          <w:color w:val="auto"/>
          <w:highlight w:val="none"/>
          <w:lang w:val="en-US" w:eastAsia="zh-CN"/>
        </w:rPr>
      </w:pPr>
    </w:p>
    <w:p>
      <w:pPr>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附表：</w:t>
      </w:r>
    </w:p>
    <w:p>
      <w:pPr>
        <w:rPr>
          <w:rFonts w:hint="eastAsia" w:hAnsi="宋体" w:cs="宋体"/>
          <w:color w:val="auto"/>
          <w:sz w:val="21"/>
          <w:szCs w:val="21"/>
          <w:highlight w:val="none"/>
          <w:lang w:val="en-US" w:eastAsia="zh-CN"/>
        </w:rPr>
      </w:pPr>
    </w:p>
    <w:p>
      <w:pPr>
        <w:pStyle w:val="2"/>
        <w:rPr>
          <w:rFonts w:hint="eastAsia"/>
          <w:color w:val="auto"/>
          <w:highlight w:val="none"/>
          <w:lang w:val="en-US" w:eastAsia="zh-CN"/>
        </w:rPr>
      </w:pPr>
    </w:p>
    <w:p>
      <w:pPr>
        <w:widowControl/>
        <w:jc w:val="center"/>
        <w:textAlignment w:val="center"/>
        <w:rPr>
          <w:rFonts w:hint="eastAsia" w:ascii="宋体" w:hAnsi="宋体"/>
          <w:b/>
          <w:bCs/>
          <w:color w:val="auto"/>
          <w:kern w:val="0"/>
          <w:sz w:val="21"/>
          <w:szCs w:val="21"/>
          <w:highlight w:val="none"/>
          <w:lang w:val="en-US" w:eastAsia="zh-CN"/>
        </w:rPr>
      </w:pPr>
      <w:r>
        <w:rPr>
          <w:rFonts w:hint="eastAsia" w:ascii="宋体" w:hAnsi="宋体"/>
          <w:b/>
          <w:bCs/>
          <w:color w:val="auto"/>
          <w:kern w:val="0"/>
          <w:sz w:val="21"/>
          <w:szCs w:val="21"/>
          <w:highlight w:val="none"/>
        </w:rPr>
        <w:t>人员配备要求</w:t>
      </w:r>
      <w:r>
        <w:rPr>
          <w:rFonts w:hint="eastAsia" w:ascii="宋体" w:hAnsi="宋体"/>
          <w:b/>
          <w:bCs/>
          <w:color w:val="auto"/>
          <w:kern w:val="0"/>
          <w:sz w:val="21"/>
          <w:szCs w:val="21"/>
          <w:highlight w:val="none"/>
          <w:lang w:val="en-US" w:eastAsia="zh-CN"/>
        </w:rPr>
        <w:t>表</w:t>
      </w:r>
    </w:p>
    <w:p>
      <w:pPr>
        <w:pStyle w:val="2"/>
        <w:rPr>
          <w:rFonts w:hint="eastAsia"/>
          <w:color w:val="auto"/>
          <w:highlight w:val="none"/>
          <w:lang w:val="en-US" w:eastAsia="zh-CN"/>
        </w:rPr>
      </w:pPr>
    </w:p>
    <w:tbl>
      <w:tblPr>
        <w:tblStyle w:val="47"/>
        <w:tblW w:w="8898" w:type="dxa"/>
        <w:tblInd w:w="-2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838"/>
        <w:gridCol w:w="1809"/>
        <w:gridCol w:w="52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5" w:hRule="atLeast"/>
        </w:trPr>
        <w:tc>
          <w:tcPr>
            <w:tcW w:w="1838" w:type="dxa"/>
            <w:tcBorders>
              <w:top w:val="single" w:color="auto" w:sz="12" w:space="0"/>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b/>
                <w:bCs/>
                <w:color w:val="auto"/>
                <w:sz w:val="21"/>
                <w:szCs w:val="21"/>
                <w:highlight w:val="none"/>
              </w:rPr>
            </w:pPr>
            <w:r>
              <w:rPr>
                <w:rFonts w:hint="eastAsia" w:ascii="宋体" w:hAnsi="宋体"/>
                <w:b/>
                <w:bCs/>
                <w:color w:val="auto"/>
                <w:kern w:val="0"/>
                <w:sz w:val="21"/>
                <w:szCs w:val="21"/>
                <w:highlight w:val="none"/>
              </w:rPr>
              <w:t>岗位名称</w:t>
            </w:r>
          </w:p>
        </w:tc>
        <w:tc>
          <w:tcPr>
            <w:tcW w:w="1809" w:type="dxa"/>
            <w:tcBorders>
              <w:top w:val="single" w:color="auto" w:sz="12" w:space="0"/>
              <w:left w:val="nil"/>
              <w:bottom w:val="single" w:color="auto" w:sz="4" w:space="0"/>
              <w:right w:val="single" w:color="auto" w:sz="4" w:space="0"/>
            </w:tcBorders>
            <w:noWrap w:val="0"/>
            <w:tcMar>
              <w:top w:w="15" w:type="dxa"/>
              <w:left w:w="15" w:type="dxa"/>
              <w:bottom w:w="0" w:type="dxa"/>
              <w:right w:w="15" w:type="dxa"/>
            </w:tcMar>
            <w:vAlign w:val="center"/>
          </w:tcPr>
          <w:p>
            <w:pPr>
              <w:widowControl/>
              <w:jc w:val="center"/>
              <w:textAlignment w:val="center"/>
              <w:rPr>
                <w:rFonts w:ascii="宋体" w:hAnsi="宋体"/>
                <w:b/>
                <w:bCs/>
                <w:color w:val="auto"/>
                <w:sz w:val="21"/>
                <w:szCs w:val="21"/>
                <w:highlight w:val="none"/>
              </w:rPr>
            </w:pPr>
            <w:r>
              <w:rPr>
                <w:rFonts w:hint="eastAsia" w:ascii="宋体" w:hAnsi="宋体"/>
                <w:b/>
                <w:bCs/>
                <w:color w:val="auto"/>
                <w:kern w:val="0"/>
                <w:sz w:val="21"/>
                <w:szCs w:val="21"/>
                <w:highlight w:val="none"/>
              </w:rPr>
              <w:t>配备数量</w:t>
            </w:r>
          </w:p>
        </w:tc>
        <w:tc>
          <w:tcPr>
            <w:tcW w:w="5251" w:type="dxa"/>
            <w:tcBorders>
              <w:top w:val="single" w:color="auto" w:sz="12" w:space="0"/>
              <w:left w:val="nil"/>
              <w:bottom w:val="single" w:color="auto" w:sz="4" w:space="0"/>
              <w:right w:val="single" w:color="auto" w:sz="12" w:space="0"/>
            </w:tcBorders>
            <w:noWrap w:val="0"/>
            <w:tcMar>
              <w:top w:w="15" w:type="dxa"/>
              <w:left w:w="15" w:type="dxa"/>
              <w:bottom w:w="0" w:type="dxa"/>
              <w:right w:w="15" w:type="dxa"/>
            </w:tcMar>
            <w:vAlign w:val="center"/>
          </w:tcPr>
          <w:p>
            <w:pPr>
              <w:widowControl/>
              <w:jc w:val="center"/>
              <w:textAlignment w:val="center"/>
              <w:rPr>
                <w:rFonts w:ascii="宋体" w:hAnsi="宋体"/>
                <w:b/>
                <w:bCs/>
                <w:color w:val="auto"/>
                <w:sz w:val="21"/>
                <w:szCs w:val="21"/>
                <w:highlight w:val="none"/>
              </w:rPr>
            </w:pPr>
            <w:r>
              <w:rPr>
                <w:rFonts w:hint="eastAsia" w:ascii="宋体" w:hAnsi="宋体"/>
                <w:b/>
                <w:bCs/>
                <w:color w:val="auto"/>
                <w:kern w:val="0"/>
                <w:sz w:val="21"/>
                <w:szCs w:val="21"/>
                <w:highlight w:val="none"/>
              </w:rPr>
              <w:t>配备要求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29" w:hRule="atLeast"/>
        </w:trPr>
        <w:tc>
          <w:tcPr>
            <w:tcW w:w="1838" w:type="dxa"/>
            <w:tcBorders>
              <w:top w:val="single" w:color="auto" w:sz="4" w:space="0"/>
              <w:left w:val="single" w:color="auto" w:sz="12" w:space="0"/>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技术负责人</w:t>
            </w:r>
          </w:p>
        </w:tc>
        <w:tc>
          <w:tcPr>
            <w:tcW w:w="180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1人</w:t>
            </w:r>
          </w:p>
        </w:tc>
        <w:tc>
          <w:tcPr>
            <w:tcW w:w="5251" w:type="dxa"/>
            <w:tcBorders>
              <w:top w:val="single" w:color="auto" w:sz="4" w:space="0"/>
              <w:left w:val="nil"/>
              <w:bottom w:val="single" w:color="auto" w:sz="4" w:space="0"/>
              <w:right w:val="single" w:color="auto" w:sz="12" w:space="0"/>
            </w:tcBorders>
            <w:noWrap w:val="0"/>
            <w:tcMar>
              <w:top w:w="15" w:type="dxa"/>
              <w:left w:w="15" w:type="dxa"/>
              <w:bottom w:w="0" w:type="dxa"/>
              <w:right w:w="15" w:type="dxa"/>
            </w:tcMar>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具有计量相关专业中级及以上职称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38" w:type="dxa"/>
            <w:tcBorders>
              <w:top w:val="single" w:color="auto" w:sz="4" w:space="0"/>
              <w:left w:val="single" w:color="auto" w:sz="12" w:space="0"/>
              <w:bottom w:val="single" w:color="auto" w:sz="12" w:space="0"/>
              <w:right w:val="single" w:color="auto" w:sz="4" w:space="0"/>
            </w:tcBorders>
            <w:noWrap w:val="0"/>
            <w:tcMar>
              <w:top w:w="15" w:type="dxa"/>
              <w:left w:w="15" w:type="dxa"/>
              <w:bottom w:w="0" w:type="dxa"/>
              <w:right w:w="15" w:type="dxa"/>
            </w:tcMar>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项目负责人</w:t>
            </w:r>
          </w:p>
        </w:tc>
        <w:tc>
          <w:tcPr>
            <w:tcW w:w="1809" w:type="dxa"/>
            <w:tcBorders>
              <w:top w:val="single" w:color="auto" w:sz="4" w:space="0"/>
              <w:left w:val="nil"/>
              <w:bottom w:val="single" w:color="auto" w:sz="12" w:space="0"/>
              <w:right w:val="single" w:color="auto" w:sz="4" w:space="0"/>
            </w:tcBorders>
            <w:noWrap w:val="0"/>
            <w:tcMar>
              <w:top w:w="15" w:type="dxa"/>
              <w:left w:w="15" w:type="dxa"/>
              <w:bottom w:w="0" w:type="dxa"/>
              <w:right w:w="15" w:type="dxa"/>
            </w:tcMar>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1人</w:t>
            </w:r>
          </w:p>
        </w:tc>
        <w:tc>
          <w:tcPr>
            <w:tcW w:w="5251" w:type="dxa"/>
            <w:tcBorders>
              <w:top w:val="single" w:color="auto" w:sz="4" w:space="0"/>
              <w:left w:val="nil"/>
              <w:bottom w:val="single" w:color="auto" w:sz="12" w:space="0"/>
              <w:right w:val="single" w:color="auto" w:sz="12" w:space="0"/>
            </w:tcBorders>
            <w:noWrap w:val="0"/>
            <w:tcMar>
              <w:top w:w="15" w:type="dxa"/>
              <w:left w:w="15" w:type="dxa"/>
              <w:bottom w:w="0" w:type="dxa"/>
              <w:right w:w="15" w:type="dxa"/>
            </w:tcMar>
            <w:vAlign w:val="center"/>
          </w:tcPr>
          <w:p>
            <w:pPr>
              <w:jc w:val="center"/>
              <w:rPr>
                <w:rFonts w:hint="eastAsia" w:ascii="宋体" w:hAnsi="宋体"/>
                <w:color w:val="auto"/>
                <w:sz w:val="21"/>
                <w:szCs w:val="21"/>
                <w:highlight w:val="none"/>
              </w:rPr>
            </w:pPr>
            <w:r>
              <w:rPr>
                <w:rFonts w:hint="eastAsia" w:ascii="宋体" w:hAnsi="宋体"/>
                <w:color w:val="auto"/>
                <w:sz w:val="21"/>
                <w:szCs w:val="21"/>
                <w:highlight w:val="none"/>
              </w:rPr>
              <w:t>具有计量相关专业初级及以上职称</w:t>
            </w:r>
          </w:p>
        </w:tc>
      </w:tr>
    </w:tbl>
    <w:p>
      <w:pPr>
        <w:pStyle w:val="2"/>
        <w:rPr>
          <w:rFonts w:hint="eastAsia"/>
          <w:color w:val="auto"/>
          <w:highlight w:val="none"/>
        </w:rPr>
      </w:pPr>
    </w:p>
    <w:p>
      <w:pPr>
        <w:rPr>
          <w:rFonts w:hint="eastAsia"/>
          <w:color w:val="auto"/>
          <w:highlight w:val="none"/>
        </w:rPr>
        <w:sectPr>
          <w:footerReference r:id="rId5"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r>
        <w:rPr>
          <w:rFonts w:ascii="黑体" w:hAnsi="黑体" w:eastAsia="黑体"/>
          <w:b w:val="0"/>
          <w:bCs w:val="0"/>
          <w:color w:val="auto"/>
          <w:sz w:val="32"/>
          <w:szCs w:val="32"/>
          <w:highlight w:val="none"/>
        </w:rPr>
        <w:br w:type="page"/>
      </w:r>
    </w:p>
    <w:p>
      <w:pPr>
        <w:pStyle w:val="3"/>
        <w:keepNext w:val="0"/>
        <w:spacing w:after="240"/>
        <w:rPr>
          <w:rFonts w:ascii="黑体" w:hAnsi="黑体" w:eastAsia="黑体"/>
          <w:bCs w:val="0"/>
          <w:color w:val="auto"/>
          <w:sz w:val="32"/>
          <w:szCs w:val="32"/>
          <w:highlight w:val="none"/>
        </w:rPr>
      </w:pPr>
      <w:bookmarkStart w:id="8" w:name="_Toc6467"/>
      <w:bookmarkStart w:id="9" w:name="_Toc5145"/>
      <w:bookmarkStart w:id="10" w:name="_Toc14891065"/>
      <w:bookmarkStart w:id="11" w:name="_Toc6753"/>
      <w:bookmarkStart w:id="12" w:name="_Toc8914"/>
      <w:r>
        <w:rPr>
          <w:rFonts w:hint="eastAsia" w:ascii="宋体" w:hAnsi="宋体" w:eastAsia="宋体" w:cs="宋体"/>
          <w:bCs w:val="0"/>
          <w:color w:val="auto"/>
          <w:sz w:val="32"/>
          <w:szCs w:val="32"/>
          <w:highlight w:val="none"/>
        </w:rPr>
        <w:t xml:space="preserve">第二章 </w:t>
      </w:r>
      <w:r>
        <w:rPr>
          <w:rFonts w:hint="eastAsia" w:ascii="宋体" w:hAnsi="宋体" w:cs="宋体"/>
          <w:bCs w:val="0"/>
          <w:color w:val="auto"/>
          <w:sz w:val="32"/>
          <w:szCs w:val="32"/>
          <w:highlight w:val="none"/>
          <w:lang w:val="en-US" w:eastAsia="zh-CN"/>
        </w:rPr>
        <w:t xml:space="preserve"> </w:t>
      </w:r>
      <w:r>
        <w:rPr>
          <w:rFonts w:hint="eastAsia" w:ascii="宋体" w:hAnsi="宋体" w:eastAsia="宋体" w:cs="宋体"/>
          <w:bCs w:val="0"/>
          <w:color w:val="auto"/>
          <w:sz w:val="32"/>
          <w:szCs w:val="32"/>
          <w:highlight w:val="none"/>
        </w:rPr>
        <w:t>谈判须知</w:t>
      </w:r>
      <w:bookmarkEnd w:id="8"/>
      <w:bookmarkEnd w:id="9"/>
      <w:bookmarkEnd w:id="10"/>
      <w:bookmarkEnd w:id="11"/>
      <w:bookmarkEnd w:id="12"/>
    </w:p>
    <w:p>
      <w:pPr>
        <w:pStyle w:val="4"/>
        <w:keepNext w:val="0"/>
        <w:keepLines w:val="0"/>
        <w:jc w:val="center"/>
        <w:rPr>
          <w:rFonts w:hint="eastAsia" w:ascii="宋体" w:hAnsi="宋体" w:eastAsia="宋体" w:cs="宋体"/>
          <w:color w:val="auto"/>
          <w:sz w:val="32"/>
          <w:szCs w:val="32"/>
          <w:highlight w:val="none"/>
        </w:rPr>
      </w:pPr>
      <w:bookmarkStart w:id="13" w:name="_Toc15736"/>
      <w:bookmarkStart w:id="14" w:name="_Toc6617"/>
      <w:bookmarkStart w:id="15" w:name="_Toc5430"/>
      <w:bookmarkStart w:id="16" w:name="_Toc14891066"/>
      <w:bookmarkStart w:id="17" w:name="_Toc9591"/>
      <w:r>
        <w:rPr>
          <w:rFonts w:hint="eastAsia" w:ascii="宋体" w:hAnsi="宋体" w:eastAsia="宋体" w:cs="宋体"/>
          <w:color w:val="auto"/>
          <w:sz w:val="32"/>
          <w:szCs w:val="32"/>
          <w:highlight w:val="none"/>
        </w:rPr>
        <w:t>谈判须知前附表</w:t>
      </w:r>
      <w:bookmarkEnd w:id="13"/>
      <w:bookmarkEnd w:id="14"/>
      <w:bookmarkEnd w:id="15"/>
      <w:bookmarkEnd w:id="16"/>
      <w:bookmarkEnd w:id="17"/>
    </w:p>
    <w:tbl>
      <w:tblPr>
        <w:tblStyle w:val="47"/>
        <w:tblW w:w="96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3"/>
        <w:gridCol w:w="7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名  称</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采购项目</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cs="宋体"/>
                <w:iCs/>
                <w:color w:val="auto"/>
                <w:szCs w:val="21"/>
                <w:highlight w:val="none"/>
                <w:u w:val="none"/>
                <w:lang w:eastAsia="zh-CN"/>
              </w:rPr>
              <w:t>长沙市轨道交通1、2、3、4、5号线运营期2022年-2023年计量器具及化验委外检测服务项目（</w:t>
            </w:r>
            <w:r>
              <w:rPr>
                <w:rFonts w:hint="eastAsia" w:ascii="宋体" w:hAnsi="宋体" w:cs="宋体"/>
                <w:iCs/>
                <w:color w:val="auto"/>
                <w:szCs w:val="21"/>
                <w:highlight w:val="none"/>
                <w:u w:val="none"/>
                <w:lang w:val="en-US" w:eastAsia="zh-CN"/>
              </w:rPr>
              <w:t>第二次</w:t>
            </w:r>
            <w:r>
              <w:rPr>
                <w:rFonts w:hint="eastAsia" w:ascii="宋体" w:hAnsi="宋体" w:cs="宋体"/>
                <w:iCs/>
                <w:color w:val="auto"/>
                <w:szCs w:val="21"/>
                <w:highlight w:val="none"/>
                <w:u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采购单位</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iCs/>
                <w:color w:val="auto"/>
                <w:sz w:val="21"/>
                <w:szCs w:val="21"/>
                <w:highlight w:val="none"/>
                <w:lang w:eastAsia="zh-CN"/>
              </w:rPr>
            </w:pPr>
            <w:r>
              <w:rPr>
                <w:rFonts w:hint="eastAsia" w:ascii="宋体" w:hAnsi="宋体" w:cs="宋体"/>
                <w:iCs/>
                <w:color w:val="auto"/>
                <w:sz w:val="21"/>
                <w:szCs w:val="21"/>
                <w:highlight w:val="none"/>
                <w:lang w:eastAsia="zh-CN"/>
              </w:rPr>
              <w:t>长沙市轨道交通运营有限公司</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iCs/>
                <w:color w:val="auto"/>
                <w:sz w:val="21"/>
                <w:szCs w:val="21"/>
                <w:highlight w:val="none"/>
                <w:lang w:eastAsia="zh-CN"/>
              </w:rPr>
            </w:pPr>
            <w:r>
              <w:rPr>
                <w:rFonts w:hint="eastAsia" w:ascii="宋体" w:hAnsi="宋体" w:cs="宋体"/>
                <w:iCs/>
                <w:color w:val="auto"/>
                <w:sz w:val="21"/>
                <w:szCs w:val="21"/>
                <w:highlight w:val="none"/>
                <w:lang w:eastAsia="zh-CN"/>
              </w:rPr>
              <w:t>长沙市轨道交通一号线建设发展有限公司</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iCs/>
                <w:color w:val="auto"/>
                <w:sz w:val="21"/>
                <w:szCs w:val="21"/>
                <w:highlight w:val="none"/>
                <w:lang w:eastAsia="zh-CN"/>
              </w:rPr>
            </w:pPr>
            <w:r>
              <w:rPr>
                <w:rFonts w:hint="eastAsia" w:ascii="宋体" w:hAnsi="宋体" w:cs="宋体"/>
                <w:iCs/>
                <w:color w:val="auto"/>
                <w:sz w:val="21"/>
                <w:szCs w:val="21"/>
                <w:highlight w:val="none"/>
                <w:lang w:eastAsia="zh-CN"/>
              </w:rPr>
              <w:t>长沙市轨道交通三号线建设发展有限公司</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cs="宋体"/>
                <w:iCs/>
                <w:color w:val="auto"/>
                <w:sz w:val="21"/>
                <w:szCs w:val="21"/>
                <w:highlight w:val="none"/>
                <w:lang w:eastAsia="zh-CN"/>
              </w:rPr>
            </w:pPr>
            <w:r>
              <w:rPr>
                <w:rFonts w:hint="eastAsia" w:ascii="宋体" w:hAnsi="宋体" w:cs="宋体"/>
                <w:iCs/>
                <w:color w:val="auto"/>
                <w:sz w:val="21"/>
                <w:szCs w:val="21"/>
                <w:highlight w:val="none"/>
                <w:lang w:eastAsia="zh-CN"/>
              </w:rPr>
              <w:t>长沙市轨道交通四号线建设发展有限公司</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color w:val="auto"/>
                <w:sz w:val="21"/>
                <w:szCs w:val="21"/>
                <w:highlight w:val="none"/>
                <w:lang w:eastAsia="zh-CN"/>
              </w:rPr>
            </w:pPr>
            <w:r>
              <w:rPr>
                <w:rFonts w:hint="eastAsia" w:ascii="宋体" w:hAnsi="宋体" w:cs="宋体"/>
                <w:iCs/>
                <w:color w:val="auto"/>
                <w:sz w:val="21"/>
                <w:szCs w:val="21"/>
                <w:highlight w:val="none"/>
                <w:lang w:eastAsia="zh-CN"/>
              </w:rPr>
              <w:t>长沙市轨道交通五号线建设发展有限公司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采购代理机构</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lang w:eastAsia="zh-CN"/>
              </w:rPr>
              <w:t>智埔国际建设集团有限公司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1"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谈判</w:t>
            </w:r>
            <w:r>
              <w:rPr>
                <w:rFonts w:hint="eastAsia" w:ascii="宋体" w:hAnsi="宋体" w:cs="宋体"/>
                <w:b/>
                <w:color w:val="auto"/>
                <w:sz w:val="21"/>
                <w:szCs w:val="21"/>
                <w:highlight w:val="none"/>
                <w:lang w:eastAsia="zh-CN"/>
              </w:rPr>
              <w:t>最高限价</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color w:val="auto"/>
                <w:sz w:val="21"/>
                <w:szCs w:val="21"/>
                <w:highlight w:val="none"/>
                <w:lang w:eastAsia="zh-CN"/>
              </w:rPr>
            </w:pPr>
            <w:r>
              <w:rPr>
                <w:rFonts w:hint="eastAsia" w:hAnsi="宋体" w:cs="宋体"/>
                <w:iCs/>
                <w:color w:val="auto"/>
                <w:szCs w:val="21"/>
                <w:highlight w:val="none"/>
                <w:u w:val="none"/>
                <w:lang w:val="en-US" w:eastAsia="zh-CN"/>
              </w:rPr>
              <w:t>338158.46元</w:t>
            </w:r>
            <w:r>
              <w:rPr>
                <w:rFonts w:hint="eastAsia" w:ascii="宋体" w:hAnsi="宋体" w:cs="宋体"/>
                <w:color w:val="auto"/>
                <w:sz w:val="21"/>
                <w:szCs w:val="21"/>
                <w:highlight w:val="none"/>
                <w:lang w:eastAsia="zh-CN"/>
              </w:rPr>
              <w:t>，不超过谈判最高限价的谈判报价为有效报价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3"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评审办法</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color w:val="auto"/>
                <w:sz w:val="21"/>
                <w:szCs w:val="21"/>
                <w:highlight w:val="none"/>
                <w:lang w:eastAsia="zh-CN"/>
              </w:rPr>
            </w:pPr>
            <w:r>
              <w:rPr>
                <w:rFonts w:hint="eastAsia" w:ascii="宋体" w:hAnsi="宋体" w:eastAsia="宋体" w:cs="宋体"/>
                <w:bCs/>
                <w:color w:val="auto"/>
                <w:sz w:val="21"/>
                <w:szCs w:val="21"/>
                <w:highlight w:val="none"/>
                <w:lang w:val="en-US" w:eastAsia="zh-CN"/>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6"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资格要求</w:t>
            </w:r>
          </w:p>
        </w:tc>
        <w:tc>
          <w:tcPr>
            <w:tcW w:w="770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谈判单位</w:t>
            </w:r>
            <w:r>
              <w:rPr>
                <w:rFonts w:hint="eastAsia" w:ascii="宋体" w:hAnsi="宋体" w:eastAsia="宋体" w:cs="宋体"/>
                <w:color w:val="auto"/>
                <w:sz w:val="21"/>
                <w:szCs w:val="21"/>
                <w:highlight w:val="none"/>
                <w:u w:val="none"/>
              </w:rPr>
              <w:t>须为具有独立法人资格、自主经营、独立核算的公司。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2.谈判单位须具有中国合格评定国家认可委员会颁发的检测或校准实验室认可资质（CNAS资质），且其证书附表中的自检范围须占本项目检测清单总项目比重（自检率）的60%（不含）以上。检测清单具体详见第六章响应文件附件《长沙市轨道交通1、2、3、4、5号线运营期2022年-2023年计量器具及化验委外检测清单评审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3.谈判单位在本项目谈判截止之日前36个月内须具有计量器具检测服务业绩。不接受联合体业绩、港澳台或境外业绩。</w:t>
            </w:r>
            <w:bookmarkStart w:id="183" w:name="_GoBack"/>
            <w:bookmarkEnd w:id="183"/>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业绩证明材料以同时提供的合同原件扫描件和发票（开票金额不少于合同金额的10%）原件扫描件为准（均须加盖投标人单位公章），业绩金额以合同中金额为准，时间以合同中采购单位的签字时间为准。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4.谈判单位拟投入本项目的项目服务人员须满足最低配备要求，详见谈判邀请公告附表《项目人员最低配备要求表》。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5.本次谈判不接受联合体形式参与谈判。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ascii="宋体" w:hAnsi="宋体" w:cs="宋体"/>
                <w:color w:val="auto"/>
                <w:sz w:val="21"/>
                <w:szCs w:val="21"/>
                <w:highlight w:val="none"/>
                <w:u w:val="none"/>
                <w:lang w:val="en-US" w:eastAsia="zh-CN"/>
              </w:rPr>
              <w:t>6.被长沙市轨道交通集团有限公司及长沙市轨道交通运营有限公司函告禁止在一定期限内参与投标的单位按函告内容执行。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谈判答疑文件递交截止时间</w:t>
            </w:r>
          </w:p>
        </w:tc>
        <w:tc>
          <w:tcPr>
            <w:tcW w:w="7709" w:type="dxa"/>
            <w:vAlign w:val="center"/>
          </w:tcPr>
          <w:p>
            <w:pPr>
              <w:pStyle w:val="25"/>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20</w:t>
            </w:r>
            <w:r>
              <w:rPr>
                <w:rFonts w:hint="eastAsia" w:hAnsi="宋体" w:cs="宋体"/>
                <w:color w:val="auto"/>
                <w:sz w:val="21"/>
                <w:szCs w:val="21"/>
                <w:highlight w:val="none"/>
                <w:u w:val="none"/>
                <w:lang w:val="en-US" w:eastAsia="zh-CN"/>
              </w:rPr>
              <w:t>22</w:t>
            </w:r>
            <w:r>
              <w:rPr>
                <w:rFonts w:hint="eastAsia" w:ascii="宋体" w:hAnsi="宋体" w:eastAsia="宋体" w:cs="宋体"/>
                <w:color w:val="auto"/>
                <w:sz w:val="21"/>
                <w:szCs w:val="21"/>
                <w:highlight w:val="none"/>
                <w:u w:val="none"/>
              </w:rPr>
              <w:t xml:space="preserve">年 </w:t>
            </w:r>
            <w:r>
              <w:rPr>
                <w:rFonts w:hint="eastAsia" w:hAnsi="宋体" w:cs="宋体"/>
                <w:color w:val="auto"/>
                <w:szCs w:val="21"/>
                <w:highlight w:val="none"/>
                <w:u w:val="none"/>
                <w:lang w:val="en-US" w:eastAsia="zh-CN"/>
              </w:rPr>
              <w:t>7月12日</w:t>
            </w:r>
            <w:r>
              <w:rPr>
                <w:rFonts w:hint="eastAsia" w:ascii="宋体" w:hAnsi="宋体" w:eastAsia="宋体" w:cs="宋体"/>
                <w:color w:val="auto"/>
                <w:sz w:val="21"/>
                <w:szCs w:val="21"/>
                <w:highlight w:val="none"/>
                <w:u w:val="none"/>
              </w:rPr>
              <w:t xml:space="preserve"> </w:t>
            </w:r>
            <w:r>
              <w:rPr>
                <w:rFonts w:hint="eastAsia" w:hAnsi="宋体" w:cs="宋体"/>
                <w:color w:val="auto"/>
                <w:sz w:val="21"/>
                <w:szCs w:val="21"/>
                <w:highlight w:val="none"/>
                <w:u w:val="none"/>
                <w:lang w:val="en-US" w:eastAsia="zh-CN"/>
              </w:rPr>
              <w:t>17</w:t>
            </w:r>
            <w:r>
              <w:rPr>
                <w:rFonts w:hint="eastAsia" w:ascii="宋体" w:hAnsi="宋体" w:eastAsia="宋体" w:cs="宋体"/>
                <w:color w:val="auto"/>
                <w:sz w:val="21"/>
                <w:szCs w:val="21"/>
                <w:highlight w:val="none"/>
                <w:u w:val="none"/>
              </w:rPr>
              <w:t xml:space="preserve"> 时 </w:t>
            </w:r>
            <w:r>
              <w:rPr>
                <w:rFonts w:hint="eastAsia" w:hAnsi="宋体" w:cs="宋体"/>
                <w:color w:val="auto"/>
                <w:sz w:val="21"/>
                <w:szCs w:val="21"/>
                <w:highlight w:val="none"/>
                <w:u w:val="none"/>
                <w:lang w:val="en-US" w:eastAsia="zh-CN"/>
              </w:rPr>
              <w:t>00</w:t>
            </w:r>
            <w:r>
              <w:rPr>
                <w:rFonts w:hint="eastAsia" w:ascii="宋体" w:hAnsi="宋体" w:eastAsia="宋体" w:cs="宋体"/>
                <w:color w:val="auto"/>
                <w:sz w:val="21"/>
                <w:szCs w:val="21"/>
                <w:highlight w:val="none"/>
                <w:u w:val="none"/>
              </w:rPr>
              <w:t xml:space="preserve">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谈判答疑文件递交方式及地点</w:t>
            </w:r>
          </w:p>
        </w:tc>
        <w:tc>
          <w:tcPr>
            <w:tcW w:w="7709" w:type="dxa"/>
            <w:vAlign w:val="center"/>
          </w:tcPr>
          <w:p>
            <w:pPr>
              <w:pStyle w:val="25"/>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iCs/>
                <w:color w:val="auto"/>
                <w:sz w:val="21"/>
                <w:szCs w:val="21"/>
                <w:highlight w:val="none"/>
                <w:u w:val="none"/>
              </w:rPr>
            </w:pPr>
            <w:r>
              <w:rPr>
                <w:rFonts w:hint="eastAsia" w:ascii="宋体" w:hAnsi="宋体" w:eastAsia="宋体" w:cs="宋体"/>
                <w:color w:val="auto"/>
                <w:sz w:val="21"/>
                <w:szCs w:val="21"/>
                <w:highlight w:val="none"/>
                <w:u w:val="none"/>
              </w:rPr>
              <w:t>谈判答疑文件应以书面形式递交至</w:t>
            </w:r>
            <w:r>
              <w:rPr>
                <w:rFonts w:hint="eastAsia" w:ascii="宋体" w:hAnsi="宋体" w:eastAsia="宋体" w:cs="宋体"/>
                <w:color w:val="auto"/>
                <w:sz w:val="21"/>
                <w:szCs w:val="21"/>
                <w:highlight w:val="none"/>
                <w:u w:val="none"/>
                <w:lang w:eastAsia="zh-CN"/>
              </w:rPr>
              <w:t>长沙市岳麓区文轩路</w:t>
            </w:r>
            <w:r>
              <w:rPr>
                <w:rFonts w:hint="eastAsia" w:ascii="宋体" w:hAnsi="宋体" w:eastAsia="宋体" w:cs="宋体"/>
                <w:color w:val="auto"/>
                <w:sz w:val="21"/>
                <w:szCs w:val="21"/>
                <w:highlight w:val="none"/>
                <w:u w:val="none"/>
                <w:lang w:val="en-US" w:eastAsia="zh-CN"/>
              </w:rPr>
              <w:t>27号麓谷企业广场B5栋5楼</w:t>
            </w:r>
            <w:r>
              <w:rPr>
                <w:rFonts w:hint="eastAsia" w:hAnsi="宋体" w:cs="宋体"/>
                <w:color w:val="auto"/>
                <w:sz w:val="21"/>
                <w:szCs w:val="21"/>
                <w:highlight w:val="none"/>
                <w:u w:val="none"/>
                <w:lang w:val="en-US" w:eastAsia="zh-CN"/>
              </w:rPr>
              <w:t>智埔国际建设集团有限公司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响应文件的递交截止及谈判时间</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20</w:t>
            </w:r>
            <w:r>
              <w:rPr>
                <w:rFonts w:hint="eastAsia" w:ascii="宋体" w:hAnsi="宋体" w:cs="宋体"/>
                <w:color w:val="auto"/>
                <w:sz w:val="21"/>
                <w:szCs w:val="21"/>
                <w:highlight w:val="none"/>
                <w:u w:val="none"/>
                <w:lang w:val="en-US" w:eastAsia="zh-CN"/>
              </w:rPr>
              <w:t>22</w:t>
            </w:r>
            <w:r>
              <w:rPr>
                <w:rFonts w:hint="eastAsia" w:ascii="宋体" w:hAnsi="宋体" w:eastAsia="宋体" w:cs="宋体"/>
                <w:color w:val="auto"/>
                <w:sz w:val="21"/>
                <w:szCs w:val="21"/>
                <w:highlight w:val="none"/>
                <w:u w:val="none"/>
              </w:rPr>
              <w:t>年</w:t>
            </w:r>
            <w:r>
              <w:rPr>
                <w:rFonts w:hint="eastAsia" w:ascii="宋体" w:hAnsi="宋体" w:cs="宋体"/>
                <w:color w:val="auto"/>
                <w:sz w:val="21"/>
                <w:szCs w:val="21"/>
                <w:highlight w:val="none"/>
                <w:u w:val="none"/>
                <w:lang w:eastAsia="zh-CN"/>
              </w:rPr>
              <w:t>7月18日</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highlight w:val="none"/>
                <w:u w:val="none"/>
                <w:lang w:val="en-US" w:eastAsia="zh-CN"/>
              </w:rPr>
              <w:t>14</w:t>
            </w:r>
            <w:r>
              <w:rPr>
                <w:rFonts w:hint="eastAsia" w:ascii="宋体" w:hAnsi="宋体" w:eastAsia="宋体" w:cs="宋体"/>
                <w:color w:val="auto"/>
                <w:sz w:val="21"/>
                <w:szCs w:val="21"/>
                <w:highlight w:val="none"/>
                <w:u w:val="none"/>
              </w:rPr>
              <w:t xml:space="preserve"> 时 </w:t>
            </w:r>
            <w:r>
              <w:rPr>
                <w:rFonts w:hint="eastAsia" w:ascii="宋体" w:hAnsi="宋体" w:eastAsia="宋体" w:cs="宋体"/>
                <w:color w:val="auto"/>
                <w:sz w:val="21"/>
                <w:szCs w:val="21"/>
                <w:highlight w:val="none"/>
                <w:u w:val="none"/>
                <w:lang w:val="en-US" w:eastAsia="zh-CN"/>
              </w:rPr>
              <w:t>30</w:t>
            </w:r>
            <w:r>
              <w:rPr>
                <w:rFonts w:hint="eastAsia" w:ascii="宋体" w:hAnsi="宋体" w:eastAsia="宋体" w:cs="宋体"/>
                <w:color w:val="auto"/>
                <w:sz w:val="21"/>
                <w:szCs w:val="21"/>
                <w:highlight w:val="none"/>
                <w:u w:val="none"/>
              </w:rPr>
              <w:t xml:space="preserve">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响应文件的递交及谈判地点</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bCs/>
                <w:color w:val="auto"/>
                <w:sz w:val="21"/>
                <w:szCs w:val="21"/>
                <w:highlight w:val="none"/>
                <w:u w:val="none"/>
              </w:rPr>
              <w:t>长沙市</w:t>
            </w:r>
            <w:r>
              <w:rPr>
                <w:rFonts w:hint="eastAsia" w:ascii="宋体" w:hAnsi="宋体" w:eastAsia="宋体" w:cs="宋体"/>
                <w:iCs/>
                <w:color w:val="auto"/>
                <w:sz w:val="21"/>
                <w:szCs w:val="21"/>
                <w:highlight w:val="none"/>
                <w:u w:val="none"/>
              </w:rPr>
              <w:t>劳动东路二段48号</w:t>
            </w:r>
            <w:r>
              <w:rPr>
                <w:rFonts w:hint="eastAsia" w:ascii="宋体" w:hAnsi="宋体" w:eastAsia="宋体" w:cs="宋体"/>
                <w:color w:val="auto"/>
                <w:sz w:val="21"/>
                <w:szCs w:val="21"/>
                <w:highlight w:val="none"/>
                <w:u w:val="none"/>
              </w:rPr>
              <w:t>长沙市轨道交通运营有限公司</w:t>
            </w:r>
            <w:r>
              <w:rPr>
                <w:rFonts w:hint="eastAsia" w:ascii="宋体" w:hAnsi="宋体" w:eastAsia="宋体" w:cs="宋体"/>
                <w:iCs/>
                <w:color w:val="auto"/>
                <w:sz w:val="21"/>
                <w:szCs w:val="21"/>
                <w:highlight w:val="none"/>
                <w:u w:val="none"/>
              </w:rPr>
              <w:t>段综合楼910室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谈判现场验证须提交的资料</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iCs/>
                <w:color w:val="auto"/>
                <w:sz w:val="21"/>
                <w:szCs w:val="21"/>
                <w:highlight w:val="none"/>
                <w:u w:val="none"/>
              </w:rPr>
              <w:t>1.谈判单位代表是谈判单位法定代表人参加的，法定代表人须提供法定代表人身份证明书原件</w:t>
            </w:r>
            <w:r>
              <w:rPr>
                <w:rFonts w:hint="eastAsia" w:ascii="宋体" w:hAnsi="宋体" w:eastAsia="宋体" w:cs="宋体"/>
                <w:b/>
                <w:bCs/>
                <w:iCs/>
                <w:color w:val="auto"/>
                <w:sz w:val="21"/>
                <w:szCs w:val="21"/>
                <w:highlight w:val="none"/>
                <w:u w:val="none"/>
              </w:rPr>
              <w:t>（格式详见本文件第</w:t>
            </w:r>
            <w:r>
              <w:rPr>
                <w:rFonts w:hint="eastAsia" w:ascii="宋体" w:hAnsi="宋体" w:eastAsia="宋体" w:cs="宋体"/>
                <w:b/>
                <w:bCs/>
                <w:iCs/>
                <w:color w:val="auto"/>
                <w:sz w:val="21"/>
                <w:szCs w:val="21"/>
                <w:highlight w:val="none"/>
                <w:u w:val="none"/>
                <w:lang w:eastAsia="zh-CN"/>
              </w:rPr>
              <w:t>六</w:t>
            </w:r>
            <w:r>
              <w:rPr>
                <w:rFonts w:hint="eastAsia" w:ascii="宋体" w:hAnsi="宋体" w:eastAsia="宋体" w:cs="宋体"/>
                <w:b/>
                <w:bCs/>
                <w:iCs/>
                <w:color w:val="auto"/>
                <w:sz w:val="21"/>
                <w:szCs w:val="21"/>
                <w:highlight w:val="none"/>
                <w:u w:val="none"/>
              </w:rPr>
              <w:t>章）</w:t>
            </w:r>
            <w:r>
              <w:rPr>
                <w:rFonts w:hint="eastAsia" w:ascii="宋体" w:hAnsi="宋体" w:eastAsia="宋体" w:cs="宋体"/>
                <w:color w:val="auto"/>
                <w:sz w:val="21"/>
                <w:szCs w:val="21"/>
                <w:highlight w:val="none"/>
                <w:u w:val="none"/>
              </w:rPr>
              <w:t>及本人身份证原件。</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iCs/>
                <w:color w:val="auto"/>
                <w:sz w:val="21"/>
                <w:szCs w:val="21"/>
                <w:highlight w:val="none"/>
                <w:u w:val="none"/>
              </w:rPr>
            </w:pPr>
            <w:r>
              <w:rPr>
                <w:rFonts w:hint="eastAsia" w:ascii="宋体" w:hAnsi="宋体" w:eastAsia="宋体" w:cs="宋体"/>
                <w:color w:val="auto"/>
                <w:sz w:val="21"/>
                <w:szCs w:val="21"/>
                <w:highlight w:val="none"/>
                <w:u w:val="none"/>
              </w:rPr>
              <w:t>2.谈判单位代表是由谈判单位法定代表人授权的委托代理人参加的，其授权委托代理人须提供授权委托书原件</w:t>
            </w:r>
            <w:r>
              <w:rPr>
                <w:rFonts w:hint="eastAsia" w:ascii="宋体" w:hAnsi="宋体" w:eastAsia="宋体" w:cs="宋体"/>
                <w:b/>
                <w:color w:val="auto"/>
                <w:sz w:val="21"/>
                <w:szCs w:val="21"/>
                <w:highlight w:val="none"/>
                <w:u w:val="none"/>
              </w:rPr>
              <w:t>（格式详见本文件</w:t>
            </w:r>
            <w:r>
              <w:rPr>
                <w:rFonts w:hint="eastAsia" w:ascii="宋体" w:hAnsi="宋体" w:eastAsia="宋体" w:cs="宋体"/>
                <w:b/>
                <w:bCs/>
                <w:iCs/>
                <w:color w:val="auto"/>
                <w:sz w:val="21"/>
                <w:szCs w:val="21"/>
                <w:highlight w:val="none"/>
                <w:u w:val="none"/>
              </w:rPr>
              <w:t>第</w:t>
            </w:r>
            <w:r>
              <w:rPr>
                <w:rFonts w:hint="eastAsia" w:ascii="宋体" w:hAnsi="宋体" w:eastAsia="宋体" w:cs="宋体"/>
                <w:b/>
                <w:bCs/>
                <w:iCs/>
                <w:color w:val="auto"/>
                <w:sz w:val="21"/>
                <w:szCs w:val="21"/>
                <w:highlight w:val="none"/>
                <w:u w:val="none"/>
                <w:lang w:eastAsia="zh-CN"/>
              </w:rPr>
              <w:t>六</w:t>
            </w:r>
            <w:r>
              <w:rPr>
                <w:rFonts w:hint="eastAsia" w:ascii="宋体" w:hAnsi="宋体" w:eastAsia="宋体" w:cs="宋体"/>
                <w:b/>
                <w:bCs/>
                <w:iCs/>
                <w:color w:val="auto"/>
                <w:sz w:val="21"/>
                <w:szCs w:val="21"/>
                <w:highlight w:val="none"/>
                <w:u w:val="none"/>
              </w:rPr>
              <w:t>章</w:t>
            </w:r>
            <w:r>
              <w:rPr>
                <w:rFonts w:hint="eastAsia" w:ascii="宋体" w:hAnsi="宋体" w:eastAsia="宋体" w:cs="宋体"/>
                <w:b/>
                <w:color w:val="auto"/>
                <w:sz w:val="21"/>
                <w:szCs w:val="21"/>
                <w:highlight w:val="none"/>
                <w:u w:val="none"/>
              </w:rPr>
              <w:t>）</w:t>
            </w:r>
            <w:r>
              <w:rPr>
                <w:rFonts w:hint="eastAsia" w:ascii="宋体" w:hAnsi="宋体" w:eastAsia="宋体" w:cs="宋体"/>
                <w:color w:val="auto"/>
                <w:sz w:val="21"/>
                <w:szCs w:val="21"/>
                <w:highlight w:val="none"/>
                <w:u w:val="none"/>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响应文件有效期</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响应文件份数</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6"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价格承包内容</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单价合同（除税率调整外，合同单价（即中选单价/成交单价）在合同执行过程中固定不变，不随政府政策（长沙市规定的最低工资标准变化等）及市场物价上涨或回落等因素调整）。项目检测清单中各项计量器具数量为暂估数量，具体以项目执行期间乙方实际检测的数量为准。双方以实际检测的数量进行结算并确定合同价格。双方确认，合同价格不得超过签约合同价。若合同价格超过签约合同价，则以签约合同价作为合同价格结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val="0"/>
                <w:color w:val="auto"/>
                <w:sz w:val="21"/>
                <w:szCs w:val="21"/>
                <w:highlight w:val="none"/>
              </w:rPr>
              <w:t>项目支付方式</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分期支付：</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1）进度款支付：进度款按</w:t>
            </w:r>
            <w:r>
              <w:rPr>
                <w:rFonts w:hint="eastAsia" w:ascii="宋体" w:hAnsi="宋体" w:eastAsia="宋体" w:cs="宋体"/>
                <w:color w:val="auto"/>
                <w:sz w:val="21"/>
                <w:szCs w:val="21"/>
                <w:highlight w:val="none"/>
                <w:u w:val="none"/>
                <w:lang w:eastAsia="zh-CN"/>
              </w:rPr>
              <w:sym w:font="Wingdings 2" w:char="00A3"/>
            </w:r>
            <w:r>
              <w:rPr>
                <w:rFonts w:hint="eastAsia" w:ascii="宋体" w:hAnsi="宋体" w:eastAsia="宋体" w:cs="宋体"/>
                <w:color w:val="auto"/>
                <w:sz w:val="21"/>
                <w:szCs w:val="21"/>
                <w:highlight w:val="none"/>
                <w:u w:val="none"/>
                <w:lang w:eastAsia="zh-CN"/>
              </w:rPr>
              <w:t>年度</w:t>
            </w:r>
            <w:r>
              <w:rPr>
                <w:rFonts w:hint="eastAsia" w:ascii="宋体" w:hAnsi="宋体" w:eastAsia="宋体" w:cs="宋体"/>
                <w:color w:val="auto"/>
                <w:sz w:val="21"/>
                <w:szCs w:val="21"/>
                <w:highlight w:val="none"/>
                <w:u w:val="none"/>
                <w:lang w:eastAsia="zh-CN"/>
              </w:rPr>
              <w:sym w:font="Wingdings 2" w:char="0052"/>
            </w:r>
            <w:r>
              <w:rPr>
                <w:rFonts w:hint="eastAsia" w:ascii="宋体" w:hAnsi="宋体" w:eastAsia="宋体" w:cs="宋体"/>
                <w:color w:val="auto"/>
                <w:sz w:val="21"/>
                <w:szCs w:val="21"/>
                <w:highlight w:val="none"/>
                <w:u w:val="none"/>
                <w:lang w:eastAsia="zh-CN"/>
              </w:rPr>
              <w:t>半年□季度□月支付，每个付款周期的支付金额为根据计量金额（即本次付款周期内</w:t>
            </w:r>
            <w:r>
              <w:rPr>
                <w:rFonts w:hint="eastAsia" w:ascii="宋体" w:hAnsi="宋体" w:eastAsia="宋体" w:cs="宋体"/>
                <w:color w:val="auto"/>
                <w:sz w:val="21"/>
                <w:szCs w:val="21"/>
                <w:highlight w:val="none"/>
                <w:u w:val="none"/>
                <w:lang w:val="en-US" w:eastAsia="zh-CN"/>
              </w:rPr>
              <w:t>经甲方确认合格的</w:t>
            </w:r>
            <w:r>
              <w:rPr>
                <w:rFonts w:hint="eastAsia" w:ascii="宋体" w:hAnsi="宋体" w:eastAsia="宋体" w:cs="宋体"/>
                <w:color w:val="auto"/>
                <w:sz w:val="21"/>
                <w:szCs w:val="21"/>
                <w:highlight w:val="none"/>
                <w:u w:val="none"/>
                <w:lang w:eastAsia="zh-CN"/>
              </w:rPr>
              <w:t>工作量*合同单价）并按照考核结果所计算出的金额。</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2）乙方按合同约定完成全部工作，且□合同价格经长沙市人民政府相关职能部门或长沙市轨道交通集团有限公司授权的单位审定/</w:t>
            </w:r>
            <w:r>
              <w:rPr>
                <w:rFonts w:hint="eastAsia" w:ascii="宋体" w:hAnsi="宋体" w:eastAsia="宋体" w:cs="宋体"/>
                <w:color w:val="auto"/>
                <w:sz w:val="21"/>
                <w:szCs w:val="21"/>
                <w:highlight w:val="none"/>
                <w:u w:val="none"/>
                <w:lang w:eastAsia="zh-CN"/>
              </w:rPr>
              <w:sym w:font="Wingdings 2" w:char="0052"/>
            </w:r>
            <w:r>
              <w:rPr>
                <w:rFonts w:hint="eastAsia" w:ascii="宋体" w:hAnsi="宋体" w:eastAsia="宋体" w:cs="宋体"/>
                <w:color w:val="auto"/>
                <w:sz w:val="21"/>
                <w:szCs w:val="21"/>
                <w:highlight w:val="none"/>
                <w:u w:val="none"/>
                <w:lang w:eastAsia="zh-CN"/>
              </w:rPr>
              <w:t>项目履约验收合格，支付最后一个付款周期的合同金额。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信息发布</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指定媒体</w:t>
            </w:r>
          </w:p>
        </w:tc>
        <w:tc>
          <w:tcPr>
            <w:tcW w:w="7709" w:type="dxa"/>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长沙市轨道交通集团有限公司</w:t>
            </w:r>
            <w:r>
              <w:rPr>
                <w:rFonts w:hint="eastAsia" w:ascii="宋体" w:hAnsi="宋体" w:eastAsia="宋体" w:cs="宋体"/>
                <w:color w:val="auto"/>
                <w:sz w:val="21"/>
                <w:szCs w:val="21"/>
                <w:highlight w:val="none"/>
                <w:u w:val="none"/>
                <w:lang w:eastAsia="zh-CN"/>
              </w:rPr>
              <w:fldChar w:fldCharType="begin"/>
            </w:r>
            <w:r>
              <w:rPr>
                <w:rFonts w:hint="eastAsia" w:ascii="宋体" w:hAnsi="宋体" w:eastAsia="宋体" w:cs="宋体"/>
                <w:color w:val="auto"/>
                <w:sz w:val="21"/>
                <w:szCs w:val="21"/>
                <w:highlight w:val="none"/>
                <w:u w:val="none"/>
                <w:lang w:eastAsia="zh-CN"/>
              </w:rPr>
              <w:instrText xml:space="preserve"> HYPERLINK "http://www.hncsmtr.com/" </w:instrText>
            </w:r>
            <w:r>
              <w:rPr>
                <w:rFonts w:hint="eastAsia" w:ascii="宋体" w:hAnsi="宋体" w:eastAsia="宋体" w:cs="宋体"/>
                <w:color w:val="auto"/>
                <w:sz w:val="21"/>
                <w:szCs w:val="21"/>
                <w:highlight w:val="none"/>
                <w:u w:val="none"/>
                <w:lang w:eastAsia="zh-CN"/>
              </w:rPr>
              <w:fldChar w:fldCharType="separate"/>
            </w:r>
            <w:r>
              <w:rPr>
                <w:rFonts w:hint="eastAsia" w:ascii="宋体" w:hAnsi="宋体" w:eastAsia="宋体" w:cs="宋体"/>
                <w:color w:val="auto"/>
                <w:sz w:val="21"/>
                <w:szCs w:val="21"/>
                <w:highlight w:val="none"/>
                <w:u w:val="none"/>
                <w:lang w:eastAsia="zh-CN"/>
              </w:rPr>
              <w:t>http://www.hncsmtr.com/</w:t>
            </w:r>
            <w:r>
              <w:rPr>
                <w:rFonts w:hint="eastAsia" w:ascii="宋体" w:hAnsi="宋体" w:eastAsia="宋体" w:cs="宋体"/>
                <w:color w:val="auto"/>
                <w:sz w:val="21"/>
                <w:szCs w:val="21"/>
                <w:highlight w:val="none"/>
                <w:u w:val="none"/>
                <w:lang w:eastAsia="zh-CN"/>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采购代理服务费</w:t>
            </w:r>
          </w:p>
        </w:tc>
        <w:tc>
          <w:tcPr>
            <w:tcW w:w="7709" w:type="dxa"/>
            <w:vAlign w:val="center"/>
          </w:tcPr>
          <w:p>
            <w:pPr>
              <w:adjustRightInd w:val="0"/>
              <w:snapToGrid w:val="0"/>
              <w:spacing w:line="360" w:lineRule="auto"/>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本项目采购代理服务费以中选价为基数，按《</w:t>
            </w:r>
            <w:r>
              <w:rPr>
                <w:rFonts w:hint="eastAsia" w:ascii="宋体" w:hAnsi="宋体" w:eastAsia="宋体" w:cs="宋体"/>
                <w:b w:val="0"/>
                <w:bCs w:val="0"/>
                <w:color w:val="auto"/>
                <w:sz w:val="21"/>
                <w:szCs w:val="21"/>
                <w:highlight w:val="none"/>
                <w:u w:val="none"/>
              </w:rPr>
              <w:t>采购代理服务费收费标准</w:t>
            </w:r>
            <w:r>
              <w:rPr>
                <w:rFonts w:hint="eastAsia" w:ascii="宋体" w:hAnsi="宋体" w:eastAsia="宋体" w:cs="宋体"/>
                <w:color w:val="auto"/>
                <w:sz w:val="21"/>
                <w:szCs w:val="21"/>
                <w:highlight w:val="none"/>
                <w:u w:val="none"/>
              </w:rPr>
              <w:t>》(附件)计算，服务费超过2万元的，按2万元计取，服务费低于5000元的，按5000元计取。由中选单位全额支付，中选单位应在本项目完成中选通知书备案、资料归档等手续，且接到采购</w:t>
            </w:r>
            <w:r>
              <w:rPr>
                <w:rFonts w:hint="eastAsia" w:ascii="宋体" w:hAnsi="宋体" w:cs="宋体"/>
                <w:color w:val="auto"/>
                <w:sz w:val="21"/>
                <w:szCs w:val="21"/>
                <w:highlight w:val="none"/>
                <w:u w:val="none"/>
                <w:lang w:eastAsia="zh-CN"/>
              </w:rPr>
              <w:t>单位</w:t>
            </w:r>
            <w:r>
              <w:rPr>
                <w:rFonts w:hint="eastAsia" w:ascii="宋体" w:hAnsi="宋体" w:eastAsia="宋体" w:cs="宋体"/>
                <w:color w:val="auto"/>
                <w:sz w:val="21"/>
                <w:szCs w:val="21"/>
                <w:highlight w:val="none"/>
                <w:u w:val="none"/>
              </w:rPr>
              <w:t>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943" w:type="dxa"/>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其他规定</w:t>
            </w:r>
          </w:p>
        </w:tc>
        <w:tc>
          <w:tcPr>
            <w:tcW w:w="7709" w:type="dxa"/>
            <w:vAlign w:val="center"/>
          </w:tcPr>
          <w:p>
            <w:pPr>
              <w:adjustRightInd w:val="0"/>
              <w:snapToGrid w:val="0"/>
              <w:spacing w:line="360" w:lineRule="auto"/>
              <w:jc w:val="left"/>
              <w:rPr>
                <w:rFonts w:hint="eastAsia"/>
                <w:color w:val="auto"/>
                <w:highlight w:val="none"/>
                <w:lang w:eastAsia="zh-CN"/>
              </w:rPr>
            </w:pPr>
            <w:r>
              <w:rPr>
                <w:rFonts w:hint="eastAsia"/>
                <w:b/>
                <w:bCs/>
                <w:color w:val="auto"/>
                <w:highlight w:val="none"/>
              </w:rPr>
              <w:t>中标原则</w:t>
            </w:r>
            <w:r>
              <w:rPr>
                <w:rFonts w:hint="eastAsia"/>
                <w:b/>
                <w:bCs/>
                <w:color w:val="auto"/>
                <w:highlight w:val="none"/>
                <w:lang w:eastAsia="zh-CN"/>
              </w:rPr>
              <w:t>：</w:t>
            </w:r>
          </w:p>
          <w:p>
            <w:pPr>
              <w:adjustRightInd w:val="0"/>
              <w:snapToGrid w:val="0"/>
              <w:spacing w:line="360" w:lineRule="auto"/>
              <w:jc w:val="left"/>
              <w:rPr>
                <w:rFonts w:hint="eastAsia"/>
                <w:color w:val="auto"/>
                <w:highlight w:val="none"/>
                <w:lang w:val="en-US" w:eastAsia="zh-CN"/>
              </w:rPr>
            </w:pPr>
            <w:r>
              <w:rPr>
                <w:rFonts w:hint="eastAsia"/>
                <w:color w:val="auto"/>
                <w:highlight w:val="none"/>
                <w:lang w:val="en-US" w:eastAsia="zh-CN"/>
              </w:rPr>
              <w:t>1.谈判评审小组按照得分由高到低的顺序推荐不超过1名中选候选人。经公示无异议后，确定排名第一的中选候选人为中选单位;</w:t>
            </w:r>
          </w:p>
          <w:p>
            <w:pPr>
              <w:adjustRightInd w:val="0"/>
              <w:snapToGrid w:val="0"/>
              <w:spacing w:line="360" w:lineRule="auto"/>
              <w:jc w:val="left"/>
              <w:rPr>
                <w:rFonts w:hint="default"/>
                <w:color w:val="auto"/>
                <w:highlight w:val="none"/>
                <w:lang w:val="en-US" w:eastAsia="zh-CN"/>
              </w:rPr>
            </w:pPr>
            <w:r>
              <w:rPr>
                <w:rFonts w:hint="eastAsia"/>
                <w:color w:val="auto"/>
                <w:highlight w:val="none"/>
                <w:lang w:val="en-US" w:eastAsia="zh-CN"/>
              </w:rPr>
              <w:t>2.排名第一的中选候选人中选后放弃中选、因不可抗力不能履行合同，或者被查实存在影响中选结果的违法行为等情形，不符合中选条件的，采购单位可以按照评审小组的评分排序依次递补确定中选单位，也可以重新开展采购活动。</w:t>
            </w:r>
          </w:p>
        </w:tc>
      </w:tr>
    </w:tbl>
    <w:p>
      <w:pPr>
        <w:pStyle w:val="4"/>
        <w:keepNext w:val="0"/>
        <w:keepLines w:val="0"/>
        <w:jc w:val="center"/>
        <w:rPr>
          <w:rFonts w:ascii="黑体" w:hAnsi="黑体" w:eastAsia="黑体"/>
          <w:color w:val="auto"/>
          <w:sz w:val="30"/>
          <w:szCs w:val="30"/>
          <w:highlight w:val="none"/>
        </w:rPr>
      </w:pPr>
      <w:bookmarkStart w:id="18" w:name="_Toc14891067"/>
    </w:p>
    <w:p>
      <w:pPr>
        <w:widowControl/>
        <w:jc w:val="left"/>
        <w:rPr>
          <w:color w:val="auto"/>
          <w:highlight w:val="none"/>
        </w:rPr>
      </w:pPr>
      <w:r>
        <w:rPr>
          <w:color w:val="auto"/>
          <w:highlight w:val="none"/>
        </w:rPr>
        <w:br w:type="page"/>
      </w:r>
    </w:p>
    <w:p>
      <w:pPr>
        <w:pStyle w:val="4"/>
        <w:keepNext w:val="0"/>
        <w:keepLines w:val="0"/>
        <w:pageBreakBefore w:val="0"/>
        <w:widowControl w:val="0"/>
        <w:kinsoku/>
        <w:wordWrap/>
        <w:overflowPunct/>
        <w:topLinePunct w:val="0"/>
        <w:autoSpaceDE/>
        <w:autoSpaceDN/>
        <w:bidi w:val="0"/>
        <w:jc w:val="center"/>
        <w:textAlignment w:val="auto"/>
        <w:rPr>
          <w:rFonts w:hint="eastAsia" w:ascii="宋体" w:hAnsi="宋体" w:eastAsia="宋体" w:cs="宋体"/>
          <w:b/>
          <w:bCs/>
          <w:color w:val="auto"/>
          <w:sz w:val="32"/>
          <w:szCs w:val="32"/>
          <w:highlight w:val="none"/>
        </w:rPr>
      </w:pPr>
      <w:bookmarkStart w:id="19" w:name="_Toc30640"/>
      <w:bookmarkStart w:id="20" w:name="_Toc26157"/>
      <w:bookmarkStart w:id="21" w:name="_Toc16939"/>
      <w:bookmarkStart w:id="22" w:name="_Toc27130"/>
      <w:r>
        <w:rPr>
          <w:rFonts w:hint="eastAsia" w:ascii="宋体" w:hAnsi="宋体" w:eastAsia="宋体" w:cs="宋体"/>
          <w:b/>
          <w:bCs/>
          <w:color w:val="auto"/>
          <w:sz w:val="32"/>
          <w:szCs w:val="32"/>
          <w:highlight w:val="none"/>
        </w:rPr>
        <w:t>谈判须知正文</w:t>
      </w:r>
      <w:bookmarkEnd w:id="18"/>
      <w:bookmarkEnd w:id="19"/>
      <w:bookmarkEnd w:id="20"/>
      <w:bookmarkEnd w:id="21"/>
      <w:bookmarkEnd w:id="22"/>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rPr>
      </w:pPr>
      <w:bookmarkStart w:id="23" w:name="_Toc14891068"/>
      <w:bookmarkStart w:id="24" w:name="_Toc1733"/>
      <w:r>
        <w:rPr>
          <w:rFonts w:hint="eastAsia" w:ascii="宋体" w:hAnsi="宋体" w:eastAsia="宋体" w:cs="宋体"/>
          <w:color w:val="auto"/>
          <w:sz w:val="21"/>
          <w:szCs w:val="21"/>
          <w:highlight w:val="none"/>
        </w:rPr>
        <w:t>一、说明</w:t>
      </w:r>
      <w:bookmarkEnd w:id="23"/>
      <w:bookmarkEnd w:id="24"/>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color w:val="auto"/>
          <w:sz w:val="21"/>
          <w:szCs w:val="21"/>
          <w:highlight w:val="none"/>
        </w:rPr>
        <w:t>本《自主竞争性谈判文件》（以下简称“谈判文件”）仅适用于谈判须知前附表(以下简称前附表)中所叙述的采购项目。</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2.本谈判文件的解释权属于长沙市轨道交通运营有限公司。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3.定义</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3.1“采购单位”是指依法进行采购的法人组织。本项目的采购单位名称见</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3.2“谈判单位”是指响应本谈判文件要求、参加谈判的法人组织。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3.3“采购代理机构”是指接受采购</w:t>
      </w:r>
      <w:r>
        <w:rPr>
          <w:rFonts w:hint="eastAsia" w:ascii="宋体" w:hAnsi="宋体" w:cs="宋体"/>
          <w:color w:val="auto"/>
          <w:sz w:val="21"/>
          <w:szCs w:val="21"/>
          <w:highlight w:val="none"/>
          <w:lang w:eastAsia="zh-CN"/>
        </w:rPr>
        <w:t>单位</w:t>
      </w:r>
      <w:r>
        <w:rPr>
          <w:rFonts w:hint="eastAsia" w:ascii="宋体" w:hAnsi="宋体" w:eastAsia="宋体" w:cs="宋体"/>
          <w:color w:val="auto"/>
          <w:sz w:val="21"/>
          <w:szCs w:val="21"/>
          <w:highlight w:val="none"/>
        </w:rPr>
        <w:t>委托，代理采购项目的机构。本采购项目的采购代理机构名称见</w:t>
      </w:r>
      <w:r>
        <w:rPr>
          <w:rFonts w:hint="eastAsia" w:ascii="宋体" w:hAnsi="宋体" w:eastAsia="宋体" w:cs="宋体"/>
          <w:b/>
          <w:bCs/>
          <w:color w:val="auto"/>
          <w:sz w:val="21"/>
          <w:szCs w:val="21"/>
          <w:highlight w:val="none"/>
        </w:rPr>
        <w:t>前附表</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3.4“谈判</w:t>
      </w:r>
      <w:r>
        <w:rPr>
          <w:rFonts w:hint="eastAsia" w:ascii="宋体" w:hAnsi="宋体" w:eastAsia="宋体" w:cs="宋体"/>
          <w:b/>
          <w:bCs/>
          <w:color w:val="auto"/>
          <w:sz w:val="21"/>
          <w:szCs w:val="21"/>
          <w:highlight w:val="none"/>
        </w:rPr>
        <w:t>评审</w:t>
      </w:r>
      <w:r>
        <w:rPr>
          <w:rFonts w:hint="eastAsia" w:ascii="宋体" w:hAnsi="宋体" w:eastAsia="宋体" w:cs="宋体"/>
          <w:color w:val="auto"/>
          <w:sz w:val="21"/>
          <w:szCs w:val="21"/>
          <w:highlight w:val="none"/>
        </w:rPr>
        <w:t>小组”是指采购单位按其规定组建，依法依规履行其职责和义务的机构。</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4.谈判单位资格要求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4.1参与谈判的单位应当符合</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中规定的资格要求；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4.2参与谈判的单位存在下列情形之一的，其</w:t>
      </w:r>
      <w:r>
        <w:rPr>
          <w:rFonts w:hint="eastAsia" w:ascii="宋体" w:hAnsi="宋体" w:eastAsia="宋体" w:cs="宋体"/>
          <w:bCs/>
          <w:color w:val="auto"/>
          <w:sz w:val="21"/>
          <w:szCs w:val="21"/>
          <w:highlight w:val="none"/>
        </w:rPr>
        <w:t>谈判</w:t>
      </w:r>
      <w:r>
        <w:rPr>
          <w:rFonts w:hint="eastAsia" w:ascii="宋体" w:hAnsi="宋体" w:eastAsia="宋体" w:cs="宋体"/>
          <w:color w:val="auto"/>
          <w:sz w:val="21"/>
          <w:szCs w:val="21"/>
          <w:highlight w:val="none"/>
        </w:rPr>
        <w:t>将被</w:t>
      </w:r>
      <w:r>
        <w:rPr>
          <w:rFonts w:hint="eastAsia" w:ascii="宋体" w:hAnsi="宋体" w:eastAsia="宋体" w:cs="宋体"/>
          <w:b/>
          <w:bCs/>
          <w:color w:val="auto"/>
          <w:sz w:val="21"/>
          <w:szCs w:val="21"/>
          <w:highlight w:val="none"/>
        </w:rPr>
        <w:t>否决</w:t>
      </w:r>
      <w:r>
        <w:rPr>
          <w:rFonts w:hint="eastAsia" w:ascii="宋体" w:hAnsi="宋体" w:eastAsia="宋体" w:cs="宋体"/>
          <w:color w:val="auto"/>
          <w:sz w:val="21"/>
          <w:szCs w:val="21"/>
          <w:highlight w:val="none"/>
        </w:rPr>
        <w:t>：</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（1）与采购单位（或本项目采购代理机构）存在利害关系且可能影响采购公正性；</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（2）谈判单位法定代表人或负责人与其他谈判单位法定代表人或负责人为同一人；</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（3）与本采购项目的其他谈判单位存在控股、管理关系；</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（4）被责令停产停业、暂扣或者吊销许可证、暂扣或者吊销执照；</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（5）进入破产、清算、注销程序，或存在其他可能丧失履约能力的情形；</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（6）在国家企业信用信息公示系统中显示已被列入严重违法失信企业名单；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strike/>
          <w:color w:val="auto"/>
          <w:sz w:val="21"/>
          <w:szCs w:val="21"/>
          <w:highlight w:val="none"/>
        </w:rPr>
      </w:pPr>
      <w:r>
        <w:rPr>
          <w:rFonts w:hint="eastAsia" w:ascii="宋体" w:hAnsi="宋体" w:eastAsia="宋体" w:cs="宋体"/>
          <w:color w:val="auto"/>
          <w:sz w:val="21"/>
          <w:szCs w:val="21"/>
          <w:highlight w:val="none"/>
        </w:rPr>
        <w:t>（7）在“信用中国”网站（www.creditchina.gov.cn）或“信用湖南”网站（www.credithunan.gov.cn）中显示已被列入失信被执行人名单。</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5.参与谈判的费用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5.1无论谈判的结果如何，谈判单位应自行承担所有与本次竞争性谈判活动有关的全部费用。</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5.2采购代理服务费由中选单位全额承担。本项目采购代理服务费以中选价为基数，按谈判须知</w:t>
      </w:r>
      <w:r>
        <w:rPr>
          <w:rFonts w:hint="eastAsia" w:ascii="宋体" w:hAnsi="宋体" w:eastAsia="宋体" w:cs="宋体"/>
          <w:b/>
          <w:bCs/>
          <w:color w:val="auto"/>
          <w:sz w:val="21"/>
          <w:szCs w:val="21"/>
          <w:highlight w:val="none"/>
        </w:rPr>
        <w:t>《采购代理服务费收费标准》（详见本须知附件）</w:t>
      </w:r>
      <w:r>
        <w:rPr>
          <w:rFonts w:hint="eastAsia" w:ascii="宋体" w:hAnsi="宋体" w:eastAsia="宋体" w:cs="宋体"/>
          <w:color w:val="auto"/>
          <w:sz w:val="21"/>
          <w:szCs w:val="21"/>
          <w:highlight w:val="none"/>
        </w:rPr>
        <w:t>向中选单位收取。</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6．</w:t>
      </w:r>
      <w:r>
        <w:rPr>
          <w:rFonts w:hint="eastAsia" w:ascii="宋体" w:hAnsi="宋体" w:eastAsia="宋体" w:cs="宋体"/>
          <w:b/>
          <w:bCs/>
          <w:color w:val="auto"/>
          <w:sz w:val="21"/>
          <w:szCs w:val="21"/>
          <w:highlight w:val="none"/>
        </w:rPr>
        <w:t>谈判单位代表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6.1谈判单位代表为谈判单位法定代表人的：应提供法定代表人身份证明书</w:t>
      </w:r>
      <w:r>
        <w:rPr>
          <w:rFonts w:hint="eastAsia" w:ascii="宋体" w:hAnsi="宋体" w:eastAsia="宋体" w:cs="宋体"/>
          <w:b/>
          <w:bCs/>
          <w:color w:val="auto"/>
          <w:sz w:val="21"/>
          <w:szCs w:val="21"/>
          <w:highlight w:val="none"/>
        </w:rPr>
        <w:t>（见</w:t>
      </w:r>
      <w:r>
        <w:rPr>
          <w:rFonts w:hint="eastAsia" w:ascii="宋体" w:hAnsi="宋体" w:eastAsia="宋体" w:cs="宋体"/>
          <w:b/>
          <w:bCs/>
          <w:iCs/>
          <w:strike w:val="0"/>
          <w:dstrike w:val="0"/>
          <w:color w:val="auto"/>
          <w:sz w:val="21"/>
          <w:szCs w:val="21"/>
          <w:highlight w:val="none"/>
        </w:rPr>
        <w:t>第</w:t>
      </w:r>
      <w:r>
        <w:rPr>
          <w:rFonts w:hint="eastAsia" w:ascii="宋体" w:hAnsi="宋体" w:eastAsia="宋体" w:cs="宋体"/>
          <w:b/>
          <w:bCs/>
          <w:iCs/>
          <w:strike w:val="0"/>
          <w:dstrike w:val="0"/>
          <w:color w:val="auto"/>
          <w:sz w:val="21"/>
          <w:szCs w:val="21"/>
          <w:highlight w:val="none"/>
          <w:lang w:eastAsia="zh-CN"/>
        </w:rPr>
        <w:t>六</w:t>
      </w:r>
      <w:r>
        <w:rPr>
          <w:rFonts w:hint="eastAsia" w:ascii="宋体" w:hAnsi="宋体" w:eastAsia="宋体" w:cs="宋体"/>
          <w:b/>
          <w:bCs/>
          <w:iCs/>
          <w:strike w:val="0"/>
          <w:dstrike w:val="0"/>
          <w:color w:val="auto"/>
          <w:sz w:val="21"/>
          <w:szCs w:val="21"/>
          <w:highlight w:val="none"/>
        </w:rPr>
        <w:t>章</w:t>
      </w:r>
      <w:r>
        <w:rPr>
          <w:rFonts w:hint="eastAsia" w:ascii="宋体" w:hAnsi="宋体" w:eastAsia="宋体" w:cs="宋体"/>
          <w:b/>
          <w:bCs/>
          <w:strike w:val="0"/>
          <w:color w:val="auto"/>
          <w:sz w:val="21"/>
          <w:szCs w:val="21"/>
          <w:highlight w:val="none"/>
        </w:rPr>
        <w:t>响应文件格式</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原件及本人身份证原件。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strike/>
          <w:color w:val="auto"/>
          <w:sz w:val="21"/>
          <w:szCs w:val="21"/>
          <w:highlight w:val="none"/>
        </w:rPr>
      </w:pPr>
      <w:r>
        <w:rPr>
          <w:rFonts w:hint="eastAsia" w:ascii="宋体" w:hAnsi="宋体" w:eastAsia="宋体" w:cs="宋体"/>
          <w:color w:val="auto"/>
          <w:sz w:val="21"/>
          <w:szCs w:val="21"/>
          <w:highlight w:val="none"/>
        </w:rPr>
        <w:t>6.2谈判单位代表不是谈判单位法定代表人的：应提供授权委托书</w:t>
      </w:r>
      <w:r>
        <w:rPr>
          <w:rFonts w:hint="eastAsia" w:ascii="宋体" w:hAnsi="宋体" w:eastAsia="宋体" w:cs="宋体"/>
          <w:b/>
          <w:bCs/>
          <w:color w:val="auto"/>
          <w:sz w:val="21"/>
          <w:szCs w:val="21"/>
          <w:highlight w:val="none"/>
        </w:rPr>
        <w:t>（见</w:t>
      </w:r>
      <w:r>
        <w:rPr>
          <w:rFonts w:hint="eastAsia" w:ascii="宋体" w:hAnsi="宋体" w:eastAsia="宋体" w:cs="宋体"/>
          <w:b/>
          <w:bCs/>
          <w:iCs/>
          <w:strike w:val="0"/>
          <w:dstrike w:val="0"/>
          <w:color w:val="auto"/>
          <w:sz w:val="21"/>
          <w:szCs w:val="21"/>
          <w:highlight w:val="none"/>
        </w:rPr>
        <w:t>第</w:t>
      </w:r>
      <w:r>
        <w:rPr>
          <w:rFonts w:hint="eastAsia" w:ascii="宋体" w:hAnsi="宋体" w:eastAsia="宋体" w:cs="宋体"/>
          <w:b/>
          <w:bCs/>
          <w:iCs/>
          <w:strike w:val="0"/>
          <w:dstrike w:val="0"/>
          <w:color w:val="auto"/>
          <w:sz w:val="21"/>
          <w:szCs w:val="21"/>
          <w:highlight w:val="none"/>
          <w:lang w:eastAsia="zh-CN"/>
        </w:rPr>
        <w:t>六</w:t>
      </w:r>
      <w:r>
        <w:rPr>
          <w:rFonts w:hint="eastAsia" w:ascii="宋体" w:hAnsi="宋体" w:eastAsia="宋体" w:cs="宋体"/>
          <w:b/>
          <w:bCs/>
          <w:iCs/>
          <w:strike w:val="0"/>
          <w:dstrike w:val="0"/>
          <w:color w:val="auto"/>
          <w:sz w:val="21"/>
          <w:szCs w:val="21"/>
          <w:highlight w:val="none"/>
        </w:rPr>
        <w:t>章</w:t>
      </w:r>
      <w:r>
        <w:rPr>
          <w:rFonts w:hint="eastAsia" w:ascii="宋体" w:hAnsi="宋体" w:eastAsia="宋体" w:cs="宋体"/>
          <w:b/>
          <w:bCs/>
          <w:color w:val="auto"/>
          <w:sz w:val="21"/>
          <w:szCs w:val="21"/>
          <w:highlight w:val="none"/>
        </w:rPr>
        <w:t>响应文件格式）</w:t>
      </w:r>
      <w:r>
        <w:rPr>
          <w:rFonts w:hint="eastAsia" w:ascii="宋体" w:hAnsi="宋体" w:eastAsia="宋体" w:cs="宋体"/>
          <w:color w:val="auto"/>
          <w:sz w:val="21"/>
          <w:szCs w:val="21"/>
          <w:highlight w:val="none"/>
        </w:rPr>
        <w:t>原件及本人身份证原件。</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rPr>
      </w:pPr>
      <w:bookmarkStart w:id="25" w:name="_Toc16481"/>
      <w:bookmarkStart w:id="26" w:name="_Toc14891069"/>
      <w:r>
        <w:rPr>
          <w:rFonts w:hint="eastAsia" w:ascii="宋体" w:hAnsi="宋体" w:eastAsia="宋体" w:cs="宋体"/>
          <w:color w:val="auto"/>
          <w:sz w:val="21"/>
          <w:szCs w:val="21"/>
          <w:highlight w:val="none"/>
        </w:rPr>
        <w:t>二、谈判文件</w:t>
      </w:r>
      <w:bookmarkEnd w:id="25"/>
      <w:bookmarkEnd w:id="26"/>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7．谈判文件的组成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7.1谈判文件由下列文件组成：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谈判邀请公告</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谈判须知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评审办法及标准</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第四章 用户需求书</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另册</w:t>
      </w:r>
      <w:r>
        <w:rPr>
          <w:rFonts w:hint="eastAsia" w:hAnsi="宋体" w:cs="宋体"/>
          <w:color w:val="auto"/>
          <w:sz w:val="21"/>
          <w:szCs w:val="21"/>
          <w:highlight w:val="none"/>
          <w:lang w:eastAsia="zh-CN"/>
        </w:rPr>
        <w:t>）</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合同格式条款</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响应文件组成</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w:t>
      </w:r>
      <w:r>
        <w:rPr>
          <w:rFonts w:hint="eastAsia" w:ascii="宋体" w:hAnsi="宋体" w:eastAsia="宋体" w:cs="宋体"/>
          <w:color w:val="auto"/>
          <w:kern w:val="0"/>
          <w:sz w:val="21"/>
          <w:szCs w:val="21"/>
          <w:highlight w:val="none"/>
        </w:rPr>
        <w:t>响应文件递交截止时间前对谈判文件澄清或者修改内容，均为谈判文件的组成部分。</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7.3谈判单位应仔细阅读</w:t>
      </w:r>
      <w:r>
        <w:rPr>
          <w:rFonts w:hint="eastAsia" w:ascii="宋体" w:hAnsi="宋体" w:eastAsia="宋体" w:cs="宋体"/>
          <w:bCs/>
          <w:color w:val="auto"/>
          <w:sz w:val="21"/>
          <w:szCs w:val="21"/>
          <w:highlight w:val="none"/>
        </w:rPr>
        <w:t>谈判</w:t>
      </w:r>
      <w:r>
        <w:rPr>
          <w:rFonts w:hint="eastAsia" w:ascii="宋体" w:hAnsi="宋体" w:eastAsia="宋体" w:cs="宋体"/>
          <w:color w:val="auto"/>
          <w:sz w:val="21"/>
          <w:szCs w:val="21"/>
          <w:highlight w:val="none"/>
        </w:rPr>
        <w:t>文件的全部内容，按照</w:t>
      </w:r>
      <w:r>
        <w:rPr>
          <w:rFonts w:hint="eastAsia" w:ascii="宋体" w:hAnsi="宋体" w:eastAsia="宋体" w:cs="宋体"/>
          <w:bCs/>
          <w:color w:val="auto"/>
          <w:sz w:val="21"/>
          <w:szCs w:val="21"/>
          <w:highlight w:val="none"/>
        </w:rPr>
        <w:t>谈判</w:t>
      </w:r>
      <w:r>
        <w:rPr>
          <w:rFonts w:hint="eastAsia" w:ascii="宋体" w:hAnsi="宋体" w:eastAsia="宋体" w:cs="宋体"/>
          <w:color w:val="auto"/>
          <w:sz w:val="21"/>
          <w:szCs w:val="21"/>
          <w:highlight w:val="none"/>
        </w:rPr>
        <w:t>文件要求编制响应文件。任何对</w:t>
      </w:r>
      <w:r>
        <w:rPr>
          <w:rFonts w:hint="eastAsia" w:ascii="宋体" w:hAnsi="宋体" w:eastAsia="宋体" w:cs="宋体"/>
          <w:bCs/>
          <w:color w:val="auto"/>
          <w:sz w:val="21"/>
          <w:szCs w:val="21"/>
          <w:highlight w:val="none"/>
        </w:rPr>
        <w:t>谈判</w:t>
      </w:r>
      <w:r>
        <w:rPr>
          <w:rFonts w:hint="eastAsia" w:ascii="宋体" w:hAnsi="宋体" w:eastAsia="宋体" w:cs="宋体"/>
          <w:color w:val="auto"/>
          <w:sz w:val="21"/>
          <w:szCs w:val="21"/>
          <w:highlight w:val="none"/>
        </w:rPr>
        <w:t>文件的忽略或误解不能作为响应文件存在缺陷或瑕疵的理由，其风险由谈判单位承担。</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rPr>
        <w:t>8.</w:t>
      </w:r>
      <w:r>
        <w:rPr>
          <w:rFonts w:hint="eastAsia" w:ascii="宋体" w:hAnsi="宋体" w:eastAsia="宋体" w:cs="宋体"/>
          <w:b/>
          <w:color w:val="auto"/>
          <w:kern w:val="0"/>
          <w:sz w:val="21"/>
          <w:szCs w:val="21"/>
          <w:highlight w:val="none"/>
        </w:rPr>
        <w:t>谈判文件的澄清及答疑</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8.1.谈判单位应仔细阅读和检查谈判文件的全部内容，如有疑问，</w:t>
      </w:r>
      <w:r>
        <w:rPr>
          <w:rFonts w:hint="eastAsia" w:ascii="宋体" w:hAnsi="宋体" w:eastAsia="宋体" w:cs="宋体"/>
          <w:color w:val="auto"/>
          <w:sz w:val="21"/>
          <w:szCs w:val="21"/>
          <w:highlight w:val="none"/>
        </w:rPr>
        <w:t>应按</w:t>
      </w:r>
      <w:r>
        <w:rPr>
          <w:rFonts w:hint="eastAsia" w:ascii="宋体" w:hAnsi="宋体" w:eastAsia="宋体" w:cs="宋体"/>
          <w:b/>
          <w:bCs/>
          <w:color w:val="auto"/>
          <w:sz w:val="21"/>
          <w:szCs w:val="21"/>
          <w:highlight w:val="none"/>
        </w:rPr>
        <w:t>前附表</w:t>
      </w:r>
      <w:r>
        <w:rPr>
          <w:rFonts w:hint="eastAsia" w:ascii="宋体" w:hAnsi="宋体" w:eastAsia="宋体" w:cs="宋体"/>
          <w:color w:val="auto"/>
          <w:sz w:val="21"/>
          <w:szCs w:val="21"/>
          <w:highlight w:val="none"/>
        </w:rPr>
        <w:t>规定的时间、方式及地点</w:t>
      </w:r>
      <w:r>
        <w:rPr>
          <w:rFonts w:hint="eastAsia" w:ascii="宋体" w:hAnsi="宋体" w:eastAsia="宋体" w:cs="宋体"/>
          <w:iCs/>
          <w:color w:val="auto"/>
          <w:sz w:val="21"/>
          <w:szCs w:val="21"/>
          <w:highlight w:val="none"/>
        </w:rPr>
        <w:t>向采购代理机构提出，</w:t>
      </w:r>
      <w:r>
        <w:rPr>
          <w:rFonts w:hint="eastAsia" w:ascii="宋体" w:hAnsi="宋体" w:eastAsia="宋体" w:cs="宋体"/>
          <w:color w:val="auto"/>
          <w:sz w:val="21"/>
          <w:szCs w:val="21"/>
          <w:highlight w:val="none"/>
        </w:rPr>
        <w:t>否则，由此引起的损失由谈判单位自己承担。</w:t>
      </w:r>
    </w:p>
    <w:p>
      <w:pPr>
        <w:keepNext w:val="0"/>
        <w:keepLines w:val="0"/>
        <w:pageBreakBefore w:val="0"/>
        <w:widowControl w:val="0"/>
        <w:kinsoku/>
        <w:wordWrap/>
        <w:overflowPunct/>
        <w:topLinePunct w:val="0"/>
        <w:autoSpaceDE/>
        <w:autoSpaceDN/>
        <w:bidi w:val="0"/>
        <w:spacing w:line="360" w:lineRule="auto"/>
        <w:ind w:right="0" w:rightChars="0" w:firstLine="420" w:firstLineChars="200"/>
        <w:jc w:val="both"/>
        <w:textAlignment w:val="auto"/>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8.2.在谈判截止时间前，采购单位或采购代理机构可主动地或在解答谈判单位提出的问题时对谈判文件进行澄清或修改。</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8.3</w:t>
      </w:r>
      <w:r>
        <w:rPr>
          <w:rFonts w:hint="eastAsia" w:ascii="宋体" w:hAnsi="宋体" w:eastAsia="宋体" w:cs="宋体"/>
          <w:color w:val="auto"/>
          <w:kern w:val="0"/>
          <w:sz w:val="21"/>
          <w:szCs w:val="21"/>
          <w:highlight w:val="none"/>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9.</w:t>
      </w:r>
      <w:r>
        <w:rPr>
          <w:rFonts w:hint="eastAsia" w:ascii="宋体" w:hAnsi="宋体" w:eastAsia="宋体" w:cs="宋体"/>
          <w:b/>
          <w:color w:val="auto"/>
          <w:kern w:val="0"/>
          <w:sz w:val="21"/>
          <w:szCs w:val="21"/>
          <w:highlight w:val="none"/>
        </w:rPr>
        <w:t>响应文件递交截止时间、谈判会议时间及地点</w:t>
      </w:r>
    </w:p>
    <w:p>
      <w:pPr>
        <w:pStyle w:val="25"/>
        <w:keepNext w:val="0"/>
        <w:keepLines w:val="0"/>
        <w:pageBreakBefore w:val="0"/>
        <w:widowControl w:val="0"/>
        <w:kinsoku/>
        <w:wordWrap/>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r>
        <w:rPr>
          <w:rFonts w:hint="eastAsia" w:ascii="宋体" w:hAnsi="宋体" w:eastAsia="宋体" w:cs="宋体"/>
          <w:color w:val="auto"/>
          <w:kern w:val="0"/>
          <w:sz w:val="21"/>
          <w:szCs w:val="21"/>
          <w:highlight w:val="none"/>
        </w:rPr>
        <w:t>谈判单位递交响应文件截止时间、谈判会议</w:t>
      </w:r>
      <w:r>
        <w:rPr>
          <w:rFonts w:hint="eastAsia" w:ascii="宋体" w:hAnsi="宋体" w:eastAsia="宋体" w:cs="宋体"/>
          <w:color w:val="auto"/>
          <w:sz w:val="21"/>
          <w:szCs w:val="21"/>
          <w:highlight w:val="none"/>
        </w:rPr>
        <w:t>时间及地点见</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rPr>
      </w:pPr>
      <w:bookmarkStart w:id="27" w:name="_Toc14891070"/>
      <w:bookmarkStart w:id="28" w:name="_Toc16069"/>
      <w:r>
        <w:rPr>
          <w:rFonts w:hint="eastAsia" w:ascii="宋体" w:hAnsi="宋体" w:eastAsia="宋体" w:cs="宋体"/>
          <w:color w:val="auto"/>
          <w:sz w:val="21"/>
          <w:szCs w:val="21"/>
          <w:highlight w:val="none"/>
        </w:rPr>
        <w:t>三、响应文件</w:t>
      </w:r>
      <w:bookmarkEnd w:id="27"/>
      <w:bookmarkEnd w:id="28"/>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10.一般要求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10.1谈判单位应仔细阅读谈判文件的所有内容，按谈判文件的要求编制响应文件，</w:t>
      </w:r>
      <w:r>
        <w:rPr>
          <w:rFonts w:hint="eastAsia" w:ascii="宋体" w:hAnsi="宋体" w:eastAsia="宋体" w:cs="宋体"/>
          <w:b/>
          <w:bCs w:val="0"/>
          <w:color w:val="auto"/>
          <w:sz w:val="21"/>
          <w:szCs w:val="21"/>
          <w:highlight w:val="none"/>
        </w:rPr>
        <w:t>严禁复制、粘贴</w:t>
      </w:r>
      <w:r>
        <w:rPr>
          <w:rFonts w:hint="eastAsia" w:ascii="宋体" w:hAnsi="宋体" w:cs="宋体"/>
          <w:b/>
          <w:bCs w:val="0"/>
          <w:color w:val="auto"/>
          <w:sz w:val="21"/>
          <w:szCs w:val="21"/>
          <w:highlight w:val="none"/>
          <w:lang w:eastAsia="zh-CN"/>
        </w:rPr>
        <w:t>，</w:t>
      </w:r>
      <w:r>
        <w:rPr>
          <w:rFonts w:hint="eastAsia" w:ascii="宋体" w:hAnsi="宋体" w:eastAsia="宋体" w:cs="宋体"/>
          <w:bCs/>
          <w:color w:val="auto"/>
          <w:sz w:val="21"/>
          <w:szCs w:val="21"/>
          <w:highlight w:val="none"/>
        </w:rPr>
        <w:t>并保证所提供的全部资料的真实性。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10.2</w:t>
      </w:r>
      <w:r>
        <w:rPr>
          <w:rFonts w:hint="eastAsia" w:ascii="宋体" w:hAnsi="宋体" w:eastAsia="宋体" w:cs="宋体"/>
          <w:color w:val="auto"/>
          <w:sz w:val="21"/>
          <w:szCs w:val="21"/>
          <w:highlight w:val="none"/>
        </w:rPr>
        <w:t>谈判单位提交的响应文件、谈判单位与采购单位及采购代理机构的所有来往函电均使用中文。</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10.3</w:t>
      </w:r>
      <w:r>
        <w:rPr>
          <w:rFonts w:hint="eastAsia" w:ascii="宋体" w:hAnsi="宋体" w:eastAsia="宋体" w:cs="宋体"/>
          <w:color w:val="auto"/>
          <w:sz w:val="21"/>
          <w:szCs w:val="21"/>
          <w:highlight w:val="none"/>
        </w:rPr>
        <w:t>计量单位应使用我国法定计量单位，未列明时应默认为我国法定计量单位。</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10.4响应文件应采用书面形式，电报、传真、电子邮件形式的响应文件概不接受。</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10.5谈判单位提交的响应文件应按谈判文件中提供的响应文件格式编制。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hAnsi="宋体"/>
          <w:b/>
          <w:bCs/>
          <w:color w:val="auto"/>
          <w:szCs w:val="21"/>
          <w:highlight w:val="none"/>
        </w:rPr>
      </w:pPr>
      <w:r>
        <w:rPr>
          <w:rFonts w:hint="eastAsia" w:ascii="宋体" w:hAnsi="宋体"/>
          <w:b/>
          <w:bCs/>
          <w:color w:val="auto"/>
          <w:szCs w:val="21"/>
          <w:highlight w:val="none"/>
          <w:lang w:val="en-US" w:eastAsia="zh-CN"/>
        </w:rPr>
        <w:t>10.6</w:t>
      </w:r>
      <w:r>
        <w:rPr>
          <w:rFonts w:hint="eastAsia" w:hAnsi="宋体"/>
          <w:b/>
          <w:bCs/>
          <w:color w:val="auto"/>
          <w:szCs w:val="21"/>
          <w:highlight w:val="none"/>
          <w:lang w:eastAsia="zh-CN"/>
        </w:rPr>
        <w:t>响应</w:t>
      </w:r>
      <w:r>
        <w:rPr>
          <w:rFonts w:hAnsi="宋体"/>
          <w:b/>
          <w:bCs/>
          <w:color w:val="auto"/>
          <w:szCs w:val="21"/>
          <w:highlight w:val="none"/>
        </w:rPr>
        <w:t>文件应当对</w:t>
      </w:r>
      <w:r>
        <w:rPr>
          <w:rFonts w:hint="eastAsia" w:hAnsi="宋体"/>
          <w:b/>
          <w:bCs/>
          <w:color w:val="auto"/>
          <w:szCs w:val="21"/>
          <w:highlight w:val="none"/>
          <w:lang w:eastAsia="zh-CN"/>
        </w:rPr>
        <w:t>谈判</w:t>
      </w:r>
      <w:r>
        <w:rPr>
          <w:rFonts w:hAnsi="宋体"/>
          <w:b/>
          <w:bCs/>
          <w:color w:val="auto"/>
          <w:szCs w:val="21"/>
          <w:highlight w:val="none"/>
        </w:rPr>
        <w:t>文件的实质性要求和条件作出满足性或更有利于</w:t>
      </w:r>
      <w:r>
        <w:rPr>
          <w:rFonts w:hint="eastAsia" w:hAnsi="宋体"/>
          <w:b/>
          <w:bCs/>
          <w:color w:val="auto"/>
          <w:szCs w:val="21"/>
          <w:highlight w:val="none"/>
          <w:lang w:eastAsia="zh-CN"/>
        </w:rPr>
        <w:t>采购单位</w:t>
      </w:r>
      <w:r>
        <w:rPr>
          <w:rFonts w:hAnsi="宋体"/>
          <w:b/>
          <w:bCs/>
          <w:color w:val="auto"/>
          <w:szCs w:val="21"/>
          <w:highlight w:val="none"/>
        </w:rPr>
        <w:t>的响应，</w:t>
      </w:r>
      <w:bookmarkStart w:id="29" w:name="page22"/>
      <w:bookmarkEnd w:id="29"/>
      <w:r>
        <w:rPr>
          <w:rFonts w:hAnsi="宋体"/>
          <w:b/>
          <w:bCs/>
          <w:color w:val="auto"/>
          <w:szCs w:val="21"/>
          <w:highlight w:val="none"/>
        </w:rPr>
        <w:t>否则，</w:t>
      </w:r>
      <w:r>
        <w:rPr>
          <w:rFonts w:hint="eastAsia" w:hAnsi="宋体"/>
          <w:b/>
          <w:bCs/>
          <w:color w:val="auto"/>
          <w:szCs w:val="21"/>
          <w:highlight w:val="none"/>
          <w:lang w:eastAsia="zh-CN"/>
        </w:rPr>
        <w:t>谈判单位</w:t>
      </w:r>
      <w:r>
        <w:rPr>
          <w:rFonts w:hAnsi="宋体"/>
          <w:b/>
          <w:bCs/>
          <w:color w:val="auto"/>
          <w:szCs w:val="21"/>
          <w:highlight w:val="none"/>
        </w:rPr>
        <w:t>的投标将被否决。</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color w:val="auto"/>
          <w:sz w:val="21"/>
          <w:szCs w:val="21"/>
          <w:highlight w:val="none"/>
        </w:rPr>
        <w:t>响应文件</w:t>
      </w:r>
      <w:r>
        <w:rPr>
          <w:rFonts w:hint="eastAsia" w:ascii="宋体" w:hAnsi="宋体" w:eastAsia="宋体" w:cs="宋体"/>
          <w:b/>
          <w:bCs/>
          <w:color w:val="auto"/>
          <w:sz w:val="21"/>
          <w:szCs w:val="21"/>
          <w:highlight w:val="none"/>
        </w:rPr>
        <w:t>的组成</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11.1响应文件应包括下列内容：</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（1）谈判承诺书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（2）法定代表人身份证明书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（3）授权委托书</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（4）谈判单位资格条件证明文件</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）报价一览表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）分项价格表</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）其他资料（如有）</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11.2在谈判过程中，谈判单位根据</w:t>
      </w:r>
      <w:r>
        <w:rPr>
          <w:rFonts w:hint="eastAsia" w:ascii="宋体" w:hAnsi="宋体" w:eastAsia="宋体" w:cs="宋体"/>
          <w:color w:val="auto"/>
          <w:kern w:val="0"/>
          <w:sz w:val="21"/>
          <w:szCs w:val="21"/>
          <w:highlight w:val="none"/>
        </w:rPr>
        <w:t>谈判评审小组</w:t>
      </w:r>
      <w:r>
        <w:rPr>
          <w:rFonts w:hint="eastAsia" w:ascii="宋体" w:hAnsi="宋体" w:eastAsia="宋体" w:cs="宋体"/>
          <w:bCs/>
          <w:color w:val="auto"/>
          <w:sz w:val="21"/>
          <w:szCs w:val="21"/>
          <w:highlight w:val="none"/>
        </w:rPr>
        <w:t>要求</w:t>
      </w:r>
      <w:r>
        <w:rPr>
          <w:rFonts w:hint="eastAsia" w:ascii="宋体" w:hAnsi="宋体" w:eastAsia="宋体" w:cs="宋体"/>
          <w:color w:val="auto"/>
          <w:kern w:val="0"/>
          <w:sz w:val="21"/>
          <w:szCs w:val="21"/>
          <w:highlight w:val="none"/>
        </w:rPr>
        <w:t>提交的</w:t>
      </w:r>
      <w:r>
        <w:rPr>
          <w:rFonts w:hint="eastAsia" w:ascii="宋体" w:hAnsi="宋体" w:eastAsia="宋体" w:cs="宋体"/>
          <w:color w:val="auto"/>
          <w:sz w:val="21"/>
          <w:szCs w:val="21"/>
          <w:highlight w:val="none"/>
        </w:rPr>
        <w:t>书面承诺或其他文件是响应文件的有效组成部分。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11.3谈判单位无论成交与否，其递交的响应文件均不予退还。</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r>
        <w:rPr>
          <w:rFonts w:hint="eastAsia" w:ascii="宋体" w:hAnsi="宋体" w:cs="宋体"/>
          <w:b/>
          <w:bCs/>
          <w:color w:val="auto"/>
          <w:szCs w:val="21"/>
          <w:highlight w:val="none"/>
        </w:rPr>
        <w:t>本项目为一轮报价</w:t>
      </w:r>
      <w:r>
        <w:rPr>
          <w:rFonts w:hint="eastAsia" w:ascii="宋体" w:hAnsi="宋体" w:cs="宋体"/>
          <w:color w:val="auto"/>
          <w:szCs w:val="21"/>
          <w:highlight w:val="none"/>
        </w:rPr>
        <w:t>。</w:t>
      </w:r>
      <w:r>
        <w:rPr>
          <w:rFonts w:hint="eastAsia" w:ascii="宋体" w:hAnsi="宋体" w:eastAsia="宋体" w:cs="宋体"/>
          <w:color w:val="auto"/>
          <w:sz w:val="21"/>
          <w:szCs w:val="21"/>
          <w:highlight w:val="none"/>
        </w:rPr>
        <w:t>谈判单位应按第六章“响应文件格式”的要求在报价文件中进行报价。谈判单位所报的总价及综合单价均不得超过</w:t>
      </w:r>
      <w:r>
        <w:rPr>
          <w:rFonts w:hint="eastAsia" w:ascii="宋体" w:hAnsi="宋体" w:cs="宋体"/>
          <w:strike w:val="0"/>
          <w:dstrike w:val="0"/>
          <w:color w:val="auto"/>
          <w:sz w:val="21"/>
          <w:szCs w:val="21"/>
          <w:highlight w:val="none"/>
          <w:lang w:eastAsia="zh-CN"/>
        </w:rPr>
        <w:t>谈判最高限价</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不超过谈判最高限价的谈判报价为有</w:t>
      </w:r>
      <w:r>
        <w:rPr>
          <w:rFonts w:hint="eastAsia" w:ascii="宋体" w:hAnsi="宋体" w:cs="宋体"/>
          <w:color w:val="auto"/>
          <w:sz w:val="21"/>
          <w:szCs w:val="21"/>
          <w:highlight w:val="none"/>
          <w:lang w:val="en-US" w:eastAsia="zh-CN"/>
        </w:rPr>
        <w:t>效</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，谈判时需明确税费，税率必须符合国家政策法规规定，合同支付时服务单位需开具经</w:t>
      </w:r>
      <w:r>
        <w:rPr>
          <w:rFonts w:hint="eastAsia" w:ascii="宋体" w:hAnsi="宋体" w:eastAsia="宋体" w:cs="宋体"/>
          <w:b/>
          <w:color w:val="auto"/>
          <w:sz w:val="21"/>
          <w:szCs w:val="21"/>
          <w:highlight w:val="none"/>
        </w:rPr>
        <w:t>采购单位</w:t>
      </w:r>
      <w:r>
        <w:rPr>
          <w:rFonts w:hint="eastAsia" w:ascii="宋体" w:hAnsi="宋体" w:eastAsia="宋体" w:cs="宋体"/>
          <w:color w:val="auto"/>
          <w:sz w:val="21"/>
          <w:szCs w:val="21"/>
          <w:highlight w:val="none"/>
        </w:rPr>
        <w:t>认可的合法完税单据。</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12.2谈判单位应充分了解该项目的总体情况以及影响谈判报价的其他要素。</w:t>
      </w:r>
      <w:r>
        <w:rPr>
          <w:rFonts w:hint="eastAsia" w:ascii="宋体" w:hAnsi="宋体" w:eastAsia="宋体" w:cs="宋体"/>
          <w:b/>
          <w:color w:val="auto"/>
          <w:sz w:val="21"/>
          <w:szCs w:val="21"/>
          <w:highlight w:val="none"/>
        </w:rPr>
        <w:t>最终结算以长沙市轨道交通</w:t>
      </w:r>
      <w:r>
        <w:rPr>
          <w:rFonts w:hint="eastAsia" w:ascii="宋体" w:hAnsi="宋体" w:eastAsia="宋体" w:cs="宋体"/>
          <w:b/>
          <w:color w:val="auto"/>
          <w:sz w:val="21"/>
          <w:szCs w:val="21"/>
          <w:highlight w:val="none"/>
          <w:lang w:eastAsia="zh-CN"/>
        </w:rPr>
        <w:t>运营</w:t>
      </w:r>
      <w:r>
        <w:rPr>
          <w:rFonts w:hint="eastAsia" w:ascii="宋体" w:hAnsi="宋体" w:eastAsia="宋体" w:cs="宋体"/>
          <w:b/>
          <w:color w:val="auto"/>
          <w:sz w:val="21"/>
          <w:szCs w:val="21"/>
          <w:highlight w:val="none"/>
        </w:rPr>
        <w:t>有限公司审核为准。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谈判总报价为各分项报价金额之和，谈判总报价与分项报价的合价不一致的，应以各分项合价累计数为准，修正谈判总报价；如分项报价中存在缺漏项，则视为缺漏项价格已包含在其他分项报价之中。谈判单位在谈判截止时间前修改报价文件中的谈判总报价，应同时修改报价文件《报价一览表》和《分项价格表》中的相应报价。</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12.4本项目</w:t>
      </w:r>
      <w:r>
        <w:rPr>
          <w:rFonts w:hint="eastAsia" w:ascii="宋体" w:hAnsi="宋体" w:cs="宋体"/>
          <w:color w:val="auto"/>
          <w:sz w:val="21"/>
          <w:szCs w:val="21"/>
          <w:highlight w:val="none"/>
          <w:lang w:eastAsia="zh-CN"/>
        </w:rPr>
        <w:t>谈判最高限</w:t>
      </w:r>
      <w:r>
        <w:rPr>
          <w:rFonts w:hint="eastAsia" w:ascii="宋体" w:hAnsi="宋体" w:eastAsia="宋体" w:cs="宋体"/>
          <w:color w:val="auto"/>
          <w:sz w:val="21"/>
          <w:szCs w:val="21"/>
          <w:highlight w:val="none"/>
        </w:rPr>
        <w:t>价见</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12.5除合同另有约定外，谈判报价作为中选价及合同价在合同履行期间是固定不变的，不受政策、法规变化以及汇率浮动、物价指数浮动等因素的影响。中选</w:t>
      </w:r>
      <w:r>
        <w:rPr>
          <w:rFonts w:hint="eastAsia" w:ascii="宋体" w:hAnsi="宋体" w:cs="宋体"/>
          <w:color w:val="auto"/>
          <w:sz w:val="21"/>
          <w:szCs w:val="21"/>
          <w:highlight w:val="none"/>
          <w:lang w:eastAsia="zh-CN"/>
        </w:rPr>
        <w:t>单位</w:t>
      </w:r>
      <w:r>
        <w:rPr>
          <w:rFonts w:hint="eastAsia" w:ascii="宋体" w:hAnsi="宋体" w:eastAsia="宋体" w:cs="宋体"/>
          <w:color w:val="auto"/>
          <w:sz w:val="21"/>
          <w:szCs w:val="21"/>
          <w:highlight w:val="none"/>
        </w:rPr>
        <w:t>不得以任何理由予以变更。以可变动价格提交的报价将被认为是非实质响应被拒绝。</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12.6谈判单位递交两份或多份内容不同的报价文件，或在一份报价文件中对同一项目报有两个或多个报价，且未声明哪一个有效的，将被认为是非实质响应被拒绝。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12.7最低报价不能作为中选的保证。</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strike w:val="0"/>
          <w:dstrike w:val="0"/>
          <w:color w:val="auto"/>
          <w:kern w:val="2"/>
          <w:sz w:val="21"/>
          <w:szCs w:val="21"/>
          <w:highlight w:val="none"/>
          <w:lang w:val="en-US" w:eastAsia="zh-CN" w:bidi="ar-SA"/>
        </w:rPr>
        <w:t>12.8本项目为</w:t>
      </w:r>
      <w:r>
        <w:rPr>
          <w:rFonts w:hint="eastAsia" w:ascii="宋体" w:hAnsi="宋体" w:eastAsia="宋体" w:cs="宋体"/>
          <w:b/>
          <w:bCs/>
          <w:color w:val="auto"/>
          <w:kern w:val="2"/>
          <w:sz w:val="21"/>
          <w:szCs w:val="21"/>
          <w:highlight w:val="none"/>
          <w:lang w:val="en-US" w:eastAsia="zh-CN" w:bidi="ar-SA"/>
        </w:rPr>
        <w:t>单价合同（除税率调整外，合同单价（即中选单价/成交单价）在合同执行过程中固定不变，不随政府政策（长沙市规定的最低工资标准变化等）及市场物价上涨或回落等因素调整）。项目检测清单中各项计量器具数量为暂估数量，具体以项目执行期间乙方实际检测的数量为准。双方以实际检测的数量进行结算并确定合同价格。双方确认，合同价格不得超过签约合同价。若合同价格超过签约合同价，则以签约合同价作为合同价格结算。</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13.响应文件有效期</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13.1响应文件有效期见</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，在此期间响应文件对谈判单位具有法律约束力，从</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规定的</w:t>
      </w:r>
      <w:r>
        <w:rPr>
          <w:rFonts w:hint="eastAsia" w:ascii="宋体" w:hAnsi="宋体" w:eastAsia="宋体" w:cs="宋体"/>
          <w:color w:val="auto"/>
          <w:kern w:val="0"/>
          <w:sz w:val="21"/>
          <w:szCs w:val="21"/>
          <w:highlight w:val="none"/>
        </w:rPr>
        <w:t>响应文件递交截止时间</w:t>
      </w:r>
      <w:r>
        <w:rPr>
          <w:rFonts w:hint="eastAsia" w:ascii="宋体" w:hAnsi="宋体" w:eastAsia="宋体" w:cs="宋体"/>
          <w:color w:val="auto"/>
          <w:sz w:val="21"/>
          <w:szCs w:val="21"/>
          <w:highlight w:val="none"/>
        </w:rPr>
        <w:t>之日起计算。响应文件有效期不足的将被视为无效响应。</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14.响应文件的编制</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14.1响应文件应按</w:t>
      </w:r>
      <w:r>
        <w:rPr>
          <w:rFonts w:hint="eastAsia" w:ascii="宋体" w:hAnsi="宋体" w:eastAsia="宋体" w:cs="宋体"/>
          <w:b/>
          <w:bCs/>
          <w:strike w:val="0"/>
          <w:dstrike w:val="0"/>
          <w:color w:val="auto"/>
          <w:sz w:val="21"/>
          <w:szCs w:val="21"/>
          <w:highlight w:val="none"/>
        </w:rPr>
        <w:t>第</w:t>
      </w:r>
      <w:r>
        <w:rPr>
          <w:rFonts w:hint="eastAsia" w:ascii="宋体" w:hAnsi="宋体" w:eastAsia="宋体" w:cs="宋体"/>
          <w:b/>
          <w:bCs/>
          <w:strike w:val="0"/>
          <w:dstrike w:val="0"/>
          <w:color w:val="auto"/>
          <w:sz w:val="21"/>
          <w:szCs w:val="21"/>
          <w:highlight w:val="none"/>
          <w:lang w:eastAsia="zh-CN"/>
        </w:rPr>
        <w:t>六</w:t>
      </w:r>
      <w:r>
        <w:rPr>
          <w:rFonts w:hint="eastAsia" w:ascii="宋体" w:hAnsi="宋体" w:eastAsia="宋体" w:cs="宋体"/>
          <w:b/>
          <w:bCs/>
          <w:strike w:val="0"/>
          <w:dstrike w:val="0"/>
          <w:color w:val="auto"/>
          <w:sz w:val="21"/>
          <w:szCs w:val="21"/>
          <w:highlight w:val="none"/>
        </w:rPr>
        <w:t>章</w:t>
      </w:r>
      <w:r>
        <w:rPr>
          <w:rFonts w:hint="eastAsia" w:ascii="宋体" w:hAnsi="宋体" w:eastAsia="宋体" w:cs="宋体"/>
          <w:color w:val="auto"/>
          <w:sz w:val="21"/>
          <w:szCs w:val="21"/>
          <w:highlight w:val="none"/>
        </w:rPr>
        <w:t>“响应文件格式”进行编写，如有必要，可以增加附页，作为响应文件的组成部分。</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14.2响应文件应用不褪色的材料书写或打印（建议双面打印），并按</w:t>
      </w:r>
      <w:r>
        <w:rPr>
          <w:rFonts w:hint="eastAsia" w:ascii="宋体" w:hAnsi="宋体" w:eastAsia="宋体" w:cs="宋体"/>
          <w:b/>
          <w:bCs/>
          <w:strike w:val="0"/>
          <w:dstrike w:val="0"/>
          <w:color w:val="auto"/>
          <w:sz w:val="21"/>
          <w:szCs w:val="21"/>
          <w:highlight w:val="none"/>
        </w:rPr>
        <w:t>第</w:t>
      </w:r>
      <w:r>
        <w:rPr>
          <w:rFonts w:hint="eastAsia" w:ascii="宋体" w:hAnsi="宋体" w:eastAsia="宋体" w:cs="宋体"/>
          <w:b/>
          <w:bCs/>
          <w:strike w:val="0"/>
          <w:dstrike w:val="0"/>
          <w:color w:val="auto"/>
          <w:sz w:val="21"/>
          <w:szCs w:val="21"/>
          <w:highlight w:val="none"/>
          <w:lang w:eastAsia="zh-CN"/>
        </w:rPr>
        <w:t>六</w:t>
      </w:r>
      <w:r>
        <w:rPr>
          <w:rFonts w:hint="eastAsia" w:ascii="宋体" w:hAnsi="宋体" w:eastAsia="宋体" w:cs="宋体"/>
          <w:b/>
          <w:bCs/>
          <w:strike w:val="0"/>
          <w:dstrike w:val="0"/>
          <w:color w:val="auto"/>
          <w:sz w:val="21"/>
          <w:szCs w:val="21"/>
          <w:highlight w:val="none"/>
        </w:rPr>
        <w:t>章</w:t>
      </w:r>
      <w:r>
        <w:rPr>
          <w:rFonts w:hint="eastAsia" w:ascii="宋体" w:hAnsi="宋体" w:eastAsia="宋体" w:cs="宋体"/>
          <w:color w:val="auto"/>
          <w:sz w:val="21"/>
          <w:szCs w:val="21"/>
          <w:highlight w:val="none"/>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ascii="宋体" w:hAnsi="宋体" w:eastAsia="宋体" w:cs="宋体"/>
          <w:b/>
          <w:bCs/>
          <w:strike w:val="0"/>
          <w:dstrike w:val="0"/>
          <w:color w:val="auto"/>
          <w:sz w:val="21"/>
          <w:szCs w:val="21"/>
          <w:highlight w:val="none"/>
        </w:rPr>
        <w:t>第</w:t>
      </w:r>
      <w:r>
        <w:rPr>
          <w:rFonts w:hint="eastAsia" w:ascii="宋体" w:hAnsi="宋体" w:eastAsia="宋体" w:cs="宋体"/>
          <w:b/>
          <w:bCs/>
          <w:strike w:val="0"/>
          <w:dstrike w:val="0"/>
          <w:color w:val="auto"/>
          <w:sz w:val="21"/>
          <w:szCs w:val="21"/>
          <w:highlight w:val="none"/>
          <w:lang w:eastAsia="zh-CN"/>
        </w:rPr>
        <w:t>六</w:t>
      </w:r>
      <w:r>
        <w:rPr>
          <w:rFonts w:hint="eastAsia" w:ascii="宋体" w:hAnsi="宋体" w:eastAsia="宋体" w:cs="宋体"/>
          <w:b/>
          <w:bCs/>
          <w:strike w:val="0"/>
          <w:dstrike w:val="0"/>
          <w:color w:val="auto"/>
          <w:sz w:val="21"/>
          <w:szCs w:val="21"/>
          <w:highlight w:val="none"/>
        </w:rPr>
        <w:t>章</w:t>
      </w:r>
      <w:r>
        <w:rPr>
          <w:rFonts w:hint="eastAsia" w:ascii="宋体" w:hAnsi="宋体" w:eastAsia="宋体" w:cs="宋体"/>
          <w:color w:val="auto"/>
          <w:sz w:val="21"/>
          <w:szCs w:val="21"/>
          <w:highlight w:val="none"/>
        </w:rPr>
        <w:t>“响应文件格式”的要求。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14.3响应文件应尽量避免涂改、行间插字或删除。如果出现上述情况，改动之处应由谈判单位的法定代表人或其授权的代理人签字或盖单位公章。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14.4响应文件为一式三份，其中正本一份，副本两份，均须胶装成册；电子文件一份（U盘或光盘，应包含响应文件的所有内容，并标注谈判单位名称）。响应文件正本和副本的封面上应清楚地标记</w:t>
      </w:r>
      <w:r>
        <w:rPr>
          <w:rFonts w:hint="eastAsia" w:ascii="宋体" w:hAnsi="宋体" w:eastAsia="宋体" w:cs="宋体"/>
          <w:b/>
          <w:bCs/>
          <w:color w:val="auto"/>
          <w:sz w:val="21"/>
          <w:szCs w:val="21"/>
          <w:highlight w:val="none"/>
        </w:rPr>
        <w:t>“正本”</w:t>
      </w:r>
      <w:r>
        <w:rPr>
          <w:rFonts w:hint="eastAsia" w:ascii="宋体" w:hAnsi="宋体" w:eastAsia="宋体" w:cs="宋体"/>
          <w:color w:val="auto"/>
          <w:sz w:val="21"/>
          <w:szCs w:val="21"/>
          <w:highlight w:val="none"/>
        </w:rPr>
        <w:t>或</w:t>
      </w:r>
      <w:r>
        <w:rPr>
          <w:rFonts w:hint="eastAsia" w:ascii="宋体" w:hAnsi="宋体" w:eastAsia="宋体" w:cs="宋体"/>
          <w:b/>
          <w:bCs/>
          <w:color w:val="auto"/>
          <w:sz w:val="21"/>
          <w:szCs w:val="21"/>
          <w:highlight w:val="none"/>
        </w:rPr>
        <w:t>“副本”</w:t>
      </w:r>
      <w:r>
        <w:rPr>
          <w:rFonts w:hint="eastAsia" w:ascii="宋体" w:hAnsi="宋体" w:eastAsia="宋体" w:cs="宋体"/>
          <w:color w:val="auto"/>
          <w:sz w:val="21"/>
          <w:szCs w:val="21"/>
          <w:highlight w:val="none"/>
        </w:rPr>
        <w:t>的字样，若响应文件副本为正本的复印件，还需在谈判文件要求盖章处加盖单位公章。当正本和副本有差异时，以正本为准。</w:t>
      </w:r>
    </w:p>
    <w:p>
      <w:pPr>
        <w:pStyle w:val="4"/>
        <w:keepNext w:val="0"/>
        <w:keepLines w:val="0"/>
        <w:pageBreakBefore w:val="0"/>
        <w:widowControl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rPr>
      </w:pPr>
      <w:bookmarkStart w:id="30" w:name="_Toc14891071"/>
      <w:bookmarkStart w:id="31" w:name="_Toc28767"/>
      <w:r>
        <w:rPr>
          <w:rFonts w:hint="eastAsia" w:ascii="宋体" w:hAnsi="宋体" w:eastAsia="宋体" w:cs="宋体"/>
          <w:color w:val="auto"/>
          <w:sz w:val="21"/>
          <w:szCs w:val="21"/>
          <w:highlight w:val="none"/>
        </w:rPr>
        <w:t>四、响应文件的递交</w:t>
      </w:r>
      <w:bookmarkEnd w:id="30"/>
      <w:bookmarkEnd w:id="31"/>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15.</w:t>
      </w:r>
      <w:r>
        <w:rPr>
          <w:rFonts w:hint="eastAsia" w:ascii="宋体" w:hAnsi="宋体" w:eastAsia="宋体" w:cs="宋体"/>
          <w:b/>
          <w:color w:val="auto"/>
          <w:sz w:val="21"/>
          <w:szCs w:val="21"/>
          <w:highlight w:val="none"/>
        </w:rPr>
        <w:t>响应文件</w:t>
      </w:r>
      <w:r>
        <w:rPr>
          <w:rFonts w:hint="eastAsia" w:ascii="宋体" w:hAnsi="宋体" w:eastAsia="宋体" w:cs="宋体"/>
          <w:b/>
          <w:bCs/>
          <w:color w:val="auto"/>
          <w:sz w:val="21"/>
          <w:szCs w:val="21"/>
          <w:highlight w:val="none"/>
        </w:rPr>
        <w:t>的密封</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15.1谈判单位须将响应文件一正两副与电子文件一起密封包装。</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16.响应文件的标记</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16.1</w:t>
      </w:r>
      <w:r>
        <w:rPr>
          <w:rFonts w:hint="eastAsia" w:ascii="宋体" w:hAnsi="宋体" w:eastAsia="宋体" w:cs="宋体"/>
          <w:bCs/>
          <w:color w:val="auto"/>
          <w:sz w:val="21"/>
          <w:szCs w:val="21"/>
          <w:highlight w:val="none"/>
        </w:rPr>
        <w:t>响应文件的密封封套上须写明如下内容</w:t>
      </w:r>
      <w:r>
        <w:rPr>
          <w:rFonts w:hint="eastAsia" w:ascii="宋体" w:hAnsi="宋体" w:eastAsia="宋体" w:cs="宋体"/>
          <w:b w:val="0"/>
          <w:bCs w:val="0"/>
          <w:color w:val="auto"/>
          <w:sz w:val="21"/>
          <w:szCs w:val="21"/>
          <w:highlight w:val="none"/>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9" w:hRule="atLeast"/>
        </w:trPr>
        <w:tc>
          <w:tcPr>
            <w:tcW w:w="7938" w:type="dxa"/>
          </w:tcPr>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采购单位：</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谈判单位：</w:t>
            </w:r>
            <w:r>
              <w:rPr>
                <w:rFonts w:hint="eastAsia" w:ascii="宋体" w:hAnsi="宋体" w:eastAsia="宋体" w:cs="宋体"/>
                <w:color w:val="auto"/>
                <w:sz w:val="21"/>
                <w:szCs w:val="21"/>
                <w:highlight w:val="none"/>
                <w:u w:val="single"/>
              </w:rPr>
              <w:t xml:space="preserve">（填写单位名称并加盖单位公章）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日</w:t>
            </w:r>
          </w:p>
        </w:tc>
      </w:tr>
    </w:tbl>
    <w:p>
      <w:pPr>
        <w:adjustRightInd w:val="0"/>
        <w:snapToGrid w:val="0"/>
        <w:spacing w:line="360" w:lineRule="auto"/>
        <w:ind w:firstLine="413" w:firstLineChars="196"/>
        <w:rPr>
          <w:rFonts w:hint="eastAsia" w:ascii="宋体" w:hAnsi="宋体" w:eastAsia="宋体" w:cs="宋体"/>
          <w:b/>
          <w:bCs/>
          <w:color w:val="auto"/>
          <w:sz w:val="21"/>
          <w:szCs w:val="21"/>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17.响应文件的递交</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17.1谈判单位应按要求在</w:t>
      </w:r>
      <w:r>
        <w:rPr>
          <w:rFonts w:hint="eastAsia" w:ascii="宋体" w:hAnsi="宋体" w:eastAsia="宋体" w:cs="宋体"/>
          <w:color w:val="auto"/>
          <w:kern w:val="0"/>
          <w:sz w:val="21"/>
          <w:szCs w:val="21"/>
          <w:highlight w:val="none"/>
        </w:rPr>
        <w:t>响应文件递交截止时间</w:t>
      </w:r>
      <w:r>
        <w:rPr>
          <w:rFonts w:hint="eastAsia" w:ascii="宋体" w:hAnsi="宋体" w:eastAsia="宋体" w:cs="宋体"/>
          <w:color w:val="auto"/>
          <w:sz w:val="21"/>
          <w:szCs w:val="21"/>
          <w:highlight w:val="none"/>
        </w:rPr>
        <w:t>前，将响应文件送达指定地点，响应文件递交截止时间、地点及要求见</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在截止时间后送达的响应文件，采购单位应当拒收。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17.2采购单位在</w:t>
      </w:r>
      <w:r>
        <w:rPr>
          <w:rFonts w:hint="eastAsia" w:ascii="宋体" w:hAnsi="宋体" w:eastAsia="宋体" w:cs="宋体"/>
          <w:b/>
          <w:bCs/>
          <w:color w:val="auto"/>
          <w:sz w:val="21"/>
          <w:szCs w:val="21"/>
          <w:highlight w:val="none"/>
        </w:rPr>
        <w:t>前附表</w:t>
      </w:r>
      <w:r>
        <w:rPr>
          <w:rFonts w:hint="eastAsia" w:ascii="宋体" w:hAnsi="宋体" w:eastAsia="宋体" w:cs="宋体"/>
          <w:bCs/>
          <w:color w:val="auto"/>
          <w:sz w:val="21"/>
          <w:szCs w:val="21"/>
          <w:highlight w:val="none"/>
        </w:rPr>
        <w:t>规定的谈判时间和地点，组织谈判单位签到并接收谈判文件。</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rPr>
      </w:pPr>
      <w:bookmarkStart w:id="32" w:name="_Toc14891072"/>
      <w:bookmarkStart w:id="33" w:name="_Toc2544"/>
      <w:r>
        <w:rPr>
          <w:rFonts w:hint="eastAsia" w:ascii="宋体" w:hAnsi="宋体" w:eastAsia="宋体" w:cs="宋体"/>
          <w:color w:val="auto"/>
          <w:sz w:val="21"/>
          <w:szCs w:val="21"/>
          <w:highlight w:val="none"/>
        </w:rPr>
        <w:t>五、响应文件的评审</w:t>
      </w:r>
      <w:bookmarkEnd w:id="32"/>
      <w:bookmarkEnd w:id="33"/>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18.</w:t>
      </w:r>
      <w:r>
        <w:rPr>
          <w:rFonts w:hint="eastAsia" w:ascii="宋体" w:hAnsi="宋体" w:eastAsia="宋体" w:cs="宋体"/>
          <w:bCs/>
          <w:color w:val="auto"/>
          <w:sz w:val="21"/>
          <w:szCs w:val="21"/>
          <w:highlight w:val="none"/>
        </w:rPr>
        <w:t>评审由谈判评审小组负责，谈判评审小组应按照本谈判文件第三章“评审办法及标准”的内容和程序对响应文件进行评审。</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rPr>
      </w:pPr>
      <w:bookmarkStart w:id="34" w:name="_Toc14891073"/>
      <w:bookmarkStart w:id="35" w:name="_Toc21518"/>
      <w:r>
        <w:rPr>
          <w:rFonts w:hint="eastAsia" w:ascii="宋体" w:hAnsi="宋体" w:eastAsia="宋体" w:cs="宋体"/>
          <w:color w:val="auto"/>
          <w:sz w:val="21"/>
          <w:szCs w:val="21"/>
          <w:highlight w:val="none"/>
        </w:rPr>
        <w:t>六、响应文件的澄清、说明及补正</w:t>
      </w:r>
      <w:bookmarkEnd w:id="34"/>
      <w:bookmarkEnd w:id="35"/>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19.澄清</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19.1谈判评审小组可就响应文件中含糊之处要求谈判单位进行解释或澄清，谈判单位必须按照要求派法定代表人或授权委托人进行答疑和澄清。</w:t>
      </w:r>
    </w:p>
    <w:p>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20.说明及补正</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20.1必要时谈判评审小组可要求谈判单位就澄清的问题作书面回答或承诺，该书面回答或承诺应有谈判单位法定代表人或委托代理人的签字或盖章，并将作为响应文件的一部分。</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20.2谈判单位对响应文件的澄清不得改变谈判报价及实质内容。</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20.3与谈判文件有重大偏离的响应文件将被拒绝。重大偏离指谈判总报价、谈判有</w:t>
      </w:r>
      <w:r>
        <w:rPr>
          <w:rFonts w:hint="eastAsia" w:ascii="宋体" w:hAnsi="宋体" w:cs="宋体"/>
          <w:strike w:val="0"/>
          <w:dstrike w:val="0"/>
          <w:color w:val="auto"/>
          <w:kern w:val="0"/>
          <w:sz w:val="21"/>
          <w:szCs w:val="21"/>
          <w:highlight w:val="none"/>
          <w:lang w:eastAsia="zh-CN"/>
        </w:rPr>
        <w:t>效</w:t>
      </w:r>
      <w:r>
        <w:rPr>
          <w:rFonts w:hint="eastAsia" w:ascii="宋体" w:hAnsi="宋体" w:eastAsia="宋体" w:cs="宋体"/>
          <w:color w:val="auto"/>
          <w:kern w:val="0"/>
          <w:sz w:val="21"/>
          <w:szCs w:val="21"/>
          <w:highlight w:val="none"/>
        </w:rPr>
        <w:t>期、服务期明显不能满足谈判文件的要求。这些偏离不允许在响应文件递交截止时间之后修正。</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rPr>
      </w:pPr>
      <w:bookmarkStart w:id="36" w:name="_Toc14891074"/>
      <w:bookmarkStart w:id="37" w:name="_Toc2930"/>
      <w:r>
        <w:rPr>
          <w:rFonts w:hint="eastAsia" w:ascii="宋体" w:hAnsi="宋体" w:eastAsia="宋体" w:cs="宋体"/>
          <w:color w:val="auto"/>
          <w:sz w:val="21"/>
          <w:szCs w:val="21"/>
          <w:highlight w:val="none"/>
        </w:rPr>
        <w:t>七、中选结果与授予合同</w:t>
      </w:r>
      <w:bookmarkEnd w:id="36"/>
      <w:bookmarkEnd w:id="37"/>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21.中选信息的公布</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21.1中选单位确定后，采购单位应将结果信息在</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指定的媒体上公布，</w:t>
      </w:r>
      <w:r>
        <w:rPr>
          <w:rFonts w:hint="eastAsia" w:ascii="宋体" w:hAnsi="宋体" w:eastAsia="宋体" w:cs="宋体"/>
          <w:b/>
          <w:bCs/>
          <w:color w:val="auto"/>
          <w:sz w:val="21"/>
          <w:szCs w:val="21"/>
          <w:highlight w:val="none"/>
        </w:rPr>
        <w:t>公示期限为3个工作日</w:t>
      </w:r>
      <w:r>
        <w:rPr>
          <w:rFonts w:hint="eastAsia" w:ascii="宋体" w:hAnsi="宋体" w:eastAsia="宋体" w:cs="宋体"/>
          <w:color w:val="auto"/>
          <w:sz w:val="21"/>
          <w:szCs w:val="21"/>
          <w:highlight w:val="none"/>
        </w:rPr>
        <w:t>。</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22.评审结果异议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22.1谈判单位对评审结果有异议的，应当在结果公示期间提出。</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23.中选通知</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23.1中选单位确定后，采购单位将以书面形式向中选单位发出中选通知书。中选通知书对采购单位和中选单位具有同等法律效力。</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24.签订合同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24.1谈判文件、中选单位的响应文件及其补充的文件等均为签订合同的依据。</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24.2中选单位应当在中选通知书发出后及时与采购单位签订合同。</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24.3中选单位应当按照合同约定履行义务。</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25.纪律和监督</w:t>
      </w:r>
    </w:p>
    <w:p>
      <w:pPr>
        <w:keepNext w:val="0"/>
        <w:keepLines w:val="0"/>
        <w:pageBreakBefore w:val="0"/>
        <w:widowControl w:val="0"/>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25.1对采购单位的纪律要求</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采购单位不得泄露谈判活动中应当保密的情况和资料，不得与谈判单位串通损害国家利益、社会公共利益或者他人合法权益。</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25.2对谈判单位的纪律要求</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25.3对</w:t>
      </w:r>
      <w:r>
        <w:rPr>
          <w:rFonts w:hint="eastAsia" w:ascii="宋体" w:hAnsi="宋体" w:eastAsia="宋体" w:cs="宋体"/>
          <w:b/>
          <w:color w:val="auto"/>
          <w:sz w:val="21"/>
          <w:szCs w:val="21"/>
          <w:highlight w:val="none"/>
        </w:rPr>
        <w:t>谈判评审小组</w:t>
      </w:r>
      <w:r>
        <w:rPr>
          <w:rFonts w:hint="eastAsia" w:ascii="宋体" w:hAnsi="宋体" w:eastAsia="宋体" w:cs="宋体"/>
          <w:b/>
          <w:bCs/>
          <w:color w:val="auto"/>
          <w:sz w:val="21"/>
          <w:szCs w:val="21"/>
          <w:highlight w:val="none"/>
        </w:rPr>
        <w:t>成员的纪律要求</w:t>
      </w:r>
    </w:p>
    <w:p>
      <w:pPr>
        <w:pStyle w:val="357"/>
        <w:keepNext w:val="0"/>
        <w:keepLines w:val="0"/>
        <w:pageBreakBefore w:val="0"/>
        <w:widowControl w:val="0"/>
        <w:kinsoku/>
        <w:wordWrap/>
        <w:overflowPunct/>
        <w:topLinePunct w:val="0"/>
        <w:autoSpaceDE/>
        <w:autoSpaceDN/>
        <w:bidi w:val="0"/>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8" w:name="page32"/>
      <w:bookmarkEnd w:id="38"/>
      <w:r>
        <w:rPr>
          <w:rFonts w:hint="eastAsia" w:ascii="宋体" w:hAnsi="宋体" w:eastAsia="宋体" w:cs="宋体"/>
          <w:color w:val="auto"/>
          <w:sz w:val="21"/>
          <w:szCs w:val="21"/>
          <w:highlight w:val="none"/>
        </w:rPr>
        <w:t>三章“评审办法”没有规定的评审因素和标准进行评审。</w:t>
      </w:r>
    </w:p>
    <w:p>
      <w:pPr>
        <w:keepNext w:val="0"/>
        <w:keepLines w:val="0"/>
        <w:pageBreakBefore w:val="0"/>
        <w:widowControl w:val="0"/>
        <w:tabs>
          <w:tab w:val="left" w:pos="4040"/>
          <w:tab w:val="left" w:pos="4420"/>
          <w:tab w:val="left" w:pos="4520"/>
          <w:tab w:val="left" w:pos="4620"/>
          <w:tab w:val="left" w:pos="4980"/>
          <w:tab w:val="left" w:pos="5180"/>
          <w:tab w:val="left" w:pos="5780"/>
          <w:tab w:val="left" w:pos="6280"/>
          <w:tab w:val="left" w:pos="7420"/>
          <w:tab w:val="left" w:pos="8800"/>
        </w:tabs>
        <w:kinsoku/>
        <w:wordWrap/>
        <w:overflowPunct/>
        <w:topLinePunct w:val="0"/>
        <w:autoSpaceDE/>
        <w:autoSpaceDN/>
        <w:bidi w:val="0"/>
        <w:spacing w:line="360" w:lineRule="auto"/>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25.4对与评审活动有关的工作人员的纪律要求</w:t>
      </w:r>
    </w:p>
    <w:p>
      <w:pPr>
        <w:pStyle w:val="25"/>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4"/>
        <w:keepNext w:val="0"/>
        <w:keepLines w:val="0"/>
        <w:pageBreakBefore w:val="0"/>
        <w:kinsoku/>
        <w:wordWrap/>
        <w:overflowPunct/>
        <w:topLinePunct w:val="0"/>
        <w:autoSpaceDE/>
        <w:autoSpaceDN/>
        <w:bidi w:val="0"/>
        <w:spacing w:before="0" w:after="0" w:line="360" w:lineRule="auto"/>
        <w:jc w:val="both"/>
        <w:textAlignment w:val="auto"/>
        <w:outlineLvl w:val="1"/>
        <w:rPr>
          <w:rFonts w:hint="eastAsia" w:ascii="宋体" w:hAnsi="宋体" w:eastAsia="宋体" w:cs="宋体"/>
          <w:color w:val="auto"/>
          <w:sz w:val="21"/>
          <w:szCs w:val="21"/>
          <w:highlight w:val="none"/>
          <w:lang w:val="en-US" w:eastAsia="zh-CN"/>
        </w:rPr>
      </w:pPr>
      <w:bookmarkStart w:id="39" w:name="_Toc21884"/>
      <w:bookmarkStart w:id="40" w:name="_Toc14891075"/>
      <w:r>
        <w:rPr>
          <w:rFonts w:hint="eastAsia" w:ascii="宋体" w:hAnsi="宋体" w:eastAsia="宋体" w:cs="宋体"/>
          <w:color w:val="auto"/>
          <w:sz w:val="21"/>
          <w:szCs w:val="21"/>
          <w:highlight w:val="none"/>
        </w:rPr>
        <w:t>八、其他</w:t>
      </w:r>
      <w:bookmarkEnd w:id="39"/>
      <w:bookmarkEnd w:id="40"/>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提供的有关情况、文件、证明等资料与事实不符的行为，或在采购过程中存在其他违法违规行为的，按照不合格处理；被列为中选</w:t>
      </w:r>
      <w:r>
        <w:rPr>
          <w:rFonts w:hint="eastAsia" w:ascii="宋体" w:hAnsi="宋体" w:cs="宋体"/>
          <w:color w:val="auto"/>
          <w:sz w:val="21"/>
          <w:szCs w:val="21"/>
          <w:highlight w:val="none"/>
          <w:lang w:eastAsia="zh-CN"/>
        </w:rPr>
        <w:t>单位</w:t>
      </w:r>
      <w:r>
        <w:rPr>
          <w:rFonts w:hint="eastAsia" w:ascii="宋体" w:hAnsi="宋体" w:eastAsia="宋体" w:cs="宋体"/>
          <w:color w:val="auto"/>
          <w:sz w:val="21"/>
          <w:szCs w:val="21"/>
          <w:highlight w:val="none"/>
        </w:rPr>
        <w:t>的，取消中选</w:t>
      </w:r>
      <w:r>
        <w:rPr>
          <w:rFonts w:hint="eastAsia" w:ascii="宋体" w:hAnsi="宋体" w:cs="宋体"/>
          <w:color w:val="auto"/>
          <w:sz w:val="21"/>
          <w:szCs w:val="21"/>
          <w:highlight w:val="none"/>
          <w:lang w:eastAsia="zh-CN"/>
        </w:rPr>
        <w:t>单位</w:t>
      </w:r>
      <w:r>
        <w:rPr>
          <w:rFonts w:hint="eastAsia" w:ascii="宋体" w:hAnsi="宋体" w:eastAsia="宋体" w:cs="宋体"/>
          <w:color w:val="auto"/>
          <w:sz w:val="21"/>
          <w:szCs w:val="21"/>
          <w:highlight w:val="none"/>
        </w:rPr>
        <w:t>资格；已中选的，取消中选资格。同时，视其情节轻重处禁止参与长沙市轨道交通集团有限公司及下属子公司项目招标采购活动（最多三年），并依据国家有关规定进行处理。</w:t>
      </w:r>
    </w:p>
    <w:p>
      <w:pPr>
        <w:pStyle w:val="2"/>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中选单位中选后有下列情形之一的，责令限期改正，情节严重的，列入不良行为记录名单，禁止其1至3年内参加长沙市轨道交通运营有限公司招标采购活动，并予以通报：</w:t>
      </w:r>
    </w:p>
    <w:p>
      <w:pPr>
        <w:pStyle w:val="2"/>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1.成交后无正当理由不与采购人签订合同的；</w:t>
      </w:r>
    </w:p>
    <w:p>
      <w:pPr>
        <w:pStyle w:val="2"/>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2.未按照采购文件确定的事项签订采购合同，或者与采购人另行订立背离合同实质性内容的协议的；</w:t>
      </w:r>
    </w:p>
    <w:p>
      <w:pPr>
        <w:pStyle w:val="2"/>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3.拒绝履行合同义务的；</w:t>
      </w:r>
    </w:p>
    <w:p>
      <w:pPr>
        <w:pStyle w:val="2"/>
        <w:spacing w:line="360" w:lineRule="auto"/>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4.违反法律、规章、规范性文件规定的。</w:t>
      </w:r>
    </w:p>
    <w:p>
      <w:pPr>
        <w:pStyle w:val="2"/>
        <w:rPr>
          <w:color w:val="auto"/>
          <w:highlight w:val="none"/>
        </w:rPr>
      </w:pPr>
    </w:p>
    <w:p>
      <w:pPr>
        <w:adjustRightInd w:val="0"/>
        <w:snapToGrid w:val="0"/>
        <w:spacing w:line="360" w:lineRule="auto"/>
        <w:ind w:left="964" w:hanging="964" w:hangingChars="300"/>
        <w:jc w:val="center"/>
        <w:rPr>
          <w:rFonts w:ascii="黑体" w:eastAsia="黑体"/>
          <w:b/>
          <w:color w:val="auto"/>
          <w:sz w:val="32"/>
          <w:szCs w:val="32"/>
          <w:highlight w:val="none"/>
        </w:rPr>
        <w:sectPr>
          <w:footerReference r:id="rId6"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pPr>
        <w:adjustRightInd w:val="0"/>
        <w:snapToGrid w:val="0"/>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附件：采购代理服务费收费标准</w:t>
      </w:r>
    </w:p>
    <w:tbl>
      <w:tblPr>
        <w:tblStyle w:val="4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2451"/>
        <w:gridCol w:w="2325"/>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28" w:type="dxa"/>
            <w:tcBorders>
              <w:top w:val="single" w:color="auto" w:sz="12" w:space="0"/>
              <w:left w:val="single" w:color="auto" w:sz="12" w:space="0"/>
              <w:tl2br w:val="single" w:color="auto" w:sz="4" w:space="0"/>
            </w:tcBorders>
            <w:vAlign w:val="center"/>
          </w:tcPr>
          <w:p>
            <w:pPr>
              <w:adjustRightInd w:val="0"/>
              <w:snapToGrid w:val="0"/>
              <w:jc w:val="right"/>
              <w:rPr>
                <w:rFonts w:ascii="宋体" w:hAnsi="宋体"/>
                <w:color w:val="auto"/>
                <w:sz w:val="21"/>
                <w:szCs w:val="21"/>
                <w:highlight w:val="none"/>
              </w:rPr>
            </w:pPr>
            <w:r>
              <w:rPr>
                <w:rFonts w:hint="eastAsia" w:ascii="宋体" w:hAnsi="宋体"/>
                <w:color w:val="auto"/>
                <w:sz w:val="21"/>
                <w:szCs w:val="21"/>
                <w:highlight w:val="none"/>
              </w:rPr>
              <w:t>汇率</w:t>
            </w:r>
          </w:p>
          <w:p>
            <w:pPr>
              <w:adjustRightInd w:val="0"/>
              <w:snapToGrid w:val="0"/>
              <w:rPr>
                <w:rFonts w:ascii="宋体" w:hAnsi="宋体"/>
                <w:color w:val="auto"/>
                <w:sz w:val="21"/>
                <w:szCs w:val="21"/>
                <w:highlight w:val="none"/>
              </w:rPr>
            </w:pPr>
            <w:r>
              <w:rPr>
                <w:rFonts w:hint="eastAsia" w:ascii="宋体" w:hAnsi="宋体"/>
                <w:color w:val="auto"/>
                <w:sz w:val="21"/>
                <w:szCs w:val="21"/>
                <w:highlight w:val="none"/>
              </w:rPr>
              <w:t>中</w:t>
            </w:r>
            <w:r>
              <w:rPr>
                <w:rFonts w:ascii="宋体" w:hAnsi="宋体"/>
                <w:color w:val="auto"/>
                <w:sz w:val="21"/>
                <w:szCs w:val="21"/>
                <w:highlight w:val="none"/>
              </w:rPr>
              <w:t>选金额</w:t>
            </w:r>
          </w:p>
        </w:tc>
        <w:tc>
          <w:tcPr>
            <w:tcW w:w="2451" w:type="dxa"/>
            <w:tcBorders>
              <w:top w:val="single" w:color="auto" w:sz="12"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货物</w:t>
            </w:r>
            <w:r>
              <w:rPr>
                <w:rFonts w:ascii="宋体" w:hAnsi="宋体"/>
                <w:color w:val="auto"/>
                <w:sz w:val="21"/>
                <w:szCs w:val="21"/>
                <w:highlight w:val="none"/>
              </w:rPr>
              <w:t>采购</w:t>
            </w:r>
          </w:p>
        </w:tc>
        <w:tc>
          <w:tcPr>
            <w:tcW w:w="2325" w:type="dxa"/>
            <w:tcBorders>
              <w:top w:val="single" w:color="auto" w:sz="12"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服务</w:t>
            </w:r>
            <w:r>
              <w:rPr>
                <w:rFonts w:ascii="宋体" w:hAnsi="宋体"/>
                <w:color w:val="auto"/>
                <w:sz w:val="21"/>
                <w:szCs w:val="21"/>
                <w:highlight w:val="none"/>
              </w:rPr>
              <w:t>采购</w:t>
            </w:r>
          </w:p>
        </w:tc>
        <w:tc>
          <w:tcPr>
            <w:tcW w:w="2367" w:type="dxa"/>
            <w:tcBorders>
              <w:top w:val="single" w:color="auto" w:sz="12" w:space="0"/>
              <w:right w:val="single" w:color="auto" w:sz="12"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工程</w:t>
            </w:r>
            <w:r>
              <w:rPr>
                <w:rFonts w:ascii="宋体" w:hAnsi="宋体"/>
                <w:color w:val="auto"/>
                <w:sz w:val="21"/>
                <w:szCs w:val="21"/>
                <w:highlight w:val="none"/>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228" w:type="dxa"/>
            <w:tcBorders>
              <w:left w:val="single" w:color="auto" w:sz="12"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100万</w:t>
            </w:r>
            <w:r>
              <w:rPr>
                <w:rFonts w:ascii="宋体" w:hAnsi="宋体"/>
                <w:color w:val="auto"/>
                <w:sz w:val="21"/>
                <w:szCs w:val="21"/>
                <w:highlight w:val="none"/>
              </w:rPr>
              <w:t>元以下</w:t>
            </w:r>
          </w:p>
        </w:tc>
        <w:tc>
          <w:tcPr>
            <w:tcW w:w="2451" w:type="dxa"/>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1.5%</w:t>
            </w:r>
          </w:p>
        </w:tc>
        <w:tc>
          <w:tcPr>
            <w:tcW w:w="2325" w:type="dxa"/>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1.5%</w:t>
            </w:r>
          </w:p>
        </w:tc>
        <w:tc>
          <w:tcPr>
            <w:tcW w:w="2367" w:type="dxa"/>
            <w:tcBorders>
              <w:right w:val="single" w:color="auto" w:sz="12"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1.0</w:t>
            </w:r>
            <w:r>
              <w:rPr>
                <w:rFonts w:ascii="宋体"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228" w:type="dxa"/>
            <w:tcBorders>
              <w:left w:val="single" w:color="auto" w:sz="12"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100～400万</w:t>
            </w:r>
            <w:r>
              <w:rPr>
                <w:rFonts w:ascii="宋体" w:hAnsi="宋体"/>
                <w:color w:val="auto"/>
                <w:sz w:val="21"/>
                <w:szCs w:val="21"/>
                <w:highlight w:val="none"/>
              </w:rPr>
              <w:t>元</w:t>
            </w:r>
          </w:p>
        </w:tc>
        <w:tc>
          <w:tcPr>
            <w:tcW w:w="2451" w:type="dxa"/>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1.1%</w:t>
            </w:r>
          </w:p>
        </w:tc>
        <w:tc>
          <w:tcPr>
            <w:tcW w:w="2325" w:type="dxa"/>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0.8%</w:t>
            </w:r>
          </w:p>
        </w:tc>
        <w:tc>
          <w:tcPr>
            <w:tcW w:w="2367" w:type="dxa"/>
            <w:tcBorders>
              <w:right w:val="single" w:color="auto" w:sz="12"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228" w:type="dxa"/>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olor w:val="auto"/>
                <w:sz w:val="21"/>
                <w:szCs w:val="21"/>
                <w:highlight w:val="none"/>
              </w:rPr>
            </w:pPr>
            <w:r>
              <w:rPr>
                <w:rFonts w:hint="eastAsia" w:ascii="宋体" w:hAnsi="宋体"/>
                <w:color w:val="auto"/>
                <w:sz w:val="21"/>
                <w:szCs w:val="21"/>
                <w:highlight w:val="none"/>
              </w:rPr>
              <w:t>备注</w:t>
            </w:r>
          </w:p>
        </w:tc>
        <w:tc>
          <w:tcPr>
            <w:tcW w:w="7143" w:type="dxa"/>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olor w:val="auto"/>
                <w:sz w:val="21"/>
                <w:szCs w:val="21"/>
                <w:highlight w:val="none"/>
              </w:rPr>
            </w:pPr>
            <w:r>
              <w:rPr>
                <w:rFonts w:hint="eastAsia" w:ascii="宋体" w:hAnsi="宋体"/>
                <w:color w:val="auto"/>
                <w:sz w:val="21"/>
                <w:szCs w:val="21"/>
                <w:highlight w:val="none"/>
              </w:rPr>
              <w:t>采购代理</w:t>
            </w:r>
            <w:r>
              <w:rPr>
                <w:rFonts w:ascii="宋体" w:hAnsi="宋体"/>
                <w:color w:val="auto"/>
                <w:sz w:val="21"/>
                <w:szCs w:val="21"/>
                <w:highlight w:val="none"/>
              </w:rPr>
              <w:t>服务费的收费标准为：以中选价为基数，按《</w:t>
            </w:r>
            <w:r>
              <w:rPr>
                <w:rFonts w:hint="eastAsia" w:ascii="宋体" w:hAnsi="宋体"/>
                <w:color w:val="auto"/>
                <w:sz w:val="21"/>
                <w:szCs w:val="21"/>
                <w:highlight w:val="none"/>
              </w:rPr>
              <w:t>采购</w:t>
            </w:r>
            <w:r>
              <w:rPr>
                <w:rFonts w:ascii="宋体" w:hAnsi="宋体"/>
                <w:color w:val="auto"/>
                <w:sz w:val="21"/>
                <w:szCs w:val="21"/>
                <w:highlight w:val="none"/>
              </w:rPr>
              <w:t>代理服务收费参照汇率表》</w:t>
            </w:r>
            <w:r>
              <w:rPr>
                <w:rFonts w:hint="eastAsia" w:ascii="宋体" w:hAnsi="宋体"/>
                <w:color w:val="auto"/>
                <w:sz w:val="21"/>
                <w:szCs w:val="21"/>
                <w:highlight w:val="none"/>
              </w:rPr>
              <w:t>进行</w:t>
            </w:r>
            <w:r>
              <w:rPr>
                <w:rFonts w:ascii="宋体" w:hAnsi="宋体"/>
                <w:color w:val="auto"/>
                <w:sz w:val="21"/>
                <w:szCs w:val="21"/>
                <w:highlight w:val="none"/>
              </w:rPr>
              <w:t>计算后，向中选单位收取。服务</w:t>
            </w:r>
            <w:r>
              <w:rPr>
                <w:rFonts w:hint="eastAsia" w:ascii="宋体" w:hAnsi="宋体"/>
                <w:color w:val="auto"/>
                <w:sz w:val="21"/>
                <w:szCs w:val="21"/>
                <w:highlight w:val="none"/>
              </w:rPr>
              <w:t>费</w:t>
            </w:r>
            <w:r>
              <w:rPr>
                <w:rFonts w:ascii="宋体" w:hAnsi="宋体"/>
                <w:color w:val="auto"/>
                <w:sz w:val="21"/>
                <w:szCs w:val="21"/>
                <w:highlight w:val="none"/>
              </w:rPr>
              <w:t>超过</w:t>
            </w:r>
            <w:r>
              <w:rPr>
                <w:rFonts w:hint="eastAsia" w:ascii="宋体" w:hAnsi="宋体"/>
                <w:color w:val="auto"/>
                <w:sz w:val="21"/>
                <w:szCs w:val="21"/>
                <w:highlight w:val="none"/>
              </w:rPr>
              <w:t>2万</w:t>
            </w:r>
            <w:r>
              <w:rPr>
                <w:rFonts w:ascii="宋体" w:hAnsi="宋体"/>
                <w:color w:val="auto"/>
                <w:sz w:val="21"/>
                <w:szCs w:val="21"/>
                <w:highlight w:val="none"/>
              </w:rPr>
              <w:t>元的，按</w:t>
            </w:r>
            <w:r>
              <w:rPr>
                <w:rFonts w:hint="eastAsia" w:ascii="宋体" w:hAnsi="宋体"/>
                <w:color w:val="auto"/>
                <w:sz w:val="21"/>
                <w:szCs w:val="21"/>
                <w:highlight w:val="none"/>
              </w:rPr>
              <w:t>2万</w:t>
            </w:r>
            <w:r>
              <w:rPr>
                <w:rFonts w:ascii="宋体" w:hAnsi="宋体"/>
                <w:color w:val="auto"/>
                <w:sz w:val="21"/>
                <w:szCs w:val="21"/>
                <w:highlight w:val="none"/>
              </w:rPr>
              <w:t>元</w:t>
            </w:r>
            <w:r>
              <w:rPr>
                <w:rFonts w:hint="eastAsia" w:ascii="宋体" w:hAnsi="宋体"/>
                <w:color w:val="auto"/>
                <w:sz w:val="21"/>
                <w:szCs w:val="21"/>
                <w:highlight w:val="none"/>
              </w:rPr>
              <w:t>计</w:t>
            </w:r>
            <w:r>
              <w:rPr>
                <w:rFonts w:ascii="宋体" w:hAnsi="宋体"/>
                <w:color w:val="auto"/>
                <w:sz w:val="21"/>
                <w:szCs w:val="21"/>
                <w:highlight w:val="none"/>
              </w:rPr>
              <w:t>取，服务费低于</w:t>
            </w:r>
            <w:r>
              <w:rPr>
                <w:rFonts w:hint="eastAsia" w:ascii="宋体" w:hAnsi="宋体"/>
                <w:color w:val="auto"/>
                <w:sz w:val="21"/>
                <w:szCs w:val="21"/>
                <w:highlight w:val="none"/>
              </w:rPr>
              <w:t>5000元</w:t>
            </w:r>
            <w:r>
              <w:rPr>
                <w:rFonts w:ascii="宋体" w:hAnsi="宋体"/>
                <w:color w:val="auto"/>
                <w:sz w:val="21"/>
                <w:szCs w:val="21"/>
                <w:highlight w:val="none"/>
              </w:rPr>
              <w:t>的，按</w:t>
            </w:r>
            <w:r>
              <w:rPr>
                <w:rFonts w:hint="eastAsia" w:ascii="宋体" w:hAnsi="宋体"/>
                <w:color w:val="auto"/>
                <w:sz w:val="21"/>
                <w:szCs w:val="21"/>
                <w:highlight w:val="none"/>
              </w:rPr>
              <w:t>5000元</w:t>
            </w:r>
            <w:r>
              <w:rPr>
                <w:rFonts w:ascii="宋体" w:hAnsi="宋体"/>
                <w:color w:val="auto"/>
                <w:sz w:val="21"/>
                <w:szCs w:val="21"/>
                <w:highlight w:val="none"/>
              </w:rPr>
              <w:t>计取。</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注：采购代理服务收费按差额定率累进法计算。</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例如：某工程采购代理业务中选金额为300万元，计算采购代理服务收费额如下：</w:t>
      </w:r>
    </w:p>
    <w:p>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100万元×1.0%＝1万元</w:t>
      </w:r>
    </w:p>
    <w:p>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（300-100）万元×0.7%＝1.4万元</w:t>
      </w:r>
    </w:p>
    <w:p>
      <w:pPr>
        <w:adjustRightInd w:val="0"/>
        <w:snapToGri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合计收费＝1+1.4＝2.4（万元）</w:t>
      </w:r>
    </w:p>
    <w:p>
      <w:pPr>
        <w:adjustRightInd w:val="0"/>
        <w:snapToGrid w:val="0"/>
        <w:spacing w:line="360" w:lineRule="auto"/>
        <w:ind w:firstLine="420" w:firstLineChars="200"/>
        <w:jc w:val="left"/>
        <w:rPr>
          <w:rFonts w:hint="eastAsia" w:ascii="宋体" w:hAnsi="宋体" w:eastAsia="宋体" w:cs="宋体"/>
          <w:b/>
          <w:color w:val="auto"/>
          <w:sz w:val="21"/>
          <w:szCs w:val="21"/>
          <w:highlight w:val="none"/>
        </w:rPr>
        <w:sectPr>
          <w:footerReference r:id="rId7"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sz w:val="21"/>
          <w:szCs w:val="21"/>
          <w:highlight w:val="none"/>
        </w:rPr>
        <w:t>本项目采购代理服务费为2万元</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val="0"/>
          <w:color w:val="auto"/>
          <w:sz w:val="32"/>
          <w:szCs w:val="32"/>
          <w:highlight w:val="none"/>
        </w:rPr>
      </w:pPr>
      <w:bookmarkStart w:id="41" w:name="_Toc21097"/>
      <w:bookmarkStart w:id="42" w:name="_Toc5567"/>
      <w:bookmarkStart w:id="43" w:name="_Toc4275"/>
      <w:bookmarkStart w:id="44" w:name="_Toc28427"/>
      <w:r>
        <w:rPr>
          <w:rFonts w:hint="eastAsia" w:ascii="宋体" w:hAnsi="宋体" w:eastAsia="宋体" w:cs="宋体"/>
          <w:bCs w:val="0"/>
          <w:color w:val="auto"/>
          <w:sz w:val="32"/>
          <w:szCs w:val="32"/>
          <w:highlight w:val="none"/>
        </w:rPr>
        <w:t>第三章  评审办法及标准</w:t>
      </w:r>
      <w:bookmarkEnd w:id="41"/>
      <w:bookmarkEnd w:id="42"/>
      <w:bookmarkEnd w:id="43"/>
      <w:bookmarkEnd w:id="44"/>
    </w:p>
    <w:p>
      <w:pPr>
        <w:adjustRightInd w:val="0"/>
        <w:snapToGrid w:val="0"/>
        <w:spacing w:line="360" w:lineRule="auto"/>
        <w:ind w:left="723" w:hanging="632" w:hangingChars="300"/>
        <w:rPr>
          <w:rFonts w:hint="eastAsia" w:ascii="宋体" w:hAnsi="宋体" w:eastAsia="宋体" w:cs="宋体"/>
          <w:b/>
          <w:color w:val="auto"/>
          <w:sz w:val="21"/>
          <w:szCs w:val="21"/>
          <w:highlight w:val="none"/>
        </w:rPr>
      </w:pP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一、评审办法</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1.本项目采用经符合性审查合格后的</w:t>
      </w:r>
      <w:r>
        <w:rPr>
          <w:rFonts w:hint="eastAsia" w:ascii="宋体" w:hAnsi="宋体" w:eastAsia="宋体" w:cs="宋体"/>
          <w:b/>
          <w:bCs/>
          <w:color w:val="auto"/>
          <w:sz w:val="21"/>
          <w:szCs w:val="21"/>
          <w:highlight w:val="none"/>
          <w:u w:val="single"/>
        </w:rPr>
        <w:t>最低价法</w:t>
      </w:r>
      <w:r>
        <w:rPr>
          <w:rFonts w:hint="eastAsia" w:ascii="宋体" w:hAnsi="宋体" w:eastAsia="宋体" w:cs="宋体"/>
          <w:b w:val="0"/>
          <w:bCs w:val="0"/>
          <w:color w:val="auto"/>
          <w:sz w:val="21"/>
          <w:szCs w:val="21"/>
          <w:highlight w:val="none"/>
        </w:rPr>
        <w:t>。</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二、谈判程序</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采购单位在前附表内规定的谈判时间及地点组织谈判活动。谈判活动由采购单位、谈判单位代表参与。</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highlight w:val="none"/>
        </w:rPr>
      </w:pPr>
      <w:r>
        <w:rPr>
          <w:rFonts w:hint="eastAsia" w:ascii="宋体" w:hAnsi="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谈判程序分为：</w:t>
      </w:r>
      <w:r>
        <w:rPr>
          <w:rFonts w:hint="eastAsia" w:ascii="宋体" w:hAnsi="宋体" w:eastAsia="宋体" w:cs="宋体"/>
          <w:b/>
          <w:color w:val="auto"/>
          <w:sz w:val="21"/>
          <w:szCs w:val="21"/>
          <w:highlight w:val="none"/>
        </w:rPr>
        <w:t>谈判验证阶段及谈判评审阶段。</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三、谈判验证阶段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谈判验证阶段分为身份验证和唱价。</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身份验证阶段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1采购单位按本文件前附表内规定的响应文件的谈判现场验证要求，对参与谈判的单位代表身份进行验证。</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2参与谈判的代表身份经验证不合格的，视为无效响应，</w:t>
      </w:r>
      <w:r>
        <w:rPr>
          <w:rFonts w:hint="eastAsia" w:ascii="宋体" w:hAnsi="宋体" w:eastAsia="宋体" w:cs="宋体"/>
          <w:color w:val="auto"/>
          <w:sz w:val="21"/>
          <w:szCs w:val="21"/>
          <w:highlight w:val="none"/>
        </w:rPr>
        <w:t>不得进入下一阶段。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3.2</w:t>
      </w:r>
      <w:r>
        <w:rPr>
          <w:rFonts w:hint="eastAsia" w:ascii="宋体" w:hAnsi="宋体" w:eastAsia="宋体" w:cs="宋体"/>
          <w:bCs/>
          <w:color w:val="auto"/>
          <w:sz w:val="21"/>
          <w:szCs w:val="21"/>
          <w:highlight w:val="none"/>
        </w:rPr>
        <w:t>.唱价阶段</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3.2</w:t>
      </w:r>
      <w:r>
        <w:rPr>
          <w:rFonts w:hint="eastAsia" w:ascii="宋体" w:hAnsi="宋体" w:eastAsia="宋体" w:cs="宋体"/>
          <w:bCs/>
          <w:color w:val="auto"/>
          <w:sz w:val="21"/>
          <w:szCs w:val="21"/>
          <w:highlight w:val="none"/>
        </w:rPr>
        <w:t>.1身份验证结束后，由采购单位当众拆封经身份验证合格的谈判单位的谈判响应文件，宣读响应文件中《报价一览表》内容，并记录在案。</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.2</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谈判单位法定代表人或授权委托人、现场</w:t>
      </w:r>
      <w:r>
        <w:rPr>
          <w:rFonts w:hint="eastAsia" w:ascii="宋体" w:hAnsi="宋体" w:cs="宋体"/>
          <w:bCs/>
          <w:color w:val="auto"/>
          <w:szCs w:val="21"/>
          <w:highlight w:val="none"/>
        </w:rPr>
        <w:t>监督员</w:t>
      </w:r>
      <w:r>
        <w:rPr>
          <w:rFonts w:hint="eastAsia" w:ascii="宋体" w:hAnsi="宋体" w:eastAsia="宋体" w:cs="宋体"/>
          <w:bCs/>
          <w:color w:val="auto"/>
          <w:sz w:val="21"/>
          <w:szCs w:val="21"/>
          <w:highlight w:val="none"/>
        </w:rPr>
        <w:t>、记录人等有关人员在</w:t>
      </w:r>
      <w:r>
        <w:rPr>
          <w:rFonts w:hint="eastAsia" w:ascii="宋体" w:hAnsi="宋体" w:cs="宋体"/>
          <w:bCs/>
          <w:strike w:val="0"/>
          <w:dstrike w:val="0"/>
          <w:color w:val="auto"/>
          <w:sz w:val="21"/>
          <w:szCs w:val="21"/>
          <w:highlight w:val="none"/>
          <w:lang w:eastAsia="zh-CN"/>
        </w:rPr>
        <w:t>《谈判报价记录一览表》</w:t>
      </w:r>
      <w:r>
        <w:rPr>
          <w:rFonts w:hint="eastAsia" w:ascii="宋体" w:hAnsi="宋体" w:eastAsia="宋体" w:cs="宋体"/>
          <w:bCs/>
          <w:color w:val="auto"/>
          <w:sz w:val="21"/>
          <w:szCs w:val="21"/>
          <w:highlight w:val="none"/>
        </w:rPr>
        <w:t>上签字确认，谈判单位对本阶段有异议的应当场提出，采购</w:t>
      </w:r>
      <w:r>
        <w:rPr>
          <w:rFonts w:hint="eastAsia" w:ascii="宋体" w:hAnsi="宋体" w:cs="宋体"/>
          <w:bCs/>
          <w:color w:val="auto"/>
          <w:sz w:val="21"/>
          <w:szCs w:val="21"/>
          <w:highlight w:val="none"/>
          <w:lang w:eastAsia="zh-CN"/>
        </w:rPr>
        <w:t>单位</w:t>
      </w:r>
      <w:r>
        <w:rPr>
          <w:rFonts w:hint="eastAsia" w:ascii="宋体" w:hAnsi="宋体" w:eastAsia="宋体" w:cs="宋体"/>
          <w:bCs/>
          <w:color w:val="auto"/>
          <w:sz w:val="21"/>
          <w:szCs w:val="21"/>
          <w:highlight w:val="none"/>
        </w:rPr>
        <w:t>当场作出答复，并记录在案，未提出的，视为无异议。</w:t>
      </w:r>
    </w:p>
    <w:p>
      <w:pPr>
        <w:keepNext w:val="0"/>
        <w:keepLines w:val="0"/>
        <w:pageBreakBefore w:val="0"/>
        <w:kinsoku/>
        <w:wordWrap/>
        <w:overflowPunct/>
        <w:topLinePunct w:val="0"/>
        <w:autoSpaceDE/>
        <w:autoSpaceDN/>
        <w:bidi w:val="0"/>
        <w:adjustRightInd w:val="0"/>
        <w:snapToGrid w:val="0"/>
        <w:spacing w:line="360" w:lineRule="auto"/>
        <w:ind w:left="0" w:hanging="632" w:hangingChars="300"/>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四、谈判</w:t>
      </w:r>
      <w:r>
        <w:rPr>
          <w:rFonts w:hint="eastAsia" w:ascii="宋体" w:hAnsi="宋体" w:eastAsia="宋体" w:cs="宋体"/>
          <w:b/>
          <w:color w:val="auto"/>
          <w:sz w:val="21"/>
          <w:szCs w:val="21"/>
          <w:highlight w:val="none"/>
          <w:lang w:eastAsia="zh-CN"/>
        </w:rPr>
        <w:t>评审</w:t>
      </w:r>
      <w:r>
        <w:rPr>
          <w:rFonts w:hint="eastAsia" w:ascii="宋体" w:hAnsi="宋体" w:eastAsia="宋体" w:cs="宋体"/>
          <w:b/>
          <w:color w:val="auto"/>
          <w:sz w:val="21"/>
          <w:szCs w:val="21"/>
          <w:highlight w:val="none"/>
        </w:rPr>
        <w:t>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谈判评审阶段分为符合性审查、详细评审及推荐中选单位。</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.符合性审查阶段</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符合性审查分为对谈判单位资格的符合性审查及报价的符合性审查。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.1资格的符合性审查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谈判评审</w:t>
      </w:r>
      <w:r>
        <w:rPr>
          <w:rFonts w:hint="eastAsia" w:ascii="宋体" w:hAnsi="宋体" w:eastAsia="宋体" w:cs="宋体"/>
          <w:bCs/>
          <w:color w:val="auto"/>
          <w:sz w:val="21"/>
          <w:szCs w:val="21"/>
          <w:highlight w:val="none"/>
        </w:rPr>
        <w:t>小组</w:t>
      </w:r>
      <w:r>
        <w:rPr>
          <w:rFonts w:hint="eastAsia" w:ascii="宋体" w:hAnsi="宋体" w:eastAsia="宋体" w:cs="宋体"/>
          <w:color w:val="auto"/>
          <w:sz w:val="21"/>
          <w:szCs w:val="21"/>
          <w:highlight w:val="none"/>
        </w:rPr>
        <w:t>根据本谈判文件</w:t>
      </w:r>
      <w:r>
        <w:rPr>
          <w:rFonts w:hint="eastAsia" w:ascii="宋体" w:hAnsi="宋体" w:eastAsia="宋体" w:cs="宋体"/>
          <w:b/>
          <w:color w:val="auto"/>
          <w:sz w:val="21"/>
          <w:szCs w:val="21"/>
          <w:highlight w:val="none"/>
        </w:rPr>
        <w:t>前附表</w:t>
      </w:r>
      <w:r>
        <w:rPr>
          <w:rFonts w:hint="eastAsia" w:ascii="宋体" w:hAnsi="宋体" w:eastAsia="宋体" w:cs="宋体"/>
          <w:color w:val="auto"/>
          <w:sz w:val="21"/>
          <w:szCs w:val="21"/>
          <w:highlight w:val="none"/>
        </w:rPr>
        <w:t>内规定的谈判单位资格要求，对谈判单位进行符合性审查，资格审查以谈判单位递交的原件资料为准。</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.2报价的符合性审查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谈判评审小组根据谈判文件的规定，对报价文件的有效性、完整性等进行符合性审查。</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.3有下列情形之一的，为符合性审查不合格，视为无效响应，不进入下一阶段：</w:t>
      </w:r>
    </w:p>
    <w:p>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（1）未按照谈判文件规定要求签署盖章的</w:t>
      </w:r>
      <w:r>
        <w:rPr>
          <w:rFonts w:hint="eastAsia" w:ascii="宋体" w:hAnsi="宋体"/>
          <w:color w:val="auto"/>
          <w:szCs w:val="21"/>
          <w:highlight w:val="none"/>
          <w:lang w:eastAsia="zh-CN"/>
        </w:rPr>
        <w:t>。</w:t>
      </w:r>
    </w:p>
    <w:p>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（2）响应</w:t>
      </w:r>
      <w:r>
        <w:rPr>
          <w:rFonts w:hint="eastAsia" w:ascii="宋体" w:hAnsi="宋体" w:cs="宋体"/>
          <w:color w:val="auto"/>
          <w:kern w:val="0"/>
          <w:szCs w:val="21"/>
          <w:highlight w:val="none"/>
        </w:rPr>
        <w:t>文件有效期不满足谈判文件规定的</w:t>
      </w:r>
      <w:r>
        <w:rPr>
          <w:rFonts w:hint="eastAsia" w:ascii="宋体" w:hAnsi="宋体" w:cs="宋体"/>
          <w:color w:val="auto"/>
          <w:kern w:val="0"/>
          <w:szCs w:val="21"/>
          <w:highlight w:val="none"/>
          <w:lang w:eastAsia="zh-CN"/>
        </w:rPr>
        <w:t>。</w:t>
      </w:r>
    </w:p>
    <w:p>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hint="eastAsia" w:ascii="宋体" w:hAnsi="宋体"/>
          <w:color w:val="auto"/>
          <w:szCs w:val="21"/>
          <w:highlight w:val="none"/>
          <w:lang w:eastAsia="zh-CN"/>
        </w:rPr>
        <w:t>未带</w:t>
      </w:r>
      <w:r>
        <w:rPr>
          <w:rFonts w:hint="eastAsia" w:ascii="宋体" w:hAnsi="宋体"/>
          <w:color w:val="auto"/>
          <w:szCs w:val="21"/>
          <w:highlight w:val="none"/>
          <w:lang w:val="en-US" w:eastAsia="zh-CN"/>
        </w:rPr>
        <w:t>加盖谈判单位公章</w:t>
      </w:r>
      <w:r>
        <w:rPr>
          <w:rFonts w:hint="eastAsia" w:ascii="宋体" w:hAnsi="宋体"/>
          <w:color w:val="auto"/>
          <w:szCs w:val="21"/>
          <w:highlight w:val="none"/>
          <w:lang w:eastAsia="zh-CN"/>
        </w:rPr>
        <w:t>的营业执照副本</w:t>
      </w:r>
      <w:r>
        <w:rPr>
          <w:rFonts w:hint="eastAsia" w:ascii="宋体" w:hAnsi="宋体"/>
          <w:color w:val="auto"/>
          <w:szCs w:val="21"/>
          <w:highlight w:val="none"/>
          <w:lang w:val="en-US" w:eastAsia="zh-CN"/>
        </w:rPr>
        <w:t>复印件的。</w:t>
      </w:r>
    </w:p>
    <w:p>
      <w:pPr>
        <w:adjustRightInd w:val="0"/>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hint="eastAsia" w:ascii="宋体" w:hAnsi="宋体"/>
          <w:color w:val="auto"/>
          <w:szCs w:val="21"/>
          <w:highlight w:val="none"/>
        </w:rPr>
        <w:t>不满足资格条件要求的</w:t>
      </w:r>
      <w:r>
        <w:rPr>
          <w:rFonts w:hint="eastAsia" w:ascii="宋体" w:hAnsi="宋体"/>
          <w:color w:val="auto"/>
          <w:szCs w:val="21"/>
          <w:highlight w:val="none"/>
          <w:lang w:eastAsia="zh-CN"/>
        </w:rPr>
        <w:t>。</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）不满足</w:t>
      </w:r>
      <w:r>
        <w:rPr>
          <w:rFonts w:hint="eastAsia" w:ascii="宋体" w:hAnsi="宋体"/>
          <w:color w:val="auto"/>
          <w:szCs w:val="21"/>
          <w:highlight w:val="none"/>
          <w:lang w:val="en-US" w:eastAsia="zh-CN"/>
        </w:rPr>
        <w:t>用户需求书要求的。</w:t>
      </w:r>
    </w:p>
    <w:p>
      <w:pPr>
        <w:adjustRightInd w:val="0"/>
        <w:snapToGrid w:val="0"/>
        <w:spacing w:line="360" w:lineRule="auto"/>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超过</w:t>
      </w:r>
      <w:r>
        <w:rPr>
          <w:rFonts w:hint="eastAsia" w:ascii="宋体" w:hAnsi="宋体"/>
          <w:color w:val="auto"/>
          <w:szCs w:val="21"/>
          <w:highlight w:val="none"/>
        </w:rPr>
        <w:t>谈判</w:t>
      </w:r>
      <w:r>
        <w:rPr>
          <w:rFonts w:hint="eastAsia" w:ascii="宋体" w:hAnsi="宋体"/>
          <w:color w:val="auto"/>
          <w:szCs w:val="21"/>
          <w:highlight w:val="none"/>
          <w:lang w:eastAsia="zh-CN"/>
        </w:rPr>
        <w:t>最高限价</w:t>
      </w:r>
      <w:r>
        <w:rPr>
          <w:rFonts w:hint="eastAsia" w:ascii="宋体" w:hAnsi="宋体"/>
          <w:color w:val="auto"/>
          <w:szCs w:val="21"/>
          <w:highlight w:val="none"/>
        </w:rPr>
        <w:t>的</w:t>
      </w:r>
      <w:r>
        <w:rPr>
          <w:rFonts w:hint="eastAsia" w:ascii="宋体" w:hAnsi="宋体" w:cs="宋体"/>
          <w:color w:val="auto"/>
          <w:kern w:val="0"/>
          <w:szCs w:val="21"/>
          <w:highlight w:val="none"/>
          <w:lang w:eastAsia="zh-CN"/>
        </w:rPr>
        <w:t>。</w:t>
      </w:r>
    </w:p>
    <w:p>
      <w:pPr>
        <w:adjustRightInd w:val="0"/>
        <w:snapToGrid w:val="0"/>
        <w:spacing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）递交两份或多份内容不同的报价文件，或在一份报价文件中对同一项目报有两个或多个报价，且未声明哪一个有效的。</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color w:val="auto"/>
          <w:sz w:val="21"/>
          <w:szCs w:val="21"/>
          <w:highlight w:val="none"/>
          <w:lang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8</w:t>
      </w:r>
      <w:r>
        <w:rPr>
          <w:rFonts w:hint="eastAsia" w:ascii="宋体" w:hAnsi="宋体"/>
          <w:color w:val="auto"/>
          <w:szCs w:val="21"/>
          <w:highlight w:val="none"/>
          <w:lang w:eastAsia="zh-CN"/>
        </w:rPr>
        <w:t>）</w:t>
      </w:r>
      <w:r>
        <w:rPr>
          <w:rFonts w:hint="eastAsia" w:ascii="宋体" w:hAnsi="宋体"/>
          <w:color w:val="auto"/>
          <w:szCs w:val="21"/>
          <w:highlight w:val="none"/>
        </w:rPr>
        <w:t>被长沙市轨道交通集团有限公司及长沙市轨道交通运营有限公司函告禁止在一定期限内参与投标的单位按函告内容执行。</w:t>
      </w:r>
    </w:p>
    <w:p>
      <w:pPr>
        <w:keepNext w:val="0"/>
        <w:keepLines w:val="0"/>
        <w:pageBreakBefore w:val="0"/>
        <w:kinsoku/>
        <w:wordWrap/>
        <w:overflowPunct/>
        <w:topLinePunct w:val="0"/>
        <w:autoSpaceDE/>
        <w:autoSpaceDN/>
        <w:bidi w:val="0"/>
        <w:adjustRightInd w:val="0"/>
        <w:snapToGrid w:val="0"/>
        <w:spacing w:line="360" w:lineRule="auto"/>
        <w:ind w:left="0"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详细评审阶段</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.1谈判评审小组应按以下要求对经符合性审查合格的谈判单位进行详细评审：</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kern w:val="0"/>
          <w:sz w:val="21"/>
          <w:szCs w:val="21"/>
          <w:highlight w:val="none"/>
        </w:rPr>
        <w:t>以经谈判评审小组一致认定满足《竞争性谈判文件》要求且</w:t>
      </w:r>
      <w:r>
        <w:rPr>
          <w:rFonts w:hint="eastAsia" w:ascii="宋体" w:hAnsi="宋体" w:eastAsia="宋体" w:cs="宋体"/>
          <w:b/>
          <w:bCs/>
          <w:color w:val="auto"/>
          <w:kern w:val="0"/>
          <w:sz w:val="21"/>
          <w:szCs w:val="21"/>
          <w:highlight w:val="none"/>
        </w:rPr>
        <w:t>谈判总报价</w:t>
      </w:r>
      <w:r>
        <w:rPr>
          <w:rFonts w:hint="eastAsia" w:ascii="宋体" w:hAnsi="宋体" w:eastAsia="宋体" w:cs="宋体"/>
          <w:color w:val="auto"/>
          <w:kern w:val="0"/>
          <w:sz w:val="21"/>
          <w:szCs w:val="21"/>
          <w:highlight w:val="none"/>
        </w:rPr>
        <w:t>最低的报价为基准价，其得分为满分</w:t>
      </w:r>
      <w:r>
        <w:rPr>
          <w:rFonts w:hint="eastAsia" w:ascii="宋体" w:hAnsi="宋体" w:cs="宋体"/>
          <w:color w:val="auto"/>
          <w:kern w:val="0"/>
          <w:sz w:val="2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其他有效单位的得分统一按下列公式计算（保留2位小数，第3位四舍五入）：谈判单位得分=(基准价／谈判总报价)×100</w:t>
      </w:r>
    </w:p>
    <w:p>
      <w:pPr>
        <w:keepNext w:val="0"/>
        <w:keepLines w:val="0"/>
        <w:pageBreakBefore w:val="0"/>
        <w:kinsoku/>
        <w:wordWrap/>
        <w:overflowPunct/>
        <w:topLinePunct w:val="0"/>
        <w:autoSpaceDE/>
        <w:autoSpaceDN/>
        <w:bidi w:val="0"/>
        <w:adjustRightInd w:val="0"/>
        <w:snapToGrid w:val="0"/>
        <w:spacing w:line="360" w:lineRule="auto"/>
        <w:ind w:left="0" w:firstLine="413" w:firstLineChars="196"/>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.推荐中选单位</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.1</w:t>
      </w:r>
      <w:r>
        <w:rPr>
          <w:rFonts w:hint="eastAsia" w:ascii="宋体" w:hAnsi="宋体" w:eastAsia="宋体" w:cs="宋体"/>
          <w:color w:val="auto"/>
          <w:kern w:val="0"/>
          <w:sz w:val="21"/>
          <w:szCs w:val="21"/>
          <w:highlight w:val="none"/>
        </w:rPr>
        <w:t>谈判评审小组应当在全部评审结束后，按照得分由高到低顺序推荐1名中选单位，并填写评审报告。</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.2全部评审结束后，若出现报价得分相同的情形，则采用现场抽签方式确定中选单位。</w:t>
      </w:r>
    </w:p>
    <w:p>
      <w:pPr>
        <w:keepNext w:val="0"/>
        <w:keepLines w:val="0"/>
        <w:pageBreakBefore w:val="0"/>
        <w:widowControl/>
        <w:kinsoku/>
        <w:wordWrap/>
        <w:overflowPunct/>
        <w:topLinePunct w:val="0"/>
        <w:autoSpaceDE/>
        <w:autoSpaceDN/>
        <w:bidi w:val="0"/>
        <w:adjustRightInd w:val="0"/>
        <w:snapToGrid w:val="0"/>
        <w:spacing w:line="360" w:lineRule="auto"/>
        <w:ind w:left="0" w:firstLine="420" w:firstLineChars="200"/>
        <w:jc w:val="both"/>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中选单位放弃中选、因不可抗力不能履行合同，或者被查实存在影响中选结果的违法行为等情形，不符合中选条件的，采购</w:t>
      </w:r>
      <w:r>
        <w:rPr>
          <w:rFonts w:hint="eastAsia" w:ascii="宋体" w:hAnsi="宋体" w:eastAsia="宋体" w:cs="宋体"/>
          <w:color w:val="auto"/>
          <w:kern w:val="0"/>
          <w:sz w:val="21"/>
          <w:szCs w:val="21"/>
          <w:highlight w:val="none"/>
          <w:lang w:eastAsia="zh-CN"/>
        </w:rPr>
        <w:t>单位</w:t>
      </w:r>
      <w:r>
        <w:rPr>
          <w:rFonts w:hint="eastAsia" w:ascii="宋体" w:hAnsi="宋体" w:cs="宋体"/>
          <w:color w:val="auto"/>
          <w:kern w:val="0"/>
          <w:sz w:val="21"/>
          <w:szCs w:val="21"/>
          <w:highlight w:val="none"/>
          <w:lang w:eastAsia="zh-CN"/>
        </w:rPr>
        <w:t>可以依次确定排序靠后的中选候选单位为中选单位或</w:t>
      </w:r>
      <w:r>
        <w:rPr>
          <w:rFonts w:hint="eastAsia" w:ascii="宋体" w:hAnsi="宋体" w:eastAsia="宋体" w:cs="宋体"/>
          <w:color w:val="auto"/>
          <w:kern w:val="0"/>
          <w:sz w:val="21"/>
          <w:szCs w:val="21"/>
          <w:highlight w:val="none"/>
        </w:rPr>
        <w:t>重新采购。</w:t>
      </w:r>
    </w:p>
    <w:p>
      <w:pPr>
        <w:rPr>
          <w:rFonts w:ascii="宋体" w:hAnsi="宋体"/>
          <w:bCs/>
          <w:color w:val="auto"/>
          <w:szCs w:val="21"/>
          <w:highlight w:val="none"/>
        </w:rPr>
        <w:sectPr>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color w:val="auto"/>
          <w:kern w:val="0"/>
          <w:sz w:val="21"/>
          <w:szCs w:val="21"/>
          <w:highlight w:val="none"/>
        </w:rPr>
        <w:br w:type="page"/>
      </w:r>
    </w:p>
    <w:p>
      <w:pPr>
        <w:pStyle w:val="3"/>
        <w:keepNext w:val="0"/>
        <w:rPr>
          <w:color w:val="auto"/>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45" w:name="_Toc17562"/>
      <w:bookmarkStart w:id="46" w:name="_Toc23442"/>
      <w:bookmarkStart w:id="47" w:name="_Toc14891077"/>
      <w:bookmarkStart w:id="48" w:name="_Toc17997"/>
      <w:bookmarkStart w:id="49" w:name="_Toc1907"/>
      <w:r>
        <w:rPr>
          <w:rFonts w:hint="eastAsia" w:ascii="宋体" w:hAnsi="宋体" w:eastAsia="宋体" w:cs="宋体"/>
          <w:bCs w:val="0"/>
          <w:color w:val="auto"/>
          <w:sz w:val="32"/>
          <w:szCs w:val="32"/>
          <w:highlight w:val="none"/>
        </w:rPr>
        <w:t>第四章  用户需求书</w:t>
      </w:r>
      <w:bookmarkEnd w:id="45"/>
      <w:bookmarkEnd w:id="46"/>
      <w:bookmarkEnd w:id="47"/>
      <w:bookmarkEnd w:id="48"/>
      <w:r>
        <w:rPr>
          <w:rFonts w:hint="eastAsia" w:ascii="宋体" w:hAnsi="宋体" w:cs="宋体"/>
          <w:bCs w:val="0"/>
          <w:color w:val="auto"/>
          <w:sz w:val="32"/>
          <w:szCs w:val="32"/>
          <w:highlight w:val="none"/>
          <w:lang w:eastAsia="zh-CN"/>
        </w:rPr>
        <w:t>（另册）</w:t>
      </w:r>
      <w:bookmarkEnd w:id="49"/>
    </w:p>
    <w:p>
      <w:pPr>
        <w:pStyle w:val="3"/>
        <w:keepNext w:val="0"/>
        <w:jc w:val="center"/>
        <w:rPr>
          <w:rFonts w:hint="eastAsia" w:ascii="仿宋_GB2312" w:hAnsi="仿宋_GB2312" w:eastAsia="仿宋_GB2312" w:cs="仿宋_GB2312"/>
          <w:b/>
          <w:color w:val="auto"/>
          <w:sz w:val="24"/>
          <w:highlight w:val="none"/>
        </w:rPr>
      </w:pPr>
      <w:bookmarkStart w:id="50" w:name="_Toc17441"/>
      <w:bookmarkStart w:id="51" w:name="_Toc28179"/>
      <w:bookmarkStart w:id="52" w:name="_Toc13521"/>
      <w:bookmarkStart w:id="53" w:name="_Toc14891078"/>
      <w:bookmarkStart w:id="54" w:name="_Toc22262"/>
      <w:r>
        <w:rPr>
          <w:rFonts w:hint="eastAsia" w:ascii="宋体" w:hAnsi="宋体" w:eastAsia="宋体" w:cs="宋体"/>
          <w:bCs w:val="0"/>
          <w:color w:val="auto"/>
          <w:sz w:val="32"/>
          <w:szCs w:val="32"/>
          <w:highlight w:val="none"/>
        </w:rPr>
        <w:t xml:space="preserve">第五章 </w:t>
      </w:r>
      <w:r>
        <w:rPr>
          <w:rFonts w:hint="eastAsia" w:ascii="宋体" w:hAnsi="宋体" w:cs="宋体"/>
          <w:bCs w:val="0"/>
          <w:color w:val="auto"/>
          <w:sz w:val="32"/>
          <w:szCs w:val="32"/>
          <w:highlight w:val="none"/>
          <w:lang w:val="en-US" w:eastAsia="zh-CN"/>
        </w:rPr>
        <w:t xml:space="preserve"> </w:t>
      </w:r>
      <w:r>
        <w:rPr>
          <w:rFonts w:hint="eastAsia" w:ascii="宋体" w:hAnsi="宋体" w:eastAsia="宋体" w:cs="宋体"/>
          <w:bCs w:val="0"/>
          <w:color w:val="auto"/>
          <w:sz w:val="32"/>
          <w:szCs w:val="32"/>
          <w:highlight w:val="none"/>
        </w:rPr>
        <w:t>合同格式条款</w:t>
      </w:r>
      <w:bookmarkEnd w:id="50"/>
      <w:bookmarkEnd w:id="51"/>
      <w:bookmarkEnd w:id="52"/>
      <w:bookmarkEnd w:id="53"/>
      <w:bookmarkEnd w:id="54"/>
      <w:bookmarkStart w:id="55" w:name="_Toc227520433"/>
      <w:bookmarkEnd w:id="55"/>
      <w:bookmarkStart w:id="56" w:name="_Toc367274929"/>
      <w:bookmarkEnd w:id="56"/>
      <w:bookmarkStart w:id="57" w:name="_Toc20891"/>
      <w:bookmarkStart w:id="58" w:name="_Toc5097"/>
      <w:bookmarkStart w:id="59" w:name="_Toc29654"/>
    </w:p>
    <w:p>
      <w:pPr>
        <w:wordWrap w:val="0"/>
        <w:adjustRightInd w:val="0"/>
        <w:snapToGrid w:val="0"/>
        <w:spacing w:line="360" w:lineRule="auto"/>
        <w:ind w:firstLine="2891" w:firstLineChars="1200"/>
        <w:jc w:val="right"/>
        <w:outlineLvl w:val="3"/>
        <w:rPr>
          <w:rFonts w:hint="default" w:ascii="仿宋_GB2312" w:hAnsi="仿宋_GB2312" w:eastAsia="仿宋_GB2312" w:cs="仿宋_GB2312"/>
          <w:color w:val="auto"/>
          <w:sz w:val="22"/>
          <w:szCs w:val="18"/>
          <w:highlight w:val="none"/>
          <w:lang w:val="en-US"/>
        </w:rPr>
      </w:pPr>
      <w:r>
        <w:rPr>
          <w:rFonts w:hint="eastAsia" w:ascii="仿宋_GB2312" w:hAnsi="仿宋_GB2312" w:eastAsia="仿宋_GB2312" w:cs="仿宋_GB2312"/>
          <w:b/>
          <w:color w:val="auto"/>
          <w:sz w:val="24"/>
          <w:highlight w:val="none"/>
        </w:rPr>
        <w:t>合同编号：</w:t>
      </w:r>
      <w:r>
        <w:rPr>
          <w:rFonts w:hint="eastAsia" w:ascii="仿宋_GB2312" w:hAnsi="仿宋_GB2312" w:eastAsia="仿宋_GB2312" w:cs="仿宋_GB2312"/>
          <w:color w:val="auto"/>
          <w:sz w:val="24"/>
          <w:highlight w:val="none"/>
          <w:u w:val="dotted"/>
          <w:lang w:val="en-US" w:eastAsia="zh-CN"/>
        </w:rPr>
        <w:t>长轨运   服合【2022】     号</w:t>
      </w:r>
    </w:p>
    <w:p>
      <w:pPr>
        <w:adjustRightInd w:val="0"/>
        <w:snapToGrid w:val="0"/>
        <w:spacing w:line="360" w:lineRule="auto"/>
        <w:outlineLvl w:val="3"/>
        <w:rPr>
          <w:rFonts w:hint="eastAsia" w:ascii="仿宋_GB2312" w:hAnsi="仿宋_GB2312" w:eastAsia="仿宋_GB2312" w:cs="仿宋_GB2312"/>
          <w:b/>
          <w:color w:val="auto"/>
          <w:sz w:val="18"/>
          <w:szCs w:val="18"/>
          <w:highlight w:val="none"/>
        </w:rPr>
      </w:pPr>
    </w:p>
    <w:p>
      <w:pPr>
        <w:adjustRightInd w:val="0"/>
        <w:snapToGrid w:val="0"/>
        <w:spacing w:line="360" w:lineRule="auto"/>
        <w:outlineLvl w:val="3"/>
        <w:rPr>
          <w:rFonts w:hint="eastAsia" w:ascii="仿宋_GB2312" w:hAnsi="仿宋_GB2312" w:eastAsia="仿宋_GB2312" w:cs="仿宋_GB2312"/>
          <w:b/>
          <w:color w:val="auto"/>
          <w:sz w:val="18"/>
          <w:szCs w:val="18"/>
          <w:highlight w:val="none"/>
        </w:rPr>
      </w:pPr>
    </w:p>
    <w:p>
      <w:pPr>
        <w:adjustRightInd w:val="0"/>
        <w:snapToGrid w:val="0"/>
        <w:spacing w:line="360" w:lineRule="auto"/>
        <w:outlineLvl w:val="3"/>
        <w:rPr>
          <w:rFonts w:hint="eastAsia" w:ascii="仿宋_GB2312" w:hAnsi="仿宋_GB2312" w:eastAsia="仿宋_GB2312" w:cs="仿宋_GB2312"/>
          <w:b/>
          <w:color w:val="auto"/>
          <w:sz w:val="18"/>
          <w:szCs w:val="18"/>
          <w:highlight w:val="none"/>
        </w:rPr>
      </w:pPr>
    </w:p>
    <w:p>
      <w:pPr>
        <w:adjustRightInd w:val="0"/>
        <w:snapToGrid w:val="0"/>
        <w:spacing w:line="360" w:lineRule="auto"/>
        <w:outlineLvl w:val="3"/>
        <w:rPr>
          <w:rFonts w:hint="eastAsia" w:ascii="仿宋_GB2312" w:hAnsi="仿宋_GB2312" w:eastAsia="仿宋_GB2312" w:cs="仿宋_GB2312"/>
          <w:b/>
          <w:color w:val="auto"/>
          <w:sz w:val="18"/>
          <w:szCs w:val="18"/>
          <w:highlight w:val="none"/>
        </w:rPr>
      </w:pPr>
    </w:p>
    <w:p>
      <w:pPr>
        <w:adjustRightInd w:val="0"/>
        <w:snapToGrid w:val="0"/>
        <w:spacing w:line="360" w:lineRule="auto"/>
        <w:outlineLvl w:val="3"/>
        <w:rPr>
          <w:rFonts w:hint="eastAsia" w:ascii="仿宋_GB2312" w:hAnsi="仿宋_GB2312" w:eastAsia="仿宋_GB2312" w:cs="仿宋_GB2312"/>
          <w:b/>
          <w:color w:val="auto"/>
          <w:sz w:val="18"/>
          <w:szCs w:val="18"/>
          <w:highlight w:val="none"/>
        </w:rPr>
      </w:pPr>
    </w:p>
    <w:p>
      <w:pPr>
        <w:snapToGrid w:val="0"/>
        <w:jc w:val="center"/>
        <w:outlineLvl w:val="3"/>
        <w:rPr>
          <w:rFonts w:hint="eastAsia" w:ascii="仿宋_GB2312" w:hAnsi="仿宋_GB2312" w:eastAsia="仿宋_GB2312" w:cs="仿宋_GB2312"/>
          <w:b/>
          <w:color w:val="auto"/>
          <w:sz w:val="52"/>
          <w:szCs w:val="52"/>
          <w:highlight w:val="none"/>
        </w:rPr>
      </w:pPr>
    </w:p>
    <w:p>
      <w:pPr>
        <w:snapToGrid w:val="0"/>
        <w:jc w:val="center"/>
        <w:outlineLvl w:val="3"/>
        <w:rPr>
          <w:rFonts w:hint="eastAsia" w:ascii="仿宋_GB2312" w:hAnsi="仿宋_GB2312" w:eastAsia="仿宋_GB2312" w:cs="仿宋_GB2312"/>
          <w:b/>
          <w:color w:val="auto"/>
          <w:sz w:val="52"/>
          <w:szCs w:val="52"/>
          <w:highlight w:val="none"/>
        </w:rPr>
      </w:pPr>
      <w:r>
        <w:rPr>
          <w:rFonts w:hint="eastAsia" w:ascii="仿宋_GB2312" w:hAnsi="仿宋_GB2312" w:eastAsia="仿宋_GB2312" w:cs="仿宋_GB2312"/>
          <w:b/>
          <w:color w:val="auto"/>
          <w:sz w:val="52"/>
          <w:szCs w:val="52"/>
          <w:highlight w:val="none"/>
        </w:rPr>
        <w:t>技术服务合同</w:t>
      </w:r>
    </w:p>
    <w:p>
      <w:pPr>
        <w:adjustRightInd w:val="0"/>
        <w:snapToGrid w:val="0"/>
        <w:spacing w:line="360" w:lineRule="auto"/>
        <w:jc w:val="center"/>
        <w:outlineLvl w:val="3"/>
        <w:rPr>
          <w:rFonts w:hint="eastAsia" w:ascii="仿宋_GB2312" w:hAnsi="仿宋_GB2312" w:eastAsia="仿宋_GB2312" w:cs="仿宋_GB2312"/>
          <w:b/>
          <w:color w:val="auto"/>
          <w:sz w:val="18"/>
          <w:szCs w:val="18"/>
          <w:highlight w:val="none"/>
        </w:rPr>
      </w:pPr>
      <w:r>
        <w:rPr>
          <w:rFonts w:hint="eastAsia" w:ascii="仿宋_GB2312" w:hAnsi="仿宋_GB2312" w:eastAsia="仿宋_GB2312" w:cs="仿宋_GB2312"/>
          <w:b/>
          <w:color w:val="auto"/>
          <w:spacing w:val="20"/>
          <w:sz w:val="48"/>
          <w:szCs w:val="48"/>
          <w:highlight w:val="none"/>
        </w:rPr>
        <w:t xml:space="preserve"> </w:t>
      </w:r>
    </w:p>
    <w:p>
      <w:pPr>
        <w:ind w:firstLine="1445" w:firstLineChars="514"/>
        <w:outlineLvl w:val="3"/>
        <w:rPr>
          <w:rFonts w:hint="eastAsia" w:ascii="仿宋_GB2312" w:hAnsi="仿宋_GB2312" w:eastAsia="仿宋_GB2312" w:cs="仿宋_GB2312"/>
          <w:b/>
          <w:color w:val="auto"/>
          <w:sz w:val="28"/>
          <w:szCs w:val="28"/>
          <w:highlight w:val="none"/>
        </w:rPr>
      </w:pPr>
    </w:p>
    <w:p>
      <w:pPr>
        <w:adjustRightInd w:val="0"/>
        <w:snapToGrid w:val="0"/>
        <w:spacing w:line="360" w:lineRule="auto"/>
        <w:ind w:firstLine="835" w:firstLineChars="297"/>
        <w:outlineLvl w:val="3"/>
        <w:rPr>
          <w:rFonts w:hint="default" w:ascii="仿宋_GB2312" w:hAnsi="仿宋_GB2312" w:eastAsia="仿宋_GB2312" w:cs="仿宋_GB2312"/>
          <w:b/>
          <w:color w:val="auto"/>
          <w:sz w:val="28"/>
          <w:szCs w:val="28"/>
          <w:highlight w:val="none"/>
          <w:u w:val="dotted"/>
          <w:lang w:val="en-US" w:eastAsia="zh-CN"/>
        </w:rPr>
      </w:pPr>
      <w:r>
        <w:rPr>
          <w:rFonts w:hint="eastAsia" w:ascii="仿宋_GB2312" w:hAnsi="仿宋_GB2312" w:eastAsia="仿宋_GB2312" w:cs="仿宋_GB2312"/>
          <w:b/>
          <w:color w:val="auto"/>
          <w:sz w:val="28"/>
          <w:szCs w:val="28"/>
          <w:highlight w:val="none"/>
        </w:rPr>
        <w:t>项目名称：</w:t>
      </w:r>
      <w:r>
        <w:rPr>
          <w:rFonts w:hint="eastAsia" w:ascii="仿宋_GB2312" w:hAnsi="仿宋_GB2312" w:eastAsia="仿宋_GB2312" w:cs="仿宋_GB2312"/>
          <w:b/>
          <w:color w:val="auto"/>
          <w:sz w:val="28"/>
          <w:szCs w:val="28"/>
          <w:highlight w:val="none"/>
          <w:u w:val="dotted"/>
          <w:lang w:val="en-US" w:eastAsia="zh-CN"/>
        </w:rPr>
        <w:t>长沙市轨道交通1、2、3、4、5号线运营期2022年-2023年计量器具及化验委外检测服务项目</w:t>
      </w:r>
    </w:p>
    <w:p>
      <w:pPr>
        <w:adjustRightInd w:val="0"/>
        <w:snapToGrid w:val="0"/>
        <w:spacing w:line="360" w:lineRule="auto"/>
        <w:ind w:firstLine="835" w:firstLineChars="297"/>
        <w:outlineLvl w:val="3"/>
        <w:rPr>
          <w:rFonts w:hint="eastAsia" w:ascii="仿宋_GB2312" w:hAnsi="仿宋_GB2312" w:eastAsia="仿宋_GB2312" w:cs="仿宋_GB2312"/>
          <w:b/>
          <w:color w:val="auto"/>
          <w:sz w:val="28"/>
          <w:szCs w:val="28"/>
          <w:highlight w:val="none"/>
          <w:u w:val="dotted"/>
        </w:rPr>
      </w:pPr>
    </w:p>
    <w:p>
      <w:pPr>
        <w:adjustRightInd w:val="0"/>
        <w:snapToGrid w:val="0"/>
        <w:spacing w:line="360" w:lineRule="auto"/>
        <w:ind w:firstLine="835" w:firstLineChars="297"/>
        <w:outlineLvl w:val="3"/>
        <w:rPr>
          <w:rFonts w:hint="eastAsia"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项目地点：</w:t>
      </w:r>
      <w:r>
        <w:rPr>
          <w:rFonts w:hint="eastAsia" w:ascii="仿宋_GB2312" w:hAnsi="仿宋_GB2312" w:eastAsia="仿宋_GB2312" w:cs="仿宋_GB2312"/>
          <w:b/>
          <w:color w:val="auto"/>
          <w:sz w:val="28"/>
          <w:szCs w:val="28"/>
          <w:highlight w:val="none"/>
          <w:u w:val="dotted"/>
        </w:rPr>
        <w:t xml:space="preserve">  湖南省长沙市 </w:t>
      </w:r>
    </w:p>
    <w:p>
      <w:pPr>
        <w:adjustRightInd w:val="0"/>
        <w:snapToGrid w:val="0"/>
        <w:spacing w:line="360" w:lineRule="auto"/>
        <w:outlineLvl w:val="3"/>
        <w:rPr>
          <w:rFonts w:hint="eastAsia" w:ascii="仿宋_GB2312" w:hAnsi="仿宋_GB2312" w:eastAsia="仿宋_GB2312" w:cs="仿宋_GB2312"/>
          <w:b/>
          <w:color w:val="auto"/>
          <w:sz w:val="28"/>
          <w:szCs w:val="28"/>
          <w:highlight w:val="none"/>
        </w:rPr>
      </w:pPr>
    </w:p>
    <w:p>
      <w:pPr>
        <w:adjustRightInd w:val="0"/>
        <w:snapToGrid w:val="0"/>
        <w:spacing w:line="360" w:lineRule="auto"/>
        <w:ind w:firstLine="843" w:firstLineChars="300"/>
        <w:outlineLvl w:val="3"/>
        <w:rPr>
          <w:rFonts w:hint="eastAsia" w:ascii="仿宋_GB2312" w:hAnsi="仿宋_GB2312" w:eastAsia="仿宋_GB2312" w:cs="仿宋_GB2312"/>
          <w:b/>
          <w:color w:val="auto"/>
          <w:sz w:val="28"/>
          <w:szCs w:val="28"/>
          <w:highlight w:val="none"/>
        </w:rPr>
      </w:pPr>
    </w:p>
    <w:p>
      <w:pPr>
        <w:adjustRightInd w:val="0"/>
        <w:snapToGrid w:val="0"/>
        <w:spacing w:line="360" w:lineRule="auto"/>
        <w:ind w:firstLine="843" w:firstLineChars="300"/>
        <w:outlineLvl w:val="3"/>
        <w:rPr>
          <w:rFonts w:hint="default" w:ascii="仿宋_GB2312" w:hAnsi="仿宋_GB2312" w:eastAsia="仿宋_GB2312" w:cs="仿宋_GB2312"/>
          <w:b/>
          <w:color w:val="auto"/>
          <w:sz w:val="28"/>
          <w:szCs w:val="28"/>
          <w:highlight w:val="none"/>
          <w:u w:val="dotted"/>
          <w:lang w:val="en-US"/>
        </w:rPr>
      </w:pPr>
      <w:r>
        <w:rPr>
          <w:rFonts w:hint="eastAsia" w:ascii="仿宋_GB2312" w:hAnsi="仿宋_GB2312" w:eastAsia="仿宋_GB2312" w:cs="仿宋_GB2312"/>
          <w:b/>
          <w:color w:val="auto"/>
          <w:sz w:val="28"/>
          <w:szCs w:val="28"/>
          <w:highlight w:val="none"/>
        </w:rPr>
        <w:t>委 托 人：</w:t>
      </w:r>
      <w:r>
        <w:rPr>
          <w:rFonts w:hint="eastAsia" w:ascii="仿宋_GB2312" w:hAnsi="仿宋_GB2312" w:eastAsia="仿宋_GB2312" w:cs="仿宋_GB2312"/>
          <w:b/>
          <w:color w:val="auto"/>
          <w:sz w:val="28"/>
          <w:szCs w:val="28"/>
          <w:highlight w:val="none"/>
          <w:u w:val="dotted"/>
          <w:lang w:val="en-US" w:eastAsia="zh-CN"/>
        </w:rPr>
        <w:t xml:space="preserve">                       </w:t>
      </w:r>
    </w:p>
    <w:p>
      <w:pPr>
        <w:adjustRightInd w:val="0"/>
        <w:snapToGrid w:val="0"/>
        <w:spacing w:line="360" w:lineRule="auto"/>
        <w:ind w:firstLine="1344" w:firstLineChars="478"/>
        <w:outlineLvl w:val="3"/>
        <w:rPr>
          <w:rFonts w:hint="eastAsia" w:ascii="仿宋_GB2312" w:hAnsi="仿宋_GB2312" w:eastAsia="仿宋_GB2312" w:cs="仿宋_GB2312"/>
          <w:b/>
          <w:color w:val="auto"/>
          <w:sz w:val="28"/>
          <w:szCs w:val="28"/>
          <w:highlight w:val="none"/>
        </w:rPr>
      </w:pPr>
    </w:p>
    <w:p>
      <w:pPr>
        <w:adjustRightInd w:val="0"/>
        <w:snapToGrid w:val="0"/>
        <w:spacing w:line="360" w:lineRule="auto"/>
        <w:ind w:firstLine="835" w:firstLineChars="297"/>
        <w:outlineLvl w:val="3"/>
        <w:rPr>
          <w:rFonts w:hint="default" w:ascii="仿宋_GB2312" w:hAnsi="仿宋_GB2312" w:eastAsia="仿宋_GB2312" w:cs="仿宋_GB2312"/>
          <w:b/>
          <w:color w:val="auto"/>
          <w:sz w:val="18"/>
          <w:szCs w:val="18"/>
          <w:highlight w:val="none"/>
          <w:lang w:val="en-US"/>
        </w:rPr>
      </w:pPr>
      <w:r>
        <w:rPr>
          <w:rFonts w:hint="eastAsia" w:ascii="仿宋_GB2312" w:hAnsi="仿宋_GB2312" w:eastAsia="仿宋_GB2312" w:cs="仿宋_GB2312"/>
          <w:b/>
          <w:color w:val="auto"/>
          <w:sz w:val="28"/>
          <w:szCs w:val="28"/>
          <w:highlight w:val="none"/>
        </w:rPr>
        <w:t>受 托 人：</w:t>
      </w:r>
      <w:r>
        <w:rPr>
          <w:rFonts w:hint="eastAsia" w:ascii="仿宋_GB2312" w:hAnsi="仿宋_GB2312" w:eastAsia="仿宋_GB2312" w:cs="仿宋_GB2312"/>
          <w:b/>
          <w:color w:val="auto"/>
          <w:sz w:val="28"/>
          <w:szCs w:val="28"/>
          <w:highlight w:val="none"/>
          <w:u w:val="dotted"/>
          <w:lang w:val="en-US" w:eastAsia="zh-CN"/>
        </w:rPr>
        <w:t xml:space="preserve">                                 </w:t>
      </w:r>
    </w:p>
    <w:p>
      <w:pPr>
        <w:adjustRightInd w:val="0"/>
        <w:snapToGrid w:val="0"/>
        <w:spacing w:line="400" w:lineRule="exact"/>
        <w:ind w:firstLine="480" w:firstLineChars="200"/>
        <w:outlineLvl w:val="3"/>
        <w:rPr>
          <w:rFonts w:hint="eastAsia" w:ascii="仿宋_GB2312" w:hAnsi="仿宋_GB2312" w:eastAsia="仿宋_GB2312" w:cs="仿宋_GB2312"/>
          <w:color w:val="auto"/>
          <w:sz w:val="24"/>
          <w:highlight w:val="none"/>
        </w:rPr>
        <w:sectPr>
          <w:headerReference r:id="rId10" w:type="default"/>
          <w:footerReference r:id="rId11" w:type="default"/>
          <w:endnotePr>
            <w:numFmt w:val="decimal"/>
          </w:endnotePr>
          <w:pgSz w:w="11906" w:h="16838"/>
          <w:pgMar w:top="1440" w:right="1797" w:bottom="1440" w:left="1797" w:header="851" w:footer="850" w:gutter="0"/>
          <w:pgNumType w:fmt="decimal"/>
          <w:cols w:space="720" w:num="1"/>
          <w:docGrid w:type="lines" w:linePitch="312" w:charSpace="0"/>
        </w:sect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bookmarkStart w:id="60" w:name="_Toc8825"/>
      <w:r>
        <w:rPr>
          <w:rFonts w:hint="eastAsia" w:ascii="仿宋_GB2312" w:hAnsi="仿宋_GB2312" w:eastAsia="仿宋_GB2312" w:cs="仿宋_GB2312"/>
          <w:b/>
          <w:bCs/>
          <w:color w:val="auto"/>
          <w:kern w:val="0"/>
          <w:sz w:val="32"/>
          <w:szCs w:val="32"/>
          <w:highlight w:val="none"/>
        </w:rPr>
        <w:t>第一部分 合同协议书</w:t>
      </w:r>
      <w:bookmarkEnd w:id="60"/>
    </w:p>
    <w:p>
      <w:pPr>
        <w:adjustRightInd w:val="0"/>
        <w:snapToGrid w:val="0"/>
        <w:spacing w:line="360" w:lineRule="auto"/>
        <w:jc w:val="left"/>
        <w:outlineLvl w:val="3"/>
        <w:rPr>
          <w:rFonts w:hint="eastAsia" w:ascii="仿宋_GB2312" w:hAnsi="仿宋_GB2312" w:eastAsia="仿宋_GB2312" w:cs="仿宋_GB2312"/>
          <w:b/>
          <w:color w:val="auto"/>
          <w:kern w:val="0"/>
          <w:sz w:val="24"/>
          <w:szCs w:val="24"/>
          <w:highlight w:val="none"/>
        </w:rPr>
      </w:pPr>
    </w:p>
    <w:p>
      <w:pPr>
        <w:adjustRightInd w:val="0"/>
        <w:snapToGrid w:val="0"/>
        <w:spacing w:line="360" w:lineRule="auto"/>
        <w:jc w:val="left"/>
        <w:outlineLvl w:val="3"/>
        <w:rPr>
          <w:rFonts w:hint="default" w:ascii="仿宋_GB2312" w:hAnsi="仿宋_GB2312" w:eastAsia="仿宋_GB2312" w:cs="仿宋_GB2312"/>
          <w:b w:val="0"/>
          <w:bCs/>
          <w:color w:val="auto"/>
          <w:kern w:val="0"/>
          <w:sz w:val="24"/>
          <w:szCs w:val="24"/>
          <w:highlight w:val="none"/>
          <w:u w:val="single"/>
          <w:lang w:val="en-US" w:eastAsia="zh-CN"/>
        </w:rPr>
      </w:pPr>
      <w:r>
        <w:rPr>
          <w:rFonts w:hint="eastAsia" w:ascii="仿宋_GB2312" w:hAnsi="仿宋_GB2312" w:eastAsia="仿宋_GB2312" w:cs="仿宋_GB2312"/>
          <w:b/>
          <w:color w:val="auto"/>
          <w:kern w:val="0"/>
          <w:sz w:val="24"/>
          <w:szCs w:val="24"/>
          <w:highlight w:val="none"/>
        </w:rPr>
        <w:t>委托人（以下简称甲方）：</w:t>
      </w:r>
      <w:r>
        <w:rPr>
          <w:rFonts w:hint="eastAsia" w:ascii="仿宋_GB2312" w:hAnsi="仿宋_GB2312" w:eastAsia="仿宋_GB2312" w:cs="仿宋_GB2312"/>
          <w:b w:val="0"/>
          <w:bCs/>
          <w:color w:val="auto"/>
          <w:kern w:val="0"/>
          <w:sz w:val="24"/>
          <w:szCs w:val="24"/>
          <w:highlight w:val="none"/>
          <w:u w:val="single"/>
          <w:lang w:val="en-US" w:eastAsia="zh-CN"/>
        </w:rPr>
        <w:t xml:space="preserve">                      </w:t>
      </w:r>
    </w:p>
    <w:p>
      <w:pPr>
        <w:adjustRightInd w:val="0"/>
        <w:snapToGrid w:val="0"/>
        <w:spacing w:line="360" w:lineRule="auto"/>
        <w:jc w:val="left"/>
        <w:outlineLvl w:val="3"/>
        <w:rPr>
          <w:rFonts w:hint="default" w:ascii="仿宋_GB2312" w:hAnsi="仿宋_GB2312" w:eastAsia="仿宋_GB2312" w:cs="仿宋_GB2312"/>
          <w:b w:val="0"/>
          <w:bCs/>
          <w:color w:val="auto"/>
          <w:kern w:val="0"/>
          <w:sz w:val="24"/>
          <w:szCs w:val="24"/>
          <w:highlight w:val="none"/>
          <w:u w:val="single"/>
          <w:lang w:val="en-US" w:eastAsia="zh-CN"/>
        </w:rPr>
      </w:pPr>
      <w:r>
        <w:rPr>
          <w:rFonts w:hint="eastAsia" w:ascii="仿宋_GB2312" w:hAnsi="仿宋_GB2312" w:eastAsia="仿宋_GB2312" w:cs="仿宋_GB2312"/>
          <w:b/>
          <w:color w:val="auto"/>
          <w:kern w:val="0"/>
          <w:sz w:val="24"/>
          <w:szCs w:val="24"/>
          <w:highlight w:val="none"/>
        </w:rPr>
        <w:t>受托人（以下简称乙方）：</w:t>
      </w:r>
      <w:r>
        <w:rPr>
          <w:rFonts w:hint="eastAsia" w:ascii="仿宋_GB2312" w:hAnsi="仿宋_GB2312" w:eastAsia="仿宋_GB2312" w:cs="仿宋_GB2312"/>
          <w:b/>
          <w:color w:val="auto"/>
          <w:kern w:val="0"/>
          <w:sz w:val="24"/>
          <w:szCs w:val="24"/>
          <w:highlight w:val="none"/>
          <w:u w:val="single"/>
          <w:lang w:val="en-US" w:eastAsia="zh-CN"/>
        </w:rPr>
        <w:t xml:space="preserve"> </w:t>
      </w:r>
      <w:r>
        <w:rPr>
          <w:rFonts w:hint="eastAsia" w:ascii="仿宋_GB2312" w:hAnsi="仿宋_GB2312" w:eastAsia="仿宋_GB2312" w:cs="仿宋_GB2312"/>
          <w:b w:val="0"/>
          <w:bCs/>
          <w:color w:val="auto"/>
          <w:kern w:val="0"/>
          <w:sz w:val="24"/>
          <w:szCs w:val="24"/>
          <w:highlight w:val="none"/>
          <w:u w:val="single"/>
          <w:lang w:val="en-US" w:eastAsia="zh-CN"/>
        </w:rPr>
        <w:t xml:space="preserve">             </w:t>
      </w:r>
      <w:r>
        <w:rPr>
          <w:rFonts w:hint="eastAsia" w:ascii="仿宋_GB2312" w:hAnsi="仿宋_GB2312" w:eastAsia="仿宋_GB2312" w:cs="仿宋_GB2312"/>
          <w:b/>
          <w:color w:val="auto"/>
          <w:kern w:val="0"/>
          <w:sz w:val="24"/>
          <w:szCs w:val="24"/>
          <w:highlight w:val="none"/>
          <w:u w:val="single"/>
          <w:lang w:val="en-US" w:eastAsia="zh-CN"/>
        </w:rPr>
        <w:t xml:space="preserve">        </w:t>
      </w:r>
    </w:p>
    <w:p>
      <w:pPr>
        <w:widowControl/>
        <w:snapToGrid w:val="0"/>
        <w:spacing w:line="360" w:lineRule="auto"/>
        <w:ind w:firstLine="465"/>
        <w:jc w:val="left"/>
        <w:outlineLvl w:val="3"/>
        <w:rPr>
          <w:rFonts w:hint="eastAsia" w:ascii="仿宋_GB2312" w:hAnsi="仿宋_GB2312" w:eastAsia="仿宋_GB2312" w:cs="仿宋_GB2312"/>
          <w:color w:val="auto"/>
          <w:sz w:val="24"/>
          <w:szCs w:val="24"/>
          <w:highlight w:val="none"/>
        </w:rPr>
      </w:pPr>
      <w:bookmarkStart w:id="61" w:name="_Toc26896"/>
      <w:bookmarkStart w:id="62" w:name="_Toc26171"/>
      <w:bookmarkStart w:id="63" w:name="_Toc17907"/>
      <w:bookmarkStart w:id="64" w:name="_Toc32742"/>
      <w:bookmarkStart w:id="65" w:name="_Toc9422"/>
      <w:bookmarkStart w:id="66" w:name="_Toc485"/>
      <w:bookmarkStart w:id="67" w:name="_Toc20903"/>
      <w:bookmarkStart w:id="68" w:name="_Toc25897"/>
      <w:r>
        <w:rPr>
          <w:rFonts w:hint="eastAsia" w:ascii="仿宋_GB2312" w:hAnsi="仿宋_GB2312" w:eastAsia="仿宋_GB2312" w:cs="仿宋_GB2312"/>
          <w:color w:val="auto"/>
          <w:sz w:val="24"/>
          <w:highlight w:val="none"/>
        </w:rPr>
        <w:t>根据《中华人民共和国民法典》及其他有关法律、法规，遵循平等、自愿、公平和诚实信用的原则，双方就下述项目委托检测及有关事项协商一致，共同签订本合同</w:t>
      </w:r>
      <w:r>
        <w:rPr>
          <w:rFonts w:hint="eastAsia" w:ascii="仿宋_GB2312" w:hAnsi="仿宋_GB2312" w:eastAsia="仿宋_GB2312" w:cs="仿宋_GB2312"/>
          <w:color w:val="auto"/>
          <w:sz w:val="24"/>
          <w:szCs w:val="24"/>
          <w:highlight w:val="none"/>
        </w:rPr>
        <w:t>。</w:t>
      </w:r>
    </w:p>
    <w:p>
      <w:pPr>
        <w:pStyle w:val="2"/>
        <w:spacing w:line="360" w:lineRule="auto"/>
        <w:ind w:left="0" w:leftChars="0" w:firstLine="482" w:firstLineChars="200"/>
        <w:outlineLvl w:val="3"/>
        <w:rPr>
          <w:rFonts w:hint="eastAsia"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sz w:val="24"/>
          <w:highlight w:val="none"/>
        </w:rPr>
        <w:t>一、项目概况</w:t>
      </w:r>
      <w:bookmarkEnd w:id="61"/>
      <w:bookmarkEnd w:id="62"/>
      <w:bookmarkEnd w:id="63"/>
      <w:bookmarkEnd w:id="64"/>
    </w:p>
    <w:p>
      <w:pPr>
        <w:adjustRightInd w:val="0"/>
        <w:snapToGrid w:val="0"/>
        <w:spacing w:line="360" w:lineRule="auto"/>
        <w:ind w:firstLine="480" w:firstLineChars="200"/>
        <w:outlineLvl w:val="3"/>
        <w:rPr>
          <w:rFonts w:hint="default" w:ascii="仿宋_GB2312" w:hAnsi="仿宋_GB2312" w:eastAsia="仿宋_GB2312" w:cs="仿宋_GB2312"/>
          <w:b w:val="0"/>
          <w:bCs/>
          <w:color w:val="auto"/>
          <w:sz w:val="24"/>
          <w:szCs w:val="24"/>
          <w:highlight w:val="none"/>
          <w:u w:val="single"/>
          <w:lang w:val="en-US"/>
        </w:rPr>
      </w:pPr>
      <w:r>
        <w:rPr>
          <w:rFonts w:hint="eastAsia" w:ascii="仿宋_GB2312" w:hAnsi="仿宋_GB2312" w:eastAsia="仿宋_GB2312" w:cs="仿宋_GB2312"/>
          <w:color w:val="auto"/>
          <w:sz w:val="24"/>
          <w:szCs w:val="24"/>
          <w:highlight w:val="none"/>
        </w:rPr>
        <w:t>1、项目名称：</w:t>
      </w:r>
      <w:r>
        <w:rPr>
          <w:rFonts w:hint="eastAsia" w:ascii="仿宋_GB2312" w:hAnsi="仿宋_GB2312" w:eastAsia="仿宋_GB2312" w:cs="仿宋_GB2312"/>
          <w:b w:val="0"/>
          <w:bCs/>
          <w:color w:val="auto"/>
          <w:kern w:val="0"/>
          <w:sz w:val="24"/>
          <w:szCs w:val="24"/>
          <w:highlight w:val="none"/>
          <w:u w:val="single"/>
          <w:lang w:val="en-US" w:eastAsia="zh-CN"/>
        </w:rPr>
        <w:t xml:space="preserve">                          </w:t>
      </w:r>
    </w:p>
    <w:p>
      <w:pPr>
        <w:adjustRightInd w:val="0"/>
        <w:snapToGrid w:val="0"/>
        <w:spacing w:line="360" w:lineRule="auto"/>
        <w:ind w:firstLine="480" w:firstLineChars="200"/>
        <w:outlineLvl w:val="3"/>
        <w:rPr>
          <w:rFonts w:hint="default" w:ascii="仿宋_GB2312" w:hAnsi="仿宋_GB2312" w:eastAsia="仿宋_GB2312" w:cs="仿宋_GB2312"/>
          <w:color w:val="auto"/>
          <w:sz w:val="24"/>
          <w:szCs w:val="24"/>
          <w:highlight w:val="none"/>
          <w:u w:val="single"/>
          <w:lang w:val="en-US"/>
        </w:rPr>
      </w:pPr>
      <w:r>
        <w:rPr>
          <w:rFonts w:hint="eastAsia" w:ascii="仿宋_GB2312" w:hAnsi="仿宋_GB2312" w:eastAsia="仿宋_GB2312" w:cs="仿宋_GB2312"/>
          <w:color w:val="auto"/>
          <w:sz w:val="24"/>
          <w:szCs w:val="24"/>
          <w:highlight w:val="none"/>
        </w:rPr>
        <w:t>2、项目概况：</w:t>
      </w:r>
      <w:r>
        <w:rPr>
          <w:rFonts w:hint="eastAsia" w:ascii="仿宋_GB2312" w:hAnsi="仿宋_GB2312" w:eastAsia="仿宋_GB2312" w:cs="仿宋_GB2312"/>
          <w:color w:val="auto"/>
          <w:sz w:val="24"/>
          <w:szCs w:val="24"/>
          <w:highlight w:val="none"/>
          <w:u w:val="single"/>
          <w:lang w:val="en-US" w:eastAsia="zh-CN"/>
        </w:rPr>
        <w:t xml:space="preserve">                             </w:t>
      </w:r>
    </w:p>
    <w:p>
      <w:pPr>
        <w:adjustRightInd w:val="0"/>
        <w:snapToGrid w:val="0"/>
        <w:spacing w:line="360" w:lineRule="auto"/>
        <w:ind w:firstLine="480" w:firstLineChars="200"/>
        <w:jc w:val="left"/>
        <w:outlineLvl w:val="3"/>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kern w:val="0"/>
          <w:sz w:val="24"/>
          <w:szCs w:val="24"/>
          <w:highlight w:val="none"/>
        </w:rPr>
        <w:t>检测范围及内容：</w:t>
      </w:r>
      <w:r>
        <w:rPr>
          <w:rFonts w:hint="eastAsia" w:ascii="仿宋_GB2312" w:hAnsi="仿宋_GB2312" w:eastAsia="仿宋_GB2312" w:cs="仿宋_GB2312"/>
          <w:color w:val="auto"/>
          <w:sz w:val="24"/>
          <w:szCs w:val="24"/>
          <w:highlight w:val="none"/>
          <w:u w:val="single"/>
          <w:lang w:val="en-US" w:eastAsia="zh-CN"/>
        </w:rPr>
        <w:t xml:space="preserve">                            </w:t>
      </w:r>
    </w:p>
    <w:p>
      <w:pPr>
        <w:adjustRightInd w:val="0"/>
        <w:snapToGrid w:val="0"/>
        <w:spacing w:line="360" w:lineRule="auto"/>
        <w:ind w:firstLine="482" w:firstLineChars="200"/>
        <w:jc w:val="left"/>
        <w:outlineLvl w:val="3"/>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二、服务期限</w:t>
      </w:r>
    </w:p>
    <w:p>
      <w:pPr>
        <w:adjustRightInd w:val="0"/>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服务期限为：具体</w:t>
      </w:r>
      <w:r>
        <w:rPr>
          <w:rFonts w:hint="eastAsia" w:ascii="仿宋_GB2312" w:hAnsi="仿宋_GB2312" w:eastAsia="仿宋_GB2312" w:cs="仿宋_GB2312"/>
          <w:color w:val="auto"/>
          <w:kern w:val="0"/>
          <w:sz w:val="24"/>
          <w:szCs w:val="24"/>
          <w:highlight w:val="none"/>
        </w:rPr>
        <w:t>内容详见</w:t>
      </w:r>
      <w:r>
        <w:rPr>
          <w:rFonts w:hint="eastAsia" w:ascii="仿宋_GB2312" w:hAnsi="仿宋_GB2312" w:eastAsia="仿宋_GB2312" w:cs="仿宋_GB2312"/>
          <w:color w:val="auto"/>
          <w:sz w:val="24"/>
          <w:szCs w:val="24"/>
          <w:highlight w:val="none"/>
        </w:rPr>
        <w:t>技术规格书。</w:t>
      </w:r>
    </w:p>
    <w:p>
      <w:pPr>
        <w:numPr>
          <w:ilvl w:val="0"/>
          <w:numId w:val="7"/>
        </w:numPr>
        <w:adjustRightInd w:val="0"/>
        <w:snapToGrid w:val="0"/>
        <w:spacing w:line="360" w:lineRule="auto"/>
        <w:ind w:firstLine="482" w:firstLineChars="200"/>
        <w:outlineLvl w:val="3"/>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签约合同价</w:t>
      </w:r>
    </w:p>
    <w:p>
      <w:pPr>
        <w:pStyle w:val="41"/>
        <w:numPr>
          <w:ilvl w:val="0"/>
          <w:numId w:val="8"/>
        </w:numPr>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bookmarkStart w:id="69" w:name="_Toc25652"/>
      <w:bookmarkStart w:id="70" w:name="_Toc7501"/>
      <w:bookmarkStart w:id="71" w:name="_Toc10509"/>
      <w:bookmarkStart w:id="72" w:name="_Toc27578"/>
      <w:r>
        <w:rPr>
          <w:rFonts w:hint="eastAsia" w:ascii="仿宋_GB2312" w:hAnsi="仿宋_GB2312" w:eastAsia="仿宋_GB2312" w:cs="仿宋_GB2312"/>
          <w:color w:val="auto"/>
          <w:highlight w:val="none"/>
        </w:rPr>
        <w:t>合同价格形式：</w:t>
      </w:r>
    </w:p>
    <w:p>
      <w:pPr>
        <w:pStyle w:val="41"/>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textAlignment w:val="auto"/>
        <w:outlineLvl w:val="3"/>
        <w:rPr>
          <w:rFonts w:hint="eastAsia" w:ascii="仿宋_GB2312" w:hAnsi="仿宋_GB2312" w:eastAsia="仿宋_GB2312" w:cs="仿宋_GB2312"/>
          <w:color w:val="auto"/>
          <w:highlight w:val="none"/>
          <w:u w:val="single"/>
        </w:rPr>
      </w:pPr>
      <w:r>
        <w:rPr>
          <w:rFonts w:hint="eastAsia" w:ascii="仿宋_GB2312" w:hAnsi="仿宋_GB2312" w:eastAsia="仿宋_GB2312" w:cs="仿宋_GB2312"/>
          <w:color w:val="auto"/>
          <w:highlight w:val="none"/>
          <w:u w:val="single"/>
        </w:rPr>
        <w:sym w:font="Wingdings 2" w:char="0052"/>
      </w:r>
      <w:r>
        <w:rPr>
          <w:rFonts w:hint="eastAsia" w:ascii="仿宋_GB2312" w:hAnsi="仿宋_GB2312" w:eastAsia="仿宋_GB2312" w:cs="仿宋_GB2312"/>
          <w:color w:val="auto"/>
          <w:highlight w:val="none"/>
          <w:u w:val="single"/>
        </w:rPr>
        <w:t>单价合同（除税率调整外，合同单价（即中选单价/成交单价）在合同执行过程中固定不变，不随政府政策（长沙市规定的最低工资标准变化等）及市场物价上涨或回落等因素调整）</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rPr>
        <w:t>项目检测清单中各项计量器具数量为暂估数量，具体以项目执行期间乙方实际检测的数量为准。双方以实际检测的数量进行结算并确定合同价格。双方确认，合同价格不得超过签约合同价</w:t>
      </w:r>
      <w:r>
        <w:rPr>
          <w:rFonts w:hint="eastAsia" w:ascii="仿宋_GB2312" w:hAnsi="仿宋_GB2312" w:eastAsia="仿宋_GB2312" w:cs="仿宋_GB2312"/>
          <w:color w:val="auto"/>
          <w:highlight w:val="none"/>
          <w:u w:val="single"/>
          <w:lang w:eastAsia="zh-CN"/>
        </w:rPr>
        <w:t>。</w:t>
      </w:r>
      <w:r>
        <w:rPr>
          <w:rFonts w:hint="eastAsia" w:ascii="仿宋_GB2312" w:hAnsi="仿宋_GB2312" w:eastAsia="仿宋_GB2312" w:cs="仿宋_GB2312"/>
          <w:color w:val="auto"/>
          <w:highlight w:val="none"/>
          <w:u w:val="single"/>
          <w:lang w:val="en-US" w:eastAsia="zh-CN"/>
        </w:rPr>
        <w:t>若合同价格超过签约合同价，则以签约合同价作为合同价格结算</w:t>
      </w:r>
      <w:r>
        <w:rPr>
          <w:rFonts w:hint="eastAsia" w:ascii="仿宋_GB2312" w:hAnsi="仿宋_GB2312" w:eastAsia="仿宋_GB2312" w:cs="仿宋_GB2312"/>
          <w:color w:val="auto"/>
          <w:highlight w:val="none"/>
          <w:u w:val="single"/>
        </w:rPr>
        <w:t>。</w:t>
      </w:r>
    </w:p>
    <w:p>
      <w:pPr>
        <w:pStyle w:val="41"/>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60" w:lineRule="auto"/>
        <w:ind w:firstLine="480" w:firstLineChars="200"/>
        <w:textAlignment w:val="auto"/>
        <w:outlineLvl w:val="3"/>
        <w:rPr>
          <w:rFonts w:hint="eastAsia" w:ascii="仿宋_GB2312" w:hAnsi="仿宋_GB2312" w:eastAsia="仿宋_GB2312" w:cs="仿宋_GB2312"/>
          <w:color w:val="auto"/>
          <w:highlight w:val="none"/>
          <w:u w:val="single"/>
          <w:lang w:eastAsia="zh-CN"/>
        </w:rPr>
      </w:pPr>
      <w:r>
        <w:rPr>
          <w:rFonts w:hint="eastAsia" w:ascii="仿宋_GB2312" w:hAnsi="仿宋_GB2312" w:eastAsia="仿宋_GB2312" w:cs="仿宋_GB2312"/>
          <w:color w:val="auto"/>
          <w:highlight w:val="none"/>
          <w:u w:val="single"/>
        </w:rPr>
        <w:sym w:font="Wingdings 2" w:char="00A3"/>
      </w:r>
      <w:r>
        <w:rPr>
          <w:rFonts w:hint="eastAsia" w:ascii="仿宋_GB2312" w:hAnsi="仿宋_GB2312" w:eastAsia="仿宋_GB2312" w:cs="仿宋_GB2312"/>
          <w:color w:val="auto"/>
          <w:highlight w:val="none"/>
          <w:u w:val="single"/>
        </w:rPr>
        <w:t>总价合同（除税率调整外，合同总价（即中标总价/中选总价/成交总价）在合同执行过程中固定不变，不随政府政策（长沙市规定的最低工资标准变化等）及市场物价上涨或回落等因素调整。项目检测清单中各项计量器具数量为暂估数量，具体以项目执行期间乙方实际检测的数量为准。双方以实际检测的数量进行结算并确定合同价格。双方确认，合同价格不得超过签约合同价。若合同价格超过签约合同价，则以签约合同价作为合同价格结算。</w:t>
      </w:r>
    </w:p>
    <w:p>
      <w:pPr>
        <w:spacing w:line="360" w:lineRule="auto"/>
        <w:ind w:firstLine="465"/>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2.</w:t>
      </w:r>
      <w:r>
        <w:rPr>
          <w:rFonts w:hint="eastAsia" w:ascii="仿宋_GB2312" w:hAnsi="仿宋_GB2312" w:eastAsia="仿宋_GB2312" w:cs="仿宋_GB2312"/>
          <w:color w:val="auto"/>
          <w:kern w:val="0"/>
          <w:sz w:val="24"/>
          <w:szCs w:val="24"/>
          <w:highlight w:val="none"/>
          <w:shd w:val="clear" w:color="auto" w:fill="FFFFFF"/>
        </w:rPr>
        <w:t>签约合同价（含税价）为：人民币（大写）</w:t>
      </w:r>
      <w:r>
        <w:rPr>
          <w:rFonts w:hint="eastAsia" w:ascii="仿宋_GB2312" w:hAnsi="仿宋_GB2312" w:eastAsia="仿宋_GB2312" w:cs="仿宋_GB2312"/>
          <w:b w:val="0"/>
          <w:bCs/>
          <w:color w:val="auto"/>
          <w:kern w:val="0"/>
          <w:sz w:val="24"/>
          <w:szCs w:val="24"/>
          <w:highlight w:val="none"/>
          <w:u w:val="single"/>
          <w:lang w:val="en-US" w:eastAsia="zh-CN"/>
        </w:rPr>
        <w:t xml:space="preserve"> </w:t>
      </w:r>
      <w:r>
        <w:rPr>
          <w:rFonts w:hint="eastAsia" w:ascii="仿宋_GB2312" w:hAnsi="仿宋_GB2312" w:eastAsia="仿宋_GB2312" w:cs="仿宋_GB2312"/>
          <w:b/>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sz w:val="24"/>
          <w:szCs w:val="24"/>
          <w:highlight w:val="none"/>
          <w:shd w:val="clear" w:color="auto" w:fill="FFFFFF"/>
        </w:rPr>
        <w:t>¥</w:t>
      </w:r>
      <w:r>
        <w:rPr>
          <w:rFonts w:hint="eastAsia" w:ascii="仿宋_GB2312" w:hAnsi="仿宋_GB2312" w:eastAsia="仿宋_GB2312" w:cs="仿宋_GB2312"/>
          <w:color w:val="auto"/>
          <w:sz w:val="24"/>
          <w:szCs w:val="24"/>
          <w:highlight w:val="none"/>
          <w:u w:val="single"/>
          <w:shd w:val="clear" w:color="auto" w:fill="FFFFFF"/>
          <w:lang w:val="en-US" w:eastAsia="zh-CN"/>
        </w:rPr>
        <w:t xml:space="preserve">         </w:t>
      </w:r>
      <w:r>
        <w:rPr>
          <w:rFonts w:hint="eastAsia" w:ascii="仿宋_GB2312" w:hAnsi="仿宋_GB2312" w:eastAsia="仿宋_GB2312" w:cs="仿宋_GB2312"/>
          <w:color w:val="auto"/>
          <w:kern w:val="0"/>
          <w:sz w:val="24"/>
          <w:szCs w:val="24"/>
          <w:highlight w:val="none"/>
          <w:shd w:val="clear" w:color="auto" w:fill="FFFFFF"/>
        </w:rPr>
        <w:t>），</w:t>
      </w:r>
      <w:r>
        <w:rPr>
          <w:rFonts w:hint="eastAsia" w:ascii="仿宋_GB2312" w:hAnsi="仿宋_GB2312" w:eastAsia="仿宋_GB2312" w:cs="仿宋_GB2312"/>
          <w:color w:val="auto"/>
          <w:sz w:val="24"/>
          <w:szCs w:val="24"/>
          <w:highlight w:val="none"/>
        </w:rPr>
        <w:t>具体价格组成详见签约合同价清单。</w:t>
      </w:r>
    </w:p>
    <w:p>
      <w:pPr>
        <w:spacing w:line="360" w:lineRule="auto"/>
        <w:ind w:firstLine="480"/>
        <w:outlineLvl w:val="3"/>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bCs/>
          <w:color w:val="auto"/>
          <w:sz w:val="24"/>
          <w:szCs w:val="24"/>
          <w:highlight w:val="none"/>
        </w:rPr>
        <w:t>本项目的合同价格最终以</w:t>
      </w:r>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bCs/>
          <w:color w:val="auto"/>
          <w:sz w:val="24"/>
          <w:szCs w:val="24"/>
          <w:highlight w:val="none"/>
          <w:u w:val="single"/>
        </w:rPr>
        <w:t>长沙市人民政府相关职能部门或长沙市轨道交通集团有限公司授权的单位审定价款为准</w:t>
      </w:r>
      <w:r>
        <w:rPr>
          <w:rFonts w:hint="eastAsia" w:ascii="仿宋_GB2312" w:hAnsi="仿宋_GB2312" w:eastAsia="仿宋_GB2312" w:cs="仿宋_GB2312"/>
          <w:color w:val="auto"/>
          <w:kern w:val="0"/>
          <w:sz w:val="24"/>
          <w:highlight w:val="none"/>
          <w:u w:val="single"/>
        </w:rPr>
        <w:t>/</w:t>
      </w:r>
      <w:r>
        <w:rPr>
          <w:rFonts w:hint="eastAsia" w:ascii="仿宋_GB2312" w:hAnsi="仿宋_GB2312" w:eastAsia="仿宋_GB2312" w:cs="仿宋_GB2312"/>
          <w:color w:val="auto"/>
          <w:kern w:val="0"/>
          <w:sz w:val="24"/>
          <w:highlight w:val="none"/>
          <w:u w:val="single"/>
          <w:lang w:eastAsia="zh-CN"/>
        </w:rPr>
        <w:sym w:font="Wingdings 2" w:char="0052"/>
      </w:r>
      <w:r>
        <w:rPr>
          <w:rFonts w:hint="eastAsia" w:ascii="仿宋_GB2312" w:hAnsi="仿宋_GB2312" w:eastAsia="仿宋_GB2312" w:cs="仿宋_GB2312"/>
          <w:color w:val="auto"/>
          <w:kern w:val="0"/>
          <w:sz w:val="24"/>
          <w:highlight w:val="none"/>
          <w:u w:val="single"/>
        </w:rPr>
        <w:t>项目履约验收确定价款</w:t>
      </w:r>
      <w:r>
        <w:rPr>
          <w:rFonts w:hint="eastAsia" w:ascii="仿宋_GB2312" w:hAnsi="仿宋_GB2312" w:eastAsia="仿宋_GB2312" w:cs="仿宋_GB2312"/>
          <w:bCs/>
          <w:color w:val="auto"/>
          <w:sz w:val="24"/>
          <w:szCs w:val="24"/>
          <w:highlight w:val="none"/>
        </w:rPr>
        <w:t>为准。合同价格包括乙方按合同约定进行检测所产生的成本、费用、税金、利润、保险、专利、风险。</w:t>
      </w:r>
    </w:p>
    <w:bookmarkEnd w:id="69"/>
    <w:bookmarkEnd w:id="70"/>
    <w:bookmarkEnd w:id="71"/>
    <w:bookmarkEnd w:id="72"/>
    <w:p>
      <w:pPr>
        <w:spacing w:line="360" w:lineRule="auto"/>
        <w:ind w:firstLine="422" w:firstLineChars="175"/>
        <w:outlineLvl w:val="3"/>
        <w:rPr>
          <w:rFonts w:hint="eastAsia" w:ascii="仿宋_GB2312" w:hAnsi="仿宋_GB2312" w:eastAsia="仿宋_GB2312" w:cs="仿宋_GB2312"/>
          <w:b/>
          <w:color w:val="auto"/>
          <w:kern w:val="0"/>
          <w:sz w:val="24"/>
          <w:szCs w:val="24"/>
          <w:highlight w:val="none"/>
        </w:rPr>
      </w:pPr>
      <w:bookmarkStart w:id="73" w:name="_Toc457826210"/>
      <w:r>
        <w:rPr>
          <w:rFonts w:hint="eastAsia" w:ascii="仿宋_GB2312" w:hAnsi="仿宋_GB2312" w:eastAsia="仿宋_GB2312" w:cs="仿宋_GB2312"/>
          <w:b/>
          <w:color w:val="auto"/>
          <w:kern w:val="0"/>
          <w:sz w:val="24"/>
          <w:szCs w:val="24"/>
          <w:highlight w:val="none"/>
        </w:rPr>
        <w:t>四、质量标准</w:t>
      </w:r>
    </w:p>
    <w:p>
      <w:pPr>
        <w:tabs>
          <w:tab w:val="left" w:pos="1260"/>
        </w:tabs>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u w:val="single"/>
        </w:rPr>
      </w:pPr>
      <w:r>
        <w:rPr>
          <w:rFonts w:hint="eastAsia" w:ascii="仿宋_GB2312" w:hAnsi="仿宋_GB2312" w:eastAsia="仿宋_GB2312" w:cs="仿宋_GB2312"/>
          <w:color w:val="auto"/>
          <w:kern w:val="0"/>
          <w:sz w:val="24"/>
          <w:szCs w:val="24"/>
          <w:highlight w:val="none"/>
        </w:rPr>
        <w:t>质量标准为：</w:t>
      </w:r>
      <w:r>
        <w:rPr>
          <w:rFonts w:hint="eastAsia" w:ascii="仿宋_GB2312" w:hAnsi="仿宋_GB2312" w:eastAsia="仿宋_GB2312" w:cs="仿宋_GB2312"/>
          <w:color w:val="auto"/>
          <w:kern w:val="0"/>
          <w:sz w:val="24"/>
          <w:szCs w:val="24"/>
          <w:highlight w:val="none"/>
          <w:u w:val="single"/>
        </w:rPr>
        <w:t>符合国家、省市及行业现行有关规定、标准和规范的要求，具体要求以技术规格书为准。</w:t>
      </w:r>
    </w:p>
    <w:p>
      <w:pPr>
        <w:tabs>
          <w:tab w:val="left" w:pos="1260"/>
        </w:tabs>
        <w:adjustRightInd w:val="0"/>
        <w:snapToGrid w:val="0"/>
        <w:spacing w:line="360" w:lineRule="auto"/>
        <w:ind w:firstLine="482" w:firstLineChars="200"/>
        <w:jc w:val="left"/>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五、合同文件及优先解释顺序</w:t>
      </w:r>
      <w:bookmarkEnd w:id="73"/>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合同文件组成及优先解释顺序：</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（1）补充协议（如果有）；</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（2）合同协议书；</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（3）中选通知书;</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（4）合同条款；</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（5）技术规格书；</w:t>
      </w:r>
    </w:p>
    <w:p>
      <w:pPr>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（6）</w:t>
      </w:r>
      <w:r>
        <w:rPr>
          <w:rFonts w:hint="eastAsia" w:ascii="仿宋_GB2312" w:hAnsi="仿宋_GB2312" w:eastAsia="仿宋_GB2312" w:cs="仿宋_GB2312"/>
          <w:color w:val="auto"/>
          <w:sz w:val="24"/>
          <w:szCs w:val="24"/>
          <w:highlight w:val="none"/>
        </w:rPr>
        <w:t>签约合同价清单；</w:t>
      </w:r>
    </w:p>
    <w:p>
      <w:pPr>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（7）合同附件及乙方按合同附录格式及要求出具的文件；</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（8）图纸；</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（9）技术标准；</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（10）自主竞争性谈判文件及澄清与答疑文件及其它补充资料；</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（11）谈判响应文件及澄清文件及其它补充资料；</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（12）其他构成本合同的文件。</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上述各项合同文件包括合同当事人就该项合同文件所作出的补充和修改，属于同一类内容的文件，应以最新签署的为准。</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在合同履行过程中形成的与合同有关的文件均构成合同文件组成部分。</w:t>
      </w:r>
    </w:p>
    <w:p>
      <w:pPr>
        <w:spacing w:line="360" w:lineRule="auto"/>
        <w:ind w:firstLine="482" w:firstLineChars="200"/>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六、承诺</w:t>
      </w:r>
    </w:p>
    <w:p>
      <w:pPr>
        <w:spacing w:line="360" w:lineRule="auto"/>
        <w:ind w:firstLine="420" w:firstLineChars="175"/>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1.甲方承诺按照合同约定提供有关条件和相关资料，并按照合同约定的期限和方式支付合同价款。</w:t>
      </w:r>
    </w:p>
    <w:p>
      <w:pPr>
        <w:spacing w:line="360" w:lineRule="auto"/>
        <w:ind w:firstLine="420" w:firstLineChars="175"/>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2.乙方承诺按照法律法规和技术标准规定及合同约定提供技术服务。</w:t>
      </w:r>
      <w:bookmarkStart w:id="74" w:name="_Toc406150417"/>
      <w:bookmarkStart w:id="75" w:name="_Toc457826146"/>
    </w:p>
    <w:p>
      <w:pPr>
        <w:spacing w:line="360" w:lineRule="auto"/>
        <w:ind w:firstLine="482" w:firstLineChars="200"/>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七、词语定义</w:t>
      </w:r>
      <w:bookmarkEnd w:id="74"/>
      <w:bookmarkEnd w:id="75"/>
    </w:p>
    <w:p>
      <w:pPr>
        <w:spacing w:line="360" w:lineRule="auto"/>
        <w:ind w:firstLine="48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本合同协议书中词语含义与合同条款中的词语含义相同。</w:t>
      </w:r>
      <w:bookmarkStart w:id="76" w:name="_Toc351203489"/>
      <w:bookmarkStart w:id="77" w:name="_Toc457826147"/>
      <w:bookmarkStart w:id="78" w:name="_Toc406150418"/>
    </w:p>
    <w:bookmarkEnd w:id="76"/>
    <w:bookmarkEnd w:id="77"/>
    <w:bookmarkEnd w:id="78"/>
    <w:p>
      <w:pPr>
        <w:spacing w:line="360" w:lineRule="auto"/>
        <w:ind w:firstLine="465"/>
        <w:outlineLvl w:val="3"/>
        <w:rPr>
          <w:rFonts w:hint="eastAsia" w:ascii="仿宋_GB2312" w:hAnsi="仿宋_GB2312" w:eastAsia="仿宋_GB2312" w:cs="仿宋_GB2312"/>
          <w:b/>
          <w:bCs/>
          <w:color w:val="auto"/>
          <w:sz w:val="24"/>
          <w:szCs w:val="24"/>
          <w:highlight w:val="none"/>
        </w:rPr>
      </w:pPr>
      <w:bookmarkStart w:id="79" w:name="_Toc457826149"/>
      <w:bookmarkStart w:id="80" w:name="_Toc351203492"/>
      <w:bookmarkStart w:id="81" w:name="_Toc406150420"/>
      <w:r>
        <w:rPr>
          <w:rFonts w:hint="eastAsia" w:ascii="仿宋_GB2312" w:hAnsi="仿宋_GB2312" w:eastAsia="仿宋_GB2312" w:cs="仿宋_GB2312"/>
          <w:b/>
          <w:bCs/>
          <w:color w:val="auto"/>
          <w:sz w:val="24"/>
          <w:szCs w:val="24"/>
          <w:highlight w:val="none"/>
        </w:rPr>
        <w:t>八、合同签订时间</w:t>
      </w:r>
    </w:p>
    <w:p>
      <w:pPr>
        <w:spacing w:line="360" w:lineRule="auto"/>
        <w:ind w:firstLine="465"/>
        <w:outlineLvl w:val="3"/>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本合同于</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年</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月</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日签订。</w:t>
      </w:r>
      <w:bookmarkStart w:id="82" w:name="_Toc457826148"/>
      <w:bookmarkStart w:id="83" w:name="_Toc406150419"/>
      <w:bookmarkStart w:id="84" w:name="_Toc351203490"/>
    </w:p>
    <w:p>
      <w:pPr>
        <w:spacing w:line="360" w:lineRule="auto"/>
        <w:ind w:firstLine="465"/>
        <w:outlineLvl w:val="3"/>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九、合同签订地点</w:t>
      </w:r>
      <w:bookmarkEnd w:id="82"/>
      <w:bookmarkEnd w:id="83"/>
      <w:bookmarkEnd w:id="84"/>
    </w:p>
    <w:p>
      <w:pPr>
        <w:spacing w:line="360" w:lineRule="auto"/>
        <w:ind w:firstLine="465"/>
        <w:outlineLvl w:val="3"/>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本合同在</w:t>
      </w:r>
      <w:r>
        <w:rPr>
          <w:rFonts w:hint="eastAsia" w:ascii="仿宋_GB2312" w:hAnsi="仿宋_GB2312" w:eastAsia="仿宋_GB2312" w:cs="仿宋_GB2312"/>
          <w:bCs/>
          <w:color w:val="auto"/>
          <w:sz w:val="24"/>
          <w:szCs w:val="24"/>
          <w:highlight w:val="none"/>
          <w:u w:val="single"/>
        </w:rPr>
        <w:t xml:space="preserve"> 湖南省长沙市雨花区 </w:t>
      </w:r>
      <w:r>
        <w:rPr>
          <w:rFonts w:hint="eastAsia" w:ascii="仿宋_GB2312" w:hAnsi="仿宋_GB2312" w:eastAsia="仿宋_GB2312" w:cs="仿宋_GB2312"/>
          <w:bCs/>
          <w:color w:val="auto"/>
          <w:sz w:val="24"/>
          <w:szCs w:val="24"/>
          <w:highlight w:val="none"/>
        </w:rPr>
        <w:t>签订。</w:t>
      </w:r>
    </w:p>
    <w:p>
      <w:pPr>
        <w:spacing w:line="360" w:lineRule="auto"/>
        <w:ind w:firstLine="465"/>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十、合同生效</w:t>
      </w:r>
      <w:bookmarkEnd w:id="79"/>
      <w:bookmarkEnd w:id="80"/>
      <w:bookmarkEnd w:id="81"/>
    </w:p>
    <w:p>
      <w:pPr>
        <w:spacing w:line="360" w:lineRule="auto"/>
        <w:ind w:firstLine="465"/>
        <w:outlineLvl w:val="3"/>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本合同自</w:t>
      </w:r>
      <w:r>
        <w:rPr>
          <w:rFonts w:hint="eastAsia" w:ascii="仿宋_GB2312" w:hAnsi="仿宋_GB2312" w:eastAsia="仿宋_GB2312" w:cs="仿宋_GB2312"/>
          <w:color w:val="auto"/>
          <w:sz w:val="24"/>
          <w:szCs w:val="24"/>
          <w:highlight w:val="none"/>
          <w:u w:val="single"/>
        </w:rPr>
        <w:t>合同双方法定代表人或其授权代表签字并加盖合同专用章</w:t>
      </w:r>
      <w:r>
        <w:rPr>
          <w:rFonts w:hint="eastAsia" w:ascii="仿宋_GB2312" w:hAnsi="仿宋_GB2312" w:eastAsia="仿宋_GB2312" w:cs="仿宋_GB2312"/>
          <w:bCs/>
          <w:color w:val="auto"/>
          <w:sz w:val="24"/>
          <w:szCs w:val="24"/>
          <w:highlight w:val="none"/>
        </w:rPr>
        <w:t>生效。</w:t>
      </w:r>
      <w:bookmarkStart w:id="85" w:name="_Toc457826150"/>
    </w:p>
    <w:p>
      <w:pPr>
        <w:spacing w:line="360" w:lineRule="auto"/>
        <w:ind w:firstLine="465"/>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十一、合同份数</w:t>
      </w:r>
      <w:bookmarkEnd w:id="85"/>
    </w:p>
    <w:p>
      <w:pPr>
        <w:adjustRightInd w:val="0"/>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本合同正本</w:t>
      </w:r>
      <w:r>
        <w:rPr>
          <w:rFonts w:hint="eastAsia" w:ascii="仿宋_GB2312" w:hAnsi="仿宋_GB2312" w:eastAsia="仿宋_GB2312" w:cs="仿宋_GB2312"/>
          <w:color w:val="auto"/>
          <w:sz w:val="24"/>
          <w:szCs w:val="24"/>
          <w:highlight w:val="none"/>
          <w:u w:val="single"/>
        </w:rPr>
        <w:t>二</w:t>
      </w:r>
      <w:r>
        <w:rPr>
          <w:rFonts w:hint="eastAsia" w:ascii="仿宋_GB2312" w:hAnsi="仿宋_GB2312" w:eastAsia="仿宋_GB2312" w:cs="仿宋_GB2312"/>
          <w:color w:val="auto"/>
          <w:sz w:val="24"/>
          <w:szCs w:val="24"/>
          <w:highlight w:val="none"/>
        </w:rPr>
        <w:t>份、副本</w:t>
      </w:r>
      <w:r>
        <w:rPr>
          <w:rFonts w:hint="eastAsia" w:ascii="仿宋_GB2312" w:hAnsi="仿宋_GB2312" w:eastAsia="仿宋_GB2312" w:cs="仿宋_GB2312"/>
          <w:color w:val="auto"/>
          <w:sz w:val="24"/>
          <w:szCs w:val="24"/>
          <w:highlight w:val="none"/>
          <w:u w:val="single"/>
          <w:lang w:val="en-US" w:eastAsia="zh-CN"/>
        </w:rPr>
        <w:t>六</w:t>
      </w:r>
      <w:r>
        <w:rPr>
          <w:rFonts w:hint="eastAsia" w:ascii="仿宋_GB2312" w:hAnsi="仿宋_GB2312" w:eastAsia="仿宋_GB2312" w:cs="仿宋_GB2312"/>
          <w:color w:val="auto"/>
          <w:sz w:val="24"/>
          <w:szCs w:val="24"/>
          <w:highlight w:val="none"/>
        </w:rPr>
        <w:t>份，甲方持正本</w:t>
      </w:r>
      <w:r>
        <w:rPr>
          <w:rFonts w:hint="eastAsia" w:ascii="仿宋_GB2312" w:hAnsi="仿宋_GB2312" w:eastAsia="仿宋_GB2312" w:cs="仿宋_GB2312"/>
          <w:color w:val="auto"/>
          <w:sz w:val="24"/>
          <w:szCs w:val="24"/>
          <w:highlight w:val="none"/>
          <w:u w:val="single"/>
        </w:rPr>
        <w:t>一</w:t>
      </w:r>
      <w:r>
        <w:rPr>
          <w:rFonts w:hint="eastAsia" w:ascii="仿宋_GB2312" w:hAnsi="仿宋_GB2312" w:eastAsia="仿宋_GB2312" w:cs="仿宋_GB2312"/>
          <w:color w:val="auto"/>
          <w:sz w:val="24"/>
          <w:szCs w:val="24"/>
          <w:highlight w:val="none"/>
        </w:rPr>
        <w:t>份、副本</w:t>
      </w:r>
      <w:r>
        <w:rPr>
          <w:rFonts w:hint="eastAsia" w:ascii="仿宋_GB2312" w:hAnsi="仿宋_GB2312" w:eastAsia="仿宋_GB2312" w:cs="仿宋_GB2312"/>
          <w:color w:val="auto"/>
          <w:sz w:val="24"/>
          <w:szCs w:val="24"/>
          <w:highlight w:val="none"/>
          <w:u w:val="single"/>
          <w:lang w:val="en-US" w:eastAsia="zh-CN"/>
        </w:rPr>
        <w:t>五</w:t>
      </w:r>
      <w:r>
        <w:rPr>
          <w:rFonts w:hint="eastAsia" w:ascii="仿宋_GB2312" w:hAnsi="仿宋_GB2312" w:eastAsia="仿宋_GB2312" w:cs="仿宋_GB2312"/>
          <w:color w:val="auto"/>
          <w:sz w:val="24"/>
          <w:szCs w:val="24"/>
          <w:highlight w:val="none"/>
        </w:rPr>
        <w:t>份，乙方持正本</w:t>
      </w:r>
      <w:r>
        <w:rPr>
          <w:rFonts w:hint="eastAsia" w:ascii="仿宋_GB2312" w:hAnsi="仿宋_GB2312" w:eastAsia="仿宋_GB2312" w:cs="仿宋_GB2312"/>
          <w:color w:val="auto"/>
          <w:sz w:val="24"/>
          <w:szCs w:val="24"/>
          <w:highlight w:val="none"/>
          <w:u w:val="single"/>
        </w:rPr>
        <w:t>一</w:t>
      </w:r>
      <w:r>
        <w:rPr>
          <w:rFonts w:hint="eastAsia" w:ascii="仿宋_GB2312" w:hAnsi="仿宋_GB2312" w:eastAsia="仿宋_GB2312" w:cs="仿宋_GB2312"/>
          <w:color w:val="auto"/>
          <w:sz w:val="24"/>
          <w:szCs w:val="24"/>
          <w:highlight w:val="none"/>
        </w:rPr>
        <w:t>份、副本</w:t>
      </w:r>
      <w:r>
        <w:rPr>
          <w:rFonts w:hint="eastAsia" w:ascii="仿宋_GB2312" w:hAnsi="仿宋_GB2312" w:eastAsia="仿宋_GB2312" w:cs="仿宋_GB2312"/>
          <w:color w:val="auto"/>
          <w:sz w:val="24"/>
          <w:szCs w:val="24"/>
          <w:highlight w:val="none"/>
          <w:u w:val="single"/>
          <w:lang w:val="en-US" w:eastAsia="zh-CN"/>
        </w:rPr>
        <w:t>一</w:t>
      </w:r>
      <w:r>
        <w:rPr>
          <w:rFonts w:hint="eastAsia" w:ascii="仿宋_GB2312" w:hAnsi="仿宋_GB2312" w:eastAsia="仿宋_GB2312" w:cs="仿宋_GB2312"/>
          <w:color w:val="auto"/>
          <w:sz w:val="24"/>
          <w:szCs w:val="24"/>
          <w:highlight w:val="none"/>
        </w:rPr>
        <w:t>份。合同正本与副本具有同等效力，当合同副本与正本之间存有差异时，以合同正本为准。</w:t>
      </w:r>
    </w:p>
    <w:p>
      <w:pPr>
        <w:pageBreakBefore/>
        <w:snapToGrid w:val="0"/>
        <w:spacing w:line="360" w:lineRule="auto"/>
        <w:jc w:val="left"/>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（本页无正文）</w:t>
      </w:r>
    </w:p>
    <w:p>
      <w:pPr>
        <w:adjustRightInd w:val="0"/>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p>
    <w:p>
      <w:pPr>
        <w:adjustRightInd w:val="0"/>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p>
    <w:p>
      <w:pPr>
        <w:adjustRightInd w:val="0"/>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p>
    <w:tbl>
      <w:tblPr>
        <w:tblStyle w:val="47"/>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vAlign w:val="top"/>
          </w:tcPr>
          <w:p>
            <w:pPr>
              <w:pStyle w:val="25"/>
              <w:snapToGrid w:val="0"/>
              <w:spacing w:line="360" w:lineRule="auto"/>
              <w:outlineLvl w:val="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委托人（甲方）：(盖章)</w:t>
            </w:r>
          </w:p>
          <w:p>
            <w:pPr>
              <w:pStyle w:val="25"/>
              <w:snapToGrid w:val="0"/>
              <w:spacing w:line="360" w:lineRule="auto"/>
              <w:outlineLvl w:val="3"/>
              <w:rPr>
                <w:rFonts w:ascii="仿宋_GB2312" w:hAnsi="仿宋_GB2312" w:eastAsia="仿宋_GB2312" w:cs="仿宋_GB2312"/>
                <w:color w:val="auto"/>
                <w:sz w:val="24"/>
                <w:szCs w:val="24"/>
                <w:highlight w:val="none"/>
              </w:rPr>
            </w:pPr>
          </w:p>
        </w:tc>
        <w:tc>
          <w:tcPr>
            <w:tcW w:w="4252" w:type="dxa"/>
            <w:tcBorders>
              <w:top w:val="nil"/>
              <w:left w:val="nil"/>
              <w:bottom w:val="nil"/>
              <w:right w:val="nil"/>
            </w:tcBorders>
            <w:vAlign w:val="top"/>
          </w:tcPr>
          <w:p>
            <w:pPr>
              <w:pStyle w:val="25"/>
              <w:snapToGrid w:val="0"/>
              <w:spacing w:line="360" w:lineRule="auto"/>
              <w:outlineLvl w:val="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委托人（甲方）：(盖章)</w:t>
            </w:r>
          </w:p>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法定代表人或其授权代表：</w:t>
            </w:r>
          </w:p>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p>
        </w:tc>
        <w:tc>
          <w:tcPr>
            <w:tcW w:w="4252"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法定代表人或其授权代表：</w:t>
            </w:r>
          </w:p>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vAlign w:val="top"/>
          </w:tcPr>
          <w:p>
            <w:pPr>
              <w:pStyle w:val="25"/>
              <w:snapToGrid w:val="0"/>
              <w:spacing w:line="360" w:lineRule="auto"/>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地址：  </w:t>
            </w:r>
          </w:p>
        </w:tc>
        <w:tc>
          <w:tcPr>
            <w:tcW w:w="4252" w:type="dxa"/>
            <w:tcBorders>
              <w:top w:val="nil"/>
              <w:left w:val="nil"/>
              <w:bottom w:val="nil"/>
              <w:right w:val="nil"/>
            </w:tcBorders>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地址：  </w:t>
            </w:r>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vAlign w:val="top"/>
          </w:tcPr>
          <w:p>
            <w:pPr>
              <w:pStyle w:val="25"/>
              <w:snapToGrid w:val="0"/>
              <w:spacing w:line="360" w:lineRule="auto"/>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邮编： </w:t>
            </w:r>
          </w:p>
        </w:tc>
        <w:tc>
          <w:tcPr>
            <w:tcW w:w="4252" w:type="dxa"/>
            <w:tcBorders>
              <w:top w:val="nil"/>
              <w:left w:val="nil"/>
              <w:bottom w:val="nil"/>
              <w:right w:val="nil"/>
            </w:tcBorders>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邮编： </w:t>
            </w:r>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电话： </w:t>
            </w:r>
          </w:p>
        </w:tc>
        <w:tc>
          <w:tcPr>
            <w:tcW w:w="4252" w:type="dxa"/>
            <w:tcBorders>
              <w:top w:val="nil"/>
              <w:left w:val="nil"/>
              <w:bottom w:val="nil"/>
              <w:right w:val="nil"/>
            </w:tcBorders>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电话： </w:t>
            </w:r>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 xml:space="preserve">传真： </w:t>
            </w:r>
          </w:p>
        </w:tc>
        <w:tc>
          <w:tcPr>
            <w:tcW w:w="4252" w:type="dxa"/>
            <w:tcBorders>
              <w:top w:val="nil"/>
              <w:left w:val="nil"/>
              <w:bottom w:val="nil"/>
              <w:right w:val="nil"/>
            </w:tcBorders>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传真： </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开户银行：</w:t>
            </w:r>
          </w:p>
        </w:tc>
        <w:tc>
          <w:tcPr>
            <w:tcW w:w="4252" w:type="dxa"/>
            <w:tcBorders>
              <w:top w:val="nil"/>
              <w:left w:val="nil"/>
              <w:bottom w:val="nil"/>
              <w:right w:val="nil"/>
            </w:tcBorders>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开户银行：</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账号：</w:t>
            </w:r>
          </w:p>
        </w:tc>
        <w:tc>
          <w:tcPr>
            <w:tcW w:w="4252" w:type="dxa"/>
            <w:tcBorders>
              <w:top w:val="nil"/>
              <w:left w:val="nil"/>
              <w:bottom w:val="nil"/>
              <w:right w:val="nil"/>
            </w:tcBorders>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账号：</w:t>
            </w: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p>
        </w:tc>
        <w:tc>
          <w:tcPr>
            <w:tcW w:w="4252" w:type="dxa"/>
            <w:tcBorders>
              <w:top w:val="nil"/>
              <w:left w:val="nil"/>
              <w:bottom w:val="nil"/>
              <w:right w:val="nil"/>
            </w:tcBorders>
            <w:vAlign w:val="top"/>
          </w:tcPr>
          <w:p>
            <w:pPr>
              <w:pStyle w:val="25"/>
              <w:snapToGrid w:val="0"/>
              <w:spacing w:line="360" w:lineRule="auto"/>
              <w:ind w:left="34" w:leftChars="16"/>
              <w:outlineLvl w:val="3"/>
              <w:rPr>
                <w:rFonts w:hint="eastAsia" w:ascii="仿宋_GB2312" w:hAnsi="仿宋_GB2312" w:eastAsia="仿宋_GB2312" w:cs="仿宋_GB2312"/>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vAlign w:val="top"/>
          </w:tcPr>
          <w:p>
            <w:pPr>
              <w:pStyle w:val="25"/>
              <w:snapToGrid w:val="0"/>
              <w:spacing w:line="360" w:lineRule="auto"/>
              <w:outlineLvl w:val="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委托人（甲方）：(盖章)</w:t>
            </w:r>
          </w:p>
          <w:p>
            <w:pPr>
              <w:pStyle w:val="25"/>
              <w:snapToGrid w:val="0"/>
              <w:spacing w:line="360" w:lineRule="auto"/>
              <w:outlineLvl w:val="3"/>
              <w:rPr>
                <w:rFonts w:ascii="仿宋_GB2312" w:hAnsi="仿宋_GB2312" w:eastAsia="仿宋_GB2312" w:cs="仿宋_GB2312"/>
                <w:color w:val="auto"/>
                <w:sz w:val="24"/>
                <w:szCs w:val="24"/>
                <w:highlight w:val="none"/>
              </w:rPr>
            </w:pPr>
          </w:p>
        </w:tc>
        <w:tc>
          <w:tcPr>
            <w:tcW w:w="4252" w:type="dxa"/>
            <w:tcBorders>
              <w:top w:val="nil"/>
              <w:left w:val="nil"/>
              <w:bottom w:val="nil"/>
              <w:right w:val="nil"/>
            </w:tcBorders>
            <w:vAlign w:val="top"/>
          </w:tcPr>
          <w:p>
            <w:pPr>
              <w:pStyle w:val="25"/>
              <w:snapToGrid w:val="0"/>
              <w:spacing w:line="360" w:lineRule="auto"/>
              <w:outlineLvl w:val="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委托人（甲方）：(盖章)</w:t>
            </w:r>
          </w:p>
          <w:p>
            <w:pPr>
              <w:pStyle w:val="25"/>
              <w:snapToGrid w:val="0"/>
              <w:spacing w:line="360" w:lineRule="auto"/>
              <w:outlineLvl w:val="3"/>
              <w:rPr>
                <w:rFonts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法定代表人或其授权代表：</w:t>
            </w:r>
          </w:p>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p>
        </w:tc>
        <w:tc>
          <w:tcPr>
            <w:tcW w:w="4252" w:type="dxa"/>
            <w:tcBorders>
              <w:top w:val="nil"/>
              <w:left w:val="nil"/>
              <w:bottom w:val="nil"/>
              <w:right w:val="nil"/>
            </w:tcBorders>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法定代表人或其授权代表：</w:t>
            </w:r>
          </w:p>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810" w:hRule="atLeast"/>
          <w:jc w:val="center"/>
        </w:trPr>
        <w:tc>
          <w:tcPr>
            <w:tcW w:w="4467" w:type="dxa"/>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地址：  </w:t>
            </w:r>
          </w:p>
        </w:tc>
        <w:tc>
          <w:tcPr>
            <w:tcW w:w="4252" w:type="dxa"/>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地址：  </w:t>
            </w:r>
          </w:p>
        </w:tc>
      </w:tr>
      <w:bookmarkEnd w:id="65"/>
      <w:bookmarkEnd w:id="66"/>
      <w:bookmarkEnd w:id="67"/>
      <w:bookmarkEnd w:id="68"/>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bookmarkStart w:id="86" w:name="_Toc10635"/>
            <w:bookmarkStart w:id="87" w:name="_Toc28738"/>
            <w:bookmarkStart w:id="88" w:name="_Toc1724"/>
            <w:bookmarkStart w:id="89" w:name="_Toc31260"/>
            <w:bookmarkStart w:id="90" w:name="_Toc12367"/>
            <w:bookmarkStart w:id="91" w:name="_Toc15642"/>
            <w:bookmarkStart w:id="92" w:name="_Toc2440"/>
            <w:bookmarkStart w:id="93" w:name="_Toc25130"/>
            <w:r>
              <w:rPr>
                <w:rFonts w:ascii="仿宋_GB2312" w:hAnsi="仿宋_GB2312" w:eastAsia="仿宋_GB2312" w:cs="仿宋_GB2312"/>
                <w:color w:val="auto"/>
                <w:sz w:val="24"/>
                <w:szCs w:val="24"/>
                <w:highlight w:val="none"/>
              </w:rPr>
              <w:t xml:space="preserve">邮编： </w:t>
            </w:r>
          </w:p>
        </w:tc>
        <w:tc>
          <w:tcPr>
            <w:tcW w:w="0" w:type="auto"/>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邮编： </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电话： </w:t>
            </w:r>
          </w:p>
        </w:tc>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电话： </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传真： </w:t>
            </w:r>
          </w:p>
        </w:tc>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传真： </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开户银行：</w:t>
            </w:r>
          </w:p>
        </w:tc>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开户银行：</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账号：</w:t>
            </w:r>
          </w:p>
        </w:tc>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账号：</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p>
        </w:tc>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outlineLvl w:val="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委托人（甲方）：(盖章)</w:t>
            </w:r>
          </w:p>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p>
        </w:tc>
        <w:tc>
          <w:tcPr>
            <w:tcW w:w="0" w:type="auto"/>
            <w:vAlign w:val="top"/>
          </w:tcPr>
          <w:p>
            <w:pPr>
              <w:pStyle w:val="25"/>
              <w:snapToGrid w:val="0"/>
              <w:spacing w:line="360" w:lineRule="auto"/>
              <w:outlineLvl w:val="3"/>
              <w:rPr>
                <w:rFonts w:ascii="仿宋_GB2312" w:hAnsi="仿宋_GB2312" w:eastAsia="仿宋_GB2312" w:cs="仿宋_GB2312"/>
                <w:color w:val="auto"/>
                <w:sz w:val="24"/>
                <w:highlight w:val="none"/>
              </w:rPr>
            </w:pPr>
            <w:r>
              <w:rPr>
                <w:rFonts w:ascii="仿宋_GB2312" w:hAnsi="仿宋_GB2312" w:eastAsia="仿宋_GB2312" w:cs="仿宋_GB2312"/>
                <w:color w:val="auto"/>
                <w:sz w:val="24"/>
                <w:highlight w:val="none"/>
              </w:rPr>
              <w:t>受托人（乙方）：（盖章）</w:t>
            </w:r>
          </w:p>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法定代表人或其授权代表：</w:t>
            </w:r>
          </w:p>
          <w:p>
            <w:pPr>
              <w:pStyle w:val="25"/>
              <w:snapToGrid w:val="0"/>
              <w:spacing w:line="360" w:lineRule="auto"/>
              <w:ind w:left="19" w:leftChars="9"/>
              <w:outlineLvl w:val="3"/>
              <w:rPr>
                <w:rFonts w:ascii="仿宋_GB2312" w:hAnsi="仿宋_GB2312" w:eastAsia="仿宋_GB2312" w:cs="仿宋_GB2312"/>
                <w:color w:val="auto"/>
                <w:sz w:val="24"/>
                <w:szCs w:val="24"/>
                <w:highlight w:val="none"/>
              </w:rPr>
            </w:pPr>
          </w:p>
        </w:tc>
        <w:tc>
          <w:tcPr>
            <w:tcW w:w="0" w:type="auto"/>
            <w:vAlign w:val="top"/>
          </w:tcPr>
          <w:p>
            <w:pPr>
              <w:pStyle w:val="25"/>
              <w:snapToGrid w:val="0"/>
              <w:spacing w:line="360" w:lineRule="auto"/>
              <w:ind w:left="34" w:leftChars="16"/>
              <w:outlineLvl w:val="3"/>
              <w:rPr>
                <w:rFonts w:ascii="仿宋_GB2312" w:hAnsi="仿宋_GB2312" w:eastAsia="仿宋_GB2312" w:cs="仿宋_GB2312"/>
                <w:color w:val="auto"/>
                <w:sz w:val="24"/>
                <w:szCs w:val="24"/>
                <w:highlight w:val="none"/>
              </w:rPr>
            </w:pPr>
            <w:r>
              <w:rPr>
                <w:rFonts w:ascii="仿宋_GB2312" w:hAnsi="仿宋_GB2312" w:eastAsia="仿宋_GB2312" w:cs="仿宋_GB2312"/>
                <w:color w:val="auto"/>
                <w:sz w:val="24"/>
                <w:szCs w:val="24"/>
                <w:highlight w:val="none"/>
              </w:rPr>
              <w:t>法定代表人或其授权代表：</w:t>
            </w:r>
          </w:p>
          <w:p>
            <w:pPr>
              <w:pStyle w:val="25"/>
              <w:snapToGrid w:val="0"/>
              <w:spacing w:line="360" w:lineRule="auto"/>
              <w:ind w:left="34" w:leftChars="16"/>
              <w:outlineLvl w:val="3"/>
              <w:rPr>
                <w:rFonts w:ascii="仿宋_GB2312" w:hAnsi="仿宋_GB2312" w:eastAsia="仿宋_GB2312" w:cs="仿宋_GB2312"/>
                <w:color w:val="auto"/>
                <w:sz w:val="24"/>
                <w:szCs w:val="24"/>
                <w:highlight w:val="none"/>
              </w:rPr>
            </w:pP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地址：  </w:t>
            </w:r>
          </w:p>
        </w:tc>
        <w:tc>
          <w:tcPr>
            <w:tcW w:w="0" w:type="auto"/>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地址：</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邮编： </w:t>
            </w:r>
          </w:p>
        </w:tc>
        <w:tc>
          <w:tcPr>
            <w:tcW w:w="0" w:type="auto"/>
            <w:vAlign w:val="top"/>
          </w:tcPr>
          <w:p>
            <w:pPr>
              <w:pStyle w:val="25"/>
              <w:snapToGrid w:val="0"/>
              <w:spacing w:line="360" w:lineRule="auto"/>
              <w:ind w:left="34" w:leftChars="16"/>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邮编：</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电话： </w:t>
            </w:r>
          </w:p>
        </w:tc>
        <w:tc>
          <w:tcPr>
            <w:tcW w:w="0" w:type="auto"/>
            <w:vAlign w:val="top"/>
          </w:tcPr>
          <w:p>
            <w:pPr>
              <w:pStyle w:val="25"/>
              <w:snapToGrid w:val="0"/>
              <w:spacing w:line="360" w:lineRule="auto"/>
              <w:ind w:left="34" w:leftChars="16"/>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电话：</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 xml:space="preserve">传真： </w:t>
            </w:r>
          </w:p>
        </w:tc>
        <w:tc>
          <w:tcPr>
            <w:tcW w:w="0" w:type="auto"/>
            <w:vAlign w:val="top"/>
          </w:tcPr>
          <w:p>
            <w:pPr>
              <w:pStyle w:val="25"/>
              <w:snapToGrid w:val="0"/>
              <w:spacing w:line="360" w:lineRule="auto"/>
              <w:ind w:left="34" w:leftChars="16"/>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传真：</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开户银行：</w:t>
            </w:r>
          </w:p>
        </w:tc>
        <w:tc>
          <w:tcPr>
            <w:tcW w:w="0" w:type="auto"/>
            <w:vAlign w:val="top"/>
          </w:tcPr>
          <w:p>
            <w:pPr>
              <w:pStyle w:val="25"/>
              <w:snapToGrid w:val="0"/>
              <w:spacing w:line="360" w:lineRule="auto"/>
              <w:ind w:left="34" w:leftChars="16"/>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开户银行：</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账号：</w:t>
            </w:r>
          </w:p>
        </w:tc>
        <w:tc>
          <w:tcPr>
            <w:tcW w:w="0" w:type="auto"/>
            <w:vAlign w:val="top"/>
          </w:tcPr>
          <w:p>
            <w:pPr>
              <w:pStyle w:val="25"/>
              <w:snapToGrid w:val="0"/>
              <w:spacing w:line="360" w:lineRule="auto"/>
              <w:ind w:left="34" w:leftChars="16"/>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账号：</w:t>
            </w:r>
          </w:p>
        </w:tc>
      </w:tr>
      <w:tr>
        <w:tblPrEx>
          <w:tblCellMar>
            <w:top w:w="0" w:type="dxa"/>
            <w:left w:w="108" w:type="dxa"/>
            <w:bottom w:w="0" w:type="dxa"/>
            <w:right w:w="108" w:type="dxa"/>
          </w:tblCellMar>
        </w:tblPrEx>
        <w:trPr>
          <w:trHeight w:val="810" w:hRule="atLeast"/>
          <w:jc w:val="center"/>
        </w:trPr>
        <w:tc>
          <w:tcPr>
            <w:tcW w:w="0" w:type="auto"/>
            <w:vAlign w:val="top"/>
          </w:tcPr>
          <w:p>
            <w:pPr>
              <w:pStyle w:val="25"/>
              <w:snapToGrid w:val="0"/>
              <w:spacing w:line="360" w:lineRule="auto"/>
              <w:ind w:left="19" w:leftChars="9"/>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时间：</w:t>
            </w:r>
          </w:p>
        </w:tc>
        <w:tc>
          <w:tcPr>
            <w:tcW w:w="0" w:type="auto"/>
            <w:vAlign w:val="top"/>
          </w:tcPr>
          <w:p>
            <w:pPr>
              <w:pStyle w:val="25"/>
              <w:snapToGrid w:val="0"/>
              <w:spacing w:line="360" w:lineRule="auto"/>
              <w:ind w:left="34" w:leftChars="16"/>
              <w:outlineLvl w:val="3"/>
              <w:rPr>
                <w:rFonts w:hint="eastAsia"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sz w:val="24"/>
                <w:szCs w:val="24"/>
                <w:highlight w:val="none"/>
              </w:rPr>
              <w:t>时间：</w:t>
            </w:r>
          </w:p>
        </w:tc>
      </w:tr>
    </w:tbl>
    <w:p>
      <w:pPr>
        <w:adjustRightInd w:val="0"/>
        <w:snapToGrid w:val="0"/>
        <w:spacing w:line="400" w:lineRule="exact"/>
        <w:jc w:val="center"/>
        <w:outlineLvl w:val="3"/>
        <w:rPr>
          <w:rFonts w:hint="eastAsia" w:ascii="仿宋_GB2312" w:hAnsi="仿宋_GB2312" w:eastAsia="仿宋_GB2312" w:cs="仿宋_GB2312"/>
          <w:b/>
          <w:color w:val="auto"/>
          <w:sz w:val="32"/>
          <w:szCs w:val="32"/>
          <w:highlight w:val="none"/>
        </w:rPr>
        <w:sectPr>
          <w:footerReference r:id="rId13" w:type="first"/>
          <w:footerReference r:id="rId12" w:type="default"/>
          <w:pgSz w:w="11850" w:h="16783"/>
          <w:pgMar w:top="1440" w:right="1361" w:bottom="1440" w:left="1474" w:header="851" w:footer="992" w:gutter="0"/>
          <w:pgNumType w:fmt="decimal"/>
          <w:cols w:space="720" w:num="1"/>
          <w:titlePg/>
          <w:docGrid w:type="lines" w:linePitch="312" w:charSpace="0"/>
        </w:sect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bookmarkStart w:id="94" w:name="_Toc19455"/>
      <w:r>
        <w:rPr>
          <w:rFonts w:hint="eastAsia" w:ascii="仿宋_GB2312" w:hAnsi="仿宋_GB2312" w:eastAsia="仿宋_GB2312" w:cs="仿宋_GB2312"/>
          <w:b/>
          <w:bCs/>
          <w:color w:val="auto"/>
          <w:kern w:val="0"/>
          <w:sz w:val="32"/>
          <w:szCs w:val="32"/>
          <w:highlight w:val="none"/>
        </w:rPr>
        <w:t>第二部分 合同条款</w:t>
      </w:r>
      <w:bookmarkEnd w:id="86"/>
      <w:bookmarkEnd w:id="87"/>
      <w:bookmarkEnd w:id="88"/>
      <w:bookmarkEnd w:id="89"/>
      <w:bookmarkEnd w:id="94"/>
    </w:p>
    <w:p>
      <w:pPr>
        <w:pStyle w:val="6"/>
        <w:keepNext w:val="0"/>
        <w:keepLines w:val="0"/>
        <w:snapToGrid w:val="0"/>
        <w:spacing w:line="360" w:lineRule="auto"/>
        <w:ind w:firstLine="482" w:firstLineChars="200"/>
        <w:outlineLvl w:val="3"/>
        <w:rPr>
          <w:rFonts w:hint="eastAsia" w:ascii="仿宋_GB2312" w:hAnsi="仿宋_GB2312" w:eastAsia="仿宋_GB2312" w:cs="仿宋_GB2312"/>
          <w:color w:val="auto"/>
          <w:sz w:val="24"/>
          <w:szCs w:val="24"/>
          <w:highlight w:val="none"/>
        </w:rPr>
      </w:pPr>
      <w:bookmarkStart w:id="95" w:name="_Toc493574679"/>
      <w:bookmarkStart w:id="96" w:name="_Toc5166"/>
      <w:bookmarkStart w:id="97" w:name="_Toc457826152"/>
      <w:bookmarkStart w:id="98" w:name="_Toc22585"/>
      <w:r>
        <w:rPr>
          <w:rFonts w:hint="eastAsia" w:ascii="仿宋_GB2312" w:hAnsi="仿宋_GB2312" w:eastAsia="仿宋_GB2312" w:cs="仿宋_GB2312"/>
          <w:color w:val="auto"/>
          <w:sz w:val="24"/>
          <w:szCs w:val="24"/>
          <w:highlight w:val="none"/>
        </w:rPr>
        <w:t>1．一般约定</w:t>
      </w:r>
      <w:bookmarkEnd w:id="95"/>
      <w:bookmarkEnd w:id="96"/>
      <w:bookmarkEnd w:id="97"/>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bookmarkStart w:id="99" w:name="_Toc406150424"/>
      <w:bookmarkStart w:id="100" w:name="_Toc457826153"/>
      <w:r>
        <w:rPr>
          <w:rFonts w:hint="eastAsia" w:ascii="仿宋_GB2312" w:hAnsi="仿宋_GB2312" w:eastAsia="仿宋_GB2312" w:cs="仿宋_GB2312"/>
          <w:color w:val="auto"/>
          <w:kern w:val="0"/>
          <w:sz w:val="24"/>
          <w:szCs w:val="24"/>
          <w:highlight w:val="none"/>
        </w:rPr>
        <w:t>1.1 词语定义</w:t>
      </w:r>
      <w:bookmarkEnd w:id="99"/>
      <w:bookmarkEnd w:id="100"/>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 合同：</w:t>
      </w:r>
      <w:r>
        <w:rPr>
          <w:rFonts w:hint="eastAsia" w:ascii="仿宋_GB2312" w:hAnsi="仿宋_GB2312" w:eastAsia="仿宋_GB2312" w:cs="仿宋_GB2312"/>
          <w:color w:val="auto"/>
          <w:sz w:val="24"/>
          <w:highlight w:val="none"/>
        </w:rPr>
        <w:t>指甲乙双方签署的、合同协议书中载明的甲乙双方所达成的协议，包括所有的附件、附录和上述文件所提到的构成合同的所有文件</w:t>
      </w:r>
      <w:r>
        <w:rPr>
          <w:rFonts w:hint="eastAsia" w:ascii="仿宋_GB2312" w:hAnsi="仿宋_GB2312" w:eastAsia="仿宋_GB2312" w:cs="仿宋_GB2312"/>
          <w:color w:val="auto"/>
          <w:kern w:val="0"/>
          <w:sz w:val="24"/>
          <w:szCs w:val="24"/>
          <w:highlight w:val="none"/>
        </w:rPr>
        <w:t>。</w:t>
      </w:r>
    </w:p>
    <w:p>
      <w:pPr>
        <w:adjustRightInd w:val="0"/>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1.1.2 合同协议书：指构成合同的由甲方和乙方共同签署的称为“合同协议书”的书面文件。</w:t>
      </w:r>
    </w:p>
    <w:p>
      <w:pPr>
        <w:adjustRightInd w:val="0"/>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1.1.3 合同条款：是甲方与乙方根据法律、行政法规规定，结合具体项目实际，经协商达成一致意见的合同条款。</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1.1.4甲方：指与乙方签定合同协议书的当事人以及取得该当事人资格的合法继承人。</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1.1.5乙方：指为本项目提供服务与甲方签订合同协议书的，具有项目实施资质的当事人以及取得该当事人资格的合法继承人。</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1.1.6 项目：指甲方与乙方在合同协议书中约定的项目。</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1.1.7费用：指为履行合同所发生的或将要发生的所有支出。</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1.1.8 服务期限：指合同当事人在合同协议书中约定的期限。</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1.1.9 天：除特别指明外，均指日历天。约定按天计算时间的，开始当天不计入，从次日开始计算。时限的最后一天是休息日或者其他法定节假日的，以节假日次日为时限的最后一天，时限的最后一天的截止时间为当日24时。</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1.1.10 成果提交日期：指合同当事人约定乙方完成合同范围内工作并提交成果资料的绝对或相对日期，具体要求详见技术规格书。</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1.1.11 书面形式：指合同书、信件和数据电文（包括电报、电传、传真、电子数据交换和电子邮件）等可以有形地表现所载内容的形式。</w:t>
      </w:r>
    </w:p>
    <w:p>
      <w:pPr>
        <w:adjustRightInd w:val="0"/>
        <w:snapToGrid w:val="0"/>
        <w:spacing w:line="360" w:lineRule="auto"/>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 xml:space="preserve">    1.1.12 索赔：指在合同履行过程中，一方违反合同约定，直接或间接地给另一方造成实际损失，受损方向违约方提出经济赔偿和（或）服务期限顺延的要求。</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1.1.13 签约合同价：是指甲方和乙方在合同协议书中确定的金额，即本项目的中选价格/成交价格。</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1.1.14 合同价格：是指根据本合同规定乙方在正确地完全履行合同义务后，按照长沙市政府或其职能部门相关规定，</w:t>
      </w:r>
      <w:r>
        <w:rPr>
          <w:rFonts w:hint="eastAsia" w:ascii="仿宋_GB2312" w:hAnsi="仿宋_GB2312" w:eastAsia="仿宋_GB2312" w:cs="仿宋_GB2312"/>
          <w:color w:val="auto"/>
          <w:sz w:val="24"/>
          <w:szCs w:val="24"/>
          <w:highlight w:val="none"/>
          <w:u w:val="single"/>
        </w:rPr>
        <w:sym w:font="Wingdings 2" w:char="00A3"/>
      </w:r>
      <w:r>
        <w:rPr>
          <w:rFonts w:hint="eastAsia" w:ascii="仿宋_GB2312" w:hAnsi="仿宋_GB2312" w:eastAsia="仿宋_GB2312" w:cs="仿宋_GB2312"/>
          <w:color w:val="auto"/>
          <w:sz w:val="24"/>
          <w:szCs w:val="24"/>
          <w:highlight w:val="none"/>
          <w:u w:val="single"/>
        </w:rPr>
        <w:t>经长沙市政府相关职能部门或长沙市轨道交通集团有限公司</w:t>
      </w:r>
      <w:r>
        <w:rPr>
          <w:rFonts w:hint="eastAsia" w:ascii="仿宋_GB2312" w:hAnsi="仿宋_GB2312" w:eastAsia="仿宋_GB2312" w:cs="仿宋_GB2312"/>
          <w:color w:val="auto"/>
          <w:sz w:val="24"/>
          <w:szCs w:val="24"/>
          <w:highlight w:val="none"/>
          <w:u w:val="single"/>
          <w:shd w:val="clear" w:color="auto" w:fill="FFFFFF"/>
        </w:rPr>
        <w:t>授权的单位</w:t>
      </w:r>
      <w:r>
        <w:rPr>
          <w:rFonts w:hint="eastAsia" w:ascii="仿宋_GB2312" w:hAnsi="仿宋_GB2312" w:eastAsia="仿宋_GB2312" w:cs="仿宋_GB2312"/>
          <w:color w:val="auto"/>
          <w:sz w:val="24"/>
          <w:szCs w:val="24"/>
          <w:highlight w:val="none"/>
          <w:u w:val="single"/>
        </w:rPr>
        <w:t>审定的结算价格</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u w:val="single"/>
        </w:rPr>
        <w:sym w:font="Wingdings 2" w:char="0052"/>
      </w:r>
      <w:r>
        <w:rPr>
          <w:rFonts w:hint="eastAsia" w:ascii="仿宋_GB2312" w:hAnsi="仿宋_GB2312" w:eastAsia="仿宋_GB2312" w:cs="仿宋_GB2312"/>
          <w:color w:val="auto"/>
          <w:sz w:val="24"/>
          <w:szCs w:val="24"/>
          <w:highlight w:val="none"/>
          <w:u w:val="single"/>
        </w:rPr>
        <w:t>履约验收合格确定的最终价款</w:t>
      </w:r>
      <w:r>
        <w:rPr>
          <w:rFonts w:hint="eastAsia" w:ascii="仿宋_GB2312" w:hAnsi="仿宋_GB2312" w:eastAsia="仿宋_GB2312" w:cs="仿宋_GB2312"/>
          <w:color w:val="auto"/>
          <w:kern w:val="0"/>
          <w:sz w:val="24"/>
          <w:szCs w:val="24"/>
          <w:highlight w:val="none"/>
        </w:rPr>
        <w:t>。</w:t>
      </w:r>
    </w:p>
    <w:p>
      <w:pPr>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1.1.15 “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adjustRightInd w:val="0"/>
        <w:snapToGrid w:val="0"/>
        <w:spacing w:line="360" w:lineRule="auto"/>
        <w:ind w:firstLine="48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1.1.16 不可抗力：是指双方在订立本合同时不可预见，在合同履行过程中不可避免并不能克服的自然灾害和社会性突发事件，如地震、海啸、瘟疫、水灾、骚乱、暴动、战争等情形。</w:t>
      </w:r>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bookmarkStart w:id="101" w:name="_Toc406150426"/>
      <w:bookmarkStart w:id="102" w:name="_Toc457826156"/>
      <w:r>
        <w:rPr>
          <w:rFonts w:hint="eastAsia" w:ascii="仿宋_GB2312" w:hAnsi="仿宋_GB2312" w:eastAsia="仿宋_GB2312" w:cs="仿宋_GB2312"/>
          <w:color w:val="auto"/>
          <w:kern w:val="0"/>
          <w:sz w:val="24"/>
          <w:szCs w:val="24"/>
          <w:highlight w:val="none"/>
        </w:rPr>
        <w:t>1.2 适用法律法规、技术标准</w:t>
      </w:r>
      <w:bookmarkEnd w:id="101"/>
      <w:bookmarkEnd w:id="102"/>
    </w:p>
    <w:p>
      <w:pPr>
        <w:adjustRightInd w:val="0"/>
        <w:snapToGrid w:val="0"/>
        <w:spacing w:line="360" w:lineRule="auto"/>
        <w:ind w:firstLine="480" w:firstLineChars="200"/>
        <w:jc w:val="left"/>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rPr>
        <w:t>1.2.1 适用法律法规</w:t>
      </w:r>
    </w:p>
    <w:p>
      <w:pPr>
        <w:adjustRightInd w:val="0"/>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本合同文件适用中华人民共和国法律、行政法规、部门规章以及项目所在地的地方性法规、自治条例、单行条例和地方政府规章等。</w:t>
      </w:r>
    </w:p>
    <w:p>
      <w:pPr>
        <w:adjustRightInd w:val="0"/>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1.2.2 适用技术标准</w:t>
      </w:r>
    </w:p>
    <w:p>
      <w:pPr>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适用于项目的现行有效国家标准、行业标准、项目所在地的地方标准以及相应的规范、规程为本合同文件适用的技术标准。</w:t>
      </w:r>
    </w:p>
    <w:p>
      <w:pPr>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1.2.3 具体技术要求详见合同附件“技术规格书”。</w:t>
      </w:r>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bookmarkStart w:id="103" w:name="_Toc457826157"/>
      <w:r>
        <w:rPr>
          <w:rFonts w:hint="eastAsia" w:ascii="仿宋_GB2312" w:hAnsi="仿宋_GB2312" w:eastAsia="仿宋_GB2312" w:cs="仿宋_GB2312"/>
          <w:color w:val="auto"/>
          <w:kern w:val="0"/>
          <w:sz w:val="24"/>
          <w:szCs w:val="24"/>
          <w:highlight w:val="none"/>
        </w:rPr>
        <w:t>1.3 语言文字</w:t>
      </w:r>
      <w:bookmarkEnd w:id="103"/>
    </w:p>
    <w:p>
      <w:pPr>
        <w:tabs>
          <w:tab w:val="left" w:pos="540"/>
        </w:tabs>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本合同文件使用汉语语言文字书写、解释和说明。</w:t>
      </w:r>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bookmarkStart w:id="104" w:name="_Toc351203502"/>
      <w:bookmarkStart w:id="105" w:name="_Toc457826158"/>
      <w:bookmarkStart w:id="106" w:name="_Toc406150428"/>
      <w:bookmarkStart w:id="107" w:name="_Toc337558733"/>
      <w:bookmarkStart w:id="108" w:name="_Toc296503033"/>
      <w:bookmarkStart w:id="109" w:name="_Toc296346534"/>
      <w:r>
        <w:rPr>
          <w:rFonts w:hint="eastAsia" w:ascii="仿宋_GB2312" w:hAnsi="仿宋_GB2312" w:eastAsia="仿宋_GB2312" w:cs="仿宋_GB2312"/>
          <w:color w:val="auto"/>
          <w:kern w:val="0"/>
          <w:sz w:val="24"/>
          <w:szCs w:val="24"/>
          <w:highlight w:val="none"/>
        </w:rPr>
        <w:t>1.4 联络</w:t>
      </w:r>
      <w:bookmarkEnd w:id="104"/>
      <w:bookmarkEnd w:id="105"/>
      <w:bookmarkEnd w:id="106"/>
    </w:p>
    <w:bookmarkEnd w:id="107"/>
    <w:bookmarkEnd w:id="108"/>
    <w:bookmarkEnd w:id="109"/>
    <w:p>
      <w:pPr>
        <w:tabs>
          <w:tab w:val="left" w:pos="540"/>
          <w:tab w:val="left" w:pos="720"/>
        </w:tabs>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1.4.1 与合同有关的批准文件、通知、证明、证书、指示、指令、要求、请求、意见、确定和决定等，均应采用书面形式或合同双方确认的其他形式，并应在5个工作日内送达接收人。</w:t>
      </w:r>
    </w:p>
    <w:p>
      <w:pPr>
        <w:tabs>
          <w:tab w:val="left" w:pos="540"/>
          <w:tab w:val="left" w:pos="1260"/>
        </w:tabs>
        <w:adjustRightInd w:val="0"/>
        <w:snapToGrid w:val="0"/>
        <w:spacing w:line="360" w:lineRule="auto"/>
        <w:ind w:firstLine="480" w:firstLineChars="200"/>
        <w:jc w:val="left"/>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rPr>
        <w:t>1.4.2 甲方和乙方另行约定各自的送达接收人、送达形式及联系方式。合同当事人指定的接收人、送达地点或联系方式发生变动的，应提前3天以书面形式通知对方，否则视为未发生变动。</w:t>
      </w:r>
    </w:p>
    <w:p>
      <w:pPr>
        <w:tabs>
          <w:tab w:val="left" w:pos="540"/>
          <w:tab w:val="left" w:pos="1260"/>
        </w:tabs>
        <w:adjustRightInd w:val="0"/>
        <w:snapToGrid w:val="0"/>
        <w:spacing w:line="360" w:lineRule="auto"/>
        <w:ind w:firstLine="480" w:firstLineChars="200"/>
        <w:jc w:val="left"/>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color w:val="auto"/>
          <w:kern w:val="0"/>
          <w:sz w:val="24"/>
          <w:szCs w:val="24"/>
          <w:highlight w:val="none"/>
        </w:rPr>
        <w:t>1.4.3 甲方、乙方应及时签收对方送达至约定送达地点和指定接收人的来往信函；如确有充分证据证明一方无正当理由拒不签收的，视为拒绝签收一方认可往来信函的内容。</w:t>
      </w:r>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bookmarkStart w:id="110" w:name="_Toc449383259"/>
      <w:bookmarkStart w:id="111" w:name="_Toc406150429"/>
      <w:bookmarkStart w:id="112" w:name="_Toc351203503"/>
      <w:bookmarkStart w:id="113" w:name="_Toc337558734"/>
      <w:bookmarkStart w:id="114" w:name="_Toc296503035"/>
      <w:bookmarkStart w:id="115" w:name="_Toc296346536"/>
      <w:bookmarkStart w:id="116" w:name="_Toc406150430"/>
      <w:bookmarkStart w:id="117" w:name="_Toc337558738"/>
      <w:bookmarkStart w:id="118" w:name="_Toc457826159"/>
      <w:r>
        <w:rPr>
          <w:rFonts w:hint="eastAsia" w:ascii="仿宋_GB2312" w:hAnsi="仿宋_GB2312" w:eastAsia="仿宋_GB2312" w:cs="仿宋_GB2312"/>
          <w:color w:val="auto"/>
          <w:kern w:val="0"/>
          <w:sz w:val="24"/>
          <w:szCs w:val="24"/>
          <w:highlight w:val="none"/>
        </w:rPr>
        <w:t>1.5 严禁贿赂</w:t>
      </w:r>
      <w:bookmarkEnd w:id="110"/>
      <w:bookmarkEnd w:id="111"/>
      <w:bookmarkEnd w:id="112"/>
    </w:p>
    <w:bookmarkEnd w:id="113"/>
    <w:bookmarkEnd w:id="114"/>
    <w:bookmarkEnd w:id="115"/>
    <w:p>
      <w:pPr>
        <w:tabs>
          <w:tab w:val="left" w:pos="540"/>
        </w:tabs>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合同当事人不得以贿赂或变相贿赂的方式，谋取非法利益或损害对方权益。因一方的贿赂造成对方损失的，应赔偿损失并承担相应的法律责任。</w:t>
      </w:r>
    </w:p>
    <w:p>
      <w:pPr>
        <w:tabs>
          <w:tab w:val="left" w:pos="540"/>
        </w:tabs>
        <w:adjustRightInd w:val="0"/>
        <w:snapToGrid w:val="0"/>
        <w:spacing w:line="360" w:lineRule="auto"/>
        <w:ind w:firstLine="482" w:firstLineChars="200"/>
        <w:jc w:val="left"/>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1.6 知识产权及保密</w:t>
      </w:r>
      <w:bookmarkEnd w:id="116"/>
      <w:bookmarkEnd w:id="117"/>
      <w:bookmarkEnd w:id="118"/>
    </w:p>
    <w:p>
      <w:pPr>
        <w:tabs>
          <w:tab w:val="left" w:pos="540"/>
        </w:tabs>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1.6.1 在本合同有效期内，甲方利用乙方提交的工作成果所形成的知识产权，归甲方所有。</w:t>
      </w:r>
    </w:p>
    <w:p>
      <w:pPr>
        <w:tabs>
          <w:tab w:val="left" w:pos="540"/>
        </w:tabs>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1.6.2 在本合同有效期内，乙方利用甲方提供的技术资料和工作条件所形成的知识产权，归双方所有。</w:t>
      </w:r>
    </w:p>
    <w:p>
      <w:pPr>
        <w:tabs>
          <w:tab w:val="left" w:pos="540"/>
        </w:tabs>
        <w:adjustRightInd w:val="0"/>
        <w:snapToGrid w:val="0"/>
        <w:spacing w:line="360" w:lineRule="auto"/>
        <w:ind w:firstLine="480" w:firstLineChars="200"/>
        <w:jc w:val="left"/>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1.6.3 除法律法规规定或合同另有约定外，未经甲方书面同意，乙方不得将甲方提供的图纸、文件、声明及检测成果等需要保密的资料信息等商业秘密泄露给第三方。</w:t>
      </w:r>
    </w:p>
    <w:p>
      <w:pPr>
        <w:tabs>
          <w:tab w:val="left" w:pos="540"/>
        </w:tabs>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1.6.4乙方对其所提供的物资、技术等应当享有知识产权或经权利人合法授权，保证没有侵犯任何第三人的知识产权。</w:t>
      </w:r>
    </w:p>
    <w:p>
      <w:pPr>
        <w:pStyle w:val="6"/>
        <w:keepNext w:val="0"/>
        <w:keepLines w:val="0"/>
        <w:snapToGrid w:val="0"/>
        <w:spacing w:line="360" w:lineRule="auto"/>
        <w:ind w:firstLine="482" w:firstLineChars="200"/>
        <w:outlineLvl w:val="3"/>
        <w:rPr>
          <w:rFonts w:hint="eastAsia" w:ascii="仿宋_GB2312" w:hAnsi="仿宋_GB2312" w:eastAsia="仿宋_GB2312" w:cs="仿宋_GB2312"/>
          <w:color w:val="auto"/>
          <w:sz w:val="24"/>
          <w:szCs w:val="24"/>
          <w:highlight w:val="none"/>
        </w:rPr>
      </w:pPr>
      <w:bookmarkStart w:id="119" w:name="_Toc2578"/>
      <w:r>
        <w:rPr>
          <w:rFonts w:hint="eastAsia" w:ascii="仿宋_GB2312" w:hAnsi="仿宋_GB2312" w:eastAsia="仿宋_GB2312" w:cs="仿宋_GB2312"/>
          <w:color w:val="auto"/>
          <w:sz w:val="24"/>
          <w:szCs w:val="24"/>
          <w:highlight w:val="none"/>
        </w:rPr>
        <w:t>2．双方的权利和义务</w:t>
      </w:r>
      <w:bookmarkEnd w:id="119"/>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bookmarkStart w:id="120" w:name="_Toc457826161"/>
      <w:bookmarkStart w:id="121" w:name="_Toc406150432"/>
      <w:r>
        <w:rPr>
          <w:rFonts w:hint="eastAsia" w:ascii="仿宋_GB2312" w:hAnsi="仿宋_GB2312" w:eastAsia="仿宋_GB2312" w:cs="仿宋_GB2312"/>
          <w:color w:val="auto"/>
          <w:kern w:val="0"/>
          <w:sz w:val="24"/>
          <w:szCs w:val="24"/>
          <w:highlight w:val="none"/>
        </w:rPr>
        <w:t>2.1 甲方的权利</w:t>
      </w:r>
      <w:bookmarkEnd w:id="120"/>
      <w:bookmarkEnd w:id="121"/>
      <w:r>
        <w:rPr>
          <w:rFonts w:hint="eastAsia" w:ascii="仿宋_GB2312" w:hAnsi="仿宋_GB2312" w:eastAsia="仿宋_GB2312" w:cs="仿宋_GB2312"/>
          <w:color w:val="auto"/>
          <w:kern w:val="0"/>
          <w:sz w:val="24"/>
          <w:szCs w:val="24"/>
          <w:highlight w:val="none"/>
        </w:rPr>
        <w:t>和义务</w:t>
      </w:r>
    </w:p>
    <w:bookmarkEnd w:id="98"/>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22" w:name="_Toc9984"/>
      <w:r>
        <w:rPr>
          <w:rFonts w:hint="eastAsia" w:ascii="仿宋_GB2312" w:hAnsi="仿宋_GB2312" w:eastAsia="仿宋_GB2312" w:cs="仿宋_GB2312"/>
          <w:color w:val="auto"/>
          <w:sz w:val="24"/>
          <w:szCs w:val="24"/>
          <w:highlight w:val="none"/>
        </w:rPr>
        <w:t>2.1.1 向乙方提供本项目的基础资料，安排专人负责项目的组织、协调、管理工作。</w:t>
      </w:r>
      <w:bookmarkEnd w:id="122"/>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23" w:name="_Toc22167"/>
      <w:r>
        <w:rPr>
          <w:rFonts w:hint="eastAsia" w:ascii="仿宋_GB2312" w:hAnsi="仿宋_GB2312" w:eastAsia="仿宋_GB2312" w:cs="仿宋_GB2312"/>
          <w:color w:val="auto"/>
          <w:sz w:val="24"/>
          <w:szCs w:val="24"/>
          <w:highlight w:val="none"/>
        </w:rPr>
        <w:t>2.1.2 甲方有权对乙方的服务进行监督、检查，有权根据合同对乙方的工作进行考核。</w:t>
      </w:r>
      <w:bookmarkEnd w:id="123"/>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24" w:name="_Toc28194"/>
      <w:r>
        <w:rPr>
          <w:rFonts w:hint="eastAsia" w:ascii="仿宋_GB2312" w:hAnsi="仿宋_GB2312" w:eastAsia="仿宋_GB2312" w:cs="仿宋_GB2312"/>
          <w:color w:val="auto"/>
          <w:sz w:val="24"/>
          <w:szCs w:val="24"/>
          <w:highlight w:val="none"/>
        </w:rPr>
        <w:t>2.1.3 检定、校准、检测工作需要在现场进行的，甲方有权根据生产需要合理安排检测时间，并提前通知乙方，同时协助乙方做好现场检测工作，特殊情况双方协商处理。</w:t>
      </w:r>
      <w:bookmarkEnd w:id="124"/>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25" w:name="_Toc18492"/>
      <w:r>
        <w:rPr>
          <w:rFonts w:hint="eastAsia" w:ascii="仿宋_GB2312" w:hAnsi="仿宋_GB2312" w:eastAsia="仿宋_GB2312" w:cs="仿宋_GB2312"/>
          <w:color w:val="auto"/>
          <w:sz w:val="24"/>
          <w:szCs w:val="24"/>
          <w:highlight w:val="none"/>
        </w:rPr>
        <w:t>2.1.4 按合同约定向乙方及时支付合同价款。</w:t>
      </w:r>
      <w:bookmarkEnd w:id="125"/>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26" w:name="_Toc23722"/>
      <w:r>
        <w:rPr>
          <w:rFonts w:hint="eastAsia" w:ascii="仿宋_GB2312" w:hAnsi="仿宋_GB2312" w:eastAsia="仿宋_GB2312" w:cs="仿宋_GB2312"/>
          <w:color w:val="auto"/>
          <w:sz w:val="24"/>
          <w:szCs w:val="24"/>
          <w:highlight w:val="none"/>
        </w:rPr>
        <w:t>2.1.5 按合同要求组织验收。</w:t>
      </w:r>
      <w:bookmarkEnd w:id="126"/>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27" w:name="_Toc26720"/>
      <w:r>
        <w:rPr>
          <w:rFonts w:hint="eastAsia" w:ascii="仿宋_GB2312" w:hAnsi="仿宋_GB2312" w:eastAsia="仿宋_GB2312" w:cs="仿宋_GB2312"/>
          <w:color w:val="auto"/>
          <w:sz w:val="24"/>
          <w:szCs w:val="24"/>
          <w:highlight w:val="none"/>
        </w:rPr>
        <w:t>2.1.6 甲方有权书面通知乙方，在本合同范围内对下述内容进行调整（包括但不限于）：检测要求、检测工作日、检测数量和规格型号、运输、装卸、取送地点、乙方提供的服务内容等项目。</w:t>
      </w:r>
      <w:bookmarkEnd w:id="127"/>
    </w:p>
    <w:p>
      <w:pPr>
        <w:widowControl/>
        <w:autoSpaceDE w:val="0"/>
        <w:autoSpaceDN w:val="0"/>
        <w:adjustRightInd w:val="0"/>
        <w:snapToGrid w:val="0"/>
        <w:spacing w:line="360" w:lineRule="auto"/>
        <w:ind w:firstLine="482" w:firstLineChars="200"/>
        <w:jc w:val="left"/>
        <w:outlineLvl w:val="3"/>
        <w:rPr>
          <w:rFonts w:hint="eastAsia" w:ascii="仿宋_GB2312" w:hAnsi="仿宋_GB2312" w:eastAsia="仿宋_GB2312" w:cs="仿宋_GB2312"/>
          <w:b/>
          <w:bCs/>
          <w:color w:val="auto"/>
          <w:sz w:val="24"/>
          <w:szCs w:val="24"/>
          <w:highlight w:val="none"/>
        </w:rPr>
      </w:pPr>
      <w:bookmarkStart w:id="128" w:name="_Toc5805"/>
      <w:r>
        <w:rPr>
          <w:rFonts w:hint="eastAsia" w:ascii="仿宋_GB2312" w:hAnsi="仿宋_GB2312" w:eastAsia="仿宋_GB2312" w:cs="仿宋_GB2312"/>
          <w:b/>
          <w:bCs/>
          <w:color w:val="auto"/>
          <w:sz w:val="24"/>
          <w:szCs w:val="24"/>
          <w:highlight w:val="none"/>
        </w:rPr>
        <w:t>2.2 乙方的权利与义务</w:t>
      </w:r>
      <w:bookmarkEnd w:id="128"/>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29" w:name="_Toc21032"/>
      <w:r>
        <w:rPr>
          <w:rFonts w:hint="eastAsia" w:ascii="仿宋_GB2312" w:hAnsi="仿宋_GB2312" w:eastAsia="仿宋_GB2312" w:cs="仿宋_GB2312"/>
          <w:color w:val="auto"/>
          <w:sz w:val="24"/>
          <w:szCs w:val="24"/>
          <w:highlight w:val="none"/>
        </w:rPr>
        <w:t>2.2.1 乙方必须严格执行检定、校准、检测的国家及行业相关法律法规、规程规范有关规定，严格按照本合同约定开展检测工作，乙方对检测成果的真实性、准确性负责。</w:t>
      </w:r>
      <w:bookmarkEnd w:id="129"/>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30" w:name="_Toc23678"/>
      <w:r>
        <w:rPr>
          <w:rFonts w:hint="eastAsia" w:ascii="仿宋_GB2312" w:hAnsi="仿宋_GB2312" w:eastAsia="仿宋_GB2312" w:cs="仿宋_GB2312"/>
          <w:color w:val="auto"/>
          <w:sz w:val="24"/>
          <w:szCs w:val="24"/>
          <w:highlight w:val="none"/>
        </w:rPr>
        <w:t>2.2.2 乙方提交的检测成果（包括但不限于检定证书、校准证书、检测证书等）的内容、格式、形式、数量等必须符合相应规程、规范、标准及本合同约定的内容。检测成果出现的遗漏或错误的，乙方应自费进行补充和修改，甲方不再另行支付费用。</w:t>
      </w:r>
      <w:bookmarkEnd w:id="130"/>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31" w:name="_Toc5979"/>
      <w:r>
        <w:rPr>
          <w:rFonts w:hint="eastAsia" w:ascii="仿宋_GB2312" w:hAnsi="仿宋_GB2312" w:eastAsia="仿宋_GB2312" w:cs="仿宋_GB2312"/>
          <w:color w:val="auto"/>
          <w:sz w:val="24"/>
          <w:szCs w:val="24"/>
          <w:highlight w:val="none"/>
        </w:rPr>
        <w:t>2.2.3 属于本合同检测范围，但乙方无法自行开展检测服务的，乙方应将设备、工器具送往其他具有相关专业资质的检测机构进行检测（简称代送检），但不免除本合同约定的乙方责任。除本合同约定的检测费用以外，代送检产生的所有费用由乙方自行承担。</w:t>
      </w:r>
      <w:bookmarkEnd w:id="131"/>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32" w:name="_Toc26779"/>
      <w:r>
        <w:rPr>
          <w:rFonts w:hint="eastAsia" w:ascii="仿宋_GB2312" w:hAnsi="仿宋_GB2312" w:eastAsia="仿宋_GB2312" w:cs="仿宋_GB2312"/>
          <w:color w:val="auto"/>
          <w:sz w:val="24"/>
          <w:szCs w:val="24"/>
          <w:highlight w:val="none"/>
        </w:rPr>
        <w:t>2.2.4 乙方须指定专人负责合同的执行，包括但不限于检测工作的具体实施、设备、工器具的交接和取送、检测完工确认等。未经甲方同意，乙方不得擅自更换人员。</w:t>
      </w:r>
      <w:bookmarkEnd w:id="132"/>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33" w:name="_Toc256"/>
      <w:r>
        <w:rPr>
          <w:rFonts w:hint="eastAsia" w:ascii="仿宋_GB2312" w:hAnsi="仿宋_GB2312" w:eastAsia="仿宋_GB2312" w:cs="仿宋_GB2312"/>
          <w:color w:val="auto"/>
          <w:sz w:val="24"/>
          <w:szCs w:val="24"/>
          <w:highlight w:val="none"/>
        </w:rPr>
        <w:t>2.2.5 乙方应按照法律法规的要求购买其工作人员的工伤保险、人身意外伤害险和其他保险，并使保险合同在合同服务期内保持有效，并承担其工作人员现场工作期间所产生的一切费用。因乙方原因导致的安全事故及损失，由乙方承担全部责任；若因此而导致甲方承担任何费用（包括但不限于损失赔偿费、诉讼费、保全费、合理的律师费等）的，乙方均应向甲方进行赔偿。</w:t>
      </w:r>
      <w:bookmarkEnd w:id="133"/>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sz w:val="24"/>
          <w:szCs w:val="24"/>
          <w:highlight w:val="none"/>
        </w:rPr>
      </w:pPr>
      <w:bookmarkStart w:id="134" w:name="_Toc7760"/>
      <w:r>
        <w:rPr>
          <w:rFonts w:hint="eastAsia" w:ascii="仿宋_GB2312" w:hAnsi="仿宋_GB2312" w:eastAsia="仿宋_GB2312" w:cs="仿宋_GB2312"/>
          <w:color w:val="auto"/>
          <w:sz w:val="24"/>
          <w:szCs w:val="24"/>
          <w:highlight w:val="none"/>
        </w:rPr>
        <w:t>2.2.6 乙方应根据甲方需要对检测范围内的设备、工器具的使用维护、保养等提供培训和咨询服务。</w:t>
      </w:r>
      <w:bookmarkEnd w:id="134"/>
    </w:p>
    <w:p>
      <w:pPr>
        <w:widowControl/>
        <w:autoSpaceDE w:val="0"/>
        <w:autoSpaceDN w:val="0"/>
        <w:adjustRightInd w:val="0"/>
        <w:snapToGrid w:val="0"/>
        <w:spacing w:line="360" w:lineRule="auto"/>
        <w:ind w:firstLine="480" w:firstLineChars="200"/>
        <w:jc w:val="left"/>
        <w:outlineLvl w:val="3"/>
        <w:rPr>
          <w:rFonts w:hint="eastAsia" w:ascii="仿宋_GB2312" w:hAnsi="仿宋_GB2312" w:eastAsia="仿宋_GB2312" w:cs="仿宋_GB2312"/>
          <w:color w:val="auto"/>
          <w:highlight w:val="none"/>
        </w:rPr>
      </w:pPr>
      <w:bookmarkStart w:id="135" w:name="_Toc12821"/>
      <w:r>
        <w:rPr>
          <w:rFonts w:hint="eastAsia" w:ascii="仿宋_GB2312" w:hAnsi="仿宋_GB2312" w:eastAsia="仿宋_GB2312" w:cs="仿宋_GB2312"/>
          <w:color w:val="auto"/>
          <w:sz w:val="24"/>
          <w:szCs w:val="24"/>
          <w:highlight w:val="none"/>
        </w:rPr>
        <w:t>2.2.7 乙方应根据技术规格书中相关要求，履行相应的义务。</w:t>
      </w:r>
      <w:bookmarkEnd w:id="135"/>
    </w:p>
    <w:p>
      <w:pPr>
        <w:tabs>
          <w:tab w:val="left" w:pos="540"/>
        </w:tabs>
        <w:adjustRightInd w:val="0"/>
        <w:snapToGrid w:val="0"/>
        <w:spacing w:line="360" w:lineRule="auto"/>
        <w:ind w:firstLine="482" w:firstLineChars="200"/>
        <w:jc w:val="left"/>
        <w:outlineLvl w:val="3"/>
        <w:rPr>
          <w:rFonts w:hint="eastAsia" w:ascii="仿宋_GB2312" w:hAnsi="仿宋_GB2312" w:eastAsia="仿宋_GB2312" w:cs="仿宋_GB2312"/>
          <w:b/>
          <w:color w:val="auto"/>
          <w:sz w:val="24"/>
          <w:szCs w:val="24"/>
          <w:highlight w:val="none"/>
        </w:rPr>
      </w:pPr>
      <w:bookmarkStart w:id="136" w:name="_Toc5653"/>
      <w:r>
        <w:rPr>
          <w:rFonts w:hint="eastAsia" w:ascii="仿宋_GB2312" w:hAnsi="仿宋_GB2312" w:eastAsia="仿宋_GB2312" w:cs="仿宋_GB2312"/>
          <w:b/>
          <w:snapToGrid w:val="0"/>
          <w:color w:val="auto"/>
          <w:sz w:val="24"/>
          <w:szCs w:val="24"/>
          <w:highlight w:val="none"/>
        </w:rPr>
        <w:t>3、</w:t>
      </w:r>
      <w:r>
        <w:rPr>
          <w:rFonts w:hint="eastAsia" w:ascii="仿宋_GB2312" w:hAnsi="仿宋_GB2312" w:eastAsia="仿宋_GB2312" w:cs="仿宋_GB2312"/>
          <w:b/>
          <w:color w:val="auto"/>
          <w:sz w:val="24"/>
          <w:szCs w:val="24"/>
          <w:highlight w:val="none"/>
        </w:rPr>
        <w:t>履约担保</w:t>
      </w:r>
      <w:bookmarkEnd w:id="136"/>
    </w:p>
    <w:p>
      <w:pPr>
        <w:keepNext w:val="0"/>
        <w:keepLines w:val="0"/>
        <w:widowControl w:val="0"/>
        <w:suppressLineNumbers w:val="0"/>
        <w:tabs>
          <w:tab w:val="left" w:pos="851"/>
        </w:tabs>
        <w:adjustRightInd w:val="0"/>
        <w:snapToGrid w:val="0"/>
        <w:spacing w:before="0" w:beforeAutospacing="0" w:after="0" w:afterAutospacing="0" w:line="360" w:lineRule="auto"/>
        <w:ind w:left="0" w:right="0" w:firstLine="480" w:firstLineChars="200"/>
        <w:jc w:val="both"/>
        <w:textAlignment w:val="baseline"/>
        <w:outlineLvl w:val="3"/>
        <w:rPr>
          <w:rFonts w:hint="eastAsia" w:ascii="仿宋_GB2312" w:hAnsi="仿宋_GB2312" w:eastAsia="仿宋_GB2312" w:cs="仿宋_GB2312"/>
          <w:color w:val="auto"/>
          <w:kern w:val="0"/>
          <w:sz w:val="24"/>
          <w:szCs w:val="24"/>
          <w:highlight w:val="none"/>
          <w:vertAlign w:val="baseline"/>
          <w:lang w:val="en-US"/>
        </w:rPr>
      </w:pPr>
      <w:r>
        <w:rPr>
          <w:rFonts w:hint="eastAsia" w:ascii="仿宋_GB2312" w:hAnsi="仿宋_GB2312" w:eastAsia="仿宋_GB2312" w:cs="仿宋_GB2312"/>
          <w:color w:val="auto"/>
          <w:kern w:val="0"/>
          <w:sz w:val="24"/>
          <w:szCs w:val="24"/>
          <w:highlight w:val="none"/>
          <w:vertAlign w:val="baseline"/>
          <w:lang w:val="en-US" w:eastAsia="zh-CN" w:bidi="ar"/>
        </w:rPr>
        <w:t>3.1 乙方</w:t>
      </w:r>
      <w:r>
        <w:rPr>
          <w:rFonts w:hint="eastAsia" w:ascii="仿宋_GB2312" w:hAnsi="仿宋_GB2312" w:eastAsia="仿宋_GB2312" w:cs="仿宋_GB2312"/>
          <w:color w:val="auto"/>
          <w:kern w:val="0"/>
          <w:sz w:val="24"/>
          <w:szCs w:val="24"/>
          <w:highlight w:val="none"/>
          <w:u w:val="single"/>
          <w:vertAlign w:val="baseline"/>
          <w:lang w:val="en-US" w:eastAsia="zh-CN" w:bidi="ar"/>
        </w:rPr>
        <w:sym w:font="Wingdings 2" w:char="0052"/>
      </w:r>
      <w:r>
        <w:rPr>
          <w:rFonts w:hint="eastAsia" w:ascii="仿宋_GB2312" w:hAnsi="仿宋_GB2312" w:eastAsia="仿宋_GB2312" w:cs="仿宋_GB2312"/>
          <w:color w:val="auto"/>
          <w:kern w:val="0"/>
          <w:sz w:val="24"/>
          <w:szCs w:val="24"/>
          <w:highlight w:val="none"/>
          <w:u w:val="single"/>
          <w:vertAlign w:val="baseline"/>
          <w:lang w:val="en-US" w:eastAsia="zh-CN" w:bidi="ar"/>
        </w:rPr>
        <w:t>需要</w:t>
      </w:r>
      <w:r>
        <w:rPr>
          <w:rFonts w:hint="eastAsia" w:ascii="仿宋_GB2312" w:hAnsi="仿宋_GB2312" w:eastAsia="仿宋_GB2312" w:cs="仿宋_GB2312"/>
          <w:color w:val="auto"/>
          <w:kern w:val="0"/>
          <w:sz w:val="24"/>
          <w:szCs w:val="24"/>
          <w:highlight w:val="none"/>
          <w:vertAlign w:val="baseline"/>
          <w:lang w:val="en-US" w:eastAsia="zh-CN" w:bidi="ar"/>
        </w:rPr>
        <w:t>/</w:t>
      </w:r>
      <w:r>
        <w:rPr>
          <w:rFonts w:hint="eastAsia" w:ascii="仿宋_GB2312" w:hAnsi="仿宋_GB2312" w:eastAsia="仿宋_GB2312" w:cs="仿宋_GB2312"/>
          <w:color w:val="auto"/>
          <w:kern w:val="0"/>
          <w:sz w:val="24"/>
          <w:szCs w:val="24"/>
          <w:highlight w:val="none"/>
          <w:u w:val="single"/>
          <w:vertAlign w:val="baseline"/>
          <w:lang w:val="en-US" w:eastAsia="zh-CN" w:bidi="ar"/>
        </w:rPr>
        <w:t>□不需要</w:t>
      </w:r>
      <w:r>
        <w:rPr>
          <w:rFonts w:hint="eastAsia" w:ascii="仿宋_GB2312" w:hAnsi="仿宋_GB2312" w:eastAsia="仿宋_GB2312" w:cs="仿宋_GB2312"/>
          <w:color w:val="auto"/>
          <w:kern w:val="0"/>
          <w:sz w:val="24"/>
          <w:szCs w:val="24"/>
          <w:highlight w:val="none"/>
          <w:vertAlign w:val="baseline"/>
          <w:lang w:val="en-US" w:eastAsia="zh-CN" w:bidi="ar"/>
        </w:rPr>
        <w:t>提供履约担保。</w:t>
      </w:r>
    </w:p>
    <w:p>
      <w:pPr>
        <w:keepNext w:val="0"/>
        <w:keepLines w:val="0"/>
        <w:widowControl w:val="0"/>
        <w:suppressLineNumbers w:val="0"/>
        <w:tabs>
          <w:tab w:val="left" w:pos="851"/>
        </w:tabs>
        <w:adjustRightInd w:val="0"/>
        <w:snapToGrid w:val="0"/>
        <w:spacing w:before="0" w:beforeAutospacing="0" w:after="0" w:afterAutospacing="0" w:line="360" w:lineRule="auto"/>
        <w:ind w:left="0" w:right="0" w:firstLine="480" w:firstLineChars="200"/>
        <w:jc w:val="both"/>
        <w:textAlignment w:val="baseline"/>
        <w:outlineLvl w:val="3"/>
        <w:rPr>
          <w:rFonts w:hint="eastAsia" w:ascii="仿宋_GB2312" w:hAnsi="仿宋_GB2312" w:eastAsia="仿宋_GB2312" w:cs="仿宋_GB2312"/>
          <w:color w:val="auto"/>
          <w:kern w:val="0"/>
          <w:sz w:val="24"/>
          <w:szCs w:val="24"/>
          <w:highlight w:val="none"/>
          <w:vertAlign w:val="baseline"/>
          <w:lang w:val="en-US"/>
        </w:rPr>
      </w:pPr>
      <w:r>
        <w:rPr>
          <w:rFonts w:hint="eastAsia" w:ascii="仿宋_GB2312" w:hAnsi="仿宋_GB2312" w:eastAsia="仿宋_GB2312" w:cs="仿宋_GB2312"/>
          <w:color w:val="auto"/>
          <w:kern w:val="0"/>
          <w:sz w:val="24"/>
          <w:szCs w:val="24"/>
          <w:highlight w:val="none"/>
          <w:vertAlign w:val="baseline"/>
          <w:lang w:val="en-US" w:eastAsia="zh-CN" w:bidi="ar"/>
        </w:rPr>
        <w:t>3.2 如需要乙方提供履约担保，则：</w:t>
      </w:r>
    </w:p>
    <w:p>
      <w:pPr>
        <w:keepNext w:val="0"/>
        <w:keepLines w:val="0"/>
        <w:widowControl w:val="0"/>
        <w:suppressLineNumbers w:val="0"/>
        <w:tabs>
          <w:tab w:val="left" w:pos="851"/>
        </w:tabs>
        <w:adjustRightInd w:val="0"/>
        <w:snapToGrid w:val="0"/>
        <w:spacing w:before="0" w:beforeAutospacing="0" w:after="0" w:afterAutospacing="0" w:line="360" w:lineRule="auto"/>
        <w:ind w:left="0" w:right="0" w:firstLine="480" w:firstLineChars="200"/>
        <w:jc w:val="both"/>
        <w:textAlignment w:val="baseline"/>
        <w:outlineLvl w:val="3"/>
        <w:rPr>
          <w:rFonts w:hint="eastAsia" w:ascii="仿宋_GB2312" w:hAnsi="仿宋_GB2312" w:eastAsia="仿宋_GB2312" w:cs="仿宋_GB2312"/>
          <w:color w:val="auto"/>
          <w:kern w:val="0"/>
          <w:sz w:val="24"/>
          <w:szCs w:val="24"/>
          <w:highlight w:val="none"/>
          <w:vertAlign w:val="baseline"/>
          <w:lang w:val="en-US"/>
        </w:rPr>
      </w:pPr>
      <w:r>
        <w:rPr>
          <w:rFonts w:hint="eastAsia" w:ascii="仿宋_GB2312" w:hAnsi="仿宋_GB2312" w:eastAsia="仿宋_GB2312" w:cs="仿宋_GB2312"/>
          <w:color w:val="auto"/>
          <w:kern w:val="0"/>
          <w:sz w:val="24"/>
          <w:szCs w:val="24"/>
          <w:highlight w:val="none"/>
          <w:vertAlign w:val="baseline"/>
          <w:lang w:val="en-US" w:eastAsia="zh-CN" w:bidi="ar"/>
        </w:rPr>
        <w:t>3.2.1履约担保用于补偿甲方因乙方不能完成其合同义务而蒙受的损失，是办理投标担保（如有）退还手续及合同价款支付手续的必要条件之一。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outlineLvl w:val="3"/>
        <w:rPr>
          <w:rFonts w:hint="eastAsia"/>
          <w:color w:val="auto"/>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 xml:space="preserve">2.2 </w:t>
      </w:r>
      <w:r>
        <w:rPr>
          <w:rFonts w:hint="eastAsia" w:ascii="仿宋_GB2312" w:hAnsi="仿宋_GB2312" w:eastAsia="仿宋_GB2312" w:cs="仿宋_GB2312"/>
          <w:color w:val="auto"/>
          <w:sz w:val="24"/>
          <w:highlight w:val="none"/>
        </w:rPr>
        <w:t>乙方提供履约担保的形式、金额及期限可采用以下方式</w:t>
      </w:r>
      <w:r>
        <w:rPr>
          <w:rFonts w:hint="eastAsia" w:ascii="仿宋_GB2312" w:hAnsi="仿宋_GB2312" w:eastAsia="仿宋_GB2312" w:cs="仿宋_GB2312"/>
          <w:color w:val="auto"/>
          <w:sz w:val="24"/>
          <w:highlight w:val="none"/>
          <w:lang w:eastAsia="zh-CN"/>
        </w:rPr>
        <w:t>之一</w:t>
      </w:r>
      <w:r>
        <w:rPr>
          <w:rFonts w:hint="eastAsia" w:ascii="仿宋_GB2312" w:hAnsi="仿宋_GB2312" w:eastAsia="仿宋_GB2312" w:cs="仿宋_GB2312"/>
          <w:color w:val="auto"/>
          <w:sz w:val="24"/>
          <w:highlight w:val="none"/>
        </w:rPr>
        <w:t xml:space="preserve"> ：</w:t>
      </w:r>
    </w:p>
    <w:p>
      <w:pPr>
        <w:tabs>
          <w:tab w:val="left" w:pos="851"/>
        </w:tabs>
        <w:adjustRightInd w:val="0"/>
        <w:snapToGrid w:val="0"/>
        <w:spacing w:line="360" w:lineRule="auto"/>
        <w:ind w:firstLine="480" w:firstLineChars="200"/>
        <w:textAlignment w:val="baseline"/>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（1）采用银行履约保函形式，银行履约保函的担保额度为签约合同价的</w:t>
      </w:r>
      <w:r>
        <w:rPr>
          <w:rFonts w:hint="eastAsia" w:ascii="仿宋_GB2312" w:hAnsi="仿宋_GB2312" w:eastAsia="仿宋_GB2312" w:cs="仿宋_GB2312"/>
          <w:color w:val="auto"/>
          <w:kern w:val="0"/>
          <w:sz w:val="24"/>
          <w:szCs w:val="24"/>
          <w:highlight w:val="none"/>
          <w:u w:val="single"/>
        </w:rPr>
        <w:t>10%</w:t>
      </w:r>
      <w:r>
        <w:rPr>
          <w:rFonts w:hint="eastAsia" w:ascii="仿宋_GB2312" w:hAnsi="仿宋_GB2312" w:eastAsia="仿宋_GB2312" w:cs="仿宋_GB2312"/>
          <w:color w:val="auto"/>
          <w:kern w:val="0"/>
          <w:sz w:val="24"/>
          <w:szCs w:val="24"/>
          <w:highlight w:val="none"/>
        </w:rPr>
        <w:t>，担保期限为自保函生效之日起，至服务期满之日止。银行履约保函应为在中国境内注册和营业的银行出具的、以甲方为受益人首次申请即作为无条件付款的保函，银行履约保函格式具体详见合同附录。</w:t>
      </w:r>
    </w:p>
    <w:p>
      <w:pPr>
        <w:tabs>
          <w:tab w:val="left" w:pos="851"/>
        </w:tabs>
        <w:adjustRightInd w:val="0"/>
        <w:snapToGrid w:val="0"/>
        <w:spacing w:line="360" w:lineRule="auto"/>
        <w:ind w:firstLine="480" w:firstLineChars="200"/>
        <w:textAlignment w:val="baseline"/>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（2）采用现金形式，现金担保额度为签约合同价的</w:t>
      </w:r>
      <w:r>
        <w:rPr>
          <w:rFonts w:hint="eastAsia" w:ascii="仿宋_GB2312" w:hAnsi="仿宋_GB2312" w:eastAsia="仿宋_GB2312" w:cs="仿宋_GB2312"/>
          <w:color w:val="auto"/>
          <w:kern w:val="0"/>
          <w:sz w:val="24"/>
          <w:szCs w:val="24"/>
          <w:highlight w:val="none"/>
          <w:u w:val="single"/>
        </w:rPr>
        <w:t>10%</w:t>
      </w:r>
      <w:r>
        <w:rPr>
          <w:rFonts w:hint="eastAsia" w:ascii="仿宋_GB2312" w:hAnsi="仿宋_GB2312" w:eastAsia="仿宋_GB2312" w:cs="仿宋_GB2312"/>
          <w:color w:val="auto"/>
          <w:kern w:val="0"/>
          <w:sz w:val="24"/>
          <w:szCs w:val="24"/>
          <w:highlight w:val="none"/>
        </w:rPr>
        <w:t>，担保期限为履约保证金到账之日起，至服务期满之日止。履约担保以现金形式提交的，乙方应从其基本账户通过转帐或电汇至甲方指定的账户。</w:t>
      </w:r>
    </w:p>
    <w:bookmarkEnd w:id="90"/>
    <w:bookmarkEnd w:id="91"/>
    <w:bookmarkEnd w:id="92"/>
    <w:bookmarkEnd w:id="93"/>
    <w:p>
      <w:pPr>
        <w:keepNext w:val="0"/>
        <w:keepLines w:val="0"/>
        <w:widowControl w:val="0"/>
        <w:suppressLineNumbers w:val="0"/>
        <w:tabs>
          <w:tab w:val="left" w:pos="851"/>
        </w:tabs>
        <w:adjustRightInd w:val="0"/>
        <w:snapToGrid w:val="0"/>
        <w:spacing w:before="0" w:beforeAutospacing="0" w:after="0" w:afterAutospacing="0" w:line="360" w:lineRule="auto"/>
        <w:ind w:left="0" w:right="0" w:firstLine="480" w:firstLineChars="200"/>
        <w:jc w:val="both"/>
        <w:textAlignment w:val="baseline"/>
        <w:outlineLvl w:val="3"/>
        <w:rPr>
          <w:rFonts w:hint="eastAsia" w:ascii="仿宋_GB2312" w:hAnsi="仿宋_GB2312" w:eastAsia="仿宋_GB2312" w:cs="仿宋_GB2312"/>
          <w:color w:val="auto"/>
          <w:kern w:val="0"/>
          <w:sz w:val="24"/>
          <w:szCs w:val="24"/>
          <w:highlight w:val="none"/>
          <w:vertAlign w:val="baseline"/>
          <w:lang w:val="en-US"/>
        </w:rPr>
      </w:pPr>
      <w:bookmarkStart w:id="137" w:name="_Toc13504"/>
      <w:r>
        <w:rPr>
          <w:rFonts w:hint="eastAsia" w:ascii="仿宋_GB2312" w:hAnsi="仿宋_GB2312" w:eastAsia="仿宋_GB2312" w:cs="仿宋_GB2312"/>
          <w:color w:val="auto"/>
          <w:kern w:val="0"/>
          <w:sz w:val="24"/>
          <w:szCs w:val="24"/>
          <w:highlight w:val="none"/>
          <w:vertAlign w:val="baseline"/>
          <w:lang w:val="en-US" w:eastAsia="zh-CN" w:bidi="ar"/>
        </w:rPr>
        <w:t>3.2.3如需提供履约担保，则乙方应确保提供的银行履约保函持续有效，在银行履约保函到期前1个月内办理好续保手续，并向甲方提供新的有效的银行履约保函。</w:t>
      </w:r>
    </w:p>
    <w:p>
      <w:pPr>
        <w:keepNext w:val="0"/>
        <w:keepLines w:val="0"/>
        <w:widowControl w:val="0"/>
        <w:suppressLineNumbers w:val="0"/>
        <w:tabs>
          <w:tab w:val="left" w:pos="851"/>
        </w:tabs>
        <w:adjustRightInd w:val="0"/>
        <w:snapToGrid w:val="0"/>
        <w:spacing w:before="0" w:beforeAutospacing="0" w:after="0" w:afterAutospacing="0" w:line="360" w:lineRule="auto"/>
        <w:ind w:left="0" w:right="0" w:firstLine="480" w:firstLineChars="200"/>
        <w:jc w:val="both"/>
        <w:textAlignment w:val="baseline"/>
        <w:outlineLvl w:val="3"/>
        <w:rPr>
          <w:rFonts w:hint="eastAsia" w:ascii="仿宋_GB2312" w:hAnsi="仿宋_GB2312" w:eastAsia="仿宋_GB2312" w:cs="仿宋_GB2312"/>
          <w:color w:val="auto"/>
          <w:kern w:val="0"/>
          <w:sz w:val="24"/>
          <w:szCs w:val="24"/>
          <w:highlight w:val="none"/>
          <w:vertAlign w:val="baseline"/>
          <w:lang w:val="en-US"/>
        </w:rPr>
      </w:pPr>
      <w:r>
        <w:rPr>
          <w:rFonts w:hint="eastAsia" w:ascii="仿宋_GB2312" w:hAnsi="仿宋_GB2312" w:eastAsia="仿宋_GB2312" w:cs="仿宋_GB2312"/>
          <w:color w:val="auto"/>
          <w:kern w:val="0"/>
          <w:sz w:val="24"/>
          <w:szCs w:val="24"/>
          <w:highlight w:val="none"/>
          <w:vertAlign w:val="baseline"/>
          <w:lang w:val="en-US" w:eastAsia="zh-CN" w:bidi="ar"/>
        </w:rPr>
        <w:t>3.2.4在乙方完成其合同义务包括任何保证义务后，甲方将把履约担保无息退还乙方。</w:t>
      </w:r>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4．价款支付</w:t>
      </w:r>
    </w:p>
    <w:p>
      <w:pPr>
        <w:pStyle w:val="41"/>
        <w:adjustRightInd w:val="0"/>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4.1.1本项目支付方式采用以下</w:t>
      </w:r>
      <w:r>
        <w:rPr>
          <w:rFonts w:hint="eastAsia" w:ascii="仿宋_GB2312" w:hAnsi="仿宋_GB2312" w:eastAsia="仿宋_GB2312" w:cs="仿宋_GB2312"/>
          <w:color w:val="auto"/>
          <w:highlight w:val="none"/>
          <w:u w:val="single"/>
        </w:rPr>
        <w:t xml:space="preserve"> </w:t>
      </w:r>
      <w:r>
        <w:rPr>
          <w:rFonts w:hint="eastAsia" w:ascii="仿宋_GB2312" w:hAnsi="仿宋_GB2312" w:eastAsia="仿宋_GB2312" w:cs="仿宋_GB2312"/>
          <w:color w:val="auto"/>
          <w:highlight w:val="none"/>
          <w:u w:val="single"/>
          <w:lang w:val="en-US" w:eastAsia="zh-CN"/>
        </w:rPr>
        <w:t xml:space="preserve">（2） </w:t>
      </w:r>
      <w:r>
        <w:rPr>
          <w:rFonts w:hint="eastAsia" w:ascii="仿宋_GB2312" w:hAnsi="仿宋_GB2312" w:eastAsia="仿宋_GB2312" w:cs="仿宋_GB2312"/>
          <w:color w:val="auto"/>
          <w:highlight w:val="none"/>
        </w:rPr>
        <w:t>方式。</w:t>
      </w:r>
    </w:p>
    <w:p>
      <w:pPr>
        <w:pStyle w:val="41"/>
        <w:adjustRightInd w:val="0"/>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（1）一次</w:t>
      </w:r>
      <w:r>
        <w:rPr>
          <w:rFonts w:hint="eastAsia" w:ascii="仿宋_GB2312" w:hAnsi="仿宋_GB2312" w:eastAsia="仿宋_GB2312" w:cs="仿宋_GB2312"/>
          <w:color w:val="auto"/>
          <w:highlight w:val="none"/>
          <w:lang w:val="en-US" w:eastAsia="zh-CN"/>
        </w:rPr>
        <w:t>性</w:t>
      </w:r>
      <w:r>
        <w:rPr>
          <w:rFonts w:hint="eastAsia" w:ascii="仿宋_GB2312" w:hAnsi="仿宋_GB2312" w:eastAsia="仿宋_GB2312" w:cs="仿宋_GB2312"/>
          <w:color w:val="auto"/>
          <w:highlight w:val="none"/>
        </w:rPr>
        <w:t>支付：</w:t>
      </w:r>
    </w:p>
    <w:p>
      <w:pPr>
        <w:pStyle w:val="41"/>
        <w:adjustRightInd w:val="0"/>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乙方按合同约定完成全部工作，且</w:t>
      </w:r>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bCs/>
          <w:color w:val="auto"/>
          <w:highlight w:val="none"/>
          <w:u w:val="single"/>
        </w:rPr>
        <w:t>合同价格经长沙市人民政府相关职能部门或长沙市轨道交通集团有限公司授权的单位审定</w:t>
      </w:r>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color w:val="auto"/>
          <w:highlight w:val="none"/>
          <w:u w:val="single"/>
        </w:rPr>
        <w:sym w:font="Wingdings 2" w:char="00A3"/>
      </w:r>
      <w:r>
        <w:rPr>
          <w:rFonts w:hint="eastAsia" w:ascii="仿宋_GB2312" w:hAnsi="仿宋_GB2312" w:eastAsia="仿宋_GB2312" w:cs="仿宋_GB2312"/>
          <w:color w:val="auto"/>
          <w:highlight w:val="none"/>
          <w:u w:val="single"/>
        </w:rPr>
        <w:t>项目履约验收合格</w:t>
      </w:r>
      <w:r>
        <w:rPr>
          <w:rFonts w:hint="eastAsia" w:ascii="仿宋_GB2312" w:hAnsi="仿宋_GB2312" w:eastAsia="仿宋_GB2312" w:cs="仿宋_GB2312"/>
          <w:color w:val="auto"/>
          <w:highlight w:val="none"/>
        </w:rPr>
        <w:t>，支付至合同价格的100%。</w:t>
      </w:r>
    </w:p>
    <w:p>
      <w:pPr>
        <w:adjustRightInd w:val="0"/>
        <w:snapToGrid w:val="0"/>
        <w:spacing w:line="360" w:lineRule="auto"/>
        <w:ind w:firstLine="420" w:firstLineChars="175"/>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（2）分期支付：</w:t>
      </w:r>
    </w:p>
    <w:p>
      <w:pPr>
        <w:adjustRightInd w:val="0"/>
        <w:snapToGrid w:val="0"/>
        <w:spacing w:line="360" w:lineRule="auto"/>
        <w:ind w:firstLine="420" w:firstLineChars="175"/>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1）进度款支付：进度款按</w:t>
      </w:r>
      <w:r>
        <w:rPr>
          <w:rFonts w:hint="eastAsia" w:ascii="仿宋_GB2312" w:hAnsi="仿宋_GB2312" w:eastAsia="仿宋_GB2312" w:cs="仿宋_GB2312"/>
          <w:color w:val="auto"/>
          <w:sz w:val="24"/>
          <w:szCs w:val="24"/>
          <w:highlight w:val="none"/>
          <w:u w:val="single"/>
        </w:rPr>
        <w:sym w:font="Wingdings 2" w:char="00A3"/>
      </w:r>
      <w:r>
        <w:rPr>
          <w:rFonts w:hint="eastAsia" w:ascii="仿宋_GB2312" w:hAnsi="仿宋_GB2312" w:eastAsia="仿宋_GB2312" w:cs="仿宋_GB2312"/>
          <w:color w:val="auto"/>
          <w:sz w:val="24"/>
          <w:szCs w:val="24"/>
          <w:highlight w:val="none"/>
          <w:u w:val="single"/>
        </w:rPr>
        <w:t>年度</w:t>
      </w:r>
      <w:r>
        <w:rPr>
          <w:rFonts w:hint="eastAsia" w:ascii="仿宋_GB2312" w:hAnsi="仿宋_GB2312" w:eastAsia="仿宋_GB2312" w:cs="仿宋_GB2312"/>
          <w:color w:val="auto"/>
          <w:sz w:val="24"/>
          <w:szCs w:val="24"/>
          <w:highlight w:val="none"/>
          <w:u w:val="single"/>
          <w:lang w:eastAsia="zh-CN"/>
        </w:rPr>
        <w:sym w:font="Wingdings 2" w:char="0052"/>
      </w:r>
      <w:r>
        <w:rPr>
          <w:rFonts w:hint="eastAsia" w:ascii="仿宋_GB2312" w:hAnsi="仿宋_GB2312" w:eastAsia="仿宋_GB2312" w:cs="仿宋_GB2312"/>
          <w:color w:val="auto"/>
          <w:sz w:val="24"/>
          <w:szCs w:val="24"/>
          <w:highlight w:val="none"/>
          <w:u w:val="single"/>
        </w:rPr>
        <w:t>半年□季度□月</w:t>
      </w:r>
      <w:r>
        <w:rPr>
          <w:rFonts w:hint="eastAsia" w:ascii="仿宋_GB2312" w:hAnsi="仿宋_GB2312" w:eastAsia="仿宋_GB2312" w:cs="仿宋_GB2312"/>
          <w:color w:val="auto"/>
          <w:sz w:val="24"/>
          <w:szCs w:val="24"/>
          <w:highlight w:val="none"/>
        </w:rPr>
        <w:t>支付，每个付款周期的支付金额为根据计量金额（即本次付款周期内</w:t>
      </w:r>
      <w:r>
        <w:rPr>
          <w:rFonts w:hint="eastAsia" w:ascii="仿宋_GB2312" w:hAnsi="仿宋_GB2312" w:eastAsia="仿宋_GB2312" w:cs="仿宋_GB2312"/>
          <w:color w:val="auto"/>
          <w:sz w:val="24"/>
          <w:szCs w:val="24"/>
          <w:highlight w:val="none"/>
          <w:lang w:val="en-US" w:eastAsia="zh-CN"/>
        </w:rPr>
        <w:t>经甲方确认合格的</w:t>
      </w:r>
      <w:r>
        <w:rPr>
          <w:rFonts w:hint="eastAsia" w:ascii="仿宋_GB2312" w:hAnsi="仿宋_GB2312" w:eastAsia="仿宋_GB2312" w:cs="仿宋_GB2312"/>
          <w:color w:val="auto"/>
          <w:sz w:val="24"/>
          <w:szCs w:val="24"/>
          <w:highlight w:val="none"/>
        </w:rPr>
        <w:t>工作量*合同单价）并按照考核结果所计算出的金额。</w:t>
      </w:r>
    </w:p>
    <w:p>
      <w:pPr>
        <w:adjustRightInd w:val="0"/>
        <w:snapToGrid w:val="0"/>
        <w:spacing w:line="360" w:lineRule="auto"/>
        <w:ind w:firstLine="420" w:firstLineChars="175"/>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2）乙方按合同约定完成全部工作，且</w:t>
      </w:r>
      <w:r>
        <w:rPr>
          <w:rFonts w:hint="eastAsia" w:ascii="仿宋_GB2312" w:hAnsi="仿宋_GB2312" w:eastAsia="仿宋_GB2312" w:cs="仿宋_GB2312"/>
          <w:color w:val="auto"/>
          <w:highlight w:val="none"/>
          <w:u w:val="single"/>
        </w:rPr>
        <w:t>□</w:t>
      </w:r>
      <w:r>
        <w:rPr>
          <w:rFonts w:hint="eastAsia" w:ascii="仿宋_GB2312" w:hAnsi="仿宋_GB2312" w:eastAsia="仿宋_GB2312" w:cs="仿宋_GB2312"/>
          <w:bCs/>
          <w:color w:val="auto"/>
          <w:sz w:val="24"/>
          <w:szCs w:val="24"/>
          <w:highlight w:val="none"/>
          <w:u w:val="single"/>
        </w:rPr>
        <w:t>合同价格经长沙市人民政府相关职能部门或长沙市轨道交通集团有限公司授权的单位审定</w:t>
      </w:r>
      <w:r>
        <w:rPr>
          <w:rFonts w:hint="eastAsia" w:ascii="仿宋_GB2312" w:hAnsi="仿宋_GB2312" w:eastAsia="仿宋_GB2312" w:cs="仿宋_GB2312"/>
          <w:color w:val="auto"/>
          <w:kern w:val="0"/>
          <w:sz w:val="24"/>
          <w:highlight w:val="none"/>
          <w:u w:val="single"/>
        </w:rPr>
        <w:t>/</w:t>
      </w:r>
      <w:r>
        <w:rPr>
          <w:rFonts w:hint="eastAsia" w:ascii="仿宋_GB2312" w:hAnsi="仿宋_GB2312" w:eastAsia="仿宋_GB2312" w:cs="仿宋_GB2312"/>
          <w:color w:val="auto"/>
          <w:kern w:val="0"/>
          <w:sz w:val="24"/>
          <w:highlight w:val="none"/>
          <w:u w:val="single"/>
          <w:lang w:eastAsia="zh-CN"/>
        </w:rPr>
        <w:sym w:font="Wingdings 2" w:char="0052"/>
      </w:r>
      <w:r>
        <w:rPr>
          <w:rFonts w:hint="eastAsia" w:ascii="仿宋_GB2312" w:hAnsi="仿宋_GB2312" w:eastAsia="仿宋_GB2312" w:cs="仿宋_GB2312"/>
          <w:color w:val="auto"/>
          <w:kern w:val="0"/>
          <w:sz w:val="24"/>
          <w:highlight w:val="none"/>
          <w:u w:val="single"/>
        </w:rPr>
        <w:t>项目履约验收合格</w:t>
      </w:r>
      <w:r>
        <w:rPr>
          <w:rFonts w:hint="eastAsia" w:ascii="仿宋_GB2312" w:hAnsi="仿宋_GB2312" w:eastAsia="仿宋_GB2312" w:cs="仿宋_GB2312"/>
          <w:color w:val="auto"/>
          <w:sz w:val="24"/>
          <w:szCs w:val="24"/>
          <w:highlight w:val="none"/>
        </w:rPr>
        <w:t>，支付</w:t>
      </w:r>
      <w:r>
        <w:rPr>
          <w:rFonts w:hint="eastAsia" w:ascii="仿宋_GB2312" w:hAnsi="仿宋_GB2312" w:eastAsia="仿宋_GB2312" w:cs="仿宋_GB2312"/>
          <w:color w:val="auto"/>
          <w:sz w:val="24"/>
          <w:szCs w:val="24"/>
          <w:highlight w:val="none"/>
          <w:lang w:eastAsia="zh-CN"/>
        </w:rPr>
        <w:t>最后一个付款周期的合同金额</w:t>
      </w:r>
      <w:r>
        <w:rPr>
          <w:rFonts w:hint="eastAsia" w:ascii="仿宋_GB2312" w:hAnsi="仿宋_GB2312" w:eastAsia="仿宋_GB2312" w:cs="仿宋_GB2312"/>
          <w:color w:val="auto"/>
          <w:sz w:val="24"/>
          <w:szCs w:val="24"/>
          <w:highlight w:val="none"/>
        </w:rPr>
        <w:t>。</w:t>
      </w:r>
    </w:p>
    <w:p>
      <w:pPr>
        <w:pStyle w:val="41"/>
        <w:adjustRightInd w:val="0"/>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4.1.2 支付时间</w:t>
      </w:r>
    </w:p>
    <w:p>
      <w:pPr>
        <w:pStyle w:val="41"/>
        <w:adjustRightInd w:val="0"/>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上述款项在甲方收到乙方的经甲方审批同意支付申请及增值税专用发票、有效期内的履约担保复印件等相关资料后28个工作日内支付。</w:t>
      </w:r>
    </w:p>
    <w:bookmarkEnd w:id="137"/>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bookmarkStart w:id="138" w:name="_Toc30378"/>
      <w:bookmarkStart w:id="139" w:name="_Toc28510"/>
      <w:r>
        <w:rPr>
          <w:rFonts w:hint="eastAsia" w:ascii="仿宋_GB2312" w:hAnsi="仿宋_GB2312" w:eastAsia="仿宋_GB2312" w:cs="仿宋_GB2312"/>
          <w:color w:val="auto"/>
          <w:kern w:val="0"/>
          <w:sz w:val="24"/>
          <w:szCs w:val="24"/>
          <w:highlight w:val="none"/>
        </w:rPr>
        <w:t>5．价格调整</w:t>
      </w:r>
      <w:bookmarkStart w:id="140" w:name="_Toc488132090"/>
    </w:p>
    <w:p>
      <w:pPr>
        <w:pStyle w:val="6"/>
        <w:keepNext w:val="0"/>
        <w:keepLines w:val="0"/>
        <w:tabs>
          <w:tab w:val="left" w:pos="180"/>
          <w:tab w:val="left" w:pos="360"/>
        </w:tabs>
        <w:snapToGrid w:val="0"/>
        <w:spacing w:line="360" w:lineRule="auto"/>
        <w:ind w:firstLine="480" w:firstLineChars="200"/>
        <w:outlineLvl w:val="3"/>
        <w:rPr>
          <w:rFonts w:hint="eastAsia" w:ascii="仿宋_GB2312" w:hAnsi="仿宋_GB2312" w:eastAsia="仿宋_GB2312" w:cs="仿宋_GB2312"/>
          <w:b w:val="0"/>
          <w:i/>
          <w:color w:val="auto"/>
          <w:kern w:val="0"/>
          <w:sz w:val="24"/>
          <w:szCs w:val="24"/>
          <w:highlight w:val="none"/>
        </w:rPr>
      </w:pPr>
      <w:r>
        <w:rPr>
          <w:rFonts w:hint="eastAsia" w:ascii="仿宋_GB2312" w:hAnsi="仿宋_GB2312" w:eastAsia="仿宋_GB2312" w:cs="仿宋_GB2312"/>
          <w:b w:val="0"/>
          <w:color w:val="auto"/>
          <w:kern w:val="0"/>
          <w:sz w:val="24"/>
          <w:szCs w:val="24"/>
          <w:highlight w:val="none"/>
        </w:rPr>
        <w:t>5.1价格调整是指合同签订生效后因项目需要引起的工作量增减而导致的价格调整。</w:t>
      </w:r>
    </w:p>
    <w:p>
      <w:pPr>
        <w:snapToGrid w:val="0"/>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5.2价格调整的计价：</w:t>
      </w:r>
    </w:p>
    <w:p>
      <w:pPr>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（1）增减的工作量对应项目在签约合同价清单中已有相同项目单价的，则按该相同项目综合单价计价。</w:t>
      </w:r>
    </w:p>
    <w:p>
      <w:pPr>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（2）增减的工作量对应项目在签约合同价清单中已有类似项目单价的，则按该类似项目综合单价进行调整换算再计价。</w:t>
      </w:r>
    </w:p>
    <w:p>
      <w:pPr>
        <w:snapToGrid w:val="0"/>
        <w:spacing w:line="360" w:lineRule="auto"/>
        <w:ind w:firstLine="480" w:firstLineChars="20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（3）增减的工作量对应项目在签约合同价清单中没有类似项目单价的，则由乙方按控制价编制原则或报价编制原则编制综合单价报甲方审批，并按审批的综合单价计价。</w:t>
      </w:r>
    </w:p>
    <w:bookmarkEnd w:id="140"/>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6、运输与保险</w:t>
      </w:r>
    </w:p>
    <w:p>
      <w:pPr>
        <w:snapToGrid w:val="0"/>
        <w:spacing w:line="360" w:lineRule="auto"/>
        <w:ind w:firstLine="480" w:firstLineChars="20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6.1 取样检测期间，被检测设备、工器具的损坏及丢失的风险由乙方承担。乙方应保证被检测设备、工器具在运输、装卸过程中完好无损，包装应适应于远距离运输、防潮、防震、防锈和防野蛮装卸等要求，</w:t>
      </w:r>
      <w:r>
        <w:rPr>
          <w:rFonts w:hint="eastAsia" w:ascii="仿宋_GB2312" w:hAnsi="仿宋_GB2312" w:eastAsia="仿宋_GB2312" w:cs="仿宋_GB2312"/>
          <w:color w:val="auto"/>
          <w:sz w:val="24"/>
          <w:highlight w:val="none"/>
        </w:rPr>
        <w:t>以确保</w:t>
      </w:r>
      <w:r>
        <w:rPr>
          <w:rFonts w:hint="eastAsia" w:ascii="仿宋_GB2312" w:hAnsi="仿宋_GB2312" w:eastAsia="仿宋_GB2312" w:cs="仿宋_GB2312"/>
          <w:color w:val="auto"/>
          <w:sz w:val="24"/>
          <w:szCs w:val="24"/>
          <w:highlight w:val="none"/>
        </w:rPr>
        <w:t>被检测设备、工器具</w:t>
      </w:r>
      <w:r>
        <w:rPr>
          <w:rFonts w:hint="eastAsia" w:ascii="仿宋_GB2312" w:hAnsi="仿宋_GB2312" w:eastAsia="仿宋_GB2312" w:cs="仿宋_GB2312"/>
          <w:color w:val="auto"/>
          <w:sz w:val="24"/>
          <w:highlight w:val="none"/>
        </w:rPr>
        <w:t>安全无损地运抵指定现场。由于</w:t>
      </w:r>
      <w:r>
        <w:rPr>
          <w:rFonts w:hint="eastAsia" w:ascii="仿宋_GB2312" w:hAnsi="仿宋_GB2312" w:eastAsia="仿宋_GB2312" w:cs="仿宋_GB2312"/>
          <w:color w:val="auto"/>
          <w:sz w:val="24"/>
          <w:highlight w:val="none"/>
          <w:lang w:val="en-US" w:eastAsia="zh-CN"/>
        </w:rPr>
        <w:t>乙方原因导致甲方被设备、工器具的</w:t>
      </w:r>
      <w:r>
        <w:rPr>
          <w:rFonts w:hint="eastAsia" w:ascii="仿宋_GB2312" w:hAnsi="仿宋_GB2312" w:eastAsia="仿宋_GB2312" w:cs="仿宋_GB2312"/>
          <w:color w:val="auto"/>
          <w:sz w:val="24"/>
          <w:highlight w:val="none"/>
        </w:rPr>
        <w:t>损坏、丢失</w:t>
      </w:r>
      <w:r>
        <w:rPr>
          <w:rFonts w:hint="eastAsia" w:ascii="仿宋_GB2312" w:hAnsi="仿宋_GB2312" w:eastAsia="仿宋_GB2312" w:cs="仿宋_GB2312"/>
          <w:color w:val="auto"/>
          <w:sz w:val="24"/>
          <w:highlight w:val="none"/>
          <w:lang w:eastAsia="zh-CN"/>
        </w:rPr>
        <w:t>的</w:t>
      </w:r>
      <w:r>
        <w:rPr>
          <w:rFonts w:hint="eastAsia" w:ascii="仿宋_GB2312" w:hAnsi="仿宋_GB2312" w:eastAsia="仿宋_GB2312" w:cs="仿宋_GB2312"/>
          <w:color w:val="auto"/>
          <w:sz w:val="24"/>
          <w:highlight w:val="none"/>
        </w:rPr>
        <w:t>由乙方承担</w:t>
      </w:r>
      <w:r>
        <w:rPr>
          <w:rFonts w:hint="eastAsia" w:ascii="仿宋_GB2312" w:hAnsi="仿宋_GB2312" w:eastAsia="仿宋_GB2312" w:cs="仿宋_GB2312"/>
          <w:color w:val="auto"/>
          <w:sz w:val="24"/>
          <w:highlight w:val="none"/>
          <w:lang w:eastAsia="zh-CN"/>
        </w:rPr>
        <w:t>全部赔偿</w:t>
      </w:r>
      <w:r>
        <w:rPr>
          <w:rFonts w:hint="eastAsia" w:ascii="仿宋_GB2312" w:hAnsi="仿宋_GB2312" w:eastAsia="仿宋_GB2312" w:cs="仿宋_GB2312"/>
          <w:color w:val="auto"/>
          <w:sz w:val="24"/>
          <w:highlight w:val="none"/>
        </w:rPr>
        <w:t>责任。</w:t>
      </w:r>
    </w:p>
    <w:p>
      <w:pPr>
        <w:pStyle w:val="6"/>
        <w:keepNext w:val="0"/>
        <w:keepLines w:val="0"/>
        <w:tabs>
          <w:tab w:val="left" w:pos="180"/>
          <w:tab w:val="left" w:pos="360"/>
        </w:tabs>
        <w:snapToGrid w:val="0"/>
        <w:spacing w:line="360" w:lineRule="auto"/>
        <w:ind w:firstLine="480" w:firstLineChars="200"/>
        <w:outlineLvl w:val="3"/>
        <w:rPr>
          <w:rFonts w:hint="eastAsia" w:ascii="仿宋_GB2312" w:hAnsi="仿宋_GB2312" w:eastAsia="仿宋_GB2312" w:cs="仿宋_GB2312"/>
          <w:b w:val="0"/>
          <w:color w:val="auto"/>
          <w:sz w:val="24"/>
          <w:szCs w:val="24"/>
          <w:highlight w:val="none"/>
        </w:rPr>
      </w:pPr>
      <w:r>
        <w:rPr>
          <w:rFonts w:hint="eastAsia" w:ascii="仿宋_GB2312" w:hAnsi="仿宋_GB2312" w:eastAsia="仿宋_GB2312" w:cs="仿宋_GB2312"/>
          <w:b w:val="0"/>
          <w:color w:val="auto"/>
          <w:sz w:val="24"/>
          <w:szCs w:val="24"/>
          <w:highlight w:val="none"/>
        </w:rPr>
        <w:t>6.2 乙方</w:t>
      </w:r>
      <w:r>
        <w:rPr>
          <w:rFonts w:hint="eastAsia" w:ascii="仿宋_GB2312" w:hAnsi="仿宋_GB2312" w:eastAsia="仿宋_GB2312" w:cs="仿宋_GB2312"/>
          <w:b w:val="0"/>
          <w:color w:val="auto"/>
          <w:sz w:val="24"/>
          <w:szCs w:val="24"/>
          <w:highlight w:val="none"/>
          <w:lang w:eastAsia="zh-CN"/>
        </w:rPr>
        <w:t>的责任期间自从甲方处</w:t>
      </w:r>
      <w:r>
        <w:rPr>
          <w:rFonts w:hint="eastAsia" w:ascii="仿宋_GB2312" w:hAnsi="仿宋_GB2312" w:eastAsia="仿宋_GB2312" w:cs="仿宋_GB2312"/>
          <w:b w:val="0"/>
          <w:color w:val="auto"/>
          <w:sz w:val="24"/>
          <w:szCs w:val="24"/>
          <w:highlight w:val="none"/>
        </w:rPr>
        <w:t>接收被检测设备、器具</w:t>
      </w:r>
      <w:r>
        <w:rPr>
          <w:rFonts w:hint="eastAsia" w:ascii="仿宋_GB2312" w:hAnsi="仿宋_GB2312" w:eastAsia="仿宋_GB2312" w:cs="仿宋_GB2312"/>
          <w:b w:val="0"/>
          <w:color w:val="auto"/>
          <w:sz w:val="24"/>
          <w:szCs w:val="24"/>
          <w:highlight w:val="none"/>
          <w:lang w:eastAsia="zh-CN"/>
        </w:rPr>
        <w:t>之时至交回于甲方止</w:t>
      </w:r>
      <w:r>
        <w:rPr>
          <w:rFonts w:hint="eastAsia" w:ascii="仿宋_GB2312" w:hAnsi="仿宋_GB2312" w:eastAsia="仿宋_GB2312" w:cs="仿宋_GB2312"/>
          <w:b w:val="0"/>
          <w:color w:val="auto"/>
          <w:sz w:val="24"/>
          <w:szCs w:val="24"/>
          <w:highlight w:val="none"/>
        </w:rPr>
        <w:t>，</w:t>
      </w:r>
      <w:r>
        <w:rPr>
          <w:rFonts w:hint="eastAsia" w:ascii="仿宋_GB2312" w:hAnsi="仿宋_GB2312" w:eastAsia="仿宋_GB2312" w:cs="仿宋_GB2312"/>
          <w:b w:val="0"/>
          <w:color w:val="auto"/>
          <w:sz w:val="24"/>
          <w:szCs w:val="24"/>
          <w:highlight w:val="none"/>
          <w:lang w:eastAsia="zh-CN"/>
        </w:rPr>
        <w:t>乙方应承担被检测设备、器具在上述期间内发生的所有风险及费用，</w:t>
      </w:r>
      <w:r>
        <w:rPr>
          <w:rFonts w:hint="eastAsia" w:ascii="仿宋_GB2312" w:hAnsi="仿宋_GB2312" w:eastAsia="仿宋_GB2312" w:cs="仿宋_GB2312"/>
          <w:b w:val="0"/>
          <w:color w:val="auto"/>
          <w:sz w:val="24"/>
          <w:szCs w:val="24"/>
          <w:highlight w:val="none"/>
        </w:rPr>
        <w:t>包括</w:t>
      </w:r>
      <w:r>
        <w:rPr>
          <w:rFonts w:hint="eastAsia" w:ascii="仿宋_GB2312" w:hAnsi="仿宋_GB2312" w:eastAsia="仿宋_GB2312" w:cs="仿宋_GB2312"/>
          <w:b w:val="0"/>
          <w:color w:val="auto"/>
          <w:sz w:val="24"/>
          <w:szCs w:val="24"/>
          <w:highlight w:val="none"/>
          <w:lang w:eastAsia="zh-CN"/>
        </w:rPr>
        <w:t>但不限于灭失、</w:t>
      </w:r>
      <w:r>
        <w:rPr>
          <w:rFonts w:hint="eastAsia" w:ascii="仿宋_GB2312" w:hAnsi="仿宋_GB2312" w:eastAsia="仿宋_GB2312" w:cs="仿宋_GB2312"/>
          <w:b w:val="0"/>
          <w:color w:val="auto"/>
          <w:sz w:val="24"/>
          <w:szCs w:val="24"/>
          <w:highlight w:val="none"/>
        </w:rPr>
        <w:t>运输、</w:t>
      </w:r>
      <w:r>
        <w:rPr>
          <w:rFonts w:hint="eastAsia" w:ascii="仿宋_GB2312" w:hAnsi="仿宋_GB2312" w:eastAsia="仿宋_GB2312" w:cs="仿宋_GB2312"/>
          <w:b w:val="0"/>
          <w:color w:val="auto"/>
          <w:sz w:val="24"/>
          <w:szCs w:val="24"/>
          <w:highlight w:val="none"/>
          <w:lang w:eastAsia="zh-CN"/>
        </w:rPr>
        <w:t>损坏等</w:t>
      </w:r>
      <w:r>
        <w:rPr>
          <w:rFonts w:hint="eastAsia" w:ascii="仿宋_GB2312" w:hAnsi="仿宋_GB2312" w:eastAsia="仿宋_GB2312" w:cs="仿宋_GB2312"/>
          <w:b w:val="0"/>
          <w:color w:val="auto"/>
          <w:sz w:val="24"/>
          <w:szCs w:val="24"/>
          <w:highlight w:val="none"/>
        </w:rPr>
        <w:t>。</w:t>
      </w:r>
    </w:p>
    <w:p>
      <w:pPr>
        <w:pStyle w:val="6"/>
        <w:keepNext w:val="0"/>
        <w:keepLines w:val="0"/>
        <w:tabs>
          <w:tab w:val="left" w:pos="180"/>
          <w:tab w:val="left" w:pos="360"/>
        </w:tabs>
        <w:snapToGrid w:val="0"/>
        <w:spacing w:line="360" w:lineRule="auto"/>
        <w:ind w:firstLine="482"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7、违约责任</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highlight w:val="none"/>
        </w:rPr>
        <w:t>违约责任在技术规格书中明确的，按技术规格书执行，无明确约定的，按下述条款执行：</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7.1 本合同生效后，因甲方原因要求解除合同，当乙方实际完成工作量应付费用大于已付费用时，不足部分由甲方补足。</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7.2 本合同生效后，因乙方原因提前终止合同的，乙方应承担由此给甲方造成的损失，甲方有权没收乙方所交履约担保（如有），同时甲方有权要求乙方按签约合同价的20%交纳违约金。</w:t>
      </w:r>
    </w:p>
    <w:bookmarkEnd w:id="138"/>
    <w:bookmarkEnd w:id="139"/>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7.3 乙方提供的服务内容不符合合同约定的，乙方应按甲方要求进行整改并承担整改所需的费用，同时，甲方有权要求乙方交纳1000元/次的违约金；乙方违约行为给甲方造成损失，违约金不足以补偿的，乙方还应承担相应的赔偿责任。</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7.4 非甲方原因导致未按合同约定时间完成服务，每逾期一天，甲方有权要求乙方交纳1000元/天的违约金，且甲方有权要求乙方限期纠正其违约行为，并采取补救措施以确保项目进度符合合同约定，采取补救措施的费用由乙方承担。</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7.5 由于乙方原因导致</w:t>
      </w:r>
      <w:r>
        <w:rPr>
          <w:rFonts w:hint="eastAsia" w:ascii="仿宋_GB2312" w:hAnsi="仿宋_GB2312" w:eastAsia="仿宋_GB2312" w:cs="仿宋_GB2312"/>
          <w:color w:val="auto"/>
          <w:highlight w:val="none"/>
        </w:rPr>
        <w:t>被检测设备、工器具损坏或丢失的，</w:t>
      </w:r>
      <w:r>
        <w:rPr>
          <w:rFonts w:hint="eastAsia" w:ascii="仿宋_GB2312" w:hAnsi="仿宋_GB2312" w:eastAsia="仿宋_GB2312" w:cs="仿宋_GB2312"/>
          <w:color w:val="auto"/>
          <w:kern w:val="2"/>
          <w:highlight w:val="none"/>
        </w:rPr>
        <w:t>乙方应承担赔偿责任。</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7.6 经甲方查实，乙方伪造检测报告或检测数据的，甲方有权解除合同，并要求乙方支付签约合同价20%的违约金。由此给甲方造成的损失，乙方应承担赔偿责任。</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 w:hAnsi="仿宋" w:eastAsia="仿宋" w:cs="仿宋_GB2312"/>
          <w:color w:val="auto"/>
          <w:kern w:val="2"/>
          <w:highlight w:val="none"/>
        </w:rPr>
        <w:t xml:space="preserve">7.7 </w:t>
      </w:r>
      <w:r>
        <w:rPr>
          <w:rFonts w:hint="eastAsia" w:ascii="仿宋_GB2312" w:hAnsi="仿宋_GB2312" w:eastAsia="仿宋_GB2312" w:cs="仿宋_GB2312"/>
          <w:color w:val="auto"/>
          <w:highlight w:val="none"/>
        </w:rPr>
        <w:t xml:space="preserve"> 乙方在接到甲方发出的违约通知后，应按通知要求交纳违约金；否则，甲方有权暂停合同价款支付或从乙方的合同价款中扣除相应的违约金。</w:t>
      </w:r>
    </w:p>
    <w:p>
      <w:pPr>
        <w:widowControl/>
        <w:snapToGrid w:val="0"/>
        <w:spacing w:line="360" w:lineRule="auto"/>
        <w:ind w:firstLine="465"/>
        <w:jc w:val="left"/>
        <w:outlineLvl w:val="3"/>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highlight w:val="none"/>
        </w:rPr>
        <w:t>7.</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kern w:val="0"/>
          <w:sz w:val="24"/>
          <w:szCs w:val="24"/>
          <w:highlight w:val="none"/>
        </w:rPr>
        <w:t>违约金以现金或转账方式交纳，甲方开具收款收据，乙方不得因此冲减增值税专用发票金额。</w:t>
      </w:r>
    </w:p>
    <w:p>
      <w:pPr>
        <w:pStyle w:val="41"/>
        <w:snapToGrid w:val="0"/>
        <w:spacing w:before="0" w:beforeAutospacing="0" w:after="0" w:afterAutospacing="0" w:line="360" w:lineRule="auto"/>
        <w:ind w:firstLine="480" w:firstLineChars="200"/>
        <w:outlineLvl w:val="3"/>
        <w:rPr>
          <w:rFonts w:ascii="仿宋_GB2312" w:hAnsi="仿宋_GB2312" w:eastAsia="仿宋_GB2312" w:cs="仿宋_GB2312"/>
          <w:color w:val="auto"/>
          <w:kern w:val="2"/>
          <w:highlight w:val="none"/>
        </w:rPr>
      </w:pPr>
      <w:r>
        <w:rPr>
          <w:rFonts w:hint="eastAsia" w:ascii="仿宋_GB2312" w:hAnsi="仿宋_GB2312" w:eastAsia="仿宋_GB2312" w:cs="仿宋_GB2312"/>
          <w:color w:val="auto"/>
          <w:kern w:val="2"/>
          <w:highlight w:val="none"/>
        </w:rPr>
        <w:t>7.</w:t>
      </w:r>
      <w:r>
        <w:rPr>
          <w:rFonts w:hint="eastAsia" w:ascii="仿宋_GB2312" w:hAnsi="仿宋_GB2312" w:eastAsia="仿宋_GB2312" w:cs="仿宋_GB2312"/>
          <w:color w:val="auto"/>
          <w:kern w:val="2"/>
          <w:highlight w:val="none"/>
          <w:lang w:val="en-US" w:eastAsia="zh-CN"/>
        </w:rPr>
        <w:t>9</w:t>
      </w:r>
      <w:r>
        <w:rPr>
          <w:rFonts w:hint="eastAsia" w:ascii="仿宋_GB2312" w:hAnsi="仿宋_GB2312" w:eastAsia="仿宋_GB2312" w:cs="仿宋_GB2312"/>
          <w:color w:val="auto"/>
          <w:highlight w:val="none"/>
        </w:rPr>
        <w:t>因乙方提供的发票导致甲方被税务部门追究相关法律责任的，乙方应承担由此给甲方造成的损失（包括但不限于未抵扣的税费、滞纳金）。</w:t>
      </w:r>
    </w:p>
    <w:p>
      <w:pPr>
        <w:pStyle w:val="6"/>
        <w:keepNext w:val="0"/>
        <w:keepLines w:val="0"/>
        <w:snapToGrid w:val="0"/>
        <w:spacing w:line="360" w:lineRule="auto"/>
        <w:ind w:firstLine="482" w:firstLineChars="200"/>
        <w:outlineLvl w:val="3"/>
        <w:rPr>
          <w:rFonts w:ascii="仿宋_GB2312" w:hAnsi="仿宋_GB2312" w:eastAsia="仿宋_GB2312" w:cs="仿宋_GB2312"/>
          <w:color w:val="auto"/>
          <w:sz w:val="24"/>
          <w:szCs w:val="24"/>
          <w:highlight w:val="none"/>
        </w:rPr>
      </w:pPr>
      <w:bookmarkStart w:id="141" w:name="_Toc9434"/>
      <w:bookmarkStart w:id="142" w:name="_Toc20581"/>
      <w:bookmarkStart w:id="143" w:name="_Toc4977"/>
      <w:bookmarkStart w:id="144" w:name="_Toc17986"/>
      <w:bookmarkStart w:id="145" w:name="_Toc7715"/>
      <w:bookmarkStart w:id="146" w:name="_Toc21133"/>
      <w:r>
        <w:rPr>
          <w:rFonts w:hint="eastAsia" w:ascii="仿宋_GB2312" w:hAnsi="仿宋_GB2312" w:eastAsia="仿宋_GB2312" w:cs="仿宋_GB2312"/>
          <w:color w:val="auto"/>
          <w:sz w:val="24"/>
          <w:szCs w:val="24"/>
          <w:highlight w:val="none"/>
        </w:rPr>
        <w:t>8、不可抗力</w:t>
      </w:r>
      <w:bookmarkEnd w:id="141"/>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8.1不可抗力的确认</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w:t>
      </w:r>
      <w:r>
        <w:rPr>
          <w:rFonts w:hint="eastAsia" w:ascii="仿宋_GB2312" w:hAnsi="仿宋_GB2312" w:eastAsia="仿宋_GB2312" w:cs="仿宋_GB2312"/>
          <w:b w:val="0"/>
          <w:bCs/>
          <w:color w:val="auto"/>
          <w:kern w:val="0"/>
          <w:sz w:val="24"/>
          <w:highlight w:val="none"/>
          <w:shd w:val="clear" w:color="auto" w:fill="FFFFFF"/>
          <w:lang w:val="en-US" w:eastAsia="zh-CN"/>
        </w:rPr>
        <w:t>1</w:t>
      </w:r>
      <w:r>
        <w:rPr>
          <w:rFonts w:hint="eastAsia" w:ascii="仿宋_GB2312" w:hAnsi="仿宋_GB2312" w:eastAsia="仿宋_GB2312" w:cs="仿宋_GB2312"/>
          <w:b w:val="0"/>
          <w:bCs/>
          <w:color w:val="auto"/>
          <w:kern w:val="0"/>
          <w:sz w:val="24"/>
          <w:highlight w:val="none"/>
          <w:shd w:val="clear" w:color="auto" w:fill="FFFFFF"/>
        </w:rPr>
        <w:t>条〔争议解决〕的约定处理。</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8.2不可抗力的通知</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8.3不可抗力后果的承担</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highlight w:val="none"/>
          <w:shd w:val="clear" w:color="auto" w:fill="FFFFFF"/>
        </w:rPr>
      </w:pPr>
      <w:r>
        <w:rPr>
          <w:rFonts w:hint="eastAsia" w:ascii="仿宋_GB2312" w:hAnsi="仿宋_GB2312" w:eastAsia="仿宋_GB2312" w:cs="仿宋_GB2312"/>
          <w:b w:val="0"/>
          <w:bCs/>
          <w:color w:val="auto"/>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pStyle w:val="6"/>
        <w:keepNext w:val="0"/>
        <w:keepLines w:val="0"/>
        <w:tabs>
          <w:tab w:val="left" w:pos="180"/>
          <w:tab w:val="left" w:pos="360"/>
        </w:tabs>
        <w:snapToGrid w:val="0"/>
        <w:spacing w:line="360" w:lineRule="auto"/>
        <w:ind w:firstLine="480" w:firstLineChars="200"/>
        <w:outlineLvl w:val="3"/>
        <w:rPr>
          <w:rFonts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highlight w:val="none"/>
          <w:shd w:val="clear" w:color="auto" w:fill="FFFFFF"/>
        </w:rPr>
        <w:t>因合同一方迟延履行合同义务，在迟延履行期间遭遇不可抗力的，不免除其违约责任。</w:t>
      </w:r>
    </w:p>
    <w:p>
      <w:pPr>
        <w:tabs>
          <w:tab w:val="left" w:pos="540"/>
          <w:tab w:val="left" w:pos="720"/>
        </w:tabs>
        <w:adjustRightInd w:val="0"/>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rPr>
      </w:pPr>
      <w:bookmarkStart w:id="147" w:name="_Toc15918"/>
      <w:r>
        <w:rPr>
          <w:rFonts w:hint="eastAsia" w:ascii="仿宋_GB2312" w:hAnsi="仿宋_GB2312" w:eastAsia="仿宋_GB2312" w:cs="仿宋_GB2312"/>
          <w:b/>
          <w:color w:val="auto"/>
          <w:kern w:val="0"/>
          <w:sz w:val="24"/>
          <w:szCs w:val="24"/>
          <w:highlight w:val="none"/>
        </w:rPr>
        <w:t>9、合同终止</w:t>
      </w:r>
      <w:bookmarkEnd w:id="147"/>
    </w:p>
    <w:p>
      <w:pPr>
        <w:adjustRightInd w:val="0"/>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9.1 甲方、乙方履行合同全部义务，合同价款支付完毕，本合同即告终止。</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9.2 合同的权利义务终止后，合同当事人应遵循诚实信用原则，履行通知、协助和保密等义务。</w:t>
      </w:r>
    </w:p>
    <w:p>
      <w:pPr>
        <w:pStyle w:val="41"/>
        <w:snapToGrid w:val="0"/>
        <w:spacing w:before="0" w:beforeAutospacing="0" w:after="0" w:afterAutospacing="0" w:line="360" w:lineRule="auto"/>
        <w:ind w:firstLine="482" w:firstLineChars="200"/>
        <w:outlineLvl w:val="3"/>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10、合同解除</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10.1 有下列情形之一的，合同当事人一方或双方可以解除合同：</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（1）乙方将本合同约定的工作全部或部分转包给他人，甲方有权解除合同；</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（2）因不可抗力致使合同无法履行；</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（3）因一方违约致使合同无法实际履行或实际履行已无必要；</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（4）违约金总额超过合同签约价的20%，甲方有权解除合同。</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（5）经甲方进行质量管理考核评分，乙方当月综合考评分&lt;60分的，甲方有权解除合同。</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10.2 乙方因违约而依据本合同相关条款承担违约责任后，其违约行为仍持续或未停止、未改正的，甲方有权解除合同。</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w:t>
      </w:r>
      <w:r>
        <w:rPr>
          <w:rFonts w:hint="eastAsia" w:ascii="仿宋_GB2312" w:hAnsi="仿宋_GB2312" w:eastAsia="仿宋_GB2312" w:cs="仿宋_GB2312"/>
          <w:color w:val="auto"/>
          <w:kern w:val="0"/>
          <w:sz w:val="24"/>
          <w:szCs w:val="24"/>
          <w:highlight w:val="none"/>
          <w:lang w:val="en-US" w:eastAsia="zh-CN"/>
        </w:rPr>
        <w:t>3</w:t>
      </w:r>
      <w:r>
        <w:rPr>
          <w:rFonts w:hint="eastAsia" w:ascii="仿宋_GB2312" w:hAnsi="仿宋_GB2312" w:eastAsia="仿宋_GB2312" w:cs="仿宋_GB2312"/>
          <w:color w:val="auto"/>
          <w:kern w:val="0"/>
          <w:sz w:val="24"/>
          <w:szCs w:val="24"/>
          <w:highlight w:val="none"/>
        </w:rPr>
        <w:t xml:space="preserve"> 因乙方原因导致的合同解除，按照违约责任处理，甲方有权解除部分或全部合同。解除部分合同的，甲方有权另行委托因部分解除合同而乙方未履行部分，乙方应承担甲方由此产生的费用并继续履行合同中未解除的部分。</w:t>
      </w:r>
    </w:p>
    <w:p>
      <w:pPr>
        <w:spacing w:line="360" w:lineRule="auto"/>
        <w:ind w:firstLine="480" w:firstLineChars="200"/>
        <w:outlineLvl w:val="3"/>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10.</w:t>
      </w:r>
      <w:r>
        <w:rPr>
          <w:rFonts w:hint="eastAsia" w:ascii="仿宋_GB2312" w:hAnsi="仿宋_GB2312" w:eastAsia="仿宋_GB2312" w:cs="仿宋_GB2312"/>
          <w:color w:val="auto"/>
          <w:kern w:val="0"/>
          <w:sz w:val="24"/>
          <w:szCs w:val="24"/>
          <w:highlight w:val="none"/>
          <w:lang w:val="en-US" w:eastAsia="zh-CN"/>
        </w:rPr>
        <w:t>4</w:t>
      </w:r>
      <w:r>
        <w:rPr>
          <w:rFonts w:hint="eastAsia" w:ascii="仿宋_GB2312" w:hAnsi="仿宋_GB2312" w:eastAsia="仿宋_GB2312" w:cs="仿宋_GB2312"/>
          <w:color w:val="auto"/>
          <w:kern w:val="0"/>
          <w:sz w:val="24"/>
          <w:szCs w:val="24"/>
          <w:highlight w:val="none"/>
        </w:rPr>
        <w:t>合同解除后，本合同约定的有关结算、争议解决方式的条款仍然有效。</w:t>
      </w:r>
    </w:p>
    <w:p>
      <w:pPr>
        <w:pStyle w:val="41"/>
        <w:snapToGrid w:val="0"/>
        <w:spacing w:before="0" w:beforeAutospacing="0" w:after="0" w:afterAutospacing="0" w:line="360" w:lineRule="auto"/>
        <w:ind w:firstLine="482" w:firstLineChars="200"/>
        <w:outlineLvl w:val="3"/>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11、争议解决</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仿宋_GB2312" w:hAnsi="仿宋_GB2312" w:eastAsia="仿宋_GB2312" w:cs="仿宋_GB2312"/>
          <w:color w:val="auto"/>
          <w:highlight w:val="none"/>
          <w:u w:val="single"/>
        </w:rPr>
        <w:t>第（2）种</w:t>
      </w:r>
      <w:r>
        <w:rPr>
          <w:rFonts w:hint="eastAsia" w:ascii="仿宋_GB2312" w:hAnsi="仿宋_GB2312" w:eastAsia="仿宋_GB2312" w:cs="仿宋_GB2312"/>
          <w:color w:val="auto"/>
          <w:highlight w:val="none"/>
        </w:rPr>
        <w:t>方式解决：</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（1）提交</w:t>
      </w:r>
      <w:r>
        <w:rPr>
          <w:rFonts w:hint="eastAsia" w:ascii="仿宋_GB2312" w:hAnsi="仿宋_GB2312" w:eastAsia="仿宋_GB2312" w:cs="仿宋_GB2312"/>
          <w:color w:val="auto"/>
          <w:highlight w:val="none"/>
          <w:u w:val="single"/>
        </w:rPr>
        <w:t>长沙</w:t>
      </w:r>
      <w:r>
        <w:rPr>
          <w:rFonts w:hint="eastAsia" w:ascii="仿宋_GB2312" w:hAnsi="仿宋_GB2312" w:eastAsia="仿宋_GB2312" w:cs="仿宋_GB2312"/>
          <w:color w:val="auto"/>
          <w:highlight w:val="none"/>
        </w:rPr>
        <w:t>仲裁委员会仲裁；</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（2）依法向</w:t>
      </w:r>
      <w:r>
        <w:rPr>
          <w:rFonts w:hint="eastAsia" w:ascii="仿宋_GB2312" w:hAnsi="仿宋_GB2312" w:eastAsia="仿宋_GB2312" w:cs="仿宋_GB2312"/>
          <w:color w:val="auto"/>
          <w:highlight w:val="none"/>
          <w:u w:val="single"/>
          <w:lang w:eastAsia="zh-CN"/>
        </w:rPr>
        <w:t>长沙市雨花区</w:t>
      </w:r>
      <w:r>
        <w:rPr>
          <w:rFonts w:hint="eastAsia" w:ascii="仿宋_GB2312" w:hAnsi="仿宋_GB2312" w:eastAsia="仿宋_GB2312" w:cs="仿宋_GB2312"/>
          <w:color w:val="auto"/>
          <w:highlight w:val="none"/>
        </w:rPr>
        <w:t>人民法院起诉。</w:t>
      </w:r>
    </w:p>
    <w:p>
      <w:pPr>
        <w:spacing w:line="360" w:lineRule="auto"/>
        <w:ind w:firstLine="482" w:firstLineChars="200"/>
        <w:outlineLvl w:val="3"/>
        <w:rPr>
          <w:rFonts w:hint="eastAsia" w:ascii="仿宋_GB2312" w:hAnsi="仿宋_GB2312" w:eastAsia="仿宋_GB2312" w:cs="仿宋_GB2312"/>
          <w:b/>
          <w:color w:val="auto"/>
          <w:kern w:val="0"/>
          <w:sz w:val="24"/>
          <w:szCs w:val="24"/>
          <w:highlight w:val="none"/>
        </w:rPr>
      </w:pPr>
      <w:r>
        <w:rPr>
          <w:rFonts w:hint="eastAsia" w:ascii="仿宋_GB2312" w:hAnsi="仿宋_GB2312" w:eastAsia="仿宋_GB2312" w:cs="仿宋_GB2312"/>
          <w:b/>
          <w:color w:val="auto"/>
          <w:kern w:val="0"/>
          <w:sz w:val="24"/>
          <w:szCs w:val="24"/>
          <w:highlight w:val="none"/>
        </w:rPr>
        <w:t>12、通知</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12.1本合同一方给另一方的通知均应采用书面形式，传真或快递送到本合同中规定的对方的地址和办理签收手续，</w:t>
      </w:r>
    </w:p>
    <w:p>
      <w:pPr>
        <w:pStyle w:val="41"/>
        <w:snapToGrid w:val="0"/>
        <w:spacing w:before="0" w:beforeAutospacing="0" w:after="0" w:afterAutospacing="0" w:line="360" w:lineRule="auto"/>
        <w:ind w:firstLine="480" w:firstLineChars="200"/>
        <w:outlineLvl w:val="3"/>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12.2通知以送到之日或通知书中规定的生效之日起生效，两者中以较迟之日为准。</w:t>
      </w:r>
    </w:p>
    <w:p>
      <w:pPr>
        <w:pStyle w:val="41"/>
        <w:snapToGrid w:val="0"/>
        <w:spacing w:before="0" w:beforeAutospacing="0" w:after="0" w:afterAutospacing="0" w:line="360" w:lineRule="auto"/>
        <w:ind w:firstLine="482" w:firstLineChars="200"/>
        <w:outlineLvl w:val="3"/>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13、其他约定</w:t>
      </w:r>
    </w:p>
    <w:p>
      <w:pPr>
        <w:snapToGrid w:val="0"/>
        <w:spacing w:line="360" w:lineRule="auto"/>
        <w:ind w:firstLine="480"/>
        <w:outlineLvl w:val="3"/>
        <w:rPr>
          <w:rFonts w:hint="eastAsia"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rPr>
        <w:t>甲、乙双方特别约定事项</w:t>
      </w:r>
      <w:r>
        <w:rPr>
          <w:rFonts w:hint="eastAsia" w:ascii="仿宋_GB2312" w:hAnsi="仿宋_GB2312" w:eastAsia="仿宋_GB2312" w:cs="仿宋_GB2312"/>
          <w:b/>
          <w:color w:val="auto"/>
          <w:sz w:val="24"/>
          <w:highlight w:val="none"/>
        </w:rPr>
        <w:t>（本条约定与本合同其他约定不一致时，以本条为准）</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lang w:val="en-US" w:eastAsia="zh-CN"/>
        </w:rPr>
        <w:t>13.1</w:t>
      </w:r>
      <w:r>
        <w:rPr>
          <w:rFonts w:hint="eastAsia" w:ascii="仿宋_GB2312" w:hAnsi="仿宋_GB2312" w:eastAsia="仿宋_GB2312" w:cs="仿宋_GB2312"/>
          <w:color w:val="auto"/>
          <w:sz w:val="24"/>
          <w:highlight w:val="none"/>
          <w:u w:val="single"/>
        </w:rPr>
        <w:t>本合同甲方（“长沙市轨道交通一号线建设发展有限公司”“长沙市轨道交通运营有限公司”</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rPr>
        <w:t>长沙市轨道交通</w:t>
      </w:r>
      <w:r>
        <w:rPr>
          <w:rFonts w:hint="eastAsia" w:ascii="仿宋_GB2312" w:hAnsi="仿宋_GB2312" w:eastAsia="仿宋_GB2312" w:cs="仿宋_GB2312"/>
          <w:color w:val="auto"/>
          <w:sz w:val="24"/>
          <w:highlight w:val="none"/>
          <w:u w:val="single"/>
          <w:lang w:eastAsia="zh-CN"/>
        </w:rPr>
        <w:t>三</w:t>
      </w:r>
      <w:r>
        <w:rPr>
          <w:rFonts w:hint="eastAsia" w:ascii="仿宋_GB2312" w:hAnsi="仿宋_GB2312" w:eastAsia="仿宋_GB2312" w:cs="仿宋_GB2312"/>
          <w:color w:val="auto"/>
          <w:sz w:val="24"/>
          <w:highlight w:val="none"/>
          <w:u w:val="single"/>
        </w:rPr>
        <w:t>号线建设发展有限公司</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rPr>
        <w:t>“长沙市轨道交通四号线建设发展有限公司”</w:t>
      </w:r>
      <w:r>
        <w:rPr>
          <w:rFonts w:hint="eastAsia" w:ascii="仿宋_GB2312" w:hAnsi="仿宋_GB2312" w:eastAsia="仿宋_GB2312" w:cs="仿宋_GB2312"/>
          <w:color w:val="auto"/>
          <w:sz w:val="24"/>
          <w:highlight w:val="none"/>
          <w:u w:val="single"/>
          <w:lang w:eastAsia="zh-CN"/>
        </w:rPr>
        <w:t>“</w:t>
      </w:r>
      <w:r>
        <w:rPr>
          <w:rFonts w:hint="eastAsia" w:ascii="仿宋_GB2312" w:hAnsi="仿宋_GB2312" w:eastAsia="仿宋_GB2312" w:cs="仿宋_GB2312"/>
          <w:color w:val="auto"/>
          <w:sz w:val="24"/>
          <w:highlight w:val="none"/>
          <w:u w:val="single"/>
        </w:rPr>
        <w:t>长沙市轨道交通</w:t>
      </w:r>
      <w:r>
        <w:rPr>
          <w:rFonts w:hint="eastAsia" w:ascii="仿宋_GB2312" w:hAnsi="仿宋_GB2312" w:eastAsia="仿宋_GB2312" w:cs="仿宋_GB2312"/>
          <w:color w:val="auto"/>
          <w:sz w:val="24"/>
          <w:highlight w:val="none"/>
          <w:u w:val="single"/>
          <w:lang w:eastAsia="zh-CN"/>
        </w:rPr>
        <w:t>五</w:t>
      </w:r>
      <w:r>
        <w:rPr>
          <w:rFonts w:hint="eastAsia" w:ascii="仿宋_GB2312" w:hAnsi="仿宋_GB2312" w:eastAsia="仿宋_GB2312" w:cs="仿宋_GB2312"/>
          <w:color w:val="auto"/>
          <w:sz w:val="24"/>
          <w:highlight w:val="none"/>
          <w:u w:val="single"/>
        </w:rPr>
        <w:t>号线建设发展有限公</w:t>
      </w:r>
      <w:r>
        <w:rPr>
          <w:rFonts w:hint="eastAsia" w:ascii="仿宋_GB2312" w:hAnsi="仿宋_GB2312" w:eastAsia="仿宋_GB2312" w:cs="仿宋_GB2312"/>
          <w:color w:val="auto"/>
          <w:sz w:val="24"/>
          <w:highlight w:val="none"/>
          <w:u w:val="single"/>
          <w:lang w:val="en-US" w:eastAsia="zh-CN"/>
        </w:rPr>
        <w:t>司”）根据各1、2、3、4、5号线实际清单各自承担资金的支付、发票的收讫，各甲方对应付乙方的合同款项互不承担连带责任。</w:t>
      </w:r>
    </w:p>
    <w:p>
      <w:pPr>
        <w:snapToGrid w:val="0"/>
        <w:spacing w:line="360" w:lineRule="auto"/>
        <w:ind w:firstLine="480"/>
        <w:outlineLvl w:val="3"/>
        <w:rPr>
          <w:rFonts w:hint="default"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color w:val="auto"/>
          <w:sz w:val="24"/>
          <w:highlight w:val="none"/>
          <w:u w:val="single"/>
          <w:lang w:val="en-US" w:eastAsia="zh-CN"/>
        </w:rPr>
        <w:t>13.2根据甲方需要，本合同执行过程中，甲方均使用合同章向乙方出具通知、函件等文件，甲方对使用合同章向乙方所发通知、函件等文件均予以认可。</w:t>
      </w:r>
    </w:p>
    <w:bookmarkEnd w:id="142"/>
    <w:bookmarkEnd w:id="143"/>
    <w:bookmarkEnd w:id="144"/>
    <w:bookmarkEnd w:id="145"/>
    <w:bookmarkEnd w:id="146"/>
    <w:p>
      <w:pPr>
        <w:tabs>
          <w:tab w:val="left" w:pos="2580"/>
          <w:tab w:val="center" w:pos="5121"/>
        </w:tabs>
        <w:snapToGrid w:val="0"/>
        <w:spacing w:before="156" w:beforeLines="50" w:after="156" w:afterLines="50" w:line="360" w:lineRule="auto"/>
        <w:jc w:val="center"/>
        <w:outlineLvl w:val="3"/>
        <w:rPr>
          <w:rFonts w:hint="eastAsia" w:ascii="仿宋_GB2312" w:hAnsi="仿宋_GB2312" w:eastAsia="仿宋_GB2312" w:cs="仿宋_GB2312"/>
          <w:b/>
          <w:bCs/>
          <w:color w:val="auto"/>
          <w:highlight w:val="none"/>
        </w:rPr>
      </w:pPr>
      <w:bookmarkStart w:id="148" w:name="_Toc501718838"/>
      <w:bookmarkStart w:id="149" w:name="_Toc501718835"/>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bookmarkStart w:id="150" w:name="_Toc32636"/>
      <w:r>
        <w:rPr>
          <w:rFonts w:hint="eastAsia" w:ascii="仿宋_GB2312" w:hAnsi="仿宋_GB2312" w:eastAsia="仿宋_GB2312" w:cs="仿宋_GB2312"/>
          <w:b/>
          <w:bCs/>
          <w:color w:val="auto"/>
          <w:kern w:val="0"/>
          <w:sz w:val="32"/>
          <w:szCs w:val="32"/>
          <w:highlight w:val="none"/>
        </w:rPr>
        <w:t>第三部分 合同附件</w:t>
      </w:r>
      <w:bookmarkEnd w:id="150"/>
    </w:p>
    <w:p>
      <w:pPr>
        <w:pStyle w:val="13"/>
        <w:tabs>
          <w:tab w:val="left" w:pos="720"/>
        </w:tabs>
        <w:snapToGrid w:val="0"/>
        <w:spacing w:line="360" w:lineRule="auto"/>
        <w:outlineLvl w:val="3"/>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附件1 廉政协议</w:t>
      </w:r>
    </w:p>
    <w:p>
      <w:pPr>
        <w:adjustRightInd w:val="0"/>
        <w:snapToGrid w:val="0"/>
        <w:jc w:val="center"/>
        <w:outlineLvl w:val="3"/>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廉政协议</w:t>
      </w:r>
    </w:p>
    <w:p>
      <w:pPr>
        <w:widowControl/>
        <w:snapToGrid w:val="0"/>
        <w:spacing w:line="360" w:lineRule="auto"/>
        <w:jc w:val="left"/>
        <w:outlineLvl w:val="3"/>
        <w:rPr>
          <w:rFonts w:hint="eastAsia" w:ascii="仿宋_GB2312" w:hAnsi="仿宋_GB2312" w:eastAsia="仿宋_GB2312" w:cs="仿宋_GB2312"/>
          <w:color w:val="auto"/>
          <w:kern w:val="0"/>
          <w:sz w:val="24"/>
          <w:szCs w:val="24"/>
          <w:highlight w:val="none"/>
          <w:lang w:bidi="en-US"/>
        </w:rPr>
      </w:pPr>
    </w:p>
    <w:p>
      <w:pPr>
        <w:pStyle w:val="13"/>
        <w:tabs>
          <w:tab w:val="left" w:pos="720"/>
        </w:tabs>
        <w:snapToGrid w:val="0"/>
        <w:spacing w:line="440" w:lineRule="exact"/>
        <w:jc w:val="left"/>
        <w:textAlignment w:val="auto"/>
        <w:outlineLvl w:val="3"/>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甲方：</w:t>
      </w:r>
      <w:r>
        <w:rPr>
          <w:rFonts w:hint="eastAsia" w:ascii="仿宋_GB2312" w:hAnsi="仿宋_GB2312" w:eastAsia="仿宋_GB2312" w:cs="仿宋_GB2312"/>
          <w:color w:val="auto"/>
          <w:sz w:val="24"/>
          <w:szCs w:val="24"/>
          <w:highlight w:val="none"/>
          <w:u w:val="single"/>
          <w:lang w:val="en-US" w:eastAsia="zh-CN"/>
        </w:rPr>
        <w:t xml:space="preserve">                          </w:t>
      </w:r>
    </w:p>
    <w:p>
      <w:pPr>
        <w:pStyle w:val="13"/>
        <w:tabs>
          <w:tab w:val="left" w:pos="720"/>
        </w:tabs>
        <w:snapToGrid w:val="0"/>
        <w:spacing w:line="440" w:lineRule="exact"/>
        <w:ind w:left="0" w:firstLine="0"/>
        <w:jc w:val="left"/>
        <w:textAlignment w:val="auto"/>
        <w:outlineLvl w:val="3"/>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rPr>
        <w:t>乙方：</w:t>
      </w:r>
      <w:r>
        <w:rPr>
          <w:rFonts w:hint="eastAsia" w:ascii="仿宋_GB2312" w:hAnsi="仿宋_GB2312" w:eastAsia="仿宋_GB2312" w:cs="仿宋_GB2312"/>
          <w:b w:val="0"/>
          <w:bCs/>
          <w:color w:val="auto"/>
          <w:kern w:val="0"/>
          <w:sz w:val="24"/>
          <w:szCs w:val="24"/>
          <w:highlight w:val="none"/>
          <w:u w:val="single"/>
          <w:lang w:val="en-US" w:eastAsia="zh-CN"/>
        </w:rPr>
        <w:t xml:space="preserve">                          </w:t>
      </w:r>
    </w:p>
    <w:p>
      <w:pPr>
        <w:adjustRightInd w:val="0"/>
        <w:snapToGrid w:val="0"/>
        <w:spacing w:line="440" w:lineRule="exact"/>
        <w:ind w:firstLine="480"/>
        <w:jc w:val="lef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szCs w:val="24"/>
          <w:highlight w:val="none"/>
        </w:rPr>
        <w:t>根据</w:t>
      </w:r>
      <w:r>
        <w:rPr>
          <w:rFonts w:hint="eastAsia" w:ascii="仿宋_GB2312" w:hAnsi="仿宋_GB2312" w:eastAsia="仿宋_GB2312" w:cs="仿宋_GB2312"/>
          <w:color w:val="auto"/>
          <w:sz w:val="24"/>
          <w:highlight w:val="none"/>
        </w:rPr>
        <w:t>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bookmarkStart w:id="151" w:name="_Toc59896701"/>
      <w:bookmarkStart w:id="152" w:name="_Toc59900969"/>
      <w:r>
        <w:rPr>
          <w:rFonts w:hint="eastAsia" w:ascii="仿宋_GB2312" w:hAnsi="仿宋_GB2312" w:eastAsia="仿宋_GB2312" w:cs="仿宋_GB2312"/>
          <w:color w:val="auto"/>
          <w:sz w:val="24"/>
          <w:highlight w:val="none"/>
        </w:rPr>
        <w:t xml:space="preserve">第一条 </w:t>
      </w:r>
      <w:bookmarkEnd w:id="151"/>
      <w:bookmarkEnd w:id="152"/>
      <w:r>
        <w:rPr>
          <w:rFonts w:hint="eastAsia" w:ascii="仿宋_GB2312" w:hAnsi="仿宋_GB2312" w:eastAsia="仿宋_GB2312" w:cs="仿宋_GB2312"/>
          <w:color w:val="auto"/>
          <w:sz w:val="24"/>
          <w:highlight w:val="none"/>
        </w:rPr>
        <w:t>共同责任</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（一）严格遵守党和国家有关法律法规及湖南省、长沙市的相关规定。</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（二）严格执行</w:t>
      </w:r>
      <w:r>
        <w:rPr>
          <w:rFonts w:hint="eastAsia" w:ascii="仿宋_GB2312" w:hAnsi="仿宋_GB2312" w:eastAsia="仿宋_GB2312" w:cs="仿宋_GB2312"/>
          <w:b w:val="0"/>
          <w:bCs/>
          <w:color w:val="auto"/>
          <w:kern w:val="0"/>
          <w:sz w:val="24"/>
          <w:szCs w:val="24"/>
          <w:highlight w:val="none"/>
          <w:u w:val="single"/>
          <w:lang w:val="en-US" w:eastAsia="zh-CN"/>
        </w:rPr>
        <w:t xml:space="preserve">                               </w:t>
      </w:r>
      <w:r>
        <w:rPr>
          <w:rFonts w:hint="eastAsia" w:ascii="仿宋_GB2312" w:hAnsi="仿宋_GB2312" w:eastAsia="仿宋_GB2312" w:cs="仿宋_GB2312"/>
          <w:color w:val="auto"/>
          <w:sz w:val="24"/>
          <w:highlight w:val="none"/>
        </w:rPr>
        <w:t>（以下称主合同）的合同文件，自觉按合同办事。</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（四）建立健全廉政制度，开展廉政教育，设立廉政告示牌，公布举报电话，监督并认真查处违纪违法行为。</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（五）发现对方在业务活动中有违反廉政规定的行为，有及时提醒对方纠正的权利和义务。</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第二条 共同权利</w:t>
      </w:r>
    </w:p>
    <w:p>
      <w:pPr>
        <w:adjustRightInd w:val="0"/>
        <w:snapToGrid w:val="0"/>
        <w:spacing w:line="440" w:lineRule="exac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bookmarkStart w:id="153" w:name="_Toc59900970"/>
      <w:bookmarkStart w:id="154" w:name="_Toc59896702"/>
      <w:r>
        <w:rPr>
          <w:rFonts w:hint="eastAsia" w:ascii="仿宋_GB2312" w:hAnsi="仿宋_GB2312" w:eastAsia="仿宋_GB2312" w:cs="仿宋_GB2312"/>
          <w:color w:val="auto"/>
          <w:sz w:val="24"/>
          <w:highlight w:val="none"/>
        </w:rPr>
        <w:t>第三条 甲方的义务</w:t>
      </w:r>
      <w:bookmarkEnd w:id="153"/>
      <w:bookmarkEnd w:id="154"/>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（一）甲方及其工作人员不得索要或接受乙方的礼金、有价证券和贵重物品。</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（二）甲方及其工作人员不得在乙方报销任何应由甲方或个人支付的费用等。</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（三）甲方及其工作人员不得参加乙方安排的超标准宴请和娱乐活动。</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（四）甲方及其工作人员不得接受乙方提供的通讯工具、交通工具和高档办公用品等。</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（六）甲方及其工作人员不得有违反法律、法规、廉洁从业规定的其他行为。</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bookmarkStart w:id="155" w:name="_Toc59896703"/>
      <w:bookmarkStart w:id="156" w:name="_Toc59900971"/>
      <w:r>
        <w:rPr>
          <w:rFonts w:hint="eastAsia" w:ascii="仿宋_GB2312" w:hAnsi="仿宋_GB2312" w:eastAsia="仿宋_GB2312" w:cs="仿宋_GB2312"/>
          <w:color w:val="auto"/>
          <w:sz w:val="24"/>
          <w:highlight w:val="none"/>
        </w:rPr>
        <w:t>第四条 乙方义务</w:t>
      </w:r>
      <w:bookmarkEnd w:id="155"/>
      <w:bookmarkEnd w:id="156"/>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（一）乙方不得以任何理由向甲方及其工作人员行贿或馈赠礼金、有价证券、贵重物品。</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（二）乙方不得以任何名义为甲方及其工作人员报销应由甲方单位或个人支付的任何费用。</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（三）乙方不得以任何理由安排甲方工作人员参加超标准宴请、健身及娱乐活动。</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（四）乙方不得为甲方及其工作人员购置或提供通讯工具、交通工具和高档办公用品等。</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（六）乙方不得有违反法律、法规、廉洁从业规定的其他行为。</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第五条 违约责任</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第七条 本协议有效期为甲乙双方签署之日起至主合同完全履行完毕之日止。</w:t>
      </w:r>
    </w:p>
    <w:p>
      <w:pPr>
        <w:adjustRightInd w:val="0"/>
        <w:snapToGrid w:val="0"/>
        <w:spacing w:line="440" w:lineRule="exact"/>
        <w:ind w:firstLine="480"/>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第八条 本协议作为主合同的附件，与主合同具有同等的法律效力，经合同双方签署立即生效。</w:t>
      </w:r>
    </w:p>
    <w:p>
      <w:pPr>
        <w:pStyle w:val="2"/>
        <w:outlineLvl w:val="3"/>
        <w:rPr>
          <w:rFonts w:hint="eastAsia" w:ascii="仿宋_GB2312" w:hAnsi="仿宋_GB2312" w:eastAsia="仿宋_GB2312" w:cs="仿宋_GB2312"/>
          <w:color w:val="auto"/>
          <w:highlight w:val="none"/>
        </w:rPr>
      </w:pPr>
    </w:p>
    <w:p>
      <w:pPr>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（本页无正文）</w:t>
      </w:r>
    </w:p>
    <w:p>
      <w:pPr>
        <w:pStyle w:val="2"/>
        <w:outlineLvl w:val="3"/>
        <w:rPr>
          <w:rFonts w:hint="eastAsia" w:ascii="仿宋_GB2312" w:hAnsi="仿宋_GB2312" w:eastAsia="仿宋_GB2312" w:cs="仿宋_GB2312"/>
          <w:color w:val="auto"/>
          <w:highlight w:val="none"/>
        </w:rPr>
      </w:pPr>
    </w:p>
    <w:p>
      <w:pPr>
        <w:outlineLvl w:val="3"/>
        <w:rPr>
          <w:rFonts w:hint="eastAsia" w:ascii="仿宋_GB2312" w:hAnsi="仿宋_GB2312" w:eastAsia="仿宋_GB2312" w:cs="仿宋_GB2312"/>
          <w:color w:val="auto"/>
          <w:highlight w:val="none"/>
        </w:rPr>
      </w:pPr>
    </w:p>
    <w:p>
      <w:pPr>
        <w:pStyle w:val="2"/>
        <w:outlineLvl w:val="3"/>
        <w:rPr>
          <w:rFonts w:hint="eastAsia" w:ascii="仿宋_GB2312" w:hAnsi="仿宋_GB2312" w:eastAsia="仿宋_GB2312" w:cs="仿宋_GB2312"/>
          <w:color w:val="auto"/>
          <w:highlight w:val="none"/>
        </w:rPr>
      </w:pP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 xml:space="preserve"> （盖章）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eastAsia="zh-CN"/>
        </w:rPr>
        <w:t>甲</w:t>
      </w:r>
      <w:r>
        <w:rPr>
          <w:rFonts w:hint="eastAsia" w:ascii="仿宋_GB2312" w:hAnsi="仿宋_GB2312" w:eastAsia="仿宋_GB2312" w:cs="仿宋_GB2312"/>
          <w:color w:val="auto"/>
          <w:sz w:val="24"/>
          <w:highlight w:val="none"/>
        </w:rPr>
        <w:t>方：</w:t>
      </w:r>
      <w:r>
        <w:rPr>
          <w:rFonts w:hint="eastAsia" w:ascii="仿宋_GB2312" w:hAnsi="仿宋_GB2312" w:eastAsia="仿宋_GB2312" w:cs="仿宋_GB2312"/>
          <w:color w:val="auto"/>
          <w:sz w:val="24"/>
          <w:highlight w:val="none"/>
          <w:u w:val="single"/>
        </w:rPr>
        <w:t xml:space="preserve"> （盖章）                 </w:t>
      </w: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法定代表人：</w:t>
      </w:r>
      <w:r>
        <w:rPr>
          <w:rFonts w:hint="eastAsia" w:ascii="仿宋_GB2312" w:hAnsi="仿宋_GB2312" w:eastAsia="仿宋_GB2312" w:cs="仿宋_GB2312"/>
          <w:color w:val="auto"/>
          <w:sz w:val="24"/>
          <w:highlight w:val="none"/>
          <w:u w:val="single"/>
        </w:rPr>
        <w:t xml:space="preserve"> （签字）           </w:t>
      </w:r>
    </w:p>
    <w:p>
      <w:pPr>
        <w:snapToGrid w:val="0"/>
        <w:spacing w:line="440" w:lineRule="exac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或授权代理人：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或授权代理人：</w:t>
      </w:r>
      <w:r>
        <w:rPr>
          <w:rFonts w:hint="eastAsia" w:ascii="仿宋_GB2312" w:hAnsi="仿宋_GB2312" w:eastAsia="仿宋_GB2312" w:cs="仿宋_GB2312"/>
          <w:color w:val="auto"/>
          <w:sz w:val="24"/>
          <w:highlight w:val="none"/>
          <w:u w:val="single"/>
        </w:rPr>
        <w:t xml:space="preserve">（签字）           </w:t>
      </w: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p>
    <w:p>
      <w:pPr>
        <w:snapToGrid w:val="0"/>
        <w:spacing w:line="440" w:lineRule="exac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pStyle w:val="13"/>
        <w:tabs>
          <w:tab w:val="left" w:pos="720"/>
        </w:tabs>
        <w:snapToGrid w:val="0"/>
        <w:spacing w:line="360" w:lineRule="auto"/>
        <w:outlineLvl w:val="3"/>
        <w:rPr>
          <w:rFonts w:ascii="仿宋_GB2312" w:hAnsi="仿宋_GB2312" w:eastAsia="仿宋_GB2312" w:cs="仿宋_GB2312"/>
          <w:b/>
          <w:color w:val="auto"/>
          <w:sz w:val="24"/>
          <w:szCs w:val="24"/>
          <w:highlight w:val="none"/>
        </w:rPr>
      </w:pPr>
    </w:p>
    <w:p>
      <w:pPr>
        <w:pStyle w:val="13"/>
        <w:tabs>
          <w:tab w:val="left" w:pos="720"/>
        </w:tabs>
        <w:snapToGrid w:val="0"/>
        <w:spacing w:line="360" w:lineRule="auto"/>
        <w:outlineLvl w:val="3"/>
        <w:rPr>
          <w:rFonts w:ascii="仿宋_GB2312" w:hAnsi="仿宋_GB2312" w:eastAsia="仿宋_GB2312" w:cs="仿宋_GB2312"/>
          <w:b/>
          <w:color w:val="auto"/>
          <w:sz w:val="24"/>
          <w:szCs w:val="24"/>
          <w:highlight w:val="none"/>
        </w:rPr>
      </w:pP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 xml:space="preserve"> （盖章）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eastAsia="zh-CN"/>
        </w:rPr>
        <w:t>甲</w:t>
      </w:r>
      <w:r>
        <w:rPr>
          <w:rFonts w:hint="eastAsia" w:ascii="仿宋_GB2312" w:hAnsi="仿宋_GB2312" w:eastAsia="仿宋_GB2312" w:cs="仿宋_GB2312"/>
          <w:color w:val="auto"/>
          <w:sz w:val="24"/>
          <w:highlight w:val="none"/>
        </w:rPr>
        <w:t>方：</w:t>
      </w:r>
      <w:r>
        <w:rPr>
          <w:rFonts w:hint="eastAsia" w:ascii="仿宋_GB2312" w:hAnsi="仿宋_GB2312" w:eastAsia="仿宋_GB2312" w:cs="仿宋_GB2312"/>
          <w:color w:val="auto"/>
          <w:sz w:val="24"/>
          <w:highlight w:val="none"/>
          <w:u w:val="single"/>
        </w:rPr>
        <w:t xml:space="preserve"> （盖章）                 </w:t>
      </w: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法定代表人：</w:t>
      </w:r>
      <w:r>
        <w:rPr>
          <w:rFonts w:hint="eastAsia" w:ascii="仿宋_GB2312" w:hAnsi="仿宋_GB2312" w:eastAsia="仿宋_GB2312" w:cs="仿宋_GB2312"/>
          <w:color w:val="auto"/>
          <w:sz w:val="24"/>
          <w:highlight w:val="none"/>
          <w:u w:val="single"/>
        </w:rPr>
        <w:t xml:space="preserve"> （签字）           </w:t>
      </w:r>
    </w:p>
    <w:p>
      <w:pPr>
        <w:snapToGrid w:val="0"/>
        <w:spacing w:line="440" w:lineRule="exac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或授权代理人：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或授权代理人：</w:t>
      </w:r>
      <w:r>
        <w:rPr>
          <w:rFonts w:hint="eastAsia" w:ascii="仿宋_GB2312" w:hAnsi="仿宋_GB2312" w:eastAsia="仿宋_GB2312" w:cs="仿宋_GB2312"/>
          <w:color w:val="auto"/>
          <w:sz w:val="24"/>
          <w:highlight w:val="none"/>
          <w:u w:val="single"/>
        </w:rPr>
        <w:t xml:space="preserve">（签字）           </w:t>
      </w: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p>
    <w:p>
      <w:pPr>
        <w:snapToGrid w:val="0"/>
        <w:spacing w:line="440" w:lineRule="exac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pStyle w:val="13"/>
        <w:tabs>
          <w:tab w:val="left" w:pos="720"/>
        </w:tabs>
        <w:snapToGrid w:val="0"/>
        <w:spacing w:line="360" w:lineRule="auto"/>
        <w:outlineLvl w:val="3"/>
        <w:rPr>
          <w:rFonts w:hint="eastAsia" w:ascii="仿宋_GB2312" w:hAnsi="仿宋_GB2312" w:eastAsia="仿宋_GB2312" w:cs="仿宋_GB2312"/>
          <w:b/>
          <w:color w:val="auto"/>
          <w:sz w:val="24"/>
          <w:highlight w:val="none"/>
        </w:rPr>
      </w:pPr>
    </w:p>
    <w:p>
      <w:pPr>
        <w:pStyle w:val="13"/>
        <w:tabs>
          <w:tab w:val="left" w:pos="720"/>
        </w:tabs>
        <w:snapToGrid w:val="0"/>
        <w:spacing w:line="360" w:lineRule="auto"/>
        <w:outlineLvl w:val="3"/>
        <w:rPr>
          <w:rFonts w:ascii="仿宋_GB2312" w:hAnsi="仿宋_GB2312" w:eastAsia="仿宋_GB2312" w:cs="仿宋_GB2312"/>
          <w:b/>
          <w:color w:val="auto"/>
          <w:sz w:val="24"/>
          <w:szCs w:val="24"/>
          <w:highlight w:val="none"/>
        </w:rPr>
      </w:pPr>
    </w:p>
    <w:p>
      <w:pPr>
        <w:pStyle w:val="13"/>
        <w:tabs>
          <w:tab w:val="left" w:pos="720"/>
        </w:tabs>
        <w:snapToGrid w:val="0"/>
        <w:spacing w:line="360" w:lineRule="auto"/>
        <w:outlineLvl w:val="3"/>
        <w:rPr>
          <w:rFonts w:ascii="仿宋_GB2312" w:hAnsi="仿宋_GB2312" w:eastAsia="仿宋_GB2312" w:cs="仿宋_GB2312"/>
          <w:b/>
          <w:color w:val="auto"/>
          <w:sz w:val="24"/>
          <w:szCs w:val="24"/>
          <w:highlight w:val="none"/>
        </w:rPr>
      </w:pP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甲方：</w:t>
      </w:r>
      <w:r>
        <w:rPr>
          <w:rFonts w:hint="eastAsia" w:ascii="仿宋_GB2312" w:hAnsi="仿宋_GB2312" w:eastAsia="仿宋_GB2312" w:cs="仿宋_GB2312"/>
          <w:color w:val="auto"/>
          <w:sz w:val="24"/>
          <w:highlight w:val="none"/>
          <w:u w:val="single"/>
        </w:rPr>
        <w:t xml:space="preserve"> （盖章）            </w:t>
      </w:r>
      <w:r>
        <w:rPr>
          <w:rFonts w:hint="eastAsia" w:ascii="仿宋_GB2312" w:hAnsi="仿宋_GB2312" w:eastAsia="仿宋_GB2312" w:cs="仿宋_GB2312"/>
          <w:color w:val="auto"/>
          <w:sz w:val="24"/>
          <w:highlight w:val="none"/>
        </w:rPr>
        <w:t xml:space="preserve">             乙方：</w:t>
      </w:r>
      <w:r>
        <w:rPr>
          <w:rFonts w:hint="eastAsia" w:ascii="仿宋_GB2312" w:hAnsi="仿宋_GB2312" w:eastAsia="仿宋_GB2312" w:cs="仿宋_GB2312"/>
          <w:color w:val="auto"/>
          <w:sz w:val="24"/>
          <w:highlight w:val="none"/>
          <w:u w:val="single"/>
        </w:rPr>
        <w:t xml:space="preserve"> （盖章）                 </w:t>
      </w: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法定代表人：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法定代表人：</w:t>
      </w:r>
      <w:r>
        <w:rPr>
          <w:rFonts w:hint="eastAsia" w:ascii="仿宋_GB2312" w:hAnsi="仿宋_GB2312" w:eastAsia="仿宋_GB2312" w:cs="仿宋_GB2312"/>
          <w:color w:val="auto"/>
          <w:sz w:val="24"/>
          <w:highlight w:val="none"/>
          <w:u w:val="single"/>
        </w:rPr>
        <w:t xml:space="preserve"> （签字）           </w:t>
      </w:r>
    </w:p>
    <w:p>
      <w:pPr>
        <w:snapToGrid w:val="0"/>
        <w:spacing w:line="440" w:lineRule="exac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或授权代理人：</w:t>
      </w:r>
      <w:r>
        <w:rPr>
          <w:rFonts w:hint="eastAsia" w:ascii="仿宋_GB2312" w:hAnsi="仿宋_GB2312" w:eastAsia="仿宋_GB2312" w:cs="仿宋_GB2312"/>
          <w:color w:val="auto"/>
          <w:sz w:val="24"/>
          <w:highlight w:val="none"/>
          <w:u w:val="single"/>
        </w:rPr>
        <w:t xml:space="preserve">（签字）      </w:t>
      </w:r>
      <w:r>
        <w:rPr>
          <w:rFonts w:hint="eastAsia" w:ascii="仿宋_GB2312" w:hAnsi="仿宋_GB2312" w:eastAsia="仿宋_GB2312" w:cs="仿宋_GB2312"/>
          <w:color w:val="auto"/>
          <w:sz w:val="24"/>
          <w:highlight w:val="none"/>
        </w:rPr>
        <w:t xml:space="preserve">             或授权代理人：</w:t>
      </w:r>
      <w:r>
        <w:rPr>
          <w:rFonts w:hint="eastAsia" w:ascii="仿宋_GB2312" w:hAnsi="仿宋_GB2312" w:eastAsia="仿宋_GB2312" w:cs="仿宋_GB2312"/>
          <w:color w:val="auto"/>
          <w:sz w:val="24"/>
          <w:highlight w:val="none"/>
          <w:u w:val="single"/>
        </w:rPr>
        <w:t xml:space="preserve">（签字）           </w:t>
      </w:r>
    </w:p>
    <w:p>
      <w:pPr>
        <w:snapToGrid w:val="0"/>
        <w:spacing w:line="440" w:lineRule="exact"/>
        <w:outlineLvl w:val="3"/>
        <w:rPr>
          <w:rFonts w:hint="eastAsia"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电话：</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电话：</w:t>
      </w:r>
      <w:r>
        <w:rPr>
          <w:rFonts w:hint="eastAsia" w:ascii="仿宋_GB2312" w:hAnsi="仿宋_GB2312" w:eastAsia="仿宋_GB2312" w:cs="仿宋_GB2312"/>
          <w:color w:val="auto"/>
          <w:sz w:val="24"/>
          <w:highlight w:val="none"/>
          <w:u w:val="single"/>
        </w:rPr>
        <w:t xml:space="preserve">                          </w:t>
      </w:r>
    </w:p>
    <w:p>
      <w:pPr>
        <w:snapToGrid w:val="0"/>
        <w:spacing w:line="440" w:lineRule="exact"/>
        <w:outlineLvl w:val="3"/>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日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pPr>
        <w:pStyle w:val="13"/>
        <w:tabs>
          <w:tab w:val="left" w:pos="720"/>
        </w:tabs>
        <w:snapToGrid w:val="0"/>
        <w:spacing w:line="360" w:lineRule="auto"/>
        <w:outlineLvl w:val="3"/>
        <w:rPr>
          <w:rFonts w:hint="eastAsia" w:ascii="仿宋_GB2312" w:hAnsi="仿宋_GB2312" w:eastAsia="仿宋_GB2312" w:cs="仿宋_GB2312"/>
          <w:b/>
          <w:color w:val="auto"/>
          <w:sz w:val="24"/>
          <w:highlight w:val="none"/>
        </w:rPr>
      </w:pPr>
    </w:p>
    <w:p>
      <w:pPr>
        <w:pStyle w:val="13"/>
        <w:tabs>
          <w:tab w:val="left" w:pos="720"/>
        </w:tabs>
        <w:snapToGrid w:val="0"/>
        <w:spacing w:line="360" w:lineRule="auto"/>
        <w:ind w:left="0" w:leftChars="0" w:firstLine="0" w:firstLineChars="0"/>
        <w:outlineLvl w:val="3"/>
        <w:rPr>
          <w:rFonts w:ascii="仿宋_GB2312" w:hAnsi="仿宋_GB2312" w:eastAsia="仿宋_GB2312" w:cs="仿宋_GB2312"/>
          <w:b/>
          <w:color w:val="auto"/>
          <w:sz w:val="24"/>
          <w:szCs w:val="24"/>
          <w:highlight w:val="none"/>
        </w:rPr>
      </w:pPr>
      <w:r>
        <w:rPr>
          <w:rFonts w:ascii="仿宋_GB2312" w:hAnsi="仿宋_GB2312" w:eastAsia="仿宋_GB2312" w:cs="仿宋_GB2312"/>
          <w:b/>
          <w:color w:val="auto"/>
          <w:sz w:val="24"/>
          <w:szCs w:val="24"/>
          <w:highlight w:val="none"/>
        </w:rPr>
        <w:br w:type="page"/>
      </w:r>
      <w:bookmarkStart w:id="157" w:name="_Toc14626"/>
      <w:r>
        <w:rPr>
          <w:rFonts w:hint="eastAsia" w:ascii="仿宋_GB2312" w:hAnsi="仿宋_GB2312" w:eastAsia="仿宋_GB2312" w:cs="仿宋_GB2312"/>
          <w:b/>
          <w:color w:val="auto"/>
          <w:sz w:val="24"/>
          <w:szCs w:val="24"/>
          <w:highlight w:val="none"/>
        </w:rPr>
        <w:t>附件2</w:t>
      </w:r>
      <w:r>
        <w:rPr>
          <w:rFonts w:ascii="仿宋_GB2312" w:hAnsi="仿宋_GB2312" w:eastAsia="仿宋_GB2312" w:cs="仿宋_GB2312"/>
          <w:b/>
          <w:color w:val="auto"/>
          <w:sz w:val="24"/>
          <w:szCs w:val="24"/>
          <w:highlight w:val="none"/>
        </w:rPr>
        <w:t xml:space="preserve"> </w:t>
      </w:r>
      <w:r>
        <w:rPr>
          <w:rFonts w:hint="eastAsia" w:ascii="仿宋_GB2312" w:hAnsi="仿宋_GB2312" w:eastAsia="仿宋_GB2312" w:cs="仿宋_GB2312"/>
          <w:b/>
          <w:color w:val="auto"/>
          <w:sz w:val="24"/>
          <w:szCs w:val="24"/>
          <w:highlight w:val="none"/>
        </w:rPr>
        <w:t>保密协议</w:t>
      </w:r>
      <w:bookmarkEnd w:id="157"/>
    </w:p>
    <w:p>
      <w:pPr>
        <w:widowControl/>
        <w:snapToGrid w:val="0"/>
        <w:spacing w:line="360" w:lineRule="auto"/>
        <w:jc w:val="center"/>
        <w:outlineLvl w:val="3"/>
        <w:rPr>
          <w:rFonts w:ascii="仿宋_GB2312" w:hAnsi="仿宋_GB2312" w:eastAsia="仿宋_GB2312" w:cs="仿宋_GB2312"/>
          <w:color w:val="auto"/>
          <w:kern w:val="0"/>
          <w:sz w:val="32"/>
          <w:szCs w:val="32"/>
          <w:highlight w:val="none"/>
          <w:lang w:bidi="en-US"/>
        </w:rPr>
      </w:pPr>
      <w:r>
        <w:rPr>
          <w:rFonts w:hint="eastAsia" w:ascii="仿宋_GB2312" w:hAnsi="仿宋_GB2312" w:eastAsia="仿宋_GB2312" w:cs="仿宋_GB2312"/>
          <w:b/>
          <w:bCs/>
          <w:smallCaps/>
          <w:color w:val="auto"/>
          <w:kern w:val="0"/>
          <w:sz w:val="32"/>
          <w:szCs w:val="32"/>
          <w:highlight w:val="none"/>
          <w:lang w:bidi="en-US"/>
        </w:rPr>
        <w:t>保密协议</w:t>
      </w:r>
    </w:p>
    <w:p>
      <w:pPr>
        <w:widowControl/>
        <w:snapToGrid w:val="0"/>
        <w:spacing w:line="360" w:lineRule="auto"/>
        <w:jc w:val="left"/>
        <w:outlineLvl w:val="3"/>
        <w:rPr>
          <w:rFonts w:ascii="仿宋_GB2312" w:hAnsi="仿宋_GB2312" w:eastAsia="仿宋_GB2312" w:cs="仿宋_GB2312"/>
          <w:color w:val="auto"/>
          <w:kern w:val="0"/>
          <w:sz w:val="24"/>
          <w:szCs w:val="24"/>
          <w:highlight w:val="none"/>
          <w:lang w:bidi="en-US"/>
        </w:rPr>
      </w:pPr>
    </w:p>
    <w:p>
      <w:pPr>
        <w:widowControl/>
        <w:snapToGrid w:val="0"/>
        <w:spacing w:line="360" w:lineRule="auto"/>
        <w:jc w:val="left"/>
        <w:outlineLvl w:val="3"/>
        <w:rPr>
          <w:rFonts w:hint="default" w:ascii="仿宋_GB2312" w:hAnsi="仿宋_GB2312" w:eastAsia="仿宋_GB2312" w:cs="仿宋_GB2312"/>
          <w:color w:val="auto"/>
          <w:kern w:val="0"/>
          <w:sz w:val="24"/>
          <w:szCs w:val="24"/>
          <w:highlight w:val="none"/>
          <w:u w:val="single"/>
          <w:lang w:val="en-US" w:eastAsia="zh-CN" w:bidi="en-US"/>
        </w:rPr>
      </w:pPr>
      <w:r>
        <w:rPr>
          <w:rFonts w:hint="eastAsia" w:ascii="仿宋_GB2312" w:hAnsi="仿宋_GB2312" w:eastAsia="仿宋_GB2312" w:cs="仿宋_GB2312"/>
          <w:color w:val="auto"/>
          <w:kern w:val="0"/>
          <w:sz w:val="24"/>
          <w:szCs w:val="24"/>
          <w:highlight w:val="none"/>
          <w:lang w:bidi="en-US"/>
        </w:rPr>
        <w:t>甲方（全称）：</w:t>
      </w:r>
      <w:r>
        <w:rPr>
          <w:rFonts w:hint="eastAsia" w:ascii="仿宋_GB2312" w:hAnsi="仿宋_GB2312" w:eastAsia="仿宋_GB2312" w:cs="仿宋_GB2312"/>
          <w:color w:val="auto"/>
          <w:kern w:val="0"/>
          <w:sz w:val="24"/>
          <w:szCs w:val="24"/>
          <w:highlight w:val="none"/>
          <w:u w:val="single"/>
          <w:lang w:val="en-US" w:eastAsia="zh-CN" w:bidi="en-US"/>
        </w:rPr>
        <w:t xml:space="preserve">                         </w:t>
      </w:r>
    </w:p>
    <w:p>
      <w:pPr>
        <w:widowControl/>
        <w:snapToGrid w:val="0"/>
        <w:spacing w:line="360" w:lineRule="auto"/>
        <w:jc w:val="left"/>
        <w:outlineLvl w:val="3"/>
        <w:rPr>
          <w:rFonts w:hint="default" w:ascii="仿宋_GB2312" w:hAnsi="仿宋_GB2312" w:eastAsia="仿宋_GB2312" w:cs="仿宋_GB2312"/>
          <w:color w:val="auto"/>
          <w:kern w:val="0"/>
          <w:sz w:val="24"/>
          <w:szCs w:val="24"/>
          <w:highlight w:val="none"/>
          <w:u w:val="single"/>
          <w:lang w:val="en-US" w:eastAsia="zh-CN" w:bidi="en-US"/>
        </w:rPr>
      </w:pPr>
      <w:r>
        <w:rPr>
          <w:rFonts w:hint="eastAsia" w:ascii="仿宋_GB2312" w:hAnsi="仿宋_GB2312" w:eastAsia="仿宋_GB2312" w:cs="仿宋_GB2312"/>
          <w:color w:val="auto"/>
          <w:kern w:val="0"/>
          <w:sz w:val="24"/>
          <w:szCs w:val="24"/>
          <w:highlight w:val="none"/>
          <w:lang w:bidi="en-US"/>
        </w:rPr>
        <w:t>乙方（全称）：</w:t>
      </w:r>
      <w:r>
        <w:rPr>
          <w:rFonts w:hint="eastAsia" w:ascii="仿宋_GB2312" w:hAnsi="仿宋_GB2312" w:eastAsia="仿宋_GB2312" w:cs="仿宋_GB2312"/>
          <w:color w:val="auto"/>
          <w:kern w:val="0"/>
          <w:sz w:val="24"/>
          <w:szCs w:val="24"/>
          <w:highlight w:val="none"/>
          <w:u w:val="single"/>
          <w:lang w:val="en-US" w:eastAsia="zh-CN" w:bidi="en-US"/>
        </w:rPr>
        <w:t xml:space="preserve">                         </w:t>
      </w:r>
    </w:p>
    <w:p>
      <w:pPr>
        <w:adjustRightInd w:val="0"/>
        <w:snapToGrid w:val="0"/>
        <w:spacing w:line="360" w:lineRule="auto"/>
        <w:ind w:firstLine="480" w:firstLineChars="200"/>
        <w:outlineLvl w:val="3"/>
        <w:rPr>
          <w:rFonts w:ascii="仿宋_GB2312" w:hAnsi="仿宋_GB2312" w:eastAsia="仿宋_GB2312" w:cs="仿宋_GB2312"/>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鉴于甲方和乙方签订的</w:t>
      </w:r>
      <w:r>
        <w:rPr>
          <w:rFonts w:hint="eastAsia" w:ascii="仿宋_GB2312" w:hAnsi="仿宋_GB2312" w:eastAsia="仿宋_GB2312" w:cs="仿宋_GB2312"/>
          <w:color w:val="auto"/>
          <w:kern w:val="0"/>
          <w:sz w:val="24"/>
          <w:szCs w:val="24"/>
          <w:highlight w:val="none"/>
          <w:u w:val="single"/>
          <w:lang w:val="en-US" w:eastAsia="zh-CN" w:bidi="en-US"/>
        </w:rPr>
        <w:t xml:space="preserve"> </w:t>
      </w:r>
      <w:r>
        <w:rPr>
          <w:rFonts w:hint="eastAsia" w:ascii="仿宋_GB2312" w:hAnsi="仿宋_GB2312" w:eastAsia="仿宋_GB2312" w:cs="仿宋_GB2312"/>
          <w:b w:val="0"/>
          <w:bCs/>
          <w:color w:val="auto"/>
          <w:kern w:val="0"/>
          <w:sz w:val="24"/>
          <w:szCs w:val="24"/>
          <w:highlight w:val="none"/>
          <w:u w:val="single"/>
          <w:lang w:val="en-US" w:eastAsia="zh-CN"/>
        </w:rPr>
        <w:t xml:space="preserve">                               </w:t>
      </w:r>
      <w:r>
        <w:rPr>
          <w:rFonts w:hint="eastAsia" w:ascii="仿宋_GB2312" w:hAnsi="仿宋_GB2312" w:eastAsia="仿宋_GB2312" w:cs="仿宋_GB2312"/>
          <w:color w:val="auto"/>
          <w:kern w:val="0"/>
          <w:sz w:val="24"/>
          <w:szCs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第一条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保密内容</w:t>
      </w:r>
    </w:p>
    <w:p>
      <w:pPr>
        <w:widowControl/>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甲、乙双方确认，乙方应承担保密义务的内容为：</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、技术信息：包括技术方案、设计要求、工作内容、实现方法、运作流程、技术指标、软件系统、数据库、运行环境、作业平台、测试结果、图纸、样本、模型、技术文档、涉及技术秘密的业务函电等；</w:t>
      </w:r>
      <w:r>
        <w:rPr>
          <w:rFonts w:ascii="仿宋_GB2312" w:hAnsi="仿宋_GB2312" w:eastAsia="仿宋_GB2312" w:cs="仿宋_GB2312"/>
          <w:color w:val="auto"/>
          <w:kern w:val="0"/>
          <w:sz w:val="24"/>
          <w:szCs w:val="24"/>
          <w:highlight w:val="none"/>
          <w:lang w:bidi="en-US"/>
        </w:rPr>
        <w:t> </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3</w:t>
      </w:r>
      <w:r>
        <w:rPr>
          <w:rFonts w:hint="eastAsia" w:ascii="仿宋_GB2312" w:hAnsi="仿宋_GB2312" w:eastAsia="仿宋_GB2312" w:cs="仿宋_GB2312"/>
          <w:color w:val="auto"/>
          <w:kern w:val="0"/>
          <w:sz w:val="24"/>
          <w:szCs w:val="24"/>
          <w:highlight w:val="none"/>
          <w:lang w:bidi="en-US"/>
        </w:rPr>
        <w:t>、其他事项：甲方依照法律规定和有关协议（包括与项目对方当事人以及其他项目当事人订立协议、合同）的约定要求乙方承担保密义务的其他事项。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第二条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乙方的保密义务</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、乙方应主动采取加密措施对上述第一条所列内容进行保密，防止不承担同等保密义务的任何第三者知悉及使用。</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3</w:t>
      </w:r>
      <w:r>
        <w:rPr>
          <w:rFonts w:hint="eastAsia" w:ascii="仿宋_GB2312" w:hAnsi="仿宋_GB2312" w:eastAsia="仿宋_GB2312" w:cs="仿宋_GB2312"/>
          <w:color w:val="auto"/>
          <w:kern w:val="0"/>
          <w:sz w:val="24"/>
          <w:szCs w:val="24"/>
          <w:highlight w:val="none"/>
          <w:lang w:bidi="en-US"/>
        </w:rPr>
        <w:t>、乙方不得向不承担同等保密义务的任何第三人披露上述第一条所列内容。</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4</w:t>
      </w:r>
      <w:r>
        <w:rPr>
          <w:rFonts w:hint="eastAsia" w:ascii="仿宋_GB2312" w:hAnsi="仿宋_GB2312" w:eastAsia="仿宋_GB2312" w:cs="仿宋_GB2312"/>
          <w:color w:val="auto"/>
          <w:kern w:val="0"/>
          <w:sz w:val="24"/>
          <w:szCs w:val="24"/>
          <w:highlight w:val="none"/>
          <w:lang w:bidi="en-US"/>
        </w:rPr>
        <w:t>、乙方不得允许（包括出借、赠与、出租、转让等行为）或协助不承担同等保密义务的任何第三人使用上述第一条所列内容。</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5</w:t>
      </w:r>
      <w:r>
        <w:rPr>
          <w:rFonts w:hint="eastAsia" w:ascii="仿宋_GB2312" w:hAnsi="仿宋_GB2312" w:eastAsia="仿宋_GB2312" w:cs="仿宋_GB2312"/>
          <w:color w:val="auto"/>
          <w:kern w:val="0"/>
          <w:sz w:val="24"/>
          <w:szCs w:val="24"/>
          <w:highlight w:val="none"/>
          <w:lang w:bidi="en-US"/>
        </w:rPr>
        <w:t>、不论因何种原因主合同终止后，乙方都不得利用上述第一条所列内容为其他与甲方有竞争关系的第三人提供服务或进行合作。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6</w:t>
      </w:r>
      <w:r>
        <w:rPr>
          <w:rFonts w:hint="eastAsia" w:ascii="仿宋_GB2312" w:hAnsi="仿宋_GB2312" w:eastAsia="仿宋_GB2312" w:cs="仿宋_GB2312"/>
          <w:color w:val="auto"/>
          <w:kern w:val="0"/>
          <w:sz w:val="24"/>
          <w:szCs w:val="24"/>
          <w:highlight w:val="none"/>
          <w:lang w:bidi="en-US"/>
        </w:rPr>
        <w:t>、上述第一条所列内容的所有权始终全部归属甲方，乙方不得利用自身对项目不同程度的了解申请对于该项目的商业秘密所有权，在本协议签订前乙方已依法具有某些所有权者除外；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7</w:t>
      </w:r>
      <w:r>
        <w:rPr>
          <w:rFonts w:hint="eastAsia" w:ascii="仿宋_GB2312" w:hAnsi="仿宋_GB2312" w:eastAsia="仿宋_GB2312" w:cs="仿宋_GB2312"/>
          <w:color w:val="auto"/>
          <w:kern w:val="0"/>
          <w:sz w:val="24"/>
          <w:szCs w:val="24"/>
          <w:highlight w:val="none"/>
          <w:lang w:bidi="en-US"/>
        </w:rPr>
        <w:t>、乙方如发现上述第一条所列内容被泄露或者自己过失泄露秘密，应当采取有效措施防止泄密进一步扩大，并及时向甲方报告。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第三条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保密期限</w:t>
      </w:r>
    </w:p>
    <w:p>
      <w:pPr>
        <w:widowControl/>
        <w:snapToGrid w:val="0"/>
        <w:spacing w:line="360" w:lineRule="auto"/>
        <w:ind w:firstLine="480"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第四条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违约责任</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、因乙方未履行本协议第二条规定的保密义务，但尚未给甲方造成损失或严重后果的，每发生一次，甲方有权要求乙方支付</w:t>
      </w:r>
      <w:r>
        <w:rPr>
          <w:rFonts w:hint="eastAsia" w:ascii="仿宋_GB2312" w:hAnsi="仿宋_GB2312" w:eastAsia="仿宋_GB2312" w:cs="仿宋_GB2312"/>
          <w:b/>
          <w:color w:val="auto"/>
          <w:kern w:val="0"/>
          <w:sz w:val="24"/>
          <w:szCs w:val="24"/>
          <w:highlight w:val="none"/>
          <w:lang w:bidi="en-US"/>
        </w:rPr>
        <w:t>人民币</w:t>
      </w:r>
      <w:r>
        <w:rPr>
          <w:rFonts w:ascii="仿宋_GB2312" w:hAnsi="仿宋_GB2312" w:eastAsia="仿宋_GB2312" w:cs="仿宋_GB2312"/>
          <w:b/>
          <w:color w:val="auto"/>
          <w:kern w:val="0"/>
          <w:sz w:val="24"/>
          <w:szCs w:val="24"/>
          <w:highlight w:val="none"/>
          <w:u w:val="single"/>
          <w:lang w:bidi="en-US"/>
        </w:rPr>
        <w:t>1000</w:t>
      </w:r>
      <w:r>
        <w:rPr>
          <w:rFonts w:hint="eastAsia" w:ascii="仿宋_GB2312" w:hAnsi="仿宋_GB2312" w:eastAsia="仿宋_GB2312" w:cs="仿宋_GB2312"/>
          <w:b/>
          <w:color w:val="auto"/>
          <w:kern w:val="0"/>
          <w:sz w:val="24"/>
          <w:szCs w:val="24"/>
          <w:highlight w:val="none"/>
          <w:lang w:bidi="en-US"/>
        </w:rPr>
        <w:t>元</w:t>
      </w:r>
      <w:r>
        <w:rPr>
          <w:rFonts w:hint="eastAsia" w:ascii="仿宋_GB2312" w:hAnsi="仿宋_GB2312" w:eastAsia="仿宋_GB2312" w:cs="仿宋_GB2312"/>
          <w:color w:val="auto"/>
          <w:kern w:val="0"/>
          <w:sz w:val="24"/>
          <w:szCs w:val="24"/>
          <w:highlight w:val="none"/>
          <w:lang w:bidi="en-US"/>
        </w:rPr>
        <w:t>的违约金。</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、因乙方未履行本协议第二条规定的保密义务，给甲方造成损失或严重后果的，每发生一次，乙方应承担以下赔偿责任：</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w:t>
      </w: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）甲方调查乙方的违反协议行为而发生的所有费用；</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w:t>
      </w: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）因乙方的违反协议行为给甲方造成的经济损失，损失赔偿金额为</w:t>
      </w:r>
      <w:r>
        <w:rPr>
          <w:rFonts w:hint="eastAsia" w:ascii="仿宋_GB2312" w:hAnsi="仿宋_GB2312" w:eastAsia="仿宋_GB2312" w:cs="仿宋_GB2312"/>
          <w:b/>
          <w:color w:val="auto"/>
          <w:kern w:val="0"/>
          <w:sz w:val="24"/>
          <w:szCs w:val="24"/>
          <w:highlight w:val="none"/>
          <w:lang w:bidi="en-US"/>
        </w:rPr>
        <w:t>主合同签约合同价的</w:t>
      </w:r>
      <w:r>
        <w:rPr>
          <w:rFonts w:ascii="仿宋_GB2312" w:hAnsi="仿宋_GB2312" w:eastAsia="仿宋_GB2312" w:cs="仿宋_GB2312"/>
          <w:b/>
          <w:color w:val="auto"/>
          <w:kern w:val="0"/>
          <w:sz w:val="24"/>
          <w:szCs w:val="24"/>
          <w:highlight w:val="none"/>
          <w:u w:val="single"/>
          <w:lang w:bidi="en-US"/>
        </w:rPr>
        <w:t>1</w:t>
      </w:r>
      <w:r>
        <w:rPr>
          <w:rFonts w:hint="eastAsia" w:ascii="仿宋_GB2312" w:hAnsi="仿宋_GB2312" w:eastAsia="仿宋_GB2312" w:cs="仿宋_GB2312"/>
          <w:b/>
          <w:color w:val="auto"/>
          <w:kern w:val="0"/>
          <w:sz w:val="24"/>
          <w:szCs w:val="24"/>
          <w:highlight w:val="none"/>
          <w:lang w:bidi="en-US"/>
        </w:rPr>
        <w:t>％</w:t>
      </w:r>
      <w:r>
        <w:rPr>
          <w:rFonts w:hint="eastAsia" w:ascii="仿宋_GB2312" w:hAnsi="仿宋_GB2312" w:eastAsia="仿宋_GB2312" w:cs="仿宋_GB2312"/>
          <w:color w:val="auto"/>
          <w:kern w:val="0"/>
          <w:sz w:val="24"/>
          <w:szCs w:val="24"/>
          <w:highlight w:val="none"/>
          <w:lang w:bidi="en-US"/>
        </w:rPr>
        <w:t>（有证据证明甲方实际损失超过这一金额的，以甲方实际损失为准）。</w:t>
      </w:r>
    </w:p>
    <w:p>
      <w:pPr>
        <w:widowControl/>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第五条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争议的解决</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hint="eastAsia" w:ascii="仿宋_GB2312" w:hAnsi="仿宋_GB2312" w:eastAsia="仿宋_GB2312" w:cs="仿宋_GB2312"/>
          <w:color w:val="auto"/>
          <w:kern w:val="0"/>
          <w:sz w:val="24"/>
          <w:szCs w:val="24"/>
          <w:highlight w:val="none"/>
          <w:lang w:bidi="en-US"/>
        </w:rPr>
        <w:t>因执行本协议而发生的纠纷，可由双方协商解决；协商不成的，任何一方有权向</w:t>
      </w:r>
      <w:r>
        <w:rPr>
          <w:rFonts w:hint="eastAsia" w:ascii="仿宋_GB2312" w:hAnsi="仿宋_GB2312" w:eastAsia="仿宋_GB2312" w:cs="仿宋_GB2312"/>
          <w:color w:val="auto"/>
          <w:kern w:val="0"/>
          <w:sz w:val="24"/>
          <w:szCs w:val="24"/>
          <w:highlight w:val="none"/>
          <w:u w:val="single"/>
          <w:lang w:bidi="en-US"/>
        </w:rPr>
        <w:t>甲方所在地</w:t>
      </w:r>
      <w:r>
        <w:rPr>
          <w:rFonts w:hint="eastAsia" w:ascii="仿宋_GB2312" w:hAnsi="仿宋_GB2312" w:eastAsia="仿宋_GB2312" w:cs="仿宋_GB2312"/>
          <w:color w:val="auto"/>
          <w:kern w:val="0"/>
          <w:sz w:val="24"/>
          <w:szCs w:val="24"/>
          <w:highlight w:val="none"/>
          <w:u w:val="single"/>
          <w:lang w:eastAsia="zh-CN" w:bidi="en-US"/>
        </w:rPr>
        <w:t>（长沙市雨花区）</w:t>
      </w:r>
      <w:r>
        <w:rPr>
          <w:rFonts w:hint="eastAsia" w:ascii="仿宋_GB2312" w:hAnsi="仿宋_GB2312" w:eastAsia="仿宋_GB2312" w:cs="仿宋_GB2312"/>
          <w:color w:val="auto"/>
          <w:kern w:val="0"/>
          <w:sz w:val="24"/>
          <w:szCs w:val="24"/>
          <w:highlight w:val="none"/>
          <w:u w:val="single"/>
          <w:lang w:bidi="en-US"/>
        </w:rPr>
        <w:t>人民法院</w:t>
      </w:r>
      <w:r>
        <w:rPr>
          <w:rFonts w:hint="eastAsia" w:ascii="仿宋_GB2312" w:hAnsi="仿宋_GB2312" w:eastAsia="仿宋_GB2312" w:cs="仿宋_GB2312"/>
          <w:color w:val="auto"/>
          <w:kern w:val="0"/>
          <w:sz w:val="24"/>
          <w:szCs w:val="24"/>
          <w:highlight w:val="none"/>
          <w:lang w:bidi="en-US"/>
        </w:rPr>
        <w:t>提起诉讼。</w:t>
      </w:r>
    </w:p>
    <w:p>
      <w:pPr>
        <w:widowControl/>
        <w:snapToGrid w:val="0"/>
        <w:spacing w:line="360" w:lineRule="auto"/>
        <w:ind w:firstLine="482" w:firstLineChars="200"/>
        <w:jc w:val="left"/>
        <w:outlineLvl w:val="3"/>
        <w:rPr>
          <w:rFonts w:ascii="仿宋_GB2312" w:hAnsi="仿宋_GB2312" w:eastAsia="仿宋_GB2312" w:cs="仿宋_GB2312"/>
          <w:b/>
          <w:color w:val="auto"/>
          <w:kern w:val="0"/>
          <w:sz w:val="24"/>
          <w:szCs w:val="24"/>
          <w:highlight w:val="none"/>
          <w:lang w:bidi="en-US"/>
        </w:rPr>
      </w:pPr>
      <w:r>
        <w:rPr>
          <w:rFonts w:hint="eastAsia" w:ascii="仿宋_GB2312" w:hAnsi="仿宋_GB2312" w:eastAsia="仿宋_GB2312" w:cs="仿宋_GB2312"/>
          <w:b/>
          <w:color w:val="auto"/>
          <w:kern w:val="0"/>
          <w:sz w:val="24"/>
          <w:szCs w:val="24"/>
          <w:highlight w:val="none"/>
          <w:lang w:bidi="en-US"/>
        </w:rPr>
        <w:t>第六条</w:t>
      </w:r>
      <w:r>
        <w:rPr>
          <w:rFonts w:ascii="仿宋_GB2312" w:hAnsi="仿宋_GB2312" w:eastAsia="仿宋_GB2312" w:cs="仿宋_GB2312"/>
          <w:b/>
          <w:color w:val="auto"/>
          <w:kern w:val="0"/>
          <w:sz w:val="24"/>
          <w:szCs w:val="24"/>
          <w:highlight w:val="none"/>
          <w:lang w:bidi="en-US"/>
        </w:rPr>
        <w:t xml:space="preserve"> </w:t>
      </w:r>
      <w:r>
        <w:rPr>
          <w:rFonts w:hint="eastAsia" w:ascii="仿宋_GB2312" w:hAnsi="仿宋_GB2312" w:eastAsia="仿宋_GB2312" w:cs="仿宋_GB2312"/>
          <w:b/>
          <w:color w:val="auto"/>
          <w:kern w:val="0"/>
          <w:sz w:val="24"/>
          <w:szCs w:val="24"/>
          <w:highlight w:val="none"/>
          <w:lang w:bidi="en-US"/>
        </w:rPr>
        <w:t>协议的效力和变更</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1</w:t>
      </w:r>
      <w:r>
        <w:rPr>
          <w:rFonts w:hint="eastAsia" w:ascii="仿宋_GB2312" w:hAnsi="仿宋_GB2312" w:eastAsia="仿宋_GB2312" w:cs="仿宋_GB2312"/>
          <w:color w:val="auto"/>
          <w:kern w:val="0"/>
          <w:sz w:val="24"/>
          <w:szCs w:val="24"/>
          <w:highlight w:val="none"/>
          <w:lang w:bidi="en-US"/>
        </w:rPr>
        <w:t>、本协议自双方法定代表人或其授权代表签字并加盖公章后生效。</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t>2</w:t>
      </w:r>
      <w:r>
        <w:rPr>
          <w:rFonts w:hint="eastAsia" w:ascii="仿宋_GB2312" w:hAnsi="仿宋_GB2312" w:eastAsia="仿宋_GB2312" w:cs="仿宋_GB2312"/>
          <w:color w:val="auto"/>
          <w:kern w:val="0"/>
          <w:sz w:val="24"/>
          <w:szCs w:val="24"/>
          <w:highlight w:val="none"/>
          <w:lang w:bidi="en-US"/>
        </w:rPr>
        <w:t>、任何对本协议所作的任何增补和修改，除非由双方合法指派的代表书面做出，否则视为无效或对双方均无约束力。</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p>
    <w:p>
      <w:pPr>
        <w:widowControl/>
        <w:snapToGrid w:val="0"/>
        <w:spacing w:line="360" w:lineRule="auto"/>
        <w:jc w:val="left"/>
        <w:outlineLvl w:val="3"/>
        <w:rPr>
          <w:rFonts w:ascii="仿宋_GB2312" w:hAnsi="仿宋_GB2312" w:eastAsia="仿宋_GB2312" w:cs="仿宋_GB2312"/>
          <w:color w:val="auto"/>
          <w:kern w:val="0"/>
          <w:sz w:val="24"/>
          <w:szCs w:val="24"/>
          <w:highlight w:val="none"/>
          <w:lang w:bidi="en-US"/>
        </w:rPr>
      </w:pPr>
      <w:r>
        <w:rPr>
          <w:rFonts w:ascii="仿宋_GB2312" w:hAnsi="仿宋_GB2312" w:eastAsia="仿宋_GB2312" w:cs="仿宋_GB2312"/>
          <w:color w:val="auto"/>
          <w:kern w:val="0"/>
          <w:sz w:val="24"/>
          <w:szCs w:val="24"/>
          <w:highlight w:val="none"/>
          <w:lang w:bidi="en-US"/>
        </w:rPr>
        <w:br w:type="page"/>
      </w:r>
      <w:r>
        <w:rPr>
          <w:rFonts w:hint="eastAsia" w:ascii="仿宋_GB2312" w:hAnsi="仿宋_GB2312" w:eastAsia="仿宋_GB2312" w:cs="仿宋_GB2312"/>
          <w:color w:val="auto"/>
          <w:kern w:val="0"/>
          <w:sz w:val="24"/>
          <w:szCs w:val="24"/>
          <w:highlight w:val="none"/>
          <w:lang w:bidi="en-US"/>
        </w:rPr>
        <w:t>（本页无正文）</w:t>
      </w: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p>
    <w:p>
      <w:pPr>
        <w:widowControl/>
        <w:snapToGrid w:val="0"/>
        <w:spacing w:line="360" w:lineRule="auto"/>
        <w:ind w:firstLine="480" w:firstLineChars="200"/>
        <w:jc w:val="left"/>
        <w:outlineLvl w:val="3"/>
        <w:rPr>
          <w:rFonts w:ascii="仿宋_GB2312" w:hAnsi="仿宋_GB2312" w:eastAsia="仿宋_GB2312" w:cs="仿宋_GB2312"/>
          <w:color w:val="auto"/>
          <w:kern w:val="0"/>
          <w:sz w:val="24"/>
          <w:szCs w:val="24"/>
          <w:highlight w:val="none"/>
          <w:lang w:bidi="en-US"/>
        </w:rPr>
      </w:pPr>
    </w:p>
    <w:tbl>
      <w:tblPr>
        <w:tblStyle w:val="47"/>
        <w:tblW w:w="8719" w:type="dxa"/>
        <w:jc w:val="center"/>
        <w:tblLayout w:type="fixed"/>
        <w:tblCellMar>
          <w:top w:w="0" w:type="dxa"/>
          <w:left w:w="108" w:type="dxa"/>
          <w:bottom w:w="0" w:type="dxa"/>
          <w:right w:w="108" w:type="dxa"/>
        </w:tblCellMar>
      </w:tblPr>
      <w:tblGrid>
        <w:gridCol w:w="4467"/>
        <w:gridCol w:w="4252"/>
      </w:tblGrid>
      <w:tr>
        <w:trPr>
          <w:trHeight w:val="803" w:hRule="atLeast"/>
          <w:jc w:val="center"/>
        </w:trPr>
        <w:tc>
          <w:tcPr>
            <w:tcW w:w="4467" w:type="dxa"/>
            <w:vAlign w:val="top"/>
          </w:tcPr>
          <w:p>
            <w:pPr>
              <w:adjustRightInd w:val="0"/>
              <w:snapToGrid w:val="0"/>
              <w:spacing w:line="360" w:lineRule="auto"/>
              <w:textAlignment w:val="baseline"/>
              <w:outlineLvl w:val="3"/>
              <w:rPr>
                <w:rFonts w:ascii="仿宋_GB2312" w:hAnsi="仿宋_GB2312" w:eastAsia="仿宋_GB2312" w:cs="仿宋_GB2312"/>
                <w:color w:val="auto"/>
                <w:kern w:val="0"/>
                <w:sz w:val="24"/>
                <w:szCs w:val="24"/>
                <w:highlight w:val="none"/>
              </w:rPr>
            </w:pPr>
            <w:bookmarkStart w:id="158" w:name="3"/>
            <w:bookmarkEnd w:id="158"/>
            <w:r>
              <w:rPr>
                <w:rFonts w:hint="eastAsia" w:ascii="仿宋_GB2312" w:hAnsi="仿宋_GB2312" w:eastAsia="仿宋_GB2312" w:cs="仿宋_GB2312"/>
                <w:color w:val="auto"/>
                <w:kern w:val="0"/>
                <w:sz w:val="24"/>
                <w:szCs w:val="24"/>
                <w:highlight w:val="none"/>
              </w:rPr>
              <w:t>甲方：</w:t>
            </w:r>
            <w:r>
              <w:rPr>
                <w:rFonts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rPr>
              <w:t>盖章</w:t>
            </w:r>
            <w:r>
              <w:rPr>
                <w:rFonts w:ascii="仿宋_GB2312" w:hAnsi="仿宋_GB2312" w:eastAsia="仿宋_GB2312" w:cs="仿宋_GB2312"/>
                <w:color w:val="auto"/>
                <w:kern w:val="0"/>
                <w:sz w:val="24"/>
                <w:szCs w:val="24"/>
                <w:highlight w:val="none"/>
              </w:rPr>
              <w:t>)</w:t>
            </w:r>
          </w:p>
        </w:tc>
        <w:tc>
          <w:tcPr>
            <w:tcW w:w="4252" w:type="dxa"/>
            <w:vAlign w:val="top"/>
          </w:tcPr>
          <w:p>
            <w:pPr>
              <w:adjustRightInd w:val="0"/>
              <w:snapToGrid w:val="0"/>
              <w:spacing w:line="360" w:lineRule="auto"/>
              <w:textAlignment w:val="baseline"/>
              <w:outlineLvl w:val="3"/>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lang w:eastAsia="zh-CN"/>
              </w:rPr>
              <w:t>甲</w:t>
            </w:r>
            <w:r>
              <w:rPr>
                <w:rFonts w:hint="eastAsia" w:ascii="仿宋_GB2312" w:hAnsi="仿宋_GB2312" w:eastAsia="仿宋_GB2312" w:cs="仿宋_GB2312"/>
                <w:color w:val="auto"/>
                <w:kern w:val="0"/>
                <w:sz w:val="24"/>
                <w:szCs w:val="24"/>
                <w:highlight w:val="none"/>
              </w:rPr>
              <w:t>方：（盖章）</w:t>
            </w: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ind w:left="19" w:leftChars="9"/>
              <w:textAlignment w:val="baseline"/>
              <w:outlineLvl w:val="3"/>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法定代表人或其授权代表：（签字）</w:t>
            </w:r>
          </w:p>
          <w:p>
            <w:pPr>
              <w:adjustRightInd w:val="0"/>
              <w:snapToGrid w:val="0"/>
              <w:spacing w:line="360" w:lineRule="auto"/>
              <w:ind w:left="19" w:leftChars="9"/>
              <w:textAlignment w:val="baseline"/>
              <w:outlineLvl w:val="3"/>
              <w:rPr>
                <w:rFonts w:ascii="仿宋_GB2312" w:hAnsi="仿宋_GB2312" w:eastAsia="仿宋_GB2312" w:cs="仿宋_GB2312"/>
                <w:color w:val="auto"/>
                <w:kern w:val="0"/>
                <w:sz w:val="24"/>
                <w:szCs w:val="24"/>
                <w:highlight w:val="none"/>
              </w:rPr>
            </w:pPr>
          </w:p>
        </w:tc>
        <w:tc>
          <w:tcPr>
            <w:tcW w:w="4252" w:type="dxa"/>
            <w:vAlign w:val="top"/>
          </w:tcPr>
          <w:p>
            <w:pPr>
              <w:adjustRightInd w:val="0"/>
              <w:snapToGrid w:val="0"/>
              <w:spacing w:line="360" w:lineRule="auto"/>
              <w:ind w:left="34" w:leftChars="16"/>
              <w:textAlignment w:val="baseline"/>
              <w:outlineLvl w:val="3"/>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ind w:left="19" w:leftChars="9"/>
              <w:textAlignment w:val="baseline"/>
              <w:outlineLvl w:val="3"/>
              <w:rPr>
                <w:rFonts w:ascii="仿宋_GB2312" w:hAnsi="仿宋_GB2312" w:eastAsia="仿宋_GB2312" w:cs="仿宋_GB2312"/>
                <w:color w:val="auto"/>
                <w:kern w:val="0"/>
                <w:sz w:val="24"/>
                <w:szCs w:val="24"/>
                <w:highlight w:val="none"/>
              </w:rPr>
            </w:pPr>
          </w:p>
        </w:tc>
        <w:tc>
          <w:tcPr>
            <w:tcW w:w="4252" w:type="dxa"/>
            <w:vAlign w:val="top"/>
          </w:tcPr>
          <w:p>
            <w:pPr>
              <w:adjustRightInd w:val="0"/>
              <w:snapToGrid w:val="0"/>
              <w:spacing w:line="360" w:lineRule="auto"/>
              <w:ind w:left="34" w:leftChars="16"/>
              <w:textAlignment w:val="baseline"/>
              <w:outlineLvl w:val="3"/>
              <w:rPr>
                <w:rFonts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甲方：</w:t>
            </w:r>
            <w:r>
              <w:rPr>
                <w:rFonts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rPr>
              <w:t>盖章</w:t>
            </w:r>
            <w:r>
              <w:rPr>
                <w:rFonts w:ascii="仿宋_GB2312" w:hAnsi="仿宋_GB2312" w:eastAsia="仿宋_GB2312" w:cs="仿宋_GB2312"/>
                <w:color w:val="auto"/>
                <w:kern w:val="0"/>
                <w:sz w:val="24"/>
                <w:szCs w:val="24"/>
                <w:highlight w:val="none"/>
              </w:rPr>
              <w:t>)</w:t>
            </w:r>
          </w:p>
        </w:tc>
        <w:tc>
          <w:tcPr>
            <w:tcW w:w="4252" w:type="dxa"/>
            <w:vAlign w:val="top"/>
          </w:tcPr>
          <w:p>
            <w:pPr>
              <w:adjustRightInd w:val="0"/>
              <w:snapToGrid w:val="0"/>
              <w:spacing w:line="360" w:lineRule="auto"/>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eastAsia="zh-CN"/>
              </w:rPr>
              <w:t>甲</w:t>
            </w:r>
            <w:r>
              <w:rPr>
                <w:rFonts w:hint="eastAsia" w:ascii="仿宋_GB2312" w:hAnsi="仿宋_GB2312" w:eastAsia="仿宋_GB2312" w:cs="仿宋_GB2312"/>
                <w:color w:val="auto"/>
                <w:kern w:val="0"/>
                <w:sz w:val="24"/>
                <w:szCs w:val="24"/>
                <w:highlight w:val="none"/>
              </w:rPr>
              <w:t>方：（盖章）</w:t>
            </w:r>
          </w:p>
        </w:tc>
      </w:tr>
      <w:tr>
        <w:trPr>
          <w:trHeight w:val="777" w:hRule="atLeast"/>
          <w:jc w:val="center"/>
        </w:trPr>
        <w:tc>
          <w:tcPr>
            <w:tcW w:w="4467" w:type="dxa"/>
            <w:vAlign w:val="top"/>
          </w:tcPr>
          <w:p>
            <w:pPr>
              <w:adjustRightInd w:val="0"/>
              <w:snapToGrid w:val="0"/>
              <w:spacing w:line="360" w:lineRule="auto"/>
              <w:ind w:left="19" w:leftChars="9"/>
              <w:textAlignment w:val="baseline"/>
              <w:outlineLvl w:val="3"/>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法定代表人或其授权代表：（签字）</w:t>
            </w:r>
          </w:p>
          <w:p>
            <w:pPr>
              <w:adjustRightInd w:val="0"/>
              <w:snapToGrid w:val="0"/>
              <w:spacing w:line="360" w:lineRule="auto"/>
              <w:ind w:left="19" w:leftChars="9"/>
              <w:textAlignment w:val="baseline"/>
              <w:outlineLvl w:val="3"/>
              <w:rPr>
                <w:rFonts w:hint="eastAsia" w:ascii="仿宋_GB2312" w:hAnsi="仿宋_GB2312" w:eastAsia="仿宋_GB2312" w:cs="仿宋_GB2312"/>
                <w:color w:val="auto"/>
                <w:kern w:val="0"/>
                <w:sz w:val="24"/>
                <w:szCs w:val="24"/>
                <w:highlight w:val="none"/>
                <w:lang w:val="en-US" w:eastAsia="zh-CN" w:bidi="ar-SA"/>
              </w:rPr>
            </w:pPr>
          </w:p>
        </w:tc>
        <w:tc>
          <w:tcPr>
            <w:tcW w:w="4252" w:type="dxa"/>
            <w:vAlign w:val="top"/>
          </w:tcPr>
          <w:p>
            <w:pPr>
              <w:adjustRightInd w:val="0"/>
              <w:snapToGrid w:val="0"/>
              <w:spacing w:line="360" w:lineRule="auto"/>
              <w:ind w:left="34" w:leftChars="16"/>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ind w:left="19" w:leftChars="9"/>
              <w:textAlignment w:val="baseline"/>
              <w:outlineLvl w:val="3"/>
              <w:rPr>
                <w:rFonts w:hint="eastAsia" w:ascii="仿宋_GB2312" w:hAnsi="仿宋_GB2312" w:eastAsia="仿宋_GB2312" w:cs="仿宋_GB2312"/>
                <w:color w:val="auto"/>
                <w:kern w:val="0"/>
                <w:sz w:val="24"/>
                <w:szCs w:val="24"/>
                <w:highlight w:val="none"/>
              </w:rPr>
            </w:pPr>
          </w:p>
        </w:tc>
        <w:tc>
          <w:tcPr>
            <w:tcW w:w="4252" w:type="dxa"/>
            <w:vAlign w:val="top"/>
          </w:tcPr>
          <w:p>
            <w:pPr>
              <w:adjustRightInd w:val="0"/>
              <w:snapToGrid w:val="0"/>
              <w:spacing w:line="360" w:lineRule="auto"/>
              <w:ind w:left="34" w:leftChars="16"/>
              <w:textAlignment w:val="baseline"/>
              <w:outlineLvl w:val="3"/>
              <w:rPr>
                <w:rFonts w:hint="eastAsia" w:ascii="仿宋_GB2312" w:hAnsi="仿宋_GB2312" w:eastAsia="仿宋_GB2312" w:cs="仿宋_GB2312"/>
                <w:color w:val="auto"/>
                <w:kern w:val="0"/>
                <w:sz w:val="24"/>
                <w:szCs w:val="24"/>
                <w:highlight w:val="none"/>
              </w:rPr>
            </w:pP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甲方：</w:t>
            </w:r>
            <w:r>
              <w:rPr>
                <w:rFonts w:ascii="仿宋_GB2312" w:hAnsi="仿宋_GB2312" w:eastAsia="仿宋_GB2312" w:cs="仿宋_GB2312"/>
                <w:color w:val="auto"/>
                <w:kern w:val="0"/>
                <w:sz w:val="24"/>
                <w:szCs w:val="24"/>
                <w:highlight w:val="none"/>
              </w:rPr>
              <w:t>(</w:t>
            </w:r>
            <w:r>
              <w:rPr>
                <w:rFonts w:hint="eastAsia" w:ascii="仿宋_GB2312" w:hAnsi="仿宋_GB2312" w:eastAsia="仿宋_GB2312" w:cs="仿宋_GB2312"/>
                <w:color w:val="auto"/>
                <w:kern w:val="0"/>
                <w:sz w:val="24"/>
                <w:szCs w:val="24"/>
                <w:highlight w:val="none"/>
              </w:rPr>
              <w:t>盖章</w:t>
            </w:r>
            <w:r>
              <w:rPr>
                <w:rFonts w:ascii="仿宋_GB2312" w:hAnsi="仿宋_GB2312" w:eastAsia="仿宋_GB2312" w:cs="仿宋_GB2312"/>
                <w:color w:val="auto"/>
                <w:kern w:val="0"/>
                <w:sz w:val="24"/>
                <w:szCs w:val="24"/>
                <w:highlight w:val="none"/>
              </w:rPr>
              <w:t>)</w:t>
            </w:r>
          </w:p>
        </w:tc>
        <w:tc>
          <w:tcPr>
            <w:tcW w:w="4252" w:type="dxa"/>
            <w:vAlign w:val="top"/>
          </w:tcPr>
          <w:p>
            <w:pPr>
              <w:adjustRightInd w:val="0"/>
              <w:snapToGrid w:val="0"/>
              <w:spacing w:line="360" w:lineRule="auto"/>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ind w:left="19" w:leftChars="9"/>
              <w:textAlignment w:val="baseline"/>
              <w:outlineLvl w:val="3"/>
              <w:rPr>
                <w:rFonts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法定代表人或其授权代表：（签字）</w:t>
            </w:r>
          </w:p>
          <w:p>
            <w:pPr>
              <w:adjustRightInd w:val="0"/>
              <w:snapToGrid w:val="0"/>
              <w:spacing w:line="360" w:lineRule="auto"/>
              <w:ind w:left="19" w:leftChars="9"/>
              <w:textAlignment w:val="baseline"/>
              <w:outlineLvl w:val="3"/>
              <w:rPr>
                <w:rFonts w:hint="eastAsia" w:ascii="仿宋_GB2312" w:hAnsi="仿宋_GB2312" w:eastAsia="仿宋_GB2312" w:cs="仿宋_GB2312"/>
                <w:color w:val="auto"/>
                <w:kern w:val="0"/>
                <w:sz w:val="24"/>
                <w:szCs w:val="24"/>
                <w:highlight w:val="none"/>
                <w:lang w:val="en-US" w:eastAsia="zh-CN" w:bidi="ar-SA"/>
              </w:rPr>
            </w:pPr>
          </w:p>
        </w:tc>
        <w:tc>
          <w:tcPr>
            <w:tcW w:w="4252" w:type="dxa"/>
            <w:vAlign w:val="top"/>
          </w:tcPr>
          <w:p>
            <w:pPr>
              <w:adjustRightInd w:val="0"/>
              <w:snapToGrid w:val="0"/>
              <w:spacing w:line="360" w:lineRule="auto"/>
              <w:ind w:left="34" w:leftChars="16"/>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vAlign w:val="top"/>
          </w:tcPr>
          <w:p>
            <w:pPr>
              <w:adjustRightInd w:val="0"/>
              <w:snapToGrid w:val="0"/>
              <w:spacing w:line="360" w:lineRule="auto"/>
              <w:ind w:left="19" w:leftChars="9"/>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时间：</w:t>
            </w:r>
          </w:p>
        </w:tc>
        <w:tc>
          <w:tcPr>
            <w:tcW w:w="4252" w:type="dxa"/>
            <w:vAlign w:val="top"/>
          </w:tcPr>
          <w:p>
            <w:pPr>
              <w:adjustRightInd w:val="0"/>
              <w:snapToGrid w:val="0"/>
              <w:spacing w:line="360" w:lineRule="auto"/>
              <w:ind w:left="34" w:leftChars="16"/>
              <w:textAlignment w:val="baseline"/>
              <w:outlineLvl w:val="3"/>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时间：</w:t>
            </w:r>
          </w:p>
        </w:tc>
      </w:tr>
    </w:tbl>
    <w:p>
      <w:pPr>
        <w:widowControl/>
        <w:snapToGrid w:val="0"/>
        <w:spacing w:line="360" w:lineRule="auto"/>
        <w:jc w:val="left"/>
        <w:outlineLvl w:val="3"/>
        <w:rPr>
          <w:rFonts w:ascii="仿宋_GB2312" w:hAnsi="仿宋_GB2312" w:eastAsia="仿宋_GB2312" w:cs="仿宋_GB2312"/>
          <w:color w:val="auto"/>
          <w:kern w:val="0"/>
          <w:sz w:val="24"/>
          <w:szCs w:val="24"/>
          <w:highlight w:val="none"/>
          <w:lang w:bidi="en-US"/>
        </w:rPr>
      </w:pPr>
    </w:p>
    <w:p>
      <w:pPr>
        <w:pStyle w:val="13"/>
        <w:tabs>
          <w:tab w:val="left" w:pos="720"/>
        </w:tabs>
        <w:snapToGrid w:val="0"/>
        <w:spacing w:line="360" w:lineRule="auto"/>
        <w:ind w:firstLine="0"/>
        <w:outlineLvl w:val="3"/>
        <w:rPr>
          <w:rFonts w:ascii="仿宋_GB2312" w:hAnsi="仿宋_GB2312" w:eastAsia="仿宋_GB2312" w:cs="仿宋_GB2312"/>
          <w:b/>
          <w:color w:val="auto"/>
          <w:sz w:val="24"/>
          <w:szCs w:val="24"/>
          <w:highlight w:val="none"/>
        </w:rPr>
      </w:pPr>
    </w:p>
    <w:p>
      <w:pPr>
        <w:pStyle w:val="13"/>
        <w:tabs>
          <w:tab w:val="left" w:pos="720"/>
        </w:tabs>
        <w:snapToGrid w:val="0"/>
        <w:spacing w:line="360" w:lineRule="auto"/>
        <w:ind w:left="0" w:leftChars="0" w:firstLine="0" w:firstLineChars="0"/>
        <w:jc w:val="left"/>
        <w:outlineLvl w:val="3"/>
        <w:rPr>
          <w:rFonts w:hint="eastAsia" w:ascii="仿宋_GB2312" w:hAnsi="仿宋_GB2312" w:eastAsia="仿宋_GB2312" w:cs="仿宋_GB2312"/>
          <w:b/>
          <w:color w:val="auto"/>
          <w:sz w:val="24"/>
          <w:highlight w:val="none"/>
        </w:rPr>
      </w:pPr>
      <w:r>
        <w:rPr>
          <w:rFonts w:ascii="仿宋_GB2312" w:hAnsi="仿宋_GB2312" w:eastAsia="仿宋_GB2312" w:cs="仿宋_GB2312"/>
          <w:b/>
          <w:color w:val="auto"/>
          <w:sz w:val="24"/>
          <w:szCs w:val="24"/>
          <w:highlight w:val="none"/>
        </w:rPr>
        <w:br w:type="page"/>
      </w:r>
      <w:bookmarkStart w:id="159" w:name="_Toc25391"/>
      <w:r>
        <w:rPr>
          <w:rFonts w:hint="eastAsia" w:ascii="仿宋_GB2312" w:hAnsi="仿宋_GB2312" w:eastAsia="仿宋_GB2312" w:cs="仿宋_GB2312"/>
          <w:b/>
          <w:color w:val="auto"/>
          <w:sz w:val="24"/>
          <w:highlight w:val="none"/>
        </w:rPr>
        <w:t xml:space="preserve">附件3 </w:t>
      </w:r>
      <w:bookmarkEnd w:id="148"/>
      <w:r>
        <w:rPr>
          <w:rFonts w:hint="eastAsia" w:ascii="仿宋_GB2312" w:hAnsi="仿宋_GB2312" w:eastAsia="仿宋_GB2312" w:cs="仿宋_GB2312"/>
          <w:b/>
          <w:color w:val="auto"/>
          <w:sz w:val="24"/>
          <w:highlight w:val="none"/>
        </w:rPr>
        <w:t>中选通知书</w:t>
      </w:r>
      <w:bookmarkEnd w:id="159"/>
    </w:p>
    <w:p>
      <w:pPr>
        <w:pStyle w:val="13"/>
        <w:tabs>
          <w:tab w:val="left" w:pos="720"/>
        </w:tabs>
        <w:snapToGrid w:val="0"/>
        <w:spacing w:line="360" w:lineRule="auto"/>
        <w:ind w:left="0" w:leftChars="0" w:firstLine="0" w:firstLineChars="0"/>
        <w:jc w:val="left"/>
        <w:outlineLvl w:val="3"/>
        <w:rPr>
          <w:rFonts w:hint="eastAsia" w:ascii="仿宋_GB2312" w:hAnsi="仿宋_GB2312" w:eastAsia="仿宋_GB2312" w:cs="仿宋_GB2312"/>
          <w:b/>
          <w:color w:val="auto"/>
          <w:sz w:val="24"/>
          <w:highlight w:val="none"/>
        </w:rPr>
      </w:pPr>
    </w:p>
    <w:p>
      <w:pPr>
        <w:pStyle w:val="13"/>
        <w:tabs>
          <w:tab w:val="left" w:pos="720"/>
        </w:tabs>
        <w:snapToGrid w:val="0"/>
        <w:spacing w:line="360" w:lineRule="auto"/>
        <w:ind w:left="0" w:leftChars="0" w:firstLine="0" w:firstLineChars="0"/>
        <w:jc w:val="left"/>
        <w:outlineLvl w:val="3"/>
        <w:rPr>
          <w:rFonts w:hint="eastAsia" w:ascii="仿宋_GB2312" w:hAnsi="仿宋_GB2312" w:eastAsia="仿宋_GB2312" w:cs="仿宋_GB2312"/>
          <w:b/>
          <w:color w:val="auto"/>
          <w:sz w:val="24"/>
          <w:highlight w:val="none"/>
        </w:rPr>
      </w:pPr>
      <w:bookmarkStart w:id="160" w:name="_Toc12539"/>
      <w:r>
        <w:rPr>
          <w:rFonts w:hint="eastAsia" w:ascii="仿宋_GB2312" w:hAnsi="仿宋_GB2312" w:eastAsia="仿宋_GB2312" w:cs="仿宋_GB2312"/>
          <w:b/>
          <w:color w:val="auto"/>
          <w:sz w:val="24"/>
          <w:highlight w:val="none"/>
        </w:rPr>
        <w:t>附件4 签约合同价清</w:t>
      </w:r>
      <w:bookmarkEnd w:id="149"/>
      <w:bookmarkEnd w:id="160"/>
    </w:p>
    <w:p>
      <w:pPr>
        <w:pStyle w:val="13"/>
        <w:tabs>
          <w:tab w:val="left" w:pos="720"/>
        </w:tabs>
        <w:snapToGrid w:val="0"/>
        <w:spacing w:line="360" w:lineRule="auto"/>
        <w:ind w:left="0" w:leftChars="0" w:firstLine="0" w:firstLineChars="0"/>
        <w:jc w:val="left"/>
        <w:outlineLvl w:val="3"/>
        <w:rPr>
          <w:rFonts w:hint="eastAsia" w:ascii="仿宋_GB2312" w:hAnsi="仿宋_GB2312" w:eastAsia="仿宋_GB2312" w:cs="仿宋_GB2312"/>
          <w:b/>
          <w:color w:val="auto"/>
          <w:sz w:val="24"/>
          <w:highlight w:val="none"/>
        </w:rPr>
      </w:pPr>
    </w:p>
    <w:p>
      <w:pPr>
        <w:pStyle w:val="13"/>
        <w:tabs>
          <w:tab w:val="left" w:pos="720"/>
        </w:tabs>
        <w:snapToGrid w:val="0"/>
        <w:spacing w:line="360" w:lineRule="auto"/>
        <w:ind w:left="0" w:leftChars="0" w:firstLine="0" w:firstLineChars="0"/>
        <w:jc w:val="left"/>
        <w:outlineLvl w:val="3"/>
        <w:rPr>
          <w:rFonts w:hint="eastAsia" w:ascii="仿宋_GB2312" w:hAnsi="仿宋_GB2312" w:eastAsia="仿宋_GB2312" w:cs="仿宋_GB2312"/>
          <w:b/>
          <w:color w:val="auto"/>
          <w:sz w:val="24"/>
          <w:highlight w:val="none"/>
        </w:rPr>
      </w:pPr>
      <w:bookmarkStart w:id="161" w:name="_Toc12529"/>
      <w:r>
        <w:rPr>
          <w:rFonts w:hint="eastAsia" w:ascii="仿宋_GB2312" w:hAnsi="仿宋_GB2312" w:eastAsia="仿宋_GB2312" w:cs="仿宋_GB2312"/>
          <w:b/>
          <w:color w:val="auto"/>
          <w:sz w:val="24"/>
          <w:highlight w:val="none"/>
        </w:rPr>
        <w:t>附件5 澄清与答疑文件</w:t>
      </w:r>
      <w:bookmarkEnd w:id="161"/>
    </w:p>
    <w:p>
      <w:pPr>
        <w:pStyle w:val="13"/>
        <w:tabs>
          <w:tab w:val="left" w:pos="720"/>
        </w:tabs>
        <w:snapToGrid w:val="0"/>
        <w:spacing w:line="360" w:lineRule="auto"/>
        <w:ind w:left="0" w:leftChars="0" w:firstLine="0" w:firstLineChars="0"/>
        <w:jc w:val="left"/>
        <w:outlineLvl w:val="3"/>
        <w:rPr>
          <w:rFonts w:hint="eastAsia" w:ascii="仿宋_GB2312" w:hAnsi="仿宋_GB2312" w:eastAsia="仿宋_GB2312" w:cs="仿宋_GB2312"/>
          <w:b/>
          <w:color w:val="auto"/>
          <w:sz w:val="24"/>
          <w:highlight w:val="none"/>
        </w:rPr>
      </w:pPr>
    </w:p>
    <w:p>
      <w:pPr>
        <w:pStyle w:val="13"/>
        <w:tabs>
          <w:tab w:val="left" w:pos="720"/>
        </w:tabs>
        <w:snapToGrid w:val="0"/>
        <w:spacing w:line="360" w:lineRule="auto"/>
        <w:ind w:left="0" w:leftChars="0" w:firstLine="0" w:firstLineChars="0"/>
        <w:jc w:val="left"/>
        <w:outlineLvl w:val="3"/>
        <w:rPr>
          <w:rFonts w:hint="eastAsia" w:ascii="仿宋_GB2312" w:hAnsi="仿宋_GB2312" w:eastAsia="仿宋_GB2312" w:cs="仿宋_GB2312"/>
          <w:b/>
          <w:color w:val="auto"/>
          <w:sz w:val="24"/>
          <w:highlight w:val="none"/>
        </w:rPr>
        <w:sectPr>
          <w:pgSz w:w="11906" w:h="16838"/>
          <w:pgMar w:top="1440" w:right="1800" w:bottom="1440" w:left="1800" w:header="851" w:footer="992" w:gutter="0"/>
          <w:pgNumType w:fmt="decimal"/>
          <w:cols w:space="720" w:num="1"/>
          <w:docGrid w:type="lines" w:linePitch="312" w:charSpace="0"/>
        </w:sectPr>
      </w:pPr>
      <w:bookmarkStart w:id="162" w:name="_Toc501718837"/>
      <w:r>
        <w:rPr>
          <w:rFonts w:hint="eastAsia" w:ascii="仿宋_GB2312" w:hAnsi="仿宋_GB2312" w:eastAsia="仿宋_GB2312" w:cs="仿宋_GB2312"/>
          <w:b/>
          <w:color w:val="auto"/>
          <w:sz w:val="24"/>
          <w:highlight w:val="none"/>
        </w:rPr>
        <w:t>附件</w:t>
      </w:r>
      <w:r>
        <w:rPr>
          <w:rFonts w:hint="eastAsia" w:ascii="仿宋_GB2312" w:hAnsi="仿宋_GB2312" w:eastAsia="仿宋_GB2312" w:cs="仿宋_GB2312"/>
          <w:b/>
          <w:color w:val="auto"/>
          <w:sz w:val="24"/>
          <w:highlight w:val="none"/>
          <w:lang w:val="en-US" w:eastAsia="zh-CN"/>
        </w:rPr>
        <w:t>6</w:t>
      </w:r>
      <w:r>
        <w:rPr>
          <w:rFonts w:hint="eastAsia" w:ascii="仿宋_GB2312" w:hAnsi="仿宋_GB2312" w:eastAsia="仿宋_GB2312" w:cs="仿宋_GB2312"/>
          <w:b/>
          <w:color w:val="auto"/>
          <w:sz w:val="24"/>
          <w:highlight w:val="none"/>
        </w:rPr>
        <w:t xml:space="preserve"> 技术规格书</w:t>
      </w:r>
      <w:bookmarkEnd w:id="162"/>
    </w:p>
    <w:p>
      <w:pPr>
        <w:tabs>
          <w:tab w:val="left" w:pos="2580"/>
          <w:tab w:val="center" w:pos="5121"/>
        </w:tabs>
        <w:snapToGrid w:val="0"/>
        <w:spacing w:line="360" w:lineRule="auto"/>
        <w:jc w:val="center"/>
        <w:outlineLvl w:val="3"/>
        <w:rPr>
          <w:rFonts w:hint="eastAsia" w:ascii="仿宋_GB2312" w:hAnsi="仿宋_GB2312" w:eastAsia="仿宋_GB2312" w:cs="仿宋_GB2312"/>
          <w:b/>
          <w:bCs/>
          <w:color w:val="auto"/>
          <w:kern w:val="0"/>
          <w:sz w:val="32"/>
          <w:szCs w:val="32"/>
          <w:highlight w:val="none"/>
        </w:rPr>
      </w:pPr>
      <w:bookmarkStart w:id="163" w:name="_Toc22926"/>
      <w:r>
        <w:rPr>
          <w:rFonts w:hint="eastAsia" w:ascii="仿宋_GB2312" w:hAnsi="仿宋_GB2312" w:eastAsia="仿宋_GB2312" w:cs="仿宋_GB2312"/>
          <w:b/>
          <w:bCs/>
          <w:color w:val="auto"/>
          <w:kern w:val="0"/>
          <w:sz w:val="32"/>
          <w:szCs w:val="32"/>
          <w:highlight w:val="none"/>
        </w:rPr>
        <w:t>第四部分 合同附录</w:t>
      </w:r>
      <w:bookmarkEnd w:id="163"/>
    </w:p>
    <w:p>
      <w:pPr>
        <w:snapToGrid w:val="0"/>
        <w:spacing w:line="360" w:lineRule="auto"/>
        <w:outlineLvl w:val="3"/>
        <w:rPr>
          <w:rFonts w:hint="eastAsia" w:ascii="仿宋_GB2312" w:hAnsi="仿宋_GB2312" w:eastAsia="仿宋_GB2312" w:cs="仿宋_GB2312"/>
          <w:b/>
          <w:color w:val="auto"/>
          <w:sz w:val="24"/>
          <w:szCs w:val="24"/>
          <w:highlight w:val="none"/>
        </w:rPr>
      </w:pPr>
      <w:bookmarkStart w:id="164" w:name="_Toc492458580"/>
      <w:bookmarkStart w:id="165" w:name="_Toc499044866"/>
      <w:bookmarkStart w:id="166" w:name="_Toc494117898"/>
      <w:bookmarkStart w:id="167" w:name="_Toc11354"/>
      <w:r>
        <w:rPr>
          <w:rFonts w:hint="eastAsia" w:ascii="仿宋_GB2312" w:hAnsi="仿宋_GB2312" w:eastAsia="仿宋_GB2312" w:cs="仿宋_GB2312"/>
          <w:b/>
          <w:color w:val="auto"/>
          <w:sz w:val="24"/>
          <w:szCs w:val="24"/>
          <w:highlight w:val="none"/>
        </w:rPr>
        <w:t xml:space="preserve">附录1 </w:t>
      </w:r>
      <w:bookmarkEnd w:id="164"/>
      <w:bookmarkEnd w:id="165"/>
      <w:bookmarkEnd w:id="166"/>
      <w:bookmarkStart w:id="168" w:name="_Toc494117899"/>
      <w:bookmarkStart w:id="169" w:name="_Toc492458581"/>
      <w:bookmarkStart w:id="170" w:name="_Toc499044867"/>
      <w:r>
        <w:rPr>
          <w:rFonts w:hint="eastAsia" w:ascii="仿宋_GB2312" w:hAnsi="仿宋_GB2312" w:eastAsia="仿宋_GB2312" w:cs="仿宋_GB2312"/>
          <w:b/>
          <w:color w:val="auto"/>
          <w:sz w:val="24"/>
          <w:szCs w:val="24"/>
          <w:highlight w:val="none"/>
        </w:rPr>
        <w:t>履约保函（格式）</w:t>
      </w:r>
      <w:bookmarkEnd w:id="167"/>
      <w:bookmarkEnd w:id="168"/>
      <w:bookmarkEnd w:id="169"/>
      <w:bookmarkEnd w:id="170"/>
    </w:p>
    <w:p>
      <w:pPr>
        <w:jc w:val="center"/>
        <w:outlineLvl w:val="3"/>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 xml:space="preserve">                             保函编号：</w:t>
      </w:r>
    </w:p>
    <w:p>
      <w:pPr>
        <w:jc w:val="center"/>
        <w:outlineLvl w:val="3"/>
        <w:rPr>
          <w:rFonts w:hint="eastAsia" w:ascii="仿宋_GB2312" w:hAnsi="仿宋_GB2312" w:eastAsia="仿宋_GB2312" w:cs="仿宋_GB2312"/>
          <w:b/>
          <w:color w:val="auto"/>
          <w:sz w:val="24"/>
          <w:szCs w:val="24"/>
          <w:highlight w:val="none"/>
        </w:rPr>
      </w:pPr>
    </w:p>
    <w:p>
      <w:pPr>
        <w:jc w:val="center"/>
        <w:outlineLvl w:val="3"/>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银行履约保函</w:t>
      </w:r>
    </w:p>
    <w:p>
      <w:pPr>
        <w:jc w:val="center"/>
        <w:outlineLvl w:val="3"/>
        <w:rPr>
          <w:rFonts w:hint="eastAsia" w:ascii="仿宋_GB2312" w:hAnsi="仿宋_GB2312" w:eastAsia="仿宋_GB2312" w:cs="仿宋_GB2312"/>
          <w:b/>
          <w:color w:val="auto"/>
          <w:sz w:val="24"/>
          <w:szCs w:val="24"/>
          <w:highlight w:val="none"/>
        </w:rPr>
      </w:pPr>
    </w:p>
    <w:p>
      <w:pPr>
        <w:adjustRightInd w:val="0"/>
        <w:snapToGrid w:val="0"/>
        <w:spacing w:line="360" w:lineRule="auto"/>
        <w:outlineLvl w:val="3"/>
        <w:rPr>
          <w:rFonts w:hint="eastAsia" w:ascii="仿宋_GB2312" w:hAnsi="仿宋_GB2312" w:eastAsia="仿宋_GB2312" w:cs="仿宋_GB2312"/>
          <w:color w:val="auto"/>
          <w:sz w:val="24"/>
          <w:szCs w:val="24"/>
          <w:highlight w:val="none"/>
          <w:u w:val="single"/>
        </w:rPr>
      </w:pPr>
      <w:r>
        <w:rPr>
          <w:rFonts w:hint="eastAsia" w:ascii="仿宋_GB2312" w:hAnsi="仿宋_GB2312" w:eastAsia="仿宋_GB2312" w:cs="仿宋_GB2312"/>
          <w:color w:val="auto"/>
          <w:sz w:val="24"/>
          <w:szCs w:val="24"/>
          <w:highlight w:val="none"/>
        </w:rPr>
        <w:t>甲方（全称）：</w:t>
      </w:r>
      <w:r>
        <w:rPr>
          <w:rFonts w:hint="eastAsia" w:ascii="仿宋_GB2312" w:hAnsi="仿宋_GB2312" w:eastAsia="仿宋_GB2312" w:cs="仿宋_GB2312"/>
          <w:color w:val="auto"/>
          <w:sz w:val="24"/>
          <w:szCs w:val="24"/>
          <w:highlight w:val="none"/>
          <w:u w:val="single"/>
        </w:rPr>
        <w:t xml:space="preserve">                  </w:t>
      </w:r>
    </w:p>
    <w:p>
      <w:pPr>
        <w:adjustRightInd w:val="0"/>
        <w:snapToGrid w:val="0"/>
        <w:spacing w:line="360" w:lineRule="auto"/>
        <w:ind w:left="15" w:leftChars="7" w:firstLine="48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鉴于甲方</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（以下简称“你方”）与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（乙方全称，以下简称“乙方”）于</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年</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月</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日协商一致共同签订合同编号为</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的《</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1、担保金额为人民币（大写）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元（小写：¥</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w:t>
      </w:r>
    </w:p>
    <w:p>
      <w:pPr>
        <w:adjustRightInd w:val="0"/>
        <w:snapToGrid w:val="0"/>
        <w:spacing w:line="360" w:lineRule="auto"/>
        <w:ind w:left="15" w:leftChars="7" w:firstLine="480"/>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2、担保期限为自本保函生效之日起至</w:t>
      </w:r>
      <w:r>
        <w:rPr>
          <w:rFonts w:hint="eastAsia" w:ascii="仿宋_GB2312" w:hAnsi="仿宋_GB2312" w:eastAsia="仿宋_GB2312" w:cs="仿宋_GB2312"/>
          <w:color w:val="auto"/>
          <w:sz w:val="24"/>
          <w:szCs w:val="20"/>
          <w:highlight w:val="none"/>
          <w:u w:val="single"/>
        </w:rPr>
        <w:t xml:space="preserve">           </w:t>
      </w:r>
      <w:r>
        <w:rPr>
          <w:rFonts w:hint="eastAsia" w:ascii="仿宋_GB2312" w:hAnsi="仿宋_GB2312" w:eastAsia="仿宋_GB2312" w:cs="仿宋_GB2312"/>
          <w:color w:val="auto"/>
          <w:sz w:val="24"/>
          <w:szCs w:val="20"/>
          <w:highlight w:val="none"/>
        </w:rPr>
        <w:t>之日止。</w:t>
      </w:r>
    </w:p>
    <w:p>
      <w:pPr>
        <w:adjustRightInd w:val="0"/>
        <w:snapToGrid w:val="0"/>
        <w:spacing w:line="360" w:lineRule="auto"/>
        <w:ind w:left="15" w:leftChars="7" w:firstLine="480"/>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4、你方和乙方按合同约定变更合同时，我方承担本担保规定的义务不变。</w:t>
      </w:r>
    </w:p>
    <w:p>
      <w:pPr>
        <w:adjustRightInd w:val="0"/>
        <w:snapToGrid w:val="0"/>
        <w:spacing w:line="360" w:lineRule="auto"/>
        <w:ind w:left="15" w:leftChars="7" w:firstLine="480"/>
        <w:outlineLvl w:val="3"/>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本保函自我方加盖公章之日起生效。</w:t>
      </w:r>
    </w:p>
    <w:p>
      <w:pPr>
        <w:adjustRightInd w:val="0"/>
        <w:snapToGrid w:val="0"/>
        <w:spacing w:line="360" w:lineRule="auto"/>
        <w:ind w:left="15" w:leftChars="7" w:firstLine="403" w:firstLineChars="168"/>
        <w:outlineLvl w:val="3"/>
        <w:rPr>
          <w:rFonts w:hint="eastAsia" w:ascii="仿宋_GB2312" w:hAnsi="仿宋_GB2312" w:eastAsia="仿宋_GB2312" w:cs="仿宋_GB2312"/>
          <w:color w:val="auto"/>
          <w:sz w:val="24"/>
          <w:szCs w:val="20"/>
          <w:highlight w:val="none"/>
        </w:rPr>
      </w:pPr>
    </w:p>
    <w:p>
      <w:pPr>
        <w:adjustRightInd w:val="0"/>
        <w:snapToGrid w:val="0"/>
        <w:spacing w:line="360" w:lineRule="auto"/>
        <w:ind w:left="15" w:leftChars="7" w:firstLine="403" w:firstLineChars="168"/>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担保人（盖公章）：</w:t>
      </w:r>
    </w:p>
    <w:p>
      <w:pPr>
        <w:adjustRightInd w:val="0"/>
        <w:snapToGrid w:val="0"/>
        <w:spacing w:line="360" w:lineRule="auto"/>
        <w:ind w:firstLine="480" w:firstLineChars="200"/>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签字：</w:t>
      </w:r>
    </w:p>
    <w:p>
      <w:pPr>
        <w:adjustRightInd w:val="0"/>
        <w:snapToGrid w:val="0"/>
        <w:spacing w:line="360" w:lineRule="auto"/>
        <w:ind w:left="15" w:leftChars="7" w:firstLine="403" w:firstLineChars="168"/>
        <w:outlineLvl w:val="3"/>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地址：</w:t>
      </w:r>
    </w:p>
    <w:p>
      <w:pPr>
        <w:adjustRightInd w:val="0"/>
        <w:snapToGrid w:val="0"/>
        <w:spacing w:line="360" w:lineRule="auto"/>
        <w:ind w:left="15" w:leftChars="7" w:firstLine="403" w:firstLineChars="168"/>
        <w:outlineLvl w:val="3"/>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邮政编码：</w:t>
      </w:r>
    </w:p>
    <w:p>
      <w:pPr>
        <w:adjustRightInd w:val="0"/>
        <w:snapToGrid w:val="0"/>
        <w:spacing w:line="360" w:lineRule="auto"/>
        <w:ind w:left="15" w:leftChars="7" w:firstLine="403" w:firstLineChars="168"/>
        <w:outlineLvl w:val="3"/>
        <w:rPr>
          <w:rFonts w:hint="eastAsia" w:ascii="仿宋_GB2312" w:hAnsi="仿宋_GB2312" w:eastAsia="仿宋_GB2312" w:cs="仿宋_GB2312"/>
          <w:color w:val="auto"/>
          <w:sz w:val="24"/>
          <w:szCs w:val="20"/>
          <w:highlight w:val="none"/>
          <w:u w:val="single"/>
        </w:rPr>
      </w:pPr>
      <w:r>
        <w:rPr>
          <w:rFonts w:hint="eastAsia" w:ascii="仿宋_GB2312" w:hAnsi="仿宋_GB2312" w:eastAsia="仿宋_GB2312" w:cs="仿宋_GB2312"/>
          <w:color w:val="auto"/>
          <w:sz w:val="24"/>
          <w:szCs w:val="20"/>
          <w:highlight w:val="none"/>
        </w:rPr>
        <w:t>电话：</w:t>
      </w:r>
    </w:p>
    <w:p>
      <w:pPr>
        <w:adjustRightInd w:val="0"/>
        <w:snapToGrid w:val="0"/>
        <w:spacing w:line="360" w:lineRule="auto"/>
        <w:ind w:left="15" w:leftChars="7" w:firstLine="403" w:firstLineChars="168"/>
        <w:outlineLvl w:val="3"/>
        <w:rPr>
          <w:rFonts w:hint="eastAsia" w:ascii="仿宋_GB2312" w:hAnsi="仿宋_GB2312" w:eastAsia="仿宋_GB2312" w:cs="仿宋_GB2312"/>
          <w:color w:val="auto"/>
          <w:sz w:val="24"/>
          <w:szCs w:val="20"/>
          <w:highlight w:val="none"/>
        </w:rPr>
      </w:pPr>
      <w:r>
        <w:rPr>
          <w:rFonts w:hint="eastAsia" w:ascii="仿宋_GB2312" w:hAnsi="仿宋_GB2312" w:eastAsia="仿宋_GB2312" w:cs="仿宋_GB2312"/>
          <w:color w:val="auto"/>
          <w:sz w:val="24"/>
          <w:szCs w:val="20"/>
          <w:highlight w:val="none"/>
        </w:rPr>
        <w:t>传真：</w:t>
      </w:r>
    </w:p>
    <w:p>
      <w:pPr>
        <w:adjustRightInd w:val="0"/>
        <w:snapToGrid w:val="0"/>
        <w:spacing w:line="360" w:lineRule="auto"/>
        <w:ind w:left="15" w:leftChars="7" w:firstLine="403" w:firstLineChars="168"/>
        <w:outlineLvl w:val="3"/>
        <w:rPr>
          <w:rFonts w:hint="eastAsia" w:ascii="仿宋_GB2312" w:hAnsi="仿宋_GB2312" w:eastAsia="仿宋_GB2312" w:cs="仿宋_GB2312"/>
          <w:color w:val="auto"/>
          <w:szCs w:val="20"/>
          <w:highlight w:val="none"/>
        </w:rPr>
      </w:pPr>
      <w:r>
        <w:rPr>
          <w:rFonts w:hint="eastAsia" w:ascii="仿宋_GB2312" w:hAnsi="仿宋_GB2312" w:eastAsia="仿宋_GB2312" w:cs="仿宋_GB2312"/>
          <w:color w:val="auto"/>
          <w:sz w:val="24"/>
          <w:szCs w:val="20"/>
          <w:highlight w:val="none"/>
        </w:rPr>
        <w:t>时间：</w:t>
      </w:r>
    </w:p>
    <w:p>
      <w:pPr>
        <w:rPr>
          <w:rFonts w:hint="eastAsia"/>
          <w:color w:val="auto"/>
          <w:highlight w:val="none"/>
        </w:rPr>
      </w:pPr>
    </w:p>
    <w:p>
      <w:pPr>
        <w:rPr>
          <w:color w:val="auto"/>
          <w:highlight w:val="none"/>
        </w:rPr>
      </w:pPr>
    </w:p>
    <w:p>
      <w:pPr>
        <w:rPr>
          <w:rFonts w:hint="eastAsia" w:ascii="宋体" w:hAnsi="宋体" w:eastAsia="宋体" w:cs="宋体"/>
          <w:b/>
          <w:color w:val="auto"/>
          <w:sz w:val="32"/>
          <w:szCs w:val="32"/>
          <w:highlight w:val="none"/>
        </w:rPr>
      </w:pPr>
    </w:p>
    <w:p>
      <w:pPr>
        <w:snapToGrid w:val="0"/>
        <w:spacing w:line="360" w:lineRule="auto"/>
        <w:jc w:val="center"/>
        <w:outlineLvl w:val="0"/>
        <w:rPr>
          <w:rFonts w:hint="eastAsia" w:ascii="宋体" w:hAnsi="宋体" w:eastAsia="宋体" w:cs="宋体"/>
          <w:bCs/>
          <w:color w:val="auto"/>
          <w:sz w:val="32"/>
          <w:szCs w:val="32"/>
          <w:highlight w:val="none"/>
        </w:rPr>
      </w:pPr>
      <w:bookmarkStart w:id="171" w:name="_Toc19817"/>
      <w:r>
        <w:rPr>
          <w:rFonts w:hint="eastAsia" w:ascii="宋体" w:hAnsi="宋体" w:eastAsia="宋体" w:cs="宋体"/>
          <w:color w:val="auto"/>
          <w:highlight w:val="none"/>
        </w:rPr>
        <w:pict>
          <v:shape id="_x0000_s1026" o:spid="_x0000_s1026" o:spt="202" type="#_x0000_t202" style="position:absolute;left:0pt;margin-left:336.75pt;margin-top:30.3pt;height:33pt;width:87.75pt;z-index:251660288;mso-width-relative:page;mso-height-relative:page;" coordsize="21600,21600" o:gfxdata="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aK00NYAAAAHAQAADwAAAAAAAAABACAAAAAiAAAAZHJzL2Rvd25yZXYueG1sUEsBAhQA&#10;FAAAAAgAh07iQFNcX8AtAgAASAQAAA4AAAAAAAAAAQAgAAAAJQEAAGRycy9lMm9Eb2MueG1sUEsF&#10;BgAAAAAGAAYAWQEAAMQFAAAAAA==&#10;">
            <v:path/>
            <v:fill focussize="0,0"/>
            <v:stroke weight="1.25pt" joinstyle="miter"/>
            <v:imagedata o:title=""/>
            <o:lock v:ext="edit"/>
            <v:textbox>
              <w:txbxContent>
                <w:p>
                  <w:pPr>
                    <w:spacing w:line="440" w:lineRule="exact"/>
                    <w:jc w:val="center"/>
                    <w:rPr>
                      <w:b/>
                      <w:sz w:val="30"/>
                      <w:szCs w:val="30"/>
                    </w:rPr>
                  </w:pPr>
                  <w:r>
                    <w:rPr>
                      <w:rFonts w:hint="eastAsia"/>
                      <w:b/>
                      <w:sz w:val="30"/>
                      <w:szCs w:val="30"/>
                    </w:rPr>
                    <w:t>正本/副本</w:t>
                  </w:r>
                </w:p>
              </w:txbxContent>
            </v:textbox>
          </v:shape>
        </w:pict>
      </w:r>
      <w:r>
        <w:rPr>
          <w:rFonts w:hint="eastAsia" w:ascii="宋体" w:hAnsi="宋体" w:eastAsia="宋体" w:cs="宋体"/>
          <w:b/>
          <w:color w:val="auto"/>
          <w:sz w:val="32"/>
          <w:szCs w:val="32"/>
          <w:highlight w:val="none"/>
        </w:rPr>
        <w:t>第</w:t>
      </w:r>
      <w:r>
        <w:rPr>
          <w:rFonts w:hint="eastAsia" w:ascii="宋体" w:hAnsi="宋体" w:cs="宋体"/>
          <w:b/>
          <w:color w:val="auto"/>
          <w:sz w:val="32"/>
          <w:szCs w:val="32"/>
          <w:highlight w:val="none"/>
          <w:lang w:eastAsia="zh-CN"/>
        </w:rPr>
        <w:t>六</w:t>
      </w:r>
      <w:r>
        <w:rPr>
          <w:rFonts w:hint="eastAsia" w:ascii="宋体" w:hAnsi="宋体" w:eastAsia="宋体" w:cs="宋体"/>
          <w:b/>
          <w:color w:val="auto"/>
          <w:sz w:val="32"/>
          <w:szCs w:val="32"/>
          <w:highlight w:val="none"/>
        </w:rPr>
        <w:t>章</w:t>
      </w:r>
      <w:bookmarkStart w:id="172" w:name="_Toc14891079"/>
      <w:r>
        <w:rPr>
          <w:rFonts w:hint="eastAsia" w:ascii="宋体" w:hAnsi="宋体" w:eastAsia="宋体" w:cs="宋体"/>
          <w:b/>
          <w:color w:val="auto"/>
          <w:sz w:val="32"/>
          <w:szCs w:val="32"/>
          <w:highlight w:val="none"/>
        </w:rPr>
        <w:t xml:space="preserve">  </w:t>
      </w:r>
      <w:r>
        <w:rPr>
          <w:rFonts w:hint="eastAsia" w:ascii="宋体" w:hAnsi="宋体" w:eastAsia="宋体" w:cs="宋体"/>
          <w:b/>
          <w:bCs/>
          <w:color w:val="auto"/>
          <w:sz w:val="32"/>
          <w:szCs w:val="32"/>
          <w:highlight w:val="none"/>
        </w:rPr>
        <w:t>响应文件组成</w:t>
      </w:r>
      <w:bookmarkEnd w:id="57"/>
      <w:bookmarkEnd w:id="58"/>
      <w:bookmarkEnd w:id="59"/>
      <w:bookmarkEnd w:id="171"/>
      <w:bookmarkEnd w:id="172"/>
    </w:p>
    <w:p>
      <w:pPr>
        <w:keepNext w:val="0"/>
        <w:keepLines w:val="0"/>
        <w:pageBreakBefore w:val="0"/>
        <w:widowControl w:val="0"/>
        <w:kinsoku/>
        <w:wordWrap/>
        <w:overflowPunct/>
        <w:topLinePunct w:val="0"/>
        <w:autoSpaceDE/>
        <w:autoSpaceDN/>
        <w:bidi w:val="0"/>
        <w:spacing w:line="360" w:lineRule="auto"/>
        <w:ind w:left="0" w:leftChars="0" w:firstLine="0" w:firstLineChars="0"/>
        <w:jc w:val="both"/>
        <w:textAlignment w:val="auto"/>
        <w:rPr>
          <w:rFonts w:hint="eastAsia" w:ascii="宋体" w:hAnsi="宋体"/>
          <w:b/>
          <w:bCs/>
          <w:color w:val="auto"/>
          <w:sz w:val="52"/>
          <w:szCs w:val="52"/>
          <w:highlight w:val="none"/>
        </w:rPr>
      </w:pPr>
    </w:p>
    <w:p>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宋体" w:hAnsi="宋体"/>
          <w:b/>
          <w:bCs/>
          <w:color w:val="auto"/>
          <w:sz w:val="52"/>
          <w:szCs w:val="52"/>
          <w:highlight w:val="none"/>
        </w:rPr>
      </w:pPr>
      <w:r>
        <w:rPr>
          <w:rFonts w:hint="eastAsia" w:ascii="宋体" w:hAnsi="宋体"/>
          <w:b/>
          <w:bCs/>
          <w:color w:val="auto"/>
          <w:sz w:val="52"/>
          <w:szCs w:val="52"/>
          <w:highlight w:val="none"/>
        </w:rPr>
        <w:t>自主竞争性谈判</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ascii="宋体" w:hAnsi="宋体"/>
          <w:b/>
          <w:bCs/>
          <w:color w:val="auto"/>
          <w:sz w:val="52"/>
          <w:szCs w:val="52"/>
          <w:highlight w:val="none"/>
        </w:rPr>
      </w:pPr>
      <w:r>
        <w:rPr>
          <w:rFonts w:hint="eastAsia" w:ascii="宋体" w:hAnsi="宋体"/>
          <w:b/>
          <w:bCs/>
          <w:color w:val="auto"/>
          <w:sz w:val="52"/>
          <w:szCs w:val="52"/>
          <w:highlight w:val="none"/>
        </w:rPr>
        <w:t>响应文件</w:t>
      </w:r>
    </w:p>
    <w:p>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宋体" w:hAnsi="宋体"/>
          <w:b/>
          <w:bCs/>
          <w:color w:val="auto"/>
          <w:sz w:val="28"/>
          <w:szCs w:val="28"/>
          <w:highlight w:val="none"/>
        </w:rPr>
      </w:pPr>
    </w:p>
    <w:p>
      <w:pPr>
        <w:pStyle w:val="25"/>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hAnsi="宋体"/>
          <w:b/>
          <w:bCs/>
          <w:color w:val="auto"/>
          <w:sz w:val="32"/>
          <w:szCs w:val="32"/>
          <w:highlight w:val="non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r>
        <w:rPr>
          <w:rFonts w:hint="eastAsia" w:hAnsi="宋体"/>
          <w:b/>
          <w:bCs/>
          <w:color w:val="auto"/>
          <w:sz w:val="32"/>
          <w:szCs w:val="32"/>
          <w:highlight w:val="none"/>
        </w:rPr>
        <w:t>谈判项目名称：</w:t>
      </w:r>
      <w:r>
        <w:rPr>
          <w:rFonts w:hint="eastAsia" w:hAnsi="宋体"/>
          <w:b/>
          <w:bCs/>
          <w:color w:val="auto"/>
          <w:sz w:val="32"/>
          <w:szCs w:val="32"/>
          <w:highlight w:val="none"/>
          <w:u w:val="single"/>
        </w:rPr>
        <w:t xml:space="preserve">                      </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r>
        <w:rPr>
          <w:rFonts w:hint="eastAsia" w:hAnsi="宋体"/>
          <w:b/>
          <w:bCs/>
          <w:color w:val="auto"/>
          <w:sz w:val="32"/>
          <w:szCs w:val="32"/>
          <w:highlight w:val="none"/>
        </w:rPr>
        <w:t>谈判单位名称：</w:t>
      </w:r>
      <w:r>
        <w:rPr>
          <w:rFonts w:hint="eastAsia" w:hAnsi="宋体"/>
          <w:b/>
          <w:bCs/>
          <w:color w:val="auto"/>
          <w:sz w:val="32"/>
          <w:szCs w:val="32"/>
          <w:highlight w:val="none"/>
          <w:u w:val="single"/>
        </w:rPr>
        <w:t xml:space="preserve">      （加盖单位公章）</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r>
        <w:rPr>
          <w:rFonts w:hint="eastAsia" w:hAnsi="宋体"/>
          <w:b/>
          <w:bCs/>
          <w:color w:val="auto"/>
          <w:sz w:val="32"/>
          <w:szCs w:val="32"/>
          <w:highlight w:val="none"/>
        </w:rPr>
        <w:t>谈判项目编号：</w:t>
      </w:r>
      <w:r>
        <w:rPr>
          <w:rFonts w:hint="eastAsia" w:hAnsi="宋体"/>
          <w:b/>
          <w:bCs/>
          <w:color w:val="auto"/>
          <w:sz w:val="32"/>
          <w:szCs w:val="32"/>
          <w:highlight w:val="none"/>
          <w:u w:val="single"/>
        </w:rPr>
        <w:t xml:space="preserve">                      </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hAnsi="宋体"/>
          <w:b/>
          <w:bCs/>
          <w:color w:val="auto"/>
          <w:sz w:val="32"/>
          <w:szCs w:val="32"/>
          <w:highlight w:val="none"/>
          <w:u w:val="single"/>
        </w:rPr>
      </w:pP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Ansi="宋体"/>
          <w:b/>
          <w:bCs/>
          <w:color w:val="auto"/>
          <w:sz w:val="32"/>
          <w:szCs w:val="32"/>
          <w:highlight w:val="none"/>
        </w:rPr>
      </w:pPr>
      <w:r>
        <w:rPr>
          <w:rFonts w:hint="eastAsia" w:hAnsi="宋体"/>
          <w:b/>
          <w:bCs/>
          <w:color w:val="auto"/>
          <w:sz w:val="32"/>
          <w:szCs w:val="32"/>
          <w:highlight w:val="none"/>
        </w:rPr>
        <w:t>日  期：</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年</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月</w:t>
      </w:r>
      <w:r>
        <w:rPr>
          <w:rFonts w:hint="eastAsia" w:hAnsi="宋体"/>
          <w:b/>
          <w:bCs/>
          <w:color w:val="auto"/>
          <w:sz w:val="32"/>
          <w:szCs w:val="32"/>
          <w:highlight w:val="none"/>
          <w:u w:val="single"/>
        </w:rPr>
        <w:t xml:space="preserve">   </w:t>
      </w:r>
      <w:r>
        <w:rPr>
          <w:rFonts w:hint="eastAsia" w:hAnsi="宋体"/>
          <w:b/>
          <w:bCs/>
          <w:color w:val="auto"/>
          <w:sz w:val="32"/>
          <w:szCs w:val="32"/>
          <w:highlight w:val="none"/>
        </w:rPr>
        <w:t>日</w:t>
      </w:r>
    </w:p>
    <w:p>
      <w:pPr>
        <w:rPr>
          <w:color w:val="auto"/>
          <w:highlight w:val="none"/>
        </w:rPr>
      </w:pPr>
    </w:p>
    <w:p>
      <w:pPr>
        <w:spacing w:line="360" w:lineRule="exact"/>
        <w:rPr>
          <w:rFonts w:ascii="宋体" w:hAnsi="宋体"/>
          <w:b/>
          <w:color w:val="auto"/>
          <w:highlight w:val="none"/>
        </w:rPr>
      </w:pPr>
    </w:p>
    <w:p>
      <w:pPr>
        <w:adjustRightInd w:val="0"/>
        <w:snapToGrid w:val="0"/>
        <w:spacing w:line="360" w:lineRule="auto"/>
        <w:jc w:val="center"/>
        <w:outlineLvl w:val="0"/>
        <w:rPr>
          <w:rFonts w:ascii="黑体" w:eastAsia="黑体"/>
          <w:b/>
          <w:color w:val="auto"/>
          <w:sz w:val="32"/>
          <w:szCs w:val="32"/>
          <w:highlight w:val="none"/>
        </w:rPr>
        <w:sectPr>
          <w:headerReference r:id="rId14" w:type="default"/>
          <w:footerReference r:id="rId15"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pPr>
        <w:widowControl/>
        <w:spacing w:line="360" w:lineRule="auto"/>
        <w:jc w:val="center"/>
        <w:rPr>
          <w:rFonts w:hAnsi="宋体" w:cs="宋体"/>
          <w:b/>
          <w:bCs/>
          <w:color w:val="auto"/>
          <w:sz w:val="32"/>
          <w:szCs w:val="32"/>
          <w:highlight w:val="none"/>
        </w:rPr>
      </w:pPr>
      <w:r>
        <w:rPr>
          <w:rFonts w:hint="eastAsia" w:ascii="宋体" w:hAnsi="宋体"/>
          <w:b/>
          <w:color w:val="auto"/>
          <w:sz w:val="32"/>
          <w:szCs w:val="32"/>
          <w:highlight w:val="none"/>
        </w:rPr>
        <w:t xml:space="preserve">目 </w:t>
      </w:r>
      <w:r>
        <w:rPr>
          <w:rFonts w:hint="eastAsia" w:ascii="宋体" w:hAnsi="宋体"/>
          <w:b/>
          <w:color w:val="auto"/>
          <w:sz w:val="32"/>
          <w:szCs w:val="32"/>
          <w:highlight w:val="none"/>
          <w:lang w:val="en-US" w:eastAsia="zh-CN"/>
        </w:rPr>
        <w:t xml:space="preserve"> </w:t>
      </w:r>
      <w:r>
        <w:rPr>
          <w:rFonts w:hint="eastAsia" w:ascii="宋体" w:hAnsi="宋体"/>
          <w:b/>
          <w:color w:val="auto"/>
          <w:sz w:val="32"/>
          <w:szCs w:val="32"/>
          <w:highlight w:val="none"/>
        </w:rPr>
        <w:t xml:space="preserve"> 录</w:t>
      </w:r>
    </w:p>
    <w:p>
      <w:pPr>
        <w:adjustRightInd w:val="0"/>
        <w:snapToGrid w:val="0"/>
        <w:spacing w:line="360" w:lineRule="auto"/>
        <w:ind w:firstLine="480" w:firstLineChars="200"/>
        <w:outlineLvl w:val="0"/>
        <w:rPr>
          <w:rFonts w:ascii="宋体" w:hAnsi="宋体"/>
          <w:color w:val="auto"/>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hAnsi="宋体"/>
          <w:color w:val="auto"/>
          <w:sz w:val="21"/>
          <w:szCs w:val="21"/>
          <w:highlight w:val="none"/>
        </w:rPr>
      </w:pPr>
      <w:r>
        <w:rPr>
          <w:rFonts w:hint="eastAsia" w:ascii="宋体" w:hAnsi="宋体"/>
          <w:color w:val="auto"/>
          <w:sz w:val="21"/>
          <w:szCs w:val="21"/>
          <w:highlight w:val="none"/>
        </w:rPr>
        <w:t>一</w:t>
      </w:r>
      <w:r>
        <w:rPr>
          <w:rFonts w:hint="eastAsia" w:hAnsi="宋体"/>
          <w:color w:val="auto"/>
          <w:sz w:val="21"/>
          <w:szCs w:val="21"/>
          <w:highlight w:val="none"/>
        </w:rPr>
        <w:t>、谈判承诺书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hAnsi="宋体"/>
          <w:color w:val="auto"/>
          <w:sz w:val="21"/>
          <w:szCs w:val="21"/>
          <w:highlight w:val="none"/>
        </w:rPr>
      </w:pPr>
      <w:r>
        <w:rPr>
          <w:rFonts w:hint="eastAsia" w:hAnsi="宋体"/>
          <w:color w:val="auto"/>
          <w:sz w:val="21"/>
          <w:szCs w:val="21"/>
          <w:highlight w:val="none"/>
        </w:rPr>
        <w:t>二、法定代表人身份证明书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hAnsi="宋体"/>
          <w:color w:val="auto"/>
          <w:sz w:val="21"/>
          <w:szCs w:val="21"/>
          <w:highlight w:val="none"/>
        </w:rPr>
      </w:pPr>
      <w:r>
        <w:rPr>
          <w:rFonts w:hint="eastAsia" w:hAnsi="宋体"/>
          <w:color w:val="auto"/>
          <w:sz w:val="21"/>
          <w:szCs w:val="21"/>
          <w:highlight w:val="none"/>
        </w:rPr>
        <w:t>三、授权委托书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hAnsi="宋体"/>
          <w:color w:val="auto"/>
          <w:sz w:val="21"/>
          <w:szCs w:val="21"/>
          <w:highlight w:val="none"/>
        </w:rPr>
      </w:pPr>
      <w:r>
        <w:rPr>
          <w:rFonts w:hint="eastAsia" w:hAnsi="宋体"/>
          <w:color w:val="auto"/>
          <w:sz w:val="21"/>
          <w:szCs w:val="21"/>
          <w:highlight w:val="none"/>
        </w:rPr>
        <w:t>四、谈判单位资格条件证明文件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hAnsi="宋体"/>
          <w:color w:val="auto"/>
          <w:sz w:val="21"/>
          <w:szCs w:val="21"/>
          <w:highlight w:val="none"/>
        </w:rPr>
      </w:pPr>
      <w:r>
        <w:rPr>
          <w:rFonts w:hint="eastAsia" w:hAnsi="宋体"/>
          <w:color w:val="auto"/>
          <w:sz w:val="21"/>
          <w:szCs w:val="21"/>
          <w:highlight w:val="none"/>
          <w:lang w:eastAsia="zh-CN"/>
        </w:rPr>
        <w:t>五、</w:t>
      </w:r>
      <w:r>
        <w:rPr>
          <w:rFonts w:hint="eastAsia" w:hAnsi="宋体"/>
          <w:color w:val="auto"/>
          <w:sz w:val="21"/>
          <w:szCs w:val="21"/>
          <w:highlight w:val="none"/>
        </w:rPr>
        <w:t>报价一览表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hAnsi="宋体"/>
          <w:color w:val="auto"/>
          <w:sz w:val="21"/>
          <w:szCs w:val="21"/>
          <w:highlight w:val="none"/>
        </w:rPr>
      </w:pPr>
      <w:r>
        <w:rPr>
          <w:rFonts w:hint="eastAsia" w:hAnsi="宋体"/>
          <w:color w:val="auto"/>
          <w:sz w:val="21"/>
          <w:szCs w:val="21"/>
          <w:highlight w:val="none"/>
          <w:lang w:val="en-US" w:eastAsia="zh-CN"/>
        </w:rPr>
        <w:t>六</w:t>
      </w:r>
      <w:r>
        <w:rPr>
          <w:rFonts w:hint="eastAsia" w:hAnsi="宋体"/>
          <w:color w:val="auto"/>
          <w:sz w:val="21"/>
          <w:szCs w:val="21"/>
          <w:highlight w:val="none"/>
        </w:rPr>
        <w:t>、分项价格表</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hAnsi="宋体"/>
          <w:color w:val="auto"/>
          <w:sz w:val="21"/>
          <w:szCs w:val="21"/>
          <w:highlight w:val="none"/>
        </w:rPr>
      </w:pPr>
      <w:r>
        <w:rPr>
          <w:rFonts w:hint="eastAsia" w:hAnsi="宋体"/>
          <w:color w:val="auto"/>
          <w:sz w:val="21"/>
          <w:szCs w:val="21"/>
          <w:highlight w:val="none"/>
          <w:lang w:val="en-US" w:eastAsia="zh-CN"/>
        </w:rPr>
        <w:t>七</w:t>
      </w:r>
      <w:r>
        <w:rPr>
          <w:rFonts w:hint="eastAsia" w:hAnsi="宋体"/>
          <w:color w:val="auto"/>
          <w:sz w:val="21"/>
          <w:szCs w:val="21"/>
          <w:highlight w:val="none"/>
        </w:rPr>
        <w:t>、其他资料（如有）</w:t>
      </w:r>
    </w:p>
    <w:p>
      <w:pPr>
        <w:ind w:firstLine="480" w:firstLineChars="200"/>
        <w:jc w:val="center"/>
        <w:outlineLvl w:val="1"/>
        <w:rPr>
          <w:rFonts w:ascii="黑体" w:hAnsi="黑体" w:eastAsia="黑体"/>
          <w:b/>
          <w:color w:val="auto"/>
          <w:sz w:val="32"/>
          <w:szCs w:val="32"/>
          <w:highlight w:val="none"/>
        </w:rPr>
      </w:pPr>
      <w:r>
        <w:rPr>
          <w:rFonts w:hint="eastAsia" w:ascii="宋体" w:hAnsi="宋体"/>
          <w:color w:val="auto"/>
          <w:sz w:val="24"/>
          <w:highlight w:val="none"/>
        </w:rPr>
        <w:br w:type="page"/>
      </w:r>
      <w:bookmarkStart w:id="173" w:name="_Toc18552"/>
      <w:bookmarkStart w:id="174" w:name="_Toc32600"/>
      <w:bookmarkStart w:id="175" w:name="_Toc14530"/>
      <w:bookmarkStart w:id="176" w:name="_Toc32569"/>
      <w:r>
        <w:rPr>
          <w:rFonts w:hint="eastAsia" w:ascii="宋体" w:hAnsi="宋体" w:eastAsia="宋体" w:cs="宋体"/>
          <w:b/>
          <w:color w:val="auto"/>
          <w:sz w:val="32"/>
          <w:szCs w:val="32"/>
          <w:highlight w:val="none"/>
        </w:rPr>
        <w:t>一、谈判承诺书</w:t>
      </w:r>
      <w:bookmarkEnd w:id="173"/>
    </w:p>
    <w:p>
      <w:pPr>
        <w:adjustRightInd w:val="0"/>
        <w:snapToGrid w:val="0"/>
        <w:spacing w:line="360" w:lineRule="auto"/>
        <w:outlineLvl w:val="9"/>
        <w:rPr>
          <w:rFonts w:ascii="仿宋_GB2312" w:hAnsi="宋体" w:eastAsia="仿宋_GB2312"/>
          <w:color w:val="auto"/>
          <w:sz w:val="21"/>
          <w:szCs w:val="21"/>
          <w:highlight w:val="none"/>
        </w:rPr>
      </w:pPr>
    </w:p>
    <w:p>
      <w:pPr>
        <w:adjustRightInd w:val="0"/>
        <w:snapToGrid w:val="0"/>
        <w:spacing w:line="360" w:lineRule="auto"/>
        <w:outlineLvl w:val="9"/>
        <w:rPr>
          <w:rFonts w:ascii="宋体" w:hAnsi="宋体"/>
          <w:color w:val="auto"/>
          <w:sz w:val="21"/>
          <w:szCs w:val="21"/>
          <w:highlight w:val="none"/>
        </w:rPr>
      </w:pPr>
      <w:r>
        <w:rPr>
          <w:rFonts w:hint="eastAsia" w:ascii="宋体" w:hAnsi="宋体"/>
          <w:color w:val="auto"/>
          <w:sz w:val="21"/>
          <w:szCs w:val="21"/>
          <w:highlight w:val="none"/>
        </w:rPr>
        <w:t>致(采购单位)：</w:t>
      </w:r>
    </w:p>
    <w:p>
      <w:pPr>
        <w:adjustRightInd w:val="0"/>
        <w:snapToGrid w:val="0"/>
        <w:spacing w:line="360" w:lineRule="auto"/>
        <w:ind w:firstLine="420" w:firstLineChars="200"/>
        <w:outlineLvl w:val="9"/>
        <w:rPr>
          <w:rFonts w:ascii="宋体" w:hAnsi="宋体"/>
          <w:color w:val="auto"/>
          <w:sz w:val="21"/>
          <w:szCs w:val="21"/>
          <w:highlight w:val="none"/>
        </w:rPr>
      </w:pPr>
      <w:r>
        <w:rPr>
          <w:rFonts w:hint="eastAsia" w:ascii="宋体" w:hAnsi="宋体"/>
          <w:color w:val="auto"/>
          <w:sz w:val="21"/>
          <w:szCs w:val="21"/>
          <w:highlight w:val="none"/>
        </w:rPr>
        <w:t>我方已仔细研究了</w:t>
      </w:r>
      <w:r>
        <w:rPr>
          <w:rFonts w:hint="eastAsia" w:ascii="宋体" w:hAnsi="宋体"/>
          <w:color w:val="auto"/>
          <w:sz w:val="21"/>
          <w:szCs w:val="21"/>
          <w:highlight w:val="none"/>
          <w:u w:val="single"/>
        </w:rPr>
        <w:t xml:space="preserve">     (项目名称)</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的竞争性谈判文件（谈判项目编号：</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rPr>
        <w:t>）的全部内容，</w:t>
      </w:r>
      <w:r>
        <w:rPr>
          <w:rFonts w:hint="eastAsia" w:hAnsi="宋体"/>
          <w:color w:val="auto"/>
          <w:sz w:val="21"/>
          <w:szCs w:val="21"/>
          <w:highlight w:val="none"/>
        </w:rPr>
        <w:t>知悉参加竞争性谈判的风险，我方承诺接受谈判文件的全部条款且无任何异议。</w:t>
      </w:r>
    </w:p>
    <w:p>
      <w:pPr>
        <w:pStyle w:val="25"/>
        <w:adjustRightInd w:val="0"/>
        <w:snapToGrid w:val="0"/>
        <w:spacing w:line="360" w:lineRule="auto"/>
        <w:ind w:firstLine="420" w:firstLineChars="200"/>
        <w:outlineLvl w:val="9"/>
        <w:rPr>
          <w:rFonts w:hAnsi="宋体"/>
          <w:color w:val="auto"/>
          <w:sz w:val="21"/>
          <w:szCs w:val="21"/>
          <w:highlight w:val="none"/>
        </w:rPr>
      </w:pPr>
      <w:r>
        <w:rPr>
          <w:rFonts w:hint="eastAsia" w:hAnsi="宋体"/>
          <w:color w:val="auto"/>
          <w:sz w:val="21"/>
          <w:szCs w:val="21"/>
          <w:highlight w:val="none"/>
        </w:rPr>
        <w:t>一、</w:t>
      </w:r>
      <w:r>
        <w:rPr>
          <w:rFonts w:hint="eastAsia"/>
          <w:color w:val="auto"/>
          <w:sz w:val="21"/>
          <w:szCs w:val="21"/>
          <w:highlight w:val="none"/>
        </w:rPr>
        <w:t>参与本项目竞争性谈判活动系本公司自愿行为。</w:t>
      </w:r>
    </w:p>
    <w:p>
      <w:pPr>
        <w:pStyle w:val="25"/>
        <w:adjustRightInd w:val="0"/>
        <w:snapToGrid w:val="0"/>
        <w:spacing w:line="360" w:lineRule="auto"/>
        <w:ind w:firstLine="420" w:firstLineChars="200"/>
        <w:outlineLvl w:val="9"/>
        <w:rPr>
          <w:rFonts w:hAnsi="宋体"/>
          <w:color w:val="auto"/>
          <w:sz w:val="21"/>
          <w:szCs w:val="21"/>
          <w:highlight w:val="none"/>
        </w:rPr>
      </w:pPr>
      <w:r>
        <w:rPr>
          <w:rFonts w:hint="eastAsia" w:hAnsi="宋体"/>
          <w:color w:val="auto"/>
          <w:sz w:val="21"/>
          <w:szCs w:val="21"/>
          <w:highlight w:val="none"/>
        </w:rPr>
        <w:t>二、我方同意在谈判文件中规定的提交响应文件截止时间起</w:t>
      </w:r>
      <w:r>
        <w:rPr>
          <w:rFonts w:hint="eastAsia" w:hAnsi="宋体"/>
          <w:color w:val="auto"/>
          <w:sz w:val="21"/>
          <w:szCs w:val="21"/>
          <w:highlight w:val="none"/>
          <w:u w:val="single"/>
        </w:rPr>
        <w:t>180</w:t>
      </w:r>
      <w:r>
        <w:rPr>
          <w:rFonts w:hint="eastAsia" w:hAnsi="宋体"/>
          <w:color w:val="auto"/>
          <w:sz w:val="21"/>
          <w:szCs w:val="21"/>
          <w:highlight w:val="none"/>
        </w:rPr>
        <w:t>日</w:t>
      </w:r>
      <w:r>
        <w:rPr>
          <w:rFonts w:hint="eastAsia" w:hAnsi="宋体"/>
          <w:color w:val="auto"/>
          <w:sz w:val="21"/>
          <w:szCs w:val="21"/>
          <w:highlight w:val="none"/>
          <w:lang w:eastAsia="zh-CN"/>
        </w:rPr>
        <w:t>历天</w:t>
      </w:r>
      <w:r>
        <w:rPr>
          <w:rFonts w:hint="eastAsia" w:hAnsi="宋体"/>
          <w:color w:val="auto"/>
          <w:sz w:val="21"/>
          <w:szCs w:val="21"/>
          <w:highlight w:val="none"/>
        </w:rPr>
        <w:t>内(响应文件有效期)遵守本响应文件中的承诺且在此期限期满之前均具有法律约束力。</w:t>
      </w:r>
    </w:p>
    <w:p>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200"/>
        <w:textAlignment w:val="auto"/>
        <w:outlineLvl w:val="9"/>
        <w:rPr>
          <w:rFonts w:hint="eastAsia" w:hAnsi="宋体"/>
          <w:color w:val="auto"/>
          <w:sz w:val="21"/>
          <w:szCs w:val="21"/>
          <w:highlight w:val="none"/>
        </w:rPr>
      </w:pPr>
      <w:r>
        <w:rPr>
          <w:rFonts w:hint="eastAsia" w:hAnsi="宋体"/>
          <w:color w:val="auto"/>
          <w:sz w:val="21"/>
          <w:szCs w:val="21"/>
          <w:highlight w:val="none"/>
        </w:rPr>
        <w:t>三、我方提交的响应文件均为正本</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份和副本</w:t>
      </w:r>
      <w:r>
        <w:rPr>
          <w:rFonts w:hint="eastAsia" w:hAnsi="宋体"/>
          <w:color w:val="auto"/>
          <w:sz w:val="21"/>
          <w:szCs w:val="21"/>
          <w:highlight w:val="none"/>
          <w:u w:val="single"/>
          <w:lang w:val="en-US" w:eastAsia="zh-CN"/>
        </w:rPr>
        <w:t xml:space="preserve">  </w:t>
      </w:r>
      <w:r>
        <w:rPr>
          <w:rFonts w:hint="eastAsia" w:hAnsi="宋体"/>
          <w:color w:val="auto"/>
          <w:sz w:val="21"/>
          <w:szCs w:val="21"/>
          <w:highlight w:val="none"/>
        </w:rPr>
        <w:t>份，电子文件（包括响应文件全部内容）</w:t>
      </w:r>
    </w:p>
    <w:p>
      <w:pPr>
        <w:pStyle w:val="25"/>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Ansi="宋体"/>
          <w:bCs/>
          <w:color w:val="auto"/>
          <w:sz w:val="21"/>
          <w:szCs w:val="21"/>
          <w:highlight w:val="none"/>
        </w:rPr>
      </w:pPr>
      <w:r>
        <w:rPr>
          <w:rFonts w:hint="eastAsia" w:ascii="宋体" w:hAnsi="宋体"/>
          <w:color w:val="auto"/>
          <w:sz w:val="21"/>
          <w:szCs w:val="21"/>
          <w:highlight w:val="none"/>
          <w:u w:val="single"/>
          <w:lang w:val="en-US" w:eastAsia="zh-CN"/>
        </w:rPr>
        <w:t xml:space="preserve">   </w:t>
      </w:r>
      <w:r>
        <w:rPr>
          <w:rFonts w:hint="eastAsia" w:hAnsi="宋体"/>
          <w:color w:val="auto"/>
          <w:sz w:val="21"/>
          <w:szCs w:val="21"/>
          <w:highlight w:val="none"/>
        </w:rPr>
        <w:t>份，并保证响应文件提供的数据和材料是真实、准确的，</w:t>
      </w:r>
      <w:r>
        <w:rPr>
          <w:rFonts w:hint="eastAsia" w:hAnsi="宋体"/>
          <w:b/>
          <w:bCs/>
          <w:color w:val="auto"/>
          <w:sz w:val="21"/>
          <w:szCs w:val="21"/>
          <w:highlight w:val="none"/>
          <w:lang w:eastAsia="zh-CN"/>
        </w:rPr>
        <w:t>均无复制、粘贴之情形，</w:t>
      </w:r>
      <w:r>
        <w:rPr>
          <w:rFonts w:hint="eastAsia" w:hAnsi="宋体"/>
          <w:color w:val="auto"/>
          <w:sz w:val="21"/>
          <w:szCs w:val="21"/>
          <w:highlight w:val="none"/>
        </w:rPr>
        <w:t>且无低于成本的恶意报价行为。否则，愿承担由此引起的一切</w:t>
      </w:r>
      <w:r>
        <w:rPr>
          <w:rFonts w:hint="eastAsia" w:hAnsi="宋体"/>
          <w:bCs/>
          <w:color w:val="auto"/>
          <w:sz w:val="21"/>
          <w:szCs w:val="21"/>
          <w:highlight w:val="none"/>
        </w:rPr>
        <w:t>法律责任。</w:t>
      </w:r>
    </w:p>
    <w:p>
      <w:pPr>
        <w:pStyle w:val="25"/>
        <w:adjustRightInd w:val="0"/>
        <w:snapToGrid w:val="0"/>
        <w:spacing w:line="360" w:lineRule="auto"/>
        <w:ind w:firstLine="420" w:firstLineChars="200"/>
        <w:outlineLvl w:val="9"/>
        <w:rPr>
          <w:rFonts w:hAnsi="宋体"/>
          <w:color w:val="auto"/>
          <w:sz w:val="21"/>
          <w:szCs w:val="21"/>
          <w:highlight w:val="none"/>
        </w:rPr>
      </w:pPr>
      <w:r>
        <w:rPr>
          <w:rFonts w:hint="eastAsia" w:hAnsi="宋体"/>
          <w:color w:val="auto"/>
          <w:sz w:val="21"/>
          <w:szCs w:val="21"/>
          <w:highlight w:val="none"/>
        </w:rPr>
        <w:t>四、</w:t>
      </w:r>
      <w:r>
        <w:rPr>
          <w:rFonts w:hint="eastAsia"/>
          <w:color w:val="auto"/>
          <w:sz w:val="21"/>
          <w:szCs w:val="21"/>
          <w:highlight w:val="none"/>
        </w:rPr>
        <w:t>遵守贵司各项管理制度和谈判现场纪律，服从现场工作人员管理，自觉维护贵司谈判活动秩序。</w:t>
      </w:r>
    </w:p>
    <w:p>
      <w:pPr>
        <w:pStyle w:val="25"/>
        <w:adjustRightInd w:val="0"/>
        <w:snapToGrid w:val="0"/>
        <w:spacing w:line="360" w:lineRule="auto"/>
        <w:ind w:firstLine="420" w:firstLineChars="200"/>
        <w:outlineLvl w:val="9"/>
        <w:rPr>
          <w:color w:val="auto"/>
          <w:sz w:val="21"/>
          <w:szCs w:val="21"/>
          <w:highlight w:val="none"/>
        </w:rPr>
      </w:pPr>
      <w:r>
        <w:rPr>
          <w:rFonts w:hint="eastAsia" w:hAnsi="宋体"/>
          <w:color w:val="auto"/>
          <w:sz w:val="21"/>
          <w:szCs w:val="21"/>
          <w:highlight w:val="none"/>
        </w:rPr>
        <w:t>五、</w:t>
      </w:r>
      <w:r>
        <w:rPr>
          <w:rFonts w:hint="eastAsia"/>
          <w:color w:val="auto"/>
          <w:sz w:val="21"/>
          <w:szCs w:val="21"/>
          <w:highlight w:val="none"/>
        </w:rPr>
        <w:t>保证没有组织、参与围标、串标行为。</w:t>
      </w:r>
    </w:p>
    <w:p>
      <w:pPr>
        <w:pStyle w:val="25"/>
        <w:adjustRightInd w:val="0"/>
        <w:snapToGrid w:val="0"/>
        <w:spacing w:line="360" w:lineRule="auto"/>
        <w:ind w:firstLine="420" w:firstLineChars="200"/>
        <w:outlineLvl w:val="9"/>
        <w:rPr>
          <w:color w:val="auto"/>
          <w:sz w:val="21"/>
          <w:szCs w:val="21"/>
          <w:highlight w:val="none"/>
        </w:rPr>
      </w:pPr>
      <w:r>
        <w:rPr>
          <w:rFonts w:hint="eastAsia"/>
          <w:color w:val="auto"/>
          <w:sz w:val="21"/>
          <w:szCs w:val="21"/>
          <w:highlight w:val="none"/>
        </w:rPr>
        <w:t>六、不与采购单位或</w:t>
      </w:r>
      <w:r>
        <w:rPr>
          <w:rFonts w:hint="eastAsia"/>
          <w:color w:val="auto"/>
          <w:sz w:val="21"/>
          <w:szCs w:val="21"/>
          <w:highlight w:val="none"/>
          <w:lang w:eastAsia="zh-CN"/>
        </w:rPr>
        <w:t>采购代理机构或</w:t>
      </w:r>
      <w:r>
        <w:rPr>
          <w:rFonts w:hint="eastAsia"/>
          <w:color w:val="auto"/>
          <w:sz w:val="21"/>
          <w:szCs w:val="21"/>
          <w:highlight w:val="none"/>
        </w:rPr>
        <w:t>谈判评审小组成员私下联络和串通以牟取中选；不以他人名义参与谈判或者以其他方式弄虚作假骗取中选；不在谈判结束后进行虚假、恶意质疑和投诉。</w:t>
      </w:r>
    </w:p>
    <w:p>
      <w:pPr>
        <w:pStyle w:val="25"/>
        <w:adjustRightInd w:val="0"/>
        <w:snapToGrid w:val="0"/>
        <w:spacing w:line="360" w:lineRule="auto"/>
        <w:ind w:firstLine="420" w:firstLineChars="200"/>
        <w:outlineLvl w:val="9"/>
        <w:rPr>
          <w:rFonts w:hAnsi="宋体"/>
          <w:color w:val="auto"/>
          <w:sz w:val="21"/>
          <w:szCs w:val="21"/>
          <w:highlight w:val="none"/>
        </w:rPr>
      </w:pPr>
      <w:r>
        <w:rPr>
          <w:rFonts w:hint="eastAsia"/>
          <w:color w:val="auto"/>
          <w:sz w:val="21"/>
          <w:szCs w:val="21"/>
          <w:highlight w:val="none"/>
        </w:rPr>
        <w:t>七、</w:t>
      </w:r>
      <w:r>
        <w:rPr>
          <w:rFonts w:hint="eastAsia" w:hAnsi="宋体"/>
          <w:color w:val="auto"/>
          <w:sz w:val="21"/>
          <w:szCs w:val="21"/>
          <w:highlight w:val="none"/>
        </w:rPr>
        <w:t>我方承诺，若贵方需要，我方愿意提供任何与本次谈判有关的数据、情况和技术资料。</w:t>
      </w:r>
    </w:p>
    <w:p>
      <w:pPr>
        <w:pStyle w:val="25"/>
        <w:adjustRightInd w:val="0"/>
        <w:snapToGrid w:val="0"/>
        <w:spacing w:line="360" w:lineRule="auto"/>
        <w:ind w:firstLine="420" w:firstLineChars="200"/>
        <w:outlineLvl w:val="9"/>
        <w:rPr>
          <w:rFonts w:hAnsi="宋体"/>
          <w:color w:val="auto"/>
          <w:sz w:val="21"/>
          <w:szCs w:val="21"/>
          <w:highlight w:val="none"/>
        </w:rPr>
      </w:pPr>
      <w:r>
        <w:rPr>
          <w:rFonts w:hint="eastAsia" w:hAnsi="宋体"/>
          <w:color w:val="auto"/>
          <w:sz w:val="21"/>
          <w:szCs w:val="21"/>
          <w:highlight w:val="none"/>
        </w:rPr>
        <w:t>八、我方承诺遵守相关法律法规及贵司的有关规定，保证在获得成交资格后，按照谈判文件确定的事项签订合同，履行双方所签订的合同，并承担合同规定的责任和义务。</w:t>
      </w:r>
    </w:p>
    <w:p>
      <w:pPr>
        <w:pStyle w:val="25"/>
        <w:adjustRightInd w:val="0"/>
        <w:snapToGrid w:val="0"/>
        <w:spacing w:line="360" w:lineRule="auto"/>
        <w:ind w:firstLine="420" w:firstLineChars="200"/>
        <w:outlineLvl w:val="9"/>
        <w:rPr>
          <w:rFonts w:hAnsi="宋体"/>
          <w:color w:val="auto"/>
          <w:sz w:val="21"/>
          <w:szCs w:val="21"/>
          <w:highlight w:val="none"/>
        </w:rPr>
      </w:pPr>
      <w:r>
        <w:rPr>
          <w:rFonts w:hint="eastAsia" w:hAnsi="宋体"/>
          <w:color w:val="auto"/>
          <w:sz w:val="21"/>
          <w:szCs w:val="21"/>
          <w:highlight w:val="none"/>
        </w:rPr>
        <w:t>九、我方承诺在参与本次竞争性谈判过程中，若出现本文件第26条规定之情形，我方无条件接受条款规定作出的处罚。</w:t>
      </w:r>
    </w:p>
    <w:p>
      <w:pPr>
        <w:pStyle w:val="25"/>
        <w:adjustRightInd w:val="0"/>
        <w:snapToGrid w:val="0"/>
        <w:spacing w:line="360" w:lineRule="auto"/>
        <w:ind w:firstLine="420" w:firstLineChars="200"/>
        <w:outlineLvl w:val="9"/>
        <w:rPr>
          <w:color w:val="auto"/>
          <w:sz w:val="21"/>
          <w:szCs w:val="21"/>
          <w:highlight w:val="none"/>
        </w:rPr>
      </w:pPr>
      <w:r>
        <w:rPr>
          <w:rFonts w:hint="eastAsia" w:hAnsi="宋体"/>
          <w:color w:val="auto"/>
          <w:sz w:val="21"/>
          <w:szCs w:val="21"/>
          <w:highlight w:val="none"/>
        </w:rPr>
        <w:t>十、我方承诺完全响应本文件第四章“用户需求书”及第五章“合同格式条款”内的全部内容。</w:t>
      </w:r>
    </w:p>
    <w:p>
      <w:pPr>
        <w:ind w:firstLine="420" w:firstLineChars="200"/>
        <w:outlineLvl w:val="9"/>
        <w:rPr>
          <w:rFonts w:hAnsi="宋体"/>
          <w:color w:val="auto"/>
          <w:sz w:val="21"/>
          <w:szCs w:val="21"/>
          <w:highlight w:val="none"/>
        </w:rPr>
      </w:pPr>
      <w:r>
        <w:rPr>
          <w:rFonts w:hint="eastAsia"/>
          <w:color w:val="auto"/>
          <w:sz w:val="21"/>
          <w:szCs w:val="21"/>
          <w:highlight w:val="none"/>
        </w:rPr>
        <w:t>十一、如有违反本承诺书内容的行为，愿意承担由此产生的法律责任及后果。</w:t>
      </w:r>
    </w:p>
    <w:p>
      <w:pPr>
        <w:adjustRightInd w:val="0"/>
        <w:snapToGrid w:val="0"/>
        <w:spacing w:line="360" w:lineRule="auto"/>
        <w:ind w:right="24"/>
        <w:outlineLvl w:val="9"/>
        <w:rPr>
          <w:rFonts w:ascii="宋体" w:hAnsi="宋体"/>
          <w:bCs/>
          <w:color w:val="auto"/>
          <w:sz w:val="21"/>
          <w:szCs w:val="21"/>
          <w:highlight w:val="none"/>
        </w:rPr>
      </w:pPr>
    </w:p>
    <w:p>
      <w:pPr>
        <w:pStyle w:val="25"/>
        <w:adjustRightInd w:val="0"/>
        <w:snapToGrid w:val="0"/>
        <w:spacing w:line="360" w:lineRule="auto"/>
        <w:outlineLvl w:val="9"/>
        <w:rPr>
          <w:rFonts w:hAnsi="宋体"/>
          <w:color w:val="auto"/>
          <w:sz w:val="21"/>
          <w:szCs w:val="21"/>
          <w:highlight w:val="none"/>
        </w:rPr>
      </w:pPr>
    </w:p>
    <w:p>
      <w:pPr>
        <w:pStyle w:val="25"/>
        <w:adjustRightInd w:val="0"/>
        <w:snapToGrid w:val="0"/>
        <w:spacing w:line="360" w:lineRule="auto"/>
        <w:outlineLvl w:val="9"/>
        <w:rPr>
          <w:rFonts w:hAnsi="宋体"/>
          <w:color w:val="auto"/>
          <w:sz w:val="21"/>
          <w:szCs w:val="21"/>
          <w:highlight w:val="none"/>
        </w:rPr>
      </w:pPr>
    </w:p>
    <w:p>
      <w:pPr>
        <w:spacing w:line="360" w:lineRule="auto"/>
        <w:outlineLvl w:val="9"/>
        <w:rPr>
          <w:color w:val="auto"/>
          <w:sz w:val="21"/>
          <w:szCs w:val="21"/>
          <w:highlight w:val="none"/>
          <w:u w:val="single"/>
        </w:rPr>
      </w:pPr>
      <w:r>
        <w:rPr>
          <w:rFonts w:hint="eastAsia"/>
          <w:color w:val="auto"/>
          <w:sz w:val="21"/>
          <w:szCs w:val="21"/>
          <w:highlight w:val="none"/>
        </w:rPr>
        <w:t>谈判单位名称：</w:t>
      </w:r>
      <w:r>
        <w:rPr>
          <w:rFonts w:hint="eastAsia"/>
          <w:color w:val="auto"/>
          <w:sz w:val="21"/>
          <w:szCs w:val="21"/>
          <w:highlight w:val="none"/>
          <w:u w:val="single"/>
        </w:rPr>
        <w:t xml:space="preserve">    （盖单位章）    </w:t>
      </w:r>
    </w:p>
    <w:p>
      <w:pPr>
        <w:spacing w:line="360" w:lineRule="auto"/>
        <w:outlineLvl w:val="9"/>
        <w:rPr>
          <w:rFonts w:ascii="宋体" w:hAnsi="宋体"/>
          <w:color w:val="auto"/>
          <w:sz w:val="21"/>
          <w:szCs w:val="21"/>
          <w:highlight w:val="none"/>
        </w:rPr>
      </w:pPr>
      <w:r>
        <w:rPr>
          <w:rFonts w:hint="eastAsia" w:ascii="宋体" w:hAnsi="宋体"/>
          <w:color w:val="auto"/>
          <w:sz w:val="21"/>
          <w:szCs w:val="21"/>
          <w:highlight w:val="none"/>
        </w:rPr>
        <w:t>法定</w:t>
      </w:r>
      <w:r>
        <w:rPr>
          <w:rFonts w:hint="eastAsia"/>
          <w:color w:val="auto"/>
          <w:sz w:val="21"/>
          <w:szCs w:val="21"/>
          <w:highlight w:val="none"/>
        </w:rPr>
        <w:t>代表</w:t>
      </w:r>
      <w:r>
        <w:rPr>
          <w:rFonts w:hint="eastAsia" w:ascii="宋体" w:hAnsi="宋体"/>
          <w:color w:val="auto"/>
          <w:sz w:val="21"/>
          <w:szCs w:val="21"/>
          <w:highlight w:val="none"/>
        </w:rPr>
        <w:t>人(签字或盖章)：</w:t>
      </w:r>
      <w:r>
        <w:rPr>
          <w:rFonts w:hint="eastAsia" w:ascii="宋体" w:hAnsi="宋体"/>
          <w:color w:val="auto"/>
          <w:sz w:val="21"/>
          <w:szCs w:val="21"/>
          <w:highlight w:val="none"/>
          <w:u w:val="single"/>
        </w:rPr>
        <w:t xml:space="preserve">               </w:t>
      </w:r>
    </w:p>
    <w:p>
      <w:pPr>
        <w:spacing w:line="360" w:lineRule="auto"/>
        <w:outlineLvl w:val="9"/>
        <w:rPr>
          <w:rFonts w:ascii="宋体"/>
          <w:color w:val="auto"/>
          <w:sz w:val="21"/>
          <w:szCs w:val="21"/>
          <w:highlight w:val="none"/>
        </w:rPr>
      </w:pPr>
      <w:r>
        <w:rPr>
          <w:rFonts w:hint="eastAsia"/>
          <w:color w:val="auto"/>
          <w:sz w:val="21"/>
          <w:szCs w:val="21"/>
          <w:highlight w:val="none"/>
        </w:rPr>
        <w:t>日期</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adjustRightInd w:val="0"/>
        <w:snapToGrid w:val="0"/>
        <w:spacing w:line="360" w:lineRule="auto"/>
        <w:ind w:right="24"/>
        <w:outlineLvl w:val="9"/>
        <w:rPr>
          <w:rFonts w:ascii="黑体" w:hAnsi="华文中宋" w:eastAsia="黑体"/>
          <w:bCs/>
          <w:color w:val="auto"/>
          <w:sz w:val="21"/>
          <w:szCs w:val="21"/>
          <w:highlight w:val="none"/>
        </w:rPr>
      </w:pPr>
    </w:p>
    <w:p>
      <w:pPr>
        <w:adjustRightInd w:val="0"/>
        <w:snapToGrid w:val="0"/>
        <w:spacing w:line="360" w:lineRule="auto"/>
        <w:ind w:right="24"/>
        <w:outlineLvl w:val="9"/>
        <w:rPr>
          <w:rFonts w:ascii="黑体" w:hAnsi="华文中宋" w:eastAsia="黑体"/>
          <w:bCs/>
          <w:color w:val="auto"/>
          <w:sz w:val="28"/>
          <w:szCs w:val="28"/>
          <w:highlight w:val="none"/>
        </w:rPr>
      </w:pPr>
    </w:p>
    <w:p>
      <w:pPr>
        <w:adjustRightInd w:val="0"/>
        <w:snapToGrid w:val="0"/>
        <w:spacing w:line="360" w:lineRule="auto"/>
        <w:ind w:right="24"/>
        <w:jc w:val="center"/>
        <w:outlineLvl w:val="1"/>
        <w:rPr>
          <w:rFonts w:hint="eastAsia" w:ascii="宋体" w:hAnsi="宋体" w:eastAsia="宋体" w:cs="宋体"/>
          <w:b/>
          <w:color w:val="auto"/>
          <w:sz w:val="32"/>
          <w:szCs w:val="32"/>
          <w:highlight w:val="none"/>
        </w:rPr>
      </w:pPr>
      <w:bookmarkStart w:id="177" w:name="_Toc21512"/>
      <w:r>
        <w:rPr>
          <w:rFonts w:hint="eastAsia" w:ascii="宋体" w:hAnsi="宋体" w:eastAsia="宋体" w:cs="宋体"/>
          <w:b/>
          <w:color w:val="auto"/>
          <w:sz w:val="32"/>
          <w:szCs w:val="32"/>
          <w:highlight w:val="none"/>
        </w:rPr>
        <w:t>二、法定代表人身份证明书</w:t>
      </w:r>
      <w:bookmarkEnd w:id="177"/>
    </w:p>
    <w:p>
      <w:pPr>
        <w:snapToGrid w:val="0"/>
        <w:spacing w:line="480" w:lineRule="auto"/>
        <w:outlineLvl w:val="9"/>
        <w:rPr>
          <w:rFonts w:ascii="宋体" w:hAnsi="宋体"/>
          <w:color w:val="auto"/>
          <w:szCs w:val="21"/>
          <w:highlight w:val="none"/>
        </w:rPr>
      </w:pP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rPr>
      </w:pPr>
      <w:r>
        <w:rPr>
          <w:rFonts w:hint="eastAsia" w:ascii="宋体" w:hAnsi="宋体"/>
          <w:color w:val="auto"/>
          <w:szCs w:val="21"/>
          <w:highlight w:val="none"/>
        </w:rPr>
        <w:t>谈判单位</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Lines="50" w:line="360" w:lineRule="auto"/>
        <w:jc w:val="left"/>
        <w:outlineLvl w:val="9"/>
        <w:rPr>
          <w:rFonts w:ascii="宋体" w:hAnsi="宋体" w:cs="宋体"/>
          <w:b/>
          <w:bCs/>
          <w:color w:val="auto"/>
          <w:kern w:val="0"/>
          <w:szCs w:val="21"/>
          <w:highlight w:val="none"/>
          <w:u w:val="single"/>
        </w:rPr>
      </w:pPr>
      <w:r>
        <w:rPr>
          <w:rFonts w:hint="eastAsia" w:ascii="宋体" w:hAnsi="宋体" w:cs="宋体"/>
          <w:color w:val="auto"/>
          <w:kern w:val="0"/>
          <w:szCs w:val="21"/>
          <w:highlight w:val="none"/>
        </w:rPr>
        <w:t>注册号：</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pPr>
        <w:spacing w:line="360" w:lineRule="auto"/>
        <w:outlineLvl w:val="9"/>
        <w:rPr>
          <w:rFonts w:ascii="宋体" w:hAnsi="宋体" w:cs="宋体"/>
          <w:color w:val="auto"/>
          <w:kern w:val="0"/>
          <w:szCs w:val="21"/>
          <w:highlight w:val="none"/>
        </w:rPr>
      </w:pPr>
      <w:r>
        <w:rPr>
          <w:rFonts w:hint="eastAsia" w:ascii="宋体" w:hAnsi="宋体" w:cs="宋体"/>
          <w:color w:val="auto"/>
          <w:kern w:val="0"/>
          <w:szCs w:val="21"/>
          <w:highlight w:val="none"/>
        </w:rPr>
        <w:t>成立日期：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u w:val="single"/>
        </w:rPr>
      </w:pPr>
      <w:r>
        <w:rPr>
          <w:rFonts w:hint="eastAsia" w:ascii="宋体" w:hAnsi="宋体" w:cs="宋体"/>
          <w:color w:val="auto"/>
          <w:kern w:val="0"/>
          <w:szCs w:val="21"/>
          <w:highlight w:val="none"/>
        </w:rPr>
        <w:t>经营范围：</w:t>
      </w:r>
      <w:r>
        <w:rPr>
          <w:rFonts w:hint="eastAsia" w:ascii="宋体" w:hAnsi="宋体" w:cs="宋体"/>
          <w:color w:val="auto"/>
          <w:kern w:val="0"/>
          <w:szCs w:val="21"/>
          <w:highlight w:val="none"/>
          <w:u w:val="single"/>
        </w:rPr>
        <w:t xml:space="preserve">                      </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w:t>
      </w:r>
      <w:r>
        <w:rPr>
          <w:rFonts w:hint="eastAsia" w:ascii="宋体" w:hAnsi="宋体"/>
          <w:color w:val="auto"/>
          <w:szCs w:val="21"/>
          <w:highlight w:val="none"/>
          <w:u w:val="single"/>
        </w:rPr>
        <w:t>谈判单位</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的法定代表人。</w:t>
      </w:r>
    </w:p>
    <w:p>
      <w:pPr>
        <w:autoSpaceDE w:val="0"/>
        <w:autoSpaceDN w:val="0"/>
        <w:adjustRightInd w:val="0"/>
        <w:snapToGrid w:val="0"/>
        <w:spacing w:beforeLines="50" w:line="360" w:lineRule="auto"/>
        <w:jc w:val="left"/>
        <w:outlineLvl w:val="9"/>
        <w:rPr>
          <w:rFonts w:ascii="宋体" w:hAnsi="宋体" w:cs="宋体"/>
          <w:color w:val="auto"/>
          <w:kern w:val="0"/>
          <w:szCs w:val="21"/>
          <w:highlight w:val="none"/>
        </w:rPr>
      </w:pPr>
      <w:r>
        <w:rPr>
          <w:rFonts w:hint="eastAsia" w:ascii="宋体" w:hAnsi="宋体" w:cs="宋体"/>
          <w:color w:val="auto"/>
          <w:kern w:val="0"/>
          <w:szCs w:val="21"/>
          <w:highlight w:val="none"/>
        </w:rPr>
        <w:t>特此证明。</w:t>
      </w:r>
    </w:p>
    <w:p>
      <w:pPr>
        <w:autoSpaceDE w:val="0"/>
        <w:autoSpaceDN w:val="0"/>
        <w:adjustRightInd w:val="0"/>
        <w:snapToGrid w:val="0"/>
        <w:spacing w:line="360" w:lineRule="auto"/>
        <w:jc w:val="left"/>
        <w:outlineLvl w:val="9"/>
        <w:rPr>
          <w:rFonts w:ascii="宋体" w:hAnsi="宋体"/>
          <w:color w:val="auto"/>
          <w:szCs w:val="21"/>
          <w:highlight w:val="none"/>
        </w:rPr>
      </w:pPr>
      <w:r>
        <w:rPr>
          <w:rFonts w:ascii="宋体" w:hAnsi="宋体"/>
          <w:color w:val="auto"/>
          <w:szCs w:val="21"/>
          <w:highlight w:val="none"/>
        </w:rPr>
        <w:pict>
          <v:rect id="_x0000_s1049" o:spid="_x0000_s1049" o:spt="1" style="position:absolute;left:0pt;margin-left:234pt;margin-top:10.65pt;height:96.15pt;width:185.5pt;z-index:-25164902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反</w:t>
                  </w:r>
                  <w:r>
                    <w:rPr>
                      <w:rFonts w:hint="eastAsia"/>
                      <w:b/>
                    </w:rPr>
                    <w:t>面）复印件</w:t>
                  </w:r>
                </w:p>
                <w:p/>
              </w:txbxContent>
            </v:textbox>
          </v:rect>
        </w:pict>
      </w:r>
      <w:r>
        <w:rPr>
          <w:rFonts w:ascii="宋体" w:hAnsi="宋体"/>
          <w:color w:val="auto"/>
          <w:szCs w:val="21"/>
          <w:highlight w:val="none"/>
        </w:rPr>
        <w:pict>
          <v:rect id="_x0000_s1050" o:spid="_x0000_s1050" o:spt="1" style="position:absolute;left:0pt;margin-left:-8.8pt;margin-top:11.5pt;height:96.15pt;width:185.5pt;z-index:-251651072;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on="t" color2="#FFFFFF"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正</w:t>
                  </w:r>
                  <w:r>
                    <w:rPr>
                      <w:rFonts w:hint="eastAsia"/>
                      <w:b/>
                    </w:rPr>
                    <w:t>面）复印件</w:t>
                  </w:r>
                </w:p>
                <w:p/>
              </w:txbxContent>
            </v:textbox>
          </v:rect>
        </w:pict>
      </w:r>
    </w:p>
    <w:p>
      <w:pPr>
        <w:snapToGrid w:val="0"/>
        <w:outlineLvl w:val="9"/>
        <w:rPr>
          <w:rFonts w:ascii="宋体" w:hAnsi="宋体"/>
          <w:color w:val="auto"/>
          <w:szCs w:val="21"/>
          <w:highlight w:val="none"/>
        </w:rPr>
      </w:pPr>
    </w:p>
    <w:p>
      <w:pPr>
        <w:autoSpaceDE w:val="0"/>
        <w:autoSpaceDN w:val="0"/>
        <w:adjustRightInd w:val="0"/>
        <w:snapToGrid w:val="0"/>
        <w:spacing w:line="360" w:lineRule="auto"/>
        <w:jc w:val="left"/>
        <w:outlineLvl w:val="9"/>
        <w:rPr>
          <w:rFonts w:ascii="宋体" w:hAnsi="宋体"/>
          <w:color w:val="auto"/>
          <w:szCs w:val="21"/>
          <w:highlight w:val="none"/>
        </w:rPr>
      </w:pPr>
    </w:p>
    <w:p>
      <w:pPr>
        <w:autoSpaceDE w:val="0"/>
        <w:autoSpaceDN w:val="0"/>
        <w:adjustRightInd w:val="0"/>
        <w:snapToGrid w:val="0"/>
        <w:spacing w:line="360" w:lineRule="auto"/>
        <w:jc w:val="left"/>
        <w:outlineLvl w:val="9"/>
        <w:rPr>
          <w:rFonts w:ascii="宋体" w:hAnsi="宋体"/>
          <w:color w:val="auto"/>
          <w:szCs w:val="21"/>
          <w:highlight w:val="none"/>
        </w:rPr>
      </w:pPr>
    </w:p>
    <w:p>
      <w:pPr>
        <w:autoSpaceDE w:val="0"/>
        <w:autoSpaceDN w:val="0"/>
        <w:adjustRightInd w:val="0"/>
        <w:snapToGrid w:val="0"/>
        <w:spacing w:line="360" w:lineRule="auto"/>
        <w:jc w:val="left"/>
        <w:outlineLvl w:val="9"/>
        <w:rPr>
          <w:rFonts w:ascii="宋体" w:hAnsi="宋体"/>
          <w:color w:val="auto"/>
          <w:szCs w:val="21"/>
          <w:highlight w:val="none"/>
        </w:rPr>
      </w:pPr>
    </w:p>
    <w:p>
      <w:pPr>
        <w:autoSpaceDE w:val="0"/>
        <w:autoSpaceDN w:val="0"/>
        <w:adjustRightInd w:val="0"/>
        <w:snapToGrid w:val="0"/>
        <w:spacing w:line="360" w:lineRule="auto"/>
        <w:jc w:val="left"/>
        <w:outlineLvl w:val="9"/>
        <w:rPr>
          <w:rFonts w:ascii="宋体" w:hAnsi="宋体"/>
          <w:color w:val="auto"/>
          <w:szCs w:val="21"/>
          <w:highlight w:val="none"/>
        </w:rPr>
      </w:pPr>
    </w:p>
    <w:p>
      <w:pPr>
        <w:autoSpaceDE w:val="0"/>
        <w:autoSpaceDN w:val="0"/>
        <w:adjustRightInd w:val="0"/>
        <w:snapToGrid w:val="0"/>
        <w:spacing w:line="360" w:lineRule="auto"/>
        <w:jc w:val="left"/>
        <w:outlineLvl w:val="9"/>
        <w:rPr>
          <w:rFonts w:hint="eastAsia" w:ascii="宋体" w:hAnsi="宋体"/>
          <w:b/>
          <w:color w:val="auto"/>
          <w:szCs w:val="21"/>
          <w:highlight w:val="none"/>
        </w:rPr>
      </w:pPr>
      <w:r>
        <w:rPr>
          <w:rFonts w:ascii="宋体" w:hAnsi="宋体"/>
          <w:color w:val="auto"/>
          <w:szCs w:val="21"/>
          <w:highlight w:val="none"/>
        </w:rPr>
        <w:pict>
          <v:rect id="_x0000_s1051" o:spid="_x0000_s1051" o:spt="1" style="position:absolute;left:0pt;margin-left:-9pt;margin-top:6.7pt;height:96.15pt;width:185.5pt;z-index:251666432;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Pr>
                    <w:rPr>
                      <w:highlight w:val="none"/>
                    </w:rPr>
                  </w:pPr>
                </w:p>
                <w:p>
                  <w:pPr>
                    <w:ind w:firstLine="211" w:firstLineChars="100"/>
                    <w:rPr>
                      <w:b/>
                      <w:highlight w:val="none"/>
                    </w:rPr>
                  </w:pPr>
                  <w:r>
                    <w:rPr>
                      <w:rFonts w:hint="eastAsia"/>
                      <w:b/>
                      <w:highlight w:val="none"/>
                    </w:rPr>
                    <w:t>附：</w:t>
                  </w:r>
                </w:p>
                <w:p>
                  <w:pPr>
                    <w:ind w:firstLine="211" w:firstLineChars="100"/>
                    <w:rPr>
                      <w:rFonts w:hint="eastAsia"/>
                      <w:b/>
                      <w:highlight w:val="none"/>
                      <w:u w:val="none"/>
                    </w:rPr>
                  </w:pPr>
                  <w:r>
                    <w:rPr>
                      <w:rFonts w:hint="eastAsia"/>
                      <w:b/>
                      <w:highlight w:val="none"/>
                      <w:u w:val="none"/>
                    </w:rPr>
                    <w:t>营业执照</w:t>
                  </w:r>
                  <w:r>
                    <w:rPr>
                      <w:rFonts w:hint="eastAsia"/>
                      <w:b/>
                      <w:highlight w:val="none"/>
                      <w:u w:val="none"/>
                      <w:lang w:val="en-US" w:eastAsia="zh-CN"/>
                    </w:rPr>
                    <w:t>/事业单位法人证书</w:t>
                  </w:r>
                  <w:r>
                    <w:rPr>
                      <w:rFonts w:hint="eastAsia"/>
                      <w:b/>
                      <w:highlight w:val="none"/>
                      <w:u w:val="none"/>
                    </w:rPr>
                    <w:t>复印件</w:t>
                  </w:r>
                </w:p>
                <w:p>
                  <w:pPr>
                    <w:rPr>
                      <w:highlight w:val="none"/>
                    </w:rPr>
                  </w:pPr>
                </w:p>
              </w:txbxContent>
            </v:textbox>
          </v:rect>
        </w:pict>
      </w:r>
    </w:p>
    <w:p>
      <w:pPr>
        <w:autoSpaceDE w:val="0"/>
        <w:autoSpaceDN w:val="0"/>
        <w:adjustRightInd w:val="0"/>
        <w:snapToGrid w:val="0"/>
        <w:spacing w:line="360" w:lineRule="auto"/>
        <w:jc w:val="left"/>
        <w:outlineLvl w:val="9"/>
        <w:rPr>
          <w:rFonts w:hint="eastAsia" w:ascii="宋体" w:hAnsi="宋体"/>
          <w:b/>
          <w:color w:val="auto"/>
          <w:szCs w:val="21"/>
          <w:highlight w:val="none"/>
        </w:rPr>
      </w:pPr>
    </w:p>
    <w:p>
      <w:pPr>
        <w:autoSpaceDE w:val="0"/>
        <w:autoSpaceDN w:val="0"/>
        <w:adjustRightInd w:val="0"/>
        <w:snapToGrid w:val="0"/>
        <w:spacing w:line="360" w:lineRule="auto"/>
        <w:jc w:val="left"/>
        <w:outlineLvl w:val="9"/>
        <w:rPr>
          <w:rFonts w:hint="eastAsia" w:ascii="宋体" w:hAnsi="宋体"/>
          <w:b/>
          <w:color w:val="auto"/>
          <w:szCs w:val="21"/>
          <w:highlight w:val="none"/>
        </w:rPr>
      </w:pPr>
    </w:p>
    <w:p>
      <w:pPr>
        <w:autoSpaceDE w:val="0"/>
        <w:autoSpaceDN w:val="0"/>
        <w:adjustRightInd w:val="0"/>
        <w:snapToGrid w:val="0"/>
        <w:spacing w:line="360" w:lineRule="auto"/>
        <w:jc w:val="left"/>
        <w:outlineLvl w:val="9"/>
        <w:rPr>
          <w:rFonts w:hint="eastAsia" w:ascii="宋体" w:hAnsi="宋体"/>
          <w:b/>
          <w:color w:val="auto"/>
          <w:szCs w:val="21"/>
          <w:highlight w:val="none"/>
        </w:rPr>
      </w:pPr>
    </w:p>
    <w:p>
      <w:pPr>
        <w:autoSpaceDE w:val="0"/>
        <w:autoSpaceDN w:val="0"/>
        <w:adjustRightInd w:val="0"/>
        <w:snapToGrid w:val="0"/>
        <w:spacing w:line="360" w:lineRule="auto"/>
        <w:jc w:val="left"/>
        <w:outlineLvl w:val="9"/>
        <w:rPr>
          <w:rFonts w:hint="eastAsia" w:ascii="宋体" w:hAnsi="宋体"/>
          <w:b/>
          <w:color w:val="auto"/>
          <w:szCs w:val="21"/>
          <w:highlight w:val="none"/>
        </w:rPr>
      </w:pPr>
    </w:p>
    <w:p>
      <w:pPr>
        <w:autoSpaceDE w:val="0"/>
        <w:autoSpaceDN w:val="0"/>
        <w:adjustRightInd w:val="0"/>
        <w:snapToGrid w:val="0"/>
        <w:spacing w:line="360" w:lineRule="auto"/>
        <w:jc w:val="left"/>
        <w:outlineLvl w:val="9"/>
        <w:rPr>
          <w:rFonts w:hint="eastAsia" w:ascii="宋体" w:hAnsi="宋体"/>
          <w:b/>
          <w:color w:val="auto"/>
          <w:szCs w:val="21"/>
          <w:highlight w:val="none"/>
        </w:rPr>
      </w:pPr>
    </w:p>
    <w:p>
      <w:pPr>
        <w:autoSpaceDE w:val="0"/>
        <w:autoSpaceDN w:val="0"/>
        <w:adjustRightInd w:val="0"/>
        <w:snapToGrid w:val="0"/>
        <w:spacing w:line="360" w:lineRule="auto"/>
        <w:jc w:val="left"/>
        <w:outlineLvl w:val="9"/>
        <w:rPr>
          <w:rFonts w:ascii="宋体" w:hAnsi="宋体"/>
          <w:color w:val="auto"/>
          <w:szCs w:val="21"/>
          <w:highlight w:val="none"/>
        </w:rPr>
      </w:pPr>
      <w:r>
        <w:rPr>
          <w:rFonts w:hint="eastAsia" w:ascii="宋体" w:hAnsi="宋体"/>
          <w:b/>
          <w:color w:val="auto"/>
          <w:szCs w:val="21"/>
          <w:highlight w:val="none"/>
        </w:rPr>
        <w:t>备注：上述证件复印件可另附页，另附页时，证件复印件均须加盖单位公章</w:t>
      </w:r>
      <w:r>
        <w:rPr>
          <w:rFonts w:hint="eastAsia" w:ascii="宋体" w:hAnsi="宋体"/>
          <w:b/>
          <w:bCs/>
          <w:color w:val="auto"/>
          <w:szCs w:val="21"/>
          <w:highlight w:val="none"/>
          <w:lang w:val="en-US" w:eastAsia="zh-CN"/>
        </w:rPr>
        <w:t>（鲜章）</w:t>
      </w:r>
      <w:r>
        <w:rPr>
          <w:rFonts w:hint="eastAsia" w:ascii="宋体" w:hAnsi="宋体"/>
          <w:b/>
          <w:color w:val="auto"/>
          <w:szCs w:val="21"/>
          <w:highlight w:val="none"/>
        </w:rPr>
        <w:t>。</w:t>
      </w:r>
    </w:p>
    <w:p>
      <w:pPr>
        <w:snapToGrid w:val="0"/>
        <w:outlineLvl w:val="9"/>
        <w:rPr>
          <w:rFonts w:ascii="宋体" w:hAnsi="宋体"/>
          <w:color w:val="auto"/>
          <w:szCs w:val="21"/>
          <w:highlight w:val="none"/>
        </w:rPr>
      </w:pPr>
    </w:p>
    <w:p>
      <w:pPr>
        <w:snapToGrid w:val="0"/>
        <w:outlineLvl w:val="9"/>
        <w:rPr>
          <w:rFonts w:ascii="宋体" w:hAnsi="宋体"/>
          <w:color w:val="auto"/>
          <w:szCs w:val="21"/>
          <w:highlight w:val="none"/>
        </w:rPr>
      </w:pPr>
    </w:p>
    <w:p>
      <w:pPr>
        <w:snapToGrid w:val="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r>
        <w:rPr>
          <w:rFonts w:hint="eastAsia" w:ascii="宋体" w:hAnsi="宋体"/>
          <w:color w:val="auto"/>
          <w:szCs w:val="21"/>
          <w:highlight w:val="none"/>
        </w:rPr>
        <w:t>谈判单位名称（盖单位章）：</w:t>
      </w:r>
      <w:r>
        <w:rPr>
          <w:rFonts w:hint="eastAsia"/>
          <w:color w:val="auto"/>
          <w:highlight w:val="none"/>
          <w:u w:val="single"/>
        </w:rPr>
        <w:t xml:space="preserve">    （盖单位章）    </w:t>
      </w:r>
    </w:p>
    <w:p>
      <w:pPr>
        <w:spacing w:line="360" w:lineRule="auto"/>
        <w:outlineLvl w:val="9"/>
        <w:rPr>
          <w:rFonts w:ascii="宋体"/>
          <w:color w:val="auto"/>
          <w:highlight w:val="none"/>
        </w:rPr>
      </w:pPr>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ascii="黑体" w:hAnsi="宋体" w:eastAsia="黑体"/>
          <w:b/>
          <w:color w:val="auto"/>
          <w:sz w:val="32"/>
          <w:szCs w:val="32"/>
          <w:highlight w:val="none"/>
        </w:rPr>
      </w:pPr>
      <w:r>
        <w:rPr>
          <w:rFonts w:ascii="黑体" w:hAnsi="华文中宋" w:eastAsia="黑体"/>
          <w:bCs/>
          <w:color w:val="auto"/>
          <w:sz w:val="24"/>
          <w:highlight w:val="none"/>
        </w:rPr>
        <w:br w:type="page"/>
      </w:r>
      <w:bookmarkStart w:id="178" w:name="_Toc9041"/>
      <w:r>
        <w:rPr>
          <w:rFonts w:hint="eastAsia" w:ascii="宋体" w:hAnsi="宋体" w:eastAsia="宋体" w:cs="宋体"/>
          <w:b/>
          <w:color w:val="auto"/>
          <w:sz w:val="32"/>
          <w:szCs w:val="32"/>
          <w:highlight w:val="none"/>
        </w:rPr>
        <w:t>三、授权委托书</w:t>
      </w:r>
      <w:bookmarkEnd w:id="178"/>
    </w:p>
    <w:p>
      <w:pPr>
        <w:adjustRightInd w:val="0"/>
        <w:snapToGrid w:val="0"/>
        <w:spacing w:line="360" w:lineRule="auto"/>
        <w:jc w:val="center"/>
        <w:outlineLvl w:val="9"/>
        <w:rPr>
          <w:rFonts w:ascii="黑体" w:hAnsi="华文中宋" w:eastAsia="黑体"/>
          <w:b/>
          <w:color w:val="auto"/>
          <w:sz w:val="28"/>
          <w:szCs w:val="28"/>
          <w:highlight w:val="none"/>
        </w:rPr>
      </w:pPr>
    </w:p>
    <w:p>
      <w:pPr>
        <w:keepNext w:val="0"/>
        <w:keepLines w:val="0"/>
        <w:pageBreakBefore w:val="0"/>
        <w:widowControl w:val="0"/>
        <w:kinsoku/>
        <w:wordWrap/>
        <w:overflowPunct/>
        <w:topLinePunct w:val="0"/>
        <w:autoSpaceDE w:val="0"/>
        <w:autoSpaceDN w:val="0"/>
        <w:bidi w:val="0"/>
        <w:adjustRightInd w:val="0"/>
        <w:snapToGrid w:val="0"/>
        <w:spacing w:beforeLines="50" w:line="360" w:lineRule="auto"/>
        <w:ind w:firstLine="420" w:firstLineChars="200"/>
        <w:jc w:val="both"/>
        <w:textAlignment w:val="auto"/>
        <w:outlineLvl w:val="9"/>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本人</w:t>
      </w:r>
      <w:r>
        <w:rPr>
          <w:rFonts w:hint="eastAsia" w:ascii="宋体" w:hAnsi="宋体" w:cs="宋体"/>
          <w:color w:val="auto"/>
          <w:kern w:val="0"/>
          <w:sz w:val="21"/>
          <w:szCs w:val="21"/>
          <w:highlight w:val="none"/>
          <w:u w:val="single"/>
        </w:rPr>
        <w:t>（姓名、职务）</w:t>
      </w: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w:t>
      </w:r>
      <w:r>
        <w:rPr>
          <w:rFonts w:hint="eastAsia" w:ascii="宋体" w:hAnsi="宋体"/>
          <w:color w:val="auto"/>
          <w:sz w:val="21"/>
          <w:szCs w:val="21"/>
          <w:highlight w:val="none"/>
          <w:u w:val="single"/>
        </w:rPr>
        <w:t>谈判单位</w:t>
      </w:r>
      <w:r>
        <w:rPr>
          <w:rFonts w:hint="eastAsia" w:ascii="宋体" w:hAnsi="宋体" w:cs="宋体"/>
          <w:color w:val="auto"/>
          <w:kern w:val="0"/>
          <w:sz w:val="21"/>
          <w:szCs w:val="21"/>
          <w:highlight w:val="none"/>
          <w:u w:val="single"/>
        </w:rPr>
        <w:t>名称）</w:t>
      </w:r>
      <w:r>
        <w:rPr>
          <w:rFonts w:hint="eastAsia" w:ascii="宋体" w:hAnsi="宋体" w:cs="宋体"/>
          <w:color w:val="auto"/>
          <w:kern w:val="0"/>
          <w:sz w:val="21"/>
          <w:szCs w:val="21"/>
          <w:highlight w:val="none"/>
        </w:rPr>
        <w:t>的法定代表人，现授权</w:t>
      </w:r>
      <w:r>
        <w:rPr>
          <w:rFonts w:hint="eastAsia" w:ascii="宋体" w:hAnsi="宋体" w:cs="宋体"/>
          <w:color w:val="auto"/>
          <w:kern w:val="0"/>
          <w:sz w:val="21"/>
          <w:szCs w:val="21"/>
          <w:highlight w:val="none"/>
          <w:u w:val="single"/>
        </w:rPr>
        <w:t>（姓名、职务）</w:t>
      </w:r>
      <w:r>
        <w:rPr>
          <w:rFonts w:hint="eastAsia" w:ascii="宋体" w:hAnsi="宋体" w:cs="宋体"/>
          <w:color w:val="auto"/>
          <w:kern w:val="0"/>
          <w:sz w:val="21"/>
          <w:szCs w:val="21"/>
          <w:highlight w:val="none"/>
        </w:rPr>
        <w:t>为我方代理人。代理人根据授权，以我方名义签署、澄清、补正、修改、撤回、提交</w:t>
      </w:r>
      <w:r>
        <w:rPr>
          <w:rFonts w:hint="eastAsia" w:ascii="宋体" w:hAnsi="宋体" w:cs="宋体"/>
          <w:color w:val="auto"/>
          <w:kern w:val="0"/>
          <w:sz w:val="21"/>
          <w:szCs w:val="21"/>
          <w:highlight w:val="none"/>
          <w:u w:val="single"/>
        </w:rPr>
        <w:t>（项目名称、</w:t>
      </w:r>
      <w:r>
        <w:rPr>
          <w:rFonts w:hint="eastAsia" w:ascii="宋体" w:hAnsi="宋体"/>
          <w:color w:val="auto"/>
          <w:sz w:val="21"/>
          <w:szCs w:val="21"/>
          <w:highlight w:val="none"/>
          <w:u w:val="single"/>
        </w:rPr>
        <w:t>项目</w:t>
      </w:r>
      <w:r>
        <w:rPr>
          <w:rFonts w:hint="eastAsia" w:ascii="宋体" w:hAnsi="宋体" w:cs="宋体"/>
          <w:color w:val="auto"/>
          <w:kern w:val="0"/>
          <w:sz w:val="21"/>
          <w:szCs w:val="21"/>
          <w:highlight w:val="none"/>
          <w:u w:val="single"/>
        </w:rPr>
        <w:t>编号）</w:t>
      </w:r>
      <w:r>
        <w:rPr>
          <w:rFonts w:hint="eastAsia" w:ascii="宋体" w:hAnsi="宋体" w:cs="宋体"/>
          <w:color w:val="auto"/>
          <w:kern w:val="0"/>
          <w:sz w:val="21"/>
          <w:szCs w:val="21"/>
          <w:highlight w:val="none"/>
        </w:rPr>
        <w:t>响应文件及与本谈判项目的有关事宜，其法律后果由我方承担。</w:t>
      </w:r>
    </w:p>
    <w:p>
      <w:pPr>
        <w:spacing w:line="360" w:lineRule="auto"/>
        <w:ind w:firstLine="435"/>
        <w:outlineLvl w:val="9"/>
        <w:rPr>
          <w:rFonts w:ascii="宋体" w:hAnsi="宋体" w:cs="宋体"/>
          <w:color w:val="auto"/>
          <w:kern w:val="0"/>
          <w:szCs w:val="21"/>
          <w:highlight w:val="none"/>
        </w:rPr>
      </w:pPr>
    </w:p>
    <w:p>
      <w:pPr>
        <w:spacing w:line="360" w:lineRule="auto"/>
        <w:ind w:firstLine="435"/>
        <w:outlineLvl w:val="9"/>
        <w:rPr>
          <w:rFonts w:ascii="宋体" w:hAnsi="宋体" w:cs="宋体"/>
          <w:color w:val="auto"/>
          <w:kern w:val="0"/>
          <w:szCs w:val="21"/>
          <w:highlight w:val="none"/>
        </w:rPr>
      </w:pPr>
    </w:p>
    <w:p>
      <w:pPr>
        <w:spacing w:line="360" w:lineRule="auto"/>
        <w:ind w:firstLine="435"/>
        <w:outlineLvl w:val="9"/>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spacing w:line="360" w:lineRule="auto"/>
        <w:ind w:firstLine="435"/>
        <w:outlineLvl w:val="9"/>
        <w:rPr>
          <w:rFonts w:hint="eastAsia"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日签字生效，特此声明。</w:t>
      </w:r>
    </w:p>
    <w:p>
      <w:pPr>
        <w:spacing w:line="360" w:lineRule="auto"/>
        <w:ind w:firstLine="435"/>
        <w:outlineLvl w:val="9"/>
        <w:rPr>
          <w:rFonts w:hint="eastAsia" w:ascii="宋体" w:hAnsi="宋体"/>
          <w:color w:val="auto"/>
          <w:szCs w:val="21"/>
          <w:highlight w:val="none"/>
        </w:rPr>
      </w:pPr>
      <w:r>
        <w:rPr>
          <w:rFonts w:ascii="宋体" w:hAnsi="宋体"/>
          <w:color w:val="auto"/>
          <w:szCs w:val="21"/>
          <w:highlight w:val="none"/>
        </w:rPr>
        <w:pict>
          <v:rect id="_x0000_s1052" o:spid="_x0000_s1052" o:spt="1" style="position:absolute;left:0pt;margin-left:-9pt;margin-top:3.3pt;height:96.15pt;width:185.5pt;z-index:-251648000;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h&#10;+N022QAAAAoBAAAPAAAAAAAAAAEAIAAAACIAAABkcnMvZG93bnJldi54bWxQSwECFAAUAAAACACH&#10;TuJAx7XeGyMCAAA4BAAADgAAAAAAAAABACAAAAAoAQAAZHJzL2Uyb0RvYy54bWxQSwUGAAAAAAYA&#10;BgBZAQAAvQUAAAAA&#10;">
            <v:path/>
            <v:fill on="t" color2="#FFFFFF"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正</w:t>
                  </w:r>
                  <w:r>
                    <w:rPr>
                      <w:rFonts w:hint="eastAsia"/>
                      <w:b/>
                    </w:rPr>
                    <w:t>面）复印件</w:t>
                  </w:r>
                </w:p>
                <w:p/>
              </w:txbxContent>
            </v:textbox>
          </v:rect>
        </w:pict>
      </w:r>
      <w:r>
        <w:rPr>
          <w:rFonts w:ascii="宋体" w:hAnsi="宋体"/>
          <w:color w:val="auto"/>
          <w:szCs w:val="21"/>
          <w:highlight w:val="none"/>
        </w:rPr>
        <w:pict>
          <v:rect id="_x0000_s1053" o:spid="_x0000_s1053" o:spt="1" style="position:absolute;left:0pt;margin-left:233.8pt;margin-top:2.45pt;height:96.15pt;width:185.5pt;z-index:-251645952;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b/>
                    </w:rPr>
                  </w:pPr>
                  <w:r>
                    <w:rPr>
                      <w:rFonts w:hint="eastAsia"/>
                      <w:b/>
                    </w:rPr>
                    <w:t>法定代表人身份证（</w:t>
                  </w:r>
                  <w:r>
                    <w:rPr>
                      <w:rFonts w:hint="eastAsia"/>
                      <w:b/>
                      <w:lang w:eastAsia="zh-CN"/>
                    </w:rPr>
                    <w:t>反</w:t>
                  </w:r>
                  <w:r>
                    <w:rPr>
                      <w:rFonts w:hint="eastAsia"/>
                      <w:b/>
                    </w:rPr>
                    <w:t>面）复印件</w:t>
                  </w:r>
                </w:p>
                <w:p/>
              </w:txbxContent>
            </v:textbox>
          </v:rect>
        </w:pict>
      </w:r>
    </w:p>
    <w:p>
      <w:pPr>
        <w:spacing w:line="360" w:lineRule="auto"/>
        <w:ind w:firstLine="435"/>
        <w:outlineLvl w:val="9"/>
        <w:rPr>
          <w:rFonts w:hint="eastAsia" w:ascii="宋体" w:hAnsi="宋体"/>
          <w:color w:val="auto"/>
          <w:szCs w:val="21"/>
          <w:highlight w:val="none"/>
        </w:rPr>
      </w:pPr>
    </w:p>
    <w:p>
      <w:pPr>
        <w:spacing w:line="360" w:lineRule="auto"/>
        <w:ind w:firstLine="435"/>
        <w:outlineLvl w:val="9"/>
        <w:rPr>
          <w:rFonts w:hint="eastAsia" w:ascii="宋体" w:hAnsi="宋体"/>
          <w:color w:val="auto"/>
          <w:szCs w:val="21"/>
          <w:highlight w:val="none"/>
        </w:rPr>
      </w:pPr>
    </w:p>
    <w:p>
      <w:pPr>
        <w:spacing w:line="360" w:lineRule="auto"/>
        <w:ind w:firstLine="435"/>
        <w:outlineLvl w:val="9"/>
        <w:rPr>
          <w:rFonts w:hint="eastAsia" w:ascii="宋体" w:hAnsi="宋体"/>
          <w:color w:val="auto"/>
          <w:szCs w:val="21"/>
          <w:highlight w:val="none"/>
        </w:rPr>
      </w:pPr>
    </w:p>
    <w:p>
      <w:pPr>
        <w:spacing w:line="360" w:lineRule="auto"/>
        <w:ind w:firstLine="435"/>
        <w:outlineLvl w:val="9"/>
        <w:rPr>
          <w:rFonts w:hint="eastAsia" w:ascii="宋体" w:hAnsi="宋体"/>
          <w:color w:val="auto"/>
          <w:szCs w:val="21"/>
          <w:highlight w:val="none"/>
        </w:rPr>
      </w:pPr>
    </w:p>
    <w:p>
      <w:pPr>
        <w:spacing w:line="360" w:lineRule="auto"/>
        <w:ind w:firstLine="435"/>
        <w:outlineLvl w:val="9"/>
        <w:rPr>
          <w:rFonts w:hint="eastAsia" w:ascii="宋体" w:hAnsi="宋体"/>
          <w:color w:val="auto"/>
          <w:szCs w:val="21"/>
          <w:highlight w:val="none"/>
        </w:rPr>
      </w:pPr>
      <w:r>
        <w:rPr>
          <w:rFonts w:ascii="宋体" w:hAnsi="宋体"/>
          <w:color w:val="auto"/>
          <w:szCs w:val="21"/>
          <w:highlight w:val="none"/>
        </w:rPr>
        <w:pict>
          <v:rect id="_x0000_s1054" o:spid="_x0000_s1054" o:spt="1" style="position:absolute;left:0pt;margin-left:233.8pt;margin-top:11.3pt;height:96.15pt;width:185.5pt;z-index:-251644928;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w:t>
                  </w:r>
                  <w:r>
                    <w:rPr>
                      <w:rFonts w:hint="eastAsia"/>
                      <w:b/>
                      <w:lang w:eastAsia="zh-CN"/>
                    </w:rPr>
                    <w:t>反</w:t>
                  </w:r>
                  <w:r>
                    <w:rPr>
                      <w:rFonts w:hint="eastAsia"/>
                      <w:b/>
                    </w:rPr>
                    <w:t>面）复印件</w:t>
                  </w:r>
                </w:p>
                <w:p/>
              </w:txbxContent>
            </v:textbox>
          </v:rect>
        </w:pict>
      </w:r>
      <w:r>
        <w:rPr>
          <w:rFonts w:ascii="宋体" w:hAnsi="宋体"/>
          <w:color w:val="auto"/>
          <w:szCs w:val="21"/>
          <w:highlight w:val="none"/>
        </w:rPr>
        <w:pict>
          <v:rect id="_x0000_s1055" o:spid="_x0000_s1055" o:spt="1" style="position:absolute;left:0pt;margin-left:-9.2pt;margin-top:12.05pt;height:96.15pt;width:185.5pt;z-index:251669504;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rPr>
                      <w:b/>
                    </w:rPr>
                  </w:pPr>
                  <w:r>
                    <w:rPr>
                      <w:rFonts w:hint="eastAsia"/>
                      <w:b/>
                    </w:rPr>
                    <w:t>委托代理人身份证（</w:t>
                  </w:r>
                  <w:r>
                    <w:rPr>
                      <w:rFonts w:hint="eastAsia"/>
                      <w:b/>
                      <w:lang w:eastAsia="zh-CN"/>
                    </w:rPr>
                    <w:t>正</w:t>
                  </w:r>
                  <w:r>
                    <w:rPr>
                      <w:rFonts w:hint="eastAsia"/>
                      <w:b/>
                    </w:rPr>
                    <w:t>面）复印件</w:t>
                  </w:r>
                </w:p>
                <w:p/>
              </w:txbxContent>
            </v:textbox>
          </v:rect>
        </w:pict>
      </w:r>
    </w:p>
    <w:p>
      <w:pPr>
        <w:spacing w:line="360" w:lineRule="auto"/>
        <w:ind w:firstLine="435"/>
        <w:outlineLvl w:val="9"/>
        <w:rPr>
          <w:rFonts w:ascii="宋体" w:hAnsi="宋体"/>
          <w:color w:val="auto"/>
          <w:szCs w:val="21"/>
          <w:highlight w:val="none"/>
        </w:rPr>
      </w:pPr>
    </w:p>
    <w:p>
      <w:pPr>
        <w:adjustRightInd w:val="0"/>
        <w:snapToGrid w:val="0"/>
        <w:spacing w:beforeLines="50" w:line="360" w:lineRule="auto"/>
        <w:ind w:firstLine="420" w:firstLineChars="20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r>
        <w:rPr>
          <w:rFonts w:ascii="宋体" w:hAnsi="宋体"/>
          <w:color w:val="auto"/>
          <w:szCs w:val="21"/>
          <w:highlight w:val="none"/>
        </w:rPr>
        <w:pict>
          <v:rect id="_x0000_s1056" o:spid="_x0000_s1056" o:spt="1" style="position:absolute;left:0pt;margin-left:-9.2pt;margin-top:14.95pt;height:96.15pt;width:185.5pt;z-index:251672576;mso-width-relative:page;mso-height-relative:page;"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kv1ol&#10;1wAAAAoBAAAPAAAAAAAAAAEAIAAAACIAAABkcnMvZG93bnJldi54bWxQSwECFAAUAAAACACHTuJA&#10;0DrYvCICAAA4BAAADgAAAAAAAAABACAAAAAmAQAAZHJzL2Uyb0RvYy54bWxQSwUGAAAAAAYABgBZ&#10;AQAAugUAAAAA&#10;">
            <v:path/>
            <v:fill focussize="0,0"/>
            <v:stroke/>
            <v:imagedata o:title=""/>
            <o:lock v:ext="edit"/>
            <v:textbox>
              <w:txbxContent>
                <w:p/>
                <w:p>
                  <w:pPr>
                    <w:ind w:firstLine="211" w:firstLineChars="100"/>
                    <w:rPr>
                      <w:b/>
                    </w:rPr>
                  </w:pPr>
                  <w:r>
                    <w:rPr>
                      <w:rFonts w:hint="eastAsia"/>
                      <w:b/>
                    </w:rPr>
                    <w:t>附：</w:t>
                  </w:r>
                </w:p>
                <w:p>
                  <w:pPr>
                    <w:ind w:firstLine="211" w:firstLineChars="100"/>
                    <w:rPr>
                      <w:rFonts w:hint="eastAsia"/>
                      <w:b/>
                      <w:u w:val="none"/>
                    </w:rPr>
                  </w:pPr>
                  <w:r>
                    <w:rPr>
                      <w:rFonts w:hint="eastAsia"/>
                      <w:b/>
                      <w:u w:val="none"/>
                    </w:rPr>
                    <w:t>营业执照</w:t>
                  </w:r>
                  <w:r>
                    <w:rPr>
                      <w:rFonts w:hint="eastAsia"/>
                      <w:b/>
                      <w:u w:val="none"/>
                      <w:lang w:val="en-US" w:eastAsia="zh-CN"/>
                    </w:rPr>
                    <w:t>/事业单位法人证书</w:t>
                  </w:r>
                  <w:r>
                    <w:rPr>
                      <w:rFonts w:hint="eastAsia"/>
                      <w:b/>
                      <w:u w:val="none"/>
                    </w:rPr>
                    <w:t>复印件</w:t>
                  </w:r>
                </w:p>
                <w:p/>
              </w:txbxContent>
            </v:textbox>
          </v:rect>
        </w:pict>
      </w: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p>
    <w:p>
      <w:pPr>
        <w:autoSpaceDE w:val="0"/>
        <w:autoSpaceDN w:val="0"/>
        <w:adjustRightInd w:val="0"/>
        <w:snapToGrid w:val="0"/>
        <w:spacing w:line="360" w:lineRule="auto"/>
        <w:jc w:val="left"/>
        <w:outlineLvl w:val="9"/>
        <w:rPr>
          <w:rFonts w:ascii="宋体" w:hAnsi="宋体"/>
          <w:color w:val="auto"/>
          <w:szCs w:val="21"/>
          <w:highlight w:val="none"/>
        </w:rPr>
      </w:pPr>
      <w:r>
        <w:rPr>
          <w:rFonts w:hint="eastAsia" w:ascii="宋体" w:hAnsi="宋体"/>
          <w:b/>
          <w:color w:val="auto"/>
          <w:szCs w:val="21"/>
          <w:highlight w:val="none"/>
        </w:rPr>
        <w:t>备注：上述证件复印件可另附页，另附页时，证件复印件均须加盖单位公章</w:t>
      </w:r>
      <w:r>
        <w:rPr>
          <w:rFonts w:hint="eastAsia" w:ascii="宋体" w:hAnsi="宋体"/>
          <w:b/>
          <w:bCs/>
          <w:color w:val="auto"/>
          <w:szCs w:val="21"/>
          <w:highlight w:val="none"/>
          <w:lang w:val="en-US" w:eastAsia="zh-CN"/>
        </w:rPr>
        <w:t>（鲜章）</w:t>
      </w:r>
      <w:r>
        <w:rPr>
          <w:rFonts w:hint="eastAsia" w:ascii="宋体" w:hAnsi="宋体"/>
          <w:b/>
          <w:color w:val="auto"/>
          <w:szCs w:val="21"/>
          <w:highlight w:val="none"/>
        </w:rPr>
        <w:t xml:space="preserve">。 </w:t>
      </w: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p>
    <w:p>
      <w:pPr>
        <w:adjustRightInd w:val="0"/>
        <w:snapToGrid w:val="0"/>
        <w:spacing w:line="360" w:lineRule="auto"/>
        <w:ind w:right="420"/>
        <w:outlineLvl w:val="9"/>
        <w:rPr>
          <w:rFonts w:ascii="宋体" w:hAnsi="宋体"/>
          <w:color w:val="auto"/>
          <w:szCs w:val="21"/>
          <w:highlight w:val="none"/>
        </w:rPr>
      </w:pPr>
      <w:r>
        <w:rPr>
          <w:rFonts w:hint="eastAsia" w:ascii="宋体" w:hAnsi="宋体"/>
          <w:color w:val="auto"/>
          <w:szCs w:val="21"/>
          <w:highlight w:val="none"/>
        </w:rPr>
        <w:t>谈判单位名称（盖单位章）：</w:t>
      </w:r>
      <w:r>
        <w:rPr>
          <w:rFonts w:hint="eastAsia"/>
          <w:color w:val="auto"/>
          <w:highlight w:val="none"/>
          <w:u w:val="single"/>
        </w:rPr>
        <w:t xml:space="preserve">    （盖单位章）    </w:t>
      </w:r>
    </w:p>
    <w:p>
      <w:pPr>
        <w:adjustRightInd w:val="0"/>
        <w:snapToGrid w:val="0"/>
        <w:spacing w:line="360" w:lineRule="auto"/>
        <w:ind w:right="420"/>
        <w:outlineLvl w:val="9"/>
        <w:rPr>
          <w:rFonts w:ascii="宋体" w:hAnsi="宋体"/>
          <w:color w:val="auto"/>
          <w:szCs w:val="21"/>
          <w:highlight w:val="none"/>
        </w:rPr>
      </w:pPr>
      <w:r>
        <w:rPr>
          <w:rFonts w:hint="eastAsia" w:ascii="宋体" w:hAnsi="宋体"/>
          <w:color w:val="auto"/>
          <w:szCs w:val="21"/>
          <w:highlight w:val="none"/>
        </w:rPr>
        <w:t>法定代表人（亲笔签字）：</w:t>
      </w:r>
      <w:r>
        <w:rPr>
          <w:rFonts w:hint="eastAsia" w:ascii="宋体" w:hAnsi="宋体"/>
          <w:color w:val="auto"/>
          <w:szCs w:val="21"/>
          <w:highlight w:val="none"/>
          <w:u w:val="single"/>
        </w:rPr>
        <w:t xml:space="preserve">               </w:t>
      </w:r>
    </w:p>
    <w:p>
      <w:pPr>
        <w:adjustRightInd w:val="0"/>
        <w:snapToGrid w:val="0"/>
        <w:spacing w:line="360" w:lineRule="auto"/>
        <w:ind w:right="420"/>
        <w:outlineLvl w:val="9"/>
        <w:rPr>
          <w:rFonts w:ascii="宋体" w:hAnsi="宋体"/>
          <w:color w:val="auto"/>
          <w:szCs w:val="21"/>
          <w:highlight w:val="none"/>
        </w:rPr>
      </w:pPr>
      <w:r>
        <w:rPr>
          <w:rFonts w:hint="eastAsia" w:ascii="宋体" w:hAnsi="宋体"/>
          <w:color w:val="auto"/>
          <w:szCs w:val="21"/>
          <w:highlight w:val="none"/>
        </w:rPr>
        <w:t>委托代理人（亲笔签字）：</w:t>
      </w:r>
      <w:r>
        <w:rPr>
          <w:rFonts w:hint="eastAsia" w:ascii="宋体" w:hAnsi="宋体"/>
          <w:color w:val="auto"/>
          <w:szCs w:val="21"/>
          <w:highlight w:val="none"/>
          <w:u w:val="single"/>
        </w:rPr>
        <w:t xml:space="preserve">               </w:t>
      </w:r>
    </w:p>
    <w:p>
      <w:pPr>
        <w:spacing w:line="360" w:lineRule="auto"/>
        <w:outlineLvl w:val="9"/>
        <w:rPr>
          <w:rFonts w:ascii="宋体" w:hAnsi="宋体"/>
          <w:color w:val="auto"/>
          <w:szCs w:val="21"/>
          <w:highlight w:val="none"/>
        </w:rPr>
        <w:sectPr>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color w:val="auto"/>
          <w:highlight w:val="none"/>
        </w:rPr>
        <w:t>日期</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right="24"/>
        <w:jc w:val="center"/>
        <w:outlineLvl w:val="1"/>
        <w:rPr>
          <w:rFonts w:hint="eastAsia" w:ascii="宋体" w:hAnsi="宋体" w:eastAsia="宋体" w:cs="宋体"/>
          <w:b/>
          <w:color w:val="auto"/>
          <w:sz w:val="32"/>
          <w:szCs w:val="32"/>
          <w:highlight w:val="none"/>
        </w:rPr>
      </w:pPr>
      <w:bookmarkStart w:id="179" w:name="_Toc26357"/>
      <w:r>
        <w:rPr>
          <w:rFonts w:hint="eastAsia" w:ascii="宋体" w:hAnsi="宋体" w:eastAsia="宋体" w:cs="宋体"/>
          <w:b/>
          <w:color w:val="auto"/>
          <w:sz w:val="32"/>
          <w:szCs w:val="32"/>
          <w:highlight w:val="none"/>
        </w:rPr>
        <w:t>四、谈判单位资格证明文件</w:t>
      </w:r>
      <w:bookmarkEnd w:id="179"/>
    </w:p>
    <w:p>
      <w:pPr>
        <w:adjustRightInd w:val="0"/>
        <w:snapToGrid w:val="0"/>
        <w:spacing w:line="360" w:lineRule="auto"/>
        <w:outlineLvl w:val="9"/>
        <w:rPr>
          <w:rFonts w:ascii="仿宋" w:hAnsi="仿宋" w:eastAsia="仿宋"/>
          <w:bCs/>
          <w:color w:val="auto"/>
          <w:szCs w:val="21"/>
          <w:highlight w:val="none"/>
        </w:rPr>
      </w:pPr>
    </w:p>
    <w:p>
      <w:pPr>
        <w:adjustRightInd w:val="0"/>
        <w:snapToGrid w:val="0"/>
        <w:spacing w:line="360" w:lineRule="auto"/>
        <w:ind w:firstLine="420" w:firstLineChars="200"/>
        <w:outlineLvl w:val="9"/>
        <w:rPr>
          <w:rFonts w:ascii="宋体" w:hAnsi="宋体"/>
          <w:bCs/>
          <w:color w:val="auto"/>
          <w:szCs w:val="21"/>
          <w:highlight w:val="none"/>
        </w:rPr>
      </w:pPr>
      <w:r>
        <w:rPr>
          <w:rFonts w:hint="eastAsia" w:ascii="宋体" w:hAnsi="宋体"/>
          <w:bCs/>
          <w:color w:val="auto"/>
          <w:szCs w:val="21"/>
          <w:highlight w:val="none"/>
        </w:rPr>
        <w:t>根据本谈判文件</w:t>
      </w:r>
      <w:r>
        <w:rPr>
          <w:rFonts w:hint="eastAsia" w:ascii="宋体" w:hAnsi="宋体"/>
          <w:b/>
          <w:bCs/>
          <w:color w:val="auto"/>
          <w:szCs w:val="21"/>
          <w:highlight w:val="none"/>
        </w:rPr>
        <w:t>前附表</w:t>
      </w:r>
      <w:r>
        <w:rPr>
          <w:rFonts w:hint="eastAsia" w:ascii="宋体" w:hAnsi="宋体"/>
          <w:bCs/>
          <w:color w:val="auto"/>
          <w:szCs w:val="21"/>
          <w:highlight w:val="none"/>
        </w:rPr>
        <w:t>内的资格要求，本章节须附下列证明文件复印件：</w:t>
      </w:r>
    </w:p>
    <w:p>
      <w:pPr>
        <w:spacing w:line="360" w:lineRule="auto"/>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cs="宋体"/>
          <w:color w:val="auto"/>
          <w:szCs w:val="21"/>
          <w:highlight w:val="none"/>
        </w:rPr>
        <w:t>须提供营业执照</w:t>
      </w:r>
      <w:r>
        <w:rPr>
          <w:rFonts w:hint="eastAsia" w:ascii="宋体" w:hAnsi="宋体" w:cs="宋体"/>
          <w:color w:val="auto"/>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cs="宋体"/>
          <w:color w:val="auto"/>
          <w:highlight w:val="none"/>
          <w:lang w:eastAsia="zh-CN"/>
        </w:rPr>
        <w:t>须提供中国合格评定国家认可委员会颁发的检测或校准实验室认可资质（CNAS资质），且其证书附表中的</w:t>
      </w:r>
      <w:r>
        <w:rPr>
          <w:rFonts w:hint="eastAsia" w:ascii="宋体" w:hAnsi="宋体" w:cs="宋体"/>
          <w:color w:val="auto"/>
          <w:highlight w:val="none"/>
          <w:lang w:val="en-US" w:eastAsia="zh-CN"/>
        </w:rPr>
        <w:t>自</w:t>
      </w:r>
      <w:r>
        <w:rPr>
          <w:rFonts w:hint="eastAsia" w:ascii="宋体" w:hAnsi="宋体" w:cs="宋体"/>
          <w:color w:val="auto"/>
          <w:highlight w:val="none"/>
          <w:lang w:eastAsia="zh-CN"/>
        </w:rPr>
        <w:t>检范围须占</w:t>
      </w:r>
      <w:r>
        <w:rPr>
          <w:rFonts w:hint="eastAsia" w:ascii="宋体" w:hAnsi="宋体" w:cs="宋体"/>
          <w:color w:val="auto"/>
          <w:highlight w:val="none"/>
          <w:lang w:val="en-US" w:eastAsia="zh-CN"/>
        </w:rPr>
        <w:t>本项目</w:t>
      </w:r>
      <w:r>
        <w:rPr>
          <w:rFonts w:hint="eastAsia" w:ascii="宋体" w:hAnsi="宋体" w:cs="宋体"/>
          <w:color w:val="auto"/>
          <w:highlight w:val="none"/>
          <w:lang w:eastAsia="zh-CN"/>
        </w:rPr>
        <w:t>检测清单总项目比重（自检率）</w:t>
      </w:r>
      <w:r>
        <w:rPr>
          <w:rFonts w:hint="eastAsia" w:ascii="宋体" w:hAnsi="宋体" w:cs="宋体"/>
          <w:color w:val="auto"/>
          <w:highlight w:val="none"/>
          <w:lang w:val="en-US" w:eastAsia="zh-CN"/>
        </w:rPr>
        <w:t>的</w:t>
      </w:r>
      <w:r>
        <w:rPr>
          <w:rFonts w:hint="eastAsia" w:ascii="宋体" w:hAnsi="宋体" w:cs="宋体"/>
          <w:color w:val="auto"/>
          <w:highlight w:val="none"/>
          <w:lang w:eastAsia="zh-CN"/>
        </w:rPr>
        <w:t>60%（不含）以上证明文件，具体详见附</w:t>
      </w:r>
      <w:r>
        <w:rPr>
          <w:rFonts w:hint="eastAsia" w:ascii="宋体" w:hAnsi="宋体" w:cs="宋体"/>
          <w:color w:val="auto"/>
          <w:highlight w:val="none"/>
          <w:lang w:val="en-US" w:eastAsia="zh-CN"/>
        </w:rPr>
        <w:t>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长沙市轨道交通1、2、3、4、5号线运营期2022年-2023年计量器具及化验委外检测清单评审表</w:t>
      </w:r>
      <w:r>
        <w:rPr>
          <w:rFonts w:hint="eastAsia" w:ascii="宋体" w:hAnsi="宋体" w:cs="宋体"/>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cs="宋体"/>
          <w:color w:val="auto"/>
          <w:highlight w:val="none"/>
          <w:lang w:val="en-US" w:eastAsia="zh-CN"/>
        </w:rPr>
        <w:t>3.</w:t>
      </w:r>
      <w:r>
        <w:rPr>
          <w:rFonts w:hint="eastAsia" w:ascii="宋体" w:hAnsi="宋体" w:cs="宋体"/>
          <w:color w:val="auto"/>
          <w:szCs w:val="21"/>
          <w:highlight w:val="none"/>
        </w:rPr>
        <w:t>须提供</w:t>
      </w:r>
      <w:r>
        <w:rPr>
          <w:rFonts w:hint="eastAsia" w:ascii="宋体" w:hAnsi="宋体" w:cs="宋体"/>
          <w:iCs/>
          <w:lang w:val="en-US" w:eastAsia="zh-CN"/>
        </w:rPr>
        <w:t>在本项目响应文件递交截止之日前</w:t>
      </w:r>
      <w:r>
        <w:rPr>
          <w:rFonts w:hint="eastAsia" w:ascii="宋体" w:hAnsi="宋体" w:eastAsia="宋体" w:cs="宋体"/>
          <w:color w:val="auto"/>
          <w:sz w:val="21"/>
          <w:szCs w:val="21"/>
          <w:highlight w:val="none"/>
          <w:lang w:val="en-US" w:eastAsia="zh-CN"/>
        </w:rPr>
        <w:t>36个月内计量器具检测服务业绩</w:t>
      </w:r>
      <w:r>
        <w:rPr>
          <w:rFonts w:hint="eastAsia" w:ascii="宋体" w:hAnsi="宋体" w:eastAsia="宋体" w:cs="宋体"/>
          <w:color w:val="auto"/>
          <w:sz w:val="21"/>
          <w:szCs w:val="21"/>
          <w:highlight w:val="none"/>
          <w:u w:val="none"/>
          <w:lang w:val="en-US" w:eastAsia="zh-CN"/>
        </w:rPr>
        <w:t>。不接受联合体业绩、港澳台或境外业绩</w:t>
      </w:r>
      <w:r>
        <w:rPr>
          <w:rFonts w:hint="eastAsia" w:ascii="宋体" w:hAnsi="宋体" w:eastAsia="宋体" w:cs="宋体"/>
          <w:color w:val="auto"/>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i w:val="0"/>
          <w:iCs w:val="0"/>
          <w:color w:val="auto"/>
          <w:sz w:val="21"/>
          <w:szCs w:val="21"/>
          <w:highlight w:val="none"/>
          <w:u w:val="none"/>
          <w:lang w:val="en-US" w:eastAsia="zh-CN"/>
        </w:rPr>
      </w:pPr>
      <w:r>
        <w:rPr>
          <w:rFonts w:hint="eastAsia" w:ascii="宋体" w:hAnsi="宋体" w:cs="宋体"/>
          <w:color w:val="auto"/>
          <w:highlight w:val="none"/>
          <w:lang w:eastAsia="zh-CN"/>
        </w:rPr>
        <w:t>业绩证明材料以同时提供的合同原件扫描件和发票（开票金额不少于合同金额的10%）原件扫描件为准（均须加盖投标人单位公章），业绩金额以合同中金额为准，时间以合同中采购单位的签字时间为准；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color w:val="auto"/>
          <w:sz w:val="21"/>
          <w:szCs w:val="21"/>
          <w:highlight w:val="none"/>
          <w:lang w:eastAsia="zh-CN"/>
        </w:rPr>
      </w:pPr>
      <w:r>
        <w:rPr>
          <w:rFonts w:hint="eastAsia" w:ascii="宋体" w:hAnsi="宋体" w:cs="宋体"/>
          <w:iCs/>
          <w:color w:val="auto"/>
          <w:highlight w:val="none"/>
          <w:lang w:val="en-US" w:eastAsia="zh-CN"/>
        </w:rPr>
        <w:t>4</w:t>
      </w:r>
      <w:r>
        <w:rPr>
          <w:rFonts w:hint="eastAsia" w:ascii="宋体" w:hAnsi="宋体" w:cs="宋体"/>
          <w:iCs/>
          <w:color w:val="auto"/>
          <w:highlight w:val="none"/>
          <w:lang w:eastAsia="zh-CN"/>
        </w:rPr>
        <w:t>.</w:t>
      </w:r>
      <w:r>
        <w:rPr>
          <w:rFonts w:hint="eastAsia" w:ascii="宋体" w:hAnsi="宋体" w:cs="宋体"/>
          <w:color w:val="auto"/>
          <w:highlight w:val="none"/>
        </w:rPr>
        <w:t>须</w:t>
      </w:r>
      <w:r>
        <w:rPr>
          <w:rFonts w:hint="eastAsia" w:ascii="宋体" w:hAnsi="宋体" w:cs="宋体"/>
          <w:color w:val="auto"/>
          <w:highlight w:val="none"/>
          <w:lang w:eastAsia="zh-CN"/>
        </w:rPr>
        <w:t>提供</w:t>
      </w:r>
      <w:r>
        <w:rPr>
          <w:rFonts w:hint="eastAsia" w:ascii="宋体" w:hAnsi="宋体"/>
          <w:color w:val="auto"/>
          <w:sz w:val="21"/>
          <w:szCs w:val="21"/>
          <w:highlight w:val="none"/>
        </w:rPr>
        <w:t>技术负责人计量相关专业中级及以上职称</w:t>
      </w:r>
      <w:r>
        <w:rPr>
          <w:rFonts w:hint="eastAsia" w:ascii="宋体" w:hAnsi="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iCs/>
          <w:color w:val="auto"/>
          <w:highlight w:val="none"/>
          <w:lang w:eastAsia="zh-CN"/>
        </w:rPr>
      </w:pPr>
      <w:r>
        <w:rPr>
          <w:rFonts w:hint="eastAsia" w:ascii="宋体" w:hAnsi="宋体"/>
          <w:color w:val="auto"/>
          <w:sz w:val="21"/>
          <w:szCs w:val="21"/>
          <w:highlight w:val="none"/>
          <w:lang w:val="en-US" w:eastAsia="zh-CN"/>
        </w:rPr>
        <w:t>5.</w:t>
      </w:r>
      <w:r>
        <w:rPr>
          <w:rFonts w:hint="eastAsia" w:ascii="宋体" w:hAnsi="宋体" w:cs="宋体"/>
          <w:color w:val="auto"/>
          <w:highlight w:val="none"/>
        </w:rPr>
        <w:t>须</w:t>
      </w:r>
      <w:r>
        <w:rPr>
          <w:rFonts w:hint="eastAsia" w:ascii="宋体" w:hAnsi="宋体" w:cs="宋体"/>
          <w:color w:val="auto"/>
          <w:highlight w:val="none"/>
          <w:lang w:eastAsia="zh-CN"/>
        </w:rPr>
        <w:t>提供</w:t>
      </w:r>
      <w:r>
        <w:rPr>
          <w:rFonts w:hint="eastAsia" w:ascii="宋体" w:hAnsi="宋体"/>
          <w:color w:val="auto"/>
          <w:sz w:val="21"/>
          <w:szCs w:val="21"/>
          <w:highlight w:val="none"/>
        </w:rPr>
        <w:t>项目负责人计量相关专业初级及以上职称</w:t>
      </w:r>
      <w:r>
        <w:rPr>
          <w:rFonts w:hint="eastAsia" w:ascii="宋体" w:hAnsi="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hint="default" w:ascii="宋体" w:hAnsi="宋体" w:eastAsia="宋体"/>
          <w:b w:val="0"/>
          <w:bCs w:val="0"/>
          <w:color w:val="auto"/>
          <w:szCs w:val="21"/>
          <w:highlight w:val="none"/>
          <w:lang w:val="en-US" w:eastAsia="zh-CN"/>
        </w:rPr>
      </w:pPr>
      <w:r>
        <w:rPr>
          <w:rFonts w:hint="eastAsia" w:ascii="宋体" w:hAnsi="宋体" w:cs="宋体"/>
          <w:iCs/>
          <w:color w:val="auto"/>
          <w:highlight w:val="none"/>
          <w:lang w:val="en-US" w:eastAsia="zh-CN"/>
        </w:rPr>
        <w:t>6.</w:t>
      </w:r>
      <w:r>
        <w:rPr>
          <w:rFonts w:hint="eastAsia" w:ascii="宋体" w:hAnsi="宋体" w:cs="宋体"/>
          <w:color w:val="auto"/>
          <w:kern w:val="0"/>
          <w:szCs w:val="21"/>
          <w:highlight w:val="none"/>
        </w:rPr>
        <w:t>谈判单位认为与本项目资格条件有关的其它证明文件（如有，格式自拟）。</w:t>
      </w:r>
    </w:p>
    <w:p>
      <w:pPr>
        <w:keepNext w:val="0"/>
        <w:keepLines w:val="0"/>
        <w:widowControl/>
        <w:suppressLineNumbers w:val="0"/>
        <w:ind w:firstLine="422" w:firstLineChars="200"/>
        <w:jc w:val="left"/>
        <w:rPr>
          <w:rFonts w:ascii="宋体" w:hAnsi="宋体"/>
          <w:b/>
          <w:bCs/>
          <w:color w:val="auto"/>
          <w:szCs w:val="21"/>
          <w:highlight w:val="none"/>
        </w:rPr>
      </w:pPr>
      <w:r>
        <w:rPr>
          <w:rFonts w:hint="eastAsia" w:ascii="宋体" w:hAnsi="宋体"/>
          <w:b/>
          <w:bCs/>
          <w:color w:val="auto"/>
          <w:szCs w:val="21"/>
          <w:highlight w:val="none"/>
        </w:rPr>
        <w:t>备注：上述证明文件复印件均须加盖谈判单位公章</w:t>
      </w:r>
      <w:r>
        <w:rPr>
          <w:rFonts w:hint="eastAsia" w:ascii="宋体" w:hAnsi="宋体"/>
          <w:b/>
          <w:bCs/>
          <w:color w:val="auto"/>
          <w:szCs w:val="21"/>
          <w:highlight w:val="none"/>
          <w:lang w:val="en-US" w:eastAsia="zh-CN"/>
        </w:rPr>
        <w:t>（鲜章）</w:t>
      </w:r>
      <w:r>
        <w:rPr>
          <w:rFonts w:hint="eastAsia" w:ascii="宋体" w:hAnsi="宋体"/>
          <w:b/>
          <w:bCs/>
          <w:color w:val="auto"/>
          <w:szCs w:val="21"/>
          <w:highlight w:val="none"/>
        </w:rPr>
        <w:t>。</w:t>
      </w:r>
    </w:p>
    <w:p>
      <w:pPr>
        <w:pStyle w:val="2"/>
        <w:outlineLvl w:val="9"/>
        <w:rPr>
          <w:rFonts w:hint="eastAsia"/>
          <w:color w:val="auto"/>
          <w:highlight w:val="none"/>
        </w:rPr>
      </w:pPr>
    </w:p>
    <w:p>
      <w:pPr>
        <w:rPr>
          <w:color w:val="auto"/>
          <w:highlight w:val="none"/>
        </w:rPr>
      </w:pPr>
      <w:r>
        <w:rPr>
          <w:color w:val="auto"/>
          <w:highlight w:val="none"/>
        </w:rPr>
        <w:br w:type="page"/>
      </w:r>
    </w:p>
    <w:p>
      <w:pPr>
        <w:rPr>
          <w:color w:val="auto"/>
          <w:highlight w:val="none"/>
        </w:rPr>
        <w:sectPr>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sectPr>
      </w:pPr>
    </w:p>
    <w:tbl>
      <w:tblPr>
        <w:tblStyle w:val="4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8"/>
        <w:gridCol w:w="1636"/>
        <w:gridCol w:w="1605"/>
        <w:gridCol w:w="1308"/>
        <w:gridCol w:w="2263"/>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4" w:hRule="atLeast"/>
        </w:trPr>
        <w:tc>
          <w:tcPr>
            <w:tcW w:w="5000" w:type="pct"/>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附件：长沙市轨道交通1、2、3、4、5号线运营期2022年-2023年计量器具及化验委外检测清单评审表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器具名称</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型号规格</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自检</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（代送检）</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资质证书附件中页码/序号/名称</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（代送检不填）</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59"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车辆车钩中心高度尺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车辆车轮第四种检查器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机车车辆轮对内距尺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机车车辆轮径测量器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电子式波形磨耗测量仪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钢轨磨耗测量仪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钢轨直度测量尺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铁路方尺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铁路轨距尺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铁路轨距尺检定器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铁路支距尺检定器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辙叉磨耗测量仪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百分表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表面粗糙度比较样块</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测厚仪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焊接检验尺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卡尺（含表盘式、机械、游标、数显、深度等卡尺）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宽座角尺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量块</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内径百分表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内径千分尺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全站仪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塞尺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水准仪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外径千分尺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万能角度尺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游标高度尺</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多功能校准源</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含600M示波器校准仪和多功能标准源两个功能模块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CT/PT特性测试仪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CT流互特性测试仪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LCR数字电桥</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避雷器计数测试仪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避雷器特性测试仪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变频谐振耐压成套装置</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变压器变比测试仪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变压器线圈直流电阻测试仪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变压器有载分接开关测试仪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便携式高压测试仪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便携式交流耐压测试装置</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磁粉探伤仪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电能质量分析仪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断路器参数测试仪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防雷元件测试仪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高压成套试验装置</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高压开关特性测试仪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高压直流泄漏测试仪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工频耐压测试系统</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工频耐压测试仪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过程校验仪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回路电阻测试仪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继电保护测试仪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交流电量测试仪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绝缘电阻测试仪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绝缘靴手套耐压试验装置</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绝缘油介电强度测试仪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钳形表检定装置</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三用表校验仪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数字电容表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数字钳形表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数字万用表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数字多用表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数字微欧计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相位测试仪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蓄电池放电测试仪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蓄电池内阻测试仪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蓄电池容量测试仪及智能负载</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蓄电池维护测试仪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蓄电池性能测试仪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兆欧表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直流标准电阻</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直流电压表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直流电阻测量仪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直流电阻电桥</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直流电阻器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直流高压发生器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LCR测量仪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自动化综合测试仪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阻抗仪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电子经纬仪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光功率计/光万用表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光可变衰减器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光时域反射仪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激光测量仪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照度计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二氧化碳浓度测试仪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可燃气体检测仪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酒精测试仪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超声波测漏仪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丙烷减压器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二氧化碳减压器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氩气减压器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氧气减压器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乙炔减压器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回弹仪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管形测力计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测力计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测速仪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电子秤/电子台秤</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电子平台秤（地磅）</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电子天平</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电接点压力表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高精度数字压力计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数字压力表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智能数字压力校验仪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精密压力表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烟烙尽测压表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双头压力表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冷媒压力表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膜盒压力真空表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安全阀</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扭力扳手检测仪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推拉力计（含数显式、指针式等推拉力计）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道岔测力仪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转辙机测试仪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热电偶校准仪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红外测温仪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红外热像仪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微水测量仪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温度模拟器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电子秒表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机械秒表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TETRA综合测试仪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便携式场强分析仪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便携式网络分析仪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交流毫伏表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逻辑分析仪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多功能信号发生器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任意波形发生器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模拟示波器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139</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便携式波形记录仪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示波器（含数字、数字存储、高级数字万用、单踪10MHz、8通道等示波器）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天馈线分析仪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钢轨探伤仪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数字超声波探伤仪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噪声频谱分析仪</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146</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声级计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147</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噪音计</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排相器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149</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验电器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接地棒</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151</w:t>
            </w:r>
          </w:p>
        </w:tc>
        <w:tc>
          <w:tcPr>
            <w:tcW w:w="9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除冰器</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152</w:t>
            </w:r>
          </w:p>
        </w:tc>
        <w:tc>
          <w:tcPr>
            <w:tcW w:w="9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变压器油</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取样</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溶解气体色谱分析</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介损耐压</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含水量</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酸值</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色度</w:t>
            </w:r>
          </w:p>
        </w:tc>
        <w:tc>
          <w:tcPr>
            <w:tcW w:w="7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9"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    1、2、3、4、5号线计量器具及化验委外检测清单中可自检项目占检测清单总项目比重：自检数量</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项，代送检数量</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项，检测清单总项数152项，自检率：</w:t>
            </w:r>
            <w:r>
              <w:rPr>
                <w:rFonts w:hint="eastAsia" w:ascii="宋体" w:hAnsi="宋体" w:eastAsia="宋体" w:cs="宋体"/>
                <w:i w:val="0"/>
                <w:iCs w:val="0"/>
                <w:color w:val="auto"/>
                <w:kern w:val="0"/>
                <w:sz w:val="21"/>
                <w:szCs w:val="21"/>
                <w:highlight w:val="none"/>
                <w:u w:val="singl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 （四舍五入，取整数）。</w:t>
            </w:r>
          </w:p>
        </w:tc>
      </w:tr>
    </w:tbl>
    <w:p>
      <w:pPr>
        <w:pStyle w:val="2"/>
        <w:rPr>
          <w:color w:val="auto"/>
          <w:highlight w:val="none"/>
        </w:rPr>
        <w:sectPr>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sectPr>
      </w:pPr>
    </w:p>
    <w:p>
      <w:pPr>
        <w:adjustRightInd w:val="0"/>
        <w:snapToGrid w:val="0"/>
        <w:spacing w:line="360" w:lineRule="auto"/>
        <w:ind w:right="24"/>
        <w:jc w:val="center"/>
        <w:outlineLvl w:val="1"/>
        <w:rPr>
          <w:rFonts w:ascii="黑体" w:hAnsi="宋体" w:eastAsia="黑体"/>
          <w:b/>
          <w:color w:val="auto"/>
          <w:sz w:val="28"/>
          <w:szCs w:val="28"/>
          <w:highlight w:val="none"/>
        </w:rPr>
      </w:pPr>
      <w:bookmarkStart w:id="180" w:name="_Toc12607"/>
      <w:r>
        <w:rPr>
          <w:rFonts w:hint="eastAsia" w:hAnsi="宋体" w:cs="宋体"/>
          <w:b/>
          <w:bCs w:val="0"/>
          <w:color w:val="auto"/>
          <w:sz w:val="28"/>
          <w:szCs w:val="28"/>
          <w:highlight w:val="none"/>
          <w:lang w:eastAsia="zh-CN"/>
        </w:rPr>
        <w:t>五</w:t>
      </w:r>
      <w:r>
        <w:rPr>
          <w:rFonts w:hAnsi="宋体" w:cs="宋体"/>
          <w:b/>
          <w:bCs w:val="0"/>
          <w:color w:val="auto"/>
          <w:sz w:val="28"/>
          <w:szCs w:val="28"/>
          <w:highlight w:val="none"/>
        </w:rPr>
        <w:t>、</w:t>
      </w:r>
      <w:r>
        <w:rPr>
          <w:rFonts w:hint="eastAsia" w:ascii="宋体" w:hAnsi="宋体" w:eastAsia="宋体" w:cs="宋体"/>
          <w:b/>
          <w:color w:val="auto"/>
          <w:sz w:val="32"/>
          <w:szCs w:val="32"/>
          <w:highlight w:val="none"/>
        </w:rPr>
        <w:t>报价一览表</w:t>
      </w:r>
      <w:bookmarkEnd w:id="180"/>
    </w:p>
    <w:p>
      <w:pPr>
        <w:adjustRightInd w:val="0"/>
        <w:snapToGrid w:val="0"/>
        <w:jc w:val="right"/>
        <w:rPr>
          <w:rFonts w:ascii="黑体" w:hAnsi="宋体" w:eastAsia="黑体"/>
          <w:color w:val="auto"/>
          <w:sz w:val="24"/>
          <w:highlight w:val="none"/>
        </w:rPr>
      </w:pPr>
    </w:p>
    <w:tbl>
      <w:tblPr>
        <w:tblStyle w:val="47"/>
        <w:tblW w:w="8820"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48"/>
        <w:gridCol w:w="3170"/>
        <w:gridCol w:w="33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2348" w:type="dxa"/>
            <w:vAlign w:val="center"/>
          </w:tcPr>
          <w:p>
            <w:pPr>
              <w:tabs>
                <w:tab w:val="left" w:pos="403"/>
                <w:tab w:val="center" w:pos="3781"/>
              </w:tabs>
              <w:spacing w:line="420" w:lineRule="exact"/>
              <w:ind w:right="-5206" w:rightChars="-2479" w:firstLine="630" w:firstLineChars="300"/>
              <w:rPr>
                <w:rFonts w:ascii="宋体" w:hAnsi="宋体"/>
                <w:color w:val="auto"/>
                <w:szCs w:val="21"/>
                <w:highlight w:val="none"/>
              </w:rPr>
            </w:pPr>
            <w:r>
              <w:rPr>
                <w:rFonts w:ascii="宋体" w:hAnsi="宋体"/>
                <w:color w:val="auto"/>
                <w:szCs w:val="21"/>
                <w:highlight w:val="none"/>
              </w:rPr>
              <w:t>项目名称</w:t>
            </w:r>
            <w:r>
              <w:rPr>
                <w:rFonts w:ascii="宋体" w:hAnsi="宋体"/>
                <w:color w:val="auto"/>
                <w:szCs w:val="21"/>
                <w:highlight w:val="none"/>
              </w:rPr>
              <w:tab/>
            </w:r>
            <w:r>
              <w:rPr>
                <w:rFonts w:ascii="宋体" w:hAnsi="宋体"/>
                <w:color w:val="auto"/>
                <w:szCs w:val="21"/>
                <w:highlight w:val="none"/>
              </w:rPr>
              <w:t>项目名称</w:t>
            </w:r>
          </w:p>
        </w:tc>
        <w:tc>
          <w:tcPr>
            <w:tcW w:w="6472" w:type="dxa"/>
            <w:gridSpan w:val="2"/>
            <w:vAlign w:val="center"/>
          </w:tcPr>
          <w:p>
            <w:pPr>
              <w:spacing w:line="42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2348" w:type="dxa"/>
            <w:vAlign w:val="center"/>
          </w:tcPr>
          <w:p>
            <w:pPr>
              <w:tabs>
                <w:tab w:val="left" w:pos="403"/>
                <w:tab w:val="center" w:pos="3781"/>
              </w:tabs>
              <w:spacing w:line="420" w:lineRule="exact"/>
              <w:ind w:right="-5206" w:rightChars="-2479" w:firstLine="630" w:firstLineChars="300"/>
              <w:rPr>
                <w:rFonts w:ascii="宋体" w:hAnsi="宋体"/>
                <w:color w:val="auto"/>
                <w:szCs w:val="21"/>
                <w:highlight w:val="none"/>
              </w:rPr>
            </w:pPr>
            <w:r>
              <w:rPr>
                <w:rFonts w:hint="eastAsia" w:ascii="宋体" w:hAnsi="宋体"/>
                <w:color w:val="auto"/>
                <w:szCs w:val="21"/>
                <w:highlight w:val="none"/>
              </w:rPr>
              <w:t>项目</w:t>
            </w:r>
            <w:r>
              <w:rPr>
                <w:rFonts w:ascii="宋体" w:hAnsi="宋体"/>
                <w:color w:val="auto"/>
                <w:szCs w:val="21"/>
                <w:highlight w:val="none"/>
              </w:rPr>
              <w:t>编号</w:t>
            </w:r>
          </w:p>
        </w:tc>
        <w:tc>
          <w:tcPr>
            <w:tcW w:w="6472" w:type="dxa"/>
            <w:gridSpan w:val="2"/>
            <w:vAlign w:val="center"/>
          </w:tcPr>
          <w:p>
            <w:pPr>
              <w:spacing w:line="420" w:lineRule="exact"/>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2348" w:type="dxa"/>
            <w:vAlign w:val="center"/>
          </w:tcPr>
          <w:p>
            <w:pPr>
              <w:spacing w:line="420" w:lineRule="exact"/>
              <w:jc w:val="center"/>
              <w:rPr>
                <w:rFonts w:ascii="宋体" w:hAnsi="宋体"/>
                <w:color w:val="auto"/>
                <w:szCs w:val="21"/>
                <w:highlight w:val="none"/>
              </w:rPr>
            </w:pPr>
            <w:r>
              <w:rPr>
                <w:rFonts w:hint="eastAsia" w:ascii="宋体" w:hAnsi="宋体"/>
                <w:color w:val="auto"/>
                <w:szCs w:val="21"/>
                <w:highlight w:val="none"/>
              </w:rPr>
              <w:t>服务期限</w:t>
            </w:r>
          </w:p>
        </w:tc>
        <w:tc>
          <w:tcPr>
            <w:tcW w:w="6472" w:type="dxa"/>
            <w:gridSpan w:val="2"/>
            <w:vAlign w:val="center"/>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348" w:type="dxa"/>
            <w:vAlign w:val="center"/>
          </w:tcPr>
          <w:p>
            <w:pPr>
              <w:jc w:val="center"/>
              <w:rPr>
                <w:rFonts w:hint="eastAsia" w:ascii="宋体" w:hAnsi="宋体"/>
                <w:b w:val="0"/>
                <w:bCs/>
                <w:color w:val="auto"/>
                <w:szCs w:val="21"/>
                <w:highlight w:val="none"/>
              </w:rPr>
            </w:pPr>
            <w:r>
              <w:rPr>
                <w:rFonts w:hint="eastAsia" w:ascii="宋体" w:hAnsi="宋体" w:cs="宋体"/>
                <w:color w:val="auto"/>
                <w:szCs w:val="21"/>
                <w:highlight w:val="none"/>
                <w:lang w:eastAsia="zh-CN"/>
              </w:rPr>
              <w:t>①1号线报价</w:t>
            </w:r>
          </w:p>
        </w:tc>
        <w:tc>
          <w:tcPr>
            <w:tcW w:w="317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302" w:type="dxa"/>
            <w:vAlign w:val="center"/>
          </w:tcPr>
          <w:p>
            <w:pPr>
              <w:spacing w:line="420" w:lineRule="exact"/>
              <w:jc w:val="center"/>
              <w:rPr>
                <w:rFonts w:hint="eastAsia"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348" w:type="dxa"/>
            <w:vAlign w:val="center"/>
          </w:tcPr>
          <w:p>
            <w:pPr>
              <w:jc w:val="center"/>
              <w:rPr>
                <w:rFonts w:hint="eastAsia" w:ascii="宋体" w:hAnsi="宋体"/>
                <w:b w:val="0"/>
                <w:bCs/>
                <w:color w:val="auto"/>
                <w:szCs w:val="21"/>
                <w:highlight w:val="none"/>
              </w:rPr>
            </w:pPr>
            <w:r>
              <w:rPr>
                <w:rFonts w:hint="eastAsia" w:ascii="宋体" w:hAnsi="宋体" w:cs="宋体"/>
                <w:color w:val="auto"/>
                <w:szCs w:val="21"/>
                <w:highlight w:val="none"/>
                <w:lang w:eastAsia="zh-CN"/>
              </w:rPr>
              <w:t>②2号线报价</w:t>
            </w:r>
          </w:p>
        </w:tc>
        <w:tc>
          <w:tcPr>
            <w:tcW w:w="317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302" w:type="dxa"/>
            <w:vAlign w:val="center"/>
          </w:tcPr>
          <w:p>
            <w:pPr>
              <w:spacing w:line="420" w:lineRule="exact"/>
              <w:jc w:val="center"/>
              <w:rPr>
                <w:rFonts w:hint="eastAsia"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348" w:type="dxa"/>
            <w:vAlign w:val="center"/>
          </w:tcPr>
          <w:p>
            <w:pPr>
              <w:jc w:val="center"/>
              <w:rPr>
                <w:rFonts w:hint="eastAsia" w:ascii="宋体" w:hAnsi="宋体"/>
                <w:b w:val="0"/>
                <w:bCs/>
                <w:color w:val="auto"/>
                <w:szCs w:val="21"/>
                <w:highlight w:val="none"/>
              </w:rPr>
            </w:pPr>
            <w:r>
              <w:rPr>
                <w:rFonts w:hint="eastAsia" w:ascii="宋体" w:hAnsi="宋体" w:cs="宋体"/>
                <w:color w:val="auto"/>
                <w:szCs w:val="21"/>
                <w:highlight w:val="none"/>
                <w:lang w:eastAsia="zh-CN"/>
              </w:rPr>
              <w:t>③</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号线报价</w:t>
            </w:r>
          </w:p>
        </w:tc>
        <w:tc>
          <w:tcPr>
            <w:tcW w:w="317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302" w:type="dxa"/>
            <w:vAlign w:val="center"/>
          </w:tcPr>
          <w:p>
            <w:pPr>
              <w:spacing w:line="420" w:lineRule="exact"/>
              <w:jc w:val="center"/>
              <w:rPr>
                <w:rFonts w:hint="eastAsia"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348" w:type="dxa"/>
            <w:vAlign w:val="center"/>
          </w:tcPr>
          <w:p>
            <w:pPr>
              <w:jc w:val="center"/>
              <w:rPr>
                <w:rFonts w:hint="eastAsia" w:ascii="宋体" w:hAnsi="宋体"/>
                <w:b w:val="0"/>
                <w:bCs/>
                <w:color w:val="auto"/>
                <w:szCs w:val="21"/>
                <w:highlight w:val="none"/>
              </w:rPr>
            </w:pPr>
            <w:r>
              <w:rPr>
                <w:rFonts w:hint="eastAsia" w:ascii="宋体" w:hAnsi="宋体" w:cs="宋体"/>
                <w:color w:val="auto"/>
                <w:szCs w:val="21"/>
                <w:highlight w:val="none"/>
                <w:lang w:eastAsia="zh-CN"/>
              </w:rPr>
              <w:t>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号线报价</w:t>
            </w:r>
          </w:p>
        </w:tc>
        <w:tc>
          <w:tcPr>
            <w:tcW w:w="317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302" w:type="dxa"/>
            <w:vAlign w:val="center"/>
          </w:tcPr>
          <w:p>
            <w:pPr>
              <w:spacing w:line="420" w:lineRule="exact"/>
              <w:jc w:val="center"/>
              <w:rPr>
                <w:rFonts w:hint="eastAsia"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348" w:type="dxa"/>
            <w:vAlign w:val="center"/>
          </w:tcPr>
          <w:p>
            <w:pPr>
              <w:jc w:val="center"/>
              <w:rPr>
                <w:rFonts w:hint="eastAsia" w:ascii="宋体" w:hAnsi="宋体"/>
                <w:b w:val="0"/>
                <w:bCs/>
                <w:color w:val="auto"/>
                <w:szCs w:val="21"/>
                <w:highlight w:val="none"/>
              </w:rPr>
            </w:pPr>
            <w:r>
              <w:rPr>
                <w:rFonts w:hint="eastAsia" w:ascii="宋体" w:hAnsi="宋体" w:cs="宋体"/>
                <w:color w:val="auto"/>
                <w:szCs w:val="21"/>
                <w:highlight w:val="none"/>
                <w:lang w:eastAsia="zh-CN"/>
              </w:rPr>
              <w:t>⑤</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号线报价</w:t>
            </w:r>
          </w:p>
        </w:tc>
        <w:tc>
          <w:tcPr>
            <w:tcW w:w="3170" w:type="dxa"/>
            <w:vAlign w:val="center"/>
          </w:tcPr>
          <w:p>
            <w:pPr>
              <w:jc w:val="center"/>
              <w:rPr>
                <w:rFonts w:hint="eastAsia"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302" w:type="dxa"/>
            <w:vAlign w:val="center"/>
          </w:tcPr>
          <w:p>
            <w:pPr>
              <w:spacing w:line="420" w:lineRule="exact"/>
              <w:jc w:val="center"/>
              <w:rPr>
                <w:rFonts w:hint="eastAsia"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trPr>
        <w:tc>
          <w:tcPr>
            <w:tcW w:w="2348" w:type="dxa"/>
            <w:vAlign w:val="center"/>
          </w:tcPr>
          <w:p>
            <w:pPr>
              <w:spacing w:line="420" w:lineRule="exact"/>
              <w:jc w:val="center"/>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①</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②</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③</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④</w:t>
            </w:r>
            <w:r>
              <w:rPr>
                <w:rFonts w:hint="eastAsia" w:ascii="宋体" w:hAnsi="宋体" w:cs="宋体"/>
                <w:b/>
                <w:bCs/>
                <w:color w:val="auto"/>
                <w:szCs w:val="21"/>
                <w:highlight w:val="none"/>
                <w:lang w:val="en-US" w:eastAsia="zh-CN"/>
              </w:rPr>
              <w:t>+</w:t>
            </w:r>
            <w:r>
              <w:rPr>
                <w:rFonts w:hint="eastAsia" w:ascii="宋体" w:hAnsi="宋体" w:cs="宋体"/>
                <w:b/>
                <w:bCs/>
                <w:color w:val="auto"/>
                <w:szCs w:val="21"/>
                <w:highlight w:val="none"/>
                <w:lang w:eastAsia="zh-CN"/>
              </w:rPr>
              <w:t>⑤</w:t>
            </w:r>
          </w:p>
          <w:p>
            <w:pPr>
              <w:spacing w:line="420" w:lineRule="exact"/>
              <w:jc w:val="center"/>
              <w:rPr>
                <w:rFonts w:hint="eastAsia" w:ascii="宋体" w:hAnsi="宋体" w:eastAsia="宋体"/>
                <w:b/>
                <w:color w:val="auto"/>
                <w:szCs w:val="21"/>
                <w:highlight w:val="none"/>
                <w:lang w:eastAsia="zh-CN"/>
              </w:rPr>
            </w:pPr>
            <w:r>
              <w:rPr>
                <w:rFonts w:hint="eastAsia" w:ascii="宋体" w:hAnsi="宋体"/>
                <w:b/>
                <w:bCs/>
                <w:color w:val="auto"/>
                <w:szCs w:val="21"/>
                <w:highlight w:val="none"/>
              </w:rPr>
              <w:t>谈判</w:t>
            </w:r>
            <w:r>
              <w:rPr>
                <w:rFonts w:ascii="宋体" w:hAnsi="宋体"/>
                <w:b/>
                <w:bCs/>
                <w:color w:val="auto"/>
                <w:szCs w:val="21"/>
                <w:highlight w:val="none"/>
              </w:rPr>
              <w:t>总报价</w:t>
            </w:r>
          </w:p>
        </w:tc>
        <w:tc>
          <w:tcPr>
            <w:tcW w:w="3170" w:type="dxa"/>
            <w:vAlign w:val="center"/>
          </w:tcPr>
          <w:p>
            <w:pPr>
              <w:jc w:val="center"/>
              <w:rPr>
                <w:rFonts w:ascii="宋体" w:hAnsi="宋体"/>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c>
          <w:tcPr>
            <w:tcW w:w="3302" w:type="dxa"/>
            <w:vAlign w:val="center"/>
          </w:tcPr>
          <w:p>
            <w:pPr>
              <w:spacing w:line="420" w:lineRule="exact"/>
              <w:jc w:val="center"/>
              <w:rPr>
                <w:rFonts w:ascii="宋体" w:hAnsi="宋体"/>
                <w:color w:val="auto"/>
                <w:szCs w:val="21"/>
                <w:highlight w:val="none"/>
              </w:rPr>
            </w:pPr>
            <w:r>
              <w:rPr>
                <w:rFonts w:hint="eastAsia" w:ascii="宋体" w:hAnsi="宋体"/>
                <w:color w:val="auto"/>
                <w:szCs w:val="21"/>
                <w:highlight w:val="none"/>
              </w:rPr>
              <w:t>小写：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trPr>
        <w:tc>
          <w:tcPr>
            <w:tcW w:w="2348" w:type="dxa"/>
            <w:vAlign w:val="center"/>
          </w:tcPr>
          <w:p>
            <w:pPr>
              <w:spacing w:line="420" w:lineRule="exact"/>
              <w:jc w:val="center"/>
              <w:rPr>
                <w:rFonts w:ascii="宋体" w:hAnsi="宋体"/>
                <w:color w:val="auto"/>
                <w:szCs w:val="21"/>
                <w:highlight w:val="none"/>
              </w:rPr>
            </w:pPr>
            <w:r>
              <w:rPr>
                <w:rFonts w:ascii="宋体" w:hAnsi="宋体"/>
                <w:color w:val="auto"/>
                <w:szCs w:val="21"/>
                <w:highlight w:val="none"/>
              </w:rPr>
              <w:t>备  注</w:t>
            </w:r>
          </w:p>
        </w:tc>
        <w:tc>
          <w:tcPr>
            <w:tcW w:w="6472" w:type="dxa"/>
            <w:gridSpan w:val="2"/>
            <w:vAlign w:val="center"/>
          </w:tcPr>
          <w:p>
            <w:pPr>
              <w:spacing w:line="420" w:lineRule="exact"/>
              <w:rPr>
                <w:rFonts w:ascii="宋体" w:hAnsi="宋体"/>
                <w:color w:val="auto"/>
                <w:szCs w:val="21"/>
                <w:highlight w:val="none"/>
              </w:rPr>
            </w:pPr>
          </w:p>
        </w:tc>
      </w:tr>
    </w:tbl>
    <w:p>
      <w:pPr>
        <w:spacing w:line="360" w:lineRule="auto"/>
        <w:rPr>
          <w:rFonts w:hint="eastAsia" w:hAnsi="宋体" w:cs="宋体"/>
          <w:b/>
          <w:color w:val="auto"/>
          <w:szCs w:val="21"/>
          <w:highlight w:val="none"/>
        </w:rPr>
      </w:pPr>
      <w:r>
        <w:rPr>
          <w:rFonts w:hint="eastAsia" w:hAnsi="宋体" w:cs="宋体"/>
          <w:b/>
          <w:color w:val="auto"/>
          <w:szCs w:val="21"/>
          <w:highlight w:val="none"/>
        </w:rPr>
        <w:t>备注：1、所有报价保留小数点后两位，小数点后第三位“四舍五入”。</w:t>
      </w:r>
    </w:p>
    <w:p>
      <w:pPr>
        <w:spacing w:line="360" w:lineRule="auto"/>
        <w:ind w:left="630" w:leftChars="300" w:firstLine="0" w:firstLineChars="0"/>
        <w:rPr>
          <w:rFonts w:hint="eastAsia" w:hAnsi="宋体" w:cs="宋体"/>
          <w:b/>
          <w:color w:val="auto"/>
          <w:szCs w:val="21"/>
          <w:highlight w:val="none"/>
        </w:rPr>
      </w:pPr>
      <w:r>
        <w:rPr>
          <w:rFonts w:hint="eastAsia" w:hAnsi="宋体" w:cs="宋体"/>
          <w:b/>
          <w:color w:val="auto"/>
          <w:szCs w:val="21"/>
          <w:highlight w:val="none"/>
        </w:rPr>
        <w:t>2、</w:t>
      </w:r>
      <w:r>
        <w:rPr>
          <w:rFonts w:hint="eastAsia" w:hAnsi="宋体" w:cs="宋体"/>
          <w:b/>
          <w:color w:val="auto"/>
          <w:szCs w:val="21"/>
          <w:highlight w:val="none"/>
          <w:lang w:eastAsia="zh-CN"/>
        </w:rPr>
        <w:t>谈判</w:t>
      </w:r>
      <w:r>
        <w:rPr>
          <w:rFonts w:hint="eastAsia" w:hAnsi="宋体" w:cs="宋体"/>
          <w:b/>
          <w:color w:val="auto"/>
          <w:szCs w:val="21"/>
          <w:highlight w:val="none"/>
        </w:rPr>
        <w:t>总报价已包含了</w:t>
      </w:r>
      <w:r>
        <w:rPr>
          <w:rFonts w:hint="eastAsia" w:hAnsi="宋体" w:cs="宋体"/>
          <w:b/>
          <w:color w:val="auto"/>
          <w:szCs w:val="21"/>
          <w:highlight w:val="none"/>
          <w:lang w:eastAsia="zh-CN"/>
        </w:rPr>
        <w:t>谈判</w:t>
      </w:r>
      <w:r>
        <w:rPr>
          <w:rFonts w:hint="eastAsia" w:hAnsi="宋体" w:cs="宋体"/>
          <w:b/>
          <w:color w:val="auto"/>
          <w:szCs w:val="21"/>
          <w:highlight w:val="none"/>
        </w:rPr>
        <w:t>文件要求的所有内容及要求。</w:t>
      </w:r>
      <w:r>
        <w:rPr>
          <w:rFonts w:hint="eastAsia" w:hAnsi="宋体" w:cs="宋体"/>
          <w:b/>
          <w:color w:val="auto"/>
          <w:szCs w:val="21"/>
          <w:highlight w:val="none"/>
          <w:lang w:eastAsia="zh-CN"/>
        </w:rPr>
        <w:t>谈判</w:t>
      </w:r>
      <w:r>
        <w:rPr>
          <w:rFonts w:hint="eastAsia" w:hAnsi="宋体" w:cs="宋体"/>
          <w:b/>
          <w:color w:val="auto"/>
          <w:szCs w:val="21"/>
          <w:highlight w:val="none"/>
        </w:rPr>
        <w:t>报价表中未具体列明的，但在合同执行阶段可能发生的一切费用已经包含在</w:t>
      </w:r>
      <w:r>
        <w:rPr>
          <w:rFonts w:hint="eastAsia" w:hAnsi="宋体" w:cs="宋体"/>
          <w:b/>
          <w:color w:val="auto"/>
          <w:szCs w:val="21"/>
          <w:highlight w:val="none"/>
          <w:lang w:eastAsia="zh-CN"/>
        </w:rPr>
        <w:t>谈判</w:t>
      </w:r>
      <w:r>
        <w:rPr>
          <w:rFonts w:hint="eastAsia" w:hAnsi="宋体" w:cs="宋体"/>
          <w:b/>
          <w:color w:val="auto"/>
          <w:szCs w:val="21"/>
          <w:highlight w:val="none"/>
        </w:rPr>
        <w:t>报价中。</w:t>
      </w:r>
    </w:p>
    <w:p>
      <w:pPr>
        <w:spacing w:line="360" w:lineRule="auto"/>
        <w:ind w:firstLine="632" w:firstLineChars="300"/>
        <w:rPr>
          <w:rFonts w:hint="eastAsia" w:hAnsi="宋体" w:cs="宋体"/>
          <w:b/>
          <w:color w:val="auto"/>
          <w:szCs w:val="21"/>
          <w:highlight w:val="none"/>
        </w:rPr>
      </w:pPr>
      <w:r>
        <w:rPr>
          <w:rFonts w:hint="eastAsia" w:hAnsi="宋体" w:cs="宋体"/>
          <w:b/>
          <w:color w:val="auto"/>
          <w:szCs w:val="21"/>
          <w:highlight w:val="none"/>
        </w:rPr>
        <w:t>3、如果不提供详细</w:t>
      </w:r>
      <w:r>
        <w:rPr>
          <w:rFonts w:hint="eastAsia" w:hAnsi="宋体" w:cs="宋体"/>
          <w:b/>
          <w:color w:val="auto"/>
          <w:szCs w:val="21"/>
          <w:highlight w:val="none"/>
          <w:lang w:eastAsia="zh-CN"/>
        </w:rPr>
        <w:t>谈判</w:t>
      </w:r>
      <w:r>
        <w:rPr>
          <w:rFonts w:hint="eastAsia" w:hAnsi="宋体" w:cs="宋体"/>
          <w:b/>
          <w:color w:val="auto"/>
          <w:szCs w:val="21"/>
          <w:highlight w:val="none"/>
        </w:rPr>
        <w:t>报价将视为没有实质性响应</w:t>
      </w:r>
      <w:r>
        <w:rPr>
          <w:rFonts w:hint="eastAsia" w:hAnsi="宋体" w:cs="宋体"/>
          <w:b/>
          <w:color w:val="auto"/>
          <w:szCs w:val="21"/>
          <w:highlight w:val="none"/>
          <w:lang w:eastAsia="zh-CN"/>
        </w:rPr>
        <w:t>谈判</w:t>
      </w:r>
      <w:r>
        <w:rPr>
          <w:rFonts w:hint="eastAsia" w:hAnsi="宋体" w:cs="宋体"/>
          <w:b/>
          <w:color w:val="auto"/>
          <w:szCs w:val="21"/>
          <w:highlight w:val="none"/>
        </w:rPr>
        <w:t>文件。</w:t>
      </w:r>
    </w:p>
    <w:p>
      <w:pPr>
        <w:spacing w:line="360" w:lineRule="auto"/>
        <w:ind w:firstLine="632" w:firstLineChars="300"/>
        <w:rPr>
          <w:rFonts w:hint="eastAsia" w:hAnsi="宋体" w:cs="宋体"/>
          <w:b/>
          <w:color w:val="auto"/>
          <w:szCs w:val="21"/>
          <w:highlight w:val="none"/>
        </w:rPr>
      </w:pPr>
      <w:r>
        <w:rPr>
          <w:rFonts w:hint="eastAsia" w:hAnsi="宋体" w:cs="宋体"/>
          <w:b/>
          <w:color w:val="auto"/>
          <w:szCs w:val="21"/>
          <w:highlight w:val="none"/>
        </w:rPr>
        <w:t>4、本表中的“报价金额”应与《</w:t>
      </w:r>
      <w:r>
        <w:rPr>
          <w:rFonts w:hint="eastAsia" w:hAnsi="宋体" w:cs="宋体"/>
          <w:b/>
          <w:color w:val="auto"/>
          <w:szCs w:val="21"/>
          <w:highlight w:val="none"/>
          <w:lang w:eastAsia="zh-CN"/>
        </w:rPr>
        <w:t>谈判</w:t>
      </w:r>
      <w:r>
        <w:rPr>
          <w:rFonts w:hint="eastAsia" w:hAnsi="宋体" w:cs="宋体"/>
          <w:b/>
          <w:color w:val="auto"/>
          <w:szCs w:val="21"/>
          <w:highlight w:val="none"/>
        </w:rPr>
        <w:t>报价表》中的相应金额一致。</w:t>
      </w:r>
    </w:p>
    <w:p>
      <w:pPr>
        <w:pStyle w:val="45"/>
        <w:ind w:firstLine="632" w:firstLineChars="300"/>
        <w:rPr>
          <w:rFonts w:hint="eastAsia" w:ascii="Times New Roman" w:hAnsi="宋体" w:eastAsia="宋体" w:cs="宋体"/>
          <w:b/>
          <w:color w:val="auto"/>
          <w:kern w:val="2"/>
          <w:sz w:val="21"/>
          <w:szCs w:val="21"/>
          <w:highlight w:val="none"/>
          <w:lang w:val="en-US" w:eastAsia="zh-CN" w:bidi="ar-SA"/>
        </w:rPr>
      </w:pPr>
      <w:r>
        <w:rPr>
          <w:rFonts w:hint="eastAsia" w:ascii="Times New Roman" w:hAnsi="宋体" w:eastAsia="宋体" w:cs="宋体"/>
          <w:b/>
          <w:color w:val="auto"/>
          <w:kern w:val="2"/>
          <w:sz w:val="21"/>
          <w:szCs w:val="21"/>
          <w:highlight w:val="none"/>
          <w:lang w:val="en-US" w:eastAsia="zh-CN" w:bidi="ar-SA"/>
        </w:rPr>
        <w:t>5、</w:t>
      </w:r>
      <w:r>
        <w:rPr>
          <w:rFonts w:hint="eastAsia" w:hAnsi="宋体" w:cs="宋体"/>
          <w:b/>
          <w:color w:val="auto"/>
          <w:kern w:val="2"/>
          <w:sz w:val="21"/>
          <w:szCs w:val="21"/>
          <w:highlight w:val="none"/>
          <w:lang w:val="en-US" w:eastAsia="zh-CN" w:bidi="ar-SA"/>
        </w:rPr>
        <w:t>谈判报价综合单价、总价</w:t>
      </w:r>
      <w:r>
        <w:rPr>
          <w:rFonts w:hint="eastAsia" w:ascii="Times New Roman" w:hAnsi="宋体" w:eastAsia="宋体" w:cs="宋体"/>
          <w:b/>
          <w:color w:val="auto"/>
          <w:kern w:val="2"/>
          <w:sz w:val="21"/>
          <w:szCs w:val="21"/>
          <w:highlight w:val="none"/>
          <w:lang w:val="en-US" w:eastAsia="zh-CN" w:bidi="ar-SA"/>
        </w:rPr>
        <w:t>不能高于采购单位公布的最高投标限价，不超过最高投标限价的</w:t>
      </w:r>
      <w:r>
        <w:rPr>
          <w:rFonts w:hint="eastAsia" w:hAnsi="宋体" w:cs="宋体"/>
          <w:b/>
          <w:color w:val="auto"/>
          <w:kern w:val="2"/>
          <w:sz w:val="21"/>
          <w:szCs w:val="21"/>
          <w:highlight w:val="none"/>
          <w:lang w:val="en-US" w:eastAsia="zh-CN" w:bidi="ar-SA"/>
        </w:rPr>
        <w:t>谈判报价综合单价、总价</w:t>
      </w:r>
      <w:r>
        <w:rPr>
          <w:rFonts w:hint="eastAsia" w:ascii="Times New Roman" w:hAnsi="宋体" w:eastAsia="宋体" w:cs="宋体"/>
          <w:b/>
          <w:color w:val="auto"/>
          <w:kern w:val="2"/>
          <w:sz w:val="21"/>
          <w:szCs w:val="21"/>
          <w:highlight w:val="none"/>
          <w:lang w:val="en-US" w:eastAsia="zh-CN" w:bidi="ar-SA"/>
        </w:rPr>
        <w:t>方为有效报价。</w:t>
      </w:r>
    </w:p>
    <w:p>
      <w:pPr>
        <w:adjustRightInd w:val="0"/>
        <w:snapToGrid w:val="0"/>
        <w:spacing w:line="360" w:lineRule="auto"/>
        <w:ind w:left="-88" w:leftChars="-42"/>
        <w:rPr>
          <w:rFonts w:ascii="宋体" w:hAnsi="宋体"/>
          <w:color w:val="auto"/>
          <w:szCs w:val="21"/>
          <w:highlight w:val="none"/>
        </w:rPr>
      </w:pPr>
    </w:p>
    <w:p>
      <w:pPr>
        <w:adjustRightInd w:val="0"/>
        <w:snapToGrid w:val="0"/>
        <w:spacing w:line="360" w:lineRule="auto"/>
        <w:ind w:left="-88" w:leftChars="-42"/>
        <w:rPr>
          <w:rFonts w:ascii="宋体" w:hAnsi="宋体"/>
          <w:color w:val="auto"/>
          <w:szCs w:val="21"/>
          <w:highlight w:val="none"/>
        </w:rPr>
      </w:pPr>
    </w:p>
    <w:p>
      <w:pPr>
        <w:adjustRightInd w:val="0"/>
        <w:snapToGrid w:val="0"/>
        <w:spacing w:line="360" w:lineRule="auto"/>
        <w:ind w:left="-88" w:leftChars="-42"/>
        <w:rPr>
          <w:rFonts w:ascii="宋体" w:hAnsi="宋体"/>
          <w:color w:val="auto"/>
          <w:szCs w:val="21"/>
          <w:highlight w:val="none"/>
        </w:rPr>
      </w:pPr>
    </w:p>
    <w:p>
      <w:pPr>
        <w:pStyle w:val="27"/>
        <w:adjustRightInd w:val="0"/>
        <w:snapToGrid w:val="0"/>
        <w:spacing w:line="360" w:lineRule="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adjustRightInd w:val="0"/>
        <w:snapToGrid w:val="0"/>
        <w:spacing w:line="360" w:lineRule="auto"/>
        <w:outlineLvl w:val="9"/>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spacing w:line="360" w:lineRule="auto"/>
        <w:rPr>
          <w:rFonts w:asci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jc w:val="center"/>
        <w:rPr>
          <w:rFonts w:ascii="黑体" w:eastAsia="黑体"/>
          <w:b/>
          <w:bCs/>
          <w:color w:val="auto"/>
          <w:sz w:val="32"/>
          <w:szCs w:val="32"/>
          <w:highlight w:val="none"/>
        </w:rPr>
      </w:pPr>
    </w:p>
    <w:p>
      <w:pPr>
        <w:adjustRightInd w:val="0"/>
        <w:snapToGrid w:val="0"/>
        <w:jc w:val="center"/>
        <w:rPr>
          <w:rFonts w:ascii="黑体" w:eastAsia="黑体"/>
          <w:b/>
          <w:bCs/>
          <w:color w:val="auto"/>
          <w:sz w:val="32"/>
          <w:szCs w:val="32"/>
          <w:highlight w:val="none"/>
        </w:rPr>
      </w:pPr>
    </w:p>
    <w:p>
      <w:pPr>
        <w:adjustRightInd w:val="0"/>
        <w:snapToGrid w:val="0"/>
        <w:jc w:val="center"/>
        <w:rPr>
          <w:rFonts w:ascii="黑体" w:eastAsia="黑体"/>
          <w:b/>
          <w:bCs/>
          <w:color w:val="auto"/>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numPr>
          <w:ilvl w:val="0"/>
          <w:numId w:val="9"/>
        </w:numPr>
        <w:adjustRightInd w:val="0"/>
        <w:snapToGrid w:val="0"/>
        <w:spacing w:line="360" w:lineRule="auto"/>
        <w:ind w:right="24"/>
        <w:jc w:val="center"/>
        <w:outlineLvl w:val="1"/>
        <w:rPr>
          <w:rFonts w:hint="eastAsia" w:ascii="宋体" w:hAnsi="宋体" w:eastAsia="宋体" w:cs="宋体"/>
          <w:b/>
          <w:color w:val="auto"/>
          <w:sz w:val="32"/>
          <w:szCs w:val="32"/>
          <w:highlight w:val="none"/>
        </w:rPr>
      </w:pPr>
      <w:bookmarkStart w:id="181" w:name="_Toc21941"/>
      <w:r>
        <w:rPr>
          <w:rFonts w:hint="eastAsia" w:ascii="宋体" w:hAnsi="宋体" w:eastAsia="宋体" w:cs="宋体"/>
          <w:b/>
          <w:color w:val="auto"/>
          <w:sz w:val="32"/>
          <w:szCs w:val="32"/>
          <w:highlight w:val="none"/>
        </w:rPr>
        <w:t>分项价格表</w:t>
      </w:r>
      <w:bookmarkEnd w:id="181"/>
    </w:p>
    <w:p>
      <w:pPr>
        <w:pStyle w:val="2"/>
        <w:numPr>
          <w:ilvl w:val="0"/>
          <w:numId w:val="0"/>
        </w:numPr>
        <w:jc w:val="right"/>
        <w:rPr>
          <w:rFonts w:hint="eastAsia" w:eastAsia="宋体"/>
          <w:color w:val="auto"/>
          <w:highlight w:val="none"/>
          <w:lang w:eastAsia="zh-CN"/>
        </w:rPr>
      </w:pPr>
      <w:r>
        <w:rPr>
          <w:rFonts w:hint="eastAsia"/>
          <w:color w:val="auto"/>
          <w:highlight w:val="none"/>
          <w:lang w:eastAsia="zh-CN"/>
        </w:rPr>
        <w:t>单位：元</w:t>
      </w:r>
    </w:p>
    <w:tbl>
      <w:tblPr>
        <w:tblStyle w:val="47"/>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2318"/>
        <w:gridCol w:w="930"/>
        <w:gridCol w:w="890"/>
        <w:gridCol w:w="850"/>
        <w:gridCol w:w="1139"/>
        <w:gridCol w:w="686"/>
        <w:gridCol w:w="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8340"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1号线2022年-2023年计量器具及化验委外检测清单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器具名称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最高限价单价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（件）</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综合单价</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车辆车轮第四种检查器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机车车辆轮对内距尺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机车车辆轮径测量器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钢轨磨耗测量仪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钢轨直度测量尺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铁路方尺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13</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辙叉磨耗测量仪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百分表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16.65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焊接检验尺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卡尺（含表盘式、机械、游标、数显、深度等卡尺）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宽座角尺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内径百分表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20.20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游标高度尺</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CT/PT特性测试仪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LCR数字电桥</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避雷器特性测试仪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变频谐振耐压成套装置</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变压器变比测试仪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变压器线圈直流电阻测试仪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便携式交流耐压测试装置</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电能质量分析仪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665.94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断路器参数测试仪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防雷元件测试仪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187.11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高压开关特性测试仪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过程校验仪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回路电阻测试仪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继电保护测试仪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绝缘电阻测试仪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17</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绝缘靴手套耐压试验装置</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数字多用表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224.53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数字微欧计</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蓄电池放电测试仪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374.22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蓄电池内阻测试仪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9</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蓄电池维护测试仪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374.22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兆欧表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直流标准电阻</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直流电阻电桥</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216.81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LCR测量仪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自动化综合测试仪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光功率计/光万用表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光时域反射仪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776.93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激光测量仪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照度计</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二氧化碳浓度测试仪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酒精测试仪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858.00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检漏仪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丙烷减压器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二氧化碳减压器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氩气减压器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氧气减压器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乙炔减压器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管形测力计</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电子秤/电子台秤</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数字压力表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冷媒压力表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膜盒压力真空表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安全阀</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96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推拉力计（含数显式、指针式等推拉力计）</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158.30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道岔测力仪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温湿度计</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红外测温仪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133.19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红外热像仪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133.19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TETRA综合测试仪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便携式场强分析仪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任意波形发生器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便携式波形记录仪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示波器（含数字、数字存储、高级数字万用、单踪10MHz、8通道等示波器）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7</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天馈线分析仪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177.58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钢轨探伤仪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数字超声波探伤仪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噪声频谱分析仪</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声级计</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5</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23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噪音计</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排相器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验电器</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83</w:t>
            </w:r>
          </w:p>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3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变压器油</w:t>
            </w: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取样</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溶解气体色谱分析</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介损耐压</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含水量</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18" w:type="dxa"/>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酸值</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61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930"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色度</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69.30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74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bl>
    <w:p>
      <w:pPr>
        <w:pStyle w:val="25"/>
        <w:spacing w:line="360" w:lineRule="auto"/>
        <w:ind w:firstLine="420" w:firstLineChars="200"/>
        <w:outlineLvl w:val="9"/>
        <w:rPr>
          <w:rFonts w:hint="eastAsia" w:ascii="宋体" w:hAnsi="宋体" w:cs="宋体"/>
          <w:color w:val="auto"/>
          <w:sz w:val="21"/>
          <w:szCs w:val="21"/>
          <w:highlight w:val="none"/>
          <w:lang w:val="en-US" w:eastAsia="zh-CN"/>
        </w:rPr>
      </w:pPr>
      <w:r>
        <w:rPr>
          <w:rFonts w:hint="eastAsia" w:hAnsi="宋体" w:cs="宋体"/>
          <w:bCs/>
          <w:color w:val="auto"/>
          <w:sz w:val="21"/>
          <w:szCs w:val="21"/>
          <w:highlight w:val="none"/>
          <w:lang w:eastAsia="zh-CN"/>
        </w:rPr>
        <w:t>注：</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不能高于采购单位公布的最高限价，不超过最高限价的</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方为有效报价。</w:t>
      </w:r>
    </w:p>
    <w:p>
      <w:pPr>
        <w:pStyle w:val="27"/>
        <w:adjustRightInd w:val="0"/>
        <w:snapToGrid w:val="0"/>
        <w:spacing w:line="360" w:lineRule="auto"/>
        <w:outlineLvl w:val="0"/>
        <w:rPr>
          <w:rFonts w:ascii="宋体" w:hAnsi="宋体"/>
          <w:color w:val="auto"/>
          <w:sz w:val="21"/>
          <w:szCs w:val="21"/>
          <w:highlight w:val="none"/>
        </w:rPr>
      </w:pPr>
    </w:p>
    <w:p>
      <w:pPr>
        <w:pStyle w:val="27"/>
        <w:adjustRightInd w:val="0"/>
        <w:snapToGrid w:val="0"/>
        <w:spacing w:line="360" w:lineRule="auto"/>
        <w:outlineLvl w:val="0"/>
        <w:rPr>
          <w:rFonts w:ascii="宋体" w:hAnsi="宋体"/>
          <w:color w:val="auto"/>
          <w:sz w:val="21"/>
          <w:szCs w:val="21"/>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25"/>
        <w:spacing w:line="360" w:lineRule="auto"/>
        <w:ind w:firstLine="420" w:firstLineChars="200"/>
        <w:outlineLvl w:val="9"/>
        <w:rPr>
          <w:rFonts w:hint="eastAsia" w:hAnsi="宋体" w:cs="宋体"/>
          <w:bCs/>
          <w:color w:val="auto"/>
          <w:sz w:val="21"/>
          <w:szCs w:val="21"/>
          <w:highlight w:val="none"/>
          <w:lang w:eastAsia="zh-CN"/>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2340"/>
        <w:gridCol w:w="870"/>
        <w:gridCol w:w="1020"/>
        <w:gridCol w:w="780"/>
        <w:gridCol w:w="1110"/>
        <w:gridCol w:w="834"/>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2号线2022年-2023年计量器具及化验委外检测清单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器具名称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最高限价单价</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（件）</w:t>
            </w:r>
          </w:p>
        </w:tc>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综合单价</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7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车辆车钩中心高度尺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车辆车轮第四种检查器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机车车辆轮对内距尺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机车车辆轮径测量器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电子式波形磨耗测量仪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钢轨磨耗测量仪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钢轨直度测量尺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铁路方尺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铁路轨距尺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铁路轨距尺检定器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1347.50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铁路支距尺检定器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1347.50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辙叉磨耗测量仪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百分表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16.65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表面粗糙度比较样块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218.30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测厚仪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199.78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卡尺（含表盘式、机械、游标、数显、深度等卡尺）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宽座角尺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量块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内径百分表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20.20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内径千分尺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全站仪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塞尺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29.70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外径千分尺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11.10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CT流互特性测试仪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LCR数字电桥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避雷器计数测试仪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374.22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避雷器特性测试仪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变压器变比测试仪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变压器线圈直流电阻测试仪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便携式高压测试仪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便携式交流耐压测试装置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磁粉探伤仪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电能质量分析仪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665.94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断路器参数测试仪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防雷元件测试仪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187.11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高压开关特性测试仪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高压直流泄漏测试仪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工频耐压测试系统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工频耐压测试仪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187.11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过程校验仪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回路电阻测试仪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继电保护测试仪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16.65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绝缘电阻测试仪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绝缘靴手套耐压试验装置</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绝缘油介电强度测试仪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三用表校验仪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数字钳形表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数字万用表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数字多用表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224.53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数字微欧计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蓄电池内阻测试仪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蓄电池维护测试仪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374.22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蓄电池性能测试仪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374.22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兆欧表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直流电阻测量仪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直流电阻器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直流高压发生器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LCR测量仪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自动化综合测试仪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电子经纬仪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光功率计/光万用表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激光测量仪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二氧化碳浓度测试仪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可燃气体检测仪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酒精测试仪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858.00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超声波测漏仪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丙烷减压器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二氧化碳减压器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氩气减压器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氧气减压器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乙炔减压器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回弹仪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130.09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管形测力计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测力计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测速仪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电子秤/电子台秤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电子平台秤（地磅）</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电子天平</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电接点压力表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高精度数字压力计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243.54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数字压力表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精密压力表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烟烙尽测压表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双头压力表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冷媒压力表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安全阀</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推拉力计（含数显式、指针式等推拉力计）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158.30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道岔测力仪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转辙机测试仪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热电偶校准仪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355.81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15</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红外测温仪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133.19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微水测量仪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234.04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电子秒表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机械秒表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66.59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便携式网络分析仪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交流毫伏表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逻辑分析仪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164.54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107</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多功能信号发生器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454.41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任意波形发生器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109</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模拟示波器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232.25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111</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示波器（含数字、数字存储、高级数字万用、单踪10MHz、8通道等示波器）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112</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钢轨探伤仪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113</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数字超声波探伤仪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114</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噪声频谱分析仪</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115</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声级计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116</w:t>
            </w:r>
          </w:p>
        </w:tc>
        <w:tc>
          <w:tcPr>
            <w:tcW w:w="13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噪音计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117</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验电器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118</w:t>
            </w:r>
          </w:p>
        </w:tc>
        <w:tc>
          <w:tcPr>
            <w:tcW w:w="1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接地棒</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119</w:t>
            </w:r>
          </w:p>
        </w:tc>
        <w:tc>
          <w:tcPr>
            <w:tcW w:w="13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变压器油</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取样</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溶解气体色谱分析</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介损耐压</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含水量</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酸值</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色度</w:t>
            </w:r>
          </w:p>
        </w:tc>
        <w:tc>
          <w:tcPr>
            <w:tcW w:w="5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69.30 </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96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bl>
    <w:p>
      <w:pPr>
        <w:pStyle w:val="25"/>
        <w:spacing w:line="360" w:lineRule="auto"/>
        <w:ind w:firstLine="420" w:firstLineChars="200"/>
        <w:outlineLvl w:val="9"/>
        <w:rPr>
          <w:rFonts w:hint="eastAsia" w:ascii="宋体" w:hAnsi="宋体" w:cs="宋体"/>
          <w:color w:val="auto"/>
          <w:sz w:val="21"/>
          <w:szCs w:val="21"/>
          <w:highlight w:val="none"/>
          <w:lang w:val="en-US" w:eastAsia="zh-CN"/>
        </w:rPr>
      </w:pPr>
      <w:r>
        <w:rPr>
          <w:rFonts w:hint="eastAsia" w:hAnsi="宋体" w:cs="宋体"/>
          <w:bCs/>
          <w:color w:val="auto"/>
          <w:sz w:val="21"/>
          <w:szCs w:val="21"/>
          <w:highlight w:val="none"/>
          <w:lang w:eastAsia="zh-CN"/>
        </w:rPr>
        <w:t>注：</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不能高于采购单位公布的最高限价，不超过最高限价的</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方为有效报价。</w:t>
      </w:r>
    </w:p>
    <w:p>
      <w:pPr>
        <w:pStyle w:val="27"/>
        <w:adjustRightInd w:val="0"/>
        <w:snapToGrid w:val="0"/>
        <w:spacing w:line="360" w:lineRule="auto"/>
        <w:outlineLvl w:val="0"/>
        <w:rPr>
          <w:rFonts w:ascii="宋体" w:hAnsi="宋体"/>
          <w:color w:val="auto"/>
          <w:sz w:val="21"/>
          <w:szCs w:val="21"/>
          <w:highlight w:val="none"/>
        </w:rPr>
      </w:pPr>
    </w:p>
    <w:p>
      <w:pPr>
        <w:pStyle w:val="27"/>
        <w:adjustRightInd w:val="0"/>
        <w:snapToGrid w:val="0"/>
        <w:spacing w:line="360" w:lineRule="auto"/>
        <w:outlineLvl w:val="0"/>
        <w:rPr>
          <w:rFonts w:ascii="宋体" w:hAnsi="宋体"/>
          <w:color w:val="auto"/>
          <w:sz w:val="21"/>
          <w:szCs w:val="21"/>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left="-88" w:leftChars="-42" w:firstLine="211" w:firstLineChars="100"/>
        <w:rPr>
          <w:rFonts w:ascii="宋体" w:hAnsi="宋体"/>
          <w:b/>
          <w:color w:val="auto"/>
          <w:szCs w:val="21"/>
          <w:highlight w:val="none"/>
        </w:rPr>
      </w:pPr>
    </w:p>
    <w:p>
      <w:pPr>
        <w:adjustRightInd w:val="0"/>
        <w:snapToGrid w:val="0"/>
        <w:jc w:val="center"/>
        <w:rPr>
          <w:rFonts w:ascii="黑体" w:hAnsi="宋体" w:eastAsia="黑体"/>
          <w:b/>
          <w:color w:val="auto"/>
          <w:sz w:val="32"/>
          <w:szCs w:val="32"/>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2"/>
        <w:gridCol w:w="2177"/>
        <w:gridCol w:w="970"/>
        <w:gridCol w:w="1050"/>
        <w:gridCol w:w="950"/>
        <w:gridCol w:w="1172"/>
        <w:gridCol w:w="669"/>
        <w:gridCol w:w="9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3号线2022年-2023年计量器具及化验委外检测清单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器具名称</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6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最高限价单价</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（件）</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综合单价</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27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车辆车钩中心高度尺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车辆车轮第四种检查器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机车车辆轮对内距尺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机车车辆轮径测量器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电子式波形磨耗测量仪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钢轨磨耗测量仪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辙叉磨耗测量仪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测厚仪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199.78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卡尺（含表盘式、机械、游标、数显、深度等卡尺）</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全站仪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水准仪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变频谐振耐压成套装置</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变压器有载分接开关测试仪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便携式交流耐压测试装置</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电能质量分析仪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665.94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防雷元件测试仪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187.11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高压成套试验装置</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449.06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绝缘电阻测试仪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绝缘靴手套耐压试验装置</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三用表校验仪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数字电容表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数字钳形表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数字微欧计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相位测试仪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66.59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蓄电池内阻测试仪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兆欧表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直流标准电阻</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LCR测量仪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阻抗仪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406.30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电子经纬仪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光功率计/光万用表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光可变衰减器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光时域反射仪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776.93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激光测量仪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照度计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酒精测试仪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858.00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检漏仪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丙烷减压器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二氧化碳减压器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氩气减压器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氧气减压器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乙炔减压器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管形测力计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测力计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电子秤/电子台秤</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安全阀</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148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道岔测力仪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红外测温仪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133.19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温度模拟器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426.49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TETRA综合测试仪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便携式场强分析仪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任意波形发生器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示波器（含数字、数字存储、高级数字万用、单踪10MHz、8通道等示波器）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天馈线分析仪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177.58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噪声频谱分析仪</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2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声级计</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排相器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验电器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接地棒</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除冰器</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153.43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2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变压器油</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取样</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364"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溶解气体色谱分析</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介损耐压</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含水量</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酸值</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64"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2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色度</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69.30 </w:t>
            </w:r>
          </w:p>
        </w:tc>
        <w:tc>
          <w:tcPr>
            <w:tcW w:w="5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6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bl>
    <w:p>
      <w:pPr>
        <w:pStyle w:val="25"/>
        <w:spacing w:line="360" w:lineRule="auto"/>
        <w:ind w:firstLine="420" w:firstLineChars="200"/>
        <w:outlineLvl w:val="9"/>
        <w:rPr>
          <w:rFonts w:hint="eastAsia" w:ascii="宋体" w:hAnsi="宋体" w:cs="宋体"/>
          <w:color w:val="auto"/>
          <w:sz w:val="21"/>
          <w:szCs w:val="21"/>
          <w:highlight w:val="none"/>
          <w:lang w:val="en-US" w:eastAsia="zh-CN"/>
        </w:rPr>
      </w:pPr>
      <w:r>
        <w:rPr>
          <w:rFonts w:hint="eastAsia" w:hAnsi="宋体" w:cs="宋体"/>
          <w:bCs/>
          <w:color w:val="auto"/>
          <w:sz w:val="21"/>
          <w:szCs w:val="21"/>
          <w:highlight w:val="none"/>
          <w:lang w:eastAsia="zh-CN"/>
        </w:rPr>
        <w:t>注：</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不能高于采购单位公布的最高限价，不超过最高限价的</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方为有效报价。</w:t>
      </w:r>
    </w:p>
    <w:p>
      <w:pPr>
        <w:pStyle w:val="27"/>
        <w:adjustRightInd w:val="0"/>
        <w:snapToGrid w:val="0"/>
        <w:spacing w:line="360" w:lineRule="auto"/>
        <w:outlineLvl w:val="0"/>
        <w:rPr>
          <w:rFonts w:ascii="宋体" w:hAnsi="宋体"/>
          <w:color w:val="auto"/>
          <w:sz w:val="21"/>
          <w:szCs w:val="21"/>
          <w:highlight w:val="none"/>
        </w:rPr>
      </w:pPr>
    </w:p>
    <w:p>
      <w:pPr>
        <w:pStyle w:val="27"/>
        <w:adjustRightInd w:val="0"/>
        <w:snapToGrid w:val="0"/>
        <w:spacing w:line="360" w:lineRule="auto"/>
        <w:outlineLvl w:val="0"/>
        <w:rPr>
          <w:rFonts w:ascii="宋体" w:hAnsi="宋体"/>
          <w:color w:val="auto"/>
          <w:sz w:val="21"/>
          <w:szCs w:val="21"/>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left="-88" w:leftChars="-42" w:firstLine="211" w:firstLineChars="100"/>
        <w:rPr>
          <w:rFonts w:ascii="宋体" w:hAnsi="宋体"/>
          <w:b/>
          <w:color w:val="auto"/>
          <w:szCs w:val="21"/>
          <w:highlight w:val="none"/>
        </w:rPr>
      </w:pPr>
    </w:p>
    <w:p>
      <w:pPr>
        <w:adjustRightInd w:val="0"/>
        <w:snapToGrid w:val="0"/>
        <w:jc w:val="center"/>
        <w:rPr>
          <w:rFonts w:ascii="黑体" w:hAnsi="宋体" w:eastAsia="黑体"/>
          <w:b/>
          <w:color w:val="auto"/>
          <w:sz w:val="32"/>
          <w:szCs w:val="32"/>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4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1700"/>
        <w:gridCol w:w="850"/>
        <w:gridCol w:w="1126"/>
        <w:gridCol w:w="944"/>
        <w:gridCol w:w="1231"/>
        <w:gridCol w:w="909"/>
        <w:gridCol w:w="1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4号线2022年-2023年计量器具及化验委外检测清单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器具名称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6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最高限价单价</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（件）</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cs="宋体"/>
                <w:b/>
                <w:bCs/>
                <w:i w:val="0"/>
                <w:iCs w:val="0"/>
                <w:color w:val="auto"/>
                <w:sz w:val="20"/>
                <w:szCs w:val="20"/>
                <w:highlight w:val="none"/>
                <w:u w:val="none"/>
                <w:lang w:val="en-US" w:eastAsia="zh-CN"/>
              </w:rPr>
              <w:t>综合单价</w:t>
            </w:r>
          </w:p>
        </w:tc>
        <w:tc>
          <w:tcPr>
            <w:tcW w:w="5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996"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车辆车钩中心高度尺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车辆车轮第四种检查器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机车车辆轮对内距尺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机车车辆轮径测量器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电子式波形磨耗测量仪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钢轨磨耗测量仪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铁路方尺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辙叉磨耗测量仪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测厚仪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199.78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卡尺（含表盘式、机械、游标、数显、深度等卡尺）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外径千分尺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11.10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万能角度尺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游标高度尺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多功能校准源</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2286.90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含600M示波器校准仪和多功能标准源两个功能模块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CT/PT特性测试仪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CT流互特性测试仪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避雷器特性测试仪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变压器变比测试仪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变压器线圈直流电阻测试仪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便携式交流耐压测试装置</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电能质量分析仪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665.94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断路器参数测试仪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防雷元件测试仪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187.11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高压开关特性测试仪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工频耐压测试系统</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过程校验仪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继电保护测试仪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绝缘电阻测试仪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绝缘靴手套耐压试验装置</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钳形表检定装置</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数字钳形表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数字多用表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224.53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数字微欧计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相位测试仪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66.59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蓄电池内阻测试仪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兆欧表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光功率计/光万用表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光时域反射仪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776.93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照度计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酒精测试仪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858.00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检漏仪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丙烷减压器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二氧化碳减压器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氩气减压器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氧气减压器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乙炔减压器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管形测力计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测力计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电子秤/电子台秤</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数字压力表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智能数字压力校验仪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安全阀</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扭力扳手检测仪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665.94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道岔测力仪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红外测温仪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133.19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温度模拟器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示波器（含数字、数字存储、高级数字万用、单踪10MHz、8通道等示波器）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钢轨探伤仪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数字超声波探伤仪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噪声频谱分析仪</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声级计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9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噪音计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验电器</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9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接地棒</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9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变压器油</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取样</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溶解气体色谱分析</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介损耐压</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9"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含水量</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酸值</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9"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9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色度</w:t>
            </w:r>
          </w:p>
        </w:tc>
        <w:tc>
          <w:tcPr>
            <w:tcW w:w="6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69.30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4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5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bl>
    <w:p>
      <w:pPr>
        <w:pStyle w:val="25"/>
        <w:spacing w:line="360" w:lineRule="auto"/>
        <w:ind w:firstLine="420" w:firstLineChars="200"/>
        <w:outlineLvl w:val="9"/>
        <w:rPr>
          <w:rFonts w:hint="eastAsia" w:ascii="宋体" w:hAnsi="宋体" w:cs="宋体"/>
          <w:color w:val="auto"/>
          <w:sz w:val="21"/>
          <w:szCs w:val="21"/>
          <w:highlight w:val="none"/>
          <w:lang w:val="en-US" w:eastAsia="zh-CN"/>
        </w:rPr>
      </w:pPr>
      <w:r>
        <w:rPr>
          <w:rFonts w:hint="eastAsia" w:hAnsi="宋体" w:cs="宋体"/>
          <w:bCs/>
          <w:color w:val="auto"/>
          <w:sz w:val="21"/>
          <w:szCs w:val="21"/>
          <w:highlight w:val="none"/>
          <w:lang w:eastAsia="zh-CN"/>
        </w:rPr>
        <w:t>注：</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不能高于采购单位公布的最高限价，不超过最高限价的</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方为有效报价。</w:t>
      </w:r>
    </w:p>
    <w:p>
      <w:pPr>
        <w:pStyle w:val="27"/>
        <w:adjustRightInd w:val="0"/>
        <w:snapToGrid w:val="0"/>
        <w:spacing w:line="360" w:lineRule="auto"/>
        <w:outlineLvl w:val="0"/>
        <w:rPr>
          <w:rFonts w:ascii="宋体" w:hAnsi="宋体"/>
          <w:color w:val="auto"/>
          <w:sz w:val="21"/>
          <w:szCs w:val="21"/>
          <w:highlight w:val="none"/>
        </w:rPr>
      </w:pPr>
    </w:p>
    <w:p>
      <w:pPr>
        <w:pStyle w:val="27"/>
        <w:adjustRightInd w:val="0"/>
        <w:snapToGrid w:val="0"/>
        <w:spacing w:line="360" w:lineRule="auto"/>
        <w:outlineLvl w:val="0"/>
        <w:rPr>
          <w:rFonts w:ascii="宋体" w:hAnsi="宋体"/>
          <w:color w:val="auto"/>
          <w:sz w:val="21"/>
          <w:szCs w:val="21"/>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left="-88" w:leftChars="-42" w:firstLine="211" w:firstLineChars="100"/>
        <w:rPr>
          <w:rFonts w:ascii="宋体" w:hAnsi="宋体"/>
          <w:b/>
          <w:color w:val="auto"/>
          <w:szCs w:val="21"/>
          <w:highlight w:val="none"/>
        </w:rPr>
      </w:pPr>
    </w:p>
    <w:tbl>
      <w:tblPr>
        <w:tblStyle w:val="4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770"/>
        <w:gridCol w:w="990"/>
        <w:gridCol w:w="1029"/>
        <w:gridCol w:w="1241"/>
        <w:gridCol w:w="1140"/>
        <w:gridCol w:w="744"/>
        <w:gridCol w:w="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5号线2022年-2023年计量器具及化验委外检测清单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器具名称</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型号</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w:t>
            </w:r>
          </w:p>
        </w:tc>
        <w:tc>
          <w:tcPr>
            <w:tcW w:w="6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最高限价单价</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数量</w:t>
            </w:r>
          </w:p>
          <w:p>
            <w:pPr>
              <w:keepNext w:val="0"/>
              <w:keepLines w:val="0"/>
              <w:widowControl/>
              <w:suppressLineNumbers w:val="0"/>
              <w:jc w:val="center"/>
              <w:textAlignment w:val="center"/>
              <w:rPr>
                <w:rFonts w:hint="eastAsia" w:ascii="宋体" w:hAnsi="宋体" w:eastAsia="宋体" w:cs="宋体"/>
                <w:b/>
                <w:bCs/>
                <w:i w:val="0"/>
                <w:iCs w:val="0"/>
                <w:color w:val="auto"/>
                <w:kern w:val="2"/>
                <w:sz w:val="20"/>
                <w:szCs w:val="20"/>
                <w:highlight w:val="none"/>
                <w:u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（件）</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lang w:val="en-US" w:eastAsia="zh-CN"/>
              </w:rPr>
            </w:pPr>
            <w:r>
              <w:rPr>
                <w:rFonts w:hint="eastAsia" w:ascii="宋体" w:hAnsi="宋体" w:cs="宋体"/>
                <w:b/>
                <w:bCs/>
                <w:i w:val="0"/>
                <w:iCs w:val="0"/>
                <w:color w:val="auto"/>
                <w:sz w:val="20"/>
                <w:szCs w:val="20"/>
                <w:highlight w:val="none"/>
                <w:u w:val="none"/>
                <w:lang w:val="en-US" w:eastAsia="zh-CN"/>
              </w:rPr>
              <w:t>综合单价</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车辆车钩中心高度尺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03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车辆车轮第四种检查器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机车车辆轮对内距尺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机车车辆轮径测量器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电子式波形磨耗测量仪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钢轨磨耗测量仪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钢轨直度测量尺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铁路轨距尺检定器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1347.50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铁路支距尺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辙叉磨耗测量仪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卡尺（含表盘式、机械、游标、数显、深度等卡尺）</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全站仪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CT/PT特性测试仪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避雷器计数测试仪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374.22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避雷器特性测试仪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变频谐振耐压成套装置</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变压器变比测试仪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变压器线圈直流电阻测试仪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变压器有载分接开关测试仪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便携式高压测试仪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便携式交流耐压测试装置</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电能质量分析仪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665.94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防雷元件测试仪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187.11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高压成套试验装置</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449.06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高压直流泄漏测试仪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工频耐压测试系统</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过程校验仪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回路电阻测试仪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继电保护测试仪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交流电量测试仪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接地电阻测试仪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绝缘电阻测试仪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绝缘靴手套耐压试验装置</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绝缘油介电强度测试仪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数字微欧计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蓄电池内阻测试仪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288.57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蓄电池容量测试仪及智能负载</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兆欧表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22.20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直流电压表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81.38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直流高压发生器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光功率计/光万用表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光时域反射仪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776.93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酒精测试仪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858.00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rPr>
              <w:t>需市级及以上法定计量检定机构检测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检漏仪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丙烷减压器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二氧化碳减压器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氩气减压器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氧气减压器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乙炔减压器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管形测力计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测力计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电子秤/电子台秤</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33.30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电子天平</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压力表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44.40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安全阀</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104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扭力扳手</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39</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推拉力计（含数显式、指针式等推拉力计）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158.30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道岔测力仪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温湿度计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55.50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红外测温仪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133.19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7</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红外热像仪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133.19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微水测量仪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234.04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TETRA综合测试仪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554.95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66</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便携式场强分析仪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任意波形发生器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68</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便携式波形记录仪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332.97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69</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示波器（含数字、数字存储、高级数字万用、单踪10MHz、8通道等示波器）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277.48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71</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数字超声波探伤仪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噪声频谱分析仪</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73</w:t>
            </w:r>
          </w:p>
        </w:tc>
        <w:tc>
          <w:tcPr>
            <w:tcW w:w="10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声级计</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排相器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验电器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4</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76</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接地棒</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88.79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77</w:t>
            </w:r>
          </w:p>
        </w:tc>
        <w:tc>
          <w:tcPr>
            <w:tcW w:w="10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除冰器</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各型号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153.43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78</w:t>
            </w:r>
          </w:p>
        </w:tc>
        <w:tc>
          <w:tcPr>
            <w:tcW w:w="10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变压器油</w:t>
            </w: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取样</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221.98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溶解气体色谱分析</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介损耐压</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443.96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含水量</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110.99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酸值</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166.49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80"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0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rPr>
            </w:pPr>
          </w:p>
        </w:tc>
        <w:tc>
          <w:tcPr>
            <w:tcW w:w="5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色度</w:t>
            </w:r>
          </w:p>
        </w:tc>
        <w:tc>
          <w:tcPr>
            <w:tcW w:w="6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 xml:space="preserve">69.30 </w:t>
            </w: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8</w:t>
            </w:r>
          </w:p>
        </w:tc>
        <w:tc>
          <w:tcPr>
            <w:tcW w:w="6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99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合计</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1"/>
                <w:szCs w:val="21"/>
                <w:highlight w:val="none"/>
                <w:u w:val="none"/>
              </w:rPr>
            </w:pPr>
          </w:p>
        </w:tc>
      </w:tr>
    </w:tbl>
    <w:p>
      <w:pPr>
        <w:pStyle w:val="25"/>
        <w:spacing w:line="360" w:lineRule="auto"/>
        <w:ind w:firstLine="420" w:firstLineChars="200"/>
        <w:outlineLvl w:val="9"/>
        <w:rPr>
          <w:rFonts w:hint="eastAsia" w:ascii="宋体" w:hAnsi="宋体" w:cs="宋体"/>
          <w:color w:val="auto"/>
          <w:sz w:val="21"/>
          <w:szCs w:val="21"/>
          <w:highlight w:val="none"/>
          <w:lang w:val="en-US" w:eastAsia="zh-CN"/>
        </w:rPr>
      </w:pPr>
      <w:r>
        <w:rPr>
          <w:rFonts w:hint="eastAsia" w:hAnsi="宋体" w:cs="宋体"/>
          <w:bCs/>
          <w:color w:val="auto"/>
          <w:sz w:val="21"/>
          <w:szCs w:val="21"/>
          <w:highlight w:val="none"/>
          <w:lang w:eastAsia="zh-CN"/>
        </w:rPr>
        <w:t>注：</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不能高于采购单位公布的最高限价，不超过最高限价的</w:t>
      </w:r>
      <w:r>
        <w:rPr>
          <w:rFonts w:hint="eastAsia" w:hAnsi="宋体" w:cs="宋体"/>
          <w:color w:val="auto"/>
          <w:sz w:val="21"/>
          <w:szCs w:val="21"/>
          <w:highlight w:val="none"/>
          <w:lang w:val="en-US" w:eastAsia="zh-CN"/>
        </w:rPr>
        <w:t>谈判报价综合单价、总价</w:t>
      </w:r>
      <w:r>
        <w:rPr>
          <w:rFonts w:hint="eastAsia" w:ascii="宋体" w:hAnsi="宋体" w:cs="宋体"/>
          <w:color w:val="auto"/>
          <w:sz w:val="21"/>
          <w:szCs w:val="21"/>
          <w:highlight w:val="none"/>
          <w:lang w:val="en-US" w:eastAsia="zh-CN"/>
        </w:rPr>
        <w:t>方为有效报价。</w:t>
      </w:r>
    </w:p>
    <w:p>
      <w:pPr>
        <w:pStyle w:val="27"/>
        <w:adjustRightInd w:val="0"/>
        <w:snapToGrid w:val="0"/>
        <w:spacing w:line="360" w:lineRule="auto"/>
        <w:outlineLvl w:val="0"/>
        <w:rPr>
          <w:rFonts w:ascii="宋体" w:hAnsi="宋体"/>
          <w:color w:val="auto"/>
          <w:sz w:val="21"/>
          <w:szCs w:val="21"/>
          <w:highlight w:val="none"/>
        </w:rPr>
      </w:pPr>
    </w:p>
    <w:p>
      <w:pPr>
        <w:pStyle w:val="27"/>
        <w:adjustRightInd w:val="0"/>
        <w:snapToGrid w:val="0"/>
        <w:spacing w:line="360" w:lineRule="auto"/>
        <w:outlineLvl w:val="0"/>
        <w:rPr>
          <w:rFonts w:ascii="宋体" w:hAnsi="宋体"/>
          <w:color w:val="auto"/>
          <w:sz w:val="21"/>
          <w:szCs w:val="21"/>
          <w:highlight w:val="none"/>
        </w:rPr>
      </w:pPr>
    </w:p>
    <w:p>
      <w:pPr>
        <w:pStyle w:val="27"/>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bCs/>
          <w:color w:val="auto"/>
          <w:sz w:val="21"/>
          <w:szCs w:val="21"/>
          <w:highlight w:val="none"/>
        </w:rPr>
      </w:pPr>
      <w:r>
        <w:rPr>
          <w:rFonts w:hint="eastAsia" w:ascii="宋体" w:hAnsi="宋体"/>
          <w:color w:val="auto"/>
          <w:sz w:val="21"/>
          <w:szCs w:val="21"/>
          <w:highlight w:val="none"/>
        </w:rPr>
        <w:t>谈判单位名称：</w:t>
      </w:r>
      <w:r>
        <w:rPr>
          <w:rFonts w:hint="eastAsia" w:ascii="宋体" w:hAnsi="宋体"/>
          <w:color w:val="auto"/>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9"/>
        <w:rPr>
          <w:rFonts w:ascii="宋体" w:hAnsi="宋体"/>
          <w:color w:val="auto"/>
          <w:szCs w:val="21"/>
          <w:highlight w:val="none"/>
        </w:rPr>
      </w:pPr>
      <w:r>
        <w:rPr>
          <w:rFonts w:hint="eastAsia" w:ascii="宋体" w:hAnsi="宋体"/>
          <w:color w:val="auto"/>
          <w:szCs w:val="21"/>
          <w:highlight w:val="none"/>
        </w:rPr>
        <w:t>法定代表人或其委托代理人(签字或盖章)：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outlineLvl w:val="9"/>
        <w:rPr>
          <w:rFonts w:ascii="宋体"/>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ind w:left="-88" w:leftChars="-42" w:firstLine="211" w:firstLineChars="100"/>
        <w:rPr>
          <w:rFonts w:ascii="宋体" w:hAnsi="宋体"/>
          <w:b/>
          <w:color w:val="auto"/>
          <w:szCs w:val="21"/>
          <w:highlight w:val="none"/>
        </w:rPr>
      </w:pPr>
    </w:p>
    <w:p>
      <w:pPr>
        <w:adjustRightInd w:val="0"/>
        <w:snapToGrid w:val="0"/>
        <w:jc w:val="center"/>
        <w:rPr>
          <w:rFonts w:ascii="黑体" w:hAnsi="宋体" w:eastAsia="黑体"/>
          <w:b/>
          <w:color w:val="auto"/>
          <w:sz w:val="32"/>
          <w:szCs w:val="32"/>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line="360" w:lineRule="auto"/>
        <w:ind w:right="24"/>
        <w:jc w:val="center"/>
        <w:outlineLvl w:val="1"/>
        <w:rPr>
          <w:rFonts w:hint="eastAsia" w:ascii="宋体" w:hAnsi="宋体" w:eastAsia="宋体" w:cs="宋体"/>
          <w:b/>
          <w:color w:val="auto"/>
          <w:sz w:val="32"/>
          <w:szCs w:val="32"/>
          <w:highlight w:val="none"/>
          <w:lang w:val="en-US" w:eastAsia="zh-CN"/>
        </w:rPr>
      </w:pPr>
      <w:bookmarkStart w:id="182" w:name="_Toc21893"/>
      <w:r>
        <w:rPr>
          <w:rFonts w:hint="eastAsia" w:ascii="宋体" w:hAnsi="宋体" w:cs="宋体"/>
          <w:b/>
          <w:color w:val="auto"/>
          <w:sz w:val="32"/>
          <w:szCs w:val="32"/>
          <w:highlight w:val="none"/>
          <w:lang w:val="en-US" w:eastAsia="zh-CN"/>
        </w:rPr>
        <w:t>七</w:t>
      </w:r>
      <w:r>
        <w:rPr>
          <w:rFonts w:hint="eastAsia" w:ascii="宋体" w:hAnsi="宋体" w:eastAsia="宋体" w:cs="宋体"/>
          <w:b/>
          <w:color w:val="auto"/>
          <w:sz w:val="32"/>
          <w:szCs w:val="32"/>
          <w:highlight w:val="none"/>
        </w:rPr>
        <w:t>、其他资料</w:t>
      </w:r>
      <w:r>
        <w:rPr>
          <w:rFonts w:hint="eastAsia" w:ascii="宋体" w:hAnsi="宋体" w:eastAsia="宋体" w:cs="宋体"/>
          <w:b/>
          <w:color w:val="auto"/>
          <w:sz w:val="32"/>
          <w:szCs w:val="32"/>
          <w:highlight w:val="none"/>
          <w:lang w:eastAsia="zh-CN"/>
        </w:rPr>
        <w:t>（如有）</w:t>
      </w:r>
      <w:bookmarkEnd w:id="182"/>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ascii="宋体" w:hAnsi="宋体"/>
          <w:color w:val="auto"/>
          <w:szCs w:val="21"/>
          <w:highlight w:val="none"/>
        </w:rPr>
      </w:pPr>
      <w:r>
        <w:rPr>
          <w:rFonts w:hint="eastAsia" w:ascii="宋体" w:hAnsi="宋体"/>
          <w:color w:val="auto"/>
          <w:szCs w:val="21"/>
          <w:highlight w:val="none"/>
        </w:rPr>
        <w:t>谈判单位认为需要提供的其他报价资料，格式自拟。</w:t>
      </w:r>
    </w:p>
    <w:bookmarkEnd w:id="174"/>
    <w:bookmarkEnd w:id="175"/>
    <w:bookmarkEnd w:id="176"/>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20" w:firstLineChars="200"/>
        <w:jc w:val="left"/>
        <w:textAlignment w:val="auto"/>
        <w:outlineLvl w:val="9"/>
        <w:rPr>
          <w:rFonts w:ascii="宋体" w:hAnsi="宋体"/>
          <w:color w:val="auto"/>
          <w:szCs w:val="21"/>
          <w:highlight w:val="none"/>
        </w:rPr>
      </w:pPr>
    </w:p>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1" o:spid="_x0000_s206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9" o:spid="_x0000_s2069"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38</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2" o:spid="_x0000_s206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70" o:spid="_x0000_s2070"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3" o:spid="_x0000_s206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w:r>
  </w:p>
  <w:p>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w:pict>
        <v:shape id="_x0000_s2064" o:spid="_x0000_s206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11</w:t>
                </w:r>
                <w:r>
                  <w:fldChar w:fldCharType="end"/>
                </w:r>
              </w:p>
            </w:txbxContent>
          </v:textbox>
        </v:shape>
      </w:pict>
    </w:r>
  </w:p>
  <w:p>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5" o:spid="_x0000_s206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14</w:t>
                </w:r>
                <w:r>
                  <w:fldChar w:fldCharType="end"/>
                </w:r>
              </w:p>
            </w:txbxContent>
          </v:textbox>
        </v:shape>
      </w:pict>
    </w: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6" o:spid="_x0000_s206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15</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7" o:spid="_x0000_s2067"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17</w:t>
                </w:r>
                <w: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w:pict>
        <v:shape id="_x0000_s2068" o:spid="_x0000_s2068"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30"/>
                </w:pPr>
                <w:r>
                  <w:fldChar w:fldCharType="begin"/>
                </w:r>
                <w:r>
                  <w:instrText xml:space="preserve"> PAGE  \* MERGEFORMAT </w:instrText>
                </w:r>
                <w:r>
                  <w:fldChar w:fldCharType="separate"/>
                </w:r>
                <w:r>
                  <w:t>16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E21CC0"/>
    <w:multiLevelType w:val="singleLevel"/>
    <w:tmpl w:val="C2E21CC0"/>
    <w:lvl w:ilvl="0" w:tentative="0">
      <w:start w:val="1"/>
      <w:numFmt w:val="chineseCounting"/>
      <w:suff w:val="space"/>
      <w:lvlText w:val="第%1章"/>
      <w:lvlJc w:val="left"/>
      <w:rPr>
        <w:rFonts w:hint="eastAsia"/>
      </w:rPr>
    </w:lvl>
  </w:abstractNum>
  <w:abstractNum w:abstractNumId="1">
    <w:nsid w:val="FE293A88"/>
    <w:multiLevelType w:val="singleLevel"/>
    <w:tmpl w:val="FE293A88"/>
    <w:lvl w:ilvl="0" w:tentative="0">
      <w:start w:val="3"/>
      <w:numFmt w:val="chineseCounting"/>
      <w:pStyle w:val="359"/>
      <w:suff w:val="nothing"/>
      <w:lvlText w:val="%1、"/>
      <w:lvlJc w:val="left"/>
      <w:rPr>
        <w:rFonts w:hint="eastAsia"/>
      </w:rPr>
    </w:lvl>
  </w:abstractNum>
  <w:abstractNum w:abstractNumId="2">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3">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248D8C"/>
    <w:multiLevelType w:val="singleLevel"/>
    <w:tmpl w:val="38248D8C"/>
    <w:lvl w:ilvl="0" w:tentative="0">
      <w:start w:val="3"/>
      <w:numFmt w:val="chineseCounting"/>
      <w:suff w:val="nothing"/>
      <w:lvlText w:val="%1、"/>
      <w:lvlJc w:val="left"/>
      <w:rPr>
        <w:rFonts w:hint="eastAsia"/>
      </w:rPr>
    </w:lvl>
  </w:abstractNum>
  <w:abstractNum w:abstractNumId="6">
    <w:nsid w:val="4F198849"/>
    <w:multiLevelType w:val="singleLevel"/>
    <w:tmpl w:val="4F198849"/>
    <w:lvl w:ilvl="0" w:tentative="0">
      <w:start w:val="6"/>
      <w:numFmt w:val="chineseCounting"/>
      <w:suff w:val="nothing"/>
      <w:lvlText w:val="%1、"/>
      <w:lvlJc w:val="left"/>
      <w:rPr>
        <w:rFonts w:hint="eastAsia"/>
      </w:rPr>
    </w:lvl>
  </w:abstractNum>
  <w:abstractNum w:abstractNumId="7">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snapToGrid/>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abstractNum w:abstractNumId="8">
    <w:nsid w:val="7C76B940"/>
    <w:multiLevelType w:val="singleLevel"/>
    <w:tmpl w:val="7C76B940"/>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4"/>
  </w:num>
  <w:num w:numId="5">
    <w:abstractNumId w:val="7"/>
  </w:num>
  <w:num w:numId="6">
    <w:abstractNumId w:val="0"/>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I5ZWY5ZmZiMGUxNTM4NTVkMTJkMzM2MDI5NGRjZTQifQ=="/>
  </w:docVars>
  <w:rsids>
    <w:rsidRoot w:val="0070784A"/>
    <w:rsid w:val="00005EC9"/>
    <w:rsid w:val="00006D21"/>
    <w:rsid w:val="00016902"/>
    <w:rsid w:val="000274C6"/>
    <w:rsid w:val="00052640"/>
    <w:rsid w:val="00063D15"/>
    <w:rsid w:val="00074928"/>
    <w:rsid w:val="00091C9D"/>
    <w:rsid w:val="000C106E"/>
    <w:rsid w:val="000E7968"/>
    <w:rsid w:val="00115FE6"/>
    <w:rsid w:val="00116BAE"/>
    <w:rsid w:val="001453A1"/>
    <w:rsid w:val="00162D59"/>
    <w:rsid w:val="00186162"/>
    <w:rsid w:val="001C23BF"/>
    <w:rsid w:val="001D6D72"/>
    <w:rsid w:val="002069C8"/>
    <w:rsid w:val="002139EB"/>
    <w:rsid w:val="0022188F"/>
    <w:rsid w:val="00222DFA"/>
    <w:rsid w:val="00230A1A"/>
    <w:rsid w:val="002314A3"/>
    <w:rsid w:val="002504FF"/>
    <w:rsid w:val="002523FD"/>
    <w:rsid w:val="0025312F"/>
    <w:rsid w:val="00255546"/>
    <w:rsid w:val="00286014"/>
    <w:rsid w:val="002B1D56"/>
    <w:rsid w:val="002F262C"/>
    <w:rsid w:val="003102A2"/>
    <w:rsid w:val="00331810"/>
    <w:rsid w:val="00380064"/>
    <w:rsid w:val="00381105"/>
    <w:rsid w:val="00381BB4"/>
    <w:rsid w:val="003958B2"/>
    <w:rsid w:val="0039632C"/>
    <w:rsid w:val="003B1109"/>
    <w:rsid w:val="003C468C"/>
    <w:rsid w:val="003D080C"/>
    <w:rsid w:val="003D6204"/>
    <w:rsid w:val="003F46A7"/>
    <w:rsid w:val="004014FD"/>
    <w:rsid w:val="00423B85"/>
    <w:rsid w:val="004263EB"/>
    <w:rsid w:val="00453EE9"/>
    <w:rsid w:val="00473865"/>
    <w:rsid w:val="0048093D"/>
    <w:rsid w:val="00495DBC"/>
    <w:rsid w:val="00495F57"/>
    <w:rsid w:val="004978CA"/>
    <w:rsid w:val="004B3D80"/>
    <w:rsid w:val="004B41B1"/>
    <w:rsid w:val="00504DED"/>
    <w:rsid w:val="00526589"/>
    <w:rsid w:val="00545140"/>
    <w:rsid w:val="0055214F"/>
    <w:rsid w:val="005556A5"/>
    <w:rsid w:val="0056117D"/>
    <w:rsid w:val="0056143E"/>
    <w:rsid w:val="0058754B"/>
    <w:rsid w:val="005C688B"/>
    <w:rsid w:val="005E6BBB"/>
    <w:rsid w:val="00641E72"/>
    <w:rsid w:val="0068504A"/>
    <w:rsid w:val="0068515F"/>
    <w:rsid w:val="00687C87"/>
    <w:rsid w:val="006B6300"/>
    <w:rsid w:val="006D0A13"/>
    <w:rsid w:val="006E025D"/>
    <w:rsid w:val="006F5FAC"/>
    <w:rsid w:val="0070784A"/>
    <w:rsid w:val="00730CC6"/>
    <w:rsid w:val="00740D0D"/>
    <w:rsid w:val="00793ABB"/>
    <w:rsid w:val="0079784E"/>
    <w:rsid w:val="007D0446"/>
    <w:rsid w:val="007F3811"/>
    <w:rsid w:val="00802770"/>
    <w:rsid w:val="0081382B"/>
    <w:rsid w:val="00842E06"/>
    <w:rsid w:val="008511F3"/>
    <w:rsid w:val="008B6242"/>
    <w:rsid w:val="008C7C9F"/>
    <w:rsid w:val="00915948"/>
    <w:rsid w:val="00923E97"/>
    <w:rsid w:val="009A5642"/>
    <w:rsid w:val="009B5270"/>
    <w:rsid w:val="009C10AF"/>
    <w:rsid w:val="009D41D7"/>
    <w:rsid w:val="009D7D4A"/>
    <w:rsid w:val="009E03FD"/>
    <w:rsid w:val="009E2384"/>
    <w:rsid w:val="00A34DC1"/>
    <w:rsid w:val="00A41E73"/>
    <w:rsid w:val="00A618F2"/>
    <w:rsid w:val="00A61CCE"/>
    <w:rsid w:val="00A92B7C"/>
    <w:rsid w:val="00AA1709"/>
    <w:rsid w:val="00AB013C"/>
    <w:rsid w:val="00AD758B"/>
    <w:rsid w:val="00AF11ED"/>
    <w:rsid w:val="00B01BA0"/>
    <w:rsid w:val="00B74689"/>
    <w:rsid w:val="00B82298"/>
    <w:rsid w:val="00B832A9"/>
    <w:rsid w:val="00B92FA2"/>
    <w:rsid w:val="00BE15B5"/>
    <w:rsid w:val="00C0069B"/>
    <w:rsid w:val="00C20479"/>
    <w:rsid w:val="00C21D69"/>
    <w:rsid w:val="00C532E5"/>
    <w:rsid w:val="00C57914"/>
    <w:rsid w:val="00C6008B"/>
    <w:rsid w:val="00C758E3"/>
    <w:rsid w:val="00CB534B"/>
    <w:rsid w:val="00CE51F2"/>
    <w:rsid w:val="00CE631C"/>
    <w:rsid w:val="00CE703D"/>
    <w:rsid w:val="00CF0192"/>
    <w:rsid w:val="00CF040C"/>
    <w:rsid w:val="00D164FE"/>
    <w:rsid w:val="00D31733"/>
    <w:rsid w:val="00D43330"/>
    <w:rsid w:val="00D45708"/>
    <w:rsid w:val="00D6362F"/>
    <w:rsid w:val="00D84A7F"/>
    <w:rsid w:val="00DA51BD"/>
    <w:rsid w:val="00DF363F"/>
    <w:rsid w:val="00E32EEF"/>
    <w:rsid w:val="00E40E04"/>
    <w:rsid w:val="00E74692"/>
    <w:rsid w:val="00E77817"/>
    <w:rsid w:val="00E944EE"/>
    <w:rsid w:val="00EF6911"/>
    <w:rsid w:val="00F37996"/>
    <w:rsid w:val="00F410E0"/>
    <w:rsid w:val="00F579E9"/>
    <w:rsid w:val="00FA6734"/>
    <w:rsid w:val="00FE3699"/>
    <w:rsid w:val="01375331"/>
    <w:rsid w:val="01403F6F"/>
    <w:rsid w:val="014D6F55"/>
    <w:rsid w:val="01932790"/>
    <w:rsid w:val="01E90844"/>
    <w:rsid w:val="01EA6EEC"/>
    <w:rsid w:val="01F95304"/>
    <w:rsid w:val="02076F1C"/>
    <w:rsid w:val="021B19D1"/>
    <w:rsid w:val="02263AD9"/>
    <w:rsid w:val="024C0DC0"/>
    <w:rsid w:val="02787973"/>
    <w:rsid w:val="02787D91"/>
    <w:rsid w:val="029A1968"/>
    <w:rsid w:val="02AB7973"/>
    <w:rsid w:val="02AF2F00"/>
    <w:rsid w:val="02BF5617"/>
    <w:rsid w:val="02FB4FEB"/>
    <w:rsid w:val="02FE0BF8"/>
    <w:rsid w:val="03727DAF"/>
    <w:rsid w:val="03D41287"/>
    <w:rsid w:val="03E874A1"/>
    <w:rsid w:val="03F31A5E"/>
    <w:rsid w:val="03F91117"/>
    <w:rsid w:val="03FC0CEA"/>
    <w:rsid w:val="04240981"/>
    <w:rsid w:val="042B3AFB"/>
    <w:rsid w:val="0442248D"/>
    <w:rsid w:val="04631C3B"/>
    <w:rsid w:val="0487664B"/>
    <w:rsid w:val="04EE0D07"/>
    <w:rsid w:val="05404C1F"/>
    <w:rsid w:val="054E6891"/>
    <w:rsid w:val="059B00A7"/>
    <w:rsid w:val="05C25650"/>
    <w:rsid w:val="05EB6762"/>
    <w:rsid w:val="05F777CC"/>
    <w:rsid w:val="061842D1"/>
    <w:rsid w:val="065B5A88"/>
    <w:rsid w:val="067428EB"/>
    <w:rsid w:val="067B6F39"/>
    <w:rsid w:val="06D605B3"/>
    <w:rsid w:val="06D9509E"/>
    <w:rsid w:val="070C68F7"/>
    <w:rsid w:val="071C6A43"/>
    <w:rsid w:val="072B22BC"/>
    <w:rsid w:val="074C43F1"/>
    <w:rsid w:val="07650D5D"/>
    <w:rsid w:val="0793656C"/>
    <w:rsid w:val="07A76048"/>
    <w:rsid w:val="07B16F85"/>
    <w:rsid w:val="08232382"/>
    <w:rsid w:val="082F5114"/>
    <w:rsid w:val="083D23B2"/>
    <w:rsid w:val="086136BB"/>
    <w:rsid w:val="08786792"/>
    <w:rsid w:val="08807627"/>
    <w:rsid w:val="08832554"/>
    <w:rsid w:val="0895702F"/>
    <w:rsid w:val="089F6734"/>
    <w:rsid w:val="08E36495"/>
    <w:rsid w:val="08EE04EE"/>
    <w:rsid w:val="08F024B8"/>
    <w:rsid w:val="093252EE"/>
    <w:rsid w:val="09422E59"/>
    <w:rsid w:val="094A4EE7"/>
    <w:rsid w:val="09536BB7"/>
    <w:rsid w:val="0959407C"/>
    <w:rsid w:val="097D1C20"/>
    <w:rsid w:val="098A3350"/>
    <w:rsid w:val="099F7A3A"/>
    <w:rsid w:val="09A23D38"/>
    <w:rsid w:val="09AB154E"/>
    <w:rsid w:val="0A2948BE"/>
    <w:rsid w:val="0A316A36"/>
    <w:rsid w:val="0A451CA7"/>
    <w:rsid w:val="0A8C6210"/>
    <w:rsid w:val="0AB063A2"/>
    <w:rsid w:val="0AE24958"/>
    <w:rsid w:val="0AEA1189"/>
    <w:rsid w:val="0AF74A1D"/>
    <w:rsid w:val="0B4432D5"/>
    <w:rsid w:val="0B590F4A"/>
    <w:rsid w:val="0B696551"/>
    <w:rsid w:val="0B8511E8"/>
    <w:rsid w:val="0BAA700E"/>
    <w:rsid w:val="0BB028DB"/>
    <w:rsid w:val="0BC1013B"/>
    <w:rsid w:val="0BEB10E2"/>
    <w:rsid w:val="0C1A66D1"/>
    <w:rsid w:val="0C411CD0"/>
    <w:rsid w:val="0C5B1FA9"/>
    <w:rsid w:val="0C8E4136"/>
    <w:rsid w:val="0CA062F8"/>
    <w:rsid w:val="0CBB758C"/>
    <w:rsid w:val="0CC84007"/>
    <w:rsid w:val="0CED2457"/>
    <w:rsid w:val="0D1D5845"/>
    <w:rsid w:val="0D2C1377"/>
    <w:rsid w:val="0D5C5AB2"/>
    <w:rsid w:val="0D614F04"/>
    <w:rsid w:val="0D6A4C3D"/>
    <w:rsid w:val="0D6B79A8"/>
    <w:rsid w:val="0DA47D15"/>
    <w:rsid w:val="0DCC335E"/>
    <w:rsid w:val="0DF87606"/>
    <w:rsid w:val="0E04554D"/>
    <w:rsid w:val="0E0C0187"/>
    <w:rsid w:val="0E4868F2"/>
    <w:rsid w:val="0E94477A"/>
    <w:rsid w:val="0EA4600F"/>
    <w:rsid w:val="0EBC2000"/>
    <w:rsid w:val="0EFE3455"/>
    <w:rsid w:val="0F032819"/>
    <w:rsid w:val="0F143C2E"/>
    <w:rsid w:val="0F3330FE"/>
    <w:rsid w:val="0F340DCE"/>
    <w:rsid w:val="0F3918CC"/>
    <w:rsid w:val="0F397095"/>
    <w:rsid w:val="0FD663C6"/>
    <w:rsid w:val="0FEA3549"/>
    <w:rsid w:val="0FED06EC"/>
    <w:rsid w:val="0FFC7994"/>
    <w:rsid w:val="1008523D"/>
    <w:rsid w:val="10190CBD"/>
    <w:rsid w:val="102D14D1"/>
    <w:rsid w:val="107439CE"/>
    <w:rsid w:val="10A05079"/>
    <w:rsid w:val="10B95885"/>
    <w:rsid w:val="10CF15AC"/>
    <w:rsid w:val="10D355A2"/>
    <w:rsid w:val="11342822"/>
    <w:rsid w:val="1165541F"/>
    <w:rsid w:val="117935E0"/>
    <w:rsid w:val="118640B3"/>
    <w:rsid w:val="121F52D5"/>
    <w:rsid w:val="12321665"/>
    <w:rsid w:val="124C2044"/>
    <w:rsid w:val="12541D09"/>
    <w:rsid w:val="126C7EC0"/>
    <w:rsid w:val="1277417D"/>
    <w:rsid w:val="12B74046"/>
    <w:rsid w:val="12BE7F96"/>
    <w:rsid w:val="12C422DF"/>
    <w:rsid w:val="12C65BDC"/>
    <w:rsid w:val="12E70400"/>
    <w:rsid w:val="12F745E0"/>
    <w:rsid w:val="12F96D8F"/>
    <w:rsid w:val="13215741"/>
    <w:rsid w:val="1342515B"/>
    <w:rsid w:val="1356443E"/>
    <w:rsid w:val="1360694E"/>
    <w:rsid w:val="136253A7"/>
    <w:rsid w:val="136544CD"/>
    <w:rsid w:val="1393060F"/>
    <w:rsid w:val="13A72C3B"/>
    <w:rsid w:val="13A934D3"/>
    <w:rsid w:val="13C0328F"/>
    <w:rsid w:val="13C719E1"/>
    <w:rsid w:val="13DC2553"/>
    <w:rsid w:val="14215CAB"/>
    <w:rsid w:val="149B2B25"/>
    <w:rsid w:val="157939BE"/>
    <w:rsid w:val="1585667E"/>
    <w:rsid w:val="15AD6F46"/>
    <w:rsid w:val="15B360ED"/>
    <w:rsid w:val="15D46CBD"/>
    <w:rsid w:val="15F25C65"/>
    <w:rsid w:val="161C194F"/>
    <w:rsid w:val="163D0D06"/>
    <w:rsid w:val="167D6633"/>
    <w:rsid w:val="16C7330C"/>
    <w:rsid w:val="16CE41FA"/>
    <w:rsid w:val="16E318AE"/>
    <w:rsid w:val="16E77616"/>
    <w:rsid w:val="16F862E2"/>
    <w:rsid w:val="17284489"/>
    <w:rsid w:val="176159C8"/>
    <w:rsid w:val="17762075"/>
    <w:rsid w:val="17BF5E77"/>
    <w:rsid w:val="17C50F2C"/>
    <w:rsid w:val="18090EA0"/>
    <w:rsid w:val="1871686D"/>
    <w:rsid w:val="188542AB"/>
    <w:rsid w:val="1888103C"/>
    <w:rsid w:val="18940F06"/>
    <w:rsid w:val="189E1726"/>
    <w:rsid w:val="18AE213F"/>
    <w:rsid w:val="18CE20EA"/>
    <w:rsid w:val="18EF3A7F"/>
    <w:rsid w:val="19266EAE"/>
    <w:rsid w:val="1935703B"/>
    <w:rsid w:val="193E61A9"/>
    <w:rsid w:val="19B175FE"/>
    <w:rsid w:val="19BA2DA6"/>
    <w:rsid w:val="19E17184"/>
    <w:rsid w:val="19FB2C3C"/>
    <w:rsid w:val="1A1B5EE6"/>
    <w:rsid w:val="1A3146DE"/>
    <w:rsid w:val="1A351A94"/>
    <w:rsid w:val="1A3B188F"/>
    <w:rsid w:val="1A4F4961"/>
    <w:rsid w:val="1A527E86"/>
    <w:rsid w:val="1A601F95"/>
    <w:rsid w:val="1A7F279D"/>
    <w:rsid w:val="1A864FC7"/>
    <w:rsid w:val="1A967D50"/>
    <w:rsid w:val="1A970FB3"/>
    <w:rsid w:val="1AAB45F6"/>
    <w:rsid w:val="1AE6196C"/>
    <w:rsid w:val="1AEF1BCD"/>
    <w:rsid w:val="1AF205C1"/>
    <w:rsid w:val="1B106349"/>
    <w:rsid w:val="1B133EBD"/>
    <w:rsid w:val="1B3E3557"/>
    <w:rsid w:val="1B4B17D0"/>
    <w:rsid w:val="1B4F7512"/>
    <w:rsid w:val="1B524AC2"/>
    <w:rsid w:val="1B791B76"/>
    <w:rsid w:val="1B9E3FF5"/>
    <w:rsid w:val="1BA91C0A"/>
    <w:rsid w:val="1BBD3D34"/>
    <w:rsid w:val="1BBE13E9"/>
    <w:rsid w:val="1BC54211"/>
    <w:rsid w:val="1BCC07FF"/>
    <w:rsid w:val="1BE22134"/>
    <w:rsid w:val="1BED31A7"/>
    <w:rsid w:val="1C2362A8"/>
    <w:rsid w:val="1C2D03AA"/>
    <w:rsid w:val="1CE400B3"/>
    <w:rsid w:val="1D2119DA"/>
    <w:rsid w:val="1D481945"/>
    <w:rsid w:val="1D4C4CEA"/>
    <w:rsid w:val="1D52141A"/>
    <w:rsid w:val="1D9F6122"/>
    <w:rsid w:val="1DA727BD"/>
    <w:rsid w:val="1E1467F1"/>
    <w:rsid w:val="1E2B1E83"/>
    <w:rsid w:val="1E453774"/>
    <w:rsid w:val="1E5E5C12"/>
    <w:rsid w:val="1E7277E4"/>
    <w:rsid w:val="1E7A2AF8"/>
    <w:rsid w:val="1E8D7EC4"/>
    <w:rsid w:val="1EB05FC3"/>
    <w:rsid w:val="1EB57C64"/>
    <w:rsid w:val="1EB75293"/>
    <w:rsid w:val="1EE12B77"/>
    <w:rsid w:val="1EE456C8"/>
    <w:rsid w:val="1EFA23B0"/>
    <w:rsid w:val="1F2C44D2"/>
    <w:rsid w:val="1F2F00D5"/>
    <w:rsid w:val="1F375C0D"/>
    <w:rsid w:val="1F3D0CE1"/>
    <w:rsid w:val="1F4B4494"/>
    <w:rsid w:val="1F541C2F"/>
    <w:rsid w:val="1F942298"/>
    <w:rsid w:val="1FA7260B"/>
    <w:rsid w:val="1FD629A6"/>
    <w:rsid w:val="1FEE3736"/>
    <w:rsid w:val="2034266D"/>
    <w:rsid w:val="20441BF7"/>
    <w:rsid w:val="20567811"/>
    <w:rsid w:val="206C1FB3"/>
    <w:rsid w:val="206D3F96"/>
    <w:rsid w:val="207B20B8"/>
    <w:rsid w:val="20AE2C72"/>
    <w:rsid w:val="20C55B80"/>
    <w:rsid w:val="20C87EE6"/>
    <w:rsid w:val="20DF6696"/>
    <w:rsid w:val="21156537"/>
    <w:rsid w:val="218469C1"/>
    <w:rsid w:val="21FB6487"/>
    <w:rsid w:val="22620C72"/>
    <w:rsid w:val="22754B37"/>
    <w:rsid w:val="22AE5F02"/>
    <w:rsid w:val="22E54FD6"/>
    <w:rsid w:val="237D6BE6"/>
    <w:rsid w:val="23E00C5B"/>
    <w:rsid w:val="241A61E3"/>
    <w:rsid w:val="244858D6"/>
    <w:rsid w:val="24552B00"/>
    <w:rsid w:val="24582CE4"/>
    <w:rsid w:val="246C3202"/>
    <w:rsid w:val="24CD7C86"/>
    <w:rsid w:val="250462EA"/>
    <w:rsid w:val="252D7657"/>
    <w:rsid w:val="25355DF2"/>
    <w:rsid w:val="25390605"/>
    <w:rsid w:val="253A3746"/>
    <w:rsid w:val="25671777"/>
    <w:rsid w:val="256C29A0"/>
    <w:rsid w:val="25752417"/>
    <w:rsid w:val="25933BDB"/>
    <w:rsid w:val="259F4BF2"/>
    <w:rsid w:val="25AD3610"/>
    <w:rsid w:val="25B66BA8"/>
    <w:rsid w:val="25C7239A"/>
    <w:rsid w:val="25E70ABF"/>
    <w:rsid w:val="262D6F62"/>
    <w:rsid w:val="264703AF"/>
    <w:rsid w:val="266E4660"/>
    <w:rsid w:val="26C708A4"/>
    <w:rsid w:val="26CF4594"/>
    <w:rsid w:val="271E4DAB"/>
    <w:rsid w:val="273428E8"/>
    <w:rsid w:val="273B094A"/>
    <w:rsid w:val="274759C4"/>
    <w:rsid w:val="274B7559"/>
    <w:rsid w:val="27944F81"/>
    <w:rsid w:val="27E56EF9"/>
    <w:rsid w:val="28166B73"/>
    <w:rsid w:val="282442D9"/>
    <w:rsid w:val="283E4B96"/>
    <w:rsid w:val="284367B5"/>
    <w:rsid w:val="285718A5"/>
    <w:rsid w:val="28EB4C69"/>
    <w:rsid w:val="28F865CB"/>
    <w:rsid w:val="29053276"/>
    <w:rsid w:val="29250E1B"/>
    <w:rsid w:val="295A53EB"/>
    <w:rsid w:val="29756EEE"/>
    <w:rsid w:val="29803AA3"/>
    <w:rsid w:val="29884B07"/>
    <w:rsid w:val="298957C4"/>
    <w:rsid w:val="29A35370"/>
    <w:rsid w:val="29B5107E"/>
    <w:rsid w:val="29DF4E52"/>
    <w:rsid w:val="2A1D6A45"/>
    <w:rsid w:val="2A452228"/>
    <w:rsid w:val="2A6F6EBA"/>
    <w:rsid w:val="2A830C79"/>
    <w:rsid w:val="2AD11736"/>
    <w:rsid w:val="2AE31A25"/>
    <w:rsid w:val="2B1029CF"/>
    <w:rsid w:val="2B4E46A4"/>
    <w:rsid w:val="2B5D17D7"/>
    <w:rsid w:val="2B5F0E77"/>
    <w:rsid w:val="2B7F64C1"/>
    <w:rsid w:val="2B8C5C18"/>
    <w:rsid w:val="2BA3212D"/>
    <w:rsid w:val="2BA611ED"/>
    <w:rsid w:val="2BAD5947"/>
    <w:rsid w:val="2BE7007A"/>
    <w:rsid w:val="2BFE408A"/>
    <w:rsid w:val="2C234403"/>
    <w:rsid w:val="2C8A7948"/>
    <w:rsid w:val="2CDF0482"/>
    <w:rsid w:val="2D095368"/>
    <w:rsid w:val="2D22640D"/>
    <w:rsid w:val="2D464D5F"/>
    <w:rsid w:val="2D4A5D8B"/>
    <w:rsid w:val="2D4E5097"/>
    <w:rsid w:val="2D592D22"/>
    <w:rsid w:val="2DB43204"/>
    <w:rsid w:val="2DFB00B5"/>
    <w:rsid w:val="2E641894"/>
    <w:rsid w:val="2E697CA3"/>
    <w:rsid w:val="2E6D4E98"/>
    <w:rsid w:val="2E7931EC"/>
    <w:rsid w:val="2E7B0389"/>
    <w:rsid w:val="2E864E16"/>
    <w:rsid w:val="2E944745"/>
    <w:rsid w:val="2E9705D3"/>
    <w:rsid w:val="2E9C3022"/>
    <w:rsid w:val="2E9D638E"/>
    <w:rsid w:val="2EBE0475"/>
    <w:rsid w:val="2EC1790D"/>
    <w:rsid w:val="2EE23871"/>
    <w:rsid w:val="2F104DB2"/>
    <w:rsid w:val="2F1D1D68"/>
    <w:rsid w:val="2F2A65B2"/>
    <w:rsid w:val="2F6C2DFA"/>
    <w:rsid w:val="2FB63264"/>
    <w:rsid w:val="3022617D"/>
    <w:rsid w:val="30405223"/>
    <w:rsid w:val="30464B56"/>
    <w:rsid w:val="30473068"/>
    <w:rsid w:val="307C2C0D"/>
    <w:rsid w:val="30967620"/>
    <w:rsid w:val="30BD1FE5"/>
    <w:rsid w:val="30E402A4"/>
    <w:rsid w:val="30F36C74"/>
    <w:rsid w:val="30F90CD1"/>
    <w:rsid w:val="30F9318B"/>
    <w:rsid w:val="31272F44"/>
    <w:rsid w:val="31936105"/>
    <w:rsid w:val="31AE740B"/>
    <w:rsid w:val="31B658D4"/>
    <w:rsid w:val="32126894"/>
    <w:rsid w:val="32316E69"/>
    <w:rsid w:val="325B404D"/>
    <w:rsid w:val="32824316"/>
    <w:rsid w:val="32887E5F"/>
    <w:rsid w:val="329A50AF"/>
    <w:rsid w:val="329E5AD1"/>
    <w:rsid w:val="32CC51E5"/>
    <w:rsid w:val="32E6051A"/>
    <w:rsid w:val="32F32A21"/>
    <w:rsid w:val="32F33B15"/>
    <w:rsid w:val="33A718ED"/>
    <w:rsid w:val="33AA3E3F"/>
    <w:rsid w:val="33B91574"/>
    <w:rsid w:val="33C61F53"/>
    <w:rsid w:val="340053F5"/>
    <w:rsid w:val="34254E5C"/>
    <w:rsid w:val="347E631A"/>
    <w:rsid w:val="34AC6BE3"/>
    <w:rsid w:val="34BB756E"/>
    <w:rsid w:val="34EB329F"/>
    <w:rsid w:val="34FE1F7D"/>
    <w:rsid w:val="350C1B78"/>
    <w:rsid w:val="35270865"/>
    <w:rsid w:val="353115DE"/>
    <w:rsid w:val="354B6EA6"/>
    <w:rsid w:val="3569521C"/>
    <w:rsid w:val="35C42A65"/>
    <w:rsid w:val="3609516B"/>
    <w:rsid w:val="361B7BDC"/>
    <w:rsid w:val="364221AD"/>
    <w:rsid w:val="36627D01"/>
    <w:rsid w:val="36AC6FD2"/>
    <w:rsid w:val="36AE45FE"/>
    <w:rsid w:val="36D4159F"/>
    <w:rsid w:val="36E67798"/>
    <w:rsid w:val="36FF0DB1"/>
    <w:rsid w:val="37067020"/>
    <w:rsid w:val="372649E2"/>
    <w:rsid w:val="372C59AA"/>
    <w:rsid w:val="373000B7"/>
    <w:rsid w:val="373C4433"/>
    <w:rsid w:val="37824D2F"/>
    <w:rsid w:val="37963F54"/>
    <w:rsid w:val="379A6B89"/>
    <w:rsid w:val="37A84346"/>
    <w:rsid w:val="37BF2E3D"/>
    <w:rsid w:val="37D107AA"/>
    <w:rsid w:val="37FD7E74"/>
    <w:rsid w:val="38227BC2"/>
    <w:rsid w:val="38312021"/>
    <w:rsid w:val="38926D93"/>
    <w:rsid w:val="38B04B0E"/>
    <w:rsid w:val="38FD54AF"/>
    <w:rsid w:val="390741E5"/>
    <w:rsid w:val="391334D5"/>
    <w:rsid w:val="391F264A"/>
    <w:rsid w:val="39243472"/>
    <w:rsid w:val="392B2144"/>
    <w:rsid w:val="394205BC"/>
    <w:rsid w:val="397F500E"/>
    <w:rsid w:val="3997588E"/>
    <w:rsid w:val="39B46D56"/>
    <w:rsid w:val="39C828E7"/>
    <w:rsid w:val="39DD557C"/>
    <w:rsid w:val="39FC4298"/>
    <w:rsid w:val="3A414072"/>
    <w:rsid w:val="3A4536A9"/>
    <w:rsid w:val="3A552184"/>
    <w:rsid w:val="3A800711"/>
    <w:rsid w:val="3A810CA0"/>
    <w:rsid w:val="3A96496C"/>
    <w:rsid w:val="3A9F3479"/>
    <w:rsid w:val="3AB94550"/>
    <w:rsid w:val="3ABC7EEE"/>
    <w:rsid w:val="3AED2009"/>
    <w:rsid w:val="3B1939D0"/>
    <w:rsid w:val="3B581890"/>
    <w:rsid w:val="3BA44A82"/>
    <w:rsid w:val="3BAB26D3"/>
    <w:rsid w:val="3BB014AF"/>
    <w:rsid w:val="3BD009CC"/>
    <w:rsid w:val="3BF45BDB"/>
    <w:rsid w:val="3C2B1FE6"/>
    <w:rsid w:val="3C8779B9"/>
    <w:rsid w:val="3C8B2C2B"/>
    <w:rsid w:val="3C940215"/>
    <w:rsid w:val="3C9F058C"/>
    <w:rsid w:val="3CC97C4F"/>
    <w:rsid w:val="3CCA29EB"/>
    <w:rsid w:val="3CCC5DBF"/>
    <w:rsid w:val="3CD70CBD"/>
    <w:rsid w:val="3D497E6A"/>
    <w:rsid w:val="3D634958"/>
    <w:rsid w:val="3D6C6B53"/>
    <w:rsid w:val="3D813613"/>
    <w:rsid w:val="3D8C6BB2"/>
    <w:rsid w:val="3D987150"/>
    <w:rsid w:val="3D9E333B"/>
    <w:rsid w:val="3DB1223A"/>
    <w:rsid w:val="3DBC00BF"/>
    <w:rsid w:val="3DCB1A6B"/>
    <w:rsid w:val="3DD97A46"/>
    <w:rsid w:val="3DED30AA"/>
    <w:rsid w:val="3E3102BB"/>
    <w:rsid w:val="3E614AA5"/>
    <w:rsid w:val="3E730D7F"/>
    <w:rsid w:val="3E9B4D4A"/>
    <w:rsid w:val="3EB02545"/>
    <w:rsid w:val="3EB21D54"/>
    <w:rsid w:val="3EC126F9"/>
    <w:rsid w:val="3F18661A"/>
    <w:rsid w:val="3F7512EA"/>
    <w:rsid w:val="3F9730B9"/>
    <w:rsid w:val="3FBD58AF"/>
    <w:rsid w:val="3FC55901"/>
    <w:rsid w:val="3FC9458D"/>
    <w:rsid w:val="3FD033AD"/>
    <w:rsid w:val="3FF676AC"/>
    <w:rsid w:val="401924B3"/>
    <w:rsid w:val="401F021A"/>
    <w:rsid w:val="40347D13"/>
    <w:rsid w:val="404148A6"/>
    <w:rsid w:val="40572AB6"/>
    <w:rsid w:val="405D3459"/>
    <w:rsid w:val="4068264C"/>
    <w:rsid w:val="407728FD"/>
    <w:rsid w:val="40A315E2"/>
    <w:rsid w:val="40CA0DB3"/>
    <w:rsid w:val="40DC5CDB"/>
    <w:rsid w:val="410603FC"/>
    <w:rsid w:val="410D06B8"/>
    <w:rsid w:val="41111D82"/>
    <w:rsid w:val="418A37A0"/>
    <w:rsid w:val="41A274B6"/>
    <w:rsid w:val="41C034AF"/>
    <w:rsid w:val="42311D52"/>
    <w:rsid w:val="424A712C"/>
    <w:rsid w:val="4263268C"/>
    <w:rsid w:val="42731488"/>
    <w:rsid w:val="429F7E60"/>
    <w:rsid w:val="42A66B85"/>
    <w:rsid w:val="42CB2D35"/>
    <w:rsid w:val="42D21256"/>
    <w:rsid w:val="42F759C4"/>
    <w:rsid w:val="43023463"/>
    <w:rsid w:val="431D3976"/>
    <w:rsid w:val="434075BC"/>
    <w:rsid w:val="434660D0"/>
    <w:rsid w:val="43554BAC"/>
    <w:rsid w:val="435D3A52"/>
    <w:rsid w:val="43A027A3"/>
    <w:rsid w:val="43AA1E91"/>
    <w:rsid w:val="43AF27CC"/>
    <w:rsid w:val="43BA343C"/>
    <w:rsid w:val="43F8127E"/>
    <w:rsid w:val="44103433"/>
    <w:rsid w:val="441B1DD7"/>
    <w:rsid w:val="4428525F"/>
    <w:rsid w:val="444A0170"/>
    <w:rsid w:val="4456696C"/>
    <w:rsid w:val="44650F3F"/>
    <w:rsid w:val="44667276"/>
    <w:rsid w:val="44A37922"/>
    <w:rsid w:val="44B63420"/>
    <w:rsid w:val="44B71DE6"/>
    <w:rsid w:val="44BE70AA"/>
    <w:rsid w:val="44DB6B8D"/>
    <w:rsid w:val="452666B3"/>
    <w:rsid w:val="45603F46"/>
    <w:rsid w:val="456F0EFE"/>
    <w:rsid w:val="45723C79"/>
    <w:rsid w:val="45CA5863"/>
    <w:rsid w:val="45DB35CC"/>
    <w:rsid w:val="45F40D6D"/>
    <w:rsid w:val="45F8252B"/>
    <w:rsid w:val="46153B79"/>
    <w:rsid w:val="4625595A"/>
    <w:rsid w:val="4655670F"/>
    <w:rsid w:val="46A165C4"/>
    <w:rsid w:val="46CD6A3D"/>
    <w:rsid w:val="46D23AA8"/>
    <w:rsid w:val="46D446A7"/>
    <w:rsid w:val="47165D61"/>
    <w:rsid w:val="47176886"/>
    <w:rsid w:val="471D19C3"/>
    <w:rsid w:val="47227A7A"/>
    <w:rsid w:val="473A4323"/>
    <w:rsid w:val="475D1752"/>
    <w:rsid w:val="47767BD4"/>
    <w:rsid w:val="477D0471"/>
    <w:rsid w:val="478D4D9A"/>
    <w:rsid w:val="47C35C8D"/>
    <w:rsid w:val="47FB44E3"/>
    <w:rsid w:val="4804332F"/>
    <w:rsid w:val="484C07B1"/>
    <w:rsid w:val="488A747A"/>
    <w:rsid w:val="489640A7"/>
    <w:rsid w:val="489E300A"/>
    <w:rsid w:val="48A00AFD"/>
    <w:rsid w:val="48F0738F"/>
    <w:rsid w:val="4955748F"/>
    <w:rsid w:val="49694B92"/>
    <w:rsid w:val="49737357"/>
    <w:rsid w:val="4A0366CF"/>
    <w:rsid w:val="4A256483"/>
    <w:rsid w:val="4A2F3EE7"/>
    <w:rsid w:val="4A38641F"/>
    <w:rsid w:val="4A6A4F1F"/>
    <w:rsid w:val="4A783AE0"/>
    <w:rsid w:val="4A800E57"/>
    <w:rsid w:val="4A9F5D83"/>
    <w:rsid w:val="4AB52052"/>
    <w:rsid w:val="4AF859CC"/>
    <w:rsid w:val="4B657DEC"/>
    <w:rsid w:val="4B6F63D5"/>
    <w:rsid w:val="4B8152D3"/>
    <w:rsid w:val="4B965649"/>
    <w:rsid w:val="4BBA0F4B"/>
    <w:rsid w:val="4BBF74EC"/>
    <w:rsid w:val="4BC03621"/>
    <w:rsid w:val="4BC22F72"/>
    <w:rsid w:val="4BD96800"/>
    <w:rsid w:val="4BEC1DA9"/>
    <w:rsid w:val="4C454D9D"/>
    <w:rsid w:val="4C6D4FD8"/>
    <w:rsid w:val="4C956109"/>
    <w:rsid w:val="4CB12B2C"/>
    <w:rsid w:val="4CBC2827"/>
    <w:rsid w:val="4CC312B6"/>
    <w:rsid w:val="4CDD2221"/>
    <w:rsid w:val="4CEC7C13"/>
    <w:rsid w:val="4CFE148E"/>
    <w:rsid w:val="4D1737DC"/>
    <w:rsid w:val="4D2E5116"/>
    <w:rsid w:val="4D4946C3"/>
    <w:rsid w:val="4D6215E1"/>
    <w:rsid w:val="4D667D39"/>
    <w:rsid w:val="4D6A6CFA"/>
    <w:rsid w:val="4D6F53B7"/>
    <w:rsid w:val="4D8C427F"/>
    <w:rsid w:val="4D9739B2"/>
    <w:rsid w:val="4DAE616A"/>
    <w:rsid w:val="4DB579D1"/>
    <w:rsid w:val="4DBD70EB"/>
    <w:rsid w:val="4E6E459C"/>
    <w:rsid w:val="4E98618A"/>
    <w:rsid w:val="4E9D352C"/>
    <w:rsid w:val="4EB95E17"/>
    <w:rsid w:val="4ED0364D"/>
    <w:rsid w:val="4ED96B17"/>
    <w:rsid w:val="4F6B02B8"/>
    <w:rsid w:val="4FA43165"/>
    <w:rsid w:val="4FB6214D"/>
    <w:rsid w:val="4FC86025"/>
    <w:rsid w:val="4FFA2095"/>
    <w:rsid w:val="502D711A"/>
    <w:rsid w:val="50AB003F"/>
    <w:rsid w:val="50E65CE2"/>
    <w:rsid w:val="50E97CDE"/>
    <w:rsid w:val="510E0CFA"/>
    <w:rsid w:val="511E0033"/>
    <w:rsid w:val="51202751"/>
    <w:rsid w:val="51366F1E"/>
    <w:rsid w:val="5143280B"/>
    <w:rsid w:val="51546F21"/>
    <w:rsid w:val="5176064D"/>
    <w:rsid w:val="518A1586"/>
    <w:rsid w:val="51A86476"/>
    <w:rsid w:val="51DD620D"/>
    <w:rsid w:val="51F83F85"/>
    <w:rsid w:val="52051862"/>
    <w:rsid w:val="52245275"/>
    <w:rsid w:val="522A5D40"/>
    <w:rsid w:val="52362B8A"/>
    <w:rsid w:val="524B6A93"/>
    <w:rsid w:val="52535651"/>
    <w:rsid w:val="53163533"/>
    <w:rsid w:val="53EC2A4F"/>
    <w:rsid w:val="54085543"/>
    <w:rsid w:val="543B3780"/>
    <w:rsid w:val="5444354A"/>
    <w:rsid w:val="547A6B2A"/>
    <w:rsid w:val="548E5CAE"/>
    <w:rsid w:val="54A83213"/>
    <w:rsid w:val="54C51909"/>
    <w:rsid w:val="54DA314C"/>
    <w:rsid w:val="551D6AF9"/>
    <w:rsid w:val="55A60ADC"/>
    <w:rsid w:val="55A97243"/>
    <w:rsid w:val="55AC288F"/>
    <w:rsid w:val="55D10548"/>
    <w:rsid w:val="55D857C5"/>
    <w:rsid w:val="55EE4D0C"/>
    <w:rsid w:val="56253A26"/>
    <w:rsid w:val="5638334C"/>
    <w:rsid w:val="565B76E8"/>
    <w:rsid w:val="56717635"/>
    <w:rsid w:val="56780FF9"/>
    <w:rsid w:val="56870578"/>
    <w:rsid w:val="568F468B"/>
    <w:rsid w:val="56905D0D"/>
    <w:rsid w:val="569241C0"/>
    <w:rsid w:val="56A33B67"/>
    <w:rsid w:val="56A40E03"/>
    <w:rsid w:val="56C45A8D"/>
    <w:rsid w:val="56E20A0E"/>
    <w:rsid w:val="57081D47"/>
    <w:rsid w:val="572F3F71"/>
    <w:rsid w:val="5737516A"/>
    <w:rsid w:val="57431AE0"/>
    <w:rsid w:val="57730A91"/>
    <w:rsid w:val="57831D16"/>
    <w:rsid w:val="57A27BD5"/>
    <w:rsid w:val="57BF3223"/>
    <w:rsid w:val="57C762A2"/>
    <w:rsid w:val="5812512F"/>
    <w:rsid w:val="581806B0"/>
    <w:rsid w:val="588C140C"/>
    <w:rsid w:val="589D2963"/>
    <w:rsid w:val="58B21650"/>
    <w:rsid w:val="58B23F52"/>
    <w:rsid w:val="58C00F3E"/>
    <w:rsid w:val="59103E6F"/>
    <w:rsid w:val="59373C72"/>
    <w:rsid w:val="5945207E"/>
    <w:rsid w:val="59480B21"/>
    <w:rsid w:val="595B4F2E"/>
    <w:rsid w:val="596C42A4"/>
    <w:rsid w:val="596D221D"/>
    <w:rsid w:val="59A237B5"/>
    <w:rsid w:val="59A77712"/>
    <w:rsid w:val="59B02759"/>
    <w:rsid w:val="59EC76FE"/>
    <w:rsid w:val="5A032C9A"/>
    <w:rsid w:val="5A72604D"/>
    <w:rsid w:val="5A7F77CE"/>
    <w:rsid w:val="5AA20C09"/>
    <w:rsid w:val="5ABC5F71"/>
    <w:rsid w:val="5ABD553F"/>
    <w:rsid w:val="5AF81EC0"/>
    <w:rsid w:val="5B0E4DAE"/>
    <w:rsid w:val="5B0E6862"/>
    <w:rsid w:val="5B3B2FD4"/>
    <w:rsid w:val="5B465534"/>
    <w:rsid w:val="5B58464F"/>
    <w:rsid w:val="5B8509D1"/>
    <w:rsid w:val="5B90297B"/>
    <w:rsid w:val="5BDB1EAB"/>
    <w:rsid w:val="5C11606C"/>
    <w:rsid w:val="5C4E0A2D"/>
    <w:rsid w:val="5C515F3F"/>
    <w:rsid w:val="5C524815"/>
    <w:rsid w:val="5C64452B"/>
    <w:rsid w:val="5C7719CE"/>
    <w:rsid w:val="5C8C341B"/>
    <w:rsid w:val="5C8E79BD"/>
    <w:rsid w:val="5D126ADC"/>
    <w:rsid w:val="5D2719C9"/>
    <w:rsid w:val="5D2773E7"/>
    <w:rsid w:val="5D285026"/>
    <w:rsid w:val="5D535CBA"/>
    <w:rsid w:val="5D5C0E3F"/>
    <w:rsid w:val="5D5E619D"/>
    <w:rsid w:val="5D697358"/>
    <w:rsid w:val="5D747A99"/>
    <w:rsid w:val="5D9249ED"/>
    <w:rsid w:val="5DA1646B"/>
    <w:rsid w:val="5DA54794"/>
    <w:rsid w:val="5DDC5DDB"/>
    <w:rsid w:val="5DF04FFA"/>
    <w:rsid w:val="5E063C72"/>
    <w:rsid w:val="5E19167C"/>
    <w:rsid w:val="5E3C01D4"/>
    <w:rsid w:val="5E6F443D"/>
    <w:rsid w:val="5E70354F"/>
    <w:rsid w:val="5E8C7523"/>
    <w:rsid w:val="5E94632E"/>
    <w:rsid w:val="5E9C2B92"/>
    <w:rsid w:val="5ECF6855"/>
    <w:rsid w:val="5F012417"/>
    <w:rsid w:val="5F0E6369"/>
    <w:rsid w:val="5F111534"/>
    <w:rsid w:val="5F6366B5"/>
    <w:rsid w:val="5FBC6FFC"/>
    <w:rsid w:val="5FD91B32"/>
    <w:rsid w:val="5FDE3D1C"/>
    <w:rsid w:val="5FEB36B0"/>
    <w:rsid w:val="600037C3"/>
    <w:rsid w:val="60070235"/>
    <w:rsid w:val="600B76B1"/>
    <w:rsid w:val="60247960"/>
    <w:rsid w:val="60337FBD"/>
    <w:rsid w:val="60557909"/>
    <w:rsid w:val="607466A0"/>
    <w:rsid w:val="608B596D"/>
    <w:rsid w:val="608E7CA1"/>
    <w:rsid w:val="60934D78"/>
    <w:rsid w:val="60B20DDE"/>
    <w:rsid w:val="60C34F31"/>
    <w:rsid w:val="60CF6017"/>
    <w:rsid w:val="60EC58A1"/>
    <w:rsid w:val="60F765D6"/>
    <w:rsid w:val="61135EB8"/>
    <w:rsid w:val="61273959"/>
    <w:rsid w:val="613C0294"/>
    <w:rsid w:val="616E1341"/>
    <w:rsid w:val="61811074"/>
    <w:rsid w:val="619B0A4D"/>
    <w:rsid w:val="619E6915"/>
    <w:rsid w:val="61BC5698"/>
    <w:rsid w:val="61C05E29"/>
    <w:rsid w:val="61C84EF5"/>
    <w:rsid w:val="61E220CA"/>
    <w:rsid w:val="621F3A28"/>
    <w:rsid w:val="623817CD"/>
    <w:rsid w:val="623D05EF"/>
    <w:rsid w:val="625671C6"/>
    <w:rsid w:val="626D5F1F"/>
    <w:rsid w:val="627F77D0"/>
    <w:rsid w:val="628D5A05"/>
    <w:rsid w:val="629635F2"/>
    <w:rsid w:val="62B716E9"/>
    <w:rsid w:val="62C76F5B"/>
    <w:rsid w:val="62DB156F"/>
    <w:rsid w:val="62E35C5C"/>
    <w:rsid w:val="6308602C"/>
    <w:rsid w:val="63466F4A"/>
    <w:rsid w:val="63655BF1"/>
    <w:rsid w:val="6381414F"/>
    <w:rsid w:val="639869FA"/>
    <w:rsid w:val="63A6496D"/>
    <w:rsid w:val="63A83FEC"/>
    <w:rsid w:val="63D336DD"/>
    <w:rsid w:val="63D92053"/>
    <w:rsid w:val="63E37B79"/>
    <w:rsid w:val="63FC1B88"/>
    <w:rsid w:val="64035403"/>
    <w:rsid w:val="642B1E03"/>
    <w:rsid w:val="644D4301"/>
    <w:rsid w:val="646E3B0C"/>
    <w:rsid w:val="64727DBE"/>
    <w:rsid w:val="6477289B"/>
    <w:rsid w:val="647E3AF2"/>
    <w:rsid w:val="649176C0"/>
    <w:rsid w:val="64987293"/>
    <w:rsid w:val="649E57C1"/>
    <w:rsid w:val="64A11F98"/>
    <w:rsid w:val="64D179F6"/>
    <w:rsid w:val="64D442AC"/>
    <w:rsid w:val="650401CF"/>
    <w:rsid w:val="65040F88"/>
    <w:rsid w:val="653D52DC"/>
    <w:rsid w:val="655373D5"/>
    <w:rsid w:val="65A300A1"/>
    <w:rsid w:val="65DB5C3D"/>
    <w:rsid w:val="65DC330D"/>
    <w:rsid w:val="66126967"/>
    <w:rsid w:val="66780DEE"/>
    <w:rsid w:val="668D4017"/>
    <w:rsid w:val="668E1E21"/>
    <w:rsid w:val="66926F8C"/>
    <w:rsid w:val="66966882"/>
    <w:rsid w:val="66A001EE"/>
    <w:rsid w:val="66E86DB2"/>
    <w:rsid w:val="66F269C9"/>
    <w:rsid w:val="671D7AF8"/>
    <w:rsid w:val="67285BDC"/>
    <w:rsid w:val="67873875"/>
    <w:rsid w:val="67A5105F"/>
    <w:rsid w:val="67C1521F"/>
    <w:rsid w:val="67D77C40"/>
    <w:rsid w:val="67F627E2"/>
    <w:rsid w:val="67FB2FC2"/>
    <w:rsid w:val="682E182A"/>
    <w:rsid w:val="6838125F"/>
    <w:rsid w:val="684E7153"/>
    <w:rsid w:val="68942469"/>
    <w:rsid w:val="68996F46"/>
    <w:rsid w:val="68A270B1"/>
    <w:rsid w:val="68E24AEE"/>
    <w:rsid w:val="690031C6"/>
    <w:rsid w:val="69470DF5"/>
    <w:rsid w:val="69522C18"/>
    <w:rsid w:val="695D7B90"/>
    <w:rsid w:val="69A85914"/>
    <w:rsid w:val="69AE444D"/>
    <w:rsid w:val="69B54893"/>
    <w:rsid w:val="69F0666F"/>
    <w:rsid w:val="69FA018D"/>
    <w:rsid w:val="6A25465E"/>
    <w:rsid w:val="6A572716"/>
    <w:rsid w:val="6A87076D"/>
    <w:rsid w:val="6A9454E3"/>
    <w:rsid w:val="6A945F72"/>
    <w:rsid w:val="6A9A4F55"/>
    <w:rsid w:val="6A9C0CCD"/>
    <w:rsid w:val="6ACF2D0F"/>
    <w:rsid w:val="6AFC23BD"/>
    <w:rsid w:val="6B287CCA"/>
    <w:rsid w:val="6B30246E"/>
    <w:rsid w:val="6B37191E"/>
    <w:rsid w:val="6BA33D44"/>
    <w:rsid w:val="6C376EFF"/>
    <w:rsid w:val="6C3A4C18"/>
    <w:rsid w:val="6C4068D5"/>
    <w:rsid w:val="6C4433CA"/>
    <w:rsid w:val="6C8568B5"/>
    <w:rsid w:val="6CB00C5D"/>
    <w:rsid w:val="6D0441AB"/>
    <w:rsid w:val="6D050DAB"/>
    <w:rsid w:val="6D1159A2"/>
    <w:rsid w:val="6D140FEE"/>
    <w:rsid w:val="6D481945"/>
    <w:rsid w:val="6D6650F6"/>
    <w:rsid w:val="6D6D32A5"/>
    <w:rsid w:val="6D920165"/>
    <w:rsid w:val="6D96704E"/>
    <w:rsid w:val="6DB86E0B"/>
    <w:rsid w:val="6DBC36D7"/>
    <w:rsid w:val="6E0E0133"/>
    <w:rsid w:val="6E1E5C69"/>
    <w:rsid w:val="6E3B1C5F"/>
    <w:rsid w:val="6ECD14C3"/>
    <w:rsid w:val="6EE041F0"/>
    <w:rsid w:val="6EF06A3A"/>
    <w:rsid w:val="6F231086"/>
    <w:rsid w:val="6F2C1077"/>
    <w:rsid w:val="6F4412DE"/>
    <w:rsid w:val="6F51652A"/>
    <w:rsid w:val="6F773AB6"/>
    <w:rsid w:val="6F813B6D"/>
    <w:rsid w:val="6FB01FF6"/>
    <w:rsid w:val="6FD35191"/>
    <w:rsid w:val="6FE769C0"/>
    <w:rsid w:val="6FED1DD7"/>
    <w:rsid w:val="702D3037"/>
    <w:rsid w:val="706C7393"/>
    <w:rsid w:val="70854008"/>
    <w:rsid w:val="70A00296"/>
    <w:rsid w:val="70F3716D"/>
    <w:rsid w:val="712A7C9A"/>
    <w:rsid w:val="714B0D57"/>
    <w:rsid w:val="715B3690"/>
    <w:rsid w:val="717E7184"/>
    <w:rsid w:val="72071122"/>
    <w:rsid w:val="720F7FD6"/>
    <w:rsid w:val="72525910"/>
    <w:rsid w:val="7272141E"/>
    <w:rsid w:val="729A51BF"/>
    <w:rsid w:val="729B1591"/>
    <w:rsid w:val="72C31F67"/>
    <w:rsid w:val="730F2443"/>
    <w:rsid w:val="738A19B2"/>
    <w:rsid w:val="74460C31"/>
    <w:rsid w:val="745948C9"/>
    <w:rsid w:val="745F5486"/>
    <w:rsid w:val="74782083"/>
    <w:rsid w:val="74C4779E"/>
    <w:rsid w:val="74F00783"/>
    <w:rsid w:val="74F21A8E"/>
    <w:rsid w:val="74F31F0C"/>
    <w:rsid w:val="75092D2E"/>
    <w:rsid w:val="751F35C6"/>
    <w:rsid w:val="752673FA"/>
    <w:rsid w:val="75445278"/>
    <w:rsid w:val="756D2420"/>
    <w:rsid w:val="75D33B60"/>
    <w:rsid w:val="75EB0030"/>
    <w:rsid w:val="75F75951"/>
    <w:rsid w:val="76133B2A"/>
    <w:rsid w:val="76455580"/>
    <w:rsid w:val="767A1884"/>
    <w:rsid w:val="7681376B"/>
    <w:rsid w:val="76832D41"/>
    <w:rsid w:val="769413F2"/>
    <w:rsid w:val="76E7048B"/>
    <w:rsid w:val="771405C6"/>
    <w:rsid w:val="77186802"/>
    <w:rsid w:val="77244002"/>
    <w:rsid w:val="7759121E"/>
    <w:rsid w:val="778C19C1"/>
    <w:rsid w:val="77DE7388"/>
    <w:rsid w:val="78123276"/>
    <w:rsid w:val="781B6350"/>
    <w:rsid w:val="78280C33"/>
    <w:rsid w:val="78661D77"/>
    <w:rsid w:val="787542C9"/>
    <w:rsid w:val="787768D5"/>
    <w:rsid w:val="787C4A52"/>
    <w:rsid w:val="787D1A38"/>
    <w:rsid w:val="78833D88"/>
    <w:rsid w:val="78C70562"/>
    <w:rsid w:val="792279DB"/>
    <w:rsid w:val="797352EE"/>
    <w:rsid w:val="797C1AA1"/>
    <w:rsid w:val="79902061"/>
    <w:rsid w:val="7A6B39FF"/>
    <w:rsid w:val="7A8F7F06"/>
    <w:rsid w:val="7A934CC7"/>
    <w:rsid w:val="7AB93CAD"/>
    <w:rsid w:val="7ADD5745"/>
    <w:rsid w:val="7AFB7263"/>
    <w:rsid w:val="7B02692A"/>
    <w:rsid w:val="7B062FF2"/>
    <w:rsid w:val="7B116710"/>
    <w:rsid w:val="7B332F87"/>
    <w:rsid w:val="7B4771D3"/>
    <w:rsid w:val="7B4969DA"/>
    <w:rsid w:val="7B4A327F"/>
    <w:rsid w:val="7B4B57FE"/>
    <w:rsid w:val="7B4C4049"/>
    <w:rsid w:val="7B66335D"/>
    <w:rsid w:val="7BBA7BC4"/>
    <w:rsid w:val="7BEB17A6"/>
    <w:rsid w:val="7BF444AB"/>
    <w:rsid w:val="7BFE0356"/>
    <w:rsid w:val="7C050FEE"/>
    <w:rsid w:val="7C1F696C"/>
    <w:rsid w:val="7C241FA4"/>
    <w:rsid w:val="7C2F7F24"/>
    <w:rsid w:val="7C4F6127"/>
    <w:rsid w:val="7C52655B"/>
    <w:rsid w:val="7C557027"/>
    <w:rsid w:val="7C774202"/>
    <w:rsid w:val="7CB225D2"/>
    <w:rsid w:val="7CE02C9B"/>
    <w:rsid w:val="7CEC5AE4"/>
    <w:rsid w:val="7CF32D47"/>
    <w:rsid w:val="7CF47DC4"/>
    <w:rsid w:val="7D150075"/>
    <w:rsid w:val="7D2D7E4F"/>
    <w:rsid w:val="7D3D1C6F"/>
    <w:rsid w:val="7D5E0064"/>
    <w:rsid w:val="7D7D2444"/>
    <w:rsid w:val="7D957F29"/>
    <w:rsid w:val="7DB07A50"/>
    <w:rsid w:val="7DC17AA5"/>
    <w:rsid w:val="7DFE3D49"/>
    <w:rsid w:val="7E0B2E1C"/>
    <w:rsid w:val="7E3F400C"/>
    <w:rsid w:val="7E3F5C67"/>
    <w:rsid w:val="7E485A8B"/>
    <w:rsid w:val="7E710432"/>
    <w:rsid w:val="7E784FFE"/>
    <w:rsid w:val="7F0D36A8"/>
    <w:rsid w:val="7F0D6F9B"/>
    <w:rsid w:val="7F267E5E"/>
    <w:rsid w:val="7F2F7F0A"/>
    <w:rsid w:val="7F511034"/>
    <w:rsid w:val="7F8813C8"/>
    <w:rsid w:val="7FB12B06"/>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jc w:val="center"/>
      <w:outlineLvl w:val="0"/>
    </w:pPr>
    <w:rPr>
      <w:b/>
      <w:bCs/>
      <w:kern w:val="0"/>
      <w:sz w:val="24"/>
      <w:szCs w:val="20"/>
    </w:rPr>
  </w:style>
  <w:style w:type="paragraph" w:styleId="4">
    <w:name w:val="heading 2"/>
    <w:basedOn w:val="1"/>
    <w:next w:val="1"/>
    <w:link w:val="66"/>
    <w:qFormat/>
    <w:uiPriority w:val="0"/>
    <w:pPr>
      <w:keepNext/>
      <w:keepLines/>
      <w:spacing w:line="360" w:lineRule="auto"/>
      <w:outlineLvl w:val="1"/>
    </w:pPr>
    <w:rPr>
      <w:rFonts w:ascii="Arial" w:hAnsi="Arial"/>
      <w:b/>
      <w:bCs/>
      <w:kern w:val="0"/>
      <w:sz w:val="24"/>
      <w:szCs w:val="32"/>
    </w:rPr>
  </w:style>
  <w:style w:type="paragraph" w:styleId="5">
    <w:name w:val="heading 3"/>
    <w:basedOn w:val="1"/>
    <w:next w:val="1"/>
    <w:link w:val="67"/>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68"/>
    <w:qFormat/>
    <w:uiPriority w:val="0"/>
    <w:pPr>
      <w:keepNext/>
      <w:keepLines/>
      <w:spacing w:before="280" w:after="290" w:line="376" w:lineRule="auto"/>
      <w:outlineLvl w:val="3"/>
    </w:pPr>
    <w:rPr>
      <w:rFonts w:ascii="Arial" w:hAnsi="Arial" w:eastAsia="黑体"/>
      <w:b/>
      <w:bCs/>
      <w:kern w:val="0"/>
      <w:sz w:val="28"/>
      <w:szCs w:val="28"/>
    </w:rPr>
  </w:style>
  <w:style w:type="paragraph" w:styleId="7">
    <w:name w:val="heading 5"/>
    <w:basedOn w:val="1"/>
    <w:next w:val="1"/>
    <w:link w:val="69"/>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8">
    <w:name w:val="heading 6"/>
    <w:basedOn w:val="1"/>
    <w:next w:val="1"/>
    <w:link w:val="70"/>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71"/>
    <w:qFormat/>
    <w:uiPriority w:val="0"/>
    <w:pPr>
      <w:keepNext/>
      <w:keepLines/>
      <w:adjustRightInd w:val="0"/>
      <w:spacing w:before="240" w:after="64" w:line="320" w:lineRule="atLeast"/>
      <w:jc w:val="left"/>
      <w:textAlignment w:val="baseline"/>
      <w:outlineLvl w:val="6"/>
    </w:pPr>
    <w:rPr>
      <w:b/>
      <w:bCs/>
      <w:kern w:val="0"/>
      <w:sz w:val="24"/>
    </w:rPr>
  </w:style>
  <w:style w:type="paragraph" w:styleId="10">
    <w:name w:val="heading 8"/>
    <w:basedOn w:val="1"/>
    <w:next w:val="1"/>
    <w:link w:val="72"/>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73"/>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294"/>
    <w:qFormat/>
    <w:uiPriority w:val="99"/>
    <w:pPr>
      <w:widowControl/>
      <w:ind w:firstLine="420"/>
      <w:jc w:val="left"/>
    </w:pPr>
    <w:rPr>
      <w:kern w:val="0"/>
      <w:sz w:val="20"/>
      <w:szCs w:val="20"/>
    </w:rPr>
  </w:style>
  <w:style w:type="paragraph" w:styleId="14">
    <w:name w:val="Document Map"/>
    <w:basedOn w:val="1"/>
    <w:link w:val="129"/>
    <w:qFormat/>
    <w:uiPriority w:val="0"/>
    <w:pPr>
      <w:shd w:val="clear" w:color="auto" w:fill="000080"/>
    </w:pPr>
  </w:style>
  <w:style w:type="paragraph" w:styleId="15">
    <w:name w:val="toa heading"/>
    <w:basedOn w:val="1"/>
    <w:next w:val="1"/>
    <w:unhideWhenUsed/>
    <w:qFormat/>
    <w:uiPriority w:val="0"/>
    <w:pPr>
      <w:spacing w:before="120"/>
    </w:pPr>
    <w:rPr>
      <w:rFonts w:hint="eastAsia" w:ascii="Arial" w:hAnsi="Arial"/>
    </w:rPr>
  </w:style>
  <w:style w:type="paragraph" w:styleId="16">
    <w:name w:val="annotation text"/>
    <w:basedOn w:val="1"/>
    <w:link w:val="111"/>
    <w:unhideWhenUsed/>
    <w:qFormat/>
    <w:uiPriority w:val="99"/>
    <w:pPr>
      <w:jc w:val="left"/>
    </w:pPr>
  </w:style>
  <w:style w:type="paragraph" w:styleId="17">
    <w:name w:val="Salutation"/>
    <w:basedOn w:val="1"/>
    <w:next w:val="1"/>
    <w:link w:val="116"/>
    <w:qFormat/>
    <w:uiPriority w:val="0"/>
    <w:rPr>
      <w:rFonts w:ascii="仿宋_GB2312" w:eastAsia="仿宋_GB2312"/>
      <w:sz w:val="24"/>
    </w:rPr>
  </w:style>
  <w:style w:type="paragraph" w:styleId="18">
    <w:name w:val="Body Text 3"/>
    <w:basedOn w:val="1"/>
    <w:link w:val="150"/>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next w:val="1"/>
    <w:link w:val="119"/>
    <w:qFormat/>
    <w:uiPriority w:val="99"/>
    <w:pPr>
      <w:spacing w:after="120"/>
    </w:pPr>
  </w:style>
  <w:style w:type="paragraph" w:styleId="20">
    <w:name w:val="Body Text Indent"/>
    <w:basedOn w:val="1"/>
    <w:link w:val="99"/>
    <w:qFormat/>
    <w:uiPriority w:val="0"/>
    <w:pPr>
      <w:spacing w:after="120"/>
      <w:ind w:left="420" w:leftChars="200"/>
    </w:pPr>
    <w:rPr>
      <w:rFonts w:ascii="Calibri" w:hAnsi="Calibri" w:cs="黑体"/>
    </w:rPr>
  </w:style>
  <w:style w:type="paragraph" w:styleId="21">
    <w:name w:val="List 2"/>
    <w:qFormat/>
    <w:uiPriority w:val="0"/>
    <w:pPr>
      <w:spacing w:line="400" w:lineRule="exact"/>
      <w:jc w:val="center"/>
    </w:pPr>
    <w:rPr>
      <w:rFonts w:ascii="Arial" w:hAnsi="Arial" w:eastAsia="宋体" w:cs="Times New Roman"/>
      <w:sz w:val="24"/>
      <w:lang w:val="en-US" w:eastAsia="zh-CN" w:bidi="ar-SA"/>
    </w:r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108"/>
    <w:qFormat/>
    <w:uiPriority w:val="0"/>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141"/>
    <w:qFormat/>
    <w:uiPriority w:val="0"/>
    <w:rPr>
      <w:rFonts w:ascii="Calibri" w:hAnsi="Calibri" w:cs="黑体"/>
      <w:sz w:val="24"/>
      <w:szCs w:val="22"/>
    </w:rPr>
  </w:style>
  <w:style w:type="paragraph" w:styleId="28">
    <w:name w:val="Body Text Indent 2"/>
    <w:basedOn w:val="1"/>
    <w:link w:val="103"/>
    <w:qFormat/>
    <w:uiPriority w:val="0"/>
    <w:pPr>
      <w:spacing w:after="120" w:line="480" w:lineRule="auto"/>
      <w:ind w:left="420" w:leftChars="200"/>
    </w:pPr>
  </w:style>
  <w:style w:type="paragraph" w:styleId="29">
    <w:name w:val="Balloon Text"/>
    <w:basedOn w:val="1"/>
    <w:link w:val="98"/>
    <w:qFormat/>
    <w:uiPriority w:val="0"/>
    <w:rPr>
      <w:rFonts w:ascii="Calibri" w:hAnsi="Calibri" w:cs="黑体"/>
      <w:sz w:val="18"/>
      <w:szCs w:val="18"/>
    </w:rPr>
  </w:style>
  <w:style w:type="paragraph" w:styleId="30">
    <w:name w:val="footer"/>
    <w:basedOn w:val="1"/>
    <w:link w:val="64"/>
    <w:unhideWhenUsed/>
    <w:qFormat/>
    <w:uiPriority w:val="0"/>
    <w:pPr>
      <w:tabs>
        <w:tab w:val="center" w:pos="4153"/>
        <w:tab w:val="right" w:pos="8306"/>
      </w:tabs>
      <w:snapToGrid w:val="0"/>
      <w:jc w:val="left"/>
    </w:pPr>
    <w:rPr>
      <w:sz w:val="18"/>
      <w:szCs w:val="18"/>
    </w:rPr>
  </w:style>
  <w:style w:type="paragraph" w:styleId="31">
    <w:name w:val="header"/>
    <w:basedOn w:val="1"/>
    <w:link w:val="63"/>
    <w:unhideWhenUsed/>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5"/>
    <w:unhideWhenUsed/>
    <w:qFormat/>
    <w:uiPriority w:val="39"/>
  </w:style>
  <w:style w:type="paragraph" w:styleId="33">
    <w:name w:val="toc 4"/>
    <w:basedOn w:val="1"/>
    <w:next w:val="1"/>
    <w:qFormat/>
    <w:uiPriority w:val="0"/>
    <w:pPr>
      <w:ind w:left="1260" w:leftChars="600"/>
    </w:pPr>
  </w:style>
  <w:style w:type="paragraph" w:styleId="34">
    <w:name w:val="Subtitle"/>
    <w:basedOn w:val="1"/>
    <w:next w:val="1"/>
    <w:link w:val="127"/>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126"/>
    <w:qFormat/>
    <w:uiPriority w:val="0"/>
    <w:pPr>
      <w:spacing w:after="120"/>
      <w:ind w:left="420" w:leftChars="200"/>
    </w:pPr>
    <w:rPr>
      <w:rFonts w:ascii="Calibri" w:hAnsi="Calibri" w:cs="黑体"/>
      <w:sz w:val="16"/>
      <w:szCs w:val="16"/>
    </w:rPr>
  </w:style>
  <w:style w:type="paragraph" w:styleId="37">
    <w:name w:val="toc 2"/>
    <w:basedOn w:val="1"/>
    <w:next w:val="1"/>
    <w:qFormat/>
    <w:uiPriority w:val="39"/>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74"/>
    <w:qFormat/>
    <w:uiPriority w:val="0"/>
    <w:pPr>
      <w:spacing w:after="120" w:line="480" w:lineRule="auto"/>
    </w:pPr>
  </w:style>
  <w:style w:type="paragraph" w:styleId="40">
    <w:name w:val="HTML Preformatted"/>
    <w:basedOn w:val="1"/>
    <w:link w:val="11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102"/>
    <w:qFormat/>
    <w:uiPriority w:val="0"/>
    <w:pPr>
      <w:spacing w:before="240" w:after="60"/>
      <w:jc w:val="center"/>
      <w:outlineLvl w:val="0"/>
    </w:pPr>
    <w:rPr>
      <w:rFonts w:ascii="Cambria" w:hAnsi="Cambria"/>
      <w:b/>
      <w:sz w:val="32"/>
    </w:rPr>
  </w:style>
  <w:style w:type="paragraph" w:styleId="44">
    <w:name w:val="annotation subject"/>
    <w:basedOn w:val="16"/>
    <w:next w:val="16"/>
    <w:link w:val="88"/>
    <w:qFormat/>
    <w:uiPriority w:val="0"/>
    <w:rPr>
      <w:rFonts w:ascii="Calibri" w:hAnsi="Calibri" w:cs="黑体"/>
      <w:b/>
      <w:bCs/>
    </w:rPr>
  </w:style>
  <w:style w:type="paragraph" w:styleId="45">
    <w:name w:val="Body Text First Indent"/>
    <w:basedOn w:val="19"/>
    <w:link w:val="177"/>
    <w:unhideWhenUsed/>
    <w:qFormat/>
    <w:uiPriority w:val="0"/>
    <w:pPr>
      <w:spacing w:line="500" w:lineRule="exact"/>
      <w:ind w:firstLine="420" w:firstLineChars="200"/>
    </w:pPr>
  </w:style>
  <w:style w:type="paragraph" w:styleId="46">
    <w:name w:val="Body Text First Indent 2"/>
    <w:basedOn w:val="20"/>
    <w:unhideWhenUsed/>
    <w:qFormat/>
    <w:uiPriority w:val="0"/>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paragraph" w:customStyle="1" w:styleId="62">
    <w:name w:val="样式1"/>
    <w:basedOn w:val="1"/>
    <w:next w:val="1"/>
    <w:qFormat/>
    <w:uiPriority w:val="0"/>
    <w:pPr>
      <w:tabs>
        <w:tab w:val="left" w:pos="360"/>
      </w:tabs>
      <w:adjustRightInd w:val="0"/>
      <w:ind w:left="360" w:hanging="360"/>
      <w:textAlignment w:val="baseline"/>
    </w:pPr>
    <w:rPr>
      <w:rFonts w:ascii="宋体" w:hAnsi="宋体"/>
      <w:kern w:val="0"/>
      <w:szCs w:val="21"/>
    </w:rPr>
  </w:style>
  <w:style w:type="character" w:customStyle="1" w:styleId="63">
    <w:name w:val="页眉 Char"/>
    <w:basedOn w:val="49"/>
    <w:link w:val="31"/>
    <w:qFormat/>
    <w:uiPriority w:val="0"/>
    <w:rPr>
      <w:sz w:val="18"/>
      <w:szCs w:val="18"/>
    </w:rPr>
  </w:style>
  <w:style w:type="character" w:customStyle="1" w:styleId="64">
    <w:name w:val="页脚 Char"/>
    <w:basedOn w:val="49"/>
    <w:link w:val="30"/>
    <w:qFormat/>
    <w:uiPriority w:val="0"/>
    <w:rPr>
      <w:sz w:val="18"/>
      <w:szCs w:val="18"/>
    </w:rPr>
  </w:style>
  <w:style w:type="character" w:customStyle="1" w:styleId="65">
    <w:name w:val="标题 1 Char1"/>
    <w:basedOn w:val="49"/>
    <w:link w:val="3"/>
    <w:qFormat/>
    <w:uiPriority w:val="0"/>
    <w:rPr>
      <w:rFonts w:ascii="Times New Roman" w:hAnsi="Times New Roman" w:eastAsia="宋体" w:cs="Times New Roman"/>
      <w:b/>
      <w:bCs/>
      <w:kern w:val="0"/>
      <w:sz w:val="24"/>
      <w:szCs w:val="20"/>
    </w:rPr>
  </w:style>
  <w:style w:type="character" w:customStyle="1" w:styleId="66">
    <w:name w:val="标题 2 Char1"/>
    <w:basedOn w:val="49"/>
    <w:link w:val="4"/>
    <w:qFormat/>
    <w:uiPriority w:val="0"/>
    <w:rPr>
      <w:rFonts w:ascii="Arial" w:hAnsi="Arial" w:eastAsia="宋体" w:cs="Times New Roman"/>
      <w:b/>
      <w:bCs/>
      <w:kern w:val="0"/>
      <w:sz w:val="24"/>
      <w:szCs w:val="32"/>
    </w:rPr>
  </w:style>
  <w:style w:type="character" w:customStyle="1" w:styleId="67">
    <w:name w:val="标题 3 Char1"/>
    <w:basedOn w:val="49"/>
    <w:link w:val="5"/>
    <w:qFormat/>
    <w:uiPriority w:val="0"/>
    <w:rPr>
      <w:rFonts w:ascii="Times New Roman" w:hAnsi="Times New Roman" w:eastAsia="宋体" w:cs="Times New Roman"/>
      <w:b/>
      <w:bCs/>
      <w:kern w:val="0"/>
      <w:sz w:val="32"/>
      <w:szCs w:val="32"/>
    </w:rPr>
  </w:style>
  <w:style w:type="character" w:customStyle="1" w:styleId="68">
    <w:name w:val="标题 4 Char1"/>
    <w:basedOn w:val="49"/>
    <w:link w:val="6"/>
    <w:qFormat/>
    <w:uiPriority w:val="0"/>
    <w:rPr>
      <w:rFonts w:ascii="Arial" w:hAnsi="Arial" w:eastAsia="黑体" w:cs="Times New Roman"/>
      <w:b/>
      <w:bCs/>
      <w:kern w:val="0"/>
      <w:sz w:val="28"/>
      <w:szCs w:val="28"/>
    </w:rPr>
  </w:style>
  <w:style w:type="character" w:customStyle="1" w:styleId="69">
    <w:name w:val="标题 5 Char1"/>
    <w:basedOn w:val="49"/>
    <w:link w:val="7"/>
    <w:qFormat/>
    <w:uiPriority w:val="0"/>
    <w:rPr>
      <w:rFonts w:ascii="Times New Roman" w:hAnsi="Times New Roman" w:eastAsia="宋体" w:cs="Times New Roman"/>
      <w:b/>
      <w:bCs/>
      <w:kern w:val="0"/>
      <w:sz w:val="28"/>
      <w:szCs w:val="28"/>
    </w:rPr>
  </w:style>
  <w:style w:type="character" w:customStyle="1" w:styleId="70">
    <w:name w:val="标题 6 Char1"/>
    <w:basedOn w:val="49"/>
    <w:link w:val="8"/>
    <w:qFormat/>
    <w:uiPriority w:val="0"/>
    <w:rPr>
      <w:rFonts w:ascii="Arial" w:hAnsi="Arial" w:eastAsia="黑体" w:cs="Times New Roman"/>
      <w:b/>
      <w:bCs/>
      <w:kern w:val="0"/>
      <w:sz w:val="24"/>
      <w:szCs w:val="24"/>
    </w:rPr>
  </w:style>
  <w:style w:type="character" w:customStyle="1" w:styleId="71">
    <w:name w:val="标题 7 Char1"/>
    <w:basedOn w:val="49"/>
    <w:link w:val="9"/>
    <w:qFormat/>
    <w:uiPriority w:val="0"/>
    <w:rPr>
      <w:rFonts w:ascii="Times New Roman" w:hAnsi="Times New Roman" w:eastAsia="宋体" w:cs="Times New Roman"/>
      <w:b/>
      <w:bCs/>
      <w:kern w:val="0"/>
      <w:sz w:val="24"/>
      <w:szCs w:val="24"/>
    </w:rPr>
  </w:style>
  <w:style w:type="character" w:customStyle="1" w:styleId="72">
    <w:name w:val="标题 8 Char1"/>
    <w:basedOn w:val="49"/>
    <w:link w:val="10"/>
    <w:qFormat/>
    <w:uiPriority w:val="0"/>
    <w:rPr>
      <w:rFonts w:ascii="Arial" w:hAnsi="Arial" w:eastAsia="黑体" w:cs="Times New Roman"/>
      <w:kern w:val="0"/>
      <w:sz w:val="24"/>
      <w:szCs w:val="24"/>
    </w:rPr>
  </w:style>
  <w:style w:type="character" w:customStyle="1" w:styleId="73">
    <w:name w:val="标题 9 Char1"/>
    <w:basedOn w:val="49"/>
    <w:link w:val="11"/>
    <w:qFormat/>
    <w:uiPriority w:val="0"/>
    <w:rPr>
      <w:rFonts w:ascii="Arial" w:hAnsi="Arial" w:eastAsia="黑体" w:cs="Times New Roman"/>
      <w:kern w:val="0"/>
      <w:sz w:val="20"/>
      <w:szCs w:val="21"/>
    </w:rPr>
  </w:style>
  <w:style w:type="character" w:customStyle="1" w:styleId="74">
    <w:name w:val="正文文本 2 Char"/>
    <w:basedOn w:val="49"/>
    <w:link w:val="39"/>
    <w:qFormat/>
    <w:uiPriority w:val="0"/>
    <w:rPr>
      <w:rFonts w:ascii="Times New Roman" w:hAnsi="Times New Roman" w:eastAsia="宋体" w:cs="Times New Roman"/>
      <w:szCs w:val="24"/>
    </w:rPr>
  </w:style>
  <w:style w:type="character" w:customStyle="1" w:styleId="75">
    <w:name w:val="Font Style104"/>
    <w:unhideWhenUsed/>
    <w:qFormat/>
    <w:uiPriority w:val="0"/>
    <w:rPr>
      <w:rFonts w:hint="eastAsia" w:ascii="宋体" w:hAnsi="宋体" w:eastAsia="宋体"/>
      <w:spacing w:val="30"/>
      <w:sz w:val="18"/>
    </w:rPr>
  </w:style>
  <w:style w:type="character" w:customStyle="1" w:styleId="76">
    <w:name w:val="Font Style128"/>
    <w:unhideWhenUsed/>
    <w:qFormat/>
    <w:uiPriority w:val="0"/>
    <w:rPr>
      <w:rFonts w:hint="eastAsia" w:ascii="Times New Roman" w:hAnsi="Times New Roman" w:eastAsia="Times New Roman"/>
      <w:sz w:val="16"/>
    </w:rPr>
  </w:style>
  <w:style w:type="character" w:customStyle="1" w:styleId="77">
    <w:name w:val="页脚 Char1"/>
    <w:qFormat/>
    <w:uiPriority w:val="0"/>
    <w:rPr>
      <w:rFonts w:eastAsia="宋体"/>
      <w:kern w:val="2"/>
      <w:sz w:val="18"/>
      <w:szCs w:val="18"/>
      <w:lang w:val="en-US" w:eastAsia="zh-CN" w:bidi="ar-SA"/>
    </w:rPr>
  </w:style>
  <w:style w:type="character" w:customStyle="1" w:styleId="78">
    <w:name w:val="标题 4 Char"/>
    <w:basedOn w:val="49"/>
    <w:qFormat/>
    <w:uiPriority w:val="0"/>
    <w:rPr>
      <w:rFonts w:ascii="Cambria" w:hAnsi="Cambria" w:eastAsia="宋体" w:cs="Times New Roman"/>
      <w:b/>
      <w:bCs/>
      <w:sz w:val="28"/>
      <w:szCs w:val="28"/>
    </w:rPr>
  </w:style>
  <w:style w:type="character" w:customStyle="1" w:styleId="79">
    <w:name w:val="日期 Char"/>
    <w:basedOn w:val="49"/>
    <w:qFormat/>
    <w:uiPriority w:val="0"/>
    <w:rPr>
      <w:rFonts w:ascii="Times New Roman" w:hAnsi="Times New Roman" w:eastAsia="宋体" w:cs="Times New Roman"/>
      <w:szCs w:val="24"/>
    </w:rPr>
  </w:style>
  <w:style w:type="character" w:customStyle="1" w:styleId="80">
    <w:name w:val="Font Style123"/>
    <w:unhideWhenUsed/>
    <w:qFormat/>
    <w:uiPriority w:val="0"/>
    <w:rPr>
      <w:rFonts w:hint="eastAsia" w:ascii="宋体" w:hAnsi="宋体" w:eastAsia="宋体"/>
      <w:b/>
      <w:sz w:val="32"/>
    </w:rPr>
  </w:style>
  <w:style w:type="character" w:customStyle="1" w:styleId="81">
    <w:name w:val="bds_nopic2"/>
    <w:qFormat/>
    <w:uiPriority w:val="0"/>
    <w:rPr>
      <w:rFonts w:ascii="Times New Roman" w:hAnsi="Times New Roman" w:eastAsia="宋体"/>
    </w:rPr>
  </w:style>
  <w:style w:type="character" w:customStyle="1" w:styleId="82">
    <w:name w:val="lemmatitleh12"/>
    <w:qFormat/>
    <w:uiPriority w:val="0"/>
    <w:rPr>
      <w:rFonts w:ascii="Times New Roman" w:hAnsi="Times New Roman" w:eastAsia="宋体"/>
    </w:rPr>
  </w:style>
  <w:style w:type="character" w:customStyle="1" w:styleId="83">
    <w:name w:val="Char Char13"/>
    <w:qFormat/>
    <w:uiPriority w:val="0"/>
    <w:rPr>
      <w:rFonts w:eastAsia="宋体"/>
      <w:b/>
      <w:bCs/>
      <w:kern w:val="2"/>
      <w:sz w:val="24"/>
      <w:lang w:val="en-US" w:eastAsia="zh-CN" w:bidi="ar-SA"/>
    </w:rPr>
  </w:style>
  <w:style w:type="character" w:customStyle="1" w:styleId="84">
    <w:name w:val="Font Style94"/>
    <w:unhideWhenUsed/>
    <w:qFormat/>
    <w:uiPriority w:val="0"/>
    <w:rPr>
      <w:rFonts w:hint="eastAsia" w:ascii="Times New Roman" w:hAnsi="Times New Roman" w:eastAsia="Times New Roman"/>
      <w:sz w:val="28"/>
    </w:rPr>
  </w:style>
  <w:style w:type="character" w:customStyle="1" w:styleId="85">
    <w:name w:val="Font Style125"/>
    <w:unhideWhenUsed/>
    <w:qFormat/>
    <w:uiPriority w:val="0"/>
    <w:rPr>
      <w:rFonts w:hint="eastAsia" w:ascii="宋体" w:hAnsi="宋体" w:eastAsia="宋体"/>
      <w:b/>
      <w:sz w:val="26"/>
    </w:rPr>
  </w:style>
  <w:style w:type="character" w:customStyle="1" w:styleId="86">
    <w:name w:val="Font Style133"/>
    <w:unhideWhenUsed/>
    <w:qFormat/>
    <w:uiPriority w:val="0"/>
    <w:rPr>
      <w:rFonts w:hint="eastAsia" w:ascii="宋体" w:hAnsi="宋体" w:eastAsia="宋体"/>
      <w:spacing w:val="30"/>
      <w:sz w:val="24"/>
    </w:rPr>
  </w:style>
  <w:style w:type="character" w:customStyle="1" w:styleId="87">
    <w:name w:val="polysemyred"/>
    <w:qFormat/>
    <w:uiPriority w:val="0"/>
    <w:rPr>
      <w:rFonts w:ascii="Times New Roman" w:hAnsi="Times New Roman" w:eastAsia="宋体"/>
      <w:color w:val="FF6666"/>
      <w:sz w:val="18"/>
      <w:szCs w:val="18"/>
    </w:rPr>
  </w:style>
  <w:style w:type="character" w:customStyle="1" w:styleId="88">
    <w:name w:val="批注主题 Char1"/>
    <w:link w:val="44"/>
    <w:qFormat/>
    <w:uiPriority w:val="0"/>
    <w:rPr>
      <w:rFonts w:ascii="Calibri" w:hAnsi="Calibri" w:eastAsia="宋体" w:cs="黑体"/>
      <w:b/>
      <w:bCs/>
      <w:szCs w:val="24"/>
    </w:rPr>
  </w:style>
  <w:style w:type="character" w:customStyle="1" w:styleId="89">
    <w:name w:val="p0 Char"/>
    <w:link w:val="90"/>
    <w:qFormat/>
    <w:uiPriority w:val="0"/>
    <w:rPr>
      <w:rFonts w:ascii="Calibri" w:hAnsi="Calibri" w:eastAsia="宋体" w:cs="黑体"/>
      <w:szCs w:val="21"/>
    </w:rPr>
  </w:style>
  <w:style w:type="paragraph" w:customStyle="1" w:styleId="90">
    <w:name w:val="p0"/>
    <w:basedOn w:val="1"/>
    <w:link w:val="89"/>
    <w:qFormat/>
    <w:uiPriority w:val="0"/>
    <w:pPr>
      <w:widowControl/>
    </w:pPr>
    <w:rPr>
      <w:rFonts w:ascii="Calibri" w:hAnsi="Calibri" w:cs="黑体"/>
      <w:szCs w:val="21"/>
    </w:rPr>
  </w:style>
  <w:style w:type="character" w:customStyle="1" w:styleId="91">
    <w:name w:val="Char Char12"/>
    <w:qFormat/>
    <w:uiPriority w:val="0"/>
    <w:rPr>
      <w:rFonts w:ascii="Arial" w:hAnsi="Arial" w:eastAsia="黑体"/>
      <w:b/>
      <w:bCs/>
      <w:kern w:val="2"/>
      <w:sz w:val="28"/>
      <w:szCs w:val="28"/>
      <w:lang w:val="en-US" w:eastAsia="zh-CN" w:bidi="ar-SA"/>
    </w:rPr>
  </w:style>
  <w:style w:type="character" w:customStyle="1" w:styleId="92">
    <w:name w:val="标题 4 Char Char"/>
    <w:qFormat/>
    <w:uiPriority w:val="0"/>
    <w:rPr>
      <w:rFonts w:ascii="Arial" w:hAnsi="Arial" w:eastAsia="宋体"/>
      <w:b/>
      <w:bCs/>
      <w:kern w:val="2"/>
      <w:sz w:val="21"/>
      <w:szCs w:val="28"/>
      <w:lang w:val="en-US" w:eastAsia="zh-CN" w:bidi="ar-SA"/>
    </w:rPr>
  </w:style>
  <w:style w:type="character" w:customStyle="1" w:styleId="93">
    <w:name w:val="font11"/>
    <w:basedOn w:val="49"/>
    <w:qFormat/>
    <w:uiPriority w:val="0"/>
    <w:rPr>
      <w:rFonts w:hint="eastAsia" w:ascii="宋体" w:hAnsi="宋体" w:eastAsia="宋体" w:cs="宋体"/>
      <w:color w:val="000000"/>
      <w:sz w:val="18"/>
      <w:szCs w:val="18"/>
      <w:u w:val="none"/>
    </w:rPr>
  </w:style>
  <w:style w:type="character" w:customStyle="1" w:styleId="94">
    <w:name w:val="font01"/>
    <w:basedOn w:val="49"/>
    <w:qFormat/>
    <w:uiPriority w:val="0"/>
    <w:rPr>
      <w:rFonts w:hint="eastAsia" w:ascii="宋体" w:hAnsi="宋体" w:eastAsia="宋体" w:cs="宋体"/>
      <w:color w:val="000000"/>
      <w:sz w:val="22"/>
      <w:szCs w:val="22"/>
      <w:u w:val="single"/>
    </w:rPr>
  </w:style>
  <w:style w:type="character" w:customStyle="1" w:styleId="95">
    <w:name w:val="sidecatalog-dot1"/>
    <w:qFormat/>
    <w:uiPriority w:val="0"/>
    <w:rPr>
      <w:rFonts w:ascii="Times New Roman" w:hAnsi="Times New Roman" w:eastAsia="宋体"/>
    </w:rPr>
  </w:style>
  <w:style w:type="character" w:customStyle="1" w:styleId="96">
    <w:name w:val="Font Style124"/>
    <w:unhideWhenUsed/>
    <w:qFormat/>
    <w:uiPriority w:val="0"/>
    <w:rPr>
      <w:rFonts w:hint="eastAsia" w:ascii="宋体" w:hAnsi="宋体" w:eastAsia="宋体"/>
      <w:spacing w:val="30"/>
      <w:sz w:val="24"/>
    </w:rPr>
  </w:style>
  <w:style w:type="character" w:customStyle="1" w:styleId="97">
    <w:name w:val="批注框文本 Char"/>
    <w:basedOn w:val="49"/>
    <w:qFormat/>
    <w:uiPriority w:val="0"/>
    <w:rPr>
      <w:rFonts w:ascii="Times New Roman" w:hAnsi="Times New Roman" w:eastAsia="宋体" w:cs="Times New Roman"/>
      <w:sz w:val="18"/>
      <w:szCs w:val="18"/>
    </w:rPr>
  </w:style>
  <w:style w:type="character" w:customStyle="1" w:styleId="98">
    <w:name w:val="批注框文本 Char1"/>
    <w:link w:val="29"/>
    <w:qFormat/>
    <w:locked/>
    <w:uiPriority w:val="0"/>
    <w:rPr>
      <w:rFonts w:ascii="Calibri" w:hAnsi="Calibri" w:eastAsia="宋体" w:cs="黑体"/>
      <w:sz w:val="18"/>
      <w:szCs w:val="18"/>
    </w:rPr>
  </w:style>
  <w:style w:type="character" w:customStyle="1" w:styleId="99">
    <w:name w:val="正文文本缩进 Char"/>
    <w:basedOn w:val="49"/>
    <w:link w:val="20"/>
    <w:qFormat/>
    <w:uiPriority w:val="0"/>
    <w:rPr>
      <w:rFonts w:ascii="Calibri" w:hAnsi="Calibri" w:eastAsia="宋体" w:cs="黑体"/>
      <w:szCs w:val="24"/>
    </w:rPr>
  </w:style>
  <w:style w:type="character" w:customStyle="1" w:styleId="100">
    <w:name w:val="bds_more9"/>
    <w:qFormat/>
    <w:uiPriority w:val="0"/>
    <w:rPr>
      <w:rFonts w:ascii="Times New Roman" w:hAnsi="Times New Roman" w:eastAsia="宋体"/>
    </w:rPr>
  </w:style>
  <w:style w:type="character" w:customStyle="1" w:styleId="101">
    <w:name w:val="Char Char17"/>
    <w:qFormat/>
    <w:uiPriority w:val="0"/>
    <w:rPr>
      <w:rFonts w:ascii="宋体" w:hAnsi="Times New Roman" w:eastAsia="宋体"/>
      <w:b/>
      <w:sz w:val="28"/>
      <w:lang w:val="en-US" w:eastAsia="zh-CN" w:bidi="ar-SA"/>
    </w:rPr>
  </w:style>
  <w:style w:type="character" w:customStyle="1" w:styleId="102">
    <w:name w:val="标题 Char2"/>
    <w:basedOn w:val="49"/>
    <w:link w:val="43"/>
    <w:qFormat/>
    <w:uiPriority w:val="0"/>
    <w:rPr>
      <w:rFonts w:ascii="Cambria" w:hAnsi="Cambria" w:eastAsia="宋体" w:cs="Times New Roman"/>
      <w:b/>
      <w:sz w:val="32"/>
      <w:szCs w:val="24"/>
    </w:rPr>
  </w:style>
  <w:style w:type="character" w:customStyle="1" w:styleId="103">
    <w:name w:val="正文文本缩进 2 Char"/>
    <w:basedOn w:val="49"/>
    <w:link w:val="28"/>
    <w:qFormat/>
    <w:uiPriority w:val="0"/>
    <w:rPr>
      <w:rFonts w:ascii="Times New Roman" w:hAnsi="Times New Roman" w:eastAsia="宋体" w:cs="Times New Roman"/>
      <w:szCs w:val="24"/>
    </w:rPr>
  </w:style>
  <w:style w:type="character" w:customStyle="1" w:styleId="104">
    <w:name w:val="Font Style105"/>
    <w:unhideWhenUsed/>
    <w:qFormat/>
    <w:uiPriority w:val="0"/>
    <w:rPr>
      <w:rFonts w:hint="eastAsia" w:ascii="Times New Roman" w:hAnsi="Times New Roman" w:eastAsia="Times New Roman"/>
      <w:w w:val="60"/>
      <w:sz w:val="26"/>
    </w:rPr>
  </w:style>
  <w:style w:type="character" w:customStyle="1" w:styleId="105">
    <w:name w:val="标题 6 Char"/>
    <w:basedOn w:val="49"/>
    <w:qFormat/>
    <w:uiPriority w:val="0"/>
    <w:rPr>
      <w:rFonts w:ascii="Cambria" w:hAnsi="Cambria" w:eastAsia="宋体" w:cs="Times New Roman"/>
      <w:b/>
      <w:bCs/>
      <w:sz w:val="24"/>
      <w:szCs w:val="24"/>
    </w:rPr>
  </w:style>
  <w:style w:type="character" w:customStyle="1" w:styleId="106">
    <w:name w:val="morelink-item"/>
    <w:qFormat/>
    <w:uiPriority w:val="0"/>
    <w:rPr>
      <w:rFonts w:ascii="Times New Roman" w:hAnsi="Times New Roman" w:eastAsia="宋体"/>
    </w:rPr>
  </w:style>
  <w:style w:type="character" w:customStyle="1" w:styleId="107">
    <w:name w:val="bds_more7"/>
    <w:qFormat/>
    <w:uiPriority w:val="0"/>
    <w:rPr>
      <w:rFonts w:ascii="Times New Roman" w:hAnsi="Times New Roman" w:eastAsia="宋体"/>
    </w:rPr>
  </w:style>
  <w:style w:type="character" w:customStyle="1" w:styleId="108">
    <w:name w:val="纯文本 Char2"/>
    <w:basedOn w:val="49"/>
    <w:link w:val="25"/>
    <w:qFormat/>
    <w:uiPriority w:val="0"/>
    <w:rPr>
      <w:rFonts w:ascii="宋体" w:hAnsi="Courier New" w:eastAsia="宋体" w:cs="Courier New"/>
      <w:szCs w:val="21"/>
    </w:rPr>
  </w:style>
  <w:style w:type="character" w:customStyle="1" w:styleId="109">
    <w:name w:val="Char Char16"/>
    <w:qFormat/>
    <w:uiPriority w:val="0"/>
    <w:rPr>
      <w:rFonts w:ascii="宋体" w:hAnsi="Times New Roman" w:eastAsia="宋体"/>
      <w:b/>
      <w:sz w:val="24"/>
      <w:lang w:val="en-US" w:eastAsia="zh-CN" w:bidi="ar-SA"/>
    </w:rPr>
  </w:style>
  <w:style w:type="character" w:customStyle="1" w:styleId="110">
    <w:name w:val="批注主题 Char"/>
    <w:basedOn w:val="111"/>
    <w:qFormat/>
    <w:uiPriority w:val="0"/>
    <w:rPr>
      <w:rFonts w:ascii="Times New Roman" w:hAnsi="Times New Roman" w:eastAsia="宋体" w:cs="Times New Roman"/>
      <w:b/>
      <w:bCs/>
      <w:szCs w:val="24"/>
    </w:rPr>
  </w:style>
  <w:style w:type="character" w:customStyle="1" w:styleId="111">
    <w:name w:val="批注文字 Char"/>
    <w:basedOn w:val="49"/>
    <w:link w:val="16"/>
    <w:qFormat/>
    <w:uiPriority w:val="99"/>
    <w:rPr>
      <w:rFonts w:ascii="Times New Roman" w:hAnsi="Times New Roman" w:eastAsia="宋体" w:cs="Times New Roman"/>
      <w:szCs w:val="24"/>
    </w:rPr>
  </w:style>
  <w:style w:type="character" w:customStyle="1" w:styleId="112">
    <w:name w:val="Font Style126"/>
    <w:unhideWhenUsed/>
    <w:qFormat/>
    <w:uiPriority w:val="0"/>
    <w:rPr>
      <w:rFonts w:hint="eastAsia" w:ascii="宋体" w:hAnsi="宋体" w:eastAsia="宋体"/>
      <w:b/>
      <w:spacing w:val="-30"/>
      <w:sz w:val="28"/>
    </w:rPr>
  </w:style>
  <w:style w:type="character" w:customStyle="1" w:styleId="113">
    <w:name w:val="标题 Char1"/>
    <w:qFormat/>
    <w:uiPriority w:val="0"/>
    <w:rPr>
      <w:rFonts w:ascii="Cambria" w:hAnsi="Cambria" w:eastAsia="宋体" w:cs="Times New Roman"/>
      <w:b/>
      <w:bCs/>
      <w:sz w:val="32"/>
      <w:szCs w:val="32"/>
    </w:rPr>
  </w:style>
  <w:style w:type="character" w:customStyle="1" w:styleId="114">
    <w:name w:val="plus"/>
    <w:qFormat/>
    <w:uiPriority w:val="0"/>
    <w:rPr>
      <w:rFonts w:ascii="Times New Roman" w:hAnsi="Times New Roman" w:eastAsia="宋体"/>
      <w:b/>
      <w:vanish/>
      <w:color w:val="1F8DEF"/>
      <w:sz w:val="24"/>
      <w:szCs w:val="24"/>
    </w:rPr>
  </w:style>
  <w:style w:type="character" w:customStyle="1" w:styleId="115">
    <w:name w:val="HTML 预设格式 Char"/>
    <w:basedOn w:val="49"/>
    <w:link w:val="40"/>
    <w:qFormat/>
    <w:uiPriority w:val="0"/>
    <w:rPr>
      <w:rFonts w:ascii="Arial" w:hAnsi="Arial" w:eastAsia="宋体" w:cs="Arial"/>
      <w:kern w:val="0"/>
      <w:sz w:val="24"/>
      <w:szCs w:val="24"/>
    </w:rPr>
  </w:style>
  <w:style w:type="character" w:customStyle="1" w:styleId="116">
    <w:name w:val="称呼 Char"/>
    <w:basedOn w:val="49"/>
    <w:link w:val="17"/>
    <w:qFormat/>
    <w:uiPriority w:val="0"/>
    <w:rPr>
      <w:rFonts w:ascii="仿宋_GB2312" w:hAnsi="Times New Roman" w:eastAsia="仿宋_GB2312" w:cs="Times New Roman"/>
      <w:sz w:val="24"/>
      <w:szCs w:val="24"/>
    </w:rPr>
  </w:style>
  <w:style w:type="character" w:customStyle="1" w:styleId="117">
    <w:name w:val="批注文字 Char Char"/>
    <w:qFormat/>
    <w:uiPriority w:val="0"/>
    <w:rPr>
      <w:kern w:val="2"/>
      <w:sz w:val="21"/>
      <w:szCs w:val="24"/>
      <w:lang w:bidi="ar-SA"/>
    </w:rPr>
  </w:style>
  <w:style w:type="character" w:customStyle="1" w:styleId="118">
    <w:name w:val="p0 Char Char"/>
    <w:qFormat/>
    <w:uiPriority w:val="0"/>
    <w:rPr>
      <w:rFonts w:eastAsia="宋体"/>
      <w:kern w:val="2"/>
      <w:sz w:val="21"/>
      <w:szCs w:val="21"/>
      <w:lang w:val="en-US" w:eastAsia="zh-CN" w:bidi="ar-SA"/>
    </w:rPr>
  </w:style>
  <w:style w:type="character" w:customStyle="1" w:styleId="119">
    <w:name w:val="正文文本 Char"/>
    <w:basedOn w:val="49"/>
    <w:link w:val="19"/>
    <w:qFormat/>
    <w:uiPriority w:val="99"/>
    <w:rPr>
      <w:rFonts w:ascii="Times New Roman" w:hAnsi="Times New Roman" w:eastAsia="宋体" w:cs="Times New Roman"/>
      <w:szCs w:val="24"/>
    </w:rPr>
  </w:style>
  <w:style w:type="character" w:customStyle="1" w:styleId="120">
    <w:name w:val="批注文字 Char1"/>
    <w:qFormat/>
    <w:uiPriority w:val="0"/>
    <w:rPr>
      <w:rFonts w:eastAsia="宋体"/>
      <w:kern w:val="2"/>
      <w:sz w:val="21"/>
      <w:szCs w:val="24"/>
      <w:lang w:val="en-US" w:eastAsia="zh-CN" w:bidi="ar-SA"/>
    </w:rPr>
  </w:style>
  <w:style w:type="character" w:customStyle="1" w:styleId="121">
    <w:name w:val="Font Style131"/>
    <w:unhideWhenUsed/>
    <w:qFormat/>
    <w:uiPriority w:val="0"/>
    <w:rPr>
      <w:rFonts w:hint="eastAsia" w:ascii="Times New Roman" w:hAnsi="Times New Roman" w:eastAsia="Times New Roman"/>
      <w:sz w:val="18"/>
    </w:rPr>
  </w:style>
  <w:style w:type="character" w:customStyle="1" w:styleId="122">
    <w:name w:val="Font Style127"/>
    <w:unhideWhenUsed/>
    <w:qFormat/>
    <w:uiPriority w:val="0"/>
    <w:rPr>
      <w:rFonts w:hint="eastAsia" w:ascii="Times New Roman" w:hAnsi="Times New Roman" w:eastAsia="Times New Roman"/>
      <w:sz w:val="20"/>
    </w:rPr>
  </w:style>
  <w:style w:type="character" w:customStyle="1" w:styleId="123">
    <w:name w:val="Font Style122"/>
    <w:unhideWhenUsed/>
    <w:qFormat/>
    <w:uiPriority w:val="0"/>
    <w:rPr>
      <w:rFonts w:hint="eastAsia" w:ascii="宋体" w:hAnsi="宋体" w:eastAsia="宋体"/>
      <w:spacing w:val="20"/>
      <w:sz w:val="24"/>
    </w:rPr>
  </w:style>
  <w:style w:type="character" w:customStyle="1" w:styleId="124">
    <w:name w:val="标题 3 Char"/>
    <w:basedOn w:val="49"/>
    <w:qFormat/>
    <w:uiPriority w:val="0"/>
    <w:rPr>
      <w:rFonts w:ascii="Times New Roman" w:hAnsi="Times New Roman" w:eastAsia="宋体" w:cs="Times New Roman"/>
      <w:b/>
      <w:bCs/>
      <w:sz w:val="32"/>
      <w:szCs w:val="32"/>
    </w:rPr>
  </w:style>
  <w:style w:type="character" w:customStyle="1" w:styleId="125">
    <w:name w:val="sidecatalog-dot"/>
    <w:qFormat/>
    <w:uiPriority w:val="0"/>
    <w:rPr>
      <w:rFonts w:ascii="Times New Roman" w:hAnsi="Times New Roman" w:eastAsia="宋体"/>
    </w:rPr>
  </w:style>
  <w:style w:type="character" w:customStyle="1" w:styleId="126">
    <w:name w:val="正文文本缩进 3 Char1"/>
    <w:link w:val="36"/>
    <w:qFormat/>
    <w:uiPriority w:val="0"/>
    <w:rPr>
      <w:rFonts w:ascii="Calibri" w:hAnsi="Calibri" w:eastAsia="宋体" w:cs="黑体"/>
      <w:sz w:val="16"/>
      <w:szCs w:val="16"/>
    </w:rPr>
  </w:style>
  <w:style w:type="character" w:customStyle="1" w:styleId="127">
    <w:name w:val="副标题 Char"/>
    <w:basedOn w:val="49"/>
    <w:link w:val="34"/>
    <w:qFormat/>
    <w:uiPriority w:val="99"/>
    <w:rPr>
      <w:sz w:val="18"/>
      <w:szCs w:val="18"/>
    </w:rPr>
  </w:style>
  <w:style w:type="character" w:customStyle="1" w:styleId="128">
    <w:name w:val="页码1"/>
    <w:qFormat/>
    <w:uiPriority w:val="0"/>
    <w:rPr>
      <w:lang w:val="zh-TW" w:eastAsia="zh-TW"/>
    </w:rPr>
  </w:style>
  <w:style w:type="character" w:customStyle="1" w:styleId="129">
    <w:name w:val="文档结构图 Char"/>
    <w:basedOn w:val="49"/>
    <w:link w:val="14"/>
    <w:qFormat/>
    <w:uiPriority w:val="0"/>
    <w:rPr>
      <w:rFonts w:ascii="Times New Roman" w:hAnsi="Times New Roman" w:eastAsia="宋体" w:cs="Times New Roman"/>
      <w:szCs w:val="24"/>
      <w:shd w:val="clear" w:color="auto" w:fill="000080"/>
    </w:rPr>
  </w:style>
  <w:style w:type="character" w:customStyle="1" w:styleId="130">
    <w:name w:val="标题 1 Char"/>
    <w:basedOn w:val="49"/>
    <w:qFormat/>
    <w:uiPriority w:val="0"/>
    <w:rPr>
      <w:rFonts w:ascii="Times New Roman" w:hAnsi="Times New Roman" w:eastAsia="宋体" w:cs="Times New Roman"/>
      <w:b/>
      <w:bCs/>
      <w:kern w:val="44"/>
      <w:sz w:val="44"/>
      <w:szCs w:val="44"/>
    </w:rPr>
  </w:style>
  <w:style w:type="character" w:customStyle="1" w:styleId="131">
    <w:name w:val="bds_nopic"/>
    <w:qFormat/>
    <w:uiPriority w:val="0"/>
    <w:rPr>
      <w:rFonts w:ascii="Times New Roman" w:hAnsi="Times New Roman" w:eastAsia="宋体"/>
    </w:rPr>
  </w:style>
  <w:style w:type="character" w:customStyle="1" w:styleId="132">
    <w:name w:val="Font Style116"/>
    <w:unhideWhenUsed/>
    <w:qFormat/>
    <w:uiPriority w:val="0"/>
    <w:rPr>
      <w:rFonts w:hint="eastAsia" w:ascii="宋体" w:hAnsi="宋体" w:eastAsia="宋体"/>
      <w:spacing w:val="-20"/>
      <w:sz w:val="24"/>
    </w:rPr>
  </w:style>
  <w:style w:type="character" w:customStyle="1" w:styleId="133">
    <w:name w:val="标题 2 Char"/>
    <w:basedOn w:val="49"/>
    <w:qFormat/>
    <w:uiPriority w:val="0"/>
    <w:rPr>
      <w:rFonts w:ascii="Cambria" w:hAnsi="Cambria" w:eastAsia="宋体" w:cs="Times New Roman"/>
      <w:b/>
      <w:bCs/>
      <w:sz w:val="32"/>
      <w:szCs w:val="32"/>
    </w:rPr>
  </w:style>
  <w:style w:type="character" w:customStyle="1" w:styleId="134">
    <w:name w:val="纯文本 Char1"/>
    <w:basedOn w:val="49"/>
    <w:qFormat/>
    <w:uiPriority w:val="0"/>
    <w:rPr>
      <w:rFonts w:ascii="宋体" w:hAnsi="Courier New" w:eastAsia="宋体" w:cs="Courier New"/>
      <w:kern w:val="2"/>
      <w:sz w:val="21"/>
      <w:szCs w:val="21"/>
    </w:rPr>
  </w:style>
  <w:style w:type="character" w:customStyle="1" w:styleId="135">
    <w:name w:val="Font Style117"/>
    <w:unhideWhenUsed/>
    <w:qFormat/>
    <w:uiPriority w:val="0"/>
    <w:rPr>
      <w:rFonts w:hint="eastAsia" w:ascii="宋体" w:hAnsi="宋体" w:eastAsia="宋体"/>
      <w:spacing w:val="20"/>
      <w:sz w:val="24"/>
    </w:rPr>
  </w:style>
  <w:style w:type="character" w:customStyle="1" w:styleId="136">
    <w:name w:val="正文文本缩进 3 Char"/>
    <w:basedOn w:val="49"/>
    <w:qFormat/>
    <w:uiPriority w:val="0"/>
    <w:rPr>
      <w:rFonts w:ascii="Times New Roman" w:hAnsi="Times New Roman" w:eastAsia="宋体" w:cs="Times New Roman"/>
      <w:sz w:val="16"/>
      <w:szCs w:val="16"/>
    </w:rPr>
  </w:style>
  <w:style w:type="character" w:customStyle="1" w:styleId="137">
    <w:name w:val="Font Style90"/>
    <w:unhideWhenUsed/>
    <w:qFormat/>
    <w:uiPriority w:val="0"/>
    <w:rPr>
      <w:rFonts w:hint="eastAsia" w:ascii="宋体" w:hAnsi="宋体" w:eastAsia="宋体"/>
      <w:b/>
      <w:spacing w:val="-20"/>
      <w:sz w:val="40"/>
    </w:rPr>
  </w:style>
  <w:style w:type="character" w:customStyle="1" w:styleId="138">
    <w:name w:val="sidecatalog-index2"/>
    <w:qFormat/>
    <w:uiPriority w:val="0"/>
    <w:rPr>
      <w:rFonts w:ascii="Arail" w:hAnsi="Arail" w:eastAsia="Arail" w:cs="Arail"/>
      <w:color w:val="999999"/>
      <w:sz w:val="21"/>
      <w:szCs w:val="21"/>
    </w:rPr>
  </w:style>
  <w:style w:type="character" w:customStyle="1" w:styleId="139">
    <w:name w:val="标题 Char"/>
    <w:basedOn w:val="49"/>
    <w:qFormat/>
    <w:uiPriority w:val="0"/>
    <w:rPr>
      <w:rFonts w:ascii="Cambria" w:hAnsi="Cambria" w:eastAsia="宋体" w:cs="Times New Roman"/>
      <w:b/>
      <w:bCs/>
      <w:sz w:val="32"/>
      <w:szCs w:val="32"/>
    </w:rPr>
  </w:style>
  <w:style w:type="character" w:customStyle="1" w:styleId="140">
    <w:name w:val="font41"/>
    <w:basedOn w:val="49"/>
    <w:qFormat/>
    <w:uiPriority w:val="0"/>
    <w:rPr>
      <w:rFonts w:hint="eastAsia" w:ascii="宋体" w:hAnsi="宋体" w:eastAsia="宋体" w:cs="宋体"/>
      <w:color w:val="000000"/>
      <w:sz w:val="22"/>
      <w:szCs w:val="22"/>
      <w:u w:val="single"/>
    </w:rPr>
  </w:style>
  <w:style w:type="character" w:customStyle="1" w:styleId="141">
    <w:name w:val="日期 Char1"/>
    <w:link w:val="27"/>
    <w:qFormat/>
    <w:uiPriority w:val="0"/>
    <w:rPr>
      <w:rFonts w:ascii="Calibri" w:hAnsi="Calibri" w:eastAsia="宋体" w:cs="黑体"/>
      <w:sz w:val="24"/>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21"/>
    <w:unhideWhenUsed/>
    <w:qFormat/>
    <w:uiPriority w:val="0"/>
    <w:rPr>
      <w:rFonts w:hint="eastAsia" w:ascii="宋体" w:hAnsi="宋体" w:eastAsia="宋体"/>
      <w:spacing w:val="-10"/>
      <w:sz w:val="30"/>
    </w:rPr>
  </w:style>
  <w:style w:type="character" w:customStyle="1" w:styleId="144">
    <w:name w:val="Font Style134"/>
    <w:unhideWhenUsed/>
    <w:qFormat/>
    <w:uiPriority w:val="0"/>
    <w:rPr>
      <w:rFonts w:hint="eastAsia" w:ascii="宋体" w:hAnsi="宋体" w:eastAsia="宋体"/>
      <w:spacing w:val="20"/>
      <w:sz w:val="22"/>
    </w:rPr>
  </w:style>
  <w:style w:type="character" w:customStyle="1" w:styleId="145">
    <w:name w:val="页眉 Char1"/>
    <w:qFormat/>
    <w:uiPriority w:val="0"/>
    <w:rPr>
      <w:rFonts w:eastAsia="宋体"/>
      <w:kern w:val="2"/>
      <w:sz w:val="18"/>
      <w:szCs w:val="18"/>
      <w:lang w:val="en-US" w:eastAsia="zh-CN" w:bidi="ar-SA"/>
    </w:rPr>
  </w:style>
  <w:style w:type="character" w:customStyle="1" w:styleId="146">
    <w:name w:val="sort"/>
    <w:qFormat/>
    <w:uiPriority w:val="0"/>
    <w:rPr>
      <w:rFonts w:ascii="Times New Roman" w:hAnsi="Times New Roman" w:eastAsia="宋体"/>
      <w:color w:val="FFFFFF"/>
      <w:bdr w:val="single" w:color="auto" w:sz="24" w:space="0"/>
    </w:rPr>
  </w:style>
  <w:style w:type="character" w:customStyle="1" w:styleId="147">
    <w:name w:val="Font Style115"/>
    <w:unhideWhenUsed/>
    <w:qFormat/>
    <w:uiPriority w:val="0"/>
    <w:rPr>
      <w:rFonts w:hint="eastAsia" w:ascii="Times New Roman" w:hAnsi="Times New Roman" w:eastAsia="Times New Roman"/>
      <w:sz w:val="16"/>
    </w:rPr>
  </w:style>
  <w:style w:type="character" w:customStyle="1" w:styleId="148">
    <w:name w:val="bds_more6"/>
    <w:qFormat/>
    <w:uiPriority w:val="0"/>
    <w:rPr>
      <w:rFonts w:hint="eastAsia" w:ascii="宋体" w:hAnsi="宋体" w:eastAsia="宋体" w:cs="宋体"/>
    </w:rPr>
  </w:style>
  <w:style w:type="character" w:customStyle="1" w:styleId="149">
    <w:name w:val="标题 8 Char"/>
    <w:basedOn w:val="49"/>
    <w:qFormat/>
    <w:uiPriority w:val="0"/>
    <w:rPr>
      <w:rFonts w:ascii="Cambria" w:hAnsi="Cambria" w:eastAsia="宋体" w:cs="Times New Roman"/>
      <w:sz w:val="24"/>
      <w:szCs w:val="24"/>
    </w:rPr>
  </w:style>
  <w:style w:type="character" w:customStyle="1" w:styleId="150">
    <w:name w:val="正文文本 3 Char"/>
    <w:basedOn w:val="49"/>
    <w:link w:val="18"/>
    <w:qFormat/>
    <w:uiPriority w:val="0"/>
    <w:rPr>
      <w:rFonts w:ascii="宋体" w:hAnsi="Times New Roman" w:eastAsia="宋体" w:cs="Times New Roman"/>
      <w:color w:val="000000"/>
      <w:kern w:val="0"/>
      <w:sz w:val="24"/>
      <w:szCs w:val="20"/>
    </w:rPr>
  </w:style>
  <w:style w:type="character" w:customStyle="1" w:styleId="151">
    <w:name w:val="font71"/>
    <w:basedOn w:val="49"/>
    <w:qFormat/>
    <w:uiPriority w:val="0"/>
    <w:rPr>
      <w:rFonts w:hint="eastAsia" w:ascii="宋体" w:hAnsi="宋体" w:eastAsia="宋体" w:cs="宋体"/>
      <w:b/>
      <w:color w:val="000000"/>
      <w:sz w:val="22"/>
      <w:szCs w:val="22"/>
      <w:u w:val="none"/>
    </w:rPr>
  </w:style>
  <w:style w:type="character" w:customStyle="1" w:styleId="152">
    <w:name w:val="font21"/>
    <w:basedOn w:val="49"/>
    <w:qFormat/>
    <w:uiPriority w:val="0"/>
    <w:rPr>
      <w:rFonts w:hint="eastAsia" w:ascii="宋体" w:hAnsi="宋体" w:eastAsia="宋体" w:cs="宋体"/>
      <w:color w:val="000000"/>
      <w:sz w:val="18"/>
      <w:szCs w:val="18"/>
      <w:u w:val="none"/>
    </w:rPr>
  </w:style>
  <w:style w:type="character" w:customStyle="1" w:styleId="153">
    <w:name w:val="标题 9 Char"/>
    <w:basedOn w:val="49"/>
    <w:qFormat/>
    <w:uiPriority w:val="0"/>
    <w:rPr>
      <w:rFonts w:ascii="Cambria" w:hAnsi="Cambria" w:eastAsia="宋体" w:cs="Times New Roman"/>
      <w:szCs w:val="21"/>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Font Style119"/>
    <w:unhideWhenUsed/>
    <w:qFormat/>
    <w:uiPriority w:val="0"/>
    <w:rPr>
      <w:rFonts w:hint="eastAsia" w:ascii="宋体" w:hAnsi="宋体" w:eastAsia="宋体"/>
      <w:sz w:val="24"/>
    </w:rPr>
  </w:style>
  <w:style w:type="character" w:customStyle="1" w:styleId="156">
    <w:name w:val="标题 5 Char"/>
    <w:basedOn w:val="49"/>
    <w:qFormat/>
    <w:uiPriority w:val="0"/>
    <w:rPr>
      <w:rFonts w:ascii="Times New Roman" w:hAnsi="Times New Roman" w:eastAsia="宋体" w:cs="Times New Roman"/>
      <w:b/>
      <w:bCs/>
      <w:sz w:val="28"/>
      <w:szCs w:val="28"/>
    </w:rPr>
  </w:style>
  <w:style w:type="character" w:customStyle="1" w:styleId="157">
    <w:name w:val="Char Char15"/>
    <w:qFormat/>
    <w:uiPriority w:val="0"/>
    <w:rPr>
      <w:b/>
      <w:bCs/>
      <w:sz w:val="24"/>
      <w:szCs w:val="24"/>
    </w:rPr>
  </w:style>
  <w:style w:type="character" w:customStyle="1" w:styleId="158">
    <w:name w:val="polysemyexp"/>
    <w:qFormat/>
    <w:uiPriority w:val="0"/>
    <w:rPr>
      <w:rFonts w:ascii="Times New Roman" w:hAnsi="Times New Roman" w:eastAsia="宋体"/>
      <w:color w:val="AAAAAA"/>
      <w:sz w:val="18"/>
      <w:szCs w:val="18"/>
    </w:rPr>
  </w:style>
  <w:style w:type="character" w:customStyle="1" w:styleId="159">
    <w:name w:val="bds_nopic1"/>
    <w:qFormat/>
    <w:uiPriority w:val="0"/>
    <w:rPr>
      <w:rFonts w:ascii="Times New Roman" w:hAnsi="Times New Roman" w:eastAsia="宋体"/>
    </w:rPr>
  </w:style>
  <w:style w:type="character" w:customStyle="1" w:styleId="160">
    <w:name w:val="bds_more8"/>
    <w:qFormat/>
    <w:uiPriority w:val="0"/>
    <w:rPr>
      <w:rFonts w:ascii="Times New Roman" w:hAnsi="Times New Roman" w:eastAsia="宋体"/>
    </w:rPr>
  </w:style>
  <w:style w:type="character" w:customStyle="1" w:styleId="161">
    <w:name w:val="sort1"/>
    <w:qFormat/>
    <w:uiPriority w:val="0"/>
    <w:rPr>
      <w:rFonts w:ascii="Times New Roman" w:hAnsi="Times New Roman" w:eastAsia="宋体"/>
    </w:rPr>
  </w:style>
  <w:style w:type="character" w:customStyle="1" w:styleId="162">
    <w:name w:val="bds_more10"/>
    <w:qFormat/>
    <w:uiPriority w:val="0"/>
    <w:rPr>
      <w:rFonts w:ascii="Times New Roman" w:hAnsi="Times New Roman" w:eastAsia="宋体"/>
    </w:rPr>
  </w:style>
  <w:style w:type="character" w:customStyle="1" w:styleId="163">
    <w:name w:val="sidecatalog-index1"/>
    <w:qFormat/>
    <w:uiPriority w:val="0"/>
    <w:rPr>
      <w:rFonts w:ascii="Arial" w:hAnsi="Arial" w:eastAsia="宋体" w:cs="Arial"/>
      <w:b/>
      <w:color w:val="999999"/>
      <w:sz w:val="21"/>
      <w:szCs w:val="21"/>
    </w:rPr>
  </w:style>
  <w:style w:type="character" w:customStyle="1" w:styleId="164">
    <w:name w:val="标题 7 Char"/>
    <w:basedOn w:val="49"/>
    <w:qFormat/>
    <w:uiPriority w:val="0"/>
    <w:rPr>
      <w:rFonts w:ascii="Times New Roman" w:hAnsi="Times New Roman" w:eastAsia="宋体" w:cs="Times New Roman"/>
      <w:b/>
      <w:bCs/>
      <w:sz w:val="24"/>
      <w:szCs w:val="24"/>
    </w:rPr>
  </w:style>
  <w:style w:type="character" w:customStyle="1" w:styleId="165">
    <w:name w:val="desc"/>
    <w:qFormat/>
    <w:uiPriority w:val="0"/>
    <w:rPr>
      <w:rFonts w:ascii="Times New Roman" w:hAnsi="Times New Roman" w:eastAsia="宋体"/>
      <w:color w:val="000000"/>
      <w:sz w:val="18"/>
      <w:szCs w:val="18"/>
    </w:rPr>
  </w:style>
  <w:style w:type="character" w:customStyle="1" w:styleId="166">
    <w:name w:val="正文文本缩进 2 字符1"/>
    <w:basedOn w:val="49"/>
    <w:semiHidden/>
    <w:qFormat/>
    <w:uiPriority w:val="99"/>
    <w:rPr>
      <w:rFonts w:ascii="Times New Roman" w:hAnsi="Times New Roman" w:eastAsia="宋体" w:cs="Times New Roman"/>
      <w:szCs w:val="24"/>
    </w:rPr>
  </w:style>
  <w:style w:type="character" w:customStyle="1" w:styleId="167">
    <w:name w:val="正文文本缩进 字符1"/>
    <w:basedOn w:val="49"/>
    <w:semiHidden/>
    <w:qFormat/>
    <w:uiPriority w:val="99"/>
    <w:rPr>
      <w:rFonts w:ascii="Times New Roman" w:hAnsi="Times New Roman" w:eastAsia="宋体" w:cs="Times New Roman"/>
      <w:szCs w:val="24"/>
    </w:rPr>
  </w:style>
  <w:style w:type="character" w:customStyle="1" w:styleId="168">
    <w:name w:val="正文文本 3 字符1"/>
    <w:basedOn w:val="49"/>
    <w:semiHidden/>
    <w:qFormat/>
    <w:uiPriority w:val="99"/>
    <w:rPr>
      <w:rFonts w:ascii="Times New Roman" w:hAnsi="Times New Roman" w:eastAsia="宋体" w:cs="Times New Roman"/>
      <w:sz w:val="16"/>
      <w:szCs w:val="16"/>
    </w:rPr>
  </w:style>
  <w:style w:type="character" w:customStyle="1" w:styleId="169">
    <w:name w:val="称呼 字符1"/>
    <w:basedOn w:val="49"/>
    <w:semiHidden/>
    <w:qFormat/>
    <w:uiPriority w:val="99"/>
    <w:rPr>
      <w:rFonts w:ascii="Times New Roman" w:hAnsi="Times New Roman" w:eastAsia="宋体" w:cs="Times New Roman"/>
      <w:szCs w:val="24"/>
    </w:rPr>
  </w:style>
  <w:style w:type="character" w:customStyle="1" w:styleId="170">
    <w:name w:val="批注框文本 字符1"/>
    <w:basedOn w:val="49"/>
    <w:semiHidden/>
    <w:qFormat/>
    <w:uiPriority w:val="99"/>
    <w:rPr>
      <w:rFonts w:ascii="Times New Roman" w:hAnsi="Times New Roman" w:eastAsia="宋体" w:cs="Times New Roman"/>
      <w:sz w:val="18"/>
      <w:szCs w:val="18"/>
    </w:rPr>
  </w:style>
  <w:style w:type="character" w:customStyle="1" w:styleId="171">
    <w:name w:val="正文文本缩进 3 字符1"/>
    <w:basedOn w:val="49"/>
    <w:semiHidden/>
    <w:qFormat/>
    <w:uiPriority w:val="99"/>
    <w:rPr>
      <w:rFonts w:ascii="Times New Roman" w:hAnsi="Times New Roman" w:eastAsia="宋体" w:cs="Times New Roman"/>
      <w:sz w:val="16"/>
      <w:szCs w:val="16"/>
    </w:rPr>
  </w:style>
  <w:style w:type="character" w:customStyle="1" w:styleId="172">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3">
    <w:name w:val="日期 字符1"/>
    <w:basedOn w:val="49"/>
    <w:semiHidden/>
    <w:qFormat/>
    <w:uiPriority w:val="99"/>
    <w:rPr>
      <w:rFonts w:ascii="Times New Roman" w:hAnsi="Times New Roman" w:eastAsia="宋体" w:cs="Times New Roman"/>
      <w:szCs w:val="24"/>
    </w:rPr>
  </w:style>
  <w:style w:type="character" w:customStyle="1" w:styleId="174">
    <w:name w:val="正文文本 字符1"/>
    <w:basedOn w:val="49"/>
    <w:semiHidden/>
    <w:qFormat/>
    <w:uiPriority w:val="99"/>
    <w:rPr>
      <w:rFonts w:ascii="Times New Roman" w:hAnsi="Times New Roman" w:eastAsia="宋体" w:cs="Times New Roman"/>
      <w:szCs w:val="24"/>
    </w:rPr>
  </w:style>
  <w:style w:type="character" w:customStyle="1" w:styleId="175">
    <w:name w:val="批注文字 字符1"/>
    <w:basedOn w:val="49"/>
    <w:semiHidden/>
    <w:qFormat/>
    <w:uiPriority w:val="99"/>
    <w:rPr>
      <w:rFonts w:ascii="Times New Roman" w:hAnsi="Times New Roman" w:eastAsia="宋体" w:cs="Times New Roman"/>
      <w:szCs w:val="24"/>
    </w:rPr>
  </w:style>
  <w:style w:type="character" w:customStyle="1" w:styleId="176">
    <w:name w:val="HTML 预设格式 字符1"/>
    <w:basedOn w:val="49"/>
    <w:semiHidden/>
    <w:qFormat/>
    <w:uiPriority w:val="99"/>
    <w:rPr>
      <w:rFonts w:ascii="Courier New" w:hAnsi="Courier New" w:eastAsia="宋体" w:cs="Courier New"/>
      <w:sz w:val="20"/>
      <w:szCs w:val="20"/>
    </w:rPr>
  </w:style>
  <w:style w:type="character" w:customStyle="1" w:styleId="177">
    <w:name w:val="正文首行缩进 Char"/>
    <w:basedOn w:val="174"/>
    <w:link w:val="45"/>
    <w:qFormat/>
    <w:uiPriority w:val="0"/>
    <w:rPr>
      <w:rFonts w:ascii="Times New Roman" w:hAnsi="Times New Roman" w:eastAsia="宋体" w:cs="Times New Roman"/>
      <w:szCs w:val="24"/>
    </w:rPr>
  </w:style>
  <w:style w:type="character" w:customStyle="1" w:styleId="178">
    <w:name w:val="正文文本 2 字符1"/>
    <w:basedOn w:val="49"/>
    <w:semiHidden/>
    <w:qFormat/>
    <w:uiPriority w:val="99"/>
    <w:rPr>
      <w:rFonts w:ascii="Times New Roman" w:hAnsi="Times New Roman" w:eastAsia="宋体" w:cs="Times New Roman"/>
      <w:szCs w:val="24"/>
    </w:rPr>
  </w:style>
  <w:style w:type="character" w:customStyle="1" w:styleId="179">
    <w:name w:val="副标题 字符1"/>
    <w:basedOn w:val="49"/>
    <w:qFormat/>
    <w:uiPriority w:val="11"/>
    <w:rPr>
      <w:b/>
      <w:bCs/>
      <w:kern w:val="28"/>
      <w:sz w:val="32"/>
      <w:szCs w:val="32"/>
    </w:rPr>
  </w:style>
  <w:style w:type="character" w:customStyle="1" w:styleId="180">
    <w:name w:val="批注主题 字符1"/>
    <w:basedOn w:val="175"/>
    <w:semiHidden/>
    <w:qFormat/>
    <w:uiPriority w:val="99"/>
    <w:rPr>
      <w:rFonts w:ascii="Times New Roman" w:hAnsi="Times New Roman" w:eastAsia="宋体" w:cs="Times New Roman"/>
      <w:b/>
      <w:bCs/>
      <w:szCs w:val="24"/>
    </w:rPr>
  </w:style>
  <w:style w:type="character" w:customStyle="1" w:styleId="181">
    <w:name w:val="标题 字符1"/>
    <w:basedOn w:val="49"/>
    <w:qFormat/>
    <w:uiPriority w:val="10"/>
    <w:rPr>
      <w:rFonts w:asciiTheme="majorHAnsi" w:hAnsiTheme="majorHAnsi" w:eastAsiaTheme="majorEastAsia" w:cstheme="majorBidi"/>
      <w:b/>
      <w:bCs/>
      <w:sz w:val="32"/>
      <w:szCs w:val="32"/>
    </w:rPr>
  </w:style>
  <w:style w:type="character" w:customStyle="1" w:styleId="182">
    <w:name w:val="纯文本 字符1"/>
    <w:basedOn w:val="49"/>
    <w:semiHidden/>
    <w:qFormat/>
    <w:uiPriority w:val="99"/>
    <w:rPr>
      <w:rFonts w:hAnsi="Courier New" w:cs="Courier New" w:asciiTheme="minorEastAsia"/>
      <w:szCs w:val="24"/>
    </w:rPr>
  </w:style>
  <w:style w:type="paragraph" w:customStyle="1" w:styleId="183">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4">
    <w:name w:val="Char Char Char"/>
    <w:basedOn w:val="1"/>
    <w:qFormat/>
    <w:uiPriority w:val="0"/>
    <w:rPr>
      <w:rFonts w:ascii="宋体" w:hAnsi="宋体"/>
      <w:b/>
      <w:sz w:val="28"/>
      <w:szCs w:val="28"/>
    </w:rPr>
  </w:style>
  <w:style w:type="paragraph" w:customStyle="1" w:styleId="185">
    <w:name w:val="Style29"/>
    <w:basedOn w:val="1"/>
    <w:unhideWhenUsed/>
    <w:qFormat/>
    <w:uiPriority w:val="0"/>
    <w:pPr>
      <w:spacing w:line="547" w:lineRule="exact"/>
      <w:ind w:firstLine="547"/>
    </w:pPr>
  </w:style>
  <w:style w:type="paragraph" w:customStyle="1" w:styleId="18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7">
    <w:name w:val="Style13"/>
    <w:basedOn w:val="1"/>
    <w:unhideWhenUsed/>
    <w:qFormat/>
    <w:uiPriority w:val="0"/>
  </w:style>
  <w:style w:type="paragraph" w:customStyle="1" w:styleId="18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9">
    <w:name w:val="正文缩进2"/>
    <w:basedOn w:val="1"/>
    <w:qFormat/>
    <w:uiPriority w:val="0"/>
    <w:pPr>
      <w:tabs>
        <w:tab w:val="left" w:pos="720"/>
      </w:tabs>
      <w:ind w:left="624" w:hanging="624"/>
      <w:textAlignment w:val="baseline"/>
    </w:pPr>
    <w:rPr>
      <w:rFonts w:hint="eastAsia" w:ascii="宋体"/>
    </w:rPr>
  </w:style>
  <w:style w:type="paragraph" w:customStyle="1" w:styleId="190">
    <w:name w:val="Style23"/>
    <w:basedOn w:val="1"/>
    <w:unhideWhenUsed/>
    <w:qFormat/>
    <w:uiPriority w:val="0"/>
  </w:style>
  <w:style w:type="paragraph" w:customStyle="1" w:styleId="191">
    <w:name w:val="Style81"/>
    <w:basedOn w:val="1"/>
    <w:unhideWhenUsed/>
    <w:qFormat/>
    <w:uiPriority w:val="0"/>
    <w:pPr>
      <w:spacing w:line="547" w:lineRule="exact"/>
    </w:pPr>
  </w:style>
  <w:style w:type="paragraph" w:customStyle="1" w:styleId="192">
    <w:name w:val="Style73"/>
    <w:basedOn w:val="1"/>
    <w:unhideWhenUsed/>
    <w:qFormat/>
    <w:uiPriority w:val="0"/>
    <w:pPr>
      <w:spacing w:line="538" w:lineRule="exact"/>
      <w:ind w:firstLine="533"/>
    </w:pPr>
  </w:style>
  <w:style w:type="paragraph" w:customStyle="1" w:styleId="193">
    <w:name w:val="Style47"/>
    <w:basedOn w:val="1"/>
    <w:unhideWhenUsed/>
    <w:qFormat/>
    <w:uiPriority w:val="0"/>
  </w:style>
  <w:style w:type="paragraph" w:customStyle="1" w:styleId="194">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5">
    <w:name w:val="Style77"/>
    <w:basedOn w:val="1"/>
    <w:unhideWhenUsed/>
    <w:qFormat/>
    <w:uiPriority w:val="0"/>
  </w:style>
  <w:style w:type="paragraph" w:customStyle="1" w:styleId="196">
    <w:name w:val="Style8"/>
    <w:basedOn w:val="1"/>
    <w:unhideWhenUsed/>
    <w:qFormat/>
    <w:uiPriority w:val="0"/>
    <w:pPr>
      <w:spacing w:line="566" w:lineRule="exact"/>
      <w:jc w:val="center"/>
    </w:pPr>
  </w:style>
  <w:style w:type="paragraph" w:customStyle="1" w:styleId="197">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8">
    <w:name w:val="Char1 Char Char Char Char Char Char Char Char Char"/>
    <w:basedOn w:val="1"/>
    <w:qFormat/>
    <w:uiPriority w:val="0"/>
    <w:rPr>
      <w:szCs w:val="20"/>
    </w:rPr>
  </w:style>
  <w:style w:type="paragraph" w:customStyle="1" w:styleId="199">
    <w:name w:val="_Style 1"/>
    <w:basedOn w:val="1"/>
    <w:qFormat/>
    <w:uiPriority w:val="34"/>
    <w:pPr>
      <w:ind w:firstLine="420" w:firstLineChars="200"/>
    </w:pPr>
    <w:rPr>
      <w:rFonts w:ascii="Calibri" w:hAnsi="Calibri" w:cs="黑体"/>
    </w:rPr>
  </w:style>
  <w:style w:type="paragraph" w:customStyle="1" w:styleId="200">
    <w:name w:val="_Style 39"/>
    <w:basedOn w:val="201"/>
    <w:qFormat/>
    <w:uiPriority w:val="0"/>
  </w:style>
  <w:style w:type="paragraph" w:customStyle="1" w:styleId="20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Style24"/>
    <w:basedOn w:val="1"/>
    <w:unhideWhenUsed/>
    <w:qFormat/>
    <w:uiPriority w:val="0"/>
  </w:style>
  <w:style w:type="paragraph" w:customStyle="1" w:styleId="203">
    <w:name w:val="Style34"/>
    <w:basedOn w:val="1"/>
    <w:unhideWhenUsed/>
    <w:qFormat/>
    <w:uiPriority w:val="0"/>
    <w:pPr>
      <w:spacing w:line="375" w:lineRule="exact"/>
    </w:pPr>
  </w:style>
  <w:style w:type="paragraph" w:customStyle="1" w:styleId="20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5">
    <w:name w:val="Style69"/>
    <w:basedOn w:val="1"/>
    <w:unhideWhenUsed/>
    <w:qFormat/>
    <w:uiPriority w:val="0"/>
    <w:pPr>
      <w:spacing w:line="557" w:lineRule="exact"/>
      <w:ind w:firstLine="1666"/>
    </w:pPr>
  </w:style>
  <w:style w:type="paragraph" w:customStyle="1" w:styleId="206">
    <w:name w:val="表格内容"/>
    <w:basedOn w:val="19"/>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99"/>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4"/>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3"/>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3"/>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3"/>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9"/>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Char"/>
    <w:link w:val="13"/>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Char"/>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4"/>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3"/>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6"/>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4"/>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4"/>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3"/>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0"/>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3"/>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3"/>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style01"/>
    <w:qFormat/>
    <w:uiPriority w:val="0"/>
    <w:rPr>
      <w:rFonts w:hint="eastAsia" w:ascii="宋体" w:hAnsi="宋体" w:eastAsia="宋体"/>
      <w:color w:val="000000"/>
      <w:sz w:val="22"/>
      <w:szCs w:val="22"/>
    </w:rPr>
  </w:style>
  <w:style w:type="character" w:customStyle="1" w:styleId="366">
    <w:name w:val="font61"/>
    <w:basedOn w:val="49"/>
    <w:qFormat/>
    <w:uiPriority w:val="0"/>
    <w:rPr>
      <w:rFonts w:hint="eastAsia" w:ascii="宋体" w:hAnsi="宋体" w:eastAsia="宋体" w:cs="宋体"/>
      <w:color w:val="000000"/>
      <w:sz w:val="18"/>
      <w:szCs w:val="18"/>
      <w:u w:val="none"/>
    </w:rPr>
  </w:style>
  <w:style w:type="character" w:customStyle="1" w:styleId="367">
    <w:name w:val="font31"/>
    <w:basedOn w:val="49"/>
    <w:qFormat/>
    <w:uiPriority w:val="0"/>
    <w:rPr>
      <w:rFonts w:hint="eastAsia" w:ascii="宋体" w:hAnsi="宋体" w:eastAsia="宋体" w:cs="宋体"/>
      <w:color w:val="000000"/>
      <w:sz w:val="22"/>
      <w:szCs w:val="22"/>
      <w:u w:val="none"/>
    </w:rPr>
  </w:style>
  <w:style w:type="character" w:customStyle="1" w:styleId="368">
    <w:name w:val="font91"/>
    <w:basedOn w:val="49"/>
    <w:qFormat/>
    <w:uiPriority w:val="0"/>
    <w:rPr>
      <w:rFonts w:hint="eastAsia" w:ascii="宋体" w:hAnsi="宋体" w:eastAsia="宋体" w:cs="宋体"/>
      <w:color w:val="000000"/>
      <w:sz w:val="22"/>
      <w:szCs w:val="22"/>
      <w:u w:val="single"/>
    </w:rPr>
  </w:style>
  <w:style w:type="character" w:customStyle="1" w:styleId="369">
    <w:name w:val="font51"/>
    <w:basedOn w:val="4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61" textRotate="1"/>
    <customShpInfo spid="_x0000_s2062" textRotate="1"/>
    <customShpInfo spid="_x0000_s2070" textRotate="1"/>
    <customShpInfo spid="_x0000_s2063" textRotate="1"/>
    <customShpInfo spid="_x0000_s2064" textRotate="1"/>
    <customShpInfo spid="_x0000_s2065" textRotate="1"/>
    <customShpInfo spid="_x0000_s2066" textRotate="1"/>
    <customShpInfo spid="_x0000_s2067" textRotate="1"/>
    <customShpInfo spid="_x0000_s2068" textRotate="1"/>
    <customShpInfo spid="_x0000_s2069" textRotate="1"/>
    <customShpInfo spid="_x0000_s1026"/>
    <customShpInfo spid="_x0000_s1049"/>
    <customShpInfo spid="_x0000_s1050"/>
    <customShpInfo spid="_x0000_s1051"/>
    <customShpInfo spid="_x0000_s1052"/>
    <customShpInfo spid="_x0000_s1053"/>
    <customShpInfo spid="_x0000_s1054"/>
    <customShpInfo spid="_x0000_s1055"/>
    <customShpInfo spid="_x0000_s105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826FB6-06FC-427B-9A58-F9CDCD57E2E4}">
  <ds:schemaRefs/>
</ds:datastoreItem>
</file>

<file path=docProps/app.xml><?xml version="1.0" encoding="utf-8"?>
<Properties xmlns="http://schemas.openxmlformats.org/officeDocument/2006/extended-properties" xmlns:vt="http://schemas.openxmlformats.org/officeDocument/2006/docPropsVTypes">
  <Template>Normal</Template>
  <Pages>74</Pages>
  <Words>31901</Words>
  <Characters>35804</Characters>
  <Lines>141</Lines>
  <Paragraphs>39</Paragraphs>
  <TotalTime>2</TotalTime>
  <ScaleCrop>false</ScaleCrop>
  <LinksUpToDate>false</LinksUpToDate>
  <CharactersWithSpaces>38512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FX</cp:lastModifiedBy>
  <cp:lastPrinted>2022-06-13T06:17:00Z</cp:lastPrinted>
  <dcterms:modified xsi:type="dcterms:W3CDTF">2022-06-29T02:34:48Z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85143508A7F64157BD9B65706756EC0F</vt:lpwstr>
  </property>
</Properties>
</file>