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b/>
          <w:sz w:val="52"/>
          <w:szCs w:val="52"/>
        </w:rPr>
      </w:pPr>
    </w:p>
    <w:p>
      <w:pPr>
        <w:pStyle w:val="25"/>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jc w:val="center"/>
        <w:rPr>
          <w:rFonts w:hAnsi="宋体"/>
          <w:b/>
          <w:sz w:val="52"/>
          <w:szCs w:val="52"/>
        </w:rPr>
      </w:pPr>
      <w:r>
        <w:rPr>
          <w:rFonts w:hint="eastAsia" w:hAnsi="宋体"/>
          <w:b/>
          <w:sz w:val="52"/>
          <w:szCs w:val="52"/>
        </w:rPr>
        <w:t>自主竞争性谈判文件</w:t>
      </w:r>
    </w:p>
    <w:p>
      <w:pPr>
        <w:pStyle w:val="25"/>
        <w:adjustRightInd w:val="0"/>
        <w:snapToGrid w:val="0"/>
        <w:spacing w:before="120" w:beforeLines="50" w:line="360" w:lineRule="auto"/>
        <w:rPr>
          <w:b/>
          <w:sz w:val="32"/>
          <w:szCs w:val="32"/>
        </w:rPr>
      </w:pPr>
    </w:p>
    <w:p>
      <w:pPr>
        <w:pStyle w:val="25"/>
        <w:adjustRightInd w:val="0"/>
        <w:snapToGrid w:val="0"/>
        <w:spacing w:line="360" w:lineRule="auto"/>
        <w:rPr>
          <w:rFonts w:ascii="华文中宋" w:hAnsi="华文中宋" w:eastAsia="华文中宋"/>
          <w:sz w:val="32"/>
          <w:szCs w:val="32"/>
        </w:rPr>
      </w:pPr>
    </w:p>
    <w:p>
      <w:pPr>
        <w:spacing w:line="360" w:lineRule="auto"/>
        <w:ind w:left="2249" w:hanging="2249" w:hangingChars="700"/>
        <w:rPr>
          <w:rFonts w:hint="eastAsia" w:ascii="宋体" w:hAnsi="宋体" w:eastAsia="宋体" w:cs="Courier New"/>
          <w:b/>
          <w:sz w:val="32"/>
          <w:szCs w:val="21"/>
          <w:u w:val="single"/>
          <w:lang w:eastAsia="zh-CN"/>
        </w:rPr>
      </w:pPr>
      <w:r>
        <w:rPr>
          <w:rFonts w:hint="eastAsia" w:ascii="宋体" w:hAnsi="宋体" w:cs="Courier New"/>
          <w:b/>
          <w:sz w:val="32"/>
          <w:szCs w:val="21"/>
        </w:rPr>
        <w:t>谈判项目名称：</w:t>
      </w:r>
      <w:r>
        <w:rPr>
          <w:rFonts w:hint="eastAsia" w:ascii="宋体" w:hAnsi="宋体" w:cs="Courier New"/>
          <w:b/>
          <w:sz w:val="32"/>
          <w:szCs w:val="21"/>
          <w:u w:val="single"/>
        </w:rPr>
        <w:t>长沙市轨道交通1、2、3、4、5号线运营期2022年-2024年车站卫生间管道疏通服务项目</w:t>
      </w:r>
      <w:r>
        <w:rPr>
          <w:rFonts w:hint="eastAsia" w:ascii="宋体" w:hAnsi="宋体" w:cs="Courier New"/>
          <w:b/>
          <w:sz w:val="32"/>
          <w:szCs w:val="21"/>
          <w:u w:val="single"/>
          <w:lang w:eastAsia="zh-CN"/>
        </w:rPr>
        <w:t>（</w:t>
      </w:r>
      <w:r>
        <w:rPr>
          <w:rFonts w:hint="eastAsia" w:ascii="宋体" w:hAnsi="宋体" w:cs="Courier New"/>
          <w:b/>
          <w:sz w:val="32"/>
          <w:szCs w:val="21"/>
          <w:u w:val="single"/>
          <w:lang w:val="en-US" w:eastAsia="zh-CN"/>
        </w:rPr>
        <w:t>第二次</w:t>
      </w:r>
      <w:r>
        <w:rPr>
          <w:rFonts w:hint="eastAsia" w:ascii="宋体" w:hAnsi="宋体" w:cs="Courier New"/>
          <w:b/>
          <w:sz w:val="32"/>
          <w:szCs w:val="21"/>
          <w:u w:val="single"/>
          <w:lang w:eastAsia="zh-CN"/>
        </w:rPr>
        <w:t>）</w:t>
      </w:r>
    </w:p>
    <w:p>
      <w:pPr>
        <w:spacing w:line="360" w:lineRule="auto"/>
        <w:ind w:left="2240" w:firstLine="321" w:firstLineChars="100"/>
        <w:jc w:val="left"/>
        <w:rPr>
          <w:rFonts w:ascii="宋体" w:hAnsi="宋体" w:cs="Courier New"/>
          <w:b/>
          <w:sz w:val="32"/>
          <w:szCs w:val="21"/>
        </w:rPr>
      </w:pPr>
    </w:p>
    <w:p>
      <w:pPr>
        <w:pStyle w:val="25"/>
        <w:adjustRightInd w:val="0"/>
        <w:snapToGrid w:val="0"/>
        <w:spacing w:line="360" w:lineRule="auto"/>
        <w:rPr>
          <w:rFonts w:hint="eastAsia" w:hAnsi="宋体"/>
          <w:b/>
          <w:sz w:val="32"/>
          <w:u w:val="single"/>
        </w:rPr>
      </w:pPr>
      <w:r>
        <w:rPr>
          <w:rFonts w:hint="eastAsia" w:hAnsi="宋体"/>
          <w:b/>
          <w:sz w:val="32"/>
        </w:rPr>
        <w:t>采购单位名称：</w:t>
      </w:r>
      <w:r>
        <w:rPr>
          <w:rFonts w:hint="eastAsia" w:hAnsi="宋体"/>
          <w:b/>
          <w:sz w:val="32"/>
          <w:u w:val="single"/>
        </w:rPr>
        <w:t>长沙市轨道交通运营有限公司</w:t>
      </w:r>
    </w:p>
    <w:p>
      <w:pPr>
        <w:pStyle w:val="25"/>
        <w:adjustRightInd w:val="0"/>
        <w:snapToGrid w:val="0"/>
        <w:spacing w:line="360" w:lineRule="auto"/>
        <w:ind w:firstLine="321" w:firstLineChars="100"/>
        <w:rPr>
          <w:rFonts w:hint="default" w:hAnsi="宋体" w:eastAsia="宋体"/>
          <w:b/>
          <w:sz w:val="32"/>
          <w:u w:val="single"/>
          <w:lang w:val="en-US" w:eastAsia="zh-CN"/>
        </w:rPr>
      </w:pPr>
      <w:r>
        <w:rPr>
          <w:rFonts w:hint="eastAsia" w:hAnsi="宋体"/>
          <w:b/>
          <w:sz w:val="32"/>
          <w:u w:val="none"/>
          <w:lang w:val="en-US" w:eastAsia="zh-CN"/>
        </w:rPr>
        <w:t xml:space="preserve">            </w:t>
      </w:r>
      <w:r>
        <w:rPr>
          <w:rFonts w:hint="eastAsia" w:hAnsi="宋体"/>
          <w:b/>
          <w:sz w:val="32"/>
          <w:u w:val="single"/>
        </w:rPr>
        <w:t>长沙市轨道交通</w:t>
      </w:r>
      <w:r>
        <w:rPr>
          <w:rFonts w:hint="eastAsia" w:hAnsi="宋体"/>
          <w:b/>
          <w:sz w:val="32"/>
          <w:u w:val="single"/>
          <w:lang w:val="en-US" w:eastAsia="zh-CN"/>
        </w:rPr>
        <w:t>一</w:t>
      </w:r>
      <w:r>
        <w:rPr>
          <w:rFonts w:hint="eastAsia" w:hAnsi="宋体"/>
          <w:b/>
          <w:sz w:val="32"/>
          <w:u w:val="single"/>
        </w:rPr>
        <w:t>号线建设发展有限公司</w:t>
      </w:r>
    </w:p>
    <w:p>
      <w:pPr>
        <w:pStyle w:val="25"/>
        <w:adjustRightInd w:val="0"/>
        <w:snapToGrid w:val="0"/>
        <w:spacing w:line="360" w:lineRule="auto"/>
        <w:ind w:firstLine="2249" w:firstLineChars="700"/>
        <w:rPr>
          <w:rFonts w:hint="eastAsia" w:hAnsi="宋体"/>
          <w:b/>
          <w:sz w:val="32"/>
          <w:u w:val="single"/>
        </w:rPr>
      </w:pPr>
      <w:r>
        <w:rPr>
          <w:rFonts w:hint="eastAsia" w:hAnsi="宋体"/>
          <w:b/>
          <w:sz w:val="32"/>
          <w:u w:val="single"/>
        </w:rPr>
        <w:t>长沙市轨道交通</w:t>
      </w:r>
      <w:r>
        <w:rPr>
          <w:rFonts w:hint="eastAsia" w:hAnsi="宋体"/>
          <w:b/>
          <w:sz w:val="32"/>
          <w:u w:val="single"/>
          <w:lang w:val="en-US" w:eastAsia="zh-CN"/>
        </w:rPr>
        <w:t>三</w:t>
      </w:r>
      <w:r>
        <w:rPr>
          <w:rFonts w:hint="eastAsia" w:hAnsi="宋体"/>
          <w:b/>
          <w:sz w:val="32"/>
          <w:u w:val="single"/>
        </w:rPr>
        <w:t>号线建设发展有限公司</w:t>
      </w:r>
    </w:p>
    <w:p>
      <w:pPr>
        <w:pStyle w:val="25"/>
        <w:adjustRightInd w:val="0"/>
        <w:snapToGrid w:val="0"/>
        <w:spacing w:line="360" w:lineRule="auto"/>
        <w:ind w:firstLine="2249" w:firstLineChars="700"/>
        <w:rPr>
          <w:rFonts w:hint="eastAsia" w:hAnsi="宋体"/>
          <w:b/>
          <w:sz w:val="32"/>
          <w:u w:val="single"/>
        </w:rPr>
      </w:pPr>
      <w:r>
        <w:rPr>
          <w:rFonts w:hint="eastAsia" w:hAnsi="宋体"/>
          <w:b/>
          <w:sz w:val="32"/>
          <w:u w:val="single"/>
        </w:rPr>
        <w:t>长沙市轨道交通</w:t>
      </w:r>
      <w:r>
        <w:rPr>
          <w:rFonts w:hint="eastAsia" w:hAnsi="宋体"/>
          <w:b/>
          <w:sz w:val="32"/>
          <w:u w:val="single"/>
          <w:lang w:val="en-US" w:eastAsia="zh-CN"/>
        </w:rPr>
        <w:t>四</w:t>
      </w:r>
      <w:r>
        <w:rPr>
          <w:rFonts w:hint="eastAsia" w:hAnsi="宋体"/>
          <w:b/>
          <w:sz w:val="32"/>
          <w:u w:val="single"/>
        </w:rPr>
        <w:t>号线建设发展有限公司</w:t>
      </w:r>
    </w:p>
    <w:p>
      <w:pPr>
        <w:pStyle w:val="25"/>
        <w:adjustRightInd w:val="0"/>
        <w:snapToGrid w:val="0"/>
        <w:spacing w:line="360" w:lineRule="auto"/>
        <w:ind w:firstLine="2249" w:firstLineChars="700"/>
        <w:rPr>
          <w:rFonts w:hint="eastAsia" w:hAnsi="宋体"/>
          <w:b/>
          <w:sz w:val="32"/>
          <w:u w:val="none"/>
        </w:rPr>
      </w:pPr>
      <w:r>
        <w:rPr>
          <w:rFonts w:hint="eastAsia" w:hAnsi="宋体"/>
          <w:b/>
          <w:sz w:val="32"/>
          <w:u w:val="single"/>
        </w:rPr>
        <w:t>长沙市轨道交通</w:t>
      </w:r>
      <w:r>
        <w:rPr>
          <w:rFonts w:hint="eastAsia" w:hAnsi="宋体"/>
          <w:b/>
          <w:sz w:val="32"/>
          <w:u w:val="single"/>
          <w:lang w:val="en-US" w:eastAsia="zh-CN"/>
        </w:rPr>
        <w:t>五</w:t>
      </w:r>
      <w:r>
        <w:rPr>
          <w:rFonts w:hint="eastAsia" w:hAnsi="宋体"/>
          <w:b/>
          <w:sz w:val="32"/>
          <w:u w:val="single"/>
        </w:rPr>
        <w:t>号线建设发展有限公司</w:t>
      </w:r>
    </w:p>
    <w:p>
      <w:pPr>
        <w:pStyle w:val="25"/>
        <w:adjustRightInd w:val="0"/>
        <w:snapToGrid w:val="0"/>
        <w:spacing w:line="360" w:lineRule="auto"/>
        <w:rPr>
          <w:rFonts w:hint="eastAsia" w:hAnsi="宋体"/>
          <w:b/>
          <w:sz w:val="32"/>
        </w:rPr>
      </w:pPr>
    </w:p>
    <w:p>
      <w:pPr>
        <w:pStyle w:val="25"/>
        <w:adjustRightInd w:val="0"/>
        <w:snapToGrid w:val="0"/>
        <w:spacing w:line="360" w:lineRule="auto"/>
        <w:rPr>
          <w:rFonts w:hint="eastAsia" w:hAnsi="宋体"/>
          <w:b/>
          <w:sz w:val="32"/>
          <w:u w:val="none"/>
        </w:rPr>
      </w:pPr>
      <w:r>
        <w:rPr>
          <w:rFonts w:hint="eastAsia" w:hAnsi="宋体"/>
          <w:b/>
          <w:sz w:val="32"/>
        </w:rPr>
        <w:t>谈判项目编号：</w:t>
      </w:r>
      <w:r>
        <w:rPr>
          <w:rFonts w:hint="eastAsia" w:hAnsi="宋体"/>
          <w:b/>
          <w:sz w:val="32"/>
          <w:u w:val="single"/>
        </w:rPr>
        <w:t>长轨运服采【2022】007号</w:t>
      </w:r>
    </w:p>
    <w:p>
      <w:pPr>
        <w:pStyle w:val="25"/>
        <w:adjustRightInd w:val="0"/>
        <w:snapToGrid w:val="0"/>
        <w:spacing w:before="120" w:beforeLines="50" w:line="360" w:lineRule="auto"/>
        <w:rPr>
          <w:b/>
          <w:sz w:val="32"/>
          <w:szCs w:val="32"/>
        </w:rPr>
      </w:pPr>
    </w:p>
    <w:p>
      <w:pPr>
        <w:pStyle w:val="25"/>
        <w:adjustRightInd w:val="0"/>
        <w:snapToGrid w:val="0"/>
        <w:spacing w:before="120" w:beforeLines="50" w:line="360" w:lineRule="auto"/>
        <w:rPr>
          <w:b/>
          <w:sz w:val="32"/>
          <w:szCs w:val="32"/>
        </w:rPr>
      </w:pPr>
    </w:p>
    <w:p>
      <w:pPr>
        <w:pStyle w:val="25"/>
        <w:adjustRightInd w:val="0"/>
        <w:snapToGrid w:val="0"/>
        <w:spacing w:line="360" w:lineRule="auto"/>
        <w:jc w:val="both"/>
        <w:rPr>
          <w:rFonts w:hint="eastAsia" w:hAnsi="宋体"/>
          <w:b/>
          <w:sz w:val="32"/>
        </w:rPr>
      </w:pPr>
    </w:p>
    <w:p>
      <w:pPr>
        <w:pStyle w:val="25"/>
        <w:adjustRightInd w:val="0"/>
        <w:snapToGrid w:val="0"/>
        <w:spacing w:line="360" w:lineRule="auto"/>
        <w:jc w:val="center"/>
        <w:rPr>
          <w:rFonts w:hAnsi="宋体"/>
          <w:bCs/>
          <w:sz w:val="32"/>
        </w:rPr>
      </w:pPr>
      <w:r>
        <w:rPr>
          <w:rFonts w:hint="eastAsia" w:hAnsi="宋体"/>
          <w:b/>
          <w:sz w:val="32"/>
        </w:rPr>
        <w:t>二〇二</w:t>
      </w:r>
      <w:r>
        <w:rPr>
          <w:rFonts w:hint="eastAsia" w:hAnsi="宋体"/>
          <w:b/>
          <w:sz w:val="32"/>
          <w:lang w:val="en-US" w:eastAsia="zh-CN"/>
        </w:rPr>
        <w:t>二</w:t>
      </w:r>
      <w:r>
        <w:rPr>
          <w:rFonts w:hint="eastAsia" w:hAnsi="宋体"/>
          <w:b/>
          <w:sz w:val="32"/>
        </w:rPr>
        <w:t>年</w:t>
      </w:r>
      <w:r>
        <w:rPr>
          <w:rFonts w:hint="eastAsia" w:hAnsi="宋体"/>
          <w:b/>
          <w:sz w:val="32"/>
          <w:lang w:val="en-US" w:eastAsia="zh-CN"/>
        </w:rPr>
        <w:t>五</w:t>
      </w:r>
      <w:r>
        <w:rPr>
          <w:rFonts w:hint="eastAsia" w:hAnsi="宋体"/>
          <w:b/>
          <w:sz w:val="32"/>
        </w:rPr>
        <w:t>月</w:t>
      </w:r>
    </w:p>
    <w:p>
      <w:pPr>
        <w:pStyle w:val="25"/>
        <w:adjustRightInd w:val="0"/>
        <w:snapToGrid w:val="0"/>
        <w:spacing w:line="360" w:lineRule="auto"/>
        <w:jc w:val="center"/>
        <w:rPr>
          <w:rFonts w:hAnsi="宋体"/>
          <w:b/>
          <w:sz w:val="32"/>
        </w:rPr>
      </w:pPr>
    </w:p>
    <w:p>
      <w:pPr>
        <w:pStyle w:val="25"/>
        <w:adjustRightInd w:val="0"/>
        <w:snapToGrid w:val="0"/>
        <w:spacing w:line="360" w:lineRule="auto"/>
        <w:jc w:val="center"/>
        <w:rPr>
          <w:rFonts w:hAnsi="宋体"/>
          <w:b/>
          <w:sz w:val="32"/>
        </w:rPr>
        <w:sectPr>
          <w:pgSz w:w="11906" w:h="16838"/>
          <w:pgMar w:top="1440" w:right="1797" w:bottom="1440" w:left="1797" w:header="851" w:footer="851" w:gutter="0"/>
          <w:pgNumType w:start="1"/>
          <w:cols w:space="720" w:num="1"/>
          <w:docGrid w:linePitch="312"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sdt>
      <w:sdtPr>
        <w:rPr>
          <w:rFonts w:ascii="宋体" w:hAnsi="宋体" w:eastAsia="宋体" w:cs="Times New Roman"/>
          <w:kern w:val="2"/>
          <w:sz w:val="21"/>
          <w:szCs w:val="24"/>
          <w:lang w:val="en-US" w:eastAsia="zh-CN" w:bidi="ar-SA"/>
        </w:rPr>
        <w:id w:val="147483359"/>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32"/>
            <w:tabs>
              <w:tab w:val="right" w:leader="dot" w:pos="8312"/>
            </w:tabs>
            <w:spacing w:line="360" w:lineRule="auto"/>
          </w:pPr>
          <w:r>
            <w:fldChar w:fldCharType="begin"/>
          </w:r>
          <w:r>
            <w:instrText xml:space="preserve">TOC \o "1-3" \h \u </w:instrText>
          </w:r>
          <w:r>
            <w:fldChar w:fldCharType="separate"/>
          </w:r>
          <w:r>
            <w:fldChar w:fldCharType="begin"/>
          </w:r>
          <w:r>
            <w:instrText xml:space="preserve"> HYPERLINK \l _Toc5071 </w:instrText>
          </w:r>
          <w:r>
            <w:fldChar w:fldCharType="separate"/>
          </w:r>
          <w:r>
            <w:rPr>
              <w:rFonts w:hint="eastAsia"/>
            </w:rPr>
            <w:t>第一章  谈判邀请公告</w:t>
          </w:r>
          <w:r>
            <w:tab/>
          </w:r>
          <w:r>
            <w:fldChar w:fldCharType="begin"/>
          </w:r>
          <w:r>
            <w:instrText xml:space="preserve"> PAGEREF _Toc5071 \h </w:instrText>
          </w:r>
          <w:r>
            <w:fldChar w:fldCharType="separate"/>
          </w:r>
          <w:r>
            <w:t>3</w:t>
          </w:r>
          <w:r>
            <w:fldChar w:fldCharType="end"/>
          </w:r>
          <w:r>
            <w:fldChar w:fldCharType="end"/>
          </w:r>
        </w:p>
        <w:p>
          <w:pPr>
            <w:pStyle w:val="32"/>
            <w:tabs>
              <w:tab w:val="right" w:leader="dot" w:pos="8312"/>
            </w:tabs>
            <w:spacing w:line="360" w:lineRule="auto"/>
          </w:pPr>
          <w:r>
            <w:fldChar w:fldCharType="begin"/>
          </w:r>
          <w:r>
            <w:instrText xml:space="preserve"> HYPERLINK \l _Toc19652 </w:instrText>
          </w:r>
          <w:r>
            <w:fldChar w:fldCharType="separate"/>
          </w:r>
          <w:r>
            <w:rPr>
              <w:rFonts w:hint="eastAsia"/>
            </w:rPr>
            <w:t>第二章  谈判须知</w:t>
          </w:r>
          <w:r>
            <w:tab/>
          </w:r>
          <w:r>
            <w:fldChar w:fldCharType="begin"/>
          </w:r>
          <w:r>
            <w:instrText xml:space="preserve"> PAGEREF _Toc19652 \h </w:instrText>
          </w:r>
          <w:r>
            <w:fldChar w:fldCharType="separate"/>
          </w:r>
          <w:r>
            <w:t>6</w:t>
          </w:r>
          <w:r>
            <w:fldChar w:fldCharType="end"/>
          </w:r>
          <w:r>
            <w:fldChar w:fldCharType="end"/>
          </w:r>
        </w:p>
        <w:p>
          <w:pPr>
            <w:pStyle w:val="32"/>
            <w:tabs>
              <w:tab w:val="right" w:leader="dot" w:pos="8312"/>
            </w:tabs>
            <w:spacing w:line="360" w:lineRule="auto"/>
          </w:pPr>
          <w:r>
            <w:fldChar w:fldCharType="begin"/>
          </w:r>
          <w:r>
            <w:instrText xml:space="preserve"> HYPERLINK \l _Toc21219 </w:instrText>
          </w:r>
          <w:r>
            <w:fldChar w:fldCharType="separate"/>
          </w:r>
          <w:r>
            <w:rPr>
              <w:rFonts w:hint="eastAsia"/>
            </w:rPr>
            <w:t>谈判须知前附表</w:t>
          </w:r>
          <w:r>
            <w:tab/>
          </w:r>
          <w:r>
            <w:fldChar w:fldCharType="begin"/>
          </w:r>
          <w:r>
            <w:instrText xml:space="preserve"> PAGEREF _Toc21219 \h </w:instrText>
          </w:r>
          <w:r>
            <w:fldChar w:fldCharType="separate"/>
          </w:r>
          <w:r>
            <w:t>6</w:t>
          </w:r>
          <w:r>
            <w:fldChar w:fldCharType="end"/>
          </w:r>
          <w:r>
            <w:fldChar w:fldCharType="end"/>
          </w:r>
        </w:p>
        <w:p>
          <w:pPr>
            <w:pStyle w:val="32"/>
            <w:tabs>
              <w:tab w:val="right" w:leader="dot" w:pos="8312"/>
            </w:tabs>
            <w:spacing w:line="360" w:lineRule="auto"/>
          </w:pPr>
          <w:r>
            <w:fldChar w:fldCharType="begin"/>
          </w:r>
          <w:r>
            <w:instrText xml:space="preserve"> HYPERLINK \l _Toc19645 </w:instrText>
          </w:r>
          <w:r>
            <w:fldChar w:fldCharType="separate"/>
          </w:r>
          <w:r>
            <w:rPr>
              <w:rFonts w:hint="eastAsia"/>
            </w:rPr>
            <w:t>谈判须知正文</w:t>
          </w:r>
          <w:r>
            <w:tab/>
          </w:r>
          <w:r>
            <w:fldChar w:fldCharType="begin"/>
          </w:r>
          <w:r>
            <w:instrText xml:space="preserve"> PAGEREF _Toc19645 \h </w:instrText>
          </w:r>
          <w:r>
            <w:fldChar w:fldCharType="separate"/>
          </w:r>
          <w:r>
            <w:t>8</w:t>
          </w:r>
          <w:r>
            <w:fldChar w:fldCharType="end"/>
          </w:r>
          <w:r>
            <w:fldChar w:fldCharType="end"/>
          </w:r>
        </w:p>
        <w:p>
          <w:pPr>
            <w:pStyle w:val="32"/>
            <w:tabs>
              <w:tab w:val="right" w:leader="dot" w:pos="8312"/>
            </w:tabs>
            <w:spacing w:line="360" w:lineRule="auto"/>
          </w:pPr>
          <w:r>
            <w:fldChar w:fldCharType="begin"/>
          </w:r>
          <w:r>
            <w:instrText xml:space="preserve"> HYPERLINK \l _Toc7421 </w:instrText>
          </w:r>
          <w:r>
            <w:fldChar w:fldCharType="separate"/>
          </w:r>
          <w:r>
            <w:rPr>
              <w:rFonts w:hint="eastAsia"/>
            </w:rPr>
            <w:t>一、说明</w:t>
          </w:r>
          <w:r>
            <w:tab/>
          </w:r>
          <w:r>
            <w:fldChar w:fldCharType="begin"/>
          </w:r>
          <w:r>
            <w:instrText xml:space="preserve"> PAGEREF _Toc7421 \h </w:instrText>
          </w:r>
          <w:r>
            <w:fldChar w:fldCharType="separate"/>
          </w:r>
          <w:r>
            <w:t>8</w:t>
          </w:r>
          <w:r>
            <w:fldChar w:fldCharType="end"/>
          </w:r>
          <w:r>
            <w:fldChar w:fldCharType="end"/>
          </w:r>
        </w:p>
        <w:p>
          <w:pPr>
            <w:pStyle w:val="32"/>
            <w:tabs>
              <w:tab w:val="right" w:leader="dot" w:pos="8312"/>
            </w:tabs>
            <w:spacing w:line="360" w:lineRule="auto"/>
          </w:pPr>
          <w:r>
            <w:fldChar w:fldCharType="begin"/>
          </w:r>
          <w:r>
            <w:instrText xml:space="preserve"> HYPERLINK \l _Toc2948 </w:instrText>
          </w:r>
          <w:r>
            <w:fldChar w:fldCharType="separate"/>
          </w:r>
          <w:r>
            <w:rPr>
              <w:rFonts w:hint="eastAsia"/>
            </w:rPr>
            <w:t>二、谈判文件</w:t>
          </w:r>
          <w:r>
            <w:tab/>
          </w:r>
          <w:r>
            <w:fldChar w:fldCharType="begin"/>
          </w:r>
          <w:r>
            <w:instrText xml:space="preserve"> PAGEREF _Toc2948 \h </w:instrText>
          </w:r>
          <w:r>
            <w:fldChar w:fldCharType="separate"/>
          </w:r>
          <w:r>
            <w:t>8</w:t>
          </w:r>
          <w:r>
            <w:fldChar w:fldCharType="end"/>
          </w:r>
          <w:r>
            <w:fldChar w:fldCharType="end"/>
          </w:r>
        </w:p>
        <w:p>
          <w:pPr>
            <w:pStyle w:val="32"/>
            <w:tabs>
              <w:tab w:val="right" w:leader="dot" w:pos="8312"/>
            </w:tabs>
            <w:spacing w:line="360" w:lineRule="auto"/>
          </w:pPr>
          <w:r>
            <w:fldChar w:fldCharType="begin"/>
          </w:r>
          <w:r>
            <w:instrText xml:space="preserve"> HYPERLINK \l _Toc6160 </w:instrText>
          </w:r>
          <w:r>
            <w:fldChar w:fldCharType="separate"/>
          </w:r>
          <w:r>
            <w:rPr>
              <w:rFonts w:hint="eastAsia"/>
            </w:rPr>
            <w:t>三、响应文件</w:t>
          </w:r>
          <w:r>
            <w:tab/>
          </w:r>
          <w:r>
            <w:fldChar w:fldCharType="begin"/>
          </w:r>
          <w:r>
            <w:instrText xml:space="preserve"> PAGEREF _Toc6160 \h </w:instrText>
          </w:r>
          <w:r>
            <w:fldChar w:fldCharType="separate"/>
          </w:r>
          <w:r>
            <w:t>9</w:t>
          </w:r>
          <w:r>
            <w:fldChar w:fldCharType="end"/>
          </w:r>
          <w:r>
            <w:fldChar w:fldCharType="end"/>
          </w:r>
        </w:p>
        <w:p>
          <w:pPr>
            <w:pStyle w:val="32"/>
            <w:tabs>
              <w:tab w:val="right" w:leader="dot" w:pos="8312"/>
            </w:tabs>
            <w:spacing w:line="360" w:lineRule="auto"/>
          </w:pPr>
          <w:r>
            <w:fldChar w:fldCharType="begin"/>
          </w:r>
          <w:r>
            <w:instrText xml:space="preserve"> HYPERLINK \l _Toc18486 </w:instrText>
          </w:r>
          <w:r>
            <w:fldChar w:fldCharType="separate"/>
          </w:r>
          <w:r>
            <w:rPr>
              <w:rFonts w:hint="eastAsia"/>
            </w:rPr>
            <w:t>四、响应文件的递交</w:t>
          </w:r>
          <w:r>
            <w:tab/>
          </w:r>
          <w:r>
            <w:fldChar w:fldCharType="begin"/>
          </w:r>
          <w:r>
            <w:instrText xml:space="preserve"> PAGEREF _Toc18486 \h </w:instrText>
          </w:r>
          <w:r>
            <w:fldChar w:fldCharType="separate"/>
          </w:r>
          <w:r>
            <w:t>11</w:t>
          </w:r>
          <w:r>
            <w:fldChar w:fldCharType="end"/>
          </w:r>
          <w:r>
            <w:fldChar w:fldCharType="end"/>
          </w:r>
        </w:p>
        <w:p>
          <w:pPr>
            <w:pStyle w:val="32"/>
            <w:tabs>
              <w:tab w:val="right" w:leader="dot" w:pos="8312"/>
            </w:tabs>
            <w:spacing w:line="360" w:lineRule="auto"/>
          </w:pPr>
          <w:r>
            <w:fldChar w:fldCharType="begin"/>
          </w:r>
          <w:r>
            <w:instrText xml:space="preserve"> HYPERLINK \l _Toc23509 </w:instrText>
          </w:r>
          <w:r>
            <w:fldChar w:fldCharType="separate"/>
          </w:r>
          <w:r>
            <w:rPr>
              <w:rFonts w:hint="eastAsia"/>
            </w:rPr>
            <w:t>五、响应文件的评审</w:t>
          </w:r>
          <w:r>
            <w:tab/>
          </w:r>
          <w:r>
            <w:fldChar w:fldCharType="begin"/>
          </w:r>
          <w:r>
            <w:instrText xml:space="preserve"> PAGEREF _Toc23509 \h </w:instrText>
          </w:r>
          <w:r>
            <w:fldChar w:fldCharType="separate"/>
          </w:r>
          <w:r>
            <w:t>11</w:t>
          </w:r>
          <w:r>
            <w:fldChar w:fldCharType="end"/>
          </w:r>
          <w:r>
            <w:fldChar w:fldCharType="end"/>
          </w:r>
        </w:p>
        <w:p>
          <w:pPr>
            <w:pStyle w:val="32"/>
            <w:tabs>
              <w:tab w:val="right" w:leader="dot" w:pos="8312"/>
            </w:tabs>
            <w:spacing w:line="360" w:lineRule="auto"/>
          </w:pPr>
          <w:r>
            <w:fldChar w:fldCharType="begin"/>
          </w:r>
          <w:r>
            <w:instrText xml:space="preserve"> HYPERLINK \l _Toc1142 </w:instrText>
          </w:r>
          <w:r>
            <w:fldChar w:fldCharType="separate"/>
          </w:r>
          <w:r>
            <w:rPr>
              <w:rFonts w:hint="eastAsia"/>
            </w:rPr>
            <w:t>六、响应文件的澄清、说明及补正</w:t>
          </w:r>
          <w:r>
            <w:tab/>
          </w:r>
          <w:r>
            <w:fldChar w:fldCharType="begin"/>
          </w:r>
          <w:r>
            <w:instrText xml:space="preserve"> PAGEREF _Toc1142 \h </w:instrText>
          </w:r>
          <w:r>
            <w:fldChar w:fldCharType="separate"/>
          </w:r>
          <w:r>
            <w:t>11</w:t>
          </w:r>
          <w:r>
            <w:fldChar w:fldCharType="end"/>
          </w:r>
          <w:r>
            <w:fldChar w:fldCharType="end"/>
          </w:r>
        </w:p>
        <w:p>
          <w:pPr>
            <w:pStyle w:val="32"/>
            <w:tabs>
              <w:tab w:val="right" w:leader="dot" w:pos="8312"/>
            </w:tabs>
            <w:spacing w:line="360" w:lineRule="auto"/>
          </w:pPr>
          <w:r>
            <w:fldChar w:fldCharType="begin"/>
          </w:r>
          <w:r>
            <w:instrText xml:space="preserve"> HYPERLINK \l _Toc12549 </w:instrText>
          </w:r>
          <w:r>
            <w:fldChar w:fldCharType="separate"/>
          </w:r>
          <w:r>
            <w:rPr>
              <w:rFonts w:hint="eastAsia"/>
            </w:rPr>
            <w:t>七、中选结果与授予合同</w:t>
          </w:r>
          <w:r>
            <w:tab/>
          </w:r>
          <w:r>
            <w:fldChar w:fldCharType="begin"/>
          </w:r>
          <w:r>
            <w:instrText xml:space="preserve"> PAGEREF _Toc12549 \h </w:instrText>
          </w:r>
          <w:r>
            <w:fldChar w:fldCharType="separate"/>
          </w:r>
          <w:r>
            <w:t>12</w:t>
          </w:r>
          <w:r>
            <w:fldChar w:fldCharType="end"/>
          </w:r>
          <w:r>
            <w:fldChar w:fldCharType="end"/>
          </w:r>
        </w:p>
        <w:p>
          <w:pPr>
            <w:pStyle w:val="32"/>
            <w:tabs>
              <w:tab w:val="right" w:leader="dot" w:pos="8312"/>
            </w:tabs>
            <w:spacing w:line="360" w:lineRule="auto"/>
          </w:pPr>
          <w:r>
            <w:fldChar w:fldCharType="begin"/>
          </w:r>
          <w:r>
            <w:instrText xml:space="preserve"> HYPERLINK \l _Toc1332 </w:instrText>
          </w:r>
          <w:r>
            <w:fldChar w:fldCharType="separate"/>
          </w:r>
          <w:r>
            <w:rPr>
              <w:rFonts w:hint="eastAsia"/>
            </w:rPr>
            <w:t>八、其他</w:t>
          </w:r>
          <w:r>
            <w:tab/>
          </w:r>
          <w:r>
            <w:fldChar w:fldCharType="begin"/>
          </w:r>
          <w:r>
            <w:instrText xml:space="preserve"> PAGEREF _Toc1332 \h </w:instrText>
          </w:r>
          <w:r>
            <w:fldChar w:fldCharType="separate"/>
          </w:r>
          <w:r>
            <w:t>13</w:t>
          </w:r>
          <w:r>
            <w:fldChar w:fldCharType="end"/>
          </w:r>
          <w:r>
            <w:fldChar w:fldCharType="end"/>
          </w:r>
        </w:p>
        <w:p>
          <w:pPr>
            <w:pStyle w:val="32"/>
            <w:tabs>
              <w:tab w:val="right" w:leader="dot" w:pos="8312"/>
            </w:tabs>
            <w:spacing w:line="360" w:lineRule="auto"/>
          </w:pPr>
          <w:r>
            <w:fldChar w:fldCharType="begin"/>
          </w:r>
          <w:r>
            <w:instrText xml:space="preserve"> HYPERLINK \l _Toc21380 </w:instrText>
          </w:r>
          <w:r>
            <w:fldChar w:fldCharType="separate"/>
          </w:r>
          <w:r>
            <w:rPr>
              <w:rFonts w:hint="eastAsia"/>
            </w:rPr>
            <w:t>第三章  评审办法及标准</w:t>
          </w:r>
          <w:r>
            <w:tab/>
          </w:r>
          <w:r>
            <w:fldChar w:fldCharType="begin"/>
          </w:r>
          <w:r>
            <w:instrText xml:space="preserve"> PAGEREF _Toc21380 \h </w:instrText>
          </w:r>
          <w:r>
            <w:fldChar w:fldCharType="separate"/>
          </w:r>
          <w:r>
            <w:t>15</w:t>
          </w:r>
          <w:r>
            <w:fldChar w:fldCharType="end"/>
          </w:r>
          <w:r>
            <w:fldChar w:fldCharType="end"/>
          </w:r>
        </w:p>
        <w:p>
          <w:pPr>
            <w:pStyle w:val="32"/>
            <w:tabs>
              <w:tab w:val="right" w:leader="dot" w:pos="8312"/>
            </w:tabs>
            <w:spacing w:line="360" w:lineRule="auto"/>
          </w:pPr>
          <w:r>
            <w:fldChar w:fldCharType="begin"/>
          </w:r>
          <w:r>
            <w:instrText xml:space="preserve"> HYPERLINK \l _Toc16043 </w:instrText>
          </w:r>
          <w:r>
            <w:fldChar w:fldCharType="separate"/>
          </w:r>
          <w:r>
            <w:rPr>
              <w:rFonts w:hint="eastAsia"/>
            </w:rPr>
            <w:t>第四章  用户需求书（另册）</w:t>
          </w:r>
          <w:r>
            <w:tab/>
          </w:r>
          <w:r>
            <w:fldChar w:fldCharType="begin"/>
          </w:r>
          <w:r>
            <w:instrText xml:space="preserve"> PAGEREF _Toc16043 \h </w:instrText>
          </w:r>
          <w:r>
            <w:fldChar w:fldCharType="separate"/>
          </w:r>
          <w:r>
            <w:t>17</w:t>
          </w:r>
          <w:r>
            <w:fldChar w:fldCharType="end"/>
          </w:r>
          <w:r>
            <w:fldChar w:fldCharType="end"/>
          </w:r>
        </w:p>
        <w:p>
          <w:pPr>
            <w:pStyle w:val="32"/>
            <w:tabs>
              <w:tab w:val="right" w:leader="dot" w:pos="8312"/>
            </w:tabs>
            <w:spacing w:line="360" w:lineRule="auto"/>
          </w:pPr>
          <w:r>
            <w:fldChar w:fldCharType="begin"/>
          </w:r>
          <w:r>
            <w:instrText xml:space="preserve"> HYPERLINK \l _Toc5859 </w:instrText>
          </w:r>
          <w:r>
            <w:fldChar w:fldCharType="separate"/>
          </w:r>
          <w:r>
            <w:rPr>
              <w:rFonts w:hint="eastAsia"/>
            </w:rPr>
            <w:t>第五章  合同格式条款</w:t>
          </w:r>
          <w:r>
            <w:tab/>
          </w:r>
          <w:r>
            <w:fldChar w:fldCharType="begin"/>
          </w:r>
          <w:r>
            <w:instrText xml:space="preserve"> PAGEREF _Toc5859 \h </w:instrText>
          </w:r>
          <w:r>
            <w:fldChar w:fldCharType="separate"/>
          </w:r>
          <w:r>
            <w:t>1</w:t>
          </w:r>
          <w:r>
            <w:fldChar w:fldCharType="end"/>
          </w:r>
          <w:r>
            <w:fldChar w:fldCharType="end"/>
          </w:r>
        </w:p>
        <w:p>
          <w:pPr>
            <w:pStyle w:val="32"/>
            <w:tabs>
              <w:tab w:val="right" w:leader="dot" w:pos="8312"/>
            </w:tabs>
            <w:spacing w:line="360" w:lineRule="auto"/>
          </w:pPr>
          <w:r>
            <w:fldChar w:fldCharType="begin"/>
          </w:r>
          <w:r>
            <w:instrText xml:space="preserve"> HYPERLINK \l _Toc28436 </w:instrText>
          </w:r>
          <w:r>
            <w:fldChar w:fldCharType="separate"/>
          </w:r>
          <w:r>
            <w:rPr>
              <w:rFonts w:hint="eastAsia"/>
            </w:rPr>
            <w:t>第六章  响应文件组成</w:t>
          </w:r>
          <w:r>
            <w:tab/>
          </w:r>
          <w:r>
            <w:fldChar w:fldCharType="begin"/>
          </w:r>
          <w:r>
            <w:instrText xml:space="preserve"> PAGEREF _Toc28436 \h </w:instrText>
          </w:r>
          <w:r>
            <w:fldChar w:fldCharType="separate"/>
          </w:r>
          <w:r>
            <w:t>25</w:t>
          </w:r>
          <w:r>
            <w:fldChar w:fldCharType="end"/>
          </w:r>
          <w:r>
            <w:fldChar w:fldCharType="end"/>
          </w:r>
        </w:p>
        <w:p>
          <w:pPr>
            <w:pStyle w:val="32"/>
            <w:tabs>
              <w:tab w:val="right" w:leader="dot" w:pos="8312"/>
            </w:tabs>
            <w:spacing w:line="360" w:lineRule="auto"/>
          </w:pPr>
          <w:r>
            <w:fldChar w:fldCharType="begin"/>
          </w:r>
          <w:r>
            <w:instrText xml:space="preserve"> HYPERLINK \l _Toc17721 </w:instrText>
          </w:r>
          <w:r>
            <w:fldChar w:fldCharType="separate"/>
          </w:r>
          <w:r>
            <w:rPr>
              <w:rFonts w:hint="eastAsia"/>
            </w:rPr>
            <w:t>一、谈判承诺书</w:t>
          </w:r>
          <w:r>
            <w:tab/>
          </w:r>
          <w:r>
            <w:fldChar w:fldCharType="begin"/>
          </w:r>
          <w:r>
            <w:instrText xml:space="preserve"> PAGEREF _Toc17721 \h </w:instrText>
          </w:r>
          <w:r>
            <w:fldChar w:fldCharType="separate"/>
          </w:r>
          <w:r>
            <w:t>27</w:t>
          </w:r>
          <w:r>
            <w:fldChar w:fldCharType="end"/>
          </w:r>
          <w:r>
            <w:fldChar w:fldCharType="end"/>
          </w:r>
        </w:p>
        <w:p>
          <w:pPr>
            <w:pStyle w:val="32"/>
            <w:tabs>
              <w:tab w:val="right" w:leader="dot" w:pos="8312"/>
            </w:tabs>
            <w:spacing w:line="360" w:lineRule="auto"/>
          </w:pPr>
          <w:r>
            <w:fldChar w:fldCharType="begin"/>
          </w:r>
          <w:r>
            <w:instrText xml:space="preserve"> HYPERLINK \l _Toc10467 </w:instrText>
          </w:r>
          <w:r>
            <w:fldChar w:fldCharType="separate"/>
          </w:r>
          <w:r>
            <w:rPr>
              <w:rFonts w:hint="eastAsia"/>
            </w:rPr>
            <w:t>二、法定代表人身份证明书</w:t>
          </w:r>
          <w:r>
            <w:tab/>
          </w:r>
          <w:r>
            <w:fldChar w:fldCharType="begin"/>
          </w:r>
          <w:r>
            <w:instrText xml:space="preserve"> PAGEREF _Toc10467 \h </w:instrText>
          </w:r>
          <w:r>
            <w:fldChar w:fldCharType="separate"/>
          </w:r>
          <w:r>
            <w:t>28</w:t>
          </w:r>
          <w:r>
            <w:fldChar w:fldCharType="end"/>
          </w:r>
          <w:r>
            <w:fldChar w:fldCharType="end"/>
          </w:r>
        </w:p>
        <w:p>
          <w:pPr>
            <w:pStyle w:val="32"/>
            <w:tabs>
              <w:tab w:val="right" w:leader="dot" w:pos="8312"/>
            </w:tabs>
            <w:spacing w:line="360" w:lineRule="auto"/>
          </w:pPr>
          <w:r>
            <w:fldChar w:fldCharType="begin"/>
          </w:r>
          <w:r>
            <w:instrText xml:space="preserve"> HYPERLINK \l _Toc29253 </w:instrText>
          </w:r>
          <w:r>
            <w:fldChar w:fldCharType="separate"/>
          </w:r>
          <w:r>
            <w:rPr>
              <w:rFonts w:hint="eastAsia"/>
            </w:rPr>
            <w:t>三、授权委托书</w:t>
          </w:r>
          <w:r>
            <w:tab/>
          </w:r>
          <w:r>
            <w:fldChar w:fldCharType="begin"/>
          </w:r>
          <w:r>
            <w:instrText xml:space="preserve"> PAGEREF _Toc29253 \h </w:instrText>
          </w:r>
          <w:r>
            <w:fldChar w:fldCharType="separate"/>
          </w:r>
          <w:r>
            <w:t>29</w:t>
          </w:r>
          <w:r>
            <w:fldChar w:fldCharType="end"/>
          </w:r>
          <w:r>
            <w:fldChar w:fldCharType="end"/>
          </w:r>
        </w:p>
        <w:p>
          <w:pPr>
            <w:pStyle w:val="32"/>
            <w:tabs>
              <w:tab w:val="right" w:leader="dot" w:pos="8312"/>
            </w:tabs>
            <w:spacing w:line="360" w:lineRule="auto"/>
          </w:pPr>
          <w:r>
            <w:fldChar w:fldCharType="begin"/>
          </w:r>
          <w:r>
            <w:instrText xml:space="preserve"> HYPERLINK \l _Toc1257 </w:instrText>
          </w:r>
          <w:r>
            <w:fldChar w:fldCharType="separate"/>
          </w:r>
          <w:r>
            <w:rPr>
              <w:rFonts w:hint="eastAsia"/>
            </w:rPr>
            <w:t>四、谈判单位资格证明文件</w:t>
          </w:r>
          <w:r>
            <w:tab/>
          </w:r>
          <w:r>
            <w:fldChar w:fldCharType="begin"/>
          </w:r>
          <w:r>
            <w:instrText xml:space="preserve"> PAGEREF _Toc1257 \h </w:instrText>
          </w:r>
          <w:r>
            <w:fldChar w:fldCharType="separate"/>
          </w:r>
          <w:r>
            <w:t>30</w:t>
          </w:r>
          <w:r>
            <w:fldChar w:fldCharType="end"/>
          </w:r>
          <w:r>
            <w:fldChar w:fldCharType="end"/>
          </w:r>
        </w:p>
        <w:p>
          <w:pPr>
            <w:pStyle w:val="32"/>
            <w:tabs>
              <w:tab w:val="right" w:leader="dot" w:pos="8312"/>
            </w:tabs>
            <w:spacing w:line="360" w:lineRule="auto"/>
          </w:pPr>
          <w:r>
            <w:fldChar w:fldCharType="begin"/>
          </w:r>
          <w:r>
            <w:instrText xml:space="preserve"> HYPERLINK \l _Toc23761 </w:instrText>
          </w:r>
          <w:r>
            <w:fldChar w:fldCharType="separate"/>
          </w:r>
          <w:r>
            <w:rPr>
              <w:rFonts w:hint="eastAsia"/>
              <w:lang w:val="en-US" w:eastAsia="zh-CN"/>
            </w:rPr>
            <w:t>五</w:t>
          </w:r>
          <w:r>
            <w:rPr>
              <w:rFonts w:hint="eastAsia"/>
            </w:rPr>
            <w:t>、服务方案（如有）</w:t>
          </w:r>
          <w:r>
            <w:tab/>
          </w:r>
          <w:r>
            <w:fldChar w:fldCharType="begin"/>
          </w:r>
          <w:r>
            <w:instrText xml:space="preserve"> PAGEREF _Toc23761 \h </w:instrText>
          </w:r>
          <w:r>
            <w:fldChar w:fldCharType="separate"/>
          </w:r>
          <w:r>
            <w:t>31</w:t>
          </w:r>
          <w:r>
            <w:fldChar w:fldCharType="end"/>
          </w:r>
          <w:r>
            <w:fldChar w:fldCharType="end"/>
          </w:r>
        </w:p>
        <w:p>
          <w:pPr>
            <w:pStyle w:val="32"/>
            <w:tabs>
              <w:tab w:val="right" w:leader="dot" w:pos="8312"/>
            </w:tabs>
            <w:spacing w:line="360" w:lineRule="auto"/>
          </w:pPr>
          <w:r>
            <w:fldChar w:fldCharType="begin"/>
          </w:r>
          <w:r>
            <w:instrText xml:space="preserve"> HYPERLINK \l _Toc20751 </w:instrText>
          </w:r>
          <w:r>
            <w:fldChar w:fldCharType="separate"/>
          </w:r>
          <w:r>
            <w:rPr>
              <w:rFonts w:hint="eastAsia"/>
              <w:lang w:val="en-US" w:eastAsia="zh-CN"/>
            </w:rPr>
            <w:t>六</w:t>
          </w:r>
          <w:r>
            <w:rPr>
              <w:rFonts w:hint="eastAsia"/>
            </w:rPr>
            <w:t>、报价一览表</w:t>
          </w:r>
          <w:r>
            <w:tab/>
          </w:r>
          <w:r>
            <w:fldChar w:fldCharType="begin"/>
          </w:r>
          <w:r>
            <w:instrText xml:space="preserve"> PAGEREF _Toc20751 \h </w:instrText>
          </w:r>
          <w:r>
            <w:fldChar w:fldCharType="separate"/>
          </w:r>
          <w:r>
            <w:t>32</w:t>
          </w:r>
          <w:r>
            <w:fldChar w:fldCharType="end"/>
          </w:r>
          <w:r>
            <w:fldChar w:fldCharType="end"/>
          </w:r>
        </w:p>
        <w:p>
          <w:pPr>
            <w:pStyle w:val="32"/>
            <w:tabs>
              <w:tab w:val="right" w:leader="dot" w:pos="8312"/>
            </w:tabs>
            <w:spacing w:line="360" w:lineRule="auto"/>
          </w:pPr>
          <w:r>
            <w:fldChar w:fldCharType="begin"/>
          </w:r>
          <w:r>
            <w:instrText xml:space="preserve"> HYPERLINK \l _Toc15913 </w:instrText>
          </w:r>
          <w:r>
            <w:fldChar w:fldCharType="separate"/>
          </w:r>
          <w:r>
            <w:rPr>
              <w:rFonts w:hint="eastAsia"/>
            </w:rPr>
            <w:t>七、 分项价格表</w:t>
          </w:r>
          <w:r>
            <w:tab/>
          </w:r>
          <w:r>
            <w:fldChar w:fldCharType="begin"/>
          </w:r>
          <w:r>
            <w:instrText xml:space="preserve"> PAGEREF _Toc15913 \h </w:instrText>
          </w:r>
          <w:r>
            <w:fldChar w:fldCharType="separate"/>
          </w:r>
          <w:r>
            <w:t>33</w:t>
          </w:r>
          <w:r>
            <w:fldChar w:fldCharType="end"/>
          </w:r>
          <w:r>
            <w:fldChar w:fldCharType="end"/>
          </w:r>
        </w:p>
        <w:p>
          <w:pPr>
            <w:pStyle w:val="32"/>
            <w:tabs>
              <w:tab w:val="right" w:leader="dot" w:pos="8312"/>
            </w:tabs>
            <w:spacing w:line="360" w:lineRule="auto"/>
          </w:pPr>
          <w:r>
            <w:fldChar w:fldCharType="begin"/>
          </w:r>
          <w:r>
            <w:instrText xml:space="preserve"> HYPERLINK \l _Toc16688 </w:instrText>
          </w:r>
          <w:r>
            <w:fldChar w:fldCharType="separate"/>
          </w:r>
          <w:r>
            <w:rPr>
              <w:rFonts w:hint="eastAsia"/>
              <w:lang w:val="en-US" w:eastAsia="zh-CN"/>
            </w:rPr>
            <w:t>八</w:t>
          </w:r>
          <w:r>
            <w:rPr>
              <w:rFonts w:hint="eastAsia"/>
            </w:rPr>
            <w:t>、其他资料（如有）</w:t>
          </w:r>
          <w:r>
            <w:tab/>
          </w:r>
          <w:r>
            <w:fldChar w:fldCharType="begin"/>
          </w:r>
          <w:r>
            <w:instrText xml:space="preserve"> PAGEREF _Toc16688 \h </w:instrText>
          </w:r>
          <w:r>
            <w:fldChar w:fldCharType="separate"/>
          </w:r>
          <w:r>
            <w:t>34</w:t>
          </w:r>
          <w:r>
            <w:fldChar w:fldCharType="end"/>
          </w:r>
          <w:r>
            <w:fldChar w:fldCharType="end"/>
          </w:r>
        </w:p>
        <w:p>
          <w:pPr>
            <w:pStyle w:val="32"/>
            <w:tabs>
              <w:tab w:val="right" w:leader="dot" w:pos="8312"/>
            </w:tabs>
            <w:spacing w:line="360" w:lineRule="auto"/>
          </w:pPr>
          <w:r>
            <w:fldChar w:fldCharType="end"/>
          </w:r>
        </w:p>
      </w:sdtContent>
    </w:sdt>
    <w:p>
      <w:pPr>
        <w:rPr>
          <w:rFonts w:hint="eastAsia" w:ascii="宋体" w:hAnsi="宋体" w:cs="宋体"/>
          <w:sz w:val="32"/>
          <w:szCs w:val="32"/>
        </w:rPr>
      </w:pPr>
      <w:bookmarkStart w:id="1" w:name="_Toc5016"/>
      <w:bookmarkStart w:id="2" w:name="_Toc29614"/>
      <w:bookmarkStart w:id="3" w:name="_Toc3621"/>
      <w:bookmarkStart w:id="4" w:name="_Toc13376"/>
      <w:r>
        <w:rPr>
          <w:rFonts w:hint="eastAsia" w:ascii="宋体" w:hAnsi="宋体" w:cs="宋体"/>
          <w:sz w:val="32"/>
          <w:szCs w:val="32"/>
        </w:rPr>
        <w:br w:type="page"/>
      </w:r>
    </w:p>
    <w:p>
      <w:pPr>
        <w:pStyle w:val="3"/>
        <w:keepNext w:val="0"/>
        <w:spacing w:line="360" w:lineRule="auto"/>
        <w:rPr>
          <w:rFonts w:hint="eastAsia" w:ascii="宋体" w:hAnsi="宋体" w:cs="宋体"/>
          <w:sz w:val="32"/>
          <w:szCs w:val="32"/>
        </w:rPr>
        <w:sectPr>
          <w:footerReference r:id="rId3" w:type="default"/>
          <w:pgSz w:w="11906" w:h="16838"/>
          <w:pgMar w:top="1440" w:right="849" w:bottom="1440" w:left="1797" w:header="851" w:footer="851" w:gutter="0"/>
          <w:cols w:space="720" w:num="1"/>
          <w:docGrid w:linePitch="312" w:charSpace="0"/>
        </w:sectPr>
      </w:pPr>
    </w:p>
    <w:p>
      <w:pPr>
        <w:pStyle w:val="3"/>
        <w:keepNext w:val="0"/>
        <w:spacing w:line="360" w:lineRule="auto"/>
        <w:rPr>
          <w:rFonts w:ascii="宋体" w:hAnsi="宋体" w:cs="宋体"/>
          <w:sz w:val="32"/>
          <w:szCs w:val="32"/>
        </w:rPr>
      </w:pPr>
      <w:bookmarkStart w:id="5" w:name="_Toc5071"/>
      <w:r>
        <w:rPr>
          <w:rFonts w:hint="eastAsia" w:ascii="宋体" w:hAnsi="宋体" w:cs="宋体"/>
          <w:sz w:val="32"/>
          <w:szCs w:val="32"/>
        </w:rPr>
        <w:t>第一章  谈判邀请公告</w:t>
      </w:r>
      <w:bookmarkEnd w:id="0"/>
      <w:bookmarkEnd w:id="1"/>
      <w:bookmarkEnd w:id="2"/>
      <w:bookmarkEnd w:id="3"/>
      <w:bookmarkEnd w:id="4"/>
      <w:bookmarkEnd w:id="5"/>
    </w:p>
    <w:p>
      <w:pPr>
        <w:spacing w:line="360" w:lineRule="auto"/>
        <w:ind w:firstLine="422" w:firstLineChars="200"/>
        <w:jc w:val="left"/>
        <w:rPr>
          <w:rFonts w:ascii="宋体" w:hAnsi="宋体" w:cs="宋体"/>
          <w:iCs/>
          <w:szCs w:val="21"/>
        </w:rPr>
      </w:pPr>
      <w:r>
        <w:rPr>
          <w:rFonts w:hint="eastAsia" w:ascii="宋体" w:hAnsi="宋体" w:cs="宋体"/>
          <w:b/>
          <w:bCs/>
          <w:iCs/>
          <w:color w:val="auto"/>
          <w:szCs w:val="21"/>
        </w:rPr>
        <w:t>湖南省工程建设监理有限公司</w:t>
      </w:r>
      <w:r>
        <w:rPr>
          <w:rFonts w:hint="eastAsia" w:ascii="宋体" w:hAnsi="宋体" w:cs="宋体"/>
          <w:szCs w:val="21"/>
        </w:rPr>
        <w:t>受长沙市轨道交通运营有限公司、</w:t>
      </w:r>
      <w:r>
        <w:rPr>
          <w:rFonts w:hint="eastAsia" w:ascii="宋体" w:hAnsi="宋体" w:cs="宋体"/>
          <w:iCs/>
          <w:szCs w:val="21"/>
        </w:rPr>
        <w:t>长沙市轨道交通一号线建设发展有限公司、长沙市轨道交通三号线建设发展有限公司、长沙市轨道交通四号线建设发展有限公司、长沙市轨道交通五号线建设发展有限公司</w:t>
      </w:r>
      <w:r>
        <w:rPr>
          <w:rFonts w:hint="eastAsia" w:ascii="宋体" w:hAnsi="宋体" w:cs="宋体"/>
          <w:szCs w:val="21"/>
        </w:rPr>
        <w:t>的委托，</w:t>
      </w:r>
      <w:r>
        <w:rPr>
          <w:rFonts w:hint="eastAsia" w:ascii="宋体" w:hAnsi="宋体" w:cs="宋体"/>
          <w:iCs/>
          <w:szCs w:val="21"/>
        </w:rPr>
        <w:t>对</w:t>
      </w:r>
      <w:r>
        <w:rPr>
          <w:rFonts w:hint="eastAsia" w:hAnsi="宋体" w:cs="宋体"/>
          <w:iCs/>
        </w:rPr>
        <w:t>长沙市轨道交通1、2、3、4、5号线运营期2022年-2024年车站卫生间管道疏通服务项目</w:t>
      </w:r>
      <w:r>
        <w:rPr>
          <w:rFonts w:hint="eastAsia" w:ascii="宋体" w:hAnsi="宋体" w:cs="宋体"/>
          <w:iCs/>
          <w:szCs w:val="21"/>
        </w:rPr>
        <w:t>进行自主竞争性谈判采购，现发布公告，邀请符合条件的单位参与谈判采购活动。</w:t>
      </w:r>
    </w:p>
    <w:p>
      <w:pPr>
        <w:pStyle w:val="25"/>
        <w:adjustRightInd w:val="0"/>
        <w:snapToGrid w:val="0"/>
        <w:spacing w:line="360" w:lineRule="auto"/>
        <w:ind w:firstLine="422" w:firstLineChars="200"/>
        <w:rPr>
          <w:rFonts w:hAnsi="宋体" w:cs="宋体"/>
          <w:b/>
          <w:iCs/>
        </w:rPr>
      </w:pPr>
      <w:r>
        <w:rPr>
          <w:rFonts w:hint="eastAsia" w:hAnsi="宋体" w:cs="宋体"/>
          <w:b/>
          <w:iCs/>
        </w:rPr>
        <w:t>一、项目概况</w:t>
      </w:r>
    </w:p>
    <w:p>
      <w:pPr>
        <w:pStyle w:val="25"/>
        <w:adjustRightInd w:val="0"/>
        <w:snapToGrid w:val="0"/>
        <w:spacing w:line="360" w:lineRule="auto"/>
        <w:ind w:firstLine="420" w:firstLineChars="200"/>
        <w:rPr>
          <w:rFonts w:hint="eastAsia" w:hAnsi="宋体" w:eastAsia="宋体" w:cs="宋体"/>
          <w:iCs/>
          <w:lang w:eastAsia="zh-CN"/>
        </w:rPr>
      </w:pPr>
      <w:r>
        <w:rPr>
          <w:rFonts w:hint="eastAsia" w:hAnsi="宋体" w:cs="宋体"/>
          <w:iCs/>
        </w:rPr>
        <w:t>1.项目名称：长沙市轨道交通1、2、3、4、5号线运营期2022年-2024年车站卫生间管道疏通服务项目</w:t>
      </w:r>
      <w:r>
        <w:rPr>
          <w:rFonts w:hint="eastAsia" w:hAnsi="宋体" w:cs="宋体"/>
          <w:iCs/>
          <w:lang w:eastAsia="zh-CN"/>
        </w:rPr>
        <w:t>（</w:t>
      </w:r>
      <w:r>
        <w:rPr>
          <w:rFonts w:hint="eastAsia" w:hAnsi="宋体" w:cs="宋体"/>
          <w:iCs/>
          <w:lang w:val="en-US" w:eastAsia="zh-CN"/>
        </w:rPr>
        <w:t>第二次</w:t>
      </w:r>
      <w:r>
        <w:rPr>
          <w:rFonts w:hint="eastAsia" w:hAnsi="宋体" w:cs="宋体"/>
          <w:iCs/>
          <w:lang w:eastAsia="zh-CN"/>
        </w:rPr>
        <w:t>）</w:t>
      </w:r>
    </w:p>
    <w:p>
      <w:pPr>
        <w:pStyle w:val="25"/>
        <w:adjustRightInd w:val="0"/>
        <w:snapToGrid w:val="0"/>
        <w:spacing w:line="360" w:lineRule="auto"/>
        <w:ind w:firstLine="420" w:firstLineChars="200"/>
        <w:rPr>
          <w:rFonts w:hAnsi="宋体" w:cs="宋体"/>
          <w:iCs/>
        </w:rPr>
      </w:pPr>
      <w:r>
        <w:rPr>
          <w:rFonts w:hint="eastAsia" w:hAnsi="宋体" w:cs="宋体"/>
          <w:iCs/>
        </w:rPr>
        <w:t>2</w:t>
      </w:r>
      <w:r>
        <w:rPr>
          <w:rFonts w:hAnsi="宋体" w:cs="宋体"/>
          <w:iCs/>
        </w:rPr>
        <w:t>.</w:t>
      </w:r>
      <w:r>
        <w:rPr>
          <w:rFonts w:hint="eastAsia" w:hAnsi="宋体" w:cs="宋体"/>
          <w:iCs/>
        </w:rPr>
        <w:t>项目编号：长轨运服采【2022】007号</w:t>
      </w:r>
    </w:p>
    <w:p>
      <w:pPr>
        <w:pStyle w:val="25"/>
        <w:adjustRightInd w:val="0"/>
        <w:snapToGrid w:val="0"/>
        <w:spacing w:line="360" w:lineRule="auto"/>
        <w:ind w:firstLine="420" w:firstLineChars="200"/>
        <w:rPr>
          <w:rFonts w:hAnsi="宋体" w:cs="宋体"/>
          <w:iCs/>
        </w:rPr>
      </w:pPr>
      <w:r>
        <w:rPr>
          <w:rFonts w:hAnsi="宋体" w:cs="宋体"/>
          <w:iCs/>
        </w:rPr>
        <w:t>3</w:t>
      </w:r>
      <w:r>
        <w:rPr>
          <w:rFonts w:hint="eastAsia" w:hAnsi="宋体" w:cs="宋体"/>
          <w:iCs/>
        </w:rPr>
        <w:t>.最高限价：</w:t>
      </w:r>
      <w:r>
        <w:rPr>
          <w:rFonts w:hint="eastAsia" w:hAnsi="宋体" w:cs="宋体"/>
          <w:iCs/>
          <w:lang w:val="en-US" w:eastAsia="zh-CN"/>
        </w:rPr>
        <w:t>305760.00</w:t>
      </w:r>
      <w:r>
        <w:rPr>
          <w:rFonts w:hint="eastAsia" w:hAnsi="宋体" w:cs="宋体"/>
          <w:iCs/>
        </w:rPr>
        <w:t>元</w:t>
      </w:r>
    </w:p>
    <w:p>
      <w:pPr>
        <w:snapToGrid w:val="0"/>
        <w:spacing w:line="360" w:lineRule="auto"/>
        <w:ind w:firstLine="420" w:firstLineChars="200"/>
        <w:rPr>
          <w:rFonts w:ascii="宋体" w:hAnsi="宋体" w:cs="宋体"/>
          <w:iCs/>
          <w:szCs w:val="21"/>
        </w:rPr>
      </w:pPr>
      <w:r>
        <w:rPr>
          <w:rFonts w:ascii="宋体" w:hAnsi="宋体" w:cs="宋体"/>
          <w:iCs/>
          <w:szCs w:val="21"/>
        </w:rPr>
        <w:t>4</w:t>
      </w:r>
      <w:r>
        <w:rPr>
          <w:rFonts w:hint="eastAsia" w:ascii="宋体" w:hAnsi="宋体" w:cs="宋体"/>
          <w:iCs/>
          <w:szCs w:val="21"/>
        </w:rPr>
        <w:t>.</w:t>
      </w:r>
      <w:r>
        <w:rPr>
          <w:rFonts w:hint="eastAsia" w:ascii="宋体" w:hAnsi="宋体" w:cs="宋体"/>
          <w:bCs/>
          <w:szCs w:val="21"/>
        </w:rPr>
        <w:t>标段划分：共划分</w:t>
      </w:r>
      <w:r>
        <w:rPr>
          <w:rFonts w:hint="eastAsia" w:ascii="宋体" w:hAnsi="宋体" w:cs="宋体"/>
          <w:bCs/>
          <w:szCs w:val="21"/>
          <w:lang w:val="en-US" w:eastAsia="zh-CN"/>
        </w:rPr>
        <w:t>1</w:t>
      </w:r>
      <w:r>
        <w:rPr>
          <w:rFonts w:hint="eastAsia" w:ascii="宋体" w:hAnsi="宋体" w:cs="宋体"/>
          <w:szCs w:val="21"/>
        </w:rPr>
        <w:t>个标段。</w:t>
      </w:r>
    </w:p>
    <w:p>
      <w:pPr>
        <w:snapToGrid w:val="0"/>
        <w:spacing w:line="360" w:lineRule="auto"/>
        <w:ind w:firstLine="420" w:firstLineChars="200"/>
        <w:rPr>
          <w:rFonts w:ascii="宋体" w:hAnsi="宋体" w:cs="宋体"/>
          <w:bCs/>
          <w:szCs w:val="21"/>
        </w:rPr>
      </w:pPr>
      <w:r>
        <w:rPr>
          <w:rFonts w:ascii="宋体" w:hAnsi="宋体" w:cs="宋体"/>
          <w:bCs/>
          <w:szCs w:val="21"/>
        </w:rPr>
        <w:t>5</w:t>
      </w:r>
      <w:r>
        <w:rPr>
          <w:rFonts w:hint="eastAsia" w:ascii="宋体" w:hAnsi="宋体" w:cs="宋体"/>
          <w:bCs/>
          <w:szCs w:val="21"/>
        </w:rPr>
        <w:t>.服务期限：</w:t>
      </w:r>
      <w:r>
        <w:rPr>
          <w:rFonts w:hint="eastAsia" w:ascii="宋体"/>
          <w:color w:val="000000"/>
          <w:szCs w:val="21"/>
          <w:lang w:eastAsia="zh-CN"/>
        </w:rPr>
        <w:t>本项目服务期限为</w:t>
      </w:r>
      <w:r>
        <w:rPr>
          <w:rFonts w:hint="eastAsia" w:ascii="宋体" w:hAnsi="Times New Roman" w:cs="Times New Roman"/>
          <w:color w:val="000000"/>
          <w:szCs w:val="21"/>
          <w:lang w:eastAsia="zh-CN"/>
        </w:rPr>
        <w:t>2022年6月1日至2024年6月1日，总服务期限为24个月</w:t>
      </w:r>
      <w:r>
        <w:rPr>
          <w:rFonts w:hint="eastAsia" w:ascii="宋体"/>
          <w:color w:val="000000"/>
          <w:szCs w:val="21"/>
          <w:lang w:eastAsia="zh-CN"/>
        </w:rPr>
        <w:t>（实际服务时间以采购单位发出的进场通知起算，总计</w:t>
      </w:r>
      <w:r>
        <w:rPr>
          <w:rFonts w:hint="eastAsia" w:ascii="宋体"/>
          <w:color w:val="000000"/>
          <w:szCs w:val="21"/>
          <w:lang w:val="en-US" w:eastAsia="zh-CN"/>
        </w:rPr>
        <w:t>24</w:t>
      </w:r>
      <w:r>
        <w:rPr>
          <w:rFonts w:hint="eastAsia" w:ascii="宋体"/>
          <w:color w:val="000000"/>
          <w:szCs w:val="21"/>
          <w:lang w:eastAsia="zh-CN"/>
        </w:rPr>
        <w:t>个月）。</w:t>
      </w:r>
      <w:r>
        <w:rPr>
          <w:rFonts w:hint="eastAsia" w:ascii="宋体" w:hAnsi="宋体" w:cs="宋体"/>
          <w:szCs w:val="21"/>
        </w:rPr>
        <w:t>（具体详见用户需求书）</w:t>
      </w:r>
    </w:p>
    <w:p>
      <w:pPr>
        <w:snapToGrid w:val="0"/>
        <w:spacing w:line="360" w:lineRule="auto"/>
        <w:ind w:firstLine="420" w:firstLineChars="200"/>
        <w:rPr>
          <w:rFonts w:ascii="宋体" w:hAnsi="宋体" w:cs="宋体"/>
          <w:bCs/>
          <w:szCs w:val="21"/>
        </w:rPr>
      </w:pPr>
      <w:r>
        <w:rPr>
          <w:rFonts w:ascii="宋体" w:hAnsi="宋体" w:cs="宋体"/>
          <w:bCs/>
          <w:szCs w:val="21"/>
        </w:rPr>
        <w:t>6</w:t>
      </w:r>
      <w:r>
        <w:rPr>
          <w:rFonts w:hint="eastAsia" w:ascii="宋体" w:hAnsi="宋体" w:cs="宋体"/>
          <w:bCs/>
          <w:szCs w:val="21"/>
        </w:rPr>
        <w:t>.</w:t>
      </w:r>
      <w:r>
        <w:rPr>
          <w:rFonts w:hint="eastAsia" w:ascii="宋体" w:hAnsi="宋体" w:cs="宋体"/>
          <w:iCs/>
          <w:szCs w:val="21"/>
        </w:rPr>
        <w:t>采购范围：</w:t>
      </w:r>
      <w:r>
        <w:rPr>
          <w:rFonts w:hint="eastAsia" w:ascii="宋体" w:hAnsi="宋体" w:cs="宋体"/>
        </w:rPr>
        <w:t>本项目主要</w:t>
      </w:r>
      <w:r>
        <w:rPr>
          <w:rFonts w:hint="eastAsia" w:ascii="宋体" w:hAnsi="宋体" w:cs="宋体"/>
          <w:highlight w:val="none"/>
        </w:rPr>
        <w:t>为</w:t>
      </w:r>
      <w:r>
        <w:rPr>
          <w:rFonts w:hint="eastAsia" w:ascii="宋体" w:hAnsi="宋体" w:cs="宋体"/>
          <w:bCs/>
        </w:rPr>
        <w:t>长沙市轨道交通1、2、3、4、5号线运营期2022年-2024年车站卫生间管道疏通</w:t>
      </w:r>
      <w:r>
        <w:rPr>
          <w:rFonts w:hint="eastAsia" w:ascii="宋体" w:hAnsi="宋体" w:cs="宋体"/>
          <w:bCs/>
          <w:lang w:val="en-US" w:eastAsia="zh-CN"/>
        </w:rPr>
        <w:t>服务</w:t>
      </w:r>
      <w:r>
        <w:rPr>
          <w:rFonts w:hint="eastAsia" w:ascii="宋体" w:hAnsi="宋体" w:cs="宋体"/>
          <w:bCs/>
          <w:lang w:eastAsia="zh-CN"/>
        </w:rPr>
        <w:t>，</w:t>
      </w:r>
      <w:r>
        <w:rPr>
          <w:rFonts w:hint="eastAsia" w:ascii="宋体" w:hAnsi="宋体" w:cs="宋体"/>
          <w:bCs/>
          <w:lang w:val="en-US" w:eastAsia="zh-CN"/>
        </w:rPr>
        <w:t>包括</w:t>
      </w:r>
      <w:r>
        <w:rPr>
          <w:rFonts w:hint="eastAsia" w:ascii="宋体" w:hAnsi="宋体" w:cs="宋体"/>
          <w:lang w:val="en-US" w:eastAsia="zh-CN"/>
        </w:rPr>
        <w:t>普通堵塞（蹲坑、马桶、小便池、拖把池、洗手池等利用疏通工具就能疏通的简单堵塞）、排污总出口管道堵塞（排污泵出口到消能井、消能井至市政污水检查井管道堵塞）、中间连接管道堵塞（疏通过程涉及地面破除及恢复、拆装蹲便器、小便池、马桶等洁具的管道堵塞</w:t>
      </w:r>
      <w:r>
        <w:rPr>
          <w:rFonts w:hint="eastAsia" w:ascii="宋体" w:hAnsi="宋体" w:cs="宋体"/>
          <w:lang w:eastAsia="zh-CN"/>
        </w:rPr>
        <w:t>。</w:t>
      </w:r>
      <w:r>
        <w:rPr>
          <w:rFonts w:hint="eastAsia" w:ascii="宋体" w:hAnsi="宋体" w:cs="宋体"/>
          <w:kern w:val="0"/>
          <w:szCs w:val="21"/>
        </w:rPr>
        <w:t>（具体详见用户需求书）</w:t>
      </w:r>
    </w:p>
    <w:p>
      <w:pPr>
        <w:pStyle w:val="25"/>
        <w:adjustRightInd w:val="0"/>
        <w:snapToGrid w:val="0"/>
        <w:spacing w:line="360" w:lineRule="auto"/>
        <w:ind w:firstLine="422" w:firstLineChars="200"/>
        <w:rPr>
          <w:rFonts w:hAnsi="宋体" w:cs="宋体"/>
          <w:b/>
          <w:iCs/>
        </w:rPr>
      </w:pPr>
      <w:r>
        <w:rPr>
          <w:rFonts w:hint="eastAsia" w:hAnsi="宋体" w:cs="宋体"/>
          <w:b/>
          <w:iCs/>
        </w:rPr>
        <w:t>二、资格要求</w:t>
      </w:r>
    </w:p>
    <w:p>
      <w:pPr>
        <w:spacing w:line="360" w:lineRule="auto"/>
        <w:ind w:firstLine="420" w:firstLineChars="200"/>
        <w:rPr>
          <w:rFonts w:hint="eastAsia" w:ascii="宋体" w:hAnsi="宋体" w:cs="宋体"/>
          <w:szCs w:val="21"/>
        </w:rPr>
      </w:pPr>
      <w:r>
        <w:rPr>
          <w:rFonts w:hint="eastAsia" w:ascii="宋体" w:hAnsi="宋体" w:cs="宋体"/>
          <w:szCs w:val="21"/>
        </w:rPr>
        <w:t>1.谈判单位须为具有独立法人资格、自主经营、独立核算的公司。</w:t>
      </w:r>
    </w:p>
    <w:p>
      <w:pPr>
        <w:spacing w:line="360" w:lineRule="auto"/>
        <w:ind w:firstLine="420" w:firstLineChars="200"/>
        <w:rPr>
          <w:rFonts w:hint="eastAsia" w:ascii="宋体" w:hAnsi="宋体" w:cs="宋体"/>
          <w:szCs w:val="21"/>
        </w:rPr>
      </w:pPr>
      <w:r>
        <w:rPr>
          <w:rFonts w:hint="eastAsia" w:ascii="宋体" w:hAnsi="宋体" w:cs="宋体"/>
          <w:szCs w:val="21"/>
        </w:rPr>
        <w:t>2.谈判单位在本项目响应文件递交截止之日前须具有36个月内的管道疏通服务类相关业绩。不接受联合体业绩、港澳台或境外业绩。</w:t>
      </w:r>
    </w:p>
    <w:p>
      <w:pPr>
        <w:spacing w:line="360" w:lineRule="auto"/>
        <w:ind w:firstLine="420" w:firstLineChars="200"/>
        <w:rPr>
          <w:rFonts w:hint="eastAsia" w:ascii="宋体" w:hAnsi="宋体" w:cs="宋体"/>
          <w:szCs w:val="21"/>
        </w:rPr>
      </w:pPr>
      <w:r>
        <w:rPr>
          <w:rFonts w:hint="eastAsia" w:ascii="宋体" w:hAnsi="宋体" w:cs="宋体"/>
          <w:szCs w:val="21"/>
        </w:rPr>
        <w:t>业绩证明材料以同时提供的合同原件扫描件和发票（开票金额不少于合同金额的10%）原件扫描件为准（均须加盖投标人单位公章），业绩金额以合同中金额为准，时间以合同中采购单位的签字时间为准。</w:t>
      </w:r>
    </w:p>
    <w:p>
      <w:pPr>
        <w:spacing w:line="360" w:lineRule="auto"/>
        <w:ind w:firstLine="420" w:firstLineChars="200"/>
        <w:rPr>
          <w:rFonts w:hint="eastAsia" w:ascii="宋体" w:hAnsi="宋体" w:cs="宋体"/>
          <w:szCs w:val="21"/>
        </w:rPr>
      </w:pPr>
      <w:r>
        <w:rPr>
          <w:rFonts w:hint="eastAsia" w:ascii="宋体" w:hAnsi="宋体" w:cs="宋体"/>
          <w:szCs w:val="21"/>
        </w:rPr>
        <w:t>3.本项目不接受联合体形式参与谈判。</w:t>
      </w:r>
    </w:p>
    <w:p>
      <w:pPr>
        <w:spacing w:line="360" w:lineRule="auto"/>
        <w:ind w:firstLine="420" w:firstLineChars="200"/>
        <w:rPr>
          <w:rFonts w:ascii="宋体" w:hAnsi="宋体" w:cs="宋体"/>
          <w:szCs w:val="21"/>
        </w:rPr>
      </w:pPr>
      <w:r>
        <w:rPr>
          <w:rFonts w:hint="eastAsia" w:ascii="宋体" w:hAnsi="宋体" w:cs="宋体"/>
          <w:szCs w:val="21"/>
        </w:rPr>
        <w:t>4.被长沙市轨道交通集团有限公司及长沙市轨道交通运营有限公司函告禁止在一定期限内参与投标的单位按函告内容执行。</w:t>
      </w:r>
    </w:p>
    <w:p>
      <w:pPr>
        <w:spacing w:line="360" w:lineRule="auto"/>
        <w:ind w:firstLine="422" w:firstLineChars="200"/>
        <w:rPr>
          <w:rFonts w:ascii="宋体" w:hAnsi="宋体" w:cs="宋体"/>
          <w:b/>
          <w:bCs/>
          <w:iCs/>
          <w:szCs w:val="21"/>
        </w:rPr>
      </w:pPr>
      <w:r>
        <w:rPr>
          <w:rFonts w:hint="eastAsia" w:ascii="宋体" w:hAnsi="宋体" w:cs="宋体"/>
          <w:b/>
          <w:bCs/>
          <w:szCs w:val="21"/>
        </w:rPr>
        <w:t>三、</w:t>
      </w:r>
      <w:r>
        <w:rPr>
          <w:rFonts w:hint="eastAsia" w:ascii="宋体" w:hAnsi="宋体" w:cs="宋体"/>
          <w:b/>
          <w:bCs/>
          <w:iCs/>
          <w:szCs w:val="21"/>
        </w:rPr>
        <w:t>评审办法</w:t>
      </w:r>
    </w:p>
    <w:p>
      <w:pPr>
        <w:adjustRightInd w:val="0"/>
        <w:snapToGrid w:val="0"/>
        <w:spacing w:line="360" w:lineRule="auto"/>
        <w:ind w:firstLine="420" w:firstLineChars="200"/>
        <w:rPr>
          <w:rFonts w:ascii="宋体" w:hAnsi="宋体" w:cs="宋体"/>
          <w:szCs w:val="21"/>
        </w:rPr>
      </w:pPr>
      <w:r>
        <w:rPr>
          <w:rFonts w:hint="eastAsia" w:ascii="宋体" w:hAnsi="宋体" w:cs="宋体"/>
          <w:iCs/>
          <w:szCs w:val="21"/>
        </w:rPr>
        <w:t>本项目评审办法采用</w:t>
      </w:r>
      <w:r>
        <w:rPr>
          <w:rFonts w:hint="eastAsia" w:ascii="宋体" w:hAnsi="宋体" w:cs="宋体"/>
          <w:bCs/>
          <w:szCs w:val="21"/>
        </w:rPr>
        <w:t>经符合性审查合格后的最低价法。</w:t>
      </w:r>
    </w:p>
    <w:p>
      <w:pPr>
        <w:widowControl/>
        <w:spacing w:line="360" w:lineRule="auto"/>
        <w:ind w:firstLine="422" w:firstLineChars="200"/>
        <w:rPr>
          <w:rFonts w:ascii="宋体" w:hAnsi="宋体" w:cs="宋体"/>
          <w:b/>
          <w:bCs/>
          <w:szCs w:val="21"/>
        </w:rPr>
      </w:pPr>
      <w:r>
        <w:rPr>
          <w:rFonts w:hint="eastAsia" w:ascii="宋体" w:hAnsi="宋体" w:cs="宋体"/>
          <w:b/>
          <w:bCs/>
          <w:szCs w:val="21"/>
        </w:rPr>
        <w:t>四、自主竞争性谈判文件的获取</w:t>
      </w:r>
    </w:p>
    <w:p>
      <w:pPr>
        <w:spacing w:line="360" w:lineRule="auto"/>
        <w:ind w:firstLine="420" w:firstLineChars="200"/>
        <w:rPr>
          <w:rFonts w:ascii="宋体" w:hAnsi="宋体" w:cs="宋体"/>
          <w:szCs w:val="21"/>
        </w:rPr>
      </w:pPr>
      <w:bookmarkStart w:id="6" w:name="_Hlk75876044"/>
      <w:r>
        <w:rPr>
          <w:rFonts w:hint="eastAsia" w:ascii="宋体" w:hAnsi="宋体" w:cs="宋体"/>
          <w:szCs w:val="21"/>
        </w:rPr>
        <w:t>凡有意参加谈判的单位，自本公告发布之日起登录长沙市轨道交通集团有限公司官方网站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bookmarkEnd w:id="6"/>
      <w:r>
        <w:rPr>
          <w:rFonts w:hint="eastAsia" w:ascii="宋体" w:hAnsi="宋体" w:cs="宋体"/>
          <w:szCs w:val="21"/>
        </w:rPr>
        <w:t>。</w:t>
      </w:r>
    </w:p>
    <w:p>
      <w:pPr>
        <w:spacing w:line="360" w:lineRule="auto"/>
        <w:ind w:firstLine="422" w:firstLineChars="200"/>
        <w:rPr>
          <w:rFonts w:ascii="宋体" w:hAnsi="宋体" w:cs="宋体"/>
          <w:b/>
          <w:bCs/>
          <w:szCs w:val="21"/>
        </w:rPr>
      </w:pPr>
      <w:r>
        <w:rPr>
          <w:rFonts w:hint="eastAsia" w:ascii="宋体" w:hAnsi="宋体" w:cs="宋体"/>
          <w:b/>
          <w:bCs/>
          <w:szCs w:val="21"/>
        </w:rPr>
        <w:t>五、</w:t>
      </w:r>
      <w:r>
        <w:rPr>
          <w:rFonts w:hint="eastAsia" w:ascii="宋体" w:hAnsi="宋体" w:cs="宋体"/>
          <w:b/>
          <w:bCs/>
          <w:iCs/>
          <w:szCs w:val="21"/>
        </w:rPr>
        <w:t>谈判文件的</w:t>
      </w:r>
      <w:r>
        <w:rPr>
          <w:rFonts w:hint="eastAsia" w:ascii="宋体" w:hAnsi="宋体" w:cs="宋体"/>
          <w:b/>
          <w:bCs/>
          <w:szCs w:val="21"/>
        </w:rPr>
        <w:t>澄清与答疑</w:t>
      </w:r>
    </w:p>
    <w:p>
      <w:pPr>
        <w:spacing w:line="360" w:lineRule="auto"/>
        <w:ind w:firstLine="420" w:firstLineChars="200"/>
        <w:rPr>
          <w:rFonts w:ascii="宋体" w:hAnsi="宋体" w:cs="宋体"/>
          <w:iCs/>
          <w:szCs w:val="21"/>
        </w:rPr>
      </w:pPr>
      <w:r>
        <w:rPr>
          <w:rFonts w:hint="eastAsia" w:ascii="宋体" w:hAnsi="宋体" w:cs="宋体"/>
          <w:szCs w:val="21"/>
        </w:rPr>
        <w:t>1.</w:t>
      </w:r>
      <w:r>
        <w:rPr>
          <w:rFonts w:hint="eastAsia" w:ascii="宋体" w:hAnsi="宋体" w:cs="宋体"/>
          <w:iCs/>
          <w:szCs w:val="21"/>
        </w:rPr>
        <w:t>本项目不组织答疑会和现场踏勘。</w:t>
      </w:r>
    </w:p>
    <w:p>
      <w:pPr>
        <w:spacing w:line="360" w:lineRule="auto"/>
        <w:ind w:firstLine="420" w:firstLineChars="200"/>
        <w:rPr>
          <w:rFonts w:ascii="宋体" w:hAnsi="宋体" w:cs="宋体"/>
          <w:iCs/>
          <w:szCs w:val="21"/>
        </w:rPr>
      </w:pPr>
      <w:r>
        <w:rPr>
          <w:rFonts w:hint="eastAsia" w:ascii="宋体" w:hAnsi="宋体" w:cs="宋体"/>
          <w:iCs/>
          <w:szCs w:val="21"/>
        </w:rPr>
        <w:t>2.谈判单位若对谈判文件有任何疑问，</w:t>
      </w:r>
      <w:r>
        <w:rPr>
          <w:rFonts w:hint="eastAsia" w:ascii="宋体" w:hAnsi="宋体" w:cs="宋体"/>
          <w:szCs w:val="21"/>
        </w:rPr>
        <w:t>应于</w:t>
      </w:r>
      <w:r>
        <w:rPr>
          <w:rFonts w:hint="eastAsia" w:ascii="宋体" w:hAnsi="宋体" w:cs="宋体"/>
          <w:szCs w:val="21"/>
          <w:u w:val="none"/>
        </w:rPr>
        <w:t>20</w:t>
      </w:r>
      <w:r>
        <w:rPr>
          <w:rFonts w:hint="eastAsia" w:ascii="宋体" w:hAnsi="宋体" w:cs="宋体"/>
          <w:szCs w:val="21"/>
          <w:u w:val="none"/>
          <w:lang w:val="en-US" w:eastAsia="zh-CN"/>
        </w:rPr>
        <w:t>22</w:t>
      </w:r>
      <w:r>
        <w:rPr>
          <w:rFonts w:hint="eastAsia" w:ascii="宋体" w:hAnsi="宋体" w:cs="宋体"/>
          <w:szCs w:val="21"/>
          <w:u w:val="none"/>
        </w:rPr>
        <w:t>年</w:t>
      </w:r>
      <w:r>
        <w:rPr>
          <w:rFonts w:hint="eastAsia" w:ascii="宋体" w:hAnsi="宋体" w:cs="宋体"/>
          <w:szCs w:val="21"/>
          <w:u w:val="none"/>
          <w:lang w:val="en-US" w:eastAsia="zh-CN"/>
        </w:rPr>
        <w:t>05</w:t>
      </w:r>
      <w:r>
        <w:rPr>
          <w:rFonts w:hint="eastAsia" w:ascii="宋体" w:hAnsi="宋体" w:cs="宋体"/>
          <w:szCs w:val="21"/>
          <w:u w:val="none"/>
        </w:rPr>
        <w:t>月</w:t>
      </w:r>
      <w:r>
        <w:rPr>
          <w:rFonts w:hint="eastAsia" w:ascii="宋体" w:hAnsi="宋体" w:cs="宋体"/>
          <w:szCs w:val="21"/>
          <w:u w:val="none"/>
          <w:lang w:val="en-US" w:eastAsia="zh-CN"/>
        </w:rPr>
        <w:t>23</w:t>
      </w:r>
      <w:r>
        <w:rPr>
          <w:rFonts w:hint="eastAsia" w:ascii="宋体" w:hAnsi="宋体" w:cs="宋体"/>
          <w:szCs w:val="21"/>
          <w:u w:val="none"/>
        </w:rPr>
        <w:t xml:space="preserve"> </w:t>
      </w:r>
      <w:r>
        <w:rPr>
          <w:rFonts w:hint="eastAsia" w:ascii="宋体" w:hAnsi="宋体" w:cs="宋体"/>
          <w:szCs w:val="21"/>
        </w:rPr>
        <w:t>日</w:t>
      </w:r>
      <w:r>
        <w:rPr>
          <w:rFonts w:hint="eastAsia" w:ascii="宋体" w:hAnsi="宋体" w:cs="宋体"/>
          <w:iCs/>
          <w:szCs w:val="21"/>
        </w:rPr>
        <w:t>17：00时（含）前（节假日除外）以书面形式（经法定代表人签字或盖章，并加盖谈判单位公章）递交至采购代理机构。</w:t>
      </w:r>
    </w:p>
    <w:p>
      <w:pPr>
        <w:spacing w:line="360" w:lineRule="auto"/>
        <w:ind w:firstLine="420" w:firstLineChars="200"/>
        <w:rPr>
          <w:rFonts w:ascii="宋体" w:hAnsi="宋体" w:cs="宋体"/>
          <w:iCs/>
          <w:szCs w:val="21"/>
        </w:rPr>
      </w:pPr>
      <w:r>
        <w:rPr>
          <w:rFonts w:hint="eastAsia" w:ascii="宋体" w:hAnsi="宋体" w:cs="宋体"/>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宋体"/>
          <w:iCs/>
          <w:szCs w:val="21"/>
        </w:rPr>
        <w:t>4.</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才采购代理机构不负任何责任。</w:t>
      </w:r>
    </w:p>
    <w:p>
      <w:pPr>
        <w:widowControl/>
        <w:spacing w:line="408" w:lineRule="auto"/>
        <w:ind w:firstLine="480"/>
        <w:rPr>
          <w:rFonts w:ascii="宋体" w:hAnsi="宋体" w:cs="宋体"/>
          <w:b/>
          <w:bCs/>
          <w:kern w:val="0"/>
          <w:szCs w:val="21"/>
        </w:rPr>
      </w:pPr>
      <w:r>
        <w:rPr>
          <w:rFonts w:hint="eastAsia" w:ascii="宋体" w:hAnsi="宋体" w:cs="宋体"/>
          <w:b/>
          <w:bCs/>
          <w:kern w:val="0"/>
          <w:szCs w:val="21"/>
        </w:rPr>
        <w:t>六、投标保证金</w:t>
      </w:r>
    </w:p>
    <w:p>
      <w:pPr>
        <w:spacing w:line="360" w:lineRule="auto"/>
        <w:ind w:firstLine="420" w:firstLineChars="200"/>
        <w:rPr>
          <w:rFonts w:ascii="宋体" w:hAnsi="宋体" w:cs="宋体"/>
          <w:iCs/>
          <w:szCs w:val="21"/>
        </w:rPr>
      </w:pPr>
      <w:r>
        <w:rPr>
          <w:rFonts w:hint="eastAsia" w:ascii="宋体" w:hAnsi="宋体" w:cs="宋体"/>
          <w:iCs/>
          <w:szCs w:val="21"/>
        </w:rPr>
        <w:t>1.所有谈判单位须在</w:t>
      </w:r>
      <w:r>
        <w:rPr>
          <w:rFonts w:hint="eastAsia" w:ascii="宋体" w:hAnsi="宋体" w:cs="宋体"/>
          <w:b/>
          <w:bCs/>
          <w:iCs/>
          <w:szCs w:val="21"/>
        </w:rPr>
        <w:t>城轨采购网</w:t>
      </w:r>
      <w:r>
        <w:rPr>
          <w:rFonts w:hint="eastAsia" w:ascii="宋体" w:hAnsi="宋体" w:cs="宋体"/>
          <w:iCs/>
          <w:szCs w:val="21"/>
        </w:rPr>
        <w:t>（网址：www.mtrmart.com）注册参与并按要求提交投标保证金。本次投标保证金的金额为（人民币）</w:t>
      </w:r>
      <w:r>
        <w:rPr>
          <w:rFonts w:hint="eastAsia" w:ascii="宋体" w:hAnsi="宋体" w:cs="宋体"/>
          <w:iCs/>
          <w:szCs w:val="21"/>
          <w:lang w:val="en-US" w:eastAsia="zh-CN"/>
        </w:rPr>
        <w:t>6100.00</w:t>
      </w:r>
      <w:r>
        <w:rPr>
          <w:rFonts w:hint="eastAsia" w:ascii="宋体" w:hAnsi="宋体" w:cs="宋体"/>
          <w:iCs/>
          <w:szCs w:val="21"/>
        </w:rPr>
        <w:t>元，投标保证金必须由谈判单位的银行对公账户转出，否则将无权限参加本次谈判。</w:t>
      </w:r>
    </w:p>
    <w:p>
      <w:pPr>
        <w:spacing w:line="360" w:lineRule="auto"/>
        <w:ind w:firstLine="420" w:firstLineChars="200"/>
        <w:rPr>
          <w:rFonts w:ascii="宋体" w:hAnsi="宋体" w:cs="宋体"/>
          <w:iCs/>
          <w:szCs w:val="21"/>
        </w:rPr>
      </w:pPr>
      <w:r>
        <w:rPr>
          <w:rFonts w:hint="eastAsia" w:ascii="宋体" w:hAnsi="宋体" w:cs="宋体"/>
          <w:iCs/>
          <w:szCs w:val="21"/>
        </w:rPr>
        <w:t>2.本次参与谈判单位的投标保证金必须在202</w:t>
      </w:r>
      <w:r>
        <w:rPr>
          <w:rFonts w:hint="eastAsia" w:ascii="宋体" w:hAnsi="宋体" w:cs="宋体"/>
          <w:iCs/>
          <w:szCs w:val="21"/>
          <w:lang w:val="en-US" w:eastAsia="zh-CN"/>
        </w:rPr>
        <w:t>2</w:t>
      </w:r>
      <w:r>
        <w:rPr>
          <w:rFonts w:hint="eastAsia" w:ascii="宋体" w:hAnsi="宋体" w:cs="宋体"/>
          <w:iCs/>
          <w:szCs w:val="21"/>
        </w:rPr>
        <w:t>年</w:t>
      </w:r>
      <w:r>
        <w:rPr>
          <w:rFonts w:hint="eastAsia" w:ascii="宋体" w:hAnsi="宋体" w:cs="宋体"/>
          <w:iCs/>
          <w:szCs w:val="21"/>
          <w:lang w:val="en-US" w:eastAsia="zh-CN"/>
        </w:rPr>
        <w:t>05</w:t>
      </w:r>
      <w:r>
        <w:rPr>
          <w:rFonts w:hint="eastAsia" w:ascii="宋体" w:hAnsi="宋体" w:cs="宋体"/>
          <w:iCs/>
          <w:szCs w:val="21"/>
        </w:rPr>
        <w:t>月</w:t>
      </w:r>
      <w:r>
        <w:rPr>
          <w:rFonts w:hint="eastAsia" w:ascii="宋体" w:hAnsi="宋体" w:cs="宋体"/>
          <w:iCs/>
          <w:szCs w:val="21"/>
          <w:lang w:val="en-US" w:eastAsia="zh-CN"/>
        </w:rPr>
        <w:t>27</w:t>
      </w:r>
      <w:r>
        <w:rPr>
          <w:rFonts w:hint="eastAsia" w:ascii="宋体" w:hAnsi="宋体" w:cs="宋体"/>
          <w:iCs/>
          <w:szCs w:val="21"/>
        </w:rPr>
        <w:t>日</w:t>
      </w:r>
      <w:r>
        <w:rPr>
          <w:rFonts w:hint="eastAsia" w:ascii="宋体" w:hAnsi="宋体" w:cs="宋体"/>
          <w:iCs/>
          <w:szCs w:val="21"/>
          <w:lang w:val="en-US" w:eastAsia="zh-CN"/>
        </w:rPr>
        <w:t>9</w:t>
      </w:r>
      <w:r>
        <w:rPr>
          <w:rFonts w:hint="eastAsia" w:ascii="宋体" w:hAnsi="宋体" w:cs="宋体"/>
          <w:iCs/>
          <w:szCs w:val="21"/>
        </w:rPr>
        <w:t>:00前(含)到达专用账户（以托管银行到账的日期为准），逾期或未提交投标保证金的谈判单位，将无权限参加本次谈判。</w:t>
      </w:r>
    </w:p>
    <w:p>
      <w:pPr>
        <w:spacing w:line="360" w:lineRule="auto"/>
        <w:ind w:firstLine="420" w:firstLineChars="200"/>
        <w:rPr>
          <w:rFonts w:ascii="宋体" w:hAnsi="宋体" w:cs="宋体"/>
          <w:iCs/>
          <w:szCs w:val="21"/>
        </w:rPr>
      </w:pPr>
      <w:r>
        <w:rPr>
          <w:rFonts w:hint="eastAsia" w:ascii="宋体" w:hAnsi="宋体" w:cs="宋体"/>
          <w:iCs/>
          <w:szCs w:val="21"/>
        </w:rPr>
        <w:t>3.本次投标保证金的提交仅接受银行转账的方式，投标保证金由广州地铁物资有限公司代收、代退。账户名为广州地铁物资有限公司（开户分行：平安银行广州分行营业部），城轨采购网（网址：www.mtrmart.com）系统会为本项目自动生成投标保证金账户信息（虚拟子账户），相关账户信息以实际信息为准。</w:t>
      </w:r>
    </w:p>
    <w:p>
      <w:pPr>
        <w:spacing w:line="360" w:lineRule="auto"/>
        <w:ind w:firstLine="420" w:firstLineChars="200"/>
        <w:rPr>
          <w:rFonts w:ascii="宋体" w:hAnsi="宋体" w:cs="宋体"/>
          <w:iCs/>
          <w:szCs w:val="21"/>
        </w:rPr>
      </w:pPr>
      <w:r>
        <w:rPr>
          <w:rFonts w:hint="eastAsia" w:ascii="宋体" w:hAnsi="宋体" w:cs="宋体"/>
          <w:iCs/>
          <w:szCs w:val="21"/>
        </w:rPr>
        <w:t>4.投标保证金的退还：未中选单位的投标保证金，将在本项目结果公告截止后予以退还；中选单位的投标保证金将在签署合同并提交履约保证金后予以退还。如在退还投标保证金时发生银行费用，则在投标保证金金额内扣减后将余额退回。</w:t>
      </w:r>
    </w:p>
    <w:p>
      <w:pPr>
        <w:spacing w:line="360" w:lineRule="auto"/>
        <w:ind w:firstLine="420" w:firstLineChars="200"/>
        <w:rPr>
          <w:rFonts w:ascii="宋体" w:hAnsi="宋体" w:cs="宋体"/>
          <w:iCs/>
          <w:szCs w:val="21"/>
        </w:rPr>
      </w:pPr>
      <w:r>
        <w:rPr>
          <w:rFonts w:hint="eastAsia" w:ascii="宋体" w:hAnsi="宋体" w:cs="宋体"/>
          <w:iCs/>
          <w:szCs w:val="21"/>
        </w:rPr>
        <w:t>5.出现包括但不限于下列情况的，采购单位将按照长沙市轨道交通运营有限公司相关文本和合同条款等相关规定，视其情节轻重，给予没收部分或全部投标保证金，并出具书面处理决定，除此之外，如谈判单位给采购单位造成的损失超过投标保证金数额的，谈判单位应当对超过部分给予赔偿。</w:t>
      </w:r>
    </w:p>
    <w:p>
      <w:pPr>
        <w:spacing w:line="360" w:lineRule="auto"/>
        <w:ind w:firstLine="420" w:firstLineChars="200"/>
        <w:rPr>
          <w:rFonts w:ascii="宋体" w:hAnsi="宋体" w:cs="宋体"/>
          <w:iCs/>
          <w:szCs w:val="21"/>
        </w:rPr>
      </w:pPr>
      <w:r>
        <w:rPr>
          <w:rFonts w:hint="eastAsia" w:ascii="宋体" w:hAnsi="宋体" w:cs="宋体"/>
          <w:iCs/>
          <w:szCs w:val="21"/>
        </w:rPr>
        <w:t>（1）谈判单位提出撤回或撤销或放弃中选资格或对报价提出实质性修改；</w:t>
      </w:r>
    </w:p>
    <w:p>
      <w:pPr>
        <w:spacing w:line="360" w:lineRule="auto"/>
        <w:ind w:firstLine="420" w:firstLineChars="200"/>
        <w:rPr>
          <w:rFonts w:ascii="宋体" w:hAnsi="宋体" w:cs="宋体"/>
          <w:iCs/>
          <w:szCs w:val="21"/>
        </w:rPr>
      </w:pPr>
      <w:r>
        <w:rPr>
          <w:rFonts w:hint="eastAsia" w:ascii="宋体" w:hAnsi="宋体" w:cs="宋体"/>
          <w:iCs/>
          <w:szCs w:val="21"/>
        </w:rPr>
        <w:t>（2）中选单位未能在规定期限内签订合同或不按报价结果签订合同；</w:t>
      </w:r>
    </w:p>
    <w:p>
      <w:pPr>
        <w:spacing w:line="360" w:lineRule="auto"/>
        <w:ind w:firstLine="420" w:firstLineChars="200"/>
        <w:rPr>
          <w:rFonts w:ascii="宋体" w:hAnsi="宋体" w:cs="宋体"/>
          <w:iCs/>
          <w:szCs w:val="21"/>
        </w:rPr>
      </w:pPr>
      <w:r>
        <w:rPr>
          <w:rFonts w:hint="eastAsia" w:ascii="宋体" w:hAnsi="宋体" w:cs="宋体"/>
          <w:iCs/>
          <w:szCs w:val="21"/>
        </w:rPr>
        <w:t>（3）中选单位未能在规定期限内提交履约保证金；</w:t>
      </w:r>
    </w:p>
    <w:p>
      <w:pPr>
        <w:spacing w:line="360" w:lineRule="auto"/>
        <w:ind w:firstLine="420" w:firstLineChars="200"/>
        <w:rPr>
          <w:rFonts w:ascii="宋体" w:hAnsi="宋体" w:cs="宋体"/>
          <w:iCs/>
          <w:szCs w:val="21"/>
        </w:rPr>
      </w:pPr>
      <w:r>
        <w:rPr>
          <w:rFonts w:hint="eastAsia" w:ascii="宋体" w:hAnsi="宋体" w:cs="宋体"/>
          <w:iCs/>
          <w:szCs w:val="21"/>
        </w:rPr>
        <w:t>（4）中选单位在合同订立过程中未能完全响应采购文件、清单、附件、合同要求以致合同无法订立的；</w:t>
      </w:r>
    </w:p>
    <w:p>
      <w:pPr>
        <w:spacing w:line="360" w:lineRule="auto"/>
        <w:ind w:firstLine="420" w:firstLineChars="200"/>
        <w:rPr>
          <w:rFonts w:ascii="宋体" w:hAnsi="宋体" w:cs="宋体"/>
          <w:iCs/>
          <w:szCs w:val="21"/>
        </w:rPr>
      </w:pPr>
      <w:r>
        <w:rPr>
          <w:rFonts w:hint="eastAsia" w:ascii="宋体" w:hAnsi="宋体" w:cs="宋体"/>
          <w:iCs/>
          <w:szCs w:val="21"/>
        </w:rPr>
        <w:t>（5）经查实谈判单位报价资料弄虚作假的；</w:t>
      </w:r>
    </w:p>
    <w:p>
      <w:pPr>
        <w:spacing w:line="360" w:lineRule="auto"/>
        <w:ind w:firstLine="420" w:firstLineChars="200"/>
        <w:rPr>
          <w:rFonts w:ascii="宋体" w:hAnsi="宋体" w:cs="宋体"/>
          <w:iCs/>
          <w:szCs w:val="21"/>
        </w:rPr>
      </w:pPr>
      <w:r>
        <w:rPr>
          <w:rFonts w:hint="eastAsia" w:ascii="宋体" w:hAnsi="宋体" w:cs="宋体"/>
          <w:iCs/>
          <w:szCs w:val="21"/>
        </w:rPr>
        <w:t>（6）串通参与谈判相关行为的。如不同谈判单位的投标保证金从同一账户转出。</w:t>
      </w:r>
    </w:p>
    <w:p>
      <w:pPr>
        <w:spacing w:line="360" w:lineRule="auto"/>
        <w:ind w:firstLine="422" w:firstLineChars="200"/>
        <w:rPr>
          <w:rFonts w:ascii="宋体" w:hAnsi="宋体" w:cs="宋体"/>
          <w:b/>
          <w:bCs/>
          <w:iCs/>
          <w:szCs w:val="21"/>
        </w:rPr>
      </w:pPr>
      <w:r>
        <w:rPr>
          <w:rFonts w:hint="eastAsia" w:ascii="宋体" w:hAnsi="宋体" w:cs="宋体"/>
          <w:b/>
          <w:bCs/>
          <w:kern w:val="0"/>
          <w:szCs w:val="21"/>
        </w:rPr>
        <w:t>七、</w:t>
      </w:r>
      <w:r>
        <w:rPr>
          <w:rFonts w:hint="eastAsia" w:ascii="宋体" w:hAnsi="宋体" w:cs="宋体"/>
          <w:b/>
          <w:bCs/>
          <w:iCs/>
          <w:szCs w:val="21"/>
        </w:rPr>
        <w:t>响应文件的递交</w:t>
      </w:r>
    </w:p>
    <w:p>
      <w:pPr>
        <w:spacing w:line="360" w:lineRule="auto"/>
        <w:ind w:firstLine="420" w:firstLineChars="200"/>
        <w:rPr>
          <w:rFonts w:hint="eastAsia" w:ascii="宋体" w:hAnsi="宋体" w:cs="宋体"/>
          <w:szCs w:val="21"/>
        </w:rPr>
      </w:pPr>
      <w:r>
        <w:rPr>
          <w:rFonts w:hint="eastAsia" w:ascii="宋体" w:hAnsi="宋体"/>
          <w:bCs/>
          <w:szCs w:val="21"/>
        </w:rPr>
        <w:t>1.响应文件递交的截止时间及谈判时间为2022年</w:t>
      </w:r>
      <w:r>
        <w:rPr>
          <w:rFonts w:hint="eastAsia" w:ascii="宋体" w:hAnsi="宋体"/>
          <w:bCs/>
          <w:szCs w:val="21"/>
          <w:u w:val="none"/>
          <w:lang w:val="en-US" w:eastAsia="zh-CN"/>
        </w:rPr>
        <w:t>05</w:t>
      </w:r>
      <w:r>
        <w:rPr>
          <w:rFonts w:hint="eastAsia" w:ascii="宋体" w:hAnsi="宋体"/>
          <w:bCs/>
          <w:szCs w:val="21"/>
          <w:u w:val="none"/>
        </w:rPr>
        <w:t>月</w:t>
      </w:r>
      <w:r>
        <w:rPr>
          <w:rFonts w:hint="eastAsia" w:ascii="宋体" w:hAnsi="宋体"/>
          <w:bCs/>
          <w:szCs w:val="21"/>
          <w:u w:val="none"/>
          <w:lang w:val="en-US" w:eastAsia="zh-CN"/>
        </w:rPr>
        <w:t>27</w:t>
      </w:r>
      <w:r>
        <w:rPr>
          <w:rFonts w:hint="eastAsia" w:ascii="宋体" w:hAnsi="宋体"/>
          <w:bCs/>
          <w:szCs w:val="21"/>
        </w:rPr>
        <w:t>日14时30分，地点为</w:t>
      </w:r>
      <w:r>
        <w:rPr>
          <w:rFonts w:hint="eastAsia" w:ascii="宋体" w:hAnsi="宋体" w:cs="宋体"/>
          <w:szCs w:val="21"/>
        </w:rPr>
        <w:t>长沙市劳动东路二段48号黄兴车辆段综合楼9楼910室。</w:t>
      </w:r>
    </w:p>
    <w:p>
      <w:pPr>
        <w:spacing w:line="360" w:lineRule="auto"/>
        <w:ind w:firstLine="422" w:firstLineChars="200"/>
        <w:rPr>
          <w:rFonts w:hint="default" w:ascii="宋体" w:hAnsi="宋体"/>
          <w:b/>
          <w:bCs w:val="0"/>
          <w:color w:val="0000FF"/>
          <w:szCs w:val="21"/>
          <w:lang w:val="en-US" w:eastAsia="zh-CN"/>
        </w:rPr>
      </w:pPr>
      <w:r>
        <w:rPr>
          <w:rFonts w:hint="eastAsia" w:ascii="宋体" w:hAnsi="宋体"/>
          <w:b/>
          <w:bCs w:val="0"/>
          <w:color w:val="0000FF"/>
          <w:szCs w:val="21"/>
          <w:lang w:val="en-US" w:eastAsia="zh-CN"/>
        </w:rPr>
        <w:t>2.谈判单位代表应佩戴口罩，携带身份证进行实名登记，配合做好体温检测，提供“健康码”、“行程码”及48小时内核酸检测证明，否则响应文件将予以拒收。</w:t>
      </w:r>
    </w:p>
    <w:p>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.逾期送达的或者未送达指定地点的或者未密封的响应文件，采购单位或采购代理机构将予以</w:t>
      </w:r>
      <w:r>
        <w:rPr>
          <w:rFonts w:hint="eastAsia" w:ascii="宋体" w:hAnsi="宋体" w:cs="宋体"/>
          <w:b/>
          <w:bCs/>
          <w:szCs w:val="21"/>
        </w:rPr>
        <w:t>拒收</w:t>
      </w:r>
      <w:r>
        <w:rPr>
          <w:rFonts w:hint="eastAsia" w:ascii="宋体" w:hAnsi="宋体" w:cs="宋体"/>
          <w:szCs w:val="21"/>
        </w:rPr>
        <w:t>。</w:t>
      </w:r>
    </w:p>
    <w:p>
      <w:pPr>
        <w:pStyle w:val="2"/>
        <w:spacing w:line="360" w:lineRule="auto"/>
        <w:rPr>
          <w:rFonts w:ascii="宋体" w:hAnsi="宋体" w:cs="宋体"/>
          <w:b/>
          <w:bCs/>
          <w:kern w:val="0"/>
          <w:szCs w:val="21"/>
        </w:rPr>
      </w:pPr>
      <w:r>
        <w:rPr>
          <w:rFonts w:hint="eastAsia" w:ascii="宋体" w:hAnsi="宋体" w:cs="宋体"/>
          <w:b/>
          <w:bCs/>
          <w:kern w:val="0"/>
          <w:szCs w:val="21"/>
        </w:rPr>
        <w:t>八、中标原则</w:t>
      </w:r>
    </w:p>
    <w:p>
      <w:pPr>
        <w:spacing w:line="360" w:lineRule="auto"/>
        <w:ind w:firstLine="420" w:firstLineChars="200"/>
        <w:rPr>
          <w:rFonts w:hint="eastAsia" w:ascii="宋体" w:hAnsi="宋体" w:eastAsia="宋体" w:cs="Times New Roman"/>
          <w:bCs/>
          <w:szCs w:val="21"/>
        </w:rPr>
      </w:pPr>
      <w:r>
        <w:rPr>
          <w:rFonts w:hint="eastAsia" w:ascii="宋体" w:hAnsi="宋体" w:eastAsia="宋体" w:cs="Times New Roman"/>
          <w:bCs/>
          <w:szCs w:val="21"/>
          <w:lang w:val="en-US" w:eastAsia="zh-CN"/>
        </w:rPr>
        <w:t>1.</w:t>
      </w:r>
      <w:r>
        <w:rPr>
          <w:rFonts w:hint="eastAsia" w:ascii="宋体" w:hAnsi="宋体" w:eastAsia="宋体" w:cs="Times New Roman"/>
          <w:bCs/>
          <w:szCs w:val="21"/>
        </w:rPr>
        <w:t>谈判评审小组按照得分由高到低的顺序推荐不超过1名中选候选人。经公示无异议后，确定排名第一的中选候选人为中选人。</w:t>
      </w:r>
    </w:p>
    <w:p>
      <w:pPr>
        <w:spacing w:line="360" w:lineRule="auto"/>
        <w:ind w:firstLine="420" w:firstLineChars="200"/>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2.排名第一的中选候选人中选后放弃中选、因不可抗力不能履行合同，或者被查实存在影响中选结果的违法行为等情形，不符合中选条件的，采购单位可以按照评审小组的评分排序依次递补确定中选单位，也可以重新开展采购活动。</w:t>
      </w:r>
    </w:p>
    <w:p>
      <w:pPr>
        <w:spacing w:line="360" w:lineRule="auto"/>
        <w:ind w:firstLine="420" w:firstLineChars="200"/>
        <w:rPr>
          <w:rFonts w:hint="eastAsia" w:ascii="宋体" w:hAnsi="宋体" w:eastAsia="宋体" w:cs="Times New Roman"/>
          <w:bCs/>
          <w:szCs w:val="21"/>
        </w:rPr>
      </w:pPr>
    </w:p>
    <w:p>
      <w:pPr>
        <w:spacing w:line="360" w:lineRule="auto"/>
        <w:ind w:firstLine="422" w:firstLineChars="200"/>
        <w:rPr>
          <w:rFonts w:ascii="宋体" w:hAnsi="宋体" w:cs="宋体"/>
          <w:b/>
          <w:szCs w:val="21"/>
        </w:rPr>
      </w:pPr>
      <w:r>
        <w:rPr>
          <w:rFonts w:hint="eastAsia" w:ascii="宋体" w:hAnsi="宋体" w:cs="宋体"/>
          <w:b/>
          <w:iCs/>
          <w:szCs w:val="21"/>
        </w:rPr>
        <w:t>九、采购单位及其委托的采购代理机构的名称、地址和联系方法</w:t>
      </w:r>
    </w:p>
    <w:p>
      <w:pPr>
        <w:adjustRightInd w:val="0"/>
        <w:snapToGrid w:val="0"/>
        <w:spacing w:line="360" w:lineRule="auto"/>
        <w:ind w:firstLine="413" w:firstLineChars="196"/>
        <w:rPr>
          <w:rFonts w:hint="eastAsia" w:ascii="宋体" w:hAnsi="宋体" w:cs="宋体"/>
          <w:szCs w:val="21"/>
        </w:rPr>
      </w:pPr>
      <w:r>
        <w:rPr>
          <w:rFonts w:hint="eastAsia" w:ascii="宋体" w:hAnsi="宋体" w:cs="宋体"/>
          <w:b/>
          <w:bCs/>
          <w:szCs w:val="21"/>
        </w:rPr>
        <w:t>采购单位：</w:t>
      </w:r>
      <w:r>
        <w:rPr>
          <w:rFonts w:hint="eastAsia" w:ascii="宋体" w:hAnsi="宋体" w:cs="宋体"/>
          <w:szCs w:val="21"/>
        </w:rPr>
        <w:t>长沙市轨道交通运营有限公司</w:t>
      </w:r>
    </w:p>
    <w:p>
      <w:pPr>
        <w:adjustRightInd w:val="0"/>
        <w:snapToGrid w:val="0"/>
        <w:spacing w:line="360" w:lineRule="auto"/>
        <w:ind w:firstLine="1461" w:firstLineChars="696"/>
        <w:rPr>
          <w:rFonts w:hint="eastAsia" w:ascii="宋体" w:hAnsi="宋体" w:cs="宋体"/>
          <w:iCs/>
          <w:szCs w:val="21"/>
        </w:rPr>
      </w:pPr>
      <w:r>
        <w:rPr>
          <w:rFonts w:hint="eastAsia" w:ascii="宋体" w:hAnsi="宋体" w:cs="宋体"/>
          <w:iCs/>
          <w:szCs w:val="21"/>
        </w:rPr>
        <w:t>长沙市轨道交通一号线建设发展有限公司</w:t>
      </w:r>
    </w:p>
    <w:p>
      <w:pPr>
        <w:spacing w:line="360" w:lineRule="auto"/>
        <w:ind w:firstLine="1470" w:firstLineChars="700"/>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长沙市轨道交通三号线建设发展有限公司</w:t>
      </w:r>
    </w:p>
    <w:p>
      <w:pPr>
        <w:spacing w:line="360" w:lineRule="auto"/>
        <w:ind w:firstLine="1470" w:firstLineChars="700"/>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长沙市轨道交通四号线建设发展有限公司</w:t>
      </w:r>
    </w:p>
    <w:p>
      <w:pPr>
        <w:spacing w:line="360" w:lineRule="auto"/>
        <w:ind w:firstLine="1470" w:firstLineChars="700"/>
        <w:rPr>
          <w:rFonts w:ascii="宋体" w:hAnsi="宋体" w:cs="宋体"/>
          <w:b/>
          <w:bCs/>
          <w:szCs w:val="21"/>
        </w:rPr>
      </w:pPr>
      <w:r>
        <w:rPr>
          <w:rFonts w:hint="eastAsia" w:ascii="宋体" w:hAnsi="宋体" w:eastAsia="宋体" w:cs="Times New Roman"/>
          <w:bCs/>
          <w:szCs w:val="21"/>
          <w:lang w:val="en-US" w:eastAsia="zh-CN"/>
        </w:rPr>
        <w:t>长沙市轨道交通五号线建设发展有限公司</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地  址：长沙市劳动东路二段48号黄兴车辆段综合楼9楼910室。</w:t>
      </w:r>
    </w:p>
    <w:p>
      <w:pPr>
        <w:adjustRightInd w:val="0"/>
        <w:snapToGrid w:val="0"/>
        <w:spacing w:line="360" w:lineRule="auto"/>
        <w:ind w:firstLine="420" w:firstLineChars="200"/>
        <w:rPr>
          <w:rFonts w:hint="default" w:ascii="宋体" w:hAnsi="宋体" w:eastAsia="宋体" w:cs="宋体"/>
          <w:bCs/>
          <w:szCs w:val="21"/>
          <w:lang w:val="en-US" w:eastAsia="zh-CN"/>
        </w:rPr>
      </w:pPr>
      <w:r>
        <w:rPr>
          <w:rFonts w:hint="eastAsia" w:ascii="宋体" w:hAnsi="宋体" w:cs="宋体"/>
          <w:bCs/>
          <w:szCs w:val="21"/>
        </w:rPr>
        <w:t>联系人：</w:t>
      </w:r>
      <w:r>
        <w:rPr>
          <w:rFonts w:hint="eastAsia" w:ascii="宋体" w:hAnsi="宋体" w:cs="宋体"/>
          <w:bCs/>
          <w:szCs w:val="21"/>
          <w:lang w:val="en-US" w:eastAsia="zh-CN"/>
        </w:rPr>
        <w:t>陈工</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电  话：</w:t>
      </w:r>
      <w:r>
        <w:rPr>
          <w:rFonts w:hint="eastAsia" w:ascii="宋体" w:hAnsi="宋体"/>
          <w:szCs w:val="21"/>
        </w:rPr>
        <w:t>0731-</w:t>
      </w:r>
      <w:r>
        <w:rPr>
          <w:rFonts w:hint="eastAsia" w:ascii="宋体" w:hAnsi="宋体" w:cs="宋体"/>
          <w:bCs/>
          <w:szCs w:val="21"/>
        </w:rPr>
        <w:t>86852347</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监督举报电话：</w:t>
      </w:r>
      <w:r>
        <w:rPr>
          <w:rFonts w:hint="eastAsia" w:ascii="宋体" w:hAnsi="宋体"/>
          <w:szCs w:val="21"/>
        </w:rPr>
        <w:t>0731-</w:t>
      </w:r>
      <w:r>
        <w:rPr>
          <w:rFonts w:hint="eastAsia" w:ascii="宋体" w:hAnsi="宋体" w:cs="宋体"/>
          <w:szCs w:val="21"/>
        </w:rPr>
        <w:t>86852247</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联系人：文工</w:t>
      </w:r>
    </w:p>
    <w:p>
      <w:pPr>
        <w:spacing w:line="360" w:lineRule="auto"/>
        <w:ind w:firstLine="422" w:firstLineChars="200"/>
        <w:rPr>
          <w:rFonts w:ascii="宋体" w:hAnsi="宋体" w:cs="宋体"/>
          <w:szCs w:val="21"/>
        </w:rPr>
      </w:pPr>
      <w:r>
        <w:rPr>
          <w:rFonts w:hint="eastAsia" w:ascii="宋体" w:hAnsi="宋体" w:cs="宋体"/>
          <w:b/>
          <w:bCs/>
          <w:szCs w:val="21"/>
        </w:rPr>
        <w:t>采购代理机构：</w:t>
      </w:r>
      <w:r>
        <w:rPr>
          <w:rFonts w:hint="eastAsia" w:ascii="宋体" w:hAnsi="宋体" w:cs="宋体"/>
          <w:iCs/>
          <w:szCs w:val="21"/>
        </w:rPr>
        <w:t>湖南省工程建设监理有限公司</w:t>
      </w:r>
    </w:p>
    <w:p>
      <w:pPr>
        <w:spacing w:line="360" w:lineRule="auto"/>
        <w:ind w:firstLine="420" w:firstLineChars="200"/>
        <w:rPr>
          <w:rFonts w:ascii="宋体" w:hAnsi="宋体" w:cs="宋体"/>
          <w:szCs w:val="21"/>
        </w:rPr>
      </w:pPr>
      <w:r>
        <w:rPr>
          <w:rFonts w:hint="eastAsia" w:ascii="宋体" w:hAnsi="宋体" w:cs="宋体"/>
          <w:szCs w:val="21"/>
        </w:rPr>
        <w:t>联系电话</w:t>
      </w:r>
      <w:r>
        <w:rPr>
          <w:rFonts w:hint="eastAsia" w:ascii="宋体" w:hAnsi="宋体" w:cs="宋体"/>
          <w:iCs/>
          <w:szCs w:val="21"/>
        </w:rPr>
        <w:t>：0731—85168818</w:t>
      </w:r>
    </w:p>
    <w:p>
      <w:pPr>
        <w:spacing w:line="360" w:lineRule="auto"/>
        <w:ind w:firstLine="420" w:firstLineChars="200"/>
        <w:rPr>
          <w:rFonts w:ascii="宋体" w:hAnsi="宋体" w:cs="宋体"/>
          <w:szCs w:val="21"/>
        </w:rPr>
      </w:pPr>
      <w:r>
        <w:rPr>
          <w:rFonts w:hint="eastAsia" w:ascii="宋体" w:hAnsi="宋体" w:cs="宋体"/>
          <w:szCs w:val="21"/>
        </w:rPr>
        <w:t>联系人：</w:t>
      </w:r>
      <w:r>
        <w:rPr>
          <w:rFonts w:hint="eastAsia" w:ascii="宋体" w:hAnsi="宋体" w:cs="宋体"/>
          <w:iCs/>
          <w:szCs w:val="21"/>
        </w:rPr>
        <w:t>李娓明</w:t>
      </w:r>
    </w:p>
    <w:p>
      <w:pPr>
        <w:spacing w:line="360" w:lineRule="auto"/>
        <w:ind w:firstLine="420" w:firstLineChars="200"/>
        <w:rPr>
          <w:rFonts w:ascii="宋体" w:hAnsi="宋体" w:cs="宋体"/>
          <w:szCs w:val="21"/>
        </w:rPr>
      </w:pPr>
      <w:r>
        <w:rPr>
          <w:rFonts w:hint="eastAsia" w:ascii="宋体" w:hAnsi="宋体" w:cs="宋体"/>
          <w:szCs w:val="21"/>
        </w:rPr>
        <w:t>地址：</w:t>
      </w:r>
      <w:r>
        <w:rPr>
          <w:rFonts w:hint="eastAsia" w:ascii="宋体" w:hAnsi="宋体" w:cs="宋体"/>
          <w:iCs/>
          <w:szCs w:val="21"/>
        </w:rPr>
        <w:t>长沙高新开发区尖山路39号中电软件园一期5栋803室</w:t>
      </w:r>
    </w:p>
    <w:p>
      <w:pPr>
        <w:pStyle w:val="25"/>
        <w:adjustRightInd w:val="0"/>
        <w:snapToGrid w:val="0"/>
        <w:jc w:val="center"/>
        <w:rPr>
          <w:rFonts w:hint="eastAsia" w:hAnsi="宋体" w:cs="宋体"/>
          <w:lang w:val="en-US" w:eastAsia="zh-CN"/>
        </w:rPr>
      </w:pPr>
      <w:r>
        <w:rPr>
          <w:rFonts w:hint="eastAsia" w:hAnsi="宋体" w:cs="宋体"/>
          <w:lang w:val="en-US" w:eastAsia="zh-CN"/>
        </w:rPr>
        <w:t xml:space="preserve"> </w:t>
      </w:r>
    </w:p>
    <w:p>
      <w:pPr>
        <w:pStyle w:val="25"/>
        <w:adjustRightInd w:val="0"/>
        <w:snapToGrid w:val="0"/>
        <w:jc w:val="center"/>
        <w:rPr>
          <w:rFonts w:hAnsi="宋体" w:cs="宋体"/>
        </w:rPr>
      </w:pPr>
      <w:r>
        <w:rPr>
          <w:rFonts w:hint="eastAsia" w:hAnsi="宋体" w:cs="宋体"/>
          <w:lang w:val="en-US" w:eastAsia="zh-CN"/>
        </w:rPr>
        <w:t xml:space="preserve">                                                           </w:t>
      </w:r>
      <w:r>
        <w:rPr>
          <w:rFonts w:hint="eastAsia" w:hAnsi="宋体" w:cs="宋体"/>
        </w:rPr>
        <w:t>2022年</w:t>
      </w:r>
      <w:r>
        <w:rPr>
          <w:rFonts w:hint="eastAsia" w:hAnsi="宋体" w:cs="宋体"/>
          <w:lang w:val="en-US" w:eastAsia="zh-CN"/>
        </w:rPr>
        <w:t>05</w:t>
      </w:r>
      <w:r>
        <w:rPr>
          <w:rFonts w:hint="eastAsia" w:hAnsi="宋体" w:cs="宋体"/>
        </w:rPr>
        <w:t>月</w:t>
      </w:r>
      <w:r>
        <w:rPr>
          <w:rFonts w:hint="eastAsia" w:hAnsi="宋体" w:cs="宋体"/>
          <w:lang w:val="en-US" w:eastAsia="zh-CN"/>
        </w:rPr>
        <w:t>16</w:t>
      </w:r>
      <w:r>
        <w:rPr>
          <w:rFonts w:hint="eastAsia" w:hAnsi="宋体" w:cs="宋体"/>
        </w:rPr>
        <w:t>日</w:t>
      </w:r>
    </w:p>
    <w:p>
      <w:pPr>
        <w:pStyle w:val="25"/>
        <w:adjustRightInd w:val="0"/>
        <w:snapToGrid w:val="0"/>
        <w:spacing w:line="360" w:lineRule="auto"/>
        <w:jc w:val="right"/>
        <w:rPr>
          <w:rFonts w:hAnsi="宋体"/>
        </w:rPr>
      </w:pPr>
    </w:p>
    <w:p>
      <w:pPr>
        <w:pStyle w:val="3"/>
        <w:keepNext w:val="0"/>
        <w:spacing w:after="240"/>
        <w:rPr>
          <w:rFonts w:ascii="黑体" w:hAnsi="黑体" w:eastAsia="黑体"/>
          <w:bCs w:val="0"/>
          <w:sz w:val="32"/>
          <w:szCs w:val="32"/>
        </w:rPr>
      </w:pPr>
      <w:r>
        <w:rPr>
          <w:rFonts w:ascii="黑体" w:hAnsi="黑体" w:eastAsia="黑体"/>
          <w:b w:val="0"/>
          <w:bCs w:val="0"/>
          <w:sz w:val="32"/>
          <w:szCs w:val="32"/>
        </w:rPr>
        <w:br w:type="page"/>
      </w:r>
      <w:bookmarkStart w:id="7" w:name="_Toc8914"/>
      <w:bookmarkStart w:id="8" w:name="_Toc14891065"/>
      <w:bookmarkStart w:id="9" w:name="_Toc19652"/>
      <w:bookmarkStart w:id="10" w:name="_Toc5145"/>
      <w:bookmarkStart w:id="11" w:name="_Toc6753"/>
      <w:bookmarkStart w:id="12" w:name="_Toc10483"/>
      <w:r>
        <w:rPr>
          <w:rFonts w:hint="eastAsia" w:ascii="宋体" w:hAnsi="宋体" w:cs="宋体"/>
          <w:bCs w:val="0"/>
          <w:sz w:val="32"/>
          <w:szCs w:val="32"/>
        </w:rPr>
        <w:t>第二章  谈判须知</w:t>
      </w:r>
      <w:bookmarkEnd w:id="7"/>
      <w:bookmarkEnd w:id="8"/>
      <w:bookmarkEnd w:id="9"/>
      <w:bookmarkEnd w:id="10"/>
      <w:bookmarkEnd w:id="11"/>
      <w:bookmarkEnd w:id="12"/>
    </w:p>
    <w:p>
      <w:pPr>
        <w:pStyle w:val="4"/>
        <w:keepNext w:val="0"/>
        <w:keepLines w:val="0"/>
        <w:jc w:val="center"/>
        <w:rPr>
          <w:rFonts w:ascii="宋体" w:hAnsi="宋体" w:cs="宋体"/>
          <w:sz w:val="32"/>
        </w:rPr>
      </w:pPr>
      <w:bookmarkStart w:id="13" w:name="_Toc6617"/>
      <w:bookmarkStart w:id="14" w:name="_Toc5430"/>
      <w:bookmarkStart w:id="15" w:name="_Toc14891066"/>
      <w:bookmarkStart w:id="16" w:name="_Toc9591"/>
      <w:bookmarkStart w:id="17" w:name="_Toc21219"/>
      <w:bookmarkStart w:id="18" w:name="_Toc28089"/>
      <w:r>
        <w:rPr>
          <w:rFonts w:hint="eastAsia" w:ascii="宋体" w:hAnsi="宋体" w:cs="宋体"/>
          <w:sz w:val="32"/>
        </w:rPr>
        <w:t>谈判须知前附表</w:t>
      </w:r>
      <w:bookmarkEnd w:id="13"/>
      <w:bookmarkEnd w:id="14"/>
      <w:bookmarkEnd w:id="15"/>
      <w:bookmarkEnd w:id="16"/>
      <w:bookmarkEnd w:id="17"/>
      <w:bookmarkEnd w:id="18"/>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3"/>
        <w:gridCol w:w="7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名  称</w:t>
            </w:r>
          </w:p>
        </w:tc>
        <w:tc>
          <w:tcPr>
            <w:tcW w:w="7709"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采购项目</w:t>
            </w:r>
          </w:p>
        </w:tc>
        <w:tc>
          <w:tcPr>
            <w:tcW w:w="7709" w:type="dxa"/>
            <w:vAlign w:val="center"/>
          </w:tcPr>
          <w:p>
            <w:pPr>
              <w:adjustRightInd w:val="0"/>
              <w:snapToGrid w:val="0"/>
              <w:spacing w:line="360" w:lineRule="auto"/>
              <w:jc w:val="left"/>
              <w:rPr>
                <w:rFonts w:hint="eastAsia" w:ascii="宋体" w:hAnsi="宋体" w:eastAsia="宋体" w:cs="宋体"/>
                <w:szCs w:val="21"/>
                <w:lang w:eastAsia="zh-CN"/>
              </w:rPr>
            </w:pPr>
            <w:r>
              <w:rPr>
                <w:rFonts w:hint="eastAsia" w:hAnsi="宋体" w:cs="宋体"/>
                <w:iCs/>
              </w:rPr>
              <w:t>长沙市轨道交通1、2、3、4、5号线运营期2022年-2024年车站卫生间管道疏通服务项目</w:t>
            </w:r>
            <w:r>
              <w:rPr>
                <w:rFonts w:hint="eastAsia" w:hAnsi="宋体" w:cs="宋体"/>
                <w:iCs/>
                <w:lang w:eastAsia="zh-CN"/>
              </w:rPr>
              <w:t>（</w:t>
            </w:r>
            <w:r>
              <w:rPr>
                <w:rFonts w:hint="eastAsia" w:hAnsi="宋体" w:cs="宋体"/>
                <w:iCs/>
                <w:lang w:val="en-US" w:eastAsia="zh-CN"/>
              </w:rPr>
              <w:t>第二次</w:t>
            </w:r>
            <w:r>
              <w:rPr>
                <w:rFonts w:hint="eastAsia" w:hAnsi="宋体" w:cs="宋体"/>
                <w:iCs/>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采购单位</w:t>
            </w:r>
          </w:p>
        </w:tc>
        <w:tc>
          <w:tcPr>
            <w:tcW w:w="7709" w:type="dxa"/>
            <w:vAlign w:val="center"/>
          </w:tcPr>
          <w:p>
            <w:pPr>
              <w:adjustRightInd w:val="0"/>
              <w:snapToGrid w:val="0"/>
              <w:spacing w:line="360" w:lineRule="auto"/>
              <w:jc w:val="left"/>
              <w:rPr>
                <w:rFonts w:hint="eastAsia" w:ascii="宋体" w:hAnsi="宋体" w:cs="宋体"/>
                <w:szCs w:val="21"/>
              </w:rPr>
            </w:pPr>
            <w:r>
              <w:rPr>
                <w:rFonts w:hint="eastAsia" w:ascii="宋体" w:hAnsi="宋体" w:cs="宋体"/>
                <w:szCs w:val="21"/>
              </w:rPr>
              <w:t>长沙市轨道交通运营有限公司</w:t>
            </w:r>
          </w:p>
          <w:p>
            <w:pPr>
              <w:adjustRightInd w:val="0"/>
              <w:snapToGrid w:val="0"/>
              <w:spacing w:line="360" w:lineRule="auto"/>
              <w:jc w:val="left"/>
              <w:rPr>
                <w:rFonts w:hint="eastAsia" w:ascii="宋体" w:hAnsi="宋体" w:cs="宋体"/>
                <w:iCs/>
                <w:szCs w:val="21"/>
              </w:rPr>
            </w:pPr>
            <w:r>
              <w:rPr>
                <w:rFonts w:hint="eastAsia" w:ascii="宋体" w:hAnsi="宋体" w:cs="宋体"/>
                <w:iCs/>
                <w:szCs w:val="21"/>
              </w:rPr>
              <w:t>长沙市轨道交通一号线建设发展有限公司</w:t>
            </w:r>
          </w:p>
          <w:p>
            <w:pPr>
              <w:adjustRightInd w:val="0"/>
              <w:snapToGrid w:val="0"/>
              <w:spacing w:line="360" w:lineRule="auto"/>
              <w:jc w:val="left"/>
              <w:rPr>
                <w:rFonts w:hint="eastAsia" w:ascii="宋体" w:hAnsi="宋体" w:cs="宋体"/>
                <w:iCs/>
                <w:szCs w:val="21"/>
              </w:rPr>
            </w:pPr>
            <w:r>
              <w:rPr>
                <w:rFonts w:hint="eastAsia" w:ascii="宋体" w:hAnsi="宋体" w:cs="宋体"/>
                <w:iCs/>
                <w:szCs w:val="21"/>
              </w:rPr>
              <w:t>长沙市轨道交通三号线建设发展有限公司</w:t>
            </w:r>
          </w:p>
          <w:p>
            <w:pPr>
              <w:adjustRightInd w:val="0"/>
              <w:snapToGrid w:val="0"/>
              <w:spacing w:line="360" w:lineRule="auto"/>
              <w:jc w:val="left"/>
              <w:rPr>
                <w:rFonts w:hint="eastAsia" w:ascii="宋体" w:hAnsi="宋体" w:cs="宋体"/>
                <w:iCs/>
                <w:szCs w:val="21"/>
              </w:rPr>
            </w:pPr>
            <w:r>
              <w:rPr>
                <w:rFonts w:hint="eastAsia" w:ascii="宋体" w:hAnsi="宋体" w:cs="宋体"/>
                <w:iCs/>
                <w:szCs w:val="21"/>
              </w:rPr>
              <w:t>长沙市轨道交通四号线建设发展有限公司</w:t>
            </w:r>
          </w:p>
          <w:p>
            <w:pPr>
              <w:adjustRightInd w:val="0"/>
              <w:snapToGrid w:val="0"/>
              <w:spacing w:line="360" w:lineRule="auto"/>
              <w:jc w:val="left"/>
              <w:rPr>
                <w:rFonts w:ascii="宋体" w:hAnsi="宋体" w:cs="宋体"/>
                <w:iCs/>
                <w:szCs w:val="21"/>
              </w:rPr>
            </w:pPr>
            <w:r>
              <w:rPr>
                <w:rFonts w:hint="eastAsia" w:ascii="宋体" w:hAnsi="宋体" w:cs="宋体"/>
                <w:iCs/>
                <w:szCs w:val="21"/>
              </w:rPr>
              <w:t>长沙市轨道交通五号线建设发展有限公司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采购代理机构</w:t>
            </w:r>
          </w:p>
        </w:tc>
        <w:tc>
          <w:tcPr>
            <w:tcW w:w="7709" w:type="dxa"/>
            <w:vAlign w:val="center"/>
          </w:tcPr>
          <w:p>
            <w:pPr>
              <w:adjustRightInd w:val="0"/>
              <w:snapToGrid w:val="0"/>
              <w:spacing w:line="360" w:lineRule="auto"/>
              <w:jc w:val="left"/>
              <w:rPr>
                <w:rFonts w:ascii="宋体" w:hAnsi="宋体" w:cs="宋体"/>
                <w:iCs/>
                <w:szCs w:val="21"/>
              </w:rPr>
            </w:pPr>
            <w:r>
              <w:rPr>
                <w:rFonts w:hint="eastAsia" w:ascii="宋体" w:hAnsi="宋体" w:cs="宋体"/>
                <w:iCs/>
                <w:szCs w:val="21"/>
              </w:rPr>
              <w:t>湖南省工程建设监理有限公司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943" w:type="dxa"/>
            <w:vAlign w:val="center"/>
          </w:tcPr>
          <w:p>
            <w:pPr>
              <w:adjustRightInd w:val="0"/>
              <w:snapToGrid w:val="0"/>
              <w:spacing w:line="360" w:lineRule="auto"/>
              <w:jc w:val="center"/>
              <w:rPr>
                <w:rFonts w:ascii="宋体" w:hAnsi="宋体" w:cs="宋体"/>
                <w:b/>
                <w:color w:val="FF0000"/>
                <w:szCs w:val="21"/>
              </w:rPr>
            </w:pPr>
            <w:r>
              <w:rPr>
                <w:rFonts w:hint="eastAsia" w:ascii="宋体" w:hAnsi="宋体" w:cs="宋体"/>
                <w:b/>
                <w:szCs w:val="21"/>
              </w:rPr>
              <w:t>最高限价</w:t>
            </w:r>
          </w:p>
        </w:tc>
        <w:tc>
          <w:tcPr>
            <w:tcW w:w="7709" w:type="dxa"/>
            <w:vAlign w:val="center"/>
          </w:tcPr>
          <w:p>
            <w:pPr>
              <w:adjustRightInd w:val="0"/>
              <w:snapToGrid w:val="0"/>
              <w:spacing w:line="360" w:lineRule="auto"/>
              <w:jc w:val="left"/>
              <w:rPr>
                <w:rFonts w:ascii="宋体" w:hAnsi="宋体" w:cs="宋体"/>
                <w:iCs/>
                <w:color w:val="FF0000"/>
                <w:szCs w:val="21"/>
              </w:rPr>
            </w:pPr>
            <w:r>
              <w:rPr>
                <w:rFonts w:hint="eastAsia" w:ascii="宋体" w:hAnsi="宋体" w:cs="宋体"/>
                <w:szCs w:val="21"/>
                <w:lang w:val="en-US" w:eastAsia="zh-CN"/>
              </w:rPr>
              <w:t>305760.00</w:t>
            </w:r>
            <w:r>
              <w:rPr>
                <w:rFonts w:hint="eastAsia" w:ascii="宋体" w:hAnsi="宋体" w:cs="宋体"/>
                <w:szCs w:val="21"/>
              </w:rPr>
              <w:t>元，不超过最高限价的谈判总报价为有效报价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评审办法</w:t>
            </w:r>
          </w:p>
        </w:tc>
        <w:tc>
          <w:tcPr>
            <w:tcW w:w="7709" w:type="dxa"/>
            <w:vAlign w:val="center"/>
          </w:tcPr>
          <w:p>
            <w:pPr>
              <w:adjustRightInd w:val="0"/>
              <w:snapToGrid w:val="0"/>
              <w:spacing w:line="360" w:lineRule="auto"/>
              <w:jc w:val="left"/>
              <w:rPr>
                <w:rFonts w:ascii="宋体" w:hAnsi="宋体" w:cs="宋体"/>
                <w:iCs/>
                <w:color w:val="FF0000"/>
                <w:szCs w:val="21"/>
              </w:rPr>
            </w:pPr>
            <w:r>
              <w:rPr>
                <w:rFonts w:hint="eastAsia" w:ascii="宋体" w:hAnsi="宋体" w:cs="宋体"/>
                <w:bCs/>
                <w:szCs w:val="21"/>
              </w:rPr>
              <w:t>经符合性审查合格后的最低价法</w:t>
            </w:r>
            <w:r>
              <w:rPr>
                <w:rFonts w:ascii="宋体" w:hAnsi="宋体" w:cs="宋体"/>
                <w:iCs/>
                <w:color w:val="FF000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943" w:type="dxa"/>
            <w:vAlign w:val="center"/>
          </w:tcPr>
          <w:p>
            <w:pPr>
              <w:adjustRightInd w:val="0"/>
              <w:snapToGrid w:val="0"/>
              <w:spacing w:line="360" w:lineRule="auto"/>
              <w:jc w:val="center"/>
              <w:rPr>
                <w:rFonts w:ascii="宋体" w:hAnsi="宋体" w:cs="宋体"/>
                <w:b/>
                <w:szCs w:val="21"/>
                <w:highlight w:val="yellow"/>
              </w:rPr>
            </w:pPr>
            <w:r>
              <w:rPr>
                <w:rFonts w:hint="eastAsia" w:ascii="宋体" w:hAnsi="宋体" w:cs="宋体"/>
                <w:b/>
                <w:szCs w:val="21"/>
              </w:rPr>
              <w:t>资格要求</w:t>
            </w:r>
          </w:p>
        </w:tc>
        <w:tc>
          <w:tcPr>
            <w:tcW w:w="7709" w:type="dxa"/>
            <w:vAlign w:val="center"/>
          </w:tcPr>
          <w:p>
            <w:pPr>
              <w:spacing w:line="360" w:lineRule="auto"/>
              <w:rPr>
                <w:rFonts w:hint="eastAsia" w:ascii="宋体" w:hAnsi="宋体" w:cs="宋体"/>
                <w:szCs w:val="21"/>
              </w:rPr>
            </w:pPr>
            <w:r>
              <w:rPr>
                <w:rFonts w:hint="eastAsia" w:ascii="宋体" w:hAnsi="宋体" w:cs="宋体"/>
                <w:szCs w:val="21"/>
              </w:rPr>
              <w:t>1.谈判单位须为具有独立法人资格、自主经营、独立核算的公司。</w:t>
            </w:r>
          </w:p>
          <w:p>
            <w:pPr>
              <w:spacing w:line="360" w:lineRule="auto"/>
              <w:rPr>
                <w:rFonts w:hint="eastAsia" w:ascii="宋体" w:hAnsi="宋体" w:cs="宋体"/>
                <w:szCs w:val="21"/>
              </w:rPr>
            </w:pPr>
            <w:r>
              <w:rPr>
                <w:rFonts w:hint="eastAsia" w:ascii="宋体" w:hAnsi="宋体" w:cs="宋体"/>
                <w:szCs w:val="21"/>
              </w:rPr>
              <w:t>2.谈判单位在本项目响应文件递交截止之日前须具有36个月内的管道疏通服务类相关业绩。不接受联合体业绩、港澳台或境外业绩。</w:t>
            </w:r>
          </w:p>
          <w:p>
            <w:pPr>
              <w:spacing w:line="360" w:lineRule="auto"/>
              <w:ind w:firstLine="420" w:firstLineChars="200"/>
              <w:rPr>
                <w:rFonts w:hint="eastAsia" w:ascii="宋体" w:hAnsi="宋体" w:cs="宋体"/>
                <w:szCs w:val="21"/>
              </w:rPr>
            </w:pPr>
            <w:r>
              <w:rPr>
                <w:rFonts w:hint="eastAsia" w:ascii="宋体" w:hAnsi="宋体" w:cs="宋体"/>
                <w:szCs w:val="21"/>
              </w:rPr>
              <w:t>业绩证明材料以同时提供的合同原件扫描件和发票（开票金额不少于合同金额的10%）原件扫描件为准（均须加盖投标人单位公章），业绩金额以合同中金额为准，时间以合同中采购单位的签字时间为准。</w:t>
            </w:r>
          </w:p>
          <w:p>
            <w:pPr>
              <w:spacing w:line="360" w:lineRule="auto"/>
              <w:rPr>
                <w:rFonts w:hint="eastAsia" w:ascii="宋体" w:hAnsi="宋体" w:cs="宋体"/>
                <w:szCs w:val="21"/>
              </w:rPr>
            </w:pPr>
            <w:r>
              <w:rPr>
                <w:rFonts w:hint="eastAsia" w:ascii="宋体" w:hAnsi="宋体" w:cs="宋体"/>
                <w:szCs w:val="21"/>
              </w:rPr>
              <w:t>3.本项目不接受联合体形式参与谈判。</w:t>
            </w:r>
          </w:p>
          <w:p>
            <w:pPr>
              <w:spacing w:line="360" w:lineRule="auto"/>
              <w:rPr>
                <w:rFonts w:ascii="宋体" w:hAnsi="宋体" w:cs="宋体"/>
                <w:color w:val="000000"/>
                <w:szCs w:val="21"/>
                <w:highlight w:val="yellow"/>
              </w:rPr>
            </w:pPr>
            <w:r>
              <w:rPr>
                <w:rFonts w:hint="eastAsia" w:ascii="宋体" w:hAnsi="宋体" w:cs="宋体"/>
                <w:szCs w:val="21"/>
              </w:rPr>
              <w:t>4.被长沙市轨道交通集团有限公司及长沙市轨道交通运营有限公司函告禁止在一定期限内参与投标的单位按函告内容执行。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谈判答疑文件递交截止时间</w:t>
            </w:r>
          </w:p>
        </w:tc>
        <w:tc>
          <w:tcPr>
            <w:tcW w:w="7709" w:type="dxa"/>
            <w:vAlign w:val="center"/>
          </w:tcPr>
          <w:p>
            <w:pPr>
              <w:pStyle w:val="25"/>
              <w:adjustRightInd w:val="0"/>
              <w:snapToGrid w:val="0"/>
              <w:spacing w:line="360" w:lineRule="auto"/>
              <w:rPr>
                <w:rFonts w:hAnsi="宋体" w:cs="宋体"/>
                <w:color w:val="000000"/>
              </w:rPr>
            </w:pPr>
            <w:r>
              <w:rPr>
                <w:rFonts w:hint="eastAsia" w:hAnsi="宋体" w:cs="宋体"/>
              </w:rPr>
              <w:t>20</w:t>
            </w:r>
            <w:r>
              <w:rPr>
                <w:rFonts w:hint="eastAsia" w:hAnsi="宋体" w:cs="宋体"/>
                <w:lang w:val="en-US" w:eastAsia="zh-CN"/>
              </w:rPr>
              <w:t>22</w:t>
            </w:r>
            <w:r>
              <w:rPr>
                <w:rFonts w:hint="eastAsia" w:hAnsi="宋体" w:cs="宋体"/>
              </w:rPr>
              <w:t>年</w:t>
            </w:r>
            <w:r>
              <w:rPr>
                <w:rFonts w:hint="eastAsia" w:hAnsi="宋体" w:cs="宋体"/>
                <w:lang w:val="en-US" w:eastAsia="zh-CN"/>
              </w:rPr>
              <w:t>05</w:t>
            </w:r>
            <w:r>
              <w:rPr>
                <w:rFonts w:hint="eastAsia" w:hAnsi="宋体" w:cs="宋体"/>
              </w:rPr>
              <w:t>月</w:t>
            </w:r>
            <w:r>
              <w:rPr>
                <w:rFonts w:hint="eastAsia" w:hAnsi="宋体" w:cs="宋体"/>
                <w:lang w:val="en-US" w:eastAsia="zh-CN"/>
              </w:rPr>
              <w:t>23</w:t>
            </w:r>
            <w:r>
              <w:rPr>
                <w:rFonts w:hint="eastAsia" w:hAnsi="宋体" w:cs="宋体"/>
              </w:rPr>
              <w:t>日 17 时 00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谈判答疑文件递交方式及地点</w:t>
            </w:r>
          </w:p>
        </w:tc>
        <w:tc>
          <w:tcPr>
            <w:tcW w:w="7709" w:type="dxa"/>
            <w:vAlign w:val="center"/>
          </w:tcPr>
          <w:p>
            <w:pPr>
              <w:pStyle w:val="25"/>
              <w:adjustRightInd w:val="0"/>
              <w:snapToGrid w:val="0"/>
              <w:spacing w:line="360" w:lineRule="auto"/>
              <w:rPr>
                <w:rFonts w:hAnsi="宋体" w:cs="宋体"/>
                <w:iCs/>
                <w:color w:val="FF0000"/>
              </w:rPr>
            </w:pPr>
            <w:r>
              <w:rPr>
                <w:rFonts w:hint="eastAsia" w:hAnsi="宋体" w:cs="宋体"/>
              </w:rPr>
              <w:t>谈判答疑文件应以书面形式递交至</w:t>
            </w:r>
            <w:r>
              <w:rPr>
                <w:rFonts w:hint="eastAsia" w:ascii="宋体" w:hAnsi="宋体" w:cs="宋体"/>
                <w:iCs/>
                <w:szCs w:val="21"/>
              </w:rPr>
              <w:t>长沙高新开发区尖山路39号中电软件园一期5栋803室</w:t>
            </w:r>
            <w:r>
              <w:rPr>
                <w:rFonts w:hint="eastAsia"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响应文件的递交截止及谈判时间</w:t>
            </w:r>
          </w:p>
        </w:tc>
        <w:tc>
          <w:tcPr>
            <w:tcW w:w="7709"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05</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 14 时 30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响应文件的递交及谈判地点</w:t>
            </w:r>
          </w:p>
        </w:tc>
        <w:tc>
          <w:tcPr>
            <w:tcW w:w="7709" w:type="dxa"/>
            <w:vAlign w:val="center"/>
          </w:tcPr>
          <w:p>
            <w:pPr>
              <w:adjustRightInd w:val="0"/>
              <w:snapToGrid w:val="0"/>
              <w:spacing w:line="360" w:lineRule="auto"/>
              <w:jc w:val="left"/>
              <w:rPr>
                <w:rFonts w:ascii="宋体" w:hAnsi="宋体" w:cs="宋体"/>
                <w:szCs w:val="21"/>
              </w:rPr>
            </w:pPr>
            <w:r>
              <w:rPr>
                <w:rFonts w:hint="eastAsia" w:ascii="宋体" w:hAnsi="宋体" w:cs="宋体"/>
                <w:bCs/>
                <w:szCs w:val="21"/>
              </w:rPr>
              <w:t>长沙市劳动东路二段48号黄兴车辆段综合楼9楼910室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谈判现场验证须提交的资料</w:t>
            </w:r>
          </w:p>
        </w:tc>
        <w:tc>
          <w:tcPr>
            <w:tcW w:w="7709" w:type="dxa"/>
            <w:vAlign w:val="center"/>
          </w:tcPr>
          <w:p>
            <w:pPr>
              <w:adjustRightInd w:val="0"/>
              <w:snapToGrid w:val="0"/>
              <w:spacing w:line="360" w:lineRule="auto"/>
              <w:jc w:val="left"/>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（格式详见本文件第六章）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第六章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响应文件有效期</w:t>
            </w:r>
          </w:p>
        </w:tc>
        <w:tc>
          <w:tcPr>
            <w:tcW w:w="7709"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响应文件份数</w:t>
            </w:r>
          </w:p>
        </w:tc>
        <w:tc>
          <w:tcPr>
            <w:tcW w:w="7709" w:type="dxa"/>
            <w:vAlign w:val="center"/>
          </w:tcPr>
          <w:p>
            <w:pPr>
              <w:adjustRightInd w:val="0"/>
              <w:snapToGrid w:val="0"/>
              <w:spacing w:line="360" w:lineRule="auto"/>
              <w:rPr>
                <w:rFonts w:ascii="宋体" w:hAnsi="宋体" w:cs="宋体"/>
                <w:szCs w:val="21"/>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价格承包内容</w:t>
            </w:r>
          </w:p>
        </w:tc>
        <w:tc>
          <w:tcPr>
            <w:tcW w:w="7709" w:type="dxa"/>
            <w:vAlign w:val="center"/>
          </w:tcPr>
          <w:p>
            <w:pPr>
              <w:adjustRightInd w:val="0"/>
              <w:snapToGrid w:val="0"/>
              <w:spacing w:line="360" w:lineRule="auto"/>
              <w:rPr>
                <w:rFonts w:hint="eastAsia" w:ascii="宋体" w:hAnsi="宋体" w:eastAsia="宋体" w:cs="宋体"/>
                <w:szCs w:val="21"/>
                <w:lang w:eastAsia="zh-CN"/>
              </w:rPr>
            </w:pPr>
            <w:r>
              <w:rPr>
                <w:rFonts w:hint="eastAsia" w:ascii="宋体" w:hAnsi="宋体" w:cs="宋体"/>
              </w:rPr>
              <w:t>总价合同（除税率调整外，合同总价（即中标总价/中选总价/成交总价）在合同执行过程中固定不变，不随政府政策（长沙市规定的最低工资标准变化等）及市场物价上涨或回落等因素调整。</w:t>
            </w:r>
            <w:r>
              <w:rPr>
                <w:rFonts w:hint="eastAsia" w:ascii="宋体" w:hAnsi="宋体" w:cs="宋体"/>
                <w:b w:val="0"/>
                <w:bCs w:val="0"/>
              </w:rPr>
              <w:t>最终完成的合格工作量超过招标/竞谈/谈判的工作量时，按招标/竞谈/谈判的工作量办理结算；最终完成的合格工作量未超过招标/竞谈/谈判的工程量时，则按最终完成的合格工程量办理结算</w:t>
            </w:r>
            <w:r>
              <w:rPr>
                <w:rFonts w:hint="eastAsia" w:ascii="宋体" w:hAnsi="宋体" w:cs="宋体"/>
              </w:rPr>
              <w:t>）</w:t>
            </w:r>
            <w:r>
              <w:rPr>
                <w:rFonts w:hint="eastAsia" w:ascii="宋体" w:hAnsi="宋体" w:cs="宋体"/>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943" w:type="dxa"/>
            <w:vAlign w:val="center"/>
          </w:tcPr>
          <w:p>
            <w:pPr>
              <w:adjustRightInd w:val="0"/>
              <w:snapToGrid w:val="0"/>
              <w:spacing w:line="360" w:lineRule="auto"/>
              <w:jc w:val="center"/>
              <w:rPr>
                <w:rFonts w:ascii="宋体" w:hAnsi="宋体" w:cs="宋体"/>
                <w:b/>
                <w:color w:val="FF0000"/>
                <w:szCs w:val="21"/>
              </w:rPr>
            </w:pPr>
            <w:r>
              <w:rPr>
                <w:rFonts w:hint="eastAsia" w:ascii="宋体" w:hAnsi="宋体" w:cs="宋体"/>
                <w:b/>
                <w:szCs w:val="21"/>
              </w:rPr>
              <w:t>项目支付方式</w:t>
            </w:r>
          </w:p>
        </w:tc>
        <w:tc>
          <w:tcPr>
            <w:tcW w:w="7709" w:type="dxa"/>
            <w:vAlign w:val="center"/>
          </w:tcPr>
          <w:p>
            <w:pPr>
              <w:spacing w:line="360" w:lineRule="auto"/>
              <w:rPr>
                <w:rFonts w:hint="eastAsia" w:ascii="宋体" w:hAnsi="宋体" w:cs="宋体"/>
                <w:bCs/>
              </w:rPr>
            </w:pPr>
            <w:r>
              <w:rPr>
                <w:rFonts w:hint="eastAsia" w:ascii="宋体" w:hAnsi="宋体" w:cs="宋体"/>
                <w:bCs/>
                <w:lang w:val="en-US" w:eastAsia="zh-CN"/>
              </w:rPr>
              <w:t>1.</w:t>
            </w:r>
            <w:r>
              <w:rPr>
                <w:rFonts w:hint="eastAsia" w:ascii="宋体" w:hAnsi="宋体" w:cs="宋体"/>
                <w:bCs/>
              </w:rPr>
              <w:t>分期支付：</w:t>
            </w:r>
          </w:p>
          <w:p>
            <w:pPr>
              <w:spacing w:line="360" w:lineRule="auto"/>
              <w:rPr>
                <w:rFonts w:hint="eastAsia" w:ascii="宋体" w:hAnsi="宋体" w:cs="宋体"/>
                <w:bCs/>
              </w:rPr>
            </w:pPr>
            <w:r>
              <w:rPr>
                <w:rFonts w:hint="eastAsia" w:ascii="宋体" w:hAnsi="宋体" w:cs="宋体"/>
                <w:bCs/>
              </w:rPr>
              <w:t>1）进度款支付：进度款按半年</w:t>
            </w:r>
            <w:r>
              <w:rPr>
                <w:rFonts w:hint="eastAsia" w:ascii="宋体" w:hAnsi="宋体" w:cs="宋体"/>
                <w:bCs/>
                <w:lang w:val="en-US" w:eastAsia="zh-CN"/>
              </w:rPr>
              <w:t>度</w:t>
            </w:r>
            <w:r>
              <w:rPr>
                <w:rFonts w:hint="eastAsia" w:ascii="宋体" w:hAnsi="宋体" w:cs="宋体"/>
                <w:bCs/>
              </w:rPr>
              <w:t>支付，每个付款周期的支付额度为计量金额（即本次付款周期内完成的合格工作量*合同单价）并综合考核结果后金额的70%。</w:t>
            </w:r>
          </w:p>
          <w:p>
            <w:pPr>
              <w:spacing w:line="360" w:lineRule="auto"/>
              <w:rPr>
                <w:rFonts w:hint="eastAsia" w:ascii="宋体" w:hAnsi="宋体" w:cs="宋体"/>
                <w:bCs/>
              </w:rPr>
            </w:pPr>
            <w:r>
              <w:rPr>
                <w:rFonts w:hint="eastAsia" w:ascii="宋体" w:hAnsi="宋体" w:cs="宋体"/>
                <w:bCs/>
              </w:rPr>
              <w:t>2）乙方按合同约定完成全部工作，且本项目履约验收合格，支付至合同价格的100%。</w:t>
            </w:r>
          </w:p>
          <w:p>
            <w:pPr>
              <w:spacing w:line="360" w:lineRule="auto"/>
              <w:rPr>
                <w:rFonts w:hint="eastAsia" w:ascii="宋体" w:hAnsi="宋体" w:eastAsia="宋体" w:cs="宋体"/>
                <w:bCs/>
                <w:lang w:eastAsia="zh-CN"/>
              </w:rPr>
            </w:pPr>
            <w:r>
              <w:rPr>
                <w:rFonts w:hint="eastAsia" w:ascii="宋体" w:hAnsi="宋体" w:cs="宋体"/>
                <w:bCs/>
                <w:lang w:val="en-US" w:eastAsia="zh-CN"/>
              </w:rPr>
              <w:t>2.</w:t>
            </w:r>
            <w:r>
              <w:rPr>
                <w:rFonts w:hint="eastAsia" w:ascii="宋体" w:hAnsi="宋体" w:cs="宋体"/>
                <w:bCs/>
              </w:rPr>
              <w:t>支付时间</w:t>
            </w:r>
            <w:r>
              <w:rPr>
                <w:rFonts w:hint="eastAsia" w:ascii="宋体" w:hAnsi="宋体" w:cs="宋体"/>
                <w:bCs/>
                <w:lang w:eastAsia="zh-CN"/>
              </w:rPr>
              <w:t>：</w:t>
            </w:r>
          </w:p>
          <w:p>
            <w:pPr>
              <w:pStyle w:val="45"/>
              <w:adjustRightInd w:val="0"/>
              <w:snapToGrid w:val="0"/>
              <w:spacing w:after="0" w:line="360" w:lineRule="auto"/>
              <w:ind w:firstLine="0" w:firstLineChars="0"/>
              <w:rPr>
                <w:rFonts w:ascii="宋体" w:hAnsi="宋体" w:cs="宋体"/>
                <w:bCs/>
                <w:szCs w:val="21"/>
              </w:rPr>
            </w:pPr>
            <w:r>
              <w:rPr>
                <w:rFonts w:hint="eastAsia" w:ascii="宋体" w:hAnsi="宋体" w:cs="宋体"/>
                <w:bCs/>
              </w:rPr>
              <w:t>上述款项在甲方收到乙方的经甲方审批同意支付申请及增值税专用发票、有效期内的履约担保复印件等相关资料后28个工作日内支付。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信息发布</w:t>
            </w:r>
          </w:p>
          <w:p>
            <w:pPr>
              <w:adjustRightInd w:val="0"/>
              <w:snapToGrid w:val="0"/>
              <w:spacing w:line="360" w:lineRule="auto"/>
              <w:jc w:val="center"/>
              <w:rPr>
                <w:rFonts w:ascii="宋体" w:hAnsi="宋体" w:cs="宋体"/>
                <w:b/>
                <w:szCs w:val="21"/>
              </w:rPr>
            </w:pPr>
            <w:r>
              <w:rPr>
                <w:rFonts w:hint="eastAsia" w:ascii="宋体" w:hAnsi="宋体" w:cs="宋体"/>
                <w:b/>
                <w:szCs w:val="21"/>
              </w:rPr>
              <w:t>指定媒体</w:t>
            </w:r>
          </w:p>
        </w:tc>
        <w:tc>
          <w:tcPr>
            <w:tcW w:w="7709" w:type="dxa"/>
            <w:vAlign w:val="center"/>
          </w:tcPr>
          <w:p>
            <w:pPr>
              <w:adjustRightInd w:val="0"/>
              <w:snapToGrid w:val="0"/>
              <w:spacing w:line="360" w:lineRule="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5"/>
                <w:rFonts w:hint="eastAsia" w:ascii="宋体" w:hAnsi="宋体" w:cs="宋体"/>
                <w:color w:val="auto"/>
                <w:szCs w:val="21"/>
                <w:u w:val="none"/>
              </w:rPr>
              <w:t>http://www.hncsmtr.com/</w:t>
            </w:r>
            <w:r>
              <w:rPr>
                <w:rStyle w:val="55"/>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采购代理服务费</w:t>
            </w:r>
          </w:p>
        </w:tc>
        <w:tc>
          <w:tcPr>
            <w:tcW w:w="7709"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本项目采购代理服务费以中选价为基数，按《采购代理服务费收费标准》(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其他规定</w:t>
            </w:r>
          </w:p>
        </w:tc>
        <w:tc>
          <w:tcPr>
            <w:tcW w:w="7709" w:type="dxa"/>
            <w:vAlign w:val="center"/>
          </w:tcPr>
          <w:p>
            <w:pPr>
              <w:adjustRightInd w:val="0"/>
              <w:snapToGrid w:val="0"/>
              <w:spacing w:line="360" w:lineRule="auto"/>
              <w:rPr>
                <w:rFonts w:ascii="宋体" w:hAnsi="宋体" w:cs="宋体"/>
                <w:szCs w:val="21"/>
              </w:rPr>
            </w:pPr>
            <w:r>
              <w:rPr>
                <w:rFonts w:hint="eastAsia" w:ascii="宋体" w:hAnsi="宋体" w:cs="宋体"/>
                <w:szCs w:val="21"/>
              </w:rPr>
              <w:t>（如有）</w:t>
            </w:r>
          </w:p>
        </w:tc>
      </w:tr>
    </w:tbl>
    <w:p>
      <w:pPr>
        <w:pStyle w:val="4"/>
        <w:keepNext w:val="0"/>
        <w:keepLines w:val="0"/>
        <w:jc w:val="both"/>
        <w:rPr>
          <w:rFonts w:ascii="黑体" w:hAnsi="黑体" w:eastAsia="黑体"/>
          <w:sz w:val="30"/>
          <w:szCs w:val="30"/>
        </w:rPr>
      </w:pPr>
      <w:bookmarkStart w:id="19" w:name="_Toc14891067"/>
    </w:p>
    <w:p>
      <w:pPr>
        <w:widowControl/>
        <w:jc w:val="left"/>
      </w:pPr>
      <w:r>
        <w:br w:type="page"/>
      </w:r>
    </w:p>
    <w:p>
      <w:pPr>
        <w:pStyle w:val="4"/>
        <w:keepNext w:val="0"/>
        <w:keepLines w:val="0"/>
        <w:jc w:val="center"/>
        <w:rPr>
          <w:rFonts w:ascii="宋体" w:hAnsi="宋体" w:cs="宋体"/>
          <w:sz w:val="32"/>
        </w:rPr>
      </w:pPr>
      <w:bookmarkStart w:id="20" w:name="_Toc31558"/>
      <w:bookmarkStart w:id="21" w:name="_Toc26157"/>
      <w:bookmarkStart w:id="22" w:name="_Toc30640"/>
      <w:bookmarkStart w:id="23" w:name="_Toc19645"/>
      <w:bookmarkStart w:id="24" w:name="_Toc16939"/>
      <w:bookmarkStart w:id="25" w:name="_Hlk71364110"/>
      <w:r>
        <w:rPr>
          <w:rFonts w:hint="eastAsia" w:ascii="宋体" w:hAnsi="宋体" w:cs="宋体"/>
          <w:sz w:val="32"/>
        </w:rPr>
        <w:t>谈判须知正文</w:t>
      </w:r>
      <w:bookmarkEnd w:id="19"/>
      <w:bookmarkEnd w:id="20"/>
      <w:bookmarkEnd w:id="21"/>
      <w:bookmarkEnd w:id="22"/>
      <w:bookmarkEnd w:id="23"/>
      <w:bookmarkEnd w:id="24"/>
    </w:p>
    <w:bookmarkEnd w:id="25"/>
    <w:p>
      <w:pPr>
        <w:pStyle w:val="4"/>
        <w:keepNext w:val="0"/>
        <w:keepLines w:val="0"/>
        <w:rPr>
          <w:rFonts w:ascii="宋体" w:hAnsi="宋体" w:cs="宋体"/>
          <w:sz w:val="21"/>
          <w:szCs w:val="21"/>
        </w:rPr>
      </w:pPr>
      <w:bookmarkStart w:id="26" w:name="_Toc14891068"/>
      <w:bookmarkStart w:id="27" w:name="_Toc11440"/>
      <w:bookmarkStart w:id="28" w:name="_Toc7421"/>
      <w:r>
        <w:rPr>
          <w:rFonts w:hint="eastAsia" w:ascii="宋体" w:hAnsi="宋体" w:cs="宋体"/>
          <w:sz w:val="21"/>
          <w:szCs w:val="21"/>
        </w:rPr>
        <w:t>一、说明</w:t>
      </w:r>
      <w:bookmarkEnd w:id="26"/>
      <w:bookmarkEnd w:id="27"/>
      <w:bookmarkEnd w:id="28"/>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2.本谈判文件的解释权属于长沙市轨道交通运营有限公司。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3.2“谈判单位”是指响应本谈判文件要求、参加谈判的法人组织。</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3.3“采购代理机构”是指接受采购单位委托，代理采购项目的机构。本采购项目的采购代理机构名称见</w:t>
      </w:r>
      <w:r>
        <w:rPr>
          <w:rFonts w:hint="eastAsia" w:ascii="宋体" w:hAnsi="宋体" w:cs="宋体"/>
          <w:b/>
          <w:bCs/>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3.4“谈判</w:t>
      </w:r>
      <w:r>
        <w:rPr>
          <w:rFonts w:hint="eastAsia" w:ascii="宋体" w:hAnsi="宋体" w:cs="宋体"/>
          <w:bCs/>
          <w:szCs w:val="21"/>
        </w:rPr>
        <w:t>评审</w:t>
      </w:r>
      <w:r>
        <w:rPr>
          <w:rFonts w:hint="eastAsia" w:ascii="宋体" w:hAnsi="宋体" w:cs="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4.谈判单位资格要求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6"/>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356"/>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6"/>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356"/>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356"/>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356"/>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5.参与谈判的费用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szCs w:val="21"/>
        </w:rPr>
        <w:t>5.2采购代理服务费由中选单位全额承担。本项目采购代理服务费以中选价为基数，按谈判须知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adjustRightInd w:val="0"/>
        <w:snapToGrid w:val="0"/>
        <w:spacing w:line="360" w:lineRule="auto"/>
        <w:ind w:firstLine="422" w:firstLineChars="200"/>
        <w:rPr>
          <w:rFonts w:hAnsi="宋体" w:cs="宋体"/>
          <w:b/>
          <w:bCs/>
        </w:rPr>
      </w:pPr>
      <w:r>
        <w:rPr>
          <w:rFonts w:hint="eastAsia" w:hAnsi="宋体" w:cs="宋体"/>
          <w:b/>
        </w:rPr>
        <w:t>6．</w:t>
      </w:r>
      <w:r>
        <w:rPr>
          <w:rFonts w:hint="eastAsia" w:hAnsi="宋体" w:cs="宋体"/>
          <w:b/>
          <w:bCs/>
        </w:rPr>
        <w:t>谈判单位代表</w:t>
      </w:r>
    </w:p>
    <w:p>
      <w:pPr>
        <w:pStyle w:val="25"/>
        <w:adjustRightInd w:val="0"/>
        <w:snapToGrid w:val="0"/>
        <w:spacing w:line="360" w:lineRule="auto"/>
        <w:ind w:firstLine="420" w:firstLineChars="200"/>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pStyle w:val="25"/>
        <w:adjustRightInd w:val="0"/>
        <w:snapToGrid w:val="0"/>
        <w:spacing w:line="360" w:lineRule="auto"/>
        <w:ind w:firstLine="420" w:firstLineChars="200"/>
        <w:rPr>
          <w:rFonts w:hAnsi="宋体" w:cs="宋体"/>
          <w:b/>
          <w:strike/>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pStyle w:val="4"/>
        <w:keepNext w:val="0"/>
        <w:keepLines w:val="0"/>
        <w:rPr>
          <w:rFonts w:ascii="宋体" w:hAnsi="宋体" w:cs="宋体"/>
          <w:sz w:val="21"/>
          <w:szCs w:val="21"/>
        </w:rPr>
      </w:pPr>
      <w:bookmarkStart w:id="29" w:name="_Toc303"/>
      <w:bookmarkStart w:id="30" w:name="_Toc14891069"/>
      <w:bookmarkStart w:id="31" w:name="_Toc2948"/>
      <w:r>
        <w:rPr>
          <w:rFonts w:hint="eastAsia" w:ascii="宋体" w:hAnsi="宋体" w:cs="宋体"/>
          <w:sz w:val="21"/>
          <w:szCs w:val="21"/>
        </w:rPr>
        <w:t>二、谈判文件</w:t>
      </w:r>
      <w:bookmarkEnd w:id="29"/>
      <w:bookmarkEnd w:id="30"/>
      <w:bookmarkEnd w:id="31"/>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7．谈判文件的组成</w:t>
      </w:r>
    </w:p>
    <w:p>
      <w:pPr>
        <w:pStyle w:val="25"/>
        <w:adjustRightInd w:val="0"/>
        <w:snapToGrid w:val="0"/>
        <w:spacing w:line="360" w:lineRule="auto"/>
        <w:ind w:firstLine="420" w:firstLineChars="200"/>
        <w:rPr>
          <w:rFonts w:hAnsi="宋体" w:cs="宋体"/>
        </w:rPr>
      </w:pPr>
      <w:r>
        <w:rPr>
          <w:rFonts w:hint="eastAsia" w:hAnsi="宋体" w:cs="宋体"/>
        </w:rPr>
        <w:t>7.1谈判文件由下列文件组成：</w:t>
      </w:r>
    </w:p>
    <w:p>
      <w:pPr>
        <w:pStyle w:val="25"/>
        <w:adjustRightInd w:val="0"/>
        <w:snapToGrid w:val="0"/>
        <w:spacing w:line="360" w:lineRule="auto"/>
        <w:ind w:firstLine="420" w:firstLineChars="200"/>
        <w:rPr>
          <w:rFonts w:hAnsi="宋体" w:cs="宋体"/>
        </w:rPr>
      </w:pPr>
      <w:r>
        <w:rPr>
          <w:rFonts w:hint="eastAsia" w:hAnsi="宋体" w:cs="宋体"/>
        </w:rPr>
        <w:t>第一章 谈判邀请公告</w:t>
      </w:r>
    </w:p>
    <w:p>
      <w:pPr>
        <w:pStyle w:val="25"/>
        <w:adjustRightInd w:val="0"/>
        <w:snapToGrid w:val="0"/>
        <w:spacing w:line="360" w:lineRule="auto"/>
        <w:ind w:firstLine="420" w:firstLineChars="200"/>
        <w:rPr>
          <w:rFonts w:hAnsi="宋体" w:cs="宋体"/>
        </w:rPr>
      </w:pPr>
      <w:r>
        <w:rPr>
          <w:rFonts w:hint="eastAsia" w:hAnsi="宋体" w:cs="宋体"/>
        </w:rPr>
        <w:t>第二章 谈判须知</w:t>
      </w:r>
    </w:p>
    <w:p>
      <w:pPr>
        <w:pStyle w:val="25"/>
        <w:adjustRightInd w:val="0"/>
        <w:snapToGrid w:val="0"/>
        <w:spacing w:line="360" w:lineRule="auto"/>
        <w:ind w:firstLine="420" w:firstLineChars="200"/>
        <w:rPr>
          <w:rFonts w:hAnsi="宋体" w:cs="宋体"/>
        </w:rPr>
      </w:pPr>
      <w:r>
        <w:rPr>
          <w:rFonts w:hint="eastAsia" w:hAnsi="宋体" w:cs="宋体"/>
        </w:rPr>
        <w:t>第三章 评审办法及标准</w:t>
      </w:r>
    </w:p>
    <w:p>
      <w:pPr>
        <w:pStyle w:val="25"/>
        <w:adjustRightInd w:val="0"/>
        <w:snapToGrid w:val="0"/>
        <w:spacing w:line="360" w:lineRule="auto"/>
        <w:ind w:firstLine="420" w:firstLineChars="200"/>
        <w:rPr>
          <w:rFonts w:hint="eastAsia" w:hAnsi="宋体" w:eastAsia="宋体" w:cs="宋体"/>
          <w:lang w:eastAsia="zh-CN"/>
        </w:rPr>
      </w:pPr>
      <w:r>
        <w:rPr>
          <w:rFonts w:hint="eastAsia" w:hAnsi="宋体" w:cs="宋体"/>
        </w:rPr>
        <w:t>第四章 用户需求书</w:t>
      </w:r>
      <w:r>
        <w:rPr>
          <w:rFonts w:hint="eastAsia" w:hAnsi="宋体" w:cs="宋体"/>
          <w:lang w:eastAsia="zh-CN"/>
        </w:rPr>
        <w:t>（</w:t>
      </w:r>
      <w:r>
        <w:rPr>
          <w:rFonts w:hint="eastAsia" w:hAnsi="宋体" w:cs="宋体"/>
          <w:lang w:val="en-US" w:eastAsia="zh-CN"/>
        </w:rPr>
        <w:t>另册</w:t>
      </w:r>
      <w:r>
        <w:rPr>
          <w:rFonts w:hint="eastAsia" w:hAnsi="宋体" w:cs="宋体"/>
          <w:lang w:eastAsia="zh-CN"/>
        </w:rPr>
        <w:t>）</w:t>
      </w:r>
    </w:p>
    <w:p>
      <w:pPr>
        <w:pStyle w:val="25"/>
        <w:adjustRightInd w:val="0"/>
        <w:snapToGrid w:val="0"/>
        <w:spacing w:line="360" w:lineRule="auto"/>
        <w:ind w:firstLine="420" w:firstLineChars="200"/>
        <w:rPr>
          <w:rFonts w:hAnsi="宋体" w:cs="宋体"/>
        </w:rPr>
      </w:pPr>
      <w:r>
        <w:rPr>
          <w:rFonts w:hint="eastAsia" w:hAnsi="宋体" w:cs="宋体"/>
        </w:rPr>
        <w:t>第五章 合同格式条款</w:t>
      </w:r>
    </w:p>
    <w:p>
      <w:pPr>
        <w:pStyle w:val="25"/>
        <w:adjustRightInd w:val="0"/>
        <w:snapToGrid w:val="0"/>
        <w:spacing w:line="360" w:lineRule="auto"/>
        <w:ind w:firstLine="420" w:firstLineChars="200"/>
        <w:rPr>
          <w:rFonts w:hAnsi="宋体" w:cs="宋体"/>
        </w:rPr>
      </w:pPr>
      <w:r>
        <w:rPr>
          <w:rFonts w:hint="eastAsia" w:hAnsi="宋体" w:cs="宋体"/>
        </w:rPr>
        <w:t>第六章 响应文件组成</w:t>
      </w:r>
    </w:p>
    <w:p>
      <w:pPr>
        <w:pStyle w:val="25"/>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7.3谈判单位应仔细阅读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谈判文件的澄清及答疑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向采购代理机构提出，</w:t>
      </w:r>
      <w:r>
        <w:rPr>
          <w:rFonts w:hint="eastAsia" w:ascii="宋体" w:hAnsi="宋体" w:cs="宋体"/>
          <w:szCs w:val="21"/>
        </w:rPr>
        <w:t>否则，由此引起的损失由谈判单位自己承担。</w:t>
      </w:r>
    </w:p>
    <w:p>
      <w:pPr>
        <w:spacing w:line="360" w:lineRule="auto"/>
        <w:ind w:firstLine="420" w:firstLineChars="200"/>
        <w:rPr>
          <w:rFonts w:ascii="宋体" w:hAnsi="宋体" w:cs="宋体"/>
          <w:iCs/>
          <w:szCs w:val="21"/>
        </w:rPr>
      </w:pPr>
      <w:r>
        <w:rPr>
          <w:rFonts w:hint="eastAsia" w:ascii="宋体" w:hAnsi="宋体" w:cs="宋体"/>
          <w:iCs/>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响应文件递交截止时间、谈判会议时间及地点</w:t>
      </w:r>
    </w:p>
    <w:p>
      <w:pPr>
        <w:pStyle w:val="25"/>
        <w:adjustRightInd w:val="0"/>
        <w:snapToGrid w:val="0"/>
        <w:spacing w:line="360" w:lineRule="auto"/>
        <w:ind w:firstLine="420" w:firstLineChars="200"/>
        <w:rPr>
          <w:rFonts w:hAnsi="宋体" w:cs="宋体"/>
        </w:rPr>
      </w:pPr>
      <w:r>
        <w:rPr>
          <w:rFonts w:hint="eastAsia" w:hAnsi="宋体" w:cs="宋体"/>
        </w:rPr>
        <w:t>9.1</w:t>
      </w:r>
      <w:r>
        <w:rPr>
          <w:rFonts w:hint="eastAsia" w:hAnsi="宋体" w:cs="宋体"/>
          <w:kern w:val="0"/>
        </w:rPr>
        <w:t>谈判单位递交响应文件截止时间、谈判会议</w:t>
      </w:r>
      <w:r>
        <w:rPr>
          <w:rFonts w:hint="eastAsia" w:hAnsi="宋体" w:cs="宋体"/>
        </w:rPr>
        <w:t>时间及地点见</w:t>
      </w:r>
      <w:r>
        <w:rPr>
          <w:rFonts w:hint="eastAsia" w:hAnsi="宋体" w:cs="宋体"/>
          <w:b/>
        </w:rPr>
        <w:t>前附表</w:t>
      </w:r>
      <w:r>
        <w:rPr>
          <w:rFonts w:hint="eastAsia" w:hAnsi="宋体" w:cs="宋体"/>
        </w:rPr>
        <w:t>。</w:t>
      </w:r>
    </w:p>
    <w:p>
      <w:pPr>
        <w:pStyle w:val="4"/>
        <w:keepNext w:val="0"/>
        <w:keepLines w:val="0"/>
        <w:rPr>
          <w:rFonts w:ascii="宋体" w:hAnsi="宋体" w:cs="宋体"/>
          <w:sz w:val="21"/>
          <w:szCs w:val="21"/>
        </w:rPr>
      </w:pPr>
      <w:bookmarkStart w:id="32" w:name="_Toc9387"/>
      <w:bookmarkStart w:id="33" w:name="_Toc6160"/>
      <w:bookmarkStart w:id="34" w:name="_Toc14891070"/>
      <w:r>
        <w:rPr>
          <w:rFonts w:hint="eastAsia" w:ascii="宋体" w:hAnsi="宋体" w:cs="宋体"/>
          <w:sz w:val="21"/>
          <w:szCs w:val="21"/>
        </w:rPr>
        <w:t>三、响应文件</w:t>
      </w:r>
      <w:bookmarkEnd w:id="32"/>
      <w:bookmarkEnd w:id="33"/>
      <w:bookmarkEnd w:id="34"/>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w:t>
      </w:r>
      <w:bookmarkStart w:id="35" w:name="_Hlk68706641"/>
      <w:r>
        <w:rPr>
          <w:rFonts w:hint="eastAsia" w:ascii="宋体" w:hAnsi="宋体" w:cs="宋体"/>
          <w:bCs/>
          <w:szCs w:val="21"/>
        </w:rPr>
        <w:t>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bookmarkEnd w:id="35"/>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5"/>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pPr>
      <w:r>
        <w:rPr>
          <w:rFonts w:hint="eastAsia" w:ascii="宋体" w:hAnsi="宋体" w:cs="宋体"/>
          <w:szCs w:val="21"/>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pStyle w:val="25"/>
        <w:adjustRightInd w:val="0"/>
        <w:snapToGrid w:val="0"/>
        <w:spacing w:line="360" w:lineRule="auto"/>
        <w:ind w:firstLine="420" w:firstLineChars="200"/>
        <w:rPr>
          <w:rFonts w:hAnsi="宋体" w:cs="宋体"/>
        </w:rPr>
      </w:pPr>
      <w:r>
        <w:rPr>
          <w:rFonts w:hint="eastAsia" w:hAnsi="宋体" w:cs="宋体"/>
        </w:rPr>
        <w:t>（1）谈判承诺书</w:t>
      </w:r>
    </w:p>
    <w:p>
      <w:pPr>
        <w:pStyle w:val="25"/>
        <w:adjustRightInd w:val="0"/>
        <w:snapToGrid w:val="0"/>
        <w:spacing w:line="360" w:lineRule="auto"/>
        <w:ind w:firstLine="420" w:firstLineChars="200"/>
        <w:rPr>
          <w:rFonts w:hAnsi="宋体" w:cs="宋体"/>
        </w:rPr>
      </w:pPr>
      <w:r>
        <w:rPr>
          <w:rFonts w:hint="eastAsia" w:hAnsi="宋体" w:cs="宋体"/>
        </w:rPr>
        <w:t>（2）法定代表人身份证明书</w:t>
      </w:r>
    </w:p>
    <w:p>
      <w:pPr>
        <w:pStyle w:val="25"/>
        <w:adjustRightInd w:val="0"/>
        <w:snapToGrid w:val="0"/>
        <w:spacing w:line="360" w:lineRule="auto"/>
        <w:ind w:firstLine="420" w:firstLineChars="200"/>
        <w:rPr>
          <w:rFonts w:hAnsi="宋体" w:cs="宋体"/>
        </w:rPr>
      </w:pPr>
      <w:r>
        <w:rPr>
          <w:rFonts w:hint="eastAsia" w:hAnsi="宋体" w:cs="宋体"/>
        </w:rPr>
        <w:t>（3）授权委托书</w:t>
      </w:r>
    </w:p>
    <w:p>
      <w:pPr>
        <w:pStyle w:val="25"/>
        <w:adjustRightInd w:val="0"/>
        <w:snapToGrid w:val="0"/>
        <w:spacing w:line="360" w:lineRule="auto"/>
        <w:ind w:firstLine="420" w:firstLineChars="200"/>
        <w:rPr>
          <w:rFonts w:hAnsi="宋体" w:cs="宋体"/>
        </w:rPr>
      </w:pPr>
      <w:r>
        <w:rPr>
          <w:rFonts w:hint="eastAsia" w:hAnsi="宋体" w:cs="宋体"/>
        </w:rPr>
        <w:t>（4）谈判单位资格条件证明文件</w:t>
      </w:r>
    </w:p>
    <w:p>
      <w:pPr>
        <w:pStyle w:val="25"/>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5</w:t>
      </w:r>
      <w:r>
        <w:rPr>
          <w:rFonts w:hint="eastAsia" w:hAnsi="宋体" w:cs="宋体"/>
        </w:rPr>
        <w:t>）服务方案（如有）</w:t>
      </w:r>
    </w:p>
    <w:p>
      <w:pPr>
        <w:pStyle w:val="25"/>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6</w:t>
      </w:r>
      <w:r>
        <w:rPr>
          <w:rFonts w:hint="eastAsia" w:hAnsi="宋体" w:cs="宋体"/>
        </w:rPr>
        <w:t>）报价一览表</w:t>
      </w:r>
    </w:p>
    <w:p>
      <w:pPr>
        <w:pStyle w:val="25"/>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7</w:t>
      </w:r>
      <w:r>
        <w:rPr>
          <w:rFonts w:hint="eastAsia" w:hAnsi="宋体" w:cs="宋体"/>
        </w:rPr>
        <w:t>）分项价格表</w:t>
      </w:r>
    </w:p>
    <w:p>
      <w:pPr>
        <w:pStyle w:val="25"/>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8</w:t>
      </w:r>
      <w:r>
        <w:rPr>
          <w:rFonts w:hint="eastAsia" w:hAnsi="宋体" w:cs="宋体"/>
        </w:rPr>
        <w:t>）其他资料（如有）</w:t>
      </w:r>
    </w:p>
    <w:p>
      <w:pPr>
        <w:pStyle w:val="25"/>
        <w:adjustRightInd w:val="0"/>
        <w:snapToGrid w:val="0"/>
        <w:spacing w:line="360" w:lineRule="auto"/>
        <w:ind w:firstLine="420" w:firstLineChars="200"/>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11.3谈判单位无论成交与否，其递交的响应文件均不予退还。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w:t>
      </w:r>
      <w:r>
        <w:rPr>
          <w:rFonts w:hint="eastAsia" w:ascii="宋体" w:hAnsi="宋体" w:cs="宋体"/>
          <w:szCs w:val="21"/>
          <w:highlight w:val="none"/>
        </w:rPr>
        <w:t>本项目为一轮报价。</w:t>
      </w:r>
      <w:r>
        <w:rPr>
          <w:rFonts w:hint="eastAsia" w:ascii="宋体" w:hAnsi="宋体" w:cs="宋体"/>
          <w:szCs w:val="21"/>
        </w:rPr>
        <w:t>谈判单位应按第六章“响应文件格式”的要求在报价文件中进行报价。谈判单位所报的</w:t>
      </w:r>
      <w:r>
        <w:rPr>
          <w:rFonts w:hint="eastAsia" w:ascii="宋体" w:hAnsi="宋体" w:cs="宋体"/>
          <w:szCs w:val="21"/>
          <w:highlight w:val="none"/>
        </w:rPr>
        <w:t>总价及综合单价</w:t>
      </w:r>
      <w:r>
        <w:rPr>
          <w:rFonts w:hint="eastAsia" w:ascii="宋体" w:hAnsi="宋体" w:cs="宋体"/>
          <w:szCs w:val="21"/>
        </w:rPr>
        <w:t>均不得超过最高限价，不超过最高限价的谈判总报价为有效报价，谈判时需明确税费，税率必须符合国家政策法规规定，合同支付时服务单位需开具经</w:t>
      </w:r>
      <w:r>
        <w:rPr>
          <w:rFonts w:hint="eastAsia" w:ascii="宋体" w:hAnsi="宋体" w:cs="宋体"/>
          <w:b/>
          <w:szCs w:val="21"/>
        </w:rPr>
        <w:t>采购单位</w:t>
      </w:r>
      <w:r>
        <w:rPr>
          <w:rFonts w:hint="eastAsia" w:ascii="宋体" w:hAnsi="宋体" w:cs="宋体"/>
          <w:szCs w:val="21"/>
        </w:rPr>
        <w:t>认可的合法完税单据。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12.2谈判单位应充分了解该项目的总体情况以及影响谈判报价的其他要素。</w:t>
      </w:r>
      <w:r>
        <w:rPr>
          <w:rFonts w:hint="eastAsia" w:ascii="宋体" w:hAnsi="宋体" w:cs="宋体"/>
          <w:b/>
          <w:szCs w:val="21"/>
        </w:rPr>
        <w:t>最终结算以长沙市轨道交通运营有限公司审核为准。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12.4本项目最高限价见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12.5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被拒绝。</w:t>
      </w:r>
    </w:p>
    <w:p>
      <w:pPr>
        <w:pStyle w:val="25"/>
        <w:adjustRightInd w:val="0"/>
        <w:snapToGrid w:val="0"/>
        <w:spacing w:line="360" w:lineRule="auto"/>
        <w:ind w:firstLine="420" w:firstLineChars="200"/>
        <w:rPr>
          <w:rFonts w:hAnsi="宋体" w:cs="宋体"/>
        </w:rPr>
      </w:pPr>
      <w:r>
        <w:rPr>
          <w:rFonts w:hint="eastAsia" w:hAnsi="宋体" w:cs="宋体"/>
        </w:rPr>
        <w:t>12.6谈判单位递交两份或多份内容不同的报价文件，或在一份报价文件中对同一项目报有两个或多个报价，且未声明哪一个有效的，将被认为是非实质响应被拒绝。</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bCs/>
          <w:szCs w:val="21"/>
        </w:rPr>
        <w:t>12.7最低报价不能作为中选的保证。</w:t>
      </w:r>
    </w:p>
    <w:p>
      <w:pPr>
        <w:adjustRightInd w:val="0"/>
        <w:snapToGrid w:val="0"/>
        <w:spacing w:line="360" w:lineRule="auto"/>
        <w:ind w:firstLine="422" w:firstLineChars="200"/>
        <w:rPr>
          <w:rFonts w:hint="eastAsia" w:ascii="宋体" w:hAnsi="宋体" w:eastAsia="宋体" w:cs="宋体"/>
          <w:b/>
          <w:bCs/>
          <w:color w:val="FF0000"/>
          <w:highlight w:val="magenta"/>
          <w:lang w:eastAsia="zh-CN"/>
        </w:rPr>
      </w:pPr>
      <w:r>
        <w:rPr>
          <w:rFonts w:hint="eastAsia" w:ascii="宋体" w:hAnsi="宋体" w:cs="宋体"/>
          <w:b/>
          <w:bCs/>
          <w:color w:val="auto"/>
          <w:szCs w:val="21"/>
        </w:rPr>
        <w:t>12.8本项目为</w:t>
      </w:r>
      <w:r>
        <w:rPr>
          <w:rFonts w:hint="eastAsia" w:ascii="宋体" w:hAnsi="宋体" w:cs="宋体"/>
          <w:b/>
          <w:bCs/>
          <w:color w:val="auto"/>
          <w:szCs w:val="21"/>
          <w:lang w:val="en-US" w:eastAsia="zh-CN"/>
        </w:rPr>
        <w:t>总价</w:t>
      </w:r>
      <w:r>
        <w:rPr>
          <w:rFonts w:hint="eastAsia" w:ascii="宋体" w:hAnsi="宋体" w:cs="宋体"/>
          <w:b/>
          <w:bCs/>
          <w:color w:val="auto"/>
          <w:szCs w:val="21"/>
        </w:rPr>
        <w:t>合同</w:t>
      </w:r>
      <w:r>
        <w:rPr>
          <w:rFonts w:hint="eastAsia" w:ascii="宋体" w:hAnsi="宋体" w:cs="宋体"/>
        </w:rPr>
        <w:t>（除税率调整外，合同总价（即中标总价/中选总价/成交总价）在合同执行过程中固定不变，不随政府政策（长沙市规定的最低工资标准变化等）及市场物价上涨或回落等因素调整。</w:t>
      </w:r>
      <w:r>
        <w:rPr>
          <w:rFonts w:hint="eastAsia" w:ascii="宋体" w:hAnsi="宋体" w:cs="宋体"/>
          <w:b w:val="0"/>
          <w:bCs w:val="0"/>
        </w:rPr>
        <w:t>最终完成的合格工作量超过招标/竞谈/谈判的工作量时，按招标/竞谈/谈判的工作量办理结算；最终完成的合格工作量未超过招标/竞谈/谈判的工程量时，则按最终完成的合格工程量办理结算</w:t>
      </w:r>
      <w:r>
        <w:rPr>
          <w:rFonts w:hint="eastAsia" w:ascii="宋体" w:hAnsi="宋体" w:cs="宋体"/>
        </w:rPr>
        <w:t>）</w:t>
      </w:r>
      <w:r>
        <w:rPr>
          <w:rFonts w:hint="eastAsia" w:ascii="宋体" w:hAnsi="宋体" w:cs="宋体"/>
          <w:lang w:eastAsia="zh-CN"/>
        </w:rPr>
        <w:t>。</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13.响应文件有效期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，在此期间响应文件对谈判单位具有法律约束力，从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356"/>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第六章</w:t>
      </w:r>
      <w:r>
        <w:rPr>
          <w:rFonts w:hint="eastAsia" w:hAnsi="宋体" w:cs="宋体"/>
          <w:sz w:val="21"/>
          <w:szCs w:val="21"/>
        </w:rPr>
        <w:t>“响应文件格式”进行编写，如有必要，可以增加附页，作为响应文件的组成部分。</w:t>
      </w:r>
    </w:p>
    <w:p>
      <w:pPr>
        <w:pStyle w:val="25"/>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第六章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第六章</w:t>
      </w:r>
      <w:r>
        <w:rPr>
          <w:rFonts w:hint="eastAsia" w:hAnsi="宋体" w:cs="宋体"/>
        </w:rPr>
        <w:t>“响应文件格式”的要求。</w:t>
      </w:r>
    </w:p>
    <w:p>
      <w:pPr>
        <w:pStyle w:val="25"/>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的字样，若响应文件副本为正本的复印件，还需在谈判文件要求盖章处加盖单位公章。当正本和副本有差异时，以正本为准。</w:t>
      </w:r>
    </w:p>
    <w:p>
      <w:pPr>
        <w:pStyle w:val="4"/>
        <w:keepNext w:val="0"/>
        <w:keepLines w:val="0"/>
        <w:rPr>
          <w:rFonts w:ascii="宋体" w:hAnsi="宋体" w:cs="宋体"/>
          <w:sz w:val="21"/>
          <w:szCs w:val="21"/>
        </w:rPr>
      </w:pPr>
      <w:bookmarkStart w:id="36" w:name="_Toc1468"/>
      <w:bookmarkStart w:id="37" w:name="_Toc18486"/>
      <w:bookmarkStart w:id="38" w:name="_Toc14891071"/>
      <w:r>
        <w:rPr>
          <w:rFonts w:hint="eastAsia" w:ascii="宋体" w:hAnsi="宋体" w:cs="宋体"/>
          <w:sz w:val="21"/>
          <w:szCs w:val="21"/>
        </w:rPr>
        <w:t>四、响应文件的递交</w:t>
      </w:r>
      <w:bookmarkEnd w:id="36"/>
      <w:bookmarkEnd w:id="37"/>
      <w:bookmarkEnd w:id="38"/>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15.1谈判单位须将响应文件一正两副与电子文件一起密封包装。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采购单位：</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 xml:space="preserve">  </w:t>
            </w:r>
          </w:p>
          <w:p>
            <w:pPr>
              <w:spacing w:line="360" w:lineRule="auto"/>
              <w:rPr>
                <w:rFonts w:ascii="宋体" w:hAnsi="宋体" w:cs="宋体"/>
                <w:szCs w:val="21"/>
                <w:u w:val="single"/>
              </w:rPr>
            </w:pPr>
            <w:r>
              <w:rPr>
                <w:rFonts w:hint="eastAsia" w:ascii="宋体" w:hAnsi="宋体" w:cs="宋体"/>
                <w:szCs w:val="21"/>
              </w:rPr>
              <w:t>谈判单位：</w:t>
            </w:r>
            <w:r>
              <w:rPr>
                <w:rFonts w:hint="eastAsia" w:ascii="宋体" w:hAnsi="宋体" w:cs="宋体"/>
                <w:szCs w:val="21"/>
                <w:u w:val="single"/>
              </w:rPr>
              <w:t xml:space="preserve">（填写单位名称并加盖单位公章）         </w:t>
            </w:r>
          </w:p>
          <w:p>
            <w:pPr>
              <w:spacing w:line="360" w:lineRule="auto"/>
              <w:ind w:firstLine="840" w:firstLineChars="400"/>
              <w:rPr>
                <w:rFonts w:ascii="宋体" w:hAnsi="宋体" w:cs="宋体"/>
                <w:szCs w:val="21"/>
              </w:rPr>
            </w:pPr>
            <w:r>
              <w:rPr>
                <w:rFonts w:hint="eastAsia" w:ascii="宋体" w:hAnsi="宋体" w:cs="宋体"/>
                <w:bCs/>
                <w:szCs w:val="21"/>
              </w:rPr>
              <w:t>年  月  日</w:t>
            </w:r>
          </w:p>
        </w:tc>
      </w:tr>
    </w:tbl>
    <w:p>
      <w:pPr>
        <w:adjustRightInd w:val="0"/>
        <w:snapToGrid w:val="0"/>
        <w:spacing w:line="360" w:lineRule="auto"/>
        <w:ind w:firstLine="413" w:firstLineChars="196"/>
        <w:rPr>
          <w:rFonts w:ascii="宋体" w:hAnsi="宋体" w:cs="宋体"/>
          <w:b/>
          <w:bCs/>
          <w:color w:val="FF0000"/>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17.响应文件的递交</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在截止时间后送达的响应文件，采购单位应当拒收。</w:t>
      </w:r>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17.2采购单位在</w:t>
      </w:r>
      <w:r>
        <w:rPr>
          <w:rFonts w:hint="eastAsia" w:ascii="宋体" w:hAnsi="宋体" w:cs="宋体"/>
          <w:b/>
          <w:bCs/>
          <w:szCs w:val="21"/>
        </w:rPr>
        <w:t>前附表</w:t>
      </w:r>
      <w:r>
        <w:rPr>
          <w:rFonts w:hint="eastAsia" w:ascii="宋体" w:hAnsi="宋体" w:cs="宋体"/>
          <w:bCs/>
          <w:szCs w:val="21"/>
        </w:rPr>
        <w:t>规定的谈判时间和地点，组织谈判单位签到并接收谈判文件。</w:t>
      </w:r>
    </w:p>
    <w:p>
      <w:pPr>
        <w:pStyle w:val="4"/>
        <w:keepNext w:val="0"/>
        <w:keepLines w:val="0"/>
        <w:rPr>
          <w:rFonts w:ascii="宋体" w:hAnsi="宋体" w:cs="宋体"/>
          <w:sz w:val="21"/>
          <w:szCs w:val="21"/>
        </w:rPr>
      </w:pPr>
      <w:bookmarkStart w:id="39" w:name="_Toc14891072"/>
      <w:bookmarkStart w:id="40" w:name="_Toc13483"/>
      <w:bookmarkStart w:id="41" w:name="_Toc23509"/>
      <w:r>
        <w:rPr>
          <w:rFonts w:hint="eastAsia" w:ascii="宋体" w:hAnsi="宋体" w:cs="宋体"/>
          <w:sz w:val="21"/>
          <w:szCs w:val="21"/>
        </w:rPr>
        <w:t>五、响应文件的评审</w:t>
      </w:r>
      <w:bookmarkEnd w:id="39"/>
      <w:bookmarkEnd w:id="40"/>
      <w:bookmarkEnd w:id="41"/>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18.评审由谈判评审小组负责，谈判评审小组应按照本谈判文件第三章“评审办法及标准”的内容和程序对响应文件进行评审。</w:t>
      </w:r>
    </w:p>
    <w:p>
      <w:pPr>
        <w:pStyle w:val="4"/>
        <w:keepNext w:val="0"/>
        <w:keepLines w:val="0"/>
        <w:rPr>
          <w:rFonts w:ascii="宋体" w:hAnsi="宋体" w:cs="宋体"/>
          <w:sz w:val="21"/>
          <w:szCs w:val="21"/>
        </w:rPr>
      </w:pPr>
      <w:bookmarkStart w:id="42" w:name="_Toc14891073"/>
      <w:bookmarkStart w:id="43" w:name="_Toc21358"/>
      <w:bookmarkStart w:id="44" w:name="_Toc1142"/>
      <w:r>
        <w:rPr>
          <w:rFonts w:hint="eastAsia" w:ascii="宋体" w:hAnsi="宋体" w:cs="宋体"/>
          <w:sz w:val="21"/>
          <w:szCs w:val="21"/>
        </w:rPr>
        <w:t>六、响应文件的澄清、说明及补正</w:t>
      </w:r>
      <w:bookmarkEnd w:id="42"/>
      <w:bookmarkEnd w:id="43"/>
      <w:bookmarkEnd w:id="44"/>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19.1谈判评审小组可就响应文件中含糊之处要求谈判单位进行解释或澄清，谈判单位必须按照要求派法定代表人或授权委托人进行答疑和澄清。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kern w:val="0"/>
          <w:szCs w:val="21"/>
        </w:rPr>
        <w:t>20.3与谈判文件有重大偏离的响应文件将被拒绝。重大偏离指谈判总报价、谈判有效期、服务期明显不能满足谈判文件的要求。这些偏离不允许在响应文件递交截止时间之后修正。</w:t>
      </w:r>
    </w:p>
    <w:p>
      <w:pPr>
        <w:pStyle w:val="4"/>
        <w:keepNext w:val="0"/>
        <w:keepLines w:val="0"/>
        <w:rPr>
          <w:rFonts w:ascii="宋体" w:hAnsi="宋体" w:cs="宋体"/>
          <w:sz w:val="21"/>
          <w:szCs w:val="21"/>
        </w:rPr>
      </w:pPr>
      <w:bookmarkStart w:id="45" w:name="_Toc20130"/>
      <w:bookmarkStart w:id="46" w:name="_Toc12549"/>
      <w:bookmarkStart w:id="47" w:name="_Toc14891074"/>
      <w:r>
        <w:rPr>
          <w:rFonts w:hint="eastAsia" w:ascii="宋体" w:hAnsi="宋体" w:cs="宋体"/>
          <w:sz w:val="21"/>
          <w:szCs w:val="21"/>
        </w:rPr>
        <w:t>七、中选结果与授予合同</w:t>
      </w:r>
      <w:bookmarkEnd w:id="45"/>
      <w:bookmarkEnd w:id="46"/>
      <w:bookmarkEnd w:id="47"/>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21.中选信息的公布</w:t>
      </w:r>
    </w:p>
    <w:p>
      <w:pPr>
        <w:pStyle w:val="25"/>
        <w:adjustRightInd w:val="0"/>
        <w:snapToGrid w:val="0"/>
        <w:spacing w:line="360" w:lineRule="auto"/>
        <w:ind w:firstLine="420" w:firstLineChars="200"/>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5"/>
        <w:adjustRightInd w:val="0"/>
        <w:snapToGrid w:val="0"/>
        <w:spacing w:line="360" w:lineRule="auto"/>
        <w:ind w:firstLine="422" w:firstLineChars="200"/>
        <w:rPr>
          <w:rFonts w:hAnsi="宋体" w:cs="宋体"/>
          <w:b/>
          <w:bCs/>
        </w:rPr>
      </w:pPr>
      <w:r>
        <w:rPr>
          <w:rFonts w:hint="eastAsia" w:hAnsi="宋体" w:cs="宋体"/>
          <w:b/>
          <w:bCs/>
        </w:rPr>
        <w:t>22.评审结果异议</w:t>
      </w:r>
    </w:p>
    <w:p>
      <w:pPr>
        <w:pStyle w:val="25"/>
        <w:adjustRightInd w:val="0"/>
        <w:snapToGrid w:val="0"/>
        <w:spacing w:line="360" w:lineRule="auto"/>
        <w:ind w:firstLine="420" w:firstLineChars="200"/>
        <w:rPr>
          <w:rFonts w:hAnsi="宋体" w:cs="宋体"/>
          <w:b/>
        </w:rPr>
      </w:pPr>
      <w:r>
        <w:rPr>
          <w:rFonts w:hint="eastAsia" w:hAnsi="宋体" w:cs="宋体"/>
          <w:kern w:val="0"/>
        </w:rPr>
        <w:t>22.1谈判单位对评审结果有异议的，应当在结果公示期间提出。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23.中选通知</w:t>
      </w:r>
    </w:p>
    <w:p>
      <w:pPr>
        <w:pStyle w:val="25"/>
        <w:adjustRightInd w:val="0"/>
        <w:snapToGrid w:val="0"/>
        <w:spacing w:line="360" w:lineRule="auto"/>
        <w:ind w:firstLine="420" w:firstLineChars="200"/>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24.签订合同</w:t>
      </w:r>
    </w:p>
    <w:p>
      <w:pPr>
        <w:pStyle w:val="25"/>
        <w:adjustRightInd w:val="0"/>
        <w:snapToGrid w:val="0"/>
        <w:spacing w:line="360" w:lineRule="auto"/>
        <w:ind w:firstLine="420" w:firstLineChars="200"/>
        <w:rPr>
          <w:rFonts w:hAnsi="宋体" w:cs="宋体"/>
        </w:rPr>
      </w:pPr>
      <w:r>
        <w:rPr>
          <w:rFonts w:hint="eastAsia" w:hAnsi="宋体" w:cs="宋体"/>
        </w:rPr>
        <w:t>24.1谈判文件、中选单位的响应文件及其补充的文件等均为签订合同的依据。</w:t>
      </w:r>
    </w:p>
    <w:p>
      <w:pPr>
        <w:pStyle w:val="25"/>
        <w:adjustRightInd w:val="0"/>
        <w:snapToGrid w:val="0"/>
        <w:spacing w:line="360" w:lineRule="auto"/>
        <w:ind w:firstLine="420" w:firstLineChars="200"/>
        <w:rPr>
          <w:rFonts w:hAnsi="宋体" w:cs="宋体"/>
        </w:rPr>
      </w:pPr>
      <w:r>
        <w:rPr>
          <w:rFonts w:hint="eastAsia" w:hAnsi="宋体" w:cs="宋体"/>
        </w:rPr>
        <w:t>24.2中选单位应当在中选通知书发出后及时与采购单位签订合同。</w:t>
      </w:r>
    </w:p>
    <w:p>
      <w:pPr>
        <w:pStyle w:val="25"/>
        <w:adjustRightInd w:val="0"/>
        <w:snapToGrid w:val="0"/>
        <w:spacing w:line="360" w:lineRule="auto"/>
        <w:ind w:firstLine="420" w:firstLineChars="200"/>
        <w:rPr>
          <w:rFonts w:hAnsi="宋体" w:cs="宋体"/>
        </w:rPr>
      </w:pPr>
      <w:r>
        <w:rPr>
          <w:rFonts w:hint="eastAsia" w:hAnsi="宋体" w:cs="宋体"/>
        </w:rPr>
        <w:t>24.3中选单位应当按照合同约定履行义务。</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25.1对采购单位的纪律要求</w:t>
      </w:r>
    </w:p>
    <w:p>
      <w:pPr>
        <w:pStyle w:val="356"/>
        <w:ind w:firstLine="420" w:firstLineChars="200"/>
        <w:jc w:val="both"/>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25.2对谈判单位的纪律要求</w:t>
      </w:r>
    </w:p>
    <w:p>
      <w:pPr>
        <w:pStyle w:val="356"/>
        <w:ind w:firstLine="420" w:firstLineChars="200"/>
        <w:jc w:val="both"/>
        <w:rPr>
          <w:rFonts w:hAnsi="宋体" w:cs="宋体"/>
          <w:sz w:val="21"/>
          <w:szCs w:val="21"/>
        </w:rPr>
      </w:pPr>
      <w:r>
        <w:rPr>
          <w:rFonts w:hint="eastAsia" w:hAnsi="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356"/>
        <w:ind w:firstLine="420" w:firstLineChars="200"/>
        <w:jc w:val="both"/>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48" w:name="page32"/>
      <w:bookmarkEnd w:id="48"/>
      <w:r>
        <w:rPr>
          <w:rFonts w:hint="eastAsia" w:hAnsi="宋体" w:cs="宋体"/>
          <w:sz w:val="21"/>
          <w:szCs w:val="21"/>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5"/>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rPr>
          <w:rFonts w:ascii="宋体" w:hAnsi="宋体" w:cs="宋体"/>
          <w:sz w:val="21"/>
          <w:szCs w:val="21"/>
        </w:rPr>
      </w:pPr>
      <w:bookmarkStart w:id="49" w:name="_Toc2045"/>
      <w:bookmarkStart w:id="50" w:name="_Toc14891075"/>
      <w:bookmarkStart w:id="51" w:name="_Toc1332"/>
      <w:r>
        <w:rPr>
          <w:rFonts w:hint="eastAsia" w:ascii="宋体" w:hAnsi="宋体" w:cs="宋体"/>
          <w:sz w:val="21"/>
          <w:szCs w:val="21"/>
        </w:rPr>
        <w:t>八、其他</w:t>
      </w:r>
      <w:bookmarkEnd w:id="49"/>
      <w:bookmarkEnd w:id="50"/>
      <w:bookmarkEnd w:id="51"/>
    </w:p>
    <w:p>
      <w:pPr>
        <w:pStyle w:val="2"/>
        <w:spacing w:line="360" w:lineRule="auto"/>
        <w:ind w:left="0" w:leftChars="0" w:firstLine="420" w:firstLineChars="200"/>
        <w:rPr>
          <w:rFonts w:ascii="宋体" w:hAnsi="宋体" w:cs="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pPr>
        <w:pStyle w:val="2"/>
        <w:spacing w:line="360" w:lineRule="auto"/>
        <w:ind w:left="0" w:leftChars="0" w:firstLine="420" w:firstLineChars="200"/>
        <w:rPr>
          <w:rFonts w:ascii="宋体" w:hAnsi="宋体" w:cs="宋体"/>
          <w:szCs w:val="21"/>
        </w:rPr>
      </w:pPr>
      <w:r>
        <w:rPr>
          <w:rFonts w:hint="eastAsia" w:ascii="宋体" w:hAnsi="宋体" w:cs="宋体"/>
          <w:szCs w:val="21"/>
        </w:rPr>
        <w:t>中选单位中选后有下列情形之一的，责令限期改正，情节严重的，列入不良行为记录名单，禁止其1至3年内参加长沙市轨道交通运营有限公司招标采购活动，并予以通报：</w:t>
      </w:r>
    </w:p>
    <w:p>
      <w:pPr>
        <w:pStyle w:val="2"/>
        <w:spacing w:line="360" w:lineRule="auto"/>
        <w:ind w:left="0" w:leftChars="0" w:firstLine="420" w:firstLineChars="200"/>
        <w:rPr>
          <w:rFonts w:ascii="宋体" w:hAnsi="宋体" w:cs="宋体"/>
          <w:szCs w:val="21"/>
        </w:rPr>
      </w:pPr>
      <w:r>
        <w:rPr>
          <w:rFonts w:hint="eastAsia" w:ascii="宋体" w:hAnsi="宋体" w:cs="宋体"/>
          <w:szCs w:val="21"/>
        </w:rPr>
        <w:t>1.成交后无正当理由不与采购人签订合同的；</w:t>
      </w:r>
    </w:p>
    <w:p>
      <w:pPr>
        <w:pStyle w:val="2"/>
        <w:spacing w:line="360" w:lineRule="auto"/>
        <w:ind w:left="0" w:leftChars="0" w:firstLine="420" w:firstLineChars="200"/>
        <w:rPr>
          <w:rFonts w:ascii="宋体" w:hAnsi="宋体" w:cs="宋体"/>
          <w:szCs w:val="21"/>
        </w:rPr>
      </w:pPr>
      <w:r>
        <w:rPr>
          <w:rFonts w:hint="eastAsia" w:ascii="宋体" w:hAnsi="宋体" w:cs="宋体"/>
          <w:szCs w:val="21"/>
        </w:rPr>
        <w:t>2.未按照采购文件确定的事项签订采购合同，或者与采购人另行订立背离合同实质性内容的协议的；</w:t>
      </w:r>
    </w:p>
    <w:p>
      <w:pPr>
        <w:pStyle w:val="2"/>
        <w:spacing w:line="360" w:lineRule="auto"/>
        <w:ind w:left="0" w:leftChars="0" w:firstLine="420" w:firstLineChars="200"/>
        <w:rPr>
          <w:rFonts w:ascii="宋体" w:hAnsi="宋体" w:cs="宋体"/>
          <w:szCs w:val="21"/>
        </w:rPr>
      </w:pPr>
      <w:r>
        <w:rPr>
          <w:rFonts w:hint="eastAsia" w:ascii="宋体" w:hAnsi="宋体" w:cs="宋体"/>
          <w:szCs w:val="21"/>
        </w:rPr>
        <w:t>3.拒绝履行合同义务的；</w:t>
      </w:r>
    </w:p>
    <w:p>
      <w:pPr>
        <w:pStyle w:val="2"/>
        <w:spacing w:line="360" w:lineRule="auto"/>
        <w:ind w:left="0" w:leftChars="0" w:firstLine="420" w:firstLineChars="200"/>
        <w:rPr>
          <w:rFonts w:ascii="宋体" w:hAnsi="宋体" w:cs="宋体"/>
          <w:szCs w:val="21"/>
        </w:rPr>
      </w:pPr>
      <w:r>
        <w:rPr>
          <w:rFonts w:hint="eastAsia" w:ascii="宋体" w:hAnsi="宋体" w:cs="宋体"/>
          <w:szCs w:val="21"/>
        </w:rPr>
        <w:t>4.违反法律、规章、规范性文件规定的。</w:t>
      </w:r>
    </w:p>
    <w:p>
      <w:pPr>
        <w:adjustRightInd w:val="0"/>
        <w:snapToGrid w:val="0"/>
        <w:spacing w:line="360" w:lineRule="auto"/>
        <w:ind w:firstLine="420" w:firstLineChars="200"/>
        <w:rPr>
          <w:rFonts w:hAnsi="宋体"/>
          <w:szCs w:val="21"/>
        </w:rPr>
      </w:pPr>
    </w:p>
    <w:p>
      <w:pPr>
        <w:adjustRightInd w:val="0"/>
        <w:snapToGrid w:val="0"/>
        <w:spacing w:line="360" w:lineRule="auto"/>
        <w:ind w:left="964" w:hanging="964" w:hangingChars="300"/>
        <w:jc w:val="center"/>
        <w:rPr>
          <w:rFonts w:ascii="黑体" w:eastAsia="黑体"/>
          <w:b/>
          <w:sz w:val="32"/>
          <w:szCs w:val="32"/>
        </w:rPr>
        <w:sectPr>
          <w:pgSz w:w="11906" w:h="16838"/>
          <w:pgMar w:top="1440" w:right="849" w:bottom="1440" w:left="1797" w:header="851" w:footer="851" w:gutter="0"/>
          <w:cols w:space="720" w:num="1"/>
          <w:docGrid w:linePitch="312" w:charSpace="0"/>
        </w:sectPr>
      </w:pPr>
    </w:p>
    <w:p>
      <w:pPr>
        <w:adjustRightInd w:val="0"/>
        <w:snapToGrid w:val="0"/>
        <w:spacing w:line="360" w:lineRule="auto"/>
        <w:jc w:val="left"/>
        <w:rPr>
          <w:rFonts w:ascii="宋体" w:hAnsi="宋体" w:cs="宋体"/>
          <w:b/>
          <w:bCs/>
          <w:szCs w:val="21"/>
        </w:rPr>
      </w:pPr>
      <w:r>
        <w:rPr>
          <w:rFonts w:hint="eastAsia" w:ascii="宋体" w:hAnsi="宋体" w:cs="宋体"/>
          <w:b/>
          <w:bCs/>
          <w:szCs w:val="21"/>
        </w:rPr>
        <w:t>附件：采购代理服务费收费标准</w:t>
      </w:r>
    </w:p>
    <w:p>
      <w:pPr>
        <w:pStyle w:val="2"/>
        <w:jc w:val="center"/>
      </w:pPr>
      <w:r>
        <w:rPr>
          <w:rFonts w:hint="eastAsia" w:ascii="宋体" w:hAnsi="宋体" w:cs="宋体"/>
          <w:b/>
          <w:szCs w:val="21"/>
        </w:rPr>
        <w:t>采购代理服务费收费参照汇率表</w:t>
      </w:r>
    </w:p>
    <w:tbl>
      <w:tblPr>
        <w:tblStyle w:val="47"/>
        <w:tblpPr w:leftFromText="180" w:rightFromText="180" w:vertAnchor="text" w:horzAnchor="page" w:tblpXSpec="center" w:tblpY="258"/>
        <w:tblOverlap w:val="never"/>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szCs w:val="21"/>
              </w:rPr>
            </w:pPr>
            <w:r>
              <w:rPr>
                <w:rFonts w:hint="eastAsia" w:ascii="宋体" w:hAnsi="宋体"/>
                <w:szCs w:val="21"/>
              </w:rPr>
              <w:t>汇率</w:t>
            </w:r>
          </w:p>
          <w:p>
            <w:pPr>
              <w:adjustRightInd w:val="0"/>
              <w:snapToGrid w:val="0"/>
              <w:rPr>
                <w:rFonts w:ascii="宋体" w:hAnsi="宋体"/>
                <w:szCs w:val="21"/>
              </w:rPr>
            </w:pPr>
            <w:r>
              <w:rPr>
                <w:rFonts w:hint="eastAsia" w:ascii="宋体" w:hAnsi="宋体"/>
                <w:szCs w:val="21"/>
              </w:rPr>
              <w:t>中</w:t>
            </w:r>
            <w:r>
              <w:rPr>
                <w:rFonts w:ascii="宋体" w:hAnsi="宋体"/>
                <w:szCs w:val="21"/>
              </w:rPr>
              <w:t>选金额</w:t>
            </w:r>
          </w:p>
        </w:tc>
        <w:tc>
          <w:tcPr>
            <w:tcW w:w="2451" w:type="dxa"/>
            <w:tcBorders>
              <w:top w:val="single" w:color="auto" w:sz="12" w:space="0"/>
            </w:tcBorders>
            <w:vAlign w:val="center"/>
          </w:tcPr>
          <w:p>
            <w:pPr>
              <w:adjustRightInd w:val="0"/>
              <w:snapToGrid w:val="0"/>
              <w:jc w:val="center"/>
              <w:rPr>
                <w:rFonts w:ascii="宋体" w:hAnsi="宋体"/>
                <w:szCs w:val="21"/>
              </w:rPr>
            </w:pPr>
            <w:r>
              <w:rPr>
                <w:rFonts w:hint="eastAsia" w:ascii="宋体" w:hAnsi="宋体"/>
                <w:szCs w:val="21"/>
              </w:rPr>
              <w:t>货物</w:t>
            </w:r>
            <w:r>
              <w:rPr>
                <w:rFonts w:ascii="宋体" w:hAnsi="宋体"/>
                <w:szCs w:val="21"/>
              </w:rPr>
              <w:t>采购</w:t>
            </w:r>
          </w:p>
        </w:tc>
        <w:tc>
          <w:tcPr>
            <w:tcW w:w="2325" w:type="dxa"/>
            <w:tcBorders>
              <w:top w:val="single" w:color="auto" w:sz="12" w:space="0"/>
            </w:tcBorders>
            <w:vAlign w:val="center"/>
          </w:tcPr>
          <w:p>
            <w:pPr>
              <w:adjustRightInd w:val="0"/>
              <w:snapToGrid w:val="0"/>
              <w:jc w:val="center"/>
              <w:rPr>
                <w:rFonts w:ascii="宋体" w:hAnsi="宋体"/>
                <w:szCs w:val="21"/>
              </w:rPr>
            </w:pPr>
            <w:r>
              <w:rPr>
                <w:rFonts w:hint="eastAsia" w:ascii="宋体" w:hAnsi="宋体"/>
                <w:szCs w:val="21"/>
              </w:rPr>
              <w:t>服务</w:t>
            </w:r>
            <w:r>
              <w:rPr>
                <w:rFonts w:ascii="宋体" w:hAnsi="宋体"/>
                <w:szCs w:val="21"/>
              </w:rPr>
              <w:t>采购</w:t>
            </w:r>
          </w:p>
        </w:tc>
        <w:tc>
          <w:tcPr>
            <w:tcW w:w="2367" w:type="dxa"/>
            <w:tcBorders>
              <w:top w:val="single" w:color="auto" w:sz="12" w:space="0"/>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工程</w:t>
            </w:r>
            <w:r>
              <w:rPr>
                <w:rFonts w:ascii="宋体" w:hAnsi="宋体"/>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szCs w:val="21"/>
              </w:rPr>
            </w:pPr>
            <w:r>
              <w:rPr>
                <w:rFonts w:hint="eastAsia" w:ascii="宋体" w:hAnsi="宋体"/>
                <w:szCs w:val="21"/>
              </w:rPr>
              <w:t>100万</w:t>
            </w:r>
            <w:r>
              <w:rPr>
                <w:rFonts w:ascii="宋体" w:hAnsi="宋体"/>
                <w:szCs w:val="21"/>
              </w:rPr>
              <w:t>元以下</w:t>
            </w:r>
          </w:p>
        </w:tc>
        <w:tc>
          <w:tcPr>
            <w:tcW w:w="2451" w:type="dxa"/>
            <w:vAlign w:val="center"/>
          </w:tcPr>
          <w:p>
            <w:pPr>
              <w:adjustRightInd w:val="0"/>
              <w:snapToGrid w:val="0"/>
              <w:jc w:val="center"/>
              <w:rPr>
                <w:rFonts w:ascii="宋体" w:hAnsi="宋体"/>
                <w:szCs w:val="21"/>
              </w:rPr>
            </w:pPr>
            <w:r>
              <w:rPr>
                <w:rFonts w:hint="eastAsia" w:ascii="宋体" w:hAnsi="宋体"/>
                <w:szCs w:val="21"/>
              </w:rPr>
              <w:t>1.5%</w:t>
            </w:r>
          </w:p>
        </w:tc>
        <w:tc>
          <w:tcPr>
            <w:tcW w:w="2325" w:type="dxa"/>
            <w:vAlign w:val="center"/>
          </w:tcPr>
          <w:p>
            <w:pPr>
              <w:adjustRightInd w:val="0"/>
              <w:snapToGrid w:val="0"/>
              <w:jc w:val="center"/>
              <w:rPr>
                <w:rFonts w:ascii="宋体" w:hAnsi="宋体"/>
                <w:szCs w:val="21"/>
              </w:rPr>
            </w:pPr>
            <w:r>
              <w:rPr>
                <w:rFonts w:hint="eastAsia" w:ascii="宋体" w:hAnsi="宋体"/>
                <w:szCs w:val="21"/>
              </w:rPr>
              <w:t>1.5%</w:t>
            </w:r>
          </w:p>
        </w:tc>
        <w:tc>
          <w:tcPr>
            <w:tcW w:w="2367" w:type="dxa"/>
            <w:tcBorders>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1.0</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szCs w:val="21"/>
              </w:rPr>
            </w:pPr>
            <w:r>
              <w:rPr>
                <w:rFonts w:hint="eastAsia" w:ascii="宋体" w:hAnsi="宋体"/>
                <w:szCs w:val="21"/>
              </w:rPr>
              <w:t>100～400万</w:t>
            </w:r>
            <w:r>
              <w:rPr>
                <w:rFonts w:ascii="宋体" w:hAnsi="宋体"/>
                <w:szCs w:val="21"/>
              </w:rPr>
              <w:t>元</w:t>
            </w:r>
          </w:p>
        </w:tc>
        <w:tc>
          <w:tcPr>
            <w:tcW w:w="2451" w:type="dxa"/>
            <w:vAlign w:val="center"/>
          </w:tcPr>
          <w:p>
            <w:pPr>
              <w:adjustRightInd w:val="0"/>
              <w:snapToGrid w:val="0"/>
              <w:jc w:val="center"/>
              <w:rPr>
                <w:rFonts w:ascii="宋体" w:hAnsi="宋体"/>
                <w:szCs w:val="21"/>
              </w:rPr>
            </w:pPr>
            <w:r>
              <w:rPr>
                <w:rFonts w:hint="eastAsia" w:ascii="宋体" w:hAnsi="宋体"/>
                <w:szCs w:val="21"/>
              </w:rPr>
              <w:t>1.1%</w:t>
            </w:r>
          </w:p>
        </w:tc>
        <w:tc>
          <w:tcPr>
            <w:tcW w:w="2325" w:type="dxa"/>
            <w:vAlign w:val="center"/>
          </w:tcPr>
          <w:p>
            <w:pPr>
              <w:adjustRightInd w:val="0"/>
              <w:snapToGrid w:val="0"/>
              <w:jc w:val="center"/>
              <w:rPr>
                <w:rFonts w:ascii="宋体" w:hAnsi="宋体"/>
                <w:szCs w:val="21"/>
              </w:rPr>
            </w:pPr>
            <w:r>
              <w:rPr>
                <w:rFonts w:hint="eastAsia" w:ascii="宋体" w:hAnsi="宋体"/>
                <w:szCs w:val="21"/>
              </w:rPr>
              <w:t>0.8%</w:t>
            </w:r>
          </w:p>
        </w:tc>
        <w:tc>
          <w:tcPr>
            <w:tcW w:w="2367" w:type="dxa"/>
            <w:tcBorders>
              <w:right w:val="single" w:color="auto" w:sz="12" w:space="0"/>
            </w:tcBorders>
            <w:vAlign w:val="center"/>
          </w:tcPr>
          <w:p>
            <w:pPr>
              <w:adjustRightInd w:val="0"/>
              <w:snapToGrid w:val="0"/>
              <w:jc w:val="center"/>
              <w:rPr>
                <w:rFonts w:ascii="宋体" w:hAnsi="宋体"/>
                <w:szCs w:val="21"/>
              </w:rPr>
            </w:pPr>
            <w:r>
              <w:rPr>
                <w:rFonts w:hint="eastAsia" w:ascii="宋体" w:hAnsi="宋体"/>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szCs w:val="21"/>
              </w:rPr>
            </w:pPr>
            <w:r>
              <w:rPr>
                <w:rFonts w:hint="eastAsia" w:ascii="宋体" w:hAnsi="宋体"/>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szCs w:val="21"/>
              </w:rPr>
            </w:pPr>
            <w:r>
              <w:rPr>
                <w:rFonts w:hint="eastAsia" w:ascii="宋体" w:hAnsi="宋体"/>
                <w:szCs w:val="21"/>
              </w:rPr>
              <w:t>采购代理</w:t>
            </w:r>
            <w:r>
              <w:rPr>
                <w:rFonts w:ascii="宋体" w:hAnsi="宋体"/>
                <w:szCs w:val="21"/>
              </w:rPr>
              <w:t>服务费的收费标准为：以中选价为基数，按《</w:t>
            </w:r>
            <w:r>
              <w:rPr>
                <w:rFonts w:hint="eastAsia" w:ascii="宋体" w:hAnsi="宋体"/>
                <w:szCs w:val="21"/>
              </w:rPr>
              <w:t>采购</w:t>
            </w:r>
            <w:r>
              <w:rPr>
                <w:rFonts w:ascii="宋体" w:hAnsi="宋体"/>
                <w:szCs w:val="21"/>
              </w:rPr>
              <w:t>代理服务</w:t>
            </w:r>
            <w:r>
              <w:rPr>
                <w:rFonts w:hint="eastAsia" w:ascii="宋体" w:hAnsi="宋体"/>
                <w:szCs w:val="21"/>
              </w:rPr>
              <w:t>费</w:t>
            </w:r>
            <w:r>
              <w:rPr>
                <w:rFonts w:ascii="宋体" w:hAnsi="宋体"/>
                <w:szCs w:val="21"/>
              </w:rPr>
              <w:t>收费参照汇率表》</w:t>
            </w:r>
            <w:r>
              <w:rPr>
                <w:rFonts w:hint="eastAsia" w:ascii="宋体" w:hAnsi="宋体"/>
                <w:szCs w:val="21"/>
              </w:rPr>
              <w:t>进行</w:t>
            </w:r>
            <w:r>
              <w:rPr>
                <w:rFonts w:ascii="宋体" w:hAnsi="宋体"/>
                <w:szCs w:val="21"/>
              </w:rPr>
              <w:t>计算后，向中选单位收取。服务</w:t>
            </w:r>
            <w:r>
              <w:rPr>
                <w:rFonts w:hint="eastAsia" w:ascii="宋体" w:hAnsi="宋体"/>
                <w:szCs w:val="21"/>
              </w:rPr>
              <w:t>费</w:t>
            </w:r>
            <w:r>
              <w:rPr>
                <w:rFonts w:ascii="宋体" w:hAnsi="宋体"/>
                <w:szCs w:val="21"/>
              </w:rPr>
              <w:t>超过</w:t>
            </w:r>
            <w:r>
              <w:rPr>
                <w:rFonts w:hint="eastAsia" w:ascii="宋体" w:hAnsi="宋体"/>
                <w:szCs w:val="21"/>
              </w:rPr>
              <w:t>2万</w:t>
            </w:r>
            <w:r>
              <w:rPr>
                <w:rFonts w:ascii="宋体" w:hAnsi="宋体"/>
                <w:szCs w:val="21"/>
              </w:rPr>
              <w:t>元的，按</w:t>
            </w:r>
            <w:r>
              <w:rPr>
                <w:rFonts w:hint="eastAsia" w:ascii="宋体" w:hAnsi="宋体"/>
                <w:szCs w:val="21"/>
              </w:rPr>
              <w:t>2万</w:t>
            </w:r>
            <w:r>
              <w:rPr>
                <w:rFonts w:ascii="宋体" w:hAnsi="宋体"/>
                <w:szCs w:val="21"/>
              </w:rPr>
              <w:t>元</w:t>
            </w:r>
            <w:r>
              <w:rPr>
                <w:rFonts w:hint="eastAsia" w:ascii="宋体" w:hAnsi="宋体"/>
                <w:szCs w:val="21"/>
              </w:rPr>
              <w:t>计</w:t>
            </w:r>
            <w:r>
              <w:rPr>
                <w:rFonts w:ascii="宋体" w:hAnsi="宋体"/>
                <w:szCs w:val="21"/>
              </w:rPr>
              <w:t>取，服务费低于</w:t>
            </w:r>
            <w:r>
              <w:rPr>
                <w:rFonts w:hint="eastAsia" w:ascii="宋体" w:hAnsi="宋体"/>
                <w:szCs w:val="21"/>
              </w:rPr>
              <w:t>5000元</w:t>
            </w:r>
            <w:r>
              <w:rPr>
                <w:rFonts w:ascii="宋体" w:hAnsi="宋体"/>
                <w:szCs w:val="21"/>
              </w:rPr>
              <w:t>的，按</w:t>
            </w:r>
            <w:r>
              <w:rPr>
                <w:rFonts w:hint="eastAsia" w:ascii="宋体" w:hAnsi="宋体"/>
                <w:szCs w:val="21"/>
              </w:rPr>
              <w:t>5000元</w:t>
            </w:r>
            <w:r>
              <w:rPr>
                <w:rFonts w:ascii="宋体" w:hAnsi="宋体"/>
                <w:szCs w:val="21"/>
              </w:rPr>
              <w:t>计取。</w:t>
            </w:r>
          </w:p>
        </w:tc>
      </w:tr>
    </w:tbl>
    <w:p>
      <w:pPr>
        <w:adjustRightInd w:val="0"/>
        <w:snapToGrid w:val="0"/>
        <w:spacing w:line="360" w:lineRule="auto"/>
        <w:rPr>
          <w:rFonts w:ascii="宋体" w:hAnsi="宋体" w:cs="宋体"/>
          <w:szCs w:val="21"/>
        </w:rPr>
      </w:pPr>
      <w:r>
        <w:rPr>
          <w:rFonts w:hint="eastAsia" w:ascii="宋体" w:hAnsi="宋体" w:cs="宋体"/>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100万元×1.0%＝1万元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（300-100）万元×0.7%＝1.4万元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合计收费＝1+1.4＝2.4（万元）</w:t>
      </w:r>
    </w:p>
    <w:p>
      <w:pPr>
        <w:adjustRightInd w:val="0"/>
        <w:snapToGrid w:val="0"/>
        <w:spacing w:line="360" w:lineRule="auto"/>
        <w:ind w:firstLine="420" w:firstLineChars="200"/>
        <w:jc w:val="left"/>
        <w:rPr>
          <w:rFonts w:ascii="宋体" w:hAnsi="宋体" w:cs="宋体"/>
          <w:b/>
          <w:szCs w:val="21"/>
        </w:rPr>
        <w:sectPr>
          <w:footerReference r:id="rId4" w:type="default"/>
          <w:pgSz w:w="11906" w:h="16838"/>
          <w:pgMar w:top="1440" w:right="1797" w:bottom="1440" w:left="1797" w:header="851" w:footer="851" w:gutter="0"/>
          <w:cols w:space="720" w:num="1"/>
          <w:docGrid w:linePitch="312" w:charSpace="0"/>
        </w:sectPr>
      </w:pPr>
      <w:r>
        <w:rPr>
          <w:rFonts w:hint="eastAsia" w:ascii="宋体" w:hAnsi="宋体" w:cs="宋体"/>
          <w:szCs w:val="21"/>
        </w:rPr>
        <w:t>本项目采购代理服务费为2万元</w:t>
      </w:r>
    </w:p>
    <w:p>
      <w:pPr>
        <w:pStyle w:val="3"/>
        <w:keepNext w:val="0"/>
        <w:spacing w:line="360" w:lineRule="auto"/>
        <w:rPr>
          <w:rFonts w:ascii="宋体" w:hAnsi="宋体" w:cs="宋体"/>
          <w:bCs w:val="0"/>
          <w:sz w:val="32"/>
          <w:szCs w:val="32"/>
        </w:rPr>
      </w:pPr>
      <w:bookmarkStart w:id="52" w:name="_Toc21380"/>
      <w:bookmarkStart w:id="53" w:name="_Toc1719"/>
      <w:bookmarkStart w:id="54" w:name="_Toc5567"/>
      <w:bookmarkStart w:id="55" w:name="_Toc28427"/>
      <w:bookmarkStart w:id="56" w:name="_Toc4275"/>
      <w:r>
        <w:rPr>
          <w:rFonts w:hint="eastAsia" w:ascii="宋体" w:hAnsi="宋体" w:cs="宋体"/>
          <w:bCs w:val="0"/>
          <w:sz w:val="32"/>
          <w:szCs w:val="32"/>
        </w:rPr>
        <w:t>第三章  评审办法及标准</w:t>
      </w:r>
      <w:bookmarkEnd w:id="52"/>
      <w:bookmarkEnd w:id="53"/>
      <w:bookmarkEnd w:id="54"/>
      <w:bookmarkEnd w:id="55"/>
      <w:bookmarkEnd w:id="56"/>
    </w:p>
    <w:p>
      <w:pPr>
        <w:adjustRightInd w:val="0"/>
        <w:snapToGrid w:val="0"/>
        <w:spacing w:line="360" w:lineRule="auto"/>
        <w:ind w:left="632" w:hanging="632" w:hangingChars="300"/>
        <w:rPr>
          <w:rFonts w:ascii="宋体" w:hAnsi="宋体" w:cs="宋体"/>
          <w:b/>
          <w:szCs w:val="21"/>
        </w:rPr>
      </w:pP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1.本项目采用经符合性审查合格后的</w:t>
      </w:r>
      <w:r>
        <w:rPr>
          <w:rFonts w:hint="eastAsia" w:ascii="宋体" w:hAnsi="宋体" w:cs="宋体"/>
          <w:b/>
          <w:bCs/>
          <w:szCs w:val="21"/>
          <w:u w:val="none"/>
        </w:rPr>
        <w:t>最低价法</w:t>
      </w:r>
      <w:r>
        <w:rPr>
          <w:rFonts w:hint="eastAsia" w:ascii="宋体" w:hAnsi="宋体" w:cs="宋体"/>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二、谈判程序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2.1采购单位在前附表内规定的谈判时间及地点组织谈判活动。谈判活动由采购单位、谈判单位代表参与。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2.2谈判程序分为：</w:t>
      </w:r>
      <w:r>
        <w:rPr>
          <w:rFonts w:hint="eastAsia" w:ascii="宋体" w:hAnsi="宋体" w:cs="宋体"/>
          <w:b/>
          <w:szCs w:val="21"/>
        </w:rPr>
        <w:t>谈判验证阶段及谈判评审阶段。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三、谈判验证阶段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3.1.2参与谈判的代表身份经验证不合格的，视为无效响应，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3.2.2谈判单位法定代表人或授权委托人、现场监督员、记录人等有关人员在《谈判报价记录一览表》上签字确认，谈判单位对本阶段有异议的应当场提出，采购单位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四、谈判评审阶段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4.1资格的符合性审查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内规定的谈判单位资格要求，对谈判单位进行符合性审查，资格审查以谈判单位递交的</w:t>
      </w:r>
      <w:r>
        <w:t>相关资料</w:t>
      </w:r>
      <w:r>
        <w:rPr>
          <w:rFonts w:hint="eastAsia" w:ascii="宋体" w:hAnsi="宋体" w:cs="宋体"/>
          <w:szCs w:val="21"/>
        </w:rPr>
        <w:t>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highlight w:val="yellow"/>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（4）不满足用户需求书要求的。</w:t>
      </w:r>
    </w:p>
    <w:p>
      <w:pPr>
        <w:adjustRightInd w:val="0"/>
        <w:snapToGrid w:val="0"/>
        <w:spacing w:line="360" w:lineRule="auto"/>
        <w:ind w:firstLine="420" w:firstLineChars="200"/>
        <w:rPr>
          <w:rFonts w:ascii="宋体" w:hAnsi="宋体" w:cs="宋体"/>
          <w:kern w:val="0"/>
          <w:szCs w:val="21"/>
        </w:rPr>
      </w:pPr>
      <w:r>
        <w:rPr>
          <w:rFonts w:hint="eastAsia" w:ascii="宋体" w:hAnsi="宋体"/>
          <w:szCs w:val="21"/>
        </w:rPr>
        <w:t>（5）</w:t>
      </w:r>
      <w:r>
        <w:rPr>
          <w:rFonts w:hint="eastAsia" w:ascii="宋体" w:hAnsi="宋体" w:cs="宋体"/>
          <w:kern w:val="0"/>
          <w:szCs w:val="21"/>
          <w:highlight w:val="none"/>
        </w:rPr>
        <w:t>谈判总报价</w:t>
      </w:r>
      <w:r>
        <w:rPr>
          <w:rFonts w:hint="eastAsia" w:ascii="宋体" w:hAnsi="宋体" w:cs="宋体"/>
          <w:kern w:val="0"/>
          <w:szCs w:val="21"/>
        </w:rPr>
        <w:t>超过</w:t>
      </w:r>
      <w:r>
        <w:rPr>
          <w:rFonts w:hint="eastAsia" w:ascii="宋体" w:hAnsi="宋体"/>
          <w:szCs w:val="21"/>
        </w:rPr>
        <w:t>谈判最高限价的</w:t>
      </w:r>
      <w:r>
        <w:rPr>
          <w:rFonts w:hint="eastAsia" w:ascii="宋体" w:hAnsi="宋体" w:cs="宋体"/>
          <w:kern w:val="0"/>
          <w:szCs w:val="21"/>
        </w:rPr>
        <w:t>。</w:t>
      </w:r>
    </w:p>
    <w:p>
      <w:pPr>
        <w:pStyle w:val="2"/>
        <w:spacing w:line="360" w:lineRule="auto"/>
        <w:ind w:left="0" w:leftChars="0" w:firstLine="420" w:firstLineChars="200"/>
        <w:rPr>
          <w:rFonts w:ascii="宋体" w:hAnsi="宋体"/>
          <w:szCs w:val="21"/>
        </w:rPr>
      </w:pPr>
      <w:r>
        <w:rPr>
          <w:rFonts w:hint="eastAsia" w:ascii="宋体" w:hAnsi="宋体"/>
          <w:szCs w:val="21"/>
        </w:rPr>
        <w:t>（6）未提交投标保证金的。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7</w:t>
      </w:r>
      <w:r>
        <w:rPr>
          <w:rFonts w:hint="eastAsia" w:ascii="宋体" w:hAnsi="宋体" w:cs="宋体"/>
          <w:kern w:val="0"/>
          <w:szCs w:val="21"/>
        </w:rPr>
        <w:t>）</w:t>
      </w:r>
      <w:r>
        <w:rPr>
          <w:rFonts w:hint="eastAsia" w:ascii="宋体" w:hAnsi="宋体"/>
          <w:szCs w:val="21"/>
        </w:rPr>
        <w:t>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5.</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w:t>
      </w:r>
      <w:bookmarkStart w:id="57" w:name="_Hlk70673845"/>
      <w:r>
        <w:rPr>
          <w:rFonts w:hint="eastAsia" w:ascii="宋体" w:hAnsi="宋体" w:cs="宋体"/>
          <w:b/>
          <w:bCs/>
          <w:kern w:val="0"/>
          <w:szCs w:val="21"/>
        </w:rPr>
        <w:t>谈判总报价</w:t>
      </w:r>
      <w:bookmarkEnd w:id="57"/>
      <w:r>
        <w:rPr>
          <w:rFonts w:hint="eastAsia" w:ascii="宋体" w:hAnsi="宋体" w:cs="宋体"/>
          <w:kern w:val="0"/>
          <w:szCs w:val="21"/>
        </w:rPr>
        <w:t>最低的报价为基准价，其得分为满分。</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6.推荐中选单位</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bCs/>
          <w:szCs w:val="21"/>
        </w:rPr>
        <w:t>6.1</w:t>
      </w:r>
      <w:r>
        <w:rPr>
          <w:rFonts w:hint="eastAsia" w:ascii="宋体" w:hAnsi="宋体" w:cs="宋体"/>
          <w:kern w:val="0"/>
          <w:szCs w:val="21"/>
        </w:rPr>
        <w:t>谈判评审小组应当在全部评审结束后，按照得分由高到低顺序推荐1名中选单位，并填写评审报告。</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6.2全部评审结束后，若出现报价得分相同的情形，则采用现场抽签方式确定中选单位。</w:t>
      </w:r>
    </w:p>
    <w:p>
      <w:pPr>
        <w:rPr>
          <w:rFonts w:ascii="宋体" w:hAnsi="宋体"/>
          <w:bCs/>
          <w:szCs w:val="21"/>
        </w:rPr>
        <w:sectPr>
          <w:pgSz w:w="11906" w:h="16838"/>
          <w:pgMar w:top="1440" w:right="1797" w:bottom="1440" w:left="1797" w:header="851" w:footer="851" w:gutter="0"/>
          <w:cols w:space="720" w:num="1"/>
          <w:docGrid w:linePitch="312" w:charSpace="0"/>
        </w:sectPr>
      </w:pPr>
      <w:r>
        <w:rPr>
          <w:rFonts w:hint="eastAsia" w:ascii="宋体" w:hAnsi="宋体" w:cs="宋体"/>
          <w:kern w:val="0"/>
          <w:szCs w:val="21"/>
        </w:rPr>
        <w:br w:type="page"/>
      </w:r>
    </w:p>
    <w:p>
      <w:pPr>
        <w:pStyle w:val="3"/>
        <w:keepNext w:val="0"/>
        <w:rPr>
          <w:rFonts w:ascii="宋体" w:hAnsi="宋体" w:cs="宋体"/>
          <w:bCs w:val="0"/>
          <w:sz w:val="32"/>
          <w:szCs w:val="32"/>
        </w:rPr>
      </w:pPr>
      <w:bookmarkStart w:id="58" w:name="_Toc17997"/>
      <w:bookmarkStart w:id="59" w:name="_Toc14891077"/>
      <w:bookmarkStart w:id="60" w:name="_Toc23442"/>
      <w:bookmarkStart w:id="61" w:name="_Toc17562"/>
      <w:bookmarkStart w:id="62" w:name="_Toc18202"/>
      <w:bookmarkStart w:id="63" w:name="_Toc16043"/>
      <w:r>
        <w:rPr>
          <w:rFonts w:hint="eastAsia" w:ascii="宋体" w:hAnsi="宋体" w:cs="宋体"/>
          <w:bCs w:val="0"/>
          <w:sz w:val="32"/>
          <w:szCs w:val="32"/>
        </w:rPr>
        <w:t>第四章  用户需求书</w:t>
      </w:r>
      <w:bookmarkEnd w:id="58"/>
      <w:bookmarkEnd w:id="59"/>
      <w:bookmarkEnd w:id="60"/>
      <w:bookmarkEnd w:id="61"/>
      <w:bookmarkEnd w:id="62"/>
      <w:r>
        <w:rPr>
          <w:rFonts w:hint="eastAsia" w:ascii="宋体" w:hAnsi="宋体" w:cs="宋体"/>
          <w:bCs w:val="0"/>
          <w:sz w:val="32"/>
          <w:szCs w:val="32"/>
        </w:rPr>
        <w:t>（另册）</w:t>
      </w:r>
      <w:bookmarkEnd w:id="63"/>
    </w:p>
    <w:p>
      <w:pPr>
        <w:sectPr>
          <w:headerReference r:id="rId5" w:type="default"/>
          <w:footerReference r:id="rId6" w:type="default"/>
          <w:pgSz w:w="11906" w:h="16838"/>
          <w:pgMar w:top="1440" w:right="1800" w:bottom="1440" w:left="1800" w:header="851" w:footer="992" w:gutter="0"/>
          <w:cols w:space="720" w:num="1"/>
          <w:docGrid w:type="lines" w:linePitch="312" w:charSpace="0"/>
        </w:sectPr>
      </w:pPr>
    </w:p>
    <w:p>
      <w:pPr>
        <w:pStyle w:val="3"/>
        <w:keepNext w:val="0"/>
        <w:rPr>
          <w:rFonts w:ascii="宋体" w:hAnsi="宋体" w:cs="宋体"/>
          <w:bCs w:val="0"/>
          <w:color w:val="FF0000"/>
          <w:sz w:val="32"/>
          <w:szCs w:val="32"/>
        </w:rPr>
      </w:pPr>
      <w:bookmarkStart w:id="64" w:name="_Toc19554"/>
      <w:bookmarkStart w:id="65" w:name="_Toc5859"/>
      <w:bookmarkStart w:id="66" w:name="_Toc14891078"/>
      <w:bookmarkStart w:id="67" w:name="_Toc13521"/>
      <w:bookmarkStart w:id="68" w:name="_Toc17441"/>
      <w:bookmarkStart w:id="69" w:name="_Toc22262"/>
      <w:r>
        <w:rPr>
          <w:rFonts w:hint="eastAsia" w:ascii="宋体" w:hAnsi="宋体" w:cs="宋体"/>
          <w:bCs w:val="0"/>
          <w:sz w:val="32"/>
          <w:szCs w:val="32"/>
        </w:rPr>
        <w:t>第五章  合同格式条款</w:t>
      </w:r>
      <w:bookmarkEnd w:id="64"/>
      <w:bookmarkEnd w:id="65"/>
      <w:bookmarkEnd w:id="66"/>
      <w:bookmarkEnd w:id="67"/>
      <w:bookmarkEnd w:id="68"/>
      <w:bookmarkEnd w:id="69"/>
    </w:p>
    <w:p>
      <w:pPr>
        <w:snapToGrid w:val="0"/>
        <w:spacing w:line="360" w:lineRule="auto"/>
        <w:jc w:val="center"/>
        <w:outlineLvl w:val="0"/>
        <w:rPr>
          <w:rFonts w:ascii="宋体" w:hAnsi="宋体" w:cs="宋体"/>
          <w:b/>
          <w:sz w:val="32"/>
          <w:szCs w:val="32"/>
        </w:rPr>
      </w:pPr>
      <w:bookmarkStart w:id="70" w:name="_Toc5097"/>
      <w:bookmarkStart w:id="71" w:name="_Toc29654"/>
      <w:bookmarkStart w:id="72" w:name="_Toc18525"/>
      <w:bookmarkStart w:id="73" w:name="_Toc20891"/>
    </w:p>
    <w:p>
      <w:pPr>
        <w:adjustRightInd w:val="0"/>
        <w:snapToGrid w:val="0"/>
        <w:spacing w:line="360" w:lineRule="auto"/>
        <w:jc w:val="right"/>
        <w:rPr>
          <w:rFonts w:hint="eastAsia" w:ascii="仿宋_GB2312" w:hAnsi="仿宋_GB2312" w:eastAsia="仿宋_GB2312" w:cs="仿宋_GB2312"/>
          <w:b/>
          <w:sz w:val="18"/>
          <w:szCs w:val="18"/>
        </w:rPr>
      </w:pPr>
      <w:bookmarkStart w:id="74" w:name="_Toc367274929"/>
      <w:bookmarkEnd w:id="74"/>
      <w:bookmarkStart w:id="75" w:name="_Toc227520433"/>
      <w:bookmarkEnd w:id="75"/>
      <w:r>
        <w:rPr>
          <w:rFonts w:hint="eastAsia" w:ascii="仿宋_GB2312" w:hAnsi="仿宋_GB2312" w:eastAsia="仿宋_GB2312" w:cs="仿宋_GB2312"/>
          <w:b/>
          <w:sz w:val="24"/>
          <w:highlight w:val="none"/>
        </w:rPr>
        <w:t>合同编号：</w:t>
      </w:r>
      <w:r>
        <w:rPr>
          <w:rFonts w:hint="eastAsia" w:ascii="仿宋_GB2312" w:hAnsi="仿宋_GB2312" w:eastAsia="仿宋_GB2312" w:cs="仿宋_GB2312"/>
          <w:sz w:val="24"/>
          <w:highlight w:val="none"/>
          <w:u w:val="dotted"/>
          <w:lang w:val="en-US" w:eastAsia="zh-CN"/>
        </w:rPr>
        <w:t>长轨运  服</w:t>
      </w:r>
      <w:r>
        <w:rPr>
          <w:rFonts w:hint="eastAsia" w:ascii="仿宋_GB2312" w:hAnsi="仿宋_GB2312" w:eastAsia="仿宋_GB2312" w:cs="仿宋_GB2312"/>
          <w:sz w:val="24"/>
          <w:highlight w:val="none"/>
          <w:u w:val="dotted"/>
        </w:rPr>
        <w:t>合【20</w:t>
      </w:r>
      <w:r>
        <w:rPr>
          <w:rFonts w:hint="eastAsia" w:ascii="仿宋_GB2312" w:hAnsi="仿宋_GB2312" w:eastAsia="仿宋_GB2312" w:cs="仿宋_GB2312"/>
          <w:sz w:val="24"/>
          <w:highlight w:val="none"/>
          <w:u w:val="dotted"/>
          <w:lang w:val="en-US" w:eastAsia="zh-CN"/>
        </w:rPr>
        <w:t>22</w:t>
      </w:r>
      <w:r>
        <w:rPr>
          <w:rFonts w:hint="eastAsia" w:ascii="仿宋_GB2312" w:hAnsi="仿宋_GB2312" w:eastAsia="仿宋_GB2312" w:cs="仿宋_GB2312"/>
          <w:sz w:val="24"/>
          <w:highlight w:val="none"/>
          <w:u w:val="dotted"/>
        </w:rPr>
        <w:t>】</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号</w:t>
      </w: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snapToGrid w:val="0"/>
        <w:jc w:val="center"/>
        <w:rPr>
          <w:rFonts w:hint="eastAsia" w:ascii="宋体" w:hAnsi="宋体" w:eastAsia="宋体" w:cs="宋体"/>
          <w:b/>
          <w:sz w:val="52"/>
          <w:szCs w:val="52"/>
        </w:rPr>
      </w:pPr>
    </w:p>
    <w:p>
      <w:pPr>
        <w:snapToGrid w:val="0"/>
        <w:jc w:val="center"/>
        <w:rPr>
          <w:rFonts w:hint="eastAsia" w:ascii="宋体" w:hAnsi="宋体" w:eastAsia="宋体" w:cs="宋体"/>
          <w:b/>
          <w:sz w:val="52"/>
          <w:szCs w:val="52"/>
        </w:rPr>
      </w:pPr>
      <w:r>
        <w:rPr>
          <w:rFonts w:hint="eastAsia" w:ascii="宋体" w:hAnsi="宋体" w:eastAsia="宋体" w:cs="宋体"/>
          <w:b/>
          <w:sz w:val="52"/>
          <w:szCs w:val="52"/>
        </w:rPr>
        <w:t>设备维修服务合同</w:t>
      </w:r>
    </w:p>
    <w:p>
      <w:pPr>
        <w:adjustRightInd w:val="0"/>
        <w:snapToGrid w:val="0"/>
        <w:spacing w:line="360" w:lineRule="auto"/>
        <w:jc w:val="center"/>
        <w:rPr>
          <w:rFonts w:hint="eastAsia" w:ascii="宋体" w:hAnsi="宋体" w:eastAsia="宋体" w:cs="宋体"/>
          <w:b/>
          <w:sz w:val="18"/>
          <w:szCs w:val="18"/>
        </w:rPr>
      </w:pPr>
      <w:r>
        <w:rPr>
          <w:rFonts w:hint="eastAsia" w:ascii="宋体" w:hAnsi="宋体" w:eastAsia="宋体" w:cs="宋体"/>
          <w:b/>
          <w:spacing w:val="20"/>
          <w:sz w:val="48"/>
          <w:szCs w:val="48"/>
        </w:rPr>
        <w:t xml:space="preserve"> </w:t>
      </w: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ind w:firstLine="1445" w:firstLineChars="514"/>
        <w:rPr>
          <w:rFonts w:hint="eastAsia" w:ascii="宋体" w:hAnsi="宋体" w:eastAsia="宋体" w:cs="宋体"/>
          <w:b/>
          <w:sz w:val="28"/>
          <w:szCs w:val="28"/>
        </w:rPr>
      </w:pPr>
    </w:p>
    <w:p>
      <w:pPr>
        <w:adjustRightInd w:val="0"/>
        <w:snapToGrid w:val="0"/>
        <w:spacing w:line="360" w:lineRule="auto"/>
        <w:ind w:firstLine="835" w:firstLineChars="297"/>
        <w:rPr>
          <w:rFonts w:hint="eastAsia" w:ascii="宋体" w:hAnsi="宋体" w:eastAsia="宋体" w:cs="宋体"/>
          <w:b/>
          <w:sz w:val="28"/>
          <w:szCs w:val="28"/>
          <w:u w:val="dotted"/>
        </w:rPr>
      </w:pPr>
      <w:r>
        <w:rPr>
          <w:rFonts w:hint="eastAsia" w:ascii="宋体" w:hAnsi="宋体" w:eastAsia="宋体" w:cs="宋体"/>
          <w:b/>
          <w:sz w:val="28"/>
          <w:szCs w:val="28"/>
        </w:rPr>
        <w:t>项目名称：</w:t>
      </w:r>
      <w:r>
        <w:rPr>
          <w:rFonts w:hint="eastAsia" w:ascii="宋体" w:hAnsi="宋体" w:eastAsia="宋体" w:cs="宋体"/>
          <w:b/>
          <w:sz w:val="28"/>
          <w:szCs w:val="28"/>
          <w:u w:val="dotted"/>
        </w:rPr>
        <w:t>长沙市轨道交通1、2、3、4、5号线运营期2022年-2024年车站卫生间管道疏通服务项目</w:t>
      </w:r>
    </w:p>
    <w:p>
      <w:pPr>
        <w:adjustRightInd w:val="0"/>
        <w:snapToGrid w:val="0"/>
        <w:spacing w:line="360" w:lineRule="auto"/>
        <w:ind w:firstLine="835" w:firstLineChars="297"/>
        <w:rPr>
          <w:rFonts w:hint="eastAsia" w:ascii="宋体" w:hAnsi="宋体" w:eastAsia="宋体" w:cs="宋体"/>
          <w:b/>
          <w:sz w:val="28"/>
          <w:szCs w:val="28"/>
          <w:u w:val="dotted"/>
        </w:rPr>
      </w:pPr>
    </w:p>
    <w:p>
      <w:pPr>
        <w:adjustRightInd w:val="0"/>
        <w:snapToGrid w:val="0"/>
        <w:spacing w:line="360" w:lineRule="auto"/>
        <w:ind w:firstLine="835" w:firstLineChars="297"/>
        <w:rPr>
          <w:rFonts w:hint="eastAsia" w:ascii="宋体" w:hAnsi="宋体" w:eastAsia="宋体" w:cs="宋体"/>
          <w:b/>
          <w:sz w:val="28"/>
          <w:szCs w:val="28"/>
          <w:u w:val="single"/>
        </w:rPr>
      </w:pPr>
      <w:r>
        <w:rPr>
          <w:rFonts w:hint="eastAsia" w:ascii="宋体" w:hAnsi="宋体" w:eastAsia="宋体" w:cs="宋体"/>
          <w:b/>
          <w:sz w:val="28"/>
          <w:szCs w:val="28"/>
        </w:rPr>
        <w:t>项目地点：</w:t>
      </w:r>
      <w:r>
        <w:rPr>
          <w:rFonts w:hint="eastAsia" w:ascii="宋体" w:hAnsi="宋体" w:eastAsia="宋体" w:cs="宋体"/>
          <w:b/>
          <w:sz w:val="28"/>
          <w:szCs w:val="28"/>
          <w:u w:val="dotted"/>
        </w:rPr>
        <w:t xml:space="preserve">           湖南省长沙市              </w:t>
      </w:r>
    </w:p>
    <w:p>
      <w:pPr>
        <w:adjustRightInd w:val="0"/>
        <w:snapToGrid w:val="0"/>
        <w:spacing w:line="360" w:lineRule="auto"/>
        <w:ind w:firstLine="1344" w:firstLineChars="478"/>
        <w:rPr>
          <w:rFonts w:hint="eastAsia" w:ascii="宋体" w:hAnsi="宋体" w:eastAsia="宋体" w:cs="宋体"/>
          <w:b/>
          <w:sz w:val="28"/>
          <w:szCs w:val="28"/>
        </w:rPr>
      </w:pPr>
    </w:p>
    <w:p>
      <w:pPr>
        <w:adjustRightInd w:val="0"/>
        <w:snapToGrid w:val="0"/>
        <w:spacing w:line="360" w:lineRule="auto"/>
        <w:ind w:firstLine="835" w:firstLineChars="297"/>
        <w:rPr>
          <w:rFonts w:hint="eastAsia" w:ascii="宋体" w:hAnsi="宋体" w:eastAsia="宋体" w:cs="宋体"/>
          <w:b/>
          <w:sz w:val="28"/>
          <w:szCs w:val="28"/>
          <w:u w:val="dotted"/>
        </w:rPr>
      </w:pPr>
      <w:r>
        <w:rPr>
          <w:rFonts w:hint="eastAsia" w:ascii="宋体" w:hAnsi="宋体" w:eastAsia="宋体" w:cs="宋体"/>
          <w:b/>
          <w:sz w:val="28"/>
          <w:szCs w:val="28"/>
        </w:rPr>
        <w:t>委 托 人：</w:t>
      </w:r>
      <w:r>
        <w:rPr>
          <w:rFonts w:hint="eastAsia" w:ascii="宋体" w:hAnsi="宋体" w:eastAsia="宋体" w:cs="宋体"/>
          <w:b/>
          <w:sz w:val="28"/>
          <w:szCs w:val="28"/>
          <w:u w:val="dotted"/>
        </w:rPr>
        <w:t xml:space="preserve">                                     </w:t>
      </w:r>
    </w:p>
    <w:p>
      <w:pPr>
        <w:adjustRightInd w:val="0"/>
        <w:snapToGrid w:val="0"/>
        <w:spacing w:line="360" w:lineRule="auto"/>
        <w:ind w:firstLine="1344" w:firstLineChars="478"/>
        <w:rPr>
          <w:rFonts w:hint="eastAsia" w:ascii="宋体" w:hAnsi="宋体" w:eastAsia="宋体" w:cs="宋体"/>
          <w:b/>
          <w:sz w:val="28"/>
          <w:szCs w:val="28"/>
        </w:rPr>
      </w:pPr>
    </w:p>
    <w:p>
      <w:pPr>
        <w:adjustRightInd w:val="0"/>
        <w:snapToGrid w:val="0"/>
        <w:spacing w:line="360" w:lineRule="auto"/>
        <w:ind w:firstLine="835" w:firstLineChars="297"/>
        <w:rPr>
          <w:rFonts w:hint="eastAsia" w:ascii="宋体" w:hAnsi="宋体" w:eastAsia="宋体" w:cs="宋体"/>
          <w:b/>
          <w:sz w:val="18"/>
          <w:szCs w:val="18"/>
        </w:rPr>
      </w:pPr>
      <w:r>
        <w:rPr>
          <w:rFonts w:hint="eastAsia" w:ascii="宋体" w:hAnsi="宋体" w:eastAsia="宋体" w:cs="宋体"/>
          <w:b/>
          <w:sz w:val="28"/>
          <w:szCs w:val="28"/>
        </w:rPr>
        <w:t>受 托 人：</w:t>
      </w:r>
      <w:r>
        <w:rPr>
          <w:rFonts w:hint="eastAsia" w:ascii="宋体" w:hAnsi="宋体" w:eastAsia="宋体" w:cs="宋体"/>
          <w:b/>
          <w:sz w:val="28"/>
          <w:szCs w:val="28"/>
          <w:u w:val="dotted"/>
        </w:rPr>
        <w:t xml:space="preserve">                                     </w:t>
      </w:r>
    </w:p>
    <w:p>
      <w:pPr>
        <w:adjustRightInd w:val="0"/>
        <w:snapToGrid w:val="0"/>
        <w:spacing w:line="400" w:lineRule="exact"/>
        <w:ind w:firstLine="480" w:firstLineChars="200"/>
        <w:rPr>
          <w:rFonts w:hint="eastAsia" w:ascii="宋体" w:hAnsi="宋体" w:eastAsia="宋体" w:cs="宋体"/>
          <w:sz w:val="24"/>
        </w:rPr>
        <w:sectPr>
          <w:headerReference r:id="rId7" w:type="default"/>
          <w:endnotePr>
            <w:numFmt w:val="decimal"/>
          </w:endnotePr>
          <w:pgSz w:w="11906" w:h="16838"/>
          <w:pgMar w:top="1440" w:right="1797" w:bottom="1440" w:left="1797" w:header="851" w:footer="850" w:gutter="0"/>
          <w:pgNumType w:start="1"/>
          <w:cols w:space="720" w:num="1"/>
          <w:docGrid w:type="lines" w:linePitch="312" w:charSpace="0"/>
        </w:sectPr>
      </w:pPr>
    </w:p>
    <w:p>
      <w:pPr>
        <w:tabs>
          <w:tab w:val="left" w:pos="2580"/>
          <w:tab w:val="center" w:pos="5121"/>
        </w:tabs>
        <w:snapToGrid w:val="0"/>
        <w:spacing w:line="360" w:lineRule="auto"/>
        <w:jc w:val="center"/>
        <w:outlineLvl w:val="0"/>
        <w:rPr>
          <w:rFonts w:hint="eastAsia" w:ascii="宋体" w:hAnsi="宋体" w:eastAsia="宋体" w:cs="宋体"/>
          <w:b/>
          <w:bCs/>
          <w:kern w:val="0"/>
          <w:sz w:val="21"/>
          <w:szCs w:val="21"/>
        </w:rPr>
      </w:pPr>
      <w:bookmarkStart w:id="76" w:name="_Toc11619"/>
      <w:r>
        <w:rPr>
          <w:rFonts w:hint="eastAsia" w:ascii="宋体" w:hAnsi="宋体" w:eastAsia="宋体" w:cs="宋体"/>
          <w:b/>
          <w:bCs/>
          <w:kern w:val="0"/>
          <w:sz w:val="21"/>
          <w:szCs w:val="21"/>
        </w:rPr>
        <w:t>第一部分 合同协议书</w:t>
      </w:r>
      <w:bookmarkEnd w:id="76"/>
    </w:p>
    <w:p>
      <w:pPr>
        <w:adjustRightInd w:val="0"/>
        <w:snapToGrid w:val="0"/>
        <w:spacing w:line="360" w:lineRule="auto"/>
        <w:jc w:val="left"/>
        <w:rPr>
          <w:rFonts w:hint="eastAsia" w:ascii="宋体" w:hAnsi="宋体" w:eastAsia="宋体" w:cs="宋体"/>
          <w:b/>
          <w:kern w:val="0"/>
          <w:sz w:val="21"/>
          <w:szCs w:val="21"/>
        </w:rPr>
      </w:pPr>
    </w:p>
    <w:p>
      <w:pPr>
        <w:adjustRightInd w:val="0"/>
        <w:snapToGrid w:val="0"/>
        <w:spacing w:line="360" w:lineRule="auto"/>
        <w:jc w:val="left"/>
        <w:rPr>
          <w:rFonts w:hint="eastAsia" w:ascii="宋体" w:hAnsi="宋体" w:eastAsia="宋体" w:cs="宋体"/>
          <w:b/>
          <w:kern w:val="0"/>
          <w:sz w:val="21"/>
          <w:szCs w:val="21"/>
          <w:u w:val="single"/>
        </w:rPr>
      </w:pPr>
      <w:r>
        <w:rPr>
          <w:rFonts w:hint="eastAsia" w:ascii="宋体" w:hAnsi="宋体" w:eastAsia="宋体" w:cs="宋体"/>
          <w:b/>
          <w:kern w:val="0"/>
          <w:sz w:val="21"/>
          <w:szCs w:val="21"/>
        </w:rPr>
        <w:t>委托人（以下简称甲方）：</w:t>
      </w:r>
      <w:r>
        <w:rPr>
          <w:rFonts w:hint="eastAsia" w:ascii="宋体" w:hAnsi="宋体" w:eastAsia="宋体" w:cs="宋体"/>
          <w:b/>
          <w:kern w:val="0"/>
          <w:sz w:val="21"/>
          <w:szCs w:val="21"/>
          <w:u w:val="single"/>
        </w:rPr>
        <w:t xml:space="preserve">                       </w:t>
      </w:r>
    </w:p>
    <w:p>
      <w:pPr>
        <w:adjustRightInd w:val="0"/>
        <w:snapToGrid w:val="0"/>
        <w:spacing w:line="360" w:lineRule="auto"/>
        <w:jc w:val="left"/>
        <w:rPr>
          <w:rFonts w:hint="eastAsia" w:ascii="宋体" w:hAnsi="宋体" w:eastAsia="宋体" w:cs="宋体"/>
          <w:b/>
          <w:kern w:val="0"/>
          <w:sz w:val="21"/>
          <w:szCs w:val="21"/>
          <w:u w:val="single"/>
        </w:rPr>
      </w:pPr>
      <w:r>
        <w:rPr>
          <w:rFonts w:hint="eastAsia" w:ascii="宋体" w:hAnsi="宋体" w:eastAsia="宋体" w:cs="宋体"/>
          <w:b/>
          <w:kern w:val="0"/>
          <w:sz w:val="21"/>
          <w:szCs w:val="21"/>
        </w:rPr>
        <w:t>受托人（以下简称乙方）：</w:t>
      </w:r>
      <w:r>
        <w:rPr>
          <w:rFonts w:hint="eastAsia" w:ascii="宋体" w:hAnsi="宋体" w:eastAsia="宋体" w:cs="宋体"/>
          <w:b/>
          <w:kern w:val="0"/>
          <w:sz w:val="21"/>
          <w:szCs w:val="21"/>
          <w:u w:val="single"/>
        </w:rPr>
        <w:t xml:space="preserve">                       </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根据《中华人民共和国民法典》及其他有关法律、法规，遵循平等、自愿、公平和诚实信用的原则，双方就下述项目设备维修服务及有关事项协商一致，</w:t>
      </w:r>
      <w:r>
        <w:rPr>
          <w:rFonts w:hint="eastAsia" w:ascii="宋体" w:hAnsi="宋体" w:eastAsia="宋体" w:cs="宋体"/>
          <w:sz w:val="21"/>
          <w:szCs w:val="21"/>
        </w:rPr>
        <w:t>共同签订本合同</w:t>
      </w:r>
      <w:r>
        <w:rPr>
          <w:rFonts w:hint="eastAsia" w:ascii="宋体" w:hAnsi="宋体" w:eastAsia="宋体" w:cs="宋体"/>
          <w:kern w:val="0"/>
          <w:sz w:val="21"/>
          <w:szCs w:val="21"/>
        </w:rPr>
        <w:t>。</w:t>
      </w:r>
    </w:p>
    <w:p>
      <w:pPr>
        <w:pStyle w:val="2"/>
        <w:spacing w:line="360" w:lineRule="auto"/>
        <w:ind w:left="0" w:leftChars="0" w:firstLine="422" w:firstLineChars="200"/>
        <w:rPr>
          <w:rFonts w:hint="eastAsia" w:ascii="宋体" w:hAnsi="宋体" w:eastAsia="宋体" w:cs="宋体"/>
          <w:b/>
          <w:bCs/>
          <w:sz w:val="21"/>
          <w:szCs w:val="21"/>
        </w:rPr>
      </w:pPr>
      <w:bookmarkStart w:id="77" w:name="_Toc32742"/>
      <w:bookmarkStart w:id="78" w:name="_Toc17907"/>
      <w:bookmarkStart w:id="79" w:name="_Toc26171"/>
      <w:bookmarkStart w:id="80" w:name="_Toc26896"/>
      <w:bookmarkStart w:id="81" w:name="_Toc485"/>
      <w:bookmarkStart w:id="82" w:name="_Toc20903"/>
      <w:bookmarkStart w:id="83" w:name="_Toc9422"/>
      <w:bookmarkStart w:id="84" w:name="_Toc25897"/>
      <w:r>
        <w:rPr>
          <w:rFonts w:hint="eastAsia" w:ascii="宋体" w:hAnsi="宋体" w:eastAsia="宋体" w:cs="宋体"/>
          <w:b/>
          <w:bCs/>
          <w:sz w:val="21"/>
          <w:szCs w:val="21"/>
        </w:rPr>
        <w:t>一、项目概况</w:t>
      </w:r>
      <w:bookmarkEnd w:id="77"/>
      <w:bookmarkEnd w:id="78"/>
      <w:bookmarkEnd w:id="79"/>
      <w:bookmarkEnd w:id="80"/>
    </w:p>
    <w:p>
      <w:pPr>
        <w:adjustRightInd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1、项目名称：</w:t>
      </w:r>
      <w:r>
        <w:rPr>
          <w:rFonts w:hint="eastAsia" w:ascii="宋体" w:hAnsi="宋体" w:eastAsia="宋体" w:cs="宋体"/>
          <w:sz w:val="21"/>
          <w:szCs w:val="21"/>
          <w:u w:val="single"/>
        </w:rPr>
        <w:t xml:space="preserve">                    </w:t>
      </w:r>
    </w:p>
    <w:p>
      <w:pPr>
        <w:adjustRightInd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2、项目概况：</w:t>
      </w:r>
      <w:r>
        <w:rPr>
          <w:rFonts w:hint="eastAsia" w:ascii="宋体" w:hAnsi="宋体" w:eastAsia="宋体" w:cs="宋体"/>
          <w:sz w:val="21"/>
          <w:szCs w:val="21"/>
          <w:u w:val="single"/>
        </w:rPr>
        <w:t xml:space="preserve">                    </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kern w:val="0"/>
          <w:sz w:val="21"/>
          <w:szCs w:val="21"/>
        </w:rPr>
        <w:t>服务范围及内容：</w:t>
      </w:r>
      <w:r>
        <w:rPr>
          <w:rFonts w:hint="eastAsia" w:ascii="宋体" w:hAnsi="宋体" w:eastAsia="宋体" w:cs="宋体"/>
          <w:sz w:val="21"/>
          <w:szCs w:val="21"/>
          <w:u w:val="single"/>
        </w:rPr>
        <w:t xml:space="preserve">              </w:t>
      </w:r>
      <w:r>
        <w:rPr>
          <w:rFonts w:hint="eastAsia" w:ascii="宋体" w:hAnsi="宋体" w:eastAsia="宋体" w:cs="宋体"/>
          <w:sz w:val="21"/>
          <w:szCs w:val="21"/>
        </w:rPr>
        <w:t>，具体</w:t>
      </w:r>
      <w:r>
        <w:rPr>
          <w:rFonts w:hint="eastAsia" w:ascii="宋体" w:hAnsi="宋体" w:eastAsia="宋体" w:cs="宋体"/>
          <w:kern w:val="0"/>
          <w:sz w:val="21"/>
          <w:szCs w:val="21"/>
        </w:rPr>
        <w:t>内容详见</w:t>
      </w:r>
      <w:r>
        <w:rPr>
          <w:rFonts w:hint="eastAsia" w:ascii="宋体" w:hAnsi="宋体" w:eastAsia="宋体" w:cs="宋体"/>
          <w:sz w:val="21"/>
          <w:szCs w:val="21"/>
        </w:rPr>
        <w:t>用户需求书/技术规格书。</w:t>
      </w:r>
    </w:p>
    <w:p>
      <w:pPr>
        <w:adjustRightInd w:val="0"/>
        <w:snapToGrid w:val="0"/>
        <w:spacing w:line="360" w:lineRule="auto"/>
        <w:ind w:firstLine="422" w:firstLineChars="200"/>
        <w:jc w:val="left"/>
        <w:rPr>
          <w:rFonts w:hint="eastAsia" w:ascii="宋体" w:hAnsi="宋体" w:eastAsia="宋体" w:cs="宋体"/>
          <w:b/>
          <w:bCs/>
          <w:sz w:val="21"/>
          <w:szCs w:val="21"/>
        </w:rPr>
      </w:pPr>
      <w:r>
        <w:rPr>
          <w:rFonts w:hint="eastAsia" w:ascii="宋体" w:hAnsi="宋体" w:eastAsia="宋体" w:cs="宋体"/>
          <w:b/>
          <w:bCs/>
          <w:sz w:val="21"/>
          <w:szCs w:val="21"/>
        </w:rPr>
        <w:t>二、服务期限</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服务期限为：</w:t>
      </w:r>
      <w:r>
        <w:rPr>
          <w:rFonts w:hint="eastAsia" w:ascii="宋体" w:hAnsi="宋体" w:eastAsia="宋体" w:cs="宋体"/>
          <w:sz w:val="21"/>
          <w:szCs w:val="21"/>
          <w:u w:val="single"/>
        </w:rPr>
        <w:t xml:space="preserve">              </w:t>
      </w:r>
      <w:r>
        <w:rPr>
          <w:rFonts w:hint="eastAsia" w:ascii="宋体" w:hAnsi="宋体" w:eastAsia="宋体" w:cs="宋体"/>
          <w:sz w:val="21"/>
          <w:szCs w:val="21"/>
        </w:rPr>
        <w:t>，具体</w:t>
      </w:r>
      <w:r>
        <w:rPr>
          <w:rFonts w:hint="eastAsia" w:ascii="宋体" w:hAnsi="宋体" w:eastAsia="宋体" w:cs="宋体"/>
          <w:kern w:val="0"/>
          <w:sz w:val="21"/>
          <w:szCs w:val="21"/>
        </w:rPr>
        <w:t>内容详见</w:t>
      </w:r>
      <w:r>
        <w:rPr>
          <w:rFonts w:hint="eastAsia" w:ascii="宋体" w:hAnsi="宋体" w:eastAsia="宋体" w:cs="宋体"/>
          <w:sz w:val="21"/>
          <w:szCs w:val="21"/>
        </w:rPr>
        <w:t>用户需求书/技术规格书。</w:t>
      </w:r>
    </w:p>
    <w:p>
      <w:pPr>
        <w:numPr>
          <w:ilvl w:val="0"/>
          <w:numId w:val="6"/>
        </w:numPr>
        <w:adjustRightInd w:val="0"/>
        <w:snapToGrid w:val="0"/>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签约合同价</w:t>
      </w:r>
    </w:p>
    <w:p>
      <w:pPr>
        <w:numPr>
          <w:ilvl w:val="0"/>
          <w:numId w:val="7"/>
        </w:numPr>
        <w:spacing w:line="360" w:lineRule="auto"/>
        <w:ind w:firstLine="465"/>
        <w:rPr>
          <w:rFonts w:hint="eastAsia" w:ascii="宋体" w:hAnsi="宋体" w:eastAsia="宋体" w:cs="宋体"/>
          <w:kern w:val="0"/>
          <w:sz w:val="21"/>
          <w:szCs w:val="21"/>
        </w:rPr>
      </w:pPr>
      <w:bookmarkStart w:id="85" w:name="_Toc10509"/>
      <w:bookmarkStart w:id="86" w:name="_Toc7501"/>
      <w:bookmarkStart w:id="87" w:name="_Toc25652"/>
      <w:bookmarkStart w:id="88" w:name="_Toc27578"/>
      <w:r>
        <w:rPr>
          <w:rFonts w:hint="eastAsia" w:ascii="宋体" w:hAnsi="宋体" w:eastAsia="宋体" w:cs="宋体"/>
          <w:kern w:val="0"/>
          <w:sz w:val="21"/>
          <w:szCs w:val="21"/>
        </w:rPr>
        <w:t>合同价格形式：</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□单价合同（除税率调整外，合同单价（即中标单价/中选单价/成交单价）在合同执行过程中固定不变，不随政府政策（长沙市规定的最低工资标准变化等）及市场物价上涨或回落等因素调整）</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总价合同（除税率调整外，合同总价（即中标总价/中选总价/成交总价）在合同执行过程中固定不变，不随政府政策（长沙市规定的最低工资标准变化等）及市场物价上涨或回落等因素调整。最终完成的合格工作量超过招标/竞谈/谈判的工作量时，按招标/竞谈/谈判的工作量办理结算；最终完成的合格工作量未超过招标/竞谈/谈判的工程量时，则按最终完成的合格工程量办理结算）</w:t>
      </w:r>
    </w:p>
    <w:p>
      <w:pPr>
        <w:spacing w:line="360" w:lineRule="auto"/>
        <w:ind w:firstLine="465"/>
        <w:rPr>
          <w:rFonts w:hint="eastAsia" w:ascii="宋体" w:hAnsi="宋体" w:eastAsia="宋体" w:cs="宋体"/>
          <w:sz w:val="21"/>
          <w:szCs w:val="21"/>
        </w:rPr>
      </w:pPr>
      <w:r>
        <w:rPr>
          <w:rFonts w:hint="eastAsia" w:ascii="宋体" w:hAnsi="宋体" w:eastAsia="宋体" w:cs="宋体"/>
          <w:kern w:val="0"/>
          <w:sz w:val="21"/>
          <w:szCs w:val="21"/>
        </w:rPr>
        <w:t>2.</w:t>
      </w:r>
      <w:r>
        <w:rPr>
          <w:rFonts w:hint="eastAsia" w:ascii="宋体" w:hAnsi="宋体" w:eastAsia="宋体" w:cs="宋体"/>
          <w:sz w:val="21"/>
          <w:szCs w:val="21"/>
        </w:rPr>
        <w:t>签约合同价为人民币</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元（大写金额：</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），具体分项价格表详见合同附件之签约合同价清单。</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3.按长沙市政府或其职能部门相关规定，本项目的合同价格（即结算价格）最终以</w:t>
      </w:r>
      <w:r>
        <w:rPr>
          <w:rFonts w:hint="eastAsia" w:ascii="宋体" w:hAnsi="宋体" w:eastAsia="宋体" w:cs="宋体"/>
          <w:sz w:val="21"/>
          <w:szCs w:val="21"/>
          <w:u w:val="single"/>
        </w:rPr>
        <w:t>□长沙市政府相关职能部门或长沙市轨道交通集团有限公司授权的单位审定价款为准</w:t>
      </w:r>
      <w:r>
        <w:rPr>
          <w:rFonts w:hint="eastAsia" w:ascii="宋体" w:hAnsi="宋体" w:eastAsia="宋体" w:cs="宋体"/>
          <w:sz w:val="21"/>
          <w:szCs w:val="21"/>
        </w:rPr>
        <w:t>/</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履约验收合格确定的最终价款为准</w:t>
      </w:r>
      <w:r>
        <w:rPr>
          <w:rFonts w:hint="eastAsia" w:ascii="宋体" w:hAnsi="宋体" w:eastAsia="宋体" w:cs="宋体"/>
          <w:sz w:val="21"/>
          <w:szCs w:val="21"/>
        </w:rPr>
        <w:t>。</w:t>
      </w:r>
      <w:r>
        <w:rPr>
          <w:rFonts w:hint="eastAsia" w:ascii="宋体" w:hAnsi="宋体" w:eastAsia="宋体" w:cs="宋体"/>
          <w:bCs/>
          <w:sz w:val="21"/>
          <w:szCs w:val="21"/>
        </w:rPr>
        <w:t>合同价格包括乙方按合同约定进行维修所产生的成本、费用、税金、利润、保险、专利、风险。</w:t>
      </w:r>
    </w:p>
    <w:bookmarkEnd w:id="85"/>
    <w:bookmarkEnd w:id="86"/>
    <w:bookmarkEnd w:id="87"/>
    <w:bookmarkEnd w:id="88"/>
    <w:p>
      <w:pPr>
        <w:spacing w:line="360" w:lineRule="auto"/>
        <w:ind w:firstLine="369" w:firstLineChars="175"/>
        <w:rPr>
          <w:rFonts w:hint="eastAsia" w:ascii="宋体" w:hAnsi="宋体" w:eastAsia="宋体" w:cs="宋体"/>
          <w:b/>
          <w:kern w:val="0"/>
          <w:sz w:val="21"/>
          <w:szCs w:val="21"/>
        </w:rPr>
      </w:pPr>
      <w:bookmarkStart w:id="89" w:name="_Toc457826210"/>
      <w:r>
        <w:rPr>
          <w:rFonts w:hint="eastAsia" w:ascii="宋体" w:hAnsi="宋体" w:eastAsia="宋体" w:cs="宋体"/>
          <w:b/>
          <w:kern w:val="0"/>
          <w:sz w:val="21"/>
          <w:szCs w:val="21"/>
        </w:rPr>
        <w:t>四、质量标准</w:t>
      </w:r>
    </w:p>
    <w:p>
      <w:pPr>
        <w:tabs>
          <w:tab w:val="left" w:pos="1260"/>
        </w:tabs>
        <w:adjustRightInd w:val="0"/>
        <w:snapToGrid w:val="0"/>
        <w:spacing w:line="360" w:lineRule="auto"/>
        <w:ind w:firstLine="420" w:firstLineChars="200"/>
        <w:jc w:val="left"/>
        <w:outlineLvl w:val="2"/>
        <w:rPr>
          <w:rFonts w:hint="eastAsia" w:ascii="宋体" w:hAnsi="宋体" w:eastAsia="宋体" w:cs="宋体"/>
          <w:kern w:val="0"/>
          <w:sz w:val="21"/>
          <w:szCs w:val="21"/>
          <w:u w:val="single"/>
        </w:rPr>
      </w:pPr>
      <w:bookmarkStart w:id="90" w:name="_Toc2011"/>
      <w:r>
        <w:rPr>
          <w:rFonts w:hint="eastAsia" w:ascii="宋体" w:hAnsi="宋体" w:eastAsia="宋体" w:cs="宋体"/>
          <w:kern w:val="0"/>
          <w:sz w:val="21"/>
          <w:szCs w:val="21"/>
        </w:rPr>
        <w:t>质量标准为：</w:t>
      </w:r>
      <w:r>
        <w:rPr>
          <w:rFonts w:hint="eastAsia" w:ascii="宋体" w:hAnsi="宋体" w:eastAsia="宋体" w:cs="宋体"/>
          <w:kern w:val="0"/>
          <w:sz w:val="21"/>
          <w:szCs w:val="21"/>
          <w:u w:val="single"/>
        </w:rPr>
        <w:t>符合国家、省市及行业现行有关规定、标准和规范的要求，具体要求以用户需求书/技术规格书为准。</w:t>
      </w:r>
      <w:bookmarkEnd w:id="90"/>
    </w:p>
    <w:p>
      <w:pPr>
        <w:tabs>
          <w:tab w:val="left" w:pos="1260"/>
        </w:tabs>
        <w:adjustRightInd w:val="0"/>
        <w:snapToGrid w:val="0"/>
        <w:spacing w:line="360" w:lineRule="auto"/>
        <w:ind w:firstLine="422" w:firstLineChars="200"/>
        <w:jc w:val="left"/>
        <w:outlineLvl w:val="2"/>
        <w:rPr>
          <w:rFonts w:hint="eastAsia" w:ascii="宋体" w:hAnsi="宋体" w:eastAsia="宋体" w:cs="宋体"/>
          <w:b/>
          <w:kern w:val="0"/>
          <w:sz w:val="21"/>
          <w:szCs w:val="21"/>
        </w:rPr>
      </w:pPr>
      <w:bookmarkStart w:id="91" w:name="_Toc27708"/>
      <w:r>
        <w:rPr>
          <w:rFonts w:hint="eastAsia" w:ascii="宋体" w:hAnsi="宋体" w:eastAsia="宋体" w:cs="宋体"/>
          <w:b/>
          <w:kern w:val="0"/>
          <w:sz w:val="21"/>
          <w:szCs w:val="21"/>
        </w:rPr>
        <w:t>五、保修期</w:t>
      </w:r>
      <w:bookmarkEnd w:id="91"/>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u w:val="single"/>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，具体</w:t>
      </w:r>
      <w:r>
        <w:rPr>
          <w:rFonts w:hint="eastAsia" w:ascii="宋体" w:hAnsi="宋体" w:eastAsia="宋体" w:cs="宋体"/>
          <w:kern w:val="0"/>
          <w:sz w:val="21"/>
          <w:szCs w:val="21"/>
        </w:rPr>
        <w:t>内容详见</w:t>
      </w:r>
      <w:r>
        <w:rPr>
          <w:rFonts w:hint="eastAsia" w:ascii="宋体" w:hAnsi="宋体" w:eastAsia="宋体" w:cs="宋体"/>
          <w:sz w:val="21"/>
          <w:szCs w:val="21"/>
        </w:rPr>
        <w:t>用户需求书/技术规格书。</w:t>
      </w:r>
    </w:p>
    <w:p>
      <w:pPr>
        <w:tabs>
          <w:tab w:val="left" w:pos="1260"/>
        </w:tabs>
        <w:adjustRightInd w:val="0"/>
        <w:snapToGrid w:val="0"/>
        <w:spacing w:line="360" w:lineRule="auto"/>
        <w:ind w:firstLine="422" w:firstLineChars="200"/>
        <w:jc w:val="left"/>
        <w:outlineLvl w:val="2"/>
        <w:rPr>
          <w:rFonts w:hint="eastAsia" w:ascii="宋体" w:hAnsi="宋体" w:eastAsia="宋体" w:cs="宋体"/>
          <w:b/>
          <w:kern w:val="0"/>
          <w:sz w:val="21"/>
          <w:szCs w:val="21"/>
        </w:rPr>
      </w:pPr>
      <w:bookmarkStart w:id="92" w:name="_Toc15022"/>
      <w:r>
        <w:rPr>
          <w:rFonts w:hint="eastAsia" w:ascii="宋体" w:hAnsi="宋体" w:eastAsia="宋体" w:cs="宋体"/>
          <w:b/>
          <w:kern w:val="0"/>
          <w:sz w:val="21"/>
          <w:szCs w:val="21"/>
        </w:rPr>
        <w:t>六、合同文件及优先解释顺序</w:t>
      </w:r>
      <w:bookmarkEnd w:id="89"/>
      <w:bookmarkEnd w:id="92"/>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合同文件组成及优先解释顺序：</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（1）补充协议（如果有）；</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（2）合同协议书；</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（3）中标通知书/中选通知书</w:t>
      </w:r>
      <w:r>
        <w:rPr>
          <w:rFonts w:hint="eastAsia" w:ascii="宋体" w:hAnsi="宋体" w:eastAsia="宋体" w:cs="宋体"/>
          <w:sz w:val="21"/>
          <w:szCs w:val="21"/>
        </w:rPr>
        <w:t>/谈判记录表</w:t>
      </w:r>
      <w:r>
        <w:rPr>
          <w:rFonts w:hint="eastAsia" w:ascii="宋体" w:hAnsi="宋体" w:eastAsia="宋体" w:cs="宋体"/>
          <w:kern w:val="0"/>
          <w:sz w:val="21"/>
          <w:szCs w:val="21"/>
        </w:rPr>
        <w:t>;</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（4）合同条款；</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（5）用户需求书/技术规格书；</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（6）</w:t>
      </w:r>
      <w:r>
        <w:rPr>
          <w:rFonts w:hint="eastAsia" w:ascii="宋体" w:hAnsi="宋体" w:eastAsia="宋体" w:cs="宋体"/>
          <w:sz w:val="21"/>
          <w:szCs w:val="21"/>
        </w:rPr>
        <w:t>签约合同价清单；</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（7）合同附件及乙方按合同附录格式及要求出具的文件；</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（8）图纸；</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（9）技术标准；</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（10）招标文件/自主竞争性谈判文件/直接委托谈判文件及澄清与答疑文件及其它补充资料；</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（11）投标文件/谈判响应文件及澄清文件及其它补充资料；</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（12）其他构成本合同的文件。</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上述各项合同文件包括合同当事人就该项合同文件所作出的补充和修改，属于同一类内容的文件，应以最新签署的为准。</w:t>
      </w:r>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在合同履行过程中形成的与合同有关的文件均构成合同文件组成部分，并根据其性质确定优先解释顺序。</w:t>
      </w:r>
    </w:p>
    <w:p>
      <w:pPr>
        <w:spacing w:line="360"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七、承诺</w:t>
      </w:r>
    </w:p>
    <w:p>
      <w:pPr>
        <w:spacing w:line="360" w:lineRule="auto"/>
        <w:ind w:firstLine="367" w:firstLineChars="175"/>
        <w:rPr>
          <w:rFonts w:hint="eastAsia" w:ascii="宋体" w:hAnsi="宋体" w:eastAsia="宋体" w:cs="宋体"/>
          <w:kern w:val="0"/>
          <w:sz w:val="21"/>
          <w:szCs w:val="21"/>
        </w:rPr>
      </w:pPr>
      <w:r>
        <w:rPr>
          <w:rFonts w:hint="eastAsia" w:ascii="宋体" w:hAnsi="宋体" w:eastAsia="宋体" w:cs="宋体"/>
          <w:kern w:val="0"/>
          <w:sz w:val="21"/>
          <w:szCs w:val="21"/>
        </w:rPr>
        <w:t>1.甲方承诺按照合同约定提供有关条件和相关资料，并按照合同约定的期限和方式支付合同价款。</w:t>
      </w:r>
    </w:p>
    <w:p>
      <w:pPr>
        <w:spacing w:line="360" w:lineRule="auto"/>
        <w:ind w:firstLine="367" w:firstLineChars="175"/>
        <w:rPr>
          <w:rFonts w:hint="eastAsia" w:ascii="宋体" w:hAnsi="宋体" w:eastAsia="宋体" w:cs="宋体"/>
          <w:kern w:val="0"/>
          <w:sz w:val="21"/>
          <w:szCs w:val="21"/>
        </w:rPr>
      </w:pPr>
      <w:r>
        <w:rPr>
          <w:rFonts w:hint="eastAsia" w:ascii="宋体" w:hAnsi="宋体" w:eastAsia="宋体" w:cs="宋体"/>
          <w:kern w:val="0"/>
          <w:sz w:val="21"/>
          <w:szCs w:val="21"/>
        </w:rPr>
        <w:t>2.乙方承诺按照法律法规和技术标准规定及合同约定提供服务。</w:t>
      </w:r>
      <w:bookmarkStart w:id="93" w:name="_Toc406150417"/>
      <w:bookmarkStart w:id="94" w:name="_Toc457826146"/>
    </w:p>
    <w:p>
      <w:pPr>
        <w:spacing w:line="360"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八、词语定义</w:t>
      </w:r>
      <w:bookmarkEnd w:id="93"/>
      <w:bookmarkEnd w:id="94"/>
    </w:p>
    <w:p>
      <w:pPr>
        <w:spacing w:line="360" w:lineRule="auto"/>
        <w:ind w:firstLine="480"/>
        <w:rPr>
          <w:rFonts w:hint="eastAsia" w:ascii="宋体" w:hAnsi="宋体" w:eastAsia="宋体" w:cs="宋体"/>
          <w:kern w:val="0"/>
          <w:sz w:val="21"/>
          <w:szCs w:val="21"/>
        </w:rPr>
      </w:pPr>
      <w:r>
        <w:rPr>
          <w:rFonts w:hint="eastAsia" w:ascii="宋体" w:hAnsi="宋体" w:eastAsia="宋体" w:cs="宋体"/>
          <w:kern w:val="0"/>
          <w:sz w:val="21"/>
          <w:szCs w:val="21"/>
        </w:rPr>
        <w:t>本合同协议书中词语含义与合同条款中的词语含义相同。</w:t>
      </w:r>
      <w:bookmarkStart w:id="95" w:name="_Toc406150418"/>
      <w:bookmarkStart w:id="96" w:name="_Toc351203489"/>
      <w:bookmarkStart w:id="97" w:name="_Toc457826147"/>
    </w:p>
    <w:bookmarkEnd w:id="95"/>
    <w:bookmarkEnd w:id="96"/>
    <w:bookmarkEnd w:id="97"/>
    <w:p>
      <w:pPr>
        <w:spacing w:line="360" w:lineRule="auto"/>
        <w:ind w:firstLine="465"/>
        <w:rPr>
          <w:rFonts w:hint="eastAsia" w:ascii="宋体" w:hAnsi="宋体" w:eastAsia="宋体" w:cs="宋体"/>
          <w:b/>
          <w:bCs/>
          <w:sz w:val="21"/>
          <w:szCs w:val="21"/>
        </w:rPr>
      </w:pPr>
      <w:bookmarkStart w:id="98" w:name="_Toc406150420"/>
      <w:bookmarkStart w:id="99" w:name="_Toc351203492"/>
      <w:bookmarkStart w:id="100" w:name="_Toc457826149"/>
      <w:r>
        <w:rPr>
          <w:rFonts w:hint="eastAsia" w:ascii="宋体" w:hAnsi="宋体" w:eastAsia="宋体" w:cs="宋体"/>
          <w:b/>
          <w:bCs/>
          <w:sz w:val="21"/>
          <w:szCs w:val="21"/>
        </w:rPr>
        <w:t>九、合同签订时间</w:t>
      </w:r>
    </w:p>
    <w:p>
      <w:pPr>
        <w:spacing w:line="360" w:lineRule="auto"/>
        <w:ind w:firstLine="465"/>
        <w:rPr>
          <w:rFonts w:hint="eastAsia" w:ascii="宋体" w:hAnsi="宋体" w:eastAsia="宋体" w:cs="宋体"/>
          <w:bCs/>
          <w:sz w:val="21"/>
          <w:szCs w:val="21"/>
        </w:rPr>
      </w:pPr>
      <w:r>
        <w:rPr>
          <w:rFonts w:hint="eastAsia" w:ascii="宋体" w:hAnsi="宋体" w:eastAsia="宋体" w:cs="宋体"/>
          <w:bCs/>
          <w:sz w:val="21"/>
          <w:szCs w:val="21"/>
        </w:rPr>
        <w:t>本合同于</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年</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月</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日签订。</w:t>
      </w:r>
      <w:bookmarkStart w:id="101" w:name="_Toc406150419"/>
      <w:bookmarkStart w:id="102" w:name="_Toc457826148"/>
      <w:bookmarkStart w:id="103" w:name="_Toc351203490"/>
    </w:p>
    <w:p>
      <w:pPr>
        <w:spacing w:line="360" w:lineRule="auto"/>
        <w:ind w:firstLine="465"/>
        <w:rPr>
          <w:rFonts w:hint="eastAsia" w:ascii="宋体" w:hAnsi="宋体" w:eastAsia="宋体" w:cs="宋体"/>
          <w:b/>
          <w:bCs/>
          <w:sz w:val="21"/>
          <w:szCs w:val="21"/>
        </w:rPr>
      </w:pPr>
      <w:r>
        <w:rPr>
          <w:rFonts w:hint="eastAsia" w:ascii="宋体" w:hAnsi="宋体" w:eastAsia="宋体" w:cs="宋体"/>
          <w:b/>
          <w:bCs/>
          <w:sz w:val="21"/>
          <w:szCs w:val="21"/>
        </w:rPr>
        <w:t>十、合同签订地点</w:t>
      </w:r>
      <w:bookmarkEnd w:id="101"/>
      <w:bookmarkEnd w:id="102"/>
      <w:bookmarkEnd w:id="103"/>
    </w:p>
    <w:p>
      <w:pPr>
        <w:spacing w:line="360" w:lineRule="auto"/>
        <w:ind w:firstLine="465"/>
        <w:rPr>
          <w:rFonts w:hint="eastAsia" w:ascii="宋体" w:hAnsi="宋体" w:eastAsia="宋体" w:cs="宋体"/>
          <w:bCs/>
          <w:sz w:val="21"/>
          <w:szCs w:val="21"/>
        </w:rPr>
      </w:pPr>
      <w:r>
        <w:rPr>
          <w:rFonts w:hint="eastAsia" w:ascii="宋体" w:hAnsi="宋体" w:eastAsia="宋体" w:cs="宋体"/>
          <w:bCs/>
          <w:sz w:val="21"/>
          <w:szCs w:val="21"/>
        </w:rPr>
        <w:t>本合同在</w:t>
      </w:r>
      <w:r>
        <w:rPr>
          <w:rFonts w:hint="eastAsia" w:ascii="宋体" w:hAnsi="宋体" w:eastAsia="宋体" w:cs="宋体"/>
          <w:bCs/>
          <w:sz w:val="21"/>
          <w:szCs w:val="21"/>
          <w:u w:val="single"/>
        </w:rPr>
        <w:t xml:space="preserve"> 湖南省长沙市雨花区 </w:t>
      </w:r>
      <w:r>
        <w:rPr>
          <w:rFonts w:hint="eastAsia" w:ascii="宋体" w:hAnsi="宋体" w:eastAsia="宋体" w:cs="宋体"/>
          <w:bCs/>
          <w:sz w:val="21"/>
          <w:szCs w:val="21"/>
        </w:rPr>
        <w:t>签订。</w:t>
      </w:r>
    </w:p>
    <w:p>
      <w:pPr>
        <w:spacing w:line="360" w:lineRule="auto"/>
        <w:ind w:firstLine="465"/>
        <w:rPr>
          <w:rFonts w:hint="eastAsia" w:ascii="宋体" w:hAnsi="宋体" w:eastAsia="宋体" w:cs="宋体"/>
          <w:b/>
          <w:kern w:val="0"/>
          <w:sz w:val="21"/>
          <w:szCs w:val="21"/>
        </w:rPr>
      </w:pPr>
      <w:r>
        <w:rPr>
          <w:rFonts w:hint="eastAsia" w:ascii="宋体" w:hAnsi="宋体" w:eastAsia="宋体" w:cs="宋体"/>
          <w:b/>
          <w:kern w:val="0"/>
          <w:sz w:val="21"/>
          <w:szCs w:val="21"/>
        </w:rPr>
        <w:t>十一、合同生效</w:t>
      </w:r>
      <w:bookmarkEnd w:id="98"/>
      <w:bookmarkEnd w:id="99"/>
      <w:bookmarkEnd w:id="100"/>
    </w:p>
    <w:p>
      <w:pPr>
        <w:spacing w:line="360" w:lineRule="auto"/>
        <w:ind w:firstLine="465"/>
        <w:rPr>
          <w:rFonts w:hint="eastAsia" w:ascii="宋体" w:hAnsi="宋体" w:eastAsia="宋体" w:cs="宋体"/>
          <w:bCs/>
          <w:sz w:val="21"/>
          <w:szCs w:val="21"/>
        </w:rPr>
      </w:pPr>
      <w:r>
        <w:rPr>
          <w:rFonts w:hint="eastAsia" w:ascii="宋体" w:hAnsi="宋体" w:eastAsia="宋体" w:cs="宋体"/>
          <w:bCs/>
          <w:sz w:val="21"/>
          <w:szCs w:val="21"/>
        </w:rPr>
        <w:t>本合同自</w:t>
      </w:r>
      <w:r>
        <w:rPr>
          <w:rFonts w:hint="eastAsia" w:ascii="宋体" w:hAnsi="宋体" w:eastAsia="宋体" w:cs="宋体"/>
          <w:sz w:val="21"/>
          <w:szCs w:val="21"/>
          <w:u w:val="single"/>
        </w:rPr>
        <w:t>合同双方法定代表人或其授权代表签字并加盖合同专用章</w:t>
      </w:r>
      <w:r>
        <w:rPr>
          <w:rFonts w:hint="eastAsia" w:ascii="宋体" w:hAnsi="宋体" w:eastAsia="宋体" w:cs="宋体"/>
          <w:bCs/>
          <w:sz w:val="21"/>
          <w:szCs w:val="21"/>
        </w:rPr>
        <w:t>生效。</w:t>
      </w:r>
      <w:bookmarkStart w:id="104" w:name="_Toc457826150"/>
    </w:p>
    <w:p>
      <w:pPr>
        <w:spacing w:line="360" w:lineRule="auto"/>
        <w:ind w:firstLine="465"/>
        <w:rPr>
          <w:rFonts w:hint="eastAsia" w:ascii="宋体" w:hAnsi="宋体" w:eastAsia="宋体" w:cs="宋体"/>
          <w:b/>
          <w:kern w:val="0"/>
          <w:sz w:val="21"/>
          <w:szCs w:val="21"/>
        </w:rPr>
      </w:pPr>
      <w:r>
        <w:rPr>
          <w:rFonts w:hint="eastAsia" w:ascii="宋体" w:hAnsi="宋体" w:eastAsia="宋体" w:cs="宋体"/>
          <w:b/>
          <w:kern w:val="0"/>
          <w:sz w:val="21"/>
          <w:szCs w:val="21"/>
        </w:rPr>
        <w:t>十二、合同份数</w:t>
      </w:r>
      <w:bookmarkEnd w:id="104"/>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本合同正本</w:t>
      </w:r>
      <w:r>
        <w:rPr>
          <w:rFonts w:hint="eastAsia" w:ascii="宋体" w:hAnsi="宋体" w:eastAsia="宋体" w:cs="宋体"/>
          <w:sz w:val="21"/>
          <w:szCs w:val="21"/>
          <w:u w:val="single"/>
        </w:rPr>
        <w:t>二</w:t>
      </w:r>
      <w:r>
        <w:rPr>
          <w:rFonts w:hint="eastAsia" w:ascii="宋体" w:hAnsi="宋体" w:eastAsia="宋体" w:cs="宋体"/>
          <w:sz w:val="21"/>
          <w:szCs w:val="21"/>
        </w:rPr>
        <w:t>份、副本</w:t>
      </w:r>
      <w:r>
        <w:rPr>
          <w:rFonts w:hint="eastAsia" w:ascii="宋体" w:hAnsi="宋体" w:eastAsia="宋体" w:cs="宋体"/>
          <w:sz w:val="21"/>
          <w:szCs w:val="21"/>
          <w:u w:val="single"/>
        </w:rPr>
        <w:t>十</w:t>
      </w:r>
      <w:r>
        <w:rPr>
          <w:rFonts w:hint="eastAsia" w:ascii="宋体" w:hAnsi="宋体" w:eastAsia="宋体" w:cs="宋体"/>
          <w:sz w:val="21"/>
          <w:szCs w:val="21"/>
        </w:rPr>
        <w:t>份，甲方持正本</w:t>
      </w:r>
      <w:r>
        <w:rPr>
          <w:rFonts w:hint="eastAsia" w:ascii="宋体" w:hAnsi="宋体" w:eastAsia="宋体" w:cs="宋体"/>
          <w:sz w:val="21"/>
          <w:szCs w:val="21"/>
          <w:u w:val="single"/>
        </w:rPr>
        <w:t>一</w:t>
      </w:r>
      <w:r>
        <w:rPr>
          <w:rFonts w:hint="eastAsia" w:ascii="宋体" w:hAnsi="宋体" w:eastAsia="宋体" w:cs="宋体"/>
          <w:sz w:val="21"/>
          <w:szCs w:val="21"/>
        </w:rPr>
        <w:t>份、副本</w:t>
      </w:r>
      <w:r>
        <w:rPr>
          <w:rFonts w:hint="eastAsia" w:ascii="宋体" w:hAnsi="宋体" w:eastAsia="宋体" w:cs="宋体"/>
          <w:sz w:val="21"/>
          <w:szCs w:val="21"/>
          <w:u w:val="single"/>
        </w:rPr>
        <w:t>七</w:t>
      </w:r>
      <w:r>
        <w:rPr>
          <w:rFonts w:hint="eastAsia" w:ascii="宋体" w:hAnsi="宋体" w:eastAsia="宋体" w:cs="宋体"/>
          <w:sz w:val="21"/>
          <w:szCs w:val="21"/>
        </w:rPr>
        <w:t>份，乙方持正本</w:t>
      </w:r>
      <w:r>
        <w:rPr>
          <w:rFonts w:hint="eastAsia" w:ascii="宋体" w:hAnsi="宋体" w:eastAsia="宋体" w:cs="宋体"/>
          <w:sz w:val="21"/>
          <w:szCs w:val="21"/>
          <w:u w:val="single"/>
        </w:rPr>
        <w:t>一</w:t>
      </w:r>
      <w:r>
        <w:rPr>
          <w:rFonts w:hint="eastAsia" w:ascii="宋体" w:hAnsi="宋体" w:eastAsia="宋体" w:cs="宋体"/>
          <w:sz w:val="21"/>
          <w:szCs w:val="21"/>
        </w:rPr>
        <w:t>份、副本</w:t>
      </w:r>
      <w:r>
        <w:rPr>
          <w:rFonts w:hint="eastAsia" w:ascii="宋体" w:hAnsi="宋体" w:eastAsia="宋体" w:cs="宋体"/>
          <w:sz w:val="21"/>
          <w:szCs w:val="21"/>
          <w:u w:val="single"/>
        </w:rPr>
        <w:t>三</w:t>
      </w:r>
      <w:r>
        <w:rPr>
          <w:rFonts w:hint="eastAsia" w:ascii="宋体" w:hAnsi="宋体" w:eastAsia="宋体" w:cs="宋体"/>
          <w:sz w:val="21"/>
          <w:szCs w:val="21"/>
        </w:rPr>
        <w:t>份。合同正本与副本具有同等效力，当合同副本与正本之间存有差异时，以合同正本为准。</w:t>
      </w:r>
    </w:p>
    <w:p>
      <w:pPr>
        <w:pageBreakBefore/>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rPr>
        <w:t>（本页无正文）</w:t>
      </w:r>
    </w:p>
    <w:p>
      <w:pPr>
        <w:adjustRightInd w:val="0"/>
        <w:snapToGrid w:val="0"/>
        <w:spacing w:line="360" w:lineRule="auto"/>
        <w:ind w:firstLine="420" w:firstLineChars="200"/>
        <w:rPr>
          <w:rFonts w:hint="eastAsia" w:ascii="宋体" w:hAnsi="宋体" w:eastAsia="宋体" w:cs="宋体"/>
          <w:sz w:val="21"/>
          <w:szCs w:val="21"/>
        </w:rPr>
      </w:pPr>
    </w:p>
    <w:p>
      <w:pPr>
        <w:adjustRightInd w:val="0"/>
        <w:snapToGrid w:val="0"/>
        <w:spacing w:line="360" w:lineRule="auto"/>
        <w:ind w:firstLine="420" w:firstLineChars="200"/>
        <w:rPr>
          <w:rFonts w:hint="eastAsia" w:ascii="宋体" w:hAnsi="宋体" w:eastAsia="宋体" w:cs="宋体"/>
          <w:sz w:val="21"/>
          <w:szCs w:val="21"/>
        </w:rPr>
      </w:pPr>
    </w:p>
    <w:p>
      <w:pPr>
        <w:adjustRightInd w:val="0"/>
        <w:snapToGrid w:val="0"/>
        <w:spacing w:line="360" w:lineRule="auto"/>
        <w:ind w:firstLine="420" w:firstLineChars="200"/>
        <w:rPr>
          <w:rFonts w:hint="eastAsia" w:ascii="宋体" w:hAnsi="宋体" w:eastAsia="宋体" w:cs="宋体"/>
          <w:sz w:val="21"/>
          <w:szCs w:val="21"/>
        </w:rPr>
      </w:pPr>
    </w:p>
    <w:tbl>
      <w:tblPr>
        <w:tblStyle w:val="46"/>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委托人（甲方）：(盖章)</w:t>
            </w:r>
          </w:p>
          <w:p>
            <w:pPr>
              <w:pStyle w:val="25"/>
              <w:snapToGrid w:val="0"/>
              <w:spacing w:line="360" w:lineRule="auto"/>
              <w:rPr>
                <w:rFonts w:hint="eastAsia" w:ascii="宋体" w:hAnsi="宋体" w:eastAsia="宋体" w:cs="宋体"/>
                <w:sz w:val="21"/>
                <w:szCs w:val="21"/>
              </w:rPr>
            </w:pPr>
          </w:p>
        </w:tc>
        <w:tc>
          <w:tcPr>
            <w:tcW w:w="4252"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受托人（乙方）：（盖章）</w:t>
            </w:r>
          </w:p>
          <w:p>
            <w:pPr>
              <w:pStyle w:val="25"/>
              <w:snapToGrid w:val="0"/>
              <w:spacing w:line="360" w:lineRule="auto"/>
              <w:rPr>
                <w:rFonts w:hint="eastAsia" w:ascii="宋体" w:hAnsi="宋体" w:eastAsia="宋体" w:cs="宋体"/>
                <w:sz w:val="21"/>
                <w:szCs w:val="21"/>
              </w:rPr>
            </w:pPr>
          </w:p>
        </w:tc>
      </w:tr>
      <w:tr>
        <w:tblPrEx>
          <w:tblCellMar>
            <w:top w:w="0" w:type="dxa"/>
            <w:left w:w="108" w:type="dxa"/>
            <w:bottom w:w="0" w:type="dxa"/>
            <w:right w:w="108" w:type="dxa"/>
          </w:tblCellMar>
        </w:tblPrEx>
        <w:trPr>
          <w:trHeight w:val="858"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法定代表人或其授权代表：</w:t>
            </w:r>
          </w:p>
          <w:p>
            <w:pPr>
              <w:pStyle w:val="25"/>
              <w:snapToGrid w:val="0"/>
              <w:spacing w:line="360" w:lineRule="auto"/>
              <w:ind w:left="19" w:leftChars="9"/>
              <w:rPr>
                <w:rFonts w:hint="eastAsia" w:ascii="宋体" w:hAnsi="宋体" w:eastAsia="宋体" w:cs="宋体"/>
                <w:sz w:val="21"/>
                <w:szCs w:val="21"/>
              </w:rPr>
            </w:pP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法定代表人或其授权代表：</w:t>
            </w:r>
          </w:p>
          <w:p>
            <w:pPr>
              <w:pStyle w:val="25"/>
              <w:snapToGrid w:val="0"/>
              <w:spacing w:line="360" w:lineRule="auto"/>
              <w:ind w:left="34" w:leftChars="16"/>
              <w:rPr>
                <w:rFonts w:hint="eastAsia" w:ascii="宋体" w:hAnsi="宋体" w:eastAsia="宋体" w:cs="宋体"/>
                <w:sz w:val="21"/>
                <w:szCs w:val="21"/>
              </w:rPr>
            </w:pP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地址： </w:t>
            </w:r>
          </w:p>
        </w:tc>
        <w:tc>
          <w:tcPr>
            <w:tcW w:w="4252"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地址：</w:t>
            </w:r>
          </w:p>
        </w:tc>
      </w:tr>
      <w:tr>
        <w:tblPrEx>
          <w:tblCellMar>
            <w:top w:w="0" w:type="dxa"/>
            <w:left w:w="108" w:type="dxa"/>
            <w:bottom w:w="0" w:type="dxa"/>
            <w:right w:w="108" w:type="dxa"/>
          </w:tblCellMar>
        </w:tblPrEx>
        <w:trPr>
          <w:trHeight w:val="816" w:hRule="atLeast"/>
          <w:jc w:val="center"/>
        </w:trPr>
        <w:tc>
          <w:tcPr>
            <w:tcW w:w="4467"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邮编： </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邮编：</w:t>
            </w:r>
          </w:p>
        </w:tc>
      </w:tr>
      <w:tr>
        <w:tblPrEx>
          <w:tblCellMar>
            <w:top w:w="0" w:type="dxa"/>
            <w:left w:w="108" w:type="dxa"/>
            <w:bottom w:w="0" w:type="dxa"/>
            <w:right w:w="108" w:type="dxa"/>
          </w:tblCellMar>
        </w:tblPrEx>
        <w:trPr>
          <w:trHeight w:val="753"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 xml:space="preserve">电话： </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电话：</w:t>
            </w:r>
          </w:p>
        </w:tc>
      </w:tr>
      <w:tr>
        <w:tblPrEx>
          <w:tblCellMar>
            <w:top w:w="0" w:type="dxa"/>
            <w:left w:w="108" w:type="dxa"/>
            <w:bottom w:w="0" w:type="dxa"/>
            <w:right w:w="108" w:type="dxa"/>
          </w:tblCellMar>
        </w:tblPrEx>
        <w:trPr>
          <w:trHeight w:val="783"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 xml:space="preserve">传真： </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传真：</w:t>
            </w: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开户银行：</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开户银行：</w:t>
            </w: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账号：</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账号：</w:t>
            </w: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时间：</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时间：</w:t>
            </w:r>
          </w:p>
        </w:tc>
      </w:tr>
      <w:bookmarkEnd w:id="81"/>
      <w:bookmarkEnd w:id="82"/>
      <w:bookmarkEnd w:id="83"/>
      <w:bookmarkEnd w:id="84"/>
    </w:tbl>
    <w:p>
      <w:pPr>
        <w:adjustRightInd w:val="0"/>
        <w:snapToGrid w:val="0"/>
        <w:spacing w:line="400" w:lineRule="exact"/>
        <w:jc w:val="center"/>
        <w:outlineLvl w:val="0"/>
        <w:rPr>
          <w:rFonts w:hint="eastAsia" w:ascii="宋体" w:hAnsi="宋体" w:eastAsia="宋体" w:cs="宋体"/>
          <w:b/>
          <w:sz w:val="21"/>
          <w:szCs w:val="21"/>
        </w:rPr>
        <w:sectPr>
          <w:footerReference r:id="rId9" w:type="first"/>
          <w:footerReference r:id="rId8" w:type="default"/>
          <w:pgSz w:w="11850" w:h="16783"/>
          <w:pgMar w:top="1440" w:right="1361" w:bottom="1440" w:left="1474" w:header="851" w:footer="992" w:gutter="0"/>
          <w:pgNumType w:start="1"/>
          <w:cols w:space="720" w:num="1"/>
          <w:titlePg/>
          <w:docGrid w:type="lines" w:linePitch="312" w:charSpace="0"/>
        </w:sectPr>
      </w:pPr>
      <w:bookmarkStart w:id="105" w:name="_Toc28738"/>
      <w:bookmarkStart w:id="106" w:name="_Toc1724"/>
      <w:bookmarkStart w:id="107" w:name="_Toc31260"/>
      <w:bookmarkStart w:id="108" w:name="_Toc10635"/>
      <w:bookmarkStart w:id="109" w:name="_Toc2440"/>
      <w:bookmarkStart w:id="110" w:name="_Toc25130"/>
      <w:bookmarkStart w:id="111" w:name="_Toc12367"/>
      <w:bookmarkStart w:id="112" w:name="_Toc15642"/>
    </w:p>
    <w:p>
      <w:pPr>
        <w:tabs>
          <w:tab w:val="left" w:pos="2580"/>
          <w:tab w:val="center" w:pos="5121"/>
        </w:tabs>
        <w:snapToGrid w:val="0"/>
        <w:spacing w:line="360" w:lineRule="auto"/>
        <w:jc w:val="center"/>
        <w:outlineLvl w:val="0"/>
        <w:rPr>
          <w:rFonts w:hint="eastAsia" w:ascii="宋体" w:hAnsi="宋体" w:eastAsia="宋体" w:cs="宋体"/>
          <w:b/>
          <w:bCs/>
          <w:kern w:val="0"/>
          <w:sz w:val="21"/>
          <w:szCs w:val="21"/>
        </w:rPr>
      </w:pPr>
      <w:bookmarkStart w:id="113" w:name="_Toc6088"/>
      <w:r>
        <w:rPr>
          <w:rFonts w:hint="eastAsia" w:ascii="宋体" w:hAnsi="宋体" w:eastAsia="宋体" w:cs="宋体"/>
          <w:b/>
          <w:bCs/>
          <w:kern w:val="0"/>
          <w:sz w:val="21"/>
          <w:szCs w:val="21"/>
        </w:rPr>
        <w:t>第二部分 合同条款</w:t>
      </w:r>
      <w:bookmarkEnd w:id="105"/>
      <w:bookmarkEnd w:id="106"/>
      <w:bookmarkEnd w:id="107"/>
      <w:bookmarkEnd w:id="108"/>
      <w:bookmarkEnd w:id="113"/>
    </w:p>
    <w:p>
      <w:pPr>
        <w:pStyle w:val="4"/>
        <w:keepNext w:val="0"/>
        <w:keepLines w:val="0"/>
        <w:snapToGrid w:val="0"/>
        <w:spacing w:line="360" w:lineRule="auto"/>
        <w:ind w:firstLine="422" w:firstLineChars="200"/>
        <w:rPr>
          <w:rFonts w:hint="eastAsia" w:ascii="宋体" w:hAnsi="宋体" w:eastAsia="宋体" w:cs="宋体"/>
          <w:sz w:val="21"/>
          <w:szCs w:val="21"/>
        </w:rPr>
      </w:pPr>
      <w:bookmarkStart w:id="114" w:name="_Toc13720"/>
      <w:bookmarkStart w:id="115" w:name="_Toc493574679"/>
      <w:bookmarkStart w:id="116" w:name="_Toc457826152"/>
      <w:bookmarkStart w:id="117" w:name="_Toc22585"/>
      <w:r>
        <w:rPr>
          <w:rFonts w:hint="eastAsia" w:ascii="宋体" w:hAnsi="宋体" w:eastAsia="宋体" w:cs="宋体"/>
          <w:sz w:val="21"/>
          <w:szCs w:val="21"/>
        </w:rPr>
        <w:t>1．一般约定</w:t>
      </w:r>
      <w:bookmarkEnd w:id="114"/>
      <w:bookmarkEnd w:id="115"/>
      <w:bookmarkEnd w:id="116"/>
    </w:p>
    <w:p>
      <w:pPr>
        <w:pStyle w:val="5"/>
        <w:keepNext w:val="0"/>
        <w:keepLines w:val="0"/>
        <w:tabs>
          <w:tab w:val="left" w:pos="180"/>
          <w:tab w:val="left" w:pos="360"/>
        </w:tabs>
        <w:snapToGrid w:val="0"/>
        <w:spacing w:line="360" w:lineRule="auto"/>
        <w:ind w:firstLine="422" w:firstLineChars="200"/>
        <w:rPr>
          <w:rFonts w:hint="eastAsia" w:ascii="宋体" w:hAnsi="宋体" w:eastAsia="宋体" w:cs="宋体"/>
          <w:kern w:val="0"/>
          <w:sz w:val="21"/>
          <w:szCs w:val="21"/>
        </w:rPr>
      </w:pPr>
      <w:bookmarkStart w:id="118" w:name="_Toc20865"/>
      <w:bookmarkStart w:id="119" w:name="_Toc457826153"/>
      <w:bookmarkStart w:id="120" w:name="_Toc406150424"/>
      <w:r>
        <w:rPr>
          <w:rFonts w:hint="eastAsia" w:ascii="宋体" w:hAnsi="宋体" w:eastAsia="宋体" w:cs="宋体"/>
          <w:kern w:val="0"/>
          <w:sz w:val="21"/>
          <w:szCs w:val="21"/>
        </w:rPr>
        <w:t>1.1 词语定义</w:t>
      </w:r>
      <w:bookmarkEnd w:id="118"/>
      <w:bookmarkEnd w:id="119"/>
      <w:bookmarkEnd w:id="120"/>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1.1.1 合同：</w:t>
      </w:r>
      <w:r>
        <w:rPr>
          <w:rFonts w:hint="eastAsia" w:ascii="宋体" w:hAnsi="宋体" w:eastAsia="宋体" w:cs="宋体"/>
          <w:sz w:val="21"/>
          <w:szCs w:val="21"/>
        </w:rPr>
        <w:t>指甲乙双方签署的、合同协议书中载明的甲乙双方所达成的协议，包括所有的附件、附录和上述文件所提到的构成合同的所有文件</w:t>
      </w:r>
      <w:r>
        <w:rPr>
          <w:rFonts w:hint="eastAsia" w:ascii="宋体" w:hAnsi="宋体" w:eastAsia="宋体" w:cs="宋体"/>
          <w:kern w:val="0"/>
          <w:sz w:val="21"/>
          <w:szCs w:val="21"/>
        </w:rPr>
        <w:t>。</w:t>
      </w:r>
    </w:p>
    <w:p>
      <w:pPr>
        <w:adjustRightInd w:val="0"/>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1.1.2 合同协议书：指构成合同的由甲方和乙方共同签署的称为“合同协议书”的书面文件。</w:t>
      </w:r>
    </w:p>
    <w:p>
      <w:pPr>
        <w:adjustRightInd w:val="0"/>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1.1.3 合同条款：是甲方与乙方根据法律、行政法规规定，结合具体项目实际，经协商达成一致意见的合同条款。</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1.1.4甲方：指与乙方签定合同协议书的当事人以及取得该当事人资格的合法继承人。</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1.1.5乙方：指为本项目提供服务与甲方签订合同协议书的，具有项目实施资质的当事人以及取得该当事人资格的合法继承人。</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1.1.6 项目：指甲方与乙方在合同协议书中约定的项目。</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1.1.7费用：指为履行合同所发生的或将要发生的所有支出。</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1.1.8 服务期限：指合同当事人在合同协议书中约定的期限。</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1.1.9 天：除特别指明外，均指日历天。约定按天计算时间的，开始当天不计入，从次日开始计算。时限的最后一天是休息日或者其他法定节假日的，以节假日次日为时限的最后一天，时限的最后一天的截止时间为当日24时。</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1.1.10 书面形式：指合同书、信件和数据电文（包括电报、电传、传真、电子数据交换和电子邮件）等可以有形地表现所载内容的形式。</w:t>
      </w:r>
    </w:p>
    <w:p>
      <w:pPr>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1.1.11 索赔：指在合同履行过程中，一方违反合同约定，直接或间接地给另一方造成实际损失，受损方向违约方提出经济赔偿和（或）服务期限顺延的要求。</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1.1.12 签约合同价：是指甲方和乙方在合同协议书中确定的金额，即本项目的中标价格/中选价格/成交价格。</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1.1.13 合同价格：是指根据本合同规定乙方在正确地完全履行合同义务后，按照长沙市政府或其职能部门相关规定，</w:t>
      </w:r>
      <w:r>
        <w:rPr>
          <w:rFonts w:hint="eastAsia" w:ascii="宋体" w:hAnsi="宋体" w:eastAsia="宋体" w:cs="宋体"/>
          <w:sz w:val="21"/>
          <w:szCs w:val="21"/>
          <w:u w:val="single"/>
        </w:rPr>
        <w:t>□经长沙市政府相关职能部门或长沙市轨道交通集团有限公司</w:t>
      </w:r>
      <w:r>
        <w:rPr>
          <w:rFonts w:hint="eastAsia" w:ascii="宋体" w:hAnsi="宋体" w:eastAsia="宋体" w:cs="宋体"/>
          <w:sz w:val="21"/>
          <w:szCs w:val="21"/>
          <w:u w:val="single"/>
          <w:shd w:val="clear" w:color="auto" w:fill="FFFFFF"/>
        </w:rPr>
        <w:t>授权的单位</w:t>
      </w:r>
      <w:r>
        <w:rPr>
          <w:rFonts w:hint="eastAsia" w:ascii="宋体" w:hAnsi="宋体" w:eastAsia="宋体" w:cs="宋体"/>
          <w:sz w:val="21"/>
          <w:szCs w:val="21"/>
          <w:u w:val="single"/>
        </w:rPr>
        <w:t>审定的结算价格</w:t>
      </w:r>
      <w:r>
        <w:rPr>
          <w:rFonts w:hint="eastAsia" w:ascii="宋体" w:hAnsi="宋体" w:eastAsia="宋体" w:cs="宋体"/>
          <w:sz w:val="21"/>
          <w:szCs w:val="21"/>
        </w:rPr>
        <w:t>/</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履约验收合格确定的最终价款</w:t>
      </w:r>
      <w:r>
        <w:rPr>
          <w:rFonts w:hint="eastAsia" w:ascii="宋体" w:hAnsi="宋体" w:eastAsia="宋体" w:cs="宋体"/>
          <w:kern w:val="0"/>
          <w:sz w:val="21"/>
          <w:szCs w:val="21"/>
        </w:rPr>
        <w:t>。</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1.1.14 “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1.1.15 不可抗力：是指双方在订立本合同时不可预见，在合同履行过程中不可避免并不能克服的自然灾害和社会性突发事件，如地震、海啸、瘟疫、水灾、骚乱、暴动、战争等情形。</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1.1.16履约验收：是指按照长沙市政府相关职能部门或长沙市轨道交通集团有限公司或长沙市轨道交通集团有限公司授权的单位制定的履约验收相关管理规定办理验收。</w:t>
      </w:r>
    </w:p>
    <w:p>
      <w:pPr>
        <w:pStyle w:val="5"/>
        <w:keepNext w:val="0"/>
        <w:keepLines w:val="0"/>
        <w:tabs>
          <w:tab w:val="left" w:pos="180"/>
          <w:tab w:val="left" w:pos="360"/>
        </w:tabs>
        <w:snapToGrid w:val="0"/>
        <w:spacing w:line="360" w:lineRule="auto"/>
        <w:ind w:firstLine="422" w:firstLineChars="200"/>
        <w:rPr>
          <w:rFonts w:hint="eastAsia" w:ascii="宋体" w:hAnsi="宋体" w:eastAsia="宋体" w:cs="宋体"/>
          <w:kern w:val="0"/>
          <w:sz w:val="21"/>
          <w:szCs w:val="21"/>
        </w:rPr>
      </w:pPr>
      <w:bookmarkStart w:id="121" w:name="_Toc457826156"/>
      <w:bookmarkStart w:id="122" w:name="_Toc8111"/>
      <w:bookmarkStart w:id="123" w:name="_Toc406150426"/>
      <w:r>
        <w:rPr>
          <w:rFonts w:hint="eastAsia" w:ascii="宋体" w:hAnsi="宋体" w:eastAsia="宋体" w:cs="宋体"/>
          <w:kern w:val="0"/>
          <w:sz w:val="21"/>
          <w:szCs w:val="21"/>
        </w:rPr>
        <w:t>1.2 适用法律法规、技术标准</w:t>
      </w:r>
      <w:bookmarkEnd w:id="121"/>
      <w:bookmarkEnd w:id="122"/>
      <w:bookmarkEnd w:id="123"/>
    </w:p>
    <w:p>
      <w:pPr>
        <w:adjustRightInd w:val="0"/>
        <w:snapToGrid w:val="0"/>
        <w:spacing w:line="360" w:lineRule="auto"/>
        <w:ind w:firstLine="420" w:firstLineChars="200"/>
        <w:jc w:val="left"/>
        <w:rPr>
          <w:rFonts w:hint="eastAsia" w:ascii="宋体" w:hAnsi="宋体" w:eastAsia="宋体" w:cs="宋体"/>
          <w:b/>
          <w:kern w:val="0"/>
          <w:sz w:val="21"/>
          <w:szCs w:val="21"/>
        </w:rPr>
      </w:pPr>
      <w:r>
        <w:rPr>
          <w:rFonts w:hint="eastAsia" w:ascii="宋体" w:hAnsi="宋体" w:eastAsia="宋体" w:cs="宋体"/>
          <w:kern w:val="0"/>
          <w:sz w:val="21"/>
          <w:szCs w:val="21"/>
        </w:rPr>
        <w:t>1.2.1 适用法律法规</w:t>
      </w:r>
    </w:p>
    <w:p>
      <w:pPr>
        <w:adjustRightInd w:val="0"/>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本合同文件适用中华人民共和国法律、行政法规、部门规章以及项目所在地的地方性法规、自治条例、单行条例和地方政府规章等。</w:t>
      </w:r>
    </w:p>
    <w:p>
      <w:pPr>
        <w:adjustRightInd w:val="0"/>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1.2.2 适用技术标准</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适用于项目的现行有效国家标准、行业标准、项目所在地的地方标准以及相应的规范、规程为本合同文件适用的技术标准。</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1.2.3 具体技术要求详见合同附件“用户需求书/技术规格书”。</w:t>
      </w:r>
    </w:p>
    <w:p>
      <w:pPr>
        <w:pStyle w:val="5"/>
        <w:keepNext w:val="0"/>
        <w:keepLines w:val="0"/>
        <w:tabs>
          <w:tab w:val="left" w:pos="180"/>
          <w:tab w:val="left" w:pos="360"/>
        </w:tabs>
        <w:snapToGrid w:val="0"/>
        <w:spacing w:line="360" w:lineRule="auto"/>
        <w:ind w:firstLine="422" w:firstLineChars="200"/>
        <w:rPr>
          <w:rFonts w:hint="eastAsia" w:ascii="宋体" w:hAnsi="宋体" w:eastAsia="宋体" w:cs="宋体"/>
          <w:kern w:val="0"/>
          <w:sz w:val="21"/>
          <w:szCs w:val="21"/>
        </w:rPr>
      </w:pPr>
      <w:bookmarkStart w:id="124" w:name="_Toc2458"/>
      <w:bookmarkStart w:id="125" w:name="_Toc457826157"/>
      <w:r>
        <w:rPr>
          <w:rFonts w:hint="eastAsia" w:ascii="宋体" w:hAnsi="宋体" w:eastAsia="宋体" w:cs="宋体"/>
          <w:kern w:val="0"/>
          <w:sz w:val="21"/>
          <w:szCs w:val="21"/>
        </w:rPr>
        <w:t>1.3 语言文字</w:t>
      </w:r>
      <w:bookmarkEnd w:id="124"/>
      <w:bookmarkEnd w:id="125"/>
    </w:p>
    <w:p>
      <w:pPr>
        <w:tabs>
          <w:tab w:val="left" w:pos="540"/>
        </w:tabs>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本合同文件使用汉语语言文字书写、解释和说明。</w:t>
      </w:r>
    </w:p>
    <w:p>
      <w:pPr>
        <w:pStyle w:val="5"/>
        <w:keepNext w:val="0"/>
        <w:keepLines w:val="0"/>
        <w:tabs>
          <w:tab w:val="left" w:pos="180"/>
          <w:tab w:val="left" w:pos="360"/>
        </w:tabs>
        <w:snapToGrid w:val="0"/>
        <w:spacing w:line="360" w:lineRule="auto"/>
        <w:ind w:firstLine="422" w:firstLineChars="200"/>
        <w:rPr>
          <w:rFonts w:hint="eastAsia" w:ascii="宋体" w:hAnsi="宋体" w:eastAsia="宋体" w:cs="宋体"/>
          <w:kern w:val="0"/>
          <w:sz w:val="21"/>
          <w:szCs w:val="21"/>
        </w:rPr>
      </w:pPr>
      <w:bookmarkStart w:id="126" w:name="_Toc406150428"/>
      <w:bookmarkStart w:id="127" w:name="_Toc351203502"/>
      <w:bookmarkStart w:id="128" w:name="_Toc24551"/>
      <w:bookmarkStart w:id="129" w:name="_Toc457826158"/>
      <w:bookmarkStart w:id="130" w:name="_Toc296503033"/>
      <w:bookmarkStart w:id="131" w:name="_Toc337558733"/>
      <w:bookmarkStart w:id="132" w:name="_Toc296346534"/>
      <w:r>
        <w:rPr>
          <w:rFonts w:hint="eastAsia" w:ascii="宋体" w:hAnsi="宋体" w:eastAsia="宋体" w:cs="宋体"/>
          <w:kern w:val="0"/>
          <w:sz w:val="21"/>
          <w:szCs w:val="21"/>
        </w:rPr>
        <w:t>1.4 联络</w:t>
      </w:r>
      <w:bookmarkEnd w:id="126"/>
      <w:bookmarkEnd w:id="127"/>
      <w:bookmarkEnd w:id="128"/>
      <w:bookmarkEnd w:id="129"/>
    </w:p>
    <w:bookmarkEnd w:id="130"/>
    <w:bookmarkEnd w:id="131"/>
    <w:bookmarkEnd w:id="132"/>
    <w:p>
      <w:pPr>
        <w:tabs>
          <w:tab w:val="left" w:pos="540"/>
          <w:tab w:val="left" w:pos="720"/>
        </w:tabs>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1.4.1 与合同有关的批准文件、通知、证明、证书、指示、指令、要求、请求、意见、确定和决定等，均应采用书面形式或合同双方确认的其他形式，并应在5个工作日内送达接收人。</w:t>
      </w:r>
    </w:p>
    <w:p>
      <w:pPr>
        <w:tabs>
          <w:tab w:val="left" w:pos="540"/>
          <w:tab w:val="left" w:pos="1260"/>
        </w:tabs>
        <w:adjustRightInd w:val="0"/>
        <w:snapToGrid w:val="0"/>
        <w:spacing w:line="360" w:lineRule="auto"/>
        <w:ind w:firstLine="420" w:firstLineChars="200"/>
        <w:jc w:val="left"/>
        <w:rPr>
          <w:rFonts w:hint="eastAsia" w:ascii="宋体" w:hAnsi="宋体" w:eastAsia="宋体" w:cs="宋体"/>
          <w:b/>
          <w:kern w:val="0"/>
          <w:sz w:val="21"/>
          <w:szCs w:val="21"/>
        </w:rPr>
      </w:pPr>
      <w:r>
        <w:rPr>
          <w:rFonts w:hint="eastAsia" w:ascii="宋体" w:hAnsi="宋体" w:eastAsia="宋体" w:cs="宋体"/>
          <w:kern w:val="0"/>
          <w:sz w:val="21"/>
          <w:szCs w:val="21"/>
        </w:rPr>
        <w:t>1.4.2 甲方和乙方另行约定各自的送达接收人、送达形式及联系方式。合同当事人指定的接收人、送达地点或联系方式发生变动的，应提前3天以书面形式通知对方，否则视为未发生变动。</w:t>
      </w:r>
    </w:p>
    <w:p>
      <w:pPr>
        <w:tabs>
          <w:tab w:val="left" w:pos="540"/>
          <w:tab w:val="left" w:pos="1260"/>
        </w:tabs>
        <w:adjustRightInd w:val="0"/>
        <w:snapToGrid w:val="0"/>
        <w:spacing w:line="360" w:lineRule="auto"/>
        <w:ind w:firstLine="420" w:firstLineChars="200"/>
        <w:jc w:val="left"/>
        <w:rPr>
          <w:rFonts w:hint="eastAsia" w:ascii="宋体" w:hAnsi="宋体" w:eastAsia="宋体" w:cs="宋体"/>
          <w:b/>
          <w:kern w:val="0"/>
          <w:sz w:val="21"/>
          <w:szCs w:val="21"/>
        </w:rPr>
      </w:pPr>
      <w:r>
        <w:rPr>
          <w:rFonts w:hint="eastAsia" w:ascii="宋体" w:hAnsi="宋体" w:eastAsia="宋体" w:cs="宋体"/>
          <w:kern w:val="0"/>
          <w:sz w:val="21"/>
          <w:szCs w:val="21"/>
        </w:rPr>
        <w:t>1.4.3 甲方、乙方应及时签收对方送达至约定送达地点和指定接收人的来往信函；如确有充分证据证明一方无正当理由拒不签收的，视为拒绝签收一方认可往来信函的内容。</w:t>
      </w:r>
    </w:p>
    <w:p>
      <w:pPr>
        <w:pStyle w:val="5"/>
        <w:keepNext w:val="0"/>
        <w:keepLines w:val="0"/>
        <w:tabs>
          <w:tab w:val="left" w:pos="180"/>
          <w:tab w:val="left" w:pos="360"/>
        </w:tabs>
        <w:snapToGrid w:val="0"/>
        <w:spacing w:line="360" w:lineRule="auto"/>
        <w:ind w:firstLine="422" w:firstLineChars="200"/>
        <w:rPr>
          <w:rFonts w:hint="eastAsia" w:ascii="宋体" w:hAnsi="宋体" w:eastAsia="宋体" w:cs="宋体"/>
          <w:kern w:val="0"/>
          <w:sz w:val="21"/>
          <w:szCs w:val="21"/>
        </w:rPr>
      </w:pPr>
      <w:bookmarkStart w:id="133" w:name="_Toc351203503"/>
      <w:bookmarkStart w:id="134" w:name="_Toc449383259"/>
      <w:bookmarkStart w:id="135" w:name="_Toc11395"/>
      <w:bookmarkStart w:id="136" w:name="_Toc406150429"/>
      <w:bookmarkStart w:id="137" w:name="_Toc337558734"/>
      <w:bookmarkStart w:id="138" w:name="_Toc296503035"/>
      <w:bookmarkStart w:id="139" w:name="_Toc296346536"/>
      <w:bookmarkStart w:id="140" w:name="_Toc337558738"/>
      <w:bookmarkStart w:id="141" w:name="_Toc406150430"/>
      <w:bookmarkStart w:id="142" w:name="_Toc457826159"/>
      <w:r>
        <w:rPr>
          <w:rFonts w:hint="eastAsia" w:ascii="宋体" w:hAnsi="宋体" w:eastAsia="宋体" w:cs="宋体"/>
          <w:kern w:val="0"/>
          <w:sz w:val="21"/>
          <w:szCs w:val="21"/>
        </w:rPr>
        <w:t>1.5 严禁贿赂</w:t>
      </w:r>
      <w:bookmarkEnd w:id="133"/>
      <w:bookmarkEnd w:id="134"/>
      <w:bookmarkEnd w:id="135"/>
      <w:bookmarkEnd w:id="136"/>
    </w:p>
    <w:bookmarkEnd w:id="137"/>
    <w:bookmarkEnd w:id="138"/>
    <w:bookmarkEnd w:id="139"/>
    <w:p>
      <w:pPr>
        <w:tabs>
          <w:tab w:val="left" w:pos="540"/>
        </w:tabs>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合同当事人不得以贿赂或变相贿赂的方式，谋取非法利益或损害对方权益。因一方的贿赂造成对方损失的，应赔偿损失并承担相应的法律责任。</w:t>
      </w:r>
    </w:p>
    <w:p>
      <w:pPr>
        <w:tabs>
          <w:tab w:val="left" w:pos="540"/>
        </w:tabs>
        <w:adjustRightInd w:val="0"/>
        <w:snapToGrid w:val="0"/>
        <w:spacing w:line="360" w:lineRule="auto"/>
        <w:ind w:firstLine="422" w:firstLineChars="200"/>
        <w:jc w:val="left"/>
        <w:rPr>
          <w:rFonts w:hint="eastAsia" w:ascii="宋体" w:hAnsi="宋体" w:eastAsia="宋体" w:cs="宋体"/>
          <w:b/>
          <w:kern w:val="0"/>
          <w:sz w:val="21"/>
          <w:szCs w:val="21"/>
        </w:rPr>
      </w:pPr>
      <w:r>
        <w:rPr>
          <w:rFonts w:hint="eastAsia" w:ascii="宋体" w:hAnsi="宋体" w:eastAsia="宋体" w:cs="宋体"/>
          <w:b/>
          <w:kern w:val="0"/>
          <w:sz w:val="21"/>
          <w:szCs w:val="21"/>
        </w:rPr>
        <w:t>1.6 知识产权及保密</w:t>
      </w:r>
      <w:bookmarkEnd w:id="140"/>
      <w:bookmarkEnd w:id="141"/>
      <w:bookmarkEnd w:id="142"/>
    </w:p>
    <w:p>
      <w:pPr>
        <w:tabs>
          <w:tab w:val="left" w:pos="540"/>
        </w:tabs>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1.6.1 在本合同有效期内，甲方利用乙方提交的工作成果所形成的知识产权，归甲方所有。</w:t>
      </w:r>
    </w:p>
    <w:p>
      <w:pPr>
        <w:tabs>
          <w:tab w:val="left" w:pos="540"/>
        </w:tabs>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1.6.2 在本合同有效期内，乙方利用甲方提供的技术资料和工作条件所形成的知识产权，归双方所有。</w:t>
      </w:r>
    </w:p>
    <w:p>
      <w:pPr>
        <w:tabs>
          <w:tab w:val="left" w:pos="540"/>
        </w:tabs>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1.6.3 除法律法规规定或合同另有约定外，未经甲方书面同意，乙方不得将甲方提供的图纸、文件、声明等需要保密的资料信息等商业秘密泄露给第三方。</w:t>
      </w:r>
    </w:p>
    <w:p>
      <w:pPr>
        <w:pStyle w:val="4"/>
        <w:keepNext w:val="0"/>
        <w:keepLines w:val="0"/>
        <w:snapToGrid w:val="0"/>
        <w:spacing w:line="360" w:lineRule="auto"/>
        <w:ind w:firstLine="422" w:firstLineChars="200"/>
        <w:rPr>
          <w:rFonts w:hint="eastAsia" w:ascii="宋体" w:hAnsi="宋体" w:eastAsia="宋体" w:cs="宋体"/>
          <w:sz w:val="21"/>
          <w:szCs w:val="21"/>
        </w:rPr>
      </w:pPr>
      <w:bookmarkStart w:id="143" w:name="_Toc29974"/>
      <w:r>
        <w:rPr>
          <w:rFonts w:hint="eastAsia" w:ascii="宋体" w:hAnsi="宋体" w:eastAsia="宋体" w:cs="宋体"/>
          <w:sz w:val="21"/>
          <w:szCs w:val="21"/>
        </w:rPr>
        <w:t>2．双方的权利和义务</w:t>
      </w:r>
      <w:bookmarkEnd w:id="143"/>
    </w:p>
    <w:p>
      <w:pPr>
        <w:pStyle w:val="5"/>
        <w:keepNext w:val="0"/>
        <w:keepLines w:val="0"/>
        <w:tabs>
          <w:tab w:val="left" w:pos="180"/>
          <w:tab w:val="left" w:pos="360"/>
        </w:tabs>
        <w:snapToGrid w:val="0"/>
        <w:spacing w:line="360" w:lineRule="auto"/>
        <w:ind w:firstLine="422" w:firstLineChars="200"/>
        <w:rPr>
          <w:rFonts w:hint="eastAsia" w:ascii="宋体" w:hAnsi="宋体" w:eastAsia="宋体" w:cs="宋体"/>
          <w:kern w:val="0"/>
          <w:sz w:val="21"/>
          <w:szCs w:val="21"/>
        </w:rPr>
      </w:pPr>
      <w:bookmarkStart w:id="144" w:name="_Toc457826161"/>
      <w:bookmarkStart w:id="145" w:name="_Toc406150432"/>
      <w:bookmarkStart w:id="146" w:name="_Toc31060"/>
      <w:r>
        <w:rPr>
          <w:rFonts w:hint="eastAsia" w:ascii="宋体" w:hAnsi="宋体" w:eastAsia="宋体" w:cs="宋体"/>
          <w:kern w:val="0"/>
          <w:sz w:val="21"/>
          <w:szCs w:val="21"/>
        </w:rPr>
        <w:t>2.1 甲方的权利</w:t>
      </w:r>
      <w:bookmarkEnd w:id="144"/>
      <w:bookmarkEnd w:id="145"/>
      <w:r>
        <w:rPr>
          <w:rFonts w:hint="eastAsia" w:ascii="宋体" w:hAnsi="宋体" w:eastAsia="宋体" w:cs="宋体"/>
          <w:kern w:val="0"/>
          <w:sz w:val="21"/>
          <w:szCs w:val="21"/>
        </w:rPr>
        <w:t>和义务</w:t>
      </w:r>
      <w:bookmarkEnd w:id="146"/>
    </w:p>
    <w:bookmarkEnd w:id="117"/>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47" w:name="_Toc22312"/>
      <w:r>
        <w:rPr>
          <w:rFonts w:hint="eastAsia" w:ascii="宋体" w:hAnsi="宋体" w:eastAsia="宋体" w:cs="宋体"/>
          <w:sz w:val="21"/>
          <w:szCs w:val="21"/>
        </w:rPr>
        <w:t>2.1.1 向乙方提供本项目的基础资料，安排专人负责项目的组织、协调、管理工作。</w:t>
      </w:r>
      <w:bookmarkEnd w:id="147"/>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48" w:name="_Toc12468"/>
      <w:r>
        <w:rPr>
          <w:rFonts w:hint="eastAsia" w:ascii="宋体" w:hAnsi="宋体" w:eastAsia="宋体" w:cs="宋体"/>
          <w:sz w:val="21"/>
          <w:szCs w:val="21"/>
        </w:rPr>
        <w:t>2.1.2 甲方有权对乙方的服务进行监督、检查，有权根据合同对乙方的工作进行考核。</w:t>
      </w:r>
      <w:bookmarkEnd w:id="148"/>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49" w:name="_Toc29412"/>
      <w:r>
        <w:rPr>
          <w:rFonts w:hint="eastAsia" w:ascii="宋体" w:hAnsi="宋体" w:eastAsia="宋体" w:cs="宋体"/>
          <w:sz w:val="21"/>
          <w:szCs w:val="21"/>
        </w:rPr>
        <w:t>2.1.3 维修工作需要在现场进行的，甲方有权根据生产需要合理安排维修时间，并提前通知乙方，同时协助乙方做好现场维修工作，特殊情况双方协商处理。</w:t>
      </w:r>
      <w:bookmarkEnd w:id="149"/>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50" w:name="_Toc2056"/>
      <w:r>
        <w:rPr>
          <w:rFonts w:hint="eastAsia" w:ascii="宋体" w:hAnsi="宋体" w:eastAsia="宋体" w:cs="宋体"/>
          <w:sz w:val="21"/>
          <w:szCs w:val="21"/>
        </w:rPr>
        <w:t>2.1.4 按合同约定向乙方及时支付合同价款。</w:t>
      </w:r>
      <w:bookmarkEnd w:id="150"/>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51" w:name="_Toc7411"/>
      <w:r>
        <w:rPr>
          <w:rFonts w:hint="eastAsia" w:ascii="宋体" w:hAnsi="宋体" w:eastAsia="宋体" w:cs="宋体"/>
          <w:sz w:val="21"/>
          <w:szCs w:val="21"/>
        </w:rPr>
        <w:t>2.1.5 按合同要求组织验收。</w:t>
      </w:r>
      <w:bookmarkEnd w:id="151"/>
    </w:p>
    <w:p>
      <w:pPr>
        <w:widowControl/>
        <w:autoSpaceDE w:val="0"/>
        <w:autoSpaceDN w:val="0"/>
        <w:adjustRightInd w:val="0"/>
        <w:snapToGrid w:val="0"/>
        <w:spacing w:line="360" w:lineRule="auto"/>
        <w:ind w:firstLine="422" w:firstLineChars="200"/>
        <w:jc w:val="left"/>
        <w:outlineLvl w:val="1"/>
        <w:rPr>
          <w:rFonts w:hint="eastAsia" w:ascii="宋体" w:hAnsi="宋体" w:eastAsia="宋体" w:cs="宋体"/>
          <w:b/>
          <w:bCs/>
          <w:sz w:val="21"/>
          <w:szCs w:val="21"/>
        </w:rPr>
      </w:pPr>
      <w:bookmarkStart w:id="152" w:name="_Toc27358"/>
      <w:r>
        <w:rPr>
          <w:rFonts w:hint="eastAsia" w:ascii="宋体" w:hAnsi="宋体" w:eastAsia="宋体" w:cs="宋体"/>
          <w:b/>
          <w:bCs/>
          <w:sz w:val="21"/>
          <w:szCs w:val="21"/>
        </w:rPr>
        <w:t>2.2 乙方的权利与义务</w:t>
      </w:r>
      <w:bookmarkEnd w:id="152"/>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53" w:name="_Toc32264"/>
      <w:r>
        <w:rPr>
          <w:rFonts w:hint="eastAsia" w:ascii="宋体" w:hAnsi="宋体" w:eastAsia="宋体" w:cs="宋体"/>
          <w:sz w:val="21"/>
          <w:szCs w:val="21"/>
        </w:rPr>
        <w:t>2.2.1 乙方必须严格执行国家及行业相关法律法规、规程规范有关规定，严格按照本合同约定开展维修工作。</w:t>
      </w:r>
      <w:bookmarkEnd w:id="153"/>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54" w:name="_Toc9462"/>
      <w:r>
        <w:rPr>
          <w:rFonts w:hint="eastAsia" w:ascii="宋体" w:hAnsi="宋体" w:eastAsia="宋体" w:cs="宋体"/>
          <w:sz w:val="21"/>
          <w:szCs w:val="21"/>
        </w:rPr>
        <w:t>2.2.2 乙方应按照甲方要求制定详细的维修计划，经甲方审核后方能进行维修工作。</w:t>
      </w:r>
      <w:bookmarkEnd w:id="154"/>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55" w:name="_Toc18777"/>
      <w:r>
        <w:rPr>
          <w:rFonts w:hint="eastAsia" w:ascii="宋体" w:hAnsi="宋体" w:eastAsia="宋体" w:cs="宋体"/>
          <w:sz w:val="21"/>
          <w:szCs w:val="21"/>
        </w:rPr>
        <w:t>2.2.3 乙方维修人员应统一着装，并按有关规定配发劳保防护用品。维修过程中，乙方须采取严格的安全防护措施。</w:t>
      </w:r>
      <w:bookmarkEnd w:id="155"/>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56" w:name="_Toc8538"/>
      <w:r>
        <w:rPr>
          <w:rFonts w:hint="eastAsia" w:ascii="宋体" w:hAnsi="宋体" w:eastAsia="宋体" w:cs="宋体"/>
          <w:sz w:val="21"/>
          <w:szCs w:val="21"/>
        </w:rPr>
        <w:t>2.2.4 接到甲方通知后，按甲方要求在规定时间内响应并到达现场进行维修处理。</w:t>
      </w:r>
      <w:bookmarkEnd w:id="156"/>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57" w:name="_Toc22472"/>
      <w:r>
        <w:rPr>
          <w:rFonts w:hint="eastAsia" w:ascii="宋体" w:hAnsi="宋体" w:eastAsia="宋体" w:cs="宋体"/>
          <w:sz w:val="21"/>
          <w:szCs w:val="21"/>
        </w:rPr>
        <w:t>2.2.5 乙方须接受甲方对工期、质量、人员组成、设备、仪器、维修过程的监督。</w:t>
      </w:r>
      <w:bookmarkEnd w:id="157"/>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58" w:name="_Toc3933"/>
      <w:r>
        <w:rPr>
          <w:rFonts w:hint="eastAsia" w:ascii="宋体" w:hAnsi="宋体" w:eastAsia="宋体" w:cs="宋体"/>
          <w:sz w:val="21"/>
          <w:szCs w:val="21"/>
        </w:rPr>
        <w:t>2.2.6 乙方须积极配合行业主管部门对设备的维修、遗留问题整改等相关工作。</w:t>
      </w:r>
      <w:bookmarkEnd w:id="158"/>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59" w:name="_Toc21869"/>
      <w:r>
        <w:rPr>
          <w:rFonts w:hint="eastAsia" w:ascii="宋体" w:hAnsi="宋体" w:eastAsia="宋体" w:cs="宋体"/>
          <w:sz w:val="21"/>
          <w:szCs w:val="21"/>
        </w:rPr>
        <w:t>2.2.7 乙方应理解甲方有权根据政府要求及进度情况对工期做合理调整，工期调整后乙方不得以任何理由增加费用，乙方应充分考虑并承诺承担因工期调整所发生的相关费用。</w:t>
      </w:r>
      <w:bookmarkEnd w:id="159"/>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60" w:name="_Toc1154"/>
      <w:r>
        <w:rPr>
          <w:rFonts w:hint="eastAsia" w:ascii="宋体" w:hAnsi="宋体" w:eastAsia="宋体" w:cs="宋体"/>
          <w:sz w:val="21"/>
          <w:szCs w:val="21"/>
        </w:rPr>
        <w:t>2.2.8 乙方应按照法律法规的要求购买其工作人员的工伤保险、人身意外伤害险和其他保险，并使保险合同在合同服务期内保持有效，并承担其工作人员现场工作期间所产生的一切费用。因乙方原因导致的安全事故及损失，由乙方承担全部责任；若因此而导致甲方承担任何费用（包括但不限于诉讼费、保全费、合理的律师费等）的，乙方均应向甲方进行赔偿。</w:t>
      </w:r>
      <w:bookmarkEnd w:id="160"/>
    </w:p>
    <w:p>
      <w:pPr>
        <w:widowControl/>
        <w:autoSpaceDE w:val="0"/>
        <w:autoSpaceDN w:val="0"/>
        <w:adjustRightInd w:val="0"/>
        <w:snapToGrid w:val="0"/>
        <w:spacing w:line="360" w:lineRule="auto"/>
        <w:ind w:firstLine="420" w:firstLineChars="200"/>
        <w:jc w:val="left"/>
        <w:outlineLvl w:val="1"/>
        <w:rPr>
          <w:rFonts w:hint="eastAsia" w:ascii="宋体" w:hAnsi="宋体" w:eastAsia="宋体" w:cs="宋体"/>
          <w:sz w:val="21"/>
          <w:szCs w:val="21"/>
        </w:rPr>
      </w:pPr>
      <w:bookmarkStart w:id="161" w:name="_Toc23651"/>
      <w:r>
        <w:rPr>
          <w:rFonts w:hint="eastAsia" w:ascii="宋体" w:hAnsi="宋体" w:eastAsia="宋体" w:cs="宋体"/>
          <w:sz w:val="21"/>
          <w:szCs w:val="21"/>
        </w:rPr>
        <w:t>2.2.9 乙方应根据甲方需要对维修设备的使用维护、保养等提供培训和咨询服务。</w:t>
      </w:r>
      <w:bookmarkEnd w:id="161"/>
    </w:p>
    <w:p>
      <w:pPr>
        <w:pStyle w:val="2"/>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2.2.10乙方维修人员应取得相应职业技能资格证，方可安排上岗作业。</w:t>
      </w:r>
    </w:p>
    <w:p>
      <w:pPr>
        <w:pStyle w:val="2"/>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2.2.11 如需提供履约担保，则乙方应确保提供的银行履约保函持续有效，在银行履约保函到期前1个月内办理好续保手续，并向甲方提供新的有效的银行履约保函。</w:t>
      </w:r>
    </w:p>
    <w:p>
      <w:pPr>
        <w:tabs>
          <w:tab w:val="left" w:pos="540"/>
        </w:tabs>
        <w:adjustRightInd w:val="0"/>
        <w:snapToGrid w:val="0"/>
        <w:spacing w:line="360" w:lineRule="auto"/>
        <w:ind w:firstLine="422" w:firstLineChars="200"/>
        <w:jc w:val="left"/>
        <w:outlineLvl w:val="1"/>
        <w:rPr>
          <w:rFonts w:hint="eastAsia" w:ascii="宋体" w:hAnsi="宋体" w:eastAsia="宋体" w:cs="宋体"/>
          <w:b/>
          <w:sz w:val="21"/>
          <w:szCs w:val="21"/>
        </w:rPr>
      </w:pPr>
      <w:bookmarkStart w:id="162" w:name="_Toc10897"/>
      <w:r>
        <w:rPr>
          <w:rFonts w:hint="eastAsia" w:ascii="宋体" w:hAnsi="宋体" w:eastAsia="宋体" w:cs="宋体"/>
          <w:b/>
          <w:snapToGrid w:val="0"/>
          <w:sz w:val="21"/>
          <w:szCs w:val="21"/>
        </w:rPr>
        <w:t>3.</w:t>
      </w:r>
      <w:r>
        <w:rPr>
          <w:rFonts w:hint="eastAsia" w:ascii="宋体" w:hAnsi="宋体" w:eastAsia="宋体" w:cs="宋体"/>
          <w:b/>
          <w:sz w:val="21"/>
          <w:szCs w:val="21"/>
        </w:rPr>
        <w:t>履约担保</w:t>
      </w:r>
      <w:bookmarkEnd w:id="162"/>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3.1 乙方</w:t>
      </w:r>
      <w:r>
        <w:rPr>
          <w:rFonts w:hint="eastAsia" w:ascii="宋体" w:hAnsi="宋体" w:eastAsia="宋体" w:cs="宋体"/>
          <w:kern w:val="0"/>
          <w:sz w:val="21"/>
          <w:szCs w:val="21"/>
          <w:u w:val="single"/>
          <w:lang w:eastAsia="zh-CN"/>
        </w:rPr>
        <w:t>☑</w:t>
      </w:r>
      <w:r>
        <w:rPr>
          <w:rFonts w:hint="eastAsia" w:ascii="宋体" w:hAnsi="宋体" w:eastAsia="宋体" w:cs="宋体"/>
          <w:kern w:val="0"/>
          <w:sz w:val="21"/>
          <w:szCs w:val="21"/>
          <w:u w:val="single"/>
        </w:rPr>
        <w:t>需要</w:t>
      </w:r>
      <w:r>
        <w:rPr>
          <w:rFonts w:hint="eastAsia" w:ascii="宋体" w:hAnsi="宋体" w:eastAsia="宋体" w:cs="宋体"/>
          <w:kern w:val="0"/>
          <w:sz w:val="21"/>
          <w:szCs w:val="21"/>
        </w:rPr>
        <w:t>/</w:t>
      </w:r>
      <w:r>
        <w:rPr>
          <w:rFonts w:hint="eastAsia" w:ascii="宋体" w:hAnsi="宋体" w:eastAsia="宋体" w:cs="宋体"/>
          <w:kern w:val="0"/>
          <w:sz w:val="21"/>
          <w:szCs w:val="21"/>
          <w:u w:val="single"/>
        </w:rPr>
        <w:t>□不需要</w:t>
      </w:r>
      <w:r>
        <w:rPr>
          <w:rFonts w:hint="eastAsia" w:ascii="宋体" w:hAnsi="宋体" w:eastAsia="宋体" w:cs="宋体"/>
          <w:kern w:val="0"/>
          <w:sz w:val="21"/>
          <w:szCs w:val="21"/>
        </w:rPr>
        <w:t>提供履约担保。</w:t>
      </w:r>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3.2 如需要乙方提供履约担保，则：</w:t>
      </w:r>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3.2.1履约担保用于补偿甲方因乙方不能完成其合同义务而蒙受的损失，是办理投标担保（如有）退还手续及合同价款支付手续的必要条件之一。</w:t>
      </w:r>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3.2.2 乙方提供履约担保的形式、金额及期限可采用以下两种方式之一：</w:t>
      </w:r>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（2）采用现金形式，现金担保额度为签约合同价的10%，担保期限为履约保证金到账之日起，至服务期满之日止。履约担保以现金形式提交的，乙方应从其基本账户通过转帐或电汇至甲方指定的账户。</w:t>
      </w:r>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3.2.3如需提供履约担保，则乙方应确保提供的银行履约保函持续有效，在银行履约保函到期前1个月内办理好续保手续，并向甲方提供新的有效的银行履约保函。</w:t>
      </w:r>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3.2.4如需提供履约担保，合同履约未完成而履约担保到期的，乙方应在履约担保到期后的首次办理合同价款支付手续时提供有效的续保文件。</w:t>
      </w:r>
    </w:p>
    <w:p>
      <w:pPr>
        <w:tabs>
          <w:tab w:val="left" w:pos="851"/>
        </w:tabs>
        <w:adjustRightInd w:val="0"/>
        <w:snapToGri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3.2.5 在乙方完成其合同义务包括任何保证义务后，甲方将把履约担保无息退还乙方。</w:t>
      </w:r>
    </w:p>
    <w:bookmarkEnd w:id="109"/>
    <w:bookmarkEnd w:id="110"/>
    <w:bookmarkEnd w:id="111"/>
    <w:bookmarkEnd w:id="112"/>
    <w:p>
      <w:pPr>
        <w:pStyle w:val="5"/>
        <w:keepNext w:val="0"/>
        <w:keepLines w:val="0"/>
        <w:tabs>
          <w:tab w:val="left" w:pos="180"/>
          <w:tab w:val="left" w:pos="360"/>
        </w:tabs>
        <w:snapToGrid w:val="0"/>
        <w:spacing w:line="360" w:lineRule="auto"/>
        <w:ind w:firstLine="422" w:firstLineChars="200"/>
        <w:rPr>
          <w:rFonts w:hint="eastAsia" w:ascii="宋体" w:hAnsi="宋体" w:eastAsia="宋体" w:cs="宋体"/>
          <w:kern w:val="0"/>
          <w:sz w:val="21"/>
          <w:szCs w:val="21"/>
        </w:rPr>
      </w:pPr>
      <w:bookmarkStart w:id="163" w:name="_Toc28420"/>
      <w:bookmarkStart w:id="164" w:name="_Toc13504"/>
      <w:r>
        <w:rPr>
          <w:rFonts w:hint="eastAsia" w:ascii="宋体" w:hAnsi="宋体" w:eastAsia="宋体" w:cs="宋体"/>
          <w:kern w:val="0"/>
          <w:sz w:val="21"/>
          <w:szCs w:val="21"/>
        </w:rPr>
        <w:t>4．价款支付</w:t>
      </w:r>
      <w:bookmarkEnd w:id="163"/>
    </w:p>
    <w:bookmarkEnd w:id="164"/>
    <w:p>
      <w:pPr>
        <w:pStyle w:val="41"/>
        <w:adjustRightInd w:val="0"/>
        <w:snapToGrid w:val="0"/>
        <w:spacing w:before="0" w:beforeAutospacing="0" w:after="0" w:afterAutospacing="0" w:line="360" w:lineRule="auto"/>
        <w:ind w:firstLine="420" w:firstLineChars="200"/>
        <w:rPr>
          <w:rFonts w:hint="eastAsia" w:ascii="宋体" w:hAnsi="宋体" w:eastAsia="宋体" w:cs="宋体"/>
          <w:sz w:val="21"/>
          <w:szCs w:val="21"/>
        </w:rPr>
      </w:pPr>
      <w:bookmarkStart w:id="165" w:name="_Toc30378"/>
      <w:bookmarkStart w:id="166" w:name="_Toc28510"/>
      <w:r>
        <w:rPr>
          <w:rFonts w:hint="eastAsia" w:ascii="宋体" w:hAnsi="宋体" w:eastAsia="宋体" w:cs="宋体"/>
          <w:sz w:val="21"/>
          <w:szCs w:val="21"/>
        </w:rPr>
        <w:t>4.1.1本项目支付方式采用以下</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lang w:val="en-US" w:eastAsia="zh-CN"/>
        </w:rPr>
        <w:t>2</w:t>
      </w:r>
      <w:r>
        <w:rPr>
          <w:rFonts w:hint="eastAsia" w:ascii="宋体" w:hAnsi="宋体" w:eastAsia="宋体" w:cs="宋体"/>
          <w:sz w:val="21"/>
          <w:szCs w:val="21"/>
          <w:u w:val="single"/>
          <w:lang w:eastAsia="zh-CN"/>
        </w:rPr>
        <w:t>）</w:t>
      </w:r>
      <w:r>
        <w:rPr>
          <w:rFonts w:hint="eastAsia" w:ascii="宋体" w:hAnsi="宋体" w:eastAsia="宋体" w:cs="宋体"/>
          <w:sz w:val="21"/>
          <w:szCs w:val="21"/>
        </w:rPr>
        <w:t>方式。</w:t>
      </w:r>
    </w:p>
    <w:p>
      <w:pPr>
        <w:pStyle w:val="41"/>
        <w:adjustRightInd w:val="0"/>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（1）一次支付：</w:t>
      </w:r>
    </w:p>
    <w:p>
      <w:pPr>
        <w:pStyle w:val="41"/>
        <w:adjustRightInd w:val="0"/>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乙方按合同约定完成全部工作，且</w:t>
      </w:r>
      <w:r>
        <w:rPr>
          <w:rFonts w:hint="eastAsia" w:ascii="宋体" w:hAnsi="宋体" w:eastAsia="宋体" w:cs="宋体"/>
          <w:sz w:val="21"/>
          <w:szCs w:val="21"/>
          <w:u w:val="single"/>
        </w:rPr>
        <w:t>□本项目的合同价格（即结算价格）经长沙市政府相关职能部门或长沙市轨道交通集团有限公司授权的单位审定</w:t>
      </w:r>
      <w:r>
        <w:rPr>
          <w:rFonts w:hint="eastAsia" w:ascii="宋体" w:hAnsi="宋体" w:eastAsia="宋体" w:cs="宋体"/>
          <w:sz w:val="21"/>
          <w:szCs w:val="21"/>
        </w:rPr>
        <w:t>/</w:t>
      </w:r>
      <w:r>
        <w:rPr>
          <w:rFonts w:hint="eastAsia" w:ascii="宋体" w:hAnsi="宋体" w:eastAsia="宋体" w:cs="宋体"/>
          <w:sz w:val="21"/>
          <w:szCs w:val="21"/>
          <w:u w:val="single"/>
        </w:rPr>
        <w:t>□本项目履约验收合格</w:t>
      </w:r>
      <w:r>
        <w:rPr>
          <w:rFonts w:hint="eastAsia" w:ascii="宋体" w:hAnsi="宋体" w:eastAsia="宋体" w:cs="宋体"/>
          <w:sz w:val="21"/>
          <w:szCs w:val="21"/>
        </w:rPr>
        <w:t>，支付至合同价格的100%。</w:t>
      </w:r>
    </w:p>
    <w:p>
      <w:pPr>
        <w:adjustRightInd w:val="0"/>
        <w:snapToGrid w:val="0"/>
        <w:spacing w:line="360" w:lineRule="auto"/>
        <w:ind w:firstLine="367" w:firstLineChars="175"/>
        <w:rPr>
          <w:rFonts w:hint="eastAsia" w:ascii="宋体" w:hAnsi="宋体" w:eastAsia="宋体" w:cs="宋体"/>
          <w:sz w:val="21"/>
          <w:szCs w:val="21"/>
        </w:rPr>
      </w:pPr>
      <w:r>
        <w:rPr>
          <w:rFonts w:hint="eastAsia" w:ascii="宋体" w:hAnsi="宋体" w:eastAsia="宋体" w:cs="宋体"/>
          <w:sz w:val="21"/>
          <w:szCs w:val="21"/>
        </w:rPr>
        <w:t>（2）分期支付：</w:t>
      </w:r>
    </w:p>
    <w:p>
      <w:pPr>
        <w:adjustRightInd w:val="0"/>
        <w:snapToGrid w:val="0"/>
        <w:spacing w:line="360" w:lineRule="auto"/>
        <w:ind w:firstLine="367" w:firstLineChars="175"/>
        <w:rPr>
          <w:rFonts w:hint="eastAsia" w:ascii="宋体" w:hAnsi="宋体" w:eastAsia="宋体" w:cs="宋体"/>
          <w:sz w:val="21"/>
          <w:szCs w:val="21"/>
        </w:rPr>
      </w:pPr>
      <w:r>
        <w:rPr>
          <w:rFonts w:hint="eastAsia" w:ascii="宋体" w:hAnsi="宋体" w:eastAsia="宋体" w:cs="宋体"/>
          <w:sz w:val="21"/>
          <w:szCs w:val="21"/>
        </w:rPr>
        <w:t>1）进度款支付：进度款按</w:t>
      </w:r>
      <w:r>
        <w:rPr>
          <w:rFonts w:hint="eastAsia" w:ascii="宋体" w:hAnsi="宋体" w:eastAsia="宋体" w:cs="宋体"/>
          <w:sz w:val="21"/>
          <w:szCs w:val="21"/>
          <w:u w:val="single"/>
        </w:rPr>
        <w:t>□年度</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半年□季度□月</w:t>
      </w:r>
      <w:r>
        <w:rPr>
          <w:rFonts w:hint="eastAsia" w:ascii="宋体" w:hAnsi="宋体" w:eastAsia="宋体" w:cs="宋体"/>
          <w:sz w:val="21"/>
          <w:szCs w:val="21"/>
        </w:rPr>
        <w:t>支付，每个付款周期的支付额度为计量金额（即本次付款周期内完成的合格工作量*合同单价）并综合考核结果后金额的70%。</w:t>
      </w:r>
    </w:p>
    <w:p>
      <w:pPr>
        <w:adjustRightInd w:val="0"/>
        <w:snapToGrid w:val="0"/>
        <w:spacing w:line="360" w:lineRule="auto"/>
        <w:ind w:firstLine="367" w:firstLineChars="175"/>
        <w:rPr>
          <w:rFonts w:hint="eastAsia" w:ascii="宋体" w:hAnsi="宋体" w:eastAsia="宋体" w:cs="宋体"/>
          <w:sz w:val="21"/>
          <w:szCs w:val="21"/>
        </w:rPr>
      </w:pPr>
      <w:r>
        <w:rPr>
          <w:rFonts w:hint="eastAsia" w:ascii="宋体" w:hAnsi="宋体" w:eastAsia="宋体" w:cs="宋体"/>
          <w:sz w:val="21"/>
          <w:szCs w:val="21"/>
        </w:rPr>
        <w:t>2）乙方按合同约定完成全部工作，且</w:t>
      </w:r>
      <w:r>
        <w:rPr>
          <w:rFonts w:hint="eastAsia" w:ascii="宋体" w:hAnsi="宋体" w:eastAsia="宋体" w:cs="宋体"/>
          <w:sz w:val="21"/>
          <w:szCs w:val="21"/>
          <w:u w:val="single"/>
        </w:rPr>
        <w:t>□本项目的合同价格（即结算价格）经长沙市政府相关职能部门或长沙市轨道交通集团有限公司授权的单位审定</w:t>
      </w:r>
      <w:r>
        <w:rPr>
          <w:rFonts w:hint="eastAsia" w:ascii="宋体" w:hAnsi="宋体" w:eastAsia="宋体" w:cs="宋体"/>
          <w:sz w:val="21"/>
          <w:szCs w:val="21"/>
        </w:rPr>
        <w:t>/</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本项目履约验收合格</w:t>
      </w:r>
      <w:r>
        <w:rPr>
          <w:rFonts w:hint="eastAsia" w:ascii="宋体" w:hAnsi="宋体" w:eastAsia="宋体" w:cs="宋体"/>
          <w:sz w:val="21"/>
          <w:szCs w:val="21"/>
        </w:rPr>
        <w:t>，支付至合同价格的100%。</w:t>
      </w:r>
    </w:p>
    <w:p>
      <w:pPr>
        <w:pStyle w:val="41"/>
        <w:adjustRightInd w:val="0"/>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4.1.2 支付时间</w:t>
      </w:r>
    </w:p>
    <w:p>
      <w:pPr>
        <w:pStyle w:val="41"/>
        <w:adjustRightInd w:val="0"/>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上述款项在甲方收到乙方的经甲方审批同意支付申请及增值税专用发票、有效期内的履约担保复印件等相关资料后28个工作日内支付。</w:t>
      </w:r>
    </w:p>
    <w:p>
      <w:pPr>
        <w:pStyle w:val="5"/>
        <w:keepNext w:val="0"/>
        <w:keepLines w:val="0"/>
        <w:tabs>
          <w:tab w:val="left" w:pos="180"/>
          <w:tab w:val="left" w:pos="360"/>
        </w:tabs>
        <w:snapToGrid w:val="0"/>
        <w:spacing w:line="360" w:lineRule="auto"/>
        <w:ind w:firstLine="422" w:firstLineChars="200"/>
        <w:rPr>
          <w:rFonts w:hint="eastAsia" w:ascii="宋体" w:hAnsi="宋体" w:eastAsia="宋体" w:cs="宋体"/>
          <w:kern w:val="0"/>
          <w:sz w:val="21"/>
          <w:szCs w:val="21"/>
        </w:rPr>
      </w:pPr>
      <w:bookmarkStart w:id="167" w:name="_Toc17256"/>
      <w:r>
        <w:rPr>
          <w:rFonts w:hint="eastAsia" w:ascii="宋体" w:hAnsi="宋体" w:eastAsia="宋体" w:cs="宋体"/>
          <w:kern w:val="0"/>
          <w:sz w:val="21"/>
          <w:szCs w:val="21"/>
        </w:rPr>
        <w:t>5．价格调整</w:t>
      </w:r>
      <w:bookmarkEnd w:id="167"/>
      <w:bookmarkStart w:id="168" w:name="_Toc488132090"/>
    </w:p>
    <w:p>
      <w:pPr>
        <w:pStyle w:val="5"/>
        <w:keepNext w:val="0"/>
        <w:keepLines w:val="0"/>
        <w:tabs>
          <w:tab w:val="left" w:pos="180"/>
          <w:tab w:val="left" w:pos="360"/>
        </w:tabs>
        <w:snapToGrid w:val="0"/>
        <w:spacing w:line="360" w:lineRule="auto"/>
        <w:ind w:firstLine="420" w:firstLineChars="200"/>
        <w:rPr>
          <w:rFonts w:hint="eastAsia" w:ascii="宋体" w:hAnsi="宋体" w:eastAsia="宋体" w:cs="宋体"/>
          <w:b w:val="0"/>
          <w:i/>
          <w:kern w:val="0"/>
          <w:sz w:val="21"/>
          <w:szCs w:val="21"/>
        </w:rPr>
      </w:pPr>
      <w:bookmarkStart w:id="169" w:name="_Toc5365"/>
      <w:r>
        <w:rPr>
          <w:rFonts w:hint="eastAsia" w:ascii="宋体" w:hAnsi="宋体" w:eastAsia="宋体" w:cs="宋体"/>
          <w:b w:val="0"/>
          <w:kern w:val="0"/>
          <w:sz w:val="21"/>
          <w:szCs w:val="21"/>
        </w:rPr>
        <w:t>5.1价格调整是指合同签订生效后因项目需要引起的工作量增减而导致的价格调整。</w:t>
      </w:r>
      <w:bookmarkEnd w:id="169"/>
    </w:p>
    <w:p>
      <w:pPr>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5.2价格调整的计价：</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（1）增减的工作量对应项目在签约合同价清单中已有相同项目单价的，则按该相同项目综合单价计价。</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（2）增减的工作量对应项目在签约合同价清单中已有类似项目单价的，则按该类似项目综合单价进行调整换算再计价。</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（3）增减的工作量对应项目在签约合同价清单中没有类似项目单价的，则由乙方按控制价编制原则或报价编制原则编制综合单价报甲方审批，并按审批的综合单价计价。</w:t>
      </w:r>
    </w:p>
    <w:bookmarkEnd w:id="168"/>
    <w:p>
      <w:pPr>
        <w:pStyle w:val="5"/>
        <w:keepNext w:val="0"/>
        <w:keepLines w:val="0"/>
        <w:tabs>
          <w:tab w:val="left" w:pos="180"/>
          <w:tab w:val="left" w:pos="360"/>
        </w:tabs>
        <w:snapToGrid w:val="0"/>
        <w:spacing w:line="360" w:lineRule="auto"/>
        <w:ind w:firstLine="422" w:firstLineChars="200"/>
        <w:rPr>
          <w:rFonts w:hint="eastAsia" w:ascii="宋体" w:hAnsi="宋体" w:eastAsia="宋体" w:cs="宋体"/>
          <w:kern w:val="0"/>
          <w:sz w:val="21"/>
          <w:szCs w:val="21"/>
        </w:rPr>
      </w:pPr>
      <w:bookmarkStart w:id="170" w:name="_Toc22606"/>
      <w:r>
        <w:rPr>
          <w:rFonts w:hint="eastAsia" w:ascii="宋体" w:hAnsi="宋体" w:eastAsia="宋体" w:cs="宋体"/>
          <w:kern w:val="0"/>
          <w:sz w:val="21"/>
          <w:szCs w:val="21"/>
        </w:rPr>
        <w:t>6.运输</w:t>
      </w:r>
      <w:bookmarkEnd w:id="170"/>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6.1 设备需运离现场进行维修的，乙方应保证被维修设备在运输、装卸过程中完好无损，包装应适应于远距离运输、防潮、防震、防锈和防野蛮装卸等要求，以确保被维修设备安全无损地运抵指定现场。</w:t>
      </w:r>
    </w:p>
    <w:p>
      <w:pPr>
        <w:pStyle w:val="5"/>
        <w:keepNext w:val="0"/>
        <w:keepLines w:val="0"/>
        <w:tabs>
          <w:tab w:val="left" w:pos="180"/>
          <w:tab w:val="left" w:pos="360"/>
        </w:tabs>
        <w:snapToGrid w:val="0"/>
        <w:spacing w:line="360" w:lineRule="auto"/>
        <w:ind w:firstLine="420" w:firstLineChars="200"/>
        <w:rPr>
          <w:rFonts w:hint="eastAsia" w:ascii="宋体" w:hAnsi="宋体" w:eastAsia="宋体" w:cs="宋体"/>
          <w:b w:val="0"/>
          <w:sz w:val="21"/>
          <w:szCs w:val="21"/>
        </w:rPr>
      </w:pPr>
      <w:bookmarkStart w:id="171" w:name="_Toc14776"/>
      <w:r>
        <w:rPr>
          <w:rFonts w:hint="eastAsia" w:ascii="宋体" w:hAnsi="宋体" w:eastAsia="宋体" w:cs="宋体"/>
          <w:b w:val="0"/>
          <w:sz w:val="21"/>
          <w:szCs w:val="21"/>
        </w:rPr>
        <w:t>6.2 乙方在接收被维修设备后，运输、装卸、存放及交货过程中的丢失或损坏等所有风险均由乙方承担。</w:t>
      </w:r>
      <w:bookmarkEnd w:id="171"/>
    </w:p>
    <w:p>
      <w:pPr>
        <w:pStyle w:val="5"/>
        <w:keepNext w:val="0"/>
        <w:keepLines w:val="0"/>
        <w:tabs>
          <w:tab w:val="left" w:pos="180"/>
          <w:tab w:val="left" w:pos="360"/>
        </w:tabs>
        <w:snapToGrid w:val="0"/>
        <w:spacing w:line="360" w:lineRule="auto"/>
        <w:ind w:firstLine="422" w:firstLineChars="200"/>
        <w:rPr>
          <w:rFonts w:hint="eastAsia" w:ascii="宋体" w:hAnsi="宋体" w:eastAsia="宋体" w:cs="宋体"/>
          <w:kern w:val="0"/>
          <w:sz w:val="21"/>
          <w:szCs w:val="21"/>
        </w:rPr>
      </w:pPr>
      <w:bookmarkStart w:id="172" w:name="_Toc28160"/>
      <w:bookmarkStart w:id="173" w:name="_Toc22729"/>
      <w:bookmarkStart w:id="174" w:name="_Toc16499"/>
      <w:r>
        <w:rPr>
          <w:rFonts w:hint="eastAsia" w:ascii="宋体" w:hAnsi="宋体" w:eastAsia="宋体" w:cs="宋体"/>
          <w:kern w:val="0"/>
          <w:sz w:val="21"/>
          <w:szCs w:val="21"/>
        </w:rPr>
        <w:t>7.材料设备供应</w:t>
      </w:r>
      <w:bookmarkEnd w:id="172"/>
      <w:bookmarkEnd w:id="173"/>
      <w:bookmarkEnd w:id="174"/>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7.1 维修所需的材料设备必须沿用设备原品牌或合同约定的满足技术要求的备件及材料，如确实需更换其他品牌备件及材料必须经甲方书面同意后才能使用。</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7.2 乙方必须配备足够的用于维修的工器具，所使用的测试仪器必须定期进行检验，检验合格的产品才能使用。</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7.3 无论维修所需的材料设备（包括但不限于备品备件、维修辅材等）是由乙方自行供应或是由甲方指定的供应商供应（如有），均不解除乙方所负的本项目全面质量的责任，乙方应该对各种材料、器材、设备按规范进行检查，拒绝不符合要求的材料、器材、设备用于本项目。无论何种原因，出现不合格材料、器材、设备用于本项目的情况，均由乙方承担相应的责任。</w:t>
      </w:r>
    </w:p>
    <w:p>
      <w:pPr>
        <w:autoSpaceDE w:val="0"/>
        <w:autoSpaceDN w:val="0"/>
        <w:spacing w:line="360" w:lineRule="auto"/>
        <w:ind w:firstLine="411" w:firstLineChars="196"/>
        <w:textAlignment w:val="bottom"/>
        <w:rPr>
          <w:rFonts w:hint="eastAsia" w:ascii="宋体" w:hAnsi="宋体" w:eastAsia="宋体" w:cs="宋体"/>
          <w:sz w:val="21"/>
          <w:szCs w:val="21"/>
        </w:rPr>
      </w:pPr>
      <w:r>
        <w:rPr>
          <w:rFonts w:hint="eastAsia" w:ascii="宋体" w:hAnsi="宋体" w:eastAsia="宋体" w:cs="宋体"/>
          <w:sz w:val="21"/>
          <w:szCs w:val="21"/>
        </w:rPr>
        <w:t>7.4 所有维修更换的损坏件，应交给甲方回收报废。</w:t>
      </w:r>
    </w:p>
    <w:p>
      <w:pPr>
        <w:pStyle w:val="5"/>
        <w:keepNext w:val="0"/>
        <w:keepLines w:val="0"/>
        <w:tabs>
          <w:tab w:val="left" w:pos="180"/>
          <w:tab w:val="left" w:pos="360"/>
        </w:tabs>
        <w:snapToGrid w:val="0"/>
        <w:spacing w:line="360" w:lineRule="auto"/>
        <w:ind w:firstLine="422" w:firstLineChars="200"/>
        <w:rPr>
          <w:rFonts w:hint="eastAsia" w:ascii="宋体" w:hAnsi="宋体" w:eastAsia="宋体" w:cs="宋体"/>
          <w:kern w:val="0"/>
          <w:sz w:val="21"/>
          <w:szCs w:val="21"/>
        </w:rPr>
      </w:pPr>
      <w:bookmarkStart w:id="175" w:name="_Toc8346"/>
      <w:r>
        <w:rPr>
          <w:rFonts w:hint="eastAsia" w:ascii="宋体" w:hAnsi="宋体" w:eastAsia="宋体" w:cs="宋体"/>
          <w:kern w:val="0"/>
          <w:sz w:val="21"/>
          <w:szCs w:val="21"/>
        </w:rPr>
        <w:t>8.违约责任</w:t>
      </w:r>
      <w:bookmarkEnd w:id="175"/>
    </w:p>
    <w:p>
      <w:pPr>
        <w:pStyle w:val="41"/>
        <w:snapToGrid w:val="0"/>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sz w:val="21"/>
          <w:szCs w:val="21"/>
        </w:rPr>
        <w:t>违约责任在用户需求书/技术规格书中明确的，按用户需求书/技术规格书执行，无明确约定的，按下述条款执行：</w:t>
      </w:r>
    </w:p>
    <w:p>
      <w:pPr>
        <w:pStyle w:val="41"/>
        <w:snapToGrid w:val="0"/>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8.1 本合同生效后，因甲方原因要求解除合同，当乙方实际完成工作量应付费用大于已付费用时，不足部分由甲方补齐。</w:t>
      </w:r>
    </w:p>
    <w:p>
      <w:pPr>
        <w:pStyle w:val="41"/>
        <w:snapToGrid w:val="0"/>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8.2 本合同生效后，</w:t>
      </w:r>
      <w:r>
        <w:rPr>
          <w:rFonts w:hint="eastAsia" w:ascii="宋体" w:hAnsi="宋体" w:eastAsia="宋体" w:cs="宋体"/>
          <w:sz w:val="21"/>
          <w:szCs w:val="21"/>
        </w:rPr>
        <w:t>因乙方原因提前终止合同的，乙方应承担由此给甲方造成的损失，甲方有权没收乙方所交履约担保（如有），同时甲方有权要求乙方按签约合同价的20%交纳违约金</w:t>
      </w:r>
      <w:r>
        <w:rPr>
          <w:rFonts w:hint="eastAsia" w:ascii="宋体" w:hAnsi="宋体" w:eastAsia="宋体" w:cs="宋体"/>
          <w:kern w:val="2"/>
          <w:sz w:val="21"/>
          <w:szCs w:val="21"/>
        </w:rPr>
        <w:t>。</w:t>
      </w:r>
    </w:p>
    <w:bookmarkEnd w:id="165"/>
    <w:bookmarkEnd w:id="166"/>
    <w:p>
      <w:pPr>
        <w:pStyle w:val="41"/>
        <w:snapToGrid w:val="0"/>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8.3 乙方提供的服务内容不符合合同约定的，乙方应按甲方要求进行整改并承担整改所需的费用，同时，甲方有权要求乙方交纳1000元/次的违约金；乙方违约行为给甲方造成损失，违约金不足以补偿的，乙方还应承担相应的赔偿责任。</w:t>
      </w:r>
    </w:p>
    <w:p>
      <w:pPr>
        <w:pStyle w:val="41"/>
        <w:snapToGrid w:val="0"/>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8.4 非甲方原因导致未按合同约定时间完成服务，每逾期一天，甲方有权要求乙方交纳1000元/天的违约金，且甲方有权要求乙方限期纠正其违约行为，并采取补救措施以确保项目进度符合合同约定，采取补救措施的费用由乙方承担。</w:t>
      </w:r>
    </w:p>
    <w:p>
      <w:pPr>
        <w:pStyle w:val="41"/>
        <w:snapToGrid w:val="0"/>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8.5未经甲方书面同意，乙方在设备维修过程中使用不符合合同要求的备件和材料的，乙方应立即按甲方要求进行整改，且乙方须支付5000元/次的违约金。由此给甲方造成的损失，乙方应承担赔偿责任。</w:t>
      </w:r>
    </w:p>
    <w:p>
      <w:pPr>
        <w:pStyle w:val="41"/>
        <w:snapToGrid w:val="0"/>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8.6 因乙方原因导致发生人员安全事故的，由乙方承担全部责任及由此而产生的一切费用。</w:t>
      </w:r>
    </w:p>
    <w:p>
      <w:pPr>
        <w:pStyle w:val="41"/>
        <w:snapToGrid w:val="0"/>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8.7 乙方接到甲方设备故障（缺陷）通知后，未按甲方要求的时间响应或到达现场进行维修处理的，乙方须支付1000元/次的违约金。</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8.8 乙方在接到甲方发出的违约通知后，应按通知要求交纳违约金；否则，甲方有权暂停合同价款支付或从乙方的合同价款中扣除相应的违约金。</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kern w:val="2"/>
          <w:sz w:val="21"/>
          <w:szCs w:val="21"/>
        </w:rPr>
        <w:t xml:space="preserve">8.9 </w:t>
      </w:r>
      <w:r>
        <w:rPr>
          <w:rFonts w:hint="eastAsia" w:ascii="宋体" w:hAnsi="宋体" w:eastAsia="宋体" w:cs="宋体"/>
          <w:sz w:val="21"/>
          <w:szCs w:val="21"/>
        </w:rPr>
        <w:t>乙方应以现金或转账方式交纳违约金，甲方根据税法相关规定开具收款收据或增值税发票。</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8.10因乙方提供的发票导致甲方被税务部门追究相关法律责任的，乙方应承担由此给甲方造成的损失（包括但不限于未抵扣的税费、滞纳金）。</w:t>
      </w:r>
    </w:p>
    <w:p>
      <w:pPr>
        <w:pStyle w:val="4"/>
        <w:keepNext w:val="0"/>
        <w:keepLines w:val="0"/>
        <w:snapToGrid w:val="0"/>
        <w:spacing w:line="360" w:lineRule="auto"/>
        <w:ind w:firstLine="422" w:firstLineChars="200"/>
        <w:rPr>
          <w:rFonts w:hint="eastAsia" w:ascii="宋体" w:hAnsi="宋体" w:eastAsia="宋体" w:cs="宋体"/>
          <w:sz w:val="21"/>
          <w:szCs w:val="21"/>
        </w:rPr>
      </w:pPr>
      <w:bookmarkStart w:id="176" w:name="_Toc19788"/>
      <w:r>
        <w:rPr>
          <w:rFonts w:hint="eastAsia" w:ascii="宋体" w:hAnsi="宋体" w:eastAsia="宋体" w:cs="宋体"/>
          <w:sz w:val="21"/>
          <w:szCs w:val="21"/>
        </w:rPr>
        <w:t>9、不可抗力</w:t>
      </w:r>
      <w:bookmarkEnd w:id="176"/>
    </w:p>
    <w:p>
      <w:pPr>
        <w:pStyle w:val="5"/>
        <w:keepNext w:val="0"/>
        <w:keepLines w:val="0"/>
        <w:tabs>
          <w:tab w:val="left" w:pos="180"/>
          <w:tab w:val="left" w:pos="360"/>
        </w:tabs>
        <w:snapToGrid w:val="0"/>
        <w:spacing w:line="360" w:lineRule="auto"/>
        <w:ind w:firstLine="420" w:firstLineChars="200"/>
        <w:rPr>
          <w:rFonts w:hint="eastAsia" w:ascii="宋体" w:hAnsi="宋体" w:eastAsia="宋体" w:cs="宋体"/>
          <w:b w:val="0"/>
          <w:bCs/>
          <w:kern w:val="0"/>
          <w:sz w:val="21"/>
          <w:szCs w:val="21"/>
          <w:shd w:val="clear" w:color="auto" w:fill="FFFFFF"/>
        </w:rPr>
      </w:pPr>
      <w:bookmarkStart w:id="177" w:name="_Toc8499"/>
      <w:r>
        <w:rPr>
          <w:rFonts w:hint="eastAsia" w:ascii="宋体" w:hAnsi="宋体" w:eastAsia="宋体" w:cs="宋体"/>
          <w:b w:val="0"/>
          <w:bCs/>
          <w:kern w:val="0"/>
          <w:sz w:val="21"/>
          <w:szCs w:val="21"/>
          <w:shd w:val="clear" w:color="auto" w:fill="FFFFFF"/>
        </w:rPr>
        <w:t>9.1不可抗力的确认</w:t>
      </w:r>
      <w:bookmarkEnd w:id="177"/>
    </w:p>
    <w:p>
      <w:pPr>
        <w:pStyle w:val="5"/>
        <w:keepNext w:val="0"/>
        <w:keepLines w:val="0"/>
        <w:tabs>
          <w:tab w:val="left" w:pos="180"/>
          <w:tab w:val="left" w:pos="360"/>
        </w:tabs>
        <w:snapToGrid w:val="0"/>
        <w:spacing w:line="360" w:lineRule="auto"/>
        <w:ind w:firstLine="420" w:firstLineChars="200"/>
        <w:rPr>
          <w:rFonts w:hint="eastAsia" w:ascii="宋体" w:hAnsi="宋体" w:eastAsia="宋体" w:cs="宋体"/>
          <w:b w:val="0"/>
          <w:bCs/>
          <w:kern w:val="0"/>
          <w:sz w:val="21"/>
          <w:szCs w:val="21"/>
          <w:shd w:val="clear" w:color="auto" w:fill="FFFFFF"/>
        </w:rPr>
      </w:pPr>
      <w:bookmarkStart w:id="178" w:name="_Toc9276"/>
      <w:r>
        <w:rPr>
          <w:rFonts w:hint="eastAsia" w:ascii="宋体" w:hAnsi="宋体" w:eastAsia="宋体" w:cs="宋体"/>
          <w:b w:val="0"/>
          <w:bCs/>
          <w:kern w:val="0"/>
          <w:sz w:val="21"/>
          <w:szCs w:val="21"/>
          <w:shd w:val="clear" w:color="auto" w:fill="FFFFFF"/>
        </w:rPr>
        <w:t>不可抗力发生后，合同当事人应收集证明不可抗力发生及不可抗力造成损失的证据，并及时认真统计所造成的损失。合同当事人对是否属于不可抗力或其损失发生争议时，按第12条〔争议解决〕的约定处理。</w:t>
      </w:r>
      <w:bookmarkEnd w:id="178"/>
    </w:p>
    <w:p>
      <w:pPr>
        <w:pStyle w:val="5"/>
        <w:keepNext w:val="0"/>
        <w:keepLines w:val="0"/>
        <w:tabs>
          <w:tab w:val="left" w:pos="180"/>
          <w:tab w:val="left" w:pos="360"/>
        </w:tabs>
        <w:snapToGrid w:val="0"/>
        <w:spacing w:line="360" w:lineRule="auto"/>
        <w:ind w:firstLine="420" w:firstLineChars="200"/>
        <w:rPr>
          <w:rFonts w:hint="eastAsia" w:ascii="宋体" w:hAnsi="宋体" w:eastAsia="宋体" w:cs="宋体"/>
          <w:b w:val="0"/>
          <w:bCs/>
          <w:kern w:val="0"/>
          <w:sz w:val="21"/>
          <w:szCs w:val="21"/>
          <w:shd w:val="clear" w:color="auto" w:fill="FFFFFF"/>
        </w:rPr>
      </w:pPr>
      <w:bookmarkStart w:id="179" w:name="_Toc14550"/>
      <w:r>
        <w:rPr>
          <w:rFonts w:hint="eastAsia" w:ascii="宋体" w:hAnsi="宋体" w:eastAsia="宋体" w:cs="宋体"/>
          <w:b w:val="0"/>
          <w:bCs/>
          <w:kern w:val="0"/>
          <w:sz w:val="21"/>
          <w:szCs w:val="21"/>
          <w:shd w:val="clear" w:color="auto" w:fill="FFFFFF"/>
        </w:rPr>
        <w:t>9.2不可抗力的通知</w:t>
      </w:r>
      <w:bookmarkEnd w:id="179"/>
    </w:p>
    <w:p>
      <w:pPr>
        <w:pStyle w:val="5"/>
        <w:keepNext w:val="0"/>
        <w:keepLines w:val="0"/>
        <w:tabs>
          <w:tab w:val="left" w:pos="180"/>
          <w:tab w:val="left" w:pos="360"/>
        </w:tabs>
        <w:snapToGrid w:val="0"/>
        <w:spacing w:line="360" w:lineRule="auto"/>
        <w:ind w:firstLine="420" w:firstLineChars="200"/>
        <w:rPr>
          <w:rFonts w:hint="eastAsia" w:ascii="宋体" w:hAnsi="宋体" w:eastAsia="宋体" w:cs="宋体"/>
          <w:b w:val="0"/>
          <w:bCs/>
          <w:kern w:val="0"/>
          <w:sz w:val="21"/>
          <w:szCs w:val="21"/>
          <w:shd w:val="clear" w:color="auto" w:fill="FFFFFF"/>
        </w:rPr>
      </w:pPr>
      <w:bookmarkStart w:id="180" w:name="_Toc5139"/>
      <w:r>
        <w:rPr>
          <w:rFonts w:hint="eastAsia" w:ascii="宋体" w:hAnsi="宋体" w:eastAsia="宋体" w:cs="宋体"/>
          <w:b w:val="0"/>
          <w:bCs/>
          <w:kern w:val="0"/>
          <w:sz w:val="21"/>
          <w:szCs w:val="21"/>
          <w:shd w:val="clear" w:color="auto" w:fill="FFFFFF"/>
        </w:rPr>
        <w:t>合同一方当事人遇到不可抗力事件，使其履行合同义务受到阻碍时，应立即通知合同另一方当事人，书面说明不可抗力和受阻碍的详细情况，并在合理期限内提供必要的证明。</w:t>
      </w:r>
      <w:bookmarkEnd w:id="180"/>
    </w:p>
    <w:p>
      <w:pPr>
        <w:pStyle w:val="5"/>
        <w:keepNext w:val="0"/>
        <w:keepLines w:val="0"/>
        <w:tabs>
          <w:tab w:val="left" w:pos="180"/>
          <w:tab w:val="left" w:pos="360"/>
        </w:tabs>
        <w:snapToGrid w:val="0"/>
        <w:spacing w:line="360" w:lineRule="auto"/>
        <w:ind w:firstLine="420" w:firstLineChars="200"/>
        <w:rPr>
          <w:rFonts w:hint="eastAsia" w:ascii="宋体" w:hAnsi="宋体" w:eastAsia="宋体" w:cs="宋体"/>
          <w:b w:val="0"/>
          <w:bCs/>
          <w:kern w:val="0"/>
          <w:sz w:val="21"/>
          <w:szCs w:val="21"/>
          <w:shd w:val="clear" w:color="auto" w:fill="FFFFFF"/>
        </w:rPr>
      </w:pPr>
      <w:bookmarkStart w:id="181" w:name="_Toc8362"/>
      <w:r>
        <w:rPr>
          <w:rFonts w:hint="eastAsia" w:ascii="宋体" w:hAnsi="宋体" w:eastAsia="宋体" w:cs="宋体"/>
          <w:b w:val="0"/>
          <w:bCs/>
          <w:kern w:val="0"/>
          <w:sz w:val="21"/>
          <w:szCs w:val="21"/>
          <w:shd w:val="clear" w:color="auto" w:fill="FFFFFF"/>
        </w:rPr>
        <w:t>不可抗力持续发生的，合同一方当事人应及时向合同另一方当事人提交中间报告，说明不可抗力和履行合同受阻的情况，并于不可抗力事件结束后28天内提交最终报告及有关资料。</w:t>
      </w:r>
      <w:bookmarkEnd w:id="181"/>
    </w:p>
    <w:p>
      <w:pPr>
        <w:pStyle w:val="5"/>
        <w:keepNext w:val="0"/>
        <w:keepLines w:val="0"/>
        <w:tabs>
          <w:tab w:val="left" w:pos="180"/>
          <w:tab w:val="left" w:pos="360"/>
        </w:tabs>
        <w:snapToGrid w:val="0"/>
        <w:spacing w:line="360" w:lineRule="auto"/>
        <w:ind w:firstLine="420" w:firstLineChars="200"/>
        <w:rPr>
          <w:rFonts w:hint="eastAsia" w:ascii="宋体" w:hAnsi="宋体" w:eastAsia="宋体" w:cs="宋体"/>
          <w:b w:val="0"/>
          <w:bCs/>
          <w:kern w:val="0"/>
          <w:sz w:val="21"/>
          <w:szCs w:val="21"/>
          <w:shd w:val="clear" w:color="auto" w:fill="FFFFFF"/>
        </w:rPr>
      </w:pPr>
      <w:bookmarkStart w:id="182" w:name="_Toc9135"/>
      <w:r>
        <w:rPr>
          <w:rFonts w:hint="eastAsia" w:ascii="宋体" w:hAnsi="宋体" w:eastAsia="宋体" w:cs="宋体"/>
          <w:b w:val="0"/>
          <w:bCs/>
          <w:kern w:val="0"/>
          <w:sz w:val="21"/>
          <w:szCs w:val="21"/>
          <w:shd w:val="clear" w:color="auto" w:fill="FFFFFF"/>
        </w:rPr>
        <w:t>9.3不可抗力后果的承担</w:t>
      </w:r>
      <w:bookmarkEnd w:id="182"/>
    </w:p>
    <w:p>
      <w:pPr>
        <w:pStyle w:val="5"/>
        <w:keepNext w:val="0"/>
        <w:keepLines w:val="0"/>
        <w:tabs>
          <w:tab w:val="left" w:pos="180"/>
          <w:tab w:val="left" w:pos="360"/>
        </w:tabs>
        <w:snapToGrid w:val="0"/>
        <w:spacing w:line="360" w:lineRule="auto"/>
        <w:ind w:firstLine="420" w:firstLineChars="200"/>
        <w:rPr>
          <w:rFonts w:hint="eastAsia" w:ascii="宋体" w:hAnsi="宋体" w:eastAsia="宋体" w:cs="宋体"/>
          <w:b w:val="0"/>
          <w:bCs/>
          <w:kern w:val="0"/>
          <w:sz w:val="21"/>
          <w:szCs w:val="21"/>
          <w:shd w:val="clear" w:color="auto" w:fill="FFFFFF"/>
        </w:rPr>
      </w:pPr>
      <w:bookmarkStart w:id="183" w:name="_Toc21813"/>
      <w:r>
        <w:rPr>
          <w:rFonts w:hint="eastAsia" w:ascii="宋体" w:hAnsi="宋体" w:eastAsia="宋体" w:cs="宋体"/>
          <w:b w:val="0"/>
          <w:bCs/>
          <w:kern w:val="0"/>
          <w:sz w:val="21"/>
          <w:szCs w:val="21"/>
          <w:shd w:val="clear" w:color="auto" w:fill="FFFFFF"/>
        </w:rPr>
        <w:t>不可抗力引起的后果及造成的损失由合同当事人按照法律规定及合同约定各自承担。不可抗力发生前已完成的工作应当按照合同约定进行支付。</w:t>
      </w:r>
      <w:bookmarkEnd w:id="183"/>
    </w:p>
    <w:p>
      <w:pPr>
        <w:pStyle w:val="5"/>
        <w:keepNext w:val="0"/>
        <w:keepLines w:val="0"/>
        <w:tabs>
          <w:tab w:val="left" w:pos="180"/>
          <w:tab w:val="left" w:pos="360"/>
        </w:tabs>
        <w:snapToGrid w:val="0"/>
        <w:spacing w:line="360" w:lineRule="auto"/>
        <w:ind w:firstLine="420" w:firstLineChars="200"/>
        <w:rPr>
          <w:rFonts w:hint="eastAsia" w:ascii="宋体" w:hAnsi="宋体" w:eastAsia="宋体" w:cs="宋体"/>
          <w:b w:val="0"/>
          <w:bCs/>
          <w:kern w:val="0"/>
          <w:sz w:val="21"/>
          <w:szCs w:val="21"/>
          <w:shd w:val="clear" w:color="auto" w:fill="FFFFFF"/>
        </w:rPr>
      </w:pPr>
      <w:bookmarkStart w:id="184" w:name="_Toc12817"/>
      <w:r>
        <w:rPr>
          <w:rFonts w:hint="eastAsia" w:ascii="宋体" w:hAnsi="宋体" w:eastAsia="宋体" w:cs="宋体"/>
          <w:b w:val="0"/>
          <w:bCs/>
          <w:kern w:val="0"/>
          <w:sz w:val="21"/>
          <w:szCs w:val="21"/>
          <w:shd w:val="clear" w:color="auto" w:fill="FFFFFF"/>
        </w:rPr>
        <w:t>不可抗力发生后，合同当事人均应采取措施尽量避免和减少损失的扩大，任何一方当事人没有采取有效措施导致损失扩大的，应对扩大的损失承担责任。</w:t>
      </w:r>
      <w:bookmarkEnd w:id="184"/>
    </w:p>
    <w:p>
      <w:pPr>
        <w:pStyle w:val="5"/>
        <w:keepNext w:val="0"/>
        <w:keepLines w:val="0"/>
        <w:tabs>
          <w:tab w:val="left" w:pos="180"/>
          <w:tab w:val="left" w:pos="360"/>
        </w:tabs>
        <w:snapToGrid w:val="0"/>
        <w:spacing w:line="360" w:lineRule="auto"/>
        <w:ind w:firstLine="420" w:firstLineChars="200"/>
        <w:rPr>
          <w:rFonts w:hint="eastAsia" w:ascii="宋体" w:hAnsi="宋体" w:eastAsia="宋体" w:cs="宋体"/>
          <w:b w:val="0"/>
          <w:bCs/>
          <w:kern w:val="0"/>
          <w:sz w:val="21"/>
          <w:szCs w:val="21"/>
        </w:rPr>
      </w:pPr>
      <w:bookmarkStart w:id="185" w:name="_Toc9127"/>
      <w:r>
        <w:rPr>
          <w:rFonts w:hint="eastAsia" w:ascii="宋体" w:hAnsi="宋体" w:eastAsia="宋体" w:cs="宋体"/>
          <w:b w:val="0"/>
          <w:bCs/>
          <w:kern w:val="0"/>
          <w:sz w:val="21"/>
          <w:szCs w:val="21"/>
          <w:shd w:val="clear" w:color="auto" w:fill="FFFFFF"/>
        </w:rPr>
        <w:t>因合同一方迟延履行合同义务，在迟延履行期间遭遇不可抗力的，不免除其违约责任。</w:t>
      </w:r>
      <w:bookmarkEnd w:id="185"/>
    </w:p>
    <w:p>
      <w:pPr>
        <w:tabs>
          <w:tab w:val="left" w:pos="540"/>
          <w:tab w:val="left" w:pos="720"/>
        </w:tabs>
        <w:adjustRightInd w:val="0"/>
        <w:snapToGrid w:val="0"/>
        <w:spacing w:line="360" w:lineRule="auto"/>
        <w:ind w:firstLine="422" w:firstLineChars="200"/>
        <w:jc w:val="left"/>
        <w:outlineLvl w:val="1"/>
        <w:rPr>
          <w:rFonts w:hint="eastAsia" w:ascii="宋体" w:hAnsi="宋体" w:eastAsia="宋体" w:cs="宋体"/>
          <w:b/>
          <w:kern w:val="0"/>
          <w:sz w:val="21"/>
          <w:szCs w:val="21"/>
        </w:rPr>
      </w:pPr>
      <w:bookmarkStart w:id="186" w:name="_Toc24852"/>
      <w:r>
        <w:rPr>
          <w:rFonts w:hint="eastAsia" w:ascii="宋体" w:hAnsi="宋体" w:eastAsia="宋体" w:cs="宋体"/>
          <w:b/>
          <w:kern w:val="0"/>
          <w:sz w:val="21"/>
          <w:szCs w:val="21"/>
        </w:rPr>
        <w:t>10、合同终止</w:t>
      </w:r>
      <w:bookmarkEnd w:id="186"/>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10.1 甲方、乙方履行合同全部义务，合同价款支付完毕，本合同即告终止。</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10.2 合同的权利义务终止后，合同当事人应遵循诚实信用原则，履行通知、协助和保密等义务。</w:t>
      </w:r>
    </w:p>
    <w:p>
      <w:pPr>
        <w:pStyle w:val="41"/>
        <w:snapToGrid w:val="0"/>
        <w:spacing w:before="0" w:beforeAutospacing="0" w:after="0" w:afterAutospacing="0"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11、合同解除</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11.1 有下列情形之一的，合同当事人一方或双方可以解除合同：</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（1）乙方将本合同约定的工作全部或部分转包给他人，甲方有权解除合同；</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（2）因不可抗力致使合同无法履行；</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（3）因一方违约致使合同无法实际履行或实际履行已无必要；</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（4）违约金总额超过合同签约价的20%，甲方有权解除合同。</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11.2 乙方因违约而依据本合同相关条款受到违约金处罚后，相关违约行为仍持续或未停止、未改正的，甲方有权解除合同。</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11.3 任何一方提出解除合同的，应提前15天书面通知对方，违约方应赔偿由此给守约方造成的直接损失和间接损失。因不可抗力导致的合同解除，双方各自承担自身的损失。</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11.4 因乙方原因导致的合同解除，按照违约责任处理，甲方有权解除部分或全部合同。解除部分合同的，甲方有权另行委托因部分解除合同而乙方未履行部分，乙方应承担甲方由此产生的费用并继续履行合同中未解除的部分。</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11.5 合同解除后，本合同约定的有关结算、争议解决方式的条款仍然有效。</w:t>
      </w:r>
    </w:p>
    <w:p>
      <w:pPr>
        <w:pStyle w:val="41"/>
        <w:snapToGrid w:val="0"/>
        <w:spacing w:before="0" w:beforeAutospacing="0" w:after="0" w:afterAutospacing="0"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12、争议解决</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因本合同以及与本合同有关事项发生争议的，双方可以就争议自行和解或请求行政主管部门、行业协会或其他第三方进行调解。自行和解或经调解达成协议的，经签字并盖章后作为合同补充文件，双方均应遵照执行。若当事人不愿和解、调解或者和解、调解不成的，确定采取下列</w:t>
      </w:r>
      <w:r>
        <w:rPr>
          <w:rFonts w:hint="eastAsia" w:ascii="宋体" w:hAnsi="宋体" w:eastAsia="宋体" w:cs="宋体"/>
          <w:sz w:val="21"/>
          <w:szCs w:val="21"/>
          <w:u w:val="single"/>
        </w:rPr>
        <w:t>第（2）种</w:t>
      </w:r>
      <w:r>
        <w:rPr>
          <w:rFonts w:hint="eastAsia" w:ascii="宋体" w:hAnsi="宋体" w:eastAsia="宋体" w:cs="宋体"/>
          <w:sz w:val="21"/>
          <w:szCs w:val="21"/>
        </w:rPr>
        <w:t>方式解决：</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（1）提交</w:t>
      </w:r>
      <w:r>
        <w:rPr>
          <w:rFonts w:hint="eastAsia" w:ascii="宋体" w:hAnsi="宋体" w:eastAsia="宋体" w:cs="宋体"/>
          <w:sz w:val="21"/>
          <w:szCs w:val="21"/>
          <w:u w:val="single"/>
        </w:rPr>
        <w:t>长沙</w:t>
      </w:r>
      <w:r>
        <w:rPr>
          <w:rFonts w:hint="eastAsia" w:ascii="宋体" w:hAnsi="宋体" w:eastAsia="宋体" w:cs="宋体"/>
          <w:sz w:val="21"/>
          <w:szCs w:val="21"/>
        </w:rPr>
        <w:t>仲裁委员会仲裁；</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（2）依法向</w:t>
      </w:r>
      <w:r>
        <w:rPr>
          <w:rFonts w:hint="eastAsia" w:ascii="宋体" w:hAnsi="宋体" w:eastAsia="宋体" w:cs="宋体"/>
          <w:sz w:val="21"/>
          <w:szCs w:val="21"/>
          <w:u w:val="single"/>
        </w:rPr>
        <w:t>甲方所在地</w:t>
      </w:r>
      <w:r>
        <w:rPr>
          <w:rFonts w:hint="eastAsia" w:ascii="宋体" w:hAnsi="宋体" w:eastAsia="宋体" w:cs="宋体"/>
          <w:sz w:val="21"/>
          <w:szCs w:val="21"/>
        </w:rPr>
        <w:t>人民法院起诉。</w:t>
      </w:r>
    </w:p>
    <w:p>
      <w:pPr>
        <w:spacing w:line="360" w:lineRule="auto"/>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13、通知</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13.1本合同一方给另一方的通知均应采用书面形式，传真或快递送到本合同中规定的对方的地址和办理签收手续。</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13.2通知以送到之日或通知书中规定的生效之日起生效，两者中以较迟之日为准。</w:t>
      </w:r>
    </w:p>
    <w:p>
      <w:pPr>
        <w:pStyle w:val="41"/>
        <w:snapToGrid w:val="0"/>
        <w:spacing w:before="0" w:beforeAutospacing="0" w:after="0" w:afterAutospacing="0"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14、其他约定</w:t>
      </w:r>
    </w:p>
    <w:p>
      <w:pPr>
        <w:widowControl/>
        <w:tabs>
          <w:tab w:val="left" w:pos="1248"/>
        </w:tabs>
        <w:adjustRightInd w:val="0"/>
        <w:snapToGrid w:val="0"/>
        <w:spacing w:line="360" w:lineRule="auto"/>
        <w:ind w:firstLine="420" w:firstLineChars="200"/>
        <w:rPr>
          <w:rFonts w:hint="eastAsia" w:ascii="宋体" w:hAnsi="宋体" w:eastAsia="宋体" w:cs="宋体"/>
          <w:bCs/>
          <w:sz w:val="21"/>
          <w:szCs w:val="21"/>
          <w:highlight w:val="none"/>
          <w:u w:val="single"/>
          <w:lang w:val="en-US" w:eastAsia="zh-CN"/>
        </w:rPr>
      </w:pPr>
      <w:r>
        <w:rPr>
          <w:rFonts w:hint="eastAsia" w:ascii="宋体" w:hAnsi="宋体" w:eastAsia="宋体" w:cs="宋体"/>
          <w:sz w:val="21"/>
          <w:szCs w:val="21"/>
        </w:rPr>
        <w:t>甲、乙双方特别约定事项</w:t>
      </w:r>
      <w:r>
        <w:rPr>
          <w:rFonts w:hint="eastAsia" w:ascii="宋体" w:hAnsi="宋体" w:eastAsia="宋体" w:cs="宋体"/>
          <w:b/>
          <w:sz w:val="21"/>
          <w:szCs w:val="21"/>
        </w:rPr>
        <w:t>（本条约定与本合同其他约定不一致时，以本条为准）</w:t>
      </w:r>
      <w:r>
        <w:rPr>
          <w:rFonts w:hint="eastAsia" w:ascii="宋体" w:hAnsi="宋体" w:eastAsia="宋体" w:cs="宋体"/>
          <w:sz w:val="21"/>
          <w:szCs w:val="21"/>
        </w:rPr>
        <w:t>：</w:t>
      </w:r>
      <w:bookmarkStart w:id="187" w:name="_Toc501718838"/>
      <w:bookmarkStart w:id="188" w:name="_Toc501718835"/>
      <w:r>
        <w:rPr>
          <w:rFonts w:hint="eastAsia" w:ascii="宋体" w:hAnsi="宋体" w:eastAsia="宋体" w:cs="宋体"/>
          <w:bCs/>
          <w:sz w:val="21"/>
          <w:szCs w:val="21"/>
          <w:highlight w:val="none"/>
          <w:u w:val="single"/>
          <w:lang w:val="en-US" w:eastAsia="zh-CN"/>
        </w:rPr>
        <w:t>1.本合同甲方（“长沙市轨道交通一号线建设发展有限公司”、“长沙市轨道交通运营有限公司”、“长沙市轨道交通三号线建设发展有限公司”、“长沙市轨道交通四号线建设发展有限公司”、“长沙市轨道交通五号线建设发展有限公司”） 根据1、2、3、4、5号线实际清单各自承担资金的收付、发票开具，各甲方对应向乙方开具发票事宜互不承担连带责任。</w:t>
      </w:r>
    </w:p>
    <w:p>
      <w:pPr>
        <w:widowControl/>
        <w:tabs>
          <w:tab w:val="left" w:pos="1248"/>
        </w:tabs>
        <w:adjustRightInd w:val="0"/>
        <w:snapToGrid w:val="0"/>
        <w:spacing w:line="360" w:lineRule="auto"/>
        <w:ind w:firstLine="420" w:firstLineChars="200"/>
        <w:rPr>
          <w:rFonts w:hint="eastAsia" w:ascii="宋体" w:hAnsi="宋体" w:eastAsia="宋体" w:cs="宋体"/>
          <w:bCs/>
          <w:sz w:val="21"/>
          <w:szCs w:val="21"/>
          <w:highlight w:val="none"/>
          <w:u w:val="single"/>
          <w:lang w:val="en-US" w:eastAsia="zh-CN"/>
        </w:rPr>
      </w:pPr>
      <w:r>
        <w:rPr>
          <w:rFonts w:hint="eastAsia" w:ascii="宋体" w:hAnsi="宋体" w:eastAsia="宋体" w:cs="宋体"/>
          <w:bCs/>
          <w:sz w:val="21"/>
          <w:szCs w:val="21"/>
          <w:highlight w:val="none"/>
          <w:u w:val="single"/>
          <w:lang w:val="en-US" w:eastAsia="zh-CN"/>
        </w:rPr>
        <w:t xml:space="preserve">2.根据甲方需要，本合同执行过程中，甲方均使用合同章向乙方出具通知、函件等文件，甲方对使用合同章向乙方所发通知、函件等文件均予以认可。  </w:t>
      </w:r>
    </w:p>
    <w:p>
      <w:pPr>
        <w:snapToGrid w:val="0"/>
        <w:spacing w:line="360" w:lineRule="auto"/>
        <w:ind w:firstLine="480"/>
        <w:rPr>
          <w:rFonts w:hint="eastAsia" w:ascii="宋体" w:hAnsi="宋体" w:eastAsia="宋体" w:cs="宋体"/>
          <w:b/>
          <w:bCs/>
          <w:sz w:val="21"/>
          <w:szCs w:val="21"/>
          <w:u w:val="single"/>
        </w:rPr>
        <w:sectPr>
          <w:footerReference r:id="rId10" w:type="default"/>
          <w:footerReference r:id="rId11" w:type="even"/>
          <w:pgSz w:w="11906" w:h="16838"/>
          <w:pgMar w:top="1440" w:right="1800" w:bottom="1440" w:left="1800" w:header="851" w:footer="992" w:gutter="0"/>
          <w:cols w:space="720" w:num="1"/>
          <w:docGrid w:type="lines" w:linePitch="312" w:charSpace="0"/>
        </w:sectPr>
      </w:pPr>
    </w:p>
    <w:p>
      <w:pPr>
        <w:tabs>
          <w:tab w:val="left" w:pos="2580"/>
          <w:tab w:val="center" w:pos="5121"/>
        </w:tabs>
        <w:snapToGrid w:val="0"/>
        <w:spacing w:line="360" w:lineRule="auto"/>
        <w:jc w:val="center"/>
        <w:outlineLvl w:val="0"/>
        <w:rPr>
          <w:rFonts w:hint="eastAsia" w:ascii="宋体" w:hAnsi="宋体" w:eastAsia="宋体" w:cs="宋体"/>
          <w:b/>
          <w:bCs/>
          <w:kern w:val="0"/>
          <w:sz w:val="21"/>
          <w:szCs w:val="21"/>
        </w:rPr>
      </w:pPr>
      <w:bookmarkStart w:id="189" w:name="_Toc12846"/>
      <w:r>
        <w:rPr>
          <w:rFonts w:hint="eastAsia" w:ascii="宋体" w:hAnsi="宋体" w:eastAsia="宋体" w:cs="宋体"/>
          <w:b/>
          <w:bCs/>
          <w:kern w:val="0"/>
          <w:sz w:val="21"/>
          <w:szCs w:val="21"/>
        </w:rPr>
        <w:t>第三部分 合同附件</w:t>
      </w:r>
      <w:bookmarkEnd w:id="189"/>
    </w:p>
    <w:bookmarkEnd w:id="187"/>
    <w:bookmarkEnd w:id="188"/>
    <w:p>
      <w:pPr>
        <w:pStyle w:val="13"/>
        <w:tabs>
          <w:tab w:val="left" w:pos="720"/>
        </w:tabs>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附件1 廉政协议</w:t>
      </w:r>
    </w:p>
    <w:p>
      <w:pPr>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廉政协议</w:t>
      </w:r>
    </w:p>
    <w:p>
      <w:pPr>
        <w:widowControl/>
        <w:snapToGrid w:val="0"/>
        <w:spacing w:line="360" w:lineRule="auto"/>
        <w:jc w:val="left"/>
        <w:rPr>
          <w:rFonts w:hint="eastAsia" w:ascii="宋体" w:hAnsi="宋体" w:eastAsia="宋体" w:cs="宋体"/>
          <w:kern w:val="0"/>
          <w:sz w:val="21"/>
          <w:szCs w:val="21"/>
          <w:lang w:bidi="en-US"/>
        </w:rPr>
      </w:pPr>
    </w:p>
    <w:p>
      <w:pPr>
        <w:pStyle w:val="13"/>
        <w:tabs>
          <w:tab w:val="left" w:pos="720"/>
        </w:tabs>
        <w:snapToGrid w:val="0"/>
        <w:spacing w:line="440" w:lineRule="exact"/>
        <w:ind w:left="0" w:firstLine="0"/>
        <w:jc w:val="left"/>
        <w:textAlignment w:val="auto"/>
        <w:rPr>
          <w:rFonts w:hint="eastAsia" w:ascii="宋体" w:hAnsi="宋体" w:eastAsia="宋体" w:cs="宋体"/>
          <w:sz w:val="21"/>
          <w:szCs w:val="21"/>
          <w:u w:val="single"/>
        </w:rPr>
      </w:pPr>
      <w:r>
        <w:rPr>
          <w:rFonts w:hint="eastAsia" w:ascii="宋体" w:hAnsi="宋体" w:eastAsia="宋体" w:cs="宋体"/>
          <w:sz w:val="21"/>
          <w:szCs w:val="21"/>
        </w:rPr>
        <w:t>甲方：</w:t>
      </w:r>
      <w:r>
        <w:rPr>
          <w:rFonts w:hint="eastAsia" w:ascii="宋体" w:hAnsi="宋体" w:eastAsia="宋体" w:cs="宋体"/>
          <w:sz w:val="21"/>
          <w:szCs w:val="21"/>
          <w:u w:val="single"/>
        </w:rPr>
        <w:t xml:space="preserve">                     </w:t>
      </w:r>
    </w:p>
    <w:p>
      <w:pPr>
        <w:pStyle w:val="13"/>
        <w:tabs>
          <w:tab w:val="left" w:pos="720"/>
        </w:tabs>
        <w:snapToGrid w:val="0"/>
        <w:spacing w:line="440" w:lineRule="exact"/>
        <w:ind w:left="0" w:firstLine="0"/>
        <w:jc w:val="left"/>
        <w:textAlignment w:val="auto"/>
        <w:rPr>
          <w:rFonts w:hint="eastAsia" w:ascii="宋体" w:hAnsi="宋体" w:eastAsia="宋体" w:cs="宋体"/>
          <w:sz w:val="21"/>
          <w:szCs w:val="21"/>
        </w:rPr>
      </w:pPr>
      <w:r>
        <w:rPr>
          <w:rFonts w:hint="eastAsia" w:ascii="宋体" w:hAnsi="宋体" w:eastAsia="宋体" w:cs="宋体"/>
          <w:sz w:val="21"/>
          <w:szCs w:val="21"/>
        </w:rPr>
        <w:t>乙方：</w:t>
      </w:r>
      <w:r>
        <w:rPr>
          <w:rFonts w:hint="eastAsia" w:ascii="宋体" w:hAnsi="宋体" w:eastAsia="宋体" w:cs="宋体"/>
          <w:sz w:val="21"/>
          <w:szCs w:val="21"/>
          <w:u w:val="single"/>
        </w:rPr>
        <w:t xml:space="preserve">                     </w:t>
      </w:r>
    </w:p>
    <w:p>
      <w:pPr>
        <w:adjustRightInd w:val="0"/>
        <w:snapToGrid w:val="0"/>
        <w:spacing w:line="440" w:lineRule="exact"/>
        <w:ind w:firstLine="480"/>
        <w:jc w:val="left"/>
        <w:rPr>
          <w:rFonts w:hint="eastAsia" w:ascii="宋体" w:hAnsi="宋体" w:eastAsia="宋体" w:cs="宋体"/>
          <w:sz w:val="21"/>
          <w:szCs w:val="21"/>
        </w:rPr>
      </w:pPr>
      <w:r>
        <w:rPr>
          <w:rFonts w:hint="eastAsia" w:ascii="宋体" w:hAnsi="宋体" w:eastAsia="宋体" w:cs="宋体"/>
          <w:sz w:val="21"/>
          <w:szCs w:val="21"/>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宋体" w:hAnsi="宋体" w:eastAsia="宋体" w:cs="宋体"/>
          <w:sz w:val="21"/>
          <w:szCs w:val="21"/>
        </w:rPr>
      </w:pPr>
      <w:bookmarkStart w:id="190" w:name="_Toc59896701"/>
      <w:bookmarkStart w:id="191" w:name="_Toc59900969"/>
      <w:r>
        <w:rPr>
          <w:rFonts w:hint="eastAsia" w:ascii="宋体" w:hAnsi="宋体" w:eastAsia="宋体" w:cs="宋体"/>
          <w:sz w:val="21"/>
          <w:szCs w:val="21"/>
        </w:rPr>
        <w:t xml:space="preserve">第一条 </w:t>
      </w:r>
      <w:bookmarkEnd w:id="190"/>
      <w:bookmarkEnd w:id="191"/>
      <w:r>
        <w:rPr>
          <w:rFonts w:hint="eastAsia" w:ascii="宋体" w:hAnsi="宋体" w:eastAsia="宋体" w:cs="宋体"/>
          <w:sz w:val="21"/>
          <w:szCs w:val="21"/>
        </w:rPr>
        <w:t>共同责任</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（一）严格遵守党和国家有关法律法规及湖南省、长沙市的相关规定。</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（二）严格执行</w:t>
      </w:r>
      <w:r>
        <w:rPr>
          <w:rFonts w:hint="eastAsia" w:ascii="宋体" w:hAnsi="宋体" w:eastAsia="宋体" w:cs="宋体"/>
          <w:sz w:val="21"/>
          <w:szCs w:val="21"/>
          <w:u w:val="single"/>
        </w:rPr>
        <w:t xml:space="preserve">                     </w:t>
      </w:r>
      <w:r>
        <w:rPr>
          <w:rFonts w:hint="eastAsia" w:ascii="宋体" w:hAnsi="宋体" w:eastAsia="宋体" w:cs="宋体"/>
          <w:sz w:val="21"/>
          <w:szCs w:val="21"/>
        </w:rPr>
        <w:t>（以下称主合同）的合同文件，自觉按合同办事。</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（四）建立健全廉政制度，开展廉政教育，设立廉政告示牌，公布举报电话，监督并认真查处违纪违法行为。</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（五）发现对方在业务活动中有违反廉政规定的行为，有及时提醒对方纠正的权利和义务。</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第二条 共同权利</w:t>
      </w:r>
    </w:p>
    <w:p>
      <w:pPr>
        <w:adjustRightInd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宋体" w:hAnsi="宋体" w:eastAsia="宋体" w:cs="宋体"/>
          <w:sz w:val="21"/>
          <w:szCs w:val="21"/>
        </w:rPr>
      </w:pPr>
      <w:bookmarkStart w:id="192" w:name="_Toc59896702"/>
      <w:bookmarkStart w:id="193" w:name="_Toc59900970"/>
      <w:r>
        <w:rPr>
          <w:rFonts w:hint="eastAsia" w:ascii="宋体" w:hAnsi="宋体" w:eastAsia="宋体" w:cs="宋体"/>
          <w:sz w:val="21"/>
          <w:szCs w:val="21"/>
        </w:rPr>
        <w:t>第三条 甲方的义务</w:t>
      </w:r>
      <w:bookmarkEnd w:id="192"/>
      <w:bookmarkEnd w:id="193"/>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（一）甲方及其工作人员不得索要或接受乙方的礼金、有价证券和贵重物品。</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（二）甲方及其工作人员不得在乙方报销任何应由甲方或个人支付的费用等。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（三）甲方及其工作人员不得参加乙方安排的超标准宴请和娱乐活动。</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（四）甲方及其工作人员不得接受乙方提供的通讯工具、交通工具和高档办公用品等。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（六）甲方及其工作人员不得有违反法律、法规、廉洁从业规定的其他行为。</w:t>
      </w:r>
    </w:p>
    <w:p>
      <w:pPr>
        <w:adjustRightInd w:val="0"/>
        <w:snapToGrid w:val="0"/>
        <w:spacing w:line="440" w:lineRule="exact"/>
        <w:ind w:firstLine="480"/>
        <w:rPr>
          <w:rFonts w:hint="eastAsia" w:ascii="宋体" w:hAnsi="宋体" w:eastAsia="宋体" w:cs="宋体"/>
          <w:sz w:val="21"/>
          <w:szCs w:val="21"/>
        </w:rPr>
      </w:pPr>
      <w:bookmarkStart w:id="194" w:name="_Toc59896703"/>
      <w:bookmarkStart w:id="195" w:name="_Toc59900971"/>
      <w:r>
        <w:rPr>
          <w:rFonts w:hint="eastAsia" w:ascii="宋体" w:hAnsi="宋体" w:eastAsia="宋体" w:cs="宋体"/>
          <w:sz w:val="21"/>
          <w:szCs w:val="21"/>
        </w:rPr>
        <w:t>第四条 乙方义务</w:t>
      </w:r>
      <w:bookmarkEnd w:id="194"/>
      <w:bookmarkEnd w:id="195"/>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（一）乙方不得以任何理由向甲方及其工作人员行贿或馈赠礼金、有价证券、贵重物品。</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（二）乙方不得以任何名义为甲方及其工作人员报销应由甲方单位或个人支付的任何费用。</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（三）乙方不得以任何理由安排甲方工作人员参加超标准宴请、健身及娱乐活动。</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（四）乙方不得为甲方及其工作人员购置或提供通讯工具、交通工具和高档办公用品等。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（六）乙方不得有违反法律、法规、廉洁从业规定的其他行为。</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第五条 违约责任</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第七条 本协议有效期为甲乙双方签署之日起至主合同完全履行完毕之日止。</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第八条 本协议作为主合同的附件，与主合同具有同等的法律效力，经合同双方签署立即生效。</w:t>
      </w:r>
    </w:p>
    <w:p>
      <w:pPr>
        <w:snapToGrid w:val="0"/>
        <w:spacing w:line="440" w:lineRule="exact"/>
        <w:rPr>
          <w:rFonts w:hint="eastAsia" w:ascii="宋体" w:hAnsi="宋体" w:eastAsia="宋体" w:cs="宋体"/>
          <w:sz w:val="21"/>
          <w:szCs w:val="21"/>
        </w:rPr>
        <w:sectPr>
          <w:pgSz w:w="11906" w:h="16838"/>
          <w:pgMar w:top="1440" w:right="1800" w:bottom="1440" w:left="1800" w:header="851" w:footer="992" w:gutter="0"/>
          <w:cols w:space="720" w:num="1"/>
          <w:docGrid w:type="lines" w:linePitch="312" w:charSpace="0"/>
        </w:sectPr>
      </w:pPr>
    </w:p>
    <w:p>
      <w:pPr>
        <w:pStyle w:val="2"/>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（本页无正文）</w:t>
      </w: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snapToGrid w:val="0"/>
        <w:spacing w:line="440" w:lineRule="exact"/>
        <w:rPr>
          <w:rFonts w:hint="eastAsia" w:ascii="宋体" w:hAnsi="宋体" w:eastAsia="宋体" w:cs="宋体"/>
          <w:sz w:val="21"/>
          <w:szCs w:val="21"/>
          <w:u w:val="single"/>
        </w:rPr>
      </w:pPr>
      <w:r>
        <w:rPr>
          <w:rFonts w:hint="eastAsia" w:ascii="宋体" w:hAnsi="宋体" w:eastAsia="宋体" w:cs="宋体"/>
          <w:sz w:val="21"/>
          <w:szCs w:val="21"/>
        </w:rPr>
        <w:t>甲方：</w:t>
      </w:r>
      <w:r>
        <w:rPr>
          <w:rFonts w:hint="eastAsia" w:ascii="宋体" w:hAnsi="宋体" w:eastAsia="宋体" w:cs="宋体"/>
          <w:sz w:val="21"/>
          <w:szCs w:val="21"/>
          <w:u w:val="single"/>
        </w:rPr>
        <w:t xml:space="preserve"> （盖章）            </w:t>
      </w:r>
      <w:r>
        <w:rPr>
          <w:rFonts w:hint="eastAsia" w:ascii="宋体" w:hAnsi="宋体" w:eastAsia="宋体" w:cs="宋体"/>
          <w:sz w:val="21"/>
          <w:szCs w:val="21"/>
        </w:rPr>
        <w:t xml:space="preserve">             乙方：</w:t>
      </w:r>
      <w:r>
        <w:rPr>
          <w:rFonts w:hint="eastAsia" w:ascii="宋体" w:hAnsi="宋体" w:eastAsia="宋体" w:cs="宋体"/>
          <w:sz w:val="21"/>
          <w:szCs w:val="21"/>
          <w:u w:val="single"/>
        </w:rPr>
        <w:t xml:space="preserve"> （盖章）                 </w:t>
      </w:r>
    </w:p>
    <w:p>
      <w:pPr>
        <w:snapToGrid w:val="0"/>
        <w:spacing w:line="440" w:lineRule="exact"/>
        <w:rPr>
          <w:rFonts w:hint="eastAsia" w:ascii="宋体" w:hAnsi="宋体" w:eastAsia="宋体" w:cs="宋体"/>
          <w:sz w:val="21"/>
          <w:szCs w:val="21"/>
          <w:u w:val="single"/>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（签字）        </w:t>
      </w:r>
      <w:r>
        <w:rPr>
          <w:rFonts w:hint="eastAsia" w:ascii="宋体" w:hAnsi="宋体" w:eastAsia="宋体" w:cs="宋体"/>
          <w:sz w:val="21"/>
          <w:szCs w:val="21"/>
        </w:rPr>
        <w:t xml:space="preserve">             法定代表人：</w:t>
      </w:r>
      <w:r>
        <w:rPr>
          <w:rFonts w:hint="eastAsia" w:ascii="宋体" w:hAnsi="宋体" w:eastAsia="宋体" w:cs="宋体"/>
          <w:sz w:val="21"/>
          <w:szCs w:val="21"/>
          <w:u w:val="single"/>
        </w:rPr>
        <w:t xml:space="preserve"> （签字）           </w:t>
      </w:r>
    </w:p>
    <w:p>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或授权代理人：</w:t>
      </w:r>
      <w:r>
        <w:rPr>
          <w:rFonts w:hint="eastAsia" w:ascii="宋体" w:hAnsi="宋体" w:eastAsia="宋体" w:cs="宋体"/>
          <w:sz w:val="21"/>
          <w:szCs w:val="21"/>
          <w:u w:val="single"/>
        </w:rPr>
        <w:t xml:space="preserve">（签字）      </w:t>
      </w:r>
      <w:r>
        <w:rPr>
          <w:rFonts w:hint="eastAsia" w:ascii="宋体" w:hAnsi="宋体" w:eastAsia="宋体" w:cs="宋体"/>
          <w:sz w:val="21"/>
          <w:szCs w:val="21"/>
        </w:rPr>
        <w:t xml:space="preserve">             或授权代理人：</w:t>
      </w:r>
      <w:r>
        <w:rPr>
          <w:rFonts w:hint="eastAsia" w:ascii="宋体" w:hAnsi="宋体" w:eastAsia="宋体" w:cs="宋体"/>
          <w:sz w:val="21"/>
          <w:szCs w:val="21"/>
          <w:u w:val="single"/>
        </w:rPr>
        <w:t xml:space="preserve">（签字）           </w:t>
      </w:r>
    </w:p>
    <w:p>
      <w:pPr>
        <w:snapToGrid w:val="0"/>
        <w:spacing w:line="440" w:lineRule="exact"/>
        <w:rPr>
          <w:rFonts w:hint="eastAsia" w:ascii="宋体" w:hAnsi="宋体" w:eastAsia="宋体" w:cs="宋体"/>
          <w:sz w:val="21"/>
          <w:szCs w:val="21"/>
          <w:u w:val="single"/>
        </w:rPr>
      </w:pPr>
      <w:r>
        <w:rPr>
          <w:rFonts w:hint="eastAsia" w:ascii="宋体" w:hAnsi="宋体" w:eastAsia="宋体" w:cs="宋体"/>
          <w:sz w:val="21"/>
          <w:szCs w:val="21"/>
        </w:rPr>
        <w:t>电话：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电话：</w:t>
      </w:r>
      <w:r>
        <w:rPr>
          <w:rFonts w:hint="eastAsia" w:ascii="宋体" w:hAnsi="宋体" w:eastAsia="宋体" w:cs="宋体"/>
          <w:sz w:val="21"/>
          <w:szCs w:val="21"/>
          <w:u w:val="single"/>
        </w:rPr>
        <w:t xml:space="preserve">                          </w:t>
      </w:r>
    </w:p>
    <w:p>
      <w:pPr>
        <w:snapToGrid w:val="0"/>
        <w:spacing w:line="440" w:lineRule="exac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日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pStyle w:val="13"/>
        <w:tabs>
          <w:tab w:val="left" w:pos="720"/>
        </w:tabs>
        <w:snapToGrid w:val="0"/>
        <w:spacing w:line="360" w:lineRule="auto"/>
        <w:outlineLvl w:val="1"/>
        <w:rPr>
          <w:rFonts w:hint="eastAsia" w:ascii="宋体" w:hAnsi="宋体" w:eastAsia="宋体" w:cs="宋体"/>
          <w:b/>
          <w:sz w:val="21"/>
          <w:szCs w:val="21"/>
        </w:rPr>
      </w:pPr>
      <w:bookmarkStart w:id="196" w:name="_Toc8938"/>
      <w:r>
        <w:rPr>
          <w:rFonts w:hint="eastAsia" w:ascii="宋体" w:hAnsi="宋体" w:eastAsia="宋体" w:cs="宋体"/>
          <w:sz w:val="21"/>
          <w:szCs w:val="21"/>
        </w:rPr>
        <w:t>甲方监督单位：</w:t>
      </w:r>
      <w:r>
        <w:rPr>
          <w:rFonts w:hint="eastAsia" w:ascii="宋体" w:hAnsi="宋体" w:eastAsia="宋体" w:cs="宋体"/>
          <w:sz w:val="21"/>
          <w:szCs w:val="21"/>
          <w:u w:val="single"/>
        </w:rPr>
        <w:t xml:space="preserve">（盖章）      </w:t>
      </w:r>
      <w:r>
        <w:rPr>
          <w:rFonts w:hint="eastAsia" w:ascii="宋体" w:hAnsi="宋体" w:eastAsia="宋体" w:cs="宋体"/>
          <w:sz w:val="21"/>
          <w:szCs w:val="21"/>
        </w:rPr>
        <w:t xml:space="preserve">             乙方监督单位：</w:t>
      </w:r>
      <w:r>
        <w:rPr>
          <w:rFonts w:hint="eastAsia" w:ascii="宋体" w:hAnsi="宋体" w:eastAsia="宋体" w:cs="宋体"/>
          <w:sz w:val="21"/>
          <w:szCs w:val="21"/>
          <w:u w:val="single"/>
        </w:rPr>
        <w:t>（盖章）</w:t>
      </w:r>
      <w:bookmarkEnd w:id="196"/>
      <w:r>
        <w:rPr>
          <w:rFonts w:hint="eastAsia" w:ascii="宋体" w:hAnsi="宋体" w:eastAsia="宋体" w:cs="宋体"/>
          <w:sz w:val="21"/>
          <w:szCs w:val="21"/>
          <w:u w:val="single"/>
        </w:rPr>
        <w:t xml:space="preserve">        </w:t>
      </w:r>
    </w:p>
    <w:p>
      <w:pPr>
        <w:pStyle w:val="13"/>
        <w:tabs>
          <w:tab w:val="left" w:pos="720"/>
        </w:tabs>
        <w:snapToGrid w:val="0"/>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br w:type="page"/>
      </w:r>
      <w:bookmarkStart w:id="197" w:name="_Toc25612"/>
      <w:r>
        <w:rPr>
          <w:rFonts w:hint="eastAsia" w:ascii="宋体" w:hAnsi="宋体" w:eastAsia="宋体" w:cs="宋体"/>
          <w:b/>
          <w:sz w:val="21"/>
          <w:szCs w:val="21"/>
        </w:rPr>
        <w:t>附件2 安全生产协议</w:t>
      </w:r>
      <w:bookmarkEnd w:id="197"/>
    </w:p>
    <w:p>
      <w:pPr>
        <w:autoSpaceDE w:val="0"/>
        <w:autoSpaceDN w:val="0"/>
        <w:adjustRightInd w:val="0"/>
        <w:jc w:val="center"/>
        <w:rPr>
          <w:rFonts w:hint="eastAsia" w:ascii="宋体" w:hAnsi="宋体" w:eastAsia="宋体" w:cs="宋体"/>
          <w:b/>
          <w:kern w:val="0"/>
          <w:sz w:val="21"/>
          <w:szCs w:val="21"/>
        </w:rPr>
      </w:pPr>
      <w:r>
        <w:rPr>
          <w:rFonts w:hint="eastAsia" w:ascii="宋体" w:hAnsi="宋体" w:eastAsia="宋体" w:cs="宋体"/>
          <w:b/>
          <w:kern w:val="0"/>
          <w:sz w:val="21"/>
          <w:szCs w:val="21"/>
        </w:rPr>
        <w:t>安全生产协议</w:t>
      </w:r>
    </w:p>
    <w:p>
      <w:pPr>
        <w:widowControl/>
        <w:snapToGrid w:val="0"/>
        <w:spacing w:line="360" w:lineRule="auto"/>
        <w:jc w:val="left"/>
        <w:rPr>
          <w:rFonts w:hint="eastAsia" w:ascii="宋体" w:hAnsi="宋体" w:eastAsia="宋体" w:cs="宋体"/>
          <w:kern w:val="0"/>
          <w:sz w:val="21"/>
          <w:szCs w:val="21"/>
          <w:lang w:bidi="en-US"/>
        </w:rPr>
      </w:pPr>
    </w:p>
    <w:p>
      <w:pPr>
        <w:widowControl/>
        <w:snapToGrid w:val="0"/>
        <w:spacing w:line="360" w:lineRule="auto"/>
        <w:jc w:val="left"/>
        <w:rPr>
          <w:rFonts w:hint="eastAsia" w:ascii="宋体" w:hAnsi="宋体" w:eastAsia="宋体" w:cs="宋体"/>
          <w:kern w:val="0"/>
          <w:sz w:val="21"/>
          <w:szCs w:val="21"/>
          <w:u w:val="single"/>
          <w:lang w:bidi="en-US"/>
        </w:rPr>
      </w:pPr>
      <w:r>
        <w:rPr>
          <w:rFonts w:hint="eastAsia" w:ascii="宋体" w:hAnsi="宋体" w:eastAsia="宋体" w:cs="宋体"/>
          <w:kern w:val="0"/>
          <w:sz w:val="21"/>
          <w:szCs w:val="21"/>
          <w:lang w:bidi="en-US"/>
        </w:rPr>
        <w:t>甲方（全称）：</w:t>
      </w:r>
      <w:r>
        <w:rPr>
          <w:rFonts w:hint="eastAsia" w:ascii="宋体" w:hAnsi="宋体" w:eastAsia="宋体" w:cs="宋体"/>
          <w:kern w:val="0"/>
          <w:sz w:val="21"/>
          <w:szCs w:val="21"/>
          <w:u w:val="single"/>
          <w:lang w:bidi="en-US"/>
        </w:rPr>
        <w:t xml:space="preserve">                    </w:t>
      </w:r>
    </w:p>
    <w:p>
      <w:pPr>
        <w:widowControl/>
        <w:snapToGrid w:val="0"/>
        <w:spacing w:line="360" w:lineRule="auto"/>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乙方（全称）：</w:t>
      </w:r>
      <w:r>
        <w:rPr>
          <w:rFonts w:hint="eastAsia" w:ascii="宋体" w:hAnsi="宋体" w:eastAsia="宋体" w:cs="宋体"/>
          <w:kern w:val="0"/>
          <w:sz w:val="21"/>
          <w:szCs w:val="21"/>
          <w:u w:val="single"/>
          <w:lang w:bidi="en-US"/>
        </w:rPr>
        <w:t xml:space="preserve">                    </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为在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合同</w:t>
      </w:r>
      <w:r>
        <w:rPr>
          <w:rFonts w:hint="eastAsia" w:ascii="宋体" w:hAnsi="宋体" w:eastAsia="宋体" w:cs="宋体"/>
          <w:sz w:val="21"/>
          <w:szCs w:val="21"/>
        </w:rPr>
        <w:t>（以下简称“主合同”）</w:t>
      </w:r>
      <w:r>
        <w:rPr>
          <w:rFonts w:hint="eastAsia" w:ascii="宋体" w:hAnsi="宋体" w:eastAsia="宋体" w:cs="宋体"/>
          <w:kern w:val="0"/>
          <w:sz w:val="21"/>
          <w:szCs w:val="21"/>
        </w:rPr>
        <w:t>的执行过程中创造安全、高效的施工环境，切实搞好项目的安全管理工作，甲、乙双方特签订本协议。</w:t>
      </w:r>
    </w:p>
    <w:p>
      <w:pPr>
        <w:autoSpaceDE w:val="0"/>
        <w:autoSpaceDN w:val="0"/>
        <w:adjustRightInd w:val="0"/>
        <w:snapToGrid w:val="0"/>
        <w:spacing w:line="360" w:lineRule="auto"/>
        <w:ind w:firstLine="422" w:firstLineChars="200"/>
        <w:jc w:val="left"/>
        <w:rPr>
          <w:rFonts w:hint="eastAsia" w:ascii="宋体" w:hAnsi="宋体" w:eastAsia="宋体" w:cs="宋体"/>
          <w:b/>
          <w:kern w:val="0"/>
          <w:sz w:val="21"/>
          <w:szCs w:val="21"/>
        </w:rPr>
      </w:pPr>
      <w:r>
        <w:rPr>
          <w:rFonts w:hint="eastAsia" w:ascii="宋体" w:hAnsi="宋体" w:eastAsia="宋体" w:cs="宋体"/>
          <w:b/>
          <w:kern w:val="0"/>
          <w:sz w:val="21"/>
          <w:szCs w:val="21"/>
        </w:rPr>
        <w:t>一、甲方职责</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1、甲方应严格遵守国家有关安全生产的法律法规及有关安全生产管理条例的规定，认真执行主合同中的有关安全要求。</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2、甲方应按照“安全第一、预防为主”的原则进行安全生产管理。</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3、甲方应及时传达中央及地方有关安全生产的精神。</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4、甲方组织对乙方施工现场安全生产检查，监督乙方及时处理发现的各种安全隐患。</w:t>
      </w:r>
    </w:p>
    <w:p>
      <w:pPr>
        <w:autoSpaceDE w:val="0"/>
        <w:autoSpaceDN w:val="0"/>
        <w:adjustRightInd w:val="0"/>
        <w:snapToGrid w:val="0"/>
        <w:spacing w:line="360" w:lineRule="auto"/>
        <w:ind w:firstLine="422" w:firstLineChars="200"/>
        <w:jc w:val="left"/>
        <w:rPr>
          <w:rFonts w:hint="eastAsia" w:ascii="宋体" w:hAnsi="宋体" w:eastAsia="宋体" w:cs="宋体"/>
          <w:b/>
          <w:kern w:val="0"/>
          <w:sz w:val="21"/>
          <w:szCs w:val="21"/>
        </w:rPr>
      </w:pPr>
      <w:r>
        <w:rPr>
          <w:rFonts w:hint="eastAsia" w:ascii="宋体" w:hAnsi="宋体" w:eastAsia="宋体" w:cs="宋体"/>
          <w:b/>
          <w:kern w:val="0"/>
          <w:sz w:val="21"/>
          <w:szCs w:val="21"/>
        </w:rPr>
        <w:t>二、乙方职责</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乙方作为项目现场的安全生产责任主体，应严格遵守国家有关安全生产的法律法规（包括但不限于《中华人民共和国安全生产法》、《企业安全生产责任体系五落实五到位规定》），严格执行甲方的《长沙市轨道交通集团有限公司安全生产主体责任划分实施细则》（长轨发[2018]126号）及主合同中有关安全生产的约定。</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乙方应建立健全安全生产管理体系（包括但不限于组织架构、管理制度、操作规程、安全责任划分、目标保证措施、投入保障措施、职业病防治措施、隐患排查治理措施、应急救援预案、培训教育方案），切实做到责任到位、管理到位、投入到位、应急救援到位、培训教育到位。</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3、乙方应加强项目现场人员到岗情况的监督和项目现场人员的管理，并为项目现场人员及时足额缴纳工伤保险费。</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乙方应对各级管理人员、工程技术人员和具体操作人员进行技术培训和安全教育，使之熟知和遵守本工种的各项安全技术要求和操作规程，并定期进行安全技术考核，合格者方准上岗操作；对于从事电气、起重、建筑登高架设作业、锅炉、压力容器、焊接、机动车船艇驾驶、爆破、潜水、瓦斯检验等特殊工种的人员，应经过专业培训并获得《安全操作合格证》后，方准持证上岗。</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5、乙方应按相关规程规范在项目现场设置安全保护和防护设施（含消防设施）、配备劳动保护用品，做好设施的日常维护和定期检查，安全员应对维护和检查情况记录、签字。</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6、乙方应做好所有施工机具设备和高空作业设备的日常维护和定期检查，确保设备经常处于完好状态，安全员应对维护和检查情况记录、签字。</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7、乙方应按相关规程规范做好爆炸物、有毒有害物的处置或处理，不得将任何种类的爆炸物、有毒有害物以给予、易货或以其他方式转让给其他人。</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8、乙方应定期排查事故隐患,发现一般事故隐患应当立即排除;发现重大事故隐患应当及时报告安全生产监督管理部门或者其他负有安全生产监督管理职责的部门,并制定治理方案予以排除。</w:t>
      </w:r>
    </w:p>
    <w:p>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9、乙方应积极配合接受甲方的安全监督检查,及时整改管辖范围内的问题和安全隐患,确保安全生产。</w:t>
      </w:r>
    </w:p>
    <w:p>
      <w:pPr>
        <w:widowControl/>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10、乙方应履行法律、法规规定的其他安全生产责任和义务。</w:t>
      </w:r>
    </w:p>
    <w:p>
      <w:pPr>
        <w:autoSpaceDE w:val="0"/>
        <w:autoSpaceDN w:val="0"/>
        <w:adjustRightInd w:val="0"/>
        <w:snapToGrid w:val="0"/>
        <w:spacing w:line="360" w:lineRule="auto"/>
        <w:ind w:firstLine="422" w:firstLineChars="200"/>
        <w:jc w:val="left"/>
        <w:rPr>
          <w:rFonts w:hint="eastAsia" w:ascii="宋体" w:hAnsi="宋体" w:eastAsia="宋体" w:cs="宋体"/>
          <w:b/>
          <w:kern w:val="0"/>
          <w:sz w:val="21"/>
          <w:szCs w:val="21"/>
        </w:rPr>
      </w:pPr>
      <w:r>
        <w:rPr>
          <w:rFonts w:hint="eastAsia" w:ascii="宋体" w:hAnsi="宋体" w:eastAsia="宋体" w:cs="宋体"/>
          <w:b/>
          <w:kern w:val="0"/>
          <w:sz w:val="21"/>
          <w:szCs w:val="21"/>
        </w:rPr>
        <w:t>三、违约责任</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在主合同执行过程中，因乙方原因发生安全事故，由此产生的一切行政、经济、法律责任由乙方承担。</w:t>
      </w:r>
    </w:p>
    <w:p>
      <w:pPr>
        <w:autoSpaceDE w:val="0"/>
        <w:autoSpaceDN w:val="0"/>
        <w:adjustRightInd w:val="0"/>
        <w:snapToGrid w:val="0"/>
        <w:spacing w:line="360" w:lineRule="auto"/>
        <w:ind w:firstLine="422" w:firstLineChars="200"/>
        <w:jc w:val="left"/>
        <w:rPr>
          <w:rFonts w:hint="eastAsia" w:ascii="宋体" w:hAnsi="宋体" w:eastAsia="宋体" w:cs="宋体"/>
          <w:b/>
          <w:kern w:val="0"/>
          <w:sz w:val="21"/>
          <w:szCs w:val="21"/>
        </w:rPr>
      </w:pPr>
      <w:r>
        <w:rPr>
          <w:rFonts w:hint="eastAsia" w:ascii="宋体" w:hAnsi="宋体" w:eastAsia="宋体" w:cs="宋体"/>
          <w:b/>
          <w:kern w:val="0"/>
          <w:sz w:val="21"/>
          <w:szCs w:val="21"/>
        </w:rPr>
        <w:t>四、协议的生效和终止</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本协议由双方法定代表人或其授权代表签字并加盖公章后生效，主合同履行完毕后失效。</w:t>
      </w:r>
    </w:p>
    <w:p>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rPr>
      </w:pP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br w:type="page"/>
      </w:r>
    </w:p>
    <w:p>
      <w:pPr>
        <w:autoSpaceDE w:val="0"/>
        <w:autoSpaceDN w:val="0"/>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rPr>
        <w:t>（本页无正文）</w:t>
      </w:r>
    </w:p>
    <w:p>
      <w:pPr>
        <w:autoSpaceDE w:val="0"/>
        <w:autoSpaceDN w:val="0"/>
        <w:adjustRightInd w:val="0"/>
        <w:snapToGrid w:val="0"/>
        <w:spacing w:line="360" w:lineRule="auto"/>
        <w:jc w:val="left"/>
        <w:rPr>
          <w:rFonts w:hint="eastAsia" w:ascii="宋体" w:hAnsi="宋体" w:eastAsia="宋体" w:cs="宋体"/>
          <w:sz w:val="21"/>
          <w:szCs w:val="21"/>
        </w:rPr>
      </w:pPr>
    </w:p>
    <w:p>
      <w:pPr>
        <w:autoSpaceDE w:val="0"/>
        <w:autoSpaceDN w:val="0"/>
        <w:adjustRightInd w:val="0"/>
        <w:snapToGrid w:val="0"/>
        <w:spacing w:line="360" w:lineRule="auto"/>
        <w:jc w:val="left"/>
        <w:rPr>
          <w:rFonts w:hint="eastAsia" w:ascii="宋体" w:hAnsi="宋体" w:eastAsia="宋体" w:cs="宋体"/>
          <w:sz w:val="21"/>
          <w:szCs w:val="21"/>
        </w:rPr>
      </w:pPr>
    </w:p>
    <w:p>
      <w:pPr>
        <w:autoSpaceDE w:val="0"/>
        <w:autoSpaceDN w:val="0"/>
        <w:adjustRightInd w:val="0"/>
        <w:snapToGrid w:val="0"/>
        <w:spacing w:line="360" w:lineRule="auto"/>
        <w:jc w:val="left"/>
        <w:rPr>
          <w:rFonts w:hint="eastAsia" w:ascii="宋体" w:hAnsi="宋体" w:eastAsia="宋体" w:cs="宋体"/>
          <w:sz w:val="21"/>
          <w:szCs w:val="21"/>
        </w:rPr>
      </w:pPr>
    </w:p>
    <w:tbl>
      <w:tblPr>
        <w:tblStyle w:val="46"/>
        <w:tblW w:w="8598" w:type="dxa"/>
        <w:jc w:val="center"/>
        <w:tblLayout w:type="fixed"/>
        <w:tblCellMar>
          <w:top w:w="0" w:type="dxa"/>
          <w:left w:w="108" w:type="dxa"/>
          <w:bottom w:w="0" w:type="dxa"/>
          <w:right w:w="108" w:type="dxa"/>
        </w:tblCellMar>
      </w:tblPr>
      <w:tblGrid>
        <w:gridCol w:w="4405"/>
        <w:gridCol w:w="4193"/>
      </w:tblGrid>
      <w:tr>
        <w:tblPrEx>
          <w:tblCellMar>
            <w:top w:w="0" w:type="dxa"/>
            <w:left w:w="108" w:type="dxa"/>
            <w:bottom w:w="0" w:type="dxa"/>
            <w:right w:w="108" w:type="dxa"/>
          </w:tblCellMar>
        </w:tblPrEx>
        <w:trPr>
          <w:trHeight w:val="733" w:hRule="atLeast"/>
          <w:jc w:val="center"/>
        </w:trPr>
        <w:tc>
          <w:tcPr>
            <w:tcW w:w="4405" w:type="dxa"/>
            <w:noWrap w:val="0"/>
            <w:vAlign w:val="top"/>
          </w:tcPr>
          <w:p>
            <w:pPr>
              <w:adjustRightInd w:val="0"/>
              <w:snapToGrid w:val="0"/>
              <w:spacing w:line="360" w:lineRule="auto"/>
              <w:textAlignment w:val="baseline"/>
              <w:rPr>
                <w:rFonts w:hint="eastAsia" w:ascii="宋体" w:hAnsi="宋体" w:eastAsia="宋体" w:cs="宋体"/>
                <w:sz w:val="21"/>
                <w:szCs w:val="21"/>
              </w:rPr>
            </w:pPr>
          </w:p>
          <w:p>
            <w:pPr>
              <w:adjustRightInd w:val="0"/>
              <w:snapToGrid w:val="0"/>
              <w:spacing w:line="360" w:lineRule="auto"/>
              <w:textAlignment w:val="baseline"/>
              <w:rPr>
                <w:rFonts w:hint="eastAsia" w:ascii="宋体" w:hAnsi="宋体" w:eastAsia="宋体" w:cs="宋体"/>
                <w:sz w:val="21"/>
                <w:szCs w:val="21"/>
              </w:rPr>
            </w:pPr>
          </w:p>
          <w:p>
            <w:pPr>
              <w:adjustRightInd w:val="0"/>
              <w:snapToGrid w:val="0"/>
              <w:spacing w:line="360"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甲方：(盖章)</w:t>
            </w:r>
          </w:p>
          <w:p>
            <w:pPr>
              <w:adjustRightInd w:val="0"/>
              <w:snapToGrid w:val="0"/>
              <w:spacing w:line="360" w:lineRule="auto"/>
              <w:textAlignment w:val="baseline"/>
              <w:rPr>
                <w:rFonts w:hint="eastAsia" w:ascii="宋体" w:hAnsi="宋体" w:eastAsia="宋体" w:cs="宋体"/>
                <w:kern w:val="0"/>
                <w:sz w:val="21"/>
                <w:szCs w:val="21"/>
              </w:rPr>
            </w:pPr>
          </w:p>
        </w:tc>
        <w:tc>
          <w:tcPr>
            <w:tcW w:w="4193" w:type="dxa"/>
            <w:noWrap w:val="0"/>
            <w:vAlign w:val="top"/>
          </w:tcPr>
          <w:p>
            <w:pPr>
              <w:adjustRightInd w:val="0"/>
              <w:snapToGrid w:val="0"/>
              <w:spacing w:line="360" w:lineRule="auto"/>
              <w:textAlignment w:val="baseline"/>
              <w:rPr>
                <w:rFonts w:hint="eastAsia" w:ascii="宋体" w:hAnsi="宋体" w:eastAsia="宋体" w:cs="宋体"/>
                <w:kern w:val="0"/>
                <w:sz w:val="21"/>
                <w:szCs w:val="21"/>
              </w:rPr>
            </w:pPr>
          </w:p>
          <w:p>
            <w:pPr>
              <w:adjustRightInd w:val="0"/>
              <w:snapToGrid w:val="0"/>
              <w:spacing w:line="360" w:lineRule="auto"/>
              <w:textAlignment w:val="baseline"/>
              <w:rPr>
                <w:rFonts w:hint="eastAsia" w:ascii="宋体" w:hAnsi="宋体" w:eastAsia="宋体" w:cs="宋体"/>
                <w:kern w:val="0"/>
                <w:sz w:val="21"/>
                <w:szCs w:val="21"/>
              </w:rPr>
            </w:pPr>
          </w:p>
          <w:p>
            <w:pPr>
              <w:adjustRightInd w:val="0"/>
              <w:snapToGrid w:val="0"/>
              <w:spacing w:line="360"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乙方：（盖章）</w:t>
            </w:r>
          </w:p>
        </w:tc>
      </w:tr>
      <w:tr>
        <w:tblPrEx>
          <w:tblCellMar>
            <w:top w:w="0" w:type="dxa"/>
            <w:left w:w="108" w:type="dxa"/>
            <w:bottom w:w="0" w:type="dxa"/>
            <w:right w:w="108" w:type="dxa"/>
          </w:tblCellMar>
        </w:tblPrEx>
        <w:trPr>
          <w:trHeight w:val="709" w:hRule="atLeast"/>
          <w:jc w:val="center"/>
        </w:trPr>
        <w:tc>
          <w:tcPr>
            <w:tcW w:w="4405" w:type="dxa"/>
            <w:noWrap w:val="0"/>
            <w:vAlign w:val="top"/>
          </w:tcPr>
          <w:p>
            <w:pPr>
              <w:adjustRightInd w:val="0"/>
              <w:snapToGrid w:val="0"/>
              <w:spacing w:line="360" w:lineRule="auto"/>
              <w:ind w:left="19" w:leftChars="9"/>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法定代表人或其授权代表：（签字）</w:t>
            </w:r>
          </w:p>
          <w:p>
            <w:pPr>
              <w:adjustRightInd w:val="0"/>
              <w:snapToGrid w:val="0"/>
              <w:spacing w:line="360" w:lineRule="auto"/>
              <w:ind w:left="19" w:leftChars="9"/>
              <w:textAlignment w:val="baseline"/>
              <w:rPr>
                <w:rFonts w:hint="eastAsia" w:ascii="宋体" w:hAnsi="宋体" w:eastAsia="宋体" w:cs="宋体"/>
                <w:kern w:val="0"/>
                <w:sz w:val="21"/>
                <w:szCs w:val="21"/>
              </w:rPr>
            </w:pPr>
          </w:p>
        </w:tc>
        <w:tc>
          <w:tcPr>
            <w:tcW w:w="4193" w:type="dxa"/>
            <w:noWrap w:val="0"/>
            <w:vAlign w:val="top"/>
          </w:tcPr>
          <w:p>
            <w:pPr>
              <w:adjustRightInd w:val="0"/>
              <w:snapToGrid w:val="0"/>
              <w:spacing w:line="360" w:lineRule="auto"/>
              <w:ind w:left="34" w:leftChars="16"/>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法定代表人或其授权代表：（签字）</w:t>
            </w:r>
          </w:p>
        </w:tc>
      </w:tr>
      <w:tr>
        <w:tblPrEx>
          <w:tblCellMar>
            <w:top w:w="0" w:type="dxa"/>
            <w:left w:w="108" w:type="dxa"/>
            <w:bottom w:w="0" w:type="dxa"/>
            <w:right w:w="108" w:type="dxa"/>
          </w:tblCellMar>
        </w:tblPrEx>
        <w:trPr>
          <w:trHeight w:val="709" w:hRule="atLeast"/>
          <w:jc w:val="center"/>
        </w:trPr>
        <w:tc>
          <w:tcPr>
            <w:tcW w:w="4405" w:type="dxa"/>
            <w:noWrap w:val="0"/>
            <w:vAlign w:val="top"/>
          </w:tcPr>
          <w:p>
            <w:pPr>
              <w:adjustRightInd w:val="0"/>
              <w:snapToGrid w:val="0"/>
              <w:spacing w:line="360" w:lineRule="auto"/>
              <w:ind w:left="19" w:leftChars="9"/>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时间：</w:t>
            </w:r>
          </w:p>
        </w:tc>
        <w:tc>
          <w:tcPr>
            <w:tcW w:w="4193" w:type="dxa"/>
            <w:noWrap w:val="0"/>
            <w:vAlign w:val="top"/>
          </w:tcPr>
          <w:p>
            <w:pPr>
              <w:adjustRightInd w:val="0"/>
              <w:snapToGrid w:val="0"/>
              <w:spacing w:line="360" w:lineRule="auto"/>
              <w:ind w:left="34" w:leftChars="16"/>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时间：</w:t>
            </w:r>
          </w:p>
        </w:tc>
      </w:tr>
    </w:tbl>
    <w:p>
      <w:pPr>
        <w:snapToGrid w:val="0"/>
        <w:spacing w:line="360" w:lineRule="auto"/>
        <w:rPr>
          <w:rFonts w:hint="eastAsia" w:ascii="宋体" w:hAnsi="宋体" w:eastAsia="宋体" w:cs="宋体"/>
          <w:sz w:val="21"/>
          <w:szCs w:val="21"/>
        </w:rPr>
      </w:pPr>
    </w:p>
    <w:p>
      <w:pPr>
        <w:pStyle w:val="13"/>
        <w:tabs>
          <w:tab w:val="left" w:pos="720"/>
        </w:tabs>
        <w:snapToGrid w:val="0"/>
        <w:spacing w:line="360" w:lineRule="auto"/>
        <w:outlineLvl w:val="1"/>
        <w:rPr>
          <w:rFonts w:hint="eastAsia" w:ascii="宋体" w:hAnsi="宋体" w:eastAsia="宋体" w:cs="宋体"/>
          <w:b/>
          <w:sz w:val="21"/>
          <w:szCs w:val="21"/>
        </w:rPr>
      </w:pPr>
    </w:p>
    <w:p>
      <w:pPr>
        <w:pStyle w:val="13"/>
        <w:tabs>
          <w:tab w:val="left" w:pos="720"/>
        </w:tabs>
        <w:snapToGrid w:val="0"/>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br w:type="page"/>
      </w:r>
      <w:bookmarkStart w:id="198" w:name="_Toc26712"/>
      <w:r>
        <w:rPr>
          <w:rFonts w:hint="eastAsia" w:ascii="宋体" w:hAnsi="宋体" w:eastAsia="宋体" w:cs="宋体"/>
          <w:b/>
          <w:sz w:val="21"/>
          <w:szCs w:val="21"/>
        </w:rPr>
        <w:t>附件3 中标通知书/中选通知书/谈判记录表</w:t>
      </w:r>
      <w:bookmarkEnd w:id="198"/>
    </w:p>
    <w:p>
      <w:pPr>
        <w:pStyle w:val="13"/>
        <w:tabs>
          <w:tab w:val="left" w:pos="720"/>
        </w:tabs>
        <w:snapToGrid w:val="0"/>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br w:type="page"/>
      </w:r>
      <w:bookmarkStart w:id="199" w:name="_Toc16205"/>
      <w:r>
        <w:rPr>
          <w:rFonts w:hint="eastAsia" w:ascii="宋体" w:hAnsi="宋体" w:eastAsia="宋体" w:cs="宋体"/>
          <w:b/>
          <w:sz w:val="21"/>
          <w:szCs w:val="21"/>
        </w:rPr>
        <w:t>附件4 签约合同价清单</w:t>
      </w:r>
      <w:bookmarkEnd w:id="199"/>
    </w:p>
    <w:p>
      <w:pPr>
        <w:pStyle w:val="13"/>
        <w:tabs>
          <w:tab w:val="left" w:pos="720"/>
        </w:tabs>
        <w:snapToGrid w:val="0"/>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br w:type="page"/>
      </w:r>
      <w:bookmarkStart w:id="200" w:name="_Toc7695"/>
      <w:r>
        <w:rPr>
          <w:rFonts w:hint="eastAsia" w:ascii="宋体" w:hAnsi="宋体" w:eastAsia="宋体" w:cs="宋体"/>
          <w:b/>
          <w:sz w:val="21"/>
          <w:szCs w:val="21"/>
        </w:rPr>
        <w:t>附件5 澄清与答疑文件</w:t>
      </w:r>
      <w:bookmarkEnd w:id="200"/>
    </w:p>
    <w:p>
      <w:pPr>
        <w:pStyle w:val="13"/>
        <w:tabs>
          <w:tab w:val="left" w:pos="720"/>
        </w:tabs>
        <w:snapToGrid w:val="0"/>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br w:type="page"/>
      </w:r>
      <w:bookmarkStart w:id="201" w:name="_Toc26965"/>
      <w:r>
        <w:rPr>
          <w:rFonts w:hint="eastAsia" w:ascii="宋体" w:hAnsi="宋体" w:eastAsia="宋体" w:cs="宋体"/>
          <w:b/>
          <w:sz w:val="21"/>
          <w:szCs w:val="21"/>
        </w:rPr>
        <w:t>附件6 最高投标限价公示说明</w:t>
      </w:r>
      <w:bookmarkEnd w:id="201"/>
    </w:p>
    <w:p>
      <w:pPr>
        <w:pStyle w:val="13"/>
        <w:tabs>
          <w:tab w:val="left" w:pos="720"/>
        </w:tabs>
        <w:snapToGrid w:val="0"/>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br w:type="page"/>
      </w:r>
      <w:bookmarkStart w:id="202" w:name="_Toc22933"/>
      <w:r>
        <w:rPr>
          <w:rFonts w:hint="eastAsia" w:ascii="宋体" w:hAnsi="宋体" w:eastAsia="宋体" w:cs="宋体"/>
          <w:b/>
          <w:sz w:val="21"/>
          <w:szCs w:val="21"/>
        </w:rPr>
        <w:t>附件7 用户需求书/技术规格书</w:t>
      </w:r>
      <w:bookmarkEnd w:id="202"/>
    </w:p>
    <w:p>
      <w:pPr>
        <w:pStyle w:val="13"/>
        <w:tabs>
          <w:tab w:val="left" w:pos="720"/>
        </w:tabs>
        <w:snapToGrid w:val="0"/>
        <w:spacing w:line="360" w:lineRule="auto"/>
        <w:outlineLvl w:val="1"/>
        <w:rPr>
          <w:rFonts w:hint="eastAsia" w:ascii="宋体" w:hAnsi="宋体" w:eastAsia="宋体" w:cs="宋体"/>
          <w:b/>
          <w:sz w:val="21"/>
          <w:szCs w:val="21"/>
        </w:rPr>
      </w:pPr>
      <w:r>
        <w:rPr>
          <w:rFonts w:hint="eastAsia" w:ascii="宋体" w:hAnsi="宋体" w:eastAsia="宋体" w:cs="宋体"/>
          <w:b/>
          <w:sz w:val="21"/>
          <w:szCs w:val="21"/>
        </w:rPr>
        <w:br w:type="page"/>
      </w:r>
    </w:p>
    <w:p>
      <w:pPr>
        <w:tabs>
          <w:tab w:val="left" w:pos="2580"/>
          <w:tab w:val="center" w:pos="5121"/>
        </w:tabs>
        <w:snapToGrid w:val="0"/>
        <w:spacing w:line="360" w:lineRule="auto"/>
        <w:jc w:val="center"/>
        <w:outlineLvl w:val="0"/>
        <w:rPr>
          <w:rFonts w:hint="eastAsia" w:ascii="宋体" w:hAnsi="宋体" w:eastAsia="宋体" w:cs="宋体"/>
          <w:b/>
          <w:bCs/>
          <w:kern w:val="0"/>
          <w:sz w:val="21"/>
          <w:szCs w:val="21"/>
        </w:rPr>
      </w:pPr>
      <w:bookmarkStart w:id="203" w:name="_Toc14482"/>
      <w:r>
        <w:rPr>
          <w:rFonts w:hint="eastAsia" w:ascii="宋体" w:hAnsi="宋体" w:eastAsia="宋体" w:cs="宋体"/>
          <w:b/>
          <w:bCs/>
          <w:kern w:val="0"/>
          <w:sz w:val="21"/>
          <w:szCs w:val="21"/>
        </w:rPr>
        <w:t>第四部分 合同附录</w:t>
      </w:r>
      <w:bookmarkEnd w:id="203"/>
    </w:p>
    <w:p>
      <w:pPr>
        <w:snapToGrid w:val="0"/>
        <w:spacing w:line="360" w:lineRule="auto"/>
        <w:outlineLvl w:val="1"/>
        <w:rPr>
          <w:rFonts w:hint="eastAsia" w:ascii="宋体" w:hAnsi="宋体" w:eastAsia="宋体" w:cs="宋体"/>
          <w:b/>
          <w:sz w:val="21"/>
          <w:szCs w:val="21"/>
        </w:rPr>
      </w:pPr>
      <w:bookmarkStart w:id="204" w:name="_Toc499044866"/>
      <w:bookmarkStart w:id="205" w:name="_Toc492458580"/>
      <w:bookmarkStart w:id="206" w:name="_Toc494117898"/>
      <w:bookmarkStart w:id="207" w:name="_Toc23186"/>
      <w:r>
        <w:rPr>
          <w:rFonts w:hint="eastAsia" w:ascii="宋体" w:hAnsi="宋体" w:eastAsia="宋体" w:cs="宋体"/>
          <w:b/>
          <w:sz w:val="21"/>
          <w:szCs w:val="21"/>
        </w:rPr>
        <w:t xml:space="preserve">附录1 </w:t>
      </w:r>
      <w:bookmarkEnd w:id="204"/>
      <w:bookmarkEnd w:id="205"/>
      <w:bookmarkEnd w:id="206"/>
      <w:bookmarkStart w:id="208" w:name="_Toc494117899"/>
      <w:bookmarkStart w:id="209" w:name="_Toc492458581"/>
      <w:bookmarkStart w:id="210" w:name="_Toc499044867"/>
      <w:r>
        <w:rPr>
          <w:rFonts w:hint="eastAsia" w:ascii="宋体" w:hAnsi="宋体" w:eastAsia="宋体" w:cs="宋体"/>
          <w:b/>
          <w:sz w:val="21"/>
          <w:szCs w:val="21"/>
        </w:rPr>
        <w:t>履约保函（格式）</w:t>
      </w:r>
      <w:bookmarkEnd w:id="207"/>
      <w:bookmarkEnd w:id="208"/>
      <w:bookmarkEnd w:id="209"/>
      <w:bookmarkEnd w:id="210"/>
    </w:p>
    <w:p>
      <w:pPr>
        <w:jc w:val="center"/>
        <w:rPr>
          <w:rFonts w:hint="eastAsia" w:ascii="宋体" w:hAnsi="宋体" w:eastAsia="宋体" w:cs="宋体"/>
          <w:b/>
          <w:bCs/>
          <w:sz w:val="21"/>
          <w:szCs w:val="21"/>
        </w:rPr>
      </w:pPr>
      <w:r>
        <w:rPr>
          <w:rFonts w:hint="eastAsia" w:ascii="宋体" w:hAnsi="宋体" w:eastAsia="宋体" w:cs="宋体"/>
          <w:b/>
          <w:bCs/>
          <w:sz w:val="21"/>
          <w:szCs w:val="21"/>
        </w:rPr>
        <w:t xml:space="preserve">                             保函编号：</w:t>
      </w: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r>
        <w:rPr>
          <w:rFonts w:hint="eastAsia" w:ascii="宋体" w:hAnsi="宋体" w:eastAsia="宋体" w:cs="宋体"/>
          <w:b/>
          <w:sz w:val="21"/>
          <w:szCs w:val="21"/>
        </w:rPr>
        <w:t>银行履约保函</w:t>
      </w:r>
    </w:p>
    <w:p>
      <w:pPr>
        <w:jc w:val="center"/>
        <w:rPr>
          <w:rFonts w:hint="eastAsia" w:ascii="宋体" w:hAnsi="宋体" w:eastAsia="宋体" w:cs="宋体"/>
          <w:b/>
          <w:sz w:val="21"/>
          <w:szCs w:val="21"/>
        </w:rPr>
      </w:pPr>
    </w:p>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甲方（全称）：</w:t>
      </w:r>
      <w:r>
        <w:rPr>
          <w:rFonts w:hint="eastAsia" w:ascii="宋体" w:hAnsi="宋体" w:eastAsia="宋体" w:cs="宋体"/>
          <w:sz w:val="21"/>
          <w:szCs w:val="21"/>
          <w:u w:val="single"/>
        </w:rPr>
        <w:t xml:space="preserve">                  </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鉴于甲方</w:t>
      </w:r>
      <w:r>
        <w:rPr>
          <w:rFonts w:hint="eastAsia" w:ascii="宋体" w:hAnsi="宋体" w:eastAsia="宋体" w:cs="宋体"/>
          <w:sz w:val="21"/>
          <w:szCs w:val="21"/>
          <w:u w:val="single"/>
        </w:rPr>
        <w:t xml:space="preserve">           </w:t>
      </w:r>
      <w:r>
        <w:rPr>
          <w:rFonts w:hint="eastAsia" w:ascii="宋体" w:hAnsi="宋体" w:eastAsia="宋体" w:cs="宋体"/>
          <w:sz w:val="21"/>
          <w:szCs w:val="21"/>
        </w:rPr>
        <w:t>（以下简称“你方”）与</w:t>
      </w:r>
      <w:r>
        <w:rPr>
          <w:rFonts w:hint="eastAsia" w:ascii="宋体" w:hAnsi="宋体" w:eastAsia="宋体" w:cs="宋体"/>
          <w:sz w:val="21"/>
          <w:szCs w:val="21"/>
          <w:u w:val="single"/>
        </w:rPr>
        <w:t xml:space="preserve">           </w:t>
      </w:r>
      <w:r>
        <w:rPr>
          <w:rFonts w:hint="eastAsia" w:ascii="宋体" w:hAnsi="宋体" w:eastAsia="宋体" w:cs="宋体"/>
          <w:sz w:val="21"/>
          <w:szCs w:val="21"/>
        </w:rPr>
        <w:t>（乙方全称，以下简称“乙方”）于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日协商一致共同签订合同编号为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1、担保金额为人民币（大写）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元（小写：¥</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2、担保期限为自本保函生效之日起至</w:t>
      </w:r>
      <w:r>
        <w:rPr>
          <w:rFonts w:hint="eastAsia" w:ascii="宋体" w:hAnsi="宋体" w:eastAsia="宋体" w:cs="宋体"/>
          <w:sz w:val="21"/>
          <w:szCs w:val="21"/>
          <w:u w:val="single"/>
        </w:rPr>
        <w:t xml:space="preserve">           </w:t>
      </w:r>
      <w:r>
        <w:rPr>
          <w:rFonts w:hint="eastAsia" w:ascii="宋体" w:hAnsi="宋体" w:eastAsia="宋体" w:cs="宋体"/>
          <w:sz w:val="21"/>
          <w:szCs w:val="21"/>
        </w:rPr>
        <w:t>之日止。</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4、你方和乙方按合同约定变更合同时，我方承担本担保规定的义务不变。</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宋体" w:hAnsi="宋体" w:eastAsia="宋体" w:cs="宋体"/>
          <w:sz w:val="21"/>
          <w:szCs w:val="21"/>
        </w:rPr>
      </w:pPr>
      <w:r>
        <w:rPr>
          <w:rFonts w:hint="eastAsia" w:ascii="宋体" w:hAnsi="宋体" w:eastAsia="宋体" w:cs="宋体"/>
          <w:sz w:val="21"/>
          <w:szCs w:val="21"/>
        </w:rPr>
        <w:t>本保函自我方加盖公章之日起生效。</w:t>
      </w:r>
    </w:p>
    <w:p>
      <w:pPr>
        <w:adjustRightInd w:val="0"/>
        <w:snapToGrid w:val="0"/>
        <w:spacing w:line="360" w:lineRule="auto"/>
        <w:ind w:left="15" w:leftChars="7" w:firstLine="352" w:firstLineChars="168"/>
        <w:rPr>
          <w:rFonts w:hint="eastAsia" w:ascii="宋体" w:hAnsi="宋体" w:eastAsia="宋体" w:cs="宋体"/>
          <w:sz w:val="21"/>
          <w:szCs w:val="21"/>
        </w:rPr>
      </w:pP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rPr>
        <w:t>担保人（盖公章）：</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签字：</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地址：</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邮政编码：</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电话：</w:t>
      </w: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rPr>
        <w:t>传真：</w:t>
      </w: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rPr>
        <w:t>时间：</w:t>
      </w:r>
    </w:p>
    <w:p>
      <w:pPr>
        <w:pStyle w:val="2"/>
        <w:rPr>
          <w:rFonts w:hint="eastAsia" w:ascii="宋体" w:hAnsi="宋体" w:eastAsia="宋体" w:cs="宋体"/>
          <w:sz w:val="21"/>
          <w:szCs w:val="21"/>
        </w:rPr>
      </w:pPr>
    </w:p>
    <w:p>
      <w:pPr>
        <w:snapToGrid w:val="0"/>
        <w:spacing w:line="360" w:lineRule="auto"/>
        <w:outlineLvl w:val="1"/>
        <w:rPr>
          <w:rFonts w:hint="eastAsia" w:ascii="宋体" w:hAnsi="宋体" w:eastAsia="宋体" w:cs="宋体"/>
          <w:b/>
          <w:sz w:val="21"/>
          <w:szCs w:val="21"/>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jc w:val="left"/>
        <w:rPr>
          <w:rFonts w:hint="eastAsia" w:ascii="宋体" w:hAnsi="宋体" w:eastAsia="宋体" w:cs="宋体"/>
          <w:b/>
          <w:sz w:val="21"/>
          <w:szCs w:val="21"/>
        </w:rPr>
      </w:pPr>
    </w:p>
    <w:p>
      <w:pPr>
        <w:adjustRightInd w:val="0"/>
        <w:snapToGrid w:val="0"/>
        <w:spacing w:line="360" w:lineRule="auto"/>
        <w:jc w:val="left"/>
        <w:rPr>
          <w:rFonts w:hint="eastAsia" w:ascii="宋体" w:hAnsi="宋体" w:eastAsia="宋体" w:cs="宋体"/>
          <w:b/>
          <w:sz w:val="21"/>
          <w:szCs w:val="21"/>
        </w:rPr>
      </w:pPr>
    </w:p>
    <w:p>
      <w:pPr>
        <w:adjustRightInd w:val="0"/>
        <w:snapToGrid w:val="0"/>
        <w:spacing w:line="360" w:lineRule="auto"/>
        <w:jc w:val="left"/>
        <w:rPr>
          <w:rFonts w:hint="eastAsia" w:ascii="宋体" w:hAnsi="宋体" w:eastAsia="宋体" w:cs="宋体"/>
          <w:b/>
          <w:sz w:val="21"/>
          <w:szCs w:val="21"/>
        </w:rPr>
      </w:pPr>
    </w:p>
    <w:p>
      <w:pPr>
        <w:adjustRightInd w:val="0"/>
        <w:snapToGrid w:val="0"/>
        <w:spacing w:line="360" w:lineRule="auto"/>
        <w:jc w:val="left"/>
        <w:rPr>
          <w:rFonts w:hint="eastAsia" w:ascii="宋体" w:hAnsi="宋体" w:eastAsia="宋体" w:cs="宋体"/>
          <w:b/>
          <w:sz w:val="21"/>
          <w:szCs w:val="21"/>
        </w:rPr>
      </w:pPr>
    </w:p>
    <w:p>
      <w:pPr>
        <w:adjustRightInd w:val="0"/>
        <w:snapToGrid w:val="0"/>
        <w:spacing w:line="360" w:lineRule="auto"/>
        <w:jc w:val="left"/>
        <w:rPr>
          <w:rFonts w:hint="eastAsia" w:ascii="宋体" w:hAnsi="宋体" w:eastAsia="宋体" w:cs="宋体"/>
          <w:b/>
          <w:sz w:val="21"/>
          <w:szCs w:val="21"/>
        </w:rPr>
      </w:pPr>
    </w:p>
    <w:p>
      <w:pPr>
        <w:adjustRightInd w:val="0"/>
        <w:snapToGrid w:val="0"/>
        <w:spacing w:line="360" w:lineRule="auto"/>
        <w:jc w:val="left"/>
        <w:rPr>
          <w:rFonts w:hint="eastAsia" w:ascii="宋体" w:hAnsi="宋体" w:eastAsia="宋体" w:cs="宋体"/>
          <w:b/>
          <w:sz w:val="21"/>
          <w:szCs w:val="21"/>
        </w:rPr>
      </w:pPr>
    </w:p>
    <w:p>
      <w:pPr>
        <w:pStyle w:val="13"/>
        <w:tabs>
          <w:tab w:val="left" w:pos="720"/>
        </w:tabs>
        <w:snapToGrid w:val="0"/>
        <w:ind w:left="0" w:firstLine="0"/>
        <w:jc w:val="left"/>
        <w:outlineLvl w:val="1"/>
        <w:rPr>
          <w:rFonts w:hint="eastAsia" w:ascii="宋体" w:hAnsi="宋体" w:eastAsia="宋体" w:cs="宋体"/>
          <w:b/>
          <w:bCs/>
          <w:sz w:val="21"/>
          <w:szCs w:val="21"/>
        </w:rPr>
      </w:pPr>
      <w:bookmarkStart w:id="211" w:name="_Toc3357"/>
      <w:r>
        <w:rPr>
          <w:rFonts w:hint="eastAsia" w:ascii="宋体" w:hAnsi="宋体" w:eastAsia="宋体" w:cs="宋体"/>
          <w:b/>
          <w:bCs/>
          <w:sz w:val="21"/>
          <w:szCs w:val="21"/>
        </w:rPr>
        <w:t>第五部分  招标文件/自主竞争性谈判文件/直接委托谈判文件、澄清与答疑文件及其他补充资料（如有，另册）</w:t>
      </w:r>
      <w:bookmarkEnd w:id="211"/>
    </w:p>
    <w:p>
      <w:pPr>
        <w:pStyle w:val="13"/>
        <w:tabs>
          <w:tab w:val="left" w:pos="720"/>
        </w:tabs>
        <w:snapToGrid w:val="0"/>
        <w:spacing w:line="360" w:lineRule="auto"/>
        <w:ind w:left="0" w:firstLine="0"/>
        <w:jc w:val="left"/>
        <w:outlineLvl w:val="1"/>
        <w:rPr>
          <w:rFonts w:hint="eastAsia" w:ascii="宋体" w:hAnsi="宋体" w:eastAsia="宋体" w:cs="宋体"/>
          <w:b/>
          <w:bCs/>
          <w:sz w:val="21"/>
          <w:szCs w:val="21"/>
        </w:rPr>
      </w:pPr>
    </w:p>
    <w:p>
      <w:pPr>
        <w:pStyle w:val="13"/>
        <w:tabs>
          <w:tab w:val="left" w:pos="720"/>
        </w:tabs>
        <w:snapToGrid w:val="0"/>
        <w:spacing w:line="360" w:lineRule="auto"/>
        <w:ind w:left="0" w:firstLine="0"/>
        <w:jc w:val="left"/>
        <w:outlineLvl w:val="1"/>
        <w:rPr>
          <w:rFonts w:hint="eastAsia" w:ascii="宋体" w:hAnsi="宋体" w:eastAsia="宋体" w:cs="宋体"/>
          <w:b/>
          <w:bCs/>
          <w:sz w:val="21"/>
          <w:szCs w:val="21"/>
        </w:rPr>
      </w:pPr>
    </w:p>
    <w:p>
      <w:pPr>
        <w:pStyle w:val="13"/>
        <w:tabs>
          <w:tab w:val="left" w:pos="720"/>
        </w:tabs>
        <w:snapToGrid w:val="0"/>
        <w:spacing w:line="360" w:lineRule="auto"/>
        <w:ind w:left="0" w:firstLine="0"/>
        <w:jc w:val="left"/>
        <w:outlineLvl w:val="1"/>
        <w:rPr>
          <w:rFonts w:hint="eastAsia" w:ascii="宋体" w:hAnsi="宋体" w:eastAsia="宋体" w:cs="宋体"/>
          <w:b/>
          <w:bCs/>
          <w:sz w:val="21"/>
          <w:szCs w:val="21"/>
        </w:rPr>
      </w:pPr>
    </w:p>
    <w:p>
      <w:pPr>
        <w:pStyle w:val="13"/>
        <w:tabs>
          <w:tab w:val="left" w:pos="720"/>
        </w:tabs>
        <w:snapToGrid w:val="0"/>
        <w:ind w:left="0" w:firstLine="0"/>
        <w:jc w:val="left"/>
        <w:outlineLvl w:val="1"/>
        <w:rPr>
          <w:rFonts w:hint="eastAsia" w:ascii="宋体" w:hAnsi="宋体" w:eastAsia="宋体" w:cs="宋体"/>
          <w:b/>
          <w:bCs/>
          <w:sz w:val="21"/>
          <w:szCs w:val="21"/>
        </w:rPr>
      </w:pPr>
      <w:bookmarkStart w:id="212" w:name="_Toc27528"/>
      <w:r>
        <w:rPr>
          <w:rFonts w:hint="eastAsia" w:ascii="宋体" w:hAnsi="宋体" w:eastAsia="宋体" w:cs="宋体"/>
          <w:b/>
          <w:bCs/>
          <w:sz w:val="21"/>
          <w:szCs w:val="21"/>
        </w:rPr>
        <w:t>第六部分  投标文件/谈判响应文件、澄清文件及其他补充资料（如有，另册）</w:t>
      </w:r>
      <w:bookmarkEnd w:id="212"/>
    </w:p>
    <w:p>
      <w:pPr>
        <w:pStyle w:val="2"/>
        <w:rPr>
          <w:rFonts w:hint="eastAsia" w:ascii="宋体" w:hAnsi="宋体" w:eastAsia="宋体" w:cs="宋体"/>
          <w:sz w:val="21"/>
          <w:szCs w:val="21"/>
        </w:rPr>
        <w:sectPr>
          <w:pgSz w:w="11906" w:h="16838"/>
          <w:pgMar w:top="1440" w:right="1797" w:bottom="1440" w:left="1797" w:header="851" w:footer="851" w:gutter="0"/>
          <w:cols w:space="720" w:num="1"/>
          <w:docGrid w:linePitch="312" w:charSpace="0"/>
        </w:sectPr>
      </w:pPr>
    </w:p>
    <w:p>
      <w:pPr>
        <w:snapToGrid w:val="0"/>
        <w:spacing w:line="360" w:lineRule="auto"/>
        <w:jc w:val="center"/>
        <w:outlineLvl w:val="0"/>
        <w:rPr>
          <w:rFonts w:ascii="宋体" w:hAnsi="宋体" w:cs="宋体"/>
          <w:bCs/>
          <w:sz w:val="32"/>
          <w:szCs w:val="32"/>
        </w:rPr>
      </w:pPr>
      <w:bookmarkStart w:id="213" w:name="_Toc28436"/>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1312;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sz w:val="32"/>
          <w:szCs w:val="32"/>
        </w:rPr>
        <w:t>第六章</w:t>
      </w:r>
      <w:bookmarkStart w:id="214" w:name="_Toc14891079"/>
      <w:r>
        <w:rPr>
          <w:rFonts w:hint="eastAsia" w:ascii="宋体" w:hAnsi="宋体" w:cs="宋体"/>
          <w:b/>
          <w:sz w:val="32"/>
          <w:szCs w:val="32"/>
        </w:rPr>
        <w:t xml:space="preserve">  </w:t>
      </w:r>
      <w:r>
        <w:rPr>
          <w:rFonts w:hint="eastAsia" w:ascii="宋体" w:hAnsi="宋体" w:cs="宋体"/>
          <w:b/>
          <w:bCs/>
          <w:sz w:val="32"/>
          <w:szCs w:val="32"/>
        </w:rPr>
        <w:t>响应文件组成</w:t>
      </w:r>
      <w:bookmarkEnd w:id="70"/>
      <w:bookmarkEnd w:id="71"/>
      <w:bookmarkEnd w:id="72"/>
      <w:bookmarkEnd w:id="73"/>
      <w:bookmarkEnd w:id="213"/>
      <w:bookmarkEnd w:id="214"/>
    </w:p>
    <w:p>
      <w:pPr>
        <w:spacing w:line="360" w:lineRule="auto"/>
        <w:rPr>
          <w:rFonts w:ascii="宋体" w:hAnsi="宋体"/>
          <w:b/>
          <w:bCs/>
          <w:sz w:val="52"/>
          <w:szCs w:val="52"/>
        </w:rPr>
      </w:pPr>
    </w:p>
    <w:p>
      <w:pPr>
        <w:spacing w:line="360" w:lineRule="auto"/>
        <w:jc w:val="center"/>
        <w:rPr>
          <w:rFonts w:ascii="宋体" w:hAnsi="宋体"/>
          <w:b/>
          <w:bCs/>
          <w:sz w:val="52"/>
          <w:szCs w:val="52"/>
        </w:rPr>
      </w:pPr>
      <w:r>
        <w:rPr>
          <w:rFonts w:hint="eastAsia" w:ascii="宋体" w:hAnsi="宋体"/>
          <w:b/>
          <w:bCs/>
          <w:sz w:val="52"/>
          <w:szCs w:val="52"/>
        </w:rPr>
        <w:t>自主竞争性谈判</w:t>
      </w:r>
    </w:p>
    <w:p>
      <w:pPr>
        <w:adjustRightInd w:val="0"/>
        <w:snapToGrid w:val="0"/>
        <w:spacing w:line="360" w:lineRule="auto"/>
        <w:jc w:val="center"/>
        <w:rPr>
          <w:rFonts w:ascii="宋体" w:hAnsi="宋体"/>
          <w:b/>
          <w:bCs/>
          <w:sz w:val="52"/>
          <w:szCs w:val="52"/>
        </w:rPr>
      </w:pPr>
      <w:r>
        <w:rPr>
          <w:rFonts w:hint="eastAsia" w:ascii="宋体" w:hAnsi="宋体"/>
          <w:b/>
          <w:bCs/>
          <w:sz w:val="52"/>
          <w:szCs w:val="52"/>
        </w:rPr>
        <w:t>响应文件</w:t>
      </w:r>
    </w:p>
    <w:p>
      <w:pPr>
        <w:spacing w:line="360" w:lineRule="auto"/>
        <w:rPr>
          <w:rFonts w:ascii="宋体" w:hAnsi="宋体"/>
          <w:b/>
          <w:bCs/>
          <w:sz w:val="28"/>
          <w:szCs w:val="28"/>
        </w:rPr>
      </w:pPr>
    </w:p>
    <w:p>
      <w:pPr>
        <w:pStyle w:val="25"/>
        <w:spacing w:line="360" w:lineRule="auto"/>
        <w:rPr>
          <w:rFonts w:hAnsi="宋体"/>
          <w:b/>
          <w:bCs/>
          <w:sz w:val="32"/>
          <w:szCs w:val="32"/>
        </w:rPr>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
      <w:pPr>
        <w:spacing w:line="360" w:lineRule="exact"/>
        <w:rPr>
          <w:rFonts w:ascii="宋体" w:hAnsi="宋体"/>
          <w:b/>
        </w:rPr>
      </w:pPr>
    </w:p>
    <w:p>
      <w:pPr>
        <w:adjustRightInd w:val="0"/>
        <w:snapToGrid w:val="0"/>
        <w:spacing w:line="360" w:lineRule="auto"/>
        <w:jc w:val="center"/>
        <w:outlineLvl w:val="0"/>
        <w:rPr>
          <w:rFonts w:ascii="黑体" w:eastAsia="黑体"/>
          <w:b/>
          <w:sz w:val="32"/>
          <w:szCs w:val="32"/>
        </w:rPr>
        <w:sectPr>
          <w:pgSz w:w="11906" w:h="16838"/>
          <w:pgMar w:top="1440" w:right="1797" w:bottom="1440" w:left="1797" w:header="851" w:footer="851" w:gutter="0"/>
          <w:cols w:space="720" w:num="1"/>
          <w:docGrid w:linePitch="312" w:charSpace="0"/>
        </w:sectPr>
      </w:pPr>
    </w:p>
    <w:p>
      <w:pPr>
        <w:widowControl/>
        <w:spacing w:line="360" w:lineRule="auto"/>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outlineLvl w:val="0"/>
        <w:rPr>
          <w:rFonts w:ascii="宋体" w:hAnsi="宋体"/>
          <w:sz w:val="24"/>
        </w:rPr>
      </w:pPr>
    </w:p>
    <w:p>
      <w:pPr>
        <w:adjustRightInd w:val="0"/>
        <w:snapToGrid w:val="0"/>
        <w:spacing w:line="360" w:lineRule="auto"/>
        <w:rPr>
          <w:rFonts w:ascii="宋体" w:hAnsi="宋体"/>
          <w:szCs w:val="21"/>
        </w:rPr>
      </w:pPr>
      <w:r>
        <w:rPr>
          <w:rFonts w:hint="eastAsia" w:ascii="宋体" w:hAnsi="宋体"/>
          <w:szCs w:val="21"/>
        </w:rPr>
        <w:t>一、谈判承诺书</w:t>
      </w:r>
    </w:p>
    <w:p>
      <w:pPr>
        <w:adjustRightInd w:val="0"/>
        <w:snapToGrid w:val="0"/>
        <w:spacing w:line="360" w:lineRule="auto"/>
        <w:jc w:val="left"/>
        <w:rPr>
          <w:rFonts w:ascii="宋体" w:hAnsi="宋体"/>
          <w:szCs w:val="21"/>
        </w:rPr>
      </w:pPr>
      <w:r>
        <w:rPr>
          <w:rFonts w:hint="eastAsia" w:ascii="宋体" w:hAnsi="宋体"/>
          <w:szCs w:val="21"/>
        </w:rPr>
        <w:t>二、法定代表人身份证明书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hAnsi="宋体"/>
          <w:szCs w:val="21"/>
        </w:rPr>
      </w:pPr>
      <w:r>
        <w:rPr>
          <w:rFonts w:hint="eastAsia" w:ascii="宋体" w:hAnsi="宋体"/>
          <w:szCs w:val="21"/>
        </w:rPr>
        <w:t>四、</w:t>
      </w:r>
      <w:r>
        <w:rPr>
          <w:rFonts w:hint="eastAsia" w:hAnsi="宋体"/>
          <w:szCs w:val="21"/>
        </w:rPr>
        <w:t>谈判单位资格条件证明文件</w:t>
      </w:r>
    </w:p>
    <w:p>
      <w:pPr>
        <w:adjustRightInd w:val="0"/>
        <w:snapToGrid w:val="0"/>
        <w:spacing w:line="360" w:lineRule="auto"/>
        <w:rPr>
          <w:rFonts w:ascii="宋体" w:hAnsi="宋体"/>
          <w:szCs w:val="21"/>
        </w:rPr>
      </w:pPr>
      <w:r>
        <w:rPr>
          <w:rFonts w:hint="eastAsia" w:ascii="宋体" w:hAnsi="宋体"/>
          <w:szCs w:val="21"/>
          <w:lang w:val="en-US" w:eastAsia="zh-CN"/>
        </w:rPr>
        <w:t>五</w:t>
      </w:r>
      <w:r>
        <w:rPr>
          <w:rFonts w:hint="eastAsia" w:ascii="宋体" w:hAnsi="宋体"/>
          <w:szCs w:val="21"/>
        </w:rPr>
        <w:t>、</w:t>
      </w:r>
      <w:r>
        <w:rPr>
          <w:rFonts w:hint="eastAsia" w:hAnsi="宋体"/>
          <w:bCs/>
          <w:szCs w:val="21"/>
        </w:rPr>
        <w:t>服务方案（如有）</w:t>
      </w:r>
    </w:p>
    <w:p>
      <w:pPr>
        <w:adjustRightInd w:val="0"/>
        <w:snapToGrid w:val="0"/>
        <w:spacing w:line="360" w:lineRule="auto"/>
        <w:rPr>
          <w:rFonts w:ascii="宋体" w:hAnsi="宋体"/>
          <w:szCs w:val="21"/>
        </w:rPr>
      </w:pPr>
      <w:r>
        <w:rPr>
          <w:rFonts w:hint="eastAsia" w:ascii="宋体" w:hAnsi="宋体"/>
          <w:szCs w:val="21"/>
          <w:lang w:val="en-US" w:eastAsia="zh-CN"/>
        </w:rPr>
        <w:t>六</w:t>
      </w:r>
      <w:r>
        <w:rPr>
          <w:rFonts w:hint="eastAsia" w:ascii="宋体" w:hAnsi="宋体"/>
          <w:szCs w:val="21"/>
        </w:rPr>
        <w:t>、报价一览表</w:t>
      </w:r>
    </w:p>
    <w:p>
      <w:pPr>
        <w:adjustRightInd w:val="0"/>
        <w:snapToGrid w:val="0"/>
        <w:spacing w:line="360" w:lineRule="auto"/>
        <w:jc w:val="left"/>
        <w:rPr>
          <w:rFonts w:ascii="宋体" w:hAnsi="宋体"/>
          <w:szCs w:val="21"/>
        </w:rPr>
      </w:pPr>
      <w:r>
        <w:rPr>
          <w:rFonts w:hint="eastAsia" w:ascii="宋体" w:hAnsi="宋体"/>
          <w:szCs w:val="21"/>
          <w:lang w:val="en-US" w:eastAsia="zh-CN"/>
        </w:rPr>
        <w:t>七</w:t>
      </w:r>
      <w:r>
        <w:rPr>
          <w:rFonts w:hint="eastAsia" w:ascii="宋体" w:hAnsi="宋体"/>
          <w:szCs w:val="21"/>
        </w:rPr>
        <w:t>、分项价格表</w:t>
      </w:r>
    </w:p>
    <w:p>
      <w:pPr>
        <w:adjustRightInd w:val="0"/>
        <w:snapToGrid w:val="0"/>
        <w:spacing w:line="360" w:lineRule="auto"/>
        <w:rPr>
          <w:rFonts w:ascii="宋体" w:hAnsi="宋体"/>
          <w:szCs w:val="21"/>
        </w:rPr>
      </w:pPr>
      <w:r>
        <w:rPr>
          <w:rFonts w:hint="eastAsia" w:ascii="宋体" w:hAnsi="宋体"/>
          <w:szCs w:val="21"/>
          <w:lang w:val="en-US" w:eastAsia="zh-CN"/>
        </w:rPr>
        <w:t>八</w:t>
      </w:r>
      <w:r>
        <w:rPr>
          <w:rFonts w:hint="eastAsia" w:ascii="宋体" w:hAnsi="宋体"/>
          <w:szCs w:val="21"/>
        </w:rPr>
        <w:t>、其他资料（如有）</w:t>
      </w:r>
    </w:p>
    <w:p>
      <w:pPr>
        <w:ind w:firstLine="480" w:firstLineChars="200"/>
        <w:jc w:val="center"/>
        <w:outlineLvl w:val="1"/>
        <w:rPr>
          <w:rFonts w:ascii="黑体" w:hAnsi="黑体" w:eastAsia="黑体"/>
          <w:b/>
          <w:sz w:val="32"/>
          <w:szCs w:val="32"/>
        </w:rPr>
      </w:pPr>
      <w:r>
        <w:rPr>
          <w:rFonts w:hint="eastAsia" w:ascii="宋体" w:hAnsi="宋体"/>
          <w:sz w:val="24"/>
        </w:rPr>
        <w:br w:type="page"/>
      </w:r>
      <w:bookmarkStart w:id="215" w:name="_Toc32569"/>
      <w:bookmarkStart w:id="216" w:name="_Toc32600"/>
      <w:bookmarkStart w:id="217" w:name="_Toc14530"/>
      <w:bookmarkStart w:id="218" w:name="_Toc7657"/>
      <w:bookmarkStart w:id="219" w:name="_Toc17721"/>
      <w:r>
        <w:rPr>
          <w:rFonts w:hint="eastAsia" w:ascii="宋体" w:hAnsi="宋体" w:cs="宋体"/>
          <w:b/>
          <w:sz w:val="32"/>
          <w:szCs w:val="32"/>
        </w:rPr>
        <w:t>一、谈判承诺书</w:t>
      </w:r>
      <w:bookmarkEnd w:id="215"/>
      <w:bookmarkEnd w:id="216"/>
      <w:bookmarkEnd w:id="217"/>
      <w:bookmarkEnd w:id="218"/>
      <w:bookmarkEnd w:id="219"/>
    </w:p>
    <w:p>
      <w:pPr>
        <w:adjustRightInd w:val="0"/>
        <w:snapToGrid w:val="0"/>
        <w:spacing w:line="360" w:lineRule="auto"/>
        <w:rPr>
          <w:rFonts w:ascii="仿宋_GB2312" w:hAnsi="宋体" w:eastAsia="仿宋_GB2312"/>
          <w:szCs w:val="21"/>
        </w:rPr>
      </w:pPr>
    </w:p>
    <w:p>
      <w:pPr>
        <w:adjustRightInd w:val="0"/>
        <w:snapToGrid w:val="0"/>
        <w:spacing w:line="360" w:lineRule="auto"/>
        <w:rPr>
          <w:rFonts w:ascii="宋体" w:hAnsi="宋体"/>
          <w:szCs w:val="21"/>
        </w:rPr>
      </w:pPr>
      <w:r>
        <w:rPr>
          <w:rFonts w:hint="eastAsia" w:ascii="宋体" w:hAnsi="宋体"/>
          <w:szCs w:val="21"/>
        </w:rPr>
        <w:t>致(采购单位)：</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Fonts w:hint="eastAsia" w:ascii="宋体" w:hAnsi="宋体"/>
          <w:szCs w:val="21"/>
          <w:u w:val="single"/>
        </w:rPr>
        <w:t xml:space="preserve">     (项目名称)        </w:t>
      </w:r>
      <w:r>
        <w:rPr>
          <w:rFonts w:hint="eastAsia" w:ascii="宋体" w:hAnsi="宋体"/>
          <w:szCs w:val="21"/>
        </w:rPr>
        <w:t>的竞争性谈判文件（谈判项目编号：</w:t>
      </w:r>
      <w:r>
        <w:rPr>
          <w:rFonts w:hint="eastAsia" w:ascii="宋体" w:hAnsi="宋体"/>
          <w:szCs w:val="21"/>
          <w:u w:val="single"/>
        </w:rPr>
        <w:t xml:space="preserve">         </w:t>
      </w:r>
      <w:r>
        <w:rPr>
          <w:rFonts w:hint="eastAsia" w:ascii="宋体" w:hAnsi="宋体"/>
          <w:szCs w:val="21"/>
        </w:rPr>
        <w:t>）的全部内容，</w:t>
      </w:r>
      <w:r>
        <w:rPr>
          <w:rFonts w:hint="eastAsia" w:hAnsi="宋体"/>
          <w:szCs w:val="21"/>
        </w:rPr>
        <w:t>知悉参加竞争性谈判的风险，我方承诺接受谈判文件的全部条款且无任何异议。</w:t>
      </w:r>
    </w:p>
    <w:p>
      <w:pPr>
        <w:pStyle w:val="25"/>
        <w:adjustRightInd w:val="0"/>
        <w:snapToGrid w:val="0"/>
        <w:spacing w:line="360" w:lineRule="auto"/>
        <w:ind w:firstLine="420" w:firstLineChars="200"/>
        <w:rPr>
          <w:rFonts w:hAnsi="宋体"/>
        </w:rPr>
      </w:pPr>
      <w:r>
        <w:rPr>
          <w:rFonts w:hint="eastAsia" w:hAnsi="宋体"/>
        </w:rPr>
        <w:t>一、</w:t>
      </w:r>
      <w:r>
        <w:rPr>
          <w:rFonts w:hint="eastAsia"/>
        </w:rPr>
        <w:t>参与本项目竞争性谈判活动系本公司自愿行为。</w:t>
      </w:r>
    </w:p>
    <w:p>
      <w:pPr>
        <w:pStyle w:val="25"/>
        <w:adjustRightInd w:val="0"/>
        <w:snapToGrid w:val="0"/>
        <w:spacing w:line="360" w:lineRule="auto"/>
        <w:ind w:firstLine="420" w:firstLineChars="200"/>
        <w:rPr>
          <w:rFonts w:hAnsi="宋体"/>
        </w:rPr>
      </w:pPr>
      <w:r>
        <w:rPr>
          <w:rFonts w:hint="eastAsia" w:hAnsi="宋体"/>
        </w:rPr>
        <w:t>二、我方同意在谈判文件中规定的提交响应文件截止时间起</w:t>
      </w:r>
      <w:r>
        <w:rPr>
          <w:rFonts w:hint="eastAsia" w:hAnsi="宋体"/>
          <w:u w:val="single"/>
        </w:rPr>
        <w:t>180</w:t>
      </w:r>
      <w:r>
        <w:rPr>
          <w:rFonts w:hint="eastAsia" w:hAnsi="宋体"/>
        </w:rPr>
        <w:t>日历天内(响应文件有效期)遵守本响应文件中的承诺且在此期限期满之前均具有法律约束力。</w:t>
      </w:r>
    </w:p>
    <w:p>
      <w:pPr>
        <w:pStyle w:val="25"/>
        <w:adjustRightInd w:val="0"/>
        <w:snapToGrid w:val="0"/>
        <w:spacing w:line="360" w:lineRule="auto"/>
        <w:ind w:firstLine="420" w:firstLineChars="200"/>
        <w:rPr>
          <w:rFonts w:hAnsi="宋体"/>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p>
    <w:p>
      <w:pPr>
        <w:pStyle w:val="25"/>
        <w:adjustRightInd w:val="0"/>
        <w:snapToGrid w:val="0"/>
        <w:spacing w:line="360" w:lineRule="auto"/>
        <w:rPr>
          <w:rFonts w:hAnsi="宋体"/>
          <w:bCs/>
        </w:rPr>
      </w:pPr>
      <w:r>
        <w:rPr>
          <w:rFonts w:hint="eastAsia" w:hAnsi="宋体"/>
          <w:u w:val="single"/>
        </w:rPr>
        <w:t xml:space="preserve">   </w:t>
      </w:r>
      <w:r>
        <w:rPr>
          <w:rFonts w:hint="eastAsia" w:hAnsi="宋体"/>
        </w:rPr>
        <w:t>份，并保证响应文件提供的数据和材料是真实、准确的，</w:t>
      </w:r>
      <w:r>
        <w:rPr>
          <w:rFonts w:hint="eastAsia" w:hAnsi="宋体"/>
          <w:b/>
          <w:bCs/>
        </w:rPr>
        <w:t>均无复制、粘贴之情形</w:t>
      </w:r>
      <w:r>
        <w:rPr>
          <w:rFonts w:hint="eastAsia" w:hAnsi="宋体"/>
          <w:b/>
          <w:bCs/>
          <w:color w:val="7030A0"/>
        </w:rPr>
        <w:t>，</w:t>
      </w:r>
      <w:r>
        <w:rPr>
          <w:rFonts w:hint="eastAsia" w:hAnsi="宋体"/>
        </w:rPr>
        <w:t>且无低于成本的恶意报价行为。否则，愿承担由此引起的一切</w:t>
      </w:r>
      <w:r>
        <w:rPr>
          <w:rFonts w:hint="eastAsia" w:hAnsi="宋体"/>
          <w:bCs/>
        </w:rPr>
        <w:t>法律责任。</w:t>
      </w:r>
    </w:p>
    <w:p>
      <w:pPr>
        <w:pStyle w:val="25"/>
        <w:adjustRightInd w:val="0"/>
        <w:snapToGrid w:val="0"/>
        <w:spacing w:line="360" w:lineRule="auto"/>
        <w:ind w:firstLine="420" w:firstLineChars="200"/>
        <w:rPr>
          <w:rFonts w:hAnsi="宋体"/>
        </w:rPr>
      </w:pPr>
      <w:r>
        <w:rPr>
          <w:rFonts w:hint="eastAsia" w:hAnsi="宋体"/>
        </w:rPr>
        <w:t>四、</w:t>
      </w:r>
      <w:r>
        <w:rPr>
          <w:rFonts w:hint="eastAsia"/>
        </w:rPr>
        <w:t>遵守贵司各项管理制度和谈判现场纪律，服从现场工作人员管理，自觉维护贵司谈判活动秩序。</w:t>
      </w:r>
    </w:p>
    <w:p>
      <w:pPr>
        <w:pStyle w:val="25"/>
        <w:adjustRightInd w:val="0"/>
        <w:snapToGrid w:val="0"/>
        <w:spacing w:line="360" w:lineRule="auto"/>
        <w:ind w:firstLine="420" w:firstLineChars="200"/>
      </w:pPr>
      <w:r>
        <w:rPr>
          <w:rFonts w:hint="eastAsia" w:hAnsi="宋体"/>
        </w:rPr>
        <w:t>五、</w:t>
      </w:r>
      <w:r>
        <w:rPr>
          <w:rFonts w:hint="eastAsia"/>
        </w:rPr>
        <w:t>保证没有组织、参与围标、串标行为。</w:t>
      </w:r>
    </w:p>
    <w:p>
      <w:pPr>
        <w:pStyle w:val="25"/>
        <w:adjustRightInd w:val="0"/>
        <w:snapToGrid w:val="0"/>
        <w:spacing w:line="360" w:lineRule="auto"/>
        <w:ind w:firstLine="420" w:firstLineChars="200"/>
      </w:pPr>
      <w:r>
        <w:rPr>
          <w:rFonts w:hint="eastAsia"/>
        </w:rPr>
        <w:t>六、不与采购单位或采购代理机构或谈判评审小组成员私下联络和串通以牟取中选；不以他人名义参与谈判或者以其他方式弄虚作假骗取中选；不在谈判结束后进行虚假、恶意质疑和投诉。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rPr>
      </w:pPr>
      <w:r>
        <w:rPr>
          <w:rFonts w:hint="eastAsia"/>
        </w:rPr>
        <w:t>七、</w:t>
      </w:r>
      <w:r>
        <w:rPr>
          <w:rFonts w:hint="eastAsia" w:hAnsi="宋体"/>
        </w:rPr>
        <w:t>我方承诺，若贵方需要，我方愿意提供任何与本次谈判有关的数据、情况和技术资料。</w:t>
      </w:r>
    </w:p>
    <w:p>
      <w:pPr>
        <w:pStyle w:val="25"/>
        <w:adjustRightInd w:val="0"/>
        <w:snapToGrid w:val="0"/>
        <w:spacing w:line="360" w:lineRule="auto"/>
        <w:ind w:firstLine="420" w:firstLineChars="200"/>
        <w:rPr>
          <w:rFonts w:hAnsi="宋体"/>
        </w:rPr>
      </w:pPr>
      <w:r>
        <w:rPr>
          <w:rFonts w:hint="eastAsia" w:hAnsi="宋体"/>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rPr>
      </w:pPr>
      <w:r>
        <w:rPr>
          <w:rFonts w:hint="eastAsia" w:hAnsi="宋体"/>
        </w:rPr>
        <w:t>九、我方承诺在参与本次竞争性谈判过程中，若出现本文件第一章</w:t>
      </w:r>
      <w:r>
        <w:rPr>
          <w:rFonts w:hint="eastAsia" w:hAnsi="宋体"/>
          <w:b/>
        </w:rPr>
        <w:t>谈判须知正文</w:t>
      </w:r>
      <w:r>
        <w:rPr>
          <w:rFonts w:hint="eastAsia" w:hAnsi="宋体"/>
        </w:rPr>
        <w:t>第26条规定之情形，我方无条件接受条款规定作出的处罚。</w:t>
      </w:r>
    </w:p>
    <w:p>
      <w:pPr>
        <w:pStyle w:val="25"/>
        <w:adjustRightInd w:val="0"/>
        <w:snapToGrid w:val="0"/>
        <w:spacing w:line="360" w:lineRule="auto"/>
        <w:ind w:firstLine="420" w:firstLineChars="200"/>
      </w:pPr>
      <w:r>
        <w:rPr>
          <w:rFonts w:hint="eastAsia" w:hAnsi="宋体"/>
        </w:rPr>
        <w:t>十、我方承诺完全响应本文件第四章“用户需求书”及第五章“合同格式条款”内的全部内容。</w:t>
      </w:r>
    </w:p>
    <w:p>
      <w:pPr>
        <w:ind w:firstLine="420" w:firstLineChars="200"/>
        <w:rPr>
          <w:rFonts w:hAnsi="宋体"/>
          <w:szCs w:val="21"/>
        </w:rPr>
      </w:pPr>
      <w:r>
        <w:rPr>
          <w:rFonts w:hint="eastAsia"/>
          <w:szCs w:val="21"/>
        </w:rPr>
        <w:t>十一、如有违反本承诺书内容的行为，愿意承担由此产生的法律责任及后果。</w:t>
      </w:r>
    </w:p>
    <w:p>
      <w:pPr>
        <w:adjustRightInd w:val="0"/>
        <w:snapToGrid w:val="0"/>
        <w:spacing w:line="360" w:lineRule="auto"/>
        <w:ind w:right="24"/>
        <w:rPr>
          <w:rFonts w:ascii="宋体" w:hAnsi="宋体"/>
          <w:bCs/>
          <w:szCs w:val="21"/>
        </w:rPr>
      </w:pPr>
    </w:p>
    <w:p>
      <w:pPr>
        <w:pStyle w:val="25"/>
        <w:adjustRightInd w:val="0"/>
        <w:snapToGrid w:val="0"/>
        <w:spacing w:line="360" w:lineRule="auto"/>
        <w:rPr>
          <w:rFonts w:hAnsi="宋体"/>
        </w:rPr>
      </w:pPr>
    </w:p>
    <w:p>
      <w:pPr>
        <w:pStyle w:val="25"/>
        <w:adjustRightInd w:val="0"/>
        <w:snapToGrid w:val="0"/>
        <w:spacing w:line="360" w:lineRule="auto"/>
        <w:rPr>
          <w:rFonts w:hAnsi="宋体"/>
        </w:rPr>
      </w:pPr>
    </w:p>
    <w:p>
      <w:pPr>
        <w:spacing w:line="360" w:lineRule="auto"/>
        <w:rPr>
          <w:szCs w:val="21"/>
          <w:u w:val="single"/>
        </w:rPr>
      </w:pPr>
      <w:r>
        <w:rPr>
          <w:rFonts w:hint="eastAsia"/>
          <w:szCs w:val="21"/>
        </w:rPr>
        <w:t>谈判单位名称：</w:t>
      </w:r>
      <w:r>
        <w:rPr>
          <w:rFonts w:hint="eastAsia"/>
          <w:szCs w:val="21"/>
          <w:u w:val="single"/>
        </w:rPr>
        <w:t xml:space="preserve">    （盖单位章）    </w:t>
      </w:r>
    </w:p>
    <w:p>
      <w:pPr>
        <w:spacing w:line="360" w:lineRule="auto"/>
        <w:rPr>
          <w:rFonts w:ascii="宋体" w:hAnsi="宋体"/>
          <w:szCs w:val="21"/>
        </w:rPr>
      </w:pPr>
      <w:r>
        <w:rPr>
          <w:rFonts w:hint="eastAsia" w:ascii="宋体" w:hAnsi="宋体"/>
          <w:szCs w:val="21"/>
        </w:rPr>
        <w:t>法定</w:t>
      </w:r>
      <w:r>
        <w:rPr>
          <w:rFonts w:hint="eastAsia"/>
          <w:szCs w:val="21"/>
        </w:rPr>
        <w:t>代表</w:t>
      </w:r>
      <w:r>
        <w:rPr>
          <w:rFonts w:hint="eastAsia" w:ascii="宋体" w:hAnsi="宋体"/>
          <w:szCs w:val="21"/>
        </w:rPr>
        <w:t>人(签字或盖章)：</w:t>
      </w:r>
      <w:r>
        <w:rPr>
          <w:rFonts w:hint="eastAsia" w:ascii="宋体" w:hAnsi="宋体"/>
          <w:szCs w:val="21"/>
          <w:u w:val="single"/>
        </w:rPr>
        <w:t xml:space="preserve">               </w:t>
      </w:r>
    </w:p>
    <w:p>
      <w:pPr>
        <w:spacing w:line="360" w:lineRule="auto"/>
        <w:rPr>
          <w:rFonts w:ascii="宋体"/>
          <w:szCs w:val="21"/>
        </w:rPr>
      </w:pPr>
      <w:r>
        <w:rPr>
          <w:rFonts w:hint="eastAsia"/>
          <w:szCs w:val="21"/>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ascii="黑体" w:hAnsi="华文中宋" w:eastAsia="黑体"/>
          <w:bCs/>
          <w:szCs w:val="21"/>
        </w:rPr>
      </w:pPr>
    </w:p>
    <w:p>
      <w:pPr>
        <w:adjustRightInd w:val="0"/>
        <w:snapToGrid w:val="0"/>
        <w:spacing w:line="360" w:lineRule="auto"/>
        <w:ind w:right="24"/>
        <w:rPr>
          <w:rFonts w:ascii="黑体" w:hAnsi="华文中宋" w:eastAsia="黑体"/>
          <w:bCs/>
          <w:sz w:val="28"/>
          <w:szCs w:val="28"/>
        </w:rPr>
      </w:pPr>
    </w:p>
    <w:p>
      <w:pPr>
        <w:adjustRightInd w:val="0"/>
        <w:snapToGrid w:val="0"/>
        <w:spacing w:line="360" w:lineRule="auto"/>
        <w:ind w:right="24"/>
        <w:jc w:val="center"/>
        <w:outlineLvl w:val="1"/>
        <w:rPr>
          <w:rFonts w:ascii="宋体" w:hAnsi="宋体" w:cs="宋体"/>
          <w:b/>
          <w:sz w:val="32"/>
          <w:szCs w:val="32"/>
        </w:rPr>
      </w:pPr>
      <w:bookmarkStart w:id="220" w:name="_Toc10496"/>
      <w:bookmarkStart w:id="221" w:name="_Toc31277"/>
      <w:bookmarkStart w:id="222" w:name="_Toc1313"/>
      <w:bookmarkStart w:id="223" w:name="_Toc10467"/>
      <w:bookmarkStart w:id="224" w:name="_Toc3026"/>
      <w:r>
        <w:rPr>
          <w:rFonts w:hint="eastAsia" w:ascii="宋体" w:hAnsi="宋体" w:cs="宋体"/>
          <w:b/>
          <w:sz w:val="32"/>
          <w:szCs w:val="32"/>
        </w:rPr>
        <w:t>二、法定代表人身份证明书</w:t>
      </w:r>
      <w:bookmarkEnd w:id="220"/>
      <w:bookmarkEnd w:id="221"/>
      <w:bookmarkEnd w:id="222"/>
      <w:bookmarkEnd w:id="223"/>
      <w:bookmarkEnd w:id="224"/>
    </w:p>
    <w:p>
      <w:pPr>
        <w:snapToGrid w:val="0"/>
        <w:spacing w:line="480" w:lineRule="auto"/>
        <w:rPr>
          <w:rFonts w:ascii="宋体" w:hAnsi="宋体"/>
          <w:szCs w:val="21"/>
        </w:rPr>
      </w:pP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szCs w:val="21"/>
        </w:rPr>
      </w:pPr>
      <w:r>
        <w:rPr>
          <w:rFonts w:ascii="宋体" w:hAnsi="宋体"/>
          <w:szCs w:val="21"/>
        </w:rPr>
        <mc:AlternateContent>
          <mc:Choice Requires="wps">
            <w:drawing>
              <wp:anchor distT="0" distB="0" distL="114300" distR="114300" simplePos="0" relativeHeight="251664384"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4pt;margin-top:10.65pt;height:96.15pt;width:185.5pt;z-index:-251652096;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Bu9wfU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G73B9R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szCs w:val="21"/>
        </w:rPr>
        <mc:AlternateContent>
          <mc:Choice Requires="wps">
            <w:drawing>
              <wp:anchor distT="0" distB="0" distL="114300" distR="114300" simplePos="0" relativeHeight="251662336"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4144;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b/>
          <w:szCs w:val="21"/>
        </w:rPr>
      </w:pPr>
      <w:r>
        <w:rPr>
          <w:rFonts w:ascii="宋体" w:hAnsi="宋体"/>
          <w:szCs w:val="21"/>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663360;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c5UPj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UhRWjYAAAACgEAAA8AAAAAAAAAAQAgAAAA&#10;IgAAAGRycy9kb3ducmV2LnhtbFBLAQIUABQAAAAIAIdO4kBzlQ+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备注：上述证件复印件可另附页，另附页时，证件复印件均须加盖单位公章。</w:t>
      </w: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spacing w:line="360" w:lineRule="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32"/>
          <w:szCs w:val="32"/>
        </w:rPr>
      </w:pPr>
      <w:r>
        <w:rPr>
          <w:rFonts w:ascii="黑体" w:hAnsi="华文中宋" w:eastAsia="黑体"/>
          <w:bCs/>
          <w:sz w:val="24"/>
        </w:rPr>
        <w:br w:type="page"/>
      </w:r>
      <w:bookmarkStart w:id="225" w:name="_Toc14170"/>
      <w:bookmarkStart w:id="226" w:name="_Toc27642"/>
      <w:bookmarkStart w:id="227" w:name="_Toc29253"/>
      <w:bookmarkStart w:id="228" w:name="_Toc21066"/>
      <w:bookmarkStart w:id="229" w:name="_Toc761"/>
      <w:r>
        <w:rPr>
          <w:rFonts w:hint="eastAsia" w:ascii="宋体" w:hAnsi="宋体" w:cs="宋体"/>
          <w:b/>
          <w:sz w:val="32"/>
          <w:szCs w:val="32"/>
        </w:rPr>
        <w:t>三、授权委托书</w:t>
      </w:r>
      <w:bookmarkEnd w:id="225"/>
      <w:bookmarkEnd w:id="226"/>
      <w:bookmarkEnd w:id="227"/>
      <w:bookmarkEnd w:id="228"/>
      <w:bookmarkEnd w:id="229"/>
    </w:p>
    <w:p>
      <w:pPr>
        <w:adjustRightInd w:val="0"/>
        <w:snapToGrid w:val="0"/>
        <w:spacing w:line="360" w:lineRule="auto"/>
        <w:jc w:val="center"/>
        <w:rPr>
          <w:rFonts w:ascii="黑体" w:hAnsi="华文中宋" w:eastAsia="黑体"/>
          <w:b/>
          <w:sz w:val="28"/>
          <w:szCs w:val="28"/>
        </w:rPr>
      </w:pPr>
    </w:p>
    <w:p>
      <w:pPr>
        <w:autoSpaceDE w:val="0"/>
        <w:autoSpaceDN w:val="0"/>
        <w:adjustRightInd w:val="0"/>
        <w:snapToGrid w:val="0"/>
        <w:spacing w:before="120"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pStyle w:val="2"/>
      </w:pP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szCs w:val="21"/>
        </w:rPr>
      </w:pPr>
      <w:r>
        <w:rPr>
          <w:rFonts w:ascii="宋体" w:hAnsi="宋体"/>
          <w:szCs w:val="21"/>
        </w:rPr>
        <mc:AlternateContent>
          <mc:Choice Requires="wps">
            <w:drawing>
              <wp:anchor distT="0" distB="0" distL="114300" distR="114300" simplePos="0" relativeHeight="251659264" behindDoc="1" locked="0" layoutInCell="1" allowOverlap="1">
                <wp:simplePos x="0" y="0"/>
                <wp:positionH relativeFrom="column">
                  <wp:posOffset>-121920</wp:posOffset>
                </wp:positionH>
                <wp:positionV relativeFrom="paragraph">
                  <wp:posOffset>293370</wp:posOffset>
                </wp:positionV>
                <wp:extent cx="1343025" cy="1221105"/>
                <wp:effectExtent l="0" t="0" r="28575" b="17145"/>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9.6pt;margin-top:23.1pt;height:96.15pt;width:105.75pt;z-index:-251657216;mso-width-relative:page;mso-height-relative:page;" fillcolor="#FFFFFF" filled="t" stroked="t" coordsize="21600,21600" o:gfxdata="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u70rZAAAACgEAAA8AAAAAAAAAAQAgAAAA&#10;IgAAAGRycy9kb3ducmV2LnhtbFBLAQIUABQAAAAIAIdO4kAEB7jXQwIAAJQEAAAOAAAAAAAAAAEA&#10;IAAAACg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360" w:lineRule="auto"/>
        <w:ind w:firstLine="435"/>
        <w:rPr>
          <w:rFonts w:ascii="宋体" w:hAnsi="宋体"/>
          <w:szCs w:val="21"/>
        </w:rPr>
      </w:pPr>
      <w:r>
        <w:rPr>
          <w:rFonts w:ascii="宋体" w:hAnsi="宋体"/>
          <w:szCs w:val="21"/>
        </w:rPr>
        <mc:AlternateContent>
          <mc:Choice Requires="wps">
            <w:drawing>
              <wp:anchor distT="0" distB="0" distL="114300" distR="114300" simplePos="0" relativeHeight="251662336" behindDoc="0" locked="0" layoutInCell="1" allowOverlap="1">
                <wp:simplePos x="0" y="0"/>
                <wp:positionH relativeFrom="column">
                  <wp:posOffset>3573780</wp:posOffset>
                </wp:positionH>
                <wp:positionV relativeFrom="paragraph">
                  <wp:posOffset>43180</wp:posOffset>
                </wp:positionV>
                <wp:extent cx="1343025" cy="1221105"/>
                <wp:effectExtent l="0" t="0" r="28575" b="17145"/>
                <wp:wrapNone/>
                <wp:docPr id="9" name="矩形 4"/>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81.4pt;margin-top:3.4pt;height:96.15pt;width:105.75pt;z-index:251662336;mso-width-relative:page;mso-height-relative:page;" fillcolor="#FFFFFF" filled="t" stroked="t" coordsize="21600,21600" o:gfxdata="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xih942AAAAAkBAAAPAAAAAAAAAAEAIAAAACIA&#10;AABkcnMvZG93bnJldi54bWxQSwECFAAUAAAACACHTuJAnKMqzEICAACUBAAADgAAAAAAAAABACAA&#10;AAAnAQAAZHJzL2Uyb0RvYy54bWxQSwUGAAAAAAYABgBZAQAA2w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r>
        <w:rPr>
          <w:rFonts w:ascii="宋体" w:hAnsi="宋体"/>
          <w:szCs w:val="21"/>
        </w:rPr>
        <mc:AlternateContent>
          <mc:Choice Requires="wps">
            <w:drawing>
              <wp:anchor distT="0" distB="0" distL="114300" distR="114300" simplePos="0" relativeHeight="251660288" behindDoc="1" locked="0" layoutInCell="1" allowOverlap="1">
                <wp:simplePos x="0" y="0"/>
                <wp:positionH relativeFrom="column">
                  <wp:posOffset>1697355</wp:posOffset>
                </wp:positionH>
                <wp:positionV relativeFrom="paragraph">
                  <wp:posOffset>33655</wp:posOffset>
                </wp:positionV>
                <wp:extent cx="1266825" cy="1221105"/>
                <wp:effectExtent l="0" t="0" r="28575" b="17145"/>
                <wp:wrapNone/>
                <wp:docPr id="7" name="矩形 4"/>
                <wp:cNvGraphicFramePr/>
                <a:graphic xmlns:a="http://schemas.openxmlformats.org/drawingml/2006/main">
                  <a:graphicData uri="http://schemas.microsoft.com/office/word/2010/wordprocessingShape">
                    <wps:wsp>
                      <wps:cNvSpPr>
                        <a:spLocks noChangeArrowheads="1"/>
                      </wps:cNvSpPr>
                      <wps:spPr bwMode="auto">
                        <a:xfrm>
                          <a:off x="0" y="0"/>
                          <a:ext cx="12668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133.65pt;margin-top:2.65pt;height:96.15pt;width:99.75pt;z-index:-251656192;mso-width-relative:page;mso-height-relative:page;" fillcolor="#FFFFFF" filled="t" stroked="t" coordsize="21600,21600" o:gfxdata="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mfLd9gAAAAJAQAADwAAAAAAAAABACAAAAAi&#10;AAAAZHJzL2Rvd25yZXYueG1sUEsBAhQAFAAAAAgAh07iQI9hRi9DAgAAlAQAAA4AAAAAAAAAAQAg&#10;AAAAJw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mc:Fallback>
        </mc:AlternateContent>
      </w: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spacing w:line="360" w:lineRule="auto"/>
        <w:rPr>
          <w:rFonts w:ascii="宋体" w:hAnsi="宋体"/>
          <w:szCs w:val="21"/>
        </w:rPr>
        <w:sectPr>
          <w:pgSz w:w="11906" w:h="16838"/>
          <w:pgMar w:top="1440" w:right="1797" w:bottom="1440" w:left="1797" w:header="851" w:footer="851" w:gutter="0"/>
          <w:cols w:space="720" w:num="1"/>
          <w:docGrid w:linePitch="312"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宋体" w:hAnsi="宋体" w:cs="宋体"/>
          <w:b/>
          <w:sz w:val="32"/>
          <w:szCs w:val="32"/>
        </w:rPr>
      </w:pPr>
      <w:bookmarkStart w:id="230" w:name="_Toc2295"/>
      <w:bookmarkStart w:id="231" w:name="_Toc11357"/>
      <w:bookmarkStart w:id="232" w:name="_Toc18944"/>
      <w:bookmarkStart w:id="233" w:name="_Toc1257"/>
      <w:bookmarkStart w:id="234" w:name="_Toc8191"/>
      <w:r>
        <w:rPr>
          <w:rFonts w:hint="eastAsia" w:ascii="宋体" w:hAnsi="宋体" w:cs="宋体"/>
          <w:b/>
          <w:sz w:val="32"/>
          <w:szCs w:val="32"/>
        </w:rPr>
        <w:t>四、谈判单位资格证明文件</w:t>
      </w:r>
      <w:bookmarkEnd w:id="230"/>
      <w:bookmarkEnd w:id="231"/>
      <w:bookmarkEnd w:id="232"/>
      <w:bookmarkEnd w:id="233"/>
      <w:bookmarkEnd w:id="234"/>
    </w:p>
    <w:p>
      <w:pPr>
        <w:adjustRightInd w:val="0"/>
        <w:snapToGrid w:val="0"/>
        <w:spacing w:line="360" w:lineRule="auto"/>
        <w:rPr>
          <w:rFonts w:ascii="仿宋" w:hAnsi="仿宋" w:eastAsia="仿宋"/>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内的资格要求，本章节须附下列证明文件复印件：</w:t>
      </w:r>
    </w:p>
    <w:p>
      <w:pPr>
        <w:spacing w:line="360" w:lineRule="auto"/>
        <w:ind w:firstLine="420" w:firstLineChars="200"/>
        <w:jc w:val="left"/>
        <w:rPr>
          <w:rFonts w:ascii="宋体" w:hAnsi="宋体" w:cs="宋体"/>
        </w:rPr>
      </w:pPr>
      <w:r>
        <w:rPr>
          <w:rFonts w:hint="eastAsia" w:ascii="宋体" w:hAnsi="宋体" w:cs="宋体"/>
          <w:bCs/>
        </w:rPr>
        <w:t>1.</w:t>
      </w:r>
      <w:r>
        <w:rPr>
          <w:rFonts w:hint="eastAsia" w:ascii="宋体" w:hAnsi="宋体" w:cs="宋体"/>
          <w:szCs w:val="21"/>
          <w:lang w:eastAsia="zh-CN"/>
        </w:rPr>
        <w:t>须提供</w:t>
      </w:r>
      <w:r>
        <w:rPr>
          <w:rFonts w:hint="eastAsia" w:ascii="宋体" w:hAnsi="宋体" w:cs="宋体"/>
          <w:szCs w:val="21"/>
        </w:rPr>
        <w:t>营业执照</w:t>
      </w:r>
      <w:r>
        <w:rPr>
          <w:rFonts w:hint="eastAsia" w:ascii="宋体" w:hAnsi="宋体" w:cs="宋体"/>
        </w:rPr>
        <w:t>。</w:t>
      </w:r>
    </w:p>
    <w:p>
      <w:pPr>
        <w:widowControl/>
        <w:spacing w:line="360" w:lineRule="auto"/>
        <w:ind w:firstLine="420" w:firstLineChars="200"/>
        <w:rPr>
          <w:rFonts w:hint="eastAsia" w:ascii="宋体" w:hAnsi="宋体" w:cs="宋体"/>
        </w:rPr>
      </w:pPr>
      <w:r>
        <w:rPr>
          <w:rFonts w:hint="eastAsia" w:ascii="宋体" w:hAnsi="宋体" w:cs="宋体"/>
          <w:lang w:val="en-US" w:eastAsia="zh-CN"/>
        </w:rPr>
        <w:t>2</w:t>
      </w:r>
      <w:r>
        <w:rPr>
          <w:rFonts w:hint="eastAsia" w:ascii="宋体" w:hAnsi="宋体" w:cs="宋体"/>
        </w:rPr>
        <w:t>.</w:t>
      </w:r>
      <w:r>
        <w:rPr>
          <w:rFonts w:hint="eastAsia" w:ascii="宋体" w:hAnsi="宋体" w:cs="宋体"/>
          <w:lang w:val="en-US" w:eastAsia="zh-CN"/>
        </w:rPr>
        <w:t>须提供</w:t>
      </w:r>
      <w:r>
        <w:rPr>
          <w:rFonts w:hint="eastAsia" w:ascii="宋体" w:hAnsi="宋体" w:cs="宋体"/>
        </w:rPr>
        <w:t>响应文件递交截止之日前</w:t>
      </w:r>
      <w:r>
        <w:rPr>
          <w:rFonts w:hint="eastAsia" w:ascii="宋体" w:hAnsi="宋体" w:cs="宋体"/>
          <w:lang w:val="en-US" w:eastAsia="zh-CN"/>
        </w:rPr>
        <w:t>36个月内</w:t>
      </w:r>
      <w:r>
        <w:rPr>
          <w:rFonts w:hint="eastAsia" w:ascii="宋体" w:hAnsi="宋体" w:cs="宋体"/>
        </w:rPr>
        <w:t>的</w:t>
      </w:r>
      <w:r>
        <w:rPr>
          <w:rFonts w:hint="eastAsia" w:ascii="宋体" w:hAnsi="宋体" w:cs="宋体"/>
          <w:lang w:eastAsia="zh-CN"/>
        </w:rPr>
        <w:t>管道疏通</w:t>
      </w:r>
      <w:r>
        <w:rPr>
          <w:rFonts w:hint="eastAsia" w:ascii="宋体" w:hAnsi="宋体" w:cs="宋体"/>
        </w:rPr>
        <w:t>服务类</w:t>
      </w:r>
      <w:r>
        <w:rPr>
          <w:rFonts w:hint="eastAsia" w:ascii="宋体" w:hAnsi="宋体" w:cs="宋体"/>
          <w:lang w:eastAsia="zh-CN"/>
        </w:rPr>
        <w:t>相关</w:t>
      </w:r>
      <w:r>
        <w:rPr>
          <w:rFonts w:hint="eastAsia" w:ascii="宋体" w:hAnsi="宋体" w:cs="宋体"/>
        </w:rPr>
        <w:t>业绩。不接受联合体业绩、港澳台或境外业绩。业绩证明材料以同时提供的合同原件扫描件和发票（开票金额不少于合同金额的10%）原件扫描件为准（均须加盖投标人单位公章），业绩金额以合同中金额为准，时间以合同中采购单位的签字时间为准。</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备注：</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1、上述证明文件复印件均须加盖谈判单位公章（鲜章）。</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w:t>
      </w:r>
      <w:r>
        <w:rPr>
          <w:rFonts w:hint="eastAsia" w:ascii="宋体" w:hAnsi="宋体"/>
          <w:b/>
          <w:bCs/>
          <w:szCs w:val="21"/>
        </w:rPr>
        <w:t>上述证明文件如须递交原件的，应用文件袋单独包装，在响应文件递交的同时一并提交</w:t>
      </w:r>
      <w:r>
        <w:rPr>
          <w:rFonts w:hint="eastAsia" w:ascii="宋体" w:hAnsi="宋体" w:cs="宋体"/>
          <w:b/>
          <w:bCs/>
          <w:szCs w:val="21"/>
        </w:rPr>
        <w:t>。</w:t>
      </w:r>
    </w:p>
    <w:p>
      <w:pPr>
        <w:adjustRightInd w:val="0"/>
        <w:snapToGrid w:val="0"/>
        <w:spacing w:line="360" w:lineRule="auto"/>
        <w:ind w:firstLine="422" w:firstLineChars="200"/>
        <w:rPr>
          <w:rFonts w:ascii="宋体" w:hAnsi="宋体"/>
          <w:b/>
          <w:bCs/>
          <w:szCs w:val="21"/>
        </w:rPr>
      </w:pPr>
    </w:p>
    <w:p>
      <w:pPr>
        <w:pStyle w:val="2"/>
      </w:pPr>
    </w:p>
    <w:p>
      <w:pPr>
        <w:pStyle w:val="2"/>
        <w:sectPr>
          <w:pgSz w:w="11906" w:h="16838"/>
          <w:pgMar w:top="1440" w:right="1797" w:bottom="1440" w:left="1797" w:header="851" w:footer="851" w:gutter="0"/>
          <w:cols w:space="720" w:num="1"/>
        </w:sectPr>
      </w:pPr>
    </w:p>
    <w:p>
      <w:pPr>
        <w:adjustRightInd w:val="0"/>
        <w:snapToGrid w:val="0"/>
        <w:spacing w:line="360" w:lineRule="auto"/>
        <w:ind w:right="24"/>
        <w:jc w:val="center"/>
        <w:outlineLvl w:val="1"/>
        <w:rPr>
          <w:rFonts w:ascii="宋体" w:hAnsi="宋体" w:cs="宋体"/>
          <w:b/>
          <w:sz w:val="32"/>
          <w:szCs w:val="32"/>
        </w:rPr>
      </w:pPr>
      <w:bookmarkStart w:id="235" w:name="_Toc30403"/>
      <w:bookmarkStart w:id="236" w:name="_Toc7528"/>
      <w:bookmarkStart w:id="237" w:name="_Toc9230"/>
      <w:bookmarkStart w:id="238" w:name="_Toc23761"/>
      <w:bookmarkStart w:id="239" w:name="_Toc20484"/>
      <w:r>
        <w:rPr>
          <w:rFonts w:hint="eastAsia" w:ascii="宋体" w:hAnsi="宋体" w:cs="宋体"/>
          <w:b/>
          <w:sz w:val="32"/>
          <w:szCs w:val="32"/>
          <w:lang w:val="en-US" w:eastAsia="zh-CN"/>
        </w:rPr>
        <w:t>五</w:t>
      </w:r>
      <w:r>
        <w:rPr>
          <w:rFonts w:hint="eastAsia" w:ascii="宋体" w:hAnsi="宋体" w:cs="宋体"/>
          <w:b/>
          <w:sz w:val="32"/>
          <w:szCs w:val="32"/>
        </w:rPr>
        <w:t>、服务方案</w:t>
      </w:r>
      <w:bookmarkEnd w:id="235"/>
      <w:bookmarkEnd w:id="236"/>
      <w:bookmarkEnd w:id="237"/>
      <w:r>
        <w:rPr>
          <w:rFonts w:hint="eastAsia" w:ascii="宋体" w:hAnsi="宋体" w:cs="宋体"/>
          <w:b/>
          <w:sz w:val="32"/>
          <w:szCs w:val="32"/>
        </w:rPr>
        <w:t>（如有）</w:t>
      </w:r>
      <w:bookmarkEnd w:id="238"/>
      <w:bookmarkEnd w:id="239"/>
    </w:p>
    <w:p>
      <w:pPr>
        <w:adjustRightInd w:val="0"/>
        <w:snapToGrid w:val="0"/>
        <w:ind w:left="-88" w:leftChars="-42" w:firstLine="211" w:firstLineChars="100"/>
        <w:jc w:val="center"/>
        <w:rPr>
          <w:rFonts w:ascii="黑体" w:hAnsi="宋体" w:eastAsia="黑体"/>
          <w:b/>
          <w:bCs/>
          <w:szCs w:val="21"/>
        </w:rPr>
      </w:pPr>
    </w:p>
    <w:p>
      <w:pPr>
        <w:adjustRightInd w:val="0"/>
        <w:snapToGrid w:val="0"/>
        <w:rPr>
          <w:rFonts w:ascii="宋体" w:hAnsi="宋体"/>
          <w:b/>
          <w:szCs w:val="21"/>
        </w:rPr>
      </w:pPr>
      <w:r>
        <w:rPr>
          <w:rFonts w:hint="eastAsia" w:ascii="宋体" w:hAnsi="宋体"/>
          <w:b/>
          <w:szCs w:val="21"/>
        </w:rPr>
        <w:t>1.服务方案说明</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1.1谈判单位应根据“用户需求书”规定编写服务方案或服务大纲。</w:t>
      </w:r>
    </w:p>
    <w:p>
      <w:pPr>
        <w:adjustRightInd w:val="0"/>
        <w:snapToGrid w:val="0"/>
        <w:spacing w:line="360" w:lineRule="auto"/>
        <w:ind w:firstLine="420" w:firstLineChars="200"/>
        <w:rPr>
          <w:rFonts w:ascii="宋体" w:hAnsi="宋体"/>
          <w:szCs w:val="21"/>
        </w:rPr>
      </w:pPr>
      <w:r>
        <w:rPr>
          <w:rFonts w:hint="eastAsia" w:ascii="宋体" w:hAnsi="宋体"/>
          <w:szCs w:val="21"/>
        </w:rPr>
        <w:t>1.2服务方案或服务大纲应包括：(1)服务目标、范围和任务；(2)服务方案；(3)服务团队组织安排计划；(4)工作流程；(5)进度计划及保证措施；(6)质量保证措施；(7)合理化建议；(8)其他。</w:t>
      </w: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pStyle w:val="27"/>
        <w:adjustRightInd w:val="0"/>
        <w:snapToGrid w:val="0"/>
        <w:spacing w:line="360" w:lineRule="auto"/>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exac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28"/>
          <w:szCs w:val="28"/>
        </w:rPr>
      </w:pPr>
      <w:r>
        <w:rPr>
          <w:rFonts w:ascii="宋体" w:hAnsi="宋体"/>
          <w:sz w:val="24"/>
        </w:rPr>
        <w:br w:type="page"/>
      </w:r>
      <w:bookmarkStart w:id="240" w:name="_Toc15835"/>
      <w:bookmarkStart w:id="241" w:name="_Toc5387"/>
      <w:bookmarkStart w:id="242" w:name="_Toc20751"/>
      <w:bookmarkStart w:id="243" w:name="_Toc25553"/>
      <w:bookmarkStart w:id="244" w:name="_Toc21225"/>
      <w:r>
        <w:rPr>
          <w:rFonts w:hint="eastAsia" w:ascii="宋体" w:hAnsi="宋体" w:cs="宋体"/>
          <w:b/>
          <w:sz w:val="32"/>
          <w:szCs w:val="32"/>
          <w:lang w:val="en-US" w:eastAsia="zh-CN"/>
        </w:rPr>
        <w:t>六</w:t>
      </w:r>
      <w:r>
        <w:rPr>
          <w:rFonts w:hint="eastAsia" w:ascii="宋体" w:hAnsi="宋体" w:cs="宋体"/>
          <w:b/>
          <w:sz w:val="32"/>
          <w:szCs w:val="32"/>
        </w:rPr>
        <w:t>、报价一览表</w:t>
      </w:r>
      <w:bookmarkEnd w:id="240"/>
      <w:bookmarkEnd w:id="241"/>
      <w:bookmarkEnd w:id="242"/>
      <w:bookmarkEnd w:id="243"/>
      <w:bookmarkEnd w:id="244"/>
    </w:p>
    <w:p>
      <w:pPr>
        <w:adjustRightInd w:val="0"/>
        <w:snapToGrid w:val="0"/>
        <w:jc w:val="right"/>
        <w:rPr>
          <w:rFonts w:ascii="黑体" w:hAnsi="宋体" w:eastAsia="黑体"/>
          <w:sz w:val="24"/>
        </w:rPr>
      </w:pPr>
    </w:p>
    <w:tbl>
      <w:tblPr>
        <w:tblStyle w:val="46"/>
        <w:tblW w:w="88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3600"/>
        <w:gridCol w:w="36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7" w:hRule="atLeast"/>
        </w:trPr>
        <w:tc>
          <w:tcPr>
            <w:tcW w:w="1620" w:type="dxa"/>
            <w:vAlign w:val="center"/>
          </w:tcPr>
          <w:p>
            <w:pPr>
              <w:tabs>
                <w:tab w:val="left" w:pos="403"/>
                <w:tab w:val="center" w:pos="3781"/>
              </w:tabs>
              <w:spacing w:line="420" w:lineRule="exact"/>
              <w:ind w:right="-5206" w:rightChars="-2479" w:firstLine="315" w:firstLineChars="15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7200" w:type="dxa"/>
            <w:gridSpan w:val="2"/>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trPr>
        <w:tc>
          <w:tcPr>
            <w:tcW w:w="1620" w:type="dxa"/>
            <w:vAlign w:val="center"/>
          </w:tcPr>
          <w:p>
            <w:pPr>
              <w:tabs>
                <w:tab w:val="left" w:pos="403"/>
                <w:tab w:val="center" w:pos="3781"/>
              </w:tabs>
              <w:spacing w:line="420" w:lineRule="exact"/>
              <w:ind w:right="-5206" w:rightChars="-2479" w:firstLine="315" w:firstLineChars="150"/>
              <w:rPr>
                <w:rFonts w:ascii="宋体" w:hAnsi="宋体"/>
                <w:szCs w:val="21"/>
              </w:rPr>
            </w:pPr>
            <w:r>
              <w:rPr>
                <w:rFonts w:hint="eastAsia" w:ascii="宋体" w:hAnsi="宋体"/>
                <w:szCs w:val="21"/>
              </w:rPr>
              <w:t>项目</w:t>
            </w:r>
            <w:r>
              <w:rPr>
                <w:rFonts w:ascii="宋体" w:hAnsi="宋体"/>
                <w:szCs w:val="21"/>
              </w:rPr>
              <w:t>编号</w:t>
            </w:r>
          </w:p>
        </w:tc>
        <w:tc>
          <w:tcPr>
            <w:tcW w:w="7200" w:type="dxa"/>
            <w:gridSpan w:val="2"/>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trPr>
        <w:tc>
          <w:tcPr>
            <w:tcW w:w="1620" w:type="dxa"/>
            <w:vAlign w:val="center"/>
          </w:tcPr>
          <w:p>
            <w:pPr>
              <w:spacing w:line="420" w:lineRule="exact"/>
              <w:jc w:val="center"/>
              <w:rPr>
                <w:rFonts w:ascii="宋体" w:hAnsi="宋体"/>
                <w:szCs w:val="21"/>
              </w:rPr>
            </w:pPr>
            <w:r>
              <w:rPr>
                <w:rFonts w:hint="eastAsia" w:ascii="宋体" w:hAnsi="宋体"/>
                <w:szCs w:val="21"/>
              </w:rPr>
              <w:t>服务期限</w:t>
            </w:r>
          </w:p>
        </w:tc>
        <w:tc>
          <w:tcPr>
            <w:tcW w:w="7200" w:type="dxa"/>
            <w:gridSpan w:val="2"/>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8" w:hRule="atLeast"/>
        </w:trPr>
        <w:tc>
          <w:tcPr>
            <w:tcW w:w="1620" w:type="dxa"/>
            <w:vAlign w:val="center"/>
          </w:tcPr>
          <w:p>
            <w:pPr>
              <w:spacing w:line="420" w:lineRule="exact"/>
              <w:jc w:val="center"/>
              <w:rPr>
                <w:rFonts w:ascii="宋体" w:hAnsi="宋体"/>
                <w:szCs w:val="21"/>
              </w:rPr>
            </w:pPr>
            <w:r>
              <w:rPr>
                <w:rFonts w:hint="eastAsia" w:ascii="宋体" w:hAnsi="宋体"/>
                <w:szCs w:val="21"/>
              </w:rPr>
              <w:t>谈判</w:t>
            </w:r>
            <w:r>
              <w:rPr>
                <w:rFonts w:ascii="宋体" w:hAnsi="宋体"/>
                <w:szCs w:val="21"/>
              </w:rPr>
              <w:t>总报价</w:t>
            </w:r>
          </w:p>
        </w:tc>
        <w:tc>
          <w:tcPr>
            <w:tcW w:w="3600" w:type="dxa"/>
            <w:vAlign w:val="center"/>
          </w:tcPr>
          <w:p>
            <w:pPr>
              <w:jc w:val="center"/>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3600" w:type="dxa"/>
            <w:vAlign w:val="center"/>
          </w:tcPr>
          <w:p>
            <w:pPr>
              <w:spacing w:line="420" w:lineRule="exact"/>
              <w:jc w:val="center"/>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1620" w:type="dxa"/>
            <w:vAlign w:val="center"/>
          </w:tcPr>
          <w:p>
            <w:pPr>
              <w:spacing w:line="420" w:lineRule="exact"/>
              <w:jc w:val="center"/>
              <w:rPr>
                <w:rFonts w:ascii="宋体" w:hAnsi="宋体"/>
                <w:szCs w:val="21"/>
              </w:rPr>
            </w:pPr>
            <w:r>
              <w:rPr>
                <w:rFonts w:ascii="宋体" w:hAnsi="宋体"/>
                <w:szCs w:val="21"/>
              </w:rPr>
              <w:t>备  注</w:t>
            </w:r>
          </w:p>
        </w:tc>
        <w:tc>
          <w:tcPr>
            <w:tcW w:w="7200" w:type="dxa"/>
            <w:gridSpan w:val="2"/>
            <w:vAlign w:val="center"/>
          </w:tcPr>
          <w:p>
            <w:pPr>
              <w:spacing w:line="420" w:lineRule="exact"/>
              <w:rPr>
                <w:rFonts w:ascii="宋体" w:hAnsi="宋体"/>
                <w:szCs w:val="21"/>
              </w:rPr>
            </w:pPr>
          </w:p>
        </w:tc>
      </w:tr>
    </w:tbl>
    <w:p>
      <w:pPr>
        <w:adjustRightInd w:val="0"/>
        <w:snapToGrid w:val="0"/>
        <w:spacing w:line="360" w:lineRule="auto"/>
        <w:rPr>
          <w:rFonts w:ascii="宋体" w:hAnsi="宋体"/>
          <w:b/>
          <w:szCs w:val="21"/>
        </w:rPr>
      </w:pPr>
      <w:r>
        <w:rPr>
          <w:rFonts w:hint="eastAsia" w:ascii="宋体" w:hAnsi="宋体"/>
          <w:b/>
          <w:szCs w:val="21"/>
        </w:rPr>
        <w:t>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ascii="宋体" w:hAnsi="宋体"/>
          <w:b/>
          <w:szCs w:val="21"/>
        </w:rPr>
      </w:pPr>
      <w:r>
        <w:rPr>
          <w:rFonts w:hint="eastAsia" w:ascii="宋体" w:hAnsi="宋体"/>
          <w:b/>
          <w:szCs w:val="21"/>
        </w:rPr>
        <w:t>2.本表内“谈判总报价”是包含了所有隐含的管理费、税金和利润等其他费用的报价。</w:t>
      </w:r>
    </w:p>
    <w:p>
      <w:pPr>
        <w:adjustRightInd w:val="0"/>
        <w:snapToGrid w:val="0"/>
        <w:spacing w:line="360" w:lineRule="auto"/>
        <w:ind w:left="-88" w:leftChars="-42"/>
        <w:rPr>
          <w:rFonts w:ascii="宋体" w:hAnsi="宋体"/>
          <w:szCs w:val="21"/>
        </w:rPr>
      </w:pPr>
    </w:p>
    <w:p>
      <w:pPr>
        <w:pStyle w:val="27"/>
        <w:adjustRightInd w:val="0"/>
        <w:snapToGrid w:val="0"/>
        <w:spacing w:line="360" w:lineRule="auto"/>
        <w:rPr>
          <w:rFonts w:ascii="宋体" w:hAnsi="宋体"/>
          <w:bCs/>
          <w:sz w:val="21"/>
          <w:szCs w:val="21"/>
        </w:rPr>
      </w:pPr>
      <w:bookmarkStart w:id="245" w:name="_Toc5231"/>
      <w:r>
        <w:rPr>
          <w:rFonts w:hint="eastAsia" w:ascii="宋体" w:hAnsi="宋体"/>
          <w:sz w:val="21"/>
          <w:szCs w:val="21"/>
        </w:rPr>
        <w:t>谈判单位名称：</w:t>
      </w:r>
      <w:r>
        <w:rPr>
          <w:rFonts w:hint="eastAsia" w:ascii="宋体" w:hAnsi="宋体"/>
          <w:sz w:val="21"/>
          <w:szCs w:val="21"/>
          <w:u w:val="single"/>
        </w:rPr>
        <w:t xml:space="preserve">    （盖单位章）</w:t>
      </w:r>
      <w:bookmarkEnd w:id="245"/>
      <w:r>
        <w:rPr>
          <w:rFonts w:hint="eastAsia" w:ascii="宋体" w:hAnsi="宋体"/>
          <w:sz w:val="21"/>
          <w:szCs w:val="21"/>
          <w:u w:val="single"/>
        </w:rPr>
        <w:t xml:space="preserve">    </w:t>
      </w:r>
    </w:p>
    <w:p>
      <w:pPr>
        <w:adjustRightInd w:val="0"/>
        <w:snapToGrid w:val="0"/>
        <w:spacing w:line="360" w:lineRule="auto"/>
        <w:rPr>
          <w:rFonts w:ascii="宋体" w:hAnsi="宋体"/>
          <w:szCs w:val="21"/>
        </w:rPr>
      </w:pPr>
      <w:bookmarkStart w:id="246" w:name="_Toc28605"/>
      <w:r>
        <w:rPr>
          <w:rFonts w:hint="eastAsia" w:ascii="宋体" w:hAnsi="宋体"/>
          <w:szCs w:val="21"/>
        </w:rPr>
        <w:t>法定代表人或其委托代理人(签字或盖章)：</w:t>
      </w:r>
      <w:bookmarkEnd w:id="246"/>
      <w:r>
        <w:rPr>
          <w:rFonts w:hint="eastAsia" w:ascii="宋体" w:hAnsi="宋体"/>
          <w:szCs w:val="21"/>
          <w:u w:val="single"/>
        </w:rPr>
        <w:t xml:space="preserve">               </w:t>
      </w:r>
    </w:p>
    <w:p>
      <w:pPr>
        <w:spacing w:line="360" w:lineRule="auto"/>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jc w:val="center"/>
        <w:rPr>
          <w:rFonts w:ascii="黑体" w:eastAsia="黑体"/>
          <w:b/>
          <w:bCs/>
          <w:sz w:val="32"/>
          <w:szCs w:val="32"/>
        </w:rPr>
      </w:pPr>
    </w:p>
    <w:p>
      <w:pPr>
        <w:adjustRightInd w:val="0"/>
        <w:snapToGrid w:val="0"/>
        <w:jc w:val="center"/>
        <w:rPr>
          <w:rFonts w:ascii="黑体" w:eastAsia="黑体"/>
          <w:b/>
          <w:bCs/>
          <w:sz w:val="32"/>
          <w:szCs w:val="32"/>
        </w:rPr>
      </w:pPr>
    </w:p>
    <w:p>
      <w:pPr>
        <w:adjustRightInd w:val="0"/>
        <w:snapToGrid w:val="0"/>
        <w:jc w:val="center"/>
        <w:rPr>
          <w:rFonts w:ascii="黑体" w:eastAsia="黑体"/>
          <w:b/>
          <w:bCs/>
          <w:color w:val="FF0000"/>
          <w:sz w:val="32"/>
          <w:szCs w:val="32"/>
        </w:rPr>
        <w:sectPr>
          <w:pgSz w:w="11906" w:h="16838"/>
          <w:pgMar w:top="1440" w:right="1800" w:bottom="1440" w:left="1800" w:header="851" w:footer="992" w:gutter="0"/>
          <w:cols w:space="720" w:num="1"/>
          <w:docGrid w:type="lines" w:linePitch="312" w:charSpace="0"/>
        </w:sectPr>
      </w:pPr>
    </w:p>
    <w:p>
      <w:pPr>
        <w:numPr>
          <w:ilvl w:val="0"/>
          <w:numId w:val="8"/>
        </w:numPr>
        <w:adjustRightInd w:val="0"/>
        <w:snapToGrid w:val="0"/>
        <w:spacing w:line="360" w:lineRule="auto"/>
        <w:ind w:right="24"/>
        <w:jc w:val="center"/>
        <w:outlineLvl w:val="1"/>
        <w:rPr>
          <w:rFonts w:hint="eastAsia" w:ascii="宋体" w:hAnsi="宋体" w:cs="宋体"/>
          <w:b/>
          <w:sz w:val="32"/>
          <w:szCs w:val="32"/>
        </w:rPr>
      </w:pPr>
      <w:bookmarkStart w:id="247" w:name="_Toc15913"/>
      <w:r>
        <w:rPr>
          <w:rFonts w:hint="eastAsia" w:ascii="宋体" w:hAnsi="宋体" w:cs="宋体"/>
          <w:b/>
          <w:sz w:val="32"/>
          <w:szCs w:val="32"/>
        </w:rPr>
        <w:t>分项价格表</w:t>
      </w:r>
      <w:bookmarkEnd w:id="247"/>
    </w:p>
    <w:p>
      <w:pPr>
        <w:pStyle w:val="2"/>
        <w:widowControl w:val="0"/>
        <w:numPr>
          <w:ilvl w:val="0"/>
          <w:numId w:val="0"/>
        </w:numPr>
        <w:jc w:val="both"/>
      </w:pPr>
    </w:p>
    <w:tbl>
      <w:tblPr>
        <w:tblStyle w:val="46"/>
        <w:tblW w:w="887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0"/>
        <w:gridCol w:w="2094"/>
        <w:gridCol w:w="800"/>
        <w:gridCol w:w="1066"/>
        <w:gridCol w:w="1187"/>
        <w:gridCol w:w="1093"/>
        <w:gridCol w:w="15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1070" w:type="dxa"/>
            <w:vAlign w:val="center"/>
          </w:tcPr>
          <w:p>
            <w:pPr>
              <w:tabs>
                <w:tab w:val="left" w:pos="403"/>
                <w:tab w:val="center" w:pos="3781"/>
              </w:tabs>
              <w:spacing w:line="420" w:lineRule="exact"/>
              <w:ind w:right="-5206" w:rightChars="-2479"/>
              <w:jc w:val="left"/>
              <w:rPr>
                <w:rFonts w:ascii="宋体" w:hAnsi="宋体"/>
                <w:b/>
                <w:bCs/>
                <w:szCs w:val="21"/>
              </w:rPr>
            </w:pPr>
            <w:r>
              <w:rPr>
                <w:rFonts w:ascii="宋体" w:hAnsi="宋体"/>
                <w:b/>
                <w:bCs/>
                <w:szCs w:val="21"/>
              </w:rPr>
              <w:t>项目名称</w:t>
            </w:r>
            <w:r>
              <w:rPr>
                <w:rFonts w:ascii="宋体" w:hAnsi="宋体"/>
                <w:b/>
                <w:bCs/>
                <w:szCs w:val="21"/>
              </w:rPr>
              <w:tab/>
            </w:r>
            <w:r>
              <w:rPr>
                <w:rFonts w:ascii="宋体" w:hAnsi="宋体"/>
                <w:b/>
                <w:bCs/>
                <w:szCs w:val="21"/>
              </w:rPr>
              <w:t>项目名称</w:t>
            </w:r>
          </w:p>
        </w:tc>
        <w:tc>
          <w:tcPr>
            <w:tcW w:w="7800" w:type="dxa"/>
            <w:gridSpan w:val="6"/>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070" w:type="dxa"/>
            <w:vAlign w:val="center"/>
          </w:tcPr>
          <w:p>
            <w:pPr>
              <w:tabs>
                <w:tab w:val="left" w:pos="403"/>
                <w:tab w:val="center" w:pos="3781"/>
              </w:tabs>
              <w:spacing w:line="420" w:lineRule="exact"/>
              <w:ind w:right="-5206" w:rightChars="-2479"/>
              <w:jc w:val="left"/>
              <w:rPr>
                <w:rFonts w:ascii="宋体" w:hAnsi="宋体"/>
                <w:b/>
                <w:bCs/>
                <w:szCs w:val="21"/>
              </w:rPr>
            </w:pPr>
            <w:r>
              <w:rPr>
                <w:rFonts w:hint="eastAsia" w:ascii="宋体" w:hAnsi="宋体"/>
                <w:b/>
                <w:bCs/>
                <w:szCs w:val="21"/>
              </w:rPr>
              <w:t>项目</w:t>
            </w:r>
            <w:r>
              <w:rPr>
                <w:rFonts w:ascii="宋体" w:hAnsi="宋体"/>
                <w:b/>
                <w:bCs/>
                <w:szCs w:val="21"/>
              </w:rPr>
              <w:t>编号</w:t>
            </w:r>
          </w:p>
        </w:tc>
        <w:tc>
          <w:tcPr>
            <w:tcW w:w="7800" w:type="dxa"/>
            <w:gridSpan w:val="6"/>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4" w:hRule="atLeast"/>
        </w:trPr>
        <w:tc>
          <w:tcPr>
            <w:tcW w:w="1070" w:type="dxa"/>
            <w:vAlign w:val="center"/>
          </w:tcPr>
          <w:p>
            <w:pPr>
              <w:spacing w:line="240" w:lineRule="auto"/>
              <w:jc w:val="center"/>
              <w:rPr>
                <w:rFonts w:hint="default" w:ascii="宋体" w:hAnsi="宋体" w:cs="宋体"/>
                <w:b/>
                <w:bCs/>
                <w:lang w:val="en-US" w:eastAsia="zh-CN"/>
              </w:rPr>
            </w:pPr>
            <w:r>
              <w:rPr>
                <w:rFonts w:hint="eastAsia" w:ascii="宋体" w:hAnsi="宋体" w:cs="宋体"/>
                <w:b/>
                <w:bCs/>
                <w:lang w:val="en-US" w:eastAsia="zh-CN"/>
              </w:rPr>
              <w:t>序号</w:t>
            </w:r>
          </w:p>
        </w:tc>
        <w:tc>
          <w:tcPr>
            <w:tcW w:w="2094" w:type="dxa"/>
            <w:vAlign w:val="center"/>
          </w:tcPr>
          <w:p>
            <w:pPr>
              <w:spacing w:line="240" w:lineRule="auto"/>
              <w:jc w:val="center"/>
              <w:rPr>
                <w:rFonts w:hint="eastAsia" w:ascii="宋体" w:hAnsi="宋体" w:eastAsia="宋体"/>
                <w:b/>
                <w:bCs/>
                <w:szCs w:val="21"/>
                <w:u w:val="single"/>
                <w:lang w:val="en-US" w:eastAsia="zh-CN"/>
              </w:rPr>
            </w:pPr>
            <w:r>
              <w:rPr>
                <w:rFonts w:hint="eastAsia" w:ascii="宋体" w:hAnsi="宋体"/>
                <w:b/>
                <w:bCs/>
                <w:szCs w:val="21"/>
                <w:u w:val="none"/>
                <w:lang w:val="en-US" w:eastAsia="zh-CN"/>
              </w:rPr>
              <w:t>类别</w:t>
            </w:r>
          </w:p>
        </w:tc>
        <w:tc>
          <w:tcPr>
            <w:tcW w:w="800" w:type="dxa"/>
            <w:vAlign w:val="center"/>
          </w:tcPr>
          <w:p>
            <w:pPr>
              <w:spacing w:line="240" w:lineRule="auto"/>
              <w:jc w:val="center"/>
              <w:rPr>
                <w:rFonts w:hint="default" w:ascii="宋体" w:hAnsi="宋体" w:eastAsia="宋体" w:cs="Times New Roman"/>
                <w:b/>
                <w:bCs/>
                <w:szCs w:val="21"/>
                <w:lang w:val="en-US" w:eastAsia="zh-CN"/>
              </w:rPr>
            </w:pPr>
            <w:r>
              <w:rPr>
                <w:rFonts w:hint="eastAsia" w:ascii="宋体" w:hAnsi="宋体" w:eastAsia="宋体" w:cs="Times New Roman"/>
                <w:b/>
                <w:bCs/>
                <w:szCs w:val="21"/>
                <w:lang w:val="en-US" w:eastAsia="zh-CN"/>
              </w:rPr>
              <w:t>单位</w:t>
            </w:r>
          </w:p>
        </w:tc>
        <w:tc>
          <w:tcPr>
            <w:tcW w:w="1066" w:type="dxa"/>
            <w:vAlign w:val="center"/>
          </w:tcPr>
          <w:p>
            <w:pPr>
              <w:spacing w:line="240" w:lineRule="auto"/>
              <w:jc w:val="center"/>
              <w:rPr>
                <w:rFonts w:hint="eastAsia" w:ascii="宋体" w:hAnsi="宋体" w:eastAsia="宋体"/>
                <w:b/>
                <w:bCs/>
                <w:szCs w:val="21"/>
                <w:lang w:val="en-US" w:eastAsia="zh-CN"/>
              </w:rPr>
            </w:pPr>
            <w:r>
              <w:rPr>
                <w:rFonts w:hint="eastAsia" w:ascii="宋体" w:hAnsi="宋体"/>
                <w:b/>
                <w:bCs/>
                <w:szCs w:val="21"/>
                <w:lang w:val="en-US" w:eastAsia="zh-CN"/>
              </w:rPr>
              <w:t>预估疏通次数</w:t>
            </w:r>
          </w:p>
        </w:tc>
        <w:tc>
          <w:tcPr>
            <w:tcW w:w="1187" w:type="dxa"/>
            <w:vAlign w:val="center"/>
          </w:tcPr>
          <w:p>
            <w:pPr>
              <w:spacing w:line="240" w:lineRule="auto"/>
              <w:jc w:val="center"/>
              <w:rPr>
                <w:rFonts w:hint="eastAsia" w:ascii="宋体" w:hAnsi="宋体"/>
                <w:b/>
                <w:bCs/>
                <w:szCs w:val="21"/>
                <w:lang w:val="en-US" w:eastAsia="zh-CN"/>
              </w:rPr>
            </w:pPr>
            <w:r>
              <w:rPr>
                <w:rFonts w:hint="eastAsia" w:ascii="宋体" w:hAnsi="宋体"/>
                <w:b/>
                <w:bCs/>
                <w:szCs w:val="21"/>
                <w:lang w:val="en-US" w:eastAsia="zh-CN"/>
              </w:rPr>
              <w:t>最高限价单价</w:t>
            </w:r>
          </w:p>
          <w:p>
            <w:pPr>
              <w:spacing w:line="240" w:lineRule="auto"/>
              <w:jc w:val="center"/>
              <w:rPr>
                <w:rFonts w:hint="default" w:ascii="宋体" w:hAnsi="宋体" w:eastAsia="宋体" w:cs="Times New Roman"/>
                <w:b/>
                <w:bCs/>
                <w:kern w:val="2"/>
                <w:sz w:val="21"/>
                <w:szCs w:val="21"/>
                <w:lang w:val="en-US" w:eastAsia="zh-CN" w:bidi="ar-SA"/>
              </w:rPr>
            </w:pPr>
            <w:r>
              <w:rPr>
                <w:rFonts w:hint="eastAsia" w:ascii="宋体" w:hAnsi="宋体"/>
                <w:b/>
                <w:bCs/>
                <w:szCs w:val="21"/>
                <w:lang w:val="en-US" w:eastAsia="zh-CN"/>
              </w:rPr>
              <w:t>（元）</w:t>
            </w:r>
          </w:p>
        </w:tc>
        <w:tc>
          <w:tcPr>
            <w:tcW w:w="1093" w:type="dxa"/>
            <w:vAlign w:val="center"/>
          </w:tcPr>
          <w:p>
            <w:pPr>
              <w:spacing w:line="240" w:lineRule="auto"/>
              <w:jc w:val="center"/>
              <w:rPr>
                <w:rFonts w:hint="default" w:ascii="宋体" w:hAnsi="宋体"/>
                <w:b/>
                <w:bCs/>
                <w:szCs w:val="21"/>
                <w:lang w:val="en-US" w:eastAsia="zh-CN"/>
              </w:rPr>
            </w:pPr>
            <w:r>
              <w:rPr>
                <w:rFonts w:hint="eastAsia" w:ascii="宋体" w:hAnsi="宋体"/>
                <w:b/>
                <w:bCs/>
                <w:szCs w:val="21"/>
                <w:lang w:val="en-US" w:eastAsia="zh-CN"/>
              </w:rPr>
              <w:t>报价单价（元）</w:t>
            </w:r>
          </w:p>
        </w:tc>
        <w:tc>
          <w:tcPr>
            <w:tcW w:w="1560" w:type="dxa"/>
            <w:vAlign w:val="center"/>
          </w:tcPr>
          <w:p>
            <w:pPr>
              <w:spacing w:line="240" w:lineRule="auto"/>
              <w:jc w:val="center"/>
              <w:rPr>
                <w:rFonts w:hint="eastAsia" w:ascii="宋体" w:hAnsi="宋体"/>
                <w:b/>
                <w:bCs/>
                <w:szCs w:val="21"/>
                <w:lang w:val="en-US" w:eastAsia="zh-CN"/>
              </w:rPr>
            </w:pPr>
            <w:r>
              <w:rPr>
                <w:rFonts w:hint="eastAsia" w:ascii="宋体" w:hAnsi="宋体"/>
                <w:b/>
                <w:bCs/>
                <w:szCs w:val="21"/>
                <w:lang w:val="en-US" w:eastAsia="zh-CN"/>
              </w:rPr>
              <w:t>小计</w:t>
            </w:r>
          </w:p>
          <w:p>
            <w:pPr>
              <w:spacing w:line="240" w:lineRule="auto"/>
              <w:jc w:val="center"/>
              <w:rPr>
                <w:rFonts w:hint="eastAsia" w:ascii="宋体" w:hAnsi="宋体"/>
                <w:b/>
                <w:bCs/>
                <w:szCs w:val="21"/>
                <w:lang w:val="en-US" w:eastAsia="zh-CN"/>
              </w:rPr>
            </w:pPr>
            <w:r>
              <w:rPr>
                <w:rFonts w:hint="eastAsia" w:ascii="宋体" w:hAnsi="宋体"/>
                <w:b/>
                <w:bCs/>
                <w:szCs w:val="21"/>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1070" w:type="dxa"/>
            <w:vAlign w:val="center"/>
          </w:tcPr>
          <w:p>
            <w:pPr>
              <w:spacing w:line="240" w:lineRule="auto"/>
              <w:jc w:val="center"/>
              <w:rPr>
                <w:rFonts w:ascii="宋体" w:hAnsi="宋体"/>
                <w:b/>
                <w:szCs w:val="21"/>
              </w:rPr>
            </w:pPr>
            <w:r>
              <w:rPr>
                <w:rFonts w:hint="eastAsia" w:ascii="宋体" w:hAnsi="宋体" w:cs="宋体"/>
                <w:b/>
                <w:bCs/>
                <w:lang w:val="en-US" w:eastAsia="zh-CN"/>
              </w:rPr>
              <w:t>1</w:t>
            </w:r>
          </w:p>
        </w:tc>
        <w:tc>
          <w:tcPr>
            <w:tcW w:w="2094" w:type="dxa"/>
            <w:vAlign w:val="center"/>
          </w:tcPr>
          <w:p>
            <w:pPr>
              <w:spacing w:line="240" w:lineRule="auto"/>
              <w:jc w:val="center"/>
              <w:rPr>
                <w:rFonts w:ascii="宋体" w:hAnsi="宋体"/>
                <w:szCs w:val="21"/>
                <w:u w:val="single"/>
              </w:rPr>
            </w:pPr>
            <w:r>
              <w:rPr>
                <w:rFonts w:hint="eastAsia" w:ascii="宋体" w:hAnsi="宋体" w:cs="宋体"/>
                <w:b/>
                <w:bCs/>
                <w:lang w:val="en-US" w:eastAsia="zh-CN"/>
              </w:rPr>
              <w:t>普通堵塞疏通</w:t>
            </w:r>
            <w:r>
              <w:rPr>
                <w:rFonts w:hint="eastAsia" w:ascii="宋体" w:hAnsi="宋体"/>
                <w:b/>
                <w:szCs w:val="21"/>
              </w:rPr>
              <w:t xml:space="preserve"> </w:t>
            </w:r>
          </w:p>
        </w:tc>
        <w:tc>
          <w:tcPr>
            <w:tcW w:w="800" w:type="dxa"/>
            <w:vAlign w:val="center"/>
          </w:tcPr>
          <w:p>
            <w:pPr>
              <w:spacing w:line="240" w:lineRule="auto"/>
              <w:jc w:val="center"/>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次</w:t>
            </w:r>
          </w:p>
        </w:tc>
        <w:tc>
          <w:tcPr>
            <w:tcW w:w="1066" w:type="dxa"/>
            <w:vAlign w:val="center"/>
          </w:tcPr>
          <w:p>
            <w:pPr>
              <w:spacing w:line="240" w:lineRule="auto"/>
              <w:jc w:val="center"/>
              <w:rPr>
                <w:rFonts w:hint="default" w:ascii="宋体" w:hAnsi="宋体" w:eastAsia="宋体" w:cs="Times New Roman"/>
                <w:kern w:val="2"/>
                <w:sz w:val="21"/>
                <w:szCs w:val="21"/>
                <w:u w:val="single"/>
                <w:lang w:val="en-US" w:eastAsia="zh-CN" w:bidi="ar-SA"/>
              </w:rPr>
            </w:pPr>
            <w:r>
              <w:rPr>
                <w:rFonts w:hint="eastAsia" w:ascii="宋体" w:hAnsi="宋体" w:cs="Times New Roman"/>
                <w:kern w:val="2"/>
                <w:sz w:val="21"/>
                <w:szCs w:val="21"/>
                <w:u w:val="none"/>
                <w:lang w:val="en-US" w:eastAsia="zh-CN" w:bidi="ar-SA"/>
              </w:rPr>
              <w:t>1206</w:t>
            </w:r>
          </w:p>
        </w:tc>
        <w:tc>
          <w:tcPr>
            <w:tcW w:w="1187" w:type="dxa"/>
            <w:vAlign w:val="center"/>
          </w:tcPr>
          <w:p>
            <w:pPr>
              <w:spacing w:line="240" w:lineRule="auto"/>
              <w:jc w:val="center"/>
              <w:rPr>
                <w:rFonts w:hint="eastAsia" w:ascii="宋体" w:hAnsi="宋体" w:eastAsia="宋体" w:cs="Times New Roman"/>
                <w:kern w:val="2"/>
                <w:sz w:val="21"/>
                <w:szCs w:val="21"/>
                <w:u w:val="single"/>
                <w:lang w:val="en-US" w:eastAsia="zh-CN" w:bidi="ar-SA"/>
              </w:rPr>
            </w:pPr>
            <w:r>
              <w:rPr>
                <w:rFonts w:hint="eastAsia" w:ascii="宋体" w:hAnsi="宋体" w:cs="Times New Roman"/>
                <w:kern w:val="2"/>
                <w:sz w:val="21"/>
                <w:szCs w:val="21"/>
                <w:u w:val="none"/>
                <w:lang w:val="en-US" w:eastAsia="zh-CN" w:bidi="ar-SA"/>
              </w:rPr>
              <w:t>100.00</w:t>
            </w:r>
          </w:p>
        </w:tc>
        <w:tc>
          <w:tcPr>
            <w:tcW w:w="1093" w:type="dxa"/>
            <w:vAlign w:val="center"/>
          </w:tcPr>
          <w:p>
            <w:pPr>
              <w:spacing w:line="240" w:lineRule="auto"/>
              <w:rPr>
                <w:rFonts w:hint="eastAsia" w:ascii="宋体" w:hAnsi="宋体" w:eastAsia="宋体" w:cs="Times New Roman"/>
                <w:kern w:val="2"/>
                <w:sz w:val="21"/>
                <w:szCs w:val="21"/>
                <w:u w:val="single"/>
                <w:lang w:val="en-US" w:eastAsia="zh-CN" w:bidi="ar-SA"/>
              </w:rPr>
            </w:pPr>
          </w:p>
        </w:tc>
        <w:tc>
          <w:tcPr>
            <w:tcW w:w="1560" w:type="dxa"/>
            <w:vAlign w:val="center"/>
          </w:tcPr>
          <w:p>
            <w:pPr>
              <w:spacing w:line="240" w:lineRule="auto"/>
              <w:rPr>
                <w:rFonts w:hint="eastAsia" w:ascii="宋体" w:hAnsi="宋体" w:eastAsia="宋体" w:cs="Times New Roman"/>
                <w:kern w:val="2"/>
                <w:sz w:val="21"/>
                <w:szCs w:val="21"/>
                <w:u w:val="singl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4" w:hRule="atLeast"/>
        </w:trPr>
        <w:tc>
          <w:tcPr>
            <w:tcW w:w="1070" w:type="dxa"/>
            <w:vAlign w:val="center"/>
          </w:tcPr>
          <w:p>
            <w:pPr>
              <w:spacing w:line="240" w:lineRule="auto"/>
              <w:jc w:val="center"/>
              <w:rPr>
                <w:rFonts w:hint="default" w:ascii="宋体" w:hAnsi="宋体"/>
                <w:b/>
                <w:szCs w:val="21"/>
                <w:lang w:val="en-US"/>
              </w:rPr>
            </w:pPr>
            <w:r>
              <w:rPr>
                <w:rFonts w:hint="eastAsia" w:ascii="宋体" w:hAnsi="宋体" w:cs="宋体"/>
                <w:b/>
                <w:bCs/>
                <w:lang w:val="en-US" w:eastAsia="zh-CN"/>
              </w:rPr>
              <w:t>2</w:t>
            </w:r>
          </w:p>
        </w:tc>
        <w:tc>
          <w:tcPr>
            <w:tcW w:w="2094" w:type="dxa"/>
            <w:vAlign w:val="center"/>
          </w:tcPr>
          <w:p>
            <w:pPr>
              <w:spacing w:line="240" w:lineRule="auto"/>
              <w:jc w:val="center"/>
              <w:rPr>
                <w:rFonts w:ascii="宋体" w:hAnsi="宋体"/>
                <w:szCs w:val="21"/>
              </w:rPr>
            </w:pPr>
            <w:r>
              <w:rPr>
                <w:rFonts w:hint="eastAsia" w:ascii="宋体" w:hAnsi="宋体" w:cs="宋体"/>
                <w:b/>
                <w:bCs/>
                <w:lang w:val="en-US" w:eastAsia="zh-CN"/>
              </w:rPr>
              <w:t>排污总出口管道堵塞疏通</w:t>
            </w:r>
          </w:p>
        </w:tc>
        <w:tc>
          <w:tcPr>
            <w:tcW w:w="800" w:type="dxa"/>
            <w:vAlign w:val="center"/>
          </w:tcPr>
          <w:p>
            <w:pPr>
              <w:spacing w:line="240" w:lineRule="auto"/>
              <w:jc w:val="center"/>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次</w:t>
            </w:r>
          </w:p>
        </w:tc>
        <w:tc>
          <w:tcPr>
            <w:tcW w:w="1066" w:type="dxa"/>
            <w:vAlign w:val="center"/>
          </w:tcPr>
          <w:p>
            <w:pPr>
              <w:spacing w:line="240" w:lineRule="auto"/>
              <w:jc w:val="center"/>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6</w:t>
            </w:r>
          </w:p>
        </w:tc>
        <w:tc>
          <w:tcPr>
            <w:tcW w:w="1187" w:type="dxa"/>
            <w:vAlign w:val="center"/>
          </w:tcPr>
          <w:p>
            <w:pPr>
              <w:spacing w:line="240" w:lineRule="auto"/>
              <w:jc w:val="center"/>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260.00</w:t>
            </w:r>
          </w:p>
        </w:tc>
        <w:tc>
          <w:tcPr>
            <w:tcW w:w="1093" w:type="dxa"/>
            <w:vAlign w:val="center"/>
          </w:tcPr>
          <w:p>
            <w:pPr>
              <w:spacing w:line="240" w:lineRule="auto"/>
              <w:rPr>
                <w:rFonts w:hint="default" w:ascii="宋体" w:hAnsi="宋体" w:eastAsia="宋体" w:cs="Times New Roman"/>
                <w:kern w:val="2"/>
                <w:sz w:val="21"/>
                <w:szCs w:val="21"/>
                <w:lang w:val="en-US" w:eastAsia="zh-CN" w:bidi="ar-SA"/>
              </w:rPr>
            </w:pPr>
          </w:p>
        </w:tc>
        <w:tc>
          <w:tcPr>
            <w:tcW w:w="1560" w:type="dxa"/>
            <w:vAlign w:val="center"/>
          </w:tcPr>
          <w:p>
            <w:pPr>
              <w:spacing w:line="240" w:lineRule="auto"/>
              <w:rPr>
                <w:rFonts w:hint="default" w:ascii="宋体" w:hAnsi="宋体" w:eastAsia="宋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4" w:hRule="atLeast"/>
        </w:trPr>
        <w:tc>
          <w:tcPr>
            <w:tcW w:w="1070" w:type="dxa"/>
            <w:vAlign w:val="center"/>
          </w:tcPr>
          <w:p>
            <w:pPr>
              <w:spacing w:line="240" w:lineRule="auto"/>
              <w:jc w:val="center"/>
              <w:rPr>
                <w:rFonts w:ascii="宋体" w:hAnsi="宋体"/>
                <w:b/>
                <w:szCs w:val="21"/>
              </w:rPr>
            </w:pPr>
            <w:r>
              <w:rPr>
                <w:rFonts w:hint="eastAsia" w:ascii="宋体" w:hAnsi="宋体" w:cs="宋体"/>
                <w:b/>
                <w:bCs/>
                <w:lang w:val="en-US" w:eastAsia="zh-CN"/>
              </w:rPr>
              <w:t>3</w:t>
            </w:r>
          </w:p>
        </w:tc>
        <w:tc>
          <w:tcPr>
            <w:tcW w:w="2094" w:type="dxa"/>
            <w:vAlign w:val="center"/>
          </w:tcPr>
          <w:p>
            <w:pPr>
              <w:spacing w:line="240" w:lineRule="auto"/>
              <w:jc w:val="center"/>
              <w:rPr>
                <w:rFonts w:ascii="宋体" w:hAnsi="宋体"/>
                <w:szCs w:val="21"/>
              </w:rPr>
            </w:pPr>
            <w:r>
              <w:rPr>
                <w:rFonts w:hint="eastAsia" w:ascii="宋体" w:hAnsi="宋体" w:cs="宋体"/>
                <w:b/>
                <w:bCs/>
                <w:lang w:val="en-US" w:eastAsia="zh-CN"/>
              </w:rPr>
              <w:t>中间连接管道堵塞疏通</w:t>
            </w:r>
            <w:r>
              <w:rPr>
                <w:rFonts w:hint="eastAsia" w:ascii="宋体" w:hAnsi="宋体"/>
                <w:b/>
                <w:szCs w:val="21"/>
              </w:rPr>
              <w:t xml:space="preserve"> </w:t>
            </w:r>
          </w:p>
        </w:tc>
        <w:tc>
          <w:tcPr>
            <w:tcW w:w="800" w:type="dxa"/>
            <w:vAlign w:val="center"/>
          </w:tcPr>
          <w:p>
            <w:pPr>
              <w:spacing w:line="240" w:lineRule="auto"/>
              <w:jc w:val="center"/>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次</w:t>
            </w:r>
          </w:p>
        </w:tc>
        <w:tc>
          <w:tcPr>
            <w:tcW w:w="1066" w:type="dxa"/>
            <w:vAlign w:val="center"/>
          </w:tcPr>
          <w:p>
            <w:pPr>
              <w:spacing w:line="240" w:lineRule="auto"/>
              <w:jc w:val="center"/>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306</w:t>
            </w:r>
          </w:p>
        </w:tc>
        <w:tc>
          <w:tcPr>
            <w:tcW w:w="1187" w:type="dxa"/>
            <w:vAlign w:val="center"/>
          </w:tcPr>
          <w:p>
            <w:pPr>
              <w:spacing w:line="240" w:lineRule="auto"/>
              <w:jc w:val="center"/>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600.00</w:t>
            </w:r>
          </w:p>
        </w:tc>
        <w:tc>
          <w:tcPr>
            <w:tcW w:w="1093" w:type="dxa"/>
            <w:vAlign w:val="center"/>
          </w:tcPr>
          <w:p>
            <w:pPr>
              <w:spacing w:line="240" w:lineRule="auto"/>
              <w:rPr>
                <w:rFonts w:hint="eastAsia" w:ascii="宋体" w:hAnsi="宋体" w:eastAsia="宋体" w:cs="Times New Roman"/>
                <w:kern w:val="2"/>
                <w:sz w:val="21"/>
                <w:szCs w:val="21"/>
                <w:lang w:val="en-US" w:eastAsia="zh-CN" w:bidi="ar-SA"/>
              </w:rPr>
            </w:pPr>
          </w:p>
        </w:tc>
        <w:tc>
          <w:tcPr>
            <w:tcW w:w="1560" w:type="dxa"/>
            <w:vAlign w:val="center"/>
          </w:tcPr>
          <w:p>
            <w:pPr>
              <w:spacing w:line="240" w:lineRule="auto"/>
              <w:rPr>
                <w:rFonts w:hint="eastAsia" w:ascii="宋体" w:hAnsi="宋体" w:eastAsia="宋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9" w:hRule="atLeast"/>
        </w:trPr>
        <w:tc>
          <w:tcPr>
            <w:tcW w:w="1070" w:type="dxa"/>
            <w:vAlign w:val="center"/>
          </w:tcPr>
          <w:p>
            <w:pPr>
              <w:spacing w:line="420" w:lineRule="exact"/>
              <w:jc w:val="center"/>
              <w:rPr>
                <w:rFonts w:ascii="宋体" w:hAnsi="宋体"/>
                <w:szCs w:val="21"/>
              </w:rPr>
            </w:pPr>
          </w:p>
        </w:tc>
        <w:tc>
          <w:tcPr>
            <w:tcW w:w="6240" w:type="dxa"/>
            <w:gridSpan w:val="5"/>
            <w:vAlign w:val="center"/>
          </w:tcPr>
          <w:p>
            <w:pPr>
              <w:spacing w:line="420" w:lineRule="exact"/>
              <w:jc w:val="center"/>
              <w:rPr>
                <w:rFonts w:ascii="宋体" w:hAnsi="宋体"/>
                <w:szCs w:val="21"/>
              </w:rPr>
            </w:pPr>
            <w:r>
              <w:rPr>
                <w:rFonts w:hint="eastAsia" w:ascii="宋体" w:hAnsi="宋体"/>
                <w:szCs w:val="21"/>
                <w:lang w:val="en-US" w:eastAsia="zh-CN"/>
              </w:rPr>
              <w:t>合 计</w:t>
            </w:r>
            <w:bookmarkStart w:id="259" w:name="_GoBack"/>
            <w:bookmarkEnd w:id="259"/>
          </w:p>
        </w:tc>
        <w:tc>
          <w:tcPr>
            <w:tcW w:w="1560" w:type="dxa"/>
            <w:vAlign w:val="center"/>
          </w:tcPr>
          <w:p>
            <w:pPr>
              <w:spacing w:line="42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3" w:hRule="atLeast"/>
        </w:trPr>
        <w:tc>
          <w:tcPr>
            <w:tcW w:w="1070" w:type="dxa"/>
            <w:vAlign w:val="center"/>
          </w:tcPr>
          <w:p>
            <w:pPr>
              <w:spacing w:line="420" w:lineRule="exact"/>
              <w:jc w:val="center"/>
              <w:rPr>
                <w:rFonts w:hint="eastAsia" w:ascii="宋体" w:hAnsi="宋体" w:eastAsia="宋体"/>
                <w:szCs w:val="21"/>
                <w:lang w:val="en-US" w:eastAsia="zh-CN"/>
              </w:rPr>
            </w:pPr>
            <w:r>
              <w:rPr>
                <w:rFonts w:hint="eastAsia" w:ascii="宋体" w:hAnsi="宋体"/>
                <w:szCs w:val="21"/>
                <w:lang w:val="en-US" w:eastAsia="zh-CN"/>
              </w:rPr>
              <w:t>备 注</w:t>
            </w:r>
          </w:p>
        </w:tc>
        <w:tc>
          <w:tcPr>
            <w:tcW w:w="7800" w:type="dxa"/>
            <w:gridSpan w:val="6"/>
            <w:vAlign w:val="center"/>
          </w:tcPr>
          <w:p>
            <w:pPr>
              <w:spacing w:line="420" w:lineRule="exact"/>
              <w:rPr>
                <w:rFonts w:ascii="宋体" w:hAnsi="宋体"/>
                <w:szCs w:val="21"/>
              </w:rPr>
            </w:pPr>
          </w:p>
        </w:tc>
      </w:tr>
    </w:tbl>
    <w:p>
      <w:pPr>
        <w:pStyle w:val="2"/>
        <w:ind w:left="0" w:leftChars="0"/>
      </w:pPr>
    </w:p>
    <w:p>
      <w:pPr>
        <w:adjustRightInd w:val="0"/>
        <w:snapToGrid w:val="0"/>
        <w:spacing w:line="360" w:lineRule="auto"/>
        <w:ind w:left="-88" w:leftChars="-42"/>
        <w:rPr>
          <w:rFonts w:ascii="宋体" w:hAnsi="宋体"/>
          <w:b/>
          <w:szCs w:val="21"/>
        </w:rPr>
      </w:pPr>
      <w:r>
        <w:rPr>
          <w:rFonts w:hint="eastAsia" w:ascii="宋体" w:hAnsi="宋体"/>
          <w:b/>
          <w:szCs w:val="21"/>
        </w:rPr>
        <w:t>备注：</w:t>
      </w:r>
    </w:p>
    <w:p>
      <w:pPr>
        <w:adjustRightInd w:val="0"/>
        <w:snapToGrid w:val="0"/>
        <w:spacing w:line="24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pStyle w:val="27"/>
        <w:adjustRightInd w:val="0"/>
        <w:snapToGrid w:val="0"/>
        <w:spacing w:line="240" w:lineRule="auto"/>
        <w:ind w:firstLine="422" w:firstLineChars="200"/>
        <w:outlineLvl w:val="0"/>
        <w:rPr>
          <w:rFonts w:hint="eastAsia" w:ascii="宋体" w:hAnsi="宋体"/>
          <w:b/>
          <w:sz w:val="21"/>
          <w:szCs w:val="21"/>
          <w:lang w:val="en-US" w:eastAsia="zh-CN"/>
        </w:rPr>
      </w:pPr>
      <w:bookmarkStart w:id="248" w:name="_Toc8266"/>
      <w:r>
        <w:rPr>
          <w:rFonts w:hint="eastAsia" w:ascii="宋体" w:hAnsi="宋体"/>
          <w:b/>
          <w:sz w:val="21"/>
          <w:szCs w:val="21"/>
        </w:rPr>
        <w:t>2.</w:t>
      </w:r>
      <w:r>
        <w:rPr>
          <w:rFonts w:hint="eastAsia" w:ascii="宋体" w:hAnsi="宋体"/>
          <w:b/>
          <w:sz w:val="21"/>
          <w:szCs w:val="21"/>
          <w:lang w:val="en-US" w:eastAsia="zh-CN"/>
        </w:rPr>
        <w:t>本项目“预估疏通次数”的单价为最高限价单价，不超过最高谈判限价的单价为有效报价。</w:t>
      </w:r>
      <w:bookmarkEnd w:id="248"/>
    </w:p>
    <w:p>
      <w:pPr>
        <w:pStyle w:val="27"/>
        <w:adjustRightInd w:val="0"/>
        <w:snapToGrid w:val="0"/>
        <w:spacing w:line="240" w:lineRule="auto"/>
        <w:ind w:firstLine="422" w:firstLineChars="200"/>
        <w:outlineLvl w:val="0"/>
        <w:rPr>
          <w:rFonts w:ascii="宋体" w:hAnsi="宋体"/>
          <w:sz w:val="21"/>
          <w:szCs w:val="21"/>
        </w:rPr>
      </w:pPr>
      <w:bookmarkStart w:id="249" w:name="_Toc10436"/>
      <w:r>
        <w:rPr>
          <w:rFonts w:hint="eastAsia" w:ascii="宋体" w:hAnsi="宋体"/>
          <w:b/>
          <w:sz w:val="21"/>
          <w:szCs w:val="21"/>
          <w:lang w:val="en-US" w:eastAsia="zh-CN"/>
        </w:rPr>
        <w:t>3.此表中“预估疏通次数”不作为最终的疏通次数（具体详见用户需求书），《分项价格表》中合计金额应与《报价一览表》内“谈判总报价”金额一致。</w:t>
      </w:r>
      <w:bookmarkEnd w:id="249"/>
    </w:p>
    <w:p>
      <w:pPr>
        <w:pStyle w:val="27"/>
        <w:adjustRightInd w:val="0"/>
        <w:snapToGrid w:val="0"/>
        <w:spacing w:line="360" w:lineRule="auto"/>
        <w:outlineLvl w:val="0"/>
        <w:rPr>
          <w:rFonts w:ascii="宋体" w:hAnsi="宋体"/>
          <w:sz w:val="21"/>
          <w:szCs w:val="21"/>
        </w:rPr>
      </w:pPr>
    </w:p>
    <w:p>
      <w:pPr>
        <w:pStyle w:val="27"/>
        <w:adjustRightInd w:val="0"/>
        <w:snapToGrid w:val="0"/>
        <w:spacing w:line="360" w:lineRule="auto"/>
        <w:ind w:firstLine="420" w:firstLineChars="200"/>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ind w:firstLine="420" w:firstLineChars="200"/>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auto"/>
        <w:ind w:firstLine="420" w:firstLineChars="200"/>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宋体" w:hAnsi="宋体"/>
          <w:b/>
          <w:szCs w:val="21"/>
        </w:rPr>
      </w:pPr>
    </w:p>
    <w:p>
      <w:pPr>
        <w:adjustRightInd w:val="0"/>
        <w:snapToGrid w:val="0"/>
        <w:jc w:val="center"/>
        <w:rPr>
          <w:rFonts w:ascii="黑体" w:hAnsi="宋体" w:eastAsia="黑体"/>
          <w:b/>
          <w:sz w:val="32"/>
          <w:szCs w:val="32"/>
        </w:rPr>
        <w:sectPr>
          <w:pgSz w:w="11906" w:h="16838"/>
          <w:pgMar w:top="1440" w:right="1797" w:bottom="1440" w:left="1797" w:header="851" w:footer="992" w:gutter="0"/>
          <w:cols w:space="720" w:num="1"/>
          <w:docGrid w:type="lines" w:linePitch="312" w:charSpace="0"/>
        </w:sectPr>
      </w:pPr>
    </w:p>
    <w:p>
      <w:pPr>
        <w:adjustRightInd w:val="0"/>
        <w:snapToGrid w:val="0"/>
        <w:spacing w:line="360" w:lineRule="auto"/>
        <w:ind w:right="24"/>
        <w:jc w:val="center"/>
        <w:outlineLvl w:val="1"/>
        <w:rPr>
          <w:rFonts w:ascii="宋体" w:hAnsi="宋体" w:cs="宋体"/>
          <w:b/>
          <w:sz w:val="32"/>
          <w:szCs w:val="32"/>
        </w:rPr>
      </w:pPr>
      <w:bookmarkStart w:id="250" w:name="_Toc22739"/>
      <w:bookmarkStart w:id="251" w:name="_Toc27585"/>
      <w:bookmarkStart w:id="252" w:name="_Toc9077"/>
      <w:bookmarkStart w:id="253" w:name="_Toc27918"/>
      <w:bookmarkStart w:id="254" w:name="_Toc16688"/>
      <w:r>
        <w:rPr>
          <w:rFonts w:hint="eastAsia" w:ascii="宋体" w:hAnsi="宋体" w:cs="宋体"/>
          <w:b/>
          <w:sz w:val="32"/>
          <w:szCs w:val="32"/>
          <w:lang w:val="en-US" w:eastAsia="zh-CN"/>
        </w:rPr>
        <w:t>八</w:t>
      </w:r>
      <w:r>
        <w:rPr>
          <w:rFonts w:hint="eastAsia" w:ascii="宋体" w:hAnsi="宋体" w:cs="宋体"/>
          <w:b/>
          <w:sz w:val="32"/>
          <w:szCs w:val="32"/>
        </w:rPr>
        <w:t>、其他资料</w:t>
      </w:r>
      <w:bookmarkEnd w:id="250"/>
      <w:bookmarkEnd w:id="251"/>
      <w:bookmarkEnd w:id="252"/>
      <w:r>
        <w:rPr>
          <w:rFonts w:hint="eastAsia" w:ascii="宋体" w:hAnsi="宋体" w:cs="宋体"/>
          <w:b/>
          <w:sz w:val="32"/>
          <w:szCs w:val="32"/>
        </w:rPr>
        <w:t>（如有）</w:t>
      </w:r>
      <w:bookmarkEnd w:id="253"/>
      <w:bookmarkEnd w:id="254"/>
    </w:p>
    <w:p>
      <w:pPr>
        <w:adjustRightInd w:val="0"/>
        <w:snapToGrid w:val="0"/>
        <w:spacing w:before="156" w:beforeLines="50" w:line="360" w:lineRule="auto"/>
        <w:ind w:firstLine="420" w:firstLineChars="200"/>
        <w:jc w:val="left"/>
        <w:rPr>
          <w:rFonts w:ascii="宋体" w:hAnsi="宋体"/>
          <w:szCs w:val="21"/>
        </w:rPr>
      </w:pPr>
      <w:bookmarkStart w:id="255" w:name="_Toc18188"/>
      <w:bookmarkStart w:id="256" w:name="_Toc10648"/>
      <w:bookmarkStart w:id="257" w:name="_Toc22084"/>
      <w:bookmarkStart w:id="258" w:name="_Toc5412"/>
      <w:r>
        <w:rPr>
          <w:rFonts w:hint="eastAsia" w:ascii="宋体" w:hAnsi="宋体"/>
          <w:szCs w:val="21"/>
        </w:rPr>
        <w:t>谈判单位认为需要提供的其他报价资料，格式自拟。</w:t>
      </w:r>
      <w:bookmarkEnd w:id="255"/>
      <w:bookmarkEnd w:id="256"/>
      <w:bookmarkEnd w:id="257"/>
      <w:bookmarkEnd w:id="258"/>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659268109"/>
                          </w:sdtPr>
                          <w:sdtContent>
                            <w:p>
                              <w:pPr>
                                <w:pStyle w:val="30"/>
                                <w:jc w:val="center"/>
                              </w:pPr>
                              <w:r>
                                <w:fldChar w:fldCharType="begin"/>
                              </w:r>
                              <w:r>
                                <w:instrText xml:space="preserve">PAGE   \* MERGEFORMAT</w:instrText>
                              </w:r>
                              <w:r>
                                <w:fldChar w:fldCharType="separate"/>
                              </w:r>
                              <w:r>
                                <w:rPr>
                                  <w:lang w:val="zh-CN"/>
                                </w:rPr>
                                <w:t>11</w:t>
                              </w:r>
                              <w:r>
                                <w:rPr>
                                  <w:lang w:val="zh-CN"/>
                                </w:rPr>
                                <w:fldChar w:fldCharType="end"/>
                              </w:r>
                            </w:p>
                          </w:sdtContent>
                        </w:sdt>
                        <w:p>
                          <w:pPr>
                            <w:pStyle w:val="2"/>
                          </w:pP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4CWacEBAACO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W8&#10;zvr0AWpMewiYmIY7P2Du7Ad0ZtqDijZ/kRDBOKp7vqorh0REfrRerdcVhgTG5gvis8fnIUJ6K70l&#10;2WhoxPEVVfnpPaQxdU7J1Zy/18aUERr3lwMxs4fl3sces5WG/TAR2vv2jHx6nHxDHS46JeadQ2Hz&#10;ksxGnI39ZOQaEG6PCQuXfjLqCDUVwzEVRtNK5T34816yHn+j7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o4CWacEBAACOAwAADgAAAAAAAAABACAAAAAeAQAAZHJzL2Uyb0RvYy54bWxQSwUG&#10;AAAAAAYABgBZAQAAUQUAAAAA&#10;">
              <v:fill on="f" focussize="0,0"/>
              <v:stroke on="f"/>
              <v:imagedata o:title=""/>
              <o:lock v:ext="edit" aspectratio="f"/>
              <v:textbox inset="0mm,0mm,0mm,0mm" style="mso-fit-shape-to-text:t;">
                <w:txbxContent>
                  <w:sdt>
                    <w:sdtPr>
                      <w:id w:val="1659268109"/>
                    </w:sdtPr>
                    <w:sdtContent>
                      <w:p>
                        <w:pPr>
                          <w:pStyle w:val="30"/>
                          <w:jc w:val="center"/>
                        </w:pPr>
                        <w:r>
                          <w:fldChar w:fldCharType="begin"/>
                        </w:r>
                        <w:r>
                          <w:instrText xml:space="preserve">PAGE   \* MERGEFORMAT</w:instrText>
                        </w:r>
                        <w:r>
                          <w:fldChar w:fldCharType="separate"/>
                        </w:r>
                        <w:r>
                          <w:rPr>
                            <w:lang w:val="zh-CN"/>
                          </w:rPr>
                          <w:t>11</w:t>
                        </w:r>
                        <w:r>
                          <w:rPr>
                            <w:lang w:val="zh-CN"/>
                          </w:rPr>
                          <w:fldChar w:fldCharType="end"/>
                        </w:r>
                      </w:p>
                    </w:sdtContent>
                  </w:sdt>
                  <w:p>
                    <w:pPr>
                      <w:pStyle w:val="2"/>
                    </w:pPr>
                  </w:p>
                </w:txbxContent>
              </v:textbox>
            </v:shape>
          </w:pict>
        </mc:Fallback>
      </mc:AlternateContent>
    </w: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1816411"/>
                          </w:sdtPr>
                          <w:sdtContent>
                            <w:p>
                              <w:pPr>
                                <w:pStyle w:val="30"/>
                                <w:jc w:val="center"/>
                              </w:pPr>
                              <w:r>
                                <w:fldChar w:fldCharType="begin"/>
                              </w:r>
                              <w:r>
                                <w:instrText xml:space="preserve">PAGE   \* MERGEFORMAT</w:instrText>
                              </w:r>
                              <w:r>
                                <w:fldChar w:fldCharType="separate"/>
                              </w:r>
                              <w:r>
                                <w:rPr>
                                  <w:lang w:val="zh-CN"/>
                                </w:rPr>
                                <w:t>14</w:t>
                              </w:r>
                              <w:r>
                                <w:rPr>
                                  <w:lang w:val="zh-CN"/>
                                </w:rPr>
                                <w:fldChar w:fldCharType="end"/>
                              </w:r>
                            </w:p>
                          </w:sdtContent>
                        </w:sdt>
                        <w:p>
                          <w:pPr>
                            <w:pStyle w:val="2"/>
                          </w:pP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cdx8IBAACO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LShy3OPHzzx/nX4/nh+/k&#10;TdanD1Bj2l3AxDS89wPmzn5AZ6Y9qGjzFwkRjKO6p4u6ckhE5Eer5WpVYUhgbL4gPnt6HiKkD9Jb&#10;ko2GRhxfUZUfP0EaU+eUXM35W21MGaFxfzkQM3tY7n3sMVtp2A0ToZ1vT8inx8k31OGiU2I+OhQ2&#10;L8lsxNnYTUauAeHdIWHh0k9GHaGmYjimwmhaqbwHf95L1tNvtP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bHHcfCAQAAjgMAAA4AAAAAAAAAAQAgAAAAHgEAAGRycy9lMm9Eb2MueG1sUEsF&#10;BgAAAAAGAAYAWQEAAFIFAAAAAA==&#10;">
              <v:fill on="f" focussize="0,0"/>
              <v:stroke on="f"/>
              <v:imagedata o:title=""/>
              <o:lock v:ext="edit" aspectratio="f"/>
              <v:textbox inset="0mm,0mm,0mm,0mm" style="mso-fit-shape-to-text:t;">
                <w:txbxContent>
                  <w:sdt>
                    <w:sdtPr>
                      <w:id w:val="11816411"/>
                    </w:sdtPr>
                    <w:sdtContent>
                      <w:p>
                        <w:pPr>
                          <w:pStyle w:val="30"/>
                          <w:jc w:val="center"/>
                        </w:pPr>
                        <w:r>
                          <w:fldChar w:fldCharType="begin"/>
                        </w:r>
                        <w:r>
                          <w:instrText xml:space="preserve">PAGE   \* MERGEFORMAT</w:instrText>
                        </w:r>
                        <w:r>
                          <w:fldChar w:fldCharType="separate"/>
                        </w:r>
                        <w:r>
                          <w:rPr>
                            <w:lang w:val="zh-CN"/>
                          </w:rPr>
                          <w:t>14</w:t>
                        </w:r>
                        <w:r>
                          <w:rPr>
                            <w:lang w:val="zh-CN"/>
                          </w:rPr>
                          <w:fldChar w:fldCharType="end"/>
                        </w:r>
                      </w:p>
                    </w:sdtContent>
                  </w:sdt>
                  <w:p>
                    <w:pPr>
                      <w:pStyle w:val="2"/>
                    </w:pPr>
                  </w:p>
                </w:txbxContent>
              </v:textbox>
            </v:shape>
          </w:pict>
        </mc:Fallback>
      </mc:AlternateContent>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Rc6QtxgEAAJwDAAAOAAAAAAAAAAEAIAAAAB4BAABkcnMvZTJvRG9jLnht&#10;bFBLBQYAAAAABgAGAFkBAABWBQAAAAA=&#10;">
              <v:fill on="f" focussize="0,0"/>
              <v:stroke on="f"/>
              <v:imagedata o:title=""/>
              <o:lock v:ext="edit" aspectratio="f"/>
              <v:textbox inset="0mm,0mm,0mm,0mm" style="mso-fit-shape-to-text:t;">
                <w:txbxContent>
                  <w:p>
                    <w:pPr>
                      <w:pStyle w:val="3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4S+80BAACp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4S+80BAACpAwAADgAAAAAAAAABACAAAAAeAQAAZHJzL2Uy&#10;b0RvYy54bWxQSwUGAAAAAAYABgBZAQAAXQUAAAAA&#10;">
              <v:fill on="f" focussize="0,0"/>
              <v:stroke on="f"/>
              <v:imagedata o:title=""/>
              <o:lock v:ext="edit" aspectratio="f"/>
              <v:textbox inset="0mm,0mm,0mm,0mm" style="mso-fit-shape-to-text:t;">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wordWrap w:val="0"/>
      <w:rPr>
        <w:rFonts w:hint="eastAsia" w:ascii="宋体" w:hAnsi="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280" w:firstLineChars="100"/>
      <w:rPr>
        <w:rFonts w:ascii="宋体" w:hAnsi="宋体"/>
        <w:sz w:val="28"/>
        <w:szCs w:val="28"/>
      </w:rPr>
    </w:pPr>
    <w:r>
      <w:rPr>
        <w:rStyle w:val="50"/>
        <w:rFonts w:hint="eastAsia"/>
        <w:sz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w:t>
    </w:r>
    <w:r>
      <w:rPr>
        <w:rStyle w:val="50"/>
        <w:rFonts w:hint="eastAsia"/>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FFFFFF" w:sz="6"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DF27C3"/>
    <w:multiLevelType w:val="singleLevel"/>
    <w:tmpl w:val="CBDF27C3"/>
    <w:lvl w:ilvl="0" w:tentative="0">
      <w:start w:val="1"/>
      <w:numFmt w:val="decimal"/>
      <w:lvlText w:val="%1."/>
      <w:lvlJc w:val="left"/>
      <w:pPr>
        <w:tabs>
          <w:tab w:val="left" w:pos="312"/>
        </w:tabs>
      </w:pPr>
    </w:lvl>
  </w:abstractNum>
  <w:abstractNum w:abstractNumId="1">
    <w:nsid w:val="FE293A88"/>
    <w:multiLevelType w:val="singleLevel"/>
    <w:tmpl w:val="FE293A88"/>
    <w:lvl w:ilvl="0" w:tentative="0">
      <w:start w:val="3"/>
      <w:numFmt w:val="chineseCounting"/>
      <w:pStyle w:val="358"/>
      <w:suff w:val="nothing"/>
      <w:lvlText w:val="%1、"/>
      <w:lvlJc w:val="left"/>
      <w:rPr>
        <w:rFonts w:hint="eastAsia"/>
      </w:rPr>
    </w:lvl>
  </w:abstractNum>
  <w:abstractNum w:abstractNumId="2">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3">
    <w:nsid w:val="0D1516BE"/>
    <w:multiLevelType w:val="multilevel"/>
    <w:tmpl w:val="0D1516BE"/>
    <w:lvl w:ilvl="0" w:tentative="0">
      <w:start w:val="1"/>
      <w:numFmt w:val="chineseCountingThousand"/>
      <w:pStyle w:val="362"/>
      <w:suff w:val="space"/>
      <w:lvlText w:val="(%1)"/>
      <w:lvlJc w:val="left"/>
      <w:pPr>
        <w:ind w:left="640" w:firstLine="0"/>
      </w:pPr>
      <w:rPr>
        <w:rFonts w:hint="eastAsia" w:ascii="楷体_GB2312" w:eastAsia="楷体_GB2312"/>
        <w:sz w:val="32"/>
        <w:szCs w:val="32"/>
      </w:rPr>
    </w:lvl>
    <w:lvl w:ilvl="1" w:tentative="0">
      <w:start w:val="1"/>
      <w:numFmt w:val="lowerLetter"/>
      <w:pStyle w:val="357"/>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516015"/>
    <w:multiLevelType w:val="multilevel"/>
    <w:tmpl w:val="16516015"/>
    <w:lvl w:ilvl="0" w:tentative="0">
      <w:start w:val="1"/>
      <w:numFmt w:val="chineseCountingThousand"/>
      <w:pStyle w:val="360"/>
      <w:suff w:val="space"/>
      <w:lvlText w:val="(%1)"/>
      <w:lvlJc w:val="left"/>
      <w:pPr>
        <w:ind w:left="0" w:firstLine="0"/>
      </w:pPr>
      <w:rPr>
        <w:rFonts w:hint="eastAsia" w:ascii="楷体_GB2312" w:eastAsia="楷体_GB2312"/>
        <w:sz w:val="32"/>
        <w:szCs w:val="32"/>
      </w:rPr>
    </w:lvl>
    <w:lvl w:ilvl="1" w:tentative="0">
      <w:start w:val="1"/>
      <w:numFmt w:val="lowerLetter"/>
      <w:pStyle w:val="359"/>
      <w:lvlText w:val="%2)"/>
      <w:lvlJc w:val="left"/>
      <w:pPr>
        <w:ind w:left="840" w:hanging="420"/>
      </w:pPr>
    </w:lvl>
    <w:lvl w:ilvl="2" w:tentative="0">
      <w:start w:val="1"/>
      <w:numFmt w:val="lowerRoman"/>
      <w:pStyle w:val="36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8248D8C"/>
    <w:multiLevelType w:val="singleLevel"/>
    <w:tmpl w:val="38248D8C"/>
    <w:lvl w:ilvl="0" w:tentative="0">
      <w:start w:val="3"/>
      <w:numFmt w:val="chineseCounting"/>
      <w:suff w:val="nothing"/>
      <w:lvlText w:val="%1、"/>
      <w:lvlJc w:val="left"/>
      <w:rPr>
        <w:rFonts w:hint="eastAsia"/>
      </w:rPr>
    </w:lvl>
  </w:abstractNum>
  <w:abstractNum w:abstractNumId="6">
    <w:nsid w:val="653328B1"/>
    <w:multiLevelType w:val="singleLevel"/>
    <w:tmpl w:val="653328B1"/>
    <w:lvl w:ilvl="0" w:tentative="0">
      <w:start w:val="7"/>
      <w:numFmt w:val="chineseCounting"/>
      <w:suff w:val="nothing"/>
      <w:lvlText w:val="%1、"/>
      <w:lvlJc w:val="left"/>
      <w:rPr>
        <w:rFonts w:hint="eastAsia"/>
      </w:rPr>
    </w:lvl>
  </w:abstractNum>
  <w:abstractNum w:abstractNumId="7">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3"/>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2"/>
  </w:num>
  <w:num w:numId="2">
    <w:abstractNumId w:val="3"/>
  </w:num>
  <w:num w:numId="3">
    <w:abstractNumId w:val="1"/>
  </w:num>
  <w:num w:numId="4">
    <w:abstractNumId w:val="4"/>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4A"/>
    <w:rsid w:val="00005EC9"/>
    <w:rsid w:val="00006D21"/>
    <w:rsid w:val="00016902"/>
    <w:rsid w:val="000274C6"/>
    <w:rsid w:val="00052640"/>
    <w:rsid w:val="00063D15"/>
    <w:rsid w:val="00074928"/>
    <w:rsid w:val="00091C9D"/>
    <w:rsid w:val="000C106E"/>
    <w:rsid w:val="000C21C5"/>
    <w:rsid w:val="000E0193"/>
    <w:rsid w:val="000E7968"/>
    <w:rsid w:val="000F4DE1"/>
    <w:rsid w:val="00115FE6"/>
    <w:rsid w:val="00116BAE"/>
    <w:rsid w:val="001453A1"/>
    <w:rsid w:val="00162D59"/>
    <w:rsid w:val="00186162"/>
    <w:rsid w:val="0019086A"/>
    <w:rsid w:val="001A797B"/>
    <w:rsid w:val="001C23BF"/>
    <w:rsid w:val="001D6D72"/>
    <w:rsid w:val="001E02FE"/>
    <w:rsid w:val="002067E8"/>
    <w:rsid w:val="002069C8"/>
    <w:rsid w:val="00207D7C"/>
    <w:rsid w:val="002117C9"/>
    <w:rsid w:val="002139EB"/>
    <w:rsid w:val="0022188F"/>
    <w:rsid w:val="00222DFA"/>
    <w:rsid w:val="00230A1A"/>
    <w:rsid w:val="002314A3"/>
    <w:rsid w:val="002371E9"/>
    <w:rsid w:val="00237FEC"/>
    <w:rsid w:val="002504FF"/>
    <w:rsid w:val="002523FD"/>
    <w:rsid w:val="0025312F"/>
    <w:rsid w:val="00255546"/>
    <w:rsid w:val="00286014"/>
    <w:rsid w:val="002B1D56"/>
    <w:rsid w:val="002F262C"/>
    <w:rsid w:val="00306794"/>
    <w:rsid w:val="003102A2"/>
    <w:rsid w:val="003252A0"/>
    <w:rsid w:val="003268C0"/>
    <w:rsid w:val="00331810"/>
    <w:rsid w:val="003469C0"/>
    <w:rsid w:val="00357CE8"/>
    <w:rsid w:val="00372ECC"/>
    <w:rsid w:val="00375CC4"/>
    <w:rsid w:val="00380064"/>
    <w:rsid w:val="00381105"/>
    <w:rsid w:val="00381BB4"/>
    <w:rsid w:val="003958B2"/>
    <w:rsid w:val="0039632C"/>
    <w:rsid w:val="003B1109"/>
    <w:rsid w:val="003D080C"/>
    <w:rsid w:val="003D6204"/>
    <w:rsid w:val="003F46A7"/>
    <w:rsid w:val="004014FD"/>
    <w:rsid w:val="004129B9"/>
    <w:rsid w:val="00423B85"/>
    <w:rsid w:val="004263EB"/>
    <w:rsid w:val="00426543"/>
    <w:rsid w:val="00453EE9"/>
    <w:rsid w:val="0046304B"/>
    <w:rsid w:val="00473865"/>
    <w:rsid w:val="0048093D"/>
    <w:rsid w:val="00495DBC"/>
    <w:rsid w:val="00495F57"/>
    <w:rsid w:val="004978CA"/>
    <w:rsid w:val="004A3B1E"/>
    <w:rsid w:val="004B3D80"/>
    <w:rsid w:val="004B41B1"/>
    <w:rsid w:val="00504DED"/>
    <w:rsid w:val="00526589"/>
    <w:rsid w:val="00545140"/>
    <w:rsid w:val="0055214F"/>
    <w:rsid w:val="005556A5"/>
    <w:rsid w:val="0056117D"/>
    <w:rsid w:val="0056143E"/>
    <w:rsid w:val="005837A3"/>
    <w:rsid w:val="0058754B"/>
    <w:rsid w:val="005901FF"/>
    <w:rsid w:val="005B35B9"/>
    <w:rsid w:val="005C688B"/>
    <w:rsid w:val="005E6BBB"/>
    <w:rsid w:val="005F3CDF"/>
    <w:rsid w:val="00607C42"/>
    <w:rsid w:val="00632112"/>
    <w:rsid w:val="00641E72"/>
    <w:rsid w:val="00642B10"/>
    <w:rsid w:val="00654D1D"/>
    <w:rsid w:val="0066697A"/>
    <w:rsid w:val="00677C6C"/>
    <w:rsid w:val="0068504A"/>
    <w:rsid w:val="0068515F"/>
    <w:rsid w:val="00687C87"/>
    <w:rsid w:val="006B467A"/>
    <w:rsid w:val="006B6300"/>
    <w:rsid w:val="006D0A13"/>
    <w:rsid w:val="006E025D"/>
    <w:rsid w:val="006F5FAC"/>
    <w:rsid w:val="00707592"/>
    <w:rsid w:val="0070784A"/>
    <w:rsid w:val="00730CC6"/>
    <w:rsid w:val="00740D0D"/>
    <w:rsid w:val="007656DC"/>
    <w:rsid w:val="007821C6"/>
    <w:rsid w:val="0078370F"/>
    <w:rsid w:val="00793ABB"/>
    <w:rsid w:val="0079784E"/>
    <w:rsid w:val="007D0446"/>
    <w:rsid w:val="007F3811"/>
    <w:rsid w:val="00802770"/>
    <w:rsid w:val="0081382B"/>
    <w:rsid w:val="00820369"/>
    <w:rsid w:val="0084147A"/>
    <w:rsid w:val="00842E06"/>
    <w:rsid w:val="0084367C"/>
    <w:rsid w:val="008511F3"/>
    <w:rsid w:val="00864C78"/>
    <w:rsid w:val="00884CC5"/>
    <w:rsid w:val="008B6242"/>
    <w:rsid w:val="008C7C9F"/>
    <w:rsid w:val="008D7CB4"/>
    <w:rsid w:val="00901FFA"/>
    <w:rsid w:val="00915948"/>
    <w:rsid w:val="00923E97"/>
    <w:rsid w:val="009407F4"/>
    <w:rsid w:val="009955C7"/>
    <w:rsid w:val="009A5642"/>
    <w:rsid w:val="009B5270"/>
    <w:rsid w:val="009C10AF"/>
    <w:rsid w:val="009D41D7"/>
    <w:rsid w:val="009D7D4A"/>
    <w:rsid w:val="009E03FD"/>
    <w:rsid w:val="009E2384"/>
    <w:rsid w:val="00A34DC1"/>
    <w:rsid w:val="00A41E73"/>
    <w:rsid w:val="00A46FA2"/>
    <w:rsid w:val="00A618F2"/>
    <w:rsid w:val="00A61CCE"/>
    <w:rsid w:val="00A718F4"/>
    <w:rsid w:val="00A92B7C"/>
    <w:rsid w:val="00AA1709"/>
    <w:rsid w:val="00AA21B6"/>
    <w:rsid w:val="00AB013C"/>
    <w:rsid w:val="00AB1434"/>
    <w:rsid w:val="00AC26D2"/>
    <w:rsid w:val="00AD0A1B"/>
    <w:rsid w:val="00AD758B"/>
    <w:rsid w:val="00AF11ED"/>
    <w:rsid w:val="00B01BA0"/>
    <w:rsid w:val="00B2613B"/>
    <w:rsid w:val="00B74689"/>
    <w:rsid w:val="00B82298"/>
    <w:rsid w:val="00B832A9"/>
    <w:rsid w:val="00B92FA2"/>
    <w:rsid w:val="00BD47EB"/>
    <w:rsid w:val="00BD51DE"/>
    <w:rsid w:val="00BE15B5"/>
    <w:rsid w:val="00C0069B"/>
    <w:rsid w:val="00C1468A"/>
    <w:rsid w:val="00C20479"/>
    <w:rsid w:val="00C21D69"/>
    <w:rsid w:val="00C24579"/>
    <w:rsid w:val="00C26D33"/>
    <w:rsid w:val="00C34E11"/>
    <w:rsid w:val="00C5139E"/>
    <w:rsid w:val="00C532E5"/>
    <w:rsid w:val="00C57914"/>
    <w:rsid w:val="00C6008B"/>
    <w:rsid w:val="00C65729"/>
    <w:rsid w:val="00C758E3"/>
    <w:rsid w:val="00CB534B"/>
    <w:rsid w:val="00CE51F2"/>
    <w:rsid w:val="00CE631C"/>
    <w:rsid w:val="00CE703D"/>
    <w:rsid w:val="00CF0192"/>
    <w:rsid w:val="00CF040C"/>
    <w:rsid w:val="00D069C6"/>
    <w:rsid w:val="00D06F8A"/>
    <w:rsid w:val="00D164FE"/>
    <w:rsid w:val="00D31733"/>
    <w:rsid w:val="00D43330"/>
    <w:rsid w:val="00D45708"/>
    <w:rsid w:val="00D6362F"/>
    <w:rsid w:val="00D84A7F"/>
    <w:rsid w:val="00D95761"/>
    <w:rsid w:val="00D958E3"/>
    <w:rsid w:val="00DA51BD"/>
    <w:rsid w:val="00DE5673"/>
    <w:rsid w:val="00DF363F"/>
    <w:rsid w:val="00E04FD6"/>
    <w:rsid w:val="00E24889"/>
    <w:rsid w:val="00E32EEF"/>
    <w:rsid w:val="00E342DB"/>
    <w:rsid w:val="00E5084D"/>
    <w:rsid w:val="00E60C44"/>
    <w:rsid w:val="00E74692"/>
    <w:rsid w:val="00E761DC"/>
    <w:rsid w:val="00E77817"/>
    <w:rsid w:val="00E944EE"/>
    <w:rsid w:val="00EC7F43"/>
    <w:rsid w:val="00EF6911"/>
    <w:rsid w:val="00F00894"/>
    <w:rsid w:val="00F13723"/>
    <w:rsid w:val="00F175B5"/>
    <w:rsid w:val="00F338DB"/>
    <w:rsid w:val="00F37996"/>
    <w:rsid w:val="00F410E0"/>
    <w:rsid w:val="00F52B22"/>
    <w:rsid w:val="00F579E9"/>
    <w:rsid w:val="00FA17B5"/>
    <w:rsid w:val="00FA6734"/>
    <w:rsid w:val="00FD23AB"/>
    <w:rsid w:val="00FE331E"/>
    <w:rsid w:val="00FE3699"/>
    <w:rsid w:val="00FE6AFF"/>
    <w:rsid w:val="01375331"/>
    <w:rsid w:val="01403F6F"/>
    <w:rsid w:val="014D6F55"/>
    <w:rsid w:val="01932790"/>
    <w:rsid w:val="01EA6EEC"/>
    <w:rsid w:val="01F95304"/>
    <w:rsid w:val="021B19D1"/>
    <w:rsid w:val="02263AD9"/>
    <w:rsid w:val="024C0DC0"/>
    <w:rsid w:val="02787973"/>
    <w:rsid w:val="02787D91"/>
    <w:rsid w:val="029A1968"/>
    <w:rsid w:val="02AB7973"/>
    <w:rsid w:val="02BF5617"/>
    <w:rsid w:val="02FB4FEB"/>
    <w:rsid w:val="03727DAF"/>
    <w:rsid w:val="03D41287"/>
    <w:rsid w:val="03F31A5E"/>
    <w:rsid w:val="03F91117"/>
    <w:rsid w:val="03FC0CEA"/>
    <w:rsid w:val="04240981"/>
    <w:rsid w:val="042B3AFB"/>
    <w:rsid w:val="04EE0D07"/>
    <w:rsid w:val="054E6891"/>
    <w:rsid w:val="05EB6762"/>
    <w:rsid w:val="05F777CC"/>
    <w:rsid w:val="061842D1"/>
    <w:rsid w:val="067428EB"/>
    <w:rsid w:val="067B6F39"/>
    <w:rsid w:val="06AD62E4"/>
    <w:rsid w:val="06D605B3"/>
    <w:rsid w:val="070C68F7"/>
    <w:rsid w:val="071C6A43"/>
    <w:rsid w:val="072B22BC"/>
    <w:rsid w:val="074A7874"/>
    <w:rsid w:val="074C43F1"/>
    <w:rsid w:val="07650D5D"/>
    <w:rsid w:val="07A76048"/>
    <w:rsid w:val="07A77438"/>
    <w:rsid w:val="07B16F85"/>
    <w:rsid w:val="08232382"/>
    <w:rsid w:val="082F5114"/>
    <w:rsid w:val="083D23B2"/>
    <w:rsid w:val="086136BB"/>
    <w:rsid w:val="08786792"/>
    <w:rsid w:val="08807627"/>
    <w:rsid w:val="08832554"/>
    <w:rsid w:val="089F6734"/>
    <w:rsid w:val="09322AD0"/>
    <w:rsid w:val="093252EE"/>
    <w:rsid w:val="09422E59"/>
    <w:rsid w:val="094A4EE7"/>
    <w:rsid w:val="0959407C"/>
    <w:rsid w:val="095E38C5"/>
    <w:rsid w:val="097D1C20"/>
    <w:rsid w:val="09811B96"/>
    <w:rsid w:val="098A3350"/>
    <w:rsid w:val="09A23D38"/>
    <w:rsid w:val="09AB154E"/>
    <w:rsid w:val="09E20D7C"/>
    <w:rsid w:val="0A2948BE"/>
    <w:rsid w:val="0A316A36"/>
    <w:rsid w:val="0A451CA7"/>
    <w:rsid w:val="0A634F0B"/>
    <w:rsid w:val="0AE24958"/>
    <w:rsid w:val="0AF74A1D"/>
    <w:rsid w:val="0B4432D5"/>
    <w:rsid w:val="0B590F4A"/>
    <w:rsid w:val="0B8511E8"/>
    <w:rsid w:val="0B9713C4"/>
    <w:rsid w:val="0BAA700E"/>
    <w:rsid w:val="0BEB10E2"/>
    <w:rsid w:val="0C1A66D1"/>
    <w:rsid w:val="0C411CD0"/>
    <w:rsid w:val="0C5B1FA9"/>
    <w:rsid w:val="0C833386"/>
    <w:rsid w:val="0C8E4136"/>
    <w:rsid w:val="0CA062F8"/>
    <w:rsid w:val="0CED2457"/>
    <w:rsid w:val="0D2C1377"/>
    <w:rsid w:val="0D5C5AB2"/>
    <w:rsid w:val="0D614F04"/>
    <w:rsid w:val="0D6A4C3D"/>
    <w:rsid w:val="0D6B79A8"/>
    <w:rsid w:val="0DBD7268"/>
    <w:rsid w:val="0DCC335E"/>
    <w:rsid w:val="0DF87606"/>
    <w:rsid w:val="0E04554D"/>
    <w:rsid w:val="0E0C0187"/>
    <w:rsid w:val="0E1253A7"/>
    <w:rsid w:val="0E94477A"/>
    <w:rsid w:val="0EBC2000"/>
    <w:rsid w:val="0F143C2E"/>
    <w:rsid w:val="0F340DCE"/>
    <w:rsid w:val="0F3918CC"/>
    <w:rsid w:val="0F397095"/>
    <w:rsid w:val="0FD663C6"/>
    <w:rsid w:val="0FD74C28"/>
    <w:rsid w:val="0FEA3549"/>
    <w:rsid w:val="0FED06EC"/>
    <w:rsid w:val="1008523D"/>
    <w:rsid w:val="100F1E49"/>
    <w:rsid w:val="10190CBD"/>
    <w:rsid w:val="102D14D1"/>
    <w:rsid w:val="10A05079"/>
    <w:rsid w:val="10D355A2"/>
    <w:rsid w:val="11342822"/>
    <w:rsid w:val="1165541F"/>
    <w:rsid w:val="117935E0"/>
    <w:rsid w:val="118640B3"/>
    <w:rsid w:val="121F52D5"/>
    <w:rsid w:val="12321665"/>
    <w:rsid w:val="126C7EC0"/>
    <w:rsid w:val="1277417D"/>
    <w:rsid w:val="12BE7F96"/>
    <w:rsid w:val="12E70400"/>
    <w:rsid w:val="12F745E0"/>
    <w:rsid w:val="12F96D8F"/>
    <w:rsid w:val="1342515B"/>
    <w:rsid w:val="1356443E"/>
    <w:rsid w:val="1360694E"/>
    <w:rsid w:val="136253A7"/>
    <w:rsid w:val="136544CD"/>
    <w:rsid w:val="13A72C3B"/>
    <w:rsid w:val="13A934D3"/>
    <w:rsid w:val="13C0328F"/>
    <w:rsid w:val="13C719E1"/>
    <w:rsid w:val="13DC2553"/>
    <w:rsid w:val="14215CAB"/>
    <w:rsid w:val="149B2B25"/>
    <w:rsid w:val="157939BE"/>
    <w:rsid w:val="15B360ED"/>
    <w:rsid w:val="15B83B76"/>
    <w:rsid w:val="15F25C65"/>
    <w:rsid w:val="161C194F"/>
    <w:rsid w:val="167D6633"/>
    <w:rsid w:val="16C7330C"/>
    <w:rsid w:val="16CE41FA"/>
    <w:rsid w:val="16E77616"/>
    <w:rsid w:val="16F862E2"/>
    <w:rsid w:val="176159C8"/>
    <w:rsid w:val="17762075"/>
    <w:rsid w:val="17C50F2C"/>
    <w:rsid w:val="1871686D"/>
    <w:rsid w:val="188542AB"/>
    <w:rsid w:val="1888103C"/>
    <w:rsid w:val="18940F06"/>
    <w:rsid w:val="189E1726"/>
    <w:rsid w:val="18AE213F"/>
    <w:rsid w:val="18EF3A7F"/>
    <w:rsid w:val="19266EAE"/>
    <w:rsid w:val="193E61A9"/>
    <w:rsid w:val="19B175FE"/>
    <w:rsid w:val="19BA2DA6"/>
    <w:rsid w:val="19E17184"/>
    <w:rsid w:val="19FB2C3C"/>
    <w:rsid w:val="1A1B5EE6"/>
    <w:rsid w:val="1A351A94"/>
    <w:rsid w:val="1A3B188F"/>
    <w:rsid w:val="1A4F4961"/>
    <w:rsid w:val="1A527E86"/>
    <w:rsid w:val="1A864FC7"/>
    <w:rsid w:val="1A967D50"/>
    <w:rsid w:val="1A970FB3"/>
    <w:rsid w:val="1AAB45F6"/>
    <w:rsid w:val="1AF205C1"/>
    <w:rsid w:val="1B106349"/>
    <w:rsid w:val="1B133EBD"/>
    <w:rsid w:val="1B524AC2"/>
    <w:rsid w:val="1B791B76"/>
    <w:rsid w:val="1B921D7A"/>
    <w:rsid w:val="1BBD3D34"/>
    <w:rsid w:val="1BBE13E9"/>
    <w:rsid w:val="1BC54211"/>
    <w:rsid w:val="1BCC07FF"/>
    <w:rsid w:val="1BED31A7"/>
    <w:rsid w:val="1C2D03AA"/>
    <w:rsid w:val="1CE400B3"/>
    <w:rsid w:val="1D2119DA"/>
    <w:rsid w:val="1D225BA7"/>
    <w:rsid w:val="1D481945"/>
    <w:rsid w:val="1D9F6122"/>
    <w:rsid w:val="1DCD492B"/>
    <w:rsid w:val="1E2B1E83"/>
    <w:rsid w:val="1E453774"/>
    <w:rsid w:val="1E5E5C12"/>
    <w:rsid w:val="1E7277E4"/>
    <w:rsid w:val="1E8D7EC4"/>
    <w:rsid w:val="1EB05FC3"/>
    <w:rsid w:val="1EB57C64"/>
    <w:rsid w:val="1EB75293"/>
    <w:rsid w:val="1EDD61C5"/>
    <w:rsid w:val="1EE456C8"/>
    <w:rsid w:val="1EFA23B0"/>
    <w:rsid w:val="1EFC62F3"/>
    <w:rsid w:val="1F2F00D5"/>
    <w:rsid w:val="1F375C0D"/>
    <w:rsid w:val="1F3D0CE1"/>
    <w:rsid w:val="1F541C2F"/>
    <w:rsid w:val="1FA7260B"/>
    <w:rsid w:val="1FEE3736"/>
    <w:rsid w:val="2034266D"/>
    <w:rsid w:val="20441BF7"/>
    <w:rsid w:val="20567811"/>
    <w:rsid w:val="207B20B8"/>
    <w:rsid w:val="208C5A94"/>
    <w:rsid w:val="20AE2C72"/>
    <w:rsid w:val="20C87EE6"/>
    <w:rsid w:val="20DF6696"/>
    <w:rsid w:val="21156537"/>
    <w:rsid w:val="218469C1"/>
    <w:rsid w:val="21FB6487"/>
    <w:rsid w:val="22620C72"/>
    <w:rsid w:val="22754B37"/>
    <w:rsid w:val="22AE5F02"/>
    <w:rsid w:val="22E54FD6"/>
    <w:rsid w:val="24552B00"/>
    <w:rsid w:val="24582CE4"/>
    <w:rsid w:val="246C3202"/>
    <w:rsid w:val="247F23A4"/>
    <w:rsid w:val="24CD7C86"/>
    <w:rsid w:val="250462EA"/>
    <w:rsid w:val="252D7657"/>
    <w:rsid w:val="25355DF2"/>
    <w:rsid w:val="25390605"/>
    <w:rsid w:val="253A3746"/>
    <w:rsid w:val="25671777"/>
    <w:rsid w:val="256C29A0"/>
    <w:rsid w:val="25752417"/>
    <w:rsid w:val="25933BDB"/>
    <w:rsid w:val="25AD1F0D"/>
    <w:rsid w:val="25B66BA8"/>
    <w:rsid w:val="25E70ABF"/>
    <w:rsid w:val="266E4660"/>
    <w:rsid w:val="26CF4594"/>
    <w:rsid w:val="270A1874"/>
    <w:rsid w:val="271E4DAB"/>
    <w:rsid w:val="274759C4"/>
    <w:rsid w:val="274B7559"/>
    <w:rsid w:val="27944F81"/>
    <w:rsid w:val="28166B73"/>
    <w:rsid w:val="282442D9"/>
    <w:rsid w:val="284367B5"/>
    <w:rsid w:val="285718A5"/>
    <w:rsid w:val="28A74D81"/>
    <w:rsid w:val="28EB4C69"/>
    <w:rsid w:val="28F865CB"/>
    <w:rsid w:val="29053276"/>
    <w:rsid w:val="29250E1B"/>
    <w:rsid w:val="295A53EB"/>
    <w:rsid w:val="29803AA3"/>
    <w:rsid w:val="29884B07"/>
    <w:rsid w:val="298957C4"/>
    <w:rsid w:val="29C719BA"/>
    <w:rsid w:val="29DF4E52"/>
    <w:rsid w:val="2A1D6A45"/>
    <w:rsid w:val="2A6F6EBA"/>
    <w:rsid w:val="2A830C79"/>
    <w:rsid w:val="2AD11736"/>
    <w:rsid w:val="2AF94DA4"/>
    <w:rsid w:val="2B1029CF"/>
    <w:rsid w:val="2B1D6E88"/>
    <w:rsid w:val="2B5F0E77"/>
    <w:rsid w:val="2B7F64C1"/>
    <w:rsid w:val="2BA3212D"/>
    <w:rsid w:val="2BE7007A"/>
    <w:rsid w:val="2BFE408A"/>
    <w:rsid w:val="2C234403"/>
    <w:rsid w:val="2CDF0482"/>
    <w:rsid w:val="2D22640D"/>
    <w:rsid w:val="2D464D5F"/>
    <w:rsid w:val="2D4E5097"/>
    <w:rsid w:val="2D592D22"/>
    <w:rsid w:val="2D7D7F0E"/>
    <w:rsid w:val="2DE33AEA"/>
    <w:rsid w:val="2DFB00B5"/>
    <w:rsid w:val="2E697CA3"/>
    <w:rsid w:val="2E6D4E98"/>
    <w:rsid w:val="2E7931EC"/>
    <w:rsid w:val="2E7B0389"/>
    <w:rsid w:val="2E944745"/>
    <w:rsid w:val="2E9705D3"/>
    <w:rsid w:val="2E9C3022"/>
    <w:rsid w:val="2EBE0475"/>
    <w:rsid w:val="2EC1790D"/>
    <w:rsid w:val="2EE23871"/>
    <w:rsid w:val="2F1D1D68"/>
    <w:rsid w:val="2F2A65B2"/>
    <w:rsid w:val="2F6C2DFA"/>
    <w:rsid w:val="3022617D"/>
    <w:rsid w:val="30464B56"/>
    <w:rsid w:val="30473068"/>
    <w:rsid w:val="307C2C0D"/>
    <w:rsid w:val="30967620"/>
    <w:rsid w:val="30BD1FE5"/>
    <w:rsid w:val="30F36C74"/>
    <w:rsid w:val="30F90CD1"/>
    <w:rsid w:val="30F9318B"/>
    <w:rsid w:val="30FE6656"/>
    <w:rsid w:val="31272F44"/>
    <w:rsid w:val="315D543C"/>
    <w:rsid w:val="31936105"/>
    <w:rsid w:val="31AE740B"/>
    <w:rsid w:val="31B658D4"/>
    <w:rsid w:val="32316E69"/>
    <w:rsid w:val="325B404D"/>
    <w:rsid w:val="32887E5F"/>
    <w:rsid w:val="329A50AF"/>
    <w:rsid w:val="329E5AD1"/>
    <w:rsid w:val="32CC51E5"/>
    <w:rsid w:val="32E6051A"/>
    <w:rsid w:val="32F33B15"/>
    <w:rsid w:val="33A718ED"/>
    <w:rsid w:val="33AA3E3F"/>
    <w:rsid w:val="3442047A"/>
    <w:rsid w:val="34AC6BE3"/>
    <w:rsid w:val="34EB329F"/>
    <w:rsid w:val="34FE1F7D"/>
    <w:rsid w:val="35270865"/>
    <w:rsid w:val="358509EE"/>
    <w:rsid w:val="35C42A65"/>
    <w:rsid w:val="3609516B"/>
    <w:rsid w:val="361B7BDC"/>
    <w:rsid w:val="364221AD"/>
    <w:rsid w:val="36627D01"/>
    <w:rsid w:val="36AC6FD2"/>
    <w:rsid w:val="36AE45FE"/>
    <w:rsid w:val="36C07B16"/>
    <w:rsid w:val="36D4159F"/>
    <w:rsid w:val="36E67798"/>
    <w:rsid w:val="36FF0DB1"/>
    <w:rsid w:val="37067020"/>
    <w:rsid w:val="371F0F70"/>
    <w:rsid w:val="372649E2"/>
    <w:rsid w:val="372C59AA"/>
    <w:rsid w:val="373000B7"/>
    <w:rsid w:val="37824D2F"/>
    <w:rsid w:val="37963F54"/>
    <w:rsid w:val="379A6B89"/>
    <w:rsid w:val="37BF2E3D"/>
    <w:rsid w:val="37D107AA"/>
    <w:rsid w:val="37F0163F"/>
    <w:rsid w:val="37FD7E74"/>
    <w:rsid w:val="38926D93"/>
    <w:rsid w:val="38B04B0E"/>
    <w:rsid w:val="38FD54AF"/>
    <w:rsid w:val="390741E5"/>
    <w:rsid w:val="391F264A"/>
    <w:rsid w:val="39243472"/>
    <w:rsid w:val="392B2144"/>
    <w:rsid w:val="394205BC"/>
    <w:rsid w:val="3997588E"/>
    <w:rsid w:val="39AC6B30"/>
    <w:rsid w:val="39B46D56"/>
    <w:rsid w:val="39C828E7"/>
    <w:rsid w:val="39DD557C"/>
    <w:rsid w:val="39FC4298"/>
    <w:rsid w:val="3A4536A9"/>
    <w:rsid w:val="3A552184"/>
    <w:rsid w:val="3A800711"/>
    <w:rsid w:val="3A810CA0"/>
    <w:rsid w:val="3A96496C"/>
    <w:rsid w:val="3A9F3479"/>
    <w:rsid w:val="3ABC7EEE"/>
    <w:rsid w:val="3AD90E81"/>
    <w:rsid w:val="3AED2009"/>
    <w:rsid w:val="3B1939D0"/>
    <w:rsid w:val="3B581890"/>
    <w:rsid w:val="3BAB26D3"/>
    <w:rsid w:val="3BD009CC"/>
    <w:rsid w:val="3BF45BDB"/>
    <w:rsid w:val="3C2B1FE6"/>
    <w:rsid w:val="3C8779B9"/>
    <w:rsid w:val="3C8B2C2B"/>
    <w:rsid w:val="3C940215"/>
    <w:rsid w:val="3C9F058C"/>
    <w:rsid w:val="3CC97C4F"/>
    <w:rsid w:val="3CCA29EB"/>
    <w:rsid w:val="3CCC5DBF"/>
    <w:rsid w:val="3D497E6A"/>
    <w:rsid w:val="3D634958"/>
    <w:rsid w:val="3D6C6B53"/>
    <w:rsid w:val="3D8C6BB2"/>
    <w:rsid w:val="3D987150"/>
    <w:rsid w:val="3D9E333B"/>
    <w:rsid w:val="3DBC00BF"/>
    <w:rsid w:val="3DCB1A6B"/>
    <w:rsid w:val="3DED30AA"/>
    <w:rsid w:val="3DF371D0"/>
    <w:rsid w:val="3E3102BB"/>
    <w:rsid w:val="3E614AA5"/>
    <w:rsid w:val="3EB02545"/>
    <w:rsid w:val="3EB21D54"/>
    <w:rsid w:val="3F18661A"/>
    <w:rsid w:val="3F7512EA"/>
    <w:rsid w:val="3F9730B9"/>
    <w:rsid w:val="3FBD58AF"/>
    <w:rsid w:val="3FC55901"/>
    <w:rsid w:val="3FC9458D"/>
    <w:rsid w:val="3FD033AD"/>
    <w:rsid w:val="401924B3"/>
    <w:rsid w:val="401F021A"/>
    <w:rsid w:val="404148A6"/>
    <w:rsid w:val="40572AB6"/>
    <w:rsid w:val="405D3459"/>
    <w:rsid w:val="4068264C"/>
    <w:rsid w:val="407728FD"/>
    <w:rsid w:val="40B8702E"/>
    <w:rsid w:val="40CA0DB3"/>
    <w:rsid w:val="40DC5CDB"/>
    <w:rsid w:val="410603FC"/>
    <w:rsid w:val="410D06B8"/>
    <w:rsid w:val="414035F3"/>
    <w:rsid w:val="418B0BC2"/>
    <w:rsid w:val="41A274B6"/>
    <w:rsid w:val="41C034AF"/>
    <w:rsid w:val="42311D52"/>
    <w:rsid w:val="424A712C"/>
    <w:rsid w:val="4263268C"/>
    <w:rsid w:val="429F7E60"/>
    <w:rsid w:val="42A66B85"/>
    <w:rsid w:val="42CB2D35"/>
    <w:rsid w:val="42D21256"/>
    <w:rsid w:val="42E06AE9"/>
    <w:rsid w:val="42F759C4"/>
    <w:rsid w:val="43023463"/>
    <w:rsid w:val="43100846"/>
    <w:rsid w:val="434660D0"/>
    <w:rsid w:val="43554BAC"/>
    <w:rsid w:val="435D3A52"/>
    <w:rsid w:val="43A027A3"/>
    <w:rsid w:val="43AA1E91"/>
    <w:rsid w:val="43AF27CC"/>
    <w:rsid w:val="43BA343C"/>
    <w:rsid w:val="43F8127E"/>
    <w:rsid w:val="4428525F"/>
    <w:rsid w:val="444A0170"/>
    <w:rsid w:val="44667276"/>
    <w:rsid w:val="44A37922"/>
    <w:rsid w:val="44B63420"/>
    <w:rsid w:val="44B71DE6"/>
    <w:rsid w:val="44BE70AA"/>
    <w:rsid w:val="44D501D8"/>
    <w:rsid w:val="44DB6B8D"/>
    <w:rsid w:val="45E2495B"/>
    <w:rsid w:val="45F8252B"/>
    <w:rsid w:val="46153B79"/>
    <w:rsid w:val="4625595A"/>
    <w:rsid w:val="4655670F"/>
    <w:rsid w:val="46CD6A3D"/>
    <w:rsid w:val="46D23AA8"/>
    <w:rsid w:val="46D446A7"/>
    <w:rsid w:val="47165D61"/>
    <w:rsid w:val="475D1752"/>
    <w:rsid w:val="47767BD4"/>
    <w:rsid w:val="477D0471"/>
    <w:rsid w:val="47FB44E3"/>
    <w:rsid w:val="4804332F"/>
    <w:rsid w:val="488A747A"/>
    <w:rsid w:val="489640A7"/>
    <w:rsid w:val="489E300A"/>
    <w:rsid w:val="4955748F"/>
    <w:rsid w:val="49694B92"/>
    <w:rsid w:val="49737357"/>
    <w:rsid w:val="49F569F2"/>
    <w:rsid w:val="4A0366CF"/>
    <w:rsid w:val="4A256483"/>
    <w:rsid w:val="4A38641F"/>
    <w:rsid w:val="4A800E57"/>
    <w:rsid w:val="4A87400F"/>
    <w:rsid w:val="4A9F5D83"/>
    <w:rsid w:val="4AB52052"/>
    <w:rsid w:val="4AF859CC"/>
    <w:rsid w:val="4B652EFD"/>
    <w:rsid w:val="4B657DEC"/>
    <w:rsid w:val="4B6F63D5"/>
    <w:rsid w:val="4B8152D3"/>
    <w:rsid w:val="4B965649"/>
    <w:rsid w:val="4BBA0F4B"/>
    <w:rsid w:val="4BC03621"/>
    <w:rsid w:val="4BC22F72"/>
    <w:rsid w:val="4BEC1DA9"/>
    <w:rsid w:val="4C001FDF"/>
    <w:rsid w:val="4C454D9D"/>
    <w:rsid w:val="4C6D4FD8"/>
    <w:rsid w:val="4C956109"/>
    <w:rsid w:val="4CB12B2C"/>
    <w:rsid w:val="4CB2553B"/>
    <w:rsid w:val="4CBC2827"/>
    <w:rsid w:val="4CC312B6"/>
    <w:rsid w:val="4CDD2221"/>
    <w:rsid w:val="4CEC7C13"/>
    <w:rsid w:val="4D1737DC"/>
    <w:rsid w:val="4D2E5116"/>
    <w:rsid w:val="4D4946C3"/>
    <w:rsid w:val="4D6215E1"/>
    <w:rsid w:val="4D667D39"/>
    <w:rsid w:val="4D6A6CFA"/>
    <w:rsid w:val="4D6F53B7"/>
    <w:rsid w:val="4D8C427F"/>
    <w:rsid w:val="4D9739B2"/>
    <w:rsid w:val="4DB579D1"/>
    <w:rsid w:val="4DBD70EB"/>
    <w:rsid w:val="4E0D177C"/>
    <w:rsid w:val="4E6E459C"/>
    <w:rsid w:val="4E98618A"/>
    <w:rsid w:val="4E9D352C"/>
    <w:rsid w:val="4EB95E17"/>
    <w:rsid w:val="4F6B02B8"/>
    <w:rsid w:val="4FA43165"/>
    <w:rsid w:val="4FB6214D"/>
    <w:rsid w:val="4FFA2095"/>
    <w:rsid w:val="500D1820"/>
    <w:rsid w:val="50325684"/>
    <w:rsid w:val="50E65CE2"/>
    <w:rsid w:val="511E0033"/>
    <w:rsid w:val="51202751"/>
    <w:rsid w:val="51366F1E"/>
    <w:rsid w:val="5143280B"/>
    <w:rsid w:val="51546F21"/>
    <w:rsid w:val="518A1586"/>
    <w:rsid w:val="51A86476"/>
    <w:rsid w:val="51AA5CA9"/>
    <w:rsid w:val="51DD620D"/>
    <w:rsid w:val="51F83F85"/>
    <w:rsid w:val="52051862"/>
    <w:rsid w:val="52245275"/>
    <w:rsid w:val="52275B04"/>
    <w:rsid w:val="522A5D40"/>
    <w:rsid w:val="52535651"/>
    <w:rsid w:val="53163533"/>
    <w:rsid w:val="533E77CC"/>
    <w:rsid w:val="53570112"/>
    <w:rsid w:val="53807561"/>
    <w:rsid w:val="53944C76"/>
    <w:rsid w:val="53EC2A4F"/>
    <w:rsid w:val="5444354A"/>
    <w:rsid w:val="547A6B2A"/>
    <w:rsid w:val="54C51909"/>
    <w:rsid w:val="551D6AF9"/>
    <w:rsid w:val="55A60ADC"/>
    <w:rsid w:val="55CD0D4E"/>
    <w:rsid w:val="55D857C5"/>
    <w:rsid w:val="5603196F"/>
    <w:rsid w:val="56253A26"/>
    <w:rsid w:val="5638334C"/>
    <w:rsid w:val="56780FF9"/>
    <w:rsid w:val="56870578"/>
    <w:rsid w:val="569241C0"/>
    <w:rsid w:val="56A33B67"/>
    <w:rsid w:val="56A40E03"/>
    <w:rsid w:val="56C45A8D"/>
    <w:rsid w:val="56E20A0E"/>
    <w:rsid w:val="5737516A"/>
    <w:rsid w:val="57431AE0"/>
    <w:rsid w:val="57730A91"/>
    <w:rsid w:val="57A27BD5"/>
    <w:rsid w:val="57C762A2"/>
    <w:rsid w:val="5812512F"/>
    <w:rsid w:val="588C140C"/>
    <w:rsid w:val="588C55DD"/>
    <w:rsid w:val="58B21650"/>
    <w:rsid w:val="58C00F3E"/>
    <w:rsid w:val="59103E6F"/>
    <w:rsid w:val="59373C72"/>
    <w:rsid w:val="5945207E"/>
    <w:rsid w:val="595B4F2E"/>
    <w:rsid w:val="59662B14"/>
    <w:rsid w:val="596C42A4"/>
    <w:rsid w:val="596D221D"/>
    <w:rsid w:val="59A237B5"/>
    <w:rsid w:val="59A77712"/>
    <w:rsid w:val="59B02759"/>
    <w:rsid w:val="5A5F3EF1"/>
    <w:rsid w:val="5A6647FF"/>
    <w:rsid w:val="5A72604D"/>
    <w:rsid w:val="5A7F77CE"/>
    <w:rsid w:val="5AA20C09"/>
    <w:rsid w:val="5ABC5F71"/>
    <w:rsid w:val="5AF81EC0"/>
    <w:rsid w:val="5B0E4DAE"/>
    <w:rsid w:val="5B0E6862"/>
    <w:rsid w:val="5B4069C6"/>
    <w:rsid w:val="5B58464F"/>
    <w:rsid w:val="5B8509D1"/>
    <w:rsid w:val="5B90297B"/>
    <w:rsid w:val="5C11606C"/>
    <w:rsid w:val="5C4E0A2D"/>
    <w:rsid w:val="5C524815"/>
    <w:rsid w:val="5C64452B"/>
    <w:rsid w:val="5C7719CE"/>
    <w:rsid w:val="5C8E79BD"/>
    <w:rsid w:val="5D2719C9"/>
    <w:rsid w:val="5D2773E7"/>
    <w:rsid w:val="5D285026"/>
    <w:rsid w:val="5D5C0E3F"/>
    <w:rsid w:val="5D5E619D"/>
    <w:rsid w:val="5D697358"/>
    <w:rsid w:val="5D747A99"/>
    <w:rsid w:val="5D9249ED"/>
    <w:rsid w:val="5DA1646B"/>
    <w:rsid w:val="5DDC5DDB"/>
    <w:rsid w:val="5DF04FFA"/>
    <w:rsid w:val="5E063C72"/>
    <w:rsid w:val="5E19167C"/>
    <w:rsid w:val="5E3C01D4"/>
    <w:rsid w:val="5E6F443D"/>
    <w:rsid w:val="5E70354F"/>
    <w:rsid w:val="5E8C7523"/>
    <w:rsid w:val="5E94632E"/>
    <w:rsid w:val="5E9822A4"/>
    <w:rsid w:val="5E9C2B92"/>
    <w:rsid w:val="5ED441A0"/>
    <w:rsid w:val="5F111534"/>
    <w:rsid w:val="5F1D3E1B"/>
    <w:rsid w:val="5FBC6FFC"/>
    <w:rsid w:val="5FD91B32"/>
    <w:rsid w:val="5FDE3D1C"/>
    <w:rsid w:val="5FEB36B0"/>
    <w:rsid w:val="600037C3"/>
    <w:rsid w:val="60070235"/>
    <w:rsid w:val="600B76B1"/>
    <w:rsid w:val="60247960"/>
    <w:rsid w:val="60337FBD"/>
    <w:rsid w:val="60557909"/>
    <w:rsid w:val="60646378"/>
    <w:rsid w:val="608B596D"/>
    <w:rsid w:val="608E7CA1"/>
    <w:rsid w:val="60B20DDE"/>
    <w:rsid w:val="60CF6017"/>
    <w:rsid w:val="60EC58A1"/>
    <w:rsid w:val="60F765D6"/>
    <w:rsid w:val="61273959"/>
    <w:rsid w:val="619B0A4D"/>
    <w:rsid w:val="619D1B34"/>
    <w:rsid w:val="619E6915"/>
    <w:rsid w:val="61BC5698"/>
    <w:rsid w:val="61C05E29"/>
    <w:rsid w:val="61E220CA"/>
    <w:rsid w:val="621F3A28"/>
    <w:rsid w:val="623817CD"/>
    <w:rsid w:val="623D05EF"/>
    <w:rsid w:val="625671C6"/>
    <w:rsid w:val="626D5F1F"/>
    <w:rsid w:val="628D5A05"/>
    <w:rsid w:val="629635F2"/>
    <w:rsid w:val="62DB156F"/>
    <w:rsid w:val="62E35C5C"/>
    <w:rsid w:val="6308602C"/>
    <w:rsid w:val="633914DA"/>
    <w:rsid w:val="63655BF1"/>
    <w:rsid w:val="6381414F"/>
    <w:rsid w:val="639869FA"/>
    <w:rsid w:val="63A6496D"/>
    <w:rsid w:val="63A83FEC"/>
    <w:rsid w:val="63D92053"/>
    <w:rsid w:val="63E37B79"/>
    <w:rsid w:val="63FC1B88"/>
    <w:rsid w:val="64035403"/>
    <w:rsid w:val="642B1E03"/>
    <w:rsid w:val="644D4301"/>
    <w:rsid w:val="6477289B"/>
    <w:rsid w:val="649176C0"/>
    <w:rsid w:val="64987293"/>
    <w:rsid w:val="649E57C1"/>
    <w:rsid w:val="64A11F98"/>
    <w:rsid w:val="64D179F6"/>
    <w:rsid w:val="64D442AC"/>
    <w:rsid w:val="650401CF"/>
    <w:rsid w:val="65040F88"/>
    <w:rsid w:val="653D52DC"/>
    <w:rsid w:val="655373D5"/>
    <w:rsid w:val="65735926"/>
    <w:rsid w:val="65A300A1"/>
    <w:rsid w:val="65DB5C3D"/>
    <w:rsid w:val="65DC330D"/>
    <w:rsid w:val="66126967"/>
    <w:rsid w:val="66780DEE"/>
    <w:rsid w:val="668E1E21"/>
    <w:rsid w:val="66926F8C"/>
    <w:rsid w:val="66966882"/>
    <w:rsid w:val="66F269C9"/>
    <w:rsid w:val="67285BDC"/>
    <w:rsid w:val="679D60BC"/>
    <w:rsid w:val="67C1521F"/>
    <w:rsid w:val="67FB2FC2"/>
    <w:rsid w:val="6838125F"/>
    <w:rsid w:val="684E7153"/>
    <w:rsid w:val="68942469"/>
    <w:rsid w:val="68996F46"/>
    <w:rsid w:val="68A270B1"/>
    <w:rsid w:val="69522C18"/>
    <w:rsid w:val="69A85914"/>
    <w:rsid w:val="69AA4ADC"/>
    <w:rsid w:val="69B54893"/>
    <w:rsid w:val="69D41E73"/>
    <w:rsid w:val="69F0666F"/>
    <w:rsid w:val="69F406AF"/>
    <w:rsid w:val="69FA018D"/>
    <w:rsid w:val="6A25465E"/>
    <w:rsid w:val="6A3A09AD"/>
    <w:rsid w:val="6A572716"/>
    <w:rsid w:val="6A87076D"/>
    <w:rsid w:val="6A9454E3"/>
    <w:rsid w:val="6A945F72"/>
    <w:rsid w:val="6ACF2D0F"/>
    <w:rsid w:val="6AFC23BD"/>
    <w:rsid w:val="6B287CCA"/>
    <w:rsid w:val="6B37191E"/>
    <w:rsid w:val="6BA33D44"/>
    <w:rsid w:val="6C3A4C18"/>
    <w:rsid w:val="6C4068D5"/>
    <w:rsid w:val="6C8568B5"/>
    <w:rsid w:val="6CB00C5D"/>
    <w:rsid w:val="6D0441AB"/>
    <w:rsid w:val="6D481945"/>
    <w:rsid w:val="6D6650F6"/>
    <w:rsid w:val="6D6D32A5"/>
    <w:rsid w:val="6D96704E"/>
    <w:rsid w:val="6ECD14C3"/>
    <w:rsid w:val="6EF06A3A"/>
    <w:rsid w:val="6F231086"/>
    <w:rsid w:val="6F2C1077"/>
    <w:rsid w:val="6F4412DE"/>
    <w:rsid w:val="6FB01FF6"/>
    <w:rsid w:val="702D3037"/>
    <w:rsid w:val="70854008"/>
    <w:rsid w:val="70A00296"/>
    <w:rsid w:val="710111C0"/>
    <w:rsid w:val="711844AB"/>
    <w:rsid w:val="72525910"/>
    <w:rsid w:val="7272141E"/>
    <w:rsid w:val="729A51BF"/>
    <w:rsid w:val="72C31F67"/>
    <w:rsid w:val="730F2443"/>
    <w:rsid w:val="738A19B2"/>
    <w:rsid w:val="74460C31"/>
    <w:rsid w:val="745948C9"/>
    <w:rsid w:val="74782083"/>
    <w:rsid w:val="74F00783"/>
    <w:rsid w:val="74F21A8E"/>
    <w:rsid w:val="75092D2E"/>
    <w:rsid w:val="751F35C6"/>
    <w:rsid w:val="752673FA"/>
    <w:rsid w:val="75445278"/>
    <w:rsid w:val="756D2420"/>
    <w:rsid w:val="75D33B60"/>
    <w:rsid w:val="75EB0030"/>
    <w:rsid w:val="767A1884"/>
    <w:rsid w:val="7681376B"/>
    <w:rsid w:val="76E7048B"/>
    <w:rsid w:val="771405C6"/>
    <w:rsid w:val="77186802"/>
    <w:rsid w:val="77244002"/>
    <w:rsid w:val="7759121E"/>
    <w:rsid w:val="778C19C1"/>
    <w:rsid w:val="77DE7388"/>
    <w:rsid w:val="78123276"/>
    <w:rsid w:val="7813324B"/>
    <w:rsid w:val="781B6350"/>
    <w:rsid w:val="78661D77"/>
    <w:rsid w:val="787542C9"/>
    <w:rsid w:val="78761059"/>
    <w:rsid w:val="787C4A52"/>
    <w:rsid w:val="787D1A38"/>
    <w:rsid w:val="78833D88"/>
    <w:rsid w:val="78C70562"/>
    <w:rsid w:val="792279DB"/>
    <w:rsid w:val="797C1AA1"/>
    <w:rsid w:val="79904524"/>
    <w:rsid w:val="79BA4CCB"/>
    <w:rsid w:val="7A934CC7"/>
    <w:rsid w:val="7AB846A8"/>
    <w:rsid w:val="7AB93CAD"/>
    <w:rsid w:val="7ADD5745"/>
    <w:rsid w:val="7AFB7263"/>
    <w:rsid w:val="7B062FF2"/>
    <w:rsid w:val="7B4771D3"/>
    <w:rsid w:val="7B4969DA"/>
    <w:rsid w:val="7B4B57FE"/>
    <w:rsid w:val="7BBA7BC4"/>
    <w:rsid w:val="7BF444AB"/>
    <w:rsid w:val="7BFE0356"/>
    <w:rsid w:val="7C050FEE"/>
    <w:rsid w:val="7C1F696C"/>
    <w:rsid w:val="7C241FA4"/>
    <w:rsid w:val="7C2F7F24"/>
    <w:rsid w:val="7C4F6127"/>
    <w:rsid w:val="7C557027"/>
    <w:rsid w:val="7C774202"/>
    <w:rsid w:val="7CF32D47"/>
    <w:rsid w:val="7CF47DC4"/>
    <w:rsid w:val="7D2D7E4F"/>
    <w:rsid w:val="7D3D1C6F"/>
    <w:rsid w:val="7D7D2444"/>
    <w:rsid w:val="7DC17AA5"/>
    <w:rsid w:val="7E3F400C"/>
    <w:rsid w:val="7E3F5C67"/>
    <w:rsid w:val="7E485A8B"/>
    <w:rsid w:val="7E710432"/>
    <w:rsid w:val="7E784FFE"/>
    <w:rsid w:val="7F0D36A8"/>
    <w:rsid w:val="7F0D6F9B"/>
    <w:rsid w:val="7F267E5E"/>
    <w:rsid w:val="7F511034"/>
    <w:rsid w:val="7FA43608"/>
    <w:rsid w:val="7FB12B06"/>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jc w:val="center"/>
      <w:outlineLvl w:val="0"/>
    </w:pPr>
    <w:rPr>
      <w:rFonts w:ascii="Times New Roman" w:hAnsi="Times New Roman" w:eastAsia="宋体"/>
      <w:b/>
      <w:bCs/>
      <w:kern w:val="0"/>
      <w:sz w:val="32"/>
      <w:szCs w:val="20"/>
    </w:rPr>
  </w:style>
  <w:style w:type="paragraph" w:styleId="4">
    <w:name w:val="heading 2"/>
    <w:basedOn w:val="1"/>
    <w:next w:val="1"/>
    <w:link w:val="64"/>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6"/>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3"/>
    <w:qFormat/>
    <w:uiPriority w:val="99"/>
    <w:pPr>
      <w:widowControl/>
      <w:ind w:firstLine="420"/>
      <w:jc w:val="left"/>
    </w:pPr>
    <w:rPr>
      <w:kern w:val="0"/>
      <w:sz w:val="20"/>
      <w:szCs w:val="20"/>
    </w:rPr>
  </w:style>
  <w:style w:type="paragraph" w:styleId="14">
    <w:name w:val="Document Map"/>
    <w:basedOn w:val="1"/>
    <w:link w:val="127"/>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09"/>
    <w:unhideWhenUsed/>
    <w:qFormat/>
    <w:uiPriority w:val="99"/>
    <w:pPr>
      <w:jc w:val="left"/>
    </w:pPr>
  </w:style>
  <w:style w:type="paragraph" w:styleId="17">
    <w:name w:val="Salutation"/>
    <w:basedOn w:val="1"/>
    <w:next w:val="1"/>
    <w:link w:val="114"/>
    <w:qFormat/>
    <w:uiPriority w:val="0"/>
    <w:rPr>
      <w:rFonts w:ascii="仿宋_GB2312" w:eastAsia="仿宋_GB2312"/>
      <w:sz w:val="24"/>
    </w:rPr>
  </w:style>
  <w:style w:type="paragraph" w:styleId="18">
    <w:name w:val="Body Text 3"/>
    <w:basedOn w:val="1"/>
    <w:link w:val="148"/>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7"/>
    <w:qFormat/>
    <w:uiPriority w:val="99"/>
    <w:pPr>
      <w:spacing w:after="120"/>
    </w:pPr>
  </w:style>
  <w:style w:type="paragraph" w:styleId="20">
    <w:name w:val="Body Text Indent"/>
    <w:basedOn w:val="1"/>
    <w:link w:val="97"/>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6"/>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39"/>
    <w:qFormat/>
    <w:uiPriority w:val="0"/>
    <w:rPr>
      <w:rFonts w:ascii="Calibri" w:hAnsi="Calibri" w:cs="黑体"/>
      <w:sz w:val="24"/>
      <w:szCs w:val="22"/>
    </w:rPr>
  </w:style>
  <w:style w:type="paragraph" w:styleId="28">
    <w:name w:val="Body Text Indent 2"/>
    <w:basedOn w:val="1"/>
    <w:link w:val="101"/>
    <w:qFormat/>
    <w:uiPriority w:val="0"/>
    <w:pPr>
      <w:spacing w:after="120" w:line="480" w:lineRule="auto"/>
      <w:ind w:left="420" w:leftChars="200"/>
    </w:pPr>
  </w:style>
  <w:style w:type="paragraph" w:styleId="29">
    <w:name w:val="Balloon Text"/>
    <w:basedOn w:val="1"/>
    <w:link w:val="96"/>
    <w:qFormat/>
    <w:uiPriority w:val="0"/>
    <w:rPr>
      <w:rFonts w:ascii="Calibri" w:hAnsi="Calibri" w:cs="黑体"/>
      <w:sz w:val="18"/>
      <w:szCs w:val="18"/>
    </w:rPr>
  </w:style>
  <w:style w:type="paragraph" w:styleId="30">
    <w:name w:val="footer"/>
    <w:basedOn w:val="1"/>
    <w:link w:val="62"/>
    <w:unhideWhenUsed/>
    <w:qFormat/>
    <w:uiPriority w:val="0"/>
    <w:pPr>
      <w:tabs>
        <w:tab w:val="center" w:pos="4153"/>
        <w:tab w:val="right" w:pos="8306"/>
      </w:tabs>
      <w:snapToGrid w:val="0"/>
      <w:jc w:val="left"/>
    </w:pPr>
    <w:rPr>
      <w:sz w:val="18"/>
      <w:szCs w:val="18"/>
    </w:rPr>
  </w:style>
  <w:style w:type="paragraph" w:styleId="31">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5"/>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4"/>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2"/>
    <w:qFormat/>
    <w:uiPriority w:val="0"/>
    <w:pPr>
      <w:spacing w:after="120" w:line="480" w:lineRule="auto"/>
    </w:pPr>
  </w:style>
  <w:style w:type="paragraph" w:styleId="40">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0"/>
    <w:qFormat/>
    <w:uiPriority w:val="0"/>
    <w:pPr>
      <w:spacing w:before="240" w:after="60"/>
      <w:jc w:val="center"/>
      <w:outlineLvl w:val="0"/>
    </w:pPr>
    <w:rPr>
      <w:rFonts w:ascii="Cambria" w:hAnsi="Cambria"/>
      <w:b/>
      <w:sz w:val="32"/>
    </w:rPr>
  </w:style>
  <w:style w:type="paragraph" w:styleId="44">
    <w:name w:val="annotation subject"/>
    <w:basedOn w:val="16"/>
    <w:next w:val="16"/>
    <w:link w:val="86"/>
    <w:qFormat/>
    <w:uiPriority w:val="0"/>
    <w:rPr>
      <w:rFonts w:ascii="Calibri" w:hAnsi="Calibri" w:cs="黑体"/>
      <w:b/>
      <w:bCs/>
    </w:rPr>
  </w:style>
  <w:style w:type="paragraph" w:styleId="45">
    <w:name w:val="Body Text First Indent"/>
    <w:basedOn w:val="19"/>
    <w:link w:val="175"/>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页眉 字符"/>
    <w:basedOn w:val="48"/>
    <w:link w:val="31"/>
    <w:qFormat/>
    <w:uiPriority w:val="0"/>
    <w:rPr>
      <w:sz w:val="18"/>
      <w:szCs w:val="18"/>
    </w:rPr>
  </w:style>
  <w:style w:type="character" w:customStyle="1" w:styleId="62">
    <w:name w:val="页脚 字符"/>
    <w:basedOn w:val="48"/>
    <w:link w:val="30"/>
    <w:qFormat/>
    <w:uiPriority w:val="0"/>
    <w:rPr>
      <w:sz w:val="18"/>
      <w:szCs w:val="18"/>
    </w:rPr>
  </w:style>
  <w:style w:type="character" w:customStyle="1" w:styleId="63">
    <w:name w:val="标题 1 字符"/>
    <w:basedOn w:val="48"/>
    <w:link w:val="3"/>
    <w:qFormat/>
    <w:uiPriority w:val="0"/>
    <w:rPr>
      <w:rFonts w:ascii="Times New Roman" w:hAnsi="Times New Roman" w:eastAsia="宋体" w:cs="Times New Roman"/>
      <w:b/>
      <w:bCs/>
      <w:kern w:val="0"/>
      <w:sz w:val="32"/>
      <w:szCs w:val="20"/>
    </w:rPr>
  </w:style>
  <w:style w:type="character" w:customStyle="1" w:styleId="64">
    <w:name w:val="标题 2 字符"/>
    <w:basedOn w:val="48"/>
    <w:link w:val="4"/>
    <w:qFormat/>
    <w:uiPriority w:val="0"/>
    <w:rPr>
      <w:rFonts w:ascii="Arial" w:hAnsi="Arial" w:eastAsia="宋体" w:cs="Times New Roman"/>
      <w:b/>
      <w:bCs/>
      <w:kern w:val="0"/>
      <w:sz w:val="24"/>
      <w:szCs w:val="32"/>
    </w:rPr>
  </w:style>
  <w:style w:type="character" w:customStyle="1" w:styleId="65">
    <w:name w:val="标题 3 字符"/>
    <w:basedOn w:val="48"/>
    <w:link w:val="5"/>
    <w:qFormat/>
    <w:uiPriority w:val="0"/>
    <w:rPr>
      <w:rFonts w:ascii="Times New Roman" w:hAnsi="Times New Roman" w:eastAsia="宋体" w:cs="Times New Roman"/>
      <w:b/>
      <w:bCs/>
      <w:kern w:val="0"/>
      <w:sz w:val="32"/>
      <w:szCs w:val="32"/>
    </w:rPr>
  </w:style>
  <w:style w:type="character" w:customStyle="1" w:styleId="66">
    <w:name w:val="标题 4 字符"/>
    <w:basedOn w:val="48"/>
    <w:link w:val="6"/>
    <w:qFormat/>
    <w:uiPriority w:val="0"/>
    <w:rPr>
      <w:rFonts w:ascii="Arial" w:hAnsi="Arial" w:eastAsia="黑体" w:cs="Times New Roman"/>
      <w:b/>
      <w:bCs/>
      <w:kern w:val="0"/>
      <w:sz w:val="28"/>
      <w:szCs w:val="28"/>
    </w:rPr>
  </w:style>
  <w:style w:type="character" w:customStyle="1" w:styleId="67">
    <w:name w:val="标题 5 字符"/>
    <w:basedOn w:val="48"/>
    <w:link w:val="7"/>
    <w:qFormat/>
    <w:uiPriority w:val="0"/>
    <w:rPr>
      <w:rFonts w:ascii="Times New Roman" w:hAnsi="Times New Roman" w:eastAsia="宋体" w:cs="Times New Roman"/>
      <w:b/>
      <w:bCs/>
      <w:kern w:val="0"/>
      <w:sz w:val="28"/>
      <w:szCs w:val="28"/>
    </w:rPr>
  </w:style>
  <w:style w:type="character" w:customStyle="1" w:styleId="68">
    <w:name w:val="标题 6 字符"/>
    <w:basedOn w:val="48"/>
    <w:link w:val="8"/>
    <w:qFormat/>
    <w:uiPriority w:val="0"/>
    <w:rPr>
      <w:rFonts w:ascii="Arial" w:hAnsi="Arial" w:eastAsia="黑体" w:cs="Times New Roman"/>
      <w:b/>
      <w:bCs/>
      <w:kern w:val="0"/>
      <w:sz w:val="24"/>
      <w:szCs w:val="24"/>
    </w:rPr>
  </w:style>
  <w:style w:type="character" w:customStyle="1" w:styleId="69">
    <w:name w:val="标题 7 字符"/>
    <w:basedOn w:val="48"/>
    <w:link w:val="9"/>
    <w:qFormat/>
    <w:uiPriority w:val="0"/>
    <w:rPr>
      <w:rFonts w:ascii="Times New Roman" w:hAnsi="Times New Roman" w:eastAsia="宋体" w:cs="Times New Roman"/>
      <w:b/>
      <w:bCs/>
      <w:kern w:val="0"/>
      <w:sz w:val="24"/>
      <w:szCs w:val="24"/>
    </w:rPr>
  </w:style>
  <w:style w:type="character" w:customStyle="1" w:styleId="70">
    <w:name w:val="标题 8 字符"/>
    <w:basedOn w:val="48"/>
    <w:link w:val="10"/>
    <w:qFormat/>
    <w:uiPriority w:val="0"/>
    <w:rPr>
      <w:rFonts w:ascii="Arial" w:hAnsi="Arial" w:eastAsia="黑体" w:cs="Times New Roman"/>
      <w:kern w:val="0"/>
      <w:sz w:val="24"/>
      <w:szCs w:val="24"/>
    </w:rPr>
  </w:style>
  <w:style w:type="character" w:customStyle="1" w:styleId="71">
    <w:name w:val="标题 9 字符"/>
    <w:basedOn w:val="48"/>
    <w:link w:val="11"/>
    <w:qFormat/>
    <w:uiPriority w:val="0"/>
    <w:rPr>
      <w:rFonts w:ascii="Arial" w:hAnsi="Arial" w:eastAsia="黑体" w:cs="Times New Roman"/>
      <w:kern w:val="0"/>
      <w:sz w:val="20"/>
      <w:szCs w:val="21"/>
    </w:rPr>
  </w:style>
  <w:style w:type="character" w:customStyle="1" w:styleId="72">
    <w:name w:val="正文文本 2 字符"/>
    <w:basedOn w:val="48"/>
    <w:link w:val="39"/>
    <w:qFormat/>
    <w:uiPriority w:val="0"/>
    <w:rPr>
      <w:rFonts w:ascii="Times New Roman" w:hAnsi="Times New Roman" w:eastAsia="宋体" w:cs="Times New Roman"/>
      <w:szCs w:val="24"/>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Font Style128"/>
    <w:unhideWhenUsed/>
    <w:qFormat/>
    <w:uiPriority w:val="0"/>
    <w:rPr>
      <w:rFonts w:hint="eastAsia" w:ascii="Times New Roman" w:hAnsi="Times New Roman" w:eastAsia="Times New Roman"/>
      <w:sz w:val="16"/>
    </w:rPr>
  </w:style>
  <w:style w:type="character" w:customStyle="1" w:styleId="75">
    <w:name w:val="页脚 Char1"/>
    <w:qFormat/>
    <w:uiPriority w:val="0"/>
    <w:rPr>
      <w:rFonts w:eastAsia="宋体"/>
      <w:kern w:val="2"/>
      <w:sz w:val="18"/>
      <w:szCs w:val="18"/>
      <w:lang w:val="en-US" w:eastAsia="zh-CN" w:bidi="ar-SA"/>
    </w:rPr>
  </w:style>
  <w:style w:type="character" w:customStyle="1" w:styleId="76">
    <w:name w:val="标题 4 Char"/>
    <w:basedOn w:val="48"/>
    <w:qFormat/>
    <w:uiPriority w:val="0"/>
    <w:rPr>
      <w:rFonts w:ascii="Cambria" w:hAnsi="Cambria" w:eastAsia="宋体" w:cs="Times New Roman"/>
      <w:b/>
      <w:bCs/>
      <w:sz w:val="28"/>
      <w:szCs w:val="28"/>
    </w:rPr>
  </w:style>
  <w:style w:type="character" w:customStyle="1" w:styleId="77">
    <w:name w:val="日期 Char"/>
    <w:basedOn w:val="48"/>
    <w:qFormat/>
    <w:uiPriority w:val="0"/>
    <w:rPr>
      <w:rFonts w:ascii="Times New Roman" w:hAnsi="Times New Roman" w:eastAsia="宋体" w:cs="Times New Roman"/>
      <w:szCs w:val="24"/>
    </w:rPr>
  </w:style>
  <w:style w:type="character" w:customStyle="1" w:styleId="78">
    <w:name w:val="Font Style123"/>
    <w:unhideWhenUsed/>
    <w:qFormat/>
    <w:uiPriority w:val="0"/>
    <w:rPr>
      <w:rFonts w:hint="eastAsia" w:ascii="宋体" w:hAnsi="宋体" w:eastAsia="宋体"/>
      <w:b/>
      <w:sz w:val="32"/>
    </w:rPr>
  </w:style>
  <w:style w:type="character" w:customStyle="1" w:styleId="79">
    <w:name w:val="bds_nopic2"/>
    <w:qFormat/>
    <w:uiPriority w:val="0"/>
    <w:rPr>
      <w:rFonts w:ascii="Times New Roman" w:hAnsi="Times New Roman" w:eastAsia="宋体"/>
    </w:rPr>
  </w:style>
  <w:style w:type="character" w:customStyle="1" w:styleId="80">
    <w:name w:val="lemmatitleh12"/>
    <w:qFormat/>
    <w:uiPriority w:val="0"/>
    <w:rPr>
      <w:rFonts w:ascii="Times New Roman" w:hAnsi="Times New Roman" w:eastAsia="宋体"/>
    </w:rPr>
  </w:style>
  <w:style w:type="character" w:customStyle="1" w:styleId="81">
    <w:name w:val="Char Char13"/>
    <w:qFormat/>
    <w:uiPriority w:val="0"/>
    <w:rPr>
      <w:rFonts w:eastAsia="宋体"/>
      <w:b/>
      <w:bCs/>
      <w:kern w:val="2"/>
      <w:sz w:val="24"/>
      <w:lang w:val="en-US" w:eastAsia="zh-CN" w:bidi="ar-SA"/>
    </w:rPr>
  </w:style>
  <w:style w:type="character" w:customStyle="1" w:styleId="82">
    <w:name w:val="Font Style94"/>
    <w:unhideWhenUsed/>
    <w:qFormat/>
    <w:uiPriority w:val="0"/>
    <w:rPr>
      <w:rFonts w:hint="eastAsia" w:ascii="Times New Roman" w:hAnsi="Times New Roman" w:eastAsia="Times New Roman"/>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Font Style133"/>
    <w:unhideWhenUsed/>
    <w:qFormat/>
    <w:uiPriority w:val="0"/>
    <w:rPr>
      <w:rFonts w:hint="eastAsia" w:ascii="宋体" w:hAnsi="宋体" w:eastAsia="宋体"/>
      <w:spacing w:val="30"/>
      <w:sz w:val="24"/>
    </w:rPr>
  </w:style>
  <w:style w:type="character" w:customStyle="1" w:styleId="85">
    <w:name w:val="polysemyred"/>
    <w:qFormat/>
    <w:uiPriority w:val="0"/>
    <w:rPr>
      <w:rFonts w:ascii="Times New Roman" w:hAnsi="Times New Roman" w:eastAsia="宋体"/>
      <w:color w:val="FF6666"/>
      <w:sz w:val="18"/>
      <w:szCs w:val="18"/>
    </w:rPr>
  </w:style>
  <w:style w:type="character" w:customStyle="1" w:styleId="86">
    <w:name w:val="批注主题 字符"/>
    <w:link w:val="44"/>
    <w:qFormat/>
    <w:uiPriority w:val="0"/>
    <w:rPr>
      <w:rFonts w:ascii="Calibri" w:hAnsi="Calibri" w:eastAsia="宋体" w:cs="黑体"/>
      <w:b/>
      <w:bCs/>
      <w:szCs w:val="24"/>
    </w:rPr>
  </w:style>
  <w:style w:type="character" w:customStyle="1" w:styleId="87">
    <w:name w:val="p0 Char"/>
    <w:link w:val="88"/>
    <w:qFormat/>
    <w:uiPriority w:val="0"/>
    <w:rPr>
      <w:rFonts w:ascii="Calibri" w:hAnsi="Calibri" w:eastAsia="宋体" w:cs="黑体"/>
      <w:szCs w:val="21"/>
    </w:rPr>
  </w:style>
  <w:style w:type="paragraph" w:customStyle="1" w:styleId="88">
    <w:name w:val="p0"/>
    <w:basedOn w:val="1"/>
    <w:link w:val="87"/>
    <w:qFormat/>
    <w:uiPriority w:val="0"/>
    <w:pPr>
      <w:widowControl/>
    </w:pPr>
    <w:rPr>
      <w:rFonts w:ascii="Calibri" w:hAnsi="Calibri" w:cs="黑体"/>
      <w:szCs w:val="21"/>
    </w:rPr>
  </w:style>
  <w:style w:type="character" w:customStyle="1" w:styleId="89">
    <w:name w:val="Char Char12"/>
    <w:qFormat/>
    <w:uiPriority w:val="0"/>
    <w:rPr>
      <w:rFonts w:ascii="Arial" w:hAnsi="Arial" w:eastAsia="黑体"/>
      <w:b/>
      <w:bCs/>
      <w:kern w:val="2"/>
      <w:sz w:val="28"/>
      <w:szCs w:val="28"/>
      <w:lang w:val="en-US" w:eastAsia="zh-CN" w:bidi="ar-SA"/>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font11"/>
    <w:basedOn w:val="48"/>
    <w:qFormat/>
    <w:uiPriority w:val="0"/>
    <w:rPr>
      <w:rFonts w:hint="eastAsia" w:ascii="宋体" w:hAnsi="宋体" w:eastAsia="宋体" w:cs="宋体"/>
      <w:color w:val="000000"/>
      <w:sz w:val="18"/>
      <w:szCs w:val="18"/>
      <w:u w:val="none"/>
    </w:rPr>
  </w:style>
  <w:style w:type="character" w:customStyle="1" w:styleId="92">
    <w:name w:val="font01"/>
    <w:basedOn w:val="48"/>
    <w:qFormat/>
    <w:uiPriority w:val="0"/>
    <w:rPr>
      <w:rFonts w:hint="eastAsia" w:ascii="宋体" w:hAnsi="宋体" w:eastAsia="宋体" w:cs="宋体"/>
      <w:color w:val="000000"/>
      <w:sz w:val="22"/>
      <w:szCs w:val="22"/>
      <w:u w:val="single"/>
    </w:rPr>
  </w:style>
  <w:style w:type="character" w:customStyle="1" w:styleId="93">
    <w:name w:val="sidecatalog-dot1"/>
    <w:qFormat/>
    <w:uiPriority w:val="0"/>
    <w:rPr>
      <w:rFonts w:ascii="Times New Roman" w:hAnsi="Times New Roman" w:eastAsia="宋体"/>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批注框文本 Char"/>
    <w:basedOn w:val="48"/>
    <w:qFormat/>
    <w:uiPriority w:val="0"/>
    <w:rPr>
      <w:rFonts w:ascii="Times New Roman" w:hAnsi="Times New Roman" w:eastAsia="宋体" w:cs="Times New Roman"/>
      <w:sz w:val="18"/>
      <w:szCs w:val="18"/>
    </w:rPr>
  </w:style>
  <w:style w:type="character" w:customStyle="1" w:styleId="96">
    <w:name w:val="批注框文本 字符"/>
    <w:link w:val="29"/>
    <w:qFormat/>
    <w:locked/>
    <w:uiPriority w:val="0"/>
    <w:rPr>
      <w:rFonts w:ascii="Calibri" w:hAnsi="Calibri" w:eastAsia="宋体" w:cs="黑体"/>
      <w:sz w:val="18"/>
      <w:szCs w:val="18"/>
    </w:rPr>
  </w:style>
  <w:style w:type="character" w:customStyle="1" w:styleId="97">
    <w:name w:val="正文文本缩进 字符"/>
    <w:basedOn w:val="48"/>
    <w:link w:val="20"/>
    <w:qFormat/>
    <w:uiPriority w:val="0"/>
    <w:rPr>
      <w:rFonts w:ascii="Calibri" w:hAnsi="Calibri" w:eastAsia="宋体" w:cs="黑体"/>
      <w:szCs w:val="24"/>
    </w:rPr>
  </w:style>
  <w:style w:type="character" w:customStyle="1" w:styleId="98">
    <w:name w:val="bds_more9"/>
    <w:qFormat/>
    <w:uiPriority w:val="0"/>
    <w:rPr>
      <w:rFonts w:ascii="Times New Roman" w:hAnsi="Times New Roman" w:eastAsia="宋体"/>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标题 字符"/>
    <w:basedOn w:val="48"/>
    <w:link w:val="43"/>
    <w:qFormat/>
    <w:uiPriority w:val="0"/>
    <w:rPr>
      <w:rFonts w:ascii="Cambria" w:hAnsi="Cambria" w:eastAsia="宋体" w:cs="Times New Roman"/>
      <w:b/>
      <w:sz w:val="32"/>
      <w:szCs w:val="24"/>
    </w:rPr>
  </w:style>
  <w:style w:type="character" w:customStyle="1" w:styleId="101">
    <w:name w:val="正文文本缩进 2 字符"/>
    <w:basedOn w:val="48"/>
    <w:link w:val="28"/>
    <w:qFormat/>
    <w:uiPriority w:val="0"/>
    <w:rPr>
      <w:rFonts w:ascii="Times New Roman" w:hAnsi="Times New Roman" w:eastAsia="宋体" w:cs="Times New Roman"/>
      <w:szCs w:val="24"/>
    </w:rPr>
  </w:style>
  <w:style w:type="character" w:customStyle="1" w:styleId="102">
    <w:name w:val="Font Style105"/>
    <w:unhideWhenUsed/>
    <w:qFormat/>
    <w:uiPriority w:val="0"/>
    <w:rPr>
      <w:rFonts w:hint="eastAsia" w:ascii="Times New Roman" w:hAnsi="Times New Roman" w:eastAsia="Times New Roman"/>
      <w:w w:val="60"/>
      <w:sz w:val="26"/>
    </w:rPr>
  </w:style>
  <w:style w:type="character" w:customStyle="1" w:styleId="103">
    <w:name w:val="标题 6 Char"/>
    <w:basedOn w:val="48"/>
    <w:qFormat/>
    <w:uiPriority w:val="0"/>
    <w:rPr>
      <w:rFonts w:ascii="Cambria" w:hAnsi="Cambria" w:eastAsia="宋体" w:cs="Times New Roman"/>
      <w:b/>
      <w:bCs/>
      <w:sz w:val="24"/>
      <w:szCs w:val="24"/>
    </w:rPr>
  </w:style>
  <w:style w:type="character" w:customStyle="1" w:styleId="104">
    <w:name w:val="morelink-item"/>
    <w:qFormat/>
    <w:uiPriority w:val="0"/>
    <w:rPr>
      <w:rFonts w:ascii="Times New Roman" w:hAnsi="Times New Roman" w:eastAsia="宋体"/>
    </w:rPr>
  </w:style>
  <w:style w:type="character" w:customStyle="1" w:styleId="105">
    <w:name w:val="bds_more7"/>
    <w:qFormat/>
    <w:uiPriority w:val="0"/>
    <w:rPr>
      <w:rFonts w:ascii="Times New Roman" w:hAnsi="Times New Roman" w:eastAsia="宋体"/>
    </w:rPr>
  </w:style>
  <w:style w:type="character" w:customStyle="1" w:styleId="106">
    <w:name w:val="纯文本 字符"/>
    <w:basedOn w:val="48"/>
    <w:link w:val="25"/>
    <w:qFormat/>
    <w:uiPriority w:val="0"/>
    <w:rPr>
      <w:rFonts w:ascii="宋体" w:hAnsi="Courier New" w:eastAsia="宋体" w:cs="Courier New"/>
      <w:szCs w:val="21"/>
    </w:rPr>
  </w:style>
  <w:style w:type="character" w:customStyle="1" w:styleId="107">
    <w:name w:val="Char Char16"/>
    <w:qFormat/>
    <w:uiPriority w:val="0"/>
    <w:rPr>
      <w:rFonts w:ascii="宋体" w:hAnsi="Times New Roman" w:eastAsia="宋体"/>
      <w:b/>
      <w:sz w:val="24"/>
      <w:lang w:val="en-US" w:eastAsia="zh-CN" w:bidi="ar-SA"/>
    </w:rPr>
  </w:style>
  <w:style w:type="character" w:customStyle="1" w:styleId="108">
    <w:name w:val="批注主题 Char"/>
    <w:basedOn w:val="109"/>
    <w:qFormat/>
    <w:uiPriority w:val="0"/>
    <w:rPr>
      <w:rFonts w:ascii="Times New Roman" w:hAnsi="Times New Roman" w:eastAsia="宋体" w:cs="Times New Roman"/>
      <w:b/>
      <w:bCs/>
      <w:szCs w:val="24"/>
    </w:rPr>
  </w:style>
  <w:style w:type="character" w:customStyle="1" w:styleId="109">
    <w:name w:val="批注文字 字符"/>
    <w:basedOn w:val="48"/>
    <w:link w:val="16"/>
    <w:qFormat/>
    <w:uiPriority w:val="99"/>
    <w:rPr>
      <w:rFonts w:ascii="Times New Roman" w:hAnsi="Times New Roman" w:eastAsia="宋体" w:cs="Times New Roman"/>
      <w:szCs w:val="24"/>
    </w:rPr>
  </w:style>
  <w:style w:type="character" w:customStyle="1" w:styleId="110">
    <w:name w:val="Font Style126"/>
    <w:unhideWhenUsed/>
    <w:qFormat/>
    <w:uiPriority w:val="0"/>
    <w:rPr>
      <w:rFonts w:hint="eastAsia" w:ascii="宋体" w:hAnsi="宋体" w:eastAsia="宋体"/>
      <w:b/>
      <w:spacing w:val="-30"/>
      <w:sz w:val="28"/>
    </w:rPr>
  </w:style>
  <w:style w:type="character" w:customStyle="1" w:styleId="111">
    <w:name w:val="标题 Char1"/>
    <w:qFormat/>
    <w:uiPriority w:val="0"/>
    <w:rPr>
      <w:rFonts w:ascii="Cambria" w:hAnsi="Cambria" w:eastAsia="宋体" w:cs="Times New Roman"/>
      <w:b/>
      <w:bCs/>
      <w:sz w:val="32"/>
      <w:szCs w:val="32"/>
    </w:rPr>
  </w:style>
  <w:style w:type="character" w:customStyle="1" w:styleId="112">
    <w:name w:val="plus"/>
    <w:qFormat/>
    <w:uiPriority w:val="0"/>
    <w:rPr>
      <w:rFonts w:ascii="Times New Roman" w:hAnsi="Times New Roman" w:eastAsia="宋体"/>
      <w:b/>
      <w:vanish/>
      <w:color w:val="1F8DEF"/>
      <w:sz w:val="24"/>
      <w:szCs w:val="24"/>
    </w:rPr>
  </w:style>
  <w:style w:type="character" w:customStyle="1" w:styleId="113">
    <w:name w:val="HTML 预设格式 字符"/>
    <w:basedOn w:val="48"/>
    <w:link w:val="40"/>
    <w:qFormat/>
    <w:uiPriority w:val="0"/>
    <w:rPr>
      <w:rFonts w:ascii="Arial" w:hAnsi="Arial" w:eastAsia="宋体" w:cs="Arial"/>
      <w:kern w:val="0"/>
      <w:sz w:val="24"/>
      <w:szCs w:val="24"/>
    </w:rPr>
  </w:style>
  <w:style w:type="character" w:customStyle="1" w:styleId="114">
    <w:name w:val="称呼 字符"/>
    <w:basedOn w:val="48"/>
    <w:link w:val="17"/>
    <w:qFormat/>
    <w:uiPriority w:val="0"/>
    <w:rPr>
      <w:rFonts w:ascii="仿宋_GB2312" w:hAnsi="Times New Roman" w:eastAsia="仿宋_GB2312" w:cs="Times New Roman"/>
      <w:sz w:val="24"/>
      <w:szCs w:val="24"/>
    </w:rPr>
  </w:style>
  <w:style w:type="character" w:customStyle="1" w:styleId="115">
    <w:name w:val="批注文字 Char Char"/>
    <w:qFormat/>
    <w:uiPriority w:val="0"/>
    <w:rPr>
      <w:kern w:val="2"/>
      <w:sz w:val="21"/>
      <w:szCs w:val="24"/>
      <w:lang w:bidi="ar-SA"/>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正文文本 字符"/>
    <w:basedOn w:val="48"/>
    <w:link w:val="19"/>
    <w:qFormat/>
    <w:uiPriority w:val="99"/>
    <w:rPr>
      <w:rFonts w:ascii="Times New Roman" w:hAnsi="Times New Roman" w:eastAsia="宋体" w:cs="Times New Roman"/>
      <w:szCs w:val="24"/>
    </w:rPr>
  </w:style>
  <w:style w:type="character" w:customStyle="1" w:styleId="118">
    <w:name w:val="批注文字 Char1"/>
    <w:qFormat/>
    <w:uiPriority w:val="0"/>
    <w:rPr>
      <w:rFonts w:eastAsia="宋体"/>
      <w:kern w:val="2"/>
      <w:sz w:val="21"/>
      <w:szCs w:val="24"/>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Font Style127"/>
    <w:unhideWhenUsed/>
    <w:qFormat/>
    <w:uiPriority w:val="0"/>
    <w:rPr>
      <w:rFonts w:hint="eastAsia" w:ascii="Times New Roman" w:hAnsi="Times New Roman" w:eastAsia="Times New Roman"/>
      <w:sz w:val="20"/>
    </w:rPr>
  </w:style>
  <w:style w:type="character" w:customStyle="1" w:styleId="121">
    <w:name w:val="Font Style122"/>
    <w:unhideWhenUsed/>
    <w:qFormat/>
    <w:uiPriority w:val="0"/>
    <w:rPr>
      <w:rFonts w:hint="eastAsia" w:ascii="宋体" w:hAnsi="宋体" w:eastAsia="宋体"/>
      <w:spacing w:val="20"/>
      <w:sz w:val="24"/>
    </w:rPr>
  </w:style>
  <w:style w:type="character" w:customStyle="1" w:styleId="122">
    <w:name w:val="标题 3 Char"/>
    <w:basedOn w:val="48"/>
    <w:qFormat/>
    <w:uiPriority w:val="0"/>
    <w:rPr>
      <w:rFonts w:ascii="Times New Roman" w:hAnsi="Times New Roman" w:eastAsia="宋体" w:cs="Times New Roman"/>
      <w:b/>
      <w:bCs/>
      <w:sz w:val="32"/>
      <w:szCs w:val="32"/>
    </w:rPr>
  </w:style>
  <w:style w:type="character" w:customStyle="1" w:styleId="123">
    <w:name w:val="sidecatalog-dot"/>
    <w:qFormat/>
    <w:uiPriority w:val="0"/>
    <w:rPr>
      <w:rFonts w:ascii="Times New Roman" w:hAnsi="Times New Roman" w:eastAsia="宋体"/>
    </w:rPr>
  </w:style>
  <w:style w:type="character" w:customStyle="1" w:styleId="124">
    <w:name w:val="正文文本缩进 3 字符"/>
    <w:link w:val="36"/>
    <w:qFormat/>
    <w:uiPriority w:val="0"/>
    <w:rPr>
      <w:rFonts w:ascii="Calibri" w:hAnsi="Calibri" w:eastAsia="宋体" w:cs="黑体"/>
      <w:sz w:val="16"/>
      <w:szCs w:val="16"/>
    </w:rPr>
  </w:style>
  <w:style w:type="character" w:customStyle="1" w:styleId="125">
    <w:name w:val="副标题 字符"/>
    <w:basedOn w:val="48"/>
    <w:link w:val="34"/>
    <w:qFormat/>
    <w:uiPriority w:val="99"/>
    <w:rPr>
      <w:sz w:val="18"/>
      <w:szCs w:val="18"/>
    </w:rPr>
  </w:style>
  <w:style w:type="character" w:customStyle="1" w:styleId="126">
    <w:name w:val="页码1"/>
    <w:qFormat/>
    <w:uiPriority w:val="0"/>
    <w:rPr>
      <w:lang w:val="zh-TW" w:eastAsia="zh-TW"/>
    </w:rPr>
  </w:style>
  <w:style w:type="character" w:customStyle="1" w:styleId="127">
    <w:name w:val="文档结构图 字符"/>
    <w:basedOn w:val="48"/>
    <w:link w:val="14"/>
    <w:qFormat/>
    <w:uiPriority w:val="0"/>
    <w:rPr>
      <w:rFonts w:ascii="Times New Roman" w:hAnsi="Times New Roman" w:eastAsia="宋体" w:cs="Times New Roman"/>
      <w:szCs w:val="24"/>
      <w:shd w:val="clear" w:color="auto" w:fill="000080"/>
    </w:rPr>
  </w:style>
  <w:style w:type="character" w:customStyle="1" w:styleId="128">
    <w:name w:val="标题 1 Char"/>
    <w:basedOn w:val="48"/>
    <w:qFormat/>
    <w:uiPriority w:val="0"/>
    <w:rPr>
      <w:rFonts w:ascii="Times New Roman" w:hAnsi="Times New Roman" w:eastAsia="宋体" w:cs="Times New Roman"/>
      <w:b/>
      <w:bCs/>
      <w:kern w:val="44"/>
      <w:sz w:val="44"/>
      <w:szCs w:val="44"/>
    </w:rPr>
  </w:style>
  <w:style w:type="character" w:customStyle="1" w:styleId="129">
    <w:name w:val="bds_nopic"/>
    <w:qFormat/>
    <w:uiPriority w:val="0"/>
    <w:rPr>
      <w:rFonts w:ascii="Times New Roman" w:hAnsi="Times New Roman" w:eastAsia="宋体"/>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w:basedOn w:val="48"/>
    <w:qFormat/>
    <w:uiPriority w:val="0"/>
    <w:rPr>
      <w:rFonts w:ascii="Cambria" w:hAnsi="Cambria" w:eastAsia="宋体" w:cs="Times New Roman"/>
      <w:b/>
      <w:bCs/>
      <w:sz w:val="32"/>
      <w:szCs w:val="32"/>
    </w:rPr>
  </w:style>
  <w:style w:type="character" w:customStyle="1" w:styleId="132">
    <w:name w:val="纯文本 Char1"/>
    <w:basedOn w:val="48"/>
    <w:qFormat/>
    <w:uiPriority w:val="0"/>
    <w:rPr>
      <w:rFonts w:ascii="宋体" w:hAnsi="Courier New" w:eastAsia="宋体" w:cs="Courier New"/>
      <w:kern w:val="2"/>
      <w:sz w:val="21"/>
      <w:szCs w:val="21"/>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正文文本缩进 3 Char"/>
    <w:basedOn w:val="48"/>
    <w:qFormat/>
    <w:uiPriority w:val="0"/>
    <w:rPr>
      <w:rFonts w:ascii="Times New Roman" w:hAnsi="Times New Roman" w:eastAsia="宋体" w:cs="Times New Roman"/>
      <w:sz w:val="16"/>
      <w:szCs w:val="16"/>
    </w:rPr>
  </w:style>
  <w:style w:type="character" w:customStyle="1" w:styleId="135">
    <w:name w:val="Font Style90"/>
    <w:unhideWhenUsed/>
    <w:qFormat/>
    <w:uiPriority w:val="0"/>
    <w:rPr>
      <w:rFonts w:hint="eastAsia" w:ascii="宋体" w:hAnsi="宋体" w:eastAsia="宋体"/>
      <w:b/>
      <w:spacing w:val="-20"/>
      <w:sz w:val="40"/>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标题 Char"/>
    <w:basedOn w:val="48"/>
    <w:qFormat/>
    <w:uiPriority w:val="0"/>
    <w:rPr>
      <w:rFonts w:ascii="Cambria" w:hAnsi="Cambria" w:eastAsia="宋体" w:cs="Times New Roman"/>
      <w:b/>
      <w:bCs/>
      <w:sz w:val="32"/>
      <w:szCs w:val="32"/>
    </w:rPr>
  </w:style>
  <w:style w:type="character" w:customStyle="1" w:styleId="138">
    <w:name w:val="font41"/>
    <w:basedOn w:val="48"/>
    <w:qFormat/>
    <w:uiPriority w:val="0"/>
    <w:rPr>
      <w:rFonts w:hint="eastAsia" w:ascii="宋体" w:hAnsi="宋体" w:eastAsia="宋体" w:cs="宋体"/>
      <w:color w:val="000000"/>
      <w:sz w:val="22"/>
      <w:szCs w:val="22"/>
      <w:u w:val="single"/>
    </w:rPr>
  </w:style>
  <w:style w:type="character" w:customStyle="1" w:styleId="139">
    <w:name w:val="日期 字符"/>
    <w:link w:val="27"/>
    <w:qFormat/>
    <w:uiPriority w:val="0"/>
    <w:rPr>
      <w:rFonts w:ascii="Calibri" w:hAnsi="Calibri" w:eastAsia="宋体" w:cs="黑体"/>
      <w:sz w:val="24"/>
    </w:rPr>
  </w:style>
  <w:style w:type="character" w:customStyle="1" w:styleId="140">
    <w:name w:val="Font Style86"/>
    <w:unhideWhenUsed/>
    <w:qFormat/>
    <w:uiPriority w:val="0"/>
    <w:rPr>
      <w:rFonts w:hint="eastAsia" w:ascii="黑体" w:hAnsi="黑体" w:eastAsia="黑体"/>
      <w:spacing w:val="10"/>
      <w:sz w:val="30"/>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134"/>
    <w:unhideWhenUsed/>
    <w:qFormat/>
    <w:uiPriority w:val="0"/>
    <w:rPr>
      <w:rFonts w:hint="eastAsia" w:ascii="宋体" w:hAnsi="宋体" w:eastAsia="宋体"/>
      <w:spacing w:val="20"/>
      <w:sz w:val="22"/>
    </w:rPr>
  </w:style>
  <w:style w:type="character" w:customStyle="1" w:styleId="143">
    <w:name w:val="页眉 Char1"/>
    <w:qFormat/>
    <w:uiPriority w:val="0"/>
    <w:rPr>
      <w:rFonts w:eastAsia="宋体"/>
      <w:kern w:val="2"/>
      <w:sz w:val="18"/>
      <w:szCs w:val="18"/>
      <w:lang w:val="en-US" w:eastAsia="zh-CN" w:bidi="ar-SA"/>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15"/>
    <w:unhideWhenUsed/>
    <w:qFormat/>
    <w:uiPriority w:val="0"/>
    <w:rPr>
      <w:rFonts w:hint="eastAsia" w:ascii="Times New Roman" w:hAnsi="Times New Roman" w:eastAsia="Times New Roman"/>
      <w:sz w:val="16"/>
    </w:rPr>
  </w:style>
  <w:style w:type="character" w:customStyle="1" w:styleId="146">
    <w:name w:val="bds_more6"/>
    <w:qFormat/>
    <w:uiPriority w:val="0"/>
    <w:rPr>
      <w:rFonts w:hint="eastAsia" w:ascii="宋体" w:hAnsi="宋体" w:eastAsia="宋体" w:cs="宋体"/>
    </w:rPr>
  </w:style>
  <w:style w:type="character" w:customStyle="1" w:styleId="147">
    <w:name w:val="标题 8 Char"/>
    <w:basedOn w:val="48"/>
    <w:qFormat/>
    <w:uiPriority w:val="0"/>
    <w:rPr>
      <w:rFonts w:ascii="Cambria" w:hAnsi="Cambria" w:eastAsia="宋体" w:cs="Times New Roman"/>
      <w:sz w:val="24"/>
      <w:szCs w:val="24"/>
    </w:rPr>
  </w:style>
  <w:style w:type="character" w:customStyle="1" w:styleId="148">
    <w:name w:val="正文文本 3 字符"/>
    <w:basedOn w:val="48"/>
    <w:link w:val="18"/>
    <w:qFormat/>
    <w:uiPriority w:val="0"/>
    <w:rPr>
      <w:rFonts w:ascii="宋体" w:hAnsi="Times New Roman" w:eastAsia="宋体" w:cs="Times New Roman"/>
      <w:color w:val="000000"/>
      <w:kern w:val="0"/>
      <w:sz w:val="24"/>
      <w:szCs w:val="20"/>
    </w:rPr>
  </w:style>
  <w:style w:type="character" w:customStyle="1" w:styleId="149">
    <w:name w:val="font71"/>
    <w:basedOn w:val="48"/>
    <w:qFormat/>
    <w:uiPriority w:val="0"/>
    <w:rPr>
      <w:rFonts w:hint="eastAsia" w:ascii="宋体" w:hAnsi="宋体" w:eastAsia="宋体" w:cs="宋体"/>
      <w:b/>
      <w:color w:val="000000"/>
      <w:sz w:val="22"/>
      <w:szCs w:val="22"/>
      <w:u w:val="none"/>
    </w:rPr>
  </w:style>
  <w:style w:type="character" w:customStyle="1" w:styleId="150">
    <w:name w:val="font21"/>
    <w:basedOn w:val="48"/>
    <w:qFormat/>
    <w:uiPriority w:val="0"/>
    <w:rPr>
      <w:rFonts w:hint="eastAsia" w:ascii="宋体" w:hAnsi="宋体" w:eastAsia="宋体" w:cs="宋体"/>
      <w:color w:val="000000"/>
      <w:sz w:val="18"/>
      <w:szCs w:val="18"/>
      <w:u w:val="none"/>
    </w:rPr>
  </w:style>
  <w:style w:type="character" w:customStyle="1" w:styleId="151">
    <w:name w:val="标题 9 Char"/>
    <w:basedOn w:val="48"/>
    <w:qFormat/>
    <w:uiPriority w:val="0"/>
    <w:rPr>
      <w:rFonts w:ascii="Cambria" w:hAnsi="Cambria" w:eastAsia="宋体" w:cs="Times New Roman"/>
      <w:szCs w:val="21"/>
    </w:rPr>
  </w:style>
  <w:style w:type="character" w:customStyle="1" w:styleId="152">
    <w:name w:val="Char Char14"/>
    <w:qFormat/>
    <w:uiPriority w:val="0"/>
    <w:rPr>
      <w:rFonts w:ascii="Arial" w:hAnsi="Arial" w:eastAsia="黑体"/>
      <w:b/>
      <w:bCs/>
      <w:sz w:val="28"/>
      <w:szCs w:val="28"/>
      <w:lang w:val="en-US" w:eastAsia="zh-CN" w:bidi="ar-SA"/>
    </w:rPr>
  </w:style>
  <w:style w:type="character" w:customStyle="1" w:styleId="153">
    <w:name w:val="Font Style119"/>
    <w:unhideWhenUsed/>
    <w:qFormat/>
    <w:uiPriority w:val="0"/>
    <w:rPr>
      <w:rFonts w:hint="eastAsia" w:ascii="宋体" w:hAnsi="宋体" w:eastAsia="宋体"/>
      <w:sz w:val="24"/>
    </w:rPr>
  </w:style>
  <w:style w:type="character" w:customStyle="1" w:styleId="154">
    <w:name w:val="标题 5 Char"/>
    <w:basedOn w:val="48"/>
    <w:qFormat/>
    <w:uiPriority w:val="0"/>
    <w:rPr>
      <w:rFonts w:ascii="Times New Roman" w:hAnsi="Times New Roman" w:eastAsia="宋体" w:cs="Times New Roman"/>
      <w:b/>
      <w:bCs/>
      <w:sz w:val="28"/>
      <w:szCs w:val="28"/>
    </w:rPr>
  </w:style>
  <w:style w:type="character" w:customStyle="1" w:styleId="155">
    <w:name w:val="Char Char15"/>
    <w:qFormat/>
    <w:uiPriority w:val="0"/>
    <w:rPr>
      <w:b/>
      <w:bCs/>
      <w:sz w:val="24"/>
      <w:szCs w:val="24"/>
    </w:rPr>
  </w:style>
  <w:style w:type="character" w:customStyle="1" w:styleId="156">
    <w:name w:val="polysemyexp"/>
    <w:qFormat/>
    <w:uiPriority w:val="0"/>
    <w:rPr>
      <w:rFonts w:ascii="Times New Roman" w:hAnsi="Times New Roman" w:eastAsia="宋体"/>
      <w:color w:val="AAAAAA"/>
      <w:sz w:val="18"/>
      <w:szCs w:val="18"/>
    </w:rPr>
  </w:style>
  <w:style w:type="character" w:customStyle="1" w:styleId="157">
    <w:name w:val="bds_nopic1"/>
    <w:qFormat/>
    <w:uiPriority w:val="0"/>
    <w:rPr>
      <w:rFonts w:ascii="Times New Roman" w:hAnsi="Times New Roman" w:eastAsia="宋体"/>
    </w:rPr>
  </w:style>
  <w:style w:type="character" w:customStyle="1" w:styleId="158">
    <w:name w:val="bds_more8"/>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bds_more10"/>
    <w:qFormat/>
    <w:uiPriority w:val="0"/>
    <w:rPr>
      <w:rFonts w:ascii="Times New Roman" w:hAnsi="Times New Roman" w:eastAsia="宋体"/>
    </w:rPr>
  </w:style>
  <w:style w:type="character" w:customStyle="1" w:styleId="161">
    <w:name w:val="sidecatalog-index1"/>
    <w:qFormat/>
    <w:uiPriority w:val="0"/>
    <w:rPr>
      <w:rFonts w:ascii="Arial" w:hAnsi="Arial" w:eastAsia="宋体" w:cs="Arial"/>
      <w:b/>
      <w:color w:val="999999"/>
      <w:sz w:val="21"/>
      <w:szCs w:val="21"/>
    </w:rPr>
  </w:style>
  <w:style w:type="character" w:customStyle="1" w:styleId="162">
    <w:name w:val="标题 7 Char"/>
    <w:basedOn w:val="48"/>
    <w:qFormat/>
    <w:uiPriority w:val="0"/>
    <w:rPr>
      <w:rFonts w:ascii="Times New Roman" w:hAnsi="Times New Roman" w:eastAsia="宋体" w:cs="Times New Roman"/>
      <w:b/>
      <w:bCs/>
      <w:sz w:val="24"/>
      <w:szCs w:val="24"/>
    </w:rPr>
  </w:style>
  <w:style w:type="character" w:customStyle="1" w:styleId="163">
    <w:name w:val="desc"/>
    <w:qFormat/>
    <w:uiPriority w:val="0"/>
    <w:rPr>
      <w:rFonts w:ascii="Times New Roman" w:hAnsi="Times New Roman" w:eastAsia="宋体"/>
      <w:color w:val="000000"/>
      <w:sz w:val="18"/>
      <w:szCs w:val="18"/>
    </w:rPr>
  </w:style>
  <w:style w:type="character" w:customStyle="1" w:styleId="164">
    <w:name w:val="正文文本缩进 2 字符1"/>
    <w:basedOn w:val="48"/>
    <w:semiHidden/>
    <w:qFormat/>
    <w:uiPriority w:val="99"/>
    <w:rPr>
      <w:rFonts w:ascii="Times New Roman" w:hAnsi="Times New Roman" w:eastAsia="宋体" w:cs="Times New Roman"/>
      <w:szCs w:val="24"/>
    </w:rPr>
  </w:style>
  <w:style w:type="character" w:customStyle="1" w:styleId="165">
    <w:name w:val="正文文本缩进 字符1"/>
    <w:basedOn w:val="48"/>
    <w:semiHidden/>
    <w:qFormat/>
    <w:uiPriority w:val="99"/>
    <w:rPr>
      <w:rFonts w:ascii="Times New Roman" w:hAnsi="Times New Roman" w:eastAsia="宋体" w:cs="Times New Roman"/>
      <w:szCs w:val="24"/>
    </w:rPr>
  </w:style>
  <w:style w:type="character" w:customStyle="1" w:styleId="166">
    <w:name w:val="正文文本 3 字符1"/>
    <w:basedOn w:val="48"/>
    <w:semiHidden/>
    <w:qFormat/>
    <w:uiPriority w:val="99"/>
    <w:rPr>
      <w:rFonts w:ascii="Times New Roman" w:hAnsi="Times New Roman" w:eastAsia="宋体" w:cs="Times New Roman"/>
      <w:sz w:val="16"/>
      <w:szCs w:val="16"/>
    </w:rPr>
  </w:style>
  <w:style w:type="character" w:customStyle="1" w:styleId="167">
    <w:name w:val="称呼 字符1"/>
    <w:basedOn w:val="48"/>
    <w:semiHidden/>
    <w:qFormat/>
    <w:uiPriority w:val="99"/>
    <w:rPr>
      <w:rFonts w:ascii="Times New Roman" w:hAnsi="Times New Roman" w:eastAsia="宋体" w:cs="Times New Roman"/>
      <w:szCs w:val="24"/>
    </w:rPr>
  </w:style>
  <w:style w:type="character" w:customStyle="1" w:styleId="168">
    <w:name w:val="批注框文本 字符1"/>
    <w:basedOn w:val="48"/>
    <w:semiHidden/>
    <w:qFormat/>
    <w:uiPriority w:val="99"/>
    <w:rPr>
      <w:rFonts w:ascii="Times New Roman" w:hAnsi="Times New Roman" w:eastAsia="宋体" w:cs="Times New Roman"/>
      <w:sz w:val="18"/>
      <w:szCs w:val="18"/>
    </w:rPr>
  </w:style>
  <w:style w:type="character" w:customStyle="1" w:styleId="169">
    <w:name w:val="正文文本缩进 3 字符1"/>
    <w:basedOn w:val="48"/>
    <w:semiHidden/>
    <w:qFormat/>
    <w:uiPriority w:val="99"/>
    <w:rPr>
      <w:rFonts w:ascii="Times New Roman" w:hAnsi="Times New Roman" w:eastAsia="宋体" w:cs="Times New Roman"/>
      <w:sz w:val="16"/>
      <w:szCs w:val="16"/>
    </w:rPr>
  </w:style>
  <w:style w:type="character" w:customStyle="1" w:styleId="170">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1">
    <w:name w:val="日期 字符1"/>
    <w:basedOn w:val="48"/>
    <w:semiHidden/>
    <w:qFormat/>
    <w:uiPriority w:val="99"/>
    <w:rPr>
      <w:rFonts w:ascii="Times New Roman" w:hAnsi="Times New Roman" w:eastAsia="宋体" w:cs="Times New Roman"/>
      <w:szCs w:val="24"/>
    </w:rPr>
  </w:style>
  <w:style w:type="character" w:customStyle="1" w:styleId="172">
    <w:name w:val="正文文本 字符1"/>
    <w:basedOn w:val="48"/>
    <w:semiHidden/>
    <w:qFormat/>
    <w:uiPriority w:val="99"/>
    <w:rPr>
      <w:rFonts w:ascii="Times New Roman" w:hAnsi="Times New Roman" w:eastAsia="宋体" w:cs="Times New Roman"/>
      <w:szCs w:val="24"/>
    </w:rPr>
  </w:style>
  <w:style w:type="character" w:customStyle="1" w:styleId="173">
    <w:name w:val="批注文字 字符1"/>
    <w:basedOn w:val="48"/>
    <w:semiHidden/>
    <w:qFormat/>
    <w:uiPriority w:val="99"/>
    <w:rPr>
      <w:rFonts w:ascii="Times New Roman" w:hAnsi="Times New Roman" w:eastAsia="宋体" w:cs="Times New Roman"/>
      <w:szCs w:val="24"/>
    </w:rPr>
  </w:style>
  <w:style w:type="character" w:customStyle="1" w:styleId="174">
    <w:name w:val="HTML 预设格式 字符1"/>
    <w:basedOn w:val="48"/>
    <w:semiHidden/>
    <w:qFormat/>
    <w:uiPriority w:val="99"/>
    <w:rPr>
      <w:rFonts w:ascii="Courier New" w:hAnsi="Courier New" w:eastAsia="宋体" w:cs="Courier New"/>
      <w:sz w:val="20"/>
      <w:szCs w:val="20"/>
    </w:rPr>
  </w:style>
  <w:style w:type="character" w:customStyle="1" w:styleId="175">
    <w:name w:val="正文文本首行缩进 字符"/>
    <w:basedOn w:val="172"/>
    <w:link w:val="45"/>
    <w:qFormat/>
    <w:uiPriority w:val="0"/>
    <w:rPr>
      <w:rFonts w:ascii="Times New Roman" w:hAnsi="Times New Roman" w:eastAsia="宋体" w:cs="Times New Roman"/>
      <w:szCs w:val="24"/>
    </w:rPr>
  </w:style>
  <w:style w:type="character" w:customStyle="1" w:styleId="176">
    <w:name w:val="正文文本 2 字符1"/>
    <w:basedOn w:val="48"/>
    <w:semiHidden/>
    <w:qFormat/>
    <w:uiPriority w:val="99"/>
    <w:rPr>
      <w:rFonts w:ascii="Times New Roman" w:hAnsi="Times New Roman" w:eastAsia="宋体" w:cs="Times New Roman"/>
      <w:szCs w:val="24"/>
    </w:rPr>
  </w:style>
  <w:style w:type="character" w:customStyle="1" w:styleId="177">
    <w:name w:val="副标题 字符1"/>
    <w:basedOn w:val="48"/>
    <w:qFormat/>
    <w:uiPriority w:val="11"/>
    <w:rPr>
      <w:b/>
      <w:bCs/>
      <w:kern w:val="28"/>
      <w:sz w:val="32"/>
      <w:szCs w:val="32"/>
    </w:rPr>
  </w:style>
  <w:style w:type="character" w:customStyle="1" w:styleId="178">
    <w:name w:val="批注主题 字符1"/>
    <w:basedOn w:val="173"/>
    <w:semiHidden/>
    <w:qFormat/>
    <w:uiPriority w:val="99"/>
    <w:rPr>
      <w:rFonts w:ascii="Times New Roman" w:hAnsi="Times New Roman" w:eastAsia="宋体" w:cs="Times New Roman"/>
      <w:b/>
      <w:bCs/>
      <w:szCs w:val="24"/>
    </w:rPr>
  </w:style>
  <w:style w:type="character" w:customStyle="1" w:styleId="179">
    <w:name w:val="标题 字符1"/>
    <w:basedOn w:val="48"/>
    <w:qFormat/>
    <w:uiPriority w:val="10"/>
    <w:rPr>
      <w:rFonts w:asciiTheme="majorHAnsi" w:hAnsiTheme="majorHAnsi" w:eastAsiaTheme="majorEastAsia" w:cstheme="majorBidi"/>
      <w:b/>
      <w:bCs/>
      <w:sz w:val="32"/>
      <w:szCs w:val="32"/>
    </w:rPr>
  </w:style>
  <w:style w:type="character" w:customStyle="1" w:styleId="180">
    <w:name w:val="纯文本 字符1"/>
    <w:basedOn w:val="48"/>
    <w:semiHidden/>
    <w:qFormat/>
    <w:uiPriority w:val="99"/>
    <w:rPr>
      <w:rFonts w:hAnsi="Courier New" w:cs="Courier New" w:asciiTheme="minorEastAsia"/>
      <w:szCs w:val="24"/>
    </w:rPr>
  </w:style>
  <w:style w:type="paragraph" w:customStyle="1" w:styleId="18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2">
    <w:name w:val="Char Char Char"/>
    <w:basedOn w:val="1"/>
    <w:qFormat/>
    <w:uiPriority w:val="0"/>
    <w:rPr>
      <w:rFonts w:ascii="宋体" w:hAnsi="宋体"/>
      <w:b/>
      <w:sz w:val="28"/>
      <w:szCs w:val="28"/>
    </w:rPr>
  </w:style>
  <w:style w:type="paragraph" w:customStyle="1" w:styleId="183">
    <w:name w:val="Style29"/>
    <w:basedOn w:val="1"/>
    <w:unhideWhenUsed/>
    <w:qFormat/>
    <w:uiPriority w:val="0"/>
    <w:pPr>
      <w:spacing w:line="547" w:lineRule="exact"/>
      <w:ind w:firstLine="547"/>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Style13"/>
    <w:basedOn w:val="1"/>
    <w:unhideWhenUsed/>
    <w:qFormat/>
    <w:uiPriority w:val="0"/>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正文缩进2"/>
    <w:basedOn w:val="1"/>
    <w:qFormat/>
    <w:uiPriority w:val="0"/>
    <w:pPr>
      <w:tabs>
        <w:tab w:val="left" w:pos="720"/>
      </w:tabs>
      <w:ind w:left="624" w:hanging="624"/>
      <w:textAlignment w:val="baseline"/>
    </w:pPr>
    <w:rPr>
      <w:rFonts w:hint="eastAsia" w:ascii="宋体"/>
    </w:rPr>
  </w:style>
  <w:style w:type="paragraph" w:customStyle="1" w:styleId="188">
    <w:name w:val="Style23"/>
    <w:basedOn w:val="1"/>
    <w:unhideWhenUsed/>
    <w:qFormat/>
    <w:uiPriority w:val="0"/>
  </w:style>
  <w:style w:type="paragraph" w:customStyle="1" w:styleId="189">
    <w:name w:val="Style81"/>
    <w:basedOn w:val="1"/>
    <w:unhideWhenUsed/>
    <w:qFormat/>
    <w:uiPriority w:val="0"/>
    <w:pPr>
      <w:spacing w:line="547" w:lineRule="exact"/>
    </w:pPr>
  </w:style>
  <w:style w:type="paragraph" w:customStyle="1" w:styleId="190">
    <w:name w:val="Style73"/>
    <w:basedOn w:val="1"/>
    <w:unhideWhenUsed/>
    <w:qFormat/>
    <w:uiPriority w:val="0"/>
    <w:pPr>
      <w:spacing w:line="538" w:lineRule="exact"/>
      <w:ind w:firstLine="533"/>
    </w:pPr>
  </w:style>
  <w:style w:type="paragraph" w:customStyle="1" w:styleId="191">
    <w:name w:val="Style47"/>
    <w:basedOn w:val="1"/>
    <w:unhideWhenUsed/>
    <w:qFormat/>
    <w:uiPriority w:val="0"/>
  </w:style>
  <w:style w:type="paragraph" w:customStyle="1" w:styleId="192">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3">
    <w:name w:val="Style77"/>
    <w:basedOn w:val="1"/>
    <w:unhideWhenUsed/>
    <w:qFormat/>
    <w:uiPriority w:val="0"/>
  </w:style>
  <w:style w:type="paragraph" w:customStyle="1" w:styleId="194">
    <w:name w:val="Style8"/>
    <w:basedOn w:val="1"/>
    <w:unhideWhenUsed/>
    <w:qFormat/>
    <w:uiPriority w:val="0"/>
    <w:pPr>
      <w:spacing w:line="566" w:lineRule="exact"/>
      <w:jc w:val="center"/>
    </w:pPr>
  </w:style>
  <w:style w:type="paragraph" w:customStyle="1" w:styleId="195">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6">
    <w:name w:val="Char1 Char Char Char Char Char Char Char Char Char"/>
    <w:basedOn w:val="1"/>
    <w:qFormat/>
    <w:uiPriority w:val="0"/>
    <w:rPr>
      <w:szCs w:val="20"/>
    </w:rPr>
  </w:style>
  <w:style w:type="paragraph" w:customStyle="1" w:styleId="197">
    <w:name w:val="_Style 1"/>
    <w:basedOn w:val="1"/>
    <w:qFormat/>
    <w:uiPriority w:val="34"/>
    <w:pPr>
      <w:ind w:firstLine="420" w:firstLineChars="200"/>
    </w:pPr>
    <w:rPr>
      <w:rFonts w:ascii="Calibri" w:hAnsi="Calibri" w:cs="黑体"/>
    </w:rPr>
  </w:style>
  <w:style w:type="paragraph" w:customStyle="1" w:styleId="198">
    <w:name w:val="_Style 39"/>
    <w:basedOn w:val="199"/>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Style24"/>
    <w:basedOn w:val="1"/>
    <w:unhideWhenUsed/>
    <w:qFormat/>
    <w:uiPriority w:val="0"/>
  </w:style>
  <w:style w:type="paragraph" w:customStyle="1" w:styleId="201">
    <w:name w:val="Style34"/>
    <w:basedOn w:val="1"/>
    <w:unhideWhenUsed/>
    <w:qFormat/>
    <w:uiPriority w:val="0"/>
    <w:pPr>
      <w:spacing w:line="375" w:lineRule="exact"/>
    </w:p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Style69"/>
    <w:basedOn w:val="1"/>
    <w:unhideWhenUsed/>
    <w:qFormat/>
    <w:uiPriority w:val="0"/>
    <w:pPr>
      <w:spacing w:line="557" w:lineRule="exact"/>
      <w:ind w:firstLine="1666"/>
    </w:pPr>
  </w:style>
  <w:style w:type="paragraph" w:customStyle="1" w:styleId="20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5">
    <w:name w:val="表格内容"/>
    <w:basedOn w:val="19"/>
    <w:qFormat/>
    <w:uiPriority w:val="0"/>
    <w:pPr>
      <w:suppressLineNumbers/>
      <w:suppressAutoHyphens/>
      <w:jc w:val="left"/>
    </w:pPr>
    <w:rPr>
      <w:rFonts w:cs="Tahoma"/>
      <w:kern w:val="0"/>
      <w:sz w:val="24"/>
    </w:rPr>
  </w:style>
  <w:style w:type="paragraph" w:customStyle="1" w:styleId="206">
    <w:name w:val="Style54"/>
    <w:basedOn w:val="1"/>
    <w:unhideWhenUsed/>
    <w:qFormat/>
    <w:uiPriority w:val="0"/>
  </w:style>
  <w:style w:type="paragraph" w:customStyle="1" w:styleId="207">
    <w:name w:val="标题 31"/>
    <w:basedOn w:val="1"/>
    <w:next w:val="208"/>
    <w:qFormat/>
    <w:uiPriority w:val="0"/>
    <w:pPr>
      <w:spacing w:before="60" w:line="300" w:lineRule="auto"/>
      <w:outlineLvl w:val="2"/>
    </w:pPr>
    <w:rPr>
      <w:rFonts w:ascii="宋体" w:hAnsi="宋体"/>
      <w:snapToGrid w:val="0"/>
      <w:kern w:val="0"/>
      <w:sz w:val="24"/>
    </w:rPr>
  </w:style>
  <w:style w:type="paragraph" w:customStyle="1" w:styleId="208">
    <w:name w:val="正文缩进3"/>
    <w:basedOn w:val="1"/>
    <w:qFormat/>
    <w:uiPriority w:val="0"/>
    <w:pPr>
      <w:tabs>
        <w:tab w:val="left" w:pos="720"/>
      </w:tabs>
      <w:ind w:left="624" w:hanging="624"/>
      <w:textAlignment w:val="baseline"/>
    </w:pPr>
    <w:rPr>
      <w:rFonts w:hint="eastAsia" w:ascii="宋体"/>
    </w:rPr>
  </w:style>
  <w:style w:type="paragraph" w:customStyle="1" w:styleId="2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0">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1">
    <w:name w:val="Style21"/>
    <w:basedOn w:val="1"/>
    <w:unhideWhenUsed/>
    <w:qFormat/>
    <w:uiPriority w:val="0"/>
    <w:pPr>
      <w:spacing w:line="566" w:lineRule="exact"/>
      <w:ind w:firstLine="682"/>
    </w:pPr>
  </w:style>
  <w:style w:type="paragraph" w:customStyle="1" w:styleId="212">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3">
    <w:name w:val="Style12"/>
    <w:basedOn w:val="1"/>
    <w:unhideWhenUsed/>
    <w:qFormat/>
    <w:uiPriority w:val="0"/>
    <w:pPr>
      <w:spacing w:line="564" w:lineRule="exact"/>
      <w:ind w:hanging="115"/>
    </w:pPr>
  </w:style>
  <w:style w:type="paragraph" w:customStyle="1" w:styleId="214">
    <w:name w:val="Style58"/>
    <w:basedOn w:val="1"/>
    <w:unhideWhenUsed/>
    <w:qFormat/>
    <w:uiPriority w:val="0"/>
    <w:pPr>
      <w:spacing w:line="413" w:lineRule="exact"/>
    </w:pPr>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默认段落字体 Para Char Char Char Char Char Char Char Char Char Char Char Char Char Char Char Char Char Char Char"/>
    <w:basedOn w:val="1"/>
    <w:qFormat/>
    <w:uiPriority w:val="0"/>
  </w:style>
  <w:style w:type="paragraph" w:customStyle="1" w:styleId="217">
    <w:name w:val="p16"/>
    <w:basedOn w:val="1"/>
    <w:qFormat/>
    <w:uiPriority w:val="0"/>
    <w:pPr>
      <w:widowControl/>
      <w:jc w:val="left"/>
    </w:pPr>
    <w:rPr>
      <w:kern w:val="0"/>
      <w:szCs w:val="21"/>
    </w:rPr>
  </w:style>
  <w:style w:type="paragraph" w:customStyle="1" w:styleId="218">
    <w:name w:val="Char Char1 Char Char Char"/>
    <w:basedOn w:val="1"/>
    <w:qFormat/>
    <w:uiPriority w:val="0"/>
    <w:rPr>
      <w:kern w:val="0"/>
      <w:sz w:val="20"/>
      <w:szCs w:val="20"/>
    </w:rPr>
  </w:style>
  <w:style w:type="paragraph" w:customStyle="1" w:styleId="219">
    <w:name w:val="Style42"/>
    <w:basedOn w:val="1"/>
    <w:unhideWhenUsed/>
    <w:qFormat/>
    <w:uiPriority w:val="0"/>
    <w:pPr>
      <w:spacing w:line="542" w:lineRule="exact"/>
      <w:ind w:firstLine="547"/>
    </w:pPr>
  </w:style>
  <w:style w:type="paragraph" w:customStyle="1" w:styleId="220">
    <w:name w:val="Style11"/>
    <w:basedOn w:val="1"/>
    <w:unhideWhenUsed/>
    <w:qFormat/>
    <w:uiPriority w:val="0"/>
    <w:pPr>
      <w:spacing w:line="559" w:lineRule="exact"/>
      <w:ind w:firstLine="590"/>
    </w:pPr>
  </w:style>
  <w:style w:type="paragraph" w:customStyle="1" w:styleId="221">
    <w:name w:val="Style27"/>
    <w:basedOn w:val="1"/>
    <w:unhideWhenUsed/>
    <w:qFormat/>
    <w:uiPriority w:val="0"/>
  </w:style>
  <w:style w:type="paragraph" w:customStyle="1" w:styleId="222">
    <w:name w:val="1"/>
    <w:basedOn w:val="1"/>
    <w:qFormat/>
    <w:uiPriority w:val="0"/>
    <w:pPr>
      <w:spacing w:afterLines="50" w:line="360" w:lineRule="auto"/>
    </w:pPr>
    <w:rPr>
      <w:rFonts w:ascii="宋体" w:hAnsi="宋体"/>
      <w:b/>
      <w:sz w:val="30"/>
      <w:szCs w:val="21"/>
    </w:rPr>
  </w:style>
  <w:style w:type="paragraph" w:customStyle="1" w:styleId="223">
    <w:name w:val="标题 311"/>
    <w:basedOn w:val="1"/>
    <w:next w:val="224"/>
    <w:qFormat/>
    <w:uiPriority w:val="0"/>
    <w:pPr>
      <w:spacing w:line="300" w:lineRule="auto"/>
      <w:outlineLvl w:val="2"/>
    </w:pPr>
    <w:rPr>
      <w:rFonts w:hint="eastAsia" w:ascii="宋体" w:hAnsi="宋体"/>
      <w:snapToGrid w:val="0"/>
      <w:kern w:val="0"/>
      <w:sz w:val="24"/>
      <w:szCs w:val="22"/>
    </w:rPr>
  </w:style>
  <w:style w:type="paragraph" w:customStyle="1" w:styleId="224">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6">
    <w:name w:val="Style68"/>
    <w:basedOn w:val="1"/>
    <w:unhideWhenUsed/>
    <w:qFormat/>
    <w:uiPriority w:val="0"/>
    <w:pPr>
      <w:spacing w:line="547" w:lineRule="exact"/>
    </w:pPr>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Style46"/>
    <w:basedOn w:val="1"/>
    <w:unhideWhenUsed/>
    <w:qFormat/>
    <w:uiPriority w:val="0"/>
    <w:pPr>
      <w:spacing w:line="672" w:lineRule="exact"/>
    </w:pPr>
  </w:style>
  <w:style w:type="paragraph" w:customStyle="1" w:styleId="229">
    <w:name w:val="Style67"/>
    <w:basedOn w:val="1"/>
    <w:unhideWhenUsed/>
    <w:qFormat/>
    <w:uiPriority w:val="0"/>
    <w:pPr>
      <w:spacing w:line="566" w:lineRule="exact"/>
      <w:ind w:firstLine="552"/>
    </w:pPr>
  </w:style>
  <w:style w:type="paragraph" w:customStyle="1" w:styleId="230">
    <w:name w:val="Char1 Char Char Char 字元 Char Char 字元 Char 字元 Char1 Char Char Char"/>
    <w:basedOn w:val="1"/>
    <w:qFormat/>
    <w:uiPriority w:val="0"/>
    <w:rPr>
      <w:szCs w:val="20"/>
    </w:rPr>
  </w:style>
  <w:style w:type="paragraph" w:customStyle="1" w:styleId="231">
    <w:name w:val="Style50"/>
    <w:basedOn w:val="1"/>
    <w:unhideWhenUsed/>
    <w:qFormat/>
    <w:uiPriority w:val="0"/>
  </w:style>
  <w:style w:type="paragraph" w:customStyle="1" w:styleId="232">
    <w:name w:val="Style41"/>
    <w:basedOn w:val="1"/>
    <w:unhideWhenUsed/>
    <w:qFormat/>
    <w:uiPriority w:val="0"/>
    <w:pPr>
      <w:spacing w:line="542" w:lineRule="exact"/>
      <w:ind w:firstLine="125"/>
    </w:pPr>
  </w:style>
  <w:style w:type="paragraph" w:customStyle="1" w:styleId="233">
    <w:name w:val="Style62"/>
    <w:basedOn w:val="1"/>
    <w:unhideWhenUsed/>
    <w:qFormat/>
    <w:uiPriority w:val="0"/>
  </w:style>
  <w:style w:type="paragraph" w:customStyle="1" w:styleId="23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Style5"/>
    <w:basedOn w:val="1"/>
    <w:unhideWhenUsed/>
    <w:qFormat/>
    <w:uiPriority w:val="0"/>
  </w:style>
  <w:style w:type="paragraph" w:customStyle="1" w:styleId="2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Style15"/>
    <w:basedOn w:val="1"/>
    <w:unhideWhenUsed/>
    <w:qFormat/>
    <w:uiPriority w:val="0"/>
    <w:pPr>
      <w:spacing w:line="557" w:lineRule="exact"/>
      <w:ind w:firstLine="672"/>
    </w:pPr>
  </w:style>
  <w:style w:type="paragraph" w:customStyle="1" w:styleId="238">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39">
    <w:name w:val="列出段落1"/>
    <w:basedOn w:val="1"/>
    <w:qFormat/>
    <w:uiPriority w:val="99"/>
    <w:pPr>
      <w:ind w:firstLine="420" w:firstLineChars="200"/>
    </w:pPr>
    <w:rPr>
      <w:rFonts w:ascii="Calibri" w:hAnsi="Calibri" w:cs="Calibri"/>
      <w:szCs w:val="21"/>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4"/>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3"/>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3"/>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4"/>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3"/>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09"/>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4"/>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7"/>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字符"/>
    <w:link w:val="13"/>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字符"/>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4"/>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3"/>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6"/>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4"/>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4"/>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 w:type="paragraph" w:customStyle="1" w:styleId="357">
    <w:name w:val="附录图标题"/>
    <w:basedOn w:val="1"/>
    <w:next w:val="323"/>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8">
    <w:name w:val="正文表标题"/>
    <w:next w:val="3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9">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1">
    <w:name w:val="列项◆（三级）"/>
    <w:basedOn w:val="1"/>
    <w:qFormat/>
    <w:uiPriority w:val="0"/>
    <w:pPr>
      <w:numPr>
        <w:ilvl w:val="2"/>
        <w:numId w:val="4"/>
      </w:numPr>
      <w:tabs>
        <w:tab w:val="left" w:pos="1678"/>
      </w:tabs>
    </w:pPr>
    <w:rPr>
      <w:rFonts w:ascii="宋体"/>
      <w:szCs w:val="21"/>
    </w:rPr>
  </w:style>
  <w:style w:type="paragraph" w:customStyle="1" w:styleId="362">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3">
    <w:name w:val="附录章标题"/>
    <w:next w:val="323"/>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4">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3082AA-6EAD-4CB7-8D8D-0D8F60306F4B}">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23060</Words>
  <Characters>24163</Characters>
  <Lines>28</Lines>
  <Paragraphs>30</Paragraphs>
  <TotalTime>33</TotalTime>
  <ScaleCrop>false</ScaleCrop>
  <LinksUpToDate>false</LinksUpToDate>
  <CharactersWithSpaces>25804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2021-05-17T02:20:00Z</dcterms:created>
  <dc:creator>李 毅</dc:creator>
  <cp:lastModifiedBy>CXM</cp:lastModifiedBy>
  <cp:lastPrinted>2022-04-18T03:24:00Z</cp:lastPrinted>
  <dcterms:modified xsi:type="dcterms:W3CDTF">2022-05-10T06:04:59Z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7C874A77AA8D4DEBB146A54206B9C58F</vt:lpwstr>
  </property>
</Properties>
</file>