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highlight w:val="none"/>
        </w:rPr>
      </w:pPr>
    </w:p>
    <w:p>
      <w:pPr>
        <w:pStyle w:val="25"/>
        <w:jc w:val="center"/>
        <w:rPr>
          <w:rFonts w:hAnsi="宋体"/>
          <w:b/>
          <w:sz w:val="52"/>
          <w:szCs w:val="52"/>
          <w:highlight w:val="none"/>
        </w:rPr>
      </w:pPr>
    </w:p>
    <w:p>
      <w:pPr>
        <w:pStyle w:val="25"/>
        <w:jc w:val="center"/>
        <w:rPr>
          <w:rFonts w:hAnsi="宋体"/>
          <w:b/>
          <w:bCs/>
          <w:sz w:val="52"/>
          <w:szCs w:val="52"/>
          <w:highlight w:val="none"/>
        </w:rPr>
      </w:pPr>
      <w:r>
        <w:rPr>
          <w:rFonts w:hint="eastAsia" w:hAnsi="宋体"/>
          <w:b/>
          <w:sz w:val="52"/>
          <w:szCs w:val="52"/>
          <w:highlight w:val="none"/>
        </w:rPr>
        <w:t>长沙市轨道交通运营有限公司</w:t>
      </w:r>
    </w:p>
    <w:p>
      <w:pPr>
        <w:pStyle w:val="25"/>
        <w:adjustRightInd w:val="0"/>
        <w:snapToGrid w:val="0"/>
        <w:spacing w:line="360" w:lineRule="auto"/>
        <w:jc w:val="center"/>
        <w:rPr>
          <w:rFonts w:hAnsi="宋体"/>
          <w:b/>
          <w:sz w:val="52"/>
          <w:szCs w:val="52"/>
          <w:highlight w:val="none"/>
        </w:rPr>
      </w:pPr>
      <w:r>
        <w:rPr>
          <w:rFonts w:hint="eastAsia" w:hAnsi="宋体"/>
          <w:b/>
          <w:sz w:val="52"/>
          <w:szCs w:val="52"/>
          <w:highlight w:val="none"/>
        </w:rPr>
        <w:t>自主竞争性谈判文件</w:t>
      </w:r>
    </w:p>
    <w:p>
      <w:pPr>
        <w:pStyle w:val="25"/>
        <w:adjustRightInd w:val="0"/>
        <w:snapToGrid w:val="0"/>
        <w:spacing w:before="120" w:beforeLines="50" w:line="360" w:lineRule="auto"/>
        <w:rPr>
          <w:b/>
          <w:sz w:val="32"/>
          <w:szCs w:val="32"/>
          <w:highlight w:val="none"/>
        </w:rPr>
      </w:pPr>
    </w:p>
    <w:p>
      <w:pPr>
        <w:pStyle w:val="25"/>
        <w:adjustRightInd w:val="0"/>
        <w:snapToGrid w:val="0"/>
        <w:spacing w:line="360" w:lineRule="auto"/>
        <w:rPr>
          <w:rFonts w:ascii="华文中宋" w:hAnsi="华文中宋" w:eastAsia="华文中宋"/>
          <w:sz w:val="32"/>
          <w:szCs w:val="32"/>
          <w:highlight w:val="none"/>
        </w:rPr>
      </w:pPr>
    </w:p>
    <w:p>
      <w:pPr>
        <w:spacing w:line="360" w:lineRule="auto"/>
        <w:ind w:left="2628" w:leftChars="150" w:hanging="2313" w:hangingChars="720"/>
        <w:rPr>
          <w:rFonts w:hint="eastAsia" w:ascii="宋体" w:hAnsi="宋体" w:eastAsia="宋体" w:cs="Courier New"/>
          <w:b/>
          <w:sz w:val="32"/>
          <w:szCs w:val="21"/>
          <w:highlight w:val="none"/>
          <w:lang w:val="en-US" w:eastAsia="zh-CN"/>
        </w:rPr>
      </w:pPr>
      <w:r>
        <w:rPr>
          <w:rFonts w:hint="eastAsia" w:ascii="宋体" w:hAnsi="宋体" w:cs="Courier New"/>
          <w:b/>
          <w:sz w:val="32"/>
          <w:szCs w:val="21"/>
          <w:highlight w:val="none"/>
        </w:rPr>
        <w:t>谈判项目名称：</w:t>
      </w:r>
      <w:r>
        <w:rPr>
          <w:rFonts w:hint="eastAsia" w:ascii="宋体" w:hAnsi="宋体" w:cs="Courier New"/>
          <w:b/>
          <w:sz w:val="32"/>
          <w:szCs w:val="21"/>
          <w:highlight w:val="none"/>
          <w:u w:val="single"/>
          <w:lang w:val="en-US" w:eastAsia="zh-CN"/>
        </w:rPr>
        <w:t>长沙市轨道交通4号线运营期2022年交通运输行业安全生产责任保险服务项目（第二次）</w:t>
      </w:r>
    </w:p>
    <w:p>
      <w:pPr>
        <w:spacing w:line="360" w:lineRule="auto"/>
        <w:ind w:left="2240" w:firstLine="321" w:firstLineChars="100"/>
        <w:jc w:val="left"/>
        <w:rPr>
          <w:rFonts w:ascii="宋体" w:hAnsi="宋体" w:cs="Courier New"/>
          <w:b/>
          <w:sz w:val="32"/>
          <w:szCs w:val="21"/>
          <w:highlight w:val="none"/>
        </w:rPr>
      </w:pPr>
    </w:p>
    <w:p>
      <w:pPr>
        <w:pStyle w:val="25"/>
        <w:adjustRightInd w:val="0"/>
        <w:snapToGrid w:val="0"/>
        <w:spacing w:line="360" w:lineRule="auto"/>
        <w:ind w:firstLine="321" w:firstLineChars="100"/>
        <w:rPr>
          <w:rFonts w:hAnsi="宋体"/>
          <w:b/>
          <w:sz w:val="32"/>
          <w:highlight w:val="none"/>
        </w:rPr>
      </w:pPr>
      <w:r>
        <w:rPr>
          <w:rFonts w:hint="eastAsia" w:hAnsi="宋体"/>
          <w:b/>
          <w:sz w:val="32"/>
          <w:highlight w:val="none"/>
        </w:rPr>
        <w:t>采购单位名称：</w:t>
      </w:r>
      <w:r>
        <w:rPr>
          <w:rFonts w:hint="eastAsia" w:hAnsi="宋体" w:cs="Courier New"/>
          <w:b/>
          <w:kern w:val="2"/>
          <w:sz w:val="32"/>
          <w:szCs w:val="21"/>
          <w:highlight w:val="none"/>
          <w:u w:val="single"/>
          <w:lang w:val="en-US" w:eastAsia="zh-CN" w:bidi="ar-SA"/>
        </w:rPr>
        <w:t>长沙市轨道交通四号线建设发展有限公司</w:t>
      </w:r>
    </w:p>
    <w:p>
      <w:pPr>
        <w:pStyle w:val="25"/>
        <w:adjustRightInd w:val="0"/>
        <w:snapToGrid w:val="0"/>
        <w:spacing w:line="360" w:lineRule="auto"/>
        <w:ind w:firstLine="321" w:firstLineChars="100"/>
        <w:rPr>
          <w:rFonts w:hAnsi="宋体"/>
          <w:b/>
          <w:sz w:val="32"/>
          <w:highlight w:val="none"/>
        </w:rPr>
      </w:pPr>
    </w:p>
    <w:p>
      <w:pPr>
        <w:pStyle w:val="25"/>
        <w:adjustRightInd w:val="0"/>
        <w:snapToGrid w:val="0"/>
        <w:spacing w:line="360" w:lineRule="auto"/>
        <w:ind w:firstLine="321" w:firstLineChars="100"/>
        <w:rPr>
          <w:rFonts w:hint="eastAsia" w:hAnsi="宋体" w:eastAsia="宋体"/>
          <w:b/>
          <w:color w:val="FF0000"/>
          <w:sz w:val="32"/>
          <w:highlight w:val="none"/>
          <w:u w:val="single"/>
          <w:lang w:eastAsia="zh-CN"/>
        </w:rPr>
      </w:pPr>
      <w:r>
        <w:rPr>
          <w:rFonts w:hint="eastAsia" w:hAnsi="宋体"/>
          <w:b/>
          <w:sz w:val="32"/>
          <w:highlight w:val="none"/>
        </w:rPr>
        <w:t>谈判项目编号：</w:t>
      </w:r>
      <w:r>
        <w:rPr>
          <w:rFonts w:hint="eastAsia" w:hAnsi="宋体"/>
          <w:b/>
          <w:sz w:val="32"/>
          <w:highlight w:val="none"/>
          <w:u w:val="single"/>
          <w:lang w:eastAsia="zh-CN"/>
        </w:rPr>
        <w:t>长轨运服采【2022】003号</w:t>
      </w:r>
    </w:p>
    <w:p>
      <w:pPr>
        <w:pStyle w:val="25"/>
        <w:adjustRightInd w:val="0"/>
        <w:snapToGrid w:val="0"/>
        <w:spacing w:before="120" w:beforeLines="50" w:line="360" w:lineRule="auto"/>
        <w:rPr>
          <w:b/>
          <w:sz w:val="32"/>
          <w:szCs w:val="32"/>
          <w:highlight w:val="none"/>
        </w:rPr>
      </w:pPr>
    </w:p>
    <w:p>
      <w:pPr>
        <w:pStyle w:val="25"/>
        <w:adjustRightInd w:val="0"/>
        <w:snapToGrid w:val="0"/>
        <w:spacing w:before="120" w:beforeLines="50" w:line="360" w:lineRule="auto"/>
        <w:rPr>
          <w:b/>
          <w:sz w:val="32"/>
          <w:szCs w:val="32"/>
          <w:highlight w:val="none"/>
        </w:rPr>
      </w:pPr>
    </w:p>
    <w:p>
      <w:pPr>
        <w:pStyle w:val="25"/>
        <w:adjustRightInd w:val="0"/>
        <w:snapToGrid w:val="0"/>
        <w:spacing w:line="360" w:lineRule="auto"/>
        <w:rPr>
          <w:rFonts w:ascii="仿宋_GB2312" w:hAnsi="宋体" w:eastAsia="仿宋_GB2312"/>
          <w:b/>
          <w:sz w:val="32"/>
          <w:highlight w:val="none"/>
        </w:rPr>
      </w:pPr>
    </w:p>
    <w:p>
      <w:pPr>
        <w:pStyle w:val="25"/>
        <w:adjustRightInd w:val="0"/>
        <w:snapToGrid w:val="0"/>
        <w:spacing w:line="360" w:lineRule="auto"/>
        <w:rPr>
          <w:rFonts w:ascii="仿宋_GB2312" w:hAnsi="宋体" w:eastAsia="仿宋_GB2312"/>
          <w:b/>
          <w:sz w:val="32"/>
          <w:highlight w:val="none"/>
        </w:rPr>
      </w:pPr>
    </w:p>
    <w:p>
      <w:pPr>
        <w:pStyle w:val="25"/>
        <w:adjustRightInd w:val="0"/>
        <w:snapToGrid w:val="0"/>
        <w:spacing w:line="360" w:lineRule="auto"/>
        <w:rPr>
          <w:rFonts w:ascii="仿宋_GB2312" w:hAnsi="宋体" w:eastAsia="仿宋_GB2312"/>
          <w:bCs/>
          <w:sz w:val="32"/>
          <w:highlight w:val="none"/>
        </w:rPr>
      </w:pPr>
    </w:p>
    <w:p>
      <w:pPr>
        <w:pStyle w:val="25"/>
        <w:adjustRightInd w:val="0"/>
        <w:snapToGrid w:val="0"/>
        <w:spacing w:line="360" w:lineRule="auto"/>
        <w:rPr>
          <w:rFonts w:ascii="仿宋_GB2312" w:hAnsi="宋体" w:eastAsia="仿宋_GB2312"/>
          <w:bCs/>
          <w:sz w:val="32"/>
          <w:highlight w:val="none"/>
        </w:rPr>
      </w:pPr>
    </w:p>
    <w:p>
      <w:pPr>
        <w:pStyle w:val="25"/>
        <w:adjustRightInd w:val="0"/>
        <w:snapToGrid w:val="0"/>
        <w:spacing w:line="360" w:lineRule="auto"/>
        <w:jc w:val="center"/>
        <w:rPr>
          <w:rFonts w:hAnsi="宋体"/>
          <w:bCs/>
          <w:sz w:val="32"/>
          <w:highlight w:val="none"/>
        </w:rPr>
      </w:pPr>
      <w:r>
        <w:rPr>
          <w:rFonts w:hint="eastAsia" w:hAnsi="宋体"/>
          <w:b/>
          <w:sz w:val="32"/>
          <w:highlight w:val="none"/>
        </w:rPr>
        <w:t>二〇二</w:t>
      </w:r>
      <w:r>
        <w:rPr>
          <w:rFonts w:hint="eastAsia" w:hAnsi="宋体"/>
          <w:b/>
          <w:sz w:val="32"/>
          <w:highlight w:val="none"/>
          <w:lang w:eastAsia="zh-CN"/>
        </w:rPr>
        <w:t>二</w:t>
      </w:r>
      <w:r>
        <w:rPr>
          <w:rFonts w:hint="eastAsia" w:hAnsi="宋体"/>
          <w:b/>
          <w:sz w:val="32"/>
          <w:highlight w:val="none"/>
        </w:rPr>
        <w:t>年</w:t>
      </w:r>
      <w:r>
        <w:rPr>
          <w:rFonts w:hint="eastAsia" w:hAnsi="宋体"/>
          <w:b/>
          <w:sz w:val="32"/>
          <w:highlight w:val="none"/>
          <w:lang w:eastAsia="zh-CN"/>
        </w:rPr>
        <w:t>四</w:t>
      </w:r>
      <w:r>
        <w:rPr>
          <w:rFonts w:hint="eastAsia" w:hAnsi="宋体"/>
          <w:b/>
          <w:sz w:val="32"/>
          <w:highlight w:val="none"/>
        </w:rPr>
        <w:t>月</w:t>
      </w:r>
    </w:p>
    <w:p>
      <w:pPr>
        <w:pStyle w:val="25"/>
        <w:adjustRightInd w:val="0"/>
        <w:snapToGrid w:val="0"/>
        <w:spacing w:line="360" w:lineRule="auto"/>
        <w:jc w:val="center"/>
        <w:rPr>
          <w:rFonts w:hAnsi="宋体"/>
          <w:b/>
          <w:sz w:val="32"/>
          <w:highlight w:val="none"/>
        </w:rPr>
      </w:pPr>
    </w:p>
    <w:p>
      <w:pPr>
        <w:pStyle w:val="25"/>
        <w:adjustRightInd w:val="0"/>
        <w:snapToGrid w:val="0"/>
        <w:spacing w:line="360" w:lineRule="auto"/>
        <w:jc w:val="center"/>
        <w:rPr>
          <w:rFonts w:hAnsi="宋体"/>
          <w:b/>
          <w:sz w:val="32"/>
          <w:highlight w:val="none"/>
        </w:rPr>
        <w:sectPr>
          <w:pgSz w:w="11906" w:h="16838"/>
          <w:pgMar w:top="1440" w:right="1797" w:bottom="1440" w:left="1797" w:header="851" w:footer="851" w:gutter="0"/>
          <w:pgNumType w:fmt="decimal" w:start="1"/>
          <w:cols w:space="720" w:num="1"/>
          <w:docGrid w:linePitch="312" w:charSpace="0"/>
        </w:sectPr>
      </w:pPr>
    </w:p>
    <w:p>
      <w:pPr>
        <w:jc w:val="center"/>
        <w:rPr>
          <w:rFonts w:ascii="宋体" w:hAnsi="宋体" w:cs="宋体"/>
          <w:b/>
          <w:bCs/>
          <w:sz w:val="32"/>
          <w:szCs w:val="32"/>
          <w:highlight w:val="none"/>
        </w:rPr>
      </w:pPr>
      <w:bookmarkStart w:id="0" w:name="_Toc14891064"/>
      <w:r>
        <w:rPr>
          <w:rFonts w:hint="eastAsia" w:ascii="宋体" w:hAnsi="宋体" w:cs="宋体"/>
          <w:b/>
          <w:bCs/>
          <w:sz w:val="32"/>
          <w:szCs w:val="32"/>
          <w:highlight w:val="none"/>
        </w:rPr>
        <w:t>目   录</w:t>
      </w:r>
    </w:p>
    <w:p>
      <w:pPr>
        <w:spacing w:line="360" w:lineRule="auto"/>
        <w:jc w:val="center"/>
        <w:rPr>
          <w:rFonts w:ascii="宋体" w:hAnsi="宋体" w:cs="宋体"/>
          <w:b/>
          <w:bCs/>
          <w:szCs w:val="21"/>
          <w:highlight w:val="none"/>
        </w:rPr>
      </w:pP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TOC \o "1-2" \h \u </w:instrText>
      </w:r>
      <w:r>
        <w:rPr>
          <w:rFonts w:ascii="Times New Roman" w:hAnsi="Times New Roman" w:eastAsia="宋体" w:cs="Times New Roman"/>
          <w:highlight w:val="none"/>
        </w:rPr>
        <w:fldChar w:fldCharType="separate"/>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_Toc27147 </w:instrText>
      </w:r>
      <w:r>
        <w:rPr>
          <w:rFonts w:ascii="Times New Roman" w:hAnsi="Times New Roman" w:eastAsia="宋体" w:cs="Times New Roman"/>
          <w:highlight w:val="none"/>
        </w:rPr>
        <w:fldChar w:fldCharType="separate"/>
      </w:r>
      <w:r>
        <w:rPr>
          <w:rFonts w:hint="eastAsia" w:ascii="宋体" w:hAnsi="宋体" w:cs="宋体"/>
          <w:szCs w:val="32"/>
          <w:highlight w:val="none"/>
        </w:rPr>
        <w:t xml:space="preserve">第一章 </w:t>
      </w:r>
      <w:r>
        <w:rPr>
          <w:rFonts w:hint="eastAsia" w:ascii="宋体" w:hAnsi="宋体" w:cs="宋体"/>
          <w:szCs w:val="32"/>
          <w:highlight w:val="none"/>
          <w:lang w:val="en-US" w:eastAsia="zh-CN"/>
        </w:rPr>
        <w:t xml:space="preserve"> </w:t>
      </w:r>
      <w:r>
        <w:rPr>
          <w:rFonts w:hint="eastAsia" w:ascii="宋体" w:hAnsi="宋体" w:cs="宋体"/>
          <w:szCs w:val="32"/>
          <w:highlight w:val="none"/>
        </w:rPr>
        <w:t>谈判邀请公告</w:t>
      </w:r>
      <w:r>
        <w:rPr>
          <w:highlight w:val="none"/>
        </w:rPr>
        <w:tab/>
      </w:r>
      <w:r>
        <w:rPr>
          <w:highlight w:val="none"/>
        </w:rPr>
        <w:fldChar w:fldCharType="begin"/>
      </w:r>
      <w:r>
        <w:rPr>
          <w:highlight w:val="none"/>
        </w:rPr>
        <w:instrText xml:space="preserve"> PAGEREF _Toc27147 \h </w:instrText>
      </w:r>
      <w:r>
        <w:rPr>
          <w:highlight w:val="none"/>
        </w:rPr>
        <w:fldChar w:fldCharType="separate"/>
      </w:r>
      <w:r>
        <w:rPr>
          <w:highlight w:val="none"/>
        </w:rPr>
        <w:t>1</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_Toc10689 </w:instrText>
      </w:r>
      <w:r>
        <w:rPr>
          <w:rFonts w:ascii="Times New Roman" w:hAnsi="Times New Roman" w:eastAsia="宋体" w:cs="Times New Roman"/>
          <w:highlight w:val="none"/>
        </w:rPr>
        <w:fldChar w:fldCharType="separate"/>
      </w:r>
      <w:r>
        <w:rPr>
          <w:rFonts w:hint="eastAsia" w:ascii="宋体" w:hAnsi="宋体" w:cs="宋体"/>
          <w:szCs w:val="32"/>
          <w:highlight w:val="none"/>
        </w:rPr>
        <w:t>第二章  谈判须知</w:t>
      </w:r>
      <w:r>
        <w:rPr>
          <w:highlight w:val="none"/>
        </w:rPr>
        <w:tab/>
      </w:r>
      <w:r>
        <w:rPr>
          <w:highlight w:val="none"/>
        </w:rPr>
        <w:fldChar w:fldCharType="begin"/>
      </w:r>
      <w:r>
        <w:rPr>
          <w:highlight w:val="none"/>
        </w:rPr>
        <w:instrText xml:space="preserve"> PAGEREF _Toc10689 \h </w:instrText>
      </w:r>
      <w:r>
        <w:rPr>
          <w:highlight w:val="none"/>
        </w:rPr>
        <w:fldChar w:fldCharType="separate"/>
      </w:r>
      <w:r>
        <w:rPr>
          <w:highlight w:val="none"/>
        </w:rPr>
        <w:t>4</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_Toc12384 </w:instrText>
      </w:r>
      <w:r>
        <w:rPr>
          <w:rFonts w:ascii="Times New Roman" w:hAnsi="Times New Roman" w:eastAsia="宋体" w:cs="Times New Roman"/>
          <w:highlight w:val="none"/>
        </w:rPr>
        <w:fldChar w:fldCharType="separate"/>
      </w:r>
      <w:r>
        <w:rPr>
          <w:rFonts w:hint="eastAsia" w:ascii="宋体" w:hAnsi="宋体" w:cs="宋体"/>
          <w:highlight w:val="none"/>
        </w:rPr>
        <w:t>谈判须知前附表</w:t>
      </w:r>
      <w:r>
        <w:rPr>
          <w:highlight w:val="none"/>
        </w:rPr>
        <w:tab/>
      </w:r>
      <w:r>
        <w:rPr>
          <w:highlight w:val="none"/>
        </w:rPr>
        <w:fldChar w:fldCharType="begin"/>
      </w:r>
      <w:r>
        <w:rPr>
          <w:highlight w:val="none"/>
        </w:rPr>
        <w:instrText xml:space="preserve"> PAGEREF _Toc12384 \h </w:instrText>
      </w:r>
      <w:r>
        <w:rPr>
          <w:highlight w:val="none"/>
        </w:rPr>
        <w:fldChar w:fldCharType="separate"/>
      </w:r>
      <w:r>
        <w:rPr>
          <w:highlight w:val="none"/>
        </w:rPr>
        <w:t>4</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_Toc7276 </w:instrText>
      </w:r>
      <w:r>
        <w:rPr>
          <w:rFonts w:ascii="Times New Roman" w:hAnsi="Times New Roman" w:eastAsia="宋体" w:cs="Times New Roman"/>
          <w:highlight w:val="none"/>
        </w:rPr>
        <w:fldChar w:fldCharType="separate"/>
      </w:r>
      <w:r>
        <w:rPr>
          <w:rFonts w:hint="eastAsia" w:ascii="宋体" w:hAnsi="宋体" w:cs="宋体"/>
          <w:highlight w:val="none"/>
        </w:rPr>
        <w:t>谈判须知正文</w:t>
      </w:r>
      <w:r>
        <w:rPr>
          <w:highlight w:val="none"/>
        </w:rPr>
        <w:tab/>
      </w:r>
      <w:r>
        <w:rPr>
          <w:highlight w:val="none"/>
        </w:rPr>
        <w:fldChar w:fldCharType="begin"/>
      </w:r>
      <w:r>
        <w:rPr>
          <w:highlight w:val="none"/>
        </w:rPr>
        <w:instrText xml:space="preserve"> PAGEREF _Toc7276 \h </w:instrText>
      </w:r>
      <w:r>
        <w:rPr>
          <w:highlight w:val="none"/>
        </w:rPr>
        <w:fldChar w:fldCharType="separate"/>
      </w:r>
      <w:r>
        <w:rPr>
          <w:highlight w:val="none"/>
        </w:rPr>
        <w:t>7</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_Toc9471 </w:instrText>
      </w:r>
      <w:r>
        <w:rPr>
          <w:rFonts w:ascii="Times New Roman" w:hAnsi="Times New Roman" w:eastAsia="宋体" w:cs="Times New Roman"/>
          <w:highlight w:val="none"/>
        </w:rPr>
        <w:fldChar w:fldCharType="separate"/>
      </w:r>
      <w:r>
        <w:rPr>
          <w:rFonts w:hint="eastAsia" w:ascii="宋体" w:hAnsi="宋体" w:cs="宋体"/>
          <w:szCs w:val="21"/>
          <w:highlight w:val="none"/>
        </w:rPr>
        <w:t>一、说明</w:t>
      </w:r>
      <w:r>
        <w:rPr>
          <w:highlight w:val="none"/>
        </w:rPr>
        <w:tab/>
      </w:r>
      <w:r>
        <w:rPr>
          <w:highlight w:val="none"/>
        </w:rPr>
        <w:fldChar w:fldCharType="begin"/>
      </w:r>
      <w:r>
        <w:rPr>
          <w:highlight w:val="none"/>
        </w:rPr>
        <w:instrText xml:space="preserve"> PAGEREF _Toc9471 \h </w:instrText>
      </w:r>
      <w:r>
        <w:rPr>
          <w:highlight w:val="none"/>
        </w:rPr>
        <w:fldChar w:fldCharType="separate"/>
      </w:r>
      <w:r>
        <w:rPr>
          <w:highlight w:val="none"/>
        </w:rPr>
        <w:t>7</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_Toc32722 </w:instrText>
      </w:r>
      <w:r>
        <w:rPr>
          <w:rFonts w:ascii="Times New Roman" w:hAnsi="Times New Roman" w:eastAsia="宋体" w:cs="Times New Roman"/>
          <w:highlight w:val="none"/>
        </w:rPr>
        <w:fldChar w:fldCharType="separate"/>
      </w:r>
      <w:r>
        <w:rPr>
          <w:rFonts w:hint="eastAsia" w:ascii="宋体" w:hAnsi="宋体" w:cs="宋体"/>
          <w:szCs w:val="21"/>
          <w:highlight w:val="none"/>
        </w:rPr>
        <w:t>二、谈判文件</w:t>
      </w:r>
      <w:r>
        <w:rPr>
          <w:highlight w:val="none"/>
        </w:rPr>
        <w:tab/>
      </w:r>
      <w:r>
        <w:rPr>
          <w:highlight w:val="none"/>
        </w:rPr>
        <w:fldChar w:fldCharType="begin"/>
      </w:r>
      <w:r>
        <w:rPr>
          <w:highlight w:val="none"/>
        </w:rPr>
        <w:instrText xml:space="preserve"> PAGEREF _Toc32722 \h </w:instrText>
      </w:r>
      <w:r>
        <w:rPr>
          <w:highlight w:val="none"/>
        </w:rPr>
        <w:fldChar w:fldCharType="separate"/>
      </w:r>
      <w:r>
        <w:rPr>
          <w:highlight w:val="none"/>
        </w:rPr>
        <w:t>7</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_Toc16808 </w:instrText>
      </w:r>
      <w:r>
        <w:rPr>
          <w:rFonts w:ascii="Times New Roman" w:hAnsi="Times New Roman" w:eastAsia="宋体" w:cs="Times New Roman"/>
          <w:highlight w:val="none"/>
        </w:rPr>
        <w:fldChar w:fldCharType="separate"/>
      </w:r>
      <w:r>
        <w:rPr>
          <w:rFonts w:hint="eastAsia" w:ascii="宋体" w:hAnsi="宋体" w:cs="宋体"/>
          <w:szCs w:val="21"/>
          <w:highlight w:val="none"/>
        </w:rPr>
        <w:t>三、响应文件</w:t>
      </w:r>
      <w:r>
        <w:rPr>
          <w:highlight w:val="none"/>
        </w:rPr>
        <w:tab/>
      </w:r>
      <w:r>
        <w:rPr>
          <w:highlight w:val="none"/>
        </w:rPr>
        <w:fldChar w:fldCharType="begin"/>
      </w:r>
      <w:r>
        <w:rPr>
          <w:highlight w:val="none"/>
        </w:rPr>
        <w:instrText xml:space="preserve"> PAGEREF _Toc16808 \h </w:instrText>
      </w:r>
      <w:r>
        <w:rPr>
          <w:highlight w:val="none"/>
        </w:rPr>
        <w:fldChar w:fldCharType="separate"/>
      </w:r>
      <w:r>
        <w:rPr>
          <w:highlight w:val="none"/>
        </w:rPr>
        <w:t>8</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_Toc13675 </w:instrText>
      </w:r>
      <w:r>
        <w:rPr>
          <w:rFonts w:ascii="Times New Roman" w:hAnsi="Times New Roman" w:eastAsia="宋体" w:cs="Times New Roman"/>
          <w:highlight w:val="none"/>
        </w:rPr>
        <w:fldChar w:fldCharType="separate"/>
      </w:r>
      <w:r>
        <w:rPr>
          <w:rFonts w:hint="eastAsia" w:ascii="宋体" w:hAnsi="宋体" w:cs="宋体"/>
          <w:szCs w:val="21"/>
          <w:highlight w:val="none"/>
        </w:rPr>
        <w:t>四、响应文件的递交</w:t>
      </w:r>
      <w:r>
        <w:rPr>
          <w:highlight w:val="none"/>
        </w:rPr>
        <w:tab/>
      </w:r>
      <w:r>
        <w:rPr>
          <w:highlight w:val="none"/>
        </w:rPr>
        <w:fldChar w:fldCharType="begin"/>
      </w:r>
      <w:r>
        <w:rPr>
          <w:highlight w:val="none"/>
        </w:rPr>
        <w:instrText xml:space="preserve"> PAGEREF _Toc13675 \h </w:instrText>
      </w:r>
      <w:r>
        <w:rPr>
          <w:highlight w:val="none"/>
        </w:rPr>
        <w:fldChar w:fldCharType="separate"/>
      </w:r>
      <w:r>
        <w:rPr>
          <w:highlight w:val="none"/>
        </w:rPr>
        <w:t>10</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_Toc24002 </w:instrText>
      </w:r>
      <w:r>
        <w:rPr>
          <w:rFonts w:ascii="Times New Roman" w:hAnsi="Times New Roman" w:eastAsia="宋体" w:cs="Times New Roman"/>
          <w:highlight w:val="none"/>
        </w:rPr>
        <w:fldChar w:fldCharType="separate"/>
      </w:r>
      <w:r>
        <w:rPr>
          <w:rFonts w:hint="eastAsia" w:ascii="宋体" w:hAnsi="宋体" w:cs="宋体"/>
          <w:szCs w:val="21"/>
          <w:highlight w:val="none"/>
        </w:rPr>
        <w:t>五、响应文件的评审</w:t>
      </w:r>
      <w:r>
        <w:rPr>
          <w:highlight w:val="none"/>
        </w:rPr>
        <w:tab/>
      </w:r>
      <w:r>
        <w:rPr>
          <w:highlight w:val="none"/>
        </w:rPr>
        <w:fldChar w:fldCharType="begin"/>
      </w:r>
      <w:r>
        <w:rPr>
          <w:highlight w:val="none"/>
        </w:rPr>
        <w:instrText xml:space="preserve"> PAGEREF _Toc24002 \h </w:instrText>
      </w:r>
      <w:r>
        <w:rPr>
          <w:highlight w:val="none"/>
        </w:rPr>
        <w:fldChar w:fldCharType="separate"/>
      </w:r>
      <w:r>
        <w:rPr>
          <w:highlight w:val="none"/>
        </w:rPr>
        <w:t>10</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_Toc2955 </w:instrText>
      </w:r>
      <w:r>
        <w:rPr>
          <w:rFonts w:ascii="Times New Roman" w:hAnsi="Times New Roman" w:eastAsia="宋体" w:cs="Times New Roman"/>
          <w:highlight w:val="none"/>
        </w:rPr>
        <w:fldChar w:fldCharType="separate"/>
      </w:r>
      <w:r>
        <w:rPr>
          <w:rFonts w:hint="eastAsia" w:ascii="宋体" w:hAnsi="宋体" w:cs="宋体"/>
          <w:szCs w:val="21"/>
          <w:highlight w:val="none"/>
        </w:rPr>
        <w:t>六、响应文件的澄清、说明及补正</w:t>
      </w:r>
      <w:r>
        <w:rPr>
          <w:highlight w:val="none"/>
        </w:rPr>
        <w:tab/>
      </w:r>
      <w:r>
        <w:rPr>
          <w:highlight w:val="none"/>
        </w:rPr>
        <w:fldChar w:fldCharType="begin"/>
      </w:r>
      <w:r>
        <w:rPr>
          <w:highlight w:val="none"/>
        </w:rPr>
        <w:instrText xml:space="preserve"> PAGEREF _Toc2955 \h </w:instrText>
      </w:r>
      <w:r>
        <w:rPr>
          <w:highlight w:val="none"/>
        </w:rPr>
        <w:fldChar w:fldCharType="separate"/>
      </w:r>
      <w:r>
        <w:rPr>
          <w:highlight w:val="none"/>
        </w:rPr>
        <w:t>10</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_Toc14518 </w:instrText>
      </w:r>
      <w:r>
        <w:rPr>
          <w:rFonts w:ascii="Times New Roman" w:hAnsi="Times New Roman" w:eastAsia="宋体" w:cs="Times New Roman"/>
          <w:highlight w:val="none"/>
        </w:rPr>
        <w:fldChar w:fldCharType="separate"/>
      </w:r>
      <w:r>
        <w:rPr>
          <w:rFonts w:hint="eastAsia" w:ascii="宋体" w:hAnsi="宋体" w:cs="宋体"/>
          <w:szCs w:val="21"/>
          <w:highlight w:val="none"/>
        </w:rPr>
        <w:t>七、中选结果与授予合同</w:t>
      </w:r>
      <w:r>
        <w:rPr>
          <w:highlight w:val="none"/>
        </w:rPr>
        <w:tab/>
      </w:r>
      <w:r>
        <w:rPr>
          <w:highlight w:val="none"/>
        </w:rPr>
        <w:fldChar w:fldCharType="begin"/>
      </w:r>
      <w:r>
        <w:rPr>
          <w:highlight w:val="none"/>
        </w:rPr>
        <w:instrText xml:space="preserve"> PAGEREF _Toc14518 \h </w:instrText>
      </w:r>
      <w:r>
        <w:rPr>
          <w:highlight w:val="none"/>
        </w:rPr>
        <w:fldChar w:fldCharType="separate"/>
      </w:r>
      <w:r>
        <w:rPr>
          <w:highlight w:val="none"/>
        </w:rPr>
        <w:t>11</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_Toc19666 </w:instrText>
      </w:r>
      <w:r>
        <w:rPr>
          <w:rFonts w:ascii="Times New Roman" w:hAnsi="Times New Roman" w:eastAsia="宋体" w:cs="Times New Roman"/>
          <w:highlight w:val="none"/>
        </w:rPr>
        <w:fldChar w:fldCharType="separate"/>
      </w:r>
      <w:r>
        <w:rPr>
          <w:rFonts w:hint="eastAsia" w:ascii="宋体" w:hAnsi="宋体" w:cs="宋体"/>
          <w:szCs w:val="21"/>
          <w:highlight w:val="none"/>
        </w:rPr>
        <w:t>八、其他</w:t>
      </w:r>
      <w:r>
        <w:rPr>
          <w:highlight w:val="none"/>
        </w:rPr>
        <w:tab/>
      </w:r>
      <w:r>
        <w:rPr>
          <w:highlight w:val="none"/>
        </w:rPr>
        <w:fldChar w:fldCharType="begin"/>
      </w:r>
      <w:r>
        <w:rPr>
          <w:highlight w:val="none"/>
        </w:rPr>
        <w:instrText xml:space="preserve"> PAGEREF _Toc19666 \h </w:instrText>
      </w:r>
      <w:r>
        <w:rPr>
          <w:highlight w:val="none"/>
        </w:rPr>
        <w:fldChar w:fldCharType="separate"/>
      </w:r>
      <w:r>
        <w:rPr>
          <w:highlight w:val="none"/>
        </w:rPr>
        <w:t>12</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_Toc16404 </w:instrText>
      </w:r>
      <w:r>
        <w:rPr>
          <w:rFonts w:ascii="Times New Roman" w:hAnsi="Times New Roman" w:eastAsia="宋体" w:cs="Times New Roman"/>
          <w:highlight w:val="none"/>
        </w:rPr>
        <w:fldChar w:fldCharType="separate"/>
      </w:r>
      <w:r>
        <w:rPr>
          <w:rFonts w:hint="eastAsia" w:ascii="宋体" w:hAnsi="宋体" w:cs="宋体"/>
          <w:szCs w:val="32"/>
          <w:highlight w:val="none"/>
        </w:rPr>
        <w:t>第三章  评审办法及标准</w:t>
      </w:r>
      <w:r>
        <w:rPr>
          <w:highlight w:val="none"/>
        </w:rPr>
        <w:tab/>
      </w:r>
      <w:r>
        <w:rPr>
          <w:highlight w:val="none"/>
        </w:rPr>
        <w:fldChar w:fldCharType="begin"/>
      </w:r>
      <w:r>
        <w:rPr>
          <w:highlight w:val="none"/>
        </w:rPr>
        <w:instrText xml:space="preserve"> PAGEREF _Toc16404 \h </w:instrText>
      </w:r>
      <w:r>
        <w:rPr>
          <w:highlight w:val="none"/>
        </w:rPr>
        <w:fldChar w:fldCharType="separate"/>
      </w:r>
      <w:r>
        <w:rPr>
          <w:highlight w:val="none"/>
        </w:rPr>
        <w:t>14</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_Toc4155 </w:instrText>
      </w:r>
      <w:r>
        <w:rPr>
          <w:rFonts w:ascii="Times New Roman" w:hAnsi="Times New Roman" w:eastAsia="宋体" w:cs="Times New Roman"/>
          <w:highlight w:val="none"/>
        </w:rPr>
        <w:fldChar w:fldCharType="separate"/>
      </w:r>
      <w:r>
        <w:rPr>
          <w:rFonts w:hint="eastAsia" w:ascii="宋体" w:hAnsi="宋体" w:cs="宋体"/>
          <w:szCs w:val="32"/>
          <w:highlight w:val="none"/>
        </w:rPr>
        <w:t>第四章  用户需求书（另册）</w:t>
      </w:r>
      <w:r>
        <w:rPr>
          <w:highlight w:val="none"/>
        </w:rPr>
        <w:tab/>
      </w:r>
      <w:r>
        <w:rPr>
          <w:highlight w:val="none"/>
        </w:rPr>
        <w:fldChar w:fldCharType="begin"/>
      </w:r>
      <w:r>
        <w:rPr>
          <w:highlight w:val="none"/>
        </w:rPr>
        <w:instrText xml:space="preserve"> PAGEREF _Toc4155 \h </w:instrText>
      </w:r>
      <w:r>
        <w:rPr>
          <w:highlight w:val="none"/>
        </w:rPr>
        <w:fldChar w:fldCharType="separate"/>
      </w:r>
      <w:r>
        <w:rPr>
          <w:highlight w:val="none"/>
        </w:rPr>
        <w:t>16</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_Toc14319 </w:instrText>
      </w:r>
      <w:r>
        <w:rPr>
          <w:rFonts w:ascii="Times New Roman" w:hAnsi="Times New Roman" w:eastAsia="宋体" w:cs="Times New Roman"/>
          <w:highlight w:val="none"/>
        </w:rPr>
        <w:fldChar w:fldCharType="separate"/>
      </w:r>
      <w:r>
        <w:rPr>
          <w:rFonts w:hint="eastAsia" w:ascii="宋体" w:hAnsi="宋体" w:cs="宋体"/>
          <w:szCs w:val="32"/>
          <w:highlight w:val="none"/>
        </w:rPr>
        <w:t>第五章  合同格式条款</w:t>
      </w:r>
      <w:r>
        <w:rPr>
          <w:highlight w:val="none"/>
        </w:rPr>
        <w:tab/>
      </w:r>
      <w:r>
        <w:rPr>
          <w:highlight w:val="none"/>
        </w:rPr>
        <w:fldChar w:fldCharType="begin"/>
      </w:r>
      <w:r>
        <w:rPr>
          <w:highlight w:val="none"/>
        </w:rPr>
        <w:instrText xml:space="preserve"> PAGEREF _Toc14319 \h </w:instrText>
      </w:r>
      <w:r>
        <w:rPr>
          <w:highlight w:val="none"/>
        </w:rPr>
        <w:fldChar w:fldCharType="separate"/>
      </w:r>
      <w:r>
        <w:rPr>
          <w:highlight w:val="none"/>
        </w:rPr>
        <w:t>17</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_Toc16096 </w:instrText>
      </w:r>
      <w:r>
        <w:rPr>
          <w:rFonts w:ascii="Times New Roman" w:hAnsi="Times New Roman" w:eastAsia="宋体" w:cs="Times New Roman"/>
          <w:highlight w:val="none"/>
        </w:rPr>
        <w:fldChar w:fldCharType="separate"/>
      </w:r>
      <w:r>
        <w:rPr>
          <w:rFonts w:hint="eastAsia" w:ascii="宋体" w:hAnsi="宋体" w:cs="宋体"/>
          <w:szCs w:val="32"/>
          <w:highlight w:val="none"/>
        </w:rPr>
        <w:t>第六章  响应文件组成</w:t>
      </w:r>
      <w:r>
        <w:rPr>
          <w:highlight w:val="none"/>
        </w:rPr>
        <w:tab/>
      </w:r>
      <w:r>
        <w:rPr>
          <w:highlight w:val="none"/>
        </w:rPr>
        <w:fldChar w:fldCharType="begin"/>
      </w:r>
      <w:r>
        <w:rPr>
          <w:highlight w:val="none"/>
        </w:rPr>
        <w:instrText xml:space="preserve"> PAGEREF _Toc16096 \h </w:instrText>
      </w:r>
      <w:r>
        <w:rPr>
          <w:highlight w:val="none"/>
        </w:rPr>
        <w:fldChar w:fldCharType="separate"/>
      </w:r>
      <w:r>
        <w:rPr>
          <w:highlight w:val="none"/>
        </w:rPr>
        <w:t>43</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_Toc19366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一、谈判承诺书</w:t>
      </w:r>
      <w:r>
        <w:rPr>
          <w:highlight w:val="none"/>
        </w:rPr>
        <w:tab/>
      </w:r>
      <w:r>
        <w:rPr>
          <w:highlight w:val="none"/>
        </w:rPr>
        <w:fldChar w:fldCharType="begin"/>
      </w:r>
      <w:r>
        <w:rPr>
          <w:highlight w:val="none"/>
        </w:rPr>
        <w:instrText xml:space="preserve"> PAGEREF _Toc19366 \h </w:instrText>
      </w:r>
      <w:r>
        <w:rPr>
          <w:highlight w:val="none"/>
        </w:rPr>
        <w:fldChar w:fldCharType="separate"/>
      </w:r>
      <w:r>
        <w:rPr>
          <w:highlight w:val="none"/>
        </w:rPr>
        <w:t>45</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_Toc3057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二、法定代表人身份证明书</w:t>
      </w:r>
      <w:r>
        <w:rPr>
          <w:highlight w:val="none"/>
        </w:rPr>
        <w:tab/>
      </w:r>
      <w:r>
        <w:rPr>
          <w:highlight w:val="none"/>
        </w:rPr>
        <w:fldChar w:fldCharType="begin"/>
      </w:r>
      <w:r>
        <w:rPr>
          <w:highlight w:val="none"/>
        </w:rPr>
        <w:instrText xml:space="preserve"> PAGEREF _Toc3057 \h </w:instrText>
      </w:r>
      <w:r>
        <w:rPr>
          <w:highlight w:val="none"/>
        </w:rPr>
        <w:fldChar w:fldCharType="separate"/>
      </w:r>
      <w:r>
        <w:rPr>
          <w:highlight w:val="none"/>
        </w:rPr>
        <w:t>46</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_Toc7854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三、授权委托书</w:t>
      </w:r>
      <w:r>
        <w:rPr>
          <w:highlight w:val="none"/>
        </w:rPr>
        <w:tab/>
      </w:r>
      <w:r>
        <w:rPr>
          <w:highlight w:val="none"/>
        </w:rPr>
        <w:fldChar w:fldCharType="begin"/>
      </w:r>
      <w:r>
        <w:rPr>
          <w:highlight w:val="none"/>
        </w:rPr>
        <w:instrText xml:space="preserve"> PAGEREF _Toc7854 \h </w:instrText>
      </w:r>
      <w:r>
        <w:rPr>
          <w:highlight w:val="none"/>
        </w:rPr>
        <w:fldChar w:fldCharType="separate"/>
      </w:r>
      <w:r>
        <w:rPr>
          <w:highlight w:val="none"/>
        </w:rPr>
        <w:t>47</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_Toc5450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四、谈判单位资格证明文件</w:t>
      </w:r>
      <w:r>
        <w:rPr>
          <w:highlight w:val="none"/>
        </w:rPr>
        <w:tab/>
      </w:r>
      <w:r>
        <w:rPr>
          <w:highlight w:val="none"/>
        </w:rPr>
        <w:fldChar w:fldCharType="begin"/>
      </w:r>
      <w:r>
        <w:rPr>
          <w:highlight w:val="none"/>
        </w:rPr>
        <w:instrText xml:space="preserve"> PAGEREF _Toc5450 \h </w:instrText>
      </w:r>
      <w:r>
        <w:rPr>
          <w:highlight w:val="none"/>
        </w:rPr>
        <w:fldChar w:fldCharType="separate"/>
      </w:r>
      <w:r>
        <w:rPr>
          <w:highlight w:val="none"/>
        </w:rPr>
        <w:t>48</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_Toc26602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五、报价一览表</w:t>
      </w:r>
      <w:r>
        <w:rPr>
          <w:highlight w:val="none"/>
        </w:rPr>
        <w:tab/>
      </w:r>
      <w:r>
        <w:rPr>
          <w:highlight w:val="none"/>
        </w:rPr>
        <w:fldChar w:fldCharType="begin"/>
      </w:r>
      <w:r>
        <w:rPr>
          <w:highlight w:val="none"/>
        </w:rPr>
        <w:instrText xml:space="preserve"> PAGEREF _Toc26602 \h </w:instrText>
      </w:r>
      <w:r>
        <w:rPr>
          <w:highlight w:val="none"/>
        </w:rPr>
        <w:fldChar w:fldCharType="separate"/>
      </w:r>
      <w:r>
        <w:rPr>
          <w:highlight w:val="none"/>
        </w:rPr>
        <w:t>51</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_Toc17375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六、分项价格表</w:t>
      </w:r>
      <w:r>
        <w:rPr>
          <w:highlight w:val="none"/>
        </w:rPr>
        <w:tab/>
      </w:r>
      <w:r>
        <w:rPr>
          <w:highlight w:val="none"/>
        </w:rPr>
        <w:fldChar w:fldCharType="begin"/>
      </w:r>
      <w:r>
        <w:rPr>
          <w:highlight w:val="none"/>
        </w:rPr>
        <w:instrText xml:space="preserve"> PAGEREF _Toc17375 \h </w:instrText>
      </w:r>
      <w:r>
        <w:rPr>
          <w:highlight w:val="none"/>
        </w:rPr>
        <w:fldChar w:fldCharType="separate"/>
      </w:r>
      <w:r>
        <w:rPr>
          <w:highlight w:val="none"/>
        </w:rPr>
        <w:t>52</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_Toc16771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七、其他资料（如有）</w:t>
      </w:r>
      <w:r>
        <w:rPr>
          <w:highlight w:val="none"/>
        </w:rPr>
        <w:tab/>
      </w:r>
      <w:r>
        <w:rPr>
          <w:highlight w:val="none"/>
        </w:rPr>
        <w:fldChar w:fldCharType="begin"/>
      </w:r>
      <w:r>
        <w:rPr>
          <w:highlight w:val="none"/>
        </w:rPr>
        <w:instrText xml:space="preserve"> PAGEREF _Toc16771 \h </w:instrText>
      </w:r>
      <w:r>
        <w:rPr>
          <w:highlight w:val="none"/>
        </w:rPr>
        <w:fldChar w:fldCharType="separate"/>
      </w:r>
      <w:r>
        <w:rPr>
          <w:highlight w:val="none"/>
        </w:rPr>
        <w:t>53</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ascii="Times New Roman" w:hAnsi="Times New Roman" w:eastAsia="宋体" w:cs="Times New Roman"/>
          <w:highlight w:val="none"/>
        </w:rPr>
      </w:pPr>
      <w:r>
        <w:rPr>
          <w:rFonts w:ascii="Times New Roman" w:hAnsi="Times New Roman" w:eastAsia="宋体" w:cs="Times New Roman"/>
          <w:highlight w:val="none"/>
        </w:rPr>
        <w:fldChar w:fldCharType="end"/>
      </w:r>
    </w:p>
    <w:p>
      <w:pPr>
        <w:pStyle w:val="32"/>
        <w:tabs>
          <w:tab w:val="right" w:leader="dot" w:pos="8312"/>
        </w:tabs>
        <w:spacing w:line="360" w:lineRule="auto"/>
        <w:rPr>
          <w:rFonts w:ascii="Times New Roman" w:hAnsi="Times New Roman" w:eastAsia="宋体" w:cs="Times New Roman"/>
          <w:highlight w:val="none"/>
        </w:rPr>
        <w:sectPr>
          <w:footerReference r:id="rId3" w:type="default"/>
          <w:pgSz w:w="11906" w:h="16838"/>
          <w:pgMar w:top="1440" w:right="1797" w:bottom="1440" w:left="1797" w:header="851" w:footer="851" w:gutter="0"/>
          <w:pgNumType w:fmt="decimal" w:start="1"/>
          <w:cols w:space="720" w:num="1"/>
          <w:docGrid w:linePitch="312" w:charSpace="0"/>
        </w:sectPr>
      </w:pPr>
      <w:bookmarkStart w:id="1" w:name="_Toc29614"/>
      <w:bookmarkStart w:id="2" w:name="_Toc5016"/>
    </w:p>
    <w:p>
      <w:pPr>
        <w:pStyle w:val="3"/>
        <w:keepNext w:val="0"/>
        <w:numPr>
          <w:ilvl w:val="0"/>
          <w:numId w:val="6"/>
        </w:numPr>
        <w:spacing w:line="360" w:lineRule="auto"/>
        <w:rPr>
          <w:rFonts w:hint="eastAsia" w:ascii="宋体" w:hAnsi="宋体" w:cs="宋体"/>
          <w:sz w:val="32"/>
          <w:szCs w:val="32"/>
          <w:highlight w:val="none"/>
        </w:rPr>
      </w:pPr>
      <w:bookmarkStart w:id="3" w:name="_Toc13376"/>
      <w:r>
        <w:rPr>
          <w:rFonts w:hint="eastAsia" w:ascii="宋体" w:hAnsi="宋体" w:cs="宋体"/>
          <w:sz w:val="32"/>
          <w:szCs w:val="32"/>
          <w:highlight w:val="none"/>
        </w:rPr>
        <w:t xml:space="preserve"> </w:t>
      </w:r>
      <w:bookmarkStart w:id="4" w:name="_Toc27147"/>
      <w:r>
        <w:rPr>
          <w:rFonts w:hint="eastAsia" w:ascii="宋体" w:hAnsi="宋体" w:cs="宋体"/>
          <w:sz w:val="32"/>
          <w:szCs w:val="32"/>
          <w:highlight w:val="none"/>
        </w:rPr>
        <w:t>谈判邀请公告</w:t>
      </w:r>
      <w:bookmarkEnd w:id="0"/>
      <w:bookmarkEnd w:id="1"/>
      <w:bookmarkEnd w:id="2"/>
      <w:bookmarkEnd w:id="3"/>
      <w:bookmarkEnd w:id="4"/>
    </w:p>
    <w:p>
      <w:pPr>
        <w:numPr>
          <w:ilvl w:val="0"/>
          <w:numId w:val="0"/>
        </w:numPr>
        <w:rPr>
          <w:highlight w:val="none"/>
        </w:rPr>
      </w:pPr>
    </w:p>
    <w:p>
      <w:pPr>
        <w:spacing w:line="360" w:lineRule="auto"/>
        <w:ind w:firstLine="420" w:firstLineChars="200"/>
        <w:jc w:val="left"/>
        <w:rPr>
          <w:rFonts w:ascii="宋体" w:hAnsi="宋体" w:cs="宋体"/>
          <w:iCs/>
          <w:szCs w:val="21"/>
          <w:highlight w:val="none"/>
        </w:rPr>
      </w:pPr>
      <w:r>
        <w:rPr>
          <w:rFonts w:hint="eastAsia" w:ascii="宋体" w:hAnsi="宋体" w:cs="宋体"/>
          <w:iCs/>
          <w:szCs w:val="21"/>
          <w:highlight w:val="none"/>
          <w:u w:val="single"/>
          <w:lang w:val="en-US" w:eastAsia="zh-CN"/>
        </w:rPr>
        <w:t>湖南昊坤工程咨询有限公司</w:t>
      </w:r>
      <w:r>
        <w:rPr>
          <w:rFonts w:hint="eastAsia" w:ascii="宋体" w:hAnsi="宋体" w:cs="宋体"/>
          <w:iCs/>
          <w:szCs w:val="21"/>
          <w:highlight w:val="none"/>
          <w:lang w:val="en-US" w:eastAsia="zh-CN"/>
        </w:rPr>
        <w:t>受</w:t>
      </w:r>
      <w:r>
        <w:rPr>
          <w:rFonts w:hint="eastAsia" w:ascii="宋体" w:hAnsi="宋体" w:cs="宋体"/>
          <w:iCs/>
          <w:szCs w:val="21"/>
          <w:highlight w:val="none"/>
          <w:u w:val="single"/>
          <w:lang w:val="en-US" w:eastAsia="zh-CN"/>
        </w:rPr>
        <w:t>长沙市轨道交通四号线建设发展有限公司</w:t>
      </w:r>
      <w:r>
        <w:rPr>
          <w:rFonts w:hint="eastAsia" w:ascii="宋体" w:hAnsi="宋体" w:cs="宋体"/>
          <w:iCs/>
          <w:szCs w:val="21"/>
          <w:highlight w:val="none"/>
          <w:lang w:val="en-US" w:eastAsia="zh-CN"/>
        </w:rPr>
        <w:t>的委托，对</w:t>
      </w:r>
      <w:r>
        <w:rPr>
          <w:rFonts w:hint="eastAsia" w:ascii="宋体" w:hAnsi="宋体" w:cs="宋体"/>
          <w:iCs/>
          <w:szCs w:val="21"/>
          <w:highlight w:val="none"/>
          <w:u w:val="single"/>
          <w:lang w:val="en-US" w:eastAsia="zh-CN"/>
        </w:rPr>
        <w:t>长沙市轨道交通4号线运营期2022年交通运输行业安全生产责任保险服务项目</w:t>
      </w:r>
      <w:r>
        <w:rPr>
          <w:rFonts w:hint="eastAsia" w:ascii="宋体" w:hAnsi="宋体" w:cs="宋体"/>
          <w:iCs/>
          <w:szCs w:val="21"/>
          <w:highlight w:val="none"/>
        </w:rPr>
        <w:t>进行自主竞争性谈判采购，现发布公告，邀请符合条件的单位参与谈判采购活动。</w:t>
      </w:r>
    </w:p>
    <w:p>
      <w:pPr>
        <w:pStyle w:val="25"/>
        <w:adjustRightInd w:val="0"/>
        <w:snapToGrid w:val="0"/>
        <w:spacing w:line="360" w:lineRule="auto"/>
        <w:ind w:firstLine="422" w:firstLineChars="200"/>
        <w:rPr>
          <w:rFonts w:hAnsi="宋体" w:cs="宋体"/>
          <w:b/>
          <w:iCs/>
          <w:highlight w:val="none"/>
        </w:rPr>
      </w:pPr>
      <w:r>
        <w:rPr>
          <w:rFonts w:hint="eastAsia" w:hAnsi="宋体" w:cs="宋体"/>
          <w:b/>
          <w:iCs/>
          <w:highlight w:val="none"/>
        </w:rPr>
        <w:t>一、项目概况</w:t>
      </w:r>
    </w:p>
    <w:p>
      <w:pPr>
        <w:pStyle w:val="25"/>
        <w:adjustRightInd w:val="0"/>
        <w:snapToGrid w:val="0"/>
        <w:spacing w:line="360" w:lineRule="auto"/>
        <w:ind w:firstLine="420" w:firstLineChars="200"/>
        <w:rPr>
          <w:rFonts w:hAnsi="宋体" w:cs="宋体"/>
          <w:iCs/>
          <w:highlight w:val="none"/>
        </w:rPr>
      </w:pPr>
      <w:r>
        <w:rPr>
          <w:rFonts w:hint="eastAsia" w:hAnsi="宋体" w:cs="宋体"/>
          <w:iCs/>
          <w:highlight w:val="none"/>
        </w:rPr>
        <w:t>1.项目名称：</w:t>
      </w:r>
      <w:r>
        <w:rPr>
          <w:rFonts w:hint="eastAsia" w:hAnsi="宋体" w:cs="宋体"/>
          <w:iCs/>
          <w:szCs w:val="21"/>
          <w:highlight w:val="none"/>
          <w:lang w:val="en-US" w:eastAsia="zh-CN"/>
        </w:rPr>
        <w:t>长沙市轨道交通4号线运营期2022年交通运输行业安全生产责任保险服务项目（第二次）</w:t>
      </w:r>
    </w:p>
    <w:p>
      <w:pPr>
        <w:pStyle w:val="25"/>
        <w:adjustRightInd w:val="0"/>
        <w:snapToGrid w:val="0"/>
        <w:spacing w:line="360" w:lineRule="auto"/>
        <w:ind w:firstLine="420" w:firstLineChars="200"/>
        <w:rPr>
          <w:rFonts w:hint="eastAsia" w:hAnsi="宋体" w:eastAsia="宋体" w:cs="宋体"/>
          <w:iCs/>
          <w:highlight w:val="none"/>
          <w:lang w:eastAsia="zh-CN"/>
        </w:rPr>
      </w:pPr>
      <w:r>
        <w:rPr>
          <w:rFonts w:hint="eastAsia" w:hAnsi="宋体" w:cs="宋体"/>
          <w:iCs/>
          <w:highlight w:val="none"/>
        </w:rPr>
        <w:t>2</w:t>
      </w:r>
      <w:r>
        <w:rPr>
          <w:rFonts w:hAnsi="宋体" w:cs="宋体"/>
          <w:iCs/>
          <w:highlight w:val="none"/>
        </w:rPr>
        <w:t>.</w:t>
      </w:r>
      <w:r>
        <w:rPr>
          <w:rFonts w:hint="eastAsia" w:hAnsi="宋体" w:cs="宋体"/>
          <w:iCs/>
          <w:highlight w:val="none"/>
        </w:rPr>
        <w:t>项目编号：</w:t>
      </w:r>
      <w:r>
        <w:rPr>
          <w:rFonts w:hint="eastAsia" w:hAnsi="宋体" w:cs="宋体"/>
          <w:iCs/>
          <w:highlight w:val="none"/>
          <w:lang w:eastAsia="zh-CN"/>
        </w:rPr>
        <w:t>长轨运服采【2022】003号</w:t>
      </w:r>
    </w:p>
    <w:p>
      <w:pPr>
        <w:pStyle w:val="25"/>
        <w:adjustRightInd w:val="0"/>
        <w:snapToGrid w:val="0"/>
        <w:spacing w:line="360" w:lineRule="auto"/>
        <w:ind w:firstLine="420" w:firstLineChars="20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3.最高限价：</w:t>
      </w:r>
      <w:r>
        <w:rPr>
          <w:rFonts w:hint="eastAsia" w:hAnsi="宋体" w:cs="宋体"/>
          <w:iCs/>
          <w:szCs w:val="21"/>
          <w:highlight w:val="none"/>
          <w:lang w:val="en-US" w:eastAsia="zh-CN"/>
        </w:rPr>
        <w:t>814060.00元</w:t>
      </w:r>
    </w:p>
    <w:p>
      <w:pPr>
        <w:pStyle w:val="25"/>
        <w:adjustRightInd w:val="0"/>
        <w:snapToGrid w:val="0"/>
        <w:spacing w:line="360" w:lineRule="auto"/>
        <w:ind w:firstLine="420" w:firstLineChars="20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4.标段划分：共划分1个标段。</w:t>
      </w:r>
    </w:p>
    <w:p>
      <w:pPr>
        <w:pStyle w:val="25"/>
        <w:adjustRightInd w:val="0"/>
        <w:snapToGrid w:val="0"/>
        <w:spacing w:line="360" w:lineRule="auto"/>
        <w:ind w:firstLine="420" w:firstLineChars="200"/>
        <w:rPr>
          <w:rFonts w:hint="eastAsia" w:hAnsi="宋体" w:cs="宋体"/>
          <w:iCs/>
          <w:szCs w:val="21"/>
          <w:highlight w:val="none"/>
          <w:lang w:val="en-US" w:eastAsia="zh-CN"/>
        </w:rPr>
      </w:pPr>
      <w:r>
        <w:rPr>
          <w:rFonts w:hint="eastAsia" w:ascii="宋体" w:hAnsi="宋体" w:cs="宋体"/>
          <w:iCs/>
          <w:szCs w:val="21"/>
          <w:highlight w:val="none"/>
          <w:lang w:val="en-US" w:eastAsia="zh-CN"/>
        </w:rPr>
        <w:t>5.服务期限：</w:t>
      </w:r>
      <w:r>
        <w:rPr>
          <w:rFonts w:hint="eastAsia" w:hAnsi="宋体" w:cs="宋体"/>
          <w:iCs/>
          <w:szCs w:val="21"/>
          <w:highlight w:val="none"/>
          <w:lang w:val="en-US" w:eastAsia="zh-CN"/>
        </w:rPr>
        <w:t>本项目服务期为一年，总计12个月（具体服务开始时间为2022年5月26日00：00至2023年5月25日24:00）。（具体详见用户需求书）</w:t>
      </w:r>
    </w:p>
    <w:p>
      <w:pPr>
        <w:snapToGrid w:val="0"/>
        <w:spacing w:line="360" w:lineRule="auto"/>
        <w:ind w:firstLine="420" w:firstLineChars="200"/>
        <w:rPr>
          <w:rFonts w:ascii="宋体" w:hAnsi="宋体" w:cs="宋体"/>
          <w:bCs/>
          <w:szCs w:val="21"/>
          <w:highlight w:val="none"/>
        </w:rPr>
      </w:pPr>
      <w:r>
        <w:rPr>
          <w:rFonts w:ascii="宋体" w:hAnsi="宋体" w:cs="宋体"/>
          <w:bCs/>
          <w:szCs w:val="21"/>
          <w:highlight w:val="none"/>
        </w:rPr>
        <w:t>6</w:t>
      </w:r>
      <w:r>
        <w:rPr>
          <w:rFonts w:hint="eastAsia" w:ascii="宋体" w:hAnsi="宋体" w:cs="宋体"/>
          <w:bCs/>
          <w:szCs w:val="21"/>
          <w:highlight w:val="none"/>
        </w:rPr>
        <w:t>.</w:t>
      </w:r>
      <w:r>
        <w:rPr>
          <w:rFonts w:hint="eastAsia" w:ascii="宋体" w:hAnsi="宋体" w:cs="宋体"/>
          <w:iCs/>
          <w:szCs w:val="21"/>
          <w:highlight w:val="none"/>
        </w:rPr>
        <w:t>采购范围：</w:t>
      </w:r>
      <w:r>
        <w:rPr>
          <w:rFonts w:hint="eastAsia" w:ascii="宋体" w:hAnsi="宋体" w:cs="宋体"/>
          <w:bCs/>
          <w:highlight w:val="none"/>
          <w:lang w:eastAsia="zh-CN"/>
        </w:rPr>
        <w:t>本次采购主要为长沙市轨道交通4号线一期工程运营期交通运输行业安全生产责任保险。</w:t>
      </w:r>
      <w:r>
        <w:rPr>
          <w:rFonts w:hint="eastAsia" w:ascii="宋体" w:hAnsi="宋体" w:cs="宋体"/>
          <w:kern w:val="0"/>
          <w:szCs w:val="21"/>
          <w:highlight w:val="none"/>
        </w:rPr>
        <w:t>（具体详见用户需求书）</w:t>
      </w:r>
    </w:p>
    <w:p>
      <w:pPr>
        <w:pStyle w:val="25"/>
        <w:adjustRightInd w:val="0"/>
        <w:snapToGrid w:val="0"/>
        <w:spacing w:line="360" w:lineRule="auto"/>
        <w:ind w:firstLine="422" w:firstLineChars="200"/>
        <w:rPr>
          <w:rFonts w:hAnsi="宋体" w:cs="宋体"/>
          <w:b/>
          <w:iCs/>
          <w:highlight w:val="none"/>
        </w:rPr>
      </w:pPr>
      <w:r>
        <w:rPr>
          <w:rFonts w:hint="eastAsia" w:hAnsi="宋体" w:cs="宋体"/>
          <w:b/>
          <w:iCs/>
          <w:highlight w:val="none"/>
        </w:rPr>
        <w:t>二、资格要求</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1.本项目接受总公司或由总公司授权的湖南省级分公司直接参与响应。</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w:t>
      </w:r>
      <w:r>
        <w:rPr>
          <w:rFonts w:hint="eastAsia" w:ascii="宋体" w:hAnsi="宋体" w:cs="宋体"/>
          <w:iCs/>
          <w:kern w:val="2"/>
          <w:sz w:val="21"/>
          <w:szCs w:val="21"/>
          <w:highlight w:val="none"/>
          <w:lang w:val="en-US" w:eastAsia="zh-CN" w:bidi="ar-SA"/>
        </w:rPr>
        <w:t>（或</w:t>
      </w:r>
      <w:r>
        <w:rPr>
          <w:rFonts w:hint="eastAsia" w:ascii="宋体" w:hAnsi="宋体" w:eastAsia="宋体" w:cs="宋体"/>
          <w:iCs/>
          <w:kern w:val="2"/>
          <w:sz w:val="21"/>
          <w:szCs w:val="21"/>
          <w:highlight w:val="none"/>
          <w:lang w:val="en-US" w:eastAsia="zh-CN" w:bidi="ar-SA"/>
        </w:rPr>
        <w:t>《保险许可证》</w:t>
      </w:r>
      <w:r>
        <w:rPr>
          <w:rFonts w:hint="eastAsia" w:ascii="宋体" w:hAnsi="宋体" w:cs="宋体"/>
          <w:iCs/>
          <w:kern w:val="2"/>
          <w:sz w:val="21"/>
          <w:szCs w:val="21"/>
          <w:highlight w:val="none"/>
          <w:lang w:val="en-US" w:eastAsia="zh-CN" w:bidi="ar-SA"/>
        </w:rPr>
        <w:t>）</w:t>
      </w:r>
      <w:r>
        <w:rPr>
          <w:rFonts w:hint="eastAsia" w:ascii="宋体" w:hAnsi="宋体" w:eastAsia="宋体" w:cs="宋体"/>
          <w:iCs/>
          <w:kern w:val="2"/>
          <w:sz w:val="21"/>
          <w:szCs w:val="21"/>
          <w:highlight w:val="none"/>
          <w:lang w:val="en-US" w:eastAsia="zh-CN" w:bidi="ar-SA"/>
        </w:rPr>
        <w:t>及《营业执照》（副本）。</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(2)若为湖南省级分公司（即本项目的服务机构）参与谈判的，须提供其总公司授权委托书及其总公司《保险许可证》或《保险公司法人许可证》，且满足上述第（1）条中“本项目的服务机构”资格要求。</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2.拟任项目负责人须为湖南省级分公司副总经理（含）以上级别，须提供省级(含）以上国家保险监督管理部门对该项目负责人的任职资格核准文件及谈判单位对该项目负责人的任命文件。</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3.保险总公司（法人机构）2021年第四季度末综合偿付能力充足率不低于200%、偿二代报表报送管理系统发出的风险综合评级为</w:t>
      </w:r>
      <w:r>
        <w:rPr>
          <w:rFonts w:hint="eastAsia" w:ascii="宋体" w:hAnsi="宋体" w:cs="宋体"/>
          <w:iCs/>
          <w:kern w:val="2"/>
          <w:sz w:val="21"/>
          <w:szCs w:val="21"/>
          <w:highlight w:val="none"/>
          <w:lang w:val="en-US" w:eastAsia="zh-CN" w:bidi="ar-SA"/>
        </w:rPr>
        <w:t>B</w:t>
      </w:r>
      <w:r>
        <w:rPr>
          <w:rFonts w:hint="eastAsia" w:ascii="宋体" w:hAnsi="宋体" w:eastAsia="宋体" w:cs="宋体"/>
          <w:iCs/>
          <w:kern w:val="2"/>
          <w:sz w:val="21"/>
          <w:szCs w:val="21"/>
          <w:highlight w:val="none"/>
          <w:lang w:val="en-US" w:eastAsia="zh-CN" w:bidi="ar-SA"/>
        </w:rPr>
        <w:t>类</w:t>
      </w:r>
      <w:r>
        <w:rPr>
          <w:rFonts w:hint="eastAsia" w:ascii="宋体" w:hAnsi="宋体" w:cs="宋体"/>
          <w:iCs/>
          <w:kern w:val="2"/>
          <w:sz w:val="21"/>
          <w:szCs w:val="21"/>
          <w:highlight w:val="none"/>
          <w:lang w:val="en-US" w:eastAsia="zh-CN" w:bidi="ar-SA"/>
        </w:rPr>
        <w:t>及以上</w:t>
      </w:r>
      <w:r>
        <w:rPr>
          <w:rFonts w:hint="eastAsia" w:ascii="宋体" w:hAnsi="宋体" w:eastAsia="宋体" w:cs="宋体"/>
          <w:iCs/>
          <w:kern w:val="2"/>
          <w:sz w:val="21"/>
          <w:szCs w:val="21"/>
          <w:highlight w:val="none"/>
          <w:lang w:val="en-US" w:eastAsia="zh-CN" w:bidi="ar-SA"/>
        </w:rPr>
        <w:t>。</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4.本项目不接受联合体形式参与谈判。</w:t>
      </w:r>
    </w:p>
    <w:p>
      <w:pPr>
        <w:snapToGrid w:val="0"/>
        <w:spacing w:line="360" w:lineRule="auto"/>
        <w:ind w:firstLine="420" w:firstLineChars="200"/>
        <w:rPr>
          <w:rFonts w:hint="eastAsia" w:ascii="宋体" w:hAnsi="宋体" w:cs="宋体"/>
          <w:highlight w:val="none"/>
        </w:rPr>
      </w:pPr>
      <w:r>
        <w:rPr>
          <w:rFonts w:hint="eastAsia" w:ascii="宋体" w:hAnsi="宋体" w:eastAsia="宋体" w:cs="宋体"/>
          <w:iCs/>
          <w:kern w:val="2"/>
          <w:sz w:val="21"/>
          <w:szCs w:val="21"/>
          <w:highlight w:val="none"/>
          <w:lang w:val="en-US" w:eastAsia="zh-CN" w:bidi="ar-SA"/>
        </w:rPr>
        <w:t>5.被长沙市轨道交通集团有限公司及长沙市轨道交通运营有限公司函告禁止在一定期限内参与投标的单位按函告内容执行</w:t>
      </w:r>
      <w:r>
        <w:rPr>
          <w:rFonts w:hint="eastAsia" w:ascii="宋体" w:hAnsi="宋体" w:cs="宋体"/>
          <w:highlight w:val="none"/>
        </w:rPr>
        <w:t>。</w:t>
      </w:r>
    </w:p>
    <w:p>
      <w:pPr>
        <w:snapToGrid w:val="0"/>
        <w:spacing w:line="360" w:lineRule="auto"/>
        <w:ind w:firstLine="422" w:firstLineChars="200"/>
        <w:rPr>
          <w:rFonts w:ascii="宋体" w:hAnsi="宋体" w:cs="宋体"/>
          <w:b/>
          <w:bCs/>
          <w:iCs/>
          <w:szCs w:val="21"/>
          <w:highlight w:val="none"/>
        </w:rPr>
      </w:pPr>
      <w:r>
        <w:rPr>
          <w:rFonts w:hint="eastAsia" w:ascii="宋体" w:hAnsi="宋体" w:cs="宋体"/>
          <w:b/>
          <w:bCs/>
          <w:szCs w:val="21"/>
          <w:highlight w:val="none"/>
        </w:rPr>
        <w:t>三、</w:t>
      </w:r>
      <w:r>
        <w:rPr>
          <w:rFonts w:hint="eastAsia" w:ascii="宋体" w:hAnsi="宋体" w:cs="宋体"/>
          <w:b/>
          <w:bCs/>
          <w:iCs/>
          <w:szCs w:val="21"/>
          <w:highlight w:val="none"/>
        </w:rPr>
        <w:t>评审办法</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iCs/>
          <w:szCs w:val="21"/>
          <w:highlight w:val="none"/>
        </w:rPr>
        <w:t>本项目评审办法采用</w:t>
      </w:r>
      <w:r>
        <w:rPr>
          <w:rFonts w:hint="eastAsia" w:ascii="宋体" w:hAnsi="宋体" w:cs="宋体"/>
          <w:bCs/>
          <w:szCs w:val="21"/>
          <w:highlight w:val="none"/>
        </w:rPr>
        <w:t>经符合性审查合格后的最低价法。</w:t>
      </w:r>
    </w:p>
    <w:p>
      <w:pPr>
        <w:widowControl/>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四、自主竞争性谈判文件的获取</w:t>
      </w:r>
    </w:p>
    <w:p>
      <w:pPr>
        <w:spacing w:line="360" w:lineRule="auto"/>
        <w:ind w:firstLine="420" w:firstLineChars="200"/>
        <w:rPr>
          <w:rFonts w:ascii="宋体" w:hAnsi="宋体" w:cs="宋体"/>
          <w:szCs w:val="21"/>
          <w:highlight w:val="none"/>
        </w:rPr>
      </w:pPr>
      <w:bookmarkStart w:id="5" w:name="_Hlk75876044"/>
      <w:r>
        <w:rPr>
          <w:rFonts w:hint="eastAsia" w:ascii="宋体" w:hAnsi="宋体" w:cs="宋体"/>
          <w:szCs w:val="21"/>
          <w:highlight w:val="none"/>
        </w:rPr>
        <w:t>凡有意参加谈判的单位，自本公告发布之日起登录长沙市轨道交通集团有限公司官方网站</w:t>
      </w:r>
      <w:r>
        <w:rPr>
          <w:rFonts w:hint="eastAsia" w:ascii="宋体" w:hAnsi="宋体" w:cs="宋体"/>
          <w:kern w:val="0"/>
          <w:szCs w:val="21"/>
          <w:highlight w:val="none"/>
        </w:rPr>
        <w:t>（http://www.hncsmtr.com/）</w:t>
      </w:r>
      <w:r>
        <w:rPr>
          <w:rFonts w:hint="eastAsia" w:ascii="宋体" w:hAnsi="宋体" w:cs="宋体"/>
          <w:szCs w:val="21"/>
          <w:highlight w:val="none"/>
        </w:rPr>
        <w:t>获取自主竞争性谈判文件</w:t>
      </w:r>
      <w:bookmarkEnd w:id="5"/>
      <w:r>
        <w:rPr>
          <w:rFonts w:hint="eastAsia" w:ascii="宋体" w:hAnsi="宋体" w:cs="宋体"/>
          <w:szCs w:val="21"/>
          <w:highlight w:val="none"/>
        </w:rPr>
        <w:t>。</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五、</w:t>
      </w:r>
      <w:r>
        <w:rPr>
          <w:rFonts w:hint="eastAsia" w:ascii="宋体" w:hAnsi="宋体" w:cs="宋体"/>
          <w:b/>
          <w:bCs/>
          <w:iCs/>
          <w:szCs w:val="21"/>
          <w:highlight w:val="none"/>
        </w:rPr>
        <w:t>谈判文件的</w:t>
      </w:r>
      <w:r>
        <w:rPr>
          <w:rFonts w:hint="eastAsia" w:ascii="宋体" w:hAnsi="宋体" w:cs="宋体"/>
          <w:b/>
          <w:bCs/>
          <w:szCs w:val="21"/>
          <w:highlight w:val="none"/>
        </w:rPr>
        <w:t>澄清与答疑</w:t>
      </w:r>
    </w:p>
    <w:p>
      <w:pPr>
        <w:spacing w:line="360" w:lineRule="auto"/>
        <w:ind w:firstLine="420" w:firstLineChars="200"/>
        <w:rPr>
          <w:rFonts w:ascii="宋体" w:hAnsi="宋体" w:cs="宋体"/>
          <w:iCs/>
          <w:szCs w:val="21"/>
          <w:highlight w:val="none"/>
        </w:rPr>
      </w:pPr>
      <w:r>
        <w:rPr>
          <w:rFonts w:hint="eastAsia" w:ascii="宋体" w:hAnsi="宋体" w:cs="宋体"/>
          <w:szCs w:val="21"/>
          <w:highlight w:val="none"/>
        </w:rPr>
        <w:t>1.</w:t>
      </w:r>
      <w:r>
        <w:rPr>
          <w:rFonts w:hint="eastAsia" w:ascii="宋体" w:hAnsi="宋体" w:cs="宋体"/>
          <w:iCs/>
          <w:szCs w:val="21"/>
          <w:highlight w:val="none"/>
        </w:rPr>
        <w:t>本项目不组织答疑会和现场踏勘。</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2.谈判单位若对谈判文件有任何疑问，</w:t>
      </w:r>
      <w:r>
        <w:rPr>
          <w:rFonts w:hint="eastAsia" w:ascii="宋体" w:hAnsi="宋体" w:cs="宋体"/>
          <w:szCs w:val="21"/>
          <w:highlight w:val="none"/>
        </w:rPr>
        <w:t>应于</w:t>
      </w:r>
      <w:r>
        <w:rPr>
          <w:rFonts w:hint="eastAsia" w:ascii="宋体" w:hAnsi="宋体" w:cs="宋体"/>
          <w:szCs w:val="21"/>
          <w:highlight w:val="none"/>
          <w:u w:val="single"/>
        </w:rPr>
        <w:t>20</w:t>
      </w:r>
      <w:r>
        <w:rPr>
          <w:rFonts w:hint="eastAsia" w:ascii="宋体" w:hAnsi="宋体" w:cs="宋体"/>
          <w:szCs w:val="21"/>
          <w:highlight w:val="none"/>
          <w:u w:val="single"/>
          <w:lang w:val="en-US" w:eastAsia="zh-CN"/>
        </w:rPr>
        <w:t>22</w:t>
      </w:r>
      <w:r>
        <w:rPr>
          <w:rFonts w:hint="eastAsia" w:ascii="宋体" w:hAnsi="宋体" w:cs="宋体"/>
          <w:szCs w:val="21"/>
          <w:highlight w:val="none"/>
        </w:rPr>
        <w:t>年</w:t>
      </w:r>
      <w:r>
        <w:rPr>
          <w:rFonts w:hint="eastAsia" w:ascii="宋体" w:hAnsi="宋体" w:cs="宋体"/>
          <w:szCs w:val="21"/>
          <w:highlight w:val="none"/>
          <w:u w:val="single"/>
          <w:lang w:val="en-US" w:eastAsia="zh-CN"/>
        </w:rPr>
        <w:t>5</w:t>
      </w:r>
      <w:r>
        <w:rPr>
          <w:rFonts w:hint="eastAsia" w:ascii="宋体" w:hAnsi="宋体" w:cs="宋体"/>
          <w:szCs w:val="21"/>
          <w:highlight w:val="none"/>
        </w:rPr>
        <w:t>月</w:t>
      </w:r>
      <w:r>
        <w:rPr>
          <w:rFonts w:hint="eastAsia" w:ascii="宋体" w:hAnsi="宋体" w:cs="宋体"/>
          <w:szCs w:val="21"/>
          <w:highlight w:val="none"/>
          <w:u w:val="single"/>
          <w:lang w:val="en-US" w:eastAsia="zh-CN"/>
        </w:rPr>
        <w:t>9</w:t>
      </w:r>
      <w:r>
        <w:rPr>
          <w:rFonts w:hint="eastAsia" w:ascii="宋体" w:hAnsi="宋体" w:cs="宋体"/>
          <w:szCs w:val="21"/>
          <w:highlight w:val="none"/>
        </w:rPr>
        <w:t>日</w:t>
      </w:r>
      <w:r>
        <w:rPr>
          <w:rFonts w:hint="eastAsia" w:ascii="宋体" w:hAnsi="宋体" w:cs="宋体"/>
          <w:iCs/>
          <w:szCs w:val="21"/>
          <w:highlight w:val="none"/>
        </w:rPr>
        <w:t>17：00时（含）前（节假日除外）以书面形式（经法定代表人签字或盖章，并加盖谈判单位公章）递交至采购代理机构。</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highlight w:val="none"/>
        </w:rPr>
      </w:pPr>
      <w:r>
        <w:rPr>
          <w:rFonts w:hint="eastAsia" w:ascii="宋体" w:hAnsi="宋体" w:cs="宋体"/>
          <w:iCs/>
          <w:szCs w:val="21"/>
          <w:highlight w:val="none"/>
        </w:rPr>
        <w:t>4.</w:t>
      </w:r>
      <w:r>
        <w:rPr>
          <w:rFonts w:hint="eastAsia" w:ascii="宋体" w:hAnsi="宋体" w:cs="宋体"/>
          <w:kern w:val="0"/>
          <w:szCs w:val="21"/>
          <w:highlight w:val="none"/>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widowControl/>
        <w:spacing w:line="408" w:lineRule="auto"/>
        <w:ind w:firstLine="480"/>
        <w:rPr>
          <w:rFonts w:ascii="宋体" w:hAnsi="宋体" w:cs="宋体"/>
          <w:b/>
          <w:bCs/>
          <w:kern w:val="0"/>
          <w:szCs w:val="21"/>
          <w:highlight w:val="none"/>
        </w:rPr>
      </w:pPr>
      <w:r>
        <w:rPr>
          <w:rFonts w:hint="eastAsia" w:ascii="宋体" w:hAnsi="宋体" w:cs="宋体"/>
          <w:b/>
          <w:bCs/>
          <w:kern w:val="0"/>
          <w:szCs w:val="21"/>
          <w:highlight w:val="none"/>
        </w:rPr>
        <w:t>六、投标保证金</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1.所有谈判单位须在城轨采购网（网址：www.mtrmart.com）注册参与并按要求提交投标保证金。本次投标保证金的金额为（人民币）</w:t>
      </w:r>
      <w:r>
        <w:rPr>
          <w:rFonts w:hint="eastAsia" w:ascii="宋体" w:hAnsi="宋体" w:cs="宋体"/>
          <w:iCs/>
          <w:szCs w:val="21"/>
          <w:highlight w:val="none"/>
          <w:lang w:val="en-US" w:eastAsia="zh-CN"/>
        </w:rPr>
        <w:t>16200</w:t>
      </w:r>
      <w:r>
        <w:rPr>
          <w:rFonts w:hint="eastAsia" w:ascii="宋体" w:hAnsi="宋体" w:cs="宋体"/>
          <w:iCs/>
          <w:szCs w:val="21"/>
          <w:highlight w:val="none"/>
        </w:rPr>
        <w:t>元，投标保证金必须由谈判单位的银行对公账户转出，否则将无权限参加本次谈判。</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2.本次参与谈判单位的投标保证金必须在</w:t>
      </w:r>
      <w:r>
        <w:rPr>
          <w:rFonts w:hint="eastAsia" w:ascii="宋体" w:hAnsi="宋体" w:cs="宋体"/>
          <w:iCs/>
          <w:szCs w:val="21"/>
          <w:highlight w:val="none"/>
          <w:u w:val="single"/>
        </w:rPr>
        <w:t>202</w:t>
      </w:r>
      <w:r>
        <w:rPr>
          <w:rFonts w:hint="eastAsia" w:ascii="宋体" w:hAnsi="宋体" w:cs="宋体"/>
          <w:iCs/>
          <w:szCs w:val="21"/>
          <w:highlight w:val="none"/>
          <w:u w:val="single"/>
          <w:lang w:val="en-US" w:eastAsia="zh-CN"/>
        </w:rPr>
        <w:t>2</w:t>
      </w:r>
      <w:r>
        <w:rPr>
          <w:rFonts w:hint="eastAsia" w:ascii="宋体" w:hAnsi="宋体" w:cs="宋体"/>
          <w:iCs/>
          <w:szCs w:val="21"/>
          <w:highlight w:val="none"/>
        </w:rPr>
        <w:t>年</w:t>
      </w:r>
      <w:r>
        <w:rPr>
          <w:rFonts w:hint="eastAsia" w:ascii="宋体" w:hAnsi="宋体" w:cs="宋体"/>
          <w:iCs/>
          <w:szCs w:val="21"/>
          <w:highlight w:val="none"/>
          <w:u w:val="single"/>
          <w:lang w:val="en-US" w:eastAsia="zh-CN"/>
        </w:rPr>
        <w:t>5月16日</w:t>
      </w:r>
      <w:r>
        <w:rPr>
          <w:rFonts w:hint="eastAsia" w:ascii="宋体" w:hAnsi="宋体" w:cs="宋体"/>
          <w:iCs/>
          <w:szCs w:val="21"/>
          <w:highlight w:val="none"/>
          <w:lang w:val="en-US" w:eastAsia="zh-CN"/>
        </w:rPr>
        <w:t>9</w:t>
      </w:r>
      <w:r>
        <w:rPr>
          <w:rFonts w:hint="eastAsia" w:ascii="宋体" w:hAnsi="宋体" w:cs="宋体"/>
          <w:iCs/>
          <w:szCs w:val="21"/>
          <w:highlight w:val="none"/>
        </w:rPr>
        <w:t>:00前(含)到达专用账户（以托管银行到账的日期为准），逾期或未提交投标保证金的谈判单位，将无权限参加本次谈判。</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（1）谈判单位提出撤回或撤销或放弃中选资格或对报价提出实质性修改；</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（2）中选单位未能在规定期限内签订合同或不按报价结果签订合同；</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（3）中选单位未能在规定期限内提交履约保证金；</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（4）中选单位在合同订立过程中未能完全响应采购文件、清单、附件、合同要求以致合同无法订立的；</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（5）经查实谈判单位报价资料弄虚作假的；</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（6）串通参与谈判相关行为的。如不同谈判单位的投标保证金从同一账户转出。</w:t>
      </w:r>
    </w:p>
    <w:p>
      <w:pPr>
        <w:spacing w:line="360" w:lineRule="auto"/>
        <w:ind w:firstLine="422" w:firstLineChars="200"/>
        <w:rPr>
          <w:rFonts w:ascii="宋体" w:hAnsi="宋体" w:cs="宋体"/>
          <w:b/>
          <w:bCs/>
          <w:iCs/>
          <w:szCs w:val="21"/>
          <w:highlight w:val="none"/>
        </w:rPr>
      </w:pPr>
      <w:r>
        <w:rPr>
          <w:rFonts w:hint="eastAsia" w:ascii="宋体" w:hAnsi="宋体" w:cs="宋体"/>
          <w:b/>
          <w:bCs/>
          <w:kern w:val="0"/>
          <w:szCs w:val="21"/>
          <w:highlight w:val="none"/>
        </w:rPr>
        <w:t>七、</w:t>
      </w:r>
      <w:r>
        <w:rPr>
          <w:rFonts w:hint="eastAsia" w:ascii="宋体" w:hAnsi="宋体" w:cs="宋体"/>
          <w:b/>
          <w:bCs/>
          <w:iCs/>
          <w:szCs w:val="21"/>
          <w:highlight w:val="none"/>
        </w:rPr>
        <w:t>响应文件的递交</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1.响应文件递交的截止时间及谈判时间为2022年</w:t>
      </w:r>
      <w:r>
        <w:rPr>
          <w:rFonts w:hint="eastAsia" w:ascii="宋体" w:hAnsi="宋体"/>
          <w:bCs/>
          <w:szCs w:val="21"/>
          <w:highlight w:val="none"/>
          <w:u w:val="single"/>
          <w:lang w:val="en-US" w:eastAsia="zh-CN"/>
        </w:rPr>
        <w:t>5月16日</w:t>
      </w:r>
      <w:r>
        <w:rPr>
          <w:rFonts w:hint="eastAsia" w:ascii="宋体" w:hAnsi="宋体"/>
          <w:bCs/>
          <w:szCs w:val="21"/>
          <w:highlight w:val="none"/>
        </w:rPr>
        <w:t>14时30分，地点为长沙市劳动东路二段48号黄兴车辆段综合楼9楼910室。</w:t>
      </w:r>
    </w:p>
    <w:p>
      <w:pPr>
        <w:spacing w:line="360" w:lineRule="auto"/>
        <w:ind w:firstLine="420" w:firstLineChars="200"/>
        <w:rPr>
          <w:rFonts w:hint="eastAsia" w:ascii="宋体" w:hAnsi="宋体"/>
          <w:b/>
          <w:bCs w:val="0"/>
          <w:szCs w:val="21"/>
          <w:highlight w:val="none"/>
          <w:lang w:val="en-US" w:eastAsia="zh-CN"/>
        </w:rPr>
      </w:pPr>
      <w:r>
        <w:rPr>
          <w:rFonts w:hint="eastAsia" w:ascii="宋体" w:hAnsi="宋体"/>
          <w:bCs/>
          <w:szCs w:val="21"/>
          <w:highlight w:val="none"/>
          <w:lang w:val="en-US" w:eastAsia="zh-CN"/>
        </w:rPr>
        <w:t>2</w:t>
      </w:r>
      <w:r>
        <w:rPr>
          <w:rFonts w:hint="eastAsia" w:ascii="宋体" w:hAnsi="宋体"/>
          <w:b/>
          <w:bCs w:val="0"/>
          <w:szCs w:val="21"/>
          <w:highlight w:val="none"/>
          <w:lang w:val="en-US" w:eastAsia="zh-CN"/>
        </w:rPr>
        <w:t>.谈判单位代表应佩戴口罩，携带身份证进行实名登记，配合做好体温检测，提供“健康码”、</w:t>
      </w:r>
    </w:p>
    <w:p>
      <w:pPr>
        <w:spacing w:line="360" w:lineRule="auto"/>
        <w:rPr>
          <w:rFonts w:hint="eastAsia" w:ascii="宋体" w:hAnsi="宋体"/>
          <w:b/>
          <w:bCs w:val="0"/>
          <w:szCs w:val="21"/>
          <w:highlight w:val="none"/>
          <w:lang w:val="en-US" w:eastAsia="zh-CN"/>
        </w:rPr>
      </w:pPr>
      <w:r>
        <w:rPr>
          <w:rFonts w:hint="eastAsia" w:ascii="宋体" w:hAnsi="宋体"/>
          <w:b/>
          <w:bCs w:val="0"/>
          <w:szCs w:val="21"/>
          <w:highlight w:val="none"/>
          <w:lang w:val="en-US" w:eastAsia="zh-CN"/>
        </w:rPr>
        <w:t>“行程码”及48小时内核酸检测证明，否则响应文件将予以拒收。</w:t>
      </w:r>
    </w:p>
    <w:p>
      <w:pPr>
        <w:spacing w:line="360" w:lineRule="auto"/>
        <w:ind w:firstLine="420" w:firstLineChars="200"/>
        <w:rPr>
          <w:rFonts w:ascii="宋体" w:hAnsi="宋体" w:cs="宋体"/>
          <w:szCs w:val="21"/>
          <w:highlight w:val="none"/>
        </w:rPr>
      </w:pPr>
      <w:r>
        <w:rPr>
          <w:rFonts w:hint="eastAsia" w:ascii="宋体" w:hAnsi="宋体" w:eastAsia="宋体" w:cs="Times New Roman"/>
          <w:bCs/>
          <w:kern w:val="2"/>
          <w:sz w:val="21"/>
          <w:szCs w:val="21"/>
          <w:highlight w:val="none"/>
          <w:lang w:val="en-US" w:eastAsia="zh-CN" w:bidi="ar-SA"/>
        </w:rPr>
        <w:t>3.逾期送达的或者未送达指定地点的或者未密封的响应文件，</w:t>
      </w:r>
      <w:r>
        <w:rPr>
          <w:rFonts w:hint="eastAsia" w:ascii="宋体" w:hAnsi="宋体" w:cs="宋体"/>
          <w:szCs w:val="21"/>
          <w:highlight w:val="none"/>
        </w:rPr>
        <w:t>采购单位或采购代理机构将予以</w:t>
      </w:r>
      <w:r>
        <w:rPr>
          <w:rFonts w:hint="eastAsia" w:ascii="宋体" w:hAnsi="宋体" w:cs="宋体"/>
          <w:b/>
          <w:bCs/>
          <w:szCs w:val="21"/>
          <w:highlight w:val="none"/>
        </w:rPr>
        <w:t>拒收</w:t>
      </w:r>
      <w:r>
        <w:rPr>
          <w:rFonts w:hint="eastAsia" w:ascii="宋体" w:hAnsi="宋体" w:cs="宋体"/>
          <w:szCs w:val="21"/>
          <w:highlight w:val="none"/>
        </w:rPr>
        <w:t>。</w:t>
      </w:r>
    </w:p>
    <w:p>
      <w:pPr>
        <w:pStyle w:val="13"/>
        <w:rPr>
          <w:highlight w:val="none"/>
        </w:rPr>
      </w:pPr>
      <w:r>
        <w:rPr>
          <w:rFonts w:hint="eastAsia" w:ascii="宋体" w:hAnsi="宋体" w:cs="宋体"/>
          <w:b/>
          <w:bCs/>
          <w:kern w:val="0"/>
          <w:szCs w:val="21"/>
          <w:highlight w:val="none"/>
        </w:rPr>
        <w:t>八、中标原则</w:t>
      </w:r>
      <w:bookmarkStart w:id="131" w:name="_GoBack"/>
      <w:bookmarkEnd w:id="131"/>
    </w:p>
    <w:p>
      <w:pPr>
        <w:spacing w:line="360" w:lineRule="auto"/>
        <w:ind w:firstLine="420" w:firstLineChars="200"/>
        <w:rPr>
          <w:rFonts w:hint="eastAsia" w:ascii="宋体" w:hAnsi="宋体"/>
          <w:bCs/>
          <w:szCs w:val="21"/>
          <w:highlight w:val="none"/>
        </w:rPr>
      </w:pPr>
      <w:r>
        <w:rPr>
          <w:rFonts w:hint="eastAsia" w:ascii="宋体" w:hAnsi="宋体"/>
          <w:bCs/>
          <w:szCs w:val="21"/>
          <w:highlight w:val="none"/>
          <w:lang w:val="en-US" w:eastAsia="zh-CN"/>
        </w:rPr>
        <w:t>1.</w:t>
      </w:r>
      <w:r>
        <w:rPr>
          <w:rFonts w:hint="eastAsia" w:ascii="宋体" w:hAnsi="宋体"/>
          <w:bCs/>
          <w:szCs w:val="21"/>
          <w:highlight w:val="none"/>
        </w:rPr>
        <w:t>谈判评审小组按照得分由高到低顺序推荐1-3名中选候选人，经公示无异议后，确定第一中选候选人为中选单位。</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2.若第一中选候选人放弃中选、因不可抗力不能履行合同，或者被查实存在影响中选结果的违法行为等情形，不符合中选条件的，采购单位可以按照评审报告的中选候选人排序依次递补确定中选单位，也可以重新开展采购活动。</w:t>
      </w:r>
    </w:p>
    <w:p>
      <w:pPr>
        <w:spacing w:line="360" w:lineRule="auto"/>
        <w:ind w:left="0" w:leftChars="0" w:firstLine="279" w:firstLineChars="133"/>
        <w:rPr>
          <w:rFonts w:ascii="宋体" w:hAnsi="宋体" w:cs="宋体"/>
          <w:b/>
          <w:szCs w:val="21"/>
          <w:highlight w:val="none"/>
        </w:rPr>
      </w:pPr>
      <w:r>
        <w:rPr>
          <w:rFonts w:ascii="宋体" w:hAnsi="宋体" w:cs="宋体"/>
          <w:bCs/>
          <w:color w:val="FF0000"/>
          <w:highlight w:val="none"/>
        </w:rPr>
        <w:t xml:space="preserve"> </w:t>
      </w:r>
      <w:r>
        <w:rPr>
          <w:rFonts w:hint="eastAsia" w:ascii="宋体" w:hAnsi="宋体" w:cs="宋体"/>
          <w:b/>
          <w:iCs/>
          <w:szCs w:val="21"/>
          <w:highlight w:val="none"/>
        </w:rPr>
        <w:t>九、采购单位及其委托的采购代理机构的名称、地址和联系方法</w:t>
      </w:r>
    </w:p>
    <w:p>
      <w:pPr>
        <w:adjustRightInd w:val="0"/>
        <w:snapToGrid w:val="0"/>
        <w:spacing w:line="360" w:lineRule="auto"/>
        <w:ind w:firstLine="411" w:firstLineChars="196"/>
        <w:rPr>
          <w:rFonts w:ascii="宋体" w:hAnsi="宋体" w:cs="宋体"/>
          <w:b/>
          <w:bCs/>
          <w:szCs w:val="21"/>
          <w:highlight w:val="none"/>
          <w:u w:val="none"/>
        </w:rPr>
      </w:pPr>
      <w:r>
        <w:rPr>
          <w:rFonts w:hint="eastAsia" w:ascii="宋体" w:hAnsi="宋体" w:cs="宋体"/>
          <w:b w:val="0"/>
          <w:bCs w:val="0"/>
          <w:szCs w:val="21"/>
          <w:highlight w:val="none"/>
        </w:rPr>
        <w:t>采购单位：</w:t>
      </w:r>
      <w:r>
        <w:rPr>
          <w:rFonts w:hint="eastAsia" w:ascii="宋体" w:hAnsi="宋体" w:cs="宋体"/>
          <w:iCs/>
          <w:szCs w:val="21"/>
          <w:highlight w:val="none"/>
          <w:u w:val="none"/>
          <w:lang w:val="en-US" w:eastAsia="zh-CN"/>
        </w:rPr>
        <w:t>长沙市轨道交通四号线建设发展有限公司</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地  址：长沙市劳动东路二段48号黄兴车辆段综合楼9楼910室</w:t>
      </w:r>
    </w:p>
    <w:p>
      <w:pPr>
        <w:adjustRightInd w:val="0"/>
        <w:snapToGri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联系人：</w:t>
      </w:r>
      <w:r>
        <w:rPr>
          <w:rFonts w:hint="eastAsia" w:ascii="宋体" w:hAnsi="宋体" w:cs="宋体"/>
          <w:bCs/>
          <w:szCs w:val="21"/>
          <w:highlight w:val="none"/>
          <w:lang w:eastAsia="zh-CN"/>
        </w:rPr>
        <w:t>奉女士</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电  话：</w:t>
      </w:r>
      <w:r>
        <w:rPr>
          <w:rFonts w:hint="eastAsia" w:ascii="宋体" w:hAnsi="宋体"/>
          <w:szCs w:val="21"/>
          <w:highlight w:val="none"/>
        </w:rPr>
        <w:t>0731-</w:t>
      </w:r>
      <w:r>
        <w:rPr>
          <w:rFonts w:hint="eastAsia" w:ascii="宋体" w:hAnsi="宋体" w:cs="宋体"/>
          <w:bCs/>
          <w:szCs w:val="21"/>
          <w:highlight w:val="none"/>
        </w:rPr>
        <w:t>86852347</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bCs/>
          <w:szCs w:val="21"/>
          <w:highlight w:val="none"/>
        </w:rPr>
        <w:t>监督举报电话：</w:t>
      </w:r>
      <w:r>
        <w:rPr>
          <w:rFonts w:hint="eastAsia" w:ascii="宋体" w:hAnsi="宋体"/>
          <w:szCs w:val="21"/>
          <w:highlight w:val="none"/>
        </w:rPr>
        <w:t>0731-</w:t>
      </w:r>
      <w:r>
        <w:rPr>
          <w:rFonts w:hint="eastAsia" w:ascii="宋体" w:hAnsi="宋体" w:cs="宋体"/>
          <w:szCs w:val="21"/>
          <w:highlight w:val="none"/>
        </w:rPr>
        <w:t>86852247</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联系人：文工</w:t>
      </w:r>
    </w:p>
    <w:p>
      <w:pPr>
        <w:spacing w:line="360" w:lineRule="auto"/>
        <w:ind w:firstLine="420" w:firstLineChars="200"/>
        <w:rPr>
          <w:rFonts w:hint="eastAsia" w:ascii="宋体" w:hAnsi="宋体" w:eastAsia="宋体" w:cs="宋体"/>
          <w:b w:val="0"/>
          <w:bCs w:val="0"/>
          <w:szCs w:val="21"/>
          <w:highlight w:val="none"/>
          <w:lang w:eastAsia="zh-CN"/>
        </w:rPr>
      </w:pPr>
      <w:r>
        <w:rPr>
          <w:rFonts w:hint="eastAsia" w:ascii="宋体" w:hAnsi="宋体" w:cs="宋体"/>
          <w:b w:val="0"/>
          <w:bCs w:val="0"/>
          <w:szCs w:val="21"/>
          <w:highlight w:val="none"/>
        </w:rPr>
        <w:t>采购代理机构：</w:t>
      </w:r>
      <w:r>
        <w:rPr>
          <w:rFonts w:hint="eastAsia" w:ascii="宋体" w:hAnsi="宋体" w:cs="宋体"/>
          <w:b w:val="0"/>
          <w:bCs w:val="0"/>
          <w:szCs w:val="21"/>
          <w:highlight w:val="none"/>
          <w:lang w:eastAsia="zh-CN" w:bidi="ar"/>
        </w:rPr>
        <w:t>湖南昊坤工程咨询有限公司</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联系电话：</w:t>
      </w:r>
      <w:r>
        <w:rPr>
          <w:rFonts w:hint="eastAsia" w:ascii="宋体" w:hAnsi="宋体" w:cs="宋体"/>
          <w:szCs w:val="21"/>
          <w:highlight w:val="none"/>
          <w:lang w:val="en-US" w:eastAsia="zh-CN"/>
        </w:rPr>
        <w:t>0731-86969178/18908469148</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联系人：</w:t>
      </w:r>
      <w:r>
        <w:rPr>
          <w:rFonts w:hint="eastAsia"/>
          <w:color w:val="000000"/>
          <w:szCs w:val="21"/>
          <w:highlight w:val="none"/>
          <w:lang w:eastAsia="zh-CN"/>
        </w:rPr>
        <w:t>王欢、李峰</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highlight w:val="none"/>
          <w:lang w:eastAsia="zh-CN"/>
        </w:rPr>
        <w:t>长沙市万家丽北路星雅美辰1号栋（山东商会大厦）8楼</w:t>
      </w:r>
    </w:p>
    <w:p>
      <w:pPr>
        <w:pStyle w:val="25"/>
        <w:adjustRightInd w:val="0"/>
        <w:snapToGrid w:val="0"/>
        <w:jc w:val="right"/>
        <w:rPr>
          <w:rFonts w:hint="eastAsia" w:hAnsi="宋体" w:cs="宋体"/>
          <w:highlight w:val="none"/>
        </w:rPr>
      </w:pPr>
    </w:p>
    <w:p>
      <w:pPr>
        <w:pStyle w:val="25"/>
        <w:adjustRightInd w:val="0"/>
        <w:snapToGrid w:val="0"/>
        <w:jc w:val="right"/>
        <w:rPr>
          <w:rFonts w:hAnsi="宋体" w:cs="宋体"/>
          <w:highlight w:val="none"/>
        </w:rPr>
      </w:pPr>
      <w:r>
        <w:rPr>
          <w:rFonts w:hint="eastAsia" w:hAnsi="宋体" w:cs="宋体"/>
          <w:highlight w:val="none"/>
        </w:rPr>
        <w:t>2022年</w:t>
      </w:r>
      <w:r>
        <w:rPr>
          <w:rFonts w:hint="eastAsia" w:hAnsi="宋体" w:cs="宋体"/>
          <w:highlight w:val="none"/>
          <w:u w:val="single"/>
          <w:lang w:val="en-US" w:eastAsia="zh-CN"/>
        </w:rPr>
        <w:t>4</w:t>
      </w:r>
      <w:r>
        <w:rPr>
          <w:rFonts w:hint="eastAsia" w:hAnsi="宋体" w:cs="宋体"/>
          <w:highlight w:val="none"/>
        </w:rPr>
        <w:t>月</w:t>
      </w:r>
      <w:r>
        <w:rPr>
          <w:rFonts w:hint="eastAsia" w:hAnsi="宋体" w:cs="宋体"/>
          <w:highlight w:val="none"/>
          <w:u w:val="single"/>
          <w:lang w:val="en-US" w:eastAsia="zh-CN"/>
        </w:rPr>
        <w:t>28</w:t>
      </w:r>
      <w:r>
        <w:rPr>
          <w:rFonts w:hint="eastAsia" w:hAnsi="宋体" w:cs="宋体"/>
          <w:highlight w:val="none"/>
        </w:rPr>
        <w:t>日</w:t>
      </w:r>
    </w:p>
    <w:p>
      <w:pPr>
        <w:pStyle w:val="25"/>
        <w:adjustRightInd w:val="0"/>
        <w:snapToGrid w:val="0"/>
        <w:spacing w:line="360" w:lineRule="auto"/>
        <w:jc w:val="right"/>
        <w:rPr>
          <w:rFonts w:hAnsi="宋体"/>
          <w:highlight w:val="none"/>
        </w:rPr>
      </w:pPr>
    </w:p>
    <w:p>
      <w:pPr>
        <w:pStyle w:val="3"/>
        <w:keepNext w:val="0"/>
        <w:spacing w:after="240"/>
        <w:rPr>
          <w:rFonts w:ascii="黑体" w:hAnsi="黑体" w:eastAsia="黑体"/>
          <w:bCs w:val="0"/>
          <w:sz w:val="32"/>
          <w:szCs w:val="32"/>
          <w:highlight w:val="none"/>
        </w:rPr>
      </w:pPr>
      <w:r>
        <w:rPr>
          <w:rFonts w:ascii="黑体" w:hAnsi="黑体" w:eastAsia="黑体"/>
          <w:b w:val="0"/>
          <w:bCs w:val="0"/>
          <w:sz w:val="32"/>
          <w:szCs w:val="32"/>
          <w:highlight w:val="none"/>
        </w:rPr>
        <w:br w:type="page"/>
      </w:r>
      <w:bookmarkStart w:id="6" w:name="_Toc6753"/>
      <w:bookmarkStart w:id="7" w:name="_Toc10689"/>
      <w:bookmarkStart w:id="8" w:name="_Toc5145"/>
      <w:bookmarkStart w:id="9" w:name="_Toc8914"/>
      <w:bookmarkStart w:id="10" w:name="_Toc14891065"/>
      <w:r>
        <w:rPr>
          <w:rFonts w:hint="eastAsia" w:ascii="宋体" w:hAnsi="宋体" w:cs="宋体"/>
          <w:sz w:val="32"/>
          <w:szCs w:val="32"/>
          <w:highlight w:val="none"/>
        </w:rPr>
        <w:t>第二章  谈判须知</w:t>
      </w:r>
      <w:bookmarkEnd w:id="6"/>
      <w:bookmarkEnd w:id="7"/>
      <w:bookmarkEnd w:id="8"/>
      <w:bookmarkEnd w:id="9"/>
      <w:bookmarkEnd w:id="10"/>
    </w:p>
    <w:p>
      <w:pPr>
        <w:pStyle w:val="4"/>
        <w:keepNext w:val="0"/>
        <w:keepLines w:val="0"/>
        <w:jc w:val="center"/>
        <w:rPr>
          <w:rFonts w:ascii="宋体" w:hAnsi="宋体" w:cs="宋体"/>
          <w:sz w:val="32"/>
          <w:highlight w:val="none"/>
        </w:rPr>
      </w:pPr>
      <w:bookmarkStart w:id="11" w:name="_Toc12384"/>
      <w:bookmarkStart w:id="12" w:name="_Toc5430"/>
      <w:bookmarkStart w:id="13" w:name="_Toc9591"/>
      <w:bookmarkStart w:id="14" w:name="_Toc6617"/>
      <w:bookmarkStart w:id="15" w:name="_Toc14891066"/>
      <w:r>
        <w:rPr>
          <w:rFonts w:hint="eastAsia" w:ascii="宋体" w:hAnsi="宋体" w:cs="宋体"/>
          <w:sz w:val="32"/>
          <w:highlight w:val="none"/>
        </w:rPr>
        <w:t>谈判须知前附表</w:t>
      </w:r>
      <w:bookmarkEnd w:id="11"/>
      <w:bookmarkEnd w:id="12"/>
      <w:bookmarkEnd w:id="13"/>
      <w:bookmarkEnd w:id="14"/>
      <w:bookmarkEnd w:id="15"/>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7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名  称</w:t>
            </w:r>
          </w:p>
        </w:tc>
        <w:tc>
          <w:tcPr>
            <w:tcW w:w="7709"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采购项目</w:t>
            </w:r>
          </w:p>
        </w:tc>
        <w:tc>
          <w:tcPr>
            <w:tcW w:w="7709" w:type="dxa"/>
            <w:vAlign w:val="center"/>
          </w:tcPr>
          <w:p>
            <w:pPr>
              <w:pStyle w:val="25"/>
              <w:adjustRightInd w:val="0"/>
              <w:snapToGrid w:val="0"/>
              <w:spacing w:line="360" w:lineRule="auto"/>
              <w:rPr>
                <w:rFonts w:ascii="宋体" w:hAnsi="宋体" w:cs="宋体"/>
                <w:szCs w:val="21"/>
                <w:highlight w:val="none"/>
              </w:rPr>
            </w:pPr>
            <w:r>
              <w:rPr>
                <w:rFonts w:hint="eastAsia" w:hAnsi="宋体" w:cs="宋体"/>
                <w:iCs/>
                <w:szCs w:val="21"/>
                <w:highlight w:val="none"/>
                <w:lang w:val="en-US" w:eastAsia="zh-CN"/>
              </w:rPr>
              <w:t>长沙市轨道交通4号线运营期2022年交通运输行业安全生产责任保险服务项目（第二次）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采购单位</w:t>
            </w:r>
          </w:p>
        </w:tc>
        <w:tc>
          <w:tcPr>
            <w:tcW w:w="7709" w:type="dxa"/>
            <w:vAlign w:val="center"/>
          </w:tcPr>
          <w:p>
            <w:pPr>
              <w:adjustRightInd w:val="0"/>
              <w:snapToGrid w:val="0"/>
              <w:spacing w:line="360" w:lineRule="auto"/>
              <w:jc w:val="left"/>
              <w:rPr>
                <w:rFonts w:ascii="宋体" w:hAnsi="宋体" w:cs="宋体"/>
                <w:iCs/>
                <w:szCs w:val="21"/>
                <w:highlight w:val="none"/>
              </w:rPr>
            </w:pPr>
            <w:r>
              <w:rPr>
                <w:rFonts w:hint="eastAsia" w:ascii="宋体" w:hAnsi="宋体" w:cs="宋体"/>
                <w:iCs/>
                <w:szCs w:val="21"/>
                <w:highlight w:val="none"/>
                <w:lang w:val="en-US" w:eastAsia="zh-CN"/>
              </w:rPr>
              <w:t>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采购代理机构</w:t>
            </w:r>
          </w:p>
        </w:tc>
        <w:tc>
          <w:tcPr>
            <w:tcW w:w="7709" w:type="dxa"/>
            <w:vAlign w:val="center"/>
          </w:tcPr>
          <w:p>
            <w:pPr>
              <w:adjustRightInd w:val="0"/>
              <w:snapToGrid w:val="0"/>
              <w:spacing w:line="360" w:lineRule="auto"/>
              <w:jc w:val="left"/>
              <w:rPr>
                <w:rFonts w:ascii="宋体" w:hAnsi="宋体" w:cs="宋体"/>
                <w:iCs/>
                <w:szCs w:val="21"/>
                <w:highlight w:val="none"/>
              </w:rPr>
            </w:pPr>
            <w:r>
              <w:rPr>
                <w:rFonts w:hint="eastAsia" w:ascii="宋体" w:hAnsi="宋体" w:cs="宋体"/>
                <w:iCs/>
                <w:szCs w:val="21"/>
                <w:highlight w:val="none"/>
                <w:lang w:val="en-US" w:eastAsia="zh-CN"/>
              </w:rPr>
              <w:t>湖南昊坤工程咨询有限公司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3" w:type="dxa"/>
            <w:vAlign w:val="center"/>
          </w:tcPr>
          <w:p>
            <w:pPr>
              <w:adjustRightInd w:val="0"/>
              <w:snapToGrid w:val="0"/>
              <w:spacing w:line="360" w:lineRule="auto"/>
              <w:jc w:val="center"/>
              <w:rPr>
                <w:rFonts w:ascii="宋体" w:hAnsi="宋体" w:cs="宋体"/>
                <w:b/>
                <w:color w:val="FF0000"/>
                <w:szCs w:val="21"/>
                <w:highlight w:val="none"/>
              </w:rPr>
            </w:pPr>
            <w:r>
              <w:rPr>
                <w:rFonts w:hint="eastAsia" w:ascii="宋体" w:hAnsi="宋体" w:cs="宋体"/>
                <w:b/>
                <w:szCs w:val="21"/>
                <w:highlight w:val="none"/>
              </w:rPr>
              <w:t>最高限价</w:t>
            </w:r>
          </w:p>
        </w:tc>
        <w:tc>
          <w:tcPr>
            <w:tcW w:w="7709" w:type="dxa"/>
            <w:vAlign w:val="center"/>
          </w:tcPr>
          <w:p>
            <w:pPr>
              <w:keepNext w:val="0"/>
              <w:keepLines w:val="0"/>
              <w:widowControl/>
              <w:suppressLineNumbers w:val="0"/>
              <w:jc w:val="left"/>
              <w:rPr>
                <w:rFonts w:ascii="宋体" w:hAnsi="宋体" w:cs="宋体"/>
                <w:iCs/>
                <w:color w:val="FF0000"/>
                <w:szCs w:val="21"/>
                <w:highlight w:val="none"/>
              </w:rPr>
            </w:pPr>
            <w:r>
              <w:rPr>
                <w:rFonts w:hint="eastAsia" w:ascii="宋体" w:hAnsi="宋体" w:cs="宋体"/>
                <w:szCs w:val="21"/>
                <w:highlight w:val="none"/>
                <w:lang w:val="en-US" w:eastAsia="zh-CN"/>
              </w:rPr>
              <w:t>814060.00元</w:t>
            </w:r>
            <w:r>
              <w:rPr>
                <w:rFonts w:hint="eastAsia" w:ascii="宋体" w:hAnsi="宋体" w:cs="宋体"/>
                <w:szCs w:val="21"/>
                <w:highlight w:val="none"/>
              </w:rPr>
              <w:t>，不超过最高限价的谈判总报价为有效报价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评审办法</w:t>
            </w:r>
          </w:p>
        </w:tc>
        <w:tc>
          <w:tcPr>
            <w:tcW w:w="7709" w:type="dxa"/>
            <w:vAlign w:val="center"/>
          </w:tcPr>
          <w:p>
            <w:pPr>
              <w:adjustRightInd w:val="0"/>
              <w:snapToGrid w:val="0"/>
              <w:spacing w:line="360" w:lineRule="auto"/>
              <w:jc w:val="left"/>
              <w:rPr>
                <w:rFonts w:ascii="宋体" w:hAnsi="宋体" w:cs="宋体"/>
                <w:iCs/>
                <w:color w:val="FF0000"/>
                <w:szCs w:val="21"/>
                <w:highlight w:val="none"/>
              </w:rPr>
            </w:pPr>
            <w:r>
              <w:rPr>
                <w:rFonts w:hint="eastAsia" w:ascii="宋体" w:hAnsi="宋体" w:cs="宋体"/>
                <w:bCs/>
                <w:szCs w:val="21"/>
                <w:highlight w:val="none"/>
              </w:rPr>
              <w:t>经符合性审查合格后的最低价法</w:t>
            </w:r>
            <w:r>
              <w:rPr>
                <w:rFonts w:ascii="宋体" w:hAnsi="宋体" w:cs="宋体"/>
                <w:iCs/>
                <w:color w:val="FF0000"/>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资格要求</w:t>
            </w:r>
          </w:p>
        </w:tc>
        <w:tc>
          <w:tcPr>
            <w:tcW w:w="7709" w:type="dxa"/>
            <w:vAlign w:val="center"/>
          </w:tcPr>
          <w:p>
            <w:pPr>
              <w:spacing w:line="360" w:lineRule="auto"/>
              <w:jc w:val="left"/>
              <w:rPr>
                <w:rFonts w:ascii="宋体" w:hAnsi="宋体" w:cs="宋体"/>
                <w:highlight w:val="none"/>
              </w:rPr>
            </w:pPr>
            <w:r>
              <w:rPr>
                <w:rFonts w:hint="eastAsia" w:ascii="宋体" w:hAnsi="宋体" w:cs="宋体"/>
                <w:highlight w:val="none"/>
              </w:rPr>
              <w:t>1.本项目接受总公司或由总公司授权的湖南省级分公司直接参与响应。</w:t>
            </w:r>
          </w:p>
          <w:p>
            <w:pPr>
              <w:spacing w:line="360" w:lineRule="auto"/>
              <w:jc w:val="left"/>
              <w:rPr>
                <w:rFonts w:ascii="宋体" w:hAnsi="宋体" w:cs="宋体"/>
                <w:highlight w:val="none"/>
              </w:rPr>
            </w:pPr>
            <w:r>
              <w:rPr>
                <w:rFonts w:hint="eastAsia" w:ascii="宋体" w:hAnsi="宋体" w:cs="宋体"/>
                <w:highlight w:val="none"/>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w:t>
            </w:r>
            <w:r>
              <w:rPr>
                <w:rFonts w:hint="eastAsia" w:ascii="宋体" w:hAnsi="宋体" w:cs="宋体"/>
                <w:iCs/>
                <w:kern w:val="2"/>
                <w:sz w:val="21"/>
                <w:szCs w:val="21"/>
                <w:highlight w:val="none"/>
                <w:lang w:val="en-US" w:eastAsia="zh-CN" w:bidi="ar-SA"/>
              </w:rPr>
              <w:t>（或</w:t>
            </w:r>
            <w:r>
              <w:rPr>
                <w:rFonts w:hint="eastAsia" w:ascii="宋体" w:hAnsi="宋体" w:eastAsia="宋体" w:cs="宋体"/>
                <w:iCs/>
                <w:kern w:val="2"/>
                <w:sz w:val="21"/>
                <w:szCs w:val="21"/>
                <w:highlight w:val="none"/>
                <w:lang w:val="en-US" w:eastAsia="zh-CN" w:bidi="ar-SA"/>
              </w:rPr>
              <w:t>《保险许可证》</w:t>
            </w:r>
            <w:r>
              <w:rPr>
                <w:rFonts w:hint="eastAsia" w:ascii="宋体" w:hAnsi="宋体" w:cs="宋体"/>
                <w:iCs/>
                <w:kern w:val="2"/>
                <w:sz w:val="21"/>
                <w:szCs w:val="21"/>
                <w:highlight w:val="none"/>
                <w:lang w:val="en-US" w:eastAsia="zh-CN" w:bidi="ar-SA"/>
              </w:rPr>
              <w:t>）</w:t>
            </w:r>
            <w:r>
              <w:rPr>
                <w:rFonts w:hint="eastAsia" w:ascii="宋体" w:hAnsi="宋体" w:cs="宋体"/>
                <w:highlight w:val="none"/>
              </w:rPr>
              <w:t>及《营业执照》（副本）。</w:t>
            </w:r>
          </w:p>
          <w:p>
            <w:pPr>
              <w:spacing w:line="360" w:lineRule="auto"/>
              <w:jc w:val="left"/>
              <w:rPr>
                <w:rFonts w:ascii="宋体" w:hAnsi="宋体" w:cs="宋体"/>
                <w:highlight w:val="none"/>
              </w:rPr>
            </w:pPr>
            <w:r>
              <w:rPr>
                <w:rFonts w:hint="eastAsia" w:ascii="宋体" w:hAnsi="宋体" w:cs="宋体"/>
                <w:highlight w:val="none"/>
              </w:rPr>
              <w:t>(2)若为湖南省级分公司（即本项目的服务机构）参与谈判的，须提供其总公司授权委托书及其总公司《保险许可证》或《保险公司法人许可证》，且满足上述第（1）条中“本项目的服务机构”资格要求。</w:t>
            </w:r>
          </w:p>
          <w:p>
            <w:pPr>
              <w:spacing w:line="360" w:lineRule="auto"/>
              <w:jc w:val="left"/>
              <w:rPr>
                <w:rFonts w:ascii="宋体" w:hAnsi="宋体" w:cs="宋体"/>
                <w:highlight w:val="none"/>
              </w:rPr>
            </w:pPr>
            <w:r>
              <w:rPr>
                <w:rFonts w:hint="eastAsia" w:ascii="宋体" w:hAnsi="宋体" w:cs="宋体"/>
                <w:highlight w:val="none"/>
              </w:rPr>
              <w:t>2.拟任项目负责人须为湖南省级分公司副总经理（含）以上级别，须提供省级(含）以上国家保险监督管理部门对该项目负责人的任职资格核准文件及</w:t>
            </w:r>
            <w:r>
              <w:rPr>
                <w:rFonts w:hint="eastAsia"/>
                <w:highlight w:val="none"/>
              </w:rPr>
              <w:t>谈判单位</w:t>
            </w:r>
            <w:r>
              <w:rPr>
                <w:rFonts w:hint="eastAsia" w:ascii="宋体" w:hAnsi="宋体" w:cs="宋体"/>
                <w:highlight w:val="none"/>
              </w:rPr>
              <w:t>对该项目负责人的任命文件。</w:t>
            </w:r>
          </w:p>
          <w:p>
            <w:pPr>
              <w:spacing w:line="360" w:lineRule="auto"/>
              <w:jc w:val="left"/>
              <w:rPr>
                <w:rFonts w:hint="eastAsia" w:ascii="宋体" w:hAnsi="宋体" w:cs="宋体"/>
                <w:highlight w:val="none"/>
              </w:rPr>
            </w:pPr>
            <w:r>
              <w:rPr>
                <w:rFonts w:hint="eastAsia" w:ascii="宋体" w:hAnsi="宋体" w:cs="宋体"/>
                <w:highlight w:val="none"/>
              </w:rPr>
              <w:t>3.保险总公司（法人机构）2021年第四季度末综合偿付能力充足率不低于200%、偿二代报表报送管理系统发出的风险综合评级为</w:t>
            </w:r>
            <w:r>
              <w:rPr>
                <w:rFonts w:hint="eastAsia" w:ascii="宋体" w:hAnsi="宋体" w:cs="宋体"/>
                <w:highlight w:val="none"/>
                <w:lang w:val="en-US" w:eastAsia="zh-CN"/>
              </w:rPr>
              <w:t>B</w:t>
            </w:r>
            <w:r>
              <w:rPr>
                <w:rFonts w:hint="eastAsia" w:ascii="宋体" w:hAnsi="宋体" w:cs="宋体"/>
                <w:highlight w:val="none"/>
              </w:rPr>
              <w:t>类</w:t>
            </w:r>
            <w:r>
              <w:rPr>
                <w:rFonts w:hint="eastAsia" w:ascii="宋体" w:hAnsi="宋体" w:cs="宋体"/>
                <w:highlight w:val="none"/>
                <w:lang w:eastAsia="zh-CN"/>
              </w:rPr>
              <w:t>及以上</w:t>
            </w:r>
            <w:r>
              <w:rPr>
                <w:rFonts w:hint="eastAsia" w:ascii="宋体" w:hAnsi="宋体" w:cs="宋体"/>
                <w:highlight w:val="none"/>
              </w:rPr>
              <w:t>。</w:t>
            </w:r>
          </w:p>
          <w:p>
            <w:pPr>
              <w:spacing w:line="360" w:lineRule="auto"/>
              <w:jc w:val="left"/>
              <w:rPr>
                <w:rFonts w:hint="eastAsia" w:ascii="宋体" w:hAnsi="宋体" w:cs="宋体"/>
                <w:highlight w:val="none"/>
              </w:rPr>
            </w:pPr>
            <w:r>
              <w:rPr>
                <w:rFonts w:hint="eastAsia" w:ascii="宋体" w:hAnsi="宋体" w:cs="宋体"/>
                <w:highlight w:val="none"/>
              </w:rPr>
              <w:t>4.本项目不接受联合体形式参与谈判。</w:t>
            </w:r>
          </w:p>
          <w:p>
            <w:pPr>
              <w:spacing w:line="360" w:lineRule="auto"/>
              <w:jc w:val="left"/>
              <w:rPr>
                <w:rFonts w:ascii="宋体" w:hAnsi="宋体" w:cs="宋体"/>
                <w:color w:val="000000"/>
                <w:szCs w:val="21"/>
                <w:highlight w:val="none"/>
              </w:rPr>
            </w:pPr>
            <w:r>
              <w:rPr>
                <w:rFonts w:hint="eastAsia" w:ascii="宋体" w:hAnsi="宋体" w:cs="宋体"/>
                <w:highlight w:val="none"/>
              </w:rPr>
              <w:t>5.被长沙市轨道交通集团有限公司及长沙市轨道交通运营有限公司函告禁止在一定期限内参与投标的单位按函告内容执行。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谈判答疑文件递交截止时间</w:t>
            </w:r>
          </w:p>
        </w:tc>
        <w:tc>
          <w:tcPr>
            <w:tcW w:w="7709" w:type="dxa"/>
            <w:vAlign w:val="center"/>
          </w:tcPr>
          <w:p>
            <w:pPr>
              <w:pStyle w:val="25"/>
              <w:adjustRightInd w:val="0"/>
              <w:snapToGrid w:val="0"/>
              <w:spacing w:line="360" w:lineRule="auto"/>
              <w:rPr>
                <w:rFonts w:hAnsi="宋体" w:cs="宋体"/>
                <w:color w:val="000000"/>
                <w:highlight w:val="none"/>
              </w:rPr>
            </w:pPr>
            <w:r>
              <w:rPr>
                <w:rFonts w:hint="eastAsia" w:hAnsi="宋体" w:cs="宋体"/>
                <w:highlight w:val="none"/>
              </w:rPr>
              <w:t>20</w:t>
            </w:r>
            <w:r>
              <w:rPr>
                <w:rFonts w:hint="eastAsia" w:hAnsi="宋体" w:cs="宋体"/>
                <w:highlight w:val="none"/>
                <w:lang w:val="en-US" w:eastAsia="zh-CN"/>
              </w:rPr>
              <w:t>22</w:t>
            </w:r>
            <w:r>
              <w:rPr>
                <w:rFonts w:hint="eastAsia" w:hAnsi="宋体" w:cs="宋体"/>
                <w:highlight w:val="none"/>
              </w:rPr>
              <w:t>年</w:t>
            </w:r>
            <w:r>
              <w:rPr>
                <w:rFonts w:hint="eastAsia" w:hAnsi="宋体" w:cs="宋体"/>
                <w:highlight w:val="none"/>
                <w:u w:val="single"/>
                <w:lang w:val="en-US" w:eastAsia="zh-CN"/>
              </w:rPr>
              <w:t>5</w:t>
            </w:r>
            <w:r>
              <w:rPr>
                <w:rFonts w:hint="eastAsia" w:hAnsi="宋体" w:cs="宋体"/>
                <w:highlight w:val="none"/>
              </w:rPr>
              <w:t>月</w:t>
            </w:r>
            <w:r>
              <w:rPr>
                <w:rFonts w:hint="eastAsia" w:hAnsi="宋体" w:cs="宋体"/>
                <w:highlight w:val="none"/>
                <w:u w:val="single"/>
                <w:lang w:val="en-US" w:eastAsia="zh-CN"/>
              </w:rPr>
              <w:t>9</w:t>
            </w:r>
            <w:r>
              <w:rPr>
                <w:rFonts w:hint="eastAsia" w:hAnsi="宋体" w:cs="宋体"/>
                <w:highlight w:val="none"/>
              </w:rPr>
              <w:t>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谈判答疑文件递交方式及地点</w:t>
            </w:r>
          </w:p>
        </w:tc>
        <w:tc>
          <w:tcPr>
            <w:tcW w:w="7709" w:type="dxa"/>
            <w:vAlign w:val="center"/>
          </w:tcPr>
          <w:p>
            <w:pPr>
              <w:pStyle w:val="25"/>
              <w:adjustRightInd w:val="0"/>
              <w:snapToGrid w:val="0"/>
              <w:spacing w:line="360" w:lineRule="auto"/>
              <w:rPr>
                <w:rFonts w:hAnsi="宋体" w:cs="宋体"/>
                <w:iCs/>
                <w:color w:val="FF0000"/>
                <w:highlight w:val="none"/>
              </w:rPr>
            </w:pPr>
            <w:r>
              <w:rPr>
                <w:rFonts w:hint="eastAsia" w:hAnsi="宋体" w:cs="宋体"/>
                <w:highlight w:val="none"/>
              </w:rPr>
              <w:t>谈判答疑文件应以书面形式递交至</w:t>
            </w:r>
            <w:r>
              <w:rPr>
                <w:rFonts w:hint="eastAsia" w:hAnsi="宋体" w:cs="宋体"/>
                <w:highlight w:val="none"/>
                <w:lang w:eastAsia="zh-CN"/>
              </w:rPr>
              <w:t>湖南昊坤工程咨询有限公司（</w:t>
            </w:r>
            <w:r>
              <w:rPr>
                <w:rFonts w:hint="eastAsia" w:hAnsi="宋体" w:cs="宋体"/>
                <w:highlight w:val="none"/>
              </w:rPr>
              <w:t>地址：</w:t>
            </w:r>
            <w:r>
              <w:rPr>
                <w:rFonts w:hint="eastAsia" w:hAnsi="宋体" w:cs="宋体"/>
                <w:highlight w:val="none"/>
                <w:lang w:eastAsia="zh-CN"/>
              </w:rPr>
              <w:t>长沙市万家丽北路星雅美辰1号栋（山东商会大厦）8楼）</w:t>
            </w:r>
            <w:r>
              <w:rPr>
                <w:rFonts w:hint="eastAsia" w:hAnsi="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响应文件的递交截止及谈判时间</w:t>
            </w:r>
          </w:p>
        </w:tc>
        <w:tc>
          <w:tcPr>
            <w:tcW w:w="7709"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u w:val="single"/>
                <w:lang w:val="en-US" w:eastAsia="zh-CN"/>
              </w:rPr>
              <w:t>5月16日</w:t>
            </w:r>
            <w:r>
              <w:rPr>
                <w:rFonts w:hint="eastAsia" w:ascii="宋体" w:hAnsi="宋体" w:cs="宋体"/>
                <w:szCs w:val="21"/>
                <w:highlight w:val="none"/>
              </w:rPr>
              <w:t xml:space="preserve"> 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响应文件的递交及谈判地点</w:t>
            </w:r>
          </w:p>
        </w:tc>
        <w:tc>
          <w:tcPr>
            <w:tcW w:w="7709"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bCs/>
                <w:szCs w:val="21"/>
                <w:highlight w:val="none"/>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谈判现场验证须提交的资料</w:t>
            </w:r>
          </w:p>
        </w:tc>
        <w:tc>
          <w:tcPr>
            <w:tcW w:w="7709" w:type="dxa"/>
            <w:vAlign w:val="center"/>
          </w:tcPr>
          <w:p>
            <w:pPr>
              <w:adjustRightInd w:val="0"/>
              <w:snapToGrid w:val="0"/>
              <w:spacing w:line="360" w:lineRule="auto"/>
              <w:jc w:val="left"/>
              <w:rPr>
                <w:rFonts w:ascii="宋体" w:hAnsi="宋体" w:cs="宋体"/>
                <w:color w:val="FF0000"/>
                <w:szCs w:val="21"/>
                <w:highlight w:val="none"/>
              </w:rPr>
            </w:pPr>
            <w:r>
              <w:rPr>
                <w:rFonts w:hint="eastAsia" w:ascii="宋体" w:hAnsi="宋体" w:cs="宋体"/>
                <w:iCs/>
                <w:szCs w:val="21"/>
                <w:highlight w:val="none"/>
              </w:rPr>
              <w:t>1.谈判单位代表是谈判单位法定代表人参加的，法定代表人须提供法定代表人身份证明书原件</w:t>
            </w:r>
            <w:r>
              <w:rPr>
                <w:rFonts w:hint="eastAsia" w:ascii="宋体" w:hAnsi="宋体" w:cs="宋体"/>
                <w:b/>
                <w:bCs/>
                <w:iCs/>
                <w:szCs w:val="21"/>
                <w:highlight w:val="none"/>
              </w:rPr>
              <w:t>（格式详见本文件第六章）</w:t>
            </w:r>
            <w:r>
              <w:rPr>
                <w:rFonts w:hint="eastAsia" w:ascii="宋体" w:hAnsi="宋体" w:cs="宋体"/>
                <w:szCs w:val="21"/>
                <w:highlight w:val="none"/>
              </w:rPr>
              <w:t>及本人身份证原件。</w:t>
            </w:r>
          </w:p>
          <w:p>
            <w:pPr>
              <w:adjustRightInd w:val="0"/>
              <w:snapToGrid w:val="0"/>
              <w:spacing w:line="360" w:lineRule="auto"/>
              <w:jc w:val="left"/>
              <w:rPr>
                <w:rFonts w:ascii="宋体" w:hAnsi="宋体" w:cs="宋体"/>
                <w:iCs/>
                <w:szCs w:val="21"/>
                <w:highlight w:val="none"/>
              </w:rPr>
            </w:pPr>
            <w:r>
              <w:rPr>
                <w:rFonts w:hint="eastAsia" w:ascii="宋体" w:hAnsi="宋体" w:cs="宋体"/>
                <w:szCs w:val="21"/>
                <w:highlight w:val="none"/>
              </w:rPr>
              <w:t>2.谈判单位代表是由谈判单位法定代表人授权的委托代理人参加的，其授权委托代理人须提供授权委托书原件</w:t>
            </w:r>
            <w:r>
              <w:rPr>
                <w:rFonts w:hint="eastAsia" w:ascii="宋体" w:hAnsi="宋体" w:cs="宋体"/>
                <w:b/>
                <w:szCs w:val="21"/>
                <w:highlight w:val="none"/>
              </w:rPr>
              <w:t>（格式详见本文件</w:t>
            </w:r>
            <w:r>
              <w:rPr>
                <w:rFonts w:hint="eastAsia" w:ascii="宋体" w:hAnsi="宋体" w:cs="宋体"/>
                <w:b/>
                <w:bCs/>
                <w:iCs/>
                <w:szCs w:val="21"/>
                <w:highlight w:val="none"/>
              </w:rPr>
              <w:t>第六章</w:t>
            </w:r>
            <w:r>
              <w:rPr>
                <w:rFonts w:hint="eastAsia" w:ascii="宋体" w:hAnsi="宋体" w:cs="宋体"/>
                <w:b/>
                <w:szCs w:val="21"/>
                <w:highlight w:val="none"/>
              </w:rPr>
              <w:t>）</w:t>
            </w:r>
            <w:r>
              <w:rPr>
                <w:rFonts w:hint="eastAsia" w:ascii="宋体" w:hAnsi="宋体" w:cs="宋体"/>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响应文件有效期</w:t>
            </w:r>
          </w:p>
        </w:tc>
        <w:tc>
          <w:tcPr>
            <w:tcW w:w="7709"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响应文件份数</w:t>
            </w:r>
          </w:p>
        </w:tc>
        <w:tc>
          <w:tcPr>
            <w:tcW w:w="7709" w:type="dxa"/>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价格承包内容</w:t>
            </w:r>
          </w:p>
        </w:tc>
        <w:tc>
          <w:tcPr>
            <w:tcW w:w="7709" w:type="dxa"/>
            <w:vAlign w:val="center"/>
          </w:tcPr>
          <w:p>
            <w:pPr>
              <w:adjustRightInd w:val="0"/>
              <w:snapToGrid w:val="0"/>
              <w:spacing w:line="360" w:lineRule="auto"/>
              <w:jc w:val="left"/>
              <w:rPr>
                <w:rFonts w:ascii="宋体" w:hAnsi="宋体" w:cs="宋体"/>
                <w:bCs/>
                <w:highlight w:val="none"/>
              </w:rPr>
            </w:pPr>
            <w:r>
              <w:rPr>
                <w:rFonts w:hint="eastAsia" w:ascii="宋体" w:hAnsi="宋体" w:cs="宋体"/>
                <w:bCs/>
                <w:highlight w:val="none"/>
              </w:rPr>
              <w:t>1.暂定保险费为含增值税价</w:t>
            </w:r>
            <w:r>
              <w:rPr>
                <w:rFonts w:ascii="宋体" w:hAnsi="宋体" w:cs="宋体"/>
                <w:bCs/>
                <w:highlight w:val="none"/>
              </w:rPr>
              <w:t>，金额为人民币（大写）</w:t>
            </w:r>
            <w:r>
              <w:rPr>
                <w:rFonts w:hint="eastAsia" w:ascii="宋体" w:hAnsi="宋体" w:cs="宋体"/>
                <w:bCs/>
                <w:highlight w:val="none"/>
                <w:u w:val="single"/>
              </w:rPr>
              <w:t xml:space="preserve">      </w:t>
            </w:r>
            <w:r>
              <w:rPr>
                <w:rFonts w:ascii="宋体" w:hAnsi="宋体" w:cs="宋体"/>
                <w:bCs/>
                <w:highlight w:val="none"/>
              </w:rPr>
              <w:t>（¥</w:t>
            </w:r>
            <w:r>
              <w:rPr>
                <w:rFonts w:hint="eastAsia" w:ascii="宋体" w:hAnsi="宋体" w:cs="宋体"/>
                <w:bCs/>
                <w:highlight w:val="none"/>
              </w:rPr>
              <w:t xml:space="preserve"> </w:t>
            </w:r>
            <w:r>
              <w:rPr>
                <w:rFonts w:hint="eastAsia" w:ascii="宋体" w:hAnsi="宋体" w:cs="宋体"/>
                <w:bCs/>
                <w:highlight w:val="none"/>
                <w:u w:val="single"/>
              </w:rPr>
              <w:t xml:space="preserve">     </w:t>
            </w:r>
            <w:r>
              <w:rPr>
                <w:rFonts w:ascii="宋体" w:hAnsi="宋体" w:cs="宋体"/>
                <w:bCs/>
                <w:highlight w:val="none"/>
              </w:rPr>
              <w:t>），其中，不含增值税暂定保险费为¥</w:t>
            </w:r>
            <w:r>
              <w:rPr>
                <w:rFonts w:hint="eastAsia" w:ascii="宋体" w:hAnsi="宋体" w:cs="宋体"/>
                <w:bCs/>
                <w:highlight w:val="none"/>
                <w:u w:val="single"/>
              </w:rPr>
              <w:t xml:space="preserve">      </w:t>
            </w:r>
            <w:r>
              <w:rPr>
                <w:rFonts w:ascii="宋体" w:hAnsi="宋体" w:cs="宋体"/>
                <w:bCs/>
                <w:highlight w:val="none"/>
              </w:rPr>
              <w:t>、暂定保险费中的增值税为¥</w:t>
            </w:r>
            <w:r>
              <w:rPr>
                <w:rFonts w:hint="eastAsia" w:ascii="宋体" w:hAnsi="宋体" w:cs="宋体"/>
                <w:bCs/>
                <w:highlight w:val="none"/>
                <w:u w:val="single"/>
              </w:rPr>
              <w:t xml:space="preserve">      </w:t>
            </w:r>
            <w:r>
              <w:rPr>
                <w:rFonts w:ascii="宋体" w:hAnsi="宋体" w:cs="宋体"/>
                <w:bCs/>
                <w:highlight w:val="none"/>
              </w:rPr>
              <w:t>。</w:t>
            </w:r>
            <w:r>
              <w:rPr>
                <w:rFonts w:hint="eastAsia" w:ascii="宋体" w:hAnsi="宋体" w:cs="宋体"/>
                <w:bCs/>
                <w:highlight w:val="none"/>
              </w:rPr>
              <w:t>增值税根据承保人提供给投保人的增值税专用发票中的税额据实支付和结算。</w:t>
            </w:r>
          </w:p>
          <w:p>
            <w:pPr>
              <w:adjustRightInd w:val="0"/>
              <w:snapToGrid w:val="0"/>
              <w:spacing w:line="360" w:lineRule="auto"/>
              <w:rPr>
                <w:rFonts w:ascii="宋体" w:hAnsi="宋体" w:cs="宋体"/>
                <w:szCs w:val="21"/>
                <w:highlight w:val="none"/>
              </w:rPr>
            </w:pPr>
            <w:r>
              <w:rPr>
                <w:rFonts w:hint="eastAsia" w:ascii="宋体" w:hAnsi="宋体" w:cs="宋体"/>
                <w:bCs/>
                <w:highlight w:val="none"/>
              </w:rPr>
              <w:t>2.按长沙市政府或其职能部门相关规定，本项目的保险费最终以长沙市政府相关职能部门或长沙市轨道交通集团有限公司授权的单位审定价款为准。最终保险费包括承保人履行合同且满足运营期保险需求的全部要求所产生的成本、费用、税金、利润、保险、专利、风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3" w:type="dxa"/>
            <w:vAlign w:val="center"/>
          </w:tcPr>
          <w:p>
            <w:pPr>
              <w:adjustRightInd w:val="0"/>
              <w:snapToGrid w:val="0"/>
              <w:spacing w:line="360" w:lineRule="auto"/>
              <w:jc w:val="center"/>
              <w:rPr>
                <w:rFonts w:ascii="宋体" w:hAnsi="宋体" w:cs="宋体"/>
                <w:b/>
                <w:color w:val="FF0000"/>
                <w:szCs w:val="21"/>
                <w:highlight w:val="none"/>
              </w:rPr>
            </w:pPr>
            <w:r>
              <w:rPr>
                <w:rFonts w:hint="eastAsia" w:ascii="宋体" w:hAnsi="宋体" w:cs="宋体"/>
                <w:b/>
                <w:szCs w:val="21"/>
                <w:highlight w:val="none"/>
              </w:rPr>
              <w:t>项目支付方式</w:t>
            </w:r>
          </w:p>
        </w:tc>
        <w:tc>
          <w:tcPr>
            <w:tcW w:w="7709" w:type="dxa"/>
            <w:vAlign w:val="center"/>
          </w:tcPr>
          <w:p>
            <w:pPr>
              <w:tabs>
                <w:tab w:val="left" w:pos="851"/>
              </w:tabs>
              <w:adjustRightInd w:val="0"/>
              <w:snapToGrid w:val="0"/>
              <w:spacing w:line="360" w:lineRule="auto"/>
              <w:textAlignment w:val="baseline"/>
              <w:rPr>
                <w:rFonts w:ascii="宋体" w:hAnsi="宋体" w:cs="宋体"/>
                <w:bCs/>
                <w:highlight w:val="none"/>
              </w:rPr>
            </w:pPr>
            <w:r>
              <w:rPr>
                <w:rFonts w:hint="eastAsia" w:ascii="宋体" w:hAnsi="宋体" w:cs="宋体"/>
                <w:bCs/>
                <w:highlight w:val="none"/>
              </w:rPr>
              <w:t>1.中间支付：本项目保险单为一年一开，本合同签订生效且承保人签发保险单后，支付保单相应保险费的70%。</w:t>
            </w:r>
          </w:p>
          <w:p>
            <w:pPr>
              <w:adjustRightInd w:val="0"/>
              <w:snapToGrid w:val="0"/>
              <w:spacing w:line="360" w:lineRule="auto"/>
              <w:rPr>
                <w:rFonts w:ascii="宋体" w:hAnsi="宋体" w:cs="宋体"/>
                <w:bCs/>
                <w:highlight w:val="none"/>
              </w:rPr>
            </w:pPr>
            <w:r>
              <w:rPr>
                <w:rFonts w:hint="eastAsia" w:ascii="宋体" w:hAnsi="宋体" w:cs="宋体"/>
                <w:bCs/>
                <w:highlight w:val="none"/>
              </w:rPr>
              <w:t>2.结算支付：本合同保险期满，且最终保险费按照长沙市政府或其职能部门相关规定经长沙市政府相关职能部门或长沙市轨道交通集团有限公司授权的单位审定后，支付至最终保险费的100%。</w:t>
            </w:r>
          </w:p>
          <w:p>
            <w:pPr>
              <w:pStyle w:val="45"/>
              <w:adjustRightInd w:val="0"/>
              <w:snapToGrid w:val="0"/>
              <w:spacing w:after="0" w:line="360" w:lineRule="auto"/>
              <w:ind w:firstLine="0" w:firstLineChars="0"/>
              <w:rPr>
                <w:rFonts w:ascii="宋体" w:hAnsi="宋体" w:cs="宋体"/>
                <w:bCs/>
                <w:szCs w:val="21"/>
                <w:highlight w:val="none"/>
              </w:rPr>
            </w:pPr>
            <w:r>
              <w:rPr>
                <w:rFonts w:hint="eastAsia" w:ascii="宋体" w:hAnsi="宋体" w:cs="宋体"/>
                <w:bCs/>
                <w:highlight w:val="none"/>
              </w:rPr>
              <w:t>3.上述付款，在承保人按投保人的支付程序办理请款手续并提供增值税专用发票、有效期内的履约担保复印件等相关资料后28个工作日内，由投保人向承保人支付。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信息发布</w:t>
            </w:r>
          </w:p>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指定媒体</w:t>
            </w:r>
          </w:p>
        </w:tc>
        <w:tc>
          <w:tcPr>
            <w:tcW w:w="7709" w:type="dxa"/>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长沙市轨道交通集团有限公司</w:t>
            </w:r>
            <w:r>
              <w:rPr>
                <w:highlight w:val="none"/>
              </w:rPr>
              <w:fldChar w:fldCharType="begin"/>
            </w:r>
            <w:r>
              <w:rPr>
                <w:highlight w:val="none"/>
              </w:rPr>
              <w:instrText xml:space="preserve"> HYPERLINK "http://www.hncsmtr.com/" </w:instrText>
            </w:r>
            <w:r>
              <w:rPr>
                <w:highlight w:val="none"/>
              </w:rPr>
              <w:fldChar w:fldCharType="separate"/>
            </w:r>
            <w:r>
              <w:rPr>
                <w:rStyle w:val="56"/>
                <w:rFonts w:hint="eastAsia" w:ascii="宋体" w:hAnsi="宋体" w:cs="宋体"/>
                <w:color w:val="auto"/>
                <w:szCs w:val="21"/>
                <w:highlight w:val="none"/>
                <w:u w:val="none"/>
              </w:rPr>
              <w:t>http://www.hncsmtr.com/</w:t>
            </w:r>
            <w:r>
              <w:rPr>
                <w:rStyle w:val="56"/>
                <w:rFonts w:hint="eastAsia" w:ascii="宋体" w:hAnsi="宋体" w:cs="宋体"/>
                <w:color w:val="auto"/>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采购代理服务费</w:t>
            </w:r>
          </w:p>
        </w:tc>
        <w:tc>
          <w:tcPr>
            <w:tcW w:w="7709"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其他规定</w:t>
            </w:r>
          </w:p>
        </w:tc>
        <w:tc>
          <w:tcPr>
            <w:tcW w:w="7709" w:type="dxa"/>
            <w:vAlign w:val="center"/>
          </w:tcPr>
          <w:p>
            <w:pPr>
              <w:snapToGrid w:val="0"/>
              <w:spacing w:line="360" w:lineRule="auto"/>
              <w:rPr>
                <w:rFonts w:ascii="宋体" w:hAnsi="宋体" w:cs="宋体"/>
                <w:bCs/>
                <w:highlight w:val="none"/>
              </w:rPr>
            </w:pPr>
            <w:r>
              <w:rPr>
                <w:rFonts w:hint="eastAsia" w:ascii="宋体" w:hAnsi="宋体" w:cs="宋体"/>
                <w:bCs/>
                <w:highlight w:val="none"/>
              </w:rPr>
              <w:t>1.为了维护本协议以及保险单的严肃性，投保人、承保人和被保险人各方应按保险单以及本协议内规定条款履行各自的义务，并承担相对应的责任。</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cs="宋体"/>
                <w:bCs/>
                <w:highlight w:val="none"/>
              </w:rPr>
              <w:t>2.承保人未按</w:t>
            </w:r>
            <w:r>
              <w:rPr>
                <w:rFonts w:hint="eastAsia" w:ascii="宋体" w:hAnsi="宋体" w:cs="宋体"/>
                <w:bCs/>
                <w:highlight w:val="none"/>
                <w:lang w:val="en-US" w:eastAsia="zh-CN"/>
              </w:rPr>
              <w:t>合同</w:t>
            </w:r>
            <w:r>
              <w:rPr>
                <w:rFonts w:hint="eastAsia" w:ascii="宋体" w:hAnsi="宋体" w:cs="宋体"/>
                <w:bCs/>
                <w:highlight w:val="none"/>
              </w:rPr>
              <w:t>7.2.1、7.2.2款约定履行义务的，每发生一次，投保人有权要求承</w:t>
            </w:r>
            <w:r>
              <w:rPr>
                <w:rFonts w:hint="eastAsia" w:ascii="宋体" w:hAnsi="宋体" w:eastAsia="宋体" w:cs="宋体"/>
                <w:szCs w:val="21"/>
                <w:highlight w:val="none"/>
              </w:rPr>
              <w:t>保人交纳2000元/次的违约金。</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3.承保人未按</w:t>
            </w:r>
            <w:r>
              <w:rPr>
                <w:rFonts w:hint="eastAsia" w:ascii="宋体" w:hAnsi="宋体" w:cs="宋体"/>
                <w:szCs w:val="21"/>
                <w:highlight w:val="none"/>
                <w:lang w:val="en-US" w:eastAsia="zh-CN"/>
              </w:rPr>
              <w:t>合同</w:t>
            </w:r>
            <w:r>
              <w:rPr>
                <w:rFonts w:hint="eastAsia" w:ascii="宋体" w:hAnsi="宋体" w:eastAsia="宋体" w:cs="宋体"/>
                <w:szCs w:val="21"/>
                <w:highlight w:val="none"/>
              </w:rPr>
              <w:t>7.2.3、7.3、7.4款约定履行义务的，每发生一次，投保人有权要求承保人交纳10000元/次的违约金。</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4.承保人未按</w:t>
            </w:r>
            <w:r>
              <w:rPr>
                <w:rFonts w:hint="eastAsia" w:ascii="宋体" w:hAnsi="宋体" w:cs="宋体"/>
                <w:szCs w:val="21"/>
                <w:highlight w:val="none"/>
                <w:lang w:val="en-US" w:eastAsia="zh-CN"/>
              </w:rPr>
              <w:t>合同</w:t>
            </w:r>
            <w:r>
              <w:rPr>
                <w:rFonts w:hint="eastAsia" w:ascii="宋体" w:hAnsi="宋体" w:eastAsia="宋体" w:cs="宋体"/>
                <w:szCs w:val="21"/>
                <w:highlight w:val="none"/>
              </w:rPr>
              <w:t>7.2.4、7.2.5.1、7.2.5.2、7.2.5.3款约定履行义务的，每发生一次，投保人有权要求承保人交纳100000元/次的违约金。</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5.因承保人原因，致使被保险人不能按照本协议规定的时间获得赔偿金，承保人应支付违约金。违约金=应付赔款金额×实际违约天数×中国人民银行同期贷款基准利率。实际违约时间据实统计，并在各赔案结算中应用。</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6.违约金总额超过合同暂定保险费的20%，投保人有权解除合同。</w:t>
            </w:r>
          </w:p>
          <w:p>
            <w:pPr>
              <w:adjustRightInd w:val="0"/>
              <w:snapToGrid w:val="0"/>
              <w:spacing w:line="360" w:lineRule="auto"/>
              <w:jc w:val="left"/>
              <w:rPr>
                <w:rFonts w:hint="default" w:ascii="宋体" w:hAnsi="宋体" w:eastAsia="宋体" w:cs="宋体"/>
                <w:szCs w:val="21"/>
                <w:highlight w:val="none"/>
              </w:rPr>
            </w:pPr>
            <w:r>
              <w:rPr>
                <w:rFonts w:hint="eastAsia" w:ascii="宋体" w:hAnsi="宋体" w:eastAsia="宋体" w:cs="宋体"/>
                <w:szCs w:val="21"/>
                <w:highlight w:val="none"/>
              </w:rPr>
              <w:t>7.因承保人提供的发票导致投保人被税务部门追究相关法律责任的，承保人应承担由此给投保人造成的损失（包括但不限于未抵扣的税费、滞纳金）。</w:t>
            </w:r>
          </w:p>
          <w:p>
            <w:pPr>
              <w:adjustRightInd w:val="0"/>
              <w:snapToGrid w:val="0"/>
              <w:spacing w:line="360" w:lineRule="auto"/>
              <w:jc w:val="left"/>
              <w:rPr>
                <w:rFonts w:hint="default" w:ascii="宋体" w:hAnsi="宋体" w:eastAsia="宋体" w:cs="宋体"/>
                <w:szCs w:val="21"/>
                <w:highlight w:val="none"/>
              </w:rPr>
            </w:pPr>
            <w:r>
              <w:rPr>
                <w:rFonts w:hint="eastAsia" w:ascii="宋体" w:hAnsi="宋体" w:eastAsia="宋体" w:cs="宋体"/>
                <w:szCs w:val="21"/>
                <w:highlight w:val="none"/>
              </w:rPr>
              <w:t>8.承保人应以现金或转账方式交纳违约金，投保人根据税法相关规定开具收款收据或增值税发票。</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9.承保人在接到投保人发出的违约通知后，应按通知要求交纳违约金；否则，投保人有权暂停合同价款支付或从承保人的合同价款中扣除相应的违约金。</w:t>
            </w:r>
          </w:p>
          <w:p>
            <w:pPr>
              <w:adjustRightInd w:val="0"/>
              <w:snapToGrid w:val="0"/>
              <w:spacing w:line="360" w:lineRule="auto"/>
              <w:jc w:val="left"/>
              <w:rPr>
                <w:rFonts w:hint="default"/>
                <w:highlight w:val="none"/>
                <w:lang w:val="en-US" w:eastAsia="zh-CN"/>
              </w:rPr>
            </w:pPr>
            <w:r>
              <w:rPr>
                <w:rFonts w:hint="eastAsia" w:ascii="宋体" w:hAnsi="宋体" w:eastAsia="宋体" w:cs="宋体"/>
                <w:szCs w:val="21"/>
                <w:highlight w:val="none"/>
              </w:rPr>
              <w:t>10.因承保人原因提前终止合同的，承保人应承担由此给投保人造成的损失，投保人有权没收承保人所交履约担保，同时投保人有权要求承保人按暂定保险费的20%交纳违约金。</w:t>
            </w:r>
          </w:p>
        </w:tc>
      </w:tr>
    </w:tbl>
    <w:p>
      <w:pPr>
        <w:rPr>
          <w:rFonts w:hint="eastAsia" w:ascii="宋体" w:hAnsi="宋体" w:cs="宋体"/>
          <w:sz w:val="32"/>
          <w:highlight w:val="none"/>
        </w:rPr>
      </w:pPr>
      <w:bookmarkStart w:id="16" w:name="_Toc30640"/>
      <w:bookmarkStart w:id="17" w:name="_Toc16939"/>
      <w:bookmarkStart w:id="18" w:name="_Toc14891067"/>
      <w:bookmarkStart w:id="19" w:name="_Toc26157"/>
      <w:bookmarkStart w:id="20" w:name="_Hlk71364110"/>
      <w:r>
        <w:rPr>
          <w:rFonts w:hint="eastAsia" w:ascii="宋体" w:hAnsi="宋体" w:cs="宋体"/>
          <w:sz w:val="32"/>
          <w:highlight w:val="none"/>
        </w:rPr>
        <w:br w:type="page"/>
      </w:r>
    </w:p>
    <w:p>
      <w:pPr>
        <w:pStyle w:val="4"/>
        <w:keepNext w:val="0"/>
        <w:keepLines w:val="0"/>
        <w:jc w:val="center"/>
        <w:rPr>
          <w:rFonts w:ascii="宋体" w:hAnsi="宋体" w:cs="宋体"/>
          <w:sz w:val="32"/>
          <w:highlight w:val="none"/>
        </w:rPr>
      </w:pPr>
      <w:bookmarkStart w:id="21" w:name="_Toc7276"/>
      <w:r>
        <w:rPr>
          <w:rFonts w:hint="eastAsia" w:ascii="宋体" w:hAnsi="宋体" w:cs="宋体"/>
          <w:sz w:val="32"/>
          <w:highlight w:val="none"/>
        </w:rPr>
        <w:t>谈判须知正文</w:t>
      </w:r>
      <w:bookmarkEnd w:id="16"/>
      <w:bookmarkEnd w:id="17"/>
      <w:bookmarkEnd w:id="18"/>
      <w:bookmarkEnd w:id="19"/>
      <w:bookmarkEnd w:id="21"/>
    </w:p>
    <w:bookmarkEnd w:id="20"/>
    <w:p>
      <w:pPr>
        <w:pStyle w:val="4"/>
        <w:keepNext w:val="0"/>
        <w:keepLines w:val="0"/>
        <w:rPr>
          <w:rFonts w:ascii="宋体" w:hAnsi="宋体" w:cs="宋体"/>
          <w:sz w:val="21"/>
          <w:szCs w:val="21"/>
          <w:highlight w:val="none"/>
        </w:rPr>
      </w:pPr>
      <w:bookmarkStart w:id="22" w:name="_Toc9471"/>
      <w:bookmarkStart w:id="23" w:name="_Toc14891068"/>
      <w:r>
        <w:rPr>
          <w:rFonts w:hint="eastAsia" w:ascii="宋体" w:hAnsi="宋体" w:cs="宋体"/>
          <w:sz w:val="21"/>
          <w:szCs w:val="21"/>
          <w:highlight w:val="none"/>
        </w:rPr>
        <w:t>一、说明</w:t>
      </w:r>
      <w:bookmarkEnd w:id="22"/>
      <w:bookmarkEnd w:id="23"/>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bCs/>
          <w:szCs w:val="21"/>
          <w:highlight w:val="none"/>
        </w:rPr>
        <w:t>1.</w:t>
      </w:r>
      <w:r>
        <w:rPr>
          <w:rFonts w:hint="eastAsia" w:ascii="宋体" w:hAnsi="宋体" w:cs="宋体"/>
          <w:b/>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3.定义</w:t>
      </w:r>
    </w:p>
    <w:p>
      <w:pPr>
        <w:adjustRightInd w:val="0"/>
        <w:snapToGrid w:val="0"/>
        <w:spacing w:line="360" w:lineRule="auto"/>
        <w:ind w:firstLine="420" w:firstLineChars="200"/>
        <w:rPr>
          <w:rFonts w:ascii="宋体" w:hAnsi="宋体" w:cs="宋体"/>
          <w:b/>
          <w:szCs w:val="21"/>
          <w:highlight w:val="none"/>
        </w:rPr>
      </w:pPr>
      <w:r>
        <w:rPr>
          <w:rFonts w:hint="eastAsia" w:ascii="宋体" w:hAnsi="宋体" w:cs="宋体"/>
          <w:szCs w:val="21"/>
          <w:highlight w:val="none"/>
        </w:rPr>
        <w:t>3.1“采购单位”是指依法进行采购的法人组织。本项目的采购单位名称见</w:t>
      </w:r>
      <w:r>
        <w:rPr>
          <w:rFonts w:hint="eastAsia" w:ascii="宋体" w:hAnsi="宋体" w:cs="宋体"/>
          <w:b/>
          <w:szCs w:val="21"/>
          <w:highlight w:val="none"/>
        </w:rPr>
        <w:t>前附表</w:t>
      </w:r>
      <w:r>
        <w:rPr>
          <w:rFonts w:hint="eastAsia" w:ascii="宋体" w:hAnsi="宋体" w:cs="宋体"/>
          <w:szCs w:val="21"/>
          <w:highlight w:val="none"/>
        </w:rPr>
        <w:t>。</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3.2“谈判单位”是指响应本谈判文件要求、参加谈判的法人组织。</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3.3“采购代理机构”是指接受采购单位委托，代理采购项目的机构。本采购项目的采购代理机构名称见</w:t>
      </w:r>
      <w:r>
        <w:rPr>
          <w:rFonts w:hint="eastAsia" w:ascii="宋体" w:hAnsi="宋体" w:cs="宋体"/>
          <w:b/>
          <w:bCs/>
          <w:szCs w:val="21"/>
          <w:highlight w:val="none"/>
        </w:rPr>
        <w:t>前附表</w:t>
      </w:r>
      <w:r>
        <w:rPr>
          <w:rFonts w:hint="eastAsia" w:ascii="宋体" w:hAnsi="宋体" w:cs="宋体"/>
          <w:szCs w:val="21"/>
          <w:highlight w:val="none"/>
        </w:rPr>
        <w:t>。</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3.4“谈判</w:t>
      </w:r>
      <w:r>
        <w:rPr>
          <w:rFonts w:hint="eastAsia" w:ascii="宋体" w:hAnsi="宋体" w:cs="宋体"/>
          <w:bCs/>
          <w:szCs w:val="21"/>
          <w:highlight w:val="none"/>
        </w:rPr>
        <w:t>评审</w:t>
      </w:r>
      <w:r>
        <w:rPr>
          <w:rFonts w:hint="eastAsia" w:ascii="宋体" w:hAnsi="宋体" w:cs="宋体"/>
          <w:szCs w:val="21"/>
          <w:highlight w:val="none"/>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4.谈判单位资格要求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4.1参与谈判的单位应当符合</w:t>
      </w:r>
      <w:r>
        <w:rPr>
          <w:rFonts w:hint="eastAsia" w:ascii="宋体" w:hAnsi="宋体" w:cs="宋体"/>
          <w:b/>
          <w:szCs w:val="21"/>
          <w:highlight w:val="none"/>
        </w:rPr>
        <w:t>前附表</w:t>
      </w:r>
      <w:r>
        <w:rPr>
          <w:rFonts w:hint="eastAsia" w:ascii="宋体" w:hAnsi="宋体" w:cs="宋体"/>
          <w:szCs w:val="21"/>
          <w:highlight w:val="none"/>
        </w:rPr>
        <w:t>中规定的资格要求；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4.2参与谈判的单位存在下列情形之一的，其</w:t>
      </w:r>
      <w:r>
        <w:rPr>
          <w:rFonts w:hint="eastAsia" w:ascii="宋体" w:hAnsi="宋体" w:cs="宋体"/>
          <w:bCs/>
          <w:szCs w:val="21"/>
          <w:highlight w:val="none"/>
        </w:rPr>
        <w:t>谈判</w:t>
      </w:r>
      <w:r>
        <w:rPr>
          <w:rFonts w:hint="eastAsia" w:ascii="宋体" w:hAnsi="宋体" w:cs="宋体"/>
          <w:szCs w:val="21"/>
          <w:highlight w:val="none"/>
        </w:rPr>
        <w:t>将被</w:t>
      </w:r>
      <w:r>
        <w:rPr>
          <w:rFonts w:hint="eastAsia" w:ascii="宋体" w:hAnsi="宋体" w:cs="宋体"/>
          <w:b/>
          <w:bCs/>
          <w:szCs w:val="21"/>
          <w:highlight w:val="none"/>
        </w:rPr>
        <w:t>否决</w:t>
      </w:r>
      <w:r>
        <w:rPr>
          <w:rFonts w:hint="eastAsia" w:ascii="宋体" w:hAnsi="宋体" w:cs="宋体"/>
          <w:szCs w:val="21"/>
          <w:highlight w:val="none"/>
        </w:rPr>
        <w:t>：</w:t>
      </w:r>
    </w:p>
    <w:p>
      <w:pPr>
        <w:pStyle w:val="357"/>
        <w:ind w:firstLine="420" w:firstLineChars="200"/>
        <w:jc w:val="both"/>
        <w:rPr>
          <w:rFonts w:hAnsi="宋体" w:cs="宋体"/>
          <w:sz w:val="21"/>
          <w:szCs w:val="21"/>
          <w:highlight w:val="none"/>
        </w:rPr>
      </w:pPr>
      <w:r>
        <w:rPr>
          <w:rFonts w:hint="eastAsia" w:hAnsi="宋体" w:cs="宋体"/>
          <w:sz w:val="21"/>
          <w:szCs w:val="21"/>
          <w:highlight w:val="none"/>
        </w:rPr>
        <w:t>（1）与采购单位（或本项目采购代理机构）存在利害关系且可能影响采购公正性；</w:t>
      </w:r>
    </w:p>
    <w:p>
      <w:pPr>
        <w:pStyle w:val="357"/>
        <w:ind w:firstLine="420" w:firstLineChars="200"/>
        <w:jc w:val="both"/>
        <w:rPr>
          <w:rFonts w:hAnsi="宋体" w:cs="宋体"/>
          <w:sz w:val="21"/>
          <w:szCs w:val="21"/>
          <w:highlight w:val="none"/>
        </w:rPr>
      </w:pPr>
      <w:r>
        <w:rPr>
          <w:rFonts w:hint="eastAsia" w:hAnsi="宋体" w:cs="宋体"/>
          <w:sz w:val="21"/>
          <w:szCs w:val="21"/>
          <w:highlight w:val="none"/>
        </w:rPr>
        <w:t>（2）谈判单位法定代表人或负责人与其他谈判单位法定代表人或负责人为同一人；</w:t>
      </w:r>
    </w:p>
    <w:p>
      <w:pPr>
        <w:pStyle w:val="357"/>
        <w:ind w:firstLine="420" w:firstLineChars="200"/>
        <w:jc w:val="both"/>
        <w:rPr>
          <w:rFonts w:hAnsi="宋体" w:cs="宋体"/>
          <w:sz w:val="21"/>
          <w:szCs w:val="21"/>
          <w:highlight w:val="none"/>
        </w:rPr>
      </w:pPr>
      <w:r>
        <w:rPr>
          <w:rFonts w:hint="eastAsia" w:hAnsi="宋体" w:cs="宋体"/>
          <w:sz w:val="21"/>
          <w:szCs w:val="21"/>
          <w:highlight w:val="none"/>
        </w:rPr>
        <w:t>（3）与本采购项目的其他谈判单位存在控股、管理关系；</w:t>
      </w:r>
    </w:p>
    <w:p>
      <w:pPr>
        <w:pStyle w:val="357"/>
        <w:ind w:firstLine="420" w:firstLineChars="200"/>
        <w:jc w:val="both"/>
        <w:rPr>
          <w:rFonts w:hAnsi="宋体" w:cs="宋体"/>
          <w:sz w:val="21"/>
          <w:szCs w:val="21"/>
          <w:highlight w:val="none"/>
        </w:rPr>
      </w:pPr>
      <w:r>
        <w:rPr>
          <w:rFonts w:hint="eastAsia" w:hAnsi="宋体" w:cs="宋体"/>
          <w:sz w:val="21"/>
          <w:szCs w:val="21"/>
          <w:highlight w:val="none"/>
        </w:rPr>
        <w:t>（4）被责令停产停业、暂扣或者吊销许可证、暂扣或者吊销执照；</w:t>
      </w:r>
    </w:p>
    <w:p>
      <w:pPr>
        <w:pStyle w:val="357"/>
        <w:ind w:firstLine="420" w:firstLineChars="200"/>
        <w:jc w:val="both"/>
        <w:rPr>
          <w:rFonts w:hAnsi="宋体" w:cs="宋体"/>
          <w:sz w:val="21"/>
          <w:szCs w:val="21"/>
          <w:highlight w:val="none"/>
        </w:rPr>
      </w:pPr>
      <w:r>
        <w:rPr>
          <w:rFonts w:hint="eastAsia" w:hAnsi="宋体" w:cs="宋体"/>
          <w:sz w:val="21"/>
          <w:szCs w:val="21"/>
          <w:highlight w:val="none"/>
        </w:rPr>
        <w:t>（5）进入破产、清算、注销程序，或存在其他可能丧失履约能力的情形；</w:t>
      </w:r>
    </w:p>
    <w:p>
      <w:pPr>
        <w:pStyle w:val="357"/>
        <w:ind w:firstLine="420" w:firstLineChars="200"/>
        <w:jc w:val="both"/>
        <w:rPr>
          <w:rFonts w:hAnsi="宋体" w:cs="宋体"/>
          <w:sz w:val="21"/>
          <w:szCs w:val="21"/>
          <w:highlight w:val="none"/>
        </w:rPr>
      </w:pPr>
      <w:r>
        <w:rPr>
          <w:rFonts w:hint="eastAsia" w:hAnsi="宋体" w:cs="宋体"/>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highlight w:val="none"/>
        </w:rPr>
      </w:pPr>
      <w:r>
        <w:rPr>
          <w:rFonts w:hint="eastAsia" w:ascii="宋体" w:hAnsi="宋体" w:cs="宋体"/>
          <w:szCs w:val="21"/>
          <w:highlight w:val="none"/>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5.参与谈判的费用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5.2采购代理服务费由中选单位全额承担。本项目采购代理服务费以中选价为基数，按谈判须知</w:t>
      </w:r>
      <w:r>
        <w:rPr>
          <w:rFonts w:hint="eastAsia" w:ascii="宋体" w:hAnsi="宋体" w:cs="宋体"/>
          <w:b/>
          <w:bCs/>
          <w:szCs w:val="21"/>
          <w:highlight w:val="none"/>
        </w:rPr>
        <w:t>《采购代理服务费收费标准》（详见本须知附件）</w:t>
      </w:r>
      <w:r>
        <w:rPr>
          <w:rFonts w:hint="eastAsia" w:ascii="宋体" w:hAnsi="宋体" w:cs="宋体"/>
          <w:szCs w:val="21"/>
          <w:highlight w:val="none"/>
        </w:rPr>
        <w:t>向中选单位收取。</w:t>
      </w:r>
    </w:p>
    <w:p>
      <w:pPr>
        <w:pStyle w:val="25"/>
        <w:adjustRightInd w:val="0"/>
        <w:snapToGrid w:val="0"/>
        <w:spacing w:line="360" w:lineRule="auto"/>
        <w:ind w:firstLine="422" w:firstLineChars="200"/>
        <w:rPr>
          <w:rFonts w:hAnsi="宋体" w:cs="宋体"/>
          <w:b/>
          <w:bCs/>
          <w:highlight w:val="none"/>
        </w:rPr>
      </w:pPr>
      <w:r>
        <w:rPr>
          <w:rFonts w:hint="eastAsia" w:hAnsi="宋体" w:cs="宋体"/>
          <w:b/>
          <w:highlight w:val="none"/>
        </w:rPr>
        <w:t>6．</w:t>
      </w:r>
      <w:r>
        <w:rPr>
          <w:rFonts w:hint="eastAsia" w:hAnsi="宋体" w:cs="宋体"/>
          <w:b/>
          <w:bCs/>
          <w:highlight w:val="none"/>
        </w:rPr>
        <w:t>谈判单位代表</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6.1谈判单位代表为谈判单位法定代表人的：应提供法定代表人身份证明书</w:t>
      </w:r>
      <w:r>
        <w:rPr>
          <w:rFonts w:hint="eastAsia" w:hAnsi="宋体" w:cs="宋体"/>
          <w:b/>
          <w:bCs/>
          <w:highlight w:val="none"/>
        </w:rPr>
        <w:t>（见</w:t>
      </w:r>
      <w:r>
        <w:rPr>
          <w:rFonts w:hint="eastAsia" w:hAnsi="宋体" w:cs="宋体"/>
          <w:b/>
          <w:bCs/>
          <w:iCs/>
          <w:highlight w:val="none"/>
        </w:rPr>
        <w:t>第六章</w:t>
      </w:r>
      <w:r>
        <w:rPr>
          <w:rFonts w:hint="eastAsia" w:hAnsi="宋体" w:cs="宋体"/>
          <w:b/>
          <w:bCs/>
          <w:highlight w:val="none"/>
        </w:rPr>
        <w:t>响应文件格式）</w:t>
      </w:r>
      <w:r>
        <w:rPr>
          <w:rFonts w:hint="eastAsia" w:hAnsi="宋体" w:cs="宋体"/>
          <w:highlight w:val="none"/>
        </w:rPr>
        <w:t>原件及本人身份证原件。</w:t>
      </w:r>
    </w:p>
    <w:p>
      <w:pPr>
        <w:pStyle w:val="25"/>
        <w:adjustRightInd w:val="0"/>
        <w:snapToGrid w:val="0"/>
        <w:spacing w:line="360" w:lineRule="auto"/>
        <w:ind w:firstLine="420" w:firstLineChars="200"/>
        <w:rPr>
          <w:rFonts w:hAnsi="宋体" w:cs="宋体"/>
          <w:b/>
          <w:strike/>
          <w:highlight w:val="none"/>
        </w:rPr>
      </w:pPr>
      <w:r>
        <w:rPr>
          <w:rFonts w:hint="eastAsia" w:hAnsi="宋体" w:cs="宋体"/>
          <w:highlight w:val="none"/>
        </w:rPr>
        <w:t>6.2谈判单位代表不是谈判单位法定代表人的：应提供授权委托书</w:t>
      </w:r>
      <w:r>
        <w:rPr>
          <w:rFonts w:hint="eastAsia" w:hAnsi="宋体" w:cs="宋体"/>
          <w:b/>
          <w:bCs/>
          <w:highlight w:val="none"/>
        </w:rPr>
        <w:t>（见</w:t>
      </w:r>
      <w:r>
        <w:rPr>
          <w:rFonts w:hint="eastAsia" w:hAnsi="宋体" w:cs="宋体"/>
          <w:b/>
          <w:bCs/>
          <w:iCs/>
          <w:highlight w:val="none"/>
        </w:rPr>
        <w:t>第六章</w:t>
      </w:r>
      <w:r>
        <w:rPr>
          <w:rFonts w:hint="eastAsia" w:hAnsi="宋体" w:cs="宋体"/>
          <w:b/>
          <w:bCs/>
          <w:highlight w:val="none"/>
        </w:rPr>
        <w:t>响应文件格式）</w:t>
      </w:r>
      <w:r>
        <w:rPr>
          <w:rFonts w:hint="eastAsia" w:hAnsi="宋体" w:cs="宋体"/>
          <w:highlight w:val="none"/>
        </w:rPr>
        <w:t>原件及本人身份证原件。</w:t>
      </w:r>
    </w:p>
    <w:p>
      <w:pPr>
        <w:pStyle w:val="4"/>
        <w:keepNext w:val="0"/>
        <w:keepLines w:val="0"/>
        <w:rPr>
          <w:rFonts w:ascii="宋体" w:hAnsi="宋体" w:cs="宋体"/>
          <w:sz w:val="21"/>
          <w:szCs w:val="21"/>
          <w:highlight w:val="none"/>
        </w:rPr>
      </w:pPr>
      <w:bookmarkStart w:id="24" w:name="_Toc32722"/>
      <w:bookmarkStart w:id="25" w:name="_Toc14891069"/>
      <w:r>
        <w:rPr>
          <w:rFonts w:hint="eastAsia" w:ascii="宋体" w:hAnsi="宋体" w:cs="宋体"/>
          <w:sz w:val="21"/>
          <w:szCs w:val="21"/>
          <w:highlight w:val="none"/>
        </w:rPr>
        <w:t>二、谈判文件</w:t>
      </w:r>
      <w:bookmarkEnd w:id="24"/>
      <w:bookmarkEnd w:id="25"/>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7．谈判文件的组成</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7.1谈判文件由下列文件组成：</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第一章 谈判邀请公告</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第二章 谈判须知</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第三章 评审办法及标准</w:t>
      </w:r>
    </w:p>
    <w:p>
      <w:pPr>
        <w:pStyle w:val="25"/>
        <w:adjustRightInd w:val="0"/>
        <w:snapToGrid w:val="0"/>
        <w:spacing w:line="360" w:lineRule="auto"/>
        <w:ind w:firstLine="420" w:firstLineChars="200"/>
        <w:rPr>
          <w:rFonts w:hint="eastAsia" w:hAnsi="宋体" w:eastAsia="宋体" w:cs="宋体"/>
          <w:highlight w:val="none"/>
          <w:lang w:eastAsia="zh-CN"/>
        </w:rPr>
      </w:pPr>
      <w:r>
        <w:rPr>
          <w:rFonts w:hint="eastAsia" w:hAnsi="宋体" w:cs="宋体"/>
          <w:highlight w:val="none"/>
        </w:rPr>
        <w:t>第四章 用户需求书</w:t>
      </w:r>
      <w:r>
        <w:rPr>
          <w:rFonts w:hint="eastAsia" w:hAnsi="宋体" w:cs="宋体"/>
          <w:highlight w:val="none"/>
          <w:lang w:eastAsia="zh-CN"/>
        </w:rPr>
        <w:t>（</w:t>
      </w:r>
      <w:r>
        <w:rPr>
          <w:rFonts w:hint="eastAsia" w:hAnsi="宋体" w:cs="宋体"/>
          <w:highlight w:val="none"/>
          <w:lang w:val="en-US" w:eastAsia="zh-CN"/>
        </w:rPr>
        <w:t>另册</w:t>
      </w:r>
      <w:r>
        <w:rPr>
          <w:rFonts w:hint="eastAsia" w:hAnsi="宋体" w:cs="宋体"/>
          <w:highlight w:val="none"/>
          <w:lang w:eastAsia="zh-CN"/>
        </w:rPr>
        <w:t>）</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第五章 合同格式条款</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第六章 响应文件组成</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7.2</w:t>
      </w:r>
      <w:r>
        <w:rPr>
          <w:rFonts w:hint="eastAsia" w:hAnsi="宋体" w:cs="宋体"/>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7.3谈判单位应仔细阅读</w:t>
      </w:r>
      <w:r>
        <w:rPr>
          <w:rFonts w:hint="eastAsia" w:ascii="宋体" w:hAnsi="宋体" w:cs="宋体"/>
          <w:bCs/>
          <w:szCs w:val="21"/>
          <w:highlight w:val="none"/>
        </w:rPr>
        <w:t>谈判</w:t>
      </w:r>
      <w:r>
        <w:rPr>
          <w:rFonts w:hint="eastAsia" w:ascii="宋体" w:hAnsi="宋体" w:cs="宋体"/>
          <w:szCs w:val="21"/>
          <w:highlight w:val="none"/>
        </w:rPr>
        <w:t>文件的全部内容，按照</w:t>
      </w:r>
      <w:r>
        <w:rPr>
          <w:rFonts w:hint="eastAsia" w:ascii="宋体" w:hAnsi="宋体" w:cs="宋体"/>
          <w:bCs/>
          <w:szCs w:val="21"/>
          <w:highlight w:val="none"/>
        </w:rPr>
        <w:t>谈判</w:t>
      </w:r>
      <w:r>
        <w:rPr>
          <w:rFonts w:hint="eastAsia" w:ascii="宋体" w:hAnsi="宋体" w:cs="宋体"/>
          <w:szCs w:val="21"/>
          <w:highlight w:val="none"/>
        </w:rPr>
        <w:t>文件要求编制响应文件。任何对</w:t>
      </w:r>
      <w:r>
        <w:rPr>
          <w:rFonts w:hint="eastAsia" w:ascii="宋体" w:hAnsi="宋体" w:cs="宋体"/>
          <w:bCs/>
          <w:szCs w:val="21"/>
          <w:highlight w:val="none"/>
        </w:rPr>
        <w:t>谈判</w:t>
      </w:r>
      <w:r>
        <w:rPr>
          <w:rFonts w:hint="eastAsia" w:ascii="宋体" w:hAnsi="宋体" w:cs="宋体"/>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bCs/>
          <w:szCs w:val="21"/>
          <w:highlight w:val="none"/>
        </w:rPr>
        <w:t>8.</w:t>
      </w:r>
      <w:r>
        <w:rPr>
          <w:rFonts w:hint="eastAsia" w:ascii="宋体" w:hAnsi="宋体" w:cs="宋体"/>
          <w:b/>
          <w:kern w:val="0"/>
          <w:szCs w:val="21"/>
          <w:highlight w:val="none"/>
        </w:rPr>
        <w:t>谈判文件的澄清及答疑</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8.1.谈判单位应仔细阅读和检查谈判文件的全部内容，如有疑问，</w:t>
      </w:r>
      <w:r>
        <w:rPr>
          <w:rFonts w:hint="eastAsia" w:ascii="宋体" w:hAnsi="宋体" w:cs="宋体"/>
          <w:szCs w:val="21"/>
          <w:highlight w:val="none"/>
        </w:rPr>
        <w:t>应按</w:t>
      </w:r>
      <w:r>
        <w:rPr>
          <w:rFonts w:hint="eastAsia" w:ascii="宋体" w:hAnsi="宋体" w:cs="宋体"/>
          <w:b/>
          <w:bCs/>
          <w:szCs w:val="21"/>
          <w:highlight w:val="none"/>
        </w:rPr>
        <w:t>前附表</w:t>
      </w:r>
      <w:r>
        <w:rPr>
          <w:rFonts w:hint="eastAsia" w:ascii="宋体" w:hAnsi="宋体" w:cs="宋体"/>
          <w:szCs w:val="21"/>
          <w:highlight w:val="none"/>
        </w:rPr>
        <w:t>规定的时间、方式及地点</w:t>
      </w:r>
      <w:r>
        <w:rPr>
          <w:rFonts w:hint="eastAsia" w:ascii="宋体" w:hAnsi="宋体" w:cs="宋体"/>
          <w:iCs/>
          <w:szCs w:val="21"/>
          <w:highlight w:val="none"/>
        </w:rPr>
        <w:t>向采购代理机构提出，</w:t>
      </w:r>
      <w:r>
        <w:rPr>
          <w:rFonts w:hint="eastAsia" w:ascii="宋体" w:hAnsi="宋体" w:cs="宋体"/>
          <w:szCs w:val="21"/>
          <w:highlight w:val="none"/>
        </w:rPr>
        <w:t>否则，由此引起的损失由谈判单位自己承担。</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8.3</w:t>
      </w:r>
      <w:r>
        <w:rPr>
          <w:rFonts w:hint="eastAsia" w:ascii="宋体" w:hAnsi="宋体" w:cs="宋体"/>
          <w:kern w:val="0"/>
          <w:szCs w:val="21"/>
          <w:highlight w:val="none"/>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bCs/>
          <w:szCs w:val="21"/>
          <w:highlight w:val="none"/>
        </w:rPr>
        <w:t>9.</w:t>
      </w:r>
      <w:r>
        <w:rPr>
          <w:rFonts w:hint="eastAsia" w:ascii="宋体" w:hAnsi="宋体" w:cs="宋体"/>
          <w:b/>
          <w:kern w:val="0"/>
          <w:szCs w:val="21"/>
          <w:highlight w:val="none"/>
        </w:rPr>
        <w:t>响应文件递交截止时间、谈判会议时间及地点</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9.1</w:t>
      </w:r>
      <w:r>
        <w:rPr>
          <w:rFonts w:hint="eastAsia" w:hAnsi="宋体" w:cs="宋体"/>
          <w:kern w:val="0"/>
          <w:highlight w:val="none"/>
        </w:rPr>
        <w:t>谈判单位递交响应文件截止时间、谈判会议</w:t>
      </w:r>
      <w:r>
        <w:rPr>
          <w:rFonts w:hint="eastAsia" w:hAnsi="宋体" w:cs="宋体"/>
          <w:highlight w:val="none"/>
        </w:rPr>
        <w:t>时间及地点见</w:t>
      </w:r>
      <w:r>
        <w:rPr>
          <w:rFonts w:hint="eastAsia" w:hAnsi="宋体" w:cs="宋体"/>
          <w:b/>
          <w:highlight w:val="none"/>
        </w:rPr>
        <w:t>前附表</w:t>
      </w:r>
      <w:r>
        <w:rPr>
          <w:rFonts w:hint="eastAsia" w:hAnsi="宋体" w:cs="宋体"/>
          <w:highlight w:val="none"/>
        </w:rPr>
        <w:t>。</w:t>
      </w:r>
    </w:p>
    <w:p>
      <w:pPr>
        <w:pStyle w:val="4"/>
        <w:keepNext w:val="0"/>
        <w:keepLines w:val="0"/>
        <w:rPr>
          <w:rFonts w:ascii="宋体" w:hAnsi="宋体" w:cs="宋体"/>
          <w:sz w:val="21"/>
          <w:szCs w:val="21"/>
          <w:highlight w:val="none"/>
        </w:rPr>
      </w:pPr>
      <w:bookmarkStart w:id="26" w:name="_Toc14891070"/>
      <w:bookmarkStart w:id="27" w:name="_Toc16808"/>
      <w:r>
        <w:rPr>
          <w:rFonts w:hint="eastAsia" w:ascii="宋体" w:hAnsi="宋体" w:cs="宋体"/>
          <w:sz w:val="21"/>
          <w:szCs w:val="21"/>
          <w:highlight w:val="none"/>
        </w:rPr>
        <w:t>三、响应文件</w:t>
      </w:r>
      <w:bookmarkEnd w:id="26"/>
      <w:bookmarkEnd w:id="27"/>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10.一般要求</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10.1</w:t>
      </w:r>
      <w:bookmarkStart w:id="28" w:name="_Hlk68706641"/>
      <w:r>
        <w:rPr>
          <w:rFonts w:hint="eastAsia" w:ascii="宋体" w:hAnsi="宋体" w:cs="宋体"/>
          <w:bCs/>
          <w:szCs w:val="21"/>
          <w:highlight w:val="none"/>
        </w:rPr>
        <w:t>谈判单位应仔细阅读谈判文件的所有内容，按谈判文件的要求编制响应文件，</w:t>
      </w:r>
      <w:r>
        <w:rPr>
          <w:rFonts w:hint="eastAsia" w:ascii="宋体" w:hAnsi="宋体" w:cs="宋体"/>
          <w:b/>
          <w:szCs w:val="21"/>
          <w:highlight w:val="none"/>
        </w:rPr>
        <w:t>严禁复制、粘贴，</w:t>
      </w:r>
      <w:r>
        <w:rPr>
          <w:rFonts w:hint="eastAsia" w:ascii="宋体" w:hAnsi="宋体" w:cs="宋体"/>
          <w:bCs/>
          <w:szCs w:val="21"/>
          <w:highlight w:val="none"/>
        </w:rPr>
        <w:t>并保证所提供的全部资料的真实性。</w:t>
      </w:r>
      <w:bookmarkEnd w:id="28"/>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10.2</w:t>
      </w:r>
      <w:r>
        <w:rPr>
          <w:rFonts w:hint="eastAsia" w:ascii="宋体" w:hAnsi="宋体" w:cs="宋体"/>
          <w:szCs w:val="21"/>
          <w:highlight w:val="none"/>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highlight w:val="none"/>
        </w:rPr>
      </w:pPr>
      <w:r>
        <w:rPr>
          <w:rFonts w:hint="eastAsia" w:hAnsi="宋体" w:cs="宋体"/>
          <w:bCs/>
          <w:highlight w:val="none"/>
        </w:rPr>
        <w:t>10.3</w:t>
      </w:r>
      <w:r>
        <w:rPr>
          <w:rFonts w:hint="eastAsia" w:hAnsi="宋体" w:cs="宋体"/>
          <w:highlight w:val="none"/>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10.5谈判单位提交的响应文件应按谈判文件中提供的响应文件格式编制。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Ansi="宋体"/>
          <w:b/>
          <w:bCs/>
          <w:szCs w:val="21"/>
          <w:highlight w:val="none"/>
        </w:rPr>
      </w:pPr>
      <w:r>
        <w:rPr>
          <w:rFonts w:hint="eastAsia" w:ascii="宋体" w:hAnsi="宋体"/>
          <w:b/>
          <w:bCs/>
          <w:szCs w:val="21"/>
          <w:highlight w:val="none"/>
        </w:rPr>
        <w:t>10.6</w:t>
      </w:r>
      <w:r>
        <w:rPr>
          <w:rFonts w:hint="eastAsia" w:hAnsi="宋体"/>
          <w:b/>
          <w:bCs/>
          <w:szCs w:val="21"/>
          <w:highlight w:val="none"/>
        </w:rPr>
        <w:t>响应</w:t>
      </w:r>
      <w:r>
        <w:rPr>
          <w:rFonts w:hAnsi="宋体"/>
          <w:b/>
          <w:bCs/>
          <w:szCs w:val="21"/>
          <w:highlight w:val="none"/>
        </w:rPr>
        <w:t>文件应当对</w:t>
      </w:r>
      <w:r>
        <w:rPr>
          <w:rFonts w:hint="eastAsia" w:hAnsi="宋体"/>
          <w:b/>
          <w:bCs/>
          <w:szCs w:val="21"/>
          <w:highlight w:val="none"/>
        </w:rPr>
        <w:t>谈判</w:t>
      </w:r>
      <w:r>
        <w:rPr>
          <w:rFonts w:hAnsi="宋体"/>
          <w:b/>
          <w:bCs/>
          <w:szCs w:val="21"/>
          <w:highlight w:val="none"/>
        </w:rPr>
        <w:t>文件的实质性要求和条件作出满足性或更有利于</w:t>
      </w:r>
      <w:r>
        <w:rPr>
          <w:rFonts w:hint="eastAsia" w:hAnsi="宋体"/>
          <w:b/>
          <w:bCs/>
          <w:szCs w:val="21"/>
          <w:highlight w:val="none"/>
        </w:rPr>
        <w:t>采购单位</w:t>
      </w:r>
      <w:r>
        <w:rPr>
          <w:rFonts w:hAnsi="宋体"/>
          <w:b/>
          <w:bCs/>
          <w:szCs w:val="21"/>
          <w:highlight w:val="none"/>
        </w:rPr>
        <w:t>的响应，</w:t>
      </w:r>
      <w:bookmarkStart w:id="29" w:name="page22"/>
      <w:bookmarkEnd w:id="29"/>
      <w:r>
        <w:rPr>
          <w:rFonts w:hAnsi="宋体"/>
          <w:b/>
          <w:bCs/>
          <w:szCs w:val="21"/>
          <w:highlight w:val="none"/>
        </w:rPr>
        <w:t>否则，</w:t>
      </w:r>
      <w:r>
        <w:rPr>
          <w:rFonts w:hint="eastAsia" w:hAnsi="宋体"/>
          <w:b/>
          <w:bCs/>
          <w:szCs w:val="21"/>
          <w:highlight w:val="none"/>
        </w:rPr>
        <w:t>谈判单位</w:t>
      </w:r>
      <w:r>
        <w:rPr>
          <w:rFonts w:hAnsi="宋体"/>
          <w:b/>
          <w:bCs/>
          <w:szCs w:val="21"/>
          <w:highlight w:val="none"/>
        </w:rPr>
        <w:t>的投标将被否决。实质性要求和条件见</w:t>
      </w:r>
      <w:r>
        <w:rPr>
          <w:rFonts w:hint="eastAsia" w:hAnsi="宋体"/>
          <w:b/>
          <w:bCs/>
          <w:szCs w:val="21"/>
          <w:highlight w:val="none"/>
        </w:rPr>
        <w:t>谈判</w:t>
      </w:r>
      <w:r>
        <w:rPr>
          <w:rFonts w:hAnsi="宋体"/>
          <w:b/>
          <w:bCs/>
          <w:szCs w:val="21"/>
          <w:highlight w:val="none"/>
        </w:rPr>
        <w:t>须知前附表。</w:t>
      </w:r>
    </w:p>
    <w:p>
      <w:pPr>
        <w:adjustRightInd w:val="0"/>
        <w:snapToGrid w:val="0"/>
        <w:spacing w:line="360" w:lineRule="auto"/>
        <w:ind w:firstLine="422" w:firstLineChars="200"/>
        <w:rPr>
          <w:rFonts w:hint="eastAsia" w:ascii="宋体" w:hAnsi="宋体" w:cs="宋体"/>
          <w:b/>
          <w:bCs/>
          <w:szCs w:val="21"/>
          <w:highlight w:val="none"/>
        </w:rPr>
      </w:pPr>
    </w:p>
    <w:p>
      <w:pPr>
        <w:adjustRightInd w:val="0"/>
        <w:snapToGrid w:val="0"/>
        <w:spacing w:line="360" w:lineRule="auto"/>
        <w:ind w:firstLine="422" w:firstLineChars="200"/>
        <w:rPr>
          <w:rFonts w:hint="eastAsia" w:ascii="宋体" w:hAnsi="宋体" w:cs="宋体"/>
          <w:b/>
          <w:bCs/>
          <w:szCs w:val="21"/>
          <w:highlight w:val="none"/>
        </w:rPr>
      </w:pP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11.</w:t>
      </w:r>
      <w:r>
        <w:rPr>
          <w:rFonts w:hint="eastAsia" w:ascii="宋体" w:hAnsi="宋体" w:cs="宋体"/>
          <w:b/>
          <w:szCs w:val="21"/>
          <w:highlight w:val="none"/>
        </w:rPr>
        <w:t>响应文件</w:t>
      </w:r>
      <w:r>
        <w:rPr>
          <w:rFonts w:hint="eastAsia" w:ascii="宋体" w:hAnsi="宋体" w:cs="宋体"/>
          <w:b/>
          <w:bCs/>
          <w:szCs w:val="21"/>
          <w:highlight w:val="none"/>
        </w:rPr>
        <w:t>的组成</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11.1响应文件应包括下列内容：</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（1）谈判承诺书</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（2）法定代表人身份证明书</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（3）授权委托书</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（4）谈判单位资格条件证明文件</w:t>
      </w:r>
    </w:p>
    <w:p>
      <w:pPr>
        <w:pStyle w:val="25"/>
        <w:adjustRightInd w:val="0"/>
        <w:snapToGrid w:val="0"/>
        <w:spacing w:line="360" w:lineRule="auto"/>
        <w:ind w:firstLine="420" w:firstLineChars="200"/>
        <w:rPr>
          <w:rFonts w:hint="eastAsia" w:hAnsi="宋体" w:cs="宋体"/>
          <w:highlight w:val="none"/>
        </w:rPr>
      </w:pPr>
      <w:r>
        <w:rPr>
          <w:rFonts w:hint="eastAsia" w:hAnsi="宋体" w:cs="宋体"/>
          <w:highlight w:val="none"/>
        </w:rPr>
        <w:t>（5）报价一览表</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w:t>
      </w:r>
      <w:r>
        <w:rPr>
          <w:rFonts w:hint="eastAsia" w:hAnsi="宋体" w:cs="宋体"/>
          <w:highlight w:val="none"/>
          <w:lang w:val="en-US" w:eastAsia="zh-CN"/>
        </w:rPr>
        <w:t>6</w:t>
      </w:r>
      <w:r>
        <w:rPr>
          <w:rFonts w:hint="eastAsia" w:hAnsi="宋体" w:cs="宋体"/>
          <w:highlight w:val="none"/>
        </w:rPr>
        <w:t>）分项价格表</w:t>
      </w:r>
    </w:p>
    <w:p>
      <w:pPr>
        <w:pStyle w:val="25"/>
        <w:adjustRightInd w:val="0"/>
        <w:snapToGrid w:val="0"/>
        <w:spacing w:line="360" w:lineRule="auto"/>
        <w:ind w:firstLine="420" w:firstLineChars="200"/>
        <w:rPr>
          <w:rFonts w:hint="eastAsia" w:hAnsi="宋体" w:eastAsia="宋体" w:cs="宋体"/>
          <w:highlight w:val="none"/>
          <w:lang w:val="en-US" w:eastAsia="zh-CN"/>
        </w:rPr>
      </w:pPr>
      <w:r>
        <w:rPr>
          <w:rFonts w:hint="eastAsia" w:hAnsi="宋体" w:cs="宋体"/>
          <w:highlight w:val="none"/>
        </w:rPr>
        <w:t>（</w:t>
      </w:r>
      <w:r>
        <w:rPr>
          <w:rFonts w:hint="eastAsia" w:hAnsi="宋体" w:cs="宋体"/>
          <w:highlight w:val="none"/>
          <w:lang w:val="en-US" w:eastAsia="zh-CN"/>
        </w:rPr>
        <w:t>7</w:t>
      </w:r>
      <w:r>
        <w:rPr>
          <w:rFonts w:hint="eastAsia" w:hAnsi="宋体" w:cs="宋体"/>
          <w:highlight w:val="none"/>
        </w:rPr>
        <w:t>）其他资料（如有）</w:t>
      </w:r>
      <w:r>
        <w:rPr>
          <w:rFonts w:hint="eastAsia" w:hAnsi="宋体" w:cs="宋体"/>
          <w:highlight w:val="none"/>
          <w:lang w:val="en-US" w:eastAsia="zh-CN"/>
        </w:rPr>
        <w:t xml:space="preserve"> </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11.2在谈判过程中，谈判单位根据</w:t>
      </w:r>
      <w:r>
        <w:rPr>
          <w:rFonts w:hint="eastAsia" w:hAnsi="宋体" w:cs="宋体"/>
          <w:kern w:val="0"/>
          <w:highlight w:val="none"/>
        </w:rPr>
        <w:t>谈判评审小组</w:t>
      </w:r>
      <w:r>
        <w:rPr>
          <w:rFonts w:hint="eastAsia" w:hAnsi="宋体" w:cs="宋体"/>
          <w:bCs/>
          <w:highlight w:val="none"/>
        </w:rPr>
        <w:t>要求</w:t>
      </w:r>
      <w:r>
        <w:rPr>
          <w:rFonts w:hint="eastAsia" w:hAnsi="宋体" w:cs="宋体"/>
          <w:kern w:val="0"/>
          <w:highlight w:val="none"/>
        </w:rPr>
        <w:t>提交的</w:t>
      </w:r>
      <w:r>
        <w:rPr>
          <w:rFonts w:hint="eastAsia" w:hAnsi="宋体" w:cs="宋体"/>
          <w:highlight w:val="none"/>
        </w:rPr>
        <w:t>书面承诺或其他文件是响应文件的有效组成部分。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11.3谈判单位无论成交与否，其递交的响应文件均不予退还。</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12.报价要求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12.1</w:t>
      </w:r>
      <w:r>
        <w:rPr>
          <w:rFonts w:hint="eastAsia" w:ascii="宋体" w:hAnsi="宋体" w:cs="宋体"/>
          <w:b/>
          <w:bCs/>
          <w:szCs w:val="21"/>
          <w:highlight w:val="none"/>
        </w:rPr>
        <w:t>本项目为一轮报价</w:t>
      </w:r>
      <w:r>
        <w:rPr>
          <w:rFonts w:hint="eastAsia" w:ascii="宋体" w:hAnsi="宋体" w:cs="宋体"/>
          <w:szCs w:val="21"/>
          <w:highlight w:val="none"/>
        </w:rPr>
        <w:t>。谈判单位应按第六章“响应文件格式”的要求在报价文件中进行报价。谈判单位所报的总价不得超过最高限价，不超过最高限价的谈判总报价为有效报价，谈判时需明确税费，税率必须符合国家政策法规规定，合同支付时服务单位需开具经</w:t>
      </w:r>
      <w:r>
        <w:rPr>
          <w:rFonts w:hint="eastAsia" w:ascii="宋体" w:hAnsi="宋体" w:cs="宋体"/>
          <w:b/>
          <w:szCs w:val="21"/>
          <w:highlight w:val="none"/>
        </w:rPr>
        <w:t>采购单位</w:t>
      </w:r>
      <w:r>
        <w:rPr>
          <w:rFonts w:hint="eastAsia" w:ascii="宋体" w:hAnsi="宋体" w:cs="宋体"/>
          <w:szCs w:val="21"/>
          <w:highlight w:val="none"/>
        </w:rPr>
        <w:t>认可的合法完税单据。</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12.2谈判单位应充分了解该项目的总体情况以及影响谈判报价的其他要素。</w:t>
      </w:r>
      <w:r>
        <w:rPr>
          <w:rFonts w:hint="eastAsia" w:ascii="宋体" w:hAnsi="宋体" w:cs="宋体"/>
          <w:b/>
          <w:szCs w:val="21"/>
          <w:highlight w:val="none"/>
        </w:rPr>
        <w:t>最终结算以长沙市轨道交通运营有限公司审核为准。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12.4本项目最高限价见</w:t>
      </w:r>
      <w:r>
        <w:rPr>
          <w:rFonts w:hint="eastAsia" w:ascii="宋体" w:hAnsi="宋体" w:cs="宋体"/>
          <w:b/>
          <w:szCs w:val="21"/>
          <w:highlight w:val="none"/>
        </w:rPr>
        <w:t>前附表</w:t>
      </w:r>
      <w:r>
        <w:rPr>
          <w:rFonts w:hint="eastAsia" w:ascii="宋体" w:hAnsi="宋体" w:cs="宋体"/>
          <w:szCs w:val="21"/>
          <w:highlight w:val="none"/>
        </w:rPr>
        <w:t>。</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12.5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12.6谈判单位递交两份或多份内容不同的报价文件，或在一份报价文件中对同一项目报有两个或多个报价，且未声明哪一个有效的，将被认为是非实质响应被拒绝。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12.7最低报价不能作为中选的保证。</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13.响应文件有效期</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13.1响应文件有效期见</w:t>
      </w:r>
      <w:r>
        <w:rPr>
          <w:rFonts w:hint="eastAsia" w:ascii="宋体" w:hAnsi="宋体" w:cs="宋体"/>
          <w:b/>
          <w:szCs w:val="21"/>
          <w:highlight w:val="none"/>
        </w:rPr>
        <w:t>前附表</w:t>
      </w:r>
      <w:r>
        <w:rPr>
          <w:rFonts w:hint="eastAsia" w:ascii="宋体" w:hAnsi="宋体" w:cs="宋体"/>
          <w:szCs w:val="21"/>
          <w:highlight w:val="none"/>
        </w:rPr>
        <w:t>，在此期间响应文件对谈判单位具有法律约束力，从</w:t>
      </w:r>
      <w:r>
        <w:rPr>
          <w:rFonts w:hint="eastAsia" w:ascii="宋体" w:hAnsi="宋体" w:cs="宋体"/>
          <w:b/>
          <w:szCs w:val="21"/>
          <w:highlight w:val="none"/>
        </w:rPr>
        <w:t>前附表</w:t>
      </w:r>
      <w:r>
        <w:rPr>
          <w:rFonts w:hint="eastAsia" w:ascii="宋体" w:hAnsi="宋体" w:cs="宋体"/>
          <w:szCs w:val="21"/>
          <w:highlight w:val="none"/>
        </w:rPr>
        <w:t>规定的</w:t>
      </w:r>
      <w:r>
        <w:rPr>
          <w:rFonts w:hint="eastAsia" w:ascii="宋体" w:hAnsi="宋体" w:cs="宋体"/>
          <w:kern w:val="0"/>
          <w:szCs w:val="21"/>
          <w:highlight w:val="none"/>
        </w:rPr>
        <w:t>响应文件递交截止时间</w:t>
      </w:r>
      <w:r>
        <w:rPr>
          <w:rFonts w:hint="eastAsia" w:ascii="宋体" w:hAnsi="宋体" w:cs="宋体"/>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14.响应文件的编制</w:t>
      </w:r>
    </w:p>
    <w:p>
      <w:pPr>
        <w:pStyle w:val="357"/>
        <w:ind w:firstLine="420" w:firstLineChars="200"/>
        <w:jc w:val="both"/>
        <w:rPr>
          <w:rFonts w:hAnsi="宋体" w:cs="宋体"/>
          <w:sz w:val="21"/>
          <w:szCs w:val="21"/>
          <w:highlight w:val="none"/>
        </w:rPr>
      </w:pPr>
      <w:r>
        <w:rPr>
          <w:rFonts w:hint="eastAsia" w:hAnsi="宋体" w:cs="宋体"/>
          <w:sz w:val="21"/>
          <w:szCs w:val="21"/>
          <w:highlight w:val="none"/>
        </w:rPr>
        <w:t>14.1响应文件应按</w:t>
      </w:r>
      <w:r>
        <w:rPr>
          <w:rFonts w:hint="eastAsia" w:hAnsi="宋体" w:cs="宋体"/>
          <w:b/>
          <w:bCs/>
          <w:sz w:val="21"/>
          <w:szCs w:val="21"/>
          <w:highlight w:val="none"/>
        </w:rPr>
        <w:t>第六章</w:t>
      </w:r>
      <w:r>
        <w:rPr>
          <w:rFonts w:hint="eastAsia" w:hAnsi="宋体" w:cs="宋体"/>
          <w:sz w:val="21"/>
          <w:szCs w:val="21"/>
          <w:highlight w:val="none"/>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14.2响应文件应用不褪色的材料书写或打印（建议双面打印），并按</w:t>
      </w:r>
      <w:r>
        <w:rPr>
          <w:rFonts w:hint="eastAsia" w:hAnsi="宋体" w:cs="宋体"/>
          <w:b/>
          <w:bCs/>
          <w:highlight w:val="none"/>
        </w:rPr>
        <w:t>第六章</w:t>
      </w:r>
      <w:r>
        <w:rPr>
          <w:rFonts w:hint="eastAsia" w:hAnsi="宋体" w:cs="宋体"/>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highlight w:val="none"/>
        </w:rPr>
        <w:t>第六章</w:t>
      </w:r>
      <w:r>
        <w:rPr>
          <w:rFonts w:hint="eastAsia" w:hAnsi="宋体" w:cs="宋体"/>
          <w:highlight w:val="none"/>
        </w:rPr>
        <w:t>“响应文件格式”的要求。</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highlight w:val="none"/>
        </w:rPr>
        <w:t>“正本”</w:t>
      </w:r>
      <w:r>
        <w:rPr>
          <w:rFonts w:hint="eastAsia" w:hAnsi="宋体" w:cs="宋体"/>
          <w:highlight w:val="none"/>
        </w:rPr>
        <w:t>或</w:t>
      </w:r>
      <w:r>
        <w:rPr>
          <w:rFonts w:hint="eastAsia" w:hAnsi="宋体" w:cs="宋体"/>
          <w:b/>
          <w:bCs/>
          <w:highlight w:val="none"/>
        </w:rPr>
        <w:t>“副本”</w:t>
      </w:r>
      <w:r>
        <w:rPr>
          <w:rFonts w:hint="eastAsia" w:hAnsi="宋体" w:cs="宋体"/>
          <w:highlight w:val="none"/>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highlight w:val="none"/>
        </w:rPr>
      </w:pPr>
      <w:bookmarkStart w:id="30" w:name="_Toc14891071"/>
      <w:bookmarkStart w:id="31" w:name="_Toc13675"/>
      <w:r>
        <w:rPr>
          <w:rFonts w:hint="eastAsia" w:ascii="宋体" w:hAnsi="宋体" w:cs="宋体"/>
          <w:sz w:val="21"/>
          <w:szCs w:val="21"/>
          <w:highlight w:val="none"/>
        </w:rPr>
        <w:t>四、响应文件的递交</w:t>
      </w:r>
      <w:bookmarkEnd w:id="30"/>
      <w:bookmarkEnd w:id="31"/>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15.</w:t>
      </w:r>
      <w:r>
        <w:rPr>
          <w:rFonts w:hint="eastAsia" w:ascii="宋体" w:hAnsi="宋体" w:cs="宋体"/>
          <w:b/>
          <w:szCs w:val="21"/>
          <w:highlight w:val="none"/>
        </w:rPr>
        <w:t>响应文件</w:t>
      </w:r>
      <w:r>
        <w:rPr>
          <w:rFonts w:hint="eastAsia" w:ascii="宋体" w:hAnsi="宋体" w:cs="宋体"/>
          <w:b/>
          <w:bCs/>
          <w:szCs w:val="21"/>
          <w:highlight w:val="none"/>
        </w:rPr>
        <w:t>的密封</w:t>
      </w:r>
    </w:p>
    <w:p>
      <w:pPr>
        <w:adjustRightInd w:val="0"/>
        <w:snapToGrid w:val="0"/>
        <w:spacing w:line="360" w:lineRule="auto"/>
        <w:ind w:firstLine="420" w:firstLineChars="200"/>
        <w:rPr>
          <w:rFonts w:ascii="宋体" w:hAnsi="宋体" w:cs="宋体"/>
          <w:b/>
          <w:bCs/>
          <w:szCs w:val="21"/>
          <w:highlight w:val="none"/>
        </w:rPr>
      </w:pPr>
      <w:r>
        <w:rPr>
          <w:rFonts w:hint="eastAsia" w:ascii="宋体" w:hAnsi="宋体" w:cs="宋体"/>
          <w:szCs w:val="21"/>
          <w:highlight w:val="none"/>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16.响应文件的标记</w:t>
      </w:r>
    </w:p>
    <w:p>
      <w:pPr>
        <w:adjustRightInd w:val="0"/>
        <w:snapToGrid w:val="0"/>
        <w:spacing w:line="360" w:lineRule="auto"/>
        <w:ind w:firstLine="420" w:firstLineChars="200"/>
        <w:rPr>
          <w:rFonts w:ascii="宋体" w:hAnsi="宋体" w:cs="宋体"/>
          <w:b/>
          <w:bCs/>
          <w:szCs w:val="21"/>
          <w:highlight w:val="none"/>
        </w:rPr>
      </w:pPr>
      <w:r>
        <w:rPr>
          <w:rFonts w:hint="eastAsia" w:ascii="宋体" w:hAnsi="宋体" w:cs="宋体"/>
          <w:szCs w:val="21"/>
          <w:highlight w:val="none"/>
        </w:rPr>
        <w:t>16.1</w:t>
      </w:r>
      <w:r>
        <w:rPr>
          <w:rFonts w:hint="eastAsia" w:ascii="宋体" w:hAnsi="宋体" w:cs="宋体"/>
          <w:bCs/>
          <w:szCs w:val="21"/>
          <w:highlight w:val="none"/>
        </w:rPr>
        <w:t>响应文件的密封封套上须写明如下内容</w:t>
      </w:r>
      <w:r>
        <w:rPr>
          <w:rFonts w:hint="eastAsia" w:ascii="宋体" w:hAnsi="宋体" w:cs="宋体"/>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highlight w:val="none"/>
                <w:u w:val="single"/>
              </w:rPr>
            </w:pPr>
            <w:r>
              <w:rPr>
                <w:rFonts w:hint="eastAsia" w:ascii="宋体" w:hAnsi="宋体" w:cs="宋体"/>
                <w:szCs w:val="21"/>
                <w:highlight w:val="none"/>
              </w:rPr>
              <w:t>采购单位：</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p>
          <w:p>
            <w:pPr>
              <w:spacing w:line="360" w:lineRule="auto"/>
              <w:rPr>
                <w:rFonts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rPr>
                <w:rFonts w:ascii="宋体" w:hAnsi="宋体" w:cs="宋体"/>
                <w:szCs w:val="21"/>
                <w:highlight w:val="none"/>
                <w:u w:val="single"/>
              </w:rPr>
            </w:pPr>
            <w:r>
              <w:rPr>
                <w:rFonts w:hint="eastAsia" w:ascii="宋体" w:hAnsi="宋体" w:cs="宋体"/>
                <w:szCs w:val="21"/>
                <w:highlight w:val="none"/>
              </w:rPr>
              <w:t>谈判单位：</w:t>
            </w:r>
            <w:r>
              <w:rPr>
                <w:rFonts w:hint="eastAsia" w:ascii="宋体" w:hAnsi="宋体" w:cs="宋体"/>
                <w:szCs w:val="21"/>
                <w:highlight w:val="none"/>
                <w:u w:val="single"/>
              </w:rPr>
              <w:t xml:space="preserve">（填写单位名称并加盖单位公章）         </w:t>
            </w:r>
          </w:p>
          <w:p>
            <w:pPr>
              <w:spacing w:line="360" w:lineRule="auto"/>
              <w:ind w:firstLine="840" w:firstLineChars="400"/>
              <w:rPr>
                <w:rFonts w:ascii="宋体" w:hAnsi="宋体" w:cs="宋体"/>
                <w:szCs w:val="21"/>
                <w:highlight w:val="none"/>
              </w:rPr>
            </w:pPr>
            <w:r>
              <w:rPr>
                <w:rFonts w:hint="eastAsia" w:ascii="宋体" w:hAnsi="宋体" w:cs="宋体"/>
                <w:bCs/>
                <w:szCs w:val="21"/>
                <w:highlight w:val="none"/>
              </w:rPr>
              <w:t>年  月  日</w:t>
            </w:r>
          </w:p>
        </w:tc>
      </w:tr>
    </w:tbl>
    <w:p>
      <w:pPr>
        <w:adjustRightInd w:val="0"/>
        <w:snapToGrid w:val="0"/>
        <w:spacing w:line="360" w:lineRule="auto"/>
        <w:ind w:firstLine="413" w:firstLineChars="196"/>
        <w:rPr>
          <w:rFonts w:ascii="宋体" w:hAnsi="宋体" w:cs="宋体"/>
          <w:b/>
          <w:bCs/>
          <w:color w:val="FF0000"/>
          <w:szCs w:val="21"/>
          <w:highlight w:val="none"/>
        </w:rPr>
      </w:pP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17.响应文件的递交</w:t>
      </w:r>
    </w:p>
    <w:p>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17.1谈判单位应按要求在</w:t>
      </w:r>
      <w:r>
        <w:rPr>
          <w:rFonts w:hint="eastAsia" w:ascii="宋体" w:hAnsi="宋体" w:cs="宋体"/>
          <w:kern w:val="0"/>
          <w:szCs w:val="21"/>
          <w:highlight w:val="none"/>
        </w:rPr>
        <w:t>响应文件递交截止时间</w:t>
      </w:r>
      <w:r>
        <w:rPr>
          <w:rFonts w:hint="eastAsia" w:ascii="宋体" w:hAnsi="宋体" w:cs="宋体"/>
          <w:szCs w:val="21"/>
          <w:highlight w:val="none"/>
        </w:rPr>
        <w:t>前，将响应文件送达指定地点，响应文件递交截止时间、地点及要求见</w:t>
      </w:r>
      <w:r>
        <w:rPr>
          <w:rFonts w:hint="eastAsia" w:ascii="宋体" w:hAnsi="宋体" w:cs="宋体"/>
          <w:b/>
          <w:szCs w:val="21"/>
          <w:highlight w:val="none"/>
        </w:rPr>
        <w:t>前附表</w:t>
      </w:r>
      <w:r>
        <w:rPr>
          <w:rFonts w:hint="eastAsia" w:ascii="宋体" w:hAnsi="宋体" w:cs="宋体"/>
          <w:szCs w:val="21"/>
          <w:highlight w:val="none"/>
        </w:rPr>
        <w:t>。</w:t>
      </w:r>
      <w:r>
        <w:rPr>
          <w:rFonts w:hint="eastAsia" w:ascii="宋体" w:hAnsi="宋体" w:cs="宋体"/>
          <w:kern w:val="0"/>
          <w:szCs w:val="21"/>
          <w:highlight w:val="none"/>
        </w:rPr>
        <w:t>在截止时间后送达的响应文件，采购单位应当拒收。</w:t>
      </w:r>
    </w:p>
    <w:p>
      <w:pPr>
        <w:adjustRightInd w:val="0"/>
        <w:snapToGrid w:val="0"/>
        <w:spacing w:line="360" w:lineRule="auto"/>
        <w:ind w:firstLine="420" w:firstLineChars="200"/>
        <w:rPr>
          <w:rFonts w:ascii="宋体" w:hAnsi="宋体" w:cs="宋体"/>
          <w:b/>
          <w:szCs w:val="21"/>
          <w:highlight w:val="none"/>
        </w:rPr>
      </w:pPr>
      <w:r>
        <w:rPr>
          <w:rFonts w:hint="eastAsia" w:ascii="宋体" w:hAnsi="宋体" w:cs="宋体"/>
          <w:bCs/>
          <w:szCs w:val="21"/>
          <w:highlight w:val="none"/>
        </w:rPr>
        <w:t>17.2采购单位在</w:t>
      </w:r>
      <w:r>
        <w:rPr>
          <w:rFonts w:hint="eastAsia" w:ascii="宋体" w:hAnsi="宋体" w:cs="宋体"/>
          <w:b/>
          <w:bCs/>
          <w:szCs w:val="21"/>
          <w:highlight w:val="none"/>
        </w:rPr>
        <w:t>前附表</w:t>
      </w:r>
      <w:r>
        <w:rPr>
          <w:rFonts w:hint="eastAsia" w:ascii="宋体" w:hAnsi="宋体" w:cs="宋体"/>
          <w:bCs/>
          <w:szCs w:val="21"/>
          <w:highlight w:val="none"/>
        </w:rPr>
        <w:t>规定的谈判时间和地点，组织谈判单位签到并接收谈判文件。</w:t>
      </w:r>
    </w:p>
    <w:p>
      <w:pPr>
        <w:pStyle w:val="4"/>
        <w:keepNext w:val="0"/>
        <w:keepLines w:val="0"/>
        <w:rPr>
          <w:rFonts w:ascii="宋体" w:hAnsi="宋体" w:cs="宋体"/>
          <w:sz w:val="21"/>
          <w:szCs w:val="21"/>
          <w:highlight w:val="none"/>
        </w:rPr>
      </w:pPr>
      <w:bookmarkStart w:id="32" w:name="_Toc24002"/>
      <w:bookmarkStart w:id="33" w:name="_Toc14891072"/>
      <w:r>
        <w:rPr>
          <w:rFonts w:hint="eastAsia" w:ascii="宋体" w:hAnsi="宋体" w:cs="宋体"/>
          <w:sz w:val="21"/>
          <w:szCs w:val="21"/>
          <w:highlight w:val="none"/>
        </w:rPr>
        <w:t>五、响应文件的评审</w:t>
      </w:r>
      <w:bookmarkEnd w:id="32"/>
      <w:bookmarkEnd w:id="33"/>
    </w:p>
    <w:p>
      <w:pPr>
        <w:adjustRightInd w:val="0"/>
        <w:snapToGrid w:val="0"/>
        <w:spacing w:line="360" w:lineRule="auto"/>
        <w:ind w:firstLine="420" w:firstLineChars="200"/>
        <w:rPr>
          <w:rFonts w:ascii="宋体" w:hAnsi="宋体" w:cs="宋体"/>
          <w:b/>
          <w:szCs w:val="21"/>
          <w:highlight w:val="none"/>
        </w:rPr>
      </w:pPr>
      <w:r>
        <w:rPr>
          <w:rFonts w:hint="eastAsia" w:ascii="宋体" w:hAnsi="宋体" w:cs="宋体"/>
          <w:bCs/>
          <w:szCs w:val="21"/>
          <w:highlight w:val="none"/>
        </w:rPr>
        <w:t>18.评审由谈判评审小组负责，谈判评审小组应按照本谈判文件第三章“评审办法及标准”的内容和程序对响应文件进行评审。</w:t>
      </w:r>
    </w:p>
    <w:p>
      <w:pPr>
        <w:pStyle w:val="4"/>
        <w:keepNext w:val="0"/>
        <w:keepLines w:val="0"/>
        <w:rPr>
          <w:rFonts w:ascii="宋体" w:hAnsi="宋体" w:cs="宋体"/>
          <w:sz w:val="21"/>
          <w:szCs w:val="21"/>
          <w:highlight w:val="none"/>
        </w:rPr>
      </w:pPr>
      <w:bookmarkStart w:id="34" w:name="_Toc2955"/>
      <w:bookmarkStart w:id="35" w:name="_Toc14891073"/>
      <w:r>
        <w:rPr>
          <w:rFonts w:hint="eastAsia" w:ascii="宋体" w:hAnsi="宋体" w:cs="宋体"/>
          <w:sz w:val="21"/>
          <w:szCs w:val="21"/>
          <w:highlight w:val="none"/>
        </w:rPr>
        <w:t>六、响应文件的澄清、说明及补正</w:t>
      </w:r>
      <w:bookmarkEnd w:id="34"/>
      <w:bookmarkEnd w:id="35"/>
    </w:p>
    <w:p>
      <w:pPr>
        <w:widowControl/>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19.澄清</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19.1谈判评审小组可就响应文件中含糊之处要求谈判单位进行解释或澄清，谈判单位必须按照要求派法定代表人或授权委托人进行答疑和澄清。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20.说明及补正</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highlight w:val="none"/>
        </w:rPr>
      </w:pPr>
      <w:r>
        <w:rPr>
          <w:rFonts w:hint="eastAsia" w:ascii="宋体" w:hAnsi="宋体" w:cs="宋体"/>
          <w:kern w:val="0"/>
          <w:szCs w:val="21"/>
          <w:highlight w:val="none"/>
        </w:rPr>
        <w:t>20.3与谈判文件有重大偏离的响应文件将被拒绝。重大偏离指谈判总报价、谈判有效期、服务期明显不能满足谈判文件的要求。这些偏离不允许在响应文件递交截止时间之后修正。</w:t>
      </w:r>
    </w:p>
    <w:p>
      <w:pPr>
        <w:pStyle w:val="4"/>
        <w:keepNext w:val="0"/>
        <w:keepLines w:val="0"/>
        <w:rPr>
          <w:rFonts w:ascii="宋体" w:hAnsi="宋体" w:cs="宋体"/>
          <w:sz w:val="21"/>
          <w:szCs w:val="21"/>
          <w:highlight w:val="none"/>
        </w:rPr>
      </w:pPr>
      <w:bookmarkStart w:id="36" w:name="_Toc14518"/>
      <w:bookmarkStart w:id="37" w:name="_Toc14891074"/>
      <w:r>
        <w:rPr>
          <w:rFonts w:hint="eastAsia" w:ascii="宋体" w:hAnsi="宋体" w:cs="宋体"/>
          <w:sz w:val="21"/>
          <w:szCs w:val="21"/>
          <w:highlight w:val="none"/>
        </w:rPr>
        <w:t>七、中选结果与授予合同</w:t>
      </w:r>
      <w:bookmarkEnd w:id="36"/>
      <w:bookmarkEnd w:id="37"/>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21.中选信息的公布</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21.1中选单位确定后，采购单位应将结果信息在</w:t>
      </w:r>
      <w:r>
        <w:rPr>
          <w:rFonts w:hint="eastAsia" w:hAnsi="宋体" w:cs="宋体"/>
          <w:b/>
          <w:highlight w:val="none"/>
        </w:rPr>
        <w:t>前附表</w:t>
      </w:r>
      <w:r>
        <w:rPr>
          <w:rFonts w:hint="eastAsia" w:hAnsi="宋体" w:cs="宋体"/>
          <w:highlight w:val="none"/>
        </w:rPr>
        <w:t>指定的媒体上公布，</w:t>
      </w:r>
      <w:r>
        <w:rPr>
          <w:rFonts w:hint="eastAsia" w:hAnsi="宋体" w:cs="宋体"/>
          <w:b/>
          <w:bCs/>
          <w:highlight w:val="none"/>
        </w:rPr>
        <w:t>公示期限为3个工作日</w:t>
      </w:r>
      <w:r>
        <w:rPr>
          <w:rFonts w:hint="eastAsia" w:hAnsi="宋体" w:cs="宋体"/>
          <w:highlight w:val="none"/>
        </w:rPr>
        <w:t>。</w:t>
      </w:r>
    </w:p>
    <w:p>
      <w:pPr>
        <w:pStyle w:val="25"/>
        <w:adjustRightInd w:val="0"/>
        <w:snapToGrid w:val="0"/>
        <w:spacing w:line="360" w:lineRule="auto"/>
        <w:ind w:firstLine="422" w:firstLineChars="200"/>
        <w:rPr>
          <w:rFonts w:hAnsi="宋体" w:cs="宋体"/>
          <w:b/>
          <w:bCs/>
          <w:highlight w:val="none"/>
        </w:rPr>
      </w:pPr>
      <w:r>
        <w:rPr>
          <w:rFonts w:hint="eastAsia" w:hAnsi="宋体" w:cs="宋体"/>
          <w:b/>
          <w:bCs/>
          <w:highlight w:val="none"/>
        </w:rPr>
        <w:t>22.评审结果异议</w:t>
      </w:r>
    </w:p>
    <w:p>
      <w:pPr>
        <w:pStyle w:val="25"/>
        <w:adjustRightInd w:val="0"/>
        <w:snapToGrid w:val="0"/>
        <w:spacing w:line="360" w:lineRule="auto"/>
        <w:ind w:firstLine="420" w:firstLineChars="200"/>
        <w:rPr>
          <w:rFonts w:hAnsi="宋体" w:cs="宋体"/>
          <w:b/>
          <w:highlight w:val="none"/>
        </w:rPr>
      </w:pPr>
      <w:r>
        <w:rPr>
          <w:rFonts w:hint="eastAsia" w:hAnsi="宋体" w:cs="宋体"/>
          <w:kern w:val="0"/>
          <w:highlight w:val="none"/>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23.中选通知</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24.签订合同</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24.2中选单位应当在中选通知书发出后及时与采购单位签订合同。</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24.3中选单位应当按照合同约定履行义务。</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25.纪律和监督</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25.1对采购单位的纪律要求</w:t>
      </w:r>
    </w:p>
    <w:p>
      <w:pPr>
        <w:pStyle w:val="357"/>
        <w:ind w:firstLine="420" w:firstLineChars="200"/>
        <w:jc w:val="both"/>
        <w:rPr>
          <w:rFonts w:hAnsi="宋体" w:cs="宋体"/>
          <w:sz w:val="21"/>
          <w:szCs w:val="21"/>
          <w:highlight w:val="none"/>
        </w:rPr>
      </w:pPr>
      <w:r>
        <w:rPr>
          <w:rFonts w:hint="eastAsia" w:hAnsi="宋体" w:cs="宋体"/>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25.2对谈判单位的纪律要求</w:t>
      </w:r>
    </w:p>
    <w:p>
      <w:pPr>
        <w:pStyle w:val="357"/>
        <w:ind w:firstLine="420" w:firstLineChars="200"/>
        <w:jc w:val="both"/>
        <w:rPr>
          <w:rFonts w:hAnsi="宋体" w:cs="宋体"/>
          <w:sz w:val="21"/>
          <w:szCs w:val="21"/>
          <w:highlight w:val="none"/>
        </w:rPr>
      </w:pPr>
      <w:r>
        <w:rPr>
          <w:rFonts w:hint="eastAsia" w:hAnsi="宋体" w:cs="宋体"/>
          <w:sz w:val="21"/>
          <w:szCs w:val="21"/>
          <w:highlight w:val="none"/>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25.3对</w:t>
      </w:r>
      <w:r>
        <w:rPr>
          <w:rFonts w:hint="eastAsia" w:ascii="宋体" w:hAnsi="宋体" w:cs="宋体"/>
          <w:b/>
          <w:szCs w:val="21"/>
          <w:highlight w:val="none"/>
        </w:rPr>
        <w:t>谈判评审小组</w:t>
      </w:r>
      <w:r>
        <w:rPr>
          <w:rFonts w:hint="eastAsia" w:ascii="宋体" w:hAnsi="宋体" w:cs="宋体"/>
          <w:b/>
          <w:bCs/>
          <w:szCs w:val="21"/>
          <w:highlight w:val="none"/>
        </w:rPr>
        <w:t>成员的纪律要求</w:t>
      </w:r>
    </w:p>
    <w:p>
      <w:pPr>
        <w:pStyle w:val="357"/>
        <w:ind w:firstLine="420" w:firstLineChars="200"/>
        <w:jc w:val="both"/>
        <w:rPr>
          <w:rFonts w:hAnsi="宋体" w:cs="宋体"/>
          <w:sz w:val="21"/>
          <w:szCs w:val="21"/>
          <w:highlight w:val="none"/>
        </w:rPr>
      </w:pPr>
      <w:r>
        <w:rPr>
          <w:rFonts w:hint="eastAsia" w:hAnsi="宋体" w:cs="宋体"/>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8" w:name="page32"/>
      <w:bookmarkEnd w:id="38"/>
      <w:r>
        <w:rPr>
          <w:rFonts w:hint="eastAsia" w:hAnsi="宋体" w:cs="宋体"/>
          <w:sz w:val="21"/>
          <w:szCs w:val="21"/>
          <w:highlight w:val="none"/>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25.4对与评审活动有关的工作人员的纪律要求</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highlight w:val="none"/>
        </w:rPr>
      </w:pPr>
      <w:bookmarkStart w:id="39" w:name="_Toc19666"/>
      <w:bookmarkStart w:id="40" w:name="_Toc14891075"/>
      <w:r>
        <w:rPr>
          <w:rFonts w:hint="eastAsia" w:ascii="宋体" w:hAnsi="宋体" w:cs="宋体"/>
          <w:sz w:val="21"/>
          <w:szCs w:val="21"/>
          <w:highlight w:val="none"/>
        </w:rPr>
        <w:t>八、其他</w:t>
      </w:r>
      <w:bookmarkEnd w:id="39"/>
      <w:bookmarkEnd w:id="40"/>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中选单位中选后有下列情形之一的，责令限期改正，情节严重的，列入不良行为记录名单，禁止其1至3年内参加长沙市轨道交通运营有限公司招标采购活动，并予以通报：</w:t>
      </w:r>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1.成交后无正当理由不与采购人签订合同的；</w:t>
      </w:r>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2.未按照采购文件确定的事项签订采购合同，或者与采购人另行订立背离合同实质性内容的协议的；</w:t>
      </w:r>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3.拒绝履行合同义务的；</w:t>
      </w:r>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4.违反法律、规章、规范性文件规定的。</w:t>
      </w:r>
    </w:p>
    <w:p>
      <w:pPr>
        <w:adjustRightInd w:val="0"/>
        <w:snapToGrid w:val="0"/>
        <w:spacing w:line="360" w:lineRule="auto"/>
        <w:ind w:firstLine="420" w:firstLineChars="200"/>
        <w:rPr>
          <w:rFonts w:hAnsi="宋体"/>
          <w:szCs w:val="21"/>
          <w:highlight w:val="none"/>
        </w:rPr>
      </w:pPr>
    </w:p>
    <w:p>
      <w:pPr>
        <w:adjustRightInd w:val="0"/>
        <w:snapToGrid w:val="0"/>
        <w:spacing w:line="360" w:lineRule="auto"/>
        <w:ind w:left="964" w:hanging="964" w:hangingChars="300"/>
        <w:jc w:val="center"/>
        <w:rPr>
          <w:rFonts w:ascii="黑体" w:eastAsia="黑体"/>
          <w:b/>
          <w:sz w:val="32"/>
          <w:szCs w:val="32"/>
          <w:highlight w:val="none"/>
        </w:rPr>
        <w:sectPr>
          <w:footerReference r:id="rId4" w:type="default"/>
          <w:pgSz w:w="11906" w:h="16838"/>
          <w:pgMar w:top="1440" w:right="849" w:bottom="1440" w:left="1797" w:header="851" w:footer="851" w:gutter="0"/>
          <w:pgNumType w:fmt="decimal" w:start="1"/>
          <w:cols w:space="720" w:num="1"/>
          <w:docGrid w:linePitch="312" w:charSpace="0"/>
        </w:sectPr>
      </w:pPr>
    </w:p>
    <w:p>
      <w:pPr>
        <w:adjustRightInd w:val="0"/>
        <w:snapToGrid w:val="0"/>
        <w:spacing w:line="360" w:lineRule="auto"/>
        <w:jc w:val="left"/>
        <w:rPr>
          <w:rFonts w:ascii="宋体" w:hAnsi="宋体" w:cs="宋体"/>
          <w:b/>
          <w:bCs/>
          <w:szCs w:val="21"/>
          <w:highlight w:val="none"/>
        </w:rPr>
      </w:pPr>
      <w:r>
        <w:rPr>
          <w:rFonts w:hint="eastAsia" w:ascii="宋体" w:hAnsi="宋体" w:cs="宋体"/>
          <w:b/>
          <w:bCs/>
          <w:szCs w:val="21"/>
          <w:highlight w:val="none"/>
        </w:rPr>
        <w:t>附件：采购代理服务费收费标准</w:t>
      </w:r>
    </w:p>
    <w:p>
      <w:pPr>
        <w:pStyle w:val="13"/>
        <w:jc w:val="center"/>
        <w:rPr>
          <w:highlight w:val="none"/>
        </w:rPr>
      </w:pPr>
      <w:r>
        <w:rPr>
          <w:rFonts w:hint="eastAsia" w:ascii="宋体" w:hAnsi="宋体" w:cs="宋体"/>
          <w:b/>
          <w:szCs w:val="21"/>
          <w:highlight w:val="none"/>
        </w:rPr>
        <w:t>采购代理服务费收费参照汇率表</w:t>
      </w:r>
    </w:p>
    <w:tbl>
      <w:tblPr>
        <w:tblStyle w:val="48"/>
        <w:tblpPr w:leftFromText="180" w:rightFromText="180" w:vertAnchor="text" w:horzAnchor="page" w:tblpXSpec="center" w:tblpY="258"/>
        <w:tblOverlap w:val="neve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Cs w:val="21"/>
                <w:highlight w:val="none"/>
              </w:rPr>
            </w:pPr>
            <w:r>
              <w:rPr>
                <w:rFonts w:hint="eastAsia" w:ascii="宋体" w:hAnsi="宋体"/>
                <w:szCs w:val="21"/>
                <w:highlight w:val="none"/>
              </w:rPr>
              <w:t>汇率</w:t>
            </w:r>
          </w:p>
          <w:p>
            <w:pPr>
              <w:adjustRightInd w:val="0"/>
              <w:snapToGrid w:val="0"/>
              <w:rPr>
                <w:rFonts w:ascii="宋体" w:hAnsi="宋体"/>
                <w:szCs w:val="21"/>
                <w:highlight w:val="none"/>
              </w:rPr>
            </w:pPr>
            <w:r>
              <w:rPr>
                <w:rFonts w:hint="eastAsia" w:ascii="宋体" w:hAnsi="宋体"/>
                <w:szCs w:val="21"/>
                <w:highlight w:val="none"/>
              </w:rPr>
              <w:t>中</w:t>
            </w:r>
            <w:r>
              <w:rPr>
                <w:rFonts w:ascii="宋体" w:hAnsi="宋体"/>
                <w:szCs w:val="21"/>
                <w:highlight w:val="none"/>
              </w:rPr>
              <w:t>选金额</w:t>
            </w:r>
          </w:p>
        </w:tc>
        <w:tc>
          <w:tcPr>
            <w:tcW w:w="2451" w:type="dxa"/>
            <w:tcBorders>
              <w:top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货物</w:t>
            </w:r>
            <w:r>
              <w:rPr>
                <w:rFonts w:ascii="宋体" w:hAnsi="宋体"/>
                <w:szCs w:val="21"/>
                <w:highlight w:val="none"/>
              </w:rPr>
              <w:t>采购</w:t>
            </w:r>
          </w:p>
        </w:tc>
        <w:tc>
          <w:tcPr>
            <w:tcW w:w="2325" w:type="dxa"/>
            <w:tcBorders>
              <w:top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服务</w:t>
            </w:r>
            <w:r>
              <w:rPr>
                <w:rFonts w:ascii="宋体" w:hAnsi="宋体"/>
                <w:szCs w:val="21"/>
                <w:highlight w:val="none"/>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工程</w:t>
            </w:r>
            <w:r>
              <w:rPr>
                <w:rFonts w:ascii="宋体" w:hAnsi="宋体"/>
                <w:szCs w:val="21"/>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100万</w:t>
            </w:r>
            <w:r>
              <w:rPr>
                <w:rFonts w:ascii="宋体" w:hAnsi="宋体"/>
                <w:szCs w:val="21"/>
                <w:highlight w:val="none"/>
              </w:rPr>
              <w:t>元以下</w:t>
            </w:r>
          </w:p>
        </w:tc>
        <w:tc>
          <w:tcPr>
            <w:tcW w:w="2451" w:type="dxa"/>
            <w:vAlign w:val="center"/>
          </w:tcPr>
          <w:p>
            <w:pPr>
              <w:adjustRightInd w:val="0"/>
              <w:snapToGrid w:val="0"/>
              <w:jc w:val="center"/>
              <w:rPr>
                <w:rFonts w:ascii="宋体" w:hAnsi="宋体"/>
                <w:szCs w:val="21"/>
                <w:highlight w:val="none"/>
              </w:rPr>
            </w:pPr>
            <w:r>
              <w:rPr>
                <w:rFonts w:hint="eastAsia" w:ascii="宋体" w:hAnsi="宋体"/>
                <w:szCs w:val="21"/>
                <w:highlight w:val="none"/>
              </w:rPr>
              <w:t>1.5%</w:t>
            </w:r>
          </w:p>
        </w:tc>
        <w:tc>
          <w:tcPr>
            <w:tcW w:w="2325" w:type="dxa"/>
            <w:vAlign w:val="center"/>
          </w:tcPr>
          <w:p>
            <w:pPr>
              <w:adjustRightInd w:val="0"/>
              <w:snapToGrid w:val="0"/>
              <w:jc w:val="center"/>
              <w:rPr>
                <w:rFonts w:ascii="宋体" w:hAnsi="宋体"/>
                <w:szCs w:val="21"/>
                <w:highlight w:val="none"/>
              </w:rPr>
            </w:pPr>
            <w:r>
              <w:rPr>
                <w:rFonts w:hint="eastAsia" w:ascii="宋体" w:hAnsi="宋体"/>
                <w:szCs w:val="21"/>
                <w:highlight w:val="none"/>
              </w:rPr>
              <w:t>1.5%</w:t>
            </w:r>
          </w:p>
        </w:tc>
        <w:tc>
          <w:tcPr>
            <w:tcW w:w="2367" w:type="dxa"/>
            <w:tcBorders>
              <w:right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1.0</w:t>
            </w:r>
            <w:r>
              <w:rPr>
                <w:rFonts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100～400万</w:t>
            </w:r>
            <w:r>
              <w:rPr>
                <w:rFonts w:ascii="宋体" w:hAnsi="宋体"/>
                <w:szCs w:val="21"/>
                <w:highlight w:val="none"/>
              </w:rPr>
              <w:t>元</w:t>
            </w:r>
          </w:p>
        </w:tc>
        <w:tc>
          <w:tcPr>
            <w:tcW w:w="2451" w:type="dxa"/>
            <w:vAlign w:val="center"/>
          </w:tcPr>
          <w:p>
            <w:pPr>
              <w:adjustRightInd w:val="0"/>
              <w:snapToGrid w:val="0"/>
              <w:jc w:val="center"/>
              <w:rPr>
                <w:rFonts w:ascii="宋体" w:hAnsi="宋体"/>
                <w:szCs w:val="21"/>
                <w:highlight w:val="none"/>
              </w:rPr>
            </w:pPr>
            <w:r>
              <w:rPr>
                <w:rFonts w:hint="eastAsia" w:ascii="宋体" w:hAnsi="宋体"/>
                <w:szCs w:val="21"/>
                <w:highlight w:val="none"/>
              </w:rPr>
              <w:t>1.1%</w:t>
            </w:r>
          </w:p>
        </w:tc>
        <w:tc>
          <w:tcPr>
            <w:tcW w:w="2325" w:type="dxa"/>
            <w:vAlign w:val="center"/>
          </w:tcPr>
          <w:p>
            <w:pPr>
              <w:adjustRightInd w:val="0"/>
              <w:snapToGrid w:val="0"/>
              <w:jc w:val="center"/>
              <w:rPr>
                <w:rFonts w:ascii="宋体" w:hAnsi="宋体"/>
                <w:szCs w:val="21"/>
                <w:highlight w:val="none"/>
              </w:rPr>
            </w:pPr>
            <w:r>
              <w:rPr>
                <w:rFonts w:hint="eastAsia" w:ascii="宋体" w:hAnsi="宋体"/>
                <w:szCs w:val="21"/>
                <w:highlight w:val="none"/>
              </w:rPr>
              <w:t>0.8%</w:t>
            </w:r>
          </w:p>
        </w:tc>
        <w:tc>
          <w:tcPr>
            <w:tcW w:w="2367" w:type="dxa"/>
            <w:tcBorders>
              <w:right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Cs w:val="21"/>
                <w:highlight w:val="none"/>
              </w:rPr>
            </w:pPr>
            <w:r>
              <w:rPr>
                <w:rFonts w:hint="eastAsia" w:ascii="宋体" w:hAnsi="宋体"/>
                <w:szCs w:val="21"/>
                <w:highlight w:val="none"/>
              </w:rPr>
              <w:t>采购代理</w:t>
            </w:r>
            <w:r>
              <w:rPr>
                <w:rFonts w:ascii="宋体" w:hAnsi="宋体"/>
                <w:szCs w:val="21"/>
                <w:highlight w:val="none"/>
              </w:rPr>
              <w:t>服务费的收费标准为：以中选价为基数，按《</w:t>
            </w:r>
            <w:r>
              <w:rPr>
                <w:rFonts w:hint="eastAsia" w:ascii="宋体" w:hAnsi="宋体"/>
                <w:szCs w:val="21"/>
                <w:highlight w:val="none"/>
              </w:rPr>
              <w:t>采购</w:t>
            </w:r>
            <w:r>
              <w:rPr>
                <w:rFonts w:ascii="宋体" w:hAnsi="宋体"/>
                <w:szCs w:val="21"/>
                <w:highlight w:val="none"/>
              </w:rPr>
              <w:t>代理服务</w:t>
            </w:r>
            <w:r>
              <w:rPr>
                <w:rFonts w:hint="eastAsia" w:ascii="宋体" w:hAnsi="宋体"/>
                <w:szCs w:val="21"/>
                <w:highlight w:val="none"/>
              </w:rPr>
              <w:t>费</w:t>
            </w:r>
            <w:r>
              <w:rPr>
                <w:rFonts w:ascii="宋体" w:hAnsi="宋体"/>
                <w:szCs w:val="21"/>
                <w:highlight w:val="none"/>
              </w:rPr>
              <w:t>收费参照汇率表》</w:t>
            </w:r>
            <w:r>
              <w:rPr>
                <w:rFonts w:hint="eastAsia" w:ascii="宋体" w:hAnsi="宋体"/>
                <w:szCs w:val="21"/>
                <w:highlight w:val="none"/>
              </w:rPr>
              <w:t>进行</w:t>
            </w:r>
            <w:r>
              <w:rPr>
                <w:rFonts w:ascii="宋体" w:hAnsi="宋体"/>
                <w:szCs w:val="21"/>
                <w:highlight w:val="none"/>
              </w:rPr>
              <w:t>计算后，向中选单位收取。服务</w:t>
            </w:r>
            <w:r>
              <w:rPr>
                <w:rFonts w:hint="eastAsia" w:ascii="宋体" w:hAnsi="宋体"/>
                <w:szCs w:val="21"/>
                <w:highlight w:val="none"/>
              </w:rPr>
              <w:t>费</w:t>
            </w:r>
            <w:r>
              <w:rPr>
                <w:rFonts w:ascii="宋体" w:hAnsi="宋体"/>
                <w:szCs w:val="21"/>
                <w:highlight w:val="none"/>
              </w:rPr>
              <w:t>超过</w:t>
            </w:r>
            <w:r>
              <w:rPr>
                <w:rFonts w:hint="eastAsia" w:ascii="宋体" w:hAnsi="宋体"/>
                <w:szCs w:val="21"/>
                <w:highlight w:val="none"/>
              </w:rPr>
              <w:t>2万</w:t>
            </w:r>
            <w:r>
              <w:rPr>
                <w:rFonts w:ascii="宋体" w:hAnsi="宋体"/>
                <w:szCs w:val="21"/>
                <w:highlight w:val="none"/>
              </w:rPr>
              <w:t>元的，按</w:t>
            </w:r>
            <w:r>
              <w:rPr>
                <w:rFonts w:hint="eastAsia" w:ascii="宋体" w:hAnsi="宋体"/>
                <w:szCs w:val="21"/>
                <w:highlight w:val="none"/>
              </w:rPr>
              <w:t>2万</w:t>
            </w:r>
            <w:r>
              <w:rPr>
                <w:rFonts w:ascii="宋体" w:hAnsi="宋体"/>
                <w:szCs w:val="21"/>
                <w:highlight w:val="none"/>
              </w:rPr>
              <w:t>元</w:t>
            </w:r>
            <w:r>
              <w:rPr>
                <w:rFonts w:hint="eastAsia" w:ascii="宋体" w:hAnsi="宋体"/>
                <w:szCs w:val="21"/>
                <w:highlight w:val="none"/>
              </w:rPr>
              <w:t>计</w:t>
            </w:r>
            <w:r>
              <w:rPr>
                <w:rFonts w:ascii="宋体" w:hAnsi="宋体"/>
                <w:szCs w:val="21"/>
                <w:highlight w:val="none"/>
              </w:rPr>
              <w:t>取，服务费低于</w:t>
            </w:r>
            <w:r>
              <w:rPr>
                <w:rFonts w:hint="eastAsia" w:ascii="宋体" w:hAnsi="宋体"/>
                <w:szCs w:val="21"/>
                <w:highlight w:val="none"/>
              </w:rPr>
              <w:t>5000元</w:t>
            </w:r>
            <w:r>
              <w:rPr>
                <w:rFonts w:ascii="宋体" w:hAnsi="宋体"/>
                <w:szCs w:val="21"/>
                <w:highlight w:val="none"/>
              </w:rPr>
              <w:t>的，按</w:t>
            </w:r>
            <w:r>
              <w:rPr>
                <w:rFonts w:hint="eastAsia" w:ascii="宋体" w:hAnsi="宋体"/>
                <w:szCs w:val="21"/>
                <w:highlight w:val="none"/>
              </w:rPr>
              <w:t>5000元</w:t>
            </w:r>
            <w:r>
              <w:rPr>
                <w:rFonts w:ascii="宋体" w:hAnsi="宋体"/>
                <w:szCs w:val="21"/>
                <w:highlight w:val="none"/>
              </w:rPr>
              <w:t>计取。</w:t>
            </w:r>
          </w:p>
        </w:tc>
      </w:tr>
    </w:tbl>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100万元×1.0%＝1万元</w:t>
      </w:r>
    </w:p>
    <w:p>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（300-100）万元×0.7%＝1.4万元</w:t>
      </w:r>
    </w:p>
    <w:p>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合计收费＝1+1.4＝2.4（万元）</w:t>
      </w:r>
    </w:p>
    <w:p>
      <w:pPr>
        <w:adjustRightInd w:val="0"/>
        <w:snapToGrid w:val="0"/>
        <w:spacing w:line="360" w:lineRule="auto"/>
        <w:ind w:firstLine="420" w:firstLineChars="200"/>
        <w:jc w:val="left"/>
        <w:rPr>
          <w:rFonts w:ascii="宋体" w:hAnsi="宋体" w:cs="宋体"/>
          <w:b/>
          <w:szCs w:val="21"/>
          <w:highlight w:val="none"/>
        </w:rPr>
        <w:sectPr>
          <w:footerReference r:id="rId5" w:type="default"/>
          <w:pgSz w:w="11906" w:h="16838"/>
          <w:pgMar w:top="1440" w:right="1797" w:bottom="1440" w:left="1797" w:header="851" w:footer="851" w:gutter="0"/>
          <w:pgNumType w:fmt="decimal"/>
          <w:cols w:space="720" w:num="1"/>
          <w:docGrid w:linePitch="312" w:charSpace="0"/>
        </w:sectPr>
      </w:pPr>
      <w:r>
        <w:rPr>
          <w:rFonts w:hint="eastAsia" w:ascii="宋体" w:hAnsi="宋体" w:cs="宋体"/>
          <w:szCs w:val="21"/>
          <w:highlight w:val="none"/>
        </w:rPr>
        <w:t>本项目采购代理服务费为2万元</w:t>
      </w:r>
    </w:p>
    <w:p>
      <w:pPr>
        <w:pStyle w:val="3"/>
        <w:keepNext w:val="0"/>
        <w:spacing w:after="240"/>
        <w:rPr>
          <w:rFonts w:hint="eastAsia" w:ascii="宋体" w:hAnsi="宋体" w:cs="宋体"/>
          <w:sz w:val="32"/>
          <w:szCs w:val="32"/>
          <w:highlight w:val="none"/>
        </w:rPr>
      </w:pPr>
      <w:bookmarkStart w:id="41" w:name="_Toc28427"/>
      <w:bookmarkStart w:id="42" w:name="_Toc16404"/>
      <w:bookmarkStart w:id="43" w:name="_Toc4275"/>
      <w:bookmarkStart w:id="44" w:name="_Toc5567"/>
      <w:r>
        <w:rPr>
          <w:rFonts w:hint="eastAsia" w:ascii="宋体" w:hAnsi="宋体" w:cs="宋体"/>
          <w:sz w:val="32"/>
          <w:szCs w:val="32"/>
          <w:highlight w:val="none"/>
        </w:rPr>
        <w:t>第三章  评审办法及标准</w:t>
      </w:r>
      <w:bookmarkEnd w:id="41"/>
      <w:bookmarkEnd w:id="42"/>
      <w:bookmarkEnd w:id="43"/>
      <w:bookmarkEnd w:id="44"/>
    </w:p>
    <w:p>
      <w:pPr>
        <w:adjustRightInd w:val="0"/>
        <w:snapToGrid w:val="0"/>
        <w:spacing w:line="360" w:lineRule="auto"/>
        <w:ind w:left="632" w:hanging="632" w:hangingChars="300"/>
        <w:rPr>
          <w:rFonts w:ascii="宋体" w:hAnsi="宋体" w:cs="宋体"/>
          <w:b/>
          <w:szCs w:val="21"/>
          <w:highlight w:val="none"/>
        </w:rPr>
      </w:pPr>
    </w:p>
    <w:p>
      <w:pPr>
        <w:adjustRightInd w:val="0"/>
        <w:snapToGrid w:val="0"/>
        <w:spacing w:line="360" w:lineRule="auto"/>
        <w:ind w:left="632" w:hanging="632" w:hangingChars="300"/>
        <w:rPr>
          <w:rFonts w:ascii="宋体" w:hAnsi="宋体" w:cs="宋体"/>
          <w:b/>
          <w:szCs w:val="21"/>
          <w:highlight w:val="none"/>
        </w:rPr>
      </w:pPr>
      <w:r>
        <w:rPr>
          <w:rFonts w:hint="eastAsia" w:ascii="宋体" w:hAnsi="宋体" w:cs="宋体"/>
          <w:b/>
          <w:szCs w:val="21"/>
          <w:highlight w:val="none"/>
        </w:rPr>
        <w:t>一、评审办法</w:t>
      </w:r>
    </w:p>
    <w:p>
      <w:pPr>
        <w:widowControl/>
        <w:adjustRightInd w:val="0"/>
        <w:snapToGrid w:val="0"/>
        <w:spacing w:line="360" w:lineRule="auto"/>
        <w:ind w:firstLine="420" w:firstLineChars="200"/>
        <w:rPr>
          <w:rFonts w:ascii="宋体" w:hAnsi="宋体" w:cs="宋体"/>
          <w:b/>
          <w:szCs w:val="21"/>
          <w:highlight w:val="none"/>
        </w:rPr>
      </w:pPr>
      <w:r>
        <w:rPr>
          <w:rFonts w:hint="eastAsia" w:ascii="宋体" w:hAnsi="宋体" w:cs="宋体"/>
          <w:bCs/>
          <w:szCs w:val="21"/>
          <w:highlight w:val="none"/>
        </w:rPr>
        <w:t>1.本项目采用经符合性审查合格后的</w:t>
      </w:r>
      <w:r>
        <w:rPr>
          <w:rFonts w:hint="eastAsia" w:ascii="宋体" w:hAnsi="宋体" w:cs="宋体"/>
          <w:b/>
          <w:bCs/>
          <w:szCs w:val="21"/>
          <w:highlight w:val="none"/>
          <w:u w:val="single"/>
        </w:rPr>
        <w:t>最低价法</w:t>
      </w:r>
      <w:r>
        <w:rPr>
          <w:rFonts w:hint="eastAsia" w:ascii="宋体" w:hAnsi="宋体" w:cs="宋体"/>
          <w:szCs w:val="21"/>
          <w:highlight w:val="none"/>
        </w:rPr>
        <w:t>。</w:t>
      </w:r>
    </w:p>
    <w:p>
      <w:pPr>
        <w:adjustRightInd w:val="0"/>
        <w:snapToGrid w:val="0"/>
        <w:spacing w:line="360" w:lineRule="auto"/>
        <w:ind w:left="632" w:hanging="632" w:hangingChars="300"/>
        <w:rPr>
          <w:rFonts w:ascii="宋体" w:hAnsi="宋体" w:cs="宋体"/>
          <w:b/>
          <w:szCs w:val="21"/>
          <w:highlight w:val="none"/>
        </w:rPr>
      </w:pPr>
      <w:r>
        <w:rPr>
          <w:rFonts w:hint="eastAsia" w:ascii="宋体" w:hAnsi="宋体" w:cs="宋体"/>
          <w:b/>
          <w:szCs w:val="21"/>
          <w:highlight w:val="none"/>
        </w:rPr>
        <w:t>二、谈判程序</w:t>
      </w:r>
    </w:p>
    <w:p>
      <w:pPr>
        <w:widowControl/>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highlight w:val="none"/>
        </w:rPr>
      </w:pPr>
      <w:r>
        <w:rPr>
          <w:rFonts w:hint="eastAsia" w:ascii="宋体" w:hAnsi="宋体" w:cs="宋体"/>
          <w:bCs/>
          <w:szCs w:val="21"/>
          <w:highlight w:val="none"/>
        </w:rPr>
        <w:t>2.2谈判程序分为：</w:t>
      </w:r>
      <w:r>
        <w:rPr>
          <w:rFonts w:hint="eastAsia" w:ascii="宋体" w:hAnsi="宋体" w:cs="宋体"/>
          <w:b/>
          <w:szCs w:val="21"/>
          <w:highlight w:val="none"/>
        </w:rPr>
        <w:t>谈判验证阶段及谈判评审阶段。</w:t>
      </w:r>
    </w:p>
    <w:p>
      <w:pPr>
        <w:adjustRightInd w:val="0"/>
        <w:snapToGrid w:val="0"/>
        <w:spacing w:line="360" w:lineRule="auto"/>
        <w:ind w:left="632" w:hanging="632" w:hangingChars="300"/>
        <w:rPr>
          <w:rFonts w:ascii="宋体" w:hAnsi="宋体" w:cs="宋体"/>
          <w:b/>
          <w:szCs w:val="21"/>
          <w:highlight w:val="none"/>
        </w:rPr>
      </w:pPr>
      <w:r>
        <w:rPr>
          <w:rFonts w:hint="eastAsia" w:ascii="宋体" w:hAnsi="宋体" w:cs="宋体"/>
          <w:b/>
          <w:szCs w:val="21"/>
          <w:highlight w:val="none"/>
        </w:rPr>
        <w:t>三、谈判验证阶段</w:t>
      </w:r>
    </w:p>
    <w:p>
      <w:pPr>
        <w:widowControl/>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3.1身份验证阶段</w:t>
      </w:r>
    </w:p>
    <w:p>
      <w:pPr>
        <w:widowControl/>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bCs/>
          <w:szCs w:val="21"/>
          <w:highlight w:val="none"/>
        </w:rPr>
        <w:t>3.1.2参与谈判的代表身份经验证不合格的，视为无效响应，</w:t>
      </w:r>
      <w:r>
        <w:rPr>
          <w:rFonts w:hint="eastAsia" w:ascii="宋体" w:hAnsi="宋体" w:cs="宋体"/>
          <w:szCs w:val="21"/>
          <w:highlight w:val="none"/>
        </w:rPr>
        <w:t>不得进入下一阶段。</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3.2.唱价阶段</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3.2.2谈判单位法定代表人或授权委托人、现场监督员、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szCs w:val="21"/>
          <w:highlight w:val="none"/>
        </w:rPr>
      </w:pPr>
      <w:r>
        <w:rPr>
          <w:rFonts w:hint="eastAsia" w:ascii="宋体" w:hAnsi="宋体" w:cs="宋体"/>
          <w:b/>
          <w:szCs w:val="21"/>
          <w:highlight w:val="none"/>
        </w:rPr>
        <w:t>四、谈判评审阶段</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谈判评审阶段分为符合性审查、详细评审及推荐中选单位。</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4.符合性审查阶段</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4.1资格的符合性审查</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谈判评审</w:t>
      </w:r>
      <w:r>
        <w:rPr>
          <w:rFonts w:hint="eastAsia" w:ascii="宋体" w:hAnsi="宋体" w:cs="宋体"/>
          <w:bCs/>
          <w:szCs w:val="21"/>
          <w:highlight w:val="none"/>
        </w:rPr>
        <w:t>小组</w:t>
      </w:r>
      <w:r>
        <w:rPr>
          <w:rFonts w:hint="eastAsia" w:ascii="宋体" w:hAnsi="宋体" w:cs="宋体"/>
          <w:szCs w:val="21"/>
          <w:highlight w:val="none"/>
        </w:rPr>
        <w:t>根据本谈判文件</w:t>
      </w:r>
      <w:r>
        <w:rPr>
          <w:rFonts w:hint="eastAsia" w:ascii="宋体" w:hAnsi="宋体" w:cs="宋体"/>
          <w:b/>
          <w:szCs w:val="21"/>
          <w:highlight w:val="none"/>
        </w:rPr>
        <w:t>前附表</w:t>
      </w:r>
      <w:r>
        <w:rPr>
          <w:rFonts w:hint="eastAsia" w:ascii="宋体" w:hAnsi="宋体" w:cs="宋体"/>
          <w:szCs w:val="21"/>
          <w:highlight w:val="none"/>
        </w:rPr>
        <w:t>内规定的谈判单位资格要求，对谈判单位进行符合性审查，资格审查以谈判单位递交的</w:t>
      </w:r>
      <w:r>
        <w:rPr>
          <w:highlight w:val="none"/>
        </w:rPr>
        <w:t>相关资料</w:t>
      </w:r>
      <w:r>
        <w:rPr>
          <w:rFonts w:hint="eastAsia" w:ascii="宋体" w:hAnsi="宋体" w:cs="宋体"/>
          <w:szCs w:val="21"/>
          <w:highlight w:val="none"/>
        </w:rPr>
        <w:t>为准。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4.2报价的符合性审查</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（1）未按照谈判文件规定要求签署盖章的。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（2）响应</w:t>
      </w:r>
      <w:r>
        <w:rPr>
          <w:rFonts w:hint="eastAsia" w:ascii="宋体" w:hAnsi="宋体" w:cs="宋体"/>
          <w:kern w:val="0"/>
          <w:szCs w:val="21"/>
          <w:highlight w:val="none"/>
        </w:rPr>
        <w:t>文件有效期不满足谈判文件规定的。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（3）不满足资格条件要求的。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（4）不满足用户需求书要求的。</w:t>
      </w:r>
    </w:p>
    <w:p>
      <w:pPr>
        <w:adjustRightInd w:val="0"/>
        <w:snapToGrid w:val="0"/>
        <w:spacing w:line="360" w:lineRule="auto"/>
        <w:ind w:firstLine="420" w:firstLineChars="200"/>
        <w:rPr>
          <w:rFonts w:ascii="宋体" w:hAnsi="宋体" w:cs="宋体"/>
          <w:kern w:val="0"/>
          <w:szCs w:val="21"/>
          <w:highlight w:val="none"/>
        </w:rPr>
      </w:pPr>
      <w:r>
        <w:rPr>
          <w:rFonts w:hint="eastAsia" w:ascii="宋体" w:hAnsi="宋体"/>
          <w:szCs w:val="21"/>
          <w:highlight w:val="none"/>
        </w:rPr>
        <w:t>（5）</w:t>
      </w:r>
      <w:r>
        <w:rPr>
          <w:rFonts w:hint="eastAsia" w:ascii="宋体" w:hAnsi="宋体" w:cs="宋体"/>
          <w:kern w:val="0"/>
          <w:szCs w:val="21"/>
          <w:highlight w:val="none"/>
        </w:rPr>
        <w:t>谈判总报价超过</w:t>
      </w:r>
      <w:r>
        <w:rPr>
          <w:rFonts w:hint="eastAsia" w:ascii="宋体" w:hAnsi="宋体"/>
          <w:szCs w:val="21"/>
          <w:highlight w:val="none"/>
        </w:rPr>
        <w:t>谈判最高限价的</w:t>
      </w:r>
      <w:r>
        <w:rPr>
          <w:rFonts w:hint="eastAsia" w:ascii="宋体" w:hAnsi="宋体" w:cs="宋体"/>
          <w:kern w:val="0"/>
          <w:szCs w:val="21"/>
          <w:highlight w:val="none"/>
        </w:rPr>
        <w:t>。</w:t>
      </w:r>
    </w:p>
    <w:p>
      <w:pPr>
        <w:pStyle w:val="13"/>
        <w:spacing w:line="360" w:lineRule="auto"/>
        <w:ind w:left="0" w:leftChars="0" w:firstLine="420" w:firstLineChars="200"/>
        <w:rPr>
          <w:rFonts w:ascii="宋体" w:hAnsi="宋体"/>
          <w:szCs w:val="21"/>
          <w:highlight w:val="none"/>
        </w:rPr>
      </w:pPr>
      <w:r>
        <w:rPr>
          <w:rFonts w:hint="eastAsia" w:ascii="宋体" w:hAnsi="宋体"/>
          <w:szCs w:val="21"/>
          <w:highlight w:val="none"/>
        </w:rPr>
        <w:t>（6）未提交投标保证金的。</w:t>
      </w:r>
    </w:p>
    <w:p>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7</w:t>
      </w:r>
      <w:r>
        <w:rPr>
          <w:rFonts w:hint="eastAsia" w:ascii="宋体" w:hAnsi="宋体" w:cs="宋体"/>
          <w:kern w:val="0"/>
          <w:szCs w:val="21"/>
          <w:highlight w:val="none"/>
        </w:rPr>
        <w:t>）</w:t>
      </w:r>
      <w:r>
        <w:rPr>
          <w:rFonts w:hint="eastAsia" w:ascii="宋体" w:hAnsi="宋体"/>
          <w:szCs w:val="21"/>
          <w:highlight w:val="none"/>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szCs w:val="21"/>
          <w:highlight w:val="none"/>
        </w:rPr>
        <w:t>5.</w:t>
      </w:r>
      <w:r>
        <w:rPr>
          <w:rFonts w:hint="eastAsia" w:ascii="宋体" w:hAnsi="宋体" w:cs="宋体"/>
          <w:b/>
          <w:bCs/>
          <w:szCs w:val="21"/>
          <w:highlight w:val="none"/>
        </w:rPr>
        <w:t>详细评审阶段</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（1）</w:t>
      </w:r>
      <w:r>
        <w:rPr>
          <w:rFonts w:hint="eastAsia" w:ascii="宋体" w:hAnsi="宋体" w:cs="宋体"/>
          <w:kern w:val="0"/>
          <w:szCs w:val="21"/>
          <w:highlight w:val="none"/>
        </w:rPr>
        <w:t>以经谈判评审小组一致认定满足《竞争性谈判文件》要求且</w:t>
      </w:r>
      <w:bookmarkStart w:id="45" w:name="_Hlk70673845"/>
      <w:r>
        <w:rPr>
          <w:rFonts w:hint="eastAsia" w:ascii="宋体" w:hAnsi="宋体" w:cs="宋体"/>
          <w:b/>
          <w:bCs/>
          <w:kern w:val="0"/>
          <w:szCs w:val="21"/>
          <w:highlight w:val="none"/>
        </w:rPr>
        <w:t>谈判总报价</w:t>
      </w:r>
      <w:bookmarkEnd w:id="45"/>
      <w:r>
        <w:rPr>
          <w:rFonts w:hint="eastAsia" w:ascii="宋体" w:hAnsi="宋体" w:cs="宋体"/>
          <w:kern w:val="0"/>
          <w:szCs w:val="21"/>
          <w:highlight w:val="none"/>
        </w:rPr>
        <w:t>最低的报价为基准价，其得分为满分。</w:t>
      </w:r>
    </w:p>
    <w:p>
      <w:pPr>
        <w:adjustRightInd w:val="0"/>
        <w:snapToGrid w:val="0"/>
        <w:spacing w:line="360" w:lineRule="auto"/>
        <w:ind w:firstLine="420" w:firstLineChars="200"/>
        <w:rPr>
          <w:rFonts w:ascii="宋体" w:hAnsi="宋体" w:cs="宋体"/>
          <w:b/>
          <w:bCs/>
          <w:szCs w:val="21"/>
          <w:highlight w:val="none"/>
        </w:rPr>
      </w:pPr>
      <w:r>
        <w:rPr>
          <w:rFonts w:hint="eastAsia" w:ascii="宋体" w:hAnsi="宋体" w:cs="宋体"/>
          <w:szCs w:val="21"/>
          <w:highlight w:val="none"/>
        </w:rPr>
        <w:t>（2）</w:t>
      </w:r>
      <w:r>
        <w:rPr>
          <w:rFonts w:hint="eastAsia" w:ascii="宋体" w:hAnsi="宋体" w:cs="宋体"/>
          <w:kern w:val="0"/>
          <w:szCs w:val="21"/>
          <w:highlight w:val="none"/>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highlight w:val="none"/>
        </w:rPr>
      </w:pPr>
      <w:r>
        <w:rPr>
          <w:rFonts w:hint="eastAsia" w:ascii="宋体" w:hAnsi="宋体" w:cs="宋体"/>
          <w:b/>
          <w:bCs/>
          <w:szCs w:val="21"/>
          <w:highlight w:val="none"/>
        </w:rPr>
        <w:t>6.推荐中选单位</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bCs/>
          <w:szCs w:val="21"/>
          <w:highlight w:val="none"/>
        </w:rPr>
        <w:t>6.1</w:t>
      </w:r>
      <w:r>
        <w:rPr>
          <w:rFonts w:hint="eastAsia" w:ascii="宋体" w:hAnsi="宋体" w:cs="宋体"/>
          <w:kern w:val="0"/>
          <w:szCs w:val="21"/>
          <w:highlight w:val="none"/>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6.2全部评审结束后，若出现报价得分相同的情形，则采用现场抽签方式确定中选单位。</w:t>
      </w:r>
    </w:p>
    <w:p>
      <w:pPr>
        <w:rPr>
          <w:rFonts w:ascii="宋体" w:hAnsi="宋体"/>
          <w:bCs/>
          <w:szCs w:val="21"/>
          <w:highlight w:val="none"/>
        </w:rPr>
        <w:sectPr>
          <w:pgSz w:w="11906" w:h="16838"/>
          <w:pgMar w:top="1440" w:right="1797" w:bottom="1440" w:left="1797" w:header="851" w:footer="851" w:gutter="0"/>
          <w:pgNumType w:fmt="decimal"/>
          <w:cols w:space="720" w:num="1"/>
          <w:docGrid w:linePitch="312" w:charSpace="0"/>
        </w:sectPr>
      </w:pPr>
      <w:r>
        <w:rPr>
          <w:rFonts w:hint="eastAsia" w:ascii="宋体" w:hAnsi="宋体" w:cs="宋体"/>
          <w:kern w:val="0"/>
          <w:szCs w:val="21"/>
          <w:highlight w:val="none"/>
        </w:rPr>
        <w:br w:type="page"/>
      </w:r>
    </w:p>
    <w:p>
      <w:pPr>
        <w:pStyle w:val="3"/>
        <w:keepNext w:val="0"/>
        <w:spacing w:after="240"/>
        <w:rPr>
          <w:rFonts w:hint="eastAsia" w:ascii="宋体" w:hAnsi="宋体" w:cs="宋体"/>
          <w:sz w:val="32"/>
          <w:szCs w:val="32"/>
          <w:highlight w:val="none"/>
        </w:rPr>
      </w:pPr>
      <w:bookmarkStart w:id="46" w:name="_Toc14891077"/>
      <w:bookmarkStart w:id="47" w:name="_Toc23442"/>
      <w:bookmarkStart w:id="48" w:name="_Toc17562"/>
      <w:bookmarkStart w:id="49" w:name="_Toc17997"/>
      <w:bookmarkStart w:id="50" w:name="_Toc4155"/>
      <w:r>
        <w:rPr>
          <w:rFonts w:hint="eastAsia" w:ascii="宋体" w:hAnsi="宋体" w:cs="宋体"/>
          <w:sz w:val="32"/>
          <w:szCs w:val="32"/>
          <w:highlight w:val="none"/>
        </w:rPr>
        <w:t>第四章  用户需求书</w:t>
      </w:r>
      <w:bookmarkEnd w:id="46"/>
      <w:bookmarkEnd w:id="47"/>
      <w:bookmarkEnd w:id="48"/>
      <w:bookmarkEnd w:id="49"/>
      <w:r>
        <w:rPr>
          <w:rFonts w:hint="eastAsia" w:ascii="宋体" w:hAnsi="宋体" w:cs="宋体"/>
          <w:sz w:val="32"/>
          <w:szCs w:val="32"/>
          <w:highlight w:val="none"/>
        </w:rPr>
        <w:t>（另册）</w:t>
      </w:r>
      <w:bookmarkEnd w:id="50"/>
    </w:p>
    <w:p>
      <w:pPr>
        <w:rPr>
          <w:highlight w:val="none"/>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p>
    <w:p>
      <w:pPr>
        <w:pStyle w:val="3"/>
        <w:keepNext w:val="0"/>
        <w:spacing w:after="240"/>
        <w:rPr>
          <w:rFonts w:hint="eastAsia" w:ascii="宋体" w:hAnsi="宋体" w:cs="宋体"/>
          <w:sz w:val="32"/>
          <w:szCs w:val="32"/>
          <w:highlight w:val="none"/>
        </w:rPr>
      </w:pPr>
      <w:bookmarkStart w:id="51" w:name="_Toc22262"/>
      <w:bookmarkStart w:id="52" w:name="_Toc14319"/>
      <w:bookmarkStart w:id="53" w:name="_Toc17441"/>
      <w:bookmarkStart w:id="54" w:name="_Toc13521"/>
      <w:bookmarkStart w:id="55" w:name="_Toc14891078"/>
      <w:r>
        <w:rPr>
          <w:rFonts w:hint="eastAsia" w:ascii="宋体" w:hAnsi="宋体" w:cs="宋体"/>
          <w:sz w:val="32"/>
          <w:szCs w:val="32"/>
          <w:highlight w:val="none"/>
        </w:rPr>
        <w:t>第五章  合同格式条款</w:t>
      </w:r>
      <w:bookmarkEnd w:id="51"/>
      <w:bookmarkEnd w:id="52"/>
      <w:bookmarkEnd w:id="53"/>
      <w:bookmarkEnd w:id="54"/>
      <w:bookmarkEnd w:id="55"/>
      <w:bookmarkStart w:id="56" w:name="_Toc5097"/>
      <w:bookmarkStart w:id="57" w:name="_Toc29654"/>
      <w:bookmarkStart w:id="58" w:name="_Toc20891"/>
    </w:p>
    <w:p>
      <w:pPr>
        <w:spacing w:line="360" w:lineRule="auto"/>
        <w:jc w:val="left"/>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版本号：CSGDHT-YYBX2018-2020</w:t>
      </w:r>
      <w:r>
        <w:rPr>
          <w:rFonts w:hint="eastAsia" w:ascii="宋体" w:hAnsi="宋体" w:eastAsia="宋体" w:cs="宋体"/>
          <w:b/>
          <w:color w:val="000000" w:themeColor="text1"/>
          <w:sz w:val="24"/>
          <w:highlight w:val="none"/>
          <w:lang w:val="en-US" w:eastAsia="zh-CN"/>
          <w14:textFill>
            <w14:solidFill>
              <w14:schemeClr w14:val="tx1"/>
            </w14:solidFill>
          </w14:textFill>
        </w:rPr>
        <w:t>1215</w:t>
      </w:r>
    </w:p>
    <w:p>
      <w:pPr>
        <w:tabs>
          <w:tab w:val="center" w:pos="4153"/>
          <w:tab w:val="right" w:pos="8306"/>
        </w:tabs>
        <w:adjustRightInd w:val="0"/>
        <w:snapToGrid w:val="0"/>
        <w:spacing w:line="360" w:lineRule="auto"/>
        <w:jc w:val="right"/>
        <w:rPr>
          <w:rFonts w:hint="eastAsia" w:ascii="宋体" w:hAnsi="宋体" w:eastAsia="宋体" w:cs="宋体"/>
          <w:b/>
          <w:color w:val="000000" w:themeColor="text1"/>
          <w:sz w:val="24"/>
          <w:highlight w:val="none"/>
          <w14:textFill>
            <w14:solidFill>
              <w14:schemeClr w14:val="tx1"/>
            </w14:solidFill>
          </w14:textFill>
        </w:rPr>
      </w:pPr>
    </w:p>
    <w:p>
      <w:pPr>
        <w:tabs>
          <w:tab w:val="center" w:pos="4153"/>
          <w:tab w:val="right" w:pos="8306"/>
        </w:tabs>
        <w:wordWrap w:val="0"/>
        <w:adjustRightInd w:val="0"/>
        <w:snapToGrid w:val="0"/>
        <w:spacing w:line="360" w:lineRule="auto"/>
        <w:jc w:val="right"/>
        <w:rPr>
          <w:rFonts w:hint="eastAsia"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合同编号：</w:t>
      </w:r>
      <w:r>
        <w:rPr>
          <w:rFonts w:hint="eastAsia" w:ascii="宋体" w:hAnsi="宋体" w:eastAsia="宋体" w:cs="宋体"/>
          <w:color w:val="000000" w:themeColor="text1"/>
          <w:sz w:val="24"/>
          <w:highlight w:val="none"/>
          <w:u w:val="dotted"/>
          <w14:textFill>
            <w14:solidFill>
              <w14:schemeClr w14:val="tx1"/>
            </w14:solidFill>
          </w14:textFill>
        </w:rPr>
        <w:t xml:space="preserve">          合同【20  】  号</w:t>
      </w:r>
    </w:p>
    <w:p>
      <w:pPr>
        <w:spacing w:line="360" w:lineRule="auto"/>
        <w:jc w:val="both"/>
        <w:rPr>
          <w:rFonts w:hint="eastAsia" w:ascii="宋体" w:hAnsi="宋体" w:eastAsia="宋体" w:cs="宋体"/>
          <w:b/>
          <w:color w:val="000000" w:themeColor="text1"/>
          <w:kern w:val="0"/>
          <w:sz w:val="28"/>
          <w:szCs w:val="28"/>
          <w:highlight w:val="none"/>
          <w14:textFill>
            <w14:solidFill>
              <w14:schemeClr w14:val="tx1"/>
            </w14:solidFill>
          </w14:textFill>
        </w:rPr>
      </w:pPr>
    </w:p>
    <w:p>
      <w:pPr>
        <w:spacing w:line="360" w:lineRule="auto"/>
        <w:jc w:val="both"/>
        <w:rPr>
          <w:rFonts w:hint="eastAsia" w:ascii="宋体" w:hAnsi="宋体" w:eastAsia="宋体" w:cs="宋体"/>
          <w:b/>
          <w:color w:val="000000" w:themeColor="text1"/>
          <w:kern w:val="0"/>
          <w:sz w:val="28"/>
          <w:szCs w:val="28"/>
          <w:highlight w:val="none"/>
          <w14:textFill>
            <w14:solidFill>
              <w14:schemeClr w14:val="tx1"/>
            </w14:solidFill>
          </w14:textFill>
        </w:rPr>
      </w:pPr>
    </w:p>
    <w:p>
      <w:pPr>
        <w:spacing w:line="360" w:lineRule="auto"/>
        <w:jc w:val="center"/>
        <w:rPr>
          <w:rFonts w:hint="eastAsia" w:ascii="宋体" w:hAnsi="宋体" w:eastAsia="宋体" w:cs="宋体"/>
          <w:b/>
          <w:color w:val="000000" w:themeColor="text1"/>
          <w:kern w:val="0"/>
          <w:sz w:val="52"/>
          <w:highlight w:val="none"/>
          <w14:textFill>
            <w14:solidFill>
              <w14:schemeClr w14:val="tx1"/>
            </w14:solidFill>
          </w14:textFill>
        </w:rPr>
      </w:pPr>
      <w:r>
        <w:rPr>
          <w:rFonts w:hint="eastAsia" w:ascii="宋体" w:hAnsi="宋体" w:eastAsia="宋体" w:cs="宋体"/>
          <w:b/>
          <w:color w:val="000000" w:themeColor="text1"/>
          <w:kern w:val="0"/>
          <w:sz w:val="52"/>
          <w:highlight w:val="none"/>
          <w:lang w:eastAsia="zh-CN"/>
          <w14:textFill>
            <w14:solidFill>
              <w14:schemeClr w14:val="tx1"/>
            </w14:solidFill>
          </w14:textFill>
        </w:rPr>
        <w:t>运营期</w:t>
      </w:r>
      <w:r>
        <w:rPr>
          <w:rFonts w:hint="eastAsia" w:ascii="宋体" w:hAnsi="宋体" w:eastAsia="宋体" w:cs="宋体"/>
          <w:b/>
          <w:color w:val="000000" w:themeColor="text1"/>
          <w:kern w:val="0"/>
          <w:sz w:val="52"/>
          <w:highlight w:val="none"/>
          <w14:textFill>
            <w14:solidFill>
              <w14:schemeClr w14:val="tx1"/>
            </w14:solidFill>
          </w14:textFill>
        </w:rPr>
        <w:t>保险合同</w:t>
      </w:r>
    </w:p>
    <w:p>
      <w:pPr>
        <w:adjustRightInd w:val="0"/>
        <w:snapToGrid w:val="0"/>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adjustRightInd w:val="0"/>
        <w:snapToGrid w:val="0"/>
        <w:spacing w:line="360" w:lineRule="auto"/>
        <w:rPr>
          <w:rFonts w:hint="eastAsia" w:ascii="宋体" w:hAnsi="宋体" w:eastAsia="宋体" w:cs="宋体"/>
          <w:b/>
          <w:color w:val="000000" w:themeColor="text1"/>
          <w:sz w:val="30"/>
          <w:szCs w:val="30"/>
          <w:highlight w:val="none"/>
          <w14:textFill>
            <w14:solidFill>
              <w14:schemeClr w14:val="tx1"/>
            </w14:solidFill>
          </w14:textFill>
        </w:rPr>
      </w:pPr>
    </w:p>
    <w:p>
      <w:pPr>
        <w:adjustRightInd w:val="0"/>
        <w:snapToGrid w:val="0"/>
        <w:spacing w:line="360" w:lineRule="auto"/>
        <w:ind w:firstLine="602" w:firstLineChars="200"/>
        <w:rPr>
          <w:rFonts w:hint="eastAsia" w:ascii="宋体" w:hAnsi="宋体" w:eastAsia="宋体" w:cs="宋体"/>
          <w:b/>
          <w:color w:val="000000" w:themeColor="text1"/>
          <w:sz w:val="30"/>
          <w:szCs w:val="30"/>
          <w:highlight w:val="none"/>
          <w:u w:val="dotted"/>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项目名称：</w:t>
      </w:r>
      <w:r>
        <w:rPr>
          <w:rFonts w:hint="eastAsia" w:ascii="宋体" w:hAnsi="宋体" w:eastAsia="宋体" w:cs="宋体"/>
          <w:b/>
          <w:color w:val="000000" w:themeColor="text1"/>
          <w:sz w:val="30"/>
          <w:szCs w:val="30"/>
          <w:highlight w:val="none"/>
          <w:u w:val="dotted"/>
          <w14:textFill>
            <w14:solidFill>
              <w14:schemeClr w14:val="tx1"/>
            </w14:solidFill>
          </w14:textFill>
        </w:rPr>
        <w:t>长沙市轨道交通4号线运营期2022年交通运输行业安全生产责任保险服务项目</w:t>
      </w:r>
    </w:p>
    <w:p>
      <w:pPr>
        <w:adjustRightInd w:val="0"/>
        <w:snapToGrid w:val="0"/>
        <w:spacing w:line="360" w:lineRule="auto"/>
        <w:ind w:firstLine="602" w:firstLineChars="200"/>
        <w:rPr>
          <w:rFonts w:hint="eastAsia" w:ascii="宋体" w:hAnsi="宋体" w:eastAsia="宋体" w:cs="宋体"/>
          <w:b/>
          <w:color w:val="000000" w:themeColor="text1"/>
          <w:sz w:val="30"/>
          <w:szCs w:val="30"/>
          <w:highlight w:val="none"/>
          <w:u w:val="dotted"/>
          <w14:textFill>
            <w14:solidFill>
              <w14:schemeClr w14:val="tx1"/>
            </w14:solidFill>
          </w14:textFill>
        </w:rPr>
      </w:pPr>
    </w:p>
    <w:p>
      <w:pPr>
        <w:adjustRightInd w:val="0"/>
        <w:snapToGrid w:val="0"/>
        <w:spacing w:line="360" w:lineRule="auto"/>
        <w:ind w:firstLine="602" w:firstLineChars="200"/>
        <w:rPr>
          <w:rFonts w:hint="eastAsia" w:ascii="宋体" w:hAnsi="宋体" w:eastAsia="宋体" w:cs="宋体"/>
          <w:color w:val="000000" w:themeColor="text1"/>
          <w:sz w:val="30"/>
          <w:szCs w:val="30"/>
          <w:highlight w:val="none"/>
          <w:u w:val="dotted"/>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项目地点：</w:t>
      </w:r>
      <w:r>
        <w:rPr>
          <w:rFonts w:hint="eastAsia" w:ascii="宋体" w:hAnsi="宋体" w:eastAsia="宋体" w:cs="宋体"/>
          <w:color w:val="000000" w:themeColor="text1"/>
          <w:sz w:val="30"/>
          <w:szCs w:val="30"/>
          <w:highlight w:val="none"/>
          <w:u w:val="dotted"/>
          <w14:textFill>
            <w14:solidFill>
              <w14:schemeClr w14:val="tx1"/>
            </w14:solidFill>
          </w14:textFill>
        </w:rPr>
        <w:t xml:space="preserve">         湖南省长沙市                </w:t>
      </w:r>
    </w:p>
    <w:p>
      <w:pPr>
        <w:adjustRightInd w:val="0"/>
        <w:snapToGrid w:val="0"/>
        <w:spacing w:line="360" w:lineRule="auto"/>
        <w:ind w:firstLine="600" w:firstLineChars="200"/>
        <w:rPr>
          <w:rFonts w:hint="eastAsia" w:ascii="宋体" w:hAnsi="宋体" w:eastAsia="宋体" w:cs="宋体"/>
          <w:color w:val="000000" w:themeColor="text1"/>
          <w:sz w:val="30"/>
          <w:szCs w:val="30"/>
          <w:highlight w:val="none"/>
          <w:u w:val="dotted"/>
          <w14:textFill>
            <w14:solidFill>
              <w14:schemeClr w14:val="tx1"/>
            </w14:solidFill>
          </w14:textFill>
        </w:rPr>
      </w:pPr>
    </w:p>
    <w:p>
      <w:pPr>
        <w:adjustRightInd w:val="0"/>
        <w:snapToGrid w:val="0"/>
        <w:spacing w:line="360" w:lineRule="auto"/>
        <w:ind w:firstLine="602" w:firstLineChars="200"/>
        <w:rPr>
          <w:rFonts w:hint="eastAsia" w:ascii="宋体" w:hAnsi="宋体" w:eastAsia="宋体" w:cs="宋体"/>
          <w:color w:val="000000" w:themeColor="text1"/>
          <w:sz w:val="24"/>
          <w:highlight w:val="none"/>
          <w:u w:val="dotted"/>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投 保 人：</w:t>
      </w:r>
      <w:r>
        <w:rPr>
          <w:rFonts w:hint="eastAsia" w:ascii="宋体" w:hAnsi="宋体" w:eastAsia="宋体" w:cs="宋体"/>
          <w:color w:val="000000" w:themeColor="text1"/>
          <w:sz w:val="24"/>
          <w:highlight w:val="none"/>
          <w:u w:val="dotted"/>
          <w14:textFill>
            <w14:solidFill>
              <w14:schemeClr w14:val="tx1"/>
            </w14:solidFill>
          </w14:textFill>
        </w:rPr>
        <w:t xml:space="preserve">                                              </w:t>
      </w:r>
    </w:p>
    <w:p>
      <w:pPr>
        <w:adjustRightInd w:val="0"/>
        <w:snapToGrid w:val="0"/>
        <w:spacing w:line="360" w:lineRule="auto"/>
        <w:ind w:firstLine="480" w:firstLineChars="200"/>
        <w:rPr>
          <w:rFonts w:hint="eastAsia" w:ascii="宋体" w:hAnsi="宋体" w:eastAsia="宋体" w:cs="宋体"/>
          <w:color w:val="000000" w:themeColor="text1"/>
          <w:sz w:val="24"/>
          <w:highlight w:val="none"/>
          <w:u w:val="dotted"/>
          <w14:textFill>
            <w14:solidFill>
              <w14:schemeClr w14:val="tx1"/>
            </w14:solidFill>
          </w14:textFill>
        </w:rPr>
      </w:pPr>
    </w:p>
    <w:p>
      <w:pPr>
        <w:widowControl/>
        <w:snapToGrid w:val="0"/>
        <w:spacing w:line="360" w:lineRule="auto"/>
        <w:ind w:right="167" w:firstLine="602" w:firstLineChars="200"/>
        <w:rPr>
          <w:rFonts w:hint="eastAsia" w:ascii="宋体" w:hAnsi="宋体" w:eastAsia="宋体" w:cs="宋体"/>
          <w:b/>
          <w:color w:val="000000" w:themeColor="text1"/>
          <w:sz w:val="30"/>
          <w:szCs w:val="30"/>
          <w:highlight w:val="none"/>
          <w:u w:val="dotted"/>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承 保 人：</w:t>
      </w:r>
      <w:r>
        <w:rPr>
          <w:rFonts w:hint="eastAsia" w:ascii="宋体" w:hAnsi="宋体" w:eastAsia="宋体" w:cs="宋体"/>
          <w:color w:val="000000" w:themeColor="text1"/>
          <w:sz w:val="24"/>
          <w:highlight w:val="none"/>
          <w:u w:val="dotted"/>
          <w14:textFill>
            <w14:solidFill>
              <w14:schemeClr w14:val="tx1"/>
            </w14:solidFill>
          </w14:textFill>
        </w:rPr>
        <w:t xml:space="preserve">                                              </w:t>
      </w:r>
    </w:p>
    <w:p>
      <w:pPr>
        <w:widowControl/>
        <w:snapToGrid w:val="0"/>
        <w:spacing w:line="360" w:lineRule="auto"/>
        <w:ind w:right="167"/>
        <w:rPr>
          <w:rFonts w:hint="eastAsia" w:ascii="宋体" w:hAnsi="宋体" w:eastAsia="宋体" w:cs="宋体"/>
          <w:b/>
          <w:color w:val="000000" w:themeColor="text1"/>
          <w:sz w:val="30"/>
          <w:szCs w:val="30"/>
          <w:highlight w:val="none"/>
          <w:u w:val="dotted"/>
          <w14:textFill>
            <w14:solidFill>
              <w14:schemeClr w14:val="tx1"/>
            </w14:solidFill>
          </w14:textFill>
        </w:rPr>
        <w:sectPr>
          <w:footerReference r:id="rId8" w:type="first"/>
          <w:pgSz w:w="11906" w:h="16838"/>
          <w:pgMar w:top="1440" w:right="1800" w:bottom="1440" w:left="1800" w:header="851" w:footer="992" w:gutter="0"/>
          <w:pgNumType w:fmt="decimal"/>
          <w:cols w:space="720" w:num="1"/>
          <w:titlePg/>
          <w:docGrid w:type="lines" w:linePitch="312" w:charSpace="0"/>
        </w:sectPr>
      </w:pPr>
    </w:p>
    <w:p>
      <w:pPr>
        <w:pStyle w:val="32"/>
        <w:tabs>
          <w:tab w:val="right" w:leader="dot" w:pos="8296"/>
        </w:tabs>
        <w:spacing w:line="360" w:lineRule="auto"/>
        <w:ind w:firstLine="643" w:firstLineChars="200"/>
        <w:jc w:val="center"/>
        <w:outlineLvl w:val="0"/>
        <w:rPr>
          <w:rFonts w:hint="eastAsia" w:ascii="宋体" w:hAnsi="宋体" w:eastAsia="宋体" w:cs="宋体"/>
          <w:b/>
          <w:bCs/>
          <w:color w:val="000000" w:themeColor="text1"/>
          <w:sz w:val="32"/>
          <w:highlight w:val="none"/>
          <w14:textFill>
            <w14:solidFill>
              <w14:schemeClr w14:val="tx1"/>
            </w14:solidFill>
          </w14:textFill>
        </w:rPr>
      </w:pPr>
      <w:bookmarkStart w:id="59" w:name="_Toc26202"/>
      <w:r>
        <w:rPr>
          <w:rFonts w:hint="eastAsia" w:ascii="宋体" w:hAnsi="宋体" w:eastAsia="宋体" w:cs="宋体"/>
          <w:b/>
          <w:color w:val="000000" w:themeColor="text1"/>
          <w:sz w:val="32"/>
          <w:szCs w:val="32"/>
          <w:highlight w:val="none"/>
          <w14:textFill>
            <w14:solidFill>
              <w14:schemeClr w14:val="tx1"/>
            </w14:solidFill>
          </w14:textFill>
        </w:rPr>
        <w:t>第一部分 合同协议书</w:t>
      </w:r>
      <w:bookmarkEnd w:id="59"/>
    </w:p>
    <w:p>
      <w:pPr>
        <w:snapToGrid w:val="0"/>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p>
    <w:p>
      <w:pPr>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 保 人：</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pPr>
        <w:widowControl/>
        <w:snapToGrid w:val="0"/>
        <w:spacing w:line="360" w:lineRule="auto"/>
        <w:rPr>
          <w:rFonts w:hint="eastAsia"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承 保 人：</w:t>
      </w:r>
      <w:r>
        <w:rPr>
          <w:rFonts w:hint="eastAsia" w:ascii="宋体" w:hAnsi="宋体" w:eastAsia="宋体" w:cs="宋体"/>
          <w:b/>
          <w:color w:val="000000" w:themeColor="text1"/>
          <w:sz w:val="24"/>
          <w:szCs w:val="24"/>
          <w:highlight w:val="none"/>
          <w:u w:val="single"/>
          <w14:textFill>
            <w14:solidFill>
              <w14:schemeClr w14:val="tx1"/>
            </w14:solidFill>
          </w14:textFill>
        </w:rPr>
        <w:t xml:space="preserve">                       </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w:t>
      </w:r>
      <w:r>
        <w:rPr>
          <w:rFonts w:hint="eastAsia" w:ascii="宋体" w:hAnsi="宋体" w:eastAsia="宋体" w:cs="宋体"/>
          <w:color w:val="000000" w:themeColor="text1"/>
          <w:sz w:val="24"/>
          <w:highlight w:val="none"/>
          <w:lang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》、《中华人民共和国保险法》及有关法律规定，遵循平等、自愿、公平和诚实信用的原则，双方按照“快处快赔、应赔尽赔”原则就下述投保项目的</w:t>
      </w:r>
      <w:r>
        <w:rPr>
          <w:rFonts w:hint="eastAsia" w:ascii="宋体" w:hAnsi="宋体" w:eastAsia="宋体" w:cs="宋体"/>
          <w:color w:val="000000" w:themeColor="text1"/>
          <w:sz w:val="24"/>
          <w:highlight w:val="none"/>
          <w:lang w:eastAsia="zh-CN"/>
          <w14:textFill>
            <w14:solidFill>
              <w14:schemeClr w14:val="tx1"/>
            </w14:solidFill>
          </w14:textFill>
        </w:rPr>
        <w:t>运营期</w:t>
      </w:r>
      <w:r>
        <w:rPr>
          <w:rFonts w:hint="eastAsia" w:ascii="宋体" w:hAnsi="宋体" w:eastAsia="宋体" w:cs="宋体"/>
          <w:color w:val="000000" w:themeColor="text1"/>
          <w:sz w:val="24"/>
          <w:highlight w:val="none"/>
          <w14:textFill>
            <w14:solidFill>
              <w14:schemeClr w14:val="tx1"/>
            </w14:solidFill>
          </w14:textFill>
        </w:rPr>
        <w:t>保险及有关事项协商一致，共同签订本合同。</w:t>
      </w:r>
    </w:p>
    <w:p>
      <w:pPr>
        <w:autoSpaceDE w:val="0"/>
        <w:autoSpaceDN w:val="0"/>
        <w:snapToGrid w:val="0"/>
        <w:spacing w:line="360" w:lineRule="auto"/>
        <w:ind w:firstLine="482" w:firstLineChars="200"/>
        <w:outlineLvl w:val="1"/>
        <w:rPr>
          <w:rFonts w:hint="eastAsia" w:ascii="宋体" w:hAnsi="宋体" w:eastAsia="宋体" w:cs="宋体"/>
          <w:b/>
          <w:color w:val="000000" w:themeColor="text1"/>
          <w:position w:val="6"/>
          <w:sz w:val="24"/>
          <w:highlight w:val="none"/>
          <w:u w:val="single"/>
          <w14:textFill>
            <w14:solidFill>
              <w14:schemeClr w14:val="tx1"/>
            </w14:solidFill>
          </w14:textFill>
        </w:rPr>
      </w:pPr>
      <w:bookmarkStart w:id="60" w:name="_Toc7751"/>
      <w:r>
        <w:rPr>
          <w:rFonts w:hint="eastAsia" w:ascii="宋体" w:hAnsi="宋体" w:eastAsia="宋体" w:cs="宋体"/>
          <w:b/>
          <w:color w:val="000000" w:themeColor="text1"/>
          <w:position w:val="6"/>
          <w:sz w:val="24"/>
          <w:highlight w:val="none"/>
          <w14:textFill>
            <w14:solidFill>
              <w14:schemeClr w14:val="tx1"/>
            </w14:solidFill>
          </w14:textFill>
        </w:rPr>
        <w:t>1、投保项目</w:t>
      </w:r>
      <w:bookmarkEnd w:id="60"/>
    </w:p>
    <w:p>
      <w:pPr>
        <w:autoSpaceDE w:val="0"/>
        <w:autoSpaceDN w:val="0"/>
        <w:snapToGrid w:val="0"/>
        <w:spacing w:line="360" w:lineRule="auto"/>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1.1项目名称：</w:t>
      </w:r>
      <w:r>
        <w:rPr>
          <w:rFonts w:hint="eastAsia" w:ascii="宋体" w:hAnsi="宋体" w:eastAsia="宋体" w:cs="宋体"/>
          <w:b/>
          <w:color w:val="000000" w:themeColor="text1"/>
          <w:sz w:val="24"/>
          <w:highlight w:val="none"/>
          <w:u w:val="single"/>
          <w14:textFill>
            <w14:solidFill>
              <w14:schemeClr w14:val="tx1"/>
            </w14:solidFill>
          </w14:textFill>
        </w:rPr>
        <w:t xml:space="preserve">                          </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1.2项目概况：</w:t>
      </w:r>
      <w:r>
        <w:rPr>
          <w:rFonts w:hint="eastAsia" w:ascii="宋体" w:hAnsi="宋体" w:eastAsia="宋体" w:cs="宋体"/>
          <w:b/>
          <w:color w:val="000000" w:themeColor="text1"/>
          <w:sz w:val="24"/>
          <w:highlight w:val="none"/>
          <w:u w:val="single"/>
          <w14:textFill>
            <w14:solidFill>
              <w14:schemeClr w14:val="tx1"/>
            </w14:solidFill>
          </w14:textFill>
        </w:rPr>
        <w:t xml:space="preserve">                         </w:t>
      </w:r>
    </w:p>
    <w:p>
      <w:pPr>
        <w:adjustRightInd w:val="0"/>
        <w:snapToGrid w:val="0"/>
        <w:spacing w:line="360" w:lineRule="auto"/>
        <w:ind w:firstLine="482" w:firstLineChars="200"/>
        <w:outlineLvl w:val="1"/>
        <w:rPr>
          <w:rFonts w:hint="eastAsia" w:ascii="宋体" w:hAnsi="宋体" w:eastAsia="宋体" w:cs="宋体"/>
          <w:b/>
          <w:color w:val="000000" w:themeColor="text1"/>
          <w:sz w:val="24"/>
          <w:highlight w:val="none"/>
          <w14:textFill>
            <w14:solidFill>
              <w14:schemeClr w14:val="tx1"/>
            </w14:solidFill>
          </w14:textFill>
        </w:rPr>
      </w:pPr>
      <w:bookmarkStart w:id="61" w:name="_Toc22198"/>
      <w:r>
        <w:rPr>
          <w:rFonts w:hint="eastAsia" w:ascii="宋体" w:hAnsi="宋体" w:eastAsia="宋体" w:cs="宋体"/>
          <w:b/>
          <w:color w:val="000000" w:themeColor="text1"/>
          <w:sz w:val="24"/>
          <w:highlight w:val="none"/>
          <w14:textFill>
            <w14:solidFill>
              <w14:schemeClr w14:val="tx1"/>
            </w14:solidFill>
          </w14:textFill>
        </w:rPr>
        <w:t>2、保险险种</w:t>
      </w:r>
      <w:bookmarkEnd w:id="61"/>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保险险种为：□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，具体详见“</w:t>
      </w:r>
      <w:r>
        <w:rPr>
          <w:rFonts w:hint="eastAsia" w:ascii="宋体" w:hAnsi="宋体" w:eastAsia="宋体" w:cs="宋体"/>
          <w:color w:val="000000" w:themeColor="text1"/>
          <w:sz w:val="24"/>
          <w:highlight w:val="none"/>
          <w:lang w:eastAsia="zh-CN"/>
          <w14:textFill>
            <w14:solidFill>
              <w14:schemeClr w14:val="tx1"/>
            </w14:solidFill>
          </w14:textFill>
        </w:rPr>
        <w:t>运营期</w:t>
      </w:r>
      <w:r>
        <w:rPr>
          <w:rFonts w:hint="eastAsia" w:ascii="宋体" w:hAnsi="宋体" w:eastAsia="宋体" w:cs="宋体"/>
          <w:color w:val="000000" w:themeColor="text1"/>
          <w:sz w:val="24"/>
          <w:highlight w:val="none"/>
          <w14:textFill>
            <w14:solidFill>
              <w14:schemeClr w14:val="tx1"/>
            </w14:solidFill>
          </w14:textFill>
        </w:rPr>
        <w:t>保险需求”。</w:t>
      </w:r>
    </w:p>
    <w:p>
      <w:pPr>
        <w:adjustRightInd w:val="0"/>
        <w:snapToGrid w:val="0"/>
        <w:spacing w:line="360" w:lineRule="auto"/>
        <w:ind w:firstLine="482" w:firstLineChars="200"/>
        <w:outlineLvl w:val="1"/>
        <w:rPr>
          <w:rFonts w:hint="eastAsia" w:ascii="宋体" w:hAnsi="宋体" w:eastAsia="宋体" w:cs="宋体"/>
          <w:b/>
          <w:color w:val="000000" w:themeColor="text1"/>
          <w:sz w:val="24"/>
          <w:highlight w:val="none"/>
          <w14:textFill>
            <w14:solidFill>
              <w14:schemeClr w14:val="tx1"/>
            </w14:solidFill>
          </w14:textFill>
        </w:rPr>
      </w:pPr>
      <w:bookmarkStart w:id="62" w:name="_Toc23798"/>
      <w:r>
        <w:rPr>
          <w:rFonts w:hint="eastAsia" w:ascii="宋体" w:hAnsi="宋体" w:eastAsia="宋体" w:cs="宋体"/>
          <w:b/>
          <w:color w:val="000000" w:themeColor="text1"/>
          <w:sz w:val="24"/>
          <w:highlight w:val="none"/>
          <w14:textFill>
            <w14:solidFill>
              <w14:schemeClr w14:val="tx1"/>
            </w14:solidFill>
          </w14:textFill>
        </w:rPr>
        <w:t>3、保险期限及被保险人</w:t>
      </w:r>
      <w:bookmarkEnd w:id="62"/>
    </w:p>
    <w:p>
      <w:pPr>
        <w:adjustRightInd w:val="0"/>
        <w:snapToGrid w:val="0"/>
        <w:spacing w:line="360" w:lineRule="auto"/>
        <w:ind w:firstLine="480" w:firstLineChars="200"/>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3.1保险期限为：</w:t>
      </w:r>
      <w:r>
        <w:rPr>
          <w:rFonts w:hint="eastAsia"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，具体详见“</w:t>
      </w:r>
      <w:r>
        <w:rPr>
          <w:rFonts w:hint="eastAsia" w:ascii="宋体" w:hAnsi="宋体" w:eastAsia="宋体" w:cs="宋体"/>
          <w:color w:val="000000" w:themeColor="text1"/>
          <w:sz w:val="24"/>
          <w:highlight w:val="none"/>
          <w:lang w:eastAsia="zh-CN"/>
          <w14:textFill>
            <w14:solidFill>
              <w14:schemeClr w14:val="tx1"/>
            </w14:solidFill>
          </w14:textFill>
        </w:rPr>
        <w:t>运营期</w:t>
      </w:r>
      <w:r>
        <w:rPr>
          <w:rFonts w:hint="eastAsia" w:ascii="宋体" w:hAnsi="宋体" w:eastAsia="宋体" w:cs="宋体"/>
          <w:color w:val="000000" w:themeColor="text1"/>
          <w:sz w:val="24"/>
          <w:highlight w:val="none"/>
          <w14:textFill>
            <w14:solidFill>
              <w14:schemeClr w14:val="tx1"/>
            </w14:solidFill>
          </w14:textFill>
        </w:rPr>
        <w:t>保险需求”。</w:t>
      </w:r>
    </w:p>
    <w:p>
      <w:pPr>
        <w:adjustRightInd w:val="0"/>
        <w:snapToGrid w:val="0"/>
        <w:spacing w:line="360" w:lineRule="auto"/>
        <w:ind w:firstLine="480" w:firstLineChars="200"/>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3.2被保险人为：</w:t>
      </w:r>
      <w:r>
        <w:rPr>
          <w:rFonts w:hint="eastAsia" w:ascii="宋体" w:hAnsi="宋体" w:eastAsia="宋体" w:cs="宋体"/>
          <w:b/>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，具体详见“</w:t>
      </w:r>
      <w:r>
        <w:rPr>
          <w:rFonts w:hint="eastAsia" w:ascii="宋体" w:hAnsi="宋体" w:eastAsia="宋体" w:cs="宋体"/>
          <w:color w:val="000000" w:themeColor="text1"/>
          <w:sz w:val="24"/>
          <w:highlight w:val="none"/>
          <w:lang w:eastAsia="zh-CN"/>
          <w14:textFill>
            <w14:solidFill>
              <w14:schemeClr w14:val="tx1"/>
            </w14:solidFill>
          </w14:textFill>
        </w:rPr>
        <w:t>运营期</w:t>
      </w:r>
      <w:r>
        <w:rPr>
          <w:rFonts w:hint="eastAsia" w:ascii="宋体" w:hAnsi="宋体" w:eastAsia="宋体" w:cs="宋体"/>
          <w:color w:val="000000" w:themeColor="text1"/>
          <w:sz w:val="24"/>
          <w:highlight w:val="none"/>
          <w14:textFill>
            <w14:solidFill>
              <w14:schemeClr w14:val="tx1"/>
            </w14:solidFill>
          </w14:textFill>
        </w:rPr>
        <w:t>保险需求”。</w:t>
      </w:r>
    </w:p>
    <w:p>
      <w:pPr>
        <w:adjustRightInd w:val="0"/>
        <w:snapToGrid w:val="0"/>
        <w:spacing w:line="360" w:lineRule="auto"/>
        <w:ind w:firstLine="482" w:firstLineChars="200"/>
        <w:outlineLvl w:val="1"/>
        <w:rPr>
          <w:rFonts w:hint="eastAsia" w:ascii="宋体" w:hAnsi="宋体" w:eastAsia="宋体" w:cs="宋体"/>
          <w:color w:val="000000" w:themeColor="text1"/>
          <w:sz w:val="24"/>
          <w:highlight w:val="none"/>
          <w14:textFill>
            <w14:solidFill>
              <w14:schemeClr w14:val="tx1"/>
            </w14:solidFill>
          </w14:textFill>
        </w:rPr>
      </w:pPr>
      <w:bookmarkStart w:id="63" w:name="_Toc2814"/>
      <w:r>
        <w:rPr>
          <w:rFonts w:hint="eastAsia" w:ascii="宋体" w:hAnsi="宋体" w:eastAsia="宋体" w:cs="宋体"/>
          <w:b/>
          <w:color w:val="000000" w:themeColor="text1"/>
          <w:sz w:val="24"/>
          <w:highlight w:val="none"/>
          <w14:textFill>
            <w14:solidFill>
              <w14:schemeClr w14:val="tx1"/>
            </w14:solidFill>
          </w14:textFill>
        </w:rPr>
        <w:t>4、保险合同组成</w:t>
      </w:r>
      <w:bookmarkEnd w:id="63"/>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4.1本次招标所有招投标文件及附件作为保险合同的有效组成部分。包括：</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（1）合同协议书及其附件；</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（2）中标通知书；</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运营期</w:t>
      </w:r>
      <w:r>
        <w:rPr>
          <w:rFonts w:hint="eastAsia" w:ascii="宋体" w:hAnsi="宋体" w:eastAsia="宋体" w:cs="宋体"/>
          <w:color w:val="000000" w:themeColor="text1"/>
          <w:sz w:val="24"/>
          <w:highlight w:val="none"/>
          <w14:textFill>
            <w14:solidFill>
              <w14:schemeClr w14:val="tx1"/>
            </w14:solidFill>
          </w14:textFill>
        </w:rPr>
        <w:t>保险需求（其中的保险条款由特别约定、附加条款和基本条款构成，排序在前者效力优先）；</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（4）投保单</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（5）保险单（包括批单）（其中的保险条款由特别约定、附加条款和基本条款构成，排序在前者效力优先）；</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（6）招标文件及澄清补充文件及其它补充资料；</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（7）投标文件及澄清补充文件及其它补充资料；</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（8）经双方确认进入合同的其他文件。</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上述文件互为补充和解释，如有不清之处，以有利于投保人/被保险人的解释为准；如有相互矛盾之处，以上述文件先后顺序为准。</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在合同履行过程中形成的与合同有关的文件均构成合同文件组成部分，并根据其性质确定优先解释顺序。</w:t>
      </w:r>
    </w:p>
    <w:p>
      <w:pPr>
        <w:adjustRightInd w:val="0"/>
        <w:snapToGrid w:val="0"/>
        <w:spacing w:line="360" w:lineRule="auto"/>
        <w:ind w:firstLine="482" w:firstLineChars="200"/>
        <w:outlineLvl w:val="1"/>
        <w:rPr>
          <w:rFonts w:hint="eastAsia" w:ascii="宋体" w:hAnsi="宋体" w:eastAsia="宋体" w:cs="宋体"/>
          <w:b/>
          <w:color w:val="000000" w:themeColor="text1"/>
          <w:sz w:val="24"/>
          <w:highlight w:val="none"/>
          <w14:textFill>
            <w14:solidFill>
              <w14:schemeClr w14:val="tx1"/>
            </w14:solidFill>
          </w14:textFill>
        </w:rPr>
      </w:pPr>
      <w:bookmarkStart w:id="64" w:name="_Toc4157"/>
      <w:r>
        <w:rPr>
          <w:rFonts w:hint="eastAsia" w:ascii="宋体" w:hAnsi="宋体" w:eastAsia="宋体" w:cs="宋体"/>
          <w:b/>
          <w:color w:val="000000" w:themeColor="text1"/>
          <w:sz w:val="24"/>
          <w:highlight w:val="none"/>
          <w14:textFill>
            <w14:solidFill>
              <w14:schemeClr w14:val="tx1"/>
            </w14:solidFill>
          </w14:textFill>
        </w:rPr>
        <w:t>5、投保出单</w:t>
      </w:r>
      <w:bookmarkEnd w:id="64"/>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5.1由承保人根据本合同约定出具保险单。</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t>5.2承保人出具年度保险单，保险期限为一年。</w:t>
      </w:r>
    </w:p>
    <w:p>
      <w:pPr>
        <w:adjustRightInd w:val="0"/>
        <w:snapToGrid w:val="0"/>
        <w:spacing w:line="360" w:lineRule="auto"/>
        <w:ind w:firstLine="482" w:firstLineChars="200"/>
        <w:outlineLvl w:val="1"/>
        <w:rPr>
          <w:rFonts w:hint="eastAsia" w:ascii="宋体" w:hAnsi="宋体" w:eastAsia="宋体" w:cs="宋体"/>
          <w:b/>
          <w:color w:val="000000" w:themeColor="text1"/>
          <w:sz w:val="24"/>
          <w:highlight w:val="none"/>
          <w14:textFill>
            <w14:solidFill>
              <w14:schemeClr w14:val="tx1"/>
            </w14:solidFill>
          </w14:textFill>
        </w:rPr>
      </w:pPr>
      <w:bookmarkStart w:id="65" w:name="_Toc7533"/>
      <w:r>
        <w:rPr>
          <w:rFonts w:hint="eastAsia" w:ascii="宋体" w:hAnsi="宋体" w:eastAsia="宋体" w:cs="宋体"/>
          <w:b/>
          <w:color w:val="000000" w:themeColor="text1"/>
          <w:sz w:val="24"/>
          <w:highlight w:val="none"/>
          <w14:textFill>
            <w14:solidFill>
              <w14:schemeClr w14:val="tx1"/>
            </w14:solidFill>
          </w14:textFill>
        </w:rPr>
        <w:t>6、保险费及其支付方式</w:t>
      </w:r>
      <w:bookmarkEnd w:id="65"/>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 保险费</w:t>
      </w:r>
    </w:p>
    <w:p>
      <w:pPr>
        <w:adjustRightInd w:val="0"/>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6.1.1暂定保险费</w:t>
      </w:r>
      <w:r>
        <w:rPr>
          <w:rFonts w:hint="eastAsia" w:ascii="宋体" w:hAnsi="宋体" w:eastAsia="宋体" w:cs="宋体"/>
          <w:color w:val="000000" w:themeColor="text1"/>
          <w:sz w:val="24"/>
          <w:szCs w:val="24"/>
          <w:highlight w:val="none"/>
          <w14:textFill>
            <w14:solidFill>
              <w14:schemeClr w14:val="tx1"/>
            </w14:solidFill>
          </w14:textFill>
        </w:rPr>
        <w:t>为含增值税价，金额为人民币（大写）</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），其中，不含增值税</w:t>
      </w:r>
      <w:r>
        <w:rPr>
          <w:rFonts w:hint="eastAsia" w:ascii="宋体" w:hAnsi="宋体" w:eastAsia="宋体" w:cs="宋体"/>
          <w:color w:val="000000" w:themeColor="text1"/>
          <w:sz w:val="24"/>
          <w:highlight w:val="none"/>
          <w14:textFill>
            <w14:solidFill>
              <w14:schemeClr w14:val="tx1"/>
            </w14:solidFill>
          </w14:textFill>
        </w:rPr>
        <w:t>暂定保险费</w:t>
      </w: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暂定保险费</w:t>
      </w:r>
      <w:r>
        <w:rPr>
          <w:rFonts w:hint="eastAsia" w:ascii="宋体" w:hAnsi="宋体" w:eastAsia="宋体" w:cs="宋体"/>
          <w:color w:val="000000" w:themeColor="text1"/>
          <w:sz w:val="24"/>
          <w:szCs w:val="24"/>
          <w:highlight w:val="none"/>
          <w14:textFill>
            <w14:solidFill>
              <w14:schemeClr w14:val="tx1"/>
            </w14:solidFill>
          </w14:textFill>
        </w:rPr>
        <w:t>中的增值税为</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w:t>
      </w:r>
      <w:r>
        <w:rPr>
          <w:rFonts w:hint="eastAsia" w:ascii="宋体" w:hAnsi="宋体" w:eastAsia="宋体" w:cs="宋体"/>
          <w:color w:val="000000" w:themeColor="text1"/>
          <w:sz w:val="24"/>
          <w:szCs w:val="24"/>
          <w:highlight w:val="none"/>
          <w14:textFill>
            <w14:solidFill>
              <w14:schemeClr w14:val="tx1"/>
            </w14:solidFill>
          </w14:textFill>
        </w:rPr>
        <w:t>。增值税根据承保人提供给投保人的增值税专用发票中的税额据实支付和结算</w:t>
      </w:r>
      <w:r>
        <w:rPr>
          <w:rFonts w:hint="eastAsia" w:ascii="宋体" w:hAnsi="宋体" w:eastAsia="宋体" w:cs="宋体"/>
          <w:color w:val="000000" w:themeColor="text1"/>
          <w:sz w:val="24"/>
          <w:highlight w:val="none"/>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按</w:t>
      </w:r>
      <w:r>
        <w:rPr>
          <w:rFonts w:hint="eastAsia" w:ascii="宋体" w:hAnsi="宋体" w:eastAsia="宋体" w:cs="宋体"/>
          <w:color w:val="000000" w:themeColor="text1"/>
          <w:kern w:val="0"/>
          <w:sz w:val="24"/>
          <w:szCs w:val="22"/>
          <w:highlight w:val="none"/>
          <w:shd w:val="clear" w:color="auto" w:fill="FFFFFF"/>
          <w14:textFill>
            <w14:solidFill>
              <w14:schemeClr w14:val="tx1"/>
            </w14:solidFill>
          </w14:textFill>
        </w:rPr>
        <w:t>长沙市政府或其职能部门相关规定，本项目的</w:t>
      </w:r>
      <w:r>
        <w:rPr>
          <w:rFonts w:hint="eastAsia" w:ascii="宋体" w:hAnsi="宋体" w:eastAsia="宋体" w:cs="宋体"/>
          <w:color w:val="000000" w:themeColor="text1"/>
          <w:sz w:val="24"/>
          <w:highlight w:val="none"/>
          <w14:textFill>
            <w14:solidFill>
              <w14:schemeClr w14:val="tx1"/>
            </w14:solidFill>
          </w14:textFill>
        </w:rPr>
        <w:t>保险费</w:t>
      </w:r>
      <w:r>
        <w:rPr>
          <w:rFonts w:hint="eastAsia" w:ascii="宋体" w:hAnsi="宋体" w:eastAsia="宋体" w:cs="宋体"/>
          <w:color w:val="000000" w:themeColor="text1"/>
          <w:kern w:val="0"/>
          <w:sz w:val="24"/>
          <w:szCs w:val="22"/>
          <w:highlight w:val="none"/>
          <w:shd w:val="clear" w:color="auto" w:fill="FFFFFF"/>
          <w14:textFill>
            <w14:solidFill>
              <w14:schemeClr w14:val="tx1"/>
            </w14:solidFill>
          </w14:textFill>
        </w:rPr>
        <w:t>最终以长沙市政府相关职能部门或长沙市轨道交通集团有限公司授权的单位审定价款为准。</w:t>
      </w:r>
      <w:r>
        <w:rPr>
          <w:rFonts w:hint="eastAsia" w:ascii="宋体" w:hAnsi="宋体" w:eastAsia="宋体" w:cs="宋体"/>
          <w:color w:val="000000" w:themeColor="text1"/>
          <w:sz w:val="24"/>
          <w:highlight w:val="none"/>
          <w14:textFill>
            <w14:solidFill>
              <w14:schemeClr w14:val="tx1"/>
            </w14:solidFill>
          </w14:textFill>
        </w:rPr>
        <w:t>最终保险费</w:t>
      </w:r>
      <w:r>
        <w:rPr>
          <w:rFonts w:hint="eastAsia" w:ascii="宋体" w:hAnsi="宋体" w:eastAsia="宋体" w:cs="宋体"/>
          <w:bCs/>
          <w:color w:val="000000" w:themeColor="text1"/>
          <w:sz w:val="24"/>
          <w:highlight w:val="none"/>
          <w14:textFill>
            <w14:solidFill>
              <w14:schemeClr w14:val="tx1"/>
            </w14:solidFill>
          </w14:textFill>
        </w:rPr>
        <w:t>包括承保人履行合同且满足</w:t>
      </w:r>
      <w:r>
        <w:rPr>
          <w:rFonts w:hint="eastAsia" w:ascii="宋体" w:hAnsi="宋体" w:eastAsia="宋体" w:cs="宋体"/>
          <w:bCs/>
          <w:color w:val="000000" w:themeColor="text1"/>
          <w:sz w:val="24"/>
          <w:highlight w:val="none"/>
          <w:lang w:eastAsia="zh-CN"/>
          <w14:textFill>
            <w14:solidFill>
              <w14:schemeClr w14:val="tx1"/>
            </w14:solidFill>
          </w14:textFill>
        </w:rPr>
        <w:t>运营期</w:t>
      </w:r>
      <w:r>
        <w:rPr>
          <w:rFonts w:hint="eastAsia" w:ascii="宋体" w:hAnsi="宋体" w:eastAsia="宋体" w:cs="宋体"/>
          <w:bCs/>
          <w:color w:val="000000" w:themeColor="text1"/>
          <w:sz w:val="24"/>
          <w:highlight w:val="none"/>
          <w14:textFill>
            <w14:solidFill>
              <w14:schemeClr w14:val="tx1"/>
            </w14:solidFill>
          </w14:textFill>
        </w:rPr>
        <w:t>保险需求的全部要求所产生的成本、费用、税金、利润、保险、专利、风险</w:t>
      </w:r>
      <w:r>
        <w:rPr>
          <w:rFonts w:hint="eastAsia" w:ascii="宋体" w:hAnsi="宋体" w:eastAsia="宋体" w:cs="宋体"/>
          <w:color w:val="000000" w:themeColor="text1"/>
          <w:sz w:val="24"/>
          <w:highlight w:val="none"/>
          <w14:textFill>
            <w14:solidFill>
              <w14:schemeClr w14:val="tx1"/>
            </w14:solidFill>
          </w14:textFill>
        </w:rPr>
        <w:t>等</w:t>
      </w:r>
      <w:r>
        <w:rPr>
          <w:rFonts w:hint="eastAsia" w:ascii="宋体" w:hAnsi="宋体" w:eastAsia="宋体" w:cs="宋体"/>
          <w:bCs/>
          <w:color w:val="000000" w:themeColor="text1"/>
          <w:sz w:val="24"/>
          <w:highlight w:val="none"/>
          <w14:textFill>
            <w14:solidFill>
              <w14:schemeClr w14:val="tx1"/>
            </w14:solidFill>
          </w14:textFill>
        </w:rPr>
        <w:t>。</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6.2共保比例（如有）</w:t>
      </w:r>
    </w:p>
    <w:p>
      <w:pPr>
        <w:adjustRightInd w:val="0"/>
        <w:snapToGrid w:val="0"/>
        <w:spacing w:line="360" w:lineRule="auto"/>
        <w:ind w:firstLine="48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napToGrid w:val="0"/>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6.3支付方式</w:t>
      </w:r>
    </w:p>
    <w:p>
      <w:pPr>
        <w:tabs>
          <w:tab w:val="left" w:pos="851"/>
        </w:tabs>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6.3.1中间支付：本项目保险单为一年一开，本合同签订生效且承保人签发保险单后，支付保单相应保险费的70%。</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6.3.2结算支付：本合同保险期满，且最终保险费按照长沙市政府或其职能部门相关规定经长沙市政府相关职能部门或长沙市轨道交通集团有限公司授权的单位审定后，支付至最终保险费的100%。</w:t>
      </w:r>
    </w:p>
    <w:p>
      <w:pPr>
        <w:autoSpaceDE w:val="0"/>
        <w:autoSpaceDN w:val="0"/>
        <w:snapToGrid w:val="0"/>
        <w:spacing w:line="360" w:lineRule="auto"/>
        <w:ind w:firstLine="480" w:firstLineChars="200"/>
        <w:rPr>
          <w:rFonts w:hint="eastAsia" w:ascii="宋体" w:hAnsi="宋体" w:eastAsia="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6.3.3 上述付款，在承保人按投保人的支付程序办理请款手续并</w:t>
      </w:r>
      <w:r>
        <w:rPr>
          <w:rFonts w:hint="eastAsia" w:ascii="宋体" w:hAnsi="宋体" w:eastAsia="宋体" w:cs="宋体"/>
          <w:color w:val="000000" w:themeColor="text1"/>
          <w:sz w:val="24"/>
          <w:highlight w:val="none"/>
          <w:lang w:bidi="en-US"/>
          <w14:textFill>
            <w14:solidFill>
              <w14:schemeClr w14:val="tx1"/>
            </w14:solidFill>
          </w14:textFill>
        </w:rPr>
        <w:t>提供增值税专用发票</w:t>
      </w:r>
      <w:r>
        <w:rPr>
          <w:rStyle w:val="58"/>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有效期内的履约担保复印件等相关资料后28个工作日内，由投保人向承保人支付。</w:t>
      </w:r>
    </w:p>
    <w:p>
      <w:pPr>
        <w:snapToGrid w:val="0"/>
        <w:spacing w:line="360" w:lineRule="auto"/>
        <w:ind w:firstLine="482" w:firstLineChars="200"/>
        <w:outlineLvl w:val="1"/>
        <w:rPr>
          <w:rFonts w:hint="eastAsia" w:ascii="宋体" w:hAnsi="宋体" w:eastAsia="宋体" w:cs="宋体"/>
          <w:b/>
          <w:color w:val="000000" w:themeColor="text1"/>
          <w:position w:val="6"/>
          <w:sz w:val="24"/>
          <w:highlight w:val="none"/>
          <w14:textFill>
            <w14:solidFill>
              <w14:schemeClr w14:val="tx1"/>
            </w14:solidFill>
          </w14:textFill>
        </w:rPr>
      </w:pPr>
      <w:bookmarkStart w:id="66" w:name="_Toc32323"/>
      <w:r>
        <w:rPr>
          <w:rFonts w:hint="eastAsia" w:ascii="宋体" w:hAnsi="宋体" w:eastAsia="宋体" w:cs="宋体"/>
          <w:b/>
          <w:color w:val="000000" w:themeColor="text1"/>
          <w:position w:val="6"/>
          <w:sz w:val="24"/>
          <w:highlight w:val="none"/>
          <w14:textFill>
            <w14:solidFill>
              <w14:schemeClr w14:val="tx1"/>
            </w14:solidFill>
          </w14:textFill>
        </w:rPr>
        <w:t>7、承保人服务要求（若为共保体，以下服务内容由首席承保人代表共保体负责执行和落实，共保人内部的职责，按共保协议执行。）</w:t>
      </w:r>
      <w:bookmarkEnd w:id="66"/>
    </w:p>
    <w:p>
      <w:pPr>
        <w:snapToGrid w:val="0"/>
        <w:spacing w:line="360" w:lineRule="auto"/>
        <w:ind w:firstLine="482" w:firstLineChars="200"/>
        <w:rPr>
          <w:rFonts w:hint="eastAsia" w:ascii="宋体" w:hAnsi="宋体" w:eastAsia="宋体" w:cs="宋体"/>
          <w:b/>
          <w:bCs/>
          <w:color w:val="000000" w:themeColor="text1"/>
          <w:position w:val="6"/>
          <w:sz w:val="24"/>
          <w:highlight w:val="none"/>
          <w14:textFill>
            <w14:solidFill>
              <w14:schemeClr w14:val="tx1"/>
            </w14:solidFill>
          </w14:textFill>
        </w:rPr>
      </w:pPr>
      <w:r>
        <w:rPr>
          <w:rFonts w:hint="eastAsia" w:ascii="宋体" w:hAnsi="宋体" w:eastAsia="宋体" w:cs="宋体"/>
          <w:b/>
          <w:bCs/>
          <w:color w:val="000000" w:themeColor="text1"/>
          <w:position w:val="6"/>
          <w:sz w:val="24"/>
          <w:highlight w:val="none"/>
          <w14:textFill>
            <w14:solidFill>
              <w14:schemeClr w14:val="tx1"/>
            </w14:solidFill>
          </w14:textFill>
        </w:rPr>
        <w:t>7.1专项服务小组</w:t>
      </w:r>
    </w:p>
    <w:p>
      <w:pPr>
        <w:snapToGrid w:val="0"/>
        <w:spacing w:line="360" w:lineRule="auto"/>
        <w:ind w:firstLine="480" w:firstLineChars="200"/>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t>7.1.1承保人为本项目设立专项服务小组，具体人员组成及分工如下：</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23"/>
        <w:gridCol w:w="1789"/>
        <w:gridCol w:w="247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54" w:type="dxa"/>
            <w:shd w:val="clear" w:color="auto" w:fill="C0C0C0"/>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项目中职务</w:t>
            </w:r>
          </w:p>
        </w:tc>
        <w:tc>
          <w:tcPr>
            <w:tcW w:w="823" w:type="dxa"/>
            <w:shd w:val="clear" w:color="auto" w:fill="C0C0C0"/>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789" w:type="dxa"/>
            <w:shd w:val="clear" w:color="auto" w:fill="C0C0C0"/>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负责内容或分工</w:t>
            </w:r>
          </w:p>
        </w:tc>
        <w:tc>
          <w:tcPr>
            <w:tcW w:w="2478" w:type="dxa"/>
            <w:shd w:val="clear" w:color="auto" w:fill="C0C0C0"/>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职务</w:t>
            </w:r>
          </w:p>
        </w:tc>
        <w:tc>
          <w:tcPr>
            <w:tcW w:w="1275" w:type="dxa"/>
            <w:shd w:val="clear" w:color="auto" w:fill="C0C0C0"/>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4"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789"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78"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5"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4"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789"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78"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5"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54"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789"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478"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5" w:type="dxa"/>
            <w:noWrap w:val="0"/>
            <w:vAlign w:val="center"/>
          </w:tcPr>
          <w:p>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pPr>
        <w:snapToGrid w:val="0"/>
        <w:spacing w:before="156" w:beforeLines="50"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t>2</w:t>
      </w:r>
      <w:r>
        <w:rPr>
          <w:rFonts w:hint="eastAsia" w:ascii="宋体" w:hAnsi="宋体" w:eastAsia="宋体" w:cs="宋体"/>
          <w:color w:val="000000" w:themeColor="text1"/>
          <w:position w:val="6"/>
          <w:sz w:val="24"/>
          <w:szCs w:val="24"/>
          <w:highlight w:val="none"/>
          <w14:textFill>
            <w14:solidFill>
              <w14:schemeClr w14:val="tx1"/>
            </w14:solidFill>
          </w14:textFill>
        </w:rPr>
        <w:t>4小时报案电话：</w:t>
      </w:r>
      <w:r>
        <w:rPr>
          <w:rFonts w:hint="eastAsia" w:ascii="宋体" w:hAnsi="宋体" w:eastAsia="宋体" w:cs="宋体"/>
          <w:color w:val="000000" w:themeColor="text1"/>
          <w:position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szCs w:val="24"/>
          <w:highlight w:val="none"/>
          <w14:textFill>
            <w14:solidFill>
              <w14:schemeClr w14:val="tx1"/>
            </w14:solidFill>
          </w14:textFill>
        </w:rPr>
        <w:t>。        传真：</w:t>
      </w:r>
      <w:r>
        <w:rPr>
          <w:rFonts w:hint="eastAsia" w:ascii="宋体" w:hAnsi="宋体" w:eastAsia="宋体" w:cs="宋体"/>
          <w:color w:val="000000" w:themeColor="text1"/>
          <w:position w:val="6"/>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szCs w:val="24"/>
          <w:highlight w:val="none"/>
          <w14:textFill>
            <w14:solidFill>
              <w14:schemeClr w14:val="tx1"/>
            </w14:solidFill>
          </w14:textFill>
        </w:rPr>
        <w:t xml:space="preserve">。 </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7.1.2原则不得随意更换专项服务小组成员、24小时报案电话和传真；如需更换，应书面报经投保人同意后方可更换。</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7.1.3 承保人应确保24小时报案电话和传真畅通，随时接受被保险人的出险报案。</w:t>
      </w:r>
    </w:p>
    <w:p>
      <w:pPr>
        <w:autoSpaceDE w:val="0"/>
        <w:autoSpaceDN w:val="0"/>
        <w:snapToGrid w:val="0"/>
        <w:spacing w:line="360" w:lineRule="auto"/>
        <w:ind w:firstLine="482" w:firstLineChars="200"/>
        <w:rPr>
          <w:rFonts w:hint="eastAsia" w:ascii="宋体" w:hAnsi="宋体" w:eastAsia="宋体" w:cs="宋体"/>
          <w:b/>
          <w:bCs/>
          <w:color w:val="000000" w:themeColor="text1"/>
          <w:position w:val="6"/>
          <w:sz w:val="24"/>
          <w:szCs w:val="24"/>
          <w:highlight w:val="none"/>
          <w14:textFill>
            <w14:solidFill>
              <w14:schemeClr w14:val="tx1"/>
            </w14:solidFill>
          </w14:textFill>
        </w:rPr>
      </w:pPr>
      <w:r>
        <w:rPr>
          <w:rFonts w:hint="eastAsia" w:ascii="宋体" w:hAnsi="宋体" w:eastAsia="宋体" w:cs="宋体"/>
          <w:b/>
          <w:bCs/>
          <w:color w:val="000000" w:themeColor="text1"/>
          <w:position w:val="6"/>
          <w:sz w:val="24"/>
          <w:szCs w:val="24"/>
          <w:highlight w:val="none"/>
          <w14:textFill>
            <w14:solidFill>
              <w14:schemeClr w14:val="tx1"/>
            </w14:solidFill>
          </w14:textFill>
        </w:rPr>
        <w:t>7.2理赔服务</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7.2.1受理报案</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7.2.1.1 被保险人报案时，可通过24小时报案电话或传真报案，也可直接与专项服务小组对口人员联系。</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7.2.1.2 承保人接到被保险人报案后，专项服务小组成员应在15分钟内给出处理意见，并回复是否前往现场查勘；如果没有回复，则表示专项服务小组不去现场查勘并同意以被保险人提供的索赔材料作为理赔依据</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7.2.2 现场查勘</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7.2.2.1 专项服务小组在报案回复中提出进行现场查勘的，应安排现场理赔服务人员/查勘人员在回复后2小时内到达现场，并由承保人、投保人、被保险人三方共同进行保险事故损失查勘。承保人未按上述规定及时到达现场，则视为承保人允许被保险人</w:t>
      </w:r>
      <w:r>
        <w:rPr>
          <w:rFonts w:hint="eastAsia" w:ascii="宋体" w:hAnsi="宋体" w:eastAsia="宋体" w:cs="宋体"/>
          <w:color w:val="000000" w:themeColor="text1"/>
          <w:position w:val="6"/>
          <w:sz w:val="24"/>
          <w:szCs w:val="24"/>
          <w:highlight w:val="none"/>
          <w:lang w:val="zh-CN"/>
          <w14:textFill>
            <w14:solidFill>
              <w14:schemeClr w14:val="tx1"/>
            </w14:solidFill>
          </w14:textFill>
        </w:rPr>
        <w:t>及其委托人</w:t>
      </w:r>
      <w:r>
        <w:rPr>
          <w:rFonts w:hint="eastAsia" w:ascii="宋体" w:hAnsi="宋体" w:eastAsia="宋体" w:cs="宋体"/>
          <w:color w:val="000000" w:themeColor="text1"/>
          <w:position w:val="6"/>
          <w:sz w:val="24"/>
          <w:szCs w:val="24"/>
          <w:highlight w:val="none"/>
          <w14:textFill>
            <w14:solidFill>
              <w14:schemeClr w14:val="tx1"/>
            </w14:solidFill>
          </w14:textFill>
        </w:rPr>
        <w:t>自行处理事故现场，但被保险人应保留事故现场的有关照片或实物证据。</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7.2.2.2承保人</w:t>
      </w:r>
      <w:r>
        <w:rPr>
          <w:rFonts w:hint="eastAsia" w:ascii="宋体" w:hAnsi="宋体" w:eastAsia="宋体" w:cs="宋体"/>
          <w:color w:val="000000" w:themeColor="text1"/>
          <w:position w:val="6"/>
          <w:sz w:val="24"/>
          <w:szCs w:val="24"/>
          <w:highlight w:val="none"/>
          <w:lang w:val="zh-CN"/>
          <w14:textFill>
            <w14:solidFill>
              <w14:schemeClr w14:val="tx1"/>
            </w14:solidFill>
          </w14:textFill>
        </w:rPr>
        <w:t>在收到被保险人将采取施救措施的报告后，应立即安排理赔服务人员至施救现场进行现场响应式理赔服务，并承担保险责任事故施救所产生</w:t>
      </w:r>
      <w:r>
        <w:rPr>
          <w:rFonts w:hint="eastAsia" w:ascii="宋体" w:hAnsi="宋体" w:eastAsia="宋体" w:cs="宋体"/>
          <w:color w:val="000000" w:themeColor="text1"/>
          <w:position w:val="6"/>
          <w:sz w:val="24"/>
          <w:szCs w:val="24"/>
          <w:highlight w:val="none"/>
          <w14:textFill>
            <w14:solidFill>
              <w14:schemeClr w14:val="tx1"/>
            </w14:solidFill>
          </w14:textFill>
        </w:rPr>
        <w:t>的全部合理费用。</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7.2.3 受理赔案</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7.2.3.1承保人应在收到被保险人及其代表的报案通知后3个工作日内，向被保险人提交《理赔工作安排日程表》；承保人应在收到被保险人预付赔款申请后5个工作日内，就预付时间、预付金额做出书面回复。</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7.2.3.2承保人若认为被保险人所提交的索赔证明和资料不完整，应在收到被保险人提交的索赔证明和资料后3个工作日内，以书面形式一次性通知被保险人补充提供。如承保人未按上述要求提出书面通知，则视为承保人认可索赔证明和资料的完整性。</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7.2.3.3 承保人若对被保险人所提交的索赔证明和资料有异议，应在收到被保险人提交的索赔证明和资料后5个工作日内，以书面形式一次性向被保险人提出异议；如承保人未按上述要求提出书面通知，则视为承保人认可了被保险人的索赔证明和资料。</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7.2.3.4 在被保险人按照上述7.2.3.2或7.2.3.3要求补充或澄清异议后</w:t>
      </w:r>
      <w:r>
        <w:rPr>
          <w:rFonts w:hint="eastAsia" w:ascii="宋体" w:hAnsi="宋体" w:eastAsia="宋体" w:cs="宋体"/>
          <w:iCs/>
          <w:color w:val="000000" w:themeColor="text1"/>
          <w:position w:val="6"/>
          <w:sz w:val="24"/>
          <w:szCs w:val="24"/>
          <w:highlight w:val="none"/>
          <w14:textFill>
            <w14:solidFill>
              <w14:schemeClr w14:val="tx1"/>
            </w14:solidFill>
          </w14:textFill>
        </w:rPr>
        <w:t>10个工作日内</w:t>
      </w:r>
      <w:r>
        <w:rPr>
          <w:rFonts w:hint="eastAsia" w:ascii="宋体" w:hAnsi="宋体" w:eastAsia="宋体" w:cs="宋体"/>
          <w:color w:val="000000" w:themeColor="text1"/>
          <w:position w:val="6"/>
          <w:sz w:val="24"/>
          <w:szCs w:val="24"/>
          <w:highlight w:val="none"/>
          <w14:textFill>
            <w14:solidFill>
              <w14:schemeClr w14:val="tx1"/>
            </w14:solidFill>
          </w14:textFill>
        </w:rPr>
        <w:t>，承保人、被保险人、投保人三方共同完成理赔定责定损工作。</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7.2.4办理结案</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7.2.4.1对于损失金额在人民币10万元（含）以内的保险事故，承保人在按7.2.3.4款约定完成理赔定责定损后3个工作日内办理结案并支付赔款。</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7.2.4.2对于损失金额在10万元（不含）至100万元（含）的保险事故，承保人在按7.2.3.4款约定完成理赔定责定损后5个工作日内办理结案并支付赔款。</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7.2.4.3对于损失金额在100万元（不含）以上的保险事故，承保人在按7.2.3.4款约定完成理赔定责定损后7个工作日内办理结案并支付赔款。</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7.2.4.4如承保人、被保险人、投保人三方不能按照7.2.3.4款约定完成理赔定责定损且符合7.2.5.5款约定的，承保人应在公估人出具各单项、各阶段《进度理算报告》后10个工作日内向投保人、被保险人提交对该报告的审查、核实书面意见，并与投保人、被保险人就保险责任、赔偿金额进行协商，并在三方就保险责任达成一致（或部分达成一致）后5个工作日内就达成一致的部分支付赔款。</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7.2.4.5 如为共保体，上述赔款由首席承保人先行全额垫付，各共保人按共保比例分担，具体操作按共保协议执行。</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 其他</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7.2.5.1赔款处理原则</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发生保险事故后，承保人应以利于被保险人恢复地铁运营、重置设备及其它保险财产为前提，依照保单及本合同约定进行赔偿理算、支付赔款，并承担保险事故产生的一切合理费用和事故损失（不包括免赔额/免赔率）。</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7.2.5.2赔款支付原则</w:t>
      </w:r>
    </w:p>
    <w:p>
      <w:pPr>
        <w:numPr>
          <w:ilvl w:val="0"/>
          <w:numId w:val="7"/>
        </w:num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承保人对已确定保险责任但未能确定最终赔偿金额的赔案，应根据被保险人已提供的证明材料支付已确定部分的赔偿金额或支付预付赔款；承保人在最终确定赔偿金额和赔付处理意见后，应当支付相应的差额。</w:t>
      </w:r>
    </w:p>
    <w:p>
      <w:pPr>
        <w:numPr>
          <w:ilvl w:val="0"/>
          <w:numId w:val="7"/>
        </w:num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本项目办理结算前，保费按70%支付，但所有保险赔付须按理赔金额的百分之百赔付。</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7.2.5.3预付赔款</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lang w:val="zh-CN"/>
          <w14:textFill>
            <w14:solidFill>
              <w14:schemeClr w14:val="tx1"/>
            </w14:solidFill>
          </w14:textFill>
        </w:rPr>
      </w:pPr>
      <w:r>
        <w:rPr>
          <w:rFonts w:hint="eastAsia" w:ascii="宋体" w:hAnsi="宋体" w:eastAsia="宋体" w:cs="宋体"/>
          <w:color w:val="000000" w:themeColor="text1"/>
          <w:position w:val="6"/>
          <w:sz w:val="24"/>
          <w:szCs w:val="24"/>
          <w:highlight w:val="none"/>
          <w:lang w:val="zh-CN"/>
          <w14:textFill>
            <w14:solidFill>
              <w14:schemeClr w14:val="tx1"/>
            </w14:solidFill>
          </w14:textFill>
        </w:rPr>
        <w:t>（</w:t>
      </w:r>
      <w:r>
        <w:rPr>
          <w:rFonts w:hint="eastAsia" w:ascii="宋体" w:hAnsi="宋体" w:eastAsia="宋体" w:cs="宋体"/>
          <w:color w:val="000000" w:themeColor="text1"/>
          <w:position w:val="6"/>
          <w:sz w:val="24"/>
          <w:szCs w:val="24"/>
          <w:highlight w:val="none"/>
          <w14:textFill>
            <w14:solidFill>
              <w14:schemeClr w14:val="tx1"/>
            </w14:solidFill>
          </w14:textFill>
        </w:rPr>
        <w:t>1</w:t>
      </w:r>
      <w:r>
        <w:rPr>
          <w:rFonts w:hint="eastAsia" w:ascii="宋体" w:hAnsi="宋体" w:eastAsia="宋体" w:cs="宋体"/>
          <w:color w:val="000000" w:themeColor="text1"/>
          <w:position w:val="6"/>
          <w:sz w:val="24"/>
          <w:szCs w:val="24"/>
          <w:highlight w:val="none"/>
          <w:lang w:val="zh-CN"/>
          <w14:textFill>
            <w14:solidFill>
              <w14:schemeClr w14:val="tx1"/>
            </w14:solidFill>
          </w14:textFill>
        </w:rPr>
        <w:t>）</w:t>
      </w:r>
      <w:r>
        <w:rPr>
          <w:rFonts w:hint="eastAsia" w:ascii="宋体" w:hAnsi="宋体" w:eastAsia="宋体" w:cs="宋体"/>
          <w:color w:val="000000" w:themeColor="text1"/>
          <w:position w:val="6"/>
          <w:sz w:val="24"/>
          <w:szCs w:val="24"/>
          <w:highlight w:val="none"/>
          <w14:textFill>
            <w14:solidFill>
              <w14:schemeClr w14:val="tx1"/>
            </w14:solidFill>
          </w14:textFill>
        </w:rPr>
        <w:t>绿色通道服务救治：</w:t>
      </w:r>
      <w:r>
        <w:rPr>
          <w:rFonts w:hint="eastAsia" w:ascii="宋体" w:hAnsi="宋体" w:eastAsia="宋体" w:cs="宋体"/>
          <w:color w:val="000000" w:themeColor="text1"/>
          <w:position w:val="6"/>
          <w:sz w:val="24"/>
          <w:szCs w:val="24"/>
          <w:highlight w:val="none"/>
          <w:lang w:val="zh-CN"/>
          <w14:textFill>
            <w14:solidFill>
              <w14:schemeClr w14:val="tx1"/>
            </w14:solidFill>
          </w14:textFill>
        </w:rPr>
        <w:t>针对涉及人员伤亡的案件，承保人需开通绿色通道救治服务，开通承保人与救治医院合理的医疗费用直赔服务，无需投保人先行垫付。</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lang w:val="zh-CN"/>
          <w14:textFill>
            <w14:solidFill>
              <w14:schemeClr w14:val="tx1"/>
            </w14:solidFill>
          </w14:textFill>
        </w:rPr>
      </w:pPr>
      <w:r>
        <w:rPr>
          <w:rFonts w:hint="eastAsia" w:ascii="宋体" w:hAnsi="宋体" w:eastAsia="宋体" w:cs="宋体"/>
          <w:color w:val="000000" w:themeColor="text1"/>
          <w:position w:val="6"/>
          <w:sz w:val="24"/>
          <w:szCs w:val="24"/>
          <w:highlight w:val="none"/>
          <w:lang w:val="zh-CN"/>
          <w14:textFill>
            <w14:solidFill>
              <w14:schemeClr w14:val="tx1"/>
            </w14:solidFill>
          </w14:textFill>
        </w:rPr>
        <w:t>（</w:t>
      </w:r>
      <w:r>
        <w:rPr>
          <w:rFonts w:hint="eastAsia" w:ascii="宋体" w:hAnsi="宋体" w:eastAsia="宋体" w:cs="宋体"/>
          <w:color w:val="000000" w:themeColor="text1"/>
          <w:position w:val="6"/>
          <w:sz w:val="24"/>
          <w:szCs w:val="24"/>
          <w:highlight w:val="none"/>
          <w14:textFill>
            <w14:solidFill>
              <w14:schemeClr w14:val="tx1"/>
            </w14:solidFill>
          </w14:textFill>
        </w:rPr>
        <w:t>2</w:t>
      </w:r>
      <w:r>
        <w:rPr>
          <w:rFonts w:hint="eastAsia" w:ascii="宋体" w:hAnsi="宋体" w:eastAsia="宋体" w:cs="宋体"/>
          <w:color w:val="000000" w:themeColor="text1"/>
          <w:position w:val="6"/>
          <w:sz w:val="24"/>
          <w:szCs w:val="24"/>
          <w:highlight w:val="none"/>
          <w:lang w:val="zh-CN"/>
          <w14:textFill>
            <w14:solidFill>
              <w14:schemeClr w14:val="tx1"/>
            </w14:solidFill>
          </w14:textFill>
        </w:rPr>
        <w:t>）当发生保险责任范围内的损失事故（如为涉及人员伤亡案件，按合同条款</w:t>
      </w:r>
      <w:r>
        <w:rPr>
          <w:rFonts w:hint="eastAsia" w:ascii="宋体" w:hAnsi="宋体" w:eastAsia="宋体" w:cs="宋体"/>
          <w:color w:val="000000" w:themeColor="text1"/>
          <w:position w:val="6"/>
          <w:sz w:val="24"/>
          <w:szCs w:val="24"/>
          <w:highlight w:val="none"/>
          <w14:textFill>
            <w14:solidFill>
              <w14:schemeClr w14:val="tx1"/>
            </w14:solidFill>
          </w14:textFill>
        </w:rPr>
        <w:t>7.2.5.3（1）执行</w:t>
      </w:r>
      <w:r>
        <w:rPr>
          <w:rFonts w:hint="eastAsia" w:ascii="宋体" w:hAnsi="宋体" w:eastAsia="宋体" w:cs="宋体"/>
          <w:color w:val="000000" w:themeColor="text1"/>
          <w:position w:val="6"/>
          <w:sz w:val="24"/>
          <w:szCs w:val="24"/>
          <w:highlight w:val="none"/>
          <w:lang w:val="zh-CN"/>
          <w14:textFill>
            <w14:solidFill>
              <w14:schemeClr w14:val="tx1"/>
            </w14:solidFill>
          </w14:textFill>
        </w:rPr>
        <w:t>），在保险责任明确但损失金额尚不能准确确定的情况下，</w:t>
      </w:r>
      <w:r>
        <w:rPr>
          <w:rFonts w:hint="eastAsia" w:ascii="宋体" w:hAnsi="宋体" w:eastAsia="宋体" w:cs="宋体"/>
          <w:color w:val="000000" w:themeColor="text1"/>
          <w:position w:val="6"/>
          <w:sz w:val="24"/>
          <w:szCs w:val="24"/>
          <w:highlight w:val="none"/>
          <w14:textFill>
            <w14:solidFill>
              <w14:schemeClr w14:val="tx1"/>
            </w14:solidFill>
          </w14:textFill>
        </w:rPr>
        <w:t>承保人应按7.2.3.1书面回复确认的预付时间、预付金额（预付金额不得少于</w:t>
      </w:r>
      <w:r>
        <w:rPr>
          <w:rFonts w:hint="eastAsia" w:ascii="宋体" w:hAnsi="宋体" w:eastAsia="宋体" w:cs="宋体"/>
          <w:color w:val="000000" w:themeColor="text1"/>
          <w:position w:val="6"/>
          <w:sz w:val="24"/>
          <w:szCs w:val="24"/>
          <w:highlight w:val="none"/>
          <w:lang w:val="zh-CN"/>
          <w14:textFill>
            <w14:solidFill>
              <w14:schemeClr w14:val="tx1"/>
            </w14:solidFill>
          </w14:textFill>
        </w:rPr>
        <w:t>预估损失金额的75%</w:t>
      </w:r>
      <w:r>
        <w:rPr>
          <w:rFonts w:hint="eastAsia" w:ascii="宋体" w:hAnsi="宋体" w:eastAsia="宋体" w:cs="宋体"/>
          <w:color w:val="000000" w:themeColor="text1"/>
          <w:position w:val="6"/>
          <w:sz w:val="24"/>
          <w:szCs w:val="24"/>
          <w:highlight w:val="none"/>
          <w14:textFill>
            <w14:solidFill>
              <w14:schemeClr w14:val="tx1"/>
            </w14:solidFill>
          </w14:textFill>
        </w:rPr>
        <w:t>）向被保险人办理预付赔款。</w:t>
      </w:r>
      <w:r>
        <w:rPr>
          <w:rFonts w:hint="eastAsia" w:ascii="宋体" w:hAnsi="宋体" w:eastAsia="宋体" w:cs="宋体"/>
          <w:color w:val="000000" w:themeColor="text1"/>
          <w:position w:val="6"/>
          <w:sz w:val="24"/>
          <w:szCs w:val="24"/>
          <w:highlight w:val="none"/>
          <w:lang w:val="zh-CN"/>
          <w14:textFill>
            <w14:solidFill>
              <w14:schemeClr w14:val="tx1"/>
            </w14:solidFill>
          </w14:textFill>
        </w:rPr>
        <w:t>最终赔付金额确定后，再按最终赔付金额多退少补。</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lang w:val="zh-CN"/>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上述赔款由首席承保人先行全额垫付，各共保人按共保比例分担，具体操作按共保协议执行。</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7.2.5.4拒赔时间要求</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如承保人认为收到的被保险人索赔申请不属于保险责任，承保人自签收被保险人索赔证明材料之日起10个工作日内，应向被保险人发出书面拒绝赔偿或拒付保险赔偿金的通知书，并载明拒赔依据。如承保人未在上述时间内提出拒赔，则认为承保人已接受被保险人的索赔申请，不得再提出拒赔。</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7.2.5.5 公估人</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发生预估损失金额超过人民币50万元的保险事故，且承保人和投保人对事故的保险责任和损失金额的认定及拒赔理由存在争议的，由承保人和投保人共同认可的公估公司（中国境内注册）作为公估人协助认定责任和金额，确定公估人的工作应在5个工作日内完成，聘请公估人的费用由承保人支付。</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如投保人和承保人无法就选定的公估人达成一致意见，则通过如下方式确定：由承保人自行选定三家备选公估公司，承保人在备选公估公司中随机抽选一家作为本项目的公估公司。</w:t>
      </w:r>
    </w:p>
    <w:p>
      <w:pPr>
        <w:autoSpaceDE w:val="0"/>
        <w:autoSpaceDN w:val="0"/>
        <w:snapToGrid w:val="0"/>
        <w:spacing w:line="360" w:lineRule="auto"/>
        <w:ind w:firstLine="482" w:firstLineChars="200"/>
        <w:rPr>
          <w:rFonts w:hint="eastAsia" w:ascii="宋体" w:hAnsi="宋体" w:eastAsia="宋体" w:cs="宋体"/>
          <w:b/>
          <w:bCs/>
          <w:color w:val="000000" w:themeColor="text1"/>
          <w:position w:val="6"/>
          <w:sz w:val="24"/>
          <w:szCs w:val="24"/>
          <w:highlight w:val="none"/>
          <w14:textFill>
            <w14:solidFill>
              <w14:schemeClr w14:val="tx1"/>
            </w14:solidFill>
          </w14:textFill>
        </w:rPr>
      </w:pPr>
      <w:r>
        <w:rPr>
          <w:rFonts w:hint="eastAsia" w:ascii="宋体" w:hAnsi="宋体" w:eastAsia="宋体" w:cs="宋体"/>
          <w:b/>
          <w:bCs/>
          <w:color w:val="000000" w:themeColor="text1"/>
          <w:position w:val="6"/>
          <w:sz w:val="24"/>
          <w:szCs w:val="24"/>
          <w:highlight w:val="none"/>
          <w14:textFill>
            <w14:solidFill>
              <w14:schemeClr w14:val="tx1"/>
            </w14:solidFill>
          </w14:textFill>
        </w:rPr>
        <w:t>7.3风险管理及防灾防损服务</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7.3.1本协议有效期内，承保人应组织对本项目每年至少进行两次风险查勘并提交风险查勘报告，提出有针对性的防灾防损建议，并协助投保人建立风险管理档案，相关费用由承保人承担。</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7.3.2承保人应协同国家气象、水文、地震等部门建立气象及地震灾害预警系统，定期或在被保险人需要时随时提供气象等自然灾害的年度趋势分析报告、汛期预报，火灾预警信息，并与投保人一起做好这些灾害的风险控制工作。在可能出现灾害的季节、时点，提前组织专家进行风险评估，提出风险管理建议。</w:t>
      </w:r>
    </w:p>
    <w:p>
      <w:pPr>
        <w:adjustRightInd w:val="0"/>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7.3.3承保人应根据季节及地段情况，深入现场查勘，提出合理、有效的防灾防损建议，并将不定期对现场风险管理情况通报，敦促投保人/被保险人完善安全管理。在事故易发的地点和时段，承保人应根据每个工作点可能会出现的自然灾害和意外事故发生的不同类型，以及类似项目出现的案例信息，及时与投保人/被保险人进行交流与沟通。</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7.3.4承保人应为被保险人建立承保、理赔、防灾防损档案；承保人专项服务小组应于每季度结束后5个工作日内向被保险人提供理赔统计报表，报表将包括损失发生的时间、地点、损失原因、估损金额、定损金额、赔款等与赔案处理有关的信息。</w:t>
      </w:r>
    </w:p>
    <w:p>
      <w:pPr>
        <w:autoSpaceDE w:val="0"/>
        <w:autoSpaceDN w:val="0"/>
        <w:snapToGrid w:val="0"/>
        <w:spacing w:line="360" w:lineRule="auto"/>
        <w:ind w:firstLine="482" w:firstLineChars="200"/>
        <w:rPr>
          <w:rFonts w:hint="eastAsia" w:ascii="宋体" w:hAnsi="宋体" w:eastAsia="宋体" w:cs="宋体"/>
          <w:b/>
          <w:bCs/>
          <w:color w:val="000000" w:themeColor="text1"/>
          <w:position w:val="6"/>
          <w:sz w:val="24"/>
          <w:szCs w:val="24"/>
          <w:highlight w:val="none"/>
          <w14:textFill>
            <w14:solidFill>
              <w14:schemeClr w14:val="tx1"/>
            </w14:solidFill>
          </w14:textFill>
        </w:rPr>
      </w:pPr>
      <w:r>
        <w:rPr>
          <w:rFonts w:hint="eastAsia" w:ascii="宋体" w:hAnsi="宋体" w:eastAsia="宋体" w:cs="宋体"/>
          <w:b/>
          <w:bCs/>
          <w:color w:val="000000" w:themeColor="text1"/>
          <w:position w:val="6"/>
          <w:sz w:val="24"/>
          <w:szCs w:val="24"/>
          <w:highlight w:val="none"/>
          <w14:textFill>
            <w14:solidFill>
              <w14:schemeClr w14:val="tx1"/>
            </w14:solidFill>
          </w14:textFill>
        </w:rPr>
        <w:t>7.4其他服务</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7.4.1保险培训</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szCs w:val="24"/>
          <w:highlight w:val="none"/>
          <w:lang w:eastAsia="zh-CN"/>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本协议有效期内，承保人每年应组织保险培训服务或交流会议、保险宣传活动，以提高投保人、被保险人等的风险管理和防灾防损技能，有关费用由承保人承担。具体内容、次数、实施方案、举办时间和地点由投保人、承保人双方共同协商确定。</w:t>
      </w:r>
    </w:p>
    <w:p>
      <w:pPr>
        <w:autoSpaceDE w:val="0"/>
        <w:autoSpaceDN w:val="0"/>
        <w:snapToGrid w:val="0"/>
        <w:spacing w:line="360" w:lineRule="auto"/>
        <w:ind w:firstLine="480" w:firstLineChars="200"/>
        <w:rPr>
          <w:rFonts w:hint="eastAsia" w:ascii="宋体" w:hAnsi="宋体" w:eastAsia="宋体" w:cs="宋体"/>
          <w:bCs/>
          <w:color w:val="000000" w:themeColor="text1"/>
          <w:position w:val="6"/>
          <w:sz w:val="24"/>
          <w:szCs w:val="24"/>
          <w:highlight w:val="none"/>
          <w14:textFill>
            <w14:solidFill>
              <w14:schemeClr w14:val="tx1"/>
            </w14:solidFill>
          </w14:textFill>
        </w:rPr>
      </w:pPr>
      <w:r>
        <w:rPr>
          <w:rFonts w:hint="eastAsia" w:ascii="宋体" w:hAnsi="宋体" w:eastAsia="宋体" w:cs="宋体"/>
          <w:bCs/>
          <w:color w:val="000000" w:themeColor="text1"/>
          <w:position w:val="6"/>
          <w:sz w:val="24"/>
          <w:szCs w:val="24"/>
          <w:highlight w:val="none"/>
          <w14:textFill>
            <w14:solidFill>
              <w14:schemeClr w14:val="tx1"/>
            </w14:solidFill>
          </w14:textFill>
        </w:rPr>
        <w:t>7.4.2保险咨询</w:t>
      </w:r>
    </w:p>
    <w:p>
      <w:pPr>
        <w:autoSpaceDE w:val="0"/>
        <w:autoSpaceDN w:val="0"/>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本协议有效期内，如投保人有需要，承保人应为投保人的其他项目提供保险咨询服务，并不收取任何费用。</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7.4.3承保人有义务向被保险人提供有关保险及民事损害赔偿的法律服务，包括法律咨询、代为聘请律师、代理诉讼行为、协助拟定有关保险法律的文件、文书、合同等。</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7.4.4发生事故时，专项服务小组应编制《理赔工作安排日程表》提交被保险人，与被保险人共同及时修订不合理的理算服务时间、理算服务流程。</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7.4.5由承保人牵头，每季度与投保人/被保险人召开联席会议，对前一阶段工作进行总结并明确下阶段服务计划。</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7.4.6如承保人未按本合同约定履行理赔义务或及时完成理赔事项，导致投保人/被保险人向承保人进行追偿（或委托他人代为追偿），由此产生的追偿费（包括但不限于诉讼费、财产保全费、律师费、交通费、通信费等与追偿有关的一切费用）和追偿款均由承保人承担。</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7.4.7第7条未约定的其他服务及特色服务按承保人的投标文件执行。</w:t>
      </w:r>
    </w:p>
    <w:p>
      <w:pPr>
        <w:snapToGrid w:val="0"/>
        <w:spacing w:line="360" w:lineRule="auto"/>
        <w:ind w:firstLine="482" w:firstLineChars="200"/>
        <w:outlineLvl w:val="1"/>
        <w:rPr>
          <w:rFonts w:hint="eastAsia" w:ascii="宋体" w:hAnsi="宋体" w:eastAsia="宋体" w:cs="宋体"/>
          <w:b/>
          <w:color w:val="000000" w:themeColor="text1"/>
          <w:position w:val="6"/>
          <w:sz w:val="24"/>
          <w:szCs w:val="24"/>
          <w:highlight w:val="none"/>
          <w14:textFill>
            <w14:solidFill>
              <w14:schemeClr w14:val="tx1"/>
            </w14:solidFill>
          </w14:textFill>
        </w:rPr>
      </w:pPr>
      <w:bookmarkStart w:id="67" w:name="_Toc25854"/>
      <w:r>
        <w:rPr>
          <w:rFonts w:hint="eastAsia" w:ascii="宋体" w:hAnsi="宋体" w:eastAsia="宋体" w:cs="宋体"/>
          <w:b/>
          <w:color w:val="000000" w:themeColor="text1"/>
          <w:position w:val="6"/>
          <w:sz w:val="24"/>
          <w:szCs w:val="24"/>
          <w:highlight w:val="none"/>
          <w14:textFill>
            <w14:solidFill>
              <w14:schemeClr w14:val="tx1"/>
            </w14:solidFill>
          </w14:textFill>
        </w:rPr>
        <w:t>8、履约担保</w:t>
      </w:r>
      <w:bookmarkEnd w:id="67"/>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8.1</w:t>
      </w:r>
      <w:r>
        <w:rPr>
          <w:rFonts w:hint="eastAsia" w:ascii="宋体" w:hAnsi="宋体" w:eastAsia="宋体" w:cs="宋体"/>
          <w:color w:val="000000" w:themeColor="text1"/>
          <w:position w:val="6"/>
          <w:sz w:val="24"/>
          <w:highlight w:val="none"/>
          <w14:textFill>
            <w14:solidFill>
              <w14:schemeClr w14:val="tx1"/>
            </w14:solidFill>
          </w14:textFill>
        </w:rPr>
        <w:t>履约担保用于补偿投保人因承保人不能完成其合同义务而蒙受的损失，是办理投标担保（如有）退还手续及合同价款支付手续的必要条件之一</w:t>
      </w:r>
      <w:r>
        <w:rPr>
          <w:rFonts w:hint="eastAsia" w:ascii="宋体" w:hAnsi="宋体" w:eastAsia="宋体" w:cs="宋体"/>
          <w:color w:val="000000" w:themeColor="text1"/>
          <w:position w:val="6"/>
          <w:sz w:val="24"/>
          <w:szCs w:val="24"/>
          <w:highlight w:val="none"/>
          <w14:textFill>
            <w14:solidFill>
              <w14:schemeClr w14:val="tx1"/>
            </w14:solidFill>
          </w14:textFill>
        </w:rPr>
        <w:t>。</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8.2承保人提供履约担保的形式、金额及期限采用以下两种方式之一：</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1）采用银行履约保函形式，银行履约保函的担保额度为暂定保险费的10%。担保期限为自本合同生效之日起至合同约定的保险期限满之日止。银行履约保函应为在中国境内注册和营业的银行出具的、以投保人为受益人首次申请即作为无条件付款的保函，银行履约保函格式具体详见合同附录。</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2）采用现金形式，现金担保额度为暂定保险费的10%，担保期限为自本合同生效之日起至合同约定的保险期限满之日止。履约担保以现金形式提交的，承保人应从其基本账户通过转帐或电汇至投保人指定的账户。</w:t>
      </w:r>
    </w:p>
    <w:p>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8.3承保人应确保提供的银行履约保函持续有效，在银行履约保函到期前1个月内办理好续保手续，并向发包人提供新的有效的银行履约保函。</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8.</w:t>
      </w:r>
      <w:r>
        <w:rPr>
          <w:rFonts w:hint="eastAsia" w:ascii="宋体" w:hAnsi="宋体" w:eastAsia="宋体" w:cs="宋体"/>
          <w:color w:val="000000" w:themeColor="text1"/>
          <w:position w:val="6"/>
          <w:sz w:val="24"/>
          <w:szCs w:val="24"/>
          <w:highlight w:val="none"/>
          <w14:textFill>
            <w14:solidFill>
              <w14:schemeClr w14:val="tx1"/>
            </w14:solidFill>
          </w14:textFill>
        </w:rPr>
        <w:t>4合同履约未完成而履约担保到期的，承保人应在履约担保到期后的首次办理合同价款支付手续时提供有效的续保文件。</w:t>
      </w:r>
    </w:p>
    <w:p>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8.</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5</w:t>
      </w:r>
      <w:r>
        <w:rPr>
          <w:rFonts w:hint="eastAsia" w:ascii="宋体" w:hAnsi="宋体" w:eastAsia="宋体" w:cs="宋体"/>
          <w:color w:val="000000" w:themeColor="text1"/>
          <w:position w:val="6"/>
          <w:sz w:val="24"/>
          <w:szCs w:val="24"/>
          <w:highlight w:val="none"/>
          <w14:textFill>
            <w14:solidFill>
              <w14:schemeClr w14:val="tx1"/>
            </w14:solidFill>
          </w14:textFill>
        </w:rPr>
        <w:t>在承保人完成其合同义务包括任何保证义务后，投保人将把履约担保无息退还承保人</w:t>
      </w:r>
      <w:r>
        <w:rPr>
          <w:rFonts w:hint="eastAsia" w:ascii="宋体" w:hAnsi="宋体" w:eastAsia="宋体" w:cs="宋体"/>
          <w:color w:val="000000" w:themeColor="text1"/>
          <w:sz w:val="24"/>
          <w:szCs w:val="24"/>
          <w:highlight w:val="none"/>
          <w14:textFill>
            <w14:solidFill>
              <w14:schemeClr w14:val="tx1"/>
            </w14:solidFill>
          </w14:textFill>
        </w:rPr>
        <w:t>。</w:t>
      </w:r>
    </w:p>
    <w:p>
      <w:pPr>
        <w:snapToGrid w:val="0"/>
        <w:spacing w:line="360" w:lineRule="auto"/>
        <w:ind w:firstLine="482" w:firstLineChars="200"/>
        <w:outlineLvl w:val="1"/>
        <w:rPr>
          <w:rFonts w:hint="eastAsia" w:ascii="宋体" w:hAnsi="宋体" w:eastAsia="宋体" w:cs="宋体"/>
          <w:b/>
          <w:color w:val="000000" w:themeColor="text1"/>
          <w:position w:val="6"/>
          <w:sz w:val="24"/>
          <w:szCs w:val="24"/>
          <w:highlight w:val="none"/>
          <w14:textFill>
            <w14:solidFill>
              <w14:schemeClr w14:val="tx1"/>
            </w14:solidFill>
          </w14:textFill>
        </w:rPr>
      </w:pPr>
      <w:bookmarkStart w:id="68" w:name="_Toc28098"/>
      <w:r>
        <w:rPr>
          <w:rFonts w:hint="eastAsia" w:ascii="宋体" w:hAnsi="宋体" w:eastAsia="宋体" w:cs="宋体"/>
          <w:b/>
          <w:color w:val="000000" w:themeColor="text1"/>
          <w:position w:val="6"/>
          <w:sz w:val="24"/>
          <w:szCs w:val="24"/>
          <w:highlight w:val="none"/>
          <w14:textFill>
            <w14:solidFill>
              <w14:schemeClr w14:val="tx1"/>
            </w14:solidFill>
          </w14:textFill>
        </w:rPr>
        <w:t>9、违约责任</w:t>
      </w:r>
      <w:bookmarkEnd w:id="68"/>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9.1为了维护本协议以及保险单的严肃性，投保人、承保人和被保险人各方应按保险单以及本协议内规定条款履行各自的义务，并承担相对应的责任。</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9.2承保人未按7.2.1、7.2.2款约定履行义务的，每发生一次，投保人有权要求承保人交纳2000元/次的违约金。</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9.3承保人未按7.2.3、7.3、7.4款约定履行义务的，每发生一次，投保人有权要求承保人交纳10000元/次的违约金。</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9.4承保人未按7.2.4、7.2.5.1、7.2.5.2、7.2.5.3款约定履行义务的，每发生一次，投保人有权要求承保人交纳100000元/次的违约金。</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9.5因承保人原因，致使被保险人不能按照本协议规定的时间获得赔偿金，承保人应支付违约金。违约金=应付赔款金额×实际违约天数×中国人民银行同期贷款基准利率。实际违约时间据实统计，并在各赔案结算中应用。</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9.6违约金总额超过合同暂定保险费的20%，投保人有权解除合同。</w:t>
      </w:r>
    </w:p>
    <w:p>
      <w:pPr>
        <w:pStyle w:val="45"/>
        <w:snapToGrid w:val="0"/>
        <w:spacing w:after="0"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7</w:t>
      </w:r>
      <w:r>
        <w:rPr>
          <w:rFonts w:hint="eastAsia" w:ascii="宋体" w:hAnsi="宋体" w:eastAsia="宋体" w:cs="宋体"/>
          <w:color w:val="000000" w:themeColor="text1"/>
          <w:position w:val="6"/>
          <w:sz w:val="24"/>
          <w:szCs w:val="24"/>
          <w:highlight w:val="none"/>
          <w14:textFill>
            <w14:solidFill>
              <w14:schemeClr w14:val="tx1"/>
            </w14:solidFill>
          </w14:textFill>
        </w:rPr>
        <w:t>因</w:t>
      </w:r>
      <w:r>
        <w:rPr>
          <w:rFonts w:hint="eastAsia" w:ascii="宋体" w:hAnsi="宋体" w:eastAsia="宋体" w:cs="宋体"/>
          <w:color w:val="000000" w:themeColor="text1"/>
          <w:position w:val="6"/>
          <w:sz w:val="24"/>
          <w:szCs w:val="24"/>
          <w:highlight w:val="none"/>
          <w:lang w:eastAsia="zh-CN"/>
          <w14:textFill>
            <w14:solidFill>
              <w14:schemeClr w14:val="tx1"/>
            </w14:solidFill>
          </w14:textFill>
        </w:rPr>
        <w:t>承保人</w:t>
      </w:r>
      <w:r>
        <w:rPr>
          <w:rFonts w:hint="eastAsia" w:ascii="宋体" w:hAnsi="宋体" w:eastAsia="宋体" w:cs="宋体"/>
          <w:color w:val="000000" w:themeColor="text1"/>
          <w:position w:val="6"/>
          <w:sz w:val="24"/>
          <w:szCs w:val="24"/>
          <w:highlight w:val="none"/>
          <w14:textFill>
            <w14:solidFill>
              <w14:schemeClr w14:val="tx1"/>
            </w14:solidFill>
          </w14:textFill>
        </w:rPr>
        <w:t>提供的发票导致</w:t>
      </w:r>
      <w:r>
        <w:rPr>
          <w:rFonts w:hint="eastAsia" w:ascii="宋体" w:hAnsi="宋体" w:eastAsia="宋体" w:cs="宋体"/>
          <w:color w:val="000000" w:themeColor="text1"/>
          <w:position w:val="6"/>
          <w:sz w:val="24"/>
          <w:szCs w:val="24"/>
          <w:highlight w:val="none"/>
          <w:lang w:eastAsia="zh-CN"/>
          <w14:textFill>
            <w14:solidFill>
              <w14:schemeClr w14:val="tx1"/>
            </w14:solidFill>
          </w14:textFill>
        </w:rPr>
        <w:t>投保人</w:t>
      </w:r>
      <w:r>
        <w:rPr>
          <w:rFonts w:hint="eastAsia" w:ascii="宋体" w:hAnsi="宋体" w:eastAsia="宋体" w:cs="宋体"/>
          <w:color w:val="000000" w:themeColor="text1"/>
          <w:position w:val="6"/>
          <w:sz w:val="24"/>
          <w:szCs w:val="24"/>
          <w:highlight w:val="none"/>
          <w14:textFill>
            <w14:solidFill>
              <w14:schemeClr w14:val="tx1"/>
            </w14:solidFill>
          </w14:textFill>
        </w:rPr>
        <w:t>被税务部门追究相关法律责任的，</w:t>
      </w:r>
      <w:r>
        <w:rPr>
          <w:rFonts w:hint="eastAsia" w:ascii="宋体" w:hAnsi="宋体" w:eastAsia="宋体" w:cs="宋体"/>
          <w:color w:val="000000" w:themeColor="text1"/>
          <w:position w:val="6"/>
          <w:sz w:val="24"/>
          <w:szCs w:val="24"/>
          <w:highlight w:val="none"/>
          <w:lang w:eastAsia="zh-CN"/>
          <w14:textFill>
            <w14:solidFill>
              <w14:schemeClr w14:val="tx1"/>
            </w14:solidFill>
          </w14:textFill>
        </w:rPr>
        <w:t>承保人</w:t>
      </w:r>
      <w:r>
        <w:rPr>
          <w:rFonts w:hint="eastAsia" w:ascii="宋体" w:hAnsi="宋体" w:eastAsia="宋体" w:cs="宋体"/>
          <w:color w:val="000000" w:themeColor="text1"/>
          <w:position w:val="6"/>
          <w:sz w:val="24"/>
          <w:szCs w:val="24"/>
          <w:highlight w:val="none"/>
          <w14:textFill>
            <w14:solidFill>
              <w14:schemeClr w14:val="tx1"/>
            </w14:solidFill>
          </w14:textFill>
        </w:rPr>
        <w:t>应承担由此给</w:t>
      </w:r>
      <w:r>
        <w:rPr>
          <w:rFonts w:hint="eastAsia" w:ascii="宋体" w:hAnsi="宋体" w:eastAsia="宋体" w:cs="宋体"/>
          <w:color w:val="000000" w:themeColor="text1"/>
          <w:position w:val="6"/>
          <w:sz w:val="24"/>
          <w:szCs w:val="24"/>
          <w:highlight w:val="none"/>
          <w:lang w:eastAsia="zh-CN"/>
          <w14:textFill>
            <w14:solidFill>
              <w14:schemeClr w14:val="tx1"/>
            </w14:solidFill>
          </w14:textFill>
        </w:rPr>
        <w:t>投保人</w:t>
      </w:r>
      <w:r>
        <w:rPr>
          <w:rFonts w:hint="eastAsia" w:ascii="宋体" w:hAnsi="宋体" w:eastAsia="宋体" w:cs="宋体"/>
          <w:color w:val="000000" w:themeColor="text1"/>
          <w:position w:val="6"/>
          <w:sz w:val="24"/>
          <w:szCs w:val="24"/>
          <w:highlight w:val="none"/>
          <w14:textFill>
            <w14:solidFill>
              <w14:schemeClr w14:val="tx1"/>
            </w14:solidFill>
          </w14:textFill>
        </w:rPr>
        <w:t>造成的损失（包括但不限于未抵扣的税费、滞纳金）。</w:t>
      </w:r>
    </w:p>
    <w:p>
      <w:pPr>
        <w:pStyle w:val="45"/>
        <w:snapToGrid w:val="0"/>
        <w:spacing w:after="0"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8</w:t>
      </w:r>
      <w:r>
        <w:rPr>
          <w:rFonts w:hint="eastAsia" w:ascii="宋体" w:hAnsi="宋体" w:eastAsia="宋体" w:cs="宋体"/>
          <w:color w:val="000000" w:themeColor="text1"/>
          <w:position w:val="6"/>
          <w:sz w:val="24"/>
          <w:szCs w:val="24"/>
          <w:highlight w:val="none"/>
          <w14:textFill>
            <w14:solidFill>
              <w14:schemeClr w14:val="tx1"/>
            </w14:solidFill>
          </w14:textFill>
        </w:rPr>
        <w:t>承保人应以现金或转账方式交纳违约金，投保人根据税法相关规定开具收款收据或增值税发票。</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9</w:t>
      </w:r>
      <w:r>
        <w:rPr>
          <w:rFonts w:hint="eastAsia" w:ascii="宋体" w:hAnsi="宋体" w:eastAsia="宋体" w:cs="宋体"/>
          <w:color w:val="000000" w:themeColor="text1"/>
          <w:position w:val="6"/>
          <w:sz w:val="24"/>
          <w:szCs w:val="24"/>
          <w:highlight w:val="none"/>
          <w14:textFill>
            <w14:solidFill>
              <w14:schemeClr w14:val="tx1"/>
            </w14:solidFill>
          </w14:textFill>
        </w:rPr>
        <w:t>承保人在接到投保人发出的违约通知后，应按通知要求交纳违约金；否则，投保人有权暂停合同价款支付或从承保人的合同价款中扣除相应的违约金。</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9.1</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szCs w:val="24"/>
          <w:highlight w:val="none"/>
          <w14:textFill>
            <w14:solidFill>
              <w14:schemeClr w14:val="tx1"/>
            </w14:solidFill>
          </w14:textFill>
        </w:rPr>
        <w:t>因承保人原因提前终止合同的，承保人应承担由此给投保人造成的损失，投保人有权没收承保人所交履约担保</w:t>
      </w:r>
      <w:r>
        <w:rPr>
          <w:rFonts w:hint="eastAsia" w:ascii="宋体" w:hAnsi="宋体" w:eastAsia="宋体" w:cs="宋体"/>
          <w:color w:val="000000" w:themeColor="text1"/>
          <w:position w:val="6"/>
          <w:sz w:val="24"/>
          <w:highlight w:val="none"/>
          <w14:textFill>
            <w14:solidFill>
              <w14:schemeClr w14:val="tx1"/>
            </w14:solidFill>
          </w14:textFill>
        </w:rPr>
        <w:t>，同时投保人有权要求承保人按</w:t>
      </w:r>
      <w:r>
        <w:rPr>
          <w:rFonts w:hint="eastAsia" w:ascii="宋体" w:hAnsi="宋体" w:eastAsia="宋体" w:cs="宋体"/>
          <w:color w:val="000000" w:themeColor="text1"/>
          <w:position w:val="6"/>
          <w:sz w:val="24"/>
          <w:szCs w:val="24"/>
          <w:highlight w:val="none"/>
          <w14:textFill>
            <w14:solidFill>
              <w14:schemeClr w14:val="tx1"/>
            </w14:solidFill>
          </w14:textFill>
        </w:rPr>
        <w:t>暂定保险费</w:t>
      </w:r>
      <w:r>
        <w:rPr>
          <w:rFonts w:hint="eastAsia" w:ascii="宋体" w:hAnsi="宋体" w:eastAsia="宋体" w:cs="宋体"/>
          <w:color w:val="000000" w:themeColor="text1"/>
          <w:position w:val="6"/>
          <w:sz w:val="24"/>
          <w:highlight w:val="none"/>
          <w14:textFill>
            <w14:solidFill>
              <w14:schemeClr w14:val="tx1"/>
            </w14:solidFill>
          </w14:textFill>
        </w:rPr>
        <w:t>的20%交纳违约金。</w:t>
      </w:r>
    </w:p>
    <w:p>
      <w:pPr>
        <w:snapToGrid w:val="0"/>
        <w:spacing w:line="360" w:lineRule="auto"/>
        <w:ind w:firstLine="482" w:firstLineChars="200"/>
        <w:outlineLvl w:val="1"/>
        <w:rPr>
          <w:rFonts w:hint="eastAsia" w:ascii="宋体" w:hAnsi="宋体" w:eastAsia="宋体" w:cs="宋体"/>
          <w:b/>
          <w:color w:val="000000" w:themeColor="text1"/>
          <w:position w:val="6"/>
          <w:sz w:val="24"/>
          <w:szCs w:val="24"/>
          <w:highlight w:val="none"/>
          <w14:textFill>
            <w14:solidFill>
              <w14:schemeClr w14:val="tx1"/>
            </w14:solidFill>
          </w14:textFill>
        </w:rPr>
      </w:pPr>
      <w:bookmarkStart w:id="69" w:name="_Toc21128"/>
      <w:r>
        <w:rPr>
          <w:rFonts w:hint="eastAsia" w:ascii="宋体" w:hAnsi="宋体" w:eastAsia="宋体" w:cs="宋体"/>
          <w:b/>
          <w:color w:val="000000" w:themeColor="text1"/>
          <w:position w:val="6"/>
          <w:sz w:val="24"/>
          <w:szCs w:val="24"/>
          <w:highlight w:val="none"/>
          <w14:textFill>
            <w14:solidFill>
              <w14:schemeClr w14:val="tx1"/>
            </w14:solidFill>
          </w14:textFill>
        </w:rPr>
        <w:t>1</w:t>
      </w:r>
      <w:r>
        <w:rPr>
          <w:rFonts w:hint="eastAsia" w:ascii="宋体" w:hAnsi="宋体" w:eastAsia="宋体" w:cs="宋体"/>
          <w:b/>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b/>
          <w:color w:val="000000" w:themeColor="text1"/>
          <w:position w:val="6"/>
          <w:sz w:val="24"/>
          <w:szCs w:val="24"/>
          <w:highlight w:val="none"/>
          <w14:textFill>
            <w14:solidFill>
              <w14:schemeClr w14:val="tx1"/>
            </w14:solidFill>
          </w14:textFill>
        </w:rPr>
        <w:t>、其他</w:t>
      </w:r>
      <w:bookmarkEnd w:id="69"/>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1</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szCs w:val="24"/>
          <w:highlight w:val="none"/>
          <w14:textFill>
            <w14:solidFill>
              <w14:schemeClr w14:val="tx1"/>
            </w14:solidFill>
          </w14:textFill>
        </w:rPr>
        <w:t>.1保密约定</w:t>
      </w:r>
    </w:p>
    <w:p>
      <w:pPr>
        <w:pStyle w:val="41"/>
        <w:snapToGrid w:val="0"/>
        <w:spacing w:before="0" w:beforeAutospacing="0" w:after="0" w:afterAutospacing="0" w:line="360" w:lineRule="auto"/>
        <w:ind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除法律法规规定或合同另有约定外，未经投保人同意，承保人不得将投保人提供的信息及资料（包括但不限于各方的往来书面文字文件、电子邮件及信息、软盘资料等）泄露给第三方。</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1</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szCs w:val="24"/>
          <w:highlight w:val="none"/>
          <w14:textFill>
            <w14:solidFill>
              <w14:schemeClr w14:val="tx1"/>
            </w14:solidFill>
          </w14:textFill>
        </w:rPr>
        <w:t>.2争议解决</w:t>
      </w:r>
    </w:p>
    <w:p>
      <w:pPr>
        <w:adjustRightInd w:val="0"/>
        <w:snapToGrid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宋体" w:hAnsi="宋体" w:eastAsia="宋体" w:cs="宋体"/>
          <w:color w:val="000000" w:themeColor="text1"/>
          <w:kern w:val="0"/>
          <w:sz w:val="24"/>
          <w:highlight w:val="none"/>
          <w:u w:val="single"/>
          <w14:textFill>
            <w14:solidFill>
              <w14:schemeClr w14:val="tx1"/>
            </w14:solidFill>
          </w14:textFill>
        </w:rPr>
        <w:t>第（2）种</w:t>
      </w:r>
      <w:r>
        <w:rPr>
          <w:rFonts w:hint="eastAsia" w:ascii="宋体" w:hAnsi="宋体" w:eastAsia="宋体" w:cs="宋体"/>
          <w:color w:val="000000" w:themeColor="text1"/>
          <w:kern w:val="0"/>
          <w:sz w:val="24"/>
          <w:highlight w:val="none"/>
          <w14:textFill>
            <w14:solidFill>
              <w14:schemeClr w14:val="tx1"/>
            </w14:solidFill>
          </w14:textFill>
        </w:rPr>
        <w:t>方式解决：</w:t>
      </w:r>
    </w:p>
    <w:p>
      <w:pPr>
        <w:adjustRightInd w:val="0"/>
        <w:snapToGrid w:val="0"/>
        <w:spacing w:line="360" w:lineRule="auto"/>
        <w:ind w:firstLine="480" w:firstLineChars="20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（1）向</w:t>
      </w:r>
      <w:r>
        <w:rPr>
          <w:rFonts w:hint="eastAsia" w:ascii="宋体" w:hAnsi="宋体" w:eastAsia="宋体" w:cs="宋体"/>
          <w:color w:val="000000" w:themeColor="text1"/>
          <w:kern w:val="0"/>
          <w:sz w:val="24"/>
          <w:highlight w:val="none"/>
          <w:u w:val="single"/>
          <w14:textFill>
            <w14:solidFill>
              <w14:schemeClr w14:val="tx1"/>
            </w14:solidFill>
          </w14:textFill>
        </w:rPr>
        <w:t>长沙</w:t>
      </w:r>
      <w:r>
        <w:rPr>
          <w:rFonts w:hint="eastAsia" w:ascii="宋体" w:hAnsi="宋体" w:eastAsia="宋体" w:cs="宋体"/>
          <w:color w:val="000000" w:themeColor="text1"/>
          <w:kern w:val="0"/>
          <w:sz w:val="24"/>
          <w:highlight w:val="none"/>
          <w14:textFill>
            <w14:solidFill>
              <w14:schemeClr w14:val="tx1"/>
            </w14:solidFill>
          </w14:textFill>
        </w:rPr>
        <w:t>仲裁委员会提请仲裁；</w:t>
      </w:r>
    </w:p>
    <w:p>
      <w:pPr>
        <w:tabs>
          <w:tab w:val="left" w:pos="1260"/>
        </w:tabs>
        <w:adjustRightInd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（2）向</w:t>
      </w:r>
      <w:r>
        <w:rPr>
          <w:rFonts w:hint="eastAsia" w:ascii="宋体" w:hAnsi="宋体" w:eastAsia="宋体" w:cs="宋体"/>
          <w:color w:val="000000" w:themeColor="text1"/>
          <w:kern w:val="0"/>
          <w:sz w:val="24"/>
          <w:highlight w:val="none"/>
          <w:u w:val="single"/>
          <w14:textFill>
            <w14:solidFill>
              <w14:schemeClr w14:val="tx1"/>
            </w14:solidFill>
          </w14:textFill>
        </w:rPr>
        <w:t>投保人所在地</w:t>
      </w:r>
      <w:r>
        <w:rPr>
          <w:rFonts w:hint="eastAsia" w:ascii="宋体" w:hAnsi="宋体" w:eastAsia="宋体" w:cs="宋体"/>
          <w:color w:val="000000" w:themeColor="text1"/>
          <w:kern w:val="0"/>
          <w:sz w:val="24"/>
          <w:highlight w:val="none"/>
          <w14:textFill>
            <w14:solidFill>
              <w14:schemeClr w14:val="tx1"/>
            </w14:solidFill>
          </w14:textFill>
        </w:rPr>
        <w:t>人民法院提起诉讼。</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1</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szCs w:val="24"/>
          <w:highlight w:val="none"/>
          <w14:textFill>
            <w14:solidFill>
              <w14:schemeClr w14:val="tx1"/>
            </w14:solidFill>
          </w14:textFill>
        </w:rPr>
        <w:t>.3合同生效及终止</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本合同自</w:t>
      </w:r>
      <w:r>
        <w:rPr>
          <w:rFonts w:hint="eastAsia" w:ascii="宋体" w:hAnsi="宋体" w:eastAsia="宋体" w:cs="宋体"/>
          <w:color w:val="000000" w:themeColor="text1"/>
          <w:position w:val="6"/>
          <w:sz w:val="24"/>
          <w:szCs w:val="24"/>
          <w:highlight w:val="none"/>
          <w:u w:val="single"/>
          <w14:textFill>
            <w14:solidFill>
              <w14:schemeClr w14:val="tx1"/>
            </w14:solidFill>
          </w14:textFill>
        </w:rPr>
        <w:t>双方法定代表人或授权代表签字并加盖合同专用章后</w:t>
      </w:r>
      <w:r>
        <w:rPr>
          <w:rFonts w:hint="eastAsia" w:ascii="宋体" w:hAnsi="宋体" w:eastAsia="宋体" w:cs="宋体"/>
          <w:color w:val="000000" w:themeColor="text1"/>
          <w:position w:val="6"/>
          <w:sz w:val="24"/>
          <w:szCs w:val="24"/>
          <w:highlight w:val="none"/>
          <w14:textFill>
            <w14:solidFill>
              <w14:schemeClr w14:val="tx1"/>
            </w14:solidFill>
          </w14:textFill>
        </w:rPr>
        <w:t>生效；在保险单有效期内持续有效，如果保险期限结束后仍存在遗留问题，本合同将继续有效，直至保单涉及的各项遗留事宜最终处理完毕后，本合同即行终止。</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1</w:t>
      </w:r>
      <w:r>
        <w:rPr>
          <w:rFonts w:hint="eastAsia" w:ascii="宋体" w:hAnsi="宋体" w:eastAsia="宋体" w:cs="宋体"/>
          <w:color w:val="000000" w:themeColor="text1"/>
          <w:position w:val="6"/>
          <w:sz w:val="24"/>
          <w:szCs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szCs w:val="24"/>
          <w:highlight w:val="none"/>
          <w14:textFill>
            <w14:solidFill>
              <w14:schemeClr w14:val="tx1"/>
            </w14:solidFill>
          </w14:textFill>
        </w:rPr>
        <w:t>.4修改和补充</w:t>
      </w:r>
    </w:p>
    <w:p>
      <w:pPr>
        <w:snapToGrid w:val="0"/>
        <w:spacing w:line="360" w:lineRule="auto"/>
        <w:ind w:firstLine="480" w:firstLineChars="200"/>
        <w:rPr>
          <w:rFonts w:hint="eastAsia" w:ascii="宋体" w:hAnsi="宋体" w:eastAsia="宋体" w:cs="宋体"/>
          <w:color w:val="000000" w:themeColor="text1"/>
          <w:position w:val="6"/>
          <w:sz w:val="24"/>
          <w:szCs w:val="24"/>
          <w:highlight w:val="none"/>
          <w14:textFill>
            <w14:solidFill>
              <w14:schemeClr w14:val="tx1"/>
            </w14:solidFill>
          </w14:textFill>
        </w:rPr>
      </w:pPr>
      <w:r>
        <w:rPr>
          <w:rFonts w:hint="eastAsia" w:ascii="宋体" w:hAnsi="宋体" w:eastAsia="宋体" w:cs="宋体"/>
          <w:color w:val="000000" w:themeColor="text1"/>
          <w:position w:val="6"/>
          <w:sz w:val="24"/>
          <w:szCs w:val="24"/>
          <w:highlight w:val="none"/>
          <w14:textFill>
            <w14:solidFill>
              <w14:schemeClr w14:val="tx1"/>
            </w14:solidFill>
          </w14:textFill>
        </w:rPr>
        <w:t>在本协议执行期内，如需对本协议进行修改和补充，应由投保人（代表被保险人）、承保人双方协商一致后，签订补充协议。</w:t>
      </w:r>
    </w:p>
    <w:p>
      <w:pPr>
        <w:snapToGrid w:val="0"/>
        <w:spacing w:line="360" w:lineRule="auto"/>
        <w:ind w:firstLine="480" w:firstLineChars="200"/>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1</w:t>
      </w:r>
      <w:r>
        <w:rPr>
          <w:rFonts w:hint="eastAsia" w:ascii="宋体" w:hAnsi="宋体" w:eastAsia="宋体" w:cs="宋体"/>
          <w:bCs/>
          <w:color w:val="000000" w:themeColor="text1"/>
          <w:kern w:val="0"/>
          <w:sz w:val="24"/>
          <w:highlight w:val="none"/>
          <w:lang w:val="en-US" w:eastAsia="zh-CN"/>
          <w14:textFill>
            <w14:solidFill>
              <w14:schemeClr w14:val="tx1"/>
            </w14:solidFill>
          </w14:textFill>
        </w:rPr>
        <w:t>0</w:t>
      </w:r>
      <w:r>
        <w:rPr>
          <w:rFonts w:hint="eastAsia" w:ascii="宋体" w:hAnsi="宋体" w:eastAsia="宋体" w:cs="宋体"/>
          <w:bCs/>
          <w:color w:val="000000" w:themeColor="text1"/>
          <w:kern w:val="0"/>
          <w:sz w:val="24"/>
          <w:highlight w:val="none"/>
          <w14:textFill>
            <w14:solidFill>
              <w14:schemeClr w14:val="tx1"/>
            </w14:solidFill>
          </w14:textFill>
        </w:rPr>
        <w:t>.5签订时间</w:t>
      </w:r>
    </w:p>
    <w:p>
      <w:pPr>
        <w:spacing w:line="360" w:lineRule="auto"/>
        <w:ind w:firstLine="465"/>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本合同于</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年</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月</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highlight w:val="none"/>
          <w:u w:val="singl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日签订。</w:t>
      </w:r>
    </w:p>
    <w:p>
      <w:pPr>
        <w:spacing w:line="360" w:lineRule="auto"/>
        <w:ind w:firstLine="465"/>
        <w:rPr>
          <w:rFonts w:hint="eastAsia" w:ascii="宋体" w:hAnsi="宋体" w:eastAsia="宋体" w:cs="宋体"/>
          <w:bCs/>
          <w:color w:val="000000" w:themeColor="text1"/>
          <w:kern w:val="0"/>
          <w:sz w:val="24"/>
          <w:highlight w:val="none"/>
          <w14:textFill>
            <w14:solidFill>
              <w14:schemeClr w14:val="tx1"/>
            </w14:solidFill>
          </w14:textFill>
        </w:rPr>
      </w:pPr>
      <w:r>
        <w:rPr>
          <w:rFonts w:hint="eastAsia" w:ascii="宋体" w:hAnsi="宋体" w:eastAsia="宋体" w:cs="宋体"/>
          <w:bCs/>
          <w:color w:val="000000" w:themeColor="text1"/>
          <w:kern w:val="0"/>
          <w:sz w:val="24"/>
          <w:highlight w:val="none"/>
          <w14:textFill>
            <w14:solidFill>
              <w14:schemeClr w14:val="tx1"/>
            </w14:solidFill>
          </w14:textFill>
        </w:rPr>
        <w:t>1</w:t>
      </w:r>
      <w:r>
        <w:rPr>
          <w:rFonts w:hint="eastAsia" w:ascii="宋体" w:hAnsi="宋体" w:eastAsia="宋体" w:cs="宋体"/>
          <w:bCs/>
          <w:color w:val="000000" w:themeColor="text1"/>
          <w:kern w:val="0"/>
          <w:sz w:val="24"/>
          <w:highlight w:val="none"/>
          <w:lang w:val="en-US" w:eastAsia="zh-CN"/>
          <w14:textFill>
            <w14:solidFill>
              <w14:schemeClr w14:val="tx1"/>
            </w14:solidFill>
          </w14:textFill>
        </w:rPr>
        <w:t>0</w:t>
      </w:r>
      <w:r>
        <w:rPr>
          <w:rFonts w:hint="eastAsia" w:ascii="宋体" w:hAnsi="宋体" w:eastAsia="宋体" w:cs="宋体"/>
          <w:bCs/>
          <w:color w:val="000000" w:themeColor="text1"/>
          <w:kern w:val="0"/>
          <w:sz w:val="24"/>
          <w:highlight w:val="none"/>
          <w14:textFill>
            <w14:solidFill>
              <w14:schemeClr w14:val="tx1"/>
            </w14:solidFill>
          </w14:textFill>
        </w:rPr>
        <w:t>.6签订地点</w:t>
      </w:r>
    </w:p>
    <w:p>
      <w:pPr>
        <w:snapToGrid w:val="0"/>
        <w:spacing w:line="360" w:lineRule="auto"/>
        <w:ind w:firstLine="480" w:firstLineChars="200"/>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本合同在</w:t>
      </w:r>
      <w:r>
        <w:rPr>
          <w:rFonts w:hint="eastAsia" w:ascii="宋体" w:hAnsi="宋体" w:eastAsia="宋体" w:cs="宋体"/>
          <w:bCs/>
          <w:color w:val="000000" w:themeColor="text1"/>
          <w:sz w:val="24"/>
          <w:highlight w:val="none"/>
          <w:u w:val="single"/>
          <w14:textFill>
            <w14:solidFill>
              <w14:schemeClr w14:val="tx1"/>
            </w14:solidFill>
          </w14:textFill>
        </w:rPr>
        <w:t xml:space="preserve"> 湖南省长沙市雨花区 </w:t>
      </w:r>
      <w:r>
        <w:rPr>
          <w:rFonts w:hint="eastAsia" w:ascii="宋体" w:hAnsi="宋体" w:eastAsia="宋体" w:cs="宋体"/>
          <w:bCs/>
          <w:color w:val="000000" w:themeColor="text1"/>
          <w:sz w:val="24"/>
          <w:highlight w:val="none"/>
          <w14:textFill>
            <w14:solidFill>
              <w14:schemeClr w14:val="tx1"/>
            </w14:solidFill>
          </w14:textFill>
        </w:rPr>
        <w:t>签订。</w:t>
      </w:r>
    </w:p>
    <w:p>
      <w:pPr>
        <w:snapToGrid w:val="0"/>
        <w:spacing w:line="360" w:lineRule="auto"/>
        <w:ind w:firstLine="480" w:firstLineChars="200"/>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t>1</w:t>
      </w:r>
      <w:r>
        <w:rPr>
          <w:rFonts w:hint="eastAsia" w:ascii="宋体" w:hAnsi="宋体" w:eastAsia="宋体" w:cs="宋体"/>
          <w:color w:val="000000" w:themeColor="text1"/>
          <w:position w:val="6"/>
          <w:sz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highlight w:val="none"/>
          <w14:textFill>
            <w14:solidFill>
              <w14:schemeClr w14:val="tx1"/>
            </w14:solidFill>
          </w14:textFill>
        </w:rPr>
        <w:t>.7本合同一式</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份（其中正本</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份、副本</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份），投保人执八份（一正七副）、承保人执</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份（</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正</w:t>
      </w:r>
      <w:r>
        <w:rPr>
          <w:rFonts w:hint="eastAsia" w:ascii="宋体" w:hAnsi="宋体" w:eastAsia="宋体" w:cs="宋体"/>
          <w:color w:val="000000" w:themeColor="text1"/>
          <w:position w:val="6"/>
          <w:sz w:val="24"/>
          <w:highlight w:val="none"/>
          <w:u w:val="single"/>
          <w14:textFill>
            <w14:solidFill>
              <w14:schemeClr w14:val="tx1"/>
            </w14:solidFill>
          </w14:textFill>
        </w:rPr>
        <w:t xml:space="preserve">   </w:t>
      </w:r>
      <w:r>
        <w:rPr>
          <w:rFonts w:hint="eastAsia" w:ascii="宋体" w:hAnsi="宋体" w:eastAsia="宋体" w:cs="宋体"/>
          <w:color w:val="000000" w:themeColor="text1"/>
          <w:position w:val="6"/>
          <w:sz w:val="24"/>
          <w:highlight w:val="none"/>
          <w14:textFill>
            <w14:solidFill>
              <w14:schemeClr w14:val="tx1"/>
            </w14:solidFill>
          </w14:textFill>
        </w:rPr>
        <w:t>副）。合同正本和副本具有同等效力，当合同副本与正本之间存有差异时，以合同正本为准。</w:t>
      </w:r>
    </w:p>
    <w:p>
      <w:pPr>
        <w:snapToGrid w:val="0"/>
        <w:spacing w:line="360" w:lineRule="auto"/>
        <w:ind w:firstLine="480" w:firstLineChars="200"/>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t>1</w:t>
      </w:r>
      <w:r>
        <w:rPr>
          <w:rFonts w:hint="eastAsia" w:ascii="宋体" w:hAnsi="宋体" w:eastAsia="宋体" w:cs="宋体"/>
          <w:color w:val="000000" w:themeColor="text1"/>
          <w:position w:val="6"/>
          <w:sz w:val="24"/>
          <w:highlight w:val="none"/>
          <w:lang w:val="en-US" w:eastAsia="zh-CN"/>
          <w14:textFill>
            <w14:solidFill>
              <w14:schemeClr w14:val="tx1"/>
            </w14:solidFill>
          </w14:textFill>
        </w:rPr>
        <w:t>0</w:t>
      </w:r>
      <w:r>
        <w:rPr>
          <w:rFonts w:hint="eastAsia" w:ascii="宋体" w:hAnsi="宋体" w:eastAsia="宋体" w:cs="宋体"/>
          <w:color w:val="000000" w:themeColor="text1"/>
          <w:position w:val="6"/>
          <w:sz w:val="24"/>
          <w:highlight w:val="none"/>
          <w14:textFill>
            <w14:solidFill>
              <w14:schemeClr w14:val="tx1"/>
            </w14:solidFill>
          </w14:textFill>
        </w:rPr>
        <w:t>.8双方约定的其他事项（本条约定与合同条款中其他约定不一致时，以本条为准）：</w:t>
      </w:r>
      <w:r>
        <w:rPr>
          <w:rFonts w:hint="eastAsia" w:ascii="宋体" w:hAnsi="宋体" w:eastAsia="宋体" w:cs="宋体"/>
          <w:b/>
          <w:color w:val="000000" w:themeColor="text1"/>
          <w:position w:val="6"/>
          <w:sz w:val="24"/>
          <w:highlight w:val="none"/>
          <w:u w:val="single"/>
          <w14:textFill>
            <w14:solidFill>
              <w14:schemeClr w14:val="tx1"/>
            </w14:solidFill>
          </w14:textFill>
        </w:rPr>
        <w:t xml:space="preserve">                              </w:t>
      </w:r>
    </w:p>
    <w:p>
      <w:pPr>
        <w:pageBreakBefore/>
        <w:snapToGrid w:val="0"/>
        <w:spacing w:line="360" w:lineRule="auto"/>
        <w:rPr>
          <w:rFonts w:hint="eastAsia" w:ascii="宋体" w:hAnsi="宋体" w:eastAsia="宋体" w:cs="宋体"/>
          <w:color w:val="000000" w:themeColor="text1"/>
          <w:position w:val="6"/>
          <w:sz w:val="24"/>
          <w:highlight w:val="none"/>
          <w14:textFill>
            <w14:solidFill>
              <w14:schemeClr w14:val="tx1"/>
            </w14:solidFill>
          </w14:textFill>
        </w:rPr>
      </w:pPr>
      <w:r>
        <w:rPr>
          <w:rFonts w:hint="eastAsia" w:ascii="宋体" w:hAnsi="宋体" w:eastAsia="宋体" w:cs="宋体"/>
          <w:color w:val="000000" w:themeColor="text1"/>
          <w:position w:val="6"/>
          <w:sz w:val="24"/>
          <w:highlight w:val="none"/>
          <w14:textFill>
            <w14:solidFill>
              <w14:schemeClr w14:val="tx1"/>
            </w14:solidFill>
          </w14:textFill>
        </w:rPr>
        <w:t>（本页无正文）</w:t>
      </w:r>
    </w:p>
    <w:p>
      <w:pPr>
        <w:snapToGrid w:val="0"/>
        <w:spacing w:line="360" w:lineRule="auto"/>
        <w:rPr>
          <w:rFonts w:hint="eastAsia" w:ascii="宋体" w:hAnsi="宋体" w:eastAsia="宋体" w:cs="宋体"/>
          <w:color w:val="000000" w:themeColor="text1"/>
          <w:position w:val="6"/>
          <w:sz w:val="24"/>
          <w:highlight w:val="none"/>
          <w14:textFill>
            <w14:solidFill>
              <w14:schemeClr w14:val="tx1"/>
            </w14:solidFill>
          </w14:textFill>
        </w:rPr>
      </w:pPr>
    </w:p>
    <w:p>
      <w:pPr>
        <w:snapToGrid w:val="0"/>
        <w:spacing w:line="360" w:lineRule="auto"/>
        <w:rPr>
          <w:rFonts w:hint="eastAsia" w:ascii="宋体" w:hAnsi="宋体" w:eastAsia="宋体" w:cs="宋体"/>
          <w:color w:val="000000" w:themeColor="text1"/>
          <w:position w:val="6"/>
          <w:sz w:val="24"/>
          <w:highlight w:val="none"/>
          <w14:textFill>
            <w14:solidFill>
              <w14:schemeClr w14:val="tx1"/>
            </w14:solidFill>
          </w14:textFill>
        </w:rPr>
      </w:pPr>
    </w:p>
    <w:p>
      <w:pPr>
        <w:snapToGrid w:val="0"/>
        <w:spacing w:line="360" w:lineRule="auto"/>
        <w:rPr>
          <w:rFonts w:hint="eastAsia" w:ascii="宋体" w:hAnsi="宋体" w:eastAsia="宋体" w:cs="宋体"/>
          <w:color w:val="000000" w:themeColor="text1"/>
          <w:position w:val="6"/>
          <w:sz w:val="24"/>
          <w:highlight w:val="none"/>
          <w14:textFill>
            <w14:solidFill>
              <w14:schemeClr w14:val="tx1"/>
            </w14:solidFill>
          </w14:textFill>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投保人（代表被保险人）：(盖章)</w:t>
            </w:r>
          </w:p>
          <w:p>
            <w:pPr>
              <w:pStyle w:val="25"/>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承保人：（盖章）</w:t>
            </w:r>
          </w:p>
          <w:p>
            <w:pPr>
              <w:pStyle w:val="25"/>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法定代表人或其授权代表：</w:t>
            </w:r>
          </w:p>
          <w:p>
            <w:pPr>
              <w:pStyle w:val="25"/>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法定代表人或其授权代表：</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邮编：</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p>
            <w:pPr>
              <w:pStyle w:val="25"/>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p>
          <w:p>
            <w:pPr>
              <w:pStyle w:val="25"/>
              <w:snapToGrid w:val="0"/>
              <w:spacing w:line="360" w:lineRule="auto"/>
              <w:ind w:left="19" w:leftChars="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账号：</w:t>
            </w:r>
          </w:p>
          <w:p>
            <w:pPr>
              <w:pStyle w:val="25"/>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p>
          <w:p>
            <w:pPr>
              <w:pStyle w:val="25"/>
              <w:snapToGrid w:val="0"/>
              <w:spacing w:line="360" w:lineRule="auto"/>
              <w:ind w:left="34" w:leftChars="16"/>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p>
        </w:tc>
      </w:tr>
    </w:tbl>
    <w:p>
      <w:pPr>
        <w:pStyle w:val="3"/>
        <w:numPr>
          <w:ilvl w:val="0"/>
          <w:numId w:val="8"/>
        </w:numPr>
        <w:snapToGrid w:val="0"/>
        <w:spacing w:line="360" w:lineRule="auto"/>
        <w:rPr>
          <w:rFonts w:hint="eastAsia" w:ascii="宋体" w:hAnsi="宋体" w:eastAsia="宋体" w:cs="宋体"/>
          <w:color w:val="000000" w:themeColor="text1"/>
          <w:sz w:val="32"/>
          <w:szCs w:val="48"/>
          <w:highlight w:val="none"/>
          <w14:textFill>
            <w14:solidFill>
              <w14:schemeClr w14:val="tx1"/>
            </w14:solidFill>
          </w14:textFill>
        </w:rPr>
      </w:pPr>
      <w:r>
        <w:rPr>
          <w:rFonts w:hint="eastAsia" w:ascii="宋体" w:hAnsi="宋体" w:eastAsia="宋体" w:cs="宋体"/>
          <w:b w:val="0"/>
          <w:color w:val="000000" w:themeColor="text1"/>
          <w:sz w:val="36"/>
          <w:highlight w:val="none"/>
          <w14:textFill>
            <w14:solidFill>
              <w14:schemeClr w14:val="tx1"/>
            </w14:solidFill>
          </w14:textFill>
        </w:rPr>
        <w:br w:type="page"/>
      </w:r>
      <w:bookmarkStart w:id="70" w:name="_Toc17714"/>
      <w:r>
        <w:rPr>
          <w:rFonts w:hint="eastAsia" w:ascii="宋体" w:hAnsi="宋体" w:eastAsia="宋体" w:cs="宋体"/>
          <w:color w:val="000000" w:themeColor="text1"/>
          <w:sz w:val="32"/>
          <w:szCs w:val="48"/>
          <w:highlight w:val="none"/>
          <w:lang w:eastAsia="zh-CN"/>
          <w14:textFill>
            <w14:solidFill>
              <w14:schemeClr w14:val="tx1"/>
            </w14:solidFill>
          </w14:textFill>
        </w:rPr>
        <w:t>运营期</w:t>
      </w:r>
      <w:r>
        <w:rPr>
          <w:rFonts w:hint="eastAsia" w:ascii="宋体" w:hAnsi="宋体" w:eastAsia="宋体" w:cs="宋体"/>
          <w:color w:val="000000" w:themeColor="text1"/>
          <w:sz w:val="32"/>
          <w:szCs w:val="48"/>
          <w:highlight w:val="none"/>
          <w14:textFill>
            <w14:solidFill>
              <w14:schemeClr w14:val="tx1"/>
            </w14:solidFill>
          </w14:textFill>
        </w:rPr>
        <w:t>保险需求</w:t>
      </w:r>
      <w:bookmarkEnd w:id="70"/>
    </w:p>
    <w:p>
      <w:pPr>
        <w:pStyle w:val="3"/>
        <w:snapToGrid w:val="0"/>
        <w:spacing w:line="360" w:lineRule="auto"/>
        <w:jc w:val="left"/>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sectPr>
          <w:footerReference r:id="rId9" w:type="default"/>
          <w:pgSz w:w="11906" w:h="16838"/>
          <w:pgMar w:top="1440" w:right="1800" w:bottom="1440" w:left="1800" w:header="851" w:footer="992" w:gutter="0"/>
          <w:pgNumType w:fmt="decimal"/>
          <w:cols w:space="720" w:num="1"/>
          <w:docGrid w:type="lines" w:linePitch="312" w:charSpace="0"/>
        </w:sectPr>
      </w:pPr>
    </w:p>
    <w:p>
      <w:pPr>
        <w:pStyle w:val="3"/>
        <w:snapToGrid w:val="0"/>
        <w:spacing w:line="360" w:lineRule="auto"/>
        <w:rPr>
          <w:rFonts w:hint="eastAsia" w:ascii="宋体" w:hAnsi="宋体" w:eastAsia="宋体" w:cs="宋体"/>
          <w:color w:val="000000" w:themeColor="text1"/>
          <w:highlight w:val="none"/>
          <w14:textFill>
            <w14:solidFill>
              <w14:schemeClr w14:val="tx1"/>
            </w14:solidFill>
          </w14:textFill>
        </w:rPr>
      </w:pPr>
      <w:bookmarkStart w:id="71" w:name="_Toc28595"/>
      <w:r>
        <w:rPr>
          <w:rFonts w:hint="eastAsia" w:ascii="宋体" w:hAnsi="宋体" w:eastAsia="宋体" w:cs="宋体"/>
          <w:color w:val="000000" w:themeColor="text1"/>
          <w:sz w:val="32"/>
          <w:szCs w:val="48"/>
          <w:highlight w:val="none"/>
          <w14:textFill>
            <w14:solidFill>
              <w14:schemeClr w14:val="tx1"/>
            </w14:solidFill>
          </w14:textFill>
        </w:rPr>
        <w:t>第三部分 合同附件</w:t>
      </w:r>
      <w:bookmarkEnd w:id="71"/>
    </w:p>
    <w:p>
      <w:pPr>
        <w:adjustRightInd w:val="0"/>
        <w:snapToGrid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附件1 廉政协议</w:t>
      </w:r>
    </w:p>
    <w:p>
      <w:pPr>
        <w:adjustRightInd w:val="0"/>
        <w:snapToGrid w:val="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廉政协议</w:t>
      </w:r>
    </w:p>
    <w:p>
      <w:pPr>
        <w:widowControl/>
        <w:snapToGrid w:val="0"/>
        <w:spacing w:line="360" w:lineRule="auto"/>
        <w:jc w:val="left"/>
        <w:rPr>
          <w:rFonts w:hint="eastAsia" w:ascii="宋体" w:hAnsi="宋体" w:eastAsia="宋体" w:cs="宋体"/>
          <w:color w:val="000000" w:themeColor="text1"/>
          <w:kern w:val="0"/>
          <w:sz w:val="24"/>
          <w:szCs w:val="24"/>
          <w:highlight w:val="none"/>
          <w:lang w:bidi="en-US"/>
          <w14:textFill>
            <w14:solidFill>
              <w14:schemeClr w14:val="tx1"/>
            </w14:solidFill>
          </w14:textFill>
        </w:rPr>
      </w:pPr>
    </w:p>
    <w:p>
      <w:pPr>
        <w:widowControl/>
        <w:snapToGrid w:val="0"/>
        <w:spacing w:line="440" w:lineRule="exact"/>
        <w:jc w:val="left"/>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甲方：</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snapToGrid w:val="0"/>
        <w:spacing w:line="44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乙方：</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adjustRightInd w:val="0"/>
        <w:snapToGrid w:val="0"/>
        <w:spacing w:line="440" w:lineRule="exact"/>
        <w:ind w:firstLine="48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第一条 共同责任</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（一）严格遵守党和国家有关法律法规及湖南省、长沙市的相关规定。</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（二）严格执行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（以下称主合同）的合同文件，自觉按合同办事。</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第二条 共同权利</w:t>
      </w:r>
    </w:p>
    <w:p>
      <w:pPr>
        <w:adjustRightInd w:val="0"/>
        <w:snapToGrid w:val="0"/>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第三条 甲方的义务</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第四条 乙方义务</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（六）乙方不得有违反法律、法规、廉洁从业规定的其他行为。</w:t>
      </w:r>
    </w:p>
    <w:p>
      <w:pPr>
        <w:adjustRightInd w:val="0"/>
        <w:snapToGrid w:val="0"/>
        <w:spacing w:line="440" w:lineRule="exact"/>
        <w:ind w:firstLine="48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第五条 违约责任</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第八条 本协议作为主合同的附件，与主合同具有同等的法律效力，经合同双方签署立即生效。</w:t>
      </w:r>
    </w:p>
    <w:p>
      <w:pPr>
        <w:snapToGrid w:val="0"/>
        <w:spacing w:line="440" w:lineRule="exact"/>
        <w:rPr>
          <w:rFonts w:hint="eastAsia" w:ascii="宋体" w:hAnsi="宋体" w:eastAsia="宋体" w:cs="宋体"/>
          <w:color w:val="000000" w:themeColor="text1"/>
          <w:sz w:val="24"/>
          <w:szCs w:val="24"/>
          <w:highlight w:val="none"/>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（本页无正文）</w:t>
      </w:r>
    </w:p>
    <w:p>
      <w:pPr>
        <w:ind w:left="420" w:leftChars="200"/>
        <w:rPr>
          <w:rFonts w:hint="eastAsia" w:ascii="宋体" w:hAnsi="宋体" w:eastAsia="宋体" w:cs="宋体"/>
          <w:color w:val="000000" w:themeColor="text1"/>
          <w:szCs w:val="24"/>
          <w:highlight w:val="none"/>
          <w14:textFill>
            <w14:solidFill>
              <w14:schemeClr w14:val="tx1"/>
            </w14:solidFill>
          </w14:textFill>
        </w:rPr>
      </w:pPr>
    </w:p>
    <w:p>
      <w:pPr>
        <w:rPr>
          <w:rFonts w:hint="eastAsia" w:ascii="宋体" w:hAnsi="宋体" w:eastAsia="宋体" w:cs="宋体"/>
          <w:color w:val="000000" w:themeColor="text1"/>
          <w:szCs w:val="24"/>
          <w:highlight w:val="none"/>
          <w14:textFill>
            <w14:solidFill>
              <w14:schemeClr w14:val="tx1"/>
            </w14:solidFill>
          </w14:textFill>
        </w:rPr>
      </w:pPr>
    </w:p>
    <w:p>
      <w:pPr>
        <w:ind w:left="420" w:leftChars="200"/>
        <w:rPr>
          <w:rFonts w:hint="eastAsia" w:ascii="宋体" w:hAnsi="宋体" w:eastAsia="宋体" w:cs="宋体"/>
          <w:color w:val="000000" w:themeColor="text1"/>
          <w:szCs w:val="24"/>
          <w:highlight w:val="none"/>
          <w14:textFill>
            <w14:solidFill>
              <w14:schemeClr w14:val="tx1"/>
            </w14:solidFill>
          </w14:textFill>
        </w:rPr>
      </w:pPr>
    </w:p>
    <w:p>
      <w:pPr>
        <w:rPr>
          <w:rFonts w:hint="eastAsia" w:ascii="宋体" w:hAnsi="宋体" w:eastAsia="宋体" w:cs="宋体"/>
          <w:color w:val="000000" w:themeColor="text1"/>
          <w:szCs w:val="24"/>
          <w:highlight w:val="none"/>
          <w14:textFill>
            <w14:solidFill>
              <w14:schemeClr w14:val="tx1"/>
            </w14:solidFill>
          </w14:textFill>
        </w:rPr>
      </w:pPr>
    </w:p>
    <w:p>
      <w:pPr>
        <w:rPr>
          <w:rFonts w:hint="eastAsia" w:ascii="宋体" w:hAnsi="宋体" w:eastAsia="宋体" w:cs="宋体"/>
          <w:color w:val="000000" w:themeColor="text1"/>
          <w:szCs w:val="24"/>
          <w:highlight w:val="none"/>
          <w14:textFill>
            <w14:solidFill>
              <w14:schemeClr w14:val="tx1"/>
            </w14:solidFill>
          </w14:textFill>
        </w:rPr>
      </w:pPr>
    </w:p>
    <w:p>
      <w:pPr>
        <w:rPr>
          <w:rFonts w:hint="eastAsia" w:ascii="宋体" w:hAnsi="宋体" w:eastAsia="宋体" w:cs="宋体"/>
          <w:color w:val="000000" w:themeColor="text1"/>
          <w:szCs w:val="24"/>
          <w:highlight w:val="none"/>
          <w14:textFill>
            <w14:solidFill>
              <w14:schemeClr w14:val="tx1"/>
            </w14:solidFill>
          </w14:textFill>
        </w:rPr>
      </w:pPr>
    </w:p>
    <w:p>
      <w:pPr>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（盖章）            </w:t>
      </w:r>
      <w:r>
        <w:rPr>
          <w:rFonts w:hint="eastAsia" w:ascii="宋体" w:hAnsi="宋体" w:eastAsia="宋体" w:cs="宋体"/>
          <w:color w:val="000000" w:themeColor="text1"/>
          <w:sz w:val="24"/>
          <w:szCs w:val="24"/>
          <w:highlight w:val="none"/>
          <w14:textFill>
            <w14:solidFill>
              <w14:schemeClr w14:val="tx1"/>
            </w14:solidFill>
          </w14:textFill>
        </w:rPr>
        <w:t xml:space="preserve">             乙方：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（盖章）                 </w:t>
      </w:r>
    </w:p>
    <w:p>
      <w:pPr>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（签字）        </w:t>
      </w:r>
      <w:r>
        <w:rPr>
          <w:rFonts w:hint="eastAsia" w:ascii="宋体" w:hAnsi="宋体" w:eastAsia="宋体" w:cs="宋体"/>
          <w:color w:val="000000" w:themeColor="text1"/>
          <w:sz w:val="24"/>
          <w:szCs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（签字）           </w:t>
      </w: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或授权代理人：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（签字）      </w:t>
      </w:r>
      <w:r>
        <w:rPr>
          <w:rFonts w:hint="eastAsia" w:ascii="宋体" w:hAnsi="宋体" w:eastAsia="宋体" w:cs="宋体"/>
          <w:color w:val="000000" w:themeColor="text1"/>
          <w:sz w:val="24"/>
          <w:szCs w:val="24"/>
          <w:highlight w:val="none"/>
          <w14:textFill>
            <w14:solidFill>
              <w14:schemeClr w14:val="tx1"/>
            </w14:solidFill>
          </w14:textFill>
        </w:rPr>
        <w:t xml:space="preserve">             或授权代理人：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（签字）           </w:t>
      </w:r>
    </w:p>
    <w:p>
      <w:pPr>
        <w:snapToGrid w:val="0"/>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电话：</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pPr>
        <w:pStyle w:val="14"/>
        <w:snapToGrid w:val="0"/>
        <w:spacing w:line="360" w:lineRule="auto"/>
        <w:ind w:firstLine="0"/>
        <w:outlineLvl w:val="1"/>
        <w:rPr>
          <w:rFonts w:hint="eastAsia" w:ascii="宋体" w:hAnsi="宋体" w:eastAsia="宋体" w:cs="宋体"/>
          <w:color w:val="000000" w:themeColor="text1"/>
          <w:kern w:val="0"/>
          <w:sz w:val="24"/>
          <w:highlight w:val="none"/>
          <w:u w:val="single"/>
          <w14:textFill>
            <w14:solidFill>
              <w14:schemeClr w14:val="tx1"/>
            </w14:solidFill>
          </w14:textFill>
        </w:rPr>
      </w:pPr>
      <w:bookmarkStart w:id="72" w:name="_Toc30816"/>
      <w:r>
        <w:rPr>
          <w:rFonts w:hint="eastAsia" w:ascii="宋体" w:hAnsi="宋体" w:eastAsia="宋体" w:cs="宋体"/>
          <w:color w:val="000000" w:themeColor="text1"/>
          <w:kern w:val="0"/>
          <w:sz w:val="24"/>
          <w:highlight w:val="none"/>
          <w14:textFill>
            <w14:solidFill>
              <w14:schemeClr w14:val="tx1"/>
            </w14:solidFill>
          </w14:textFill>
        </w:rPr>
        <w:t>甲方监督单位：</w:t>
      </w:r>
      <w:r>
        <w:rPr>
          <w:rFonts w:hint="eastAsia" w:ascii="宋体" w:hAnsi="宋体" w:eastAsia="宋体" w:cs="宋体"/>
          <w:color w:val="000000" w:themeColor="text1"/>
          <w:kern w:val="0"/>
          <w:sz w:val="24"/>
          <w:highlight w:val="none"/>
          <w:u w:val="single"/>
          <w14:textFill>
            <w14:solidFill>
              <w14:schemeClr w14:val="tx1"/>
            </w14:solidFill>
          </w14:textFill>
        </w:rPr>
        <w:t xml:space="preserve">（盖章）      </w:t>
      </w:r>
      <w:r>
        <w:rPr>
          <w:rFonts w:hint="eastAsia" w:ascii="宋体" w:hAnsi="宋体" w:eastAsia="宋体" w:cs="宋体"/>
          <w:color w:val="000000" w:themeColor="text1"/>
          <w:kern w:val="0"/>
          <w:sz w:val="24"/>
          <w:highlight w:val="none"/>
          <w14:textFill>
            <w14:solidFill>
              <w14:schemeClr w14:val="tx1"/>
            </w14:solidFill>
          </w14:textFill>
        </w:rPr>
        <w:t xml:space="preserve">             乙方监督单位：</w:t>
      </w:r>
      <w:r>
        <w:rPr>
          <w:rFonts w:hint="eastAsia" w:ascii="宋体" w:hAnsi="宋体" w:eastAsia="宋体" w:cs="宋体"/>
          <w:color w:val="000000" w:themeColor="text1"/>
          <w:kern w:val="0"/>
          <w:sz w:val="24"/>
          <w:highlight w:val="none"/>
          <w:u w:val="single"/>
          <w14:textFill>
            <w14:solidFill>
              <w14:schemeClr w14:val="tx1"/>
            </w14:solidFill>
          </w14:textFill>
        </w:rPr>
        <w:t>（盖章）</w:t>
      </w:r>
      <w:bookmarkEnd w:id="72"/>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pPr>
        <w:widowControl/>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u w:val="single"/>
          <w14:textFill>
            <w14:solidFill>
              <w14:schemeClr w14:val="tx1"/>
            </w14:solidFill>
          </w14:textFill>
        </w:rPr>
        <w:br w:type="page"/>
      </w:r>
      <w:r>
        <w:rPr>
          <w:rFonts w:hint="eastAsia" w:ascii="宋体" w:hAnsi="宋体" w:eastAsia="宋体" w:cs="宋体"/>
          <w:b/>
          <w:color w:val="000000" w:themeColor="text1"/>
          <w:sz w:val="24"/>
          <w:highlight w:val="none"/>
          <w14:textFill>
            <w14:solidFill>
              <w14:schemeClr w14:val="tx1"/>
            </w14:solidFill>
          </w14:textFill>
        </w:rPr>
        <w:t>附件2 保密协议</w:t>
      </w:r>
    </w:p>
    <w:p>
      <w:pPr>
        <w:widowControl/>
        <w:snapToGrid w:val="0"/>
        <w:spacing w:line="360" w:lineRule="auto"/>
        <w:jc w:val="center"/>
        <w:rPr>
          <w:rFonts w:hint="eastAsia" w:ascii="宋体" w:hAnsi="宋体" w:eastAsia="宋体" w:cs="宋体"/>
          <w:color w:val="000000" w:themeColor="text1"/>
          <w:kern w:val="0"/>
          <w:sz w:val="32"/>
          <w:szCs w:val="32"/>
          <w:highlight w:val="none"/>
          <w:lang w:bidi="en-US"/>
          <w14:textFill>
            <w14:solidFill>
              <w14:schemeClr w14:val="tx1"/>
            </w14:solidFill>
          </w14:textFill>
        </w:rPr>
      </w:pPr>
      <w:r>
        <w:rPr>
          <w:rFonts w:hint="eastAsia" w:ascii="宋体" w:hAnsi="宋体" w:eastAsia="宋体" w:cs="宋体"/>
          <w:b/>
          <w:bCs/>
          <w:smallCaps/>
          <w:color w:val="000000" w:themeColor="text1"/>
          <w:kern w:val="0"/>
          <w:sz w:val="32"/>
          <w:szCs w:val="32"/>
          <w:highlight w:val="none"/>
          <w:lang w:bidi="en-US"/>
          <w14:textFill>
            <w14:solidFill>
              <w14:schemeClr w14:val="tx1"/>
            </w14:solidFill>
          </w14:textFill>
        </w:rPr>
        <w:t>保密协议</w:t>
      </w:r>
    </w:p>
    <w:p>
      <w:pPr>
        <w:widowControl/>
        <w:snapToGrid w:val="0"/>
        <w:spacing w:line="360" w:lineRule="auto"/>
        <w:jc w:val="left"/>
        <w:rPr>
          <w:rFonts w:hint="eastAsia" w:ascii="宋体" w:hAnsi="宋体" w:eastAsia="宋体" w:cs="宋体"/>
          <w:color w:val="000000" w:themeColor="text1"/>
          <w:kern w:val="0"/>
          <w:sz w:val="24"/>
          <w:highlight w:val="none"/>
          <w:lang w:bidi="en-US"/>
          <w14:textFill>
            <w14:solidFill>
              <w14:schemeClr w14:val="tx1"/>
            </w14:solidFill>
          </w14:textFill>
        </w:rPr>
      </w:pPr>
    </w:p>
    <w:p>
      <w:pPr>
        <w:widowControl/>
        <w:snapToGrid w:val="0"/>
        <w:spacing w:line="360" w:lineRule="auto"/>
        <w:jc w:val="left"/>
        <w:rPr>
          <w:rFonts w:hint="eastAsia" w:ascii="宋体" w:hAnsi="宋体" w:eastAsia="宋体" w:cs="宋体"/>
          <w:color w:val="000000" w:themeColor="text1"/>
          <w:kern w:val="0"/>
          <w:sz w:val="24"/>
          <w:highlight w:val="none"/>
          <w:u w:val="singl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甲方（全称）：</w:t>
      </w:r>
      <w:r>
        <w:rPr>
          <w:rFonts w:hint="eastAsia" w:ascii="宋体" w:hAnsi="宋体" w:eastAsia="宋体" w:cs="宋体"/>
          <w:color w:val="000000" w:themeColor="text1"/>
          <w:kern w:val="0"/>
          <w:sz w:val="24"/>
          <w:highlight w:val="none"/>
          <w:u w:val="single"/>
          <w:lang w:bidi="en-US"/>
          <w14:textFill>
            <w14:solidFill>
              <w14:schemeClr w14:val="tx1"/>
            </w14:solidFill>
          </w14:textFill>
        </w:rPr>
        <w:t xml:space="preserve">                      </w:t>
      </w:r>
    </w:p>
    <w:p>
      <w:pPr>
        <w:widowControl/>
        <w:snapToGrid w:val="0"/>
        <w:spacing w:line="360" w:lineRule="auto"/>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乙方（全称）：</w:t>
      </w:r>
      <w:r>
        <w:rPr>
          <w:rFonts w:hint="eastAsia" w:ascii="宋体" w:hAnsi="宋体" w:eastAsia="宋体" w:cs="宋体"/>
          <w:color w:val="000000" w:themeColor="text1"/>
          <w:kern w:val="0"/>
          <w:sz w:val="24"/>
          <w:highlight w:val="none"/>
          <w:u w:val="single"/>
          <w:lang w:bidi="en-US"/>
          <w14:textFill>
            <w14:solidFill>
              <w14:schemeClr w14:val="tx1"/>
            </w14:solidFill>
          </w14:textFill>
        </w:rPr>
        <w:t xml:space="preserve">                      </w:t>
      </w:r>
    </w:p>
    <w:p>
      <w:pPr>
        <w:widowControl/>
        <w:snapToGrid w:val="0"/>
        <w:spacing w:line="360" w:lineRule="auto"/>
        <w:ind w:firstLine="480" w:firstLineChars="200"/>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鉴于甲方和乙方签订的</w:t>
      </w:r>
      <w:r>
        <w:rPr>
          <w:rFonts w:hint="eastAsia" w:ascii="宋体" w:hAnsi="宋体" w:eastAsia="宋体" w:cs="宋体"/>
          <w:color w:val="000000" w:themeColor="text1"/>
          <w:kern w:val="0"/>
          <w:sz w:val="24"/>
          <w:highlight w:val="none"/>
          <w:u w:val="single"/>
          <w:lang w:bidi="en-US"/>
          <w14:textFill>
            <w14:solidFill>
              <w14:schemeClr w14:val="tx1"/>
            </w14:solidFill>
          </w14:textFill>
        </w:rPr>
        <w:t xml:space="preserve">                 </w:t>
      </w:r>
      <w:r>
        <w:rPr>
          <w:rFonts w:hint="eastAsia" w:ascii="宋体" w:hAnsi="宋体" w:eastAsia="宋体" w:cs="宋体"/>
          <w:color w:val="000000" w:themeColor="text1"/>
          <w:kern w:val="0"/>
          <w:sz w:val="24"/>
          <w:highlight w:val="none"/>
          <w:lang w:bidi="en-US"/>
          <w14:textFill>
            <w14:solidFill>
              <w14:schemeClr w14:val="tx1"/>
            </w14:solidFill>
          </w14:textFill>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第一条 保密内容</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甲、乙双方确认，乙方应承担保密义务的内容为：</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第二条 乙方的保密义务</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3、乙方不得向不承担同等保密义务的任何第三人披露上述第一条所列内容。</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第三条 保密期限</w:t>
      </w:r>
    </w:p>
    <w:p>
      <w:pPr>
        <w:widowControl/>
        <w:snapToGrid w:val="0"/>
        <w:spacing w:line="360" w:lineRule="auto"/>
        <w:ind w:firstLine="480"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第四条 违约责任</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1、因乙方未履行本协议第二条规定的保密义务，但尚未给甲方造成损失或严重后果的，每发生一次，甲方有权要求乙方支付</w:t>
      </w:r>
      <w:r>
        <w:rPr>
          <w:rFonts w:hint="eastAsia" w:ascii="宋体" w:hAnsi="宋体" w:eastAsia="宋体" w:cs="宋体"/>
          <w:b/>
          <w:color w:val="000000" w:themeColor="text1"/>
          <w:kern w:val="0"/>
          <w:sz w:val="24"/>
          <w:highlight w:val="none"/>
          <w:lang w:bidi="en-US"/>
          <w14:textFill>
            <w14:solidFill>
              <w14:schemeClr w14:val="tx1"/>
            </w14:solidFill>
          </w14:textFill>
        </w:rPr>
        <w:t>人民币</w:t>
      </w:r>
      <w:r>
        <w:rPr>
          <w:rFonts w:hint="eastAsia" w:ascii="宋体" w:hAnsi="宋体" w:eastAsia="宋体" w:cs="宋体"/>
          <w:b/>
          <w:color w:val="000000" w:themeColor="text1"/>
          <w:kern w:val="0"/>
          <w:sz w:val="24"/>
          <w:highlight w:val="none"/>
          <w:u w:val="single"/>
          <w:lang w:bidi="en-US"/>
          <w14:textFill>
            <w14:solidFill>
              <w14:schemeClr w14:val="tx1"/>
            </w14:solidFill>
          </w14:textFill>
        </w:rPr>
        <w:t>1000</w:t>
      </w:r>
      <w:r>
        <w:rPr>
          <w:rFonts w:hint="eastAsia" w:ascii="宋体" w:hAnsi="宋体" w:eastAsia="宋体" w:cs="宋体"/>
          <w:b/>
          <w:color w:val="000000" w:themeColor="text1"/>
          <w:kern w:val="0"/>
          <w:sz w:val="24"/>
          <w:highlight w:val="none"/>
          <w:lang w:bidi="en-US"/>
          <w14:textFill>
            <w14:solidFill>
              <w14:schemeClr w14:val="tx1"/>
            </w14:solidFill>
          </w14:textFill>
        </w:rPr>
        <w:t>元</w:t>
      </w:r>
      <w:r>
        <w:rPr>
          <w:rFonts w:hint="eastAsia" w:ascii="宋体" w:hAnsi="宋体" w:eastAsia="宋体" w:cs="宋体"/>
          <w:color w:val="000000" w:themeColor="text1"/>
          <w:kern w:val="0"/>
          <w:sz w:val="24"/>
          <w:highlight w:val="none"/>
          <w:lang w:bidi="en-US"/>
          <w14:textFill>
            <w14:solidFill>
              <w14:schemeClr w14:val="tx1"/>
            </w14:solidFill>
          </w14:textFill>
        </w:rPr>
        <w:t>的违约金。</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（1）甲方调查乙方的违反协议行为而发生的所有费用；</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（2）因乙方的违反协议行为给甲方造成的经济损失，损失赔偿金额为</w:t>
      </w:r>
      <w:r>
        <w:rPr>
          <w:rFonts w:hint="eastAsia" w:ascii="宋体" w:hAnsi="宋体" w:eastAsia="宋体" w:cs="宋体"/>
          <w:b/>
          <w:color w:val="000000" w:themeColor="text1"/>
          <w:kern w:val="0"/>
          <w:sz w:val="24"/>
          <w:highlight w:val="none"/>
          <w:lang w:bidi="en-US"/>
          <w14:textFill>
            <w14:solidFill>
              <w14:schemeClr w14:val="tx1"/>
            </w14:solidFill>
          </w14:textFill>
        </w:rPr>
        <w:t>主合同暂定保险费的</w:t>
      </w:r>
      <w:r>
        <w:rPr>
          <w:rFonts w:hint="eastAsia" w:ascii="宋体" w:hAnsi="宋体" w:eastAsia="宋体" w:cs="宋体"/>
          <w:b/>
          <w:color w:val="000000" w:themeColor="text1"/>
          <w:kern w:val="0"/>
          <w:sz w:val="24"/>
          <w:highlight w:val="none"/>
          <w:u w:val="single"/>
          <w:lang w:bidi="en-US"/>
          <w14:textFill>
            <w14:solidFill>
              <w14:schemeClr w14:val="tx1"/>
            </w14:solidFill>
          </w14:textFill>
        </w:rPr>
        <w:t>1</w:t>
      </w:r>
      <w:r>
        <w:rPr>
          <w:rFonts w:hint="eastAsia" w:ascii="宋体" w:hAnsi="宋体" w:eastAsia="宋体" w:cs="宋体"/>
          <w:b/>
          <w:color w:val="000000" w:themeColor="text1"/>
          <w:kern w:val="0"/>
          <w:sz w:val="24"/>
          <w:highlight w:val="none"/>
          <w:lang w:bidi="en-US"/>
          <w14:textFill>
            <w14:solidFill>
              <w14:schemeClr w14:val="tx1"/>
            </w14:solidFill>
          </w14:textFill>
        </w:rPr>
        <w:t>％</w:t>
      </w:r>
      <w:r>
        <w:rPr>
          <w:rFonts w:hint="eastAsia" w:ascii="宋体" w:hAnsi="宋体" w:eastAsia="宋体" w:cs="宋体"/>
          <w:color w:val="000000" w:themeColor="text1"/>
          <w:kern w:val="0"/>
          <w:sz w:val="24"/>
          <w:highlight w:val="none"/>
          <w:lang w:bidi="en-US"/>
          <w14:textFill>
            <w14:solidFill>
              <w14:schemeClr w14:val="tx1"/>
            </w14:solidFill>
          </w14:textFill>
        </w:rPr>
        <w:t>（有证据证明甲方实际损失超过这一金额的，以甲方实际损失为准）。</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第五条 争议的解决</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因执行本协议而发生的纠纷，可由双方协商解决；协商不成的，任何一方有权向</w:t>
      </w:r>
      <w:r>
        <w:rPr>
          <w:rFonts w:hint="eastAsia" w:ascii="宋体" w:hAnsi="宋体" w:eastAsia="宋体" w:cs="宋体"/>
          <w:color w:val="000000" w:themeColor="text1"/>
          <w:kern w:val="0"/>
          <w:sz w:val="24"/>
          <w:highlight w:val="none"/>
          <w:u w:val="single"/>
          <w:lang w:bidi="en-US"/>
          <w14:textFill>
            <w14:solidFill>
              <w14:schemeClr w14:val="tx1"/>
            </w14:solidFill>
          </w14:textFill>
        </w:rPr>
        <w:t>甲方所在地人民法院</w:t>
      </w:r>
      <w:r>
        <w:rPr>
          <w:rFonts w:hint="eastAsia" w:ascii="宋体" w:hAnsi="宋体" w:eastAsia="宋体" w:cs="宋体"/>
          <w:color w:val="000000" w:themeColor="text1"/>
          <w:kern w:val="0"/>
          <w:sz w:val="24"/>
          <w:highlight w:val="none"/>
          <w:lang w:bidi="en-US"/>
          <w14:textFill>
            <w14:solidFill>
              <w14:schemeClr w14:val="tx1"/>
            </w14:solidFill>
          </w14:textFill>
        </w:rPr>
        <w:t>提起诉讼。</w:t>
      </w:r>
    </w:p>
    <w:p>
      <w:pPr>
        <w:widowControl/>
        <w:snapToGrid w:val="0"/>
        <w:spacing w:line="360" w:lineRule="auto"/>
        <w:ind w:firstLine="482" w:firstLineChars="200"/>
        <w:jc w:val="left"/>
        <w:rPr>
          <w:rFonts w:hint="eastAsia" w:ascii="宋体" w:hAnsi="宋体" w:eastAsia="宋体" w:cs="宋体"/>
          <w:b/>
          <w:color w:val="000000" w:themeColor="text1"/>
          <w:kern w:val="0"/>
          <w:sz w:val="24"/>
          <w:highlight w:val="none"/>
          <w:lang w:bidi="en-US"/>
          <w14:textFill>
            <w14:solidFill>
              <w14:schemeClr w14:val="tx1"/>
            </w14:solidFill>
          </w14:textFill>
        </w:rPr>
      </w:pPr>
      <w:r>
        <w:rPr>
          <w:rFonts w:hint="eastAsia" w:ascii="宋体" w:hAnsi="宋体" w:eastAsia="宋体" w:cs="宋体"/>
          <w:b/>
          <w:color w:val="000000" w:themeColor="text1"/>
          <w:kern w:val="0"/>
          <w:sz w:val="24"/>
          <w:highlight w:val="none"/>
          <w:lang w:bidi="en-US"/>
          <w14:textFill>
            <w14:solidFill>
              <w14:schemeClr w14:val="tx1"/>
            </w14:solidFill>
          </w14:textFill>
        </w:rPr>
        <w:t>第六条 协议的效力和变更</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1、本协议自双方法定代表人或其授权代表签字并加盖公章后生效。</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p>
    <w:p>
      <w:pPr>
        <w:widowControl/>
        <w:snapToGrid w:val="0"/>
        <w:spacing w:line="360" w:lineRule="auto"/>
        <w:jc w:val="left"/>
        <w:rPr>
          <w:rFonts w:hint="eastAsia" w:ascii="宋体" w:hAnsi="宋体" w:eastAsia="宋体" w:cs="宋体"/>
          <w:color w:val="000000" w:themeColor="text1"/>
          <w:kern w:val="0"/>
          <w:sz w:val="24"/>
          <w:highlight w:val="none"/>
          <w:lang w:bidi="en-US"/>
          <w14:textFill>
            <w14:solidFill>
              <w14:schemeClr w14:val="tx1"/>
            </w14:solidFill>
          </w14:textFill>
        </w:rPr>
      </w:pPr>
      <w:r>
        <w:rPr>
          <w:rFonts w:hint="eastAsia" w:ascii="宋体" w:hAnsi="宋体" w:eastAsia="宋体" w:cs="宋体"/>
          <w:color w:val="000000" w:themeColor="text1"/>
          <w:kern w:val="0"/>
          <w:sz w:val="24"/>
          <w:highlight w:val="none"/>
          <w:lang w:bidi="en-US"/>
          <w14:textFill>
            <w14:solidFill>
              <w14:schemeClr w14:val="tx1"/>
            </w14:solidFill>
          </w14:textFill>
        </w:rPr>
        <w:br w:type="page"/>
      </w:r>
      <w:r>
        <w:rPr>
          <w:rFonts w:hint="eastAsia" w:ascii="宋体" w:hAnsi="宋体" w:eastAsia="宋体" w:cs="宋体"/>
          <w:color w:val="000000" w:themeColor="text1"/>
          <w:kern w:val="0"/>
          <w:sz w:val="24"/>
          <w:highlight w:val="none"/>
          <w:lang w:bidi="en-US"/>
          <w14:textFill>
            <w14:solidFill>
              <w14:schemeClr w14:val="tx1"/>
            </w14:solidFill>
          </w14:textFill>
        </w:rPr>
        <w:t>（本页无正文）</w:t>
      </w: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p>
    <w:p>
      <w:pPr>
        <w:widowControl/>
        <w:snapToGrid w:val="0"/>
        <w:spacing w:line="360" w:lineRule="auto"/>
        <w:ind w:firstLine="480" w:firstLineChars="200"/>
        <w:jc w:val="left"/>
        <w:rPr>
          <w:rFonts w:hint="eastAsia" w:ascii="宋体" w:hAnsi="宋体" w:eastAsia="宋体" w:cs="宋体"/>
          <w:color w:val="000000" w:themeColor="text1"/>
          <w:kern w:val="0"/>
          <w:sz w:val="24"/>
          <w:highlight w:val="none"/>
          <w:lang w:bidi="en-US"/>
          <w14:textFill>
            <w14:solidFill>
              <w14:schemeClr w14:val="tx1"/>
            </w14:solidFill>
          </w14:textFill>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甲方：(盖章)</w:t>
            </w:r>
          </w:p>
        </w:tc>
        <w:tc>
          <w:tcPr>
            <w:tcW w:w="4252" w:type="dxa"/>
            <w:noWrap w:val="0"/>
            <w:vAlign w:val="top"/>
          </w:tcPr>
          <w:p>
            <w:pPr>
              <w:adjustRightInd w:val="0"/>
              <w:snapToGrid w:val="0"/>
              <w:spacing w:line="360" w:lineRule="auto"/>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法定代表人或其授权代表：（签字）</w:t>
            </w:r>
          </w:p>
          <w:p>
            <w:pPr>
              <w:adjustRightInd w:val="0"/>
              <w:snapToGrid w:val="0"/>
              <w:spacing w:line="360" w:lineRule="auto"/>
              <w:ind w:left="19" w:leftChars="9"/>
              <w:textAlignment w:val="baseline"/>
              <w:rPr>
                <w:rFonts w:hint="eastAsia" w:ascii="宋体" w:hAnsi="宋体" w:eastAsia="宋体" w:cs="宋体"/>
                <w:color w:val="000000" w:themeColor="text1"/>
                <w:kern w:val="0"/>
                <w:sz w:val="24"/>
                <w:highlight w:val="none"/>
                <w14:textFill>
                  <w14:solidFill>
                    <w14:schemeClr w14:val="tx1"/>
                  </w14:solidFill>
                </w14:textFill>
              </w:rPr>
            </w:pP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时间：</w:t>
            </w: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时间：</w:t>
            </w:r>
          </w:p>
        </w:tc>
      </w:tr>
    </w:tbl>
    <w:p>
      <w:pPr>
        <w:widowControl/>
        <w:snapToGrid w:val="0"/>
        <w:spacing w:line="360" w:lineRule="auto"/>
        <w:jc w:val="left"/>
        <w:rPr>
          <w:rFonts w:hint="eastAsia" w:ascii="宋体" w:hAnsi="宋体" w:eastAsia="宋体" w:cs="宋体"/>
          <w:color w:val="000000" w:themeColor="text1"/>
          <w:kern w:val="0"/>
          <w:sz w:val="24"/>
          <w:highlight w:val="none"/>
          <w:lang w:bidi="en-US"/>
          <w14:textFill>
            <w14:solidFill>
              <w14:schemeClr w14:val="tx1"/>
            </w14:solidFill>
          </w14:textFill>
        </w:rPr>
      </w:pPr>
    </w:p>
    <w:p>
      <w:pPr>
        <w:pStyle w:val="14"/>
        <w:snapToGrid w:val="0"/>
        <w:spacing w:line="360" w:lineRule="auto"/>
        <w:ind w:firstLine="0"/>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bookmarkStart w:id="73" w:name="_Toc22203"/>
      <w:r>
        <w:rPr>
          <w:rFonts w:hint="eastAsia" w:ascii="宋体" w:hAnsi="宋体" w:eastAsia="宋体" w:cs="宋体"/>
          <w:b/>
          <w:color w:val="000000" w:themeColor="text1"/>
          <w:sz w:val="24"/>
          <w:highlight w:val="none"/>
          <w14:textFill>
            <w14:solidFill>
              <w14:schemeClr w14:val="tx1"/>
            </w14:solidFill>
          </w14:textFill>
        </w:rPr>
        <w:t>附件3 中标通知书</w:t>
      </w:r>
      <w:bookmarkEnd w:id="73"/>
    </w:p>
    <w:p>
      <w:pPr>
        <w:pStyle w:val="14"/>
        <w:snapToGrid w:val="0"/>
        <w:spacing w:line="360" w:lineRule="auto"/>
        <w:ind w:firstLine="0"/>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bookmarkStart w:id="74" w:name="_Toc24500"/>
      <w:r>
        <w:rPr>
          <w:rFonts w:hint="eastAsia" w:ascii="宋体" w:hAnsi="宋体" w:eastAsia="宋体" w:cs="宋体"/>
          <w:b/>
          <w:color w:val="000000" w:themeColor="text1"/>
          <w:sz w:val="24"/>
          <w:highlight w:val="none"/>
          <w14:textFill>
            <w14:solidFill>
              <w14:schemeClr w14:val="tx1"/>
            </w14:solidFill>
          </w14:textFill>
        </w:rPr>
        <w:t>附件4 暂定保险费清单</w:t>
      </w:r>
      <w:bookmarkEnd w:id="74"/>
    </w:p>
    <w:p>
      <w:pPr>
        <w:pStyle w:val="14"/>
        <w:snapToGrid w:val="0"/>
        <w:spacing w:line="360" w:lineRule="auto"/>
        <w:ind w:firstLine="0"/>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bookmarkStart w:id="75" w:name="_Toc28951"/>
      <w:r>
        <w:rPr>
          <w:rFonts w:hint="eastAsia" w:ascii="宋体" w:hAnsi="宋体" w:eastAsia="宋体" w:cs="宋体"/>
          <w:b/>
          <w:color w:val="000000" w:themeColor="text1"/>
          <w:sz w:val="24"/>
          <w:highlight w:val="none"/>
          <w14:textFill>
            <w14:solidFill>
              <w14:schemeClr w14:val="tx1"/>
            </w14:solidFill>
          </w14:textFill>
        </w:rPr>
        <w:t>附件5 最高投标限价公示说明</w:t>
      </w:r>
      <w:bookmarkEnd w:id="75"/>
    </w:p>
    <w:p>
      <w:pPr>
        <w:pStyle w:val="14"/>
        <w:snapToGrid w:val="0"/>
        <w:spacing w:line="360" w:lineRule="auto"/>
        <w:ind w:firstLine="0"/>
        <w:outlineLvl w:val="1"/>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bookmarkStart w:id="76" w:name="_Toc11957"/>
      <w:r>
        <w:rPr>
          <w:rFonts w:hint="eastAsia" w:ascii="宋体" w:hAnsi="宋体" w:eastAsia="宋体" w:cs="宋体"/>
          <w:b/>
          <w:color w:val="000000" w:themeColor="text1"/>
          <w:sz w:val="24"/>
          <w:highlight w:val="none"/>
          <w14:textFill>
            <w14:solidFill>
              <w14:schemeClr w14:val="tx1"/>
            </w14:solidFill>
          </w14:textFill>
        </w:rPr>
        <w:t>附件6 澄清与答疑文件</w:t>
      </w:r>
      <w:bookmarkEnd w:id="76"/>
    </w:p>
    <w:p>
      <w:pPr>
        <w:pStyle w:val="14"/>
        <w:snapToGrid w:val="0"/>
        <w:spacing w:line="360" w:lineRule="auto"/>
        <w:ind w:firstLine="0"/>
        <w:outlineLvl w:val="1"/>
        <w:rPr>
          <w:rFonts w:hint="eastAsia" w:ascii="宋体" w:hAnsi="宋体" w:eastAsia="宋体" w:cs="宋体"/>
          <w:color w:val="000000" w:themeColor="text1"/>
          <w:sz w:val="24"/>
          <w:highlight w:val="none"/>
          <w14:textFill>
            <w14:solidFill>
              <w14:schemeClr w14:val="tx1"/>
            </w14:solidFill>
          </w14:textFill>
        </w:rPr>
        <w:sectPr>
          <w:footerReference r:id="rId11" w:type="first"/>
          <w:footerReference r:id="rId10" w:type="default"/>
          <w:pgSz w:w="11850" w:h="16783"/>
          <w:pgMar w:top="1440" w:right="1440" w:bottom="1440" w:left="1797" w:header="851" w:footer="992" w:gutter="0"/>
          <w:pgNumType w:fmt="decimal"/>
          <w:cols w:space="720" w:num="1"/>
          <w:titlePg/>
          <w:docGrid w:type="lines" w:linePitch="312" w:charSpace="0"/>
        </w:sectPr>
      </w:pPr>
      <w:r>
        <w:rPr>
          <w:rFonts w:hint="eastAsia" w:ascii="宋体" w:hAnsi="宋体" w:eastAsia="宋体" w:cs="宋体"/>
          <w:color w:val="000000" w:themeColor="text1"/>
          <w:sz w:val="24"/>
          <w:highlight w:val="none"/>
          <w14:textFill>
            <w14:solidFill>
              <w14:schemeClr w14:val="tx1"/>
            </w14:solidFill>
          </w14:textFill>
        </w:rPr>
        <w:t xml:space="preserve"> </w:t>
      </w:r>
    </w:p>
    <w:p>
      <w:pPr>
        <w:pStyle w:val="14"/>
        <w:snapToGrid w:val="0"/>
        <w:spacing w:line="360" w:lineRule="auto"/>
        <w:ind w:firstLine="0"/>
        <w:jc w:val="center"/>
        <w:outlineLvl w:val="1"/>
        <w:rPr>
          <w:rFonts w:hint="eastAsia" w:ascii="宋体" w:hAnsi="宋体" w:eastAsia="宋体" w:cs="宋体"/>
          <w:b/>
          <w:bCs/>
          <w:color w:val="000000" w:themeColor="text1"/>
          <w:highlight w:val="none"/>
          <w14:textFill>
            <w14:solidFill>
              <w14:schemeClr w14:val="tx1"/>
            </w14:solidFill>
          </w14:textFill>
        </w:rPr>
      </w:pPr>
      <w:bookmarkStart w:id="77" w:name="_Toc31865"/>
      <w:r>
        <w:rPr>
          <w:rFonts w:hint="eastAsia" w:ascii="宋体" w:hAnsi="宋体" w:eastAsia="宋体" w:cs="宋体"/>
          <w:b/>
          <w:bCs/>
          <w:color w:val="000000" w:themeColor="text1"/>
          <w:sz w:val="32"/>
          <w:szCs w:val="48"/>
          <w:highlight w:val="none"/>
          <w14:textFill>
            <w14:solidFill>
              <w14:schemeClr w14:val="tx1"/>
            </w14:solidFill>
          </w14:textFill>
        </w:rPr>
        <w:t>第四部分 合同附录</w:t>
      </w:r>
      <w:bookmarkEnd w:id="77"/>
    </w:p>
    <w:p>
      <w:pPr>
        <w:snapToGrid w:val="0"/>
        <w:ind w:right="-20"/>
        <w:outlineLvl w:val="1"/>
        <w:rPr>
          <w:rFonts w:hint="eastAsia" w:ascii="宋体" w:hAnsi="宋体" w:eastAsia="宋体" w:cs="宋体"/>
          <w:b/>
          <w:color w:val="000000" w:themeColor="text1"/>
          <w:sz w:val="24"/>
          <w:highlight w:val="none"/>
          <w14:textFill>
            <w14:solidFill>
              <w14:schemeClr w14:val="tx1"/>
            </w14:solidFill>
          </w14:textFill>
        </w:rPr>
      </w:pPr>
    </w:p>
    <w:p>
      <w:pPr>
        <w:snapToGrid w:val="0"/>
        <w:ind w:right="-20"/>
        <w:outlineLvl w:val="1"/>
        <w:rPr>
          <w:rFonts w:hint="eastAsia" w:ascii="宋体" w:hAnsi="宋体" w:eastAsia="宋体" w:cs="宋体"/>
          <w:b/>
          <w:color w:val="000000" w:themeColor="text1"/>
          <w:sz w:val="24"/>
          <w:highlight w:val="none"/>
          <w14:textFill>
            <w14:solidFill>
              <w14:schemeClr w14:val="tx1"/>
            </w14:solidFill>
          </w14:textFill>
        </w:rPr>
      </w:pPr>
      <w:bookmarkStart w:id="78" w:name="_Toc11140"/>
      <w:r>
        <w:rPr>
          <w:rFonts w:hint="eastAsia" w:ascii="宋体" w:hAnsi="宋体" w:eastAsia="宋体" w:cs="宋体"/>
          <w:b/>
          <w:color w:val="000000" w:themeColor="text1"/>
          <w:sz w:val="24"/>
          <w:highlight w:val="none"/>
          <w14:textFill>
            <w14:solidFill>
              <w14:schemeClr w14:val="tx1"/>
            </w14:solidFill>
          </w14:textFill>
        </w:rPr>
        <w:t>附录1 银行履约保函（格式）</w:t>
      </w:r>
      <w:bookmarkEnd w:id="78"/>
    </w:p>
    <w:p>
      <w:pPr>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                            保函编号：</w:t>
      </w:r>
    </w:p>
    <w:p>
      <w:pPr>
        <w:jc w:val="center"/>
        <w:rPr>
          <w:rFonts w:hint="eastAsia" w:ascii="宋体" w:hAnsi="宋体" w:eastAsia="宋体" w:cs="宋体"/>
          <w:b/>
          <w:color w:val="000000" w:themeColor="text1"/>
          <w:sz w:val="24"/>
          <w:highlight w:val="none"/>
          <w14:textFill>
            <w14:solidFill>
              <w14:schemeClr w14:val="tx1"/>
            </w14:solidFill>
          </w14:textFill>
        </w:rPr>
      </w:pPr>
    </w:p>
    <w:p>
      <w:pPr>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银行履约保函</w:t>
      </w:r>
    </w:p>
    <w:p>
      <w:pPr>
        <w:jc w:val="center"/>
        <w:rPr>
          <w:rFonts w:hint="eastAsia" w:ascii="宋体" w:hAnsi="宋体" w:eastAsia="宋体" w:cs="宋体"/>
          <w:b/>
          <w:color w:val="000000" w:themeColor="text1"/>
          <w:sz w:val="24"/>
          <w:highlight w:val="none"/>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甲方（全称）：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鉴于甲方</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（以下简称“你方”）与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（乙方全称，以下简称“乙方”）于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日协商一致共同签订合同编号为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1、担保金额为人民币（大写）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元（小写：¥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2、担保期限为自本保函生效之日起至</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之日止。</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4、你方和乙方按合同约定变更合同时，我方承担本担保规定的义务不变。</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本保函自我方加盖公章之日起生效。</w:t>
      </w: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14:textFill>
            <w14:solidFill>
              <w14:schemeClr w14:val="tx1"/>
            </w14:solidFill>
          </w14:textFill>
        </w:rPr>
      </w:pP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担保人（盖公章）：</w:t>
      </w:r>
    </w:p>
    <w:p>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签字：</w:t>
      </w: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w:t>
      </w: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p>
      <w:pPr>
        <w:adjustRightInd w:val="0"/>
        <w:snapToGrid w:val="0"/>
        <w:spacing w:line="360" w:lineRule="auto"/>
        <w:ind w:left="15" w:leftChars="7" w:firstLine="403" w:firstLineChars="168"/>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传真：</w:t>
      </w:r>
    </w:p>
    <w:p>
      <w:pPr>
        <w:adjustRightInd w:val="0"/>
        <w:snapToGrid w:val="0"/>
        <w:spacing w:line="360" w:lineRule="auto"/>
        <w:ind w:left="15" w:leftChars="7" w:firstLine="403" w:firstLineChars="168"/>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时间：</w:t>
      </w:r>
    </w:p>
    <w:p>
      <w:pPr>
        <w:rPr>
          <w:rFonts w:hint="eastAsia" w:ascii="宋体" w:hAnsi="宋体" w:eastAsia="宋体" w:cs="宋体"/>
          <w:color w:val="000000" w:themeColor="text1"/>
          <w:highlight w:val="none"/>
          <w14:textFill>
            <w14:solidFill>
              <w14:schemeClr w14:val="tx1"/>
            </w14:solidFill>
          </w14:textFill>
        </w:rPr>
      </w:pPr>
    </w:p>
    <w:p>
      <w:pPr>
        <w:pStyle w:val="14"/>
        <w:snapToGrid w:val="0"/>
        <w:spacing w:line="360" w:lineRule="auto"/>
        <w:ind w:firstLine="0"/>
        <w:jc w:val="center"/>
        <w:outlineLvl w:val="1"/>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pPr>
        <w:widowControl/>
        <w:snapToGrid w:val="0"/>
        <w:jc w:val="left"/>
        <w:outlineLvl w:val="1"/>
        <w:rPr>
          <w:rFonts w:hint="eastAsia" w:ascii="宋体" w:hAnsi="宋体" w:eastAsia="宋体" w:cs="宋体"/>
          <w:b/>
          <w:color w:val="auto"/>
          <w:kern w:val="0"/>
          <w:sz w:val="32"/>
          <w:szCs w:val="32"/>
          <w:highlight w:val="none"/>
        </w:rPr>
      </w:pPr>
      <w:bookmarkStart w:id="79" w:name="_Toc1027"/>
      <w:bookmarkStart w:id="80" w:name="_Toc20233"/>
      <w:bookmarkStart w:id="81" w:name="_Toc12334"/>
      <w:bookmarkStart w:id="82" w:name="_Toc11405"/>
      <w:r>
        <w:rPr>
          <w:rFonts w:hint="eastAsia" w:ascii="宋体" w:hAnsi="宋体" w:eastAsia="宋体" w:cs="宋体"/>
          <w:b/>
          <w:color w:val="auto"/>
          <w:kern w:val="0"/>
          <w:sz w:val="32"/>
          <w:szCs w:val="32"/>
          <w:highlight w:val="none"/>
        </w:rPr>
        <w:t>第五部分 招标文件、澄清与答疑文件及其他补充资料（另册）</w:t>
      </w:r>
      <w:bookmarkEnd w:id="79"/>
      <w:bookmarkEnd w:id="80"/>
      <w:bookmarkEnd w:id="81"/>
      <w:bookmarkEnd w:id="82"/>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jc w:val="left"/>
        <w:outlineLvl w:val="1"/>
        <w:rPr>
          <w:rFonts w:hint="eastAsia" w:ascii="宋体" w:hAnsi="宋体" w:eastAsia="宋体" w:cs="宋体"/>
          <w:b/>
          <w:color w:val="auto"/>
          <w:kern w:val="0"/>
          <w:sz w:val="32"/>
          <w:szCs w:val="32"/>
          <w:highlight w:val="none"/>
        </w:rPr>
      </w:pPr>
      <w:bookmarkStart w:id="83" w:name="_Toc26384"/>
      <w:bookmarkStart w:id="84" w:name="_Toc20782"/>
      <w:bookmarkStart w:id="85" w:name="_Toc32444"/>
      <w:bookmarkStart w:id="86" w:name="_Toc5410"/>
      <w:r>
        <w:rPr>
          <w:rFonts w:hint="eastAsia" w:ascii="宋体" w:hAnsi="宋体" w:eastAsia="宋体" w:cs="宋体"/>
          <w:b/>
          <w:color w:val="auto"/>
          <w:kern w:val="0"/>
          <w:sz w:val="32"/>
          <w:szCs w:val="32"/>
          <w:highlight w:val="none"/>
        </w:rPr>
        <w:t>第六部分 投标文件、澄清文件及其他补充资料（另册）</w:t>
      </w:r>
      <w:bookmarkEnd w:id="83"/>
      <w:bookmarkEnd w:id="84"/>
      <w:bookmarkEnd w:id="85"/>
      <w:bookmarkEnd w:id="86"/>
    </w:p>
    <w:p>
      <w:pPr>
        <w:tabs>
          <w:tab w:val="left" w:pos="1248"/>
        </w:tabs>
        <w:adjustRightInd w:val="0"/>
        <w:snapToGrid w:val="0"/>
        <w:spacing w:line="360" w:lineRule="auto"/>
        <w:rPr>
          <w:rFonts w:hint="eastAsia" w:ascii="宋体" w:hAnsi="宋体" w:eastAsia="宋体" w:cs="宋体"/>
          <w:color w:val="auto"/>
          <w:szCs w:val="24"/>
          <w:highlight w:val="none"/>
        </w:rPr>
      </w:pPr>
    </w:p>
    <w:p>
      <w:pPr>
        <w:tabs>
          <w:tab w:val="left" w:pos="851"/>
          <w:tab w:val="left" w:pos="1440"/>
        </w:tabs>
        <w:adjustRightInd w:val="0"/>
        <w:snapToGrid w:val="0"/>
        <w:spacing w:before="156" w:beforeLines="50" w:after="156" w:afterLines="50" w:line="360" w:lineRule="auto"/>
        <w:jc w:val="center"/>
        <w:outlineLvl w:val="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6"/>
        <w:rPr>
          <w:rFonts w:hint="eastAsia" w:ascii="宋体" w:hAnsi="宋体" w:eastAsia="宋体" w:cs="宋体"/>
          <w:highlight w:val="none"/>
        </w:rPr>
        <w:sectPr>
          <w:footerReference r:id="rId12" w:type="default"/>
          <w:pgSz w:w="11906" w:h="16838"/>
          <w:pgMar w:top="1440" w:right="1797" w:bottom="1440" w:left="1797" w:header="851" w:footer="851" w:gutter="0"/>
          <w:pgNumType w:fmt="decimal"/>
          <w:cols w:space="720" w:num="1"/>
          <w:docGrid w:linePitch="312" w:charSpace="0"/>
        </w:sectPr>
      </w:pPr>
    </w:p>
    <w:p>
      <w:pPr>
        <w:pStyle w:val="3"/>
        <w:keepNext w:val="0"/>
        <w:spacing w:after="240"/>
        <w:rPr>
          <w:rFonts w:hint="eastAsia" w:ascii="宋体" w:hAnsi="宋体" w:cs="宋体"/>
          <w:sz w:val="32"/>
          <w:szCs w:val="32"/>
          <w:highlight w:val="none"/>
        </w:rPr>
      </w:pPr>
      <w:bookmarkStart w:id="87" w:name="_Toc16096"/>
      <w:r>
        <w:rPr>
          <w:rFonts w:hint="eastAsia" w:ascii="宋体" w:hAnsi="宋体" w:cs="宋体"/>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5926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sz w:val="32"/>
          <w:szCs w:val="32"/>
          <w:highlight w:val="none"/>
        </w:rPr>
        <w:t>第六章</w:t>
      </w:r>
      <w:bookmarkStart w:id="88" w:name="_Toc14891079"/>
      <w:r>
        <w:rPr>
          <w:rFonts w:hint="eastAsia" w:ascii="宋体" w:hAnsi="宋体" w:cs="宋体"/>
          <w:sz w:val="32"/>
          <w:szCs w:val="32"/>
          <w:highlight w:val="none"/>
        </w:rPr>
        <w:t xml:space="preserve">  响应文件组成</w:t>
      </w:r>
      <w:bookmarkEnd w:id="56"/>
      <w:bookmarkEnd w:id="57"/>
      <w:bookmarkEnd w:id="58"/>
      <w:bookmarkEnd w:id="87"/>
      <w:bookmarkEnd w:id="88"/>
    </w:p>
    <w:p>
      <w:pPr>
        <w:spacing w:line="360" w:lineRule="auto"/>
        <w:rPr>
          <w:rFonts w:ascii="宋体" w:hAnsi="宋体"/>
          <w:b/>
          <w:bCs/>
          <w:sz w:val="52"/>
          <w:szCs w:val="52"/>
          <w:highlight w:val="none"/>
        </w:rPr>
      </w:pPr>
    </w:p>
    <w:p>
      <w:pPr>
        <w:spacing w:line="360" w:lineRule="auto"/>
        <w:jc w:val="center"/>
        <w:rPr>
          <w:rFonts w:ascii="宋体" w:hAnsi="宋体"/>
          <w:b/>
          <w:bCs/>
          <w:sz w:val="52"/>
          <w:szCs w:val="52"/>
          <w:highlight w:val="none"/>
        </w:rPr>
      </w:pPr>
      <w:r>
        <w:rPr>
          <w:rFonts w:hint="eastAsia" w:ascii="宋体" w:hAnsi="宋体"/>
          <w:b/>
          <w:bCs/>
          <w:sz w:val="52"/>
          <w:szCs w:val="52"/>
          <w:highlight w:val="none"/>
        </w:rPr>
        <w:t>自主竞争性谈判</w:t>
      </w:r>
    </w:p>
    <w:p>
      <w:pPr>
        <w:adjustRightInd w:val="0"/>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响应文件</w:t>
      </w:r>
    </w:p>
    <w:p>
      <w:pPr>
        <w:spacing w:line="360" w:lineRule="auto"/>
        <w:rPr>
          <w:rFonts w:ascii="宋体" w:hAnsi="宋体"/>
          <w:b/>
          <w:bCs/>
          <w:sz w:val="28"/>
          <w:szCs w:val="28"/>
          <w:highlight w:val="none"/>
        </w:rPr>
      </w:pPr>
    </w:p>
    <w:p>
      <w:pPr>
        <w:pStyle w:val="25"/>
        <w:spacing w:line="360" w:lineRule="auto"/>
        <w:rPr>
          <w:rFonts w:hAnsi="宋体"/>
          <w:b/>
          <w:bCs/>
          <w:sz w:val="32"/>
          <w:szCs w:val="32"/>
          <w:highlight w:val="none"/>
        </w:rPr>
      </w:pPr>
    </w:p>
    <w:p>
      <w:pPr>
        <w:pStyle w:val="25"/>
        <w:adjustRightInd w:val="0"/>
        <w:snapToGrid w:val="0"/>
        <w:spacing w:line="360" w:lineRule="auto"/>
        <w:rPr>
          <w:rFonts w:hAnsi="宋体"/>
          <w:b/>
          <w:bCs/>
          <w:sz w:val="32"/>
          <w:szCs w:val="32"/>
          <w:highlight w:val="none"/>
          <w:u w:val="single"/>
        </w:rPr>
      </w:pPr>
      <w:r>
        <w:rPr>
          <w:rFonts w:hint="eastAsia" w:hAnsi="宋体"/>
          <w:b/>
          <w:bCs/>
          <w:sz w:val="32"/>
          <w:szCs w:val="32"/>
          <w:highlight w:val="none"/>
        </w:rPr>
        <w:t>谈判项目名称：</w:t>
      </w:r>
      <w:r>
        <w:rPr>
          <w:rFonts w:hint="eastAsia" w:hAnsi="宋体"/>
          <w:b/>
          <w:bCs/>
          <w:sz w:val="32"/>
          <w:szCs w:val="32"/>
          <w:highlight w:val="none"/>
          <w:u w:val="single"/>
        </w:rPr>
        <w:t xml:space="preserve">                      </w:t>
      </w: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r>
        <w:rPr>
          <w:rFonts w:hint="eastAsia" w:hAnsi="宋体"/>
          <w:b/>
          <w:bCs/>
          <w:sz w:val="32"/>
          <w:szCs w:val="32"/>
          <w:highlight w:val="none"/>
        </w:rPr>
        <w:t>谈判单位名称：</w:t>
      </w:r>
      <w:r>
        <w:rPr>
          <w:rFonts w:hint="eastAsia" w:hAnsi="宋体"/>
          <w:b/>
          <w:bCs/>
          <w:sz w:val="32"/>
          <w:szCs w:val="32"/>
          <w:highlight w:val="none"/>
          <w:u w:val="single"/>
        </w:rPr>
        <w:t xml:space="preserve">      （加盖单位公章）</w:t>
      </w: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r>
        <w:rPr>
          <w:rFonts w:hint="eastAsia" w:hAnsi="宋体"/>
          <w:b/>
          <w:bCs/>
          <w:sz w:val="32"/>
          <w:szCs w:val="32"/>
          <w:highlight w:val="none"/>
        </w:rPr>
        <w:t>谈判项目编号：</w:t>
      </w:r>
      <w:r>
        <w:rPr>
          <w:rFonts w:hint="eastAsia" w:hAnsi="宋体"/>
          <w:b/>
          <w:bCs/>
          <w:sz w:val="32"/>
          <w:szCs w:val="32"/>
          <w:highlight w:val="none"/>
          <w:u w:val="single"/>
        </w:rPr>
        <w:t xml:space="preserve">                      </w:t>
      </w: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jc w:val="center"/>
        <w:rPr>
          <w:rFonts w:hAnsi="宋体"/>
          <w:b/>
          <w:bCs/>
          <w:sz w:val="32"/>
          <w:szCs w:val="32"/>
          <w:highlight w:val="none"/>
        </w:rPr>
      </w:pPr>
      <w:r>
        <w:rPr>
          <w:rFonts w:hint="eastAsia" w:hAnsi="宋体"/>
          <w:b/>
          <w:bCs/>
          <w:sz w:val="32"/>
          <w:szCs w:val="32"/>
          <w:highlight w:val="none"/>
        </w:rPr>
        <w:t>日  期：</w:t>
      </w:r>
      <w:r>
        <w:rPr>
          <w:rFonts w:hint="eastAsia" w:hAnsi="宋体"/>
          <w:b/>
          <w:bCs/>
          <w:sz w:val="32"/>
          <w:szCs w:val="32"/>
          <w:highlight w:val="none"/>
          <w:u w:val="single"/>
        </w:rPr>
        <w:t xml:space="preserve">   </w:t>
      </w:r>
      <w:r>
        <w:rPr>
          <w:rFonts w:hint="eastAsia" w:hAnsi="宋体"/>
          <w:b/>
          <w:bCs/>
          <w:sz w:val="32"/>
          <w:szCs w:val="32"/>
          <w:highlight w:val="none"/>
        </w:rPr>
        <w:t>年</w:t>
      </w:r>
      <w:r>
        <w:rPr>
          <w:rFonts w:hint="eastAsia" w:hAnsi="宋体"/>
          <w:b/>
          <w:bCs/>
          <w:sz w:val="32"/>
          <w:szCs w:val="32"/>
          <w:highlight w:val="none"/>
          <w:u w:val="single"/>
        </w:rPr>
        <w:t xml:space="preserve">   </w:t>
      </w:r>
      <w:r>
        <w:rPr>
          <w:rFonts w:hint="eastAsia" w:hAnsi="宋体"/>
          <w:b/>
          <w:bCs/>
          <w:sz w:val="32"/>
          <w:szCs w:val="32"/>
          <w:highlight w:val="none"/>
        </w:rPr>
        <w:t>月</w:t>
      </w:r>
      <w:r>
        <w:rPr>
          <w:rFonts w:hint="eastAsia" w:hAnsi="宋体"/>
          <w:b/>
          <w:bCs/>
          <w:sz w:val="32"/>
          <w:szCs w:val="32"/>
          <w:highlight w:val="none"/>
          <w:u w:val="single"/>
        </w:rPr>
        <w:t xml:space="preserve">   </w:t>
      </w:r>
      <w:r>
        <w:rPr>
          <w:rFonts w:hint="eastAsia" w:hAnsi="宋体"/>
          <w:b/>
          <w:bCs/>
          <w:sz w:val="32"/>
          <w:szCs w:val="32"/>
          <w:highlight w:val="none"/>
        </w:rPr>
        <w:t>日</w:t>
      </w:r>
    </w:p>
    <w:p>
      <w:pPr>
        <w:rPr>
          <w:highlight w:val="none"/>
        </w:rPr>
      </w:pPr>
    </w:p>
    <w:p>
      <w:pPr>
        <w:spacing w:line="360" w:lineRule="exact"/>
        <w:rPr>
          <w:rFonts w:ascii="宋体" w:hAnsi="宋体"/>
          <w:b/>
          <w:highlight w:val="none"/>
        </w:rPr>
      </w:pPr>
    </w:p>
    <w:p>
      <w:pPr>
        <w:adjustRightInd w:val="0"/>
        <w:snapToGrid w:val="0"/>
        <w:spacing w:line="360" w:lineRule="auto"/>
        <w:jc w:val="center"/>
        <w:outlineLvl w:val="0"/>
        <w:rPr>
          <w:rFonts w:ascii="黑体" w:eastAsia="黑体"/>
          <w:b/>
          <w:sz w:val="32"/>
          <w:szCs w:val="32"/>
          <w:highlight w:val="none"/>
        </w:rPr>
        <w:sectPr>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highlight w:val="none"/>
        </w:rPr>
      </w:pPr>
      <w:r>
        <w:rPr>
          <w:rFonts w:hint="eastAsia" w:ascii="宋体" w:hAnsi="宋体"/>
          <w:b/>
          <w:sz w:val="32"/>
          <w:szCs w:val="32"/>
          <w:highlight w:val="none"/>
        </w:rPr>
        <w:t>目   录</w:t>
      </w:r>
    </w:p>
    <w:p>
      <w:pPr>
        <w:adjustRightInd w:val="0"/>
        <w:snapToGrid w:val="0"/>
        <w:spacing w:line="360" w:lineRule="auto"/>
        <w:ind w:firstLine="480" w:firstLineChars="200"/>
        <w:outlineLvl w:val="0"/>
        <w:rPr>
          <w:rFonts w:ascii="宋体" w:hAnsi="宋体"/>
          <w:sz w:val="24"/>
          <w:highlight w:val="none"/>
        </w:rPr>
      </w:pPr>
    </w:p>
    <w:p>
      <w:pPr>
        <w:adjustRightInd w:val="0"/>
        <w:snapToGrid w:val="0"/>
        <w:spacing w:line="360" w:lineRule="auto"/>
        <w:rPr>
          <w:rFonts w:ascii="宋体" w:hAnsi="宋体"/>
          <w:szCs w:val="21"/>
          <w:highlight w:val="none"/>
        </w:rPr>
      </w:pPr>
      <w:r>
        <w:rPr>
          <w:rFonts w:hint="eastAsia" w:ascii="宋体" w:hAnsi="宋体"/>
          <w:szCs w:val="21"/>
          <w:highlight w:val="none"/>
        </w:rPr>
        <w:t>一、谈判承诺书</w:t>
      </w:r>
    </w:p>
    <w:p>
      <w:pPr>
        <w:adjustRightInd w:val="0"/>
        <w:snapToGrid w:val="0"/>
        <w:spacing w:line="360" w:lineRule="auto"/>
        <w:jc w:val="left"/>
        <w:rPr>
          <w:rFonts w:ascii="宋体" w:hAnsi="宋体"/>
          <w:szCs w:val="21"/>
          <w:highlight w:val="none"/>
        </w:rPr>
      </w:pPr>
      <w:r>
        <w:rPr>
          <w:rFonts w:hint="eastAsia" w:ascii="宋体" w:hAnsi="宋体"/>
          <w:szCs w:val="21"/>
          <w:highlight w:val="none"/>
        </w:rPr>
        <w:t>二、法定代表人身份证明书</w:t>
      </w:r>
    </w:p>
    <w:p>
      <w:pPr>
        <w:adjustRightInd w:val="0"/>
        <w:snapToGrid w:val="0"/>
        <w:spacing w:line="360" w:lineRule="auto"/>
        <w:jc w:val="left"/>
        <w:rPr>
          <w:rFonts w:ascii="宋体" w:hAnsi="宋体"/>
          <w:szCs w:val="21"/>
          <w:highlight w:val="none"/>
        </w:rPr>
      </w:pPr>
      <w:r>
        <w:rPr>
          <w:rFonts w:hint="eastAsia" w:ascii="宋体" w:hAnsi="宋体"/>
          <w:szCs w:val="21"/>
          <w:highlight w:val="none"/>
        </w:rPr>
        <w:t>三、授权委托书</w:t>
      </w:r>
    </w:p>
    <w:p>
      <w:pPr>
        <w:adjustRightInd w:val="0"/>
        <w:snapToGrid w:val="0"/>
        <w:spacing w:line="360" w:lineRule="auto"/>
        <w:jc w:val="left"/>
        <w:rPr>
          <w:rFonts w:hAnsi="宋体"/>
          <w:szCs w:val="21"/>
          <w:highlight w:val="none"/>
        </w:rPr>
      </w:pPr>
      <w:r>
        <w:rPr>
          <w:rFonts w:hint="eastAsia" w:ascii="宋体" w:hAnsi="宋体"/>
          <w:szCs w:val="21"/>
          <w:highlight w:val="none"/>
        </w:rPr>
        <w:t>四、</w:t>
      </w:r>
      <w:r>
        <w:rPr>
          <w:rFonts w:hint="eastAsia" w:hAnsi="宋体"/>
          <w:szCs w:val="21"/>
          <w:highlight w:val="none"/>
        </w:rPr>
        <w:t>谈判单位资格条件证明文件</w:t>
      </w:r>
    </w:p>
    <w:p>
      <w:pPr>
        <w:adjustRightInd w:val="0"/>
        <w:snapToGrid w:val="0"/>
        <w:spacing w:line="360" w:lineRule="auto"/>
        <w:rPr>
          <w:rFonts w:ascii="宋体" w:hAnsi="宋体"/>
          <w:szCs w:val="21"/>
          <w:highlight w:val="none"/>
        </w:rPr>
      </w:pPr>
      <w:r>
        <w:rPr>
          <w:rFonts w:hint="eastAsia" w:ascii="宋体" w:hAnsi="宋体"/>
          <w:szCs w:val="21"/>
          <w:highlight w:val="none"/>
          <w:lang w:eastAsia="zh-CN"/>
        </w:rPr>
        <w:t>五</w:t>
      </w:r>
      <w:r>
        <w:rPr>
          <w:rFonts w:hint="eastAsia" w:ascii="宋体" w:hAnsi="宋体"/>
          <w:szCs w:val="21"/>
          <w:highlight w:val="none"/>
        </w:rPr>
        <w:t>、报价一览表</w:t>
      </w:r>
    </w:p>
    <w:p>
      <w:pPr>
        <w:adjustRightInd w:val="0"/>
        <w:snapToGrid w:val="0"/>
        <w:spacing w:line="360" w:lineRule="auto"/>
        <w:jc w:val="left"/>
        <w:rPr>
          <w:rFonts w:ascii="宋体" w:hAnsi="宋体"/>
          <w:szCs w:val="21"/>
          <w:highlight w:val="none"/>
        </w:rPr>
      </w:pPr>
      <w:r>
        <w:rPr>
          <w:rFonts w:hint="eastAsia" w:ascii="宋体" w:hAnsi="宋体"/>
          <w:szCs w:val="21"/>
          <w:highlight w:val="none"/>
          <w:lang w:val="en-US" w:eastAsia="zh-CN"/>
        </w:rPr>
        <w:t>六</w:t>
      </w:r>
      <w:r>
        <w:rPr>
          <w:rFonts w:hint="eastAsia" w:ascii="宋体" w:hAnsi="宋体"/>
          <w:szCs w:val="21"/>
          <w:highlight w:val="none"/>
        </w:rPr>
        <w:t>、分项价格表</w:t>
      </w:r>
    </w:p>
    <w:p>
      <w:pPr>
        <w:adjustRightInd w:val="0"/>
        <w:snapToGrid w:val="0"/>
        <w:spacing w:line="360" w:lineRule="auto"/>
        <w:rPr>
          <w:rFonts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、其他资料（如有）</w:t>
      </w:r>
    </w:p>
    <w:p>
      <w:pPr>
        <w:ind w:firstLine="480" w:firstLineChars="200"/>
        <w:jc w:val="center"/>
        <w:outlineLvl w:val="1"/>
        <w:rPr>
          <w:rFonts w:ascii="黑体" w:hAnsi="黑体" w:eastAsia="黑体"/>
          <w:b/>
          <w:sz w:val="32"/>
          <w:szCs w:val="32"/>
          <w:highlight w:val="none"/>
        </w:rPr>
      </w:pPr>
      <w:r>
        <w:rPr>
          <w:rFonts w:hint="eastAsia" w:ascii="宋体" w:hAnsi="宋体"/>
          <w:sz w:val="24"/>
          <w:highlight w:val="none"/>
        </w:rPr>
        <w:br w:type="page"/>
      </w:r>
      <w:bookmarkStart w:id="89" w:name="_Toc22597"/>
      <w:bookmarkStart w:id="90" w:name="_Toc19366"/>
      <w:bookmarkStart w:id="91" w:name="_Toc32600"/>
      <w:bookmarkStart w:id="92" w:name="_Toc32569"/>
      <w:bookmarkStart w:id="93" w:name="_Toc14530"/>
      <w:r>
        <w:rPr>
          <w:rFonts w:hint="eastAsia" w:ascii="宋体" w:hAnsi="宋体" w:cs="宋体"/>
          <w:b/>
          <w:sz w:val="32"/>
          <w:szCs w:val="32"/>
          <w:highlight w:val="none"/>
          <w:lang w:val="en-US" w:eastAsia="zh-CN"/>
        </w:rPr>
        <w:t>一、谈判承诺书</w:t>
      </w:r>
      <w:bookmarkEnd w:id="89"/>
      <w:bookmarkEnd w:id="90"/>
      <w:bookmarkEnd w:id="91"/>
      <w:bookmarkEnd w:id="92"/>
      <w:bookmarkEnd w:id="93"/>
    </w:p>
    <w:p>
      <w:pPr>
        <w:adjustRightInd w:val="0"/>
        <w:snapToGrid w:val="0"/>
        <w:spacing w:line="360" w:lineRule="auto"/>
        <w:rPr>
          <w:rFonts w:ascii="仿宋_GB2312" w:hAnsi="宋体" w:eastAsia="仿宋_GB2312"/>
          <w:szCs w:val="21"/>
          <w:highlight w:val="none"/>
        </w:rPr>
      </w:pPr>
    </w:p>
    <w:p>
      <w:pPr>
        <w:adjustRightInd w:val="0"/>
        <w:snapToGrid w:val="0"/>
        <w:spacing w:line="360" w:lineRule="auto"/>
        <w:rPr>
          <w:rFonts w:ascii="宋体" w:hAnsi="宋体"/>
          <w:szCs w:val="21"/>
          <w:highlight w:val="none"/>
        </w:rPr>
      </w:pPr>
      <w:r>
        <w:rPr>
          <w:rFonts w:hint="eastAsia" w:ascii="宋体" w:hAnsi="宋体"/>
          <w:szCs w:val="21"/>
          <w:highlight w:val="none"/>
        </w:rPr>
        <w:t>致(采购单位)：</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我方已仔细研究了</w:t>
      </w:r>
      <w:r>
        <w:rPr>
          <w:rFonts w:hint="eastAsia" w:ascii="宋体" w:hAnsi="宋体"/>
          <w:szCs w:val="21"/>
          <w:highlight w:val="none"/>
          <w:u w:val="single"/>
        </w:rPr>
        <w:t xml:space="preserve">     (项目名称)        </w:t>
      </w:r>
      <w:r>
        <w:rPr>
          <w:rFonts w:hint="eastAsia" w:ascii="宋体" w:hAnsi="宋体"/>
          <w:szCs w:val="21"/>
          <w:highlight w:val="none"/>
        </w:rPr>
        <w:t>的竞争性谈判文件（谈判项目编号：</w:t>
      </w:r>
      <w:r>
        <w:rPr>
          <w:rFonts w:hint="eastAsia" w:ascii="宋体" w:hAnsi="宋体"/>
          <w:szCs w:val="21"/>
          <w:highlight w:val="none"/>
          <w:u w:val="single"/>
        </w:rPr>
        <w:t xml:space="preserve">         </w:t>
      </w:r>
      <w:r>
        <w:rPr>
          <w:rFonts w:hint="eastAsia" w:ascii="宋体" w:hAnsi="宋体"/>
          <w:szCs w:val="21"/>
          <w:highlight w:val="none"/>
        </w:rPr>
        <w:t>）的全部内容，</w:t>
      </w:r>
      <w:r>
        <w:rPr>
          <w:rFonts w:hint="eastAsia" w:hAnsi="宋体"/>
          <w:szCs w:val="21"/>
          <w:highlight w:val="none"/>
        </w:rPr>
        <w:t>知悉参加竞争性谈判的风险，我方承诺接受谈判文件的全部条款且无任何异议。</w:t>
      </w:r>
    </w:p>
    <w:p>
      <w:pPr>
        <w:pStyle w:val="25"/>
        <w:adjustRightInd w:val="0"/>
        <w:snapToGrid w:val="0"/>
        <w:spacing w:line="360" w:lineRule="auto"/>
        <w:ind w:firstLine="420" w:firstLineChars="200"/>
        <w:rPr>
          <w:rFonts w:hAnsi="宋体"/>
          <w:highlight w:val="none"/>
        </w:rPr>
      </w:pPr>
      <w:r>
        <w:rPr>
          <w:rFonts w:hint="eastAsia" w:hAnsi="宋体"/>
          <w:highlight w:val="none"/>
        </w:rPr>
        <w:t>一、</w:t>
      </w:r>
      <w:r>
        <w:rPr>
          <w:rFonts w:hint="eastAsia"/>
          <w:highlight w:val="none"/>
        </w:rPr>
        <w:t>参与本项目竞争性谈判活动系本公司自愿行为。</w:t>
      </w:r>
    </w:p>
    <w:p>
      <w:pPr>
        <w:pStyle w:val="25"/>
        <w:adjustRightInd w:val="0"/>
        <w:snapToGrid w:val="0"/>
        <w:spacing w:line="360" w:lineRule="auto"/>
        <w:ind w:firstLine="420" w:firstLineChars="200"/>
        <w:rPr>
          <w:rFonts w:hAnsi="宋体"/>
          <w:highlight w:val="none"/>
        </w:rPr>
      </w:pPr>
      <w:r>
        <w:rPr>
          <w:rFonts w:hint="eastAsia" w:hAnsi="宋体"/>
          <w:highlight w:val="none"/>
        </w:rPr>
        <w:t>二、我方同意在谈判文件中规定的提交响应文件截止时间起</w:t>
      </w:r>
      <w:r>
        <w:rPr>
          <w:rFonts w:hint="eastAsia" w:hAnsi="宋体"/>
          <w:highlight w:val="none"/>
          <w:u w:val="single"/>
        </w:rPr>
        <w:t>180</w:t>
      </w:r>
      <w:r>
        <w:rPr>
          <w:rFonts w:hint="eastAsia" w:hAnsi="宋体"/>
          <w:highlight w:val="none"/>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highlight w:val="none"/>
        </w:rPr>
      </w:pPr>
      <w:r>
        <w:rPr>
          <w:rFonts w:hint="eastAsia" w:hAnsi="宋体"/>
          <w:highlight w:val="none"/>
        </w:rPr>
        <w:t>三、我方提交的响应文件均为正本</w:t>
      </w:r>
      <w:r>
        <w:rPr>
          <w:rFonts w:hint="eastAsia" w:hAnsi="宋体"/>
          <w:highlight w:val="none"/>
          <w:u w:val="single"/>
        </w:rPr>
        <w:t xml:space="preserve">  </w:t>
      </w:r>
      <w:r>
        <w:rPr>
          <w:rFonts w:hint="eastAsia" w:hAnsi="宋体"/>
          <w:highlight w:val="none"/>
        </w:rPr>
        <w:t>份和副本</w:t>
      </w:r>
      <w:r>
        <w:rPr>
          <w:rFonts w:hint="eastAsia" w:hAnsi="宋体"/>
          <w:highlight w:val="none"/>
          <w:u w:val="single"/>
        </w:rPr>
        <w:t xml:space="preserve">  </w:t>
      </w:r>
      <w:r>
        <w:rPr>
          <w:rFonts w:hint="eastAsia" w:hAnsi="宋体"/>
          <w:highlight w:val="none"/>
        </w:rPr>
        <w:t>份，电子文件（包括响应文件全部内容）</w:t>
      </w:r>
    </w:p>
    <w:p>
      <w:pPr>
        <w:pStyle w:val="25"/>
        <w:adjustRightInd w:val="0"/>
        <w:snapToGrid w:val="0"/>
        <w:spacing w:line="360" w:lineRule="auto"/>
        <w:rPr>
          <w:rFonts w:hAnsi="宋体"/>
          <w:bCs/>
          <w:highlight w:val="none"/>
        </w:rPr>
      </w:pPr>
      <w:r>
        <w:rPr>
          <w:rFonts w:hint="eastAsia" w:hAnsi="宋体"/>
          <w:highlight w:val="none"/>
          <w:u w:val="single"/>
        </w:rPr>
        <w:t xml:space="preserve">   </w:t>
      </w:r>
      <w:r>
        <w:rPr>
          <w:rFonts w:hint="eastAsia" w:hAnsi="宋体"/>
          <w:highlight w:val="none"/>
        </w:rPr>
        <w:t>份，并保证响应文件提供的数据和材料是真实、准确的，</w:t>
      </w:r>
      <w:r>
        <w:rPr>
          <w:rFonts w:hint="eastAsia" w:hAnsi="宋体"/>
          <w:b/>
          <w:bCs/>
          <w:highlight w:val="none"/>
        </w:rPr>
        <w:t>均无复制、粘贴之情形</w:t>
      </w:r>
      <w:r>
        <w:rPr>
          <w:rFonts w:hint="eastAsia" w:hAnsi="宋体"/>
          <w:b/>
          <w:bCs/>
          <w:color w:val="7030A0"/>
          <w:highlight w:val="none"/>
        </w:rPr>
        <w:t>，</w:t>
      </w:r>
      <w:r>
        <w:rPr>
          <w:rFonts w:hint="eastAsia" w:hAnsi="宋体"/>
          <w:highlight w:val="none"/>
        </w:rPr>
        <w:t>且无低于成本的恶意报价行为。否则，愿承担由此引起的一切</w:t>
      </w:r>
      <w:r>
        <w:rPr>
          <w:rFonts w:hint="eastAsia" w:hAnsi="宋体"/>
          <w:bCs/>
          <w:highlight w:val="none"/>
        </w:rPr>
        <w:t>法律责任。</w:t>
      </w:r>
    </w:p>
    <w:p>
      <w:pPr>
        <w:pStyle w:val="25"/>
        <w:adjustRightInd w:val="0"/>
        <w:snapToGrid w:val="0"/>
        <w:spacing w:line="360" w:lineRule="auto"/>
        <w:ind w:firstLine="420" w:firstLineChars="200"/>
        <w:rPr>
          <w:rFonts w:hAnsi="宋体"/>
          <w:highlight w:val="none"/>
        </w:rPr>
      </w:pPr>
      <w:r>
        <w:rPr>
          <w:rFonts w:hint="eastAsia" w:hAnsi="宋体"/>
          <w:highlight w:val="none"/>
        </w:rPr>
        <w:t>四、</w:t>
      </w:r>
      <w:r>
        <w:rPr>
          <w:rFonts w:hint="eastAsia"/>
          <w:highlight w:val="none"/>
        </w:rPr>
        <w:t>遵守贵司各项管理制度和谈判现场纪律，服从现场工作人员管理，自觉维护贵司谈判活动秩序。</w:t>
      </w:r>
    </w:p>
    <w:p>
      <w:pPr>
        <w:pStyle w:val="25"/>
        <w:adjustRightInd w:val="0"/>
        <w:snapToGrid w:val="0"/>
        <w:spacing w:line="360" w:lineRule="auto"/>
        <w:ind w:firstLine="420" w:firstLineChars="200"/>
        <w:rPr>
          <w:highlight w:val="none"/>
        </w:rPr>
      </w:pPr>
      <w:r>
        <w:rPr>
          <w:rFonts w:hint="eastAsia" w:hAnsi="宋体"/>
          <w:highlight w:val="none"/>
        </w:rPr>
        <w:t>五、</w:t>
      </w:r>
      <w:r>
        <w:rPr>
          <w:rFonts w:hint="eastAsia"/>
          <w:highlight w:val="none"/>
        </w:rPr>
        <w:t>保证没有组织、参与围标、串标行为。</w:t>
      </w:r>
    </w:p>
    <w:p>
      <w:pPr>
        <w:pStyle w:val="25"/>
        <w:adjustRightInd w:val="0"/>
        <w:snapToGrid w:val="0"/>
        <w:spacing w:line="360" w:lineRule="auto"/>
        <w:ind w:firstLine="420" w:firstLineChars="200"/>
        <w:rPr>
          <w:highlight w:val="none"/>
        </w:rPr>
      </w:pPr>
      <w:r>
        <w:rPr>
          <w:rFonts w:hint="eastAsia"/>
          <w:highlight w:val="none"/>
        </w:rPr>
        <w:t>六、不与采购单位或采购代理机构或谈判评审小组成员私下联络和串通以牟取中选；不以他人名义参与谈判或者以其他方式弄虚作假骗取中选；不在谈判结束后进行虚假、恶意质疑和投诉。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highlight w:val="none"/>
        </w:rPr>
      </w:pPr>
      <w:r>
        <w:rPr>
          <w:rFonts w:hint="eastAsia"/>
          <w:highlight w:val="none"/>
        </w:rPr>
        <w:t>七、</w:t>
      </w:r>
      <w:r>
        <w:rPr>
          <w:rFonts w:hint="eastAsia" w:hAnsi="宋体"/>
          <w:highlight w:val="none"/>
        </w:rPr>
        <w:t>我方承诺，若贵方需要，我方愿意提供任何与本次谈判有关的数据、情况和技术资料。</w:t>
      </w:r>
    </w:p>
    <w:p>
      <w:pPr>
        <w:pStyle w:val="25"/>
        <w:adjustRightInd w:val="0"/>
        <w:snapToGrid w:val="0"/>
        <w:spacing w:line="360" w:lineRule="auto"/>
        <w:ind w:firstLine="420" w:firstLineChars="200"/>
        <w:rPr>
          <w:rFonts w:hAnsi="宋体"/>
          <w:highlight w:val="none"/>
        </w:rPr>
      </w:pPr>
      <w:r>
        <w:rPr>
          <w:rFonts w:hint="eastAsia" w:hAnsi="宋体"/>
          <w:highlight w:val="none"/>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highlight w:val="none"/>
        </w:rPr>
      </w:pPr>
      <w:r>
        <w:rPr>
          <w:rFonts w:hint="eastAsia" w:hAnsi="宋体"/>
          <w:highlight w:val="none"/>
        </w:rPr>
        <w:t>九、我方承诺在参与本次竞争性谈判过程中，若出现本文件第一章</w:t>
      </w:r>
      <w:r>
        <w:rPr>
          <w:rFonts w:hint="eastAsia" w:hAnsi="宋体"/>
          <w:b/>
          <w:highlight w:val="none"/>
        </w:rPr>
        <w:t>谈判须知正文</w:t>
      </w:r>
      <w:r>
        <w:rPr>
          <w:rFonts w:hint="eastAsia" w:hAnsi="宋体"/>
          <w:highlight w:val="none"/>
        </w:rPr>
        <w:t>第26条规定之情形，我方无条件接受条款规定作出的处罚。</w:t>
      </w:r>
    </w:p>
    <w:p>
      <w:pPr>
        <w:pStyle w:val="25"/>
        <w:adjustRightInd w:val="0"/>
        <w:snapToGrid w:val="0"/>
        <w:spacing w:line="360" w:lineRule="auto"/>
        <w:ind w:firstLine="420" w:firstLineChars="200"/>
        <w:rPr>
          <w:highlight w:val="none"/>
        </w:rPr>
      </w:pPr>
      <w:r>
        <w:rPr>
          <w:rFonts w:hint="eastAsia" w:hAnsi="宋体"/>
          <w:highlight w:val="none"/>
        </w:rPr>
        <w:t>十、我方承诺完全响应本文件第四章“用户需求书”及第五章“合同格式条款”内的全部内容。</w:t>
      </w:r>
    </w:p>
    <w:p>
      <w:pPr>
        <w:ind w:firstLine="420" w:firstLineChars="200"/>
        <w:rPr>
          <w:rFonts w:hAnsi="宋体"/>
          <w:szCs w:val="21"/>
          <w:highlight w:val="none"/>
        </w:rPr>
      </w:pPr>
      <w:r>
        <w:rPr>
          <w:rFonts w:hint="eastAsia"/>
          <w:szCs w:val="21"/>
          <w:highlight w:val="none"/>
        </w:rPr>
        <w:t>十一、如有违反本承诺书内容的行为，愿意承担由此产生的法律责任及后果。</w:t>
      </w:r>
    </w:p>
    <w:p>
      <w:pPr>
        <w:adjustRightInd w:val="0"/>
        <w:snapToGrid w:val="0"/>
        <w:spacing w:line="360" w:lineRule="auto"/>
        <w:ind w:right="24"/>
        <w:rPr>
          <w:rFonts w:ascii="宋体" w:hAnsi="宋体"/>
          <w:bCs/>
          <w:szCs w:val="21"/>
          <w:highlight w:val="none"/>
        </w:rPr>
      </w:pPr>
    </w:p>
    <w:p>
      <w:pPr>
        <w:pStyle w:val="25"/>
        <w:adjustRightInd w:val="0"/>
        <w:snapToGrid w:val="0"/>
        <w:spacing w:line="360" w:lineRule="auto"/>
        <w:rPr>
          <w:rFonts w:hAnsi="宋体"/>
          <w:highlight w:val="none"/>
        </w:rPr>
      </w:pPr>
    </w:p>
    <w:p>
      <w:pPr>
        <w:pStyle w:val="25"/>
        <w:adjustRightInd w:val="0"/>
        <w:snapToGrid w:val="0"/>
        <w:spacing w:line="360" w:lineRule="auto"/>
        <w:rPr>
          <w:rFonts w:hAnsi="宋体"/>
          <w:highlight w:val="none"/>
        </w:rPr>
      </w:pPr>
    </w:p>
    <w:p>
      <w:pPr>
        <w:spacing w:line="360" w:lineRule="auto"/>
        <w:rPr>
          <w:szCs w:val="21"/>
          <w:highlight w:val="none"/>
          <w:u w:val="single"/>
        </w:rPr>
      </w:pPr>
      <w:r>
        <w:rPr>
          <w:rFonts w:hint="eastAsia"/>
          <w:szCs w:val="21"/>
          <w:highlight w:val="none"/>
        </w:rPr>
        <w:t>谈判单位名称：</w:t>
      </w:r>
      <w:r>
        <w:rPr>
          <w:rFonts w:hint="eastAsia"/>
          <w:szCs w:val="21"/>
          <w:highlight w:val="none"/>
          <w:u w:val="single"/>
        </w:rPr>
        <w:t xml:space="preserve">    （盖单位章）    </w:t>
      </w:r>
    </w:p>
    <w:p>
      <w:pPr>
        <w:spacing w:line="360" w:lineRule="auto"/>
        <w:rPr>
          <w:rFonts w:ascii="宋体" w:hAnsi="宋体"/>
          <w:szCs w:val="21"/>
          <w:highlight w:val="none"/>
        </w:rPr>
      </w:pPr>
      <w:r>
        <w:rPr>
          <w:rFonts w:hint="eastAsia" w:ascii="宋体" w:hAnsi="宋体"/>
          <w:szCs w:val="21"/>
          <w:highlight w:val="none"/>
        </w:rPr>
        <w:t>法定</w:t>
      </w:r>
      <w:r>
        <w:rPr>
          <w:rFonts w:hint="eastAsia"/>
          <w:szCs w:val="21"/>
          <w:highlight w:val="none"/>
        </w:rPr>
        <w:t>代表</w:t>
      </w:r>
      <w:r>
        <w:rPr>
          <w:rFonts w:hint="eastAsia" w:ascii="宋体" w:hAnsi="宋体"/>
          <w:szCs w:val="21"/>
          <w:highlight w:val="none"/>
        </w:rPr>
        <w:t>人(签字或盖章)：</w:t>
      </w:r>
      <w:r>
        <w:rPr>
          <w:rFonts w:hint="eastAsia" w:ascii="宋体" w:hAnsi="宋体"/>
          <w:szCs w:val="21"/>
          <w:highlight w:val="none"/>
          <w:u w:val="single"/>
        </w:rPr>
        <w:t xml:space="preserve">               </w:t>
      </w:r>
    </w:p>
    <w:p>
      <w:pPr>
        <w:spacing w:line="360" w:lineRule="auto"/>
        <w:rPr>
          <w:rFonts w:ascii="宋体"/>
          <w:szCs w:val="21"/>
          <w:highlight w:val="none"/>
        </w:rPr>
      </w:pPr>
      <w:r>
        <w:rPr>
          <w:rFonts w:hint="eastAsia"/>
          <w:szCs w:val="21"/>
          <w:highlight w:val="none"/>
        </w:rPr>
        <w:t>日期</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rPr>
          <w:rFonts w:ascii="黑体" w:hAnsi="华文中宋" w:eastAsia="黑体"/>
          <w:bCs/>
          <w:szCs w:val="21"/>
          <w:highlight w:val="none"/>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94" w:name="_Toc1313"/>
      <w:bookmarkStart w:id="95" w:name="_Toc31277"/>
      <w:bookmarkStart w:id="96" w:name="_Toc3057"/>
      <w:bookmarkStart w:id="97" w:name="_Toc7143"/>
      <w:bookmarkStart w:id="98" w:name="_Toc3026"/>
      <w:r>
        <w:rPr>
          <w:rFonts w:hint="eastAsia" w:ascii="宋体" w:hAnsi="宋体" w:cs="宋体"/>
          <w:b/>
          <w:sz w:val="32"/>
          <w:szCs w:val="32"/>
          <w:highlight w:val="none"/>
          <w:lang w:val="en-US" w:eastAsia="zh-CN"/>
        </w:rPr>
        <w:t>二、法定代表人身份证明书</w:t>
      </w:r>
      <w:bookmarkEnd w:id="94"/>
      <w:bookmarkEnd w:id="95"/>
      <w:bookmarkEnd w:id="96"/>
      <w:bookmarkEnd w:id="97"/>
      <w:bookmarkEnd w:id="98"/>
    </w:p>
    <w:p>
      <w:pPr>
        <w:snapToGrid w:val="0"/>
        <w:spacing w:line="560" w:lineRule="exact"/>
        <w:jc w:val="center"/>
        <w:rPr>
          <w:rFonts w:ascii="宋体" w:hAnsi="宋体" w:cs="宋体"/>
          <w:szCs w:val="21"/>
          <w:highlight w:val="none"/>
        </w:rPr>
      </w:pPr>
      <w:r>
        <w:rPr>
          <w:rFonts w:hint="eastAsia" w:ascii="宋体" w:hAnsi="宋体" w:cs="宋体"/>
          <w:szCs w:val="21"/>
          <w:highlight w:val="none"/>
        </w:rPr>
        <w:t>（总公司或湖南省分公司参与投标的均须提供）</w:t>
      </w:r>
    </w:p>
    <w:p>
      <w:pPr>
        <w:autoSpaceDE w:val="0"/>
        <w:autoSpaceDN w:val="0"/>
        <w:adjustRightInd w:val="0"/>
        <w:jc w:val="left"/>
        <w:rPr>
          <w:rFonts w:ascii="黑体" w:eastAsia="黑体" w:cs="黑体"/>
          <w:kern w:val="0"/>
          <w:sz w:val="24"/>
          <w:szCs w:val="24"/>
          <w:highlight w:val="none"/>
        </w:rPr>
      </w:pPr>
    </w:p>
    <w:p>
      <w:pPr>
        <w:snapToGrid w:val="0"/>
        <w:spacing w:line="560" w:lineRule="exact"/>
        <w:rPr>
          <w:rFonts w:ascii="宋体" w:hAnsi="宋体" w:cs="宋体"/>
          <w:szCs w:val="21"/>
          <w:highlight w:val="none"/>
          <w:u w:val="single"/>
        </w:rPr>
      </w:pPr>
      <w:r>
        <w:rPr>
          <w:rFonts w:hint="eastAsia" w:ascii="宋体" w:hAnsi="宋体" w:cs="宋体"/>
          <w:szCs w:val="21"/>
          <w:highlight w:val="none"/>
        </w:rPr>
        <w:t>法人单位名称：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pPr>
        <w:snapToGrid w:val="0"/>
        <w:spacing w:line="560" w:lineRule="exact"/>
        <w:rPr>
          <w:rFonts w:ascii="宋体" w:hAnsi="宋体" w:cs="宋体"/>
          <w:szCs w:val="21"/>
          <w:highlight w:val="none"/>
        </w:rPr>
      </w:pPr>
      <w:r>
        <w:rPr>
          <w:rFonts w:hint="eastAsia" w:ascii="宋体" w:hAnsi="宋体" w:cs="宋体"/>
          <w:szCs w:val="21"/>
          <w:highlight w:val="none"/>
        </w:rPr>
        <w:t>注册号：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pPr>
        <w:snapToGrid w:val="0"/>
        <w:spacing w:line="560" w:lineRule="exact"/>
        <w:rPr>
          <w:rFonts w:ascii="宋体" w:hAnsi="宋体" w:cs="宋体"/>
          <w:szCs w:val="21"/>
          <w:highlight w:val="none"/>
        </w:rPr>
      </w:pPr>
      <w:r>
        <w:rPr>
          <w:rFonts w:hint="eastAsia" w:ascii="宋体" w:hAnsi="宋体" w:cs="宋体"/>
          <w:szCs w:val="21"/>
          <w:highlight w:val="none"/>
        </w:rPr>
        <w:t>注册地址：</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pPr>
        <w:snapToGrid w:val="0"/>
        <w:spacing w:line="560" w:lineRule="exact"/>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 xml:space="preserve"> 年 </w:t>
      </w:r>
      <w:r>
        <w:rPr>
          <w:rFonts w:hint="eastAsia" w:ascii="宋体" w:hAnsi="宋体" w:cs="宋体"/>
          <w:szCs w:val="21"/>
          <w:highlight w:val="none"/>
          <w:u w:val="single"/>
        </w:rPr>
        <w:t xml:space="preserve">       </w:t>
      </w:r>
      <w:r>
        <w:rPr>
          <w:rFonts w:hint="eastAsia" w:ascii="宋体" w:hAnsi="宋体" w:cs="宋体"/>
          <w:szCs w:val="21"/>
          <w:highlight w:val="none"/>
        </w:rPr>
        <w:t xml:space="preserve"> 月  </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snapToGrid w:val="0"/>
        <w:spacing w:line="560" w:lineRule="exact"/>
        <w:rPr>
          <w:rFonts w:ascii="宋体" w:hAnsi="宋体" w:cs="宋体"/>
          <w:szCs w:val="21"/>
          <w:highlight w:val="none"/>
        </w:rPr>
      </w:pPr>
      <w:r>
        <w:rPr>
          <w:rFonts w:hint="eastAsia" w:ascii="宋体" w:hAnsi="宋体" w:cs="宋体"/>
          <w:szCs w:val="21"/>
          <w:highlight w:val="none"/>
        </w:rPr>
        <w:t>经营期限：</w:t>
      </w:r>
    </w:p>
    <w:p>
      <w:pPr>
        <w:snapToGrid w:val="0"/>
        <w:spacing w:line="560" w:lineRule="exact"/>
        <w:rPr>
          <w:rFonts w:ascii="宋体" w:hAnsi="宋体" w:cs="宋体"/>
          <w:szCs w:val="21"/>
          <w:highlight w:val="none"/>
          <w:u w:val="single"/>
        </w:rPr>
      </w:pPr>
      <w:r>
        <w:rPr>
          <w:rFonts w:hint="eastAsia" w:ascii="宋体" w:hAnsi="宋体" w:cs="宋体"/>
          <w:szCs w:val="21"/>
          <w:highlight w:val="none"/>
        </w:rPr>
        <w:t>经营范围：主营：</w:t>
      </w:r>
      <w:r>
        <w:rPr>
          <w:rFonts w:hint="eastAsia" w:ascii="宋体" w:hAnsi="宋体" w:cs="宋体"/>
          <w:szCs w:val="21"/>
          <w:highlight w:val="none"/>
          <w:u w:val="single"/>
        </w:rPr>
        <w:t xml:space="preserve">       </w:t>
      </w:r>
      <w:r>
        <w:rPr>
          <w:rFonts w:hint="eastAsia" w:ascii="宋体" w:hAnsi="宋体" w:cs="宋体"/>
          <w:szCs w:val="21"/>
          <w:highlight w:val="none"/>
        </w:rPr>
        <w:t>；兼营：</w:t>
      </w:r>
      <w:r>
        <w:rPr>
          <w:rFonts w:hint="eastAsia" w:ascii="宋体" w:hAnsi="宋体" w:cs="宋体"/>
          <w:szCs w:val="21"/>
          <w:highlight w:val="none"/>
          <w:u w:val="single"/>
        </w:rPr>
        <w:t xml:space="preserve">       </w:t>
      </w:r>
    </w:p>
    <w:p>
      <w:pPr>
        <w:snapToGrid w:val="0"/>
        <w:spacing w:line="560" w:lineRule="exact"/>
        <w:rPr>
          <w:rFonts w:ascii="宋体" w:hAnsi="宋体" w:cs="宋体"/>
          <w:szCs w:val="21"/>
          <w:highlight w:val="none"/>
        </w:rPr>
      </w:pPr>
      <w:r>
        <w:rPr>
          <w:rFonts w:hint="eastAsia" w:ascii="宋体" w:hAnsi="宋体" w:cs="宋体"/>
          <w:szCs w:val="21"/>
          <w:highlight w:val="none"/>
        </w:rPr>
        <w:t xml:space="preserve">姓名： </w:t>
      </w:r>
      <w:r>
        <w:rPr>
          <w:rFonts w:hint="eastAsia" w:ascii="宋体" w:hAnsi="宋体" w:cs="宋体"/>
          <w:szCs w:val="21"/>
          <w:highlight w:val="none"/>
          <w:u w:val="single"/>
        </w:rPr>
        <w:t xml:space="preserve">         </w:t>
      </w:r>
      <w:r>
        <w:rPr>
          <w:rFonts w:hint="eastAsia" w:ascii="宋体" w:hAnsi="宋体" w:cs="宋体"/>
          <w:szCs w:val="21"/>
          <w:highlight w:val="none"/>
        </w:rPr>
        <w:t xml:space="preserve"> 性别：</w:t>
      </w:r>
      <w:r>
        <w:rPr>
          <w:rFonts w:hint="eastAsia" w:ascii="宋体" w:hAnsi="宋体" w:cs="宋体"/>
          <w:szCs w:val="21"/>
          <w:highlight w:val="none"/>
          <w:u w:val="single"/>
        </w:rPr>
        <w:t xml:space="preserve">         </w:t>
      </w:r>
      <w:r>
        <w:rPr>
          <w:rFonts w:hint="eastAsia" w:ascii="宋体" w:hAnsi="宋体" w:cs="宋体"/>
          <w:szCs w:val="21"/>
          <w:highlight w:val="none"/>
        </w:rPr>
        <w:t xml:space="preserve"> 年龄：</w:t>
      </w:r>
      <w:r>
        <w:rPr>
          <w:rFonts w:hint="eastAsia" w:ascii="宋体" w:hAnsi="宋体" w:cs="宋体"/>
          <w:szCs w:val="21"/>
          <w:highlight w:val="none"/>
          <w:u w:val="single"/>
        </w:rPr>
        <w:t xml:space="preserve">       </w:t>
      </w:r>
      <w:r>
        <w:rPr>
          <w:rFonts w:hint="eastAsia" w:ascii="宋体" w:hAnsi="宋体" w:cs="宋体"/>
          <w:szCs w:val="21"/>
          <w:highlight w:val="none"/>
        </w:rPr>
        <w:t xml:space="preserve">系 </w:t>
      </w:r>
      <w:r>
        <w:rPr>
          <w:rFonts w:hint="eastAsia" w:ascii="宋体" w:hAnsi="宋体" w:cs="宋体"/>
          <w:szCs w:val="21"/>
          <w:highlight w:val="none"/>
          <w:u w:val="single"/>
        </w:rPr>
        <w:t xml:space="preserve">       </w:t>
      </w:r>
      <w:r>
        <w:rPr>
          <w:rFonts w:hint="eastAsia" w:ascii="宋体" w:hAnsi="宋体" w:cs="宋体"/>
          <w:szCs w:val="21"/>
          <w:highlight w:val="none"/>
        </w:rPr>
        <w:t>（法人单位名称）的法定代表人。</w:t>
      </w:r>
    </w:p>
    <w:p>
      <w:pPr>
        <w:snapToGrid w:val="0"/>
        <w:spacing w:line="560" w:lineRule="exact"/>
        <w:rPr>
          <w:rFonts w:ascii="宋体" w:hAnsi="宋体" w:cs="宋体"/>
          <w:szCs w:val="21"/>
          <w:highlight w:val="none"/>
        </w:rPr>
      </w:pPr>
      <w:r>
        <w:rPr>
          <w:rFonts w:hint="eastAsia" w:ascii="宋体" w:hAnsi="宋体" w:cs="宋体"/>
          <w:szCs w:val="21"/>
          <w:highlight w:val="none"/>
        </w:rPr>
        <w:t>特此证明。</w:t>
      </w:r>
    </w:p>
    <w:p>
      <w:pPr>
        <w:autoSpaceDE w:val="0"/>
        <w:autoSpaceDN w:val="0"/>
        <w:adjustRightInd w:val="0"/>
        <w:jc w:val="left"/>
        <w:rPr>
          <w:rFonts w:ascii="宋体" w:hAnsi="宋体" w:cs="宋体"/>
          <w:kern w:val="0"/>
          <w:szCs w:val="21"/>
          <w:highlight w:val="none"/>
        </w:rPr>
      </w:pPr>
    </w:p>
    <w:p>
      <w:pPr>
        <w:autoSpaceDE w:val="0"/>
        <w:autoSpaceDN w:val="0"/>
        <w:adjustRightInd w:val="0"/>
        <w:jc w:val="left"/>
        <w:rPr>
          <w:rFonts w:ascii="宋体" w:hAnsi="宋体" w:cs="宋体"/>
          <w:kern w:val="0"/>
          <w:szCs w:val="21"/>
          <w:highlight w:val="none"/>
        </w:rPr>
      </w:pPr>
    </w:p>
    <w:p>
      <w:pPr>
        <w:autoSpaceDE w:val="0"/>
        <w:autoSpaceDN w:val="0"/>
        <w:adjustRightInd w:val="0"/>
        <w:spacing w:line="240" w:lineRule="exact"/>
        <w:jc w:val="left"/>
        <w:rPr>
          <w:rFonts w:ascii="宋体" w:hAnsi="宋体" w:cs="宋体"/>
          <w:kern w:val="0"/>
          <w:szCs w:val="21"/>
          <w:highlight w:val="none"/>
        </w:rPr>
      </w:pPr>
    </w:p>
    <w:p>
      <w:pPr>
        <w:snapToGrid w:val="0"/>
        <w:spacing w:line="560" w:lineRule="exact"/>
        <w:rPr>
          <w:rFonts w:ascii="宋体" w:hAnsi="宋体" w:cs="宋体"/>
          <w:szCs w:val="21"/>
          <w:highlight w:val="none"/>
        </w:rPr>
      </w:pPr>
      <w:r>
        <w:rPr>
          <w:rFonts w:hint="eastAsia" w:ascii="宋体" w:hAnsi="宋体" w:cs="宋体"/>
          <w:szCs w:val="21"/>
          <w:highlight w:val="none"/>
        </w:rPr>
        <w:t>附：法定代表人身份证原件扫描件及《保险公司法人许可证》</w:t>
      </w:r>
      <w:r>
        <w:rPr>
          <w:rFonts w:hint="eastAsia" w:ascii="宋体" w:hAnsi="宋体" w:cs="宋体"/>
          <w:szCs w:val="21"/>
          <w:highlight w:val="none"/>
          <w:lang w:eastAsia="zh-CN"/>
        </w:rPr>
        <w:t>或</w:t>
      </w:r>
      <w:r>
        <w:rPr>
          <w:rFonts w:hint="eastAsia" w:ascii="宋体" w:hAnsi="宋体" w:eastAsia="宋体" w:cs="宋体"/>
          <w:iCs/>
          <w:kern w:val="2"/>
          <w:sz w:val="21"/>
          <w:szCs w:val="21"/>
          <w:highlight w:val="none"/>
          <w:lang w:val="en-US" w:eastAsia="zh-CN" w:bidi="ar-SA"/>
        </w:rPr>
        <w:t>《保险许可证》</w:t>
      </w:r>
      <w:r>
        <w:rPr>
          <w:rFonts w:hint="eastAsia" w:ascii="宋体" w:hAnsi="宋体" w:cs="宋体"/>
          <w:szCs w:val="21"/>
          <w:highlight w:val="none"/>
        </w:rPr>
        <w:t>原件扫描件（此附件为法定代表人身份证明的必要组成部分，无此附件的法人代表人身份证明无效。法定代表人身份证原件扫描件及《保险公司法人许可证》</w:t>
      </w:r>
      <w:r>
        <w:rPr>
          <w:rFonts w:hint="eastAsia" w:ascii="宋体" w:hAnsi="宋体" w:cs="宋体"/>
          <w:szCs w:val="21"/>
          <w:highlight w:val="none"/>
          <w:lang w:eastAsia="zh-CN"/>
        </w:rPr>
        <w:t>或</w:t>
      </w:r>
      <w:r>
        <w:rPr>
          <w:rFonts w:hint="eastAsia" w:ascii="宋体" w:hAnsi="宋体" w:eastAsia="宋体" w:cs="宋体"/>
          <w:iCs/>
          <w:kern w:val="2"/>
          <w:sz w:val="21"/>
          <w:szCs w:val="21"/>
          <w:highlight w:val="none"/>
          <w:lang w:val="en-US" w:eastAsia="zh-CN" w:bidi="ar-SA"/>
        </w:rPr>
        <w:t>《保险许可证》</w:t>
      </w:r>
      <w:r>
        <w:rPr>
          <w:rFonts w:hint="eastAsia" w:ascii="宋体" w:hAnsi="宋体" w:cs="宋体"/>
          <w:szCs w:val="21"/>
          <w:highlight w:val="none"/>
        </w:rPr>
        <w:t>原件扫描件可另附页，另附时，原件扫描件须加盖单位公章。）</w:t>
      </w:r>
    </w:p>
    <w:p>
      <w:pPr>
        <w:adjustRightInd w:val="0"/>
        <w:snapToGrid w:val="0"/>
        <w:spacing w:line="360" w:lineRule="auto"/>
        <w:ind w:right="24"/>
        <w:jc w:val="center"/>
        <w:outlineLvl w:val="1"/>
        <w:rPr>
          <w:rFonts w:ascii="黑体" w:hAnsi="华文中宋" w:eastAsia="黑体"/>
          <w:bCs/>
          <w:sz w:val="24"/>
          <w:highlight w:val="none"/>
        </w:rPr>
      </w:pPr>
    </w:p>
    <w:p>
      <w:pPr>
        <w:autoSpaceDE w:val="0"/>
        <w:autoSpaceDN w:val="0"/>
        <w:adjustRightInd w:val="0"/>
        <w:ind w:firstLine="420" w:firstLineChars="200"/>
        <w:jc w:val="left"/>
        <w:rPr>
          <w:rFonts w:ascii="宋体" w:hAnsi="宋体" w:cs="宋体"/>
          <w:kern w:val="0"/>
          <w:szCs w:val="21"/>
          <w:highlight w:val="none"/>
        </w:rPr>
      </w:pPr>
      <w:r>
        <w:rPr>
          <w:rFonts w:hint="eastAsia" w:ascii="宋体" w:hAnsi="宋体" w:cs="宋体"/>
          <w:kern w:val="0"/>
          <w:szCs w:val="21"/>
          <w:highlight w:val="none"/>
        </w:rPr>
        <w:t>法人单位名称(</w:t>
      </w:r>
      <w:r>
        <w:rPr>
          <w:rFonts w:hint="eastAsia" w:ascii="宋体" w:hAnsi="宋体"/>
          <w:szCs w:val="22"/>
          <w:highlight w:val="none"/>
        </w:rPr>
        <w:t>盖单位公章</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p>
    <w:p>
      <w:pPr>
        <w:autoSpaceDE w:val="0"/>
        <w:autoSpaceDN w:val="0"/>
        <w:adjustRightInd w:val="0"/>
        <w:ind w:firstLine="420" w:firstLineChars="200"/>
        <w:jc w:val="left"/>
        <w:rPr>
          <w:rFonts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adjustRightInd w:val="0"/>
        <w:snapToGrid w:val="0"/>
        <w:spacing w:line="360" w:lineRule="auto"/>
        <w:ind w:right="24" w:firstLine="480" w:firstLineChars="200"/>
        <w:jc w:val="both"/>
        <w:outlineLvl w:val="1"/>
        <w:rPr>
          <w:rFonts w:ascii="黑体" w:hAnsi="华文中宋" w:eastAsia="黑体"/>
          <w:bCs/>
          <w:sz w:val="24"/>
          <w:highlight w:val="none"/>
        </w:rPr>
      </w:pPr>
      <w:r>
        <w:rPr>
          <w:rFonts w:ascii="黑体" w:hAnsi="华文中宋" w:eastAsia="黑体"/>
          <w:bCs/>
          <w:sz w:val="24"/>
          <w:highlight w:val="none"/>
        </w:rPr>
        <w:br w:type="page"/>
      </w:r>
      <w:bookmarkStart w:id="99" w:name="_Toc14170"/>
      <w:bookmarkStart w:id="100" w:name="_Toc26238"/>
      <w:bookmarkStart w:id="101" w:name="_Toc7854"/>
      <w:bookmarkStart w:id="102" w:name="_Toc761"/>
      <w:bookmarkStart w:id="103" w:name="_Toc21066"/>
    </w:p>
    <w:p>
      <w:pPr>
        <w:adjustRightInd w:val="0"/>
        <w:snapToGrid w:val="0"/>
        <w:spacing w:line="560" w:lineRule="exact"/>
        <w:jc w:val="center"/>
        <w:outlineLvl w:val="0"/>
        <w:rPr>
          <w:rFonts w:ascii="宋体" w:hAnsi="宋体" w:cs="宋体"/>
          <w:b/>
          <w:snapToGrid w:val="0"/>
          <w:sz w:val="28"/>
          <w:szCs w:val="28"/>
          <w:highlight w:val="none"/>
        </w:rPr>
      </w:pPr>
      <w:r>
        <w:rPr>
          <w:rFonts w:hint="eastAsia" w:ascii="宋体" w:hAnsi="宋体" w:cs="宋体"/>
          <w:b/>
          <w:snapToGrid w:val="0"/>
          <w:sz w:val="28"/>
          <w:szCs w:val="28"/>
          <w:highlight w:val="none"/>
        </w:rPr>
        <w:t>企业负责人身份证明</w:t>
      </w:r>
    </w:p>
    <w:p>
      <w:pPr>
        <w:snapToGrid w:val="0"/>
        <w:spacing w:line="560" w:lineRule="exact"/>
        <w:jc w:val="center"/>
        <w:rPr>
          <w:rFonts w:ascii="宋体" w:hAnsi="宋体" w:cs="宋体"/>
          <w:szCs w:val="21"/>
          <w:highlight w:val="none"/>
        </w:rPr>
      </w:pPr>
      <w:r>
        <w:rPr>
          <w:rFonts w:hint="eastAsia" w:ascii="宋体" w:hAnsi="宋体" w:cs="宋体"/>
          <w:szCs w:val="21"/>
          <w:highlight w:val="none"/>
        </w:rPr>
        <w:t>（如为湖南省分公司参与投标的提供）</w:t>
      </w:r>
    </w:p>
    <w:p>
      <w:pPr>
        <w:autoSpaceDE w:val="0"/>
        <w:autoSpaceDN w:val="0"/>
        <w:adjustRightInd w:val="0"/>
        <w:snapToGrid w:val="0"/>
        <w:spacing w:before="120" w:beforeLines="50" w:line="360" w:lineRule="auto"/>
        <w:rPr>
          <w:rFonts w:ascii="宋体" w:hAnsi="宋体" w:cs="宋体"/>
          <w:szCs w:val="21"/>
          <w:highlight w:val="none"/>
          <w:u w:val="singl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注册号：</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注册地址：</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utoSpaceDE w:val="0"/>
        <w:autoSpaceDN w:val="0"/>
        <w:adjustRightInd w:val="0"/>
        <w:snapToGrid w:val="0"/>
        <w:spacing w:before="120" w:beforeLines="50" w:line="360" w:lineRule="auto"/>
        <w:rPr>
          <w:rFonts w:ascii="宋体" w:hAnsi="宋体" w:cs="宋体"/>
          <w:szCs w:val="21"/>
          <w:highlight w:val="none"/>
          <w:u w:val="singl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经营范围：</w:t>
      </w:r>
      <w:r>
        <w:rPr>
          <w:rFonts w:hint="eastAsia" w:ascii="宋体" w:hAnsi="宋体" w:cs="宋体"/>
          <w:szCs w:val="21"/>
          <w:highlight w:val="none"/>
          <w:u w:val="single"/>
        </w:rPr>
        <w:t xml:space="preserve">         </w:t>
      </w:r>
      <w:r>
        <w:rPr>
          <w:rFonts w:hint="eastAsia" w:ascii="宋体" w:hAnsi="宋体" w:cs="宋体"/>
          <w:szCs w:val="21"/>
          <w:highlight w:val="none"/>
        </w:rPr>
        <w:t>主营：</w:t>
      </w:r>
      <w:r>
        <w:rPr>
          <w:rFonts w:hint="eastAsia" w:ascii="宋体" w:hAnsi="宋体" w:cs="宋体"/>
          <w:szCs w:val="21"/>
          <w:highlight w:val="none"/>
          <w:u w:val="single"/>
        </w:rPr>
        <w:t xml:space="preserve">         </w:t>
      </w:r>
      <w:r>
        <w:rPr>
          <w:rFonts w:hint="eastAsia" w:ascii="宋体" w:hAnsi="宋体" w:cs="宋体"/>
          <w:szCs w:val="21"/>
          <w:highlight w:val="none"/>
        </w:rPr>
        <w:t xml:space="preserve"> ；兼营：</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（投标人名称）的企业负责人。</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特此证明。</w:t>
      </w:r>
    </w:p>
    <w:p>
      <w:pPr>
        <w:autoSpaceDE w:val="0"/>
        <w:autoSpaceDN w:val="0"/>
        <w:adjustRightInd w:val="0"/>
        <w:snapToGrid w:val="0"/>
        <w:spacing w:before="120" w:beforeLines="50" w:line="360" w:lineRule="auto"/>
        <w:rPr>
          <w:rFonts w:ascii="宋体" w:hAnsi="宋体" w:cs="宋体"/>
          <w:szCs w:val="21"/>
          <w:highlight w:val="none"/>
        </w:rPr>
      </w:pPr>
    </w:p>
    <w:p>
      <w:pPr>
        <w:snapToGrid w:val="0"/>
        <w:spacing w:line="560" w:lineRule="exact"/>
        <w:rPr>
          <w:rFonts w:ascii="宋体" w:hAnsi="宋体" w:cs="宋体"/>
          <w:szCs w:val="21"/>
          <w:highlight w:val="none"/>
        </w:rPr>
      </w:pPr>
      <w:r>
        <w:rPr>
          <w:rFonts w:hint="eastAsia" w:ascii="宋体" w:hAnsi="宋体" w:cs="宋体"/>
          <w:szCs w:val="21"/>
          <w:highlight w:val="none"/>
        </w:rPr>
        <w:t>附：企业负责人身份证原件扫描件及湖南省分公司营业执照原件扫描件（此附件为企业负责人身份证明的必要组成部分，无此附件的企业负责人身份证明无效。企业负责人身份证原件扫描件及湖南省分公司营业执照原件扫描件可另附页，另附时，原件扫描件须加盖单位公章。）</w:t>
      </w:r>
    </w:p>
    <w:p>
      <w:pPr>
        <w:adjustRightInd w:val="0"/>
        <w:snapToGrid w:val="0"/>
        <w:spacing w:before="120" w:beforeLines="50" w:line="360" w:lineRule="auto"/>
        <w:rPr>
          <w:rFonts w:ascii="宋体" w:hAnsi="宋体" w:cs="宋体"/>
          <w:szCs w:val="21"/>
          <w:highlight w:val="none"/>
        </w:rPr>
      </w:pPr>
    </w:p>
    <w:p>
      <w:pPr>
        <w:autoSpaceDE w:val="0"/>
        <w:autoSpaceDN w:val="0"/>
        <w:adjustRightInd w:val="0"/>
        <w:jc w:val="left"/>
        <w:rPr>
          <w:rFonts w:ascii="宋体" w:hAnsi="宋体" w:cs="宋体"/>
          <w:szCs w:val="21"/>
          <w:highlight w:val="none"/>
        </w:rPr>
      </w:pPr>
    </w:p>
    <w:p>
      <w:pPr>
        <w:autoSpaceDE w:val="0"/>
        <w:autoSpaceDN w:val="0"/>
        <w:adjustRightInd w:val="0"/>
        <w:jc w:val="left"/>
        <w:rPr>
          <w:rFonts w:ascii="宋体" w:hAnsi="宋体" w:cs="宋体"/>
          <w:szCs w:val="21"/>
          <w:highlight w:val="none"/>
        </w:rPr>
      </w:pPr>
    </w:p>
    <w:p>
      <w:pPr>
        <w:autoSpaceDE w:val="0"/>
        <w:autoSpaceDN w:val="0"/>
        <w:adjustRightInd w:val="0"/>
        <w:jc w:val="left"/>
        <w:rPr>
          <w:rFonts w:ascii="宋体" w:hAnsi="宋体" w:cs="宋体"/>
          <w:szCs w:val="21"/>
          <w:highlight w:val="none"/>
        </w:rPr>
      </w:pPr>
    </w:p>
    <w:p>
      <w:pPr>
        <w:adjustRightInd w:val="0"/>
        <w:snapToGrid w:val="0"/>
        <w:spacing w:before="120" w:beforeLines="50" w:line="360" w:lineRule="auto"/>
        <w:ind w:right="420"/>
        <w:rPr>
          <w:rFonts w:ascii="宋体" w:hAnsi="宋体" w:cs="宋体"/>
          <w:szCs w:val="21"/>
          <w:highlight w:val="none"/>
        </w:rPr>
      </w:pPr>
      <w:r>
        <w:rPr>
          <w:rFonts w:hint="eastAsia" w:ascii="宋体" w:hAnsi="宋体"/>
          <w:szCs w:val="21"/>
          <w:highlight w:val="none"/>
        </w:rPr>
        <w:t>谈判单位名称</w:t>
      </w:r>
      <w:r>
        <w:rPr>
          <w:rFonts w:hint="eastAsia" w:ascii="宋体" w:hAnsi="宋体" w:cs="宋体"/>
          <w:szCs w:val="21"/>
          <w:highlight w:val="none"/>
        </w:rPr>
        <w:t>(</w:t>
      </w:r>
      <w:r>
        <w:rPr>
          <w:rFonts w:hint="eastAsia" w:ascii="宋体" w:hAnsi="宋体"/>
          <w:szCs w:val="22"/>
          <w:highlight w:val="none"/>
        </w:rPr>
        <w:t>盖单位公章</w:t>
      </w:r>
      <w:r>
        <w:rPr>
          <w:rFonts w:hint="eastAsia" w:ascii="宋体" w:hAnsi="宋体" w:cs="宋体"/>
          <w:szCs w:val="21"/>
          <w:highlight w:val="none"/>
        </w:rPr>
        <w:t>)：</w:t>
      </w:r>
      <w:r>
        <w:rPr>
          <w:rFonts w:hint="eastAsia" w:ascii="宋体" w:hAnsi="宋体" w:cs="宋体"/>
          <w:kern w:val="0"/>
          <w:szCs w:val="21"/>
          <w:highlight w:val="none"/>
          <w:u w:val="single"/>
        </w:rPr>
        <w:t xml:space="preserve">        </w:t>
      </w:r>
    </w:p>
    <w:p>
      <w:pPr>
        <w:ind w:firstLine="840" w:firstLineChars="400"/>
        <w:rPr>
          <w:rFonts w:ascii="宋体" w:hAnsi="宋体" w:eastAsia="微软雅黑" w:cs="宋体"/>
          <w:sz w:val="28"/>
          <w:szCs w:val="28"/>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ind w:right="24" w:firstLine="480" w:firstLineChars="200"/>
        <w:jc w:val="both"/>
        <w:outlineLvl w:val="1"/>
        <w:rPr>
          <w:rFonts w:ascii="黑体" w:hAnsi="华文中宋" w:eastAsia="黑体"/>
          <w:bCs/>
          <w:sz w:val="24"/>
          <w:highlight w:val="none"/>
        </w:rPr>
      </w:pPr>
    </w:p>
    <w:p>
      <w:pPr>
        <w:adjustRightInd w:val="0"/>
        <w:snapToGrid w:val="0"/>
        <w:spacing w:line="360" w:lineRule="auto"/>
        <w:ind w:right="24" w:firstLine="480" w:firstLineChars="200"/>
        <w:jc w:val="both"/>
        <w:outlineLvl w:val="1"/>
        <w:rPr>
          <w:rFonts w:ascii="黑体" w:hAnsi="华文中宋" w:eastAsia="黑体"/>
          <w:bCs/>
          <w:sz w:val="24"/>
          <w:highlight w:val="none"/>
        </w:rPr>
      </w:pPr>
    </w:p>
    <w:p>
      <w:pPr>
        <w:adjustRightInd w:val="0"/>
        <w:snapToGrid w:val="0"/>
        <w:spacing w:line="360" w:lineRule="auto"/>
        <w:ind w:right="24" w:firstLine="480" w:firstLineChars="200"/>
        <w:jc w:val="both"/>
        <w:outlineLvl w:val="1"/>
        <w:rPr>
          <w:rFonts w:ascii="黑体" w:hAnsi="华文中宋" w:eastAsia="黑体"/>
          <w:bCs/>
          <w:sz w:val="24"/>
          <w:highlight w:val="none"/>
        </w:rPr>
      </w:pPr>
    </w:p>
    <w:p>
      <w:pPr>
        <w:adjustRightInd w:val="0"/>
        <w:snapToGrid w:val="0"/>
        <w:spacing w:line="360" w:lineRule="auto"/>
        <w:ind w:right="24" w:firstLine="643" w:firstLineChars="200"/>
        <w:jc w:val="both"/>
        <w:outlineLvl w:val="1"/>
        <w:rPr>
          <w:rFonts w:hint="eastAsia" w:ascii="宋体" w:hAnsi="宋体" w:cs="宋体"/>
          <w:b/>
          <w:sz w:val="32"/>
          <w:szCs w:val="32"/>
          <w:highlight w:val="none"/>
          <w:lang w:val="en-US" w:eastAsia="zh-CN"/>
        </w:rPr>
      </w:pPr>
    </w:p>
    <w:p>
      <w:pPr>
        <w:adjustRightInd w:val="0"/>
        <w:snapToGrid w:val="0"/>
        <w:spacing w:line="360" w:lineRule="auto"/>
        <w:ind w:right="24" w:firstLine="643" w:firstLineChars="200"/>
        <w:jc w:val="both"/>
        <w:outlineLvl w:val="1"/>
        <w:rPr>
          <w:rFonts w:hint="eastAsia" w:ascii="宋体" w:hAnsi="宋体" w:cs="宋体"/>
          <w:b/>
          <w:sz w:val="32"/>
          <w:szCs w:val="32"/>
          <w:highlight w:val="none"/>
          <w:lang w:val="en-US" w:eastAsia="zh-CN"/>
        </w:rPr>
      </w:pPr>
    </w:p>
    <w:p>
      <w:pPr>
        <w:adjustRightInd w:val="0"/>
        <w:snapToGrid w:val="0"/>
        <w:spacing w:line="360" w:lineRule="auto"/>
        <w:ind w:right="24" w:firstLine="643" w:firstLineChars="200"/>
        <w:jc w:val="both"/>
        <w:outlineLvl w:val="1"/>
        <w:rPr>
          <w:rFonts w:hint="eastAsia" w:ascii="宋体" w:hAnsi="宋体" w:cs="宋体"/>
          <w:b/>
          <w:sz w:val="32"/>
          <w:szCs w:val="32"/>
          <w:highlight w:val="none"/>
          <w:lang w:val="en-US" w:eastAsia="zh-CN"/>
        </w:rPr>
      </w:pPr>
    </w:p>
    <w:p>
      <w:pPr>
        <w:adjustRightInd w:val="0"/>
        <w:snapToGrid w:val="0"/>
        <w:spacing w:line="360" w:lineRule="auto"/>
        <w:ind w:right="24" w:firstLine="2891" w:firstLineChars="900"/>
        <w:jc w:val="both"/>
        <w:outlineLvl w:val="1"/>
        <w:rPr>
          <w:rFonts w:ascii="黑体" w:hAnsi="宋体" w:eastAsia="黑体"/>
          <w:b/>
          <w:sz w:val="32"/>
          <w:szCs w:val="32"/>
          <w:highlight w:val="none"/>
        </w:rPr>
      </w:pPr>
      <w:r>
        <w:rPr>
          <w:rFonts w:hint="eastAsia" w:ascii="宋体" w:hAnsi="宋体" w:cs="宋体"/>
          <w:b/>
          <w:sz w:val="32"/>
          <w:szCs w:val="32"/>
          <w:highlight w:val="none"/>
          <w:lang w:val="en-US" w:eastAsia="zh-CN"/>
        </w:rPr>
        <w:t>三、授权委托书</w:t>
      </w:r>
      <w:bookmarkEnd w:id="99"/>
      <w:bookmarkEnd w:id="100"/>
      <w:bookmarkEnd w:id="101"/>
      <w:bookmarkEnd w:id="102"/>
      <w:bookmarkEnd w:id="103"/>
    </w:p>
    <w:p>
      <w:pPr>
        <w:spacing w:line="360" w:lineRule="auto"/>
        <w:ind w:firstLine="2730" w:firstLineChars="1300"/>
        <w:jc w:val="both"/>
        <w:rPr>
          <w:rFonts w:ascii="宋体" w:hAnsi="宋体" w:cs="宋体"/>
          <w:szCs w:val="21"/>
          <w:highlight w:val="none"/>
        </w:rPr>
      </w:pPr>
      <w:bookmarkStart w:id="104" w:name="_Toc11357"/>
      <w:bookmarkStart w:id="105" w:name="_Toc5450"/>
      <w:bookmarkStart w:id="106" w:name="_Toc2295"/>
      <w:bookmarkStart w:id="107" w:name="_Toc18944"/>
      <w:bookmarkStart w:id="108" w:name="_Toc19252"/>
      <w:r>
        <w:rPr>
          <w:rFonts w:hint="eastAsia" w:ascii="宋体" w:hAnsi="宋体" w:cs="宋体"/>
          <w:szCs w:val="21"/>
          <w:highlight w:val="none"/>
        </w:rPr>
        <w:t>（总公司参与投标的须提供）</w:t>
      </w:r>
    </w:p>
    <w:p>
      <w:pPr>
        <w:spacing w:line="360" w:lineRule="auto"/>
        <w:ind w:firstLine="480"/>
        <w:rPr>
          <w:rFonts w:hint="eastAsia" w:ascii="宋体" w:hAnsi="宋体" w:cs="宋体"/>
          <w:szCs w:val="21"/>
          <w:highlight w:val="none"/>
        </w:rPr>
      </w:pPr>
    </w:p>
    <w:p>
      <w:pPr>
        <w:spacing w:line="360" w:lineRule="auto"/>
        <w:ind w:firstLine="480"/>
        <w:rPr>
          <w:rFonts w:ascii="宋体" w:hAnsi="宋体" w:cs="宋体"/>
          <w:szCs w:val="21"/>
          <w:highlight w:val="none"/>
        </w:rPr>
      </w:pPr>
      <w:r>
        <w:rPr>
          <w:rFonts w:hint="eastAsia" w:ascii="宋体" w:hAnsi="宋体" w:cs="宋体"/>
          <w:szCs w:val="21"/>
          <w:highlight w:val="none"/>
        </w:rPr>
        <w:t>本授权委托书声明：我</w:t>
      </w:r>
      <w:r>
        <w:rPr>
          <w:rFonts w:hint="eastAsia" w:ascii="宋体" w:hAnsi="宋体" w:cs="宋体"/>
          <w:szCs w:val="21"/>
          <w:highlight w:val="none"/>
          <w:u w:val="single"/>
        </w:rPr>
        <w:t xml:space="preserve">         （姓名） </w:t>
      </w:r>
      <w:r>
        <w:rPr>
          <w:rFonts w:hint="eastAsia" w:ascii="宋体" w:hAnsi="宋体" w:cs="宋体"/>
          <w:szCs w:val="21"/>
          <w:highlight w:val="none"/>
        </w:rPr>
        <w:t xml:space="preserve">系 </w:t>
      </w:r>
      <w:r>
        <w:rPr>
          <w:rFonts w:hint="eastAsia" w:ascii="宋体" w:hAnsi="宋体" w:cs="宋体"/>
          <w:szCs w:val="21"/>
          <w:highlight w:val="none"/>
          <w:u w:val="single"/>
        </w:rPr>
        <w:t xml:space="preserve">         （法人单位名称）</w:t>
      </w:r>
      <w:r>
        <w:rPr>
          <w:rFonts w:hint="eastAsia" w:ascii="宋体" w:hAnsi="宋体" w:cs="宋体"/>
          <w:szCs w:val="21"/>
          <w:highlight w:val="none"/>
        </w:rPr>
        <w:t xml:space="preserve">的法定代表人，现授权委托 </w:t>
      </w:r>
      <w:r>
        <w:rPr>
          <w:rFonts w:hint="eastAsia" w:ascii="宋体" w:hAnsi="宋体" w:cs="宋体"/>
          <w:szCs w:val="21"/>
          <w:highlight w:val="none"/>
          <w:u w:val="single"/>
        </w:rPr>
        <w:t xml:space="preserve">            （单位名称）</w:t>
      </w:r>
      <w:r>
        <w:rPr>
          <w:rFonts w:hint="eastAsia" w:ascii="宋体" w:hAnsi="宋体" w:cs="宋体"/>
          <w:szCs w:val="21"/>
          <w:highlight w:val="none"/>
        </w:rPr>
        <w:t>的</w:t>
      </w:r>
      <w:r>
        <w:rPr>
          <w:rFonts w:hint="eastAsia" w:ascii="宋体" w:hAnsi="宋体" w:cs="宋体"/>
          <w:szCs w:val="21"/>
          <w:highlight w:val="none"/>
          <w:u w:val="single"/>
        </w:rPr>
        <w:t xml:space="preserve">          (被授权人姓名)</w:t>
      </w:r>
      <w:r>
        <w:rPr>
          <w:rFonts w:hint="eastAsia" w:ascii="宋体" w:hAnsi="宋体" w:cs="宋体"/>
          <w:szCs w:val="21"/>
          <w:highlight w:val="none"/>
        </w:rPr>
        <w:t>为我公司代理人，以我公司的名义参加</w:t>
      </w:r>
      <w:r>
        <w:rPr>
          <w:rFonts w:hint="eastAsia" w:ascii="宋体" w:hAnsi="宋体" w:cs="宋体"/>
          <w:iCs/>
          <w:szCs w:val="21"/>
          <w:highlight w:val="none"/>
          <w:u w:val="single"/>
          <w:lang w:val="en-US" w:eastAsia="zh-CN"/>
        </w:rPr>
        <w:t>长沙市轨道交通4号线运营期2022年交通运输行业安全生产责任保险服务项目（第二次）</w:t>
      </w:r>
      <w:r>
        <w:rPr>
          <w:rFonts w:hint="eastAsia" w:ascii="宋体" w:hAnsi="宋体" w:cs="宋体"/>
          <w:szCs w:val="21"/>
          <w:highlight w:val="none"/>
        </w:rPr>
        <w:t xml:space="preserve">的投标活动；并授权委托 </w:t>
      </w:r>
      <w:r>
        <w:rPr>
          <w:rFonts w:hint="eastAsia" w:ascii="宋体" w:hAnsi="宋体" w:cs="宋体"/>
          <w:szCs w:val="21"/>
          <w:highlight w:val="none"/>
          <w:u w:val="single"/>
        </w:rPr>
        <w:t xml:space="preserve">             （湖南</w:t>
      </w:r>
      <w:r>
        <w:rPr>
          <w:rFonts w:hint="eastAsia" w:ascii="宋体" w:hAnsi="宋体" w:cs="宋体"/>
          <w:szCs w:val="21"/>
          <w:highlight w:val="none"/>
          <w:u w:val="single"/>
          <w:lang w:eastAsia="zh-CN"/>
        </w:rPr>
        <w:t>省级</w:t>
      </w:r>
      <w:r>
        <w:rPr>
          <w:rFonts w:hint="eastAsia" w:ascii="宋体" w:hAnsi="宋体" w:cs="宋体"/>
          <w:szCs w:val="21"/>
          <w:highlight w:val="none"/>
          <w:u w:val="single"/>
        </w:rPr>
        <w:t>分公司名称）</w:t>
      </w:r>
      <w:r>
        <w:rPr>
          <w:rFonts w:hint="eastAsia" w:ascii="宋体" w:hAnsi="宋体" w:cs="宋体"/>
          <w:szCs w:val="21"/>
          <w:highlight w:val="none"/>
        </w:rPr>
        <w:t>负责处理合同谈判、合同签订、投保、保险理赔等保险期间服务等相关事宜。</w:t>
      </w:r>
      <w:r>
        <w:rPr>
          <w:rFonts w:hint="eastAsia" w:ascii="宋体" w:hAnsi="宋体" w:cs="宋体"/>
          <w:szCs w:val="21"/>
          <w:highlight w:val="none"/>
          <w:u w:val="single"/>
        </w:rPr>
        <w:t xml:space="preserve">              (被授权人姓名)      </w:t>
      </w:r>
      <w:r>
        <w:rPr>
          <w:rFonts w:hint="eastAsia" w:ascii="宋体" w:hAnsi="宋体" w:cs="宋体"/>
          <w:szCs w:val="21"/>
          <w:highlight w:val="none"/>
        </w:rPr>
        <w:t>及</w:t>
      </w:r>
      <w:r>
        <w:rPr>
          <w:rFonts w:hint="eastAsia" w:ascii="宋体" w:hAnsi="宋体" w:cs="宋体"/>
          <w:szCs w:val="21"/>
          <w:highlight w:val="none"/>
          <w:u w:val="single"/>
        </w:rPr>
        <w:t xml:space="preserve">             （湖南</w:t>
      </w:r>
      <w:r>
        <w:rPr>
          <w:rFonts w:hint="eastAsia" w:ascii="宋体" w:hAnsi="宋体" w:cs="宋体"/>
          <w:szCs w:val="21"/>
          <w:highlight w:val="none"/>
          <w:u w:val="single"/>
          <w:lang w:eastAsia="zh-CN"/>
        </w:rPr>
        <w:t>省级</w:t>
      </w:r>
      <w:r>
        <w:rPr>
          <w:rFonts w:hint="eastAsia" w:ascii="宋体" w:hAnsi="宋体" w:cs="宋体"/>
          <w:szCs w:val="21"/>
          <w:highlight w:val="none"/>
          <w:u w:val="single"/>
        </w:rPr>
        <w:t>分公司名称）</w:t>
      </w:r>
      <w:r>
        <w:rPr>
          <w:rFonts w:hint="eastAsia" w:ascii="宋体" w:hAnsi="宋体" w:cs="宋体"/>
          <w:szCs w:val="21"/>
          <w:highlight w:val="none"/>
        </w:rPr>
        <w:t>在投标、开标、评标、合同谈判、合同签订、投保、保险理赔等过程中所签署的一切文件和处理与之有关的一切事务，我均予以承认。</w:t>
      </w:r>
    </w:p>
    <w:p>
      <w:pPr>
        <w:spacing w:line="360" w:lineRule="auto"/>
        <w:ind w:firstLine="480"/>
        <w:rPr>
          <w:rFonts w:ascii="宋体" w:hAnsi="宋体" w:cs="宋体"/>
          <w:szCs w:val="21"/>
          <w:highlight w:val="none"/>
        </w:rPr>
      </w:pP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委托期限：自本委托书签发之日起，至委托书内委托事项全部完成止 。</w:t>
      </w: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代理人无转委托权。</w:t>
      </w: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w:t>
      </w:r>
    </w:p>
    <w:p>
      <w:pPr>
        <w:spacing w:line="360" w:lineRule="auto"/>
        <w:ind w:right="105" w:firstLine="420" w:firstLineChars="200"/>
        <w:rPr>
          <w:rFonts w:ascii="宋体" w:hAnsi="宋体" w:cs="宋体"/>
          <w:szCs w:val="21"/>
          <w:highlight w:val="none"/>
        </w:rPr>
      </w:pP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附：委托代理人身份证原件扫描件（此附件为授权委托书的必要组成部分，无此附件的委托授权书无效。委托代理人身份证原件扫描件可另附页，另附时，原件扫描件须加盖单位公章。）</w:t>
      </w:r>
    </w:p>
    <w:p>
      <w:pPr>
        <w:spacing w:line="360" w:lineRule="auto"/>
        <w:ind w:right="105" w:firstLine="420" w:firstLineChars="200"/>
        <w:rPr>
          <w:rFonts w:ascii="宋体" w:hAnsi="宋体" w:cs="宋体"/>
          <w:szCs w:val="21"/>
          <w:highlight w:val="none"/>
        </w:rPr>
      </w:pPr>
    </w:p>
    <w:p>
      <w:pPr>
        <w:adjustRightInd w:val="0"/>
        <w:snapToGrid w:val="0"/>
        <w:spacing w:before="120" w:beforeLines="50" w:line="360" w:lineRule="auto"/>
        <w:rPr>
          <w:rFonts w:ascii="宋体" w:hAnsi="宋体" w:eastAsia="微软雅黑"/>
          <w:szCs w:val="21"/>
          <w:highlight w:val="none"/>
        </w:rPr>
      </w:pPr>
    </w:p>
    <w:p>
      <w:pPr>
        <w:autoSpaceDE w:val="0"/>
        <w:autoSpaceDN w:val="0"/>
        <w:adjustRightInd w:val="0"/>
        <w:jc w:val="left"/>
        <w:rPr>
          <w:rFonts w:ascii="宋体" w:hAnsi="宋体" w:eastAsia="黑体" w:cs="黑体"/>
          <w:kern w:val="0"/>
          <w:sz w:val="24"/>
          <w:szCs w:val="21"/>
          <w:highlight w:val="none"/>
        </w:rPr>
      </w:pPr>
    </w:p>
    <w:p>
      <w:pPr>
        <w:autoSpaceDE w:val="0"/>
        <w:autoSpaceDN w:val="0"/>
        <w:adjustRightInd w:val="0"/>
        <w:jc w:val="left"/>
        <w:rPr>
          <w:rFonts w:ascii="宋体" w:hAnsi="宋体" w:eastAsia="黑体" w:cs="黑体"/>
          <w:kern w:val="0"/>
          <w:sz w:val="24"/>
          <w:szCs w:val="21"/>
          <w:highlight w:val="none"/>
        </w:rPr>
      </w:pPr>
    </w:p>
    <w:p>
      <w:pPr>
        <w:spacing w:line="360" w:lineRule="auto"/>
        <w:ind w:firstLine="480"/>
        <w:rPr>
          <w:rFonts w:ascii="宋体" w:hAnsi="宋体"/>
          <w:szCs w:val="22"/>
          <w:highlight w:val="none"/>
          <w:u w:val="single"/>
        </w:rPr>
      </w:pPr>
      <w:r>
        <w:rPr>
          <w:rFonts w:hint="eastAsia" w:ascii="宋体" w:hAnsi="宋体"/>
          <w:szCs w:val="22"/>
          <w:highlight w:val="none"/>
        </w:rPr>
        <w:t>法人单位名称（盖单位公章）：</w:t>
      </w:r>
      <w:r>
        <w:rPr>
          <w:rFonts w:hint="eastAsia" w:ascii="宋体" w:hAnsi="宋体"/>
          <w:szCs w:val="22"/>
          <w:highlight w:val="none"/>
          <w:u w:val="single"/>
        </w:rPr>
        <w:t xml:space="preserve">        </w:t>
      </w:r>
    </w:p>
    <w:p>
      <w:pPr>
        <w:spacing w:line="360" w:lineRule="auto"/>
        <w:ind w:firstLine="480"/>
        <w:rPr>
          <w:rFonts w:ascii="宋体" w:hAnsi="宋体"/>
          <w:szCs w:val="22"/>
          <w:highlight w:val="none"/>
        </w:rPr>
      </w:pPr>
      <w:r>
        <w:rPr>
          <w:rFonts w:hint="eastAsia" w:ascii="宋体" w:hAnsi="宋体"/>
          <w:szCs w:val="22"/>
          <w:highlight w:val="none"/>
        </w:rPr>
        <w:t>法定代表人（签字或盖章）：</w:t>
      </w:r>
      <w:r>
        <w:rPr>
          <w:rFonts w:hint="eastAsia" w:ascii="宋体" w:hAnsi="宋体"/>
          <w:szCs w:val="22"/>
          <w:highlight w:val="none"/>
          <w:u w:val="single"/>
        </w:rPr>
        <w:t xml:space="preserve">        </w:t>
      </w:r>
      <w:r>
        <w:rPr>
          <w:rFonts w:hint="eastAsia" w:ascii="宋体" w:hAnsi="宋体"/>
          <w:szCs w:val="22"/>
          <w:highlight w:val="none"/>
        </w:rPr>
        <w:t xml:space="preserve">             </w:t>
      </w:r>
    </w:p>
    <w:p>
      <w:pPr>
        <w:spacing w:line="360" w:lineRule="auto"/>
        <w:ind w:firstLine="480"/>
        <w:rPr>
          <w:rFonts w:ascii="宋体" w:hAnsi="宋体"/>
          <w:szCs w:val="22"/>
          <w:highlight w:val="none"/>
        </w:rPr>
      </w:pPr>
      <w:r>
        <w:rPr>
          <w:rFonts w:hint="eastAsia" w:ascii="宋体" w:hAnsi="宋体"/>
          <w:szCs w:val="22"/>
          <w:highlight w:val="none"/>
        </w:rPr>
        <w:t>委托代理人（签字或盖章）：</w:t>
      </w:r>
      <w:r>
        <w:rPr>
          <w:rFonts w:hint="eastAsia" w:ascii="宋体" w:hAnsi="宋体"/>
          <w:szCs w:val="22"/>
          <w:highlight w:val="none"/>
          <w:u w:val="single"/>
        </w:rPr>
        <w:t xml:space="preserve">        </w:t>
      </w:r>
      <w:r>
        <w:rPr>
          <w:rFonts w:hint="eastAsia" w:ascii="宋体" w:hAnsi="宋体"/>
          <w:szCs w:val="22"/>
          <w:highlight w:val="none"/>
        </w:rPr>
        <w:t xml:space="preserve">            </w:t>
      </w:r>
    </w:p>
    <w:p>
      <w:pPr>
        <w:spacing w:line="360" w:lineRule="auto"/>
        <w:ind w:firstLine="480"/>
        <w:rPr>
          <w:rFonts w:ascii="宋体" w:hAnsi="宋体"/>
          <w:szCs w:val="22"/>
          <w:highlight w:val="none"/>
        </w:rPr>
      </w:pPr>
      <w:r>
        <w:rPr>
          <w:rFonts w:hint="eastAsia" w:ascii="宋体" w:hAnsi="宋体"/>
          <w:szCs w:val="22"/>
          <w:highlight w:val="none"/>
        </w:rPr>
        <w:t xml:space="preserve">   </w:t>
      </w:r>
      <w:r>
        <w:rPr>
          <w:rFonts w:hint="eastAsia" w:ascii="宋体" w:hAnsi="宋体"/>
          <w:szCs w:val="22"/>
          <w:highlight w:val="none"/>
          <w:u w:val="single"/>
        </w:rPr>
        <w:t xml:space="preserve">        </w:t>
      </w:r>
      <w:r>
        <w:rPr>
          <w:rFonts w:hint="eastAsia" w:ascii="宋体" w:hAnsi="宋体"/>
          <w:szCs w:val="22"/>
          <w:highlight w:val="none"/>
        </w:rPr>
        <w:t>年</w:t>
      </w:r>
      <w:r>
        <w:rPr>
          <w:rFonts w:hint="eastAsia" w:ascii="宋体" w:hAnsi="宋体"/>
          <w:szCs w:val="22"/>
          <w:highlight w:val="none"/>
          <w:u w:val="single"/>
        </w:rPr>
        <w:t xml:space="preserve">        </w:t>
      </w:r>
      <w:r>
        <w:rPr>
          <w:rFonts w:hint="eastAsia" w:ascii="宋体" w:hAnsi="宋体"/>
          <w:szCs w:val="22"/>
          <w:highlight w:val="none"/>
        </w:rPr>
        <w:t>月</w:t>
      </w:r>
      <w:r>
        <w:rPr>
          <w:rFonts w:hint="eastAsia" w:ascii="宋体" w:hAnsi="宋体"/>
          <w:szCs w:val="22"/>
          <w:highlight w:val="none"/>
          <w:u w:val="single"/>
        </w:rPr>
        <w:t xml:space="preserve">        </w:t>
      </w:r>
      <w:r>
        <w:rPr>
          <w:rFonts w:hint="eastAsia" w:ascii="宋体" w:hAnsi="宋体"/>
          <w:szCs w:val="22"/>
          <w:highlight w:val="none"/>
        </w:rPr>
        <w:t>日</w:t>
      </w:r>
      <w:bookmarkStart w:id="109" w:name="_Toc294206747"/>
      <w:bookmarkStart w:id="110" w:name="_Toc294186064"/>
    </w:p>
    <w:bookmarkEnd w:id="109"/>
    <w:bookmarkEnd w:id="110"/>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firstLine="2891" w:firstLineChars="900"/>
        <w:jc w:val="both"/>
        <w:outlineLvl w:val="1"/>
        <w:rPr>
          <w:rFonts w:hint="eastAsia" w:ascii="宋体" w:hAnsi="宋体" w:cs="宋体"/>
          <w:b/>
          <w:sz w:val="32"/>
          <w:szCs w:val="32"/>
          <w:highlight w:val="none"/>
          <w:lang w:val="en-US" w:eastAsia="zh-CN"/>
        </w:rPr>
      </w:pPr>
      <w:r>
        <w:rPr>
          <w:rFonts w:hint="eastAsia" w:ascii="宋体" w:hAnsi="宋体" w:cs="宋体"/>
          <w:b/>
          <w:sz w:val="32"/>
          <w:szCs w:val="32"/>
          <w:highlight w:val="none"/>
          <w:lang w:val="en-US" w:eastAsia="zh-CN"/>
        </w:rPr>
        <w:t>三、授权委托书</w:t>
      </w:r>
    </w:p>
    <w:p>
      <w:pPr>
        <w:spacing w:line="360" w:lineRule="auto"/>
        <w:ind w:firstLine="2364" w:firstLineChars="1126"/>
        <w:jc w:val="both"/>
        <w:rPr>
          <w:rFonts w:ascii="宋体" w:hAnsi="宋体" w:cs="宋体"/>
          <w:szCs w:val="21"/>
          <w:highlight w:val="none"/>
        </w:rPr>
      </w:pPr>
      <w:bookmarkStart w:id="111" w:name="_Toc2778598"/>
      <w:r>
        <w:rPr>
          <w:rFonts w:hint="eastAsia" w:ascii="宋体" w:hAnsi="宋体" w:cs="宋体"/>
          <w:szCs w:val="21"/>
          <w:highlight w:val="none"/>
        </w:rPr>
        <w:t>（湖南省分公司参与投标的须提供）</w:t>
      </w:r>
      <w:bookmarkEnd w:id="111"/>
    </w:p>
    <w:p>
      <w:pPr>
        <w:spacing w:line="360" w:lineRule="auto"/>
        <w:ind w:firstLine="480"/>
        <w:rPr>
          <w:rFonts w:ascii="宋体" w:hAnsi="宋体" w:cs="宋体"/>
          <w:szCs w:val="21"/>
          <w:highlight w:val="none"/>
        </w:rPr>
      </w:pPr>
      <w:r>
        <w:rPr>
          <w:rFonts w:hint="eastAsia" w:ascii="宋体" w:hAnsi="宋体" w:cs="宋体"/>
          <w:szCs w:val="21"/>
          <w:highlight w:val="none"/>
        </w:rPr>
        <w:t>本授权委托书声明：我</w:t>
      </w:r>
      <w:r>
        <w:rPr>
          <w:rFonts w:hint="eastAsia" w:ascii="宋体" w:hAnsi="宋体" w:cs="宋体"/>
          <w:szCs w:val="21"/>
          <w:highlight w:val="none"/>
          <w:u w:val="single"/>
        </w:rPr>
        <w:t xml:space="preserve">          （姓名）</w:t>
      </w:r>
      <w:r>
        <w:rPr>
          <w:rFonts w:hint="eastAsia" w:ascii="宋体" w:hAnsi="宋体" w:cs="宋体"/>
          <w:szCs w:val="21"/>
          <w:highlight w:val="none"/>
        </w:rPr>
        <w:t xml:space="preserve">系 </w:t>
      </w:r>
      <w:r>
        <w:rPr>
          <w:rFonts w:hint="eastAsia" w:ascii="宋体" w:hAnsi="宋体" w:cs="宋体"/>
          <w:szCs w:val="21"/>
          <w:highlight w:val="none"/>
          <w:u w:val="single"/>
        </w:rPr>
        <w:t xml:space="preserve">            （法人单位名称）</w:t>
      </w:r>
      <w:r>
        <w:rPr>
          <w:rFonts w:hint="eastAsia" w:ascii="宋体" w:hAnsi="宋体" w:cs="宋体"/>
          <w:szCs w:val="21"/>
          <w:highlight w:val="none"/>
        </w:rPr>
        <w:t>的法定代表人，现授权委托</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的</w:t>
      </w:r>
      <w:r>
        <w:rPr>
          <w:rFonts w:hint="eastAsia" w:ascii="宋体" w:hAnsi="宋体" w:cs="宋体"/>
          <w:szCs w:val="21"/>
          <w:highlight w:val="none"/>
          <w:u w:val="single"/>
        </w:rPr>
        <w:t xml:space="preserve">              (被授权人姓名)</w:t>
      </w:r>
      <w:r>
        <w:rPr>
          <w:rFonts w:hint="eastAsia" w:ascii="宋体" w:hAnsi="宋体" w:cs="宋体"/>
          <w:szCs w:val="21"/>
          <w:highlight w:val="none"/>
        </w:rPr>
        <w:t>为我公司代理人，以我公司的名义参加</w:t>
      </w:r>
      <w:r>
        <w:rPr>
          <w:rFonts w:hint="eastAsia" w:ascii="宋体" w:hAnsi="宋体" w:cs="宋体"/>
          <w:iCs/>
          <w:szCs w:val="21"/>
          <w:highlight w:val="none"/>
          <w:u w:val="single"/>
          <w:lang w:val="en-US" w:eastAsia="zh-CN"/>
        </w:rPr>
        <w:t>长沙市轨道交通4号线运营期2022年交通运输行业安全生产责任保险服务项目（第二次）</w:t>
      </w:r>
      <w:r>
        <w:rPr>
          <w:rFonts w:hint="eastAsia" w:ascii="宋体" w:hAnsi="宋体" w:cs="宋体"/>
          <w:szCs w:val="21"/>
          <w:highlight w:val="none"/>
        </w:rPr>
        <w:t xml:space="preserve">的投标活动；并授权委托  </w:t>
      </w:r>
      <w:r>
        <w:rPr>
          <w:rFonts w:hint="eastAsia" w:ascii="宋体" w:hAnsi="宋体" w:cs="宋体"/>
          <w:szCs w:val="21"/>
          <w:highlight w:val="none"/>
          <w:u w:val="single"/>
        </w:rPr>
        <w:t xml:space="preserve">            （湖南</w:t>
      </w:r>
      <w:r>
        <w:rPr>
          <w:rFonts w:hint="eastAsia" w:ascii="宋体" w:hAnsi="宋体" w:cs="宋体"/>
          <w:szCs w:val="21"/>
          <w:highlight w:val="none"/>
          <w:u w:val="single"/>
          <w:lang w:eastAsia="zh-CN"/>
        </w:rPr>
        <w:t>省级</w:t>
      </w:r>
      <w:r>
        <w:rPr>
          <w:rFonts w:hint="eastAsia" w:ascii="宋体" w:hAnsi="宋体" w:cs="宋体"/>
          <w:szCs w:val="21"/>
          <w:highlight w:val="none"/>
          <w:u w:val="single"/>
        </w:rPr>
        <w:t>分公司名称）</w:t>
      </w:r>
      <w:r>
        <w:rPr>
          <w:rFonts w:hint="eastAsia" w:ascii="宋体" w:hAnsi="宋体" w:cs="宋体"/>
          <w:szCs w:val="21"/>
          <w:highlight w:val="none"/>
        </w:rPr>
        <w:t>负责处理合同谈判、合同签订、投保、保险理赔等保险期间服务等相关事宜。</w:t>
      </w:r>
      <w:r>
        <w:rPr>
          <w:rFonts w:hint="eastAsia" w:ascii="宋体" w:hAnsi="宋体" w:cs="宋体"/>
          <w:szCs w:val="21"/>
          <w:highlight w:val="none"/>
          <w:u w:val="single"/>
        </w:rPr>
        <w:t xml:space="preserve">             (被授权人姓名)</w:t>
      </w:r>
      <w:r>
        <w:rPr>
          <w:rFonts w:hint="eastAsia" w:ascii="宋体" w:hAnsi="宋体" w:cs="宋体"/>
          <w:szCs w:val="21"/>
          <w:highlight w:val="none"/>
        </w:rPr>
        <w:t>及</w:t>
      </w:r>
      <w:r>
        <w:rPr>
          <w:rFonts w:hint="eastAsia" w:ascii="宋体" w:hAnsi="宋体" w:cs="宋体"/>
          <w:szCs w:val="21"/>
          <w:highlight w:val="none"/>
          <w:u w:val="single"/>
        </w:rPr>
        <w:t xml:space="preserve">            （湖南</w:t>
      </w:r>
      <w:r>
        <w:rPr>
          <w:rFonts w:hint="eastAsia" w:ascii="宋体" w:hAnsi="宋体" w:cs="宋体"/>
          <w:szCs w:val="21"/>
          <w:highlight w:val="none"/>
          <w:u w:val="single"/>
          <w:lang w:eastAsia="zh-CN"/>
        </w:rPr>
        <w:t>省级</w:t>
      </w:r>
      <w:r>
        <w:rPr>
          <w:rFonts w:hint="eastAsia" w:ascii="宋体" w:hAnsi="宋体" w:cs="宋体"/>
          <w:szCs w:val="21"/>
          <w:highlight w:val="none"/>
          <w:u w:val="single"/>
        </w:rPr>
        <w:t>分公司名称）</w:t>
      </w:r>
      <w:r>
        <w:rPr>
          <w:rFonts w:hint="eastAsia" w:ascii="宋体" w:hAnsi="宋体" w:cs="宋体"/>
          <w:szCs w:val="21"/>
          <w:highlight w:val="none"/>
        </w:rPr>
        <w:t>在投标、开标、评标、合同谈判、合同签订、投保、保险理赔等过程中所签署的一切文件和处理与之有关的一切事务，我均予以承认。</w:t>
      </w: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委托期限：自本委托书签发之日起，至委托书内委托事项全部完成止 。</w:t>
      </w: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代理人无转委托权。</w:t>
      </w: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w:t>
      </w:r>
    </w:p>
    <w:p>
      <w:pPr>
        <w:spacing w:line="360" w:lineRule="auto"/>
        <w:ind w:right="105" w:firstLine="420" w:firstLineChars="200"/>
        <w:rPr>
          <w:rFonts w:ascii="宋体" w:hAnsi="宋体" w:cs="宋体"/>
          <w:szCs w:val="21"/>
          <w:highlight w:val="none"/>
        </w:rPr>
      </w:pP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附：委托代理人身份证原件扫描件（此附件为授权委托书的必要组成部分，无此附件的委托授权书无效。委托代理人身份证原件扫描件可另附页，另附时，原件扫描件须加盖单位公章。）</w:t>
      </w:r>
    </w:p>
    <w:p>
      <w:pPr>
        <w:spacing w:line="360" w:lineRule="auto"/>
        <w:ind w:right="105" w:firstLine="420" w:firstLineChars="200"/>
        <w:rPr>
          <w:rFonts w:ascii="宋体" w:hAnsi="宋体" w:cs="宋体"/>
          <w:szCs w:val="21"/>
          <w:highlight w:val="none"/>
        </w:rPr>
      </w:pPr>
    </w:p>
    <w:p>
      <w:pPr>
        <w:spacing w:line="360" w:lineRule="auto"/>
        <w:ind w:right="105" w:firstLine="420" w:firstLineChars="200"/>
        <w:rPr>
          <w:rFonts w:ascii="宋体" w:hAnsi="宋体" w:cs="宋体"/>
          <w:szCs w:val="21"/>
          <w:highlight w:val="none"/>
        </w:rPr>
      </w:pPr>
    </w:p>
    <w:p>
      <w:pPr>
        <w:spacing w:line="360" w:lineRule="auto"/>
        <w:ind w:firstLine="480"/>
        <w:rPr>
          <w:rFonts w:ascii="宋体" w:hAnsi="宋体"/>
          <w:szCs w:val="22"/>
          <w:highlight w:val="none"/>
          <w:u w:val="single"/>
        </w:rPr>
      </w:pPr>
      <w:r>
        <w:rPr>
          <w:rFonts w:hint="eastAsia" w:ascii="宋体" w:hAnsi="宋体"/>
          <w:szCs w:val="22"/>
          <w:highlight w:val="none"/>
        </w:rPr>
        <w:t>法人单位名称（盖单位公章）：</w:t>
      </w:r>
      <w:r>
        <w:rPr>
          <w:rFonts w:hint="eastAsia" w:ascii="宋体" w:hAnsi="宋体"/>
          <w:szCs w:val="22"/>
          <w:highlight w:val="none"/>
          <w:u w:val="single"/>
        </w:rPr>
        <w:t xml:space="preserve">        </w:t>
      </w:r>
    </w:p>
    <w:p>
      <w:pPr>
        <w:spacing w:line="360" w:lineRule="auto"/>
        <w:ind w:firstLine="480"/>
        <w:rPr>
          <w:rFonts w:ascii="宋体" w:hAnsi="宋体"/>
          <w:szCs w:val="22"/>
          <w:highlight w:val="none"/>
        </w:rPr>
      </w:pPr>
      <w:r>
        <w:rPr>
          <w:rFonts w:hint="eastAsia" w:ascii="宋体" w:hAnsi="宋体"/>
          <w:szCs w:val="22"/>
          <w:highlight w:val="none"/>
        </w:rPr>
        <w:t>法定代表人（签字或盖章）：</w:t>
      </w:r>
      <w:r>
        <w:rPr>
          <w:rFonts w:hint="eastAsia" w:ascii="宋体" w:hAnsi="宋体"/>
          <w:szCs w:val="22"/>
          <w:highlight w:val="none"/>
          <w:u w:val="single"/>
        </w:rPr>
        <w:t xml:space="preserve">        </w:t>
      </w:r>
      <w:r>
        <w:rPr>
          <w:rFonts w:hint="eastAsia" w:ascii="宋体" w:hAnsi="宋体"/>
          <w:szCs w:val="22"/>
          <w:highlight w:val="none"/>
        </w:rPr>
        <w:t xml:space="preserve">             </w:t>
      </w:r>
    </w:p>
    <w:p>
      <w:pPr>
        <w:spacing w:line="360" w:lineRule="auto"/>
        <w:ind w:firstLine="480"/>
        <w:rPr>
          <w:rFonts w:ascii="宋体" w:hAnsi="宋体"/>
          <w:szCs w:val="22"/>
          <w:highlight w:val="none"/>
        </w:rPr>
      </w:pPr>
      <w:r>
        <w:rPr>
          <w:rFonts w:hint="eastAsia" w:ascii="宋体" w:hAnsi="宋体"/>
          <w:szCs w:val="22"/>
          <w:highlight w:val="none"/>
        </w:rPr>
        <w:t>委托代理人（签字或盖章）：</w:t>
      </w:r>
      <w:r>
        <w:rPr>
          <w:rFonts w:hint="eastAsia" w:ascii="宋体" w:hAnsi="宋体"/>
          <w:szCs w:val="22"/>
          <w:highlight w:val="none"/>
          <w:u w:val="single"/>
        </w:rPr>
        <w:t xml:space="preserve">        </w:t>
      </w:r>
      <w:r>
        <w:rPr>
          <w:rFonts w:hint="eastAsia" w:ascii="宋体" w:hAnsi="宋体"/>
          <w:szCs w:val="22"/>
          <w:highlight w:val="none"/>
        </w:rPr>
        <w:t xml:space="preserve">            </w:t>
      </w:r>
    </w:p>
    <w:p>
      <w:pPr>
        <w:spacing w:line="360" w:lineRule="auto"/>
        <w:ind w:firstLine="480"/>
        <w:rPr>
          <w:rFonts w:ascii="宋体" w:hAnsi="宋体"/>
          <w:szCs w:val="22"/>
          <w:highlight w:val="none"/>
        </w:rPr>
      </w:pPr>
      <w:r>
        <w:rPr>
          <w:rFonts w:hint="eastAsia" w:ascii="宋体" w:hAnsi="宋体"/>
          <w:szCs w:val="22"/>
          <w:highlight w:val="none"/>
        </w:rPr>
        <w:t xml:space="preserve">   </w:t>
      </w:r>
      <w:r>
        <w:rPr>
          <w:rFonts w:hint="eastAsia" w:ascii="宋体" w:hAnsi="宋体"/>
          <w:szCs w:val="22"/>
          <w:highlight w:val="none"/>
          <w:u w:val="single"/>
        </w:rPr>
        <w:t xml:space="preserve">        </w:t>
      </w:r>
      <w:r>
        <w:rPr>
          <w:rFonts w:hint="eastAsia" w:ascii="宋体" w:hAnsi="宋体"/>
          <w:szCs w:val="22"/>
          <w:highlight w:val="none"/>
        </w:rPr>
        <w:t>年</w:t>
      </w:r>
      <w:r>
        <w:rPr>
          <w:rFonts w:hint="eastAsia" w:ascii="宋体" w:hAnsi="宋体"/>
          <w:szCs w:val="22"/>
          <w:highlight w:val="none"/>
          <w:u w:val="single"/>
        </w:rPr>
        <w:t xml:space="preserve">        </w:t>
      </w:r>
      <w:r>
        <w:rPr>
          <w:rFonts w:hint="eastAsia" w:ascii="宋体" w:hAnsi="宋体"/>
          <w:szCs w:val="22"/>
          <w:highlight w:val="none"/>
        </w:rPr>
        <w:t>月</w:t>
      </w:r>
      <w:r>
        <w:rPr>
          <w:rFonts w:hint="eastAsia" w:ascii="宋体" w:hAnsi="宋体"/>
          <w:szCs w:val="22"/>
          <w:highlight w:val="none"/>
          <w:u w:val="single"/>
        </w:rPr>
        <w:t xml:space="preserve">        </w:t>
      </w:r>
      <w:r>
        <w:rPr>
          <w:rFonts w:hint="eastAsia" w:ascii="宋体" w:hAnsi="宋体"/>
          <w:szCs w:val="22"/>
          <w:highlight w:val="none"/>
        </w:rPr>
        <w:t>日</w:t>
      </w: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r>
        <w:rPr>
          <w:rFonts w:hint="eastAsia" w:ascii="宋体" w:hAnsi="宋体" w:cs="宋体"/>
          <w:b/>
          <w:sz w:val="32"/>
          <w:szCs w:val="32"/>
          <w:highlight w:val="none"/>
          <w:lang w:val="en-US" w:eastAsia="zh-CN"/>
        </w:rPr>
        <w:t>四、谈判单位资格证明文件</w:t>
      </w:r>
      <w:bookmarkEnd w:id="104"/>
      <w:bookmarkEnd w:id="105"/>
      <w:bookmarkEnd w:id="106"/>
      <w:bookmarkEnd w:id="107"/>
      <w:bookmarkEnd w:id="108"/>
    </w:p>
    <w:p>
      <w:pPr>
        <w:adjustRightInd w:val="0"/>
        <w:snapToGrid w:val="0"/>
        <w:spacing w:line="360" w:lineRule="auto"/>
        <w:rPr>
          <w:rFonts w:ascii="仿宋" w:hAnsi="仿宋" w:eastAsia="仿宋"/>
          <w:bCs/>
          <w:szCs w:val="21"/>
          <w:highlight w:val="none"/>
        </w:rPr>
      </w:pP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根据本谈判文件</w:t>
      </w:r>
      <w:r>
        <w:rPr>
          <w:rFonts w:hint="eastAsia" w:ascii="宋体" w:hAnsi="宋体"/>
          <w:b/>
          <w:bCs/>
          <w:szCs w:val="21"/>
          <w:highlight w:val="none"/>
        </w:rPr>
        <w:t>前附表</w:t>
      </w:r>
      <w:r>
        <w:rPr>
          <w:rFonts w:hint="eastAsia" w:ascii="宋体" w:hAnsi="宋体"/>
          <w:bCs/>
          <w:szCs w:val="21"/>
          <w:highlight w:val="none"/>
        </w:rPr>
        <w:t>内的资格要求，本章节须附下列证明文件复印件：</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1.本项目接受总公司或由总公司授权的湖南省级分公司直接参与响应。</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w:t>
      </w:r>
      <w:r>
        <w:rPr>
          <w:rFonts w:hint="eastAsia" w:ascii="宋体" w:hAnsi="宋体" w:cs="宋体"/>
          <w:iCs/>
          <w:kern w:val="2"/>
          <w:sz w:val="21"/>
          <w:szCs w:val="21"/>
          <w:highlight w:val="none"/>
          <w:lang w:val="en-US" w:eastAsia="zh-CN" w:bidi="ar-SA"/>
        </w:rPr>
        <w:t>（或</w:t>
      </w:r>
      <w:r>
        <w:rPr>
          <w:rFonts w:hint="eastAsia" w:ascii="宋体" w:hAnsi="宋体" w:eastAsia="宋体" w:cs="宋体"/>
          <w:iCs/>
          <w:kern w:val="2"/>
          <w:sz w:val="21"/>
          <w:szCs w:val="21"/>
          <w:highlight w:val="none"/>
          <w:lang w:val="en-US" w:eastAsia="zh-CN" w:bidi="ar-SA"/>
        </w:rPr>
        <w:t>《保险许可证》</w:t>
      </w:r>
      <w:r>
        <w:rPr>
          <w:rFonts w:hint="eastAsia" w:ascii="宋体" w:hAnsi="宋体" w:cs="宋体"/>
          <w:iCs/>
          <w:kern w:val="2"/>
          <w:sz w:val="21"/>
          <w:szCs w:val="21"/>
          <w:highlight w:val="none"/>
          <w:lang w:val="en-US" w:eastAsia="zh-CN" w:bidi="ar-SA"/>
        </w:rPr>
        <w:t>）</w:t>
      </w:r>
      <w:r>
        <w:rPr>
          <w:rFonts w:hint="eastAsia" w:ascii="宋体" w:hAnsi="宋体" w:cs="宋体"/>
          <w:highlight w:val="none"/>
        </w:rPr>
        <w:t>及《营业执照》（副本）。</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(2)若为湖南省级分公司（即本项目的服务机构）参与谈判的，须提供其总公司授权委托书及其总公司《保险许可证》或《保险公司法人许可证》，且满足上述第（1）条中“本项目的服务机构”资格要求。</w:t>
      </w:r>
    </w:p>
    <w:p>
      <w:pPr>
        <w:spacing w:line="360" w:lineRule="auto"/>
        <w:ind w:firstLine="420" w:firstLineChars="200"/>
        <w:jc w:val="left"/>
        <w:rPr>
          <w:rFonts w:hint="eastAsia" w:ascii="宋体" w:hAnsi="宋体" w:eastAsia="微软雅黑" w:cs="宋体"/>
          <w:highlight w:val="none"/>
          <w:lang w:eastAsia="zh-CN"/>
        </w:rPr>
      </w:pPr>
      <w:r>
        <w:rPr>
          <w:rFonts w:hint="eastAsia" w:ascii="宋体" w:hAnsi="宋体" w:cs="宋体"/>
          <w:highlight w:val="none"/>
        </w:rPr>
        <w:t>2.拟任项目负责人须为湖南省级分公司副总经理（含）以上级别，须提供省级(含）以上国家保险监督管理部门对该项目负责人的任职资格核准文件及谈判单位对该项目负责人的任命文件。</w:t>
      </w:r>
      <w:r>
        <w:rPr>
          <w:rFonts w:hint="eastAsia" w:ascii="宋体" w:hAnsi="宋体" w:cs="宋体"/>
          <w:b/>
          <w:bCs/>
          <w:highlight w:val="none"/>
          <w:lang w:eastAsia="zh-CN"/>
        </w:rPr>
        <w:t>（注：</w:t>
      </w:r>
      <w:r>
        <w:rPr>
          <w:rFonts w:hint="eastAsia" w:ascii="宋体" w:hAnsi="宋体" w:cs="宋体"/>
          <w:b/>
          <w:bCs/>
          <w:highlight w:val="none"/>
        </w:rPr>
        <w:t>任命文件须能体现资格要求的相应内容，格式自拟</w:t>
      </w:r>
      <w:r>
        <w:rPr>
          <w:rFonts w:hint="eastAsia" w:ascii="宋体" w:hAnsi="宋体" w:cs="宋体"/>
          <w:b/>
          <w:bCs/>
          <w:highlight w:val="none"/>
          <w:lang w:eastAsia="zh-CN"/>
        </w:rPr>
        <w:t>。）</w:t>
      </w:r>
    </w:p>
    <w:p>
      <w:pPr>
        <w:spacing w:line="360" w:lineRule="auto"/>
        <w:ind w:firstLine="420" w:firstLineChars="200"/>
        <w:jc w:val="left"/>
        <w:rPr>
          <w:rFonts w:hint="eastAsia" w:ascii="宋体" w:hAnsi="宋体" w:eastAsia="宋体" w:cs="宋体"/>
          <w:highlight w:val="none"/>
          <w:lang w:val="en-US" w:eastAsia="zh-CN"/>
        </w:rPr>
      </w:pPr>
      <w:r>
        <w:rPr>
          <w:rFonts w:hint="eastAsia" w:ascii="宋体" w:hAnsi="宋体" w:cs="宋体"/>
          <w:highlight w:val="none"/>
        </w:rPr>
        <w:t>3.保险总公司（法人机构）2021年第四季度末综合偿付能力充足率不低于200%、偿二代报表报送管理系统发出的风险综合评级为</w:t>
      </w:r>
      <w:r>
        <w:rPr>
          <w:rFonts w:hint="eastAsia" w:ascii="宋体" w:hAnsi="宋体" w:cs="宋体"/>
          <w:highlight w:val="none"/>
          <w:lang w:val="en-US" w:eastAsia="zh-CN"/>
        </w:rPr>
        <w:t>B</w:t>
      </w:r>
      <w:r>
        <w:rPr>
          <w:rFonts w:hint="eastAsia" w:ascii="宋体" w:hAnsi="宋体" w:cs="宋体"/>
          <w:highlight w:val="none"/>
        </w:rPr>
        <w:t>类</w:t>
      </w:r>
      <w:r>
        <w:rPr>
          <w:rFonts w:hint="eastAsia" w:ascii="宋体" w:hAnsi="宋体" w:cs="宋体"/>
          <w:highlight w:val="none"/>
          <w:lang w:eastAsia="zh-CN"/>
        </w:rPr>
        <w:t>及以上</w:t>
      </w:r>
      <w:r>
        <w:rPr>
          <w:rFonts w:hint="eastAsia" w:ascii="宋体" w:hAnsi="宋体" w:cs="宋体"/>
          <w:highlight w:val="none"/>
        </w:rPr>
        <w:t>。</w:t>
      </w:r>
      <w:r>
        <w:rPr>
          <w:rFonts w:hint="eastAsia" w:ascii="宋体" w:hAnsi="宋体" w:cs="宋体"/>
          <w:highlight w:val="none"/>
          <w:lang w:eastAsia="zh-CN"/>
        </w:rPr>
        <w:t>（</w:t>
      </w:r>
      <w:r>
        <w:rPr>
          <w:rFonts w:hint="eastAsia" w:ascii="宋体" w:hAnsi="宋体" w:cs="宋体"/>
          <w:highlight w:val="none"/>
        </w:rPr>
        <w:t>综合偿付能力充足率</w:t>
      </w:r>
      <w:r>
        <w:rPr>
          <w:rFonts w:hint="eastAsia" w:ascii="宋体" w:hAnsi="宋体" w:cs="宋体"/>
          <w:highlight w:val="none"/>
          <w:lang w:eastAsia="zh-CN"/>
        </w:rPr>
        <w:t>以谈判单位提供的</w:t>
      </w:r>
      <w:r>
        <w:rPr>
          <w:rFonts w:hint="eastAsia" w:ascii="宋体" w:hAnsi="宋体" w:cs="宋体"/>
          <w:highlight w:val="none"/>
          <w:lang w:val="en-US" w:eastAsia="zh-CN"/>
        </w:rPr>
        <w:t>2021年第四季度末偿付能力季度报告摘要上的数据为准；</w:t>
      </w:r>
      <w:r>
        <w:rPr>
          <w:rFonts w:hint="eastAsia" w:ascii="宋体" w:hAnsi="宋体" w:cs="宋体"/>
          <w:highlight w:val="none"/>
        </w:rPr>
        <w:t>风险综合评级</w:t>
      </w:r>
      <w:r>
        <w:rPr>
          <w:rFonts w:hint="eastAsia" w:ascii="宋体" w:hAnsi="宋体" w:cs="宋体"/>
          <w:highlight w:val="none"/>
          <w:lang w:eastAsia="zh-CN"/>
        </w:rPr>
        <w:t>以谈判单位</w:t>
      </w:r>
      <w:r>
        <w:rPr>
          <w:rFonts w:hint="eastAsia" w:ascii="宋体" w:hAnsi="宋体" w:cs="宋体"/>
          <w:szCs w:val="21"/>
          <w:highlight w:val="none"/>
        </w:rPr>
        <w:t>提供的中国银行保险监督管理委员会通过偿二代报表报送管理系统发出的2021年第四季度风险综合评级评价结果为准</w:t>
      </w:r>
      <w:r>
        <w:rPr>
          <w:rFonts w:hint="eastAsia" w:ascii="宋体" w:hAnsi="宋体" w:cs="宋体"/>
          <w:szCs w:val="21"/>
          <w:highlight w:val="none"/>
          <w:lang w:eastAsia="zh-CN"/>
        </w:rPr>
        <w:t>）</w:t>
      </w:r>
    </w:p>
    <w:p>
      <w:pPr>
        <w:pStyle w:val="13"/>
        <w:rPr>
          <w:rFonts w:hint="eastAsia"/>
          <w:highlight w:val="none"/>
          <w:lang w:val="en-US" w:eastAsia="zh-CN"/>
        </w:rPr>
      </w:pPr>
      <w:r>
        <w:rPr>
          <w:rFonts w:hint="eastAsia" w:ascii="宋体" w:hAnsi="宋体" w:cs="宋体"/>
          <w:highlight w:val="none"/>
          <w:lang w:val="en-US" w:eastAsia="zh-CN"/>
        </w:rPr>
        <w:t>4.</w:t>
      </w:r>
      <w:r>
        <w:rPr>
          <w:rFonts w:hint="eastAsia"/>
          <w:highlight w:val="none"/>
          <w:lang w:val="en-US" w:eastAsia="zh-CN"/>
        </w:rPr>
        <w:t>谈判单位认为与本项目资格条件有关的其它证明文件（如有，格式自拟）。</w:t>
      </w:r>
    </w:p>
    <w:p>
      <w:pPr>
        <w:pStyle w:val="46"/>
        <w:ind w:left="0" w:leftChars="0" w:firstLine="0" w:firstLineChars="0"/>
        <w:rPr>
          <w:rFonts w:hint="default" w:eastAsia="宋体"/>
          <w:highlight w:val="none"/>
          <w:lang w:val="en-US" w:eastAsia="zh-CN"/>
        </w:rPr>
      </w:pPr>
    </w:p>
    <w:p>
      <w:pPr>
        <w:spacing w:line="360" w:lineRule="auto"/>
        <w:ind w:firstLine="422" w:firstLineChars="200"/>
        <w:jc w:val="left"/>
        <w:rPr>
          <w:rFonts w:ascii="宋体" w:hAnsi="宋体" w:cs="宋体"/>
          <w:b/>
          <w:bCs/>
          <w:szCs w:val="21"/>
          <w:highlight w:val="none"/>
        </w:rPr>
      </w:pPr>
      <w:r>
        <w:rPr>
          <w:rFonts w:hint="eastAsia" w:ascii="宋体" w:hAnsi="宋体"/>
          <w:b/>
          <w:bCs/>
          <w:szCs w:val="21"/>
          <w:highlight w:val="none"/>
        </w:rPr>
        <w:t>备注：</w:t>
      </w:r>
      <w:r>
        <w:rPr>
          <w:rFonts w:hint="eastAsia" w:ascii="宋体" w:hAnsi="宋体" w:cs="宋体"/>
          <w:b/>
          <w:bCs/>
          <w:szCs w:val="21"/>
          <w:highlight w:val="none"/>
        </w:rPr>
        <w:t>上述证明文件复印件均须加盖谈判单位公章（鲜章）。</w:t>
      </w:r>
    </w:p>
    <w:p>
      <w:pPr>
        <w:adjustRightInd w:val="0"/>
        <w:snapToGrid w:val="0"/>
        <w:spacing w:line="360" w:lineRule="auto"/>
        <w:ind w:firstLine="422" w:firstLineChars="200"/>
        <w:rPr>
          <w:rFonts w:ascii="宋体" w:hAnsi="宋体"/>
          <w:b/>
          <w:bCs/>
          <w:szCs w:val="21"/>
          <w:highlight w:val="none"/>
        </w:rPr>
      </w:pPr>
    </w:p>
    <w:p>
      <w:pPr>
        <w:pStyle w:val="13"/>
        <w:rPr>
          <w:highlight w:val="none"/>
        </w:rPr>
      </w:pPr>
    </w:p>
    <w:p>
      <w:pPr>
        <w:pStyle w:val="13"/>
        <w:rPr>
          <w:highlight w:val="none"/>
        </w:rPr>
        <w:sectPr>
          <w:pgSz w:w="11906" w:h="16838"/>
          <w:pgMar w:top="1440" w:right="1797" w:bottom="1440" w:left="1797" w:header="851" w:footer="851" w:gutter="0"/>
          <w:pgNumType w:fmt="decimal"/>
          <w:cols w:space="720" w:num="1"/>
        </w:sect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112" w:name="_Toc26602"/>
      <w:bookmarkStart w:id="113" w:name="_Toc25553"/>
      <w:bookmarkStart w:id="114" w:name="_Toc211"/>
      <w:bookmarkStart w:id="115" w:name="_Toc15835"/>
      <w:bookmarkStart w:id="116" w:name="_Toc5387"/>
      <w:r>
        <w:rPr>
          <w:rFonts w:hint="eastAsia" w:ascii="宋体" w:hAnsi="宋体" w:cs="宋体"/>
          <w:b/>
          <w:sz w:val="32"/>
          <w:szCs w:val="32"/>
          <w:highlight w:val="none"/>
          <w:lang w:val="en-US" w:eastAsia="zh-CN"/>
        </w:rPr>
        <w:t>五、报价一览表</w:t>
      </w:r>
      <w:bookmarkEnd w:id="112"/>
      <w:bookmarkEnd w:id="113"/>
      <w:bookmarkEnd w:id="114"/>
      <w:bookmarkEnd w:id="115"/>
      <w:bookmarkEnd w:id="116"/>
    </w:p>
    <w:p>
      <w:pPr>
        <w:adjustRightInd w:val="0"/>
        <w:snapToGrid w:val="0"/>
        <w:jc w:val="right"/>
        <w:rPr>
          <w:rFonts w:ascii="黑体" w:hAnsi="宋体" w:eastAsia="黑体"/>
          <w:sz w:val="24"/>
          <w:highlight w:val="none"/>
        </w:rPr>
      </w:pPr>
    </w:p>
    <w:tbl>
      <w:tblPr>
        <w:tblStyle w:val="47"/>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3600"/>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highlight w:val="none"/>
              </w:rPr>
            </w:pPr>
            <w:r>
              <w:rPr>
                <w:rFonts w:ascii="宋体" w:hAnsi="宋体"/>
                <w:szCs w:val="21"/>
                <w:highlight w:val="none"/>
              </w:rPr>
              <w:t>项目名称</w:t>
            </w:r>
            <w:r>
              <w:rPr>
                <w:rFonts w:ascii="宋体" w:hAnsi="宋体"/>
                <w:szCs w:val="21"/>
                <w:highlight w:val="none"/>
              </w:rPr>
              <w:tab/>
            </w:r>
            <w:r>
              <w:rPr>
                <w:rFonts w:ascii="宋体" w:hAnsi="宋体"/>
                <w:szCs w:val="21"/>
                <w:highlight w:val="none"/>
              </w:rPr>
              <w:t>项目名称</w:t>
            </w:r>
          </w:p>
        </w:tc>
        <w:tc>
          <w:tcPr>
            <w:tcW w:w="7200" w:type="dxa"/>
            <w:gridSpan w:val="2"/>
            <w:vAlign w:val="center"/>
          </w:tcPr>
          <w:p>
            <w:pPr>
              <w:spacing w:line="42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highlight w:val="none"/>
              </w:rPr>
            </w:pPr>
            <w:r>
              <w:rPr>
                <w:rFonts w:hint="eastAsia" w:ascii="宋体" w:hAnsi="宋体"/>
                <w:szCs w:val="21"/>
                <w:highlight w:val="none"/>
              </w:rPr>
              <w:t>项目</w:t>
            </w:r>
            <w:r>
              <w:rPr>
                <w:rFonts w:ascii="宋体" w:hAnsi="宋体"/>
                <w:szCs w:val="21"/>
                <w:highlight w:val="none"/>
              </w:rPr>
              <w:t>编号</w:t>
            </w:r>
          </w:p>
        </w:tc>
        <w:tc>
          <w:tcPr>
            <w:tcW w:w="7200" w:type="dxa"/>
            <w:gridSpan w:val="2"/>
            <w:vAlign w:val="center"/>
          </w:tcPr>
          <w:p>
            <w:pPr>
              <w:spacing w:line="42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620" w:type="dxa"/>
            <w:vAlign w:val="center"/>
          </w:tcPr>
          <w:p>
            <w:pPr>
              <w:spacing w:line="420" w:lineRule="exact"/>
              <w:jc w:val="center"/>
              <w:rPr>
                <w:rFonts w:ascii="宋体" w:hAnsi="宋体"/>
                <w:szCs w:val="21"/>
                <w:highlight w:val="none"/>
              </w:rPr>
            </w:pPr>
            <w:r>
              <w:rPr>
                <w:rFonts w:hint="eastAsia" w:ascii="宋体" w:hAnsi="宋体"/>
                <w:szCs w:val="21"/>
                <w:highlight w:val="none"/>
              </w:rPr>
              <w:t>服务期限</w:t>
            </w:r>
          </w:p>
        </w:tc>
        <w:tc>
          <w:tcPr>
            <w:tcW w:w="7200" w:type="dxa"/>
            <w:gridSpan w:val="2"/>
            <w:vAlign w:val="center"/>
          </w:tcPr>
          <w:p>
            <w:pP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620" w:type="dxa"/>
            <w:vAlign w:val="center"/>
          </w:tcPr>
          <w:p>
            <w:pPr>
              <w:spacing w:line="420" w:lineRule="exact"/>
              <w:jc w:val="center"/>
              <w:rPr>
                <w:rFonts w:ascii="宋体" w:hAnsi="宋体"/>
                <w:szCs w:val="21"/>
                <w:highlight w:val="none"/>
              </w:rPr>
            </w:pPr>
            <w:r>
              <w:rPr>
                <w:rFonts w:hint="eastAsia" w:ascii="宋体" w:hAnsi="宋体"/>
                <w:szCs w:val="21"/>
                <w:highlight w:val="none"/>
              </w:rPr>
              <w:t>谈判</w:t>
            </w:r>
            <w:r>
              <w:rPr>
                <w:rFonts w:ascii="宋体" w:hAnsi="宋体"/>
                <w:szCs w:val="21"/>
                <w:highlight w:val="none"/>
              </w:rPr>
              <w:t>总报价</w:t>
            </w:r>
          </w:p>
        </w:tc>
        <w:tc>
          <w:tcPr>
            <w:tcW w:w="3600" w:type="dxa"/>
            <w:vAlign w:val="center"/>
          </w:tcPr>
          <w:p>
            <w:pPr>
              <w:jc w:val="center"/>
              <w:rPr>
                <w:rFonts w:ascii="宋体" w:hAnsi="宋体"/>
                <w:szCs w:val="21"/>
                <w:highlight w:val="none"/>
              </w:rPr>
            </w:pP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rPr>
              <w:t>元</w:t>
            </w:r>
          </w:p>
        </w:tc>
        <w:tc>
          <w:tcPr>
            <w:tcW w:w="3600" w:type="dxa"/>
            <w:vAlign w:val="center"/>
          </w:tcPr>
          <w:p>
            <w:pPr>
              <w:spacing w:line="420" w:lineRule="exact"/>
              <w:jc w:val="center"/>
              <w:rPr>
                <w:rFonts w:ascii="宋体" w:hAnsi="宋体"/>
                <w:szCs w:val="21"/>
                <w:highlight w:val="none"/>
              </w:rPr>
            </w:pPr>
            <w:r>
              <w:rPr>
                <w:rFonts w:hint="eastAsia" w:ascii="宋体" w:hAnsi="宋体"/>
                <w:szCs w:val="21"/>
                <w:highlight w:val="none"/>
              </w:rPr>
              <w:t>小写：</w:t>
            </w:r>
            <w:r>
              <w:rPr>
                <w:rFonts w:hint="eastAsia" w:ascii="宋体" w:hAnsi="宋体"/>
                <w:szCs w:val="21"/>
                <w:highlight w:val="none"/>
                <w:u w:val="single"/>
              </w:rPr>
              <w:t xml:space="preserve">              </w:t>
            </w:r>
            <w:r>
              <w:rPr>
                <w:rFonts w:hint="eastAsia" w:ascii="宋体" w:hAnsi="宋体"/>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620" w:type="dxa"/>
            <w:vAlign w:val="center"/>
          </w:tcPr>
          <w:p>
            <w:pPr>
              <w:spacing w:line="420" w:lineRule="exact"/>
              <w:jc w:val="center"/>
              <w:rPr>
                <w:rFonts w:ascii="宋体" w:hAnsi="宋体"/>
                <w:szCs w:val="21"/>
                <w:highlight w:val="none"/>
              </w:rPr>
            </w:pPr>
            <w:r>
              <w:rPr>
                <w:rFonts w:ascii="宋体" w:hAnsi="宋体"/>
                <w:szCs w:val="21"/>
                <w:highlight w:val="none"/>
              </w:rPr>
              <w:t>备  注</w:t>
            </w:r>
          </w:p>
        </w:tc>
        <w:tc>
          <w:tcPr>
            <w:tcW w:w="7200" w:type="dxa"/>
            <w:gridSpan w:val="2"/>
            <w:vAlign w:val="center"/>
          </w:tcPr>
          <w:p>
            <w:pPr>
              <w:spacing w:line="420" w:lineRule="exact"/>
              <w:rPr>
                <w:rFonts w:ascii="宋体" w:hAnsi="宋体"/>
                <w:szCs w:val="21"/>
                <w:highlight w:val="none"/>
              </w:rPr>
            </w:pPr>
          </w:p>
        </w:tc>
      </w:tr>
    </w:tbl>
    <w:p>
      <w:pPr>
        <w:adjustRightInd w:val="0"/>
        <w:snapToGrid w:val="0"/>
        <w:spacing w:line="360" w:lineRule="auto"/>
        <w:rPr>
          <w:rFonts w:ascii="宋体" w:hAnsi="宋体"/>
          <w:b/>
          <w:szCs w:val="21"/>
          <w:highlight w:val="none"/>
        </w:rPr>
      </w:pPr>
      <w:r>
        <w:rPr>
          <w:rFonts w:hint="eastAsia" w:ascii="宋体" w:hAnsi="宋体"/>
          <w:b/>
          <w:szCs w:val="21"/>
          <w:highlight w:val="none"/>
        </w:rPr>
        <w:t>注：</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1.所有报价保留小数点后两位，小数点后第三位“四舍五入”。</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2.本表内“谈判总报价”是包含了所有隐含的管理费、税金和利润等其他费用的报价。</w:t>
      </w:r>
    </w:p>
    <w:p>
      <w:pPr>
        <w:adjustRightInd w:val="0"/>
        <w:snapToGrid w:val="0"/>
        <w:spacing w:line="360" w:lineRule="auto"/>
        <w:ind w:left="-88" w:leftChars="-42"/>
        <w:rPr>
          <w:rFonts w:ascii="宋体" w:hAnsi="宋体"/>
          <w:szCs w:val="21"/>
          <w:highlight w:val="none"/>
        </w:rPr>
      </w:pPr>
    </w:p>
    <w:p>
      <w:pPr>
        <w:pStyle w:val="27"/>
        <w:adjustRightInd w:val="0"/>
        <w:snapToGrid w:val="0"/>
        <w:spacing w:line="360" w:lineRule="auto"/>
        <w:rPr>
          <w:rFonts w:ascii="宋体" w:hAnsi="宋体"/>
          <w:bCs/>
          <w:sz w:val="21"/>
          <w:szCs w:val="21"/>
          <w:highlight w:val="none"/>
        </w:rPr>
      </w:pPr>
      <w:bookmarkStart w:id="117" w:name="_Toc5231"/>
      <w:r>
        <w:rPr>
          <w:rFonts w:hint="eastAsia" w:ascii="宋体" w:hAnsi="宋体"/>
          <w:sz w:val="21"/>
          <w:szCs w:val="21"/>
          <w:highlight w:val="none"/>
        </w:rPr>
        <w:t>谈判单位名称：</w:t>
      </w:r>
      <w:r>
        <w:rPr>
          <w:rFonts w:hint="eastAsia" w:ascii="宋体" w:hAnsi="宋体"/>
          <w:sz w:val="21"/>
          <w:szCs w:val="21"/>
          <w:highlight w:val="none"/>
          <w:u w:val="single"/>
        </w:rPr>
        <w:t xml:space="preserve">    （盖单位章）</w:t>
      </w:r>
      <w:bookmarkEnd w:id="117"/>
      <w:r>
        <w:rPr>
          <w:rFonts w:hint="eastAsia" w:ascii="宋体" w:hAnsi="宋体"/>
          <w:sz w:val="21"/>
          <w:szCs w:val="21"/>
          <w:highlight w:val="none"/>
          <w:u w:val="single"/>
        </w:rPr>
        <w:t xml:space="preserve">    </w:t>
      </w:r>
    </w:p>
    <w:p>
      <w:pPr>
        <w:adjustRightInd w:val="0"/>
        <w:snapToGrid w:val="0"/>
        <w:spacing w:line="360" w:lineRule="auto"/>
        <w:rPr>
          <w:rFonts w:ascii="宋体" w:hAnsi="宋体"/>
          <w:szCs w:val="21"/>
          <w:highlight w:val="none"/>
        </w:rPr>
      </w:pPr>
      <w:bookmarkStart w:id="118" w:name="_Toc28605"/>
      <w:r>
        <w:rPr>
          <w:rFonts w:hint="eastAsia" w:ascii="宋体" w:hAnsi="宋体"/>
          <w:szCs w:val="21"/>
          <w:highlight w:val="none"/>
        </w:rPr>
        <w:t>法定代表人或其委托代理人(签字或盖章)：</w:t>
      </w:r>
      <w:bookmarkEnd w:id="118"/>
      <w:r>
        <w:rPr>
          <w:rFonts w:hint="eastAsia" w:ascii="宋体" w:hAnsi="宋体"/>
          <w:szCs w:val="21"/>
          <w:highlight w:val="none"/>
          <w:u w:val="single"/>
        </w:rPr>
        <w:t xml:space="preserve">               </w:t>
      </w:r>
    </w:p>
    <w:p>
      <w:pPr>
        <w:spacing w:line="360" w:lineRule="auto"/>
        <w:rPr>
          <w:rFonts w:asci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jc w:val="center"/>
        <w:rPr>
          <w:rFonts w:ascii="黑体" w:eastAsia="黑体"/>
          <w:b/>
          <w:bCs/>
          <w:sz w:val="32"/>
          <w:szCs w:val="32"/>
          <w:highlight w:val="none"/>
        </w:rPr>
      </w:pPr>
    </w:p>
    <w:p>
      <w:pPr>
        <w:adjustRightInd w:val="0"/>
        <w:snapToGrid w:val="0"/>
        <w:jc w:val="center"/>
        <w:rPr>
          <w:rFonts w:ascii="黑体" w:eastAsia="黑体"/>
          <w:b/>
          <w:bCs/>
          <w:sz w:val="32"/>
          <w:szCs w:val="32"/>
          <w:highlight w:val="none"/>
        </w:rPr>
      </w:pPr>
    </w:p>
    <w:p>
      <w:pPr>
        <w:adjustRightInd w:val="0"/>
        <w:snapToGrid w:val="0"/>
        <w:jc w:val="center"/>
        <w:rPr>
          <w:rFonts w:ascii="黑体" w:eastAsia="黑体"/>
          <w:b/>
          <w:bCs/>
          <w:color w:val="FF0000"/>
          <w:sz w:val="32"/>
          <w:szCs w:val="32"/>
          <w:highlight w:val="none"/>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119" w:name="_Toc17375"/>
      <w:bookmarkStart w:id="120" w:name="_Toc24869"/>
      <w:r>
        <w:rPr>
          <w:rFonts w:hint="eastAsia" w:ascii="宋体" w:hAnsi="宋体" w:cs="宋体"/>
          <w:b/>
          <w:sz w:val="32"/>
          <w:szCs w:val="32"/>
          <w:highlight w:val="none"/>
          <w:lang w:val="en-US" w:eastAsia="zh-CN"/>
        </w:rPr>
        <w:t>六、分项价格表</w:t>
      </w:r>
      <w:bookmarkEnd w:id="119"/>
      <w:bookmarkEnd w:id="120"/>
    </w:p>
    <w:p>
      <w:pPr>
        <w:pStyle w:val="13"/>
        <w:ind w:left="0" w:leftChars="0"/>
        <w:rPr>
          <w:highlight w:val="none"/>
        </w:rPr>
      </w:pPr>
    </w:p>
    <w:p>
      <w:pPr>
        <w:adjustRightInd w:val="0"/>
        <w:snapToGrid w:val="0"/>
        <w:spacing w:line="360" w:lineRule="auto"/>
        <w:rPr>
          <w:rFonts w:hint="eastAsia" w:ascii="宋体" w:hAnsi="宋体"/>
          <w:szCs w:val="21"/>
          <w:highlight w:val="none"/>
          <w:lang w:eastAsia="zh-CN"/>
        </w:rPr>
      </w:pPr>
      <w:r>
        <w:rPr>
          <w:rFonts w:ascii="宋体" w:hAnsi="宋体"/>
          <w:szCs w:val="21"/>
          <w:highlight w:val="none"/>
        </w:rPr>
        <w:t>项目名称</w:t>
      </w:r>
      <w:r>
        <w:rPr>
          <w:rFonts w:hint="eastAsia" w:ascii="宋体" w:hAnsi="宋体"/>
          <w:szCs w:val="21"/>
          <w:highlight w:val="none"/>
          <w:lang w:eastAsia="zh-CN"/>
        </w:rPr>
        <w:t>：</w:t>
      </w:r>
    </w:p>
    <w:p>
      <w:pPr>
        <w:pStyle w:val="46"/>
        <w:ind w:left="0" w:leftChars="0" w:firstLine="0" w:firstLineChars="0"/>
        <w:rPr>
          <w:rFonts w:hint="eastAsia" w:eastAsia="宋体"/>
          <w:highlight w:val="none"/>
          <w:lang w:eastAsia="zh-CN"/>
        </w:rPr>
      </w:pPr>
      <w:r>
        <w:rPr>
          <w:rFonts w:hint="eastAsia" w:ascii="宋体" w:hAnsi="宋体"/>
          <w:szCs w:val="21"/>
          <w:highlight w:val="none"/>
        </w:rPr>
        <w:t>项目</w:t>
      </w:r>
      <w:r>
        <w:rPr>
          <w:rFonts w:ascii="宋体" w:hAnsi="宋体"/>
          <w:szCs w:val="21"/>
          <w:highlight w:val="none"/>
        </w:rPr>
        <w:t>编号</w:t>
      </w:r>
      <w:r>
        <w:rPr>
          <w:rFonts w:hint="eastAsia" w:ascii="宋体" w:hAnsi="宋体"/>
          <w:szCs w:val="21"/>
          <w:highlight w:val="none"/>
          <w:lang w:eastAsia="zh-CN"/>
        </w:rPr>
        <w:t>：</w:t>
      </w:r>
    </w:p>
    <w:tbl>
      <w:tblPr>
        <w:tblStyle w:val="47"/>
        <w:tblW w:w="887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4"/>
        <w:gridCol w:w="2960"/>
        <w:gridCol w:w="1130"/>
        <w:gridCol w:w="1080"/>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814"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 号</w:t>
            </w:r>
          </w:p>
        </w:tc>
        <w:tc>
          <w:tcPr>
            <w:tcW w:w="2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内容</w:t>
            </w:r>
          </w:p>
        </w:tc>
        <w:tc>
          <w:tcPr>
            <w:tcW w:w="11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（人）</w:t>
            </w:r>
          </w:p>
        </w:tc>
        <w:tc>
          <w:tcPr>
            <w:tcW w:w="10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28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从业人员部分</w:t>
            </w:r>
          </w:p>
        </w:tc>
        <w:tc>
          <w:tcPr>
            <w:tcW w:w="113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1602</w:t>
            </w:r>
          </w:p>
        </w:tc>
        <w:tc>
          <w:tcPr>
            <w:tcW w:w="1080" w:type="dxa"/>
            <w:shd w:val="clear" w:color="auto" w:fill="auto"/>
            <w:vAlign w:val="center"/>
          </w:tcPr>
          <w:p>
            <w:pPr>
              <w:rPr>
                <w:rFonts w:hint="eastAsia" w:ascii="宋体" w:hAnsi="宋体" w:eastAsia="宋体" w:cs="宋体"/>
                <w:i w:val="0"/>
                <w:iCs w:val="0"/>
                <w:color w:val="000000"/>
                <w:sz w:val="22"/>
                <w:szCs w:val="22"/>
                <w:highlight w:val="none"/>
                <w:u w:val="none"/>
              </w:rPr>
            </w:pPr>
          </w:p>
        </w:tc>
        <w:tc>
          <w:tcPr>
            <w:tcW w:w="2890" w:type="dxa"/>
            <w:shd w:val="clear" w:color="auto" w:fill="auto"/>
            <w:noWrap/>
            <w:vAlign w:val="top"/>
          </w:tcPr>
          <w:p>
            <w:pP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9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乘客部分</w:t>
            </w:r>
          </w:p>
        </w:tc>
        <w:tc>
          <w:tcPr>
            <w:tcW w:w="113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9234</w:t>
            </w:r>
          </w:p>
        </w:tc>
        <w:tc>
          <w:tcPr>
            <w:tcW w:w="1080" w:type="dxa"/>
            <w:shd w:val="clear" w:color="auto" w:fill="auto"/>
            <w:vAlign w:val="center"/>
          </w:tcPr>
          <w:p>
            <w:pPr>
              <w:rPr>
                <w:rFonts w:hint="eastAsia" w:ascii="宋体" w:hAnsi="宋体" w:eastAsia="宋体" w:cs="宋体"/>
                <w:i w:val="0"/>
                <w:iCs w:val="0"/>
                <w:color w:val="000000"/>
                <w:sz w:val="22"/>
                <w:szCs w:val="22"/>
                <w:highlight w:val="none"/>
                <w:u w:val="none"/>
              </w:rPr>
            </w:pPr>
          </w:p>
        </w:tc>
        <w:tc>
          <w:tcPr>
            <w:tcW w:w="2890" w:type="dxa"/>
            <w:shd w:val="clear" w:color="auto" w:fill="auto"/>
            <w:noWrap/>
            <w:vAlign w:val="top"/>
          </w:tcPr>
          <w:p>
            <w:pP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960" w:type="dxa"/>
            <w:shd w:val="clear" w:color="auto" w:fill="auto"/>
            <w:vAlign w:val="center"/>
          </w:tcPr>
          <w:p>
            <w:pPr>
              <w:tabs>
                <w:tab w:val="left" w:pos="403"/>
                <w:tab w:val="center" w:pos="3781"/>
              </w:tabs>
              <w:spacing w:line="420" w:lineRule="exact"/>
              <w:ind w:left="0" w:leftChars="0" w:right="-5206" w:rightChars="-2479" w:firstLine="0" w:firstLineChars="0"/>
              <w:rPr>
                <w:rFonts w:hint="eastAsia" w:ascii="宋体" w:hAnsi="宋体" w:eastAsia="宋体" w:cs="宋体"/>
                <w:i w:val="0"/>
                <w:iCs w:val="0"/>
                <w:color w:val="000000"/>
                <w:sz w:val="22"/>
                <w:szCs w:val="22"/>
                <w:highlight w:val="none"/>
                <w:u w:val="none"/>
                <w:lang w:eastAsia="zh-CN"/>
              </w:rPr>
            </w:pPr>
            <w:r>
              <w:rPr>
                <w:rFonts w:hint="eastAsia" w:ascii="宋体" w:hAnsi="宋体"/>
                <w:szCs w:val="21"/>
                <w:highlight w:val="none"/>
              </w:rPr>
              <w:t>第三者（不含乘客）责任</w:t>
            </w:r>
            <w:r>
              <w:rPr>
                <w:rFonts w:hint="eastAsia" w:ascii="宋体" w:hAnsi="宋体" w:eastAsia="宋体" w:cs="宋体"/>
                <w:i w:val="0"/>
                <w:iCs w:val="0"/>
                <w:color w:val="000000"/>
                <w:kern w:val="0"/>
                <w:sz w:val="22"/>
                <w:szCs w:val="22"/>
                <w:highlight w:val="none"/>
                <w:u w:val="none"/>
                <w:lang w:val="en-US" w:eastAsia="zh-CN" w:bidi="ar"/>
              </w:rPr>
              <w:t>部分</w:t>
            </w:r>
          </w:p>
        </w:tc>
        <w:tc>
          <w:tcPr>
            <w:tcW w:w="11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80" w:type="dxa"/>
            <w:shd w:val="clear" w:color="auto" w:fill="auto"/>
            <w:vAlign w:val="center"/>
          </w:tcPr>
          <w:p>
            <w:pPr>
              <w:rPr>
                <w:rFonts w:hint="eastAsia" w:ascii="宋体" w:hAnsi="宋体" w:eastAsia="宋体" w:cs="宋体"/>
                <w:i w:val="0"/>
                <w:iCs w:val="0"/>
                <w:color w:val="000000"/>
                <w:sz w:val="22"/>
                <w:szCs w:val="22"/>
                <w:highlight w:val="none"/>
                <w:u w:val="none"/>
              </w:rPr>
            </w:pPr>
          </w:p>
        </w:tc>
        <w:tc>
          <w:tcPr>
            <w:tcW w:w="2890" w:type="dxa"/>
            <w:shd w:val="clear" w:color="auto" w:fill="auto"/>
            <w:noWrap/>
            <w:vAlign w:val="top"/>
          </w:tcPr>
          <w:p>
            <w:pP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14" w:type="dxa"/>
            <w:shd w:val="clear" w:color="auto" w:fill="auto"/>
            <w:noWrap/>
            <w:vAlign w:val="center"/>
          </w:tcPr>
          <w:p>
            <w:pPr>
              <w:ind w:firstLine="220" w:firstLineChars="100"/>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w:t>
            </w:r>
          </w:p>
        </w:tc>
        <w:tc>
          <w:tcPr>
            <w:tcW w:w="517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2890" w:type="dxa"/>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8874"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注：1.人员数量（含从业人员及乘客部分）将根据实际投保人员名单进行计算，如人员增加，则不调整费用；如人员减少，则按照报价扣减相应部分费用。</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2.乘客人数=平均每日每车次乘客人数*每日运行车辆</w:t>
            </w:r>
            <w:r>
              <w:rPr>
                <w:rFonts w:hint="eastAsia" w:ascii="宋体" w:hAnsi="宋体" w:cs="宋体"/>
                <w:i w:val="0"/>
                <w:iCs w:val="0"/>
                <w:color w:val="000000"/>
                <w:kern w:val="0"/>
                <w:sz w:val="22"/>
                <w:szCs w:val="22"/>
                <w:highlight w:val="none"/>
                <w:u w:val="none"/>
                <w:lang w:val="en-US" w:eastAsia="zh-CN" w:bidi="ar"/>
              </w:rPr>
              <w:t>数</w:t>
            </w:r>
            <w:r>
              <w:rPr>
                <w:rFonts w:hint="eastAsia" w:ascii="宋体" w:hAnsi="宋体" w:eastAsia="宋体" w:cs="宋体"/>
                <w:i w:val="0"/>
                <w:iCs w:val="0"/>
                <w:color w:val="000000"/>
                <w:kern w:val="0"/>
                <w:sz w:val="22"/>
                <w:szCs w:val="22"/>
                <w:highlight w:val="none"/>
                <w:u w:val="none"/>
                <w:lang w:val="en-US" w:eastAsia="zh-CN" w:bidi="ar"/>
              </w:rPr>
              <w:t>。</w:t>
            </w:r>
          </w:p>
        </w:tc>
      </w:tr>
    </w:tbl>
    <w:p>
      <w:pPr>
        <w:adjustRightInd w:val="0"/>
        <w:snapToGrid w:val="0"/>
        <w:spacing w:line="360" w:lineRule="auto"/>
        <w:ind w:left="-88" w:leftChars="-42"/>
        <w:rPr>
          <w:rFonts w:hint="eastAsia" w:ascii="宋体" w:hAnsi="宋体"/>
          <w:b/>
          <w:szCs w:val="21"/>
          <w:highlight w:val="none"/>
        </w:rPr>
      </w:pPr>
    </w:p>
    <w:p>
      <w:pPr>
        <w:adjustRightInd w:val="0"/>
        <w:snapToGrid w:val="0"/>
        <w:spacing w:line="360" w:lineRule="auto"/>
        <w:ind w:left="-88" w:leftChars="-42"/>
        <w:rPr>
          <w:rFonts w:ascii="宋体" w:hAnsi="宋体"/>
          <w:b/>
          <w:szCs w:val="21"/>
          <w:highlight w:val="none"/>
        </w:rPr>
      </w:pPr>
      <w:r>
        <w:rPr>
          <w:rFonts w:hint="eastAsia" w:ascii="宋体" w:hAnsi="宋体"/>
          <w:b/>
          <w:szCs w:val="21"/>
          <w:highlight w:val="none"/>
        </w:rPr>
        <w:t>备注：所有报价保留小数点后两位，小数点后第三位“四舍五入”。</w:t>
      </w:r>
    </w:p>
    <w:p>
      <w:pPr>
        <w:pStyle w:val="27"/>
        <w:adjustRightInd w:val="0"/>
        <w:snapToGrid w:val="0"/>
        <w:spacing w:line="360" w:lineRule="auto"/>
        <w:outlineLvl w:val="0"/>
        <w:rPr>
          <w:rFonts w:ascii="宋体" w:hAnsi="宋体"/>
          <w:sz w:val="21"/>
          <w:szCs w:val="21"/>
          <w:highlight w:val="none"/>
        </w:rPr>
      </w:pPr>
    </w:p>
    <w:p>
      <w:pPr>
        <w:pStyle w:val="27"/>
        <w:adjustRightInd w:val="0"/>
        <w:snapToGrid w:val="0"/>
        <w:spacing w:line="360" w:lineRule="auto"/>
        <w:ind w:firstLine="420" w:firstLineChars="200"/>
        <w:rPr>
          <w:rFonts w:ascii="宋体" w:hAnsi="宋体"/>
          <w:bCs/>
          <w:sz w:val="21"/>
          <w:szCs w:val="21"/>
          <w:highlight w:val="none"/>
        </w:rPr>
      </w:pPr>
      <w:r>
        <w:rPr>
          <w:rFonts w:hint="eastAsia" w:ascii="宋体" w:hAnsi="宋体"/>
          <w:sz w:val="21"/>
          <w:szCs w:val="21"/>
          <w:highlight w:val="none"/>
        </w:rPr>
        <w:t>谈判单位名称：</w:t>
      </w:r>
      <w:r>
        <w:rPr>
          <w:rFonts w:hint="eastAsia" w:ascii="宋体" w:hAnsi="宋体"/>
          <w:sz w:val="21"/>
          <w:szCs w:val="21"/>
          <w:highlight w:val="none"/>
          <w:u w:val="single"/>
        </w:rPr>
        <w:t xml:space="preserve">    （盖单位章）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spacing w:line="360" w:lineRule="auto"/>
        <w:ind w:firstLine="420" w:firstLineChars="200"/>
        <w:rPr>
          <w:rFonts w:asci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jc w:val="center"/>
        <w:outlineLvl w:val="1"/>
        <w:rPr>
          <w:rFonts w:ascii="宋体" w:hAnsi="宋体"/>
          <w:b/>
          <w:szCs w:val="21"/>
          <w:highlight w:val="none"/>
        </w:rPr>
      </w:pPr>
    </w:p>
    <w:p>
      <w:pPr>
        <w:adjustRightInd w:val="0"/>
        <w:snapToGrid w:val="0"/>
        <w:jc w:val="center"/>
        <w:rPr>
          <w:rFonts w:ascii="黑体" w:hAnsi="宋体" w:eastAsia="黑体"/>
          <w:b/>
          <w:sz w:val="32"/>
          <w:szCs w:val="32"/>
          <w:highlight w:val="none"/>
        </w:rPr>
        <w:sectPr>
          <w:pgSz w:w="11906" w:h="16838"/>
          <w:pgMar w:top="1440" w:right="1797" w:bottom="1440" w:left="1797"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121" w:name="_Toc22739"/>
      <w:bookmarkStart w:id="122" w:name="_Toc9077"/>
      <w:bookmarkStart w:id="123" w:name="_Toc27585"/>
      <w:bookmarkStart w:id="124" w:name="_Toc28937"/>
      <w:bookmarkStart w:id="125" w:name="_Toc27293"/>
      <w:bookmarkStart w:id="126" w:name="_Toc16771"/>
      <w:r>
        <w:rPr>
          <w:rFonts w:hint="eastAsia" w:ascii="宋体" w:hAnsi="宋体" w:cs="宋体"/>
          <w:b/>
          <w:sz w:val="32"/>
          <w:szCs w:val="32"/>
          <w:highlight w:val="none"/>
          <w:lang w:val="en-US" w:eastAsia="zh-CN"/>
        </w:rPr>
        <w:t>七、其他资料</w:t>
      </w:r>
      <w:bookmarkEnd w:id="121"/>
      <w:bookmarkEnd w:id="122"/>
      <w:bookmarkEnd w:id="123"/>
      <w:r>
        <w:rPr>
          <w:rFonts w:hint="eastAsia" w:ascii="宋体" w:hAnsi="宋体" w:cs="宋体"/>
          <w:b/>
          <w:sz w:val="32"/>
          <w:szCs w:val="32"/>
          <w:highlight w:val="none"/>
          <w:lang w:val="en-US" w:eastAsia="zh-CN"/>
        </w:rPr>
        <w:t>（如有）</w:t>
      </w:r>
      <w:bookmarkEnd w:id="124"/>
      <w:bookmarkEnd w:id="125"/>
      <w:bookmarkEnd w:id="126"/>
    </w:p>
    <w:p>
      <w:pPr>
        <w:adjustRightInd w:val="0"/>
        <w:snapToGrid w:val="0"/>
        <w:spacing w:before="156" w:beforeLines="50" w:line="360" w:lineRule="auto"/>
        <w:ind w:firstLine="420" w:firstLineChars="200"/>
        <w:jc w:val="left"/>
        <w:rPr>
          <w:rFonts w:ascii="宋体" w:hAnsi="宋体"/>
          <w:szCs w:val="21"/>
          <w:highlight w:val="none"/>
        </w:rPr>
      </w:pPr>
      <w:bookmarkStart w:id="127" w:name="_Toc22084"/>
      <w:bookmarkStart w:id="128" w:name="_Toc5412"/>
      <w:bookmarkStart w:id="129" w:name="_Toc10648"/>
      <w:bookmarkStart w:id="130" w:name="_Toc18188"/>
      <w:r>
        <w:rPr>
          <w:rFonts w:hint="eastAsia" w:ascii="宋体" w:hAnsi="宋体"/>
          <w:szCs w:val="21"/>
          <w:highlight w:val="none"/>
        </w:rPr>
        <w:t>谈判单位认为需要提供的其他报价资料，格式自拟。</w:t>
      </w:r>
      <w:bookmarkEnd w:id="127"/>
      <w:bookmarkEnd w:id="128"/>
      <w:bookmarkEnd w:id="129"/>
      <w:bookmarkEnd w:id="130"/>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13"/>
                          </w:pP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CWacE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ZOQaEG6PCQuXfjLqCDUVwzEVRtNK5T34816yHn+j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4CWacEBAACOAwAADgAAAAAAAAABACAAAAAeAQAAZHJzL2Uyb0RvYy54bWxQSwUG&#10;AAAAAAYABgBZAQAAUQUAAAAA&#10;">
              <v:fill on="f" focussize="0,0"/>
              <v:stroke on="f"/>
              <v:imagedata o:title=""/>
              <o:lock v:ext="edit" aspectratio="f"/>
              <v:textbox inset="0mm,0mm,0mm,0mm" style="mso-fit-shape-to-text:t;">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13"/>
                    </w:pP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13"/>
                          </w:pP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cdx8IBAACO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LShy3OPHzzx/nX4/nh+/k&#10;T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bHHcfCAQAAjgMAAA4AAAAAAAAAAQAgAAAAHgEAAGRycy9lMm9Eb2MueG1sUEsF&#10;BgAAAAAGAAYAWQEAAFIFAAAAAA==&#10;">
              <v:fill on="f" focussize="0,0"/>
              <v:stroke on="f"/>
              <v:imagedata o:title=""/>
              <o:lock v:ext="edit" aspectratio="f"/>
              <v:textbox inset="0mm,0mm,0mm,0mm" style="mso-fit-shape-to-text:t;">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13"/>
                    </w:pP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OkLcYBAACc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SBJnLD04uefP86//px/f2fL&#10;pE/vsaKyO0+FcfgAA9XOcaRgoj20waYvEWKUJ6jTRV01RCbTpdVytSopJSk3O4RfPF33AeNHBZYl&#10;o+aBni+rKo6fMY6lc0nq5uBWG5Of0Li/AoQ5RlTegel2YjJOnKw47IaJ3g6aE7HraQ9q7mjtOTOf&#10;HMlM08bZCLOxm4zUEf37Q6Qx8nQJdYQiVsmhR8v8pgVLW/Hcz1VPP9Xm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Rc6QtxgEAAJwDAAAOAAAAAAAAAAEAIAAAAB4BAABkcnMvZTJvRG9jLnht&#10;bFBLBQYAAAAABgAGAFkBAABWBQAAAAA=&#10;">
              <v:fill on="f" focussize="0,0"/>
              <v:stroke on="f"/>
              <v:imagedata o:title=""/>
              <o:lock v:ext="edit" aspectratio="f"/>
              <v:textbox inset="0mm,0mm,0mm,0mm" style="mso-fit-shape-to-text:t;">
                <w:txbxContent>
                  <w:p>
                    <w:pPr>
                      <w:pStyle w:val="3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lear" w:pos="4153"/>
      </w:tabs>
      <w:ind w:firstLine="5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0"/>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5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30"/>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36502"/>
    <w:multiLevelType w:val="singleLevel"/>
    <w:tmpl w:val="BDE36502"/>
    <w:lvl w:ilvl="0" w:tentative="0">
      <w:start w:val="2"/>
      <w:numFmt w:val="chineseCounting"/>
      <w:suff w:val="space"/>
      <w:lvlText w:val="第%1部分"/>
      <w:lvlJc w:val="left"/>
      <w:rPr>
        <w:rFonts w:hint="eastAsia"/>
      </w:rPr>
    </w:lvl>
  </w:abstractNum>
  <w:abstractNum w:abstractNumId="1">
    <w:nsid w:val="F6853A79"/>
    <w:multiLevelType w:val="singleLevel"/>
    <w:tmpl w:val="F6853A79"/>
    <w:lvl w:ilvl="0" w:tentative="0">
      <w:start w:val="1"/>
      <w:numFmt w:val="chineseCounting"/>
      <w:suff w:val="space"/>
      <w:lvlText w:val="第%1章"/>
      <w:lvlJc w:val="left"/>
      <w:rPr>
        <w:rFonts w:hint="eastAsia"/>
      </w:rPr>
    </w:lvl>
  </w:abstractNum>
  <w:abstractNum w:abstractNumId="2">
    <w:nsid w:val="FE293A88"/>
    <w:multiLevelType w:val="singleLevel"/>
    <w:tmpl w:val="FE293A88"/>
    <w:lvl w:ilvl="0" w:tentative="0">
      <w:start w:val="3"/>
      <w:numFmt w:val="chineseCounting"/>
      <w:pStyle w:val="359"/>
      <w:suff w:val="nothing"/>
      <w:lvlText w:val="%1、"/>
      <w:lvlJc w:val="left"/>
      <w:rPr>
        <w:rFonts w:hint="eastAsia"/>
      </w:rPr>
    </w:lvl>
  </w:abstractNum>
  <w:abstractNum w:abstractNumId="3">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4">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A79326"/>
    <w:multiLevelType w:val="singleLevel"/>
    <w:tmpl w:val="27A79326"/>
    <w:lvl w:ilvl="0" w:tentative="0">
      <w:start w:val="1"/>
      <w:numFmt w:val="decimal"/>
      <w:suff w:val="nothing"/>
      <w:lvlText w:val="（%1）"/>
      <w:lvlJc w:val="left"/>
    </w:lvl>
  </w:abstractNum>
  <w:abstractNum w:abstractNumId="7">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3"/>
  </w:num>
  <w:num w:numId="2">
    <w:abstractNumId w:val="4"/>
  </w:num>
  <w:num w:numId="3">
    <w:abstractNumId w:val="2"/>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274C6"/>
    <w:rsid w:val="00052640"/>
    <w:rsid w:val="00063D15"/>
    <w:rsid w:val="00074928"/>
    <w:rsid w:val="00091C9D"/>
    <w:rsid w:val="000C106E"/>
    <w:rsid w:val="000C21C5"/>
    <w:rsid w:val="000E0193"/>
    <w:rsid w:val="000E7968"/>
    <w:rsid w:val="000F4DE1"/>
    <w:rsid w:val="00115FE6"/>
    <w:rsid w:val="00116BAE"/>
    <w:rsid w:val="001453A1"/>
    <w:rsid w:val="00162D59"/>
    <w:rsid w:val="00186162"/>
    <w:rsid w:val="0019086A"/>
    <w:rsid w:val="001A797B"/>
    <w:rsid w:val="001C23BF"/>
    <w:rsid w:val="001D6D72"/>
    <w:rsid w:val="001E02FE"/>
    <w:rsid w:val="002067E8"/>
    <w:rsid w:val="002069C8"/>
    <w:rsid w:val="00207D7C"/>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52A0"/>
    <w:rsid w:val="003268C0"/>
    <w:rsid w:val="00331810"/>
    <w:rsid w:val="003469C0"/>
    <w:rsid w:val="00357CE8"/>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6304B"/>
    <w:rsid w:val="00473865"/>
    <w:rsid w:val="0048093D"/>
    <w:rsid w:val="00495DBC"/>
    <w:rsid w:val="00495F57"/>
    <w:rsid w:val="004978CA"/>
    <w:rsid w:val="004A3B1E"/>
    <w:rsid w:val="004B3D80"/>
    <w:rsid w:val="004B41B1"/>
    <w:rsid w:val="00504DED"/>
    <w:rsid w:val="00526589"/>
    <w:rsid w:val="00545140"/>
    <w:rsid w:val="0055214F"/>
    <w:rsid w:val="005556A5"/>
    <w:rsid w:val="0056117D"/>
    <w:rsid w:val="0056143E"/>
    <w:rsid w:val="005837A3"/>
    <w:rsid w:val="0058754B"/>
    <w:rsid w:val="005901FF"/>
    <w:rsid w:val="005B35B9"/>
    <w:rsid w:val="005C688B"/>
    <w:rsid w:val="005E6BBB"/>
    <w:rsid w:val="005F3CDF"/>
    <w:rsid w:val="00607C42"/>
    <w:rsid w:val="00632112"/>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93ABB"/>
    <w:rsid w:val="0079784E"/>
    <w:rsid w:val="007D0446"/>
    <w:rsid w:val="007F3811"/>
    <w:rsid w:val="00802770"/>
    <w:rsid w:val="0081382B"/>
    <w:rsid w:val="00820369"/>
    <w:rsid w:val="0084147A"/>
    <w:rsid w:val="00842E06"/>
    <w:rsid w:val="0084367C"/>
    <w:rsid w:val="008511F3"/>
    <w:rsid w:val="00864C78"/>
    <w:rsid w:val="00884CC5"/>
    <w:rsid w:val="008B6242"/>
    <w:rsid w:val="008C7C9F"/>
    <w:rsid w:val="008D7CB4"/>
    <w:rsid w:val="00901FFA"/>
    <w:rsid w:val="00915948"/>
    <w:rsid w:val="00923E97"/>
    <w:rsid w:val="009407F4"/>
    <w:rsid w:val="009955C7"/>
    <w:rsid w:val="009A5642"/>
    <w:rsid w:val="009B5270"/>
    <w:rsid w:val="009C10AF"/>
    <w:rsid w:val="009D41D7"/>
    <w:rsid w:val="009D7D4A"/>
    <w:rsid w:val="009E03FD"/>
    <w:rsid w:val="009E2384"/>
    <w:rsid w:val="00A34DC1"/>
    <w:rsid w:val="00A41E73"/>
    <w:rsid w:val="00A46FA2"/>
    <w:rsid w:val="00A618F2"/>
    <w:rsid w:val="00A61CCE"/>
    <w:rsid w:val="00A718F4"/>
    <w:rsid w:val="00A92B7C"/>
    <w:rsid w:val="00AA1709"/>
    <w:rsid w:val="00AA21B6"/>
    <w:rsid w:val="00AB013C"/>
    <w:rsid w:val="00AB1434"/>
    <w:rsid w:val="00AC26D2"/>
    <w:rsid w:val="00AD0A1B"/>
    <w:rsid w:val="00AD758B"/>
    <w:rsid w:val="00AF11ED"/>
    <w:rsid w:val="00B01BA0"/>
    <w:rsid w:val="00B2613B"/>
    <w:rsid w:val="00B74689"/>
    <w:rsid w:val="00B82298"/>
    <w:rsid w:val="00B832A9"/>
    <w:rsid w:val="00B92FA2"/>
    <w:rsid w:val="00BD47EB"/>
    <w:rsid w:val="00BD51DE"/>
    <w:rsid w:val="00BE15B5"/>
    <w:rsid w:val="00C0069B"/>
    <w:rsid w:val="00C1468A"/>
    <w:rsid w:val="00C20479"/>
    <w:rsid w:val="00C21D69"/>
    <w:rsid w:val="00C24579"/>
    <w:rsid w:val="00C26D33"/>
    <w:rsid w:val="00C34E11"/>
    <w:rsid w:val="00C5139E"/>
    <w:rsid w:val="00C532E5"/>
    <w:rsid w:val="00C57914"/>
    <w:rsid w:val="00C6008B"/>
    <w:rsid w:val="00C65729"/>
    <w:rsid w:val="00C758E3"/>
    <w:rsid w:val="00CB534B"/>
    <w:rsid w:val="00CE51F2"/>
    <w:rsid w:val="00CE631C"/>
    <w:rsid w:val="00CE703D"/>
    <w:rsid w:val="00CF0192"/>
    <w:rsid w:val="00CF040C"/>
    <w:rsid w:val="00D069C6"/>
    <w:rsid w:val="00D06F8A"/>
    <w:rsid w:val="00D164FE"/>
    <w:rsid w:val="00D31733"/>
    <w:rsid w:val="00D43330"/>
    <w:rsid w:val="00D45708"/>
    <w:rsid w:val="00D6362F"/>
    <w:rsid w:val="00D84A7F"/>
    <w:rsid w:val="00D95761"/>
    <w:rsid w:val="00D958E3"/>
    <w:rsid w:val="00DA51BD"/>
    <w:rsid w:val="00DE5673"/>
    <w:rsid w:val="00DF363F"/>
    <w:rsid w:val="00E04FD6"/>
    <w:rsid w:val="00E24889"/>
    <w:rsid w:val="00E32EEF"/>
    <w:rsid w:val="00E342DB"/>
    <w:rsid w:val="00E5084D"/>
    <w:rsid w:val="00E60C44"/>
    <w:rsid w:val="00E74692"/>
    <w:rsid w:val="00E761DC"/>
    <w:rsid w:val="00E77817"/>
    <w:rsid w:val="00E944EE"/>
    <w:rsid w:val="00EC7F43"/>
    <w:rsid w:val="00EF6911"/>
    <w:rsid w:val="00F00894"/>
    <w:rsid w:val="00F13723"/>
    <w:rsid w:val="00F175B5"/>
    <w:rsid w:val="00F338DB"/>
    <w:rsid w:val="00F37996"/>
    <w:rsid w:val="00F410E0"/>
    <w:rsid w:val="00F52B22"/>
    <w:rsid w:val="00F579E9"/>
    <w:rsid w:val="00FA17B5"/>
    <w:rsid w:val="00FA6734"/>
    <w:rsid w:val="00FD23AB"/>
    <w:rsid w:val="00FE331E"/>
    <w:rsid w:val="00FE3699"/>
    <w:rsid w:val="00FE6AFF"/>
    <w:rsid w:val="01375331"/>
    <w:rsid w:val="01403F6F"/>
    <w:rsid w:val="014D6F55"/>
    <w:rsid w:val="01900CD7"/>
    <w:rsid w:val="01932790"/>
    <w:rsid w:val="01954694"/>
    <w:rsid w:val="01EA6EEC"/>
    <w:rsid w:val="01F95304"/>
    <w:rsid w:val="021B19D1"/>
    <w:rsid w:val="022573A2"/>
    <w:rsid w:val="02263AD9"/>
    <w:rsid w:val="024C0DC0"/>
    <w:rsid w:val="02787973"/>
    <w:rsid w:val="02787D91"/>
    <w:rsid w:val="029A1968"/>
    <w:rsid w:val="02AB7973"/>
    <w:rsid w:val="02BF5617"/>
    <w:rsid w:val="02FB4FEB"/>
    <w:rsid w:val="0347095C"/>
    <w:rsid w:val="03727DAF"/>
    <w:rsid w:val="03D41287"/>
    <w:rsid w:val="03F31A5E"/>
    <w:rsid w:val="03F91117"/>
    <w:rsid w:val="03FC0CEA"/>
    <w:rsid w:val="04240981"/>
    <w:rsid w:val="042B3AFB"/>
    <w:rsid w:val="04EE0D07"/>
    <w:rsid w:val="054E6891"/>
    <w:rsid w:val="05EB6762"/>
    <w:rsid w:val="05F777CC"/>
    <w:rsid w:val="061842D1"/>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8A78E0"/>
    <w:rsid w:val="089F6734"/>
    <w:rsid w:val="09022AA6"/>
    <w:rsid w:val="093252EE"/>
    <w:rsid w:val="09422E59"/>
    <w:rsid w:val="094A4EE7"/>
    <w:rsid w:val="0959407C"/>
    <w:rsid w:val="097D1C20"/>
    <w:rsid w:val="098A3350"/>
    <w:rsid w:val="099143C9"/>
    <w:rsid w:val="09A23D38"/>
    <w:rsid w:val="09AB154E"/>
    <w:rsid w:val="0A2948BE"/>
    <w:rsid w:val="0A316A36"/>
    <w:rsid w:val="0A451CA7"/>
    <w:rsid w:val="0AE24958"/>
    <w:rsid w:val="0AF5398A"/>
    <w:rsid w:val="0AF74A1D"/>
    <w:rsid w:val="0B4432D5"/>
    <w:rsid w:val="0B590F4A"/>
    <w:rsid w:val="0B623D9F"/>
    <w:rsid w:val="0B8511E8"/>
    <w:rsid w:val="0BAA700E"/>
    <w:rsid w:val="0BEB10E2"/>
    <w:rsid w:val="0C1A66D1"/>
    <w:rsid w:val="0C411CD0"/>
    <w:rsid w:val="0C5B1FA9"/>
    <w:rsid w:val="0C8E4136"/>
    <w:rsid w:val="0CA062F8"/>
    <w:rsid w:val="0CED2457"/>
    <w:rsid w:val="0D2C1377"/>
    <w:rsid w:val="0D407C62"/>
    <w:rsid w:val="0D5C5AB2"/>
    <w:rsid w:val="0D614F04"/>
    <w:rsid w:val="0D6A4C3D"/>
    <w:rsid w:val="0D6B79A8"/>
    <w:rsid w:val="0D9E6BAD"/>
    <w:rsid w:val="0DBD7268"/>
    <w:rsid w:val="0DCC335E"/>
    <w:rsid w:val="0DF87606"/>
    <w:rsid w:val="0E04554D"/>
    <w:rsid w:val="0E0C0187"/>
    <w:rsid w:val="0E94477A"/>
    <w:rsid w:val="0EBC2000"/>
    <w:rsid w:val="0EEF718A"/>
    <w:rsid w:val="0F143C2E"/>
    <w:rsid w:val="0F340DCE"/>
    <w:rsid w:val="0F3918CC"/>
    <w:rsid w:val="0F397095"/>
    <w:rsid w:val="0FD663C6"/>
    <w:rsid w:val="0FEA3549"/>
    <w:rsid w:val="0FED06EC"/>
    <w:rsid w:val="1008523D"/>
    <w:rsid w:val="10190CBD"/>
    <w:rsid w:val="102D14D1"/>
    <w:rsid w:val="10A05079"/>
    <w:rsid w:val="10D355A2"/>
    <w:rsid w:val="11342822"/>
    <w:rsid w:val="1165541F"/>
    <w:rsid w:val="117935E0"/>
    <w:rsid w:val="118640B3"/>
    <w:rsid w:val="11F04209"/>
    <w:rsid w:val="11F35B70"/>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C87235"/>
    <w:rsid w:val="13DC2553"/>
    <w:rsid w:val="14215CAB"/>
    <w:rsid w:val="149B2B25"/>
    <w:rsid w:val="157939BE"/>
    <w:rsid w:val="15B360ED"/>
    <w:rsid w:val="15F25C65"/>
    <w:rsid w:val="161C194F"/>
    <w:rsid w:val="167D6633"/>
    <w:rsid w:val="16C7330C"/>
    <w:rsid w:val="16CE41FA"/>
    <w:rsid w:val="16E77616"/>
    <w:rsid w:val="16F862E2"/>
    <w:rsid w:val="170A508C"/>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670F56"/>
    <w:rsid w:val="1C71170A"/>
    <w:rsid w:val="1CE400B3"/>
    <w:rsid w:val="1D2119DA"/>
    <w:rsid w:val="1D481945"/>
    <w:rsid w:val="1D89780A"/>
    <w:rsid w:val="1D9F6122"/>
    <w:rsid w:val="1E2B1E83"/>
    <w:rsid w:val="1E453774"/>
    <w:rsid w:val="1E5E5C12"/>
    <w:rsid w:val="1E7277E4"/>
    <w:rsid w:val="1E8D7EC4"/>
    <w:rsid w:val="1EB05FC3"/>
    <w:rsid w:val="1EB57C64"/>
    <w:rsid w:val="1EB75293"/>
    <w:rsid w:val="1EDD61C5"/>
    <w:rsid w:val="1EE456C8"/>
    <w:rsid w:val="1EFA23B0"/>
    <w:rsid w:val="1F2F00D5"/>
    <w:rsid w:val="1F375C0D"/>
    <w:rsid w:val="1F3D0CE1"/>
    <w:rsid w:val="1F413875"/>
    <w:rsid w:val="1F541C2F"/>
    <w:rsid w:val="1FA7260B"/>
    <w:rsid w:val="1FD8799D"/>
    <w:rsid w:val="1FEE3736"/>
    <w:rsid w:val="2034266D"/>
    <w:rsid w:val="20441BF7"/>
    <w:rsid w:val="20567811"/>
    <w:rsid w:val="207B20B8"/>
    <w:rsid w:val="20AE2C72"/>
    <w:rsid w:val="20C87EE6"/>
    <w:rsid w:val="20DF6696"/>
    <w:rsid w:val="21156537"/>
    <w:rsid w:val="218469C1"/>
    <w:rsid w:val="21FB6487"/>
    <w:rsid w:val="221B3580"/>
    <w:rsid w:val="22620C72"/>
    <w:rsid w:val="22754B37"/>
    <w:rsid w:val="22AE5F02"/>
    <w:rsid w:val="22E54FD6"/>
    <w:rsid w:val="24091012"/>
    <w:rsid w:val="24552B00"/>
    <w:rsid w:val="24582CE4"/>
    <w:rsid w:val="24644BDE"/>
    <w:rsid w:val="246C3202"/>
    <w:rsid w:val="24CD7C86"/>
    <w:rsid w:val="250462EA"/>
    <w:rsid w:val="252D7657"/>
    <w:rsid w:val="25355DF2"/>
    <w:rsid w:val="25390605"/>
    <w:rsid w:val="253A3746"/>
    <w:rsid w:val="25671777"/>
    <w:rsid w:val="256C29A0"/>
    <w:rsid w:val="25752417"/>
    <w:rsid w:val="25933BDB"/>
    <w:rsid w:val="25B66BA8"/>
    <w:rsid w:val="25DD4747"/>
    <w:rsid w:val="25E70ABF"/>
    <w:rsid w:val="25EF71CB"/>
    <w:rsid w:val="266E4660"/>
    <w:rsid w:val="26CF4594"/>
    <w:rsid w:val="271E4DAB"/>
    <w:rsid w:val="274759C4"/>
    <w:rsid w:val="274B7559"/>
    <w:rsid w:val="27944F81"/>
    <w:rsid w:val="28166B73"/>
    <w:rsid w:val="282442D9"/>
    <w:rsid w:val="284367B5"/>
    <w:rsid w:val="285718A5"/>
    <w:rsid w:val="28CB466F"/>
    <w:rsid w:val="28EB4C69"/>
    <w:rsid w:val="28F865CB"/>
    <w:rsid w:val="29053276"/>
    <w:rsid w:val="29250E1B"/>
    <w:rsid w:val="295A53EB"/>
    <w:rsid w:val="29803AA3"/>
    <w:rsid w:val="29884B07"/>
    <w:rsid w:val="298957C4"/>
    <w:rsid w:val="29DF4E52"/>
    <w:rsid w:val="2A1D6A45"/>
    <w:rsid w:val="2A582ED3"/>
    <w:rsid w:val="2A6F6EBA"/>
    <w:rsid w:val="2A830C79"/>
    <w:rsid w:val="2AD11736"/>
    <w:rsid w:val="2B1029CF"/>
    <w:rsid w:val="2B1D6E88"/>
    <w:rsid w:val="2B5F0E77"/>
    <w:rsid w:val="2B7F64C1"/>
    <w:rsid w:val="2BA3212D"/>
    <w:rsid w:val="2BE7007A"/>
    <w:rsid w:val="2BFE408A"/>
    <w:rsid w:val="2C234403"/>
    <w:rsid w:val="2C754C1B"/>
    <w:rsid w:val="2C7E307C"/>
    <w:rsid w:val="2CB607A0"/>
    <w:rsid w:val="2CDF0482"/>
    <w:rsid w:val="2D22640D"/>
    <w:rsid w:val="2D464D5F"/>
    <w:rsid w:val="2D4E5097"/>
    <w:rsid w:val="2D592D22"/>
    <w:rsid w:val="2DDF2977"/>
    <w:rsid w:val="2DFB00B5"/>
    <w:rsid w:val="2E697CA3"/>
    <w:rsid w:val="2E6D4E98"/>
    <w:rsid w:val="2E7931EC"/>
    <w:rsid w:val="2E7B0389"/>
    <w:rsid w:val="2E944745"/>
    <w:rsid w:val="2E9705D3"/>
    <w:rsid w:val="2E9C3022"/>
    <w:rsid w:val="2EBE0475"/>
    <w:rsid w:val="2EC1790D"/>
    <w:rsid w:val="2EE23871"/>
    <w:rsid w:val="2F162EAC"/>
    <w:rsid w:val="2F1D1D68"/>
    <w:rsid w:val="2F2A65B2"/>
    <w:rsid w:val="2F6C2DFA"/>
    <w:rsid w:val="3017169E"/>
    <w:rsid w:val="3022617D"/>
    <w:rsid w:val="30464B56"/>
    <w:rsid w:val="30473068"/>
    <w:rsid w:val="307C2C0D"/>
    <w:rsid w:val="30967620"/>
    <w:rsid w:val="30BD1FE5"/>
    <w:rsid w:val="30F36C74"/>
    <w:rsid w:val="30F90CD1"/>
    <w:rsid w:val="30F9318B"/>
    <w:rsid w:val="31272F44"/>
    <w:rsid w:val="313411D8"/>
    <w:rsid w:val="31936105"/>
    <w:rsid w:val="31AE740B"/>
    <w:rsid w:val="31B658D4"/>
    <w:rsid w:val="32316E69"/>
    <w:rsid w:val="325B404D"/>
    <w:rsid w:val="32887E5F"/>
    <w:rsid w:val="329A50AF"/>
    <w:rsid w:val="329E5AD1"/>
    <w:rsid w:val="32AB26C8"/>
    <w:rsid w:val="32CC51E5"/>
    <w:rsid w:val="32E6051A"/>
    <w:rsid w:val="32E626B5"/>
    <w:rsid w:val="32F33B15"/>
    <w:rsid w:val="33A718ED"/>
    <w:rsid w:val="33AA3E3F"/>
    <w:rsid w:val="34AC6BE3"/>
    <w:rsid w:val="34EB329F"/>
    <w:rsid w:val="34FE1F7D"/>
    <w:rsid w:val="35075DF5"/>
    <w:rsid w:val="35270865"/>
    <w:rsid w:val="35C42A65"/>
    <w:rsid w:val="3609516B"/>
    <w:rsid w:val="361B7BDC"/>
    <w:rsid w:val="364221AD"/>
    <w:rsid w:val="36627D01"/>
    <w:rsid w:val="36AC6FD2"/>
    <w:rsid w:val="36AE45FE"/>
    <w:rsid w:val="36D4159F"/>
    <w:rsid w:val="36E67798"/>
    <w:rsid w:val="36FF0DB1"/>
    <w:rsid w:val="37067020"/>
    <w:rsid w:val="372649E2"/>
    <w:rsid w:val="372C59AA"/>
    <w:rsid w:val="373000B7"/>
    <w:rsid w:val="376E70A4"/>
    <w:rsid w:val="37824D2F"/>
    <w:rsid w:val="37921B32"/>
    <w:rsid w:val="37963F54"/>
    <w:rsid w:val="379A6B89"/>
    <w:rsid w:val="37BF2E3D"/>
    <w:rsid w:val="37D107AA"/>
    <w:rsid w:val="37FD7E74"/>
    <w:rsid w:val="38926D93"/>
    <w:rsid w:val="38B04B0E"/>
    <w:rsid w:val="38F436E5"/>
    <w:rsid w:val="38FD54AF"/>
    <w:rsid w:val="390741E5"/>
    <w:rsid w:val="391F264A"/>
    <w:rsid w:val="39243472"/>
    <w:rsid w:val="392B2144"/>
    <w:rsid w:val="394205BC"/>
    <w:rsid w:val="3997588E"/>
    <w:rsid w:val="39B46D56"/>
    <w:rsid w:val="39C828E7"/>
    <w:rsid w:val="39DD557C"/>
    <w:rsid w:val="39FC4298"/>
    <w:rsid w:val="3A4536A9"/>
    <w:rsid w:val="3A552184"/>
    <w:rsid w:val="3A634794"/>
    <w:rsid w:val="3A800711"/>
    <w:rsid w:val="3A810CA0"/>
    <w:rsid w:val="3A96496C"/>
    <w:rsid w:val="3A9F3479"/>
    <w:rsid w:val="3ABC7EEE"/>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3FFD7E39"/>
    <w:rsid w:val="401924B3"/>
    <w:rsid w:val="401F021A"/>
    <w:rsid w:val="404148A6"/>
    <w:rsid w:val="40572AB6"/>
    <w:rsid w:val="405D3459"/>
    <w:rsid w:val="4068264C"/>
    <w:rsid w:val="4070225D"/>
    <w:rsid w:val="407728FD"/>
    <w:rsid w:val="40CA0DB3"/>
    <w:rsid w:val="40DC5CDB"/>
    <w:rsid w:val="410603FC"/>
    <w:rsid w:val="410D06B8"/>
    <w:rsid w:val="41A274B6"/>
    <w:rsid w:val="41C034AF"/>
    <w:rsid w:val="41E85DF3"/>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B6B8D"/>
    <w:rsid w:val="452B5C67"/>
    <w:rsid w:val="45F8252B"/>
    <w:rsid w:val="46012986"/>
    <w:rsid w:val="46153B79"/>
    <w:rsid w:val="4625595A"/>
    <w:rsid w:val="462F56C6"/>
    <w:rsid w:val="4655670F"/>
    <w:rsid w:val="46CD6A3D"/>
    <w:rsid w:val="46D23AA8"/>
    <w:rsid w:val="46D446A7"/>
    <w:rsid w:val="47165D61"/>
    <w:rsid w:val="471E287B"/>
    <w:rsid w:val="475D1752"/>
    <w:rsid w:val="47767BD4"/>
    <w:rsid w:val="477D0471"/>
    <w:rsid w:val="47FB44E3"/>
    <w:rsid w:val="4804332F"/>
    <w:rsid w:val="488A747A"/>
    <w:rsid w:val="489640A7"/>
    <w:rsid w:val="489E300A"/>
    <w:rsid w:val="49416B4A"/>
    <w:rsid w:val="4955748F"/>
    <w:rsid w:val="49694B92"/>
    <w:rsid w:val="49737357"/>
    <w:rsid w:val="4A0366CF"/>
    <w:rsid w:val="4A256483"/>
    <w:rsid w:val="4A38641F"/>
    <w:rsid w:val="4A800E57"/>
    <w:rsid w:val="4A9F5D83"/>
    <w:rsid w:val="4AB52052"/>
    <w:rsid w:val="4AF859CC"/>
    <w:rsid w:val="4B02599B"/>
    <w:rsid w:val="4B165079"/>
    <w:rsid w:val="4B657DEC"/>
    <w:rsid w:val="4B6F63D5"/>
    <w:rsid w:val="4B8152D3"/>
    <w:rsid w:val="4B965649"/>
    <w:rsid w:val="4BBA0F4B"/>
    <w:rsid w:val="4BC001E9"/>
    <w:rsid w:val="4BC03621"/>
    <w:rsid w:val="4BC22F72"/>
    <w:rsid w:val="4BEC1DA9"/>
    <w:rsid w:val="4C454D9D"/>
    <w:rsid w:val="4C6D4FD8"/>
    <w:rsid w:val="4C956109"/>
    <w:rsid w:val="4CB12B2C"/>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E0D177C"/>
    <w:rsid w:val="4E6E459C"/>
    <w:rsid w:val="4E98618A"/>
    <w:rsid w:val="4E9D352C"/>
    <w:rsid w:val="4EB95E17"/>
    <w:rsid w:val="4F6B02B8"/>
    <w:rsid w:val="4FA43165"/>
    <w:rsid w:val="4FB6214D"/>
    <w:rsid w:val="4FFA2095"/>
    <w:rsid w:val="50744E04"/>
    <w:rsid w:val="50E65CE2"/>
    <w:rsid w:val="511E0033"/>
    <w:rsid w:val="51202751"/>
    <w:rsid w:val="51366F1E"/>
    <w:rsid w:val="5143280B"/>
    <w:rsid w:val="51546F21"/>
    <w:rsid w:val="518A1586"/>
    <w:rsid w:val="51A86476"/>
    <w:rsid w:val="51B401DE"/>
    <w:rsid w:val="51DD620D"/>
    <w:rsid w:val="51F83F85"/>
    <w:rsid w:val="52051862"/>
    <w:rsid w:val="52245275"/>
    <w:rsid w:val="52261884"/>
    <w:rsid w:val="522A5D40"/>
    <w:rsid w:val="52535651"/>
    <w:rsid w:val="53163533"/>
    <w:rsid w:val="53EC2A4F"/>
    <w:rsid w:val="5444354A"/>
    <w:rsid w:val="54696247"/>
    <w:rsid w:val="547A6B2A"/>
    <w:rsid w:val="54C51909"/>
    <w:rsid w:val="551D6AF9"/>
    <w:rsid w:val="553C37DA"/>
    <w:rsid w:val="55A60ADC"/>
    <w:rsid w:val="55B873B9"/>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0A5802"/>
    <w:rsid w:val="5812512F"/>
    <w:rsid w:val="588C140C"/>
    <w:rsid w:val="58B21650"/>
    <w:rsid w:val="58C00F3E"/>
    <w:rsid w:val="59103E6F"/>
    <w:rsid w:val="59373C72"/>
    <w:rsid w:val="5945207E"/>
    <w:rsid w:val="595B4F2E"/>
    <w:rsid w:val="596C42A4"/>
    <w:rsid w:val="596D221D"/>
    <w:rsid w:val="59A237B5"/>
    <w:rsid w:val="59A77712"/>
    <w:rsid w:val="59B02759"/>
    <w:rsid w:val="5A112694"/>
    <w:rsid w:val="5A7122F9"/>
    <w:rsid w:val="5A72604D"/>
    <w:rsid w:val="5A7F77CE"/>
    <w:rsid w:val="5AA20C09"/>
    <w:rsid w:val="5ABC5F71"/>
    <w:rsid w:val="5AF81EC0"/>
    <w:rsid w:val="5B0E4DAE"/>
    <w:rsid w:val="5B0E6862"/>
    <w:rsid w:val="5B58464F"/>
    <w:rsid w:val="5B8509D1"/>
    <w:rsid w:val="5B90297B"/>
    <w:rsid w:val="5BB60639"/>
    <w:rsid w:val="5C11606C"/>
    <w:rsid w:val="5C2A6C04"/>
    <w:rsid w:val="5C4E0A2D"/>
    <w:rsid w:val="5C524815"/>
    <w:rsid w:val="5C64452B"/>
    <w:rsid w:val="5C7719CE"/>
    <w:rsid w:val="5C8E79BD"/>
    <w:rsid w:val="5CFF599B"/>
    <w:rsid w:val="5D2719C9"/>
    <w:rsid w:val="5D2773E7"/>
    <w:rsid w:val="5D285026"/>
    <w:rsid w:val="5D5C0E3F"/>
    <w:rsid w:val="5D5E619D"/>
    <w:rsid w:val="5D697358"/>
    <w:rsid w:val="5D747A99"/>
    <w:rsid w:val="5D9249ED"/>
    <w:rsid w:val="5DA1646B"/>
    <w:rsid w:val="5DDC5DDB"/>
    <w:rsid w:val="5DF04FFA"/>
    <w:rsid w:val="5E063C72"/>
    <w:rsid w:val="5E19167C"/>
    <w:rsid w:val="5E3C01D4"/>
    <w:rsid w:val="5E5073CC"/>
    <w:rsid w:val="5E6F443D"/>
    <w:rsid w:val="5E70354F"/>
    <w:rsid w:val="5E8C7523"/>
    <w:rsid w:val="5E94632E"/>
    <w:rsid w:val="5E9C2B92"/>
    <w:rsid w:val="5ECB7A33"/>
    <w:rsid w:val="5EF2227C"/>
    <w:rsid w:val="5F111534"/>
    <w:rsid w:val="5F2E484C"/>
    <w:rsid w:val="5FAA1F53"/>
    <w:rsid w:val="5FBC6FFC"/>
    <w:rsid w:val="5FC55AAA"/>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8F0CB8"/>
    <w:rsid w:val="619B0A4D"/>
    <w:rsid w:val="619E6915"/>
    <w:rsid w:val="61BC5698"/>
    <w:rsid w:val="61C05E29"/>
    <w:rsid w:val="61E220CA"/>
    <w:rsid w:val="621F3A28"/>
    <w:rsid w:val="623817CD"/>
    <w:rsid w:val="623D05EF"/>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27E7D"/>
    <w:rsid w:val="644D4301"/>
    <w:rsid w:val="6477289B"/>
    <w:rsid w:val="649176C0"/>
    <w:rsid w:val="64987293"/>
    <w:rsid w:val="649E57C1"/>
    <w:rsid w:val="64A11F98"/>
    <w:rsid w:val="64D179F6"/>
    <w:rsid w:val="64D442AC"/>
    <w:rsid w:val="650401CF"/>
    <w:rsid w:val="65040F88"/>
    <w:rsid w:val="652A322E"/>
    <w:rsid w:val="653D52DC"/>
    <w:rsid w:val="655373D5"/>
    <w:rsid w:val="65A300A1"/>
    <w:rsid w:val="65DB5C3D"/>
    <w:rsid w:val="65DC330D"/>
    <w:rsid w:val="65DE6E4F"/>
    <w:rsid w:val="66126967"/>
    <w:rsid w:val="66780DEE"/>
    <w:rsid w:val="668E1E21"/>
    <w:rsid w:val="66926F8C"/>
    <w:rsid w:val="66966882"/>
    <w:rsid w:val="66F269C9"/>
    <w:rsid w:val="67285BDC"/>
    <w:rsid w:val="67C1521F"/>
    <w:rsid w:val="67FB2FC2"/>
    <w:rsid w:val="6838125F"/>
    <w:rsid w:val="68465D84"/>
    <w:rsid w:val="684945F7"/>
    <w:rsid w:val="684E7153"/>
    <w:rsid w:val="68942469"/>
    <w:rsid w:val="68996F46"/>
    <w:rsid w:val="68A270B1"/>
    <w:rsid w:val="69522C18"/>
    <w:rsid w:val="69A85914"/>
    <w:rsid w:val="69B54893"/>
    <w:rsid w:val="69D41E73"/>
    <w:rsid w:val="69F0666F"/>
    <w:rsid w:val="69FA018D"/>
    <w:rsid w:val="6A25465E"/>
    <w:rsid w:val="6A3A09AD"/>
    <w:rsid w:val="6A572716"/>
    <w:rsid w:val="6A87076D"/>
    <w:rsid w:val="6A9454E3"/>
    <w:rsid w:val="6A945F72"/>
    <w:rsid w:val="6ACF2D0F"/>
    <w:rsid w:val="6AFC23BD"/>
    <w:rsid w:val="6B287CCA"/>
    <w:rsid w:val="6B37191E"/>
    <w:rsid w:val="6BA33D44"/>
    <w:rsid w:val="6C3A4C18"/>
    <w:rsid w:val="6C4068D5"/>
    <w:rsid w:val="6C8568B5"/>
    <w:rsid w:val="6CB00C5D"/>
    <w:rsid w:val="6D0441AB"/>
    <w:rsid w:val="6D481945"/>
    <w:rsid w:val="6D6650F6"/>
    <w:rsid w:val="6D6D32A5"/>
    <w:rsid w:val="6D96704E"/>
    <w:rsid w:val="6E661055"/>
    <w:rsid w:val="6ECD14C3"/>
    <w:rsid w:val="6EF06A3A"/>
    <w:rsid w:val="6F231086"/>
    <w:rsid w:val="6F2C1077"/>
    <w:rsid w:val="6F4412DE"/>
    <w:rsid w:val="6FB01FF6"/>
    <w:rsid w:val="702D3037"/>
    <w:rsid w:val="70854008"/>
    <w:rsid w:val="70A00296"/>
    <w:rsid w:val="724A22F3"/>
    <w:rsid w:val="72525910"/>
    <w:rsid w:val="7272141E"/>
    <w:rsid w:val="729A51BF"/>
    <w:rsid w:val="72C31F67"/>
    <w:rsid w:val="730F24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6E7048B"/>
    <w:rsid w:val="770E1C48"/>
    <w:rsid w:val="771405C6"/>
    <w:rsid w:val="77186802"/>
    <w:rsid w:val="77244002"/>
    <w:rsid w:val="7759121E"/>
    <w:rsid w:val="778C19C1"/>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0962CE"/>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1B7366"/>
    <w:rsid w:val="7D2D7E4F"/>
    <w:rsid w:val="7D3D1C6F"/>
    <w:rsid w:val="7D677171"/>
    <w:rsid w:val="7D7D2444"/>
    <w:rsid w:val="7DA97531"/>
    <w:rsid w:val="7DC17AA5"/>
    <w:rsid w:val="7E3F400C"/>
    <w:rsid w:val="7E3F5C67"/>
    <w:rsid w:val="7E485A8B"/>
    <w:rsid w:val="7E710432"/>
    <w:rsid w:val="7E784FFE"/>
    <w:rsid w:val="7F0D36A8"/>
    <w:rsid w:val="7F0D6F9B"/>
    <w:rsid w:val="7F267E5E"/>
    <w:rsid w:val="7F511034"/>
    <w:rsid w:val="7FB12B06"/>
    <w:rsid w:val="7FD70D1B"/>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8"/>
    <w:qFormat/>
    <w:uiPriority w:val="99"/>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table of authorities"/>
    <w:basedOn w:val="1"/>
    <w:next w:val="1"/>
    <w:qFormat/>
    <w:uiPriority w:val="99"/>
    <w:pPr>
      <w:ind w:left="420" w:leftChars="200"/>
    </w:pPr>
  </w:style>
  <w:style w:type="paragraph" w:styleId="14">
    <w:name w:val="Normal Indent"/>
    <w:basedOn w:val="1"/>
    <w:link w:val="294"/>
    <w:qFormat/>
    <w:uiPriority w:val="99"/>
    <w:pPr>
      <w:widowControl/>
      <w:ind w:firstLine="420"/>
      <w:jc w:val="left"/>
    </w:pPr>
    <w:rPr>
      <w:kern w:val="0"/>
      <w:sz w:val="20"/>
      <w:szCs w:val="20"/>
    </w:rPr>
  </w:style>
  <w:style w:type="paragraph" w:styleId="15">
    <w:name w:val="Document Map"/>
    <w:basedOn w:val="1"/>
    <w:link w:val="128"/>
    <w:qFormat/>
    <w:uiPriority w:val="0"/>
    <w:pPr>
      <w:shd w:val="clear" w:color="auto" w:fill="000080"/>
    </w:pPr>
  </w:style>
  <w:style w:type="paragraph" w:styleId="16">
    <w:name w:val="toa heading"/>
    <w:basedOn w:val="1"/>
    <w:next w:val="1"/>
    <w:unhideWhenUsed/>
    <w:qFormat/>
    <w:uiPriority w:val="0"/>
    <w:pPr>
      <w:spacing w:before="120"/>
    </w:pPr>
    <w:rPr>
      <w:rFonts w:hint="eastAsia" w:ascii="Arial" w:hAnsi="Arial"/>
    </w:rPr>
  </w:style>
  <w:style w:type="paragraph" w:styleId="17">
    <w:name w:val="annotation text"/>
    <w:basedOn w:val="1"/>
    <w:link w:val="110"/>
    <w:unhideWhenUsed/>
    <w:qFormat/>
    <w:uiPriority w:val="99"/>
    <w:pPr>
      <w:jc w:val="left"/>
    </w:pPr>
  </w:style>
  <w:style w:type="paragraph" w:styleId="18">
    <w:name w:val="Salutation"/>
    <w:basedOn w:val="1"/>
    <w:next w:val="1"/>
    <w:link w:val="115"/>
    <w:qFormat/>
    <w:uiPriority w:val="0"/>
    <w:rPr>
      <w:rFonts w:ascii="仿宋_GB2312" w:eastAsia="仿宋_GB2312"/>
      <w:sz w:val="24"/>
    </w:rPr>
  </w:style>
  <w:style w:type="paragraph" w:styleId="19">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Indent"/>
    <w:basedOn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7"/>
    <w:next w:val="17"/>
    <w:link w:val="87"/>
    <w:qFormat/>
    <w:uiPriority w:val="0"/>
    <w:rPr>
      <w:rFonts w:ascii="Calibri" w:hAnsi="Calibri" w:cs="黑体"/>
      <w:b/>
      <w:bCs/>
    </w:rPr>
  </w:style>
  <w:style w:type="paragraph" w:styleId="45">
    <w:name w:val="Body Text First Indent"/>
    <w:basedOn w:val="2"/>
    <w:link w:val="176"/>
    <w:unhideWhenUsed/>
    <w:qFormat/>
    <w:uiPriority w:val="0"/>
    <w:pPr>
      <w:spacing w:line="500" w:lineRule="exact"/>
      <w:ind w:firstLine="420" w:firstLineChars="200"/>
    </w:pPr>
  </w:style>
  <w:style w:type="paragraph" w:styleId="46">
    <w:name w:val="Body Text First Indent 2"/>
    <w:basedOn w:val="20"/>
    <w:unhideWhenUsed/>
    <w:qFormat/>
    <w:uiPriority w:val="0"/>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1"/>
    <w:qFormat/>
    <w:uiPriority w:val="0"/>
    <w:rPr>
      <w:sz w:val="18"/>
      <w:szCs w:val="18"/>
    </w:rPr>
  </w:style>
  <w:style w:type="character" w:customStyle="1" w:styleId="63">
    <w:name w:val="页脚 字符"/>
    <w:basedOn w:val="49"/>
    <w:link w:val="30"/>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3"/>
    <w:qFormat/>
    <w:uiPriority w:val="0"/>
    <w:rPr>
      <w:rFonts w:ascii="Cambria" w:hAnsi="Cambria" w:eastAsia="宋体" w:cs="Times New Roman"/>
      <w:b/>
      <w:sz w:val="32"/>
      <w:szCs w:val="24"/>
    </w:rPr>
  </w:style>
  <w:style w:type="character" w:customStyle="1" w:styleId="102">
    <w:name w:val="正文文本缩进 2 字符"/>
    <w:basedOn w:val="49"/>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7"/>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0"/>
    <w:qFormat/>
    <w:uiPriority w:val="0"/>
    <w:rPr>
      <w:rFonts w:ascii="Arial" w:hAnsi="Arial" w:eastAsia="宋体" w:cs="Arial"/>
      <w:kern w:val="0"/>
      <w:sz w:val="24"/>
      <w:szCs w:val="24"/>
    </w:rPr>
  </w:style>
  <w:style w:type="character" w:customStyle="1" w:styleId="115">
    <w:name w:val="称呼 字符"/>
    <w:basedOn w:val="49"/>
    <w:link w:val="18"/>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2"/>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9"/>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5"/>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9"/>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2"/>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5"/>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4"/>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5"/>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5"/>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 w:type="paragraph" w:customStyle="1" w:styleId="366">
    <w:name w:val="00"/>
    <w:basedOn w:val="1"/>
    <w:qFormat/>
    <w:uiPriority w:val="0"/>
    <w:pPr>
      <w:spacing w:line="320" w:lineRule="exact"/>
      <w:ind w:left="389" w:leftChars="162" w:firstLine="4" w:firstLineChars="2"/>
      <w:jc w:val="center"/>
    </w:pPr>
    <w:rPr>
      <w:rFonts w:ascii="仿宋_GB2312" w:hAnsi="仿宋_GB2312" w:eastAsia="仿宋_GB2312"/>
      <w:b/>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082AA-6EAD-4CB7-8D8D-0D8F60306F4B}">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23189</Words>
  <Characters>24439</Characters>
  <Lines>28</Lines>
  <Paragraphs>30</Paragraphs>
  <TotalTime>60</TotalTime>
  <ScaleCrop>false</ScaleCrop>
  <LinksUpToDate>false</LinksUpToDate>
  <CharactersWithSpaces>26518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FX</cp:lastModifiedBy>
  <cp:lastPrinted>2022-03-29T01:26:00Z</cp:lastPrinted>
  <dcterms:modified xsi:type="dcterms:W3CDTF">2022-04-26T07:49:18Z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7C874A77AA8D4DEBB146A54206B9C58F</vt:lpwstr>
  </property>
  <property fmtid="{D5CDD505-2E9C-101B-9397-08002B2CF9AE}" pid="4" name="commondata">
    <vt:lpwstr>eyJoZGlkIjoiNDcyMWQzMzIwN2NjYTUxYzkyMzA2OTVmYTljZjlkMjEifQ==</vt:lpwstr>
  </property>
</Properties>
</file>