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长沙市轨道交通1、2、3、4、5号线运营期2022年-2024年车站卫生间管道疏通服务项目</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rPr>
          <w:rFonts w:hint="eastAsia" w:hAnsi="宋体"/>
          <w:b/>
          <w:sz w:val="32"/>
          <w:u w:val="single"/>
        </w:rPr>
      </w:pPr>
      <w:r>
        <w:rPr>
          <w:rFonts w:hint="eastAsia" w:hAnsi="宋体"/>
          <w:b/>
          <w:sz w:val="32"/>
        </w:rPr>
        <w:t>采购单位名称：</w:t>
      </w:r>
      <w:r>
        <w:rPr>
          <w:rFonts w:hint="eastAsia" w:hAnsi="宋体"/>
          <w:b/>
          <w:sz w:val="32"/>
          <w:u w:val="single"/>
        </w:rPr>
        <w:t>长沙市轨道交通运营有限公司</w:t>
      </w:r>
    </w:p>
    <w:p>
      <w:pPr>
        <w:pStyle w:val="25"/>
        <w:adjustRightInd w:val="0"/>
        <w:snapToGrid w:val="0"/>
        <w:spacing w:line="360" w:lineRule="auto"/>
        <w:ind w:firstLine="321" w:firstLineChars="100"/>
        <w:rPr>
          <w:rFonts w:hint="default" w:hAnsi="宋体" w:eastAsia="宋体"/>
          <w:b/>
          <w:sz w:val="32"/>
          <w:u w:val="single"/>
          <w:lang w:val="en-US" w:eastAsia="zh-CN"/>
        </w:rPr>
      </w:pPr>
      <w:r>
        <w:rPr>
          <w:rFonts w:hint="eastAsia" w:hAnsi="宋体"/>
          <w:b/>
          <w:sz w:val="32"/>
          <w:u w:val="none"/>
          <w:lang w:val="en-US" w:eastAsia="zh-CN"/>
        </w:rPr>
        <w:t xml:space="preserve">            </w:t>
      </w:r>
      <w:r>
        <w:rPr>
          <w:rFonts w:hint="eastAsia" w:hAnsi="宋体"/>
          <w:b/>
          <w:sz w:val="32"/>
          <w:u w:val="single"/>
        </w:rPr>
        <w:t>长沙市轨道交通</w:t>
      </w:r>
      <w:r>
        <w:rPr>
          <w:rFonts w:hint="eastAsia" w:hAnsi="宋体"/>
          <w:b/>
          <w:sz w:val="32"/>
          <w:u w:val="single"/>
          <w:lang w:val="en-US" w:eastAsia="zh-CN"/>
        </w:rPr>
        <w:t>一</w:t>
      </w:r>
      <w:r>
        <w:rPr>
          <w:rFonts w:hint="eastAsia" w:hAnsi="宋体"/>
          <w:b/>
          <w:sz w:val="32"/>
          <w:u w:val="single"/>
        </w:rPr>
        <w:t>号线建设发展有限公司</w:t>
      </w:r>
    </w:p>
    <w:p>
      <w:pPr>
        <w:pStyle w:val="25"/>
        <w:adjustRightInd w:val="0"/>
        <w:snapToGrid w:val="0"/>
        <w:spacing w:line="360" w:lineRule="auto"/>
        <w:ind w:firstLine="2249" w:firstLineChars="7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三</w:t>
      </w:r>
      <w:r>
        <w:rPr>
          <w:rFonts w:hint="eastAsia" w:hAnsi="宋体"/>
          <w:b/>
          <w:sz w:val="32"/>
          <w:u w:val="single"/>
        </w:rPr>
        <w:t>号线建设发展有限公司</w:t>
      </w:r>
    </w:p>
    <w:p>
      <w:pPr>
        <w:pStyle w:val="25"/>
        <w:adjustRightInd w:val="0"/>
        <w:snapToGrid w:val="0"/>
        <w:spacing w:line="360" w:lineRule="auto"/>
        <w:ind w:firstLine="2249" w:firstLineChars="7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四</w:t>
      </w:r>
      <w:r>
        <w:rPr>
          <w:rFonts w:hint="eastAsia" w:hAnsi="宋体"/>
          <w:b/>
          <w:sz w:val="32"/>
          <w:u w:val="single"/>
        </w:rPr>
        <w:t>号线建设发展有限公司</w:t>
      </w:r>
    </w:p>
    <w:p>
      <w:pPr>
        <w:pStyle w:val="25"/>
        <w:adjustRightInd w:val="0"/>
        <w:snapToGrid w:val="0"/>
        <w:spacing w:line="360" w:lineRule="auto"/>
        <w:ind w:firstLine="2249" w:firstLineChars="700"/>
        <w:rPr>
          <w:rFonts w:hint="eastAsia" w:hAnsi="宋体"/>
          <w:b/>
          <w:sz w:val="32"/>
          <w:u w:val="none"/>
        </w:rPr>
      </w:pPr>
      <w:r>
        <w:rPr>
          <w:rFonts w:hint="eastAsia" w:hAnsi="宋体"/>
          <w:b/>
          <w:sz w:val="32"/>
          <w:u w:val="single"/>
        </w:rPr>
        <w:t>长沙市轨道交通</w:t>
      </w:r>
      <w:r>
        <w:rPr>
          <w:rFonts w:hint="eastAsia" w:hAnsi="宋体"/>
          <w:b/>
          <w:sz w:val="32"/>
          <w:u w:val="single"/>
          <w:lang w:val="en-US" w:eastAsia="zh-CN"/>
        </w:rPr>
        <w:t>五</w:t>
      </w:r>
      <w:r>
        <w:rPr>
          <w:rFonts w:hint="eastAsia" w:hAnsi="宋体"/>
          <w:b/>
          <w:sz w:val="32"/>
          <w:u w:val="single"/>
        </w:rPr>
        <w:t>号线建设发展有限公司</w:t>
      </w:r>
    </w:p>
    <w:p>
      <w:pPr>
        <w:pStyle w:val="25"/>
        <w:adjustRightInd w:val="0"/>
        <w:snapToGrid w:val="0"/>
        <w:spacing w:line="360" w:lineRule="auto"/>
        <w:rPr>
          <w:rFonts w:hint="eastAsia" w:hAnsi="宋体"/>
          <w:b/>
          <w:sz w:val="32"/>
        </w:rPr>
      </w:pPr>
    </w:p>
    <w:p>
      <w:pPr>
        <w:pStyle w:val="25"/>
        <w:adjustRightInd w:val="0"/>
        <w:snapToGrid w:val="0"/>
        <w:spacing w:line="360" w:lineRule="auto"/>
        <w:rPr>
          <w:rFonts w:hint="eastAsia" w:hAnsi="宋体"/>
          <w:b/>
          <w:sz w:val="32"/>
          <w:u w:val="none"/>
        </w:rPr>
      </w:pPr>
      <w:r>
        <w:rPr>
          <w:rFonts w:hint="eastAsia" w:hAnsi="宋体"/>
          <w:b/>
          <w:sz w:val="32"/>
        </w:rPr>
        <w:t>谈判项目编号：</w:t>
      </w:r>
      <w:r>
        <w:rPr>
          <w:rFonts w:hint="eastAsia" w:hAnsi="宋体"/>
          <w:b/>
          <w:sz w:val="32"/>
          <w:u w:val="single"/>
        </w:rPr>
        <w:t>长轨运服采【2022】007号</w:t>
      </w:r>
    </w:p>
    <w:p>
      <w:pPr>
        <w:pStyle w:val="25"/>
        <w:adjustRightInd w:val="0"/>
        <w:snapToGrid w:val="0"/>
        <w:spacing w:before="120" w:beforeLines="50" w:line="360" w:lineRule="auto"/>
        <w:rPr>
          <w:b/>
          <w:sz w:val="32"/>
          <w:szCs w:val="32"/>
        </w:rPr>
      </w:pPr>
    </w:p>
    <w:p>
      <w:pPr>
        <w:pStyle w:val="25"/>
        <w:adjustRightInd w:val="0"/>
        <w:snapToGrid w:val="0"/>
        <w:spacing w:before="120" w:beforeLines="50" w:line="360" w:lineRule="auto"/>
        <w:rPr>
          <w:b/>
          <w:sz w:val="32"/>
          <w:szCs w:val="32"/>
        </w:rPr>
      </w:pPr>
    </w:p>
    <w:p>
      <w:pPr>
        <w:pStyle w:val="25"/>
        <w:adjustRightInd w:val="0"/>
        <w:snapToGrid w:val="0"/>
        <w:spacing w:line="360" w:lineRule="auto"/>
        <w:jc w:val="both"/>
        <w:rPr>
          <w:rFonts w:hint="eastAsia" w:hAnsi="宋体"/>
          <w:b/>
          <w:sz w:val="32"/>
        </w:rPr>
      </w:pPr>
    </w:p>
    <w:p>
      <w:pPr>
        <w:pStyle w:val="25"/>
        <w:adjustRightInd w:val="0"/>
        <w:snapToGrid w:val="0"/>
        <w:spacing w:line="360" w:lineRule="auto"/>
        <w:jc w:val="center"/>
        <w:rPr>
          <w:rFonts w:hAnsi="宋体"/>
          <w:bCs/>
          <w:sz w:val="32"/>
        </w:rPr>
      </w:pPr>
      <w:r>
        <w:rPr>
          <w:rFonts w:hint="eastAsia" w:hAnsi="宋体"/>
          <w:b/>
          <w:sz w:val="32"/>
        </w:rPr>
        <w:t>二〇二</w:t>
      </w:r>
      <w:r>
        <w:rPr>
          <w:rFonts w:hint="eastAsia" w:hAnsi="宋体"/>
          <w:b/>
          <w:sz w:val="32"/>
          <w:lang w:val="en-US" w:eastAsia="zh-CN"/>
        </w:rPr>
        <w:t>二</w:t>
      </w:r>
      <w:r>
        <w:rPr>
          <w:rFonts w:hint="eastAsia" w:hAnsi="宋体"/>
          <w:b/>
          <w:sz w:val="32"/>
        </w:rPr>
        <w:t>年</w:t>
      </w:r>
      <w:r>
        <w:rPr>
          <w:rFonts w:hint="eastAsia" w:hAnsi="宋体"/>
          <w:b/>
          <w:sz w:val="32"/>
          <w:lang w:val="en-US" w:eastAsia="zh-CN"/>
        </w:rPr>
        <w:t>四</w:t>
      </w:r>
      <w:r>
        <w:rPr>
          <w:rFonts w:hint="eastAsia" w:hAnsi="宋体"/>
          <w:b/>
          <w:sz w:val="32"/>
        </w:rPr>
        <w:t>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sdt>
      <w:sdtPr>
        <w:rPr>
          <w:rFonts w:ascii="宋体" w:hAnsi="宋体" w:eastAsia="宋体" w:cs="Times New Roman"/>
          <w:kern w:val="2"/>
          <w:sz w:val="21"/>
          <w:szCs w:val="24"/>
          <w:lang w:val="en-US" w:eastAsia="zh-CN" w:bidi="ar-SA"/>
        </w:rPr>
        <w:id w:val="14748335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2"/>
            <w:tabs>
              <w:tab w:val="right" w:leader="dot" w:pos="8312"/>
            </w:tabs>
            <w:spacing w:line="360" w:lineRule="auto"/>
          </w:pPr>
          <w:r>
            <w:fldChar w:fldCharType="begin"/>
          </w:r>
          <w:r>
            <w:instrText xml:space="preserve">TOC \o "1-3" \h \u </w:instrText>
          </w:r>
          <w:r>
            <w:fldChar w:fldCharType="separate"/>
          </w:r>
          <w:r>
            <w:fldChar w:fldCharType="begin"/>
          </w:r>
          <w:r>
            <w:instrText xml:space="preserve"> HYPERLINK \l _Toc5071 </w:instrText>
          </w:r>
          <w:r>
            <w:fldChar w:fldCharType="separate"/>
          </w:r>
          <w:r>
            <w:rPr>
              <w:rFonts w:hint="eastAsia"/>
            </w:rPr>
            <w:t>第一章  谈判邀请公告</w:t>
          </w:r>
          <w:r>
            <w:tab/>
          </w:r>
          <w:r>
            <w:fldChar w:fldCharType="begin"/>
          </w:r>
          <w:r>
            <w:instrText xml:space="preserve"> PAGEREF _Toc5071 \h </w:instrText>
          </w:r>
          <w:r>
            <w:fldChar w:fldCharType="separate"/>
          </w:r>
          <w:r>
            <w:t>3</w:t>
          </w:r>
          <w:r>
            <w:fldChar w:fldCharType="end"/>
          </w:r>
          <w:r>
            <w:fldChar w:fldCharType="end"/>
          </w:r>
        </w:p>
        <w:p>
          <w:pPr>
            <w:pStyle w:val="32"/>
            <w:tabs>
              <w:tab w:val="right" w:leader="dot" w:pos="8312"/>
            </w:tabs>
            <w:spacing w:line="360" w:lineRule="auto"/>
          </w:pPr>
          <w:r>
            <w:fldChar w:fldCharType="begin"/>
          </w:r>
          <w:r>
            <w:instrText xml:space="preserve"> HYPERLINK \l _Toc19652 </w:instrText>
          </w:r>
          <w:r>
            <w:fldChar w:fldCharType="separate"/>
          </w:r>
          <w:r>
            <w:rPr>
              <w:rFonts w:hint="eastAsia"/>
            </w:rPr>
            <w:t>第二章  谈判须知</w:t>
          </w:r>
          <w:r>
            <w:tab/>
          </w:r>
          <w:r>
            <w:fldChar w:fldCharType="begin"/>
          </w:r>
          <w:r>
            <w:instrText xml:space="preserve"> PAGEREF _Toc19652 \h </w:instrText>
          </w:r>
          <w:r>
            <w:fldChar w:fldCharType="separate"/>
          </w:r>
          <w:r>
            <w:t>6</w:t>
          </w:r>
          <w:r>
            <w:fldChar w:fldCharType="end"/>
          </w:r>
          <w:r>
            <w:fldChar w:fldCharType="end"/>
          </w:r>
        </w:p>
        <w:p>
          <w:pPr>
            <w:pStyle w:val="32"/>
            <w:tabs>
              <w:tab w:val="right" w:leader="dot" w:pos="8312"/>
            </w:tabs>
            <w:spacing w:line="360" w:lineRule="auto"/>
          </w:pPr>
          <w:r>
            <w:fldChar w:fldCharType="begin"/>
          </w:r>
          <w:r>
            <w:instrText xml:space="preserve"> HYPERLINK \l _Toc21219 </w:instrText>
          </w:r>
          <w:r>
            <w:fldChar w:fldCharType="separate"/>
          </w:r>
          <w:r>
            <w:rPr>
              <w:rFonts w:hint="eastAsia"/>
            </w:rPr>
            <w:t>谈判须知前附表</w:t>
          </w:r>
          <w:r>
            <w:tab/>
          </w:r>
          <w:r>
            <w:fldChar w:fldCharType="begin"/>
          </w:r>
          <w:r>
            <w:instrText xml:space="preserve"> PAGEREF _Toc21219 \h </w:instrText>
          </w:r>
          <w:r>
            <w:fldChar w:fldCharType="separate"/>
          </w:r>
          <w:r>
            <w:t>6</w:t>
          </w:r>
          <w:r>
            <w:fldChar w:fldCharType="end"/>
          </w:r>
          <w:r>
            <w:fldChar w:fldCharType="end"/>
          </w:r>
        </w:p>
        <w:p>
          <w:pPr>
            <w:pStyle w:val="32"/>
            <w:tabs>
              <w:tab w:val="right" w:leader="dot" w:pos="8312"/>
            </w:tabs>
            <w:spacing w:line="360" w:lineRule="auto"/>
          </w:pPr>
          <w:r>
            <w:fldChar w:fldCharType="begin"/>
          </w:r>
          <w:r>
            <w:instrText xml:space="preserve"> HYPERLINK \l _Toc19645 </w:instrText>
          </w:r>
          <w:r>
            <w:fldChar w:fldCharType="separate"/>
          </w:r>
          <w:r>
            <w:rPr>
              <w:rFonts w:hint="eastAsia"/>
            </w:rPr>
            <w:t>谈判须知正文</w:t>
          </w:r>
          <w:r>
            <w:tab/>
          </w:r>
          <w:r>
            <w:fldChar w:fldCharType="begin"/>
          </w:r>
          <w:r>
            <w:instrText xml:space="preserve"> PAGEREF _Toc19645 \h </w:instrText>
          </w:r>
          <w:r>
            <w:fldChar w:fldCharType="separate"/>
          </w:r>
          <w:r>
            <w:t>8</w:t>
          </w:r>
          <w:r>
            <w:fldChar w:fldCharType="end"/>
          </w:r>
          <w:r>
            <w:fldChar w:fldCharType="end"/>
          </w:r>
        </w:p>
        <w:p>
          <w:pPr>
            <w:pStyle w:val="32"/>
            <w:tabs>
              <w:tab w:val="right" w:leader="dot" w:pos="8312"/>
            </w:tabs>
            <w:spacing w:line="360" w:lineRule="auto"/>
          </w:pPr>
          <w:r>
            <w:fldChar w:fldCharType="begin"/>
          </w:r>
          <w:r>
            <w:instrText xml:space="preserve"> HYPERLINK \l _Toc7421 </w:instrText>
          </w:r>
          <w:r>
            <w:fldChar w:fldCharType="separate"/>
          </w:r>
          <w:r>
            <w:rPr>
              <w:rFonts w:hint="eastAsia"/>
            </w:rPr>
            <w:t>一、说明</w:t>
          </w:r>
          <w:r>
            <w:tab/>
          </w:r>
          <w:r>
            <w:fldChar w:fldCharType="begin"/>
          </w:r>
          <w:r>
            <w:instrText xml:space="preserve"> PAGEREF _Toc7421 \h </w:instrText>
          </w:r>
          <w:r>
            <w:fldChar w:fldCharType="separate"/>
          </w:r>
          <w:r>
            <w:t>8</w:t>
          </w:r>
          <w:r>
            <w:fldChar w:fldCharType="end"/>
          </w:r>
          <w:r>
            <w:fldChar w:fldCharType="end"/>
          </w:r>
        </w:p>
        <w:p>
          <w:pPr>
            <w:pStyle w:val="32"/>
            <w:tabs>
              <w:tab w:val="right" w:leader="dot" w:pos="8312"/>
            </w:tabs>
            <w:spacing w:line="360" w:lineRule="auto"/>
          </w:pPr>
          <w:r>
            <w:fldChar w:fldCharType="begin"/>
          </w:r>
          <w:r>
            <w:instrText xml:space="preserve"> HYPERLINK \l _Toc2948 </w:instrText>
          </w:r>
          <w:r>
            <w:fldChar w:fldCharType="separate"/>
          </w:r>
          <w:r>
            <w:rPr>
              <w:rFonts w:hint="eastAsia"/>
            </w:rPr>
            <w:t>二、谈判文件</w:t>
          </w:r>
          <w:r>
            <w:tab/>
          </w:r>
          <w:r>
            <w:fldChar w:fldCharType="begin"/>
          </w:r>
          <w:r>
            <w:instrText xml:space="preserve"> PAGEREF _Toc2948 \h </w:instrText>
          </w:r>
          <w:r>
            <w:fldChar w:fldCharType="separate"/>
          </w:r>
          <w:r>
            <w:t>8</w:t>
          </w:r>
          <w:r>
            <w:fldChar w:fldCharType="end"/>
          </w:r>
          <w:r>
            <w:fldChar w:fldCharType="end"/>
          </w:r>
        </w:p>
        <w:p>
          <w:pPr>
            <w:pStyle w:val="32"/>
            <w:tabs>
              <w:tab w:val="right" w:leader="dot" w:pos="8312"/>
            </w:tabs>
            <w:spacing w:line="360" w:lineRule="auto"/>
          </w:pPr>
          <w:r>
            <w:fldChar w:fldCharType="begin"/>
          </w:r>
          <w:r>
            <w:instrText xml:space="preserve"> HYPERLINK \l _Toc6160 </w:instrText>
          </w:r>
          <w:r>
            <w:fldChar w:fldCharType="separate"/>
          </w:r>
          <w:r>
            <w:rPr>
              <w:rFonts w:hint="eastAsia"/>
            </w:rPr>
            <w:t>三、响应文件</w:t>
          </w:r>
          <w:r>
            <w:tab/>
          </w:r>
          <w:r>
            <w:fldChar w:fldCharType="begin"/>
          </w:r>
          <w:r>
            <w:instrText xml:space="preserve"> PAGEREF _Toc6160 \h </w:instrText>
          </w:r>
          <w:r>
            <w:fldChar w:fldCharType="separate"/>
          </w:r>
          <w:r>
            <w:t>9</w:t>
          </w:r>
          <w:r>
            <w:fldChar w:fldCharType="end"/>
          </w:r>
          <w:r>
            <w:fldChar w:fldCharType="end"/>
          </w:r>
        </w:p>
        <w:p>
          <w:pPr>
            <w:pStyle w:val="32"/>
            <w:tabs>
              <w:tab w:val="right" w:leader="dot" w:pos="8312"/>
            </w:tabs>
            <w:spacing w:line="360" w:lineRule="auto"/>
          </w:pPr>
          <w:r>
            <w:fldChar w:fldCharType="begin"/>
          </w:r>
          <w:r>
            <w:instrText xml:space="preserve"> HYPERLINK \l _Toc18486 </w:instrText>
          </w:r>
          <w:r>
            <w:fldChar w:fldCharType="separate"/>
          </w:r>
          <w:r>
            <w:rPr>
              <w:rFonts w:hint="eastAsia"/>
            </w:rPr>
            <w:t>四、响应文件的递交</w:t>
          </w:r>
          <w:r>
            <w:tab/>
          </w:r>
          <w:r>
            <w:fldChar w:fldCharType="begin"/>
          </w:r>
          <w:r>
            <w:instrText xml:space="preserve"> PAGEREF _Toc18486 \h </w:instrText>
          </w:r>
          <w:r>
            <w:fldChar w:fldCharType="separate"/>
          </w:r>
          <w:r>
            <w:t>11</w:t>
          </w:r>
          <w:r>
            <w:fldChar w:fldCharType="end"/>
          </w:r>
          <w:r>
            <w:fldChar w:fldCharType="end"/>
          </w:r>
        </w:p>
        <w:p>
          <w:pPr>
            <w:pStyle w:val="32"/>
            <w:tabs>
              <w:tab w:val="right" w:leader="dot" w:pos="8312"/>
            </w:tabs>
            <w:spacing w:line="360" w:lineRule="auto"/>
          </w:pPr>
          <w:r>
            <w:fldChar w:fldCharType="begin"/>
          </w:r>
          <w:r>
            <w:instrText xml:space="preserve"> HYPERLINK \l _Toc23509 </w:instrText>
          </w:r>
          <w:r>
            <w:fldChar w:fldCharType="separate"/>
          </w:r>
          <w:r>
            <w:rPr>
              <w:rFonts w:hint="eastAsia"/>
            </w:rPr>
            <w:t>五、响应文件的评审</w:t>
          </w:r>
          <w:r>
            <w:tab/>
          </w:r>
          <w:r>
            <w:fldChar w:fldCharType="begin"/>
          </w:r>
          <w:r>
            <w:instrText xml:space="preserve"> PAGEREF _Toc23509 \h </w:instrText>
          </w:r>
          <w:r>
            <w:fldChar w:fldCharType="separate"/>
          </w:r>
          <w:r>
            <w:t>11</w:t>
          </w:r>
          <w:r>
            <w:fldChar w:fldCharType="end"/>
          </w:r>
          <w:r>
            <w:fldChar w:fldCharType="end"/>
          </w:r>
        </w:p>
        <w:p>
          <w:pPr>
            <w:pStyle w:val="32"/>
            <w:tabs>
              <w:tab w:val="right" w:leader="dot" w:pos="8312"/>
            </w:tabs>
            <w:spacing w:line="360" w:lineRule="auto"/>
          </w:pPr>
          <w:r>
            <w:fldChar w:fldCharType="begin"/>
          </w:r>
          <w:r>
            <w:instrText xml:space="preserve"> HYPERLINK \l _Toc1142 </w:instrText>
          </w:r>
          <w:r>
            <w:fldChar w:fldCharType="separate"/>
          </w:r>
          <w:r>
            <w:rPr>
              <w:rFonts w:hint="eastAsia"/>
            </w:rPr>
            <w:t>六、响应文件的澄清、说明及补正</w:t>
          </w:r>
          <w:r>
            <w:tab/>
          </w:r>
          <w:r>
            <w:fldChar w:fldCharType="begin"/>
          </w:r>
          <w:r>
            <w:instrText xml:space="preserve"> PAGEREF _Toc1142 \h </w:instrText>
          </w:r>
          <w:r>
            <w:fldChar w:fldCharType="separate"/>
          </w:r>
          <w:r>
            <w:t>11</w:t>
          </w:r>
          <w:r>
            <w:fldChar w:fldCharType="end"/>
          </w:r>
          <w:r>
            <w:fldChar w:fldCharType="end"/>
          </w:r>
        </w:p>
        <w:p>
          <w:pPr>
            <w:pStyle w:val="32"/>
            <w:tabs>
              <w:tab w:val="right" w:leader="dot" w:pos="8312"/>
            </w:tabs>
            <w:spacing w:line="360" w:lineRule="auto"/>
          </w:pPr>
          <w:r>
            <w:fldChar w:fldCharType="begin"/>
          </w:r>
          <w:r>
            <w:instrText xml:space="preserve"> HYPERLINK \l _Toc12549 </w:instrText>
          </w:r>
          <w:r>
            <w:fldChar w:fldCharType="separate"/>
          </w:r>
          <w:r>
            <w:rPr>
              <w:rFonts w:hint="eastAsia"/>
            </w:rPr>
            <w:t>七、中选结果与授予合同</w:t>
          </w:r>
          <w:r>
            <w:tab/>
          </w:r>
          <w:r>
            <w:fldChar w:fldCharType="begin"/>
          </w:r>
          <w:r>
            <w:instrText xml:space="preserve"> PAGEREF _Toc12549 \h </w:instrText>
          </w:r>
          <w:r>
            <w:fldChar w:fldCharType="separate"/>
          </w:r>
          <w:r>
            <w:t>12</w:t>
          </w:r>
          <w:r>
            <w:fldChar w:fldCharType="end"/>
          </w:r>
          <w:r>
            <w:fldChar w:fldCharType="end"/>
          </w:r>
        </w:p>
        <w:p>
          <w:pPr>
            <w:pStyle w:val="32"/>
            <w:tabs>
              <w:tab w:val="right" w:leader="dot" w:pos="8312"/>
            </w:tabs>
            <w:spacing w:line="360" w:lineRule="auto"/>
          </w:pPr>
          <w:r>
            <w:fldChar w:fldCharType="begin"/>
          </w:r>
          <w:r>
            <w:instrText xml:space="preserve"> HYPERLINK \l _Toc1332 </w:instrText>
          </w:r>
          <w:r>
            <w:fldChar w:fldCharType="separate"/>
          </w:r>
          <w:r>
            <w:rPr>
              <w:rFonts w:hint="eastAsia"/>
            </w:rPr>
            <w:t>八、其他</w:t>
          </w:r>
          <w:r>
            <w:tab/>
          </w:r>
          <w:r>
            <w:fldChar w:fldCharType="begin"/>
          </w:r>
          <w:r>
            <w:instrText xml:space="preserve"> PAGEREF _Toc1332 \h </w:instrText>
          </w:r>
          <w:r>
            <w:fldChar w:fldCharType="separate"/>
          </w:r>
          <w:r>
            <w:t>13</w:t>
          </w:r>
          <w:r>
            <w:fldChar w:fldCharType="end"/>
          </w:r>
          <w:r>
            <w:fldChar w:fldCharType="end"/>
          </w:r>
        </w:p>
        <w:p>
          <w:pPr>
            <w:pStyle w:val="32"/>
            <w:tabs>
              <w:tab w:val="right" w:leader="dot" w:pos="8312"/>
            </w:tabs>
            <w:spacing w:line="360" w:lineRule="auto"/>
          </w:pPr>
          <w:r>
            <w:fldChar w:fldCharType="begin"/>
          </w:r>
          <w:r>
            <w:instrText xml:space="preserve"> HYPERLINK \l _Toc21380 </w:instrText>
          </w:r>
          <w:r>
            <w:fldChar w:fldCharType="separate"/>
          </w:r>
          <w:r>
            <w:rPr>
              <w:rFonts w:hint="eastAsia"/>
            </w:rPr>
            <w:t>第三章  评审办法及标准</w:t>
          </w:r>
          <w:r>
            <w:tab/>
          </w:r>
          <w:r>
            <w:fldChar w:fldCharType="begin"/>
          </w:r>
          <w:r>
            <w:instrText xml:space="preserve"> PAGEREF _Toc21380 \h </w:instrText>
          </w:r>
          <w:r>
            <w:fldChar w:fldCharType="separate"/>
          </w:r>
          <w:r>
            <w:t>15</w:t>
          </w:r>
          <w:r>
            <w:fldChar w:fldCharType="end"/>
          </w:r>
          <w:r>
            <w:fldChar w:fldCharType="end"/>
          </w:r>
        </w:p>
        <w:p>
          <w:pPr>
            <w:pStyle w:val="32"/>
            <w:tabs>
              <w:tab w:val="right" w:leader="dot" w:pos="8312"/>
            </w:tabs>
            <w:spacing w:line="360" w:lineRule="auto"/>
          </w:pPr>
          <w:r>
            <w:fldChar w:fldCharType="begin"/>
          </w:r>
          <w:r>
            <w:instrText xml:space="preserve"> HYPERLINK \l _Toc16043 </w:instrText>
          </w:r>
          <w:r>
            <w:fldChar w:fldCharType="separate"/>
          </w:r>
          <w:r>
            <w:rPr>
              <w:rFonts w:hint="eastAsia"/>
            </w:rPr>
            <w:t>第四章  用户需求书（另册）</w:t>
          </w:r>
          <w:r>
            <w:tab/>
          </w:r>
          <w:r>
            <w:fldChar w:fldCharType="begin"/>
          </w:r>
          <w:r>
            <w:instrText xml:space="preserve"> PAGEREF _Toc16043 \h </w:instrText>
          </w:r>
          <w:r>
            <w:fldChar w:fldCharType="separate"/>
          </w:r>
          <w:r>
            <w:t>17</w:t>
          </w:r>
          <w:r>
            <w:fldChar w:fldCharType="end"/>
          </w:r>
          <w:r>
            <w:fldChar w:fldCharType="end"/>
          </w:r>
        </w:p>
        <w:p>
          <w:pPr>
            <w:pStyle w:val="32"/>
            <w:tabs>
              <w:tab w:val="right" w:leader="dot" w:pos="8312"/>
            </w:tabs>
            <w:spacing w:line="360" w:lineRule="auto"/>
          </w:pPr>
          <w:r>
            <w:fldChar w:fldCharType="begin"/>
          </w:r>
          <w:r>
            <w:instrText xml:space="preserve"> HYPERLINK \l _Toc5859 </w:instrText>
          </w:r>
          <w:r>
            <w:fldChar w:fldCharType="separate"/>
          </w:r>
          <w:r>
            <w:rPr>
              <w:rFonts w:hint="eastAsia"/>
            </w:rPr>
            <w:t>第五章  合同格式条款</w:t>
          </w:r>
          <w:r>
            <w:tab/>
          </w:r>
          <w:r>
            <w:fldChar w:fldCharType="begin"/>
          </w:r>
          <w:r>
            <w:instrText xml:space="preserve"> PAGEREF _Toc5859 \h </w:instrText>
          </w:r>
          <w:r>
            <w:fldChar w:fldCharType="separate"/>
          </w:r>
          <w:r>
            <w:t>1</w:t>
          </w:r>
          <w:r>
            <w:fldChar w:fldCharType="end"/>
          </w:r>
          <w:r>
            <w:fldChar w:fldCharType="end"/>
          </w:r>
        </w:p>
        <w:p>
          <w:pPr>
            <w:pStyle w:val="32"/>
            <w:tabs>
              <w:tab w:val="right" w:leader="dot" w:pos="8312"/>
            </w:tabs>
            <w:spacing w:line="360" w:lineRule="auto"/>
          </w:pPr>
          <w:r>
            <w:fldChar w:fldCharType="begin"/>
          </w:r>
          <w:r>
            <w:instrText xml:space="preserve"> HYPERLINK \l _Toc28436 </w:instrText>
          </w:r>
          <w:r>
            <w:fldChar w:fldCharType="separate"/>
          </w:r>
          <w:r>
            <w:rPr>
              <w:rFonts w:hint="eastAsia"/>
            </w:rPr>
            <w:t>第六章  响应文件组成</w:t>
          </w:r>
          <w:r>
            <w:tab/>
          </w:r>
          <w:r>
            <w:fldChar w:fldCharType="begin"/>
          </w:r>
          <w:r>
            <w:instrText xml:space="preserve"> PAGEREF _Toc28436 \h </w:instrText>
          </w:r>
          <w:r>
            <w:fldChar w:fldCharType="separate"/>
          </w:r>
          <w:r>
            <w:t>25</w:t>
          </w:r>
          <w:r>
            <w:fldChar w:fldCharType="end"/>
          </w:r>
          <w:r>
            <w:fldChar w:fldCharType="end"/>
          </w:r>
        </w:p>
        <w:p>
          <w:pPr>
            <w:pStyle w:val="32"/>
            <w:tabs>
              <w:tab w:val="right" w:leader="dot" w:pos="8312"/>
            </w:tabs>
            <w:spacing w:line="360" w:lineRule="auto"/>
          </w:pPr>
          <w:r>
            <w:fldChar w:fldCharType="begin"/>
          </w:r>
          <w:r>
            <w:instrText xml:space="preserve"> HYPERLINK \l _Toc17721 </w:instrText>
          </w:r>
          <w:r>
            <w:fldChar w:fldCharType="separate"/>
          </w:r>
          <w:r>
            <w:rPr>
              <w:rFonts w:hint="eastAsia"/>
            </w:rPr>
            <w:t>一、谈判承诺书</w:t>
          </w:r>
          <w:r>
            <w:tab/>
          </w:r>
          <w:r>
            <w:fldChar w:fldCharType="begin"/>
          </w:r>
          <w:r>
            <w:instrText xml:space="preserve"> PAGEREF _Toc17721 \h </w:instrText>
          </w:r>
          <w:r>
            <w:fldChar w:fldCharType="separate"/>
          </w:r>
          <w:r>
            <w:t>27</w:t>
          </w:r>
          <w:r>
            <w:fldChar w:fldCharType="end"/>
          </w:r>
          <w:r>
            <w:fldChar w:fldCharType="end"/>
          </w:r>
        </w:p>
        <w:p>
          <w:pPr>
            <w:pStyle w:val="32"/>
            <w:tabs>
              <w:tab w:val="right" w:leader="dot" w:pos="8312"/>
            </w:tabs>
            <w:spacing w:line="360" w:lineRule="auto"/>
          </w:pPr>
          <w:r>
            <w:fldChar w:fldCharType="begin"/>
          </w:r>
          <w:r>
            <w:instrText xml:space="preserve"> HYPERLINK \l _Toc10467 </w:instrText>
          </w:r>
          <w:r>
            <w:fldChar w:fldCharType="separate"/>
          </w:r>
          <w:r>
            <w:rPr>
              <w:rFonts w:hint="eastAsia"/>
            </w:rPr>
            <w:t>二、法定代表人身份证明书</w:t>
          </w:r>
          <w:r>
            <w:tab/>
          </w:r>
          <w:r>
            <w:fldChar w:fldCharType="begin"/>
          </w:r>
          <w:r>
            <w:instrText xml:space="preserve"> PAGEREF _Toc10467 \h </w:instrText>
          </w:r>
          <w:r>
            <w:fldChar w:fldCharType="separate"/>
          </w:r>
          <w:r>
            <w:t>28</w:t>
          </w:r>
          <w:r>
            <w:fldChar w:fldCharType="end"/>
          </w:r>
          <w:r>
            <w:fldChar w:fldCharType="end"/>
          </w:r>
        </w:p>
        <w:p>
          <w:pPr>
            <w:pStyle w:val="32"/>
            <w:tabs>
              <w:tab w:val="right" w:leader="dot" w:pos="8312"/>
            </w:tabs>
            <w:spacing w:line="360" w:lineRule="auto"/>
          </w:pPr>
          <w:r>
            <w:fldChar w:fldCharType="begin"/>
          </w:r>
          <w:r>
            <w:instrText xml:space="preserve"> HYPERLINK \l _Toc29253 </w:instrText>
          </w:r>
          <w:r>
            <w:fldChar w:fldCharType="separate"/>
          </w:r>
          <w:r>
            <w:rPr>
              <w:rFonts w:hint="eastAsia"/>
            </w:rPr>
            <w:t>三、授权委托书</w:t>
          </w:r>
          <w:r>
            <w:tab/>
          </w:r>
          <w:r>
            <w:fldChar w:fldCharType="begin"/>
          </w:r>
          <w:r>
            <w:instrText xml:space="preserve"> PAGEREF _Toc29253 \h </w:instrText>
          </w:r>
          <w:r>
            <w:fldChar w:fldCharType="separate"/>
          </w:r>
          <w:r>
            <w:t>29</w:t>
          </w:r>
          <w:r>
            <w:fldChar w:fldCharType="end"/>
          </w:r>
          <w:r>
            <w:fldChar w:fldCharType="end"/>
          </w:r>
        </w:p>
        <w:p>
          <w:pPr>
            <w:pStyle w:val="32"/>
            <w:tabs>
              <w:tab w:val="right" w:leader="dot" w:pos="8312"/>
            </w:tabs>
            <w:spacing w:line="360" w:lineRule="auto"/>
          </w:pPr>
          <w:r>
            <w:fldChar w:fldCharType="begin"/>
          </w:r>
          <w:r>
            <w:instrText xml:space="preserve"> HYPERLINK \l _Toc1257 </w:instrText>
          </w:r>
          <w:r>
            <w:fldChar w:fldCharType="separate"/>
          </w:r>
          <w:r>
            <w:rPr>
              <w:rFonts w:hint="eastAsia"/>
            </w:rPr>
            <w:t>四、谈判单位资格证明文件</w:t>
          </w:r>
          <w:r>
            <w:tab/>
          </w:r>
          <w:r>
            <w:fldChar w:fldCharType="begin"/>
          </w:r>
          <w:r>
            <w:instrText xml:space="preserve"> PAGEREF _Toc1257 \h </w:instrText>
          </w:r>
          <w:r>
            <w:fldChar w:fldCharType="separate"/>
          </w:r>
          <w:r>
            <w:t>30</w:t>
          </w:r>
          <w:r>
            <w:fldChar w:fldCharType="end"/>
          </w:r>
          <w:r>
            <w:fldChar w:fldCharType="end"/>
          </w:r>
        </w:p>
        <w:p>
          <w:pPr>
            <w:pStyle w:val="32"/>
            <w:tabs>
              <w:tab w:val="right" w:leader="dot" w:pos="8312"/>
            </w:tabs>
            <w:spacing w:line="360" w:lineRule="auto"/>
          </w:pPr>
          <w:r>
            <w:fldChar w:fldCharType="begin"/>
          </w:r>
          <w:r>
            <w:instrText xml:space="preserve"> HYPERLINK \l _Toc23761 </w:instrText>
          </w:r>
          <w:r>
            <w:fldChar w:fldCharType="separate"/>
          </w:r>
          <w:r>
            <w:rPr>
              <w:rFonts w:hint="eastAsia"/>
              <w:lang w:val="en-US" w:eastAsia="zh-CN"/>
            </w:rPr>
            <w:t>五</w:t>
          </w:r>
          <w:r>
            <w:rPr>
              <w:rFonts w:hint="eastAsia"/>
            </w:rPr>
            <w:t>、服务方案（如有）</w:t>
          </w:r>
          <w:r>
            <w:tab/>
          </w:r>
          <w:r>
            <w:fldChar w:fldCharType="begin"/>
          </w:r>
          <w:r>
            <w:instrText xml:space="preserve"> PAGEREF _Toc23761 \h </w:instrText>
          </w:r>
          <w:r>
            <w:fldChar w:fldCharType="separate"/>
          </w:r>
          <w:r>
            <w:t>31</w:t>
          </w:r>
          <w:r>
            <w:fldChar w:fldCharType="end"/>
          </w:r>
          <w:r>
            <w:fldChar w:fldCharType="end"/>
          </w:r>
        </w:p>
        <w:p>
          <w:pPr>
            <w:pStyle w:val="32"/>
            <w:tabs>
              <w:tab w:val="right" w:leader="dot" w:pos="8312"/>
            </w:tabs>
            <w:spacing w:line="360" w:lineRule="auto"/>
          </w:pPr>
          <w:r>
            <w:fldChar w:fldCharType="begin"/>
          </w:r>
          <w:r>
            <w:instrText xml:space="preserve"> HYPERLINK \l _Toc20751 </w:instrText>
          </w:r>
          <w:r>
            <w:fldChar w:fldCharType="separate"/>
          </w:r>
          <w:r>
            <w:rPr>
              <w:rFonts w:hint="eastAsia"/>
              <w:lang w:val="en-US" w:eastAsia="zh-CN"/>
            </w:rPr>
            <w:t>六</w:t>
          </w:r>
          <w:r>
            <w:rPr>
              <w:rFonts w:hint="eastAsia"/>
            </w:rPr>
            <w:t>、报价一览表</w:t>
          </w:r>
          <w:r>
            <w:tab/>
          </w:r>
          <w:r>
            <w:fldChar w:fldCharType="begin"/>
          </w:r>
          <w:r>
            <w:instrText xml:space="preserve"> PAGEREF _Toc20751 \h </w:instrText>
          </w:r>
          <w:r>
            <w:fldChar w:fldCharType="separate"/>
          </w:r>
          <w:r>
            <w:t>32</w:t>
          </w:r>
          <w:r>
            <w:fldChar w:fldCharType="end"/>
          </w:r>
          <w:r>
            <w:fldChar w:fldCharType="end"/>
          </w:r>
        </w:p>
        <w:p>
          <w:pPr>
            <w:pStyle w:val="32"/>
            <w:tabs>
              <w:tab w:val="right" w:leader="dot" w:pos="8312"/>
            </w:tabs>
            <w:spacing w:line="360" w:lineRule="auto"/>
          </w:pPr>
          <w:r>
            <w:fldChar w:fldCharType="begin"/>
          </w:r>
          <w:r>
            <w:instrText xml:space="preserve"> HYPERLINK \l _Toc15913 </w:instrText>
          </w:r>
          <w:r>
            <w:fldChar w:fldCharType="separate"/>
          </w:r>
          <w:r>
            <w:rPr>
              <w:rFonts w:hint="eastAsia"/>
            </w:rPr>
            <w:t>七、 分项价格表</w:t>
          </w:r>
          <w:r>
            <w:tab/>
          </w:r>
          <w:r>
            <w:fldChar w:fldCharType="begin"/>
          </w:r>
          <w:r>
            <w:instrText xml:space="preserve"> PAGEREF _Toc15913 \h </w:instrText>
          </w:r>
          <w:r>
            <w:fldChar w:fldCharType="separate"/>
          </w:r>
          <w:r>
            <w:t>33</w:t>
          </w:r>
          <w:r>
            <w:fldChar w:fldCharType="end"/>
          </w:r>
          <w:r>
            <w:fldChar w:fldCharType="end"/>
          </w:r>
        </w:p>
        <w:p>
          <w:pPr>
            <w:pStyle w:val="32"/>
            <w:tabs>
              <w:tab w:val="right" w:leader="dot" w:pos="8312"/>
            </w:tabs>
            <w:spacing w:line="360" w:lineRule="auto"/>
          </w:pPr>
          <w:r>
            <w:fldChar w:fldCharType="begin"/>
          </w:r>
          <w:r>
            <w:instrText xml:space="preserve"> HYPERLINK \l _Toc16688 </w:instrText>
          </w:r>
          <w:r>
            <w:fldChar w:fldCharType="separate"/>
          </w:r>
          <w:r>
            <w:rPr>
              <w:rFonts w:hint="eastAsia"/>
              <w:lang w:val="en-US" w:eastAsia="zh-CN"/>
            </w:rPr>
            <w:t>八</w:t>
          </w:r>
          <w:r>
            <w:rPr>
              <w:rFonts w:hint="eastAsia"/>
            </w:rPr>
            <w:t>、其他资料（如有）</w:t>
          </w:r>
          <w:r>
            <w:tab/>
          </w:r>
          <w:r>
            <w:fldChar w:fldCharType="begin"/>
          </w:r>
          <w:r>
            <w:instrText xml:space="preserve"> PAGEREF _Toc16688 \h </w:instrText>
          </w:r>
          <w:r>
            <w:fldChar w:fldCharType="separate"/>
          </w:r>
          <w:r>
            <w:t>34</w:t>
          </w:r>
          <w:r>
            <w:fldChar w:fldCharType="end"/>
          </w:r>
          <w:r>
            <w:fldChar w:fldCharType="end"/>
          </w:r>
        </w:p>
        <w:p>
          <w:pPr>
            <w:pStyle w:val="32"/>
            <w:tabs>
              <w:tab w:val="right" w:leader="dot" w:pos="8312"/>
            </w:tabs>
            <w:spacing w:line="360" w:lineRule="auto"/>
          </w:pPr>
          <w:r>
            <w:fldChar w:fldCharType="end"/>
          </w:r>
        </w:p>
      </w:sdtContent>
    </w:sdt>
    <w:p>
      <w:pPr>
        <w:rPr>
          <w:rFonts w:hint="eastAsia" w:ascii="宋体" w:hAnsi="宋体" w:cs="宋体"/>
          <w:sz w:val="32"/>
          <w:szCs w:val="32"/>
        </w:rPr>
      </w:pPr>
      <w:bookmarkStart w:id="1" w:name="_Toc5016"/>
      <w:bookmarkStart w:id="2" w:name="_Toc13376"/>
      <w:bookmarkStart w:id="3" w:name="_Toc29614"/>
      <w:bookmarkStart w:id="4" w:name="_Toc3621"/>
      <w:r>
        <w:rPr>
          <w:rFonts w:hint="eastAsia" w:ascii="宋体" w:hAnsi="宋体" w:cs="宋体"/>
          <w:sz w:val="32"/>
          <w:szCs w:val="32"/>
        </w:rPr>
        <w:br w:type="page"/>
      </w:r>
    </w:p>
    <w:p>
      <w:pPr>
        <w:pStyle w:val="3"/>
        <w:keepNext w:val="0"/>
        <w:spacing w:line="360" w:lineRule="auto"/>
        <w:rPr>
          <w:rFonts w:hint="eastAsia" w:ascii="宋体" w:hAnsi="宋体" w:cs="宋体"/>
          <w:sz w:val="32"/>
          <w:szCs w:val="32"/>
        </w:rPr>
        <w:sectPr>
          <w:footerReference r:id="rId3" w:type="default"/>
          <w:pgSz w:w="11906" w:h="16838"/>
          <w:pgMar w:top="1440" w:right="849" w:bottom="1440" w:left="1797" w:header="851" w:footer="851" w:gutter="0"/>
          <w:cols w:space="720" w:num="1"/>
          <w:docGrid w:linePitch="312" w:charSpace="0"/>
        </w:sectPr>
      </w:pPr>
    </w:p>
    <w:p>
      <w:pPr>
        <w:pStyle w:val="3"/>
        <w:keepNext w:val="0"/>
        <w:spacing w:line="360" w:lineRule="auto"/>
        <w:rPr>
          <w:rFonts w:ascii="宋体" w:hAnsi="宋体" w:cs="宋体"/>
          <w:sz w:val="32"/>
          <w:szCs w:val="32"/>
        </w:rPr>
      </w:pPr>
      <w:bookmarkStart w:id="5" w:name="_Toc5071"/>
      <w:r>
        <w:rPr>
          <w:rFonts w:hint="eastAsia" w:ascii="宋体" w:hAnsi="宋体" w:cs="宋体"/>
          <w:sz w:val="32"/>
          <w:szCs w:val="32"/>
        </w:rPr>
        <w:t>第一章  谈判邀请公告</w:t>
      </w:r>
      <w:bookmarkEnd w:id="0"/>
      <w:bookmarkEnd w:id="1"/>
      <w:bookmarkEnd w:id="2"/>
      <w:bookmarkEnd w:id="3"/>
      <w:bookmarkEnd w:id="4"/>
      <w:bookmarkEnd w:id="5"/>
    </w:p>
    <w:p>
      <w:pPr>
        <w:spacing w:line="360" w:lineRule="auto"/>
        <w:ind w:firstLine="422" w:firstLineChars="200"/>
        <w:jc w:val="left"/>
        <w:rPr>
          <w:rFonts w:ascii="宋体" w:hAnsi="宋体" w:cs="宋体"/>
          <w:iCs/>
          <w:szCs w:val="21"/>
        </w:rPr>
      </w:pPr>
      <w:r>
        <w:rPr>
          <w:rFonts w:hint="eastAsia" w:ascii="宋体" w:hAnsi="宋体" w:cs="宋体"/>
          <w:b/>
          <w:bCs/>
          <w:iCs/>
          <w:color w:val="auto"/>
          <w:szCs w:val="21"/>
        </w:rPr>
        <w:t>湖南省工程建设监理有限公司</w:t>
      </w:r>
      <w:r>
        <w:rPr>
          <w:rFonts w:hint="eastAsia" w:ascii="宋体" w:hAnsi="宋体" w:cs="宋体"/>
          <w:szCs w:val="21"/>
        </w:rPr>
        <w:t>受长沙市轨道交通运营有限公司、</w:t>
      </w:r>
      <w:r>
        <w:rPr>
          <w:rFonts w:hint="eastAsia" w:ascii="宋体" w:hAnsi="宋体" w:cs="宋体"/>
          <w:iCs/>
          <w:szCs w:val="21"/>
        </w:rPr>
        <w:t>长沙市轨道交通一号线建设发展有限公司、长沙市轨道交通三号线建设发展有限公司、长沙市轨道交通四号线建设发展有限公司、长沙市轨道交通五号线建设发展有限公司</w:t>
      </w:r>
      <w:r>
        <w:rPr>
          <w:rFonts w:hint="eastAsia" w:ascii="宋体" w:hAnsi="宋体" w:cs="宋体"/>
          <w:szCs w:val="21"/>
        </w:rPr>
        <w:t>的委托，</w:t>
      </w:r>
      <w:r>
        <w:rPr>
          <w:rFonts w:hint="eastAsia" w:ascii="宋体" w:hAnsi="宋体" w:cs="宋体"/>
          <w:iCs/>
          <w:szCs w:val="21"/>
        </w:rPr>
        <w:t>对</w:t>
      </w:r>
      <w:r>
        <w:rPr>
          <w:rFonts w:hint="eastAsia" w:hAnsi="宋体" w:cs="宋体"/>
          <w:iCs/>
        </w:rPr>
        <w:t>长沙市轨道交通1、2、3、4、5号线运营期2022年-2024年车站卫生间管道疏通服务项目</w:t>
      </w:r>
      <w:r>
        <w:rPr>
          <w:rFonts w:hint="eastAsia" w:ascii="宋体" w:hAnsi="宋体" w:cs="宋体"/>
          <w:iCs/>
          <w:szCs w:val="21"/>
        </w:rPr>
        <w:t>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rPr>
      </w:pPr>
      <w:r>
        <w:rPr>
          <w:rFonts w:hint="eastAsia" w:hAnsi="宋体" w:cs="宋体"/>
          <w:b/>
          <w:iCs/>
        </w:rPr>
        <w:t>一、项目概况</w:t>
      </w:r>
    </w:p>
    <w:p>
      <w:pPr>
        <w:pStyle w:val="25"/>
        <w:adjustRightInd w:val="0"/>
        <w:snapToGrid w:val="0"/>
        <w:spacing w:line="360" w:lineRule="auto"/>
        <w:ind w:firstLine="420" w:firstLineChars="200"/>
        <w:rPr>
          <w:rFonts w:hAnsi="宋体" w:cs="宋体"/>
          <w:iCs/>
        </w:rPr>
      </w:pPr>
      <w:r>
        <w:rPr>
          <w:rFonts w:hint="eastAsia" w:hAnsi="宋体" w:cs="宋体"/>
          <w:iCs/>
        </w:rPr>
        <w:t>1.项目名称：长沙市轨道交通1、2、3、4、5号线运营期2022年-2024年车站卫生间管道疏通服务项目</w:t>
      </w:r>
    </w:p>
    <w:p>
      <w:pPr>
        <w:pStyle w:val="25"/>
        <w:adjustRightInd w:val="0"/>
        <w:snapToGrid w:val="0"/>
        <w:spacing w:line="360" w:lineRule="auto"/>
        <w:ind w:firstLine="420" w:firstLineChars="200"/>
        <w:rPr>
          <w:rFonts w:hAnsi="宋体" w:cs="宋体"/>
          <w:iCs/>
        </w:rPr>
      </w:pPr>
      <w:r>
        <w:rPr>
          <w:rFonts w:hint="eastAsia" w:hAnsi="宋体" w:cs="宋体"/>
          <w:iCs/>
        </w:rPr>
        <w:t>2</w:t>
      </w:r>
      <w:r>
        <w:rPr>
          <w:rFonts w:hAnsi="宋体" w:cs="宋体"/>
          <w:iCs/>
        </w:rPr>
        <w:t>.</w:t>
      </w:r>
      <w:r>
        <w:rPr>
          <w:rFonts w:hint="eastAsia" w:hAnsi="宋体" w:cs="宋体"/>
          <w:iCs/>
        </w:rPr>
        <w:t>项目编号：长轨运服采【2022】007号</w:t>
      </w:r>
    </w:p>
    <w:p>
      <w:pPr>
        <w:pStyle w:val="25"/>
        <w:adjustRightInd w:val="0"/>
        <w:snapToGrid w:val="0"/>
        <w:spacing w:line="360" w:lineRule="auto"/>
        <w:ind w:firstLine="420" w:firstLineChars="200"/>
        <w:rPr>
          <w:rFonts w:hAnsi="宋体" w:cs="宋体"/>
          <w:iCs/>
        </w:rPr>
      </w:pPr>
      <w:r>
        <w:rPr>
          <w:rFonts w:hAnsi="宋体" w:cs="宋体"/>
          <w:iCs/>
        </w:rPr>
        <w:t>3</w:t>
      </w:r>
      <w:r>
        <w:rPr>
          <w:rFonts w:hint="eastAsia" w:hAnsi="宋体" w:cs="宋体"/>
          <w:iCs/>
        </w:rPr>
        <w:t>.最高限价：</w:t>
      </w:r>
      <w:r>
        <w:rPr>
          <w:rFonts w:hint="eastAsia" w:hAnsi="宋体" w:cs="宋体"/>
          <w:iCs/>
          <w:lang w:val="en-US" w:eastAsia="zh-CN"/>
        </w:rPr>
        <w:t>305760.00</w:t>
      </w:r>
      <w:r>
        <w:rPr>
          <w:rFonts w:hint="eastAsia" w:hAnsi="宋体" w:cs="宋体"/>
          <w:iCs/>
        </w:rPr>
        <w:t>元</w:t>
      </w:r>
    </w:p>
    <w:p>
      <w:pPr>
        <w:snapToGrid w:val="0"/>
        <w:spacing w:line="360" w:lineRule="auto"/>
        <w:ind w:firstLine="420" w:firstLineChars="200"/>
        <w:rPr>
          <w:rFonts w:ascii="宋体" w:hAnsi="宋体" w:cs="宋体"/>
          <w:iCs/>
          <w:szCs w:val="21"/>
        </w:rPr>
      </w:pPr>
      <w:r>
        <w:rPr>
          <w:rFonts w:ascii="宋体" w:hAnsi="宋体" w:cs="宋体"/>
          <w:iCs/>
          <w:szCs w:val="21"/>
        </w:rPr>
        <w:t>4</w:t>
      </w:r>
      <w:r>
        <w:rPr>
          <w:rFonts w:hint="eastAsia" w:ascii="宋体" w:hAnsi="宋体" w:cs="宋体"/>
          <w:iCs/>
          <w:szCs w:val="21"/>
        </w:rPr>
        <w:t>.</w:t>
      </w:r>
      <w:r>
        <w:rPr>
          <w:rFonts w:hint="eastAsia" w:ascii="宋体" w:hAnsi="宋体" w:cs="宋体"/>
          <w:bCs/>
          <w:szCs w:val="21"/>
        </w:rPr>
        <w:t>标段划分：共划分</w:t>
      </w:r>
      <w:r>
        <w:rPr>
          <w:rFonts w:hint="eastAsia" w:ascii="宋体" w:hAnsi="宋体" w:cs="宋体"/>
          <w:bCs/>
          <w:szCs w:val="21"/>
          <w:lang w:val="en-US" w:eastAsia="zh-CN"/>
        </w:rPr>
        <w:t>1</w:t>
      </w:r>
      <w:r>
        <w:rPr>
          <w:rFonts w:hint="eastAsia" w:ascii="宋体" w:hAnsi="宋体" w:cs="宋体"/>
          <w:szCs w:val="21"/>
        </w:rPr>
        <w:t>个标段。</w:t>
      </w:r>
    </w:p>
    <w:p>
      <w:pPr>
        <w:snapToGrid w:val="0"/>
        <w:spacing w:line="360" w:lineRule="auto"/>
        <w:ind w:firstLine="420" w:firstLineChars="200"/>
        <w:rPr>
          <w:rFonts w:ascii="宋体" w:hAnsi="宋体" w:cs="宋体"/>
          <w:bCs/>
          <w:szCs w:val="21"/>
        </w:rPr>
      </w:pPr>
      <w:r>
        <w:rPr>
          <w:rFonts w:ascii="宋体" w:hAnsi="宋体" w:cs="宋体"/>
          <w:bCs/>
          <w:szCs w:val="21"/>
        </w:rPr>
        <w:t>5</w:t>
      </w:r>
      <w:r>
        <w:rPr>
          <w:rFonts w:hint="eastAsia" w:ascii="宋体" w:hAnsi="宋体" w:cs="宋体"/>
          <w:bCs/>
          <w:szCs w:val="21"/>
        </w:rPr>
        <w:t>.服务期限：</w:t>
      </w:r>
      <w:r>
        <w:rPr>
          <w:rFonts w:hint="eastAsia" w:ascii="宋体"/>
          <w:color w:val="000000"/>
          <w:szCs w:val="21"/>
          <w:lang w:eastAsia="zh-CN"/>
        </w:rPr>
        <w:t>本项目服务期限为</w:t>
      </w:r>
      <w:r>
        <w:rPr>
          <w:rFonts w:hint="eastAsia" w:ascii="宋体" w:hAnsi="Times New Roman" w:cs="Times New Roman"/>
          <w:color w:val="000000"/>
          <w:szCs w:val="21"/>
          <w:lang w:eastAsia="zh-CN"/>
        </w:rPr>
        <w:t>2022年6月1日至2024年6月1日，总服务期限为24个月</w:t>
      </w:r>
      <w:r>
        <w:rPr>
          <w:rFonts w:hint="eastAsia" w:ascii="宋体"/>
          <w:color w:val="000000"/>
          <w:szCs w:val="21"/>
          <w:lang w:eastAsia="zh-CN"/>
        </w:rPr>
        <w:t>（实际服务时间以采购单位发出的进场通知起算，总计</w:t>
      </w:r>
      <w:r>
        <w:rPr>
          <w:rFonts w:hint="eastAsia" w:ascii="宋体"/>
          <w:color w:val="000000"/>
          <w:szCs w:val="21"/>
          <w:lang w:val="en-US" w:eastAsia="zh-CN"/>
        </w:rPr>
        <w:t>24</w:t>
      </w:r>
      <w:r>
        <w:rPr>
          <w:rFonts w:hint="eastAsia" w:ascii="宋体"/>
          <w:color w:val="000000"/>
          <w:szCs w:val="21"/>
          <w:lang w:eastAsia="zh-CN"/>
        </w:rPr>
        <w:t>个月）。</w:t>
      </w:r>
      <w:r>
        <w:rPr>
          <w:rFonts w:hint="eastAsia" w:ascii="宋体" w:hAnsi="宋体" w:cs="宋体"/>
          <w:szCs w:val="21"/>
        </w:rPr>
        <w:t>（具体详见用户需求书）</w:t>
      </w:r>
    </w:p>
    <w:p>
      <w:pPr>
        <w:snapToGrid w:val="0"/>
        <w:spacing w:line="360" w:lineRule="auto"/>
        <w:ind w:firstLine="420" w:firstLineChars="200"/>
        <w:rPr>
          <w:rFonts w:ascii="宋体" w:hAnsi="宋体" w:cs="宋体"/>
          <w:bCs/>
          <w:szCs w:val="21"/>
        </w:rPr>
      </w:pPr>
      <w:r>
        <w:rPr>
          <w:rFonts w:ascii="宋体" w:hAnsi="宋体" w:cs="宋体"/>
          <w:bCs/>
          <w:szCs w:val="21"/>
        </w:rPr>
        <w:t>6</w:t>
      </w:r>
      <w:r>
        <w:rPr>
          <w:rFonts w:hint="eastAsia" w:ascii="宋体" w:hAnsi="宋体" w:cs="宋体"/>
          <w:bCs/>
          <w:szCs w:val="21"/>
        </w:rPr>
        <w:t>.</w:t>
      </w:r>
      <w:r>
        <w:rPr>
          <w:rFonts w:hint="eastAsia" w:ascii="宋体" w:hAnsi="宋体" w:cs="宋体"/>
          <w:iCs/>
          <w:szCs w:val="21"/>
        </w:rPr>
        <w:t>采购范围：</w:t>
      </w:r>
      <w:r>
        <w:rPr>
          <w:rFonts w:hint="eastAsia" w:ascii="宋体" w:hAnsi="宋体" w:cs="宋体"/>
        </w:rPr>
        <w:t>本项目主要</w:t>
      </w:r>
      <w:r>
        <w:rPr>
          <w:rFonts w:hint="eastAsia" w:ascii="宋体" w:hAnsi="宋体" w:cs="宋体"/>
          <w:highlight w:val="none"/>
        </w:rPr>
        <w:t>为</w:t>
      </w:r>
      <w:r>
        <w:rPr>
          <w:rFonts w:hint="eastAsia" w:ascii="宋体" w:hAnsi="宋体" w:cs="宋体"/>
          <w:bCs/>
        </w:rPr>
        <w:t>长沙市轨道交通1、2、3、4、5号线运营期2022年-2024年车站卫生间管道疏通</w:t>
      </w:r>
      <w:r>
        <w:rPr>
          <w:rFonts w:hint="eastAsia" w:ascii="宋体" w:hAnsi="宋体" w:cs="宋体"/>
          <w:bCs/>
          <w:lang w:val="en-US" w:eastAsia="zh-CN"/>
        </w:rPr>
        <w:t>服务</w:t>
      </w:r>
      <w:r>
        <w:rPr>
          <w:rFonts w:hint="eastAsia" w:ascii="宋体" w:hAnsi="宋体" w:cs="宋体"/>
          <w:bCs/>
          <w:lang w:eastAsia="zh-CN"/>
        </w:rPr>
        <w:t>，</w:t>
      </w:r>
      <w:r>
        <w:rPr>
          <w:rFonts w:hint="eastAsia" w:ascii="宋体" w:hAnsi="宋体" w:cs="宋体"/>
          <w:bCs/>
          <w:lang w:val="en-US" w:eastAsia="zh-CN"/>
        </w:rPr>
        <w:t>包括</w:t>
      </w:r>
      <w:r>
        <w:rPr>
          <w:rFonts w:hint="eastAsia" w:ascii="宋体" w:hAnsi="宋体" w:cs="宋体"/>
          <w:lang w:val="en-US" w:eastAsia="zh-CN"/>
        </w:rPr>
        <w:t>普通堵塞（蹲坑、马桶、小便池、拖把池、洗手池等利用疏通工具就能疏通的简单堵塞）、排污总出口管道堵塞（排污泵出口到消能井、消能井至市政污水检查井管道堵塞）、中间连接管道堵塞（疏通过程涉及地面破除及恢复、拆装蹲便器、小便池、马桶等洁具的管道堵塞</w:t>
      </w:r>
      <w:r>
        <w:rPr>
          <w:rFonts w:hint="eastAsia" w:ascii="宋体" w:hAnsi="宋体" w:cs="宋体"/>
          <w:lang w:eastAsia="zh-CN"/>
        </w:rPr>
        <w:t>。</w:t>
      </w:r>
      <w:r>
        <w:rPr>
          <w:rFonts w:hint="eastAsia" w:ascii="宋体" w:hAnsi="宋体" w:cs="宋体"/>
          <w:kern w:val="0"/>
          <w:szCs w:val="21"/>
        </w:rPr>
        <w:t>（具体详见用户需求书）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hint="eastAsia" w:ascii="宋体" w:hAnsi="宋体" w:cs="宋体"/>
          <w:szCs w:val="21"/>
        </w:rPr>
      </w:pPr>
      <w:r>
        <w:rPr>
          <w:rFonts w:hint="eastAsia" w:ascii="宋体" w:hAnsi="宋体" w:cs="宋体"/>
          <w:szCs w:val="21"/>
        </w:rPr>
        <w:t>1.谈判单位须为具有独立法人资格、自主经营、独立核算的公司。</w:t>
      </w:r>
    </w:p>
    <w:p>
      <w:pPr>
        <w:spacing w:line="360" w:lineRule="auto"/>
        <w:ind w:firstLine="420" w:firstLineChars="200"/>
        <w:rPr>
          <w:rFonts w:hint="eastAsia" w:ascii="宋体" w:hAnsi="宋体" w:cs="宋体"/>
          <w:szCs w:val="21"/>
        </w:rPr>
      </w:pPr>
      <w:r>
        <w:rPr>
          <w:rFonts w:hint="eastAsia" w:ascii="宋体" w:hAnsi="宋体" w:cs="宋体"/>
          <w:szCs w:val="21"/>
        </w:rPr>
        <w:t>2.谈判单位在本项目响应文件递交截止之日前须具有36个月内的管道疏通服务类相关业绩。不接受联合体业绩、港澳台或境外业绩。</w:t>
      </w:r>
    </w:p>
    <w:p>
      <w:pPr>
        <w:spacing w:line="360" w:lineRule="auto"/>
        <w:ind w:firstLine="420" w:firstLineChars="200"/>
        <w:rPr>
          <w:rFonts w:hint="eastAsia"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业绩证明材料以同时提供的合同原件扫描件和发票（开票金额不少于合同金额的10%）原件扫描件为准（均须加盖投标人单位公章），业绩金额以合同中金额为准，时间以合同中采购单位的签字时间为准。</w:t>
      </w:r>
    </w:p>
    <w:p>
      <w:pPr>
        <w:spacing w:line="360" w:lineRule="auto"/>
        <w:ind w:firstLine="420" w:firstLineChars="200"/>
        <w:rPr>
          <w:rFonts w:hint="eastAsia" w:ascii="宋体" w:hAnsi="宋体" w:cs="宋体"/>
          <w:szCs w:val="21"/>
        </w:rPr>
      </w:pPr>
      <w:r>
        <w:rPr>
          <w:rFonts w:hint="eastAsia" w:ascii="宋体" w:hAnsi="宋体" w:cs="宋体"/>
          <w:szCs w:val="21"/>
        </w:rPr>
        <w:t>3.本项目不接受联合体形式参与谈判。</w:t>
      </w:r>
    </w:p>
    <w:p>
      <w:pPr>
        <w:spacing w:line="360" w:lineRule="auto"/>
        <w:ind w:firstLine="420" w:firstLineChars="200"/>
        <w:rPr>
          <w:rFonts w:ascii="宋体" w:hAnsi="宋体" w:cs="宋体"/>
          <w:szCs w:val="21"/>
        </w:rPr>
      </w:pPr>
      <w:r>
        <w:rPr>
          <w:rFonts w:hint="eastAsia" w:ascii="宋体" w:hAnsi="宋体" w:cs="宋体"/>
          <w:szCs w:val="21"/>
        </w:rPr>
        <w:t>4.被长沙市轨道交通集团有限公司及长沙市轨道交通运营有限公司函告禁止在一定期限内参与投标的单位按函告内容执行。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bookmarkStart w:id="6" w:name="_Hlk75876044"/>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bookmarkEnd w:id="6"/>
      <w:r>
        <w:rPr>
          <w:rFonts w:hint="eastAsia" w:ascii="宋体" w:hAnsi="宋体" w:cs="宋体"/>
          <w:szCs w:val="21"/>
        </w:rPr>
        <w:t>。</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none"/>
        </w:rPr>
        <w:t>20</w:t>
      </w:r>
      <w:r>
        <w:rPr>
          <w:rFonts w:hint="eastAsia" w:ascii="宋体" w:hAnsi="宋体" w:cs="宋体"/>
          <w:szCs w:val="21"/>
          <w:u w:val="none"/>
          <w:lang w:val="en-US" w:eastAsia="zh-CN"/>
        </w:rPr>
        <w:t>22</w:t>
      </w:r>
      <w:r>
        <w:rPr>
          <w:rFonts w:hint="eastAsia" w:ascii="宋体" w:hAnsi="宋体" w:cs="宋体"/>
          <w:szCs w:val="21"/>
          <w:u w:val="none"/>
        </w:rPr>
        <w:t>年</w:t>
      </w:r>
      <w:r>
        <w:rPr>
          <w:rFonts w:hint="eastAsia" w:ascii="宋体" w:hAnsi="宋体" w:cs="宋体"/>
          <w:szCs w:val="21"/>
          <w:u w:val="none"/>
          <w:lang w:val="en-US" w:eastAsia="zh-CN"/>
        </w:rPr>
        <w:t>04</w:t>
      </w:r>
      <w:r>
        <w:rPr>
          <w:rFonts w:hint="eastAsia" w:ascii="宋体" w:hAnsi="宋体" w:cs="宋体"/>
          <w:szCs w:val="21"/>
          <w:u w:val="none"/>
        </w:rPr>
        <w:t>月</w:t>
      </w:r>
      <w:r>
        <w:rPr>
          <w:rFonts w:hint="eastAsia" w:ascii="宋体" w:hAnsi="宋体" w:cs="宋体"/>
          <w:szCs w:val="21"/>
          <w:u w:val="none"/>
          <w:lang w:val="en-US" w:eastAsia="zh-CN"/>
        </w:rPr>
        <w:t>29</w:t>
      </w:r>
      <w:r>
        <w:rPr>
          <w:rFonts w:hint="eastAsia" w:ascii="宋体" w:hAnsi="宋体" w:cs="宋体"/>
          <w:szCs w:val="21"/>
          <w:u w:val="none"/>
        </w:rPr>
        <w:t xml:space="preserve"> </w:t>
      </w:r>
      <w:r>
        <w:rPr>
          <w:rFonts w:hint="eastAsia" w:ascii="宋体" w:hAnsi="宋体" w:cs="宋体"/>
          <w:szCs w:val="21"/>
        </w:rPr>
        <w:t>日</w:t>
      </w:r>
      <w:r>
        <w:rPr>
          <w:rFonts w:hint="eastAsia" w:ascii="宋体" w:hAnsi="宋体" w:cs="宋体"/>
          <w:iCs/>
          <w:szCs w:val="21"/>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才采购代理机构不负任何责任。</w:t>
      </w:r>
    </w:p>
    <w:p>
      <w:pPr>
        <w:widowControl/>
        <w:spacing w:line="408" w:lineRule="auto"/>
        <w:ind w:firstLine="480"/>
        <w:rPr>
          <w:rFonts w:ascii="宋体" w:hAnsi="宋体" w:cs="宋体"/>
          <w:b/>
          <w:bCs/>
          <w:kern w:val="0"/>
          <w:szCs w:val="21"/>
        </w:rPr>
      </w:pPr>
      <w:r>
        <w:rPr>
          <w:rFonts w:hint="eastAsia" w:ascii="宋体" w:hAnsi="宋体" w:cs="宋体"/>
          <w:b/>
          <w:bCs/>
          <w:kern w:val="0"/>
          <w:szCs w:val="21"/>
        </w:rPr>
        <w:t>六、投标保证金</w:t>
      </w:r>
    </w:p>
    <w:p>
      <w:pPr>
        <w:spacing w:line="360" w:lineRule="auto"/>
        <w:ind w:firstLine="420" w:firstLineChars="200"/>
        <w:rPr>
          <w:rFonts w:ascii="宋体" w:hAnsi="宋体" w:cs="宋体"/>
          <w:iCs/>
          <w:szCs w:val="21"/>
        </w:rPr>
      </w:pPr>
      <w:r>
        <w:rPr>
          <w:rFonts w:hint="eastAsia" w:ascii="宋体" w:hAnsi="宋体" w:cs="宋体"/>
          <w:iCs/>
          <w:szCs w:val="21"/>
        </w:rPr>
        <w:t>1.所有谈判单位须在</w:t>
      </w:r>
      <w:r>
        <w:rPr>
          <w:rFonts w:hint="eastAsia" w:ascii="宋体" w:hAnsi="宋体" w:cs="宋体"/>
          <w:b/>
          <w:bCs/>
          <w:iCs/>
          <w:szCs w:val="21"/>
        </w:rPr>
        <w:t>城轨采购网</w:t>
      </w:r>
      <w:r>
        <w:rPr>
          <w:rFonts w:hint="eastAsia" w:ascii="宋体" w:hAnsi="宋体" w:cs="宋体"/>
          <w:iCs/>
          <w:szCs w:val="21"/>
        </w:rPr>
        <w:t>（网址：www.mtrmart.com）注册参与并按要求提交投标保证金。本次投标保证金的金额为（人民币）</w:t>
      </w:r>
      <w:r>
        <w:rPr>
          <w:rFonts w:hint="eastAsia" w:ascii="宋体" w:hAnsi="宋体" w:cs="宋体"/>
          <w:iCs/>
          <w:szCs w:val="21"/>
          <w:lang w:val="en-US" w:eastAsia="zh-CN"/>
        </w:rPr>
        <w:t>6100.00</w:t>
      </w:r>
      <w:r>
        <w:rPr>
          <w:rFonts w:hint="eastAsia" w:ascii="宋体" w:hAnsi="宋体" w:cs="宋体"/>
          <w:iCs/>
          <w:szCs w:val="21"/>
        </w:rPr>
        <w:t>元，投标保证金必须由谈判单位的银行对公账户转出，否则将无权限参加本次谈判。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2.本次参与谈判单位的投标保证金必须在202</w:t>
      </w:r>
      <w:r>
        <w:rPr>
          <w:rFonts w:hint="eastAsia" w:ascii="宋体" w:hAnsi="宋体" w:cs="宋体"/>
          <w:iCs/>
          <w:szCs w:val="21"/>
          <w:lang w:val="en-US" w:eastAsia="zh-CN"/>
        </w:rPr>
        <w:t>2</w:t>
      </w:r>
      <w:r>
        <w:rPr>
          <w:rFonts w:hint="eastAsia" w:ascii="宋体" w:hAnsi="宋体" w:cs="宋体"/>
          <w:iCs/>
          <w:szCs w:val="21"/>
        </w:rPr>
        <w:t>年</w:t>
      </w:r>
      <w:r>
        <w:rPr>
          <w:rFonts w:hint="eastAsia" w:ascii="宋体" w:hAnsi="宋体" w:cs="宋体"/>
          <w:iCs/>
          <w:szCs w:val="21"/>
          <w:lang w:val="en-US" w:eastAsia="zh-CN"/>
        </w:rPr>
        <w:t>05</w:t>
      </w:r>
      <w:r>
        <w:rPr>
          <w:rFonts w:hint="eastAsia" w:ascii="宋体" w:hAnsi="宋体" w:cs="宋体"/>
          <w:iCs/>
          <w:szCs w:val="21"/>
        </w:rPr>
        <w:t>月</w:t>
      </w:r>
      <w:r>
        <w:rPr>
          <w:rFonts w:hint="eastAsia" w:ascii="宋体" w:hAnsi="宋体" w:cs="宋体"/>
          <w:iCs/>
          <w:szCs w:val="21"/>
          <w:lang w:val="en-US" w:eastAsia="zh-CN"/>
        </w:rPr>
        <w:t>09</w:t>
      </w:r>
      <w:r>
        <w:rPr>
          <w:rFonts w:hint="eastAsia" w:ascii="宋体" w:hAnsi="宋体" w:cs="宋体"/>
          <w:iCs/>
          <w:szCs w:val="21"/>
        </w:rPr>
        <w:t>日</w:t>
      </w:r>
      <w:r>
        <w:rPr>
          <w:rFonts w:hint="eastAsia" w:ascii="宋体" w:hAnsi="宋体" w:cs="宋体"/>
          <w:iCs/>
          <w:szCs w:val="21"/>
          <w:lang w:val="en-US" w:eastAsia="zh-CN"/>
        </w:rPr>
        <w:t>9</w:t>
      </w:r>
      <w:bookmarkStart w:id="259" w:name="_GoBack"/>
      <w:bookmarkEnd w:id="259"/>
      <w:r>
        <w:rPr>
          <w:rFonts w:hint="eastAsia" w:ascii="宋体" w:hAnsi="宋体" w:cs="宋体"/>
          <w:iCs/>
          <w:szCs w:val="21"/>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rPr>
      </w:pPr>
      <w:r>
        <w:rPr>
          <w:rFonts w:hint="eastAsia" w:ascii="宋体" w:hAnsi="宋体" w:cs="宋体"/>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rPr>
      </w:pPr>
      <w:r>
        <w:rPr>
          <w:rFonts w:hint="eastAsia" w:ascii="宋体" w:hAnsi="宋体" w:cs="宋体"/>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rPr>
      </w:pPr>
      <w:r>
        <w:rPr>
          <w:rFonts w:hint="eastAsia" w:ascii="宋体" w:hAnsi="宋体" w:cs="宋体"/>
          <w:iCs/>
          <w:szCs w:val="21"/>
        </w:rPr>
        <w:t>（1）谈判单位提出撤回或撤销或放弃中选资格或对报价提出实质性修改；</w:t>
      </w:r>
    </w:p>
    <w:p>
      <w:pPr>
        <w:spacing w:line="360" w:lineRule="auto"/>
        <w:ind w:firstLine="420" w:firstLineChars="200"/>
        <w:rPr>
          <w:rFonts w:ascii="宋体" w:hAnsi="宋体" w:cs="宋体"/>
          <w:iCs/>
          <w:szCs w:val="21"/>
        </w:rPr>
      </w:pPr>
      <w:r>
        <w:rPr>
          <w:rFonts w:hint="eastAsia" w:ascii="宋体" w:hAnsi="宋体" w:cs="宋体"/>
          <w:iCs/>
          <w:szCs w:val="21"/>
        </w:rPr>
        <w:t>（2）中选单位未能在规定期限内签订合同或不按报价结果签订合同；</w:t>
      </w:r>
    </w:p>
    <w:p>
      <w:pPr>
        <w:spacing w:line="360" w:lineRule="auto"/>
        <w:ind w:firstLine="420" w:firstLineChars="200"/>
        <w:rPr>
          <w:rFonts w:ascii="宋体" w:hAnsi="宋体" w:cs="宋体"/>
          <w:iCs/>
          <w:szCs w:val="21"/>
        </w:rPr>
      </w:pPr>
      <w:r>
        <w:rPr>
          <w:rFonts w:hint="eastAsia" w:ascii="宋体" w:hAnsi="宋体" w:cs="宋体"/>
          <w:iCs/>
          <w:szCs w:val="21"/>
        </w:rPr>
        <w:t>（3）中选单位未能在规定期限内提交履约保证金；</w:t>
      </w:r>
    </w:p>
    <w:p>
      <w:pPr>
        <w:spacing w:line="360" w:lineRule="auto"/>
        <w:ind w:firstLine="420" w:firstLineChars="200"/>
        <w:rPr>
          <w:rFonts w:ascii="宋体" w:hAnsi="宋体" w:cs="宋体"/>
          <w:iCs/>
          <w:szCs w:val="21"/>
        </w:rPr>
      </w:pPr>
      <w:r>
        <w:rPr>
          <w:rFonts w:hint="eastAsia" w:ascii="宋体" w:hAnsi="宋体" w:cs="宋体"/>
          <w:iCs/>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rPr>
      </w:pPr>
      <w:r>
        <w:rPr>
          <w:rFonts w:hint="eastAsia" w:ascii="宋体" w:hAnsi="宋体" w:cs="宋体"/>
          <w:iCs/>
          <w:szCs w:val="21"/>
        </w:rPr>
        <w:t>（5）经查实谈判单位报价资料弄虚作假的；</w:t>
      </w:r>
    </w:p>
    <w:p>
      <w:pPr>
        <w:spacing w:line="360" w:lineRule="auto"/>
        <w:ind w:firstLine="420" w:firstLineChars="200"/>
        <w:rPr>
          <w:rFonts w:ascii="宋体" w:hAnsi="宋体" w:cs="宋体"/>
          <w:iCs/>
          <w:szCs w:val="21"/>
        </w:rPr>
      </w:pPr>
      <w:r>
        <w:rPr>
          <w:rFonts w:hint="eastAsia" w:ascii="宋体" w:hAnsi="宋体" w:cs="宋体"/>
          <w:iCs/>
          <w:szCs w:val="21"/>
        </w:rPr>
        <w:t>（6）串通参与谈判相关行为的。如不同谈判单位的投标保证金从同一账户转出。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bCs/>
          <w:kern w:val="0"/>
          <w:szCs w:val="21"/>
        </w:rPr>
        <w:t>七、</w:t>
      </w:r>
      <w:r>
        <w:rPr>
          <w:rFonts w:hint="eastAsia" w:ascii="宋体" w:hAnsi="宋体" w:cs="宋体"/>
          <w:b/>
          <w:bCs/>
          <w:iCs/>
          <w:szCs w:val="21"/>
        </w:rPr>
        <w:t>响应文件的递交</w:t>
      </w:r>
    </w:p>
    <w:p>
      <w:pPr>
        <w:spacing w:line="360" w:lineRule="auto"/>
        <w:ind w:firstLine="420" w:firstLineChars="200"/>
        <w:rPr>
          <w:rFonts w:hint="eastAsia" w:ascii="宋体" w:hAnsi="宋体" w:cs="宋体"/>
          <w:szCs w:val="21"/>
        </w:rPr>
      </w:pPr>
      <w:r>
        <w:rPr>
          <w:rFonts w:hint="eastAsia" w:ascii="宋体" w:hAnsi="宋体"/>
          <w:bCs/>
          <w:szCs w:val="21"/>
        </w:rPr>
        <w:t>1.响应文件递交的截止时间及谈判时间为2022年</w:t>
      </w:r>
      <w:r>
        <w:rPr>
          <w:rFonts w:hint="eastAsia" w:ascii="宋体" w:hAnsi="宋体"/>
          <w:bCs/>
          <w:szCs w:val="21"/>
          <w:u w:val="none"/>
          <w:lang w:val="en-US" w:eastAsia="zh-CN"/>
        </w:rPr>
        <w:t>05</w:t>
      </w:r>
      <w:r>
        <w:rPr>
          <w:rFonts w:hint="eastAsia" w:ascii="宋体" w:hAnsi="宋体"/>
          <w:bCs/>
          <w:szCs w:val="21"/>
          <w:u w:val="none"/>
        </w:rPr>
        <w:t>月</w:t>
      </w:r>
      <w:r>
        <w:rPr>
          <w:rFonts w:hint="eastAsia" w:ascii="宋体" w:hAnsi="宋体"/>
          <w:bCs/>
          <w:szCs w:val="21"/>
          <w:u w:val="none"/>
          <w:lang w:val="en-US" w:eastAsia="zh-CN"/>
        </w:rPr>
        <w:t>09</w:t>
      </w:r>
      <w:r>
        <w:rPr>
          <w:rFonts w:hint="eastAsia" w:ascii="宋体" w:hAnsi="宋体"/>
          <w:bCs/>
          <w:szCs w:val="21"/>
        </w:rPr>
        <w:t>日14时30分，地点为</w:t>
      </w:r>
      <w:r>
        <w:rPr>
          <w:rFonts w:hint="eastAsia" w:ascii="宋体" w:hAnsi="宋体" w:cs="宋体"/>
          <w:szCs w:val="21"/>
        </w:rPr>
        <w:t>长沙市劳动东路二段48号黄兴车辆段综合楼9楼910室。</w:t>
      </w:r>
    </w:p>
    <w:p>
      <w:pPr>
        <w:spacing w:line="360" w:lineRule="auto"/>
        <w:ind w:firstLine="422" w:firstLineChars="200"/>
        <w:rPr>
          <w:rFonts w:hint="default" w:ascii="宋体" w:hAnsi="宋体"/>
          <w:b/>
          <w:bCs w:val="0"/>
          <w:color w:val="0000FF"/>
          <w:szCs w:val="21"/>
          <w:lang w:val="en-US" w:eastAsia="zh-CN"/>
        </w:rPr>
      </w:pPr>
      <w:r>
        <w:rPr>
          <w:rFonts w:hint="eastAsia" w:ascii="宋体" w:hAnsi="宋体"/>
          <w:b/>
          <w:bCs w:val="0"/>
          <w:color w:val="0000FF"/>
          <w:szCs w:val="21"/>
          <w:lang w:val="en-US" w:eastAsia="zh-CN"/>
        </w:rPr>
        <w:t>2.谈判单位代表应佩戴口罩，携带身份证进行实名登记，配合做好体温检测，提供“健康码”、“行程码”及48小时内核酸检测证明，否则响应文件将予以拒收。</w:t>
      </w:r>
    </w:p>
    <w:p>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pStyle w:val="2"/>
        <w:spacing w:line="360" w:lineRule="auto"/>
        <w:rPr>
          <w:rFonts w:ascii="宋体" w:hAnsi="宋体" w:cs="宋体"/>
          <w:b/>
          <w:bCs/>
          <w:kern w:val="0"/>
          <w:szCs w:val="21"/>
        </w:rPr>
      </w:pPr>
      <w:r>
        <w:rPr>
          <w:rFonts w:hint="eastAsia" w:ascii="宋体" w:hAnsi="宋体" w:cs="宋体"/>
          <w:b/>
          <w:bCs/>
          <w:kern w:val="0"/>
          <w:szCs w:val="21"/>
        </w:rPr>
        <w:t>八、中标原则</w:t>
      </w:r>
    </w:p>
    <w:p>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1.</w:t>
      </w:r>
      <w:r>
        <w:rPr>
          <w:rFonts w:hint="eastAsia" w:ascii="宋体" w:hAnsi="宋体" w:eastAsia="宋体" w:cs="Times New Roman"/>
          <w:bCs/>
          <w:szCs w:val="21"/>
        </w:rPr>
        <w:t>谈判评审小组按照得分由高到低的顺序推荐不超过1名中选候选人。经公示无异议后，确定排名第一的中选候选人为中选人。</w:t>
      </w:r>
    </w:p>
    <w:p>
      <w:pPr>
        <w:spacing w:line="360" w:lineRule="auto"/>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p>
      <w:pPr>
        <w:spacing w:line="360" w:lineRule="auto"/>
        <w:ind w:firstLine="420" w:firstLineChars="200"/>
        <w:rPr>
          <w:rFonts w:hint="eastAsia" w:ascii="宋体" w:hAnsi="宋体" w:eastAsia="宋体" w:cs="Times New Roman"/>
          <w:bCs/>
          <w:szCs w:val="21"/>
        </w:rPr>
      </w:pPr>
    </w:p>
    <w:p>
      <w:pPr>
        <w:spacing w:line="360" w:lineRule="auto"/>
        <w:ind w:firstLine="422" w:firstLineChars="200"/>
        <w:rPr>
          <w:rFonts w:ascii="宋体" w:hAnsi="宋体" w:cs="宋体"/>
          <w:b/>
          <w:szCs w:val="21"/>
        </w:rPr>
      </w:pPr>
      <w:r>
        <w:rPr>
          <w:rFonts w:hint="eastAsia" w:ascii="宋体" w:hAnsi="宋体" w:cs="宋体"/>
          <w:b/>
          <w:iCs/>
          <w:szCs w:val="21"/>
        </w:rPr>
        <w:t>九、采购单位及其委托的采购代理机构的名称、地址和联系方法</w:t>
      </w:r>
    </w:p>
    <w:p>
      <w:pPr>
        <w:adjustRightInd w:val="0"/>
        <w:snapToGrid w:val="0"/>
        <w:spacing w:line="360" w:lineRule="auto"/>
        <w:ind w:firstLine="413" w:firstLineChars="196"/>
        <w:rPr>
          <w:rFonts w:hint="eastAsia" w:ascii="宋体" w:hAnsi="宋体" w:cs="宋体"/>
          <w:szCs w:val="21"/>
        </w:rPr>
      </w:pPr>
      <w:r>
        <w:rPr>
          <w:rFonts w:hint="eastAsia" w:ascii="宋体" w:hAnsi="宋体" w:cs="宋体"/>
          <w:b/>
          <w:bCs/>
          <w:szCs w:val="21"/>
        </w:rPr>
        <w:t>采购单位：</w:t>
      </w:r>
      <w:r>
        <w:rPr>
          <w:rFonts w:hint="eastAsia" w:ascii="宋体" w:hAnsi="宋体" w:cs="宋体"/>
          <w:szCs w:val="21"/>
        </w:rPr>
        <w:t>长沙市轨道交通运营有限公司</w:t>
      </w:r>
    </w:p>
    <w:p>
      <w:pPr>
        <w:adjustRightInd w:val="0"/>
        <w:snapToGrid w:val="0"/>
        <w:spacing w:line="360" w:lineRule="auto"/>
        <w:ind w:firstLine="1461" w:firstLineChars="696"/>
        <w:rPr>
          <w:rFonts w:hint="eastAsia" w:ascii="宋体" w:hAnsi="宋体" w:cs="宋体"/>
          <w:iCs/>
          <w:szCs w:val="21"/>
        </w:rPr>
      </w:pPr>
      <w:r>
        <w:rPr>
          <w:rFonts w:hint="eastAsia" w:ascii="宋体" w:hAnsi="宋体" w:cs="宋体"/>
          <w:iCs/>
          <w:szCs w:val="21"/>
        </w:rPr>
        <w:t>长沙市轨道交通一号线建设发展有限公司</w:t>
      </w:r>
    </w:p>
    <w:p>
      <w:pPr>
        <w:spacing w:line="360" w:lineRule="auto"/>
        <w:ind w:firstLine="1470" w:firstLineChars="7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长沙市轨道交通三号线建设发展有限公司</w:t>
      </w:r>
    </w:p>
    <w:p>
      <w:pPr>
        <w:spacing w:line="360" w:lineRule="auto"/>
        <w:ind w:firstLine="1470" w:firstLineChars="7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长沙市轨道交通四号线建设发展有限公司</w:t>
      </w:r>
    </w:p>
    <w:p>
      <w:pPr>
        <w:spacing w:line="360" w:lineRule="auto"/>
        <w:ind w:firstLine="1470" w:firstLineChars="700"/>
        <w:rPr>
          <w:rFonts w:ascii="宋体" w:hAnsi="宋体" w:cs="宋体"/>
          <w:b/>
          <w:bCs/>
          <w:szCs w:val="21"/>
        </w:rPr>
      </w:pPr>
      <w:r>
        <w:rPr>
          <w:rFonts w:hint="eastAsia" w:ascii="宋体" w:hAnsi="宋体" w:eastAsia="宋体" w:cs="Times New Roman"/>
          <w:bCs/>
          <w:szCs w:val="21"/>
          <w:lang w:val="en-US" w:eastAsia="zh-CN"/>
        </w:rPr>
        <w:t>长沙市轨道交通五号线建设发展有限公司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联系人：</w:t>
      </w:r>
      <w:r>
        <w:rPr>
          <w:rFonts w:hint="eastAsia" w:ascii="宋体" w:hAnsi="宋体" w:cs="宋体"/>
          <w:bCs/>
          <w:szCs w:val="21"/>
          <w:lang w:val="en-US" w:eastAsia="zh-CN"/>
        </w:rPr>
        <w:t>陈工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iCs/>
          <w:szCs w:val="21"/>
        </w:rPr>
        <w:t>湖南省工程建设监理有限公司</w:t>
      </w:r>
    </w:p>
    <w:p>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iCs/>
          <w:szCs w:val="21"/>
        </w:rPr>
        <w:t>：0731—85168818</w:t>
      </w:r>
    </w:p>
    <w:p>
      <w:pPr>
        <w:spacing w:line="360" w:lineRule="auto"/>
        <w:ind w:firstLine="420" w:firstLineChars="200"/>
        <w:rPr>
          <w:rFonts w:ascii="宋体" w:hAnsi="宋体" w:cs="宋体"/>
          <w:szCs w:val="21"/>
        </w:rPr>
      </w:pPr>
      <w:r>
        <w:rPr>
          <w:rFonts w:hint="eastAsia" w:ascii="宋体" w:hAnsi="宋体" w:cs="宋体"/>
          <w:szCs w:val="21"/>
        </w:rPr>
        <w:t>联系人：</w:t>
      </w:r>
      <w:r>
        <w:rPr>
          <w:rFonts w:hint="eastAsia" w:ascii="宋体" w:hAnsi="宋体" w:cs="宋体"/>
          <w:iCs/>
          <w:szCs w:val="21"/>
        </w:rPr>
        <w:t>李娓明</w:t>
      </w:r>
    </w:p>
    <w:p>
      <w:pPr>
        <w:spacing w:line="360" w:lineRule="auto"/>
        <w:ind w:firstLine="420" w:firstLineChars="200"/>
        <w:rPr>
          <w:rFonts w:ascii="宋体" w:hAnsi="宋体" w:cs="宋体"/>
          <w:szCs w:val="21"/>
        </w:rPr>
      </w:pPr>
      <w:r>
        <w:rPr>
          <w:rFonts w:hint="eastAsia" w:ascii="宋体" w:hAnsi="宋体" w:cs="宋体"/>
          <w:szCs w:val="21"/>
        </w:rPr>
        <w:t>地址：</w:t>
      </w:r>
      <w:r>
        <w:rPr>
          <w:rFonts w:hint="eastAsia" w:ascii="宋体" w:hAnsi="宋体" w:cs="宋体"/>
          <w:iCs/>
          <w:szCs w:val="21"/>
        </w:rPr>
        <w:t>长沙高新开发区尖山路39号中电软件园一期5栋803室</w:t>
      </w:r>
    </w:p>
    <w:p>
      <w:pPr>
        <w:pStyle w:val="25"/>
        <w:adjustRightInd w:val="0"/>
        <w:snapToGrid w:val="0"/>
        <w:jc w:val="center"/>
        <w:rPr>
          <w:rFonts w:hint="eastAsia" w:hAnsi="宋体" w:cs="宋体"/>
          <w:lang w:val="en-US" w:eastAsia="zh-CN"/>
        </w:rPr>
      </w:pPr>
      <w:r>
        <w:rPr>
          <w:rFonts w:hint="eastAsia" w:hAnsi="宋体" w:cs="宋体"/>
          <w:lang w:val="en-US" w:eastAsia="zh-CN"/>
        </w:rPr>
        <w:t xml:space="preserve"> </w:t>
      </w:r>
    </w:p>
    <w:p>
      <w:pPr>
        <w:pStyle w:val="25"/>
        <w:adjustRightInd w:val="0"/>
        <w:snapToGrid w:val="0"/>
        <w:jc w:val="center"/>
        <w:rPr>
          <w:rFonts w:hAnsi="宋体" w:cs="宋体"/>
        </w:rPr>
      </w:pPr>
      <w:r>
        <w:rPr>
          <w:rFonts w:hint="eastAsia" w:hAnsi="宋体" w:cs="宋体"/>
          <w:lang w:val="en-US" w:eastAsia="zh-CN"/>
        </w:rPr>
        <w:t xml:space="preserve">                                                           </w:t>
      </w:r>
      <w:r>
        <w:rPr>
          <w:rFonts w:hint="eastAsia" w:hAnsi="宋体" w:cs="宋体"/>
        </w:rPr>
        <w:t>2022年</w:t>
      </w:r>
      <w:r>
        <w:rPr>
          <w:rFonts w:hint="eastAsia" w:hAnsi="宋体" w:cs="宋体"/>
          <w:lang w:val="en-US" w:eastAsia="zh-CN"/>
        </w:rPr>
        <w:t>04</w:t>
      </w:r>
      <w:r>
        <w:rPr>
          <w:rFonts w:hint="eastAsia" w:hAnsi="宋体" w:cs="宋体"/>
        </w:rPr>
        <w:t>月</w:t>
      </w:r>
      <w:r>
        <w:rPr>
          <w:rFonts w:hint="eastAsia" w:hAnsi="宋体" w:cs="宋体"/>
          <w:lang w:val="en-US" w:eastAsia="zh-CN"/>
        </w:rPr>
        <w:t>24</w:t>
      </w:r>
      <w:r>
        <w:rPr>
          <w:rFonts w:hint="eastAsia" w:hAnsi="宋体" w:cs="宋体"/>
        </w:rPr>
        <w:t>日</w:t>
      </w:r>
    </w:p>
    <w:p>
      <w:pPr>
        <w:pStyle w:val="25"/>
        <w:adjustRightInd w:val="0"/>
        <w:snapToGrid w:val="0"/>
        <w:spacing w:line="360" w:lineRule="auto"/>
        <w:jc w:val="right"/>
        <w:rPr>
          <w:rFonts w:hAnsi="宋体"/>
        </w:rPr>
      </w:pP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7" w:name="_Toc10483"/>
      <w:bookmarkStart w:id="8" w:name="_Toc5145"/>
      <w:bookmarkStart w:id="9" w:name="_Toc8914"/>
      <w:bookmarkStart w:id="10" w:name="_Toc6753"/>
      <w:bookmarkStart w:id="11" w:name="_Toc19652"/>
      <w:bookmarkStart w:id="12" w:name="_Toc14891065"/>
      <w:r>
        <w:rPr>
          <w:rFonts w:hint="eastAsia" w:ascii="宋体" w:hAnsi="宋体" w:cs="宋体"/>
          <w:bCs w:val="0"/>
          <w:sz w:val="32"/>
          <w:szCs w:val="32"/>
        </w:rPr>
        <w:t>第二章  谈判须知</w:t>
      </w:r>
      <w:bookmarkEnd w:id="7"/>
      <w:bookmarkEnd w:id="8"/>
      <w:bookmarkEnd w:id="9"/>
      <w:bookmarkEnd w:id="10"/>
      <w:bookmarkEnd w:id="11"/>
      <w:bookmarkEnd w:id="12"/>
    </w:p>
    <w:p>
      <w:pPr>
        <w:pStyle w:val="4"/>
        <w:keepNext w:val="0"/>
        <w:keepLines w:val="0"/>
        <w:jc w:val="center"/>
        <w:rPr>
          <w:rFonts w:ascii="宋体" w:hAnsi="宋体" w:cs="宋体"/>
          <w:sz w:val="32"/>
        </w:rPr>
      </w:pPr>
      <w:bookmarkStart w:id="13" w:name="_Toc9591"/>
      <w:bookmarkStart w:id="14" w:name="_Toc14891066"/>
      <w:bookmarkStart w:id="15" w:name="_Toc21219"/>
      <w:bookmarkStart w:id="16" w:name="_Toc5430"/>
      <w:bookmarkStart w:id="17" w:name="_Toc6617"/>
      <w:bookmarkStart w:id="18" w:name="_Toc28089"/>
      <w:r>
        <w:rPr>
          <w:rFonts w:hint="eastAsia" w:ascii="宋体" w:hAnsi="宋体" w:cs="宋体"/>
          <w:sz w:val="32"/>
        </w:rPr>
        <w:t>谈判须知前附表</w:t>
      </w:r>
      <w:bookmarkEnd w:id="13"/>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09"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09" w:type="dxa"/>
            <w:vAlign w:val="center"/>
          </w:tcPr>
          <w:p>
            <w:pPr>
              <w:adjustRightInd w:val="0"/>
              <w:snapToGrid w:val="0"/>
              <w:spacing w:line="360" w:lineRule="auto"/>
              <w:jc w:val="left"/>
              <w:rPr>
                <w:rFonts w:ascii="宋体" w:hAnsi="宋体" w:cs="宋体"/>
                <w:szCs w:val="21"/>
              </w:rPr>
            </w:pPr>
            <w:r>
              <w:rPr>
                <w:rFonts w:hint="eastAsia" w:hAnsi="宋体" w:cs="宋体"/>
                <w:iCs/>
              </w:rPr>
              <w:t>长沙市轨道交通1、2、3、4、5号线运营期2022年-2024年车站卫生间管道疏通服务项目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09" w:type="dxa"/>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长沙市轨道交通运营有限公司</w:t>
            </w:r>
          </w:p>
          <w:p>
            <w:pPr>
              <w:adjustRightInd w:val="0"/>
              <w:snapToGrid w:val="0"/>
              <w:spacing w:line="360" w:lineRule="auto"/>
              <w:jc w:val="left"/>
              <w:rPr>
                <w:rFonts w:hint="eastAsia" w:ascii="宋体" w:hAnsi="宋体" w:cs="宋体"/>
                <w:iCs/>
                <w:szCs w:val="21"/>
              </w:rPr>
            </w:pPr>
            <w:r>
              <w:rPr>
                <w:rFonts w:hint="eastAsia" w:ascii="宋体" w:hAnsi="宋体" w:cs="宋体"/>
                <w:iCs/>
                <w:szCs w:val="21"/>
              </w:rPr>
              <w:t>长沙市轨道交通一号线建设发展有限公司</w:t>
            </w:r>
          </w:p>
          <w:p>
            <w:pPr>
              <w:adjustRightInd w:val="0"/>
              <w:snapToGrid w:val="0"/>
              <w:spacing w:line="360" w:lineRule="auto"/>
              <w:jc w:val="left"/>
              <w:rPr>
                <w:rFonts w:hint="eastAsia" w:ascii="宋体" w:hAnsi="宋体" w:cs="宋体"/>
                <w:iCs/>
                <w:szCs w:val="21"/>
              </w:rPr>
            </w:pPr>
            <w:r>
              <w:rPr>
                <w:rFonts w:hint="eastAsia" w:ascii="宋体" w:hAnsi="宋体" w:cs="宋体"/>
                <w:iCs/>
                <w:szCs w:val="21"/>
              </w:rPr>
              <w:t>长沙市轨道交通三号线建设发展有限公司</w:t>
            </w:r>
          </w:p>
          <w:p>
            <w:pPr>
              <w:adjustRightInd w:val="0"/>
              <w:snapToGrid w:val="0"/>
              <w:spacing w:line="360" w:lineRule="auto"/>
              <w:jc w:val="left"/>
              <w:rPr>
                <w:rFonts w:hint="eastAsia" w:ascii="宋体" w:hAnsi="宋体" w:cs="宋体"/>
                <w:iCs/>
                <w:szCs w:val="21"/>
              </w:rPr>
            </w:pPr>
            <w:r>
              <w:rPr>
                <w:rFonts w:hint="eastAsia" w:ascii="宋体" w:hAnsi="宋体" w:cs="宋体"/>
                <w:iCs/>
                <w:szCs w:val="21"/>
              </w:rPr>
              <w:t>长沙市轨道交通四号线建设发展有限公司</w:t>
            </w:r>
          </w:p>
          <w:p>
            <w:pPr>
              <w:adjustRightInd w:val="0"/>
              <w:snapToGrid w:val="0"/>
              <w:spacing w:line="360" w:lineRule="auto"/>
              <w:jc w:val="left"/>
              <w:rPr>
                <w:rFonts w:ascii="宋体" w:hAnsi="宋体" w:cs="宋体"/>
                <w:iCs/>
                <w:szCs w:val="21"/>
              </w:rPr>
            </w:pPr>
            <w:r>
              <w:rPr>
                <w:rFonts w:hint="eastAsia" w:ascii="宋体" w:hAnsi="宋体" w:cs="宋体"/>
                <w:iCs/>
                <w:szCs w:val="21"/>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湖南省工程建设监理有限公司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最高限价</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szCs w:val="21"/>
                <w:lang w:val="en-US" w:eastAsia="zh-CN"/>
              </w:rPr>
              <w:t>305760.00</w:t>
            </w:r>
            <w:r>
              <w:rPr>
                <w:rFonts w:hint="eastAsia" w:ascii="宋体" w:hAnsi="宋体" w:cs="宋体"/>
                <w:szCs w:val="21"/>
              </w:rPr>
              <w:t>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bCs/>
                <w:szCs w:val="21"/>
              </w:rPr>
              <w:t>经符合性审查合格后的最低价法</w:t>
            </w:r>
            <w:r>
              <w:rPr>
                <w:rFonts w:ascii="宋体" w:hAnsi="宋体" w:cs="宋体"/>
                <w:iCs/>
                <w:color w:val="FF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09" w:type="dxa"/>
            <w:vAlign w:val="center"/>
          </w:tcPr>
          <w:p>
            <w:pPr>
              <w:spacing w:line="360" w:lineRule="auto"/>
              <w:rPr>
                <w:rFonts w:hint="eastAsia" w:ascii="宋体" w:hAnsi="宋体" w:cs="宋体"/>
                <w:szCs w:val="21"/>
              </w:rPr>
            </w:pPr>
            <w:r>
              <w:rPr>
                <w:rFonts w:hint="eastAsia" w:ascii="宋体" w:hAnsi="宋体" w:cs="宋体"/>
                <w:szCs w:val="21"/>
              </w:rPr>
              <w:t>1.谈判单位须为具有独立法人资格、自主经营、独立核算的公司。</w:t>
            </w:r>
          </w:p>
          <w:p>
            <w:pPr>
              <w:spacing w:line="360" w:lineRule="auto"/>
              <w:rPr>
                <w:rFonts w:hint="eastAsia" w:ascii="宋体" w:hAnsi="宋体" w:cs="宋体"/>
                <w:szCs w:val="21"/>
              </w:rPr>
            </w:pPr>
            <w:r>
              <w:rPr>
                <w:rFonts w:hint="eastAsia" w:ascii="宋体" w:hAnsi="宋体" w:cs="宋体"/>
                <w:szCs w:val="21"/>
              </w:rPr>
              <w:t>2.谈判单位在本项目响应文件递交截止之日前须具有36个月内的管道疏通服务类相关业绩。不接受联合体业绩、港澳台或境外业绩。</w:t>
            </w:r>
          </w:p>
          <w:p>
            <w:pPr>
              <w:spacing w:line="360" w:lineRule="auto"/>
              <w:ind w:firstLine="420" w:firstLineChars="200"/>
              <w:rPr>
                <w:rFonts w:hint="eastAsia"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业绩证明材料以同时提供的合同原件扫描件和发票（开票金额不少于合同金额的10%）原件扫描件为准（均须加盖投标人单位公章），业绩金额以合同中金额为准，时间以合同中采购单位的签字时间为准。</w:t>
            </w:r>
          </w:p>
          <w:p>
            <w:pPr>
              <w:spacing w:line="360" w:lineRule="auto"/>
              <w:rPr>
                <w:rFonts w:hint="eastAsia" w:ascii="宋体" w:hAnsi="宋体" w:cs="宋体"/>
                <w:szCs w:val="21"/>
              </w:rPr>
            </w:pPr>
            <w:r>
              <w:rPr>
                <w:rFonts w:hint="eastAsia" w:ascii="宋体" w:hAnsi="宋体" w:cs="宋体"/>
                <w:szCs w:val="21"/>
              </w:rPr>
              <w:t>3.本项目不接受联合体形式参与谈判。</w:t>
            </w:r>
          </w:p>
          <w:p>
            <w:pPr>
              <w:spacing w:line="360" w:lineRule="auto"/>
              <w:rPr>
                <w:rFonts w:ascii="宋体" w:hAnsi="宋体" w:cs="宋体"/>
                <w:color w:val="000000"/>
                <w:szCs w:val="21"/>
                <w:highlight w:val="yellow"/>
              </w:rPr>
            </w:pPr>
            <w:r>
              <w:rPr>
                <w:rFonts w:hint="eastAsia" w:ascii="宋体" w:hAnsi="宋体" w:cs="宋体"/>
                <w:szCs w:val="21"/>
              </w:rPr>
              <w:t>4.被长沙市轨道交通集团有限公司及长沙市轨道交通运营有限公司函告禁止在一定期限内参与投标的单位按函告内容执行。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09" w:type="dxa"/>
            <w:vAlign w:val="center"/>
          </w:tcPr>
          <w:p>
            <w:pPr>
              <w:pStyle w:val="25"/>
              <w:adjustRightInd w:val="0"/>
              <w:snapToGrid w:val="0"/>
              <w:spacing w:line="360" w:lineRule="auto"/>
              <w:rPr>
                <w:rFonts w:hAnsi="宋体" w:cs="宋体"/>
                <w:color w:val="000000"/>
              </w:rPr>
            </w:pPr>
            <w:r>
              <w:rPr>
                <w:rFonts w:hint="eastAsia" w:hAnsi="宋体" w:cs="宋体"/>
              </w:rPr>
              <w:t>20</w:t>
            </w:r>
            <w:r>
              <w:rPr>
                <w:rFonts w:hint="eastAsia" w:hAnsi="宋体" w:cs="宋体"/>
                <w:lang w:val="en-US" w:eastAsia="zh-CN"/>
              </w:rPr>
              <w:t>22</w:t>
            </w:r>
            <w:r>
              <w:rPr>
                <w:rFonts w:hint="eastAsia" w:hAnsi="宋体" w:cs="宋体"/>
              </w:rPr>
              <w:t>年</w:t>
            </w:r>
            <w:r>
              <w:rPr>
                <w:rFonts w:hint="eastAsia" w:hAnsi="宋体" w:cs="宋体"/>
                <w:lang w:val="en-US" w:eastAsia="zh-CN"/>
              </w:rPr>
              <w:t>04</w:t>
            </w:r>
            <w:r>
              <w:rPr>
                <w:rFonts w:hint="eastAsia" w:hAnsi="宋体" w:cs="宋体"/>
              </w:rPr>
              <w:t>月</w:t>
            </w:r>
            <w:r>
              <w:rPr>
                <w:rFonts w:hint="eastAsia" w:hAnsi="宋体" w:cs="宋体"/>
                <w:lang w:val="en-US" w:eastAsia="zh-CN"/>
              </w:rPr>
              <w:t>29</w:t>
            </w:r>
            <w:r>
              <w:rPr>
                <w:rFonts w:hint="eastAsia" w:hAnsi="宋体" w:cs="宋体"/>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09"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ascii="宋体" w:hAnsi="宋体" w:cs="宋体"/>
                <w:iCs/>
                <w:szCs w:val="21"/>
              </w:rPr>
              <w:t>长沙高新开发区尖山路39号中电软件园一期5栋803室</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09"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09" w:type="dxa"/>
            <w:vAlign w:val="center"/>
          </w:tcPr>
          <w:p>
            <w:pPr>
              <w:adjustRightInd w:val="0"/>
              <w:snapToGrid w:val="0"/>
              <w:spacing w:line="360" w:lineRule="auto"/>
              <w:rPr>
                <w:rFonts w:hint="eastAsia" w:ascii="宋体" w:hAnsi="宋体" w:eastAsia="宋体" w:cs="宋体"/>
                <w:szCs w:val="21"/>
                <w:lang w:eastAsia="zh-CN"/>
              </w:rPr>
            </w:pPr>
            <w:r>
              <w:rPr>
                <w:rFonts w:hint="eastAsia" w:ascii="宋体" w:hAnsi="宋体" w:cs="宋体"/>
              </w:rPr>
              <w:t>总价合同（除税率调整外，合同总价（即中标总价/中选总价/成交总价）在合同执行过程中固定不变，不随政府政策（长沙市规定的最低工资标准变化等）及市场物价上涨或回落等因素调整。</w:t>
            </w:r>
            <w:r>
              <w:rPr>
                <w:rFonts w:hint="eastAsia" w:ascii="宋体" w:hAnsi="宋体" w:cs="宋体"/>
                <w:b w:val="0"/>
                <w:bCs w:val="0"/>
              </w:rPr>
              <w:t>最终完成的合格工作量超过招标/竞谈/谈判的工作量时，按招标/竞谈/谈判的工作量办理结算；最终完成的合格工作量未超过招标/竞谈/谈判的工程量时，则按最终完成的合格工程量办理结算</w:t>
            </w:r>
            <w:r>
              <w:rPr>
                <w:rFonts w:hint="eastAsia" w:ascii="宋体" w:hAnsi="宋体" w:cs="宋体"/>
              </w:rPr>
              <w:t>）</w:t>
            </w:r>
            <w:r>
              <w:rPr>
                <w:rFonts w:hint="eastAsia" w:ascii="宋体"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项目支付方式</w:t>
            </w:r>
          </w:p>
        </w:tc>
        <w:tc>
          <w:tcPr>
            <w:tcW w:w="7709" w:type="dxa"/>
            <w:vAlign w:val="center"/>
          </w:tcPr>
          <w:p>
            <w:pPr>
              <w:spacing w:line="360" w:lineRule="auto"/>
              <w:rPr>
                <w:rFonts w:hint="eastAsia" w:ascii="宋体" w:hAnsi="宋体" w:cs="宋体"/>
                <w:bCs/>
              </w:rPr>
            </w:pPr>
            <w:r>
              <w:rPr>
                <w:rFonts w:hint="eastAsia" w:ascii="宋体" w:hAnsi="宋体" w:cs="宋体"/>
                <w:bCs/>
                <w:lang w:val="en-US" w:eastAsia="zh-CN"/>
              </w:rPr>
              <w:t>1.</w:t>
            </w:r>
            <w:r>
              <w:rPr>
                <w:rFonts w:hint="eastAsia" w:ascii="宋体" w:hAnsi="宋体" w:cs="宋体"/>
                <w:bCs/>
              </w:rPr>
              <w:t>分期支付：</w:t>
            </w:r>
          </w:p>
          <w:p>
            <w:pPr>
              <w:spacing w:line="360" w:lineRule="auto"/>
              <w:rPr>
                <w:rFonts w:hint="eastAsia" w:ascii="宋体" w:hAnsi="宋体" w:cs="宋体"/>
                <w:bCs/>
              </w:rPr>
            </w:pPr>
            <w:r>
              <w:rPr>
                <w:rFonts w:hint="eastAsia" w:ascii="宋体" w:hAnsi="宋体" w:cs="宋体"/>
                <w:bCs/>
              </w:rPr>
              <w:t>1）进度款支付：进度款按半年</w:t>
            </w:r>
            <w:r>
              <w:rPr>
                <w:rFonts w:hint="eastAsia" w:ascii="宋体" w:hAnsi="宋体" w:cs="宋体"/>
                <w:bCs/>
                <w:lang w:val="en-US" w:eastAsia="zh-CN"/>
              </w:rPr>
              <w:t>度</w:t>
            </w:r>
            <w:r>
              <w:rPr>
                <w:rFonts w:hint="eastAsia" w:ascii="宋体" w:hAnsi="宋体" w:cs="宋体"/>
                <w:bCs/>
              </w:rPr>
              <w:t>支付，每个付款周期的支付额度为计量金额（即本次付款周期内完成的合格工作量*合同单价）并综合考核结果后金额的70%。</w:t>
            </w:r>
          </w:p>
          <w:p>
            <w:pPr>
              <w:spacing w:line="360" w:lineRule="auto"/>
              <w:rPr>
                <w:rFonts w:hint="eastAsia" w:ascii="宋体" w:hAnsi="宋体" w:cs="宋体"/>
                <w:bCs/>
              </w:rPr>
            </w:pPr>
            <w:r>
              <w:rPr>
                <w:rFonts w:hint="eastAsia" w:ascii="宋体" w:hAnsi="宋体" w:cs="宋体"/>
                <w:bCs/>
              </w:rPr>
              <w:t>2）乙方按合同约定完成全部工作，且本项目履约验收合格，支付至合同价格的100%。</w:t>
            </w:r>
          </w:p>
          <w:p>
            <w:pPr>
              <w:spacing w:line="360" w:lineRule="auto"/>
              <w:rPr>
                <w:rFonts w:hint="eastAsia" w:ascii="宋体" w:hAnsi="宋体" w:eastAsia="宋体" w:cs="宋体"/>
                <w:bCs/>
                <w:lang w:eastAsia="zh-CN"/>
              </w:rPr>
            </w:pPr>
            <w:r>
              <w:rPr>
                <w:rFonts w:hint="eastAsia" w:ascii="宋体" w:hAnsi="宋体" w:cs="宋体"/>
                <w:bCs/>
                <w:lang w:val="en-US" w:eastAsia="zh-CN"/>
              </w:rPr>
              <w:t>2.</w:t>
            </w:r>
            <w:r>
              <w:rPr>
                <w:rFonts w:hint="eastAsia" w:ascii="宋体" w:hAnsi="宋体" w:cs="宋体"/>
                <w:bCs/>
              </w:rPr>
              <w:t>支付时间</w:t>
            </w:r>
            <w:r>
              <w:rPr>
                <w:rFonts w:hint="eastAsia" w:ascii="宋体" w:hAnsi="宋体" w:cs="宋体"/>
                <w:bCs/>
                <w:lang w:eastAsia="zh-CN"/>
              </w:rPr>
              <w:t>：</w:t>
            </w:r>
          </w:p>
          <w:p>
            <w:pPr>
              <w:pStyle w:val="45"/>
              <w:adjustRightInd w:val="0"/>
              <w:snapToGrid w:val="0"/>
              <w:spacing w:after="0" w:line="360" w:lineRule="auto"/>
              <w:ind w:firstLine="0" w:firstLineChars="0"/>
              <w:rPr>
                <w:rFonts w:ascii="宋体" w:hAnsi="宋体" w:cs="宋体"/>
                <w:bCs/>
                <w:szCs w:val="21"/>
              </w:rPr>
            </w:pPr>
            <w:r>
              <w:rPr>
                <w:rFonts w:hint="eastAsia" w:ascii="宋体" w:hAnsi="宋体" w:cs="宋体"/>
                <w:bCs/>
              </w:rPr>
              <w:t>上述款项在甲方收到乙方的经甲方审批同意支付申请及增值税专用发票、有效期内的履约担保复印件等相关资料后28个工作日内支付。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jc w:val="both"/>
        <w:rPr>
          <w:rFonts w:ascii="黑体" w:hAnsi="黑体" w:eastAsia="黑体"/>
          <w:sz w:val="30"/>
          <w:szCs w:val="30"/>
        </w:rPr>
      </w:pPr>
      <w:bookmarkStart w:id="19" w:name="_Toc14891067"/>
    </w:p>
    <w:p>
      <w:pPr>
        <w:widowControl/>
        <w:jc w:val="left"/>
      </w:pPr>
      <w:r>
        <w:br w:type="page"/>
      </w:r>
    </w:p>
    <w:p>
      <w:pPr>
        <w:pStyle w:val="4"/>
        <w:keepNext w:val="0"/>
        <w:keepLines w:val="0"/>
        <w:jc w:val="center"/>
        <w:rPr>
          <w:rFonts w:ascii="宋体" w:hAnsi="宋体" w:cs="宋体"/>
          <w:sz w:val="32"/>
        </w:rPr>
      </w:pPr>
      <w:bookmarkStart w:id="20" w:name="_Toc16939"/>
      <w:bookmarkStart w:id="21" w:name="_Toc31558"/>
      <w:bookmarkStart w:id="22" w:name="_Toc26157"/>
      <w:bookmarkStart w:id="23" w:name="_Toc30640"/>
      <w:bookmarkStart w:id="24" w:name="_Toc19645"/>
      <w:bookmarkStart w:id="25" w:name="_Hlk71364110"/>
      <w:r>
        <w:rPr>
          <w:rFonts w:hint="eastAsia" w:ascii="宋体" w:hAnsi="宋体" w:cs="宋体"/>
          <w:sz w:val="32"/>
        </w:rPr>
        <w:t>谈判须知正文</w:t>
      </w:r>
      <w:bookmarkEnd w:id="19"/>
      <w:bookmarkEnd w:id="20"/>
      <w:bookmarkEnd w:id="21"/>
      <w:bookmarkEnd w:id="22"/>
      <w:bookmarkEnd w:id="23"/>
      <w:bookmarkEnd w:id="24"/>
    </w:p>
    <w:bookmarkEnd w:id="25"/>
    <w:p>
      <w:pPr>
        <w:pStyle w:val="4"/>
        <w:keepNext w:val="0"/>
        <w:keepLines w:val="0"/>
        <w:rPr>
          <w:rFonts w:ascii="宋体" w:hAnsi="宋体" w:cs="宋体"/>
          <w:sz w:val="21"/>
          <w:szCs w:val="21"/>
        </w:rPr>
      </w:pPr>
      <w:bookmarkStart w:id="26" w:name="_Toc7421"/>
      <w:bookmarkStart w:id="27" w:name="_Toc11440"/>
      <w:bookmarkStart w:id="28" w:name="_Toc14891068"/>
      <w:r>
        <w:rPr>
          <w:rFonts w:hint="eastAsia" w:ascii="宋体" w:hAnsi="宋体" w:cs="宋体"/>
          <w:sz w:val="21"/>
          <w:szCs w:val="21"/>
        </w:rPr>
        <w:t>一、说明</w:t>
      </w:r>
      <w:bookmarkEnd w:id="26"/>
      <w:bookmarkEnd w:id="27"/>
      <w:bookmarkEnd w:id="28"/>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29" w:name="_Toc2948"/>
      <w:bookmarkStart w:id="30" w:name="_Toc14891069"/>
      <w:bookmarkStart w:id="31" w:name="_Toc303"/>
      <w:r>
        <w:rPr>
          <w:rFonts w:hint="eastAsia" w:ascii="宋体" w:hAnsi="宋体" w:cs="宋体"/>
          <w:sz w:val="21"/>
          <w:szCs w:val="21"/>
        </w:rPr>
        <w:t>二、谈判文件</w:t>
      </w:r>
      <w:bookmarkEnd w:id="29"/>
      <w:bookmarkEnd w:id="30"/>
      <w:bookmarkEnd w:id="3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int="eastAsia" w:hAnsi="宋体" w:eastAsia="宋体" w:cs="宋体"/>
          <w:lang w:eastAsia="zh-CN"/>
        </w:rPr>
      </w:pPr>
      <w:r>
        <w:rPr>
          <w:rFonts w:hint="eastAsia" w:hAnsi="宋体" w:cs="宋体"/>
        </w:rPr>
        <w:t>第四章 用户需求书</w:t>
      </w:r>
      <w:r>
        <w:rPr>
          <w:rFonts w:hint="eastAsia" w:hAnsi="宋体" w:cs="宋体"/>
          <w:lang w:eastAsia="zh-CN"/>
        </w:rPr>
        <w:t>（</w:t>
      </w:r>
      <w:r>
        <w:rPr>
          <w:rFonts w:hint="eastAsia" w:hAnsi="宋体" w:cs="宋体"/>
          <w:lang w:val="en-US" w:eastAsia="zh-CN"/>
        </w:rPr>
        <w:t>另册</w:t>
      </w:r>
      <w:r>
        <w:rPr>
          <w:rFonts w:hint="eastAsia" w:hAnsi="宋体" w:cs="宋体"/>
          <w:lang w:eastAsia="zh-CN"/>
        </w:rPr>
        <w:t>）</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32" w:name="_Toc14891070"/>
      <w:bookmarkStart w:id="33" w:name="_Toc6160"/>
      <w:bookmarkStart w:id="34" w:name="_Toc9387"/>
      <w:r>
        <w:rPr>
          <w:rFonts w:hint="eastAsia" w:ascii="宋体" w:hAnsi="宋体" w:cs="宋体"/>
          <w:sz w:val="21"/>
          <w:szCs w:val="21"/>
        </w:rPr>
        <w:t>三、响应文件</w:t>
      </w:r>
      <w:bookmarkEnd w:id="32"/>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5"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5"/>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5</w:t>
      </w:r>
      <w:r>
        <w:rPr>
          <w:rFonts w:hint="eastAsia" w:hAnsi="宋体" w:cs="宋体"/>
        </w:rPr>
        <w:t>）服务方案（如有）</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）报价一览表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）分项价格表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szCs w:val="21"/>
          <w:highlight w:val="none"/>
        </w:rPr>
        <w:t>本项目为一轮报价。</w:t>
      </w:r>
      <w:r>
        <w:rPr>
          <w:rFonts w:hint="eastAsia" w:ascii="宋体" w:hAnsi="宋体" w:cs="宋体"/>
          <w:szCs w:val="21"/>
        </w:rPr>
        <w:t>谈判单位应按第六章“响应文件格式”的要求在报价文件中进行报价。谈判单位所报的</w:t>
      </w:r>
      <w:r>
        <w:rPr>
          <w:rFonts w:hint="eastAsia" w:ascii="宋体" w:hAnsi="宋体" w:cs="宋体"/>
          <w:szCs w:val="21"/>
          <w:highlight w:val="none"/>
        </w:rPr>
        <w:t>总价及综合单价</w:t>
      </w:r>
      <w:r>
        <w:rPr>
          <w:rFonts w:hint="eastAsia" w:ascii="宋体" w:hAnsi="宋体" w:cs="宋体"/>
          <w:szCs w:val="21"/>
        </w:rPr>
        <w:t>均不得超过最高限价，不超过最高限价的谈判总报价为有效报价，谈判时需明确税费，税率必须符合国家政策法规规定，合同支付时服务单位需开具经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12.7最低报价不能作为中选的保证。</w:t>
      </w:r>
    </w:p>
    <w:p>
      <w:pPr>
        <w:adjustRightInd w:val="0"/>
        <w:snapToGrid w:val="0"/>
        <w:spacing w:line="360" w:lineRule="auto"/>
        <w:ind w:firstLine="422" w:firstLineChars="200"/>
        <w:rPr>
          <w:rFonts w:hint="eastAsia" w:ascii="宋体" w:hAnsi="宋体" w:eastAsia="宋体" w:cs="宋体"/>
          <w:b/>
          <w:bCs/>
          <w:color w:val="FF0000"/>
          <w:highlight w:val="magenta"/>
          <w:lang w:eastAsia="zh-CN"/>
        </w:rPr>
      </w:pPr>
      <w:r>
        <w:rPr>
          <w:rFonts w:hint="eastAsia" w:ascii="宋体" w:hAnsi="宋体" w:cs="宋体"/>
          <w:b/>
          <w:bCs/>
          <w:color w:val="auto"/>
          <w:szCs w:val="21"/>
        </w:rPr>
        <w:t>12.8本项目为</w:t>
      </w:r>
      <w:r>
        <w:rPr>
          <w:rFonts w:hint="eastAsia" w:ascii="宋体" w:hAnsi="宋体" w:cs="宋体"/>
          <w:b/>
          <w:bCs/>
          <w:color w:val="auto"/>
          <w:szCs w:val="21"/>
          <w:lang w:val="en-US" w:eastAsia="zh-CN"/>
        </w:rPr>
        <w:t>总价</w:t>
      </w:r>
      <w:r>
        <w:rPr>
          <w:rFonts w:hint="eastAsia" w:ascii="宋体" w:hAnsi="宋体" w:cs="宋体"/>
          <w:b/>
          <w:bCs/>
          <w:color w:val="auto"/>
          <w:szCs w:val="21"/>
        </w:rPr>
        <w:t>合同</w:t>
      </w:r>
      <w:r>
        <w:rPr>
          <w:rFonts w:hint="eastAsia" w:ascii="宋体" w:hAnsi="宋体" w:cs="宋体"/>
        </w:rPr>
        <w:t>（除税率调整外，合同总价（即中标总价/中选总价/成交总价）在合同执行过程中固定不变，不随政府政策（长沙市规定的最低工资标准变化等）及市场物价上涨或回落等因素调整。</w:t>
      </w:r>
      <w:r>
        <w:rPr>
          <w:rFonts w:hint="eastAsia" w:ascii="宋体" w:hAnsi="宋体" w:cs="宋体"/>
          <w:b w:val="0"/>
          <w:bCs w:val="0"/>
        </w:rPr>
        <w:t>最终完成的合格工作量超过招标/竞谈/谈判的工作量时，按招标/竞谈/谈判的工作量办理结算；最终完成的合格工作量未超过招标/竞谈/谈判的工程量时，则按最终完成的合格工程量办理结算</w:t>
      </w:r>
      <w:r>
        <w:rPr>
          <w:rFonts w:hint="eastAsia" w:ascii="宋体" w:hAnsi="宋体" w:cs="宋体"/>
        </w:rPr>
        <w:t>）</w:t>
      </w:r>
      <w:r>
        <w:rPr>
          <w:rFonts w:hint="eastAsia" w:ascii="宋体" w:hAnsi="宋体" w:cs="宋体"/>
          <w:lang w:eastAsia="zh-CN"/>
        </w:rPr>
        <w:t>。</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36" w:name="_Toc1468"/>
      <w:bookmarkStart w:id="37" w:name="_Toc18486"/>
      <w:bookmarkStart w:id="38" w:name="_Toc14891071"/>
      <w:r>
        <w:rPr>
          <w:rFonts w:hint="eastAsia" w:ascii="宋体" w:hAnsi="宋体" w:cs="宋体"/>
          <w:sz w:val="21"/>
          <w:szCs w:val="21"/>
        </w:rPr>
        <w:t>四、响应文件的递交</w:t>
      </w:r>
      <w:bookmarkEnd w:id="36"/>
      <w:bookmarkEnd w:id="37"/>
      <w:bookmarkEnd w:id="3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39" w:name="_Toc14891072"/>
      <w:bookmarkStart w:id="40" w:name="_Toc13483"/>
      <w:bookmarkStart w:id="41" w:name="_Toc23509"/>
      <w:r>
        <w:rPr>
          <w:rFonts w:hint="eastAsia" w:ascii="宋体" w:hAnsi="宋体" w:cs="宋体"/>
          <w:sz w:val="21"/>
          <w:szCs w:val="21"/>
        </w:rPr>
        <w:t>五、响应文件的评审</w:t>
      </w:r>
      <w:bookmarkEnd w:id="39"/>
      <w:bookmarkEnd w:id="40"/>
      <w:bookmarkEnd w:id="41"/>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18.评审由谈判评审小组负责，谈判评审小组应按照本谈判文件第三章“评审办法及标准”的内容和程序对响应文件进行评审。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42" w:name="_Toc14891073"/>
      <w:bookmarkStart w:id="43" w:name="_Toc21358"/>
      <w:bookmarkStart w:id="44" w:name="_Toc1142"/>
      <w:r>
        <w:rPr>
          <w:rFonts w:hint="eastAsia" w:ascii="宋体" w:hAnsi="宋体" w:cs="宋体"/>
          <w:sz w:val="21"/>
          <w:szCs w:val="21"/>
        </w:rPr>
        <w:t>六、响应文件的澄清、说明及补正</w:t>
      </w:r>
      <w:bookmarkEnd w:id="42"/>
      <w:bookmarkEnd w:id="43"/>
      <w:bookmarkEnd w:id="44"/>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sz w:val="21"/>
          <w:szCs w:val="21"/>
        </w:rPr>
      </w:pPr>
      <w:bookmarkStart w:id="45" w:name="_Toc20130"/>
      <w:bookmarkStart w:id="46" w:name="_Toc12549"/>
      <w:bookmarkStart w:id="47" w:name="_Toc14891074"/>
      <w:r>
        <w:rPr>
          <w:rFonts w:hint="eastAsia" w:ascii="宋体" w:hAnsi="宋体" w:cs="宋体"/>
          <w:sz w:val="21"/>
          <w:szCs w:val="21"/>
        </w:rPr>
        <w:t>七、中选结果与授予合同</w:t>
      </w:r>
      <w:bookmarkEnd w:id="45"/>
      <w:bookmarkEnd w:id="46"/>
      <w:bookmarkEnd w:id="4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8" w:name="page32"/>
      <w:bookmarkEnd w:id="48"/>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49" w:name="_Toc2045"/>
      <w:bookmarkStart w:id="50" w:name="_Toc1332"/>
      <w:bookmarkStart w:id="51" w:name="_Toc14891075"/>
      <w:r>
        <w:rPr>
          <w:rFonts w:hint="eastAsia" w:ascii="宋体" w:hAnsi="宋体" w:cs="宋体"/>
          <w:sz w:val="21"/>
          <w:szCs w:val="21"/>
        </w:rPr>
        <w:t>八、其他</w:t>
      </w:r>
      <w:bookmarkEnd w:id="49"/>
      <w:bookmarkEnd w:id="50"/>
      <w:bookmarkEnd w:id="51"/>
    </w:p>
    <w:p>
      <w:pPr>
        <w:pStyle w:val="2"/>
        <w:spacing w:line="360" w:lineRule="auto"/>
        <w:ind w:left="0" w:leftChars="0"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中选单位中选后有下列情形之一的，责令限期改正，情节严重的，列入不良行为记录名单，禁止其1至3年内参加长沙市轨道交通运营有限公司招标采购活动，并予以通报：</w:t>
      </w:r>
    </w:p>
    <w:p>
      <w:pPr>
        <w:pStyle w:val="2"/>
        <w:spacing w:line="360" w:lineRule="auto"/>
        <w:ind w:left="0" w:leftChars="0" w:firstLine="420" w:firstLineChars="200"/>
        <w:rPr>
          <w:rFonts w:ascii="宋体" w:hAnsi="宋体" w:cs="宋体"/>
          <w:szCs w:val="21"/>
        </w:rPr>
      </w:pPr>
      <w:r>
        <w:rPr>
          <w:rFonts w:hint="eastAsia" w:ascii="宋体" w:hAnsi="宋体" w:cs="宋体"/>
          <w:szCs w:val="21"/>
        </w:rPr>
        <w:t>1.成交后无正当理由不与采购人签订合同的；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2.未按照采购文件确定的事项签订采购合同，或者与采购人另行订立背离合同实质性内容的协议的；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3.拒绝履行合同义务的；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4.违反法律、规章、规范性文件规定的。</w:t>
      </w:r>
    </w:p>
    <w:p>
      <w:pPr>
        <w:adjustRightInd w:val="0"/>
        <w:snapToGrid w:val="0"/>
        <w:spacing w:line="360" w:lineRule="auto"/>
        <w:ind w:firstLine="420" w:firstLineChars="200"/>
        <w:rPr>
          <w:rFonts w:hAnsi="宋体"/>
          <w:szCs w:val="21"/>
        </w:rPr>
      </w:pPr>
    </w:p>
    <w:p>
      <w:pPr>
        <w:adjustRightInd w:val="0"/>
        <w:snapToGrid w:val="0"/>
        <w:spacing w:line="360" w:lineRule="auto"/>
        <w:ind w:left="964" w:hanging="964" w:hangingChars="300"/>
        <w:jc w:val="center"/>
        <w:rPr>
          <w:rFonts w:ascii="黑体" w:eastAsia="黑体"/>
          <w:b/>
          <w:sz w:val="32"/>
          <w:szCs w:val="32"/>
        </w:rPr>
        <w:sectPr>
          <w:pgSz w:w="11906" w:h="16838"/>
          <w:pgMar w:top="1440" w:right="849" w:bottom="1440" w:left="1797" w:header="851" w:footer="851" w:gutter="0"/>
          <w:cols w:space="720" w:num="1"/>
          <w:docGrid w:linePitch="312"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附件：采购代理服务费收费标准</w:t>
      </w:r>
    </w:p>
    <w:p>
      <w:pPr>
        <w:pStyle w:val="2"/>
        <w:jc w:val="center"/>
      </w:pPr>
      <w:r>
        <w:rPr>
          <w:rFonts w:hint="eastAsia" w:ascii="宋体" w:hAnsi="宋体" w:cs="宋体"/>
          <w:b/>
          <w:szCs w:val="21"/>
        </w:rPr>
        <w:t>采购代理服务费收费参照汇率表</w:t>
      </w:r>
    </w:p>
    <w:tbl>
      <w:tblPr>
        <w:tblStyle w:val="47"/>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2451"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2451"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2451"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4" w:type="default"/>
          <w:pgSz w:w="11906" w:h="16838"/>
          <w:pgMar w:top="1440" w:right="1797" w:bottom="1440" w:left="1797"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52" w:name="_Toc5567"/>
      <w:bookmarkStart w:id="53" w:name="_Toc28427"/>
      <w:bookmarkStart w:id="54" w:name="_Toc21380"/>
      <w:bookmarkStart w:id="55" w:name="_Toc4275"/>
      <w:bookmarkStart w:id="56" w:name="_Toc1719"/>
      <w:r>
        <w:rPr>
          <w:rFonts w:hint="eastAsia" w:ascii="宋体" w:hAnsi="宋体" w:cs="宋体"/>
          <w:bCs w:val="0"/>
          <w:sz w:val="32"/>
          <w:szCs w:val="32"/>
        </w:rPr>
        <w:t>第三章  评审办法及标准</w:t>
      </w:r>
      <w:bookmarkEnd w:id="52"/>
      <w:bookmarkEnd w:id="53"/>
      <w:bookmarkEnd w:id="54"/>
      <w:bookmarkEnd w:id="55"/>
      <w:bookmarkEnd w:id="56"/>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non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（5）</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谈判最高限价的</w:t>
      </w:r>
      <w:r>
        <w:rPr>
          <w:rFonts w:hint="eastAsia" w:ascii="宋体" w:hAnsi="宋体" w:cs="宋体"/>
          <w:kern w:val="0"/>
          <w:szCs w:val="21"/>
        </w:rPr>
        <w:t>。</w:t>
      </w:r>
    </w:p>
    <w:p>
      <w:pPr>
        <w:pStyle w:val="2"/>
        <w:spacing w:line="360" w:lineRule="auto"/>
        <w:ind w:left="0" w:leftChars="0" w:firstLine="420" w:firstLineChars="200"/>
        <w:rPr>
          <w:rFonts w:ascii="宋体" w:hAnsi="宋体"/>
          <w:szCs w:val="21"/>
        </w:rPr>
      </w:pPr>
      <w:r>
        <w:rPr>
          <w:rFonts w:hint="eastAsia" w:ascii="宋体" w:hAnsi="宋体"/>
          <w:szCs w:val="21"/>
        </w:rPr>
        <w:t>（6）未提交投标保证金的。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57" w:name="_Hlk70673845"/>
      <w:r>
        <w:rPr>
          <w:rFonts w:hint="eastAsia" w:ascii="宋体" w:hAnsi="宋体" w:cs="宋体"/>
          <w:b/>
          <w:bCs/>
          <w:kern w:val="0"/>
          <w:szCs w:val="21"/>
        </w:rPr>
        <w:t>谈判总报价</w:t>
      </w:r>
      <w:bookmarkEnd w:id="57"/>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58" w:name="_Toc18202"/>
      <w:bookmarkStart w:id="59" w:name="_Toc14891077"/>
      <w:bookmarkStart w:id="60" w:name="_Toc17562"/>
      <w:bookmarkStart w:id="61" w:name="_Toc17997"/>
      <w:bookmarkStart w:id="62" w:name="_Toc23442"/>
      <w:bookmarkStart w:id="63" w:name="_Toc16043"/>
      <w:r>
        <w:rPr>
          <w:rFonts w:hint="eastAsia" w:ascii="宋体" w:hAnsi="宋体" w:cs="宋体"/>
          <w:bCs w:val="0"/>
          <w:sz w:val="32"/>
          <w:szCs w:val="32"/>
        </w:rPr>
        <w:t>第四章  用户需求书</w:t>
      </w:r>
      <w:bookmarkEnd w:id="58"/>
      <w:bookmarkEnd w:id="59"/>
      <w:bookmarkEnd w:id="60"/>
      <w:bookmarkEnd w:id="61"/>
      <w:bookmarkEnd w:id="62"/>
      <w:r>
        <w:rPr>
          <w:rFonts w:hint="eastAsia" w:ascii="宋体" w:hAnsi="宋体" w:cs="宋体"/>
          <w:bCs w:val="0"/>
          <w:sz w:val="32"/>
          <w:szCs w:val="32"/>
        </w:rPr>
        <w:t>（另册）</w:t>
      </w:r>
      <w:bookmarkEnd w:id="63"/>
    </w:p>
    <w:p>
      <w:p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pStyle w:val="3"/>
        <w:keepNext w:val="0"/>
        <w:rPr>
          <w:rFonts w:ascii="宋体" w:hAnsi="宋体" w:cs="宋体"/>
          <w:bCs w:val="0"/>
          <w:color w:val="FF0000"/>
          <w:sz w:val="32"/>
          <w:szCs w:val="32"/>
        </w:rPr>
      </w:pPr>
      <w:bookmarkStart w:id="64" w:name="_Toc19554"/>
      <w:bookmarkStart w:id="65" w:name="_Toc17441"/>
      <w:bookmarkStart w:id="66" w:name="_Toc22262"/>
      <w:bookmarkStart w:id="67" w:name="_Toc5859"/>
      <w:bookmarkStart w:id="68" w:name="_Toc14891078"/>
      <w:bookmarkStart w:id="69" w:name="_Toc13521"/>
      <w:r>
        <w:rPr>
          <w:rFonts w:hint="eastAsia" w:ascii="宋体" w:hAnsi="宋体" w:cs="宋体"/>
          <w:bCs w:val="0"/>
          <w:sz w:val="32"/>
          <w:szCs w:val="32"/>
        </w:rPr>
        <w:t>第五章  合同格式条款</w:t>
      </w:r>
      <w:bookmarkEnd w:id="64"/>
      <w:bookmarkEnd w:id="65"/>
      <w:bookmarkEnd w:id="66"/>
      <w:bookmarkEnd w:id="67"/>
      <w:bookmarkEnd w:id="68"/>
      <w:bookmarkEnd w:id="69"/>
    </w:p>
    <w:p>
      <w:pPr>
        <w:snapToGrid w:val="0"/>
        <w:spacing w:line="360" w:lineRule="auto"/>
        <w:jc w:val="center"/>
        <w:outlineLvl w:val="0"/>
        <w:rPr>
          <w:rFonts w:ascii="宋体" w:hAnsi="宋体" w:cs="宋体"/>
          <w:b/>
          <w:sz w:val="32"/>
          <w:szCs w:val="32"/>
        </w:rPr>
      </w:pPr>
      <w:bookmarkStart w:id="70" w:name="_Toc20891"/>
      <w:bookmarkStart w:id="71" w:name="_Toc5097"/>
      <w:bookmarkStart w:id="72" w:name="_Toc29654"/>
      <w:bookmarkStart w:id="73" w:name="_Toc18525"/>
    </w:p>
    <w:p>
      <w:pPr>
        <w:adjustRightInd w:val="0"/>
        <w:snapToGrid w:val="0"/>
        <w:spacing w:line="360" w:lineRule="auto"/>
        <w:jc w:val="right"/>
        <w:rPr>
          <w:rFonts w:hint="eastAsia" w:ascii="仿宋_GB2312" w:hAnsi="仿宋_GB2312" w:eastAsia="仿宋_GB2312" w:cs="仿宋_GB2312"/>
          <w:b/>
          <w:sz w:val="18"/>
          <w:szCs w:val="18"/>
        </w:rPr>
      </w:pPr>
      <w:bookmarkStart w:id="74" w:name="_Toc367274929"/>
      <w:bookmarkEnd w:id="74"/>
      <w:bookmarkStart w:id="75" w:name="_Toc227520433"/>
      <w:bookmarkEnd w:id="75"/>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lang w:val="en-US" w:eastAsia="zh-CN"/>
        </w:rPr>
        <w:t>长轨运  服</w:t>
      </w:r>
      <w:r>
        <w:rPr>
          <w:rFonts w:hint="eastAsia" w:ascii="仿宋_GB2312" w:hAnsi="仿宋_GB2312" w:eastAsia="仿宋_GB2312" w:cs="仿宋_GB2312"/>
          <w:sz w:val="24"/>
          <w:highlight w:val="none"/>
          <w:u w:val="dotted"/>
        </w:rPr>
        <w:t>合【20</w:t>
      </w:r>
      <w:r>
        <w:rPr>
          <w:rFonts w:hint="eastAsia" w:ascii="仿宋_GB2312" w:hAnsi="仿宋_GB2312" w:eastAsia="仿宋_GB2312" w:cs="仿宋_GB2312"/>
          <w:sz w:val="24"/>
          <w:highlight w:val="none"/>
          <w:u w:val="dotted"/>
          <w:lang w:val="en-US" w:eastAsia="zh-CN"/>
        </w:rPr>
        <w:t>22</w:t>
      </w:r>
      <w:r>
        <w:rPr>
          <w:rFonts w:hint="eastAsia" w:ascii="仿宋_GB2312" w:hAnsi="仿宋_GB2312" w:eastAsia="仿宋_GB2312" w:cs="仿宋_GB2312"/>
          <w:sz w:val="24"/>
          <w:highlight w:val="none"/>
          <w:u w:val="dotted"/>
        </w:rPr>
        <w:t>】</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号</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snapToGrid w:val="0"/>
        <w:jc w:val="center"/>
        <w:rPr>
          <w:rFonts w:hint="eastAsia" w:ascii="宋体" w:hAnsi="宋体" w:eastAsia="宋体" w:cs="宋体"/>
          <w:b/>
          <w:sz w:val="52"/>
          <w:szCs w:val="52"/>
        </w:rPr>
      </w:pPr>
    </w:p>
    <w:p>
      <w:pPr>
        <w:snapToGrid w:val="0"/>
        <w:jc w:val="center"/>
        <w:rPr>
          <w:rFonts w:hint="eastAsia" w:ascii="宋体" w:hAnsi="宋体" w:eastAsia="宋体" w:cs="宋体"/>
          <w:b/>
          <w:sz w:val="52"/>
          <w:szCs w:val="52"/>
        </w:rPr>
      </w:pPr>
      <w:r>
        <w:rPr>
          <w:rFonts w:hint="eastAsia" w:ascii="宋体" w:hAnsi="宋体" w:eastAsia="宋体" w:cs="宋体"/>
          <w:b/>
          <w:sz w:val="52"/>
          <w:szCs w:val="52"/>
        </w:rPr>
        <w:t>设备维修服务合同</w:t>
      </w:r>
    </w:p>
    <w:p>
      <w:pPr>
        <w:adjustRightInd w:val="0"/>
        <w:snapToGrid w:val="0"/>
        <w:spacing w:line="360" w:lineRule="auto"/>
        <w:jc w:val="center"/>
        <w:rPr>
          <w:rFonts w:hint="eastAsia" w:ascii="宋体" w:hAnsi="宋体" w:eastAsia="宋体" w:cs="宋体"/>
          <w:b/>
          <w:sz w:val="18"/>
          <w:szCs w:val="18"/>
        </w:rPr>
      </w:pPr>
      <w:r>
        <w:rPr>
          <w:rFonts w:hint="eastAsia" w:ascii="宋体" w:hAnsi="宋体" w:eastAsia="宋体" w:cs="宋体"/>
          <w:b/>
          <w:spacing w:val="20"/>
          <w:sz w:val="48"/>
          <w:szCs w:val="48"/>
        </w:rPr>
        <w:t xml:space="preserve"> </w:t>
      </w: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ind w:firstLine="1445" w:firstLineChars="514"/>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28"/>
          <w:szCs w:val="28"/>
          <w:u w:val="dotted"/>
        </w:rPr>
      </w:pPr>
      <w:r>
        <w:rPr>
          <w:rFonts w:hint="eastAsia" w:ascii="宋体" w:hAnsi="宋体" w:eastAsia="宋体" w:cs="宋体"/>
          <w:b/>
          <w:sz w:val="28"/>
          <w:szCs w:val="28"/>
        </w:rPr>
        <w:t>项目名称：</w:t>
      </w:r>
      <w:r>
        <w:rPr>
          <w:rFonts w:hint="eastAsia" w:ascii="宋体" w:hAnsi="宋体" w:eastAsia="宋体" w:cs="宋体"/>
          <w:b/>
          <w:sz w:val="28"/>
          <w:szCs w:val="28"/>
          <w:u w:val="dotted"/>
        </w:rPr>
        <w:t>长沙市轨道交通1、2、3、4、5号线运营期2022年-2024年车站卫生间管道疏通服务项目</w:t>
      </w:r>
    </w:p>
    <w:p>
      <w:pPr>
        <w:adjustRightInd w:val="0"/>
        <w:snapToGrid w:val="0"/>
        <w:spacing w:line="360" w:lineRule="auto"/>
        <w:ind w:firstLine="835" w:firstLineChars="297"/>
        <w:rPr>
          <w:rFonts w:hint="eastAsia" w:ascii="宋体" w:hAnsi="宋体" w:eastAsia="宋体" w:cs="宋体"/>
          <w:b/>
          <w:sz w:val="28"/>
          <w:szCs w:val="28"/>
          <w:u w:val="dotted"/>
        </w:rPr>
      </w:pPr>
    </w:p>
    <w:p>
      <w:pPr>
        <w:adjustRightInd w:val="0"/>
        <w:snapToGrid w:val="0"/>
        <w:spacing w:line="360" w:lineRule="auto"/>
        <w:ind w:firstLine="835" w:firstLineChars="297"/>
        <w:rPr>
          <w:rFonts w:hint="eastAsia" w:ascii="宋体" w:hAnsi="宋体" w:eastAsia="宋体" w:cs="宋体"/>
          <w:b/>
          <w:sz w:val="28"/>
          <w:szCs w:val="28"/>
          <w:u w:val="single"/>
        </w:rPr>
      </w:pPr>
      <w:r>
        <w:rPr>
          <w:rFonts w:hint="eastAsia" w:ascii="宋体" w:hAnsi="宋体" w:eastAsia="宋体" w:cs="宋体"/>
          <w:b/>
          <w:sz w:val="28"/>
          <w:szCs w:val="28"/>
        </w:rPr>
        <w:t>项目地点：</w:t>
      </w:r>
      <w:r>
        <w:rPr>
          <w:rFonts w:hint="eastAsia" w:ascii="宋体" w:hAnsi="宋体" w:eastAsia="宋体" w:cs="宋体"/>
          <w:b/>
          <w:sz w:val="28"/>
          <w:szCs w:val="28"/>
          <w:u w:val="dotted"/>
        </w:rPr>
        <w:t xml:space="preserve">           湖南省长沙市              </w:t>
      </w:r>
    </w:p>
    <w:p>
      <w:pPr>
        <w:adjustRightInd w:val="0"/>
        <w:snapToGrid w:val="0"/>
        <w:spacing w:line="360" w:lineRule="auto"/>
        <w:ind w:firstLine="1344" w:firstLineChars="478"/>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28"/>
          <w:szCs w:val="28"/>
          <w:u w:val="dotted"/>
        </w:rPr>
      </w:pPr>
      <w:r>
        <w:rPr>
          <w:rFonts w:hint="eastAsia" w:ascii="宋体" w:hAnsi="宋体" w:eastAsia="宋体" w:cs="宋体"/>
          <w:b/>
          <w:sz w:val="28"/>
          <w:szCs w:val="28"/>
        </w:rPr>
        <w:t>委 托 人：</w:t>
      </w:r>
      <w:r>
        <w:rPr>
          <w:rFonts w:hint="eastAsia" w:ascii="宋体" w:hAnsi="宋体" w:eastAsia="宋体" w:cs="宋体"/>
          <w:b/>
          <w:sz w:val="28"/>
          <w:szCs w:val="28"/>
          <w:u w:val="dotted"/>
        </w:rPr>
        <w:t xml:space="preserve">                                     </w:t>
      </w:r>
    </w:p>
    <w:p>
      <w:pPr>
        <w:adjustRightInd w:val="0"/>
        <w:snapToGrid w:val="0"/>
        <w:spacing w:line="360" w:lineRule="auto"/>
        <w:ind w:firstLine="1344" w:firstLineChars="478"/>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18"/>
          <w:szCs w:val="18"/>
        </w:rPr>
      </w:pPr>
      <w:r>
        <w:rPr>
          <w:rFonts w:hint="eastAsia" w:ascii="宋体" w:hAnsi="宋体" w:eastAsia="宋体" w:cs="宋体"/>
          <w:b/>
          <w:sz w:val="28"/>
          <w:szCs w:val="28"/>
        </w:rPr>
        <w:t>受 托 人：</w:t>
      </w:r>
      <w:r>
        <w:rPr>
          <w:rFonts w:hint="eastAsia" w:ascii="宋体" w:hAnsi="宋体" w:eastAsia="宋体" w:cs="宋体"/>
          <w:b/>
          <w:sz w:val="28"/>
          <w:szCs w:val="28"/>
          <w:u w:val="dotted"/>
        </w:rPr>
        <w:t xml:space="preserve">                                     </w:t>
      </w:r>
    </w:p>
    <w:p>
      <w:pPr>
        <w:adjustRightInd w:val="0"/>
        <w:snapToGrid w:val="0"/>
        <w:spacing w:line="400" w:lineRule="exact"/>
        <w:ind w:firstLine="480" w:firstLineChars="200"/>
        <w:rPr>
          <w:rFonts w:hint="eastAsia" w:ascii="宋体" w:hAnsi="宋体" w:eastAsia="宋体" w:cs="宋体"/>
          <w:sz w:val="24"/>
        </w:rPr>
        <w:sectPr>
          <w:headerReference r:id="rId7" w:type="default"/>
          <w:endnotePr>
            <w:numFmt w:val="decimal"/>
          </w:endnotePr>
          <w:pgSz w:w="11906" w:h="16838"/>
          <w:pgMar w:top="1440" w:right="1797" w:bottom="1440" w:left="1797" w:header="851" w:footer="850" w:gutter="0"/>
          <w:pgNumType w:start="1"/>
          <w:cols w:space="720" w:num="1"/>
          <w:docGrid w:type="lines" w:linePitch="312" w:charSpace="0"/>
        </w:sectPr>
      </w:pPr>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76" w:name="_Toc11619"/>
      <w:r>
        <w:rPr>
          <w:rFonts w:hint="eastAsia" w:ascii="宋体" w:hAnsi="宋体" w:eastAsia="宋体" w:cs="宋体"/>
          <w:b/>
          <w:bCs/>
          <w:kern w:val="0"/>
          <w:sz w:val="21"/>
          <w:szCs w:val="21"/>
        </w:rPr>
        <w:t>第一部分 合同协议书</w:t>
      </w:r>
      <w:bookmarkEnd w:id="76"/>
    </w:p>
    <w:p>
      <w:pPr>
        <w:adjustRightInd w:val="0"/>
        <w:snapToGrid w:val="0"/>
        <w:spacing w:line="360" w:lineRule="auto"/>
        <w:jc w:val="left"/>
        <w:rPr>
          <w:rFonts w:hint="eastAsia" w:ascii="宋体" w:hAnsi="宋体" w:eastAsia="宋体" w:cs="宋体"/>
          <w:b/>
          <w:kern w:val="0"/>
          <w:sz w:val="21"/>
          <w:szCs w:val="21"/>
        </w:rPr>
      </w:pPr>
    </w:p>
    <w:p>
      <w:pPr>
        <w:adjustRightInd w:val="0"/>
        <w:snapToGrid w:val="0"/>
        <w:spacing w:line="360" w:lineRule="auto"/>
        <w:jc w:val="left"/>
        <w:rPr>
          <w:rFonts w:hint="eastAsia" w:ascii="宋体" w:hAnsi="宋体" w:eastAsia="宋体" w:cs="宋体"/>
          <w:b/>
          <w:kern w:val="0"/>
          <w:sz w:val="21"/>
          <w:szCs w:val="21"/>
          <w:u w:val="single"/>
        </w:rPr>
      </w:pPr>
      <w:r>
        <w:rPr>
          <w:rFonts w:hint="eastAsia" w:ascii="宋体" w:hAnsi="宋体" w:eastAsia="宋体" w:cs="宋体"/>
          <w:b/>
          <w:kern w:val="0"/>
          <w:sz w:val="21"/>
          <w:szCs w:val="21"/>
        </w:rPr>
        <w:t>委托人（以下简称甲方）：</w:t>
      </w:r>
      <w:r>
        <w:rPr>
          <w:rFonts w:hint="eastAsia" w:ascii="宋体" w:hAnsi="宋体" w:eastAsia="宋体" w:cs="宋体"/>
          <w:b/>
          <w:kern w:val="0"/>
          <w:sz w:val="21"/>
          <w:szCs w:val="21"/>
          <w:u w:val="single"/>
        </w:rPr>
        <w:t xml:space="preserve">                       </w:t>
      </w:r>
    </w:p>
    <w:p>
      <w:pPr>
        <w:adjustRightInd w:val="0"/>
        <w:snapToGrid w:val="0"/>
        <w:spacing w:line="360" w:lineRule="auto"/>
        <w:jc w:val="left"/>
        <w:rPr>
          <w:rFonts w:hint="eastAsia" w:ascii="宋体" w:hAnsi="宋体" w:eastAsia="宋体" w:cs="宋体"/>
          <w:b/>
          <w:kern w:val="0"/>
          <w:sz w:val="21"/>
          <w:szCs w:val="21"/>
          <w:u w:val="single"/>
        </w:rPr>
      </w:pPr>
      <w:r>
        <w:rPr>
          <w:rFonts w:hint="eastAsia" w:ascii="宋体" w:hAnsi="宋体" w:eastAsia="宋体" w:cs="宋体"/>
          <w:b/>
          <w:kern w:val="0"/>
          <w:sz w:val="21"/>
          <w:szCs w:val="21"/>
        </w:rPr>
        <w:t>受托人（以下简称乙方）：</w:t>
      </w:r>
      <w:r>
        <w:rPr>
          <w:rFonts w:hint="eastAsia" w:ascii="宋体" w:hAnsi="宋体" w:eastAsia="宋体" w:cs="宋体"/>
          <w:b/>
          <w:kern w:val="0"/>
          <w:sz w:val="21"/>
          <w:szCs w:val="21"/>
          <w:u w:val="single"/>
        </w:rPr>
        <w:t xml:space="preserve">                       </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根据《中华人民共和国民法典》及其他有关法律、法规，遵循平等、自愿、公平和诚实信用的原则，双方就下述项目设备维修服务及有关事项协商一致，</w:t>
      </w:r>
      <w:r>
        <w:rPr>
          <w:rFonts w:hint="eastAsia" w:ascii="宋体" w:hAnsi="宋体" w:eastAsia="宋体" w:cs="宋体"/>
          <w:sz w:val="21"/>
          <w:szCs w:val="21"/>
        </w:rPr>
        <w:t>共同签订本合同</w:t>
      </w:r>
      <w:r>
        <w:rPr>
          <w:rFonts w:hint="eastAsia" w:ascii="宋体" w:hAnsi="宋体" w:eastAsia="宋体" w:cs="宋体"/>
          <w:kern w:val="0"/>
          <w:sz w:val="21"/>
          <w:szCs w:val="21"/>
        </w:rPr>
        <w:t>。</w:t>
      </w:r>
    </w:p>
    <w:p>
      <w:pPr>
        <w:pStyle w:val="2"/>
        <w:spacing w:line="360" w:lineRule="auto"/>
        <w:ind w:left="0" w:leftChars="0" w:firstLine="422" w:firstLineChars="200"/>
        <w:rPr>
          <w:rFonts w:hint="eastAsia" w:ascii="宋体" w:hAnsi="宋体" w:eastAsia="宋体" w:cs="宋体"/>
          <w:b/>
          <w:bCs/>
          <w:sz w:val="21"/>
          <w:szCs w:val="21"/>
        </w:rPr>
      </w:pPr>
      <w:bookmarkStart w:id="77" w:name="_Toc26171"/>
      <w:bookmarkStart w:id="78" w:name="_Toc17907"/>
      <w:bookmarkStart w:id="79" w:name="_Toc32742"/>
      <w:bookmarkStart w:id="80" w:name="_Toc26896"/>
      <w:bookmarkStart w:id="81" w:name="_Toc20903"/>
      <w:bookmarkStart w:id="82" w:name="_Toc25897"/>
      <w:bookmarkStart w:id="83" w:name="_Toc485"/>
      <w:bookmarkStart w:id="84" w:name="_Toc9422"/>
      <w:r>
        <w:rPr>
          <w:rFonts w:hint="eastAsia" w:ascii="宋体" w:hAnsi="宋体" w:eastAsia="宋体" w:cs="宋体"/>
          <w:b/>
          <w:bCs/>
          <w:sz w:val="21"/>
          <w:szCs w:val="21"/>
        </w:rPr>
        <w:t>一、项目概况</w:t>
      </w:r>
      <w:bookmarkEnd w:id="77"/>
      <w:bookmarkEnd w:id="78"/>
      <w:bookmarkEnd w:id="79"/>
      <w:bookmarkEnd w:id="80"/>
    </w:p>
    <w:p>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1、项目名称：</w:t>
      </w:r>
      <w:r>
        <w:rPr>
          <w:rFonts w:hint="eastAsia" w:ascii="宋体" w:hAnsi="宋体" w:eastAsia="宋体" w:cs="宋体"/>
          <w:sz w:val="21"/>
          <w:szCs w:val="21"/>
          <w:u w:val="single"/>
        </w:rPr>
        <w:t xml:space="preserve">                    </w:t>
      </w:r>
    </w:p>
    <w:p>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2、项目概况：</w:t>
      </w:r>
      <w:r>
        <w:rPr>
          <w:rFonts w:hint="eastAsia" w:ascii="宋体" w:hAnsi="宋体" w:eastAsia="宋体" w:cs="宋体"/>
          <w:sz w:val="21"/>
          <w:szCs w:val="21"/>
          <w:u w:val="single"/>
        </w:rPr>
        <w:t xml:space="preserve">                    </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服务范围及内容：</w:t>
      </w:r>
      <w:r>
        <w:rPr>
          <w:rFonts w:hint="eastAsia" w:ascii="宋体" w:hAnsi="宋体" w:eastAsia="宋体" w:cs="宋体"/>
          <w:sz w:val="21"/>
          <w:szCs w:val="21"/>
          <w:u w:val="single"/>
        </w:rPr>
        <w:t xml:space="preserve">              </w:t>
      </w:r>
      <w:r>
        <w:rPr>
          <w:rFonts w:hint="eastAsia" w:ascii="宋体" w:hAnsi="宋体" w:eastAsia="宋体" w:cs="宋体"/>
          <w:sz w:val="21"/>
          <w:szCs w:val="21"/>
        </w:rPr>
        <w:t>，具体</w:t>
      </w:r>
      <w:r>
        <w:rPr>
          <w:rFonts w:hint="eastAsia" w:ascii="宋体" w:hAnsi="宋体" w:eastAsia="宋体" w:cs="宋体"/>
          <w:kern w:val="0"/>
          <w:sz w:val="21"/>
          <w:szCs w:val="21"/>
        </w:rPr>
        <w:t>内容详见</w:t>
      </w:r>
      <w:r>
        <w:rPr>
          <w:rFonts w:hint="eastAsia" w:ascii="宋体" w:hAnsi="宋体" w:eastAsia="宋体" w:cs="宋体"/>
          <w:sz w:val="21"/>
          <w:szCs w:val="21"/>
        </w:rPr>
        <w:t>用户需求书/技术规格书。</w:t>
      </w:r>
    </w:p>
    <w:p>
      <w:pPr>
        <w:adjustRightInd w:val="0"/>
        <w:snapToGrid w:val="0"/>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二、服务期限</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服务期限为：</w:t>
      </w:r>
      <w:r>
        <w:rPr>
          <w:rFonts w:hint="eastAsia" w:ascii="宋体" w:hAnsi="宋体" w:eastAsia="宋体" w:cs="宋体"/>
          <w:sz w:val="21"/>
          <w:szCs w:val="21"/>
          <w:u w:val="single"/>
        </w:rPr>
        <w:t xml:space="preserve">              </w:t>
      </w:r>
      <w:r>
        <w:rPr>
          <w:rFonts w:hint="eastAsia" w:ascii="宋体" w:hAnsi="宋体" w:eastAsia="宋体" w:cs="宋体"/>
          <w:sz w:val="21"/>
          <w:szCs w:val="21"/>
        </w:rPr>
        <w:t>，具体</w:t>
      </w:r>
      <w:r>
        <w:rPr>
          <w:rFonts w:hint="eastAsia" w:ascii="宋体" w:hAnsi="宋体" w:eastAsia="宋体" w:cs="宋体"/>
          <w:kern w:val="0"/>
          <w:sz w:val="21"/>
          <w:szCs w:val="21"/>
        </w:rPr>
        <w:t>内容详见</w:t>
      </w:r>
      <w:r>
        <w:rPr>
          <w:rFonts w:hint="eastAsia" w:ascii="宋体" w:hAnsi="宋体" w:eastAsia="宋体" w:cs="宋体"/>
          <w:sz w:val="21"/>
          <w:szCs w:val="21"/>
        </w:rPr>
        <w:t>用户需求书/技术规格书。</w:t>
      </w:r>
    </w:p>
    <w:p>
      <w:pPr>
        <w:numPr>
          <w:ilvl w:val="0"/>
          <w:numId w:val="6"/>
        </w:numPr>
        <w:adjustRightInd w:val="0"/>
        <w:snapToGrid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签约合同价</w:t>
      </w:r>
    </w:p>
    <w:p>
      <w:pPr>
        <w:numPr>
          <w:ilvl w:val="0"/>
          <w:numId w:val="7"/>
        </w:numPr>
        <w:spacing w:line="360" w:lineRule="auto"/>
        <w:ind w:firstLine="465"/>
        <w:rPr>
          <w:rFonts w:hint="eastAsia" w:ascii="宋体" w:hAnsi="宋体" w:eastAsia="宋体" w:cs="宋体"/>
          <w:kern w:val="0"/>
          <w:sz w:val="21"/>
          <w:szCs w:val="21"/>
        </w:rPr>
      </w:pPr>
      <w:bookmarkStart w:id="85" w:name="_Toc10509"/>
      <w:bookmarkStart w:id="86" w:name="_Toc25652"/>
      <w:bookmarkStart w:id="87" w:name="_Toc27578"/>
      <w:bookmarkStart w:id="88" w:name="_Toc7501"/>
      <w:r>
        <w:rPr>
          <w:rFonts w:hint="eastAsia" w:ascii="宋体" w:hAnsi="宋体" w:eastAsia="宋体" w:cs="宋体"/>
          <w:kern w:val="0"/>
          <w:sz w:val="21"/>
          <w:szCs w:val="21"/>
        </w:rPr>
        <w:t>合同价格形式：</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□单价合同（除税率调整外，合同单价（即中标单价/中选单价/成交单价）在合同执行过程中固定不变，不随政府政策（长沙市规定的最低工资标准变化等）及市场物价上涨或回落等因素调整）</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总价合同（除税率调整外，合同总价（即中标总价/中选总价/成交总价）在合同执行过程中固定不变，不随政府政策（长沙市规定的最低工资标准变化等）及市场物价上涨或回落等因素调整。最终完成的合格工作量超过招标/竞谈/谈判的工作量时，按招标/竞谈/谈判的工作量办理结算；最终完成的合格工作量未超过招标/竞谈/谈判的工程量时，则按最终完成的合格工程量办理结算）</w:t>
      </w:r>
    </w:p>
    <w:p>
      <w:pPr>
        <w:spacing w:line="360" w:lineRule="auto"/>
        <w:ind w:firstLine="465"/>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签约合同价为人民币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），具体分项价格表详见合同附件之签约合同价清单。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3.按长沙市政府或其职能部门相关规定，本项目的合同价格（即结算价格）最终以</w:t>
      </w:r>
      <w:r>
        <w:rPr>
          <w:rFonts w:hint="eastAsia" w:ascii="宋体" w:hAnsi="宋体" w:eastAsia="宋体" w:cs="宋体"/>
          <w:sz w:val="21"/>
          <w:szCs w:val="21"/>
          <w:u w:val="single"/>
        </w:rPr>
        <w:t>□长沙市政府相关职能部门或长沙市轨道交通集团有限公司授权的单位审定价款为准</w:t>
      </w:r>
      <w:r>
        <w:rPr>
          <w:rFonts w:hint="eastAsia" w:ascii="宋体" w:hAnsi="宋体" w:eastAsia="宋体" w:cs="宋体"/>
          <w:sz w:val="21"/>
          <w:szCs w:val="21"/>
        </w:rPr>
        <w:t>/</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履约验收合格确定的最终价款为准</w:t>
      </w:r>
      <w:r>
        <w:rPr>
          <w:rFonts w:hint="eastAsia" w:ascii="宋体" w:hAnsi="宋体" w:eastAsia="宋体" w:cs="宋体"/>
          <w:sz w:val="21"/>
          <w:szCs w:val="21"/>
        </w:rPr>
        <w:t>。</w:t>
      </w:r>
      <w:r>
        <w:rPr>
          <w:rFonts w:hint="eastAsia" w:ascii="宋体" w:hAnsi="宋体" w:eastAsia="宋体" w:cs="宋体"/>
          <w:bCs/>
          <w:sz w:val="21"/>
          <w:szCs w:val="21"/>
        </w:rPr>
        <w:t>合同价格包括乙方按合同约定进行维修所产生的成本、费用、税金、利润、保险、专利、风险。</w:t>
      </w:r>
    </w:p>
    <w:bookmarkEnd w:id="85"/>
    <w:bookmarkEnd w:id="86"/>
    <w:bookmarkEnd w:id="87"/>
    <w:bookmarkEnd w:id="88"/>
    <w:p>
      <w:pPr>
        <w:spacing w:line="360" w:lineRule="auto"/>
        <w:ind w:firstLine="369" w:firstLineChars="175"/>
        <w:rPr>
          <w:rFonts w:hint="eastAsia" w:ascii="宋体" w:hAnsi="宋体" w:eastAsia="宋体" w:cs="宋体"/>
          <w:b/>
          <w:kern w:val="0"/>
          <w:sz w:val="21"/>
          <w:szCs w:val="21"/>
        </w:rPr>
      </w:pPr>
      <w:bookmarkStart w:id="89" w:name="_Toc457826210"/>
      <w:r>
        <w:rPr>
          <w:rFonts w:hint="eastAsia" w:ascii="宋体" w:hAnsi="宋体" w:eastAsia="宋体" w:cs="宋体"/>
          <w:b/>
          <w:kern w:val="0"/>
          <w:sz w:val="21"/>
          <w:szCs w:val="21"/>
        </w:rPr>
        <w:t>四、质量标准</w:t>
      </w:r>
    </w:p>
    <w:p>
      <w:pPr>
        <w:tabs>
          <w:tab w:val="left" w:pos="1260"/>
        </w:tabs>
        <w:adjustRightInd w:val="0"/>
        <w:snapToGrid w:val="0"/>
        <w:spacing w:line="360" w:lineRule="auto"/>
        <w:ind w:firstLine="420" w:firstLineChars="200"/>
        <w:jc w:val="left"/>
        <w:outlineLvl w:val="2"/>
        <w:rPr>
          <w:rFonts w:hint="eastAsia" w:ascii="宋体" w:hAnsi="宋体" w:eastAsia="宋体" w:cs="宋体"/>
          <w:kern w:val="0"/>
          <w:sz w:val="21"/>
          <w:szCs w:val="21"/>
          <w:u w:val="single"/>
        </w:rPr>
      </w:pPr>
      <w:bookmarkStart w:id="90" w:name="_Toc2011"/>
      <w:r>
        <w:rPr>
          <w:rFonts w:hint="eastAsia" w:ascii="宋体" w:hAnsi="宋体" w:eastAsia="宋体" w:cs="宋体"/>
          <w:kern w:val="0"/>
          <w:sz w:val="21"/>
          <w:szCs w:val="21"/>
        </w:rPr>
        <w:t>质量标准为：</w:t>
      </w:r>
      <w:r>
        <w:rPr>
          <w:rFonts w:hint="eastAsia" w:ascii="宋体" w:hAnsi="宋体" w:eastAsia="宋体" w:cs="宋体"/>
          <w:kern w:val="0"/>
          <w:sz w:val="21"/>
          <w:szCs w:val="21"/>
          <w:u w:val="single"/>
        </w:rPr>
        <w:t>符合国家、省市及行业现行有关规定、标准和规范的要求，具体要求以用户需求书/技术规格书为准。</w:t>
      </w:r>
      <w:bookmarkEnd w:id="90"/>
    </w:p>
    <w:p>
      <w:pPr>
        <w:tabs>
          <w:tab w:val="left" w:pos="1260"/>
        </w:tabs>
        <w:adjustRightInd w:val="0"/>
        <w:snapToGrid w:val="0"/>
        <w:spacing w:line="360" w:lineRule="auto"/>
        <w:ind w:firstLine="422" w:firstLineChars="200"/>
        <w:jc w:val="left"/>
        <w:outlineLvl w:val="2"/>
        <w:rPr>
          <w:rFonts w:hint="eastAsia" w:ascii="宋体" w:hAnsi="宋体" w:eastAsia="宋体" w:cs="宋体"/>
          <w:b/>
          <w:kern w:val="0"/>
          <w:sz w:val="21"/>
          <w:szCs w:val="21"/>
        </w:rPr>
      </w:pPr>
      <w:bookmarkStart w:id="91" w:name="_Toc27708"/>
      <w:r>
        <w:rPr>
          <w:rFonts w:hint="eastAsia" w:ascii="宋体" w:hAnsi="宋体" w:eastAsia="宋体" w:cs="宋体"/>
          <w:b/>
          <w:kern w:val="0"/>
          <w:sz w:val="21"/>
          <w:szCs w:val="21"/>
        </w:rPr>
        <w:t>五、保修期</w:t>
      </w:r>
      <w:bookmarkEnd w:id="91"/>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，具体</w:t>
      </w:r>
      <w:r>
        <w:rPr>
          <w:rFonts w:hint="eastAsia" w:ascii="宋体" w:hAnsi="宋体" w:eastAsia="宋体" w:cs="宋体"/>
          <w:kern w:val="0"/>
          <w:sz w:val="21"/>
          <w:szCs w:val="21"/>
        </w:rPr>
        <w:t>内容详见</w:t>
      </w:r>
      <w:r>
        <w:rPr>
          <w:rFonts w:hint="eastAsia" w:ascii="宋体" w:hAnsi="宋体" w:eastAsia="宋体" w:cs="宋体"/>
          <w:sz w:val="21"/>
          <w:szCs w:val="21"/>
        </w:rPr>
        <w:t>用户需求书/技术规格书。</w:t>
      </w:r>
    </w:p>
    <w:p>
      <w:pPr>
        <w:tabs>
          <w:tab w:val="left" w:pos="1260"/>
        </w:tabs>
        <w:adjustRightInd w:val="0"/>
        <w:snapToGrid w:val="0"/>
        <w:spacing w:line="360" w:lineRule="auto"/>
        <w:ind w:firstLine="422" w:firstLineChars="200"/>
        <w:jc w:val="left"/>
        <w:outlineLvl w:val="2"/>
        <w:rPr>
          <w:rFonts w:hint="eastAsia" w:ascii="宋体" w:hAnsi="宋体" w:eastAsia="宋体" w:cs="宋体"/>
          <w:b/>
          <w:kern w:val="0"/>
          <w:sz w:val="21"/>
          <w:szCs w:val="21"/>
        </w:rPr>
      </w:pPr>
      <w:bookmarkStart w:id="92" w:name="_Toc15022"/>
      <w:r>
        <w:rPr>
          <w:rFonts w:hint="eastAsia" w:ascii="宋体" w:hAnsi="宋体" w:eastAsia="宋体" w:cs="宋体"/>
          <w:b/>
          <w:kern w:val="0"/>
          <w:sz w:val="21"/>
          <w:szCs w:val="21"/>
        </w:rPr>
        <w:t>六、合同文件及优先解释顺序</w:t>
      </w:r>
      <w:bookmarkEnd w:id="89"/>
      <w:bookmarkEnd w:id="92"/>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合同文件组成及优先解释顺序：</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（1）补充协议（如果有）；</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（2）合同协议书；</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（3）中标通知书/中选通知书</w:t>
      </w:r>
      <w:r>
        <w:rPr>
          <w:rFonts w:hint="eastAsia" w:ascii="宋体" w:hAnsi="宋体" w:eastAsia="宋体" w:cs="宋体"/>
          <w:sz w:val="21"/>
          <w:szCs w:val="21"/>
        </w:rPr>
        <w:t>/谈判记录表</w:t>
      </w:r>
      <w:r>
        <w:rPr>
          <w:rFonts w:hint="eastAsia" w:ascii="宋体" w:hAnsi="宋体" w:eastAsia="宋体" w:cs="宋体"/>
          <w:kern w:val="0"/>
          <w:sz w:val="21"/>
          <w:szCs w:val="21"/>
        </w:rPr>
        <w:t>;</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（4）合同条款；</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（5）用户需求书/技术规格书；</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签约合同价清单；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（7）合同附件及乙方按合同附录格式及要求出具的文件；</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（8）图纸；</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（9）技术标准；</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（10）招标文件/自主竞争性谈判文件/直接委托谈判文件及澄清与答疑文件及其它补充资料；</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（11）投标文件/谈判响应文件及澄清文件及其它补充资料；</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（12）其他构成本合同的文件。</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上述各项合同文件包括合同当事人就该项合同文件所作出的补充和修改，属于同一类内容的文件，应以最新签署的为准。</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在合同履行过程中形成的与合同有关的文件均构成合同文件组成部分，并根据其性质确定优先解释顺序。</w:t>
      </w:r>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七、承诺</w:t>
      </w:r>
    </w:p>
    <w:p>
      <w:pPr>
        <w:spacing w:line="360" w:lineRule="auto"/>
        <w:ind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1.甲方承诺按照合同约定提供有关条件和相关资料，并按照合同约定的期限和方式支付合同价款。</w:t>
      </w:r>
    </w:p>
    <w:p>
      <w:pPr>
        <w:spacing w:line="360" w:lineRule="auto"/>
        <w:ind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2.乙方承诺按照法律法规和技术标准规定及合同约定提供服务。</w:t>
      </w:r>
      <w:bookmarkStart w:id="93" w:name="_Toc457826146"/>
      <w:bookmarkStart w:id="94" w:name="_Toc406150417"/>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八、词语定义</w:t>
      </w:r>
      <w:bookmarkEnd w:id="93"/>
      <w:bookmarkEnd w:id="94"/>
    </w:p>
    <w:p>
      <w:pPr>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本合同协议书中词语含义与合同条款中的词语含义相同。</w:t>
      </w:r>
      <w:bookmarkStart w:id="95" w:name="_Toc406150418"/>
      <w:bookmarkStart w:id="96" w:name="_Toc457826147"/>
      <w:bookmarkStart w:id="97" w:name="_Toc351203489"/>
    </w:p>
    <w:bookmarkEnd w:id="95"/>
    <w:bookmarkEnd w:id="96"/>
    <w:bookmarkEnd w:id="97"/>
    <w:p>
      <w:pPr>
        <w:spacing w:line="360" w:lineRule="auto"/>
        <w:ind w:firstLine="465"/>
        <w:rPr>
          <w:rFonts w:hint="eastAsia" w:ascii="宋体" w:hAnsi="宋体" w:eastAsia="宋体" w:cs="宋体"/>
          <w:b/>
          <w:bCs/>
          <w:sz w:val="21"/>
          <w:szCs w:val="21"/>
        </w:rPr>
      </w:pPr>
      <w:bookmarkStart w:id="98" w:name="_Toc457826149"/>
      <w:bookmarkStart w:id="99" w:name="_Toc351203492"/>
      <w:bookmarkStart w:id="100" w:name="_Toc406150420"/>
      <w:r>
        <w:rPr>
          <w:rFonts w:hint="eastAsia" w:ascii="宋体" w:hAnsi="宋体" w:eastAsia="宋体" w:cs="宋体"/>
          <w:b/>
          <w:bCs/>
          <w:sz w:val="21"/>
          <w:szCs w:val="21"/>
        </w:rPr>
        <w:t>九、合同签订时间</w:t>
      </w:r>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本合同于</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日签订。</w:t>
      </w:r>
      <w:bookmarkStart w:id="101" w:name="_Toc351203490"/>
      <w:bookmarkStart w:id="102" w:name="_Toc457826148"/>
      <w:bookmarkStart w:id="103" w:name="_Toc406150419"/>
    </w:p>
    <w:p>
      <w:pPr>
        <w:spacing w:line="360" w:lineRule="auto"/>
        <w:ind w:firstLine="465"/>
        <w:rPr>
          <w:rFonts w:hint="eastAsia" w:ascii="宋体" w:hAnsi="宋体" w:eastAsia="宋体" w:cs="宋体"/>
          <w:b/>
          <w:bCs/>
          <w:sz w:val="21"/>
          <w:szCs w:val="21"/>
        </w:rPr>
      </w:pPr>
      <w:r>
        <w:rPr>
          <w:rFonts w:hint="eastAsia" w:ascii="宋体" w:hAnsi="宋体" w:eastAsia="宋体" w:cs="宋体"/>
          <w:b/>
          <w:bCs/>
          <w:sz w:val="21"/>
          <w:szCs w:val="21"/>
        </w:rPr>
        <w:t>十、合同签订地点</w:t>
      </w:r>
      <w:bookmarkEnd w:id="101"/>
      <w:bookmarkEnd w:id="102"/>
      <w:bookmarkEnd w:id="103"/>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本合同在</w:t>
      </w:r>
      <w:r>
        <w:rPr>
          <w:rFonts w:hint="eastAsia" w:ascii="宋体" w:hAnsi="宋体" w:eastAsia="宋体" w:cs="宋体"/>
          <w:bCs/>
          <w:sz w:val="21"/>
          <w:szCs w:val="21"/>
          <w:u w:val="single"/>
        </w:rPr>
        <w:t xml:space="preserve"> 湖南省长沙市雨花区 </w:t>
      </w:r>
      <w:r>
        <w:rPr>
          <w:rFonts w:hint="eastAsia" w:ascii="宋体" w:hAnsi="宋体" w:eastAsia="宋体" w:cs="宋体"/>
          <w:bCs/>
          <w:sz w:val="21"/>
          <w:szCs w:val="21"/>
        </w:rPr>
        <w:t>签订。</w:t>
      </w:r>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十一、合同生效</w:t>
      </w:r>
      <w:bookmarkEnd w:id="98"/>
      <w:bookmarkEnd w:id="99"/>
      <w:bookmarkEnd w:id="100"/>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本合同自</w:t>
      </w:r>
      <w:r>
        <w:rPr>
          <w:rFonts w:hint="eastAsia" w:ascii="宋体" w:hAnsi="宋体" w:eastAsia="宋体" w:cs="宋体"/>
          <w:sz w:val="21"/>
          <w:szCs w:val="21"/>
          <w:u w:val="single"/>
        </w:rPr>
        <w:t>合同双方法定代表人或其授权代表签字并加盖合同专用章</w:t>
      </w:r>
      <w:r>
        <w:rPr>
          <w:rFonts w:hint="eastAsia" w:ascii="宋体" w:hAnsi="宋体" w:eastAsia="宋体" w:cs="宋体"/>
          <w:bCs/>
          <w:sz w:val="21"/>
          <w:szCs w:val="21"/>
        </w:rPr>
        <w:t>生效。</w:t>
      </w:r>
      <w:bookmarkStart w:id="104" w:name="_Toc457826150"/>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十二、合同份数</w:t>
      </w:r>
      <w:bookmarkEnd w:id="104"/>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十</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七</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三</w:t>
      </w:r>
      <w:r>
        <w:rPr>
          <w:rFonts w:hint="eastAsia" w:ascii="宋体" w:hAnsi="宋体" w:eastAsia="宋体" w:cs="宋体"/>
          <w:sz w:val="21"/>
          <w:szCs w:val="21"/>
        </w:rPr>
        <w:t>份。合同正本与副本具有同等效力，当合同副本与正本之间存有差异时，以合同正本为准。</w:t>
      </w:r>
    </w:p>
    <w:p>
      <w:pPr>
        <w:pageBreakBefore/>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委托人（甲方）：(盖章)</w:t>
            </w:r>
          </w:p>
          <w:p>
            <w:pPr>
              <w:pStyle w:val="25"/>
              <w:snapToGrid w:val="0"/>
              <w:spacing w:line="360" w:lineRule="auto"/>
              <w:rPr>
                <w:rFonts w:hint="eastAsia" w:ascii="宋体" w:hAnsi="宋体" w:eastAsia="宋体" w:cs="宋体"/>
                <w:sz w:val="21"/>
                <w:szCs w:val="21"/>
              </w:rPr>
            </w:pP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受托人（乙方）：（盖章）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时间：</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时间：</w:t>
            </w:r>
          </w:p>
        </w:tc>
      </w:tr>
      <w:bookmarkEnd w:id="81"/>
      <w:bookmarkEnd w:id="82"/>
      <w:bookmarkEnd w:id="83"/>
      <w:bookmarkEnd w:id="84"/>
    </w:tbl>
    <w:p>
      <w:pPr>
        <w:adjustRightInd w:val="0"/>
        <w:snapToGrid w:val="0"/>
        <w:spacing w:line="400" w:lineRule="exact"/>
        <w:jc w:val="center"/>
        <w:outlineLvl w:val="0"/>
        <w:rPr>
          <w:rFonts w:hint="eastAsia" w:ascii="宋体" w:hAnsi="宋体" w:eastAsia="宋体" w:cs="宋体"/>
          <w:b/>
          <w:sz w:val="21"/>
          <w:szCs w:val="21"/>
        </w:rPr>
        <w:sectPr>
          <w:footerReference r:id="rId9" w:type="first"/>
          <w:footerReference r:id="rId8" w:type="default"/>
          <w:pgSz w:w="11850" w:h="16783"/>
          <w:pgMar w:top="1440" w:right="1361" w:bottom="1440" w:left="1474" w:header="851" w:footer="992" w:gutter="0"/>
          <w:pgNumType w:start="1"/>
          <w:cols w:space="720" w:num="1"/>
          <w:titlePg/>
          <w:docGrid w:type="lines" w:linePitch="312" w:charSpace="0"/>
        </w:sectPr>
      </w:pPr>
      <w:bookmarkStart w:id="105" w:name="_Toc31260"/>
      <w:bookmarkStart w:id="106" w:name="_Toc28738"/>
      <w:bookmarkStart w:id="107" w:name="_Toc10635"/>
      <w:bookmarkStart w:id="108" w:name="_Toc1724"/>
      <w:bookmarkStart w:id="109" w:name="_Toc25130"/>
      <w:bookmarkStart w:id="110" w:name="_Toc2440"/>
      <w:bookmarkStart w:id="111" w:name="_Toc12367"/>
      <w:bookmarkStart w:id="112" w:name="_Toc15642"/>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113" w:name="_Toc6088"/>
      <w:r>
        <w:rPr>
          <w:rFonts w:hint="eastAsia" w:ascii="宋体" w:hAnsi="宋体" w:eastAsia="宋体" w:cs="宋体"/>
          <w:b/>
          <w:bCs/>
          <w:kern w:val="0"/>
          <w:sz w:val="21"/>
          <w:szCs w:val="21"/>
        </w:rPr>
        <w:t>第二部分 合同条款</w:t>
      </w:r>
      <w:bookmarkEnd w:id="105"/>
      <w:bookmarkEnd w:id="106"/>
      <w:bookmarkEnd w:id="107"/>
      <w:bookmarkEnd w:id="108"/>
      <w:bookmarkEnd w:id="113"/>
    </w:p>
    <w:p>
      <w:pPr>
        <w:pStyle w:val="4"/>
        <w:keepNext w:val="0"/>
        <w:keepLines w:val="0"/>
        <w:snapToGrid w:val="0"/>
        <w:spacing w:line="360" w:lineRule="auto"/>
        <w:ind w:firstLine="422" w:firstLineChars="200"/>
        <w:rPr>
          <w:rFonts w:hint="eastAsia" w:ascii="宋体" w:hAnsi="宋体" w:eastAsia="宋体" w:cs="宋体"/>
          <w:sz w:val="21"/>
          <w:szCs w:val="21"/>
        </w:rPr>
      </w:pPr>
      <w:bookmarkStart w:id="114" w:name="_Toc493574679"/>
      <w:bookmarkStart w:id="115" w:name="_Toc457826152"/>
      <w:bookmarkStart w:id="116" w:name="_Toc13720"/>
      <w:bookmarkStart w:id="117" w:name="_Toc22585"/>
      <w:r>
        <w:rPr>
          <w:rFonts w:hint="eastAsia" w:ascii="宋体" w:hAnsi="宋体" w:eastAsia="宋体" w:cs="宋体"/>
          <w:sz w:val="21"/>
          <w:szCs w:val="21"/>
        </w:rPr>
        <w:t>1．一般约定</w:t>
      </w:r>
      <w:bookmarkEnd w:id="114"/>
      <w:bookmarkEnd w:id="115"/>
      <w:bookmarkEnd w:id="116"/>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18" w:name="_Toc406150424"/>
      <w:bookmarkStart w:id="119" w:name="_Toc457826153"/>
      <w:bookmarkStart w:id="120" w:name="_Toc20865"/>
      <w:r>
        <w:rPr>
          <w:rFonts w:hint="eastAsia" w:ascii="宋体" w:hAnsi="宋体" w:eastAsia="宋体" w:cs="宋体"/>
          <w:kern w:val="0"/>
          <w:sz w:val="21"/>
          <w:szCs w:val="21"/>
        </w:rPr>
        <w:t>1.1 词语定义</w:t>
      </w:r>
      <w:bookmarkEnd w:id="118"/>
      <w:bookmarkEnd w:id="119"/>
      <w:bookmarkEnd w:id="120"/>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 合同：</w:t>
      </w:r>
      <w:r>
        <w:rPr>
          <w:rFonts w:hint="eastAsia" w:ascii="宋体" w:hAnsi="宋体" w:eastAsia="宋体" w:cs="宋体"/>
          <w:sz w:val="21"/>
          <w:szCs w:val="21"/>
        </w:rPr>
        <w:t>指甲乙双方签署的、合同协议书中载明的甲乙双方所达成的协议，包括所有的附件、附录和上述文件所提到的构成合同的所有文件</w:t>
      </w:r>
      <w:r>
        <w:rPr>
          <w:rFonts w:hint="eastAsia" w:ascii="宋体" w:hAnsi="宋体" w:eastAsia="宋体" w:cs="宋体"/>
          <w:kern w:val="0"/>
          <w:sz w:val="21"/>
          <w:szCs w:val="21"/>
        </w:rPr>
        <w:t>。</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1.1.2 合同协议书：指构成合同的由甲方和乙方共同签署的称为“合同协议书”的书面文件。</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1.1.3 合同条款：是甲方与乙方根据法律、行政法规规定，结合具体项目实际，经协商达成一致意见的合同条款。</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1.1.4甲方：指与乙方签定合同协议书的当事人以及取得该当事人资格的合法继承人。</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1.1.5乙方：指为本项目提供服务与甲方签订合同协议书的，具有项目实施资质的当事人以及取得该当事人资格的合法继承人。</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1.1.6 项目：指甲方与乙方在合同协议书中约定的项目。</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1.1.7费用：指为履行合同所发生的或将要发生的所有支出。</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1.1.8 服务期限：指合同当事人在合同协议书中约定的期限。</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1.1.10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1.1.11 索赔：指在合同履行过程中，一方违反合同约定，直接或间接地给另一方造成实际损失，受损方向违约方提出经济赔偿和（或）服务期限顺延的要求。</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1.1.12 签约合同价：是指甲方和乙方在合同协议书中确定的金额，即本项目的中标价格/中选价格/成交价格。</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1.1.13 合同价格：是指根据本合同规定乙方在正确地完全履行合同义务后，按照长沙市政府或其职能部门相关规定，</w:t>
      </w:r>
      <w:r>
        <w:rPr>
          <w:rFonts w:hint="eastAsia" w:ascii="宋体" w:hAnsi="宋体" w:eastAsia="宋体" w:cs="宋体"/>
          <w:sz w:val="21"/>
          <w:szCs w:val="21"/>
          <w:u w:val="single"/>
        </w:rPr>
        <w:t>□经长沙市政府相关职能部门或长沙市轨道交通集团有限公司</w:t>
      </w:r>
      <w:r>
        <w:rPr>
          <w:rFonts w:hint="eastAsia" w:ascii="宋体" w:hAnsi="宋体" w:eastAsia="宋体" w:cs="宋体"/>
          <w:sz w:val="21"/>
          <w:szCs w:val="21"/>
          <w:u w:val="single"/>
          <w:shd w:val="clear" w:color="auto" w:fill="FFFFFF"/>
        </w:rPr>
        <w:t>授权的单位</w:t>
      </w:r>
      <w:r>
        <w:rPr>
          <w:rFonts w:hint="eastAsia" w:ascii="宋体" w:hAnsi="宋体" w:eastAsia="宋体" w:cs="宋体"/>
          <w:sz w:val="21"/>
          <w:szCs w:val="21"/>
          <w:u w:val="single"/>
        </w:rPr>
        <w:t>审定的结算价格</w:t>
      </w:r>
      <w:r>
        <w:rPr>
          <w:rFonts w:hint="eastAsia" w:ascii="宋体" w:hAnsi="宋体" w:eastAsia="宋体" w:cs="宋体"/>
          <w:sz w:val="21"/>
          <w:szCs w:val="21"/>
        </w:rPr>
        <w:t>/</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履约验收合格确定的最终价款</w:t>
      </w:r>
      <w:r>
        <w:rPr>
          <w:rFonts w:hint="eastAsia" w:ascii="宋体" w:hAnsi="宋体" w:eastAsia="宋体" w:cs="宋体"/>
          <w:kern w:val="0"/>
          <w:sz w:val="21"/>
          <w:szCs w:val="21"/>
        </w:rPr>
        <w:t>。</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1.1.14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1.1.15 不可抗力：是指双方在订立本合同时不可预见，在合同履行过程中不可避免并不能克服的自然灾害和社会性突发事件，如地震、海啸、瘟疫、水灾、骚乱、暴动、战争等情形。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1.1.16履约验收：是指按照长沙市政府相关职能部门或长沙市轨道交通集团有限公司或长沙市轨道交通集团有限公司授权的单位制定的履约验收相关管理规定办理验收。</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21" w:name="_Toc457826156"/>
      <w:bookmarkStart w:id="122" w:name="_Toc406150426"/>
      <w:bookmarkStart w:id="123" w:name="_Toc8111"/>
      <w:r>
        <w:rPr>
          <w:rFonts w:hint="eastAsia" w:ascii="宋体" w:hAnsi="宋体" w:eastAsia="宋体" w:cs="宋体"/>
          <w:kern w:val="0"/>
          <w:sz w:val="21"/>
          <w:szCs w:val="21"/>
        </w:rPr>
        <w:t>1.2 适用法律法规、技术标准</w:t>
      </w:r>
      <w:bookmarkEnd w:id="121"/>
      <w:bookmarkEnd w:id="122"/>
      <w:bookmarkEnd w:id="123"/>
    </w:p>
    <w:p>
      <w:pPr>
        <w:adjustRightInd w:val="0"/>
        <w:snapToGrid w:val="0"/>
        <w:spacing w:line="360" w:lineRule="auto"/>
        <w:ind w:firstLine="420"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rPr>
        <w:t>1.2.1 适用法律法规</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本合同文件适用中华人民共和国法律、行政法规、部门规章以及项目所在地的地方性法规、自治条例、单行条例和地方政府规章等。</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1.2.2 适用技术标准</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适用于项目的现行有效国家标准、行业标准、项目所在地的地方标准以及相应的规范、规程为本合同文件适用的技术标准。</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1.2.3 具体技术要求详见合同附件“用户需求书/技术规格书”。</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24" w:name="_Toc2458"/>
      <w:bookmarkStart w:id="125" w:name="_Toc457826157"/>
      <w:r>
        <w:rPr>
          <w:rFonts w:hint="eastAsia" w:ascii="宋体" w:hAnsi="宋体" w:eastAsia="宋体" w:cs="宋体"/>
          <w:kern w:val="0"/>
          <w:sz w:val="21"/>
          <w:szCs w:val="21"/>
        </w:rPr>
        <w:t>1.3 语言文字</w:t>
      </w:r>
      <w:bookmarkEnd w:id="124"/>
      <w:bookmarkEnd w:id="125"/>
    </w:p>
    <w:p>
      <w:pPr>
        <w:tabs>
          <w:tab w:val="left" w:pos="54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本合同文件使用汉语语言文字书写、解释和说明。</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26" w:name="_Toc351203502"/>
      <w:bookmarkStart w:id="127" w:name="_Toc24551"/>
      <w:bookmarkStart w:id="128" w:name="_Toc457826158"/>
      <w:bookmarkStart w:id="129" w:name="_Toc406150428"/>
      <w:bookmarkStart w:id="130" w:name="_Toc296346534"/>
      <w:bookmarkStart w:id="131" w:name="_Toc337558733"/>
      <w:bookmarkStart w:id="132" w:name="_Toc296503033"/>
      <w:r>
        <w:rPr>
          <w:rFonts w:hint="eastAsia" w:ascii="宋体" w:hAnsi="宋体" w:eastAsia="宋体" w:cs="宋体"/>
          <w:kern w:val="0"/>
          <w:sz w:val="21"/>
          <w:szCs w:val="21"/>
        </w:rPr>
        <w:t>1.4 联络</w:t>
      </w:r>
      <w:bookmarkEnd w:id="126"/>
      <w:bookmarkEnd w:id="127"/>
      <w:bookmarkEnd w:id="128"/>
      <w:bookmarkEnd w:id="129"/>
    </w:p>
    <w:bookmarkEnd w:id="130"/>
    <w:bookmarkEnd w:id="131"/>
    <w:bookmarkEnd w:id="132"/>
    <w:p>
      <w:pPr>
        <w:tabs>
          <w:tab w:val="left" w:pos="540"/>
          <w:tab w:val="left" w:pos="72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1.4.1 与合同有关的批准文件、通知、证明、证书、指示、指令、要求、请求、意见、确定和决定等，均应采用书面形式或合同双方确认的其他形式，并应在5个工作日内送达接收人。</w:t>
      </w:r>
    </w:p>
    <w:p>
      <w:pPr>
        <w:tabs>
          <w:tab w:val="left" w:pos="540"/>
          <w:tab w:val="left" w:pos="1260"/>
        </w:tabs>
        <w:adjustRightInd w:val="0"/>
        <w:snapToGrid w:val="0"/>
        <w:spacing w:line="360" w:lineRule="auto"/>
        <w:ind w:firstLine="420"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rPr>
        <w:t>1.4.2 甲方和乙方另行约定各自的送达接收人、送达形式及联系方式。合同当事人指定的接收人、送达地点或联系方式发生变动的，应提前3天以书面形式通知对方，否则视为未发生变动。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20"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rPr>
        <w:t>1.4.3 甲方、乙方应及时签收对方送达至约定送达地点和指定接收人的来往信函；如确有充分证据证明一方无正当理由拒不签收的，视为拒绝签收一方认可往来信函的内容。</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33" w:name="_Toc351203503"/>
      <w:bookmarkStart w:id="134" w:name="_Toc406150429"/>
      <w:bookmarkStart w:id="135" w:name="_Toc11395"/>
      <w:bookmarkStart w:id="136" w:name="_Toc449383259"/>
      <w:bookmarkStart w:id="137" w:name="_Toc296503035"/>
      <w:bookmarkStart w:id="138" w:name="_Toc296346536"/>
      <w:bookmarkStart w:id="139" w:name="_Toc337558734"/>
      <w:bookmarkStart w:id="140" w:name="_Toc457826159"/>
      <w:bookmarkStart w:id="141" w:name="_Toc337558738"/>
      <w:bookmarkStart w:id="142" w:name="_Toc406150430"/>
      <w:r>
        <w:rPr>
          <w:rFonts w:hint="eastAsia" w:ascii="宋体" w:hAnsi="宋体" w:eastAsia="宋体" w:cs="宋体"/>
          <w:kern w:val="0"/>
          <w:sz w:val="21"/>
          <w:szCs w:val="21"/>
        </w:rPr>
        <w:t>1.5 严禁贿赂</w:t>
      </w:r>
      <w:bookmarkEnd w:id="133"/>
      <w:bookmarkEnd w:id="134"/>
      <w:bookmarkEnd w:id="135"/>
      <w:bookmarkEnd w:id="136"/>
    </w:p>
    <w:bookmarkEnd w:id="137"/>
    <w:bookmarkEnd w:id="138"/>
    <w:bookmarkEnd w:id="139"/>
    <w:p>
      <w:pPr>
        <w:tabs>
          <w:tab w:val="left" w:pos="54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合同当事人不得以贿赂或变相贿赂的方式，谋取非法利益或损害对方权益。因一方的贿赂造成对方损失的，应赔偿损失并承担相应的法律责任。</w:t>
      </w:r>
    </w:p>
    <w:p>
      <w:pPr>
        <w:tabs>
          <w:tab w:val="left" w:pos="540"/>
        </w:tabs>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1.6 知识产权及保密</w:t>
      </w:r>
      <w:bookmarkEnd w:id="140"/>
      <w:bookmarkEnd w:id="141"/>
      <w:bookmarkEnd w:id="142"/>
    </w:p>
    <w:p>
      <w:pPr>
        <w:tabs>
          <w:tab w:val="left" w:pos="540"/>
        </w:tabs>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 在本合同有效期内，甲方利用乙方提交的工作成果所形成的知识产权，归甲方所有。</w:t>
      </w:r>
    </w:p>
    <w:p>
      <w:pPr>
        <w:tabs>
          <w:tab w:val="left" w:pos="540"/>
        </w:tabs>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1.6.2 在本合同有效期内，乙方利用甲方提供的技术资料和工作条件所形成的知识产权，归双方所有。</w:t>
      </w:r>
    </w:p>
    <w:p>
      <w:pPr>
        <w:tabs>
          <w:tab w:val="left" w:pos="54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1.6.3 除法律法规规定或合同另有约定外，未经甲方书面同意，乙方不得将甲方提供的图纸、文件、声明等需要保密的资料信息等商业秘密泄露给第三方。</w:t>
      </w:r>
    </w:p>
    <w:p>
      <w:pPr>
        <w:pStyle w:val="4"/>
        <w:keepNext w:val="0"/>
        <w:keepLines w:val="0"/>
        <w:snapToGrid w:val="0"/>
        <w:spacing w:line="360" w:lineRule="auto"/>
        <w:ind w:firstLine="422" w:firstLineChars="200"/>
        <w:rPr>
          <w:rFonts w:hint="eastAsia" w:ascii="宋体" w:hAnsi="宋体" w:eastAsia="宋体" w:cs="宋体"/>
          <w:sz w:val="21"/>
          <w:szCs w:val="21"/>
        </w:rPr>
      </w:pPr>
      <w:bookmarkStart w:id="143" w:name="_Toc29974"/>
      <w:r>
        <w:rPr>
          <w:rFonts w:hint="eastAsia" w:ascii="宋体" w:hAnsi="宋体" w:eastAsia="宋体" w:cs="宋体"/>
          <w:sz w:val="21"/>
          <w:szCs w:val="21"/>
        </w:rPr>
        <w:t>2．双方的权利和义务</w:t>
      </w:r>
      <w:bookmarkEnd w:id="143"/>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44" w:name="_Toc406150432"/>
      <w:bookmarkStart w:id="145" w:name="_Toc457826161"/>
      <w:bookmarkStart w:id="146" w:name="_Toc31060"/>
      <w:r>
        <w:rPr>
          <w:rFonts w:hint="eastAsia" w:ascii="宋体" w:hAnsi="宋体" w:eastAsia="宋体" w:cs="宋体"/>
          <w:kern w:val="0"/>
          <w:sz w:val="21"/>
          <w:szCs w:val="21"/>
        </w:rPr>
        <w:t>2.1 甲方的权利</w:t>
      </w:r>
      <w:bookmarkEnd w:id="144"/>
      <w:bookmarkEnd w:id="145"/>
      <w:r>
        <w:rPr>
          <w:rFonts w:hint="eastAsia" w:ascii="宋体" w:hAnsi="宋体" w:eastAsia="宋体" w:cs="宋体"/>
          <w:kern w:val="0"/>
          <w:sz w:val="21"/>
          <w:szCs w:val="21"/>
        </w:rPr>
        <w:t>和义务</w:t>
      </w:r>
      <w:bookmarkEnd w:id="146"/>
    </w:p>
    <w:bookmarkEnd w:id="117"/>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47" w:name="_Toc22312"/>
      <w:r>
        <w:rPr>
          <w:rFonts w:hint="eastAsia" w:ascii="宋体" w:hAnsi="宋体" w:eastAsia="宋体" w:cs="宋体"/>
          <w:sz w:val="21"/>
          <w:szCs w:val="21"/>
        </w:rPr>
        <w:t>2.1.1 向乙方提供本项目的基础资料，安排专人负责项目的组织、协调、管理工作。</w:t>
      </w:r>
      <w:bookmarkEnd w:id="147"/>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48" w:name="_Toc12468"/>
      <w:r>
        <w:rPr>
          <w:rFonts w:hint="eastAsia" w:ascii="宋体" w:hAnsi="宋体" w:eastAsia="宋体" w:cs="宋体"/>
          <w:sz w:val="21"/>
          <w:szCs w:val="21"/>
        </w:rPr>
        <w:t>2.1.2 甲方有权对乙方的服务进行监督、检查，有权根据合同对乙方的工作进行考核。</w:t>
      </w:r>
      <w:bookmarkEnd w:id="148"/>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49" w:name="_Toc29412"/>
      <w:r>
        <w:rPr>
          <w:rFonts w:hint="eastAsia" w:ascii="宋体" w:hAnsi="宋体" w:eastAsia="宋体" w:cs="宋体"/>
          <w:sz w:val="21"/>
          <w:szCs w:val="21"/>
        </w:rPr>
        <w:t>2.1.3 维修工作需要在现场进行的，甲方有权根据生产需要合理安排维修时间，并提前通知乙方，同时协助乙方做好现场维修工作，特殊情况双方协商处理。</w:t>
      </w:r>
      <w:bookmarkEnd w:id="149"/>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0" w:name="_Toc2056"/>
      <w:r>
        <w:rPr>
          <w:rFonts w:hint="eastAsia" w:ascii="宋体" w:hAnsi="宋体" w:eastAsia="宋体" w:cs="宋体"/>
          <w:sz w:val="21"/>
          <w:szCs w:val="21"/>
        </w:rPr>
        <w:t>2.1.4 按合同约定向乙方及时支付合同价款。</w:t>
      </w:r>
      <w:bookmarkEnd w:id="150"/>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1" w:name="_Toc7411"/>
      <w:r>
        <w:rPr>
          <w:rFonts w:hint="eastAsia" w:ascii="宋体" w:hAnsi="宋体" w:eastAsia="宋体" w:cs="宋体"/>
          <w:sz w:val="21"/>
          <w:szCs w:val="21"/>
        </w:rPr>
        <w:t>2.1.5 按合同要求组织验收。</w:t>
      </w:r>
      <w:bookmarkEnd w:id="151"/>
    </w:p>
    <w:p>
      <w:pPr>
        <w:widowControl/>
        <w:autoSpaceDE w:val="0"/>
        <w:autoSpaceDN w:val="0"/>
        <w:adjustRightInd w:val="0"/>
        <w:snapToGrid w:val="0"/>
        <w:spacing w:line="360" w:lineRule="auto"/>
        <w:ind w:firstLine="422" w:firstLineChars="200"/>
        <w:jc w:val="left"/>
        <w:outlineLvl w:val="1"/>
        <w:rPr>
          <w:rFonts w:hint="eastAsia" w:ascii="宋体" w:hAnsi="宋体" w:eastAsia="宋体" w:cs="宋体"/>
          <w:b/>
          <w:bCs/>
          <w:sz w:val="21"/>
          <w:szCs w:val="21"/>
        </w:rPr>
      </w:pPr>
      <w:bookmarkStart w:id="152" w:name="_Toc27358"/>
      <w:r>
        <w:rPr>
          <w:rFonts w:hint="eastAsia" w:ascii="宋体" w:hAnsi="宋体" w:eastAsia="宋体" w:cs="宋体"/>
          <w:b/>
          <w:bCs/>
          <w:sz w:val="21"/>
          <w:szCs w:val="21"/>
        </w:rPr>
        <w:t>2.2 乙方的权利与义务</w:t>
      </w:r>
      <w:bookmarkEnd w:id="152"/>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3" w:name="_Toc32264"/>
      <w:r>
        <w:rPr>
          <w:rFonts w:hint="eastAsia" w:ascii="宋体" w:hAnsi="宋体" w:eastAsia="宋体" w:cs="宋体"/>
          <w:sz w:val="21"/>
          <w:szCs w:val="21"/>
        </w:rPr>
        <w:t>2.2.1 乙方必须严格执行国家及行业相关法律法规、规程规范有关规定，严格按照本合同约定开展维修工作。</w:t>
      </w:r>
      <w:bookmarkEnd w:id="153"/>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4" w:name="_Toc9462"/>
      <w:r>
        <w:rPr>
          <w:rFonts w:hint="eastAsia" w:ascii="宋体" w:hAnsi="宋体" w:eastAsia="宋体" w:cs="宋体"/>
          <w:sz w:val="21"/>
          <w:szCs w:val="21"/>
        </w:rPr>
        <w:t>2.2.2 乙方应按照甲方要求制定详细的维修计划，经甲方审核后方能进行维修工作。</w:t>
      </w:r>
      <w:bookmarkEnd w:id="154"/>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5" w:name="_Toc18777"/>
      <w:r>
        <w:rPr>
          <w:rFonts w:hint="eastAsia" w:ascii="宋体" w:hAnsi="宋体" w:eastAsia="宋体" w:cs="宋体"/>
          <w:sz w:val="21"/>
          <w:szCs w:val="21"/>
        </w:rPr>
        <w:t>2.2.3 乙方维修人员应统一着装，并按有关规定配发劳保防护用品。维修过程中，乙方须采取严格的安全防护措施。</w:t>
      </w:r>
      <w:bookmarkEnd w:id="155"/>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6" w:name="_Toc8538"/>
      <w:r>
        <w:rPr>
          <w:rFonts w:hint="eastAsia" w:ascii="宋体" w:hAnsi="宋体" w:eastAsia="宋体" w:cs="宋体"/>
          <w:sz w:val="21"/>
          <w:szCs w:val="21"/>
        </w:rPr>
        <w:t>2.2.4 接到甲方通知后，按甲方要求在规定时间内响应并到达现场进行维修处理。</w:t>
      </w:r>
      <w:bookmarkEnd w:id="156"/>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7" w:name="_Toc22472"/>
      <w:r>
        <w:rPr>
          <w:rFonts w:hint="eastAsia" w:ascii="宋体" w:hAnsi="宋体" w:eastAsia="宋体" w:cs="宋体"/>
          <w:sz w:val="21"/>
          <w:szCs w:val="21"/>
        </w:rPr>
        <w:t>2.2.5 乙方须接受甲方对工期、质量、人员组成、设备、仪器、维修过程的监督。</w:t>
      </w:r>
      <w:bookmarkEnd w:id="157"/>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8" w:name="_Toc3933"/>
      <w:r>
        <w:rPr>
          <w:rFonts w:hint="eastAsia" w:ascii="宋体" w:hAnsi="宋体" w:eastAsia="宋体" w:cs="宋体"/>
          <w:sz w:val="21"/>
          <w:szCs w:val="21"/>
        </w:rPr>
        <w:t>2.2.6 乙方须积极配合行业主管部门对设备的维修、遗留问题整改等相关工作。</w:t>
      </w:r>
      <w:bookmarkEnd w:id="158"/>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9" w:name="_Toc21869"/>
      <w:r>
        <w:rPr>
          <w:rFonts w:hint="eastAsia" w:ascii="宋体" w:hAnsi="宋体" w:eastAsia="宋体" w:cs="宋体"/>
          <w:sz w:val="21"/>
          <w:szCs w:val="21"/>
        </w:rPr>
        <w:t>2.2.7 乙方应理解甲方有权根据政府要求及进度情况对工期做合理调整，工期调整后乙方不得以任何理由增加费用，乙方应充分考虑并承诺承担因工期调整所发生的相关费用。</w:t>
      </w:r>
      <w:bookmarkEnd w:id="159"/>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60" w:name="_Toc1154"/>
      <w:r>
        <w:rPr>
          <w:rFonts w:hint="eastAsia" w:ascii="宋体" w:hAnsi="宋体" w:eastAsia="宋体" w:cs="宋体"/>
          <w:sz w:val="21"/>
          <w:szCs w:val="21"/>
        </w:rPr>
        <w:t>2.2.8 乙方应按照法律法规的要求购买其工作人员的工伤保险、人身意外伤害险和其他保险，并使保险合同在合同服务期内保持有效，并承担其工作人员现场工作期间所产生的一切费用。因乙方原因导致的安全事故及损失，由乙方承担全部责任；若因此而导致甲方承担任何费用（包括但不限于诉讼费、保全费、合理的律师费等）的，乙方均应向甲方进行赔偿。</w:t>
      </w:r>
      <w:bookmarkEnd w:id="160"/>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61" w:name="_Toc23651"/>
      <w:r>
        <w:rPr>
          <w:rFonts w:hint="eastAsia" w:ascii="宋体" w:hAnsi="宋体" w:eastAsia="宋体" w:cs="宋体"/>
          <w:sz w:val="21"/>
          <w:szCs w:val="21"/>
        </w:rPr>
        <w:t>2.2.9 乙方应根据甲方需要对维修设备的使用维护、保养等提供培训和咨询服务。</w:t>
      </w:r>
      <w:bookmarkEnd w:id="161"/>
    </w:p>
    <w:p>
      <w:pPr>
        <w:pStyle w:val="2"/>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2.2.10乙方维修人员应取得相应职业技能资格证，方可安排上岗作业。</w:t>
      </w:r>
    </w:p>
    <w:p>
      <w:pPr>
        <w:pStyle w:val="2"/>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2.2.11 如需提供履约担保，则乙方应确保提供的银行履约保函持续有效，在银行履约保函到期前1个月内办理好续保手续，并向甲方提供新的有效的银行履约保函。</w:t>
      </w:r>
    </w:p>
    <w:p>
      <w:pPr>
        <w:tabs>
          <w:tab w:val="left" w:pos="540"/>
        </w:tabs>
        <w:adjustRightInd w:val="0"/>
        <w:snapToGrid w:val="0"/>
        <w:spacing w:line="360" w:lineRule="auto"/>
        <w:ind w:firstLine="422" w:firstLineChars="200"/>
        <w:jc w:val="left"/>
        <w:outlineLvl w:val="1"/>
        <w:rPr>
          <w:rFonts w:hint="eastAsia" w:ascii="宋体" w:hAnsi="宋体" w:eastAsia="宋体" w:cs="宋体"/>
          <w:b/>
          <w:sz w:val="21"/>
          <w:szCs w:val="21"/>
        </w:rPr>
      </w:pPr>
      <w:bookmarkStart w:id="162" w:name="_Toc10897"/>
      <w:r>
        <w:rPr>
          <w:rFonts w:hint="eastAsia" w:ascii="宋体" w:hAnsi="宋体" w:eastAsia="宋体" w:cs="宋体"/>
          <w:b/>
          <w:snapToGrid w:val="0"/>
          <w:sz w:val="21"/>
          <w:szCs w:val="21"/>
        </w:rPr>
        <w:t>3.</w:t>
      </w:r>
      <w:r>
        <w:rPr>
          <w:rFonts w:hint="eastAsia" w:ascii="宋体" w:hAnsi="宋体" w:eastAsia="宋体" w:cs="宋体"/>
          <w:b/>
          <w:sz w:val="21"/>
          <w:szCs w:val="21"/>
        </w:rPr>
        <w:t>履约担保</w:t>
      </w:r>
      <w:bookmarkEnd w:id="162"/>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3.1 乙方</w:t>
      </w:r>
      <w:r>
        <w:rPr>
          <w:rFonts w:hint="eastAsia" w:ascii="宋体" w:hAnsi="宋体" w:eastAsia="宋体" w:cs="宋体"/>
          <w:kern w:val="0"/>
          <w:sz w:val="21"/>
          <w:szCs w:val="21"/>
          <w:u w:val="single"/>
          <w:lang w:eastAsia="zh-CN"/>
        </w:rPr>
        <w:t>☑</w:t>
      </w:r>
      <w:r>
        <w:rPr>
          <w:rFonts w:hint="eastAsia" w:ascii="宋体" w:hAnsi="宋体" w:eastAsia="宋体" w:cs="宋体"/>
          <w:kern w:val="0"/>
          <w:sz w:val="21"/>
          <w:szCs w:val="21"/>
          <w:u w:val="single"/>
        </w:rPr>
        <w:t>需要</w:t>
      </w:r>
      <w:r>
        <w:rPr>
          <w:rFonts w:hint="eastAsia" w:ascii="宋体" w:hAnsi="宋体" w:eastAsia="宋体" w:cs="宋体"/>
          <w:kern w:val="0"/>
          <w:sz w:val="21"/>
          <w:szCs w:val="21"/>
        </w:rPr>
        <w:t>/</w:t>
      </w:r>
      <w:r>
        <w:rPr>
          <w:rFonts w:hint="eastAsia" w:ascii="宋体" w:hAnsi="宋体" w:eastAsia="宋体" w:cs="宋体"/>
          <w:kern w:val="0"/>
          <w:sz w:val="21"/>
          <w:szCs w:val="21"/>
          <w:u w:val="single"/>
        </w:rPr>
        <w:t>□不需要</w:t>
      </w:r>
      <w:r>
        <w:rPr>
          <w:rFonts w:hint="eastAsia" w:ascii="宋体" w:hAnsi="宋体" w:eastAsia="宋体" w:cs="宋体"/>
          <w:kern w:val="0"/>
          <w:sz w:val="21"/>
          <w:szCs w:val="21"/>
        </w:rPr>
        <w:t>提供履约担保。</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 如需要乙方提供履约担保，则：</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3.2.1履约担保用于补偿甲方因乙方不能完成其合同义务而蒙受的损失，是办理投标担保（如有）退还手续及合同价款支付手续的必要条件之一。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3.2.2 乙方提供履约担保的形式、金额及期限可采用以下两种方式之一：</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3.2.3如需提供履约担保，则乙方应确保提供的银行履约保函持续有效，在银行履约保函到期前1个月内办理好续保手续，并向甲方提供新的有效的银行履约保函。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3.2.5 在乙方完成其合同义务包括任何保证义务后，甲方将把履约担保无息退还乙方。</w:t>
      </w:r>
    </w:p>
    <w:bookmarkEnd w:id="109"/>
    <w:bookmarkEnd w:id="110"/>
    <w:bookmarkEnd w:id="111"/>
    <w:bookmarkEnd w:id="112"/>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63" w:name="_Toc28420"/>
      <w:bookmarkStart w:id="164" w:name="_Toc13504"/>
      <w:r>
        <w:rPr>
          <w:rFonts w:hint="eastAsia" w:ascii="宋体" w:hAnsi="宋体" w:eastAsia="宋体" w:cs="宋体"/>
          <w:kern w:val="0"/>
          <w:sz w:val="21"/>
          <w:szCs w:val="21"/>
        </w:rPr>
        <w:t>4．价款支付</w:t>
      </w:r>
      <w:bookmarkEnd w:id="163"/>
    </w:p>
    <w:bookmarkEnd w:id="164"/>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bookmarkStart w:id="165" w:name="_Toc28510"/>
      <w:bookmarkStart w:id="166" w:name="_Toc30378"/>
      <w:r>
        <w:rPr>
          <w:rFonts w:hint="eastAsia" w:ascii="宋体" w:hAnsi="宋体" w:eastAsia="宋体" w:cs="宋体"/>
          <w:sz w:val="21"/>
          <w:szCs w:val="21"/>
        </w:rPr>
        <w:t>4.1.1本项目支付方式采用以下</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lang w:eastAsia="zh-CN"/>
        </w:rPr>
        <w:t>）</w:t>
      </w:r>
      <w:r>
        <w:rPr>
          <w:rFonts w:hint="eastAsia" w:ascii="宋体" w:hAnsi="宋体" w:eastAsia="宋体" w:cs="宋体"/>
          <w:sz w:val="21"/>
          <w:szCs w:val="21"/>
        </w:rPr>
        <w:t>方式。</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（1）一次支付：</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乙方按合同约定完成全部工作，且</w:t>
      </w:r>
      <w:r>
        <w:rPr>
          <w:rFonts w:hint="eastAsia" w:ascii="宋体" w:hAnsi="宋体" w:eastAsia="宋体" w:cs="宋体"/>
          <w:sz w:val="21"/>
          <w:szCs w:val="21"/>
          <w:u w:val="single"/>
        </w:rPr>
        <w:t>□本项目的合同价格（即结算价格）经长沙市政府相关职能部门或长沙市轨道交通集团有限公司授权的单位审定</w:t>
      </w:r>
      <w:r>
        <w:rPr>
          <w:rFonts w:hint="eastAsia" w:ascii="宋体" w:hAnsi="宋体" w:eastAsia="宋体" w:cs="宋体"/>
          <w:sz w:val="21"/>
          <w:szCs w:val="21"/>
        </w:rPr>
        <w:t>/</w:t>
      </w:r>
      <w:r>
        <w:rPr>
          <w:rFonts w:hint="eastAsia" w:ascii="宋体" w:hAnsi="宋体" w:eastAsia="宋体" w:cs="宋体"/>
          <w:sz w:val="21"/>
          <w:szCs w:val="21"/>
          <w:u w:val="single"/>
        </w:rPr>
        <w:t>□本项目履约验收合格</w:t>
      </w:r>
      <w:r>
        <w:rPr>
          <w:rFonts w:hint="eastAsia" w:ascii="宋体" w:hAnsi="宋体" w:eastAsia="宋体" w:cs="宋体"/>
          <w:sz w:val="21"/>
          <w:szCs w:val="21"/>
        </w:rPr>
        <w:t>，支付至合同价格的100%。</w:t>
      </w:r>
    </w:p>
    <w:p>
      <w:pPr>
        <w:adjustRightInd w:val="0"/>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（2）分期支付：</w:t>
      </w:r>
    </w:p>
    <w:p>
      <w:pPr>
        <w:adjustRightInd w:val="0"/>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1）进度款支付：进度款按</w:t>
      </w:r>
      <w:r>
        <w:rPr>
          <w:rFonts w:hint="eastAsia" w:ascii="宋体" w:hAnsi="宋体" w:eastAsia="宋体" w:cs="宋体"/>
          <w:sz w:val="21"/>
          <w:szCs w:val="21"/>
          <w:u w:val="single"/>
        </w:rPr>
        <w:t>□年度</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半年□季度□月</w:t>
      </w:r>
      <w:r>
        <w:rPr>
          <w:rFonts w:hint="eastAsia" w:ascii="宋体" w:hAnsi="宋体" w:eastAsia="宋体" w:cs="宋体"/>
          <w:sz w:val="21"/>
          <w:szCs w:val="21"/>
        </w:rPr>
        <w:t>支付，每个付款周期的支付额度为计量金额（即本次付款周期内完成的合格工作量*合同单价）并综合考核结果后金额的70%。</w:t>
      </w:r>
    </w:p>
    <w:p>
      <w:pPr>
        <w:adjustRightInd w:val="0"/>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2）乙方按合同约定完成全部工作，且</w:t>
      </w:r>
      <w:r>
        <w:rPr>
          <w:rFonts w:hint="eastAsia" w:ascii="宋体" w:hAnsi="宋体" w:eastAsia="宋体" w:cs="宋体"/>
          <w:sz w:val="21"/>
          <w:szCs w:val="21"/>
          <w:u w:val="single"/>
        </w:rPr>
        <w:t>□本项目的合同价格（即结算价格）经长沙市政府相关职能部门或长沙市轨道交通集团有限公司授权的单位审定</w:t>
      </w:r>
      <w:r>
        <w:rPr>
          <w:rFonts w:hint="eastAsia" w:ascii="宋体" w:hAnsi="宋体" w:eastAsia="宋体" w:cs="宋体"/>
          <w:sz w:val="21"/>
          <w:szCs w:val="21"/>
        </w:rPr>
        <w:t>/</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本项目履约验收合格</w:t>
      </w:r>
      <w:r>
        <w:rPr>
          <w:rFonts w:hint="eastAsia" w:ascii="宋体" w:hAnsi="宋体" w:eastAsia="宋体" w:cs="宋体"/>
          <w:sz w:val="21"/>
          <w:szCs w:val="21"/>
        </w:rPr>
        <w:t>，支付至合同价格的100%。</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4.1.2 支付时间</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上述款项在甲方收到乙方的经甲方审批同意支付申请及增值税专用发票、有效期内的履约担保复印件等相关资料后28个工作日内支付。</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67" w:name="_Toc17256"/>
      <w:r>
        <w:rPr>
          <w:rFonts w:hint="eastAsia" w:ascii="宋体" w:hAnsi="宋体" w:eastAsia="宋体" w:cs="宋体"/>
          <w:kern w:val="0"/>
          <w:sz w:val="21"/>
          <w:szCs w:val="21"/>
        </w:rPr>
        <w:t>5．价格调整</w:t>
      </w:r>
      <w:bookmarkEnd w:id="167"/>
      <w:bookmarkStart w:id="168" w:name="_Toc488132090"/>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i/>
          <w:kern w:val="0"/>
          <w:sz w:val="21"/>
          <w:szCs w:val="21"/>
        </w:rPr>
      </w:pPr>
      <w:bookmarkStart w:id="169" w:name="_Toc5365"/>
      <w:r>
        <w:rPr>
          <w:rFonts w:hint="eastAsia" w:ascii="宋体" w:hAnsi="宋体" w:eastAsia="宋体" w:cs="宋体"/>
          <w:b w:val="0"/>
          <w:kern w:val="0"/>
          <w:sz w:val="21"/>
          <w:szCs w:val="21"/>
        </w:rPr>
        <w:t>5.1价格调整是指合同签订生效后因项目需要引起的工作量增减而导致的价格调整。</w:t>
      </w:r>
      <w:bookmarkEnd w:id="169"/>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5.2价格调整的计价：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（1）增减的工作量对应项目在签约合同价清单中已有相同项目单价的，则按该相同项目综合单价计价。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（2）增减的工作量对应项目在签约合同价清单中已有类似项目单价的，则按该类似项目综合单价进行调整换算再计价。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（3）增减的工作量对应项目在签约合同价清单中没有类似项目单价的，则由乙方按控制价编制原则或报价编制原则编制综合单价报甲方审批，并按审批的综合单价计价。</w:t>
      </w:r>
    </w:p>
    <w:bookmarkEnd w:id="168"/>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70" w:name="_Toc22606"/>
      <w:r>
        <w:rPr>
          <w:rFonts w:hint="eastAsia" w:ascii="宋体" w:hAnsi="宋体" w:eastAsia="宋体" w:cs="宋体"/>
          <w:kern w:val="0"/>
          <w:sz w:val="21"/>
          <w:szCs w:val="21"/>
        </w:rPr>
        <w:t>6.运输</w:t>
      </w:r>
      <w:bookmarkEnd w:id="170"/>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 设备需运离现场进行维修的，乙方应保证被维修设备在运输、装卸过程中完好无损，包装应适应于远距离运输、防潮、防震、防锈和防野蛮装卸等要求，以确保被维修设备安全无损地运抵指定现场。</w:t>
      </w:r>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sz w:val="21"/>
          <w:szCs w:val="21"/>
        </w:rPr>
      </w:pPr>
      <w:bookmarkStart w:id="171" w:name="_Toc14776"/>
      <w:r>
        <w:rPr>
          <w:rFonts w:hint="eastAsia" w:ascii="宋体" w:hAnsi="宋体" w:eastAsia="宋体" w:cs="宋体"/>
          <w:b w:val="0"/>
          <w:sz w:val="21"/>
          <w:szCs w:val="21"/>
        </w:rPr>
        <w:t>6.2 乙方在接收被维修设备后，运输、装卸、存放及交货过程中的丢失或损坏等所有风险均由乙方承担。</w:t>
      </w:r>
      <w:bookmarkEnd w:id="171"/>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72" w:name="_Toc22729"/>
      <w:bookmarkStart w:id="173" w:name="_Toc28160"/>
      <w:bookmarkStart w:id="174" w:name="_Toc16499"/>
      <w:r>
        <w:rPr>
          <w:rFonts w:hint="eastAsia" w:ascii="宋体" w:hAnsi="宋体" w:eastAsia="宋体" w:cs="宋体"/>
          <w:kern w:val="0"/>
          <w:sz w:val="21"/>
          <w:szCs w:val="21"/>
        </w:rPr>
        <w:t>7.材料设备供应</w:t>
      </w:r>
      <w:bookmarkEnd w:id="172"/>
      <w:bookmarkEnd w:id="173"/>
      <w:bookmarkEnd w:id="174"/>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7.1 维修所需的材料设备必须沿用设备原品牌或合同约定的满足技术要求的备件及材料，如确实需更换其他品牌备件及材料必须经甲方书面同意后才能使用。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7.2 乙方必须配备足够的用于维修的工器具，所使用的测试仪器必须定期进行检验，检验合格的产品才能使用。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7.3 无论维修所需的材料设备（包括但不限于备品备件、维修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本项目的情况，均由乙方承担相应的责任。</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7.4 所有维修更换的损坏件，应交给甲方回收报废。</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75" w:name="_Toc8346"/>
      <w:r>
        <w:rPr>
          <w:rFonts w:hint="eastAsia" w:ascii="宋体" w:hAnsi="宋体" w:eastAsia="宋体" w:cs="宋体"/>
          <w:kern w:val="0"/>
          <w:sz w:val="21"/>
          <w:szCs w:val="21"/>
        </w:rPr>
        <w:t>8.违约责任</w:t>
      </w:r>
      <w:bookmarkEnd w:id="175"/>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sz w:val="21"/>
          <w:szCs w:val="21"/>
        </w:rPr>
        <w:t>违约责任在用户需求书/技术规格书中明确的，按用户需求书/技术规格书执行，无明确约定的，按下述条款执行：</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8.1 本合同生效后，因甲方原因要求解除合同，当乙方实际完成工作量应付费用大于已付费用时，不足部分由甲方补齐。</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8.2 本合同生效后，</w:t>
      </w:r>
      <w:r>
        <w:rPr>
          <w:rFonts w:hint="eastAsia" w:ascii="宋体" w:hAnsi="宋体" w:eastAsia="宋体" w:cs="宋体"/>
          <w:sz w:val="21"/>
          <w:szCs w:val="21"/>
        </w:rPr>
        <w:t>因乙方原因提前终止合同的，乙方应承担由此给甲方造成的损失，甲方有权没收乙方所交履约担保（如有），同时甲方有权要求乙方按签约合同价的20%交纳违约金</w:t>
      </w:r>
      <w:r>
        <w:rPr>
          <w:rFonts w:hint="eastAsia" w:ascii="宋体" w:hAnsi="宋体" w:eastAsia="宋体" w:cs="宋体"/>
          <w:kern w:val="2"/>
          <w:sz w:val="21"/>
          <w:szCs w:val="21"/>
        </w:rPr>
        <w:t>。</w:t>
      </w:r>
    </w:p>
    <w:bookmarkEnd w:id="165"/>
    <w:bookmarkEnd w:id="166"/>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8.3 乙方提供的服务内容不符合合同约定的，乙方应按甲方要求进行整改并承担整改所需的费用，同时，甲方有权要求乙方交纳1000元/次的违约金；乙方违约行为给甲方造成损失，违约金不足以补偿的，乙方还应承担相应的赔偿责任。</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8.4 非甲方原因导致未按合同约定时间完成服务，每逾期一天，甲方有权要求乙方交纳1000元/天的违约金，且甲方有权要求乙方限期纠正其违约行为，并采取补救措施以确保项目进度符合合同约定，采取补救措施的费用由乙方承担。</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8.5未经甲方书面同意，乙方在设备维修过程中使用不符合合同要求的备件和材料的，乙方应立即按甲方要求进行整改，且乙方须支付5000元/次的违约金。由此给甲方造成的损失，乙方应承担赔偿责任。</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8.6 因乙方原因导致发生人员安全事故的，由乙方承担全部责任及由此而产生的一切费用。</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8.7 乙方接到甲方设备故障（缺陷）通知后，未按甲方要求的时间响应或到达现场进行维修处理的，乙方须支付1000元/次的违约金。</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8.8 乙方在接到甲方发出的违约通知后，应按通知要求交纳违约金；否则，甲方有权暂停合同价款支付或从乙方的合同价款中扣除相应的违约金。</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rPr>
        <w:t xml:space="preserve">8.9 </w:t>
      </w:r>
      <w:r>
        <w:rPr>
          <w:rFonts w:hint="eastAsia" w:ascii="宋体" w:hAnsi="宋体" w:eastAsia="宋体" w:cs="宋体"/>
          <w:sz w:val="21"/>
          <w:szCs w:val="21"/>
        </w:rPr>
        <w:t>乙方应以现金或转账方式交纳违约金，甲方根据税法相关规定开具收款收据或增值税发票。</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8.10因乙方提供的发票导致甲方被税务部门追究相关法律责任的，乙方应承担由此给甲方造成的损失（包括但不限于未抵扣的税费、滞纳金）。</w:t>
      </w:r>
    </w:p>
    <w:p>
      <w:pPr>
        <w:pStyle w:val="4"/>
        <w:keepNext w:val="0"/>
        <w:keepLines w:val="0"/>
        <w:snapToGrid w:val="0"/>
        <w:spacing w:line="360" w:lineRule="auto"/>
        <w:ind w:firstLine="422" w:firstLineChars="200"/>
        <w:rPr>
          <w:rFonts w:hint="eastAsia" w:ascii="宋体" w:hAnsi="宋体" w:eastAsia="宋体" w:cs="宋体"/>
          <w:sz w:val="21"/>
          <w:szCs w:val="21"/>
        </w:rPr>
      </w:pPr>
      <w:bookmarkStart w:id="176" w:name="_Toc19788"/>
      <w:r>
        <w:rPr>
          <w:rFonts w:hint="eastAsia" w:ascii="宋体" w:hAnsi="宋体" w:eastAsia="宋体" w:cs="宋体"/>
          <w:sz w:val="21"/>
          <w:szCs w:val="21"/>
        </w:rPr>
        <w:t>9、不可抗力</w:t>
      </w:r>
      <w:bookmarkEnd w:id="176"/>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77" w:name="_Toc8499"/>
      <w:r>
        <w:rPr>
          <w:rFonts w:hint="eastAsia" w:ascii="宋体" w:hAnsi="宋体" w:eastAsia="宋体" w:cs="宋体"/>
          <w:b w:val="0"/>
          <w:bCs/>
          <w:kern w:val="0"/>
          <w:sz w:val="21"/>
          <w:szCs w:val="21"/>
          <w:shd w:val="clear" w:color="auto" w:fill="FFFFFF"/>
        </w:rPr>
        <w:t>9.1不可抗力的确认</w:t>
      </w:r>
      <w:bookmarkEnd w:id="177"/>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78" w:name="_Toc9276"/>
      <w:r>
        <w:rPr>
          <w:rFonts w:hint="eastAsia" w:ascii="宋体" w:hAnsi="宋体" w:eastAsia="宋体" w:cs="宋体"/>
          <w:b w:val="0"/>
          <w:bCs/>
          <w:kern w:val="0"/>
          <w:sz w:val="21"/>
          <w:szCs w:val="21"/>
          <w:shd w:val="clear" w:color="auto" w:fill="FFFFFF"/>
        </w:rPr>
        <w:t>不可抗力发生后，合同当事人应收集证明不可抗力发生及不可抗力造成损失的证据，并及时认真统计所造成的损失。合同当事人对是否属于不可抗力或其损失发生争议时，按第12条〔争议解决〕的约定处理。</w:t>
      </w:r>
      <w:bookmarkEnd w:id="178"/>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79" w:name="_Toc14550"/>
      <w:r>
        <w:rPr>
          <w:rFonts w:hint="eastAsia" w:ascii="宋体" w:hAnsi="宋体" w:eastAsia="宋体" w:cs="宋体"/>
          <w:b w:val="0"/>
          <w:bCs/>
          <w:kern w:val="0"/>
          <w:sz w:val="21"/>
          <w:szCs w:val="21"/>
          <w:shd w:val="clear" w:color="auto" w:fill="FFFFFF"/>
        </w:rPr>
        <w:t>9.2不可抗力的通知</w:t>
      </w:r>
      <w:bookmarkEnd w:id="179"/>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0" w:name="_Toc5139"/>
      <w:r>
        <w:rPr>
          <w:rFonts w:hint="eastAsia" w:ascii="宋体" w:hAnsi="宋体" w:eastAsia="宋体" w:cs="宋体"/>
          <w:b w:val="0"/>
          <w:bCs/>
          <w:kern w:val="0"/>
          <w:sz w:val="21"/>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bookmarkEnd w:id="180"/>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1" w:name="_Toc8362"/>
      <w:r>
        <w:rPr>
          <w:rFonts w:hint="eastAsia" w:ascii="宋体" w:hAnsi="宋体" w:eastAsia="宋体" w:cs="宋体"/>
          <w:b w:val="0"/>
          <w:bCs/>
          <w:kern w:val="0"/>
          <w:sz w:val="21"/>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bookmarkEnd w:id="181"/>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2" w:name="_Toc9135"/>
      <w:r>
        <w:rPr>
          <w:rFonts w:hint="eastAsia" w:ascii="宋体" w:hAnsi="宋体" w:eastAsia="宋体" w:cs="宋体"/>
          <w:b w:val="0"/>
          <w:bCs/>
          <w:kern w:val="0"/>
          <w:sz w:val="21"/>
          <w:szCs w:val="21"/>
          <w:shd w:val="clear" w:color="auto" w:fill="FFFFFF"/>
        </w:rPr>
        <w:t>9.3不可抗力后果的承担</w:t>
      </w:r>
      <w:bookmarkEnd w:id="182"/>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3" w:name="_Toc21813"/>
      <w:r>
        <w:rPr>
          <w:rFonts w:hint="eastAsia" w:ascii="宋体" w:hAnsi="宋体" w:eastAsia="宋体" w:cs="宋体"/>
          <w:b w:val="0"/>
          <w:bCs/>
          <w:kern w:val="0"/>
          <w:sz w:val="21"/>
          <w:szCs w:val="21"/>
          <w:shd w:val="clear" w:color="auto" w:fill="FFFFFF"/>
        </w:rPr>
        <w:t>不可抗力引起的后果及造成的损失由合同当事人按照法律规定及合同约定各自承担。不可抗力发生前已完成的工作应当按照合同约定进行支付。</w:t>
      </w:r>
      <w:bookmarkEnd w:id="183"/>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4" w:name="_Toc12817"/>
      <w:r>
        <w:rPr>
          <w:rFonts w:hint="eastAsia" w:ascii="宋体" w:hAnsi="宋体" w:eastAsia="宋体" w:cs="宋体"/>
          <w:b w:val="0"/>
          <w:bCs/>
          <w:kern w:val="0"/>
          <w:sz w:val="21"/>
          <w:szCs w:val="21"/>
          <w:shd w:val="clear" w:color="auto" w:fill="FFFFFF"/>
        </w:rPr>
        <w:t>不可抗力发生后，合同当事人均应采取措施尽量避免和减少损失的扩大，任何一方当事人没有采取有效措施导致损失扩大的，应对扩大的损失承担责任。</w:t>
      </w:r>
      <w:bookmarkEnd w:id="184"/>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rPr>
      </w:pPr>
      <w:bookmarkStart w:id="185" w:name="_Toc9127"/>
      <w:r>
        <w:rPr>
          <w:rFonts w:hint="eastAsia" w:ascii="宋体" w:hAnsi="宋体" w:eastAsia="宋体" w:cs="宋体"/>
          <w:b w:val="0"/>
          <w:bCs/>
          <w:kern w:val="0"/>
          <w:sz w:val="21"/>
          <w:szCs w:val="21"/>
          <w:shd w:val="clear" w:color="auto" w:fill="FFFFFF"/>
        </w:rPr>
        <w:t>因合同一方迟延履行合同义务，在迟延履行期间遭遇不可抗力的，不免除其违约责任。</w:t>
      </w:r>
      <w:bookmarkEnd w:id="185"/>
    </w:p>
    <w:p>
      <w:pPr>
        <w:tabs>
          <w:tab w:val="left" w:pos="540"/>
          <w:tab w:val="left" w:pos="720"/>
        </w:tabs>
        <w:adjustRightInd w:val="0"/>
        <w:snapToGrid w:val="0"/>
        <w:spacing w:line="360" w:lineRule="auto"/>
        <w:ind w:firstLine="422" w:firstLineChars="200"/>
        <w:jc w:val="left"/>
        <w:outlineLvl w:val="1"/>
        <w:rPr>
          <w:rFonts w:hint="eastAsia" w:ascii="宋体" w:hAnsi="宋体" w:eastAsia="宋体" w:cs="宋体"/>
          <w:b/>
          <w:kern w:val="0"/>
          <w:sz w:val="21"/>
          <w:szCs w:val="21"/>
        </w:rPr>
      </w:pPr>
      <w:bookmarkStart w:id="186" w:name="_Toc24852"/>
      <w:r>
        <w:rPr>
          <w:rFonts w:hint="eastAsia" w:ascii="宋体" w:hAnsi="宋体" w:eastAsia="宋体" w:cs="宋体"/>
          <w:b/>
          <w:kern w:val="0"/>
          <w:sz w:val="21"/>
          <w:szCs w:val="21"/>
        </w:rPr>
        <w:t>10、合同终止</w:t>
      </w:r>
      <w:bookmarkEnd w:id="186"/>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10.1 甲方、乙方履行合同全部义务，合同价款支付完毕，本合同即告终止。</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10.2 合同的权利义务终止后，合同当事人应遵循诚实信用原则，履行通知、协助和保密等义务。</w:t>
      </w:r>
    </w:p>
    <w:p>
      <w:pPr>
        <w:pStyle w:val="41"/>
        <w:snapToGrid w:val="0"/>
        <w:spacing w:before="0" w:beforeAutospacing="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11、合同解除</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 有下列情形之一的，合同当事人一方或双方可以解除合同：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（1）乙方将本合同约定的工作全部或部分转包给他人，甲方有权解除合同；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（2）因不可抗力致使合同无法履行；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（3）因一方违约致使合同无法实际履行或实际履行已无必要；</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（4）违约金总额超过合同签约价的20%，甲方有权解除合同。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11.2 乙方因违约而依据本合同相关条款受到违约金处罚后，相关违约行为仍持续或未停止、未改正的，甲方有权解除合同。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11.3 任何一方提出解除合同的，应提前15天书面通知对方，违约方应赔偿由此给守约方造成的直接损失和间接损失。因不可抗力导致的合同解除，双方各自承担自身的损失。</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11.4 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11.5 合同解除后，本合同约定的有关结算、争议解决方式的条款仍然有效。</w:t>
      </w:r>
    </w:p>
    <w:p>
      <w:pPr>
        <w:pStyle w:val="41"/>
        <w:snapToGrid w:val="0"/>
        <w:spacing w:before="0" w:beforeAutospacing="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12、争议解决</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sz w:val="21"/>
          <w:szCs w:val="21"/>
          <w:u w:val="single"/>
        </w:rPr>
        <w:t>第（2）种</w:t>
      </w:r>
      <w:r>
        <w:rPr>
          <w:rFonts w:hint="eastAsia" w:ascii="宋体" w:hAnsi="宋体" w:eastAsia="宋体" w:cs="宋体"/>
          <w:sz w:val="21"/>
          <w:szCs w:val="21"/>
        </w:rPr>
        <w:t>方式解决：</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（1）提交</w:t>
      </w:r>
      <w:r>
        <w:rPr>
          <w:rFonts w:hint="eastAsia" w:ascii="宋体" w:hAnsi="宋体" w:eastAsia="宋体" w:cs="宋体"/>
          <w:sz w:val="21"/>
          <w:szCs w:val="21"/>
          <w:u w:val="single"/>
        </w:rPr>
        <w:t>长沙</w:t>
      </w:r>
      <w:r>
        <w:rPr>
          <w:rFonts w:hint="eastAsia" w:ascii="宋体" w:hAnsi="宋体" w:eastAsia="宋体" w:cs="宋体"/>
          <w:sz w:val="21"/>
          <w:szCs w:val="21"/>
        </w:rPr>
        <w:t>仲裁委员会仲裁；</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（2）依法向</w:t>
      </w:r>
      <w:r>
        <w:rPr>
          <w:rFonts w:hint="eastAsia" w:ascii="宋体" w:hAnsi="宋体" w:eastAsia="宋体" w:cs="宋体"/>
          <w:sz w:val="21"/>
          <w:szCs w:val="21"/>
          <w:u w:val="single"/>
        </w:rPr>
        <w:t>甲方所在地</w:t>
      </w:r>
      <w:r>
        <w:rPr>
          <w:rFonts w:hint="eastAsia" w:ascii="宋体" w:hAnsi="宋体" w:eastAsia="宋体" w:cs="宋体"/>
          <w:sz w:val="21"/>
          <w:szCs w:val="21"/>
        </w:rPr>
        <w:t>人民法院起诉。</w:t>
      </w:r>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13、通知</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13.1本合同一方给另一方的通知均应采用书面形式，传真或快递送到本合同中规定的对方的地址和办理签收手续。</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13.2通知以送到之日或通知书中规定的生效之日起生效，两者中以较迟之日为准。</w:t>
      </w:r>
    </w:p>
    <w:p>
      <w:pPr>
        <w:pStyle w:val="41"/>
        <w:snapToGrid w:val="0"/>
        <w:spacing w:before="0" w:beforeAutospacing="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14、其他约定</w:t>
      </w:r>
    </w:p>
    <w:p>
      <w:pPr>
        <w:widowControl/>
        <w:tabs>
          <w:tab w:val="left" w:pos="1248"/>
        </w:tabs>
        <w:adjustRightInd w:val="0"/>
        <w:snapToGrid w:val="0"/>
        <w:spacing w:line="360" w:lineRule="auto"/>
        <w:ind w:firstLine="420" w:firstLineChars="200"/>
        <w:rPr>
          <w:rFonts w:hint="eastAsia" w:ascii="宋体" w:hAnsi="宋体" w:eastAsia="宋体" w:cs="宋体"/>
          <w:bCs/>
          <w:sz w:val="21"/>
          <w:szCs w:val="21"/>
          <w:highlight w:val="none"/>
          <w:u w:val="single"/>
          <w:lang w:val="en-US" w:eastAsia="zh-CN"/>
        </w:rPr>
      </w:pPr>
      <w:r>
        <w:rPr>
          <w:rFonts w:hint="eastAsia" w:ascii="宋体" w:hAnsi="宋体" w:eastAsia="宋体" w:cs="宋体"/>
          <w:sz w:val="21"/>
          <w:szCs w:val="21"/>
        </w:rPr>
        <w:t>甲、乙双方特别约定事项</w:t>
      </w:r>
      <w:r>
        <w:rPr>
          <w:rFonts w:hint="eastAsia" w:ascii="宋体" w:hAnsi="宋体" w:eastAsia="宋体" w:cs="宋体"/>
          <w:b/>
          <w:sz w:val="21"/>
          <w:szCs w:val="21"/>
        </w:rPr>
        <w:t>（本条约定与本合同其他约定不一致时，以本条为准）</w:t>
      </w:r>
      <w:r>
        <w:rPr>
          <w:rFonts w:hint="eastAsia" w:ascii="宋体" w:hAnsi="宋体" w:eastAsia="宋体" w:cs="宋体"/>
          <w:sz w:val="21"/>
          <w:szCs w:val="21"/>
        </w:rPr>
        <w:t>：</w:t>
      </w:r>
      <w:bookmarkStart w:id="187" w:name="_Toc501718838"/>
      <w:bookmarkStart w:id="188" w:name="_Toc501718835"/>
      <w:r>
        <w:rPr>
          <w:rFonts w:hint="eastAsia" w:ascii="宋体" w:hAnsi="宋体" w:eastAsia="宋体" w:cs="宋体"/>
          <w:bCs/>
          <w:sz w:val="21"/>
          <w:szCs w:val="21"/>
          <w:highlight w:val="none"/>
          <w:u w:val="single"/>
          <w:lang w:val="en-US" w:eastAsia="zh-CN"/>
        </w:rPr>
        <w:t>1.本合同甲方（“长沙市轨道交通一号线建设发展有限公司”、“长沙市轨道交通运营有限公司”、“长沙市轨道交通三号线建设发展有限公司”、“长沙市轨道交通四号线建设发展有限公司”、“长沙市轨道交通五号线建设发展有限公司”） 根据1、2、3、4、5号线实际清单各自承担资金的收付、发票开具，各甲方对应向乙方开具发票事宜互不承担连带责任。</w:t>
      </w:r>
    </w:p>
    <w:p>
      <w:pPr>
        <w:widowControl/>
        <w:tabs>
          <w:tab w:val="left" w:pos="1248"/>
        </w:tabs>
        <w:adjustRightInd w:val="0"/>
        <w:snapToGrid w:val="0"/>
        <w:spacing w:line="360" w:lineRule="auto"/>
        <w:ind w:firstLine="420" w:firstLineChars="200"/>
        <w:rPr>
          <w:rFonts w:hint="eastAsia" w:ascii="宋体" w:hAnsi="宋体" w:eastAsia="宋体" w:cs="宋体"/>
          <w:bCs/>
          <w:sz w:val="21"/>
          <w:szCs w:val="21"/>
          <w:highlight w:val="none"/>
          <w:u w:val="single"/>
          <w:lang w:val="en-US" w:eastAsia="zh-CN"/>
        </w:rPr>
      </w:pPr>
      <w:r>
        <w:rPr>
          <w:rFonts w:hint="eastAsia" w:ascii="宋体" w:hAnsi="宋体" w:eastAsia="宋体" w:cs="宋体"/>
          <w:bCs/>
          <w:sz w:val="21"/>
          <w:szCs w:val="21"/>
          <w:highlight w:val="none"/>
          <w:u w:val="single"/>
          <w:lang w:val="en-US" w:eastAsia="zh-CN"/>
        </w:rPr>
        <w:t xml:space="preserve">2.根据甲方需要，本合同执行过程中，甲方均使用合同章向乙方出具通知、函件等文件，甲方对使用合同章向乙方所发通知、函件等文件均予以认可。  </w:t>
      </w:r>
    </w:p>
    <w:p>
      <w:pPr>
        <w:snapToGrid w:val="0"/>
        <w:spacing w:line="360" w:lineRule="auto"/>
        <w:ind w:firstLine="480"/>
        <w:rPr>
          <w:rFonts w:hint="eastAsia" w:ascii="宋体" w:hAnsi="宋体" w:eastAsia="宋体" w:cs="宋体"/>
          <w:b/>
          <w:bCs/>
          <w:sz w:val="21"/>
          <w:szCs w:val="21"/>
          <w:u w:val="single"/>
        </w:rPr>
        <w:sectPr>
          <w:footerReference r:id="rId10" w:type="default"/>
          <w:footerReference r:id="rId11" w:type="even"/>
          <w:pgSz w:w="11906" w:h="16838"/>
          <w:pgMar w:top="1440" w:right="1800" w:bottom="1440" w:left="1800" w:header="851" w:footer="992" w:gutter="0"/>
          <w:cols w:space="720" w:num="1"/>
          <w:docGrid w:type="lines" w:linePitch="312" w:charSpace="0"/>
        </w:sectPr>
      </w:pPr>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189" w:name="_Toc12846"/>
      <w:r>
        <w:rPr>
          <w:rFonts w:hint="eastAsia" w:ascii="宋体" w:hAnsi="宋体" w:eastAsia="宋体" w:cs="宋体"/>
          <w:b/>
          <w:bCs/>
          <w:kern w:val="0"/>
          <w:sz w:val="21"/>
          <w:szCs w:val="21"/>
        </w:rPr>
        <w:t>第三部分 合同附件</w:t>
      </w:r>
      <w:bookmarkEnd w:id="189"/>
    </w:p>
    <w:bookmarkEnd w:id="187"/>
    <w:bookmarkEnd w:id="188"/>
    <w:p>
      <w:pPr>
        <w:pStyle w:val="13"/>
        <w:tabs>
          <w:tab w:val="left" w:pos="720"/>
        </w:tabs>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附件1 廉政协议</w:t>
      </w:r>
    </w:p>
    <w:p>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廉政协议</w:t>
      </w:r>
    </w:p>
    <w:p>
      <w:pPr>
        <w:widowControl/>
        <w:snapToGrid w:val="0"/>
        <w:spacing w:line="360" w:lineRule="auto"/>
        <w:jc w:val="left"/>
        <w:rPr>
          <w:rFonts w:hint="eastAsia" w:ascii="宋体" w:hAnsi="宋体" w:eastAsia="宋体" w:cs="宋体"/>
          <w:kern w:val="0"/>
          <w:sz w:val="21"/>
          <w:szCs w:val="21"/>
          <w:lang w:bidi="en-US"/>
        </w:rPr>
      </w:pPr>
    </w:p>
    <w:p>
      <w:pPr>
        <w:pStyle w:val="13"/>
        <w:tabs>
          <w:tab w:val="left" w:pos="720"/>
        </w:tabs>
        <w:snapToGrid w:val="0"/>
        <w:spacing w:line="440" w:lineRule="exact"/>
        <w:ind w:left="0" w:firstLine="0"/>
        <w:jc w:val="left"/>
        <w:textAlignment w:val="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p>
    <w:p>
      <w:pPr>
        <w:pStyle w:val="13"/>
        <w:tabs>
          <w:tab w:val="left" w:pos="720"/>
        </w:tabs>
        <w:snapToGrid w:val="0"/>
        <w:spacing w:line="440" w:lineRule="exact"/>
        <w:ind w:left="0" w:firstLine="0"/>
        <w:jc w:val="left"/>
        <w:textAlignment w:val="auto"/>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p>
    <w:p>
      <w:pPr>
        <w:adjustRightInd w:val="0"/>
        <w:snapToGrid w:val="0"/>
        <w:spacing w:line="440" w:lineRule="exact"/>
        <w:ind w:firstLine="480"/>
        <w:jc w:val="left"/>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sz w:val="21"/>
          <w:szCs w:val="21"/>
        </w:rPr>
      </w:pPr>
      <w:bookmarkStart w:id="190" w:name="_Toc59896701"/>
      <w:bookmarkStart w:id="191" w:name="_Toc59900969"/>
      <w:r>
        <w:rPr>
          <w:rFonts w:hint="eastAsia" w:ascii="宋体" w:hAnsi="宋体" w:eastAsia="宋体" w:cs="宋体"/>
          <w:sz w:val="21"/>
          <w:szCs w:val="21"/>
        </w:rPr>
        <w:t xml:space="preserve">第一条 </w:t>
      </w:r>
      <w:bookmarkEnd w:id="190"/>
      <w:bookmarkEnd w:id="191"/>
      <w:r>
        <w:rPr>
          <w:rFonts w:hint="eastAsia" w:ascii="宋体" w:hAnsi="宋体" w:eastAsia="宋体" w:cs="宋体"/>
          <w:sz w:val="21"/>
          <w:szCs w:val="21"/>
        </w:rPr>
        <w:t>共同责任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第二条 共同权利</w:t>
      </w:r>
    </w:p>
    <w:p>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sz w:val="21"/>
          <w:szCs w:val="21"/>
        </w:rPr>
      </w:pPr>
      <w:bookmarkStart w:id="192" w:name="_Toc59896702"/>
      <w:bookmarkStart w:id="193" w:name="_Toc59900970"/>
      <w:r>
        <w:rPr>
          <w:rFonts w:hint="eastAsia" w:ascii="宋体" w:hAnsi="宋体" w:eastAsia="宋体" w:cs="宋体"/>
          <w:sz w:val="21"/>
          <w:szCs w:val="21"/>
        </w:rPr>
        <w:t>第三条 甲方的义务</w:t>
      </w:r>
      <w:bookmarkEnd w:id="192"/>
      <w:bookmarkEnd w:id="193"/>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bookmarkStart w:id="194" w:name="_Toc59896703"/>
      <w:bookmarkStart w:id="195" w:name="_Toc59900971"/>
      <w:r>
        <w:rPr>
          <w:rFonts w:hint="eastAsia" w:ascii="宋体" w:hAnsi="宋体" w:eastAsia="宋体" w:cs="宋体"/>
          <w:sz w:val="21"/>
          <w:szCs w:val="21"/>
        </w:rPr>
        <w:t>第四条 乙方义务</w:t>
      </w:r>
      <w:bookmarkEnd w:id="194"/>
      <w:bookmarkEnd w:id="195"/>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（六）乙方不得有违反法律、法规、廉洁从业规定的其他行为。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第五条 违约责任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第八条 本协议作为主合同的附件，与主合同具有同等的法律效力，经合同双方签署立即生效。</w:t>
      </w:r>
    </w:p>
    <w:p>
      <w:pPr>
        <w:snapToGrid w:val="0"/>
        <w:spacing w:line="440" w:lineRule="exact"/>
        <w:rPr>
          <w:rFonts w:hint="eastAsia" w:ascii="宋体" w:hAnsi="宋体" w:eastAsia="宋体" w:cs="宋体"/>
          <w:sz w:val="21"/>
          <w:szCs w:val="21"/>
        </w:rPr>
        <w:sectPr>
          <w:pgSz w:w="11906" w:h="16838"/>
          <w:pgMar w:top="1440" w:right="1800" w:bottom="1440" w:left="1800" w:header="851" w:footer="992" w:gutter="0"/>
          <w:cols w:space="720" w:num="1"/>
          <w:docGrid w:type="lines" w:linePitch="312" w:charSpace="0"/>
        </w:sectPr>
      </w:pPr>
    </w:p>
    <w:p>
      <w:pPr>
        <w:pStyle w:val="2"/>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（本页无正文）</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（盖章）                 </w:t>
      </w:r>
    </w:p>
    <w:p>
      <w:pPr>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（签字）           </w:t>
      </w:r>
    </w:p>
    <w:p>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或授权代理人：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或授权代理人：</w:t>
      </w:r>
      <w:r>
        <w:rPr>
          <w:rFonts w:hint="eastAsia" w:ascii="宋体" w:hAnsi="宋体" w:eastAsia="宋体" w:cs="宋体"/>
          <w:sz w:val="21"/>
          <w:szCs w:val="21"/>
          <w:u w:val="single"/>
        </w:rPr>
        <w:t xml:space="preserve">（签字）           </w:t>
      </w:r>
    </w:p>
    <w:p>
      <w:pPr>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p>
    <w:p>
      <w:pPr>
        <w:snapToGrid w:val="0"/>
        <w:spacing w:line="440" w:lineRule="exac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3"/>
        <w:tabs>
          <w:tab w:val="left" w:pos="720"/>
        </w:tabs>
        <w:snapToGrid w:val="0"/>
        <w:spacing w:line="360" w:lineRule="auto"/>
        <w:outlineLvl w:val="1"/>
        <w:rPr>
          <w:rFonts w:hint="eastAsia" w:ascii="宋体" w:hAnsi="宋体" w:eastAsia="宋体" w:cs="宋体"/>
          <w:b/>
          <w:sz w:val="21"/>
          <w:szCs w:val="21"/>
        </w:rPr>
      </w:pPr>
      <w:bookmarkStart w:id="196" w:name="_Toc8938"/>
      <w:r>
        <w:rPr>
          <w:rFonts w:hint="eastAsia" w:ascii="宋体" w:hAnsi="宋体" w:eastAsia="宋体" w:cs="宋体"/>
          <w:sz w:val="21"/>
          <w:szCs w:val="21"/>
        </w:rPr>
        <w:t>甲方监督单位：</w:t>
      </w:r>
      <w:r>
        <w:rPr>
          <w:rFonts w:hint="eastAsia" w:ascii="宋体" w:hAnsi="宋体" w:eastAsia="宋体" w:cs="宋体"/>
          <w:sz w:val="21"/>
          <w:szCs w:val="21"/>
          <w:u w:val="single"/>
        </w:rPr>
        <w:t xml:space="preserve">（盖章）      </w:t>
      </w:r>
      <w:r>
        <w:rPr>
          <w:rFonts w:hint="eastAsia" w:ascii="宋体" w:hAnsi="宋体" w:eastAsia="宋体" w:cs="宋体"/>
          <w:sz w:val="21"/>
          <w:szCs w:val="21"/>
        </w:rPr>
        <w:t xml:space="preserve">             乙方监督单位：</w:t>
      </w:r>
      <w:r>
        <w:rPr>
          <w:rFonts w:hint="eastAsia" w:ascii="宋体" w:hAnsi="宋体" w:eastAsia="宋体" w:cs="宋体"/>
          <w:sz w:val="21"/>
          <w:szCs w:val="21"/>
          <w:u w:val="single"/>
        </w:rPr>
        <w:t>（盖章）</w:t>
      </w:r>
      <w:bookmarkEnd w:id="196"/>
      <w:r>
        <w:rPr>
          <w:rFonts w:hint="eastAsia" w:ascii="宋体" w:hAnsi="宋体" w:eastAsia="宋体" w:cs="宋体"/>
          <w:sz w:val="21"/>
          <w:szCs w:val="21"/>
          <w:u w:val="single"/>
        </w:rPr>
        <w:t xml:space="preserve">        </w:t>
      </w:r>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97" w:name="_Toc25612"/>
      <w:r>
        <w:rPr>
          <w:rFonts w:hint="eastAsia" w:ascii="宋体" w:hAnsi="宋体" w:eastAsia="宋体" w:cs="宋体"/>
          <w:b/>
          <w:sz w:val="21"/>
          <w:szCs w:val="21"/>
        </w:rPr>
        <w:t>附件2 安全生产协议</w:t>
      </w:r>
      <w:bookmarkEnd w:id="197"/>
    </w:p>
    <w:p>
      <w:pPr>
        <w:autoSpaceDE w:val="0"/>
        <w:autoSpaceDN w:val="0"/>
        <w:adjustRightInd w:val="0"/>
        <w:jc w:val="center"/>
        <w:rPr>
          <w:rFonts w:hint="eastAsia" w:ascii="宋体" w:hAnsi="宋体" w:eastAsia="宋体" w:cs="宋体"/>
          <w:b/>
          <w:kern w:val="0"/>
          <w:sz w:val="21"/>
          <w:szCs w:val="21"/>
        </w:rPr>
      </w:pPr>
      <w:r>
        <w:rPr>
          <w:rFonts w:hint="eastAsia" w:ascii="宋体" w:hAnsi="宋体" w:eastAsia="宋体" w:cs="宋体"/>
          <w:b/>
          <w:kern w:val="0"/>
          <w:sz w:val="21"/>
          <w:szCs w:val="21"/>
        </w:rPr>
        <w:t>安全生产协议</w:t>
      </w:r>
    </w:p>
    <w:p>
      <w:pPr>
        <w:widowControl/>
        <w:snapToGrid w:val="0"/>
        <w:spacing w:line="360" w:lineRule="auto"/>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为在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合同</w:t>
      </w:r>
      <w:r>
        <w:rPr>
          <w:rFonts w:hint="eastAsia" w:ascii="宋体" w:hAnsi="宋体" w:eastAsia="宋体" w:cs="宋体"/>
          <w:sz w:val="21"/>
          <w:szCs w:val="21"/>
        </w:rPr>
        <w:t>（以下简称“主合同”）</w:t>
      </w:r>
      <w:r>
        <w:rPr>
          <w:rFonts w:hint="eastAsia" w:ascii="宋体" w:hAnsi="宋体" w:eastAsia="宋体" w:cs="宋体"/>
          <w:kern w:val="0"/>
          <w:sz w:val="21"/>
          <w:szCs w:val="21"/>
        </w:rPr>
        <w:t>的执行过程中创造安全、高效的施工环境，切实搞好项目的安全管理工作，甲、乙双方特签订本协议。</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一、甲方职责</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1、甲方应严格遵守国家有关安全生产的法律法规及有关安全生产管理条例的规定，认真执行主合同中的有关安全要求。</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2、甲方应按照“安全第一、预防为主”的原则进行安全生产管理。</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3、甲方应及时传达中央及地方有关安全生产的精神。</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4、甲方组织对乙方施工现场安全生产检查，监督乙方及时处理发现的各种安全隐患。</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二、乙方职责</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3、乙方应加强项目现场人员到岗情况的监督和项目现场人员的管理，并为项目现场人员及时足额缴纳工伤保险费。</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9、乙方应积极配合接受甲方的安全监督检查,及时整改管辖范围内的问题和安全隐患,确保安全生产。</w:t>
      </w:r>
    </w:p>
    <w:p>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10、乙方应履行法律、法规规定的其他安全生产责任和义务。</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三、违约责任</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在主合同执行过程中，因乙方原因发生安全事故，由此产生的一切行政、经济、法律责任由乙方承担。</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四、协议的生效和终止</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本协议由双方法定代表人或其授权代表签字并加盖公章后生效，主合同履行完毕后失效。</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br w:type="page"/>
      </w:r>
    </w:p>
    <w:p>
      <w:pPr>
        <w:autoSpaceDE w:val="0"/>
        <w:autoSpaceDN w:val="0"/>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（本页无正文）</w:t>
      </w:r>
    </w:p>
    <w:p>
      <w:pPr>
        <w:autoSpaceDE w:val="0"/>
        <w:autoSpaceDN w:val="0"/>
        <w:adjustRightInd w:val="0"/>
        <w:snapToGrid w:val="0"/>
        <w:spacing w:line="360" w:lineRule="auto"/>
        <w:jc w:val="left"/>
        <w:rPr>
          <w:rFonts w:hint="eastAsia" w:ascii="宋体" w:hAnsi="宋体" w:eastAsia="宋体" w:cs="宋体"/>
          <w:sz w:val="21"/>
          <w:szCs w:val="21"/>
        </w:rPr>
      </w:pPr>
    </w:p>
    <w:p>
      <w:pPr>
        <w:autoSpaceDE w:val="0"/>
        <w:autoSpaceDN w:val="0"/>
        <w:adjustRightInd w:val="0"/>
        <w:snapToGrid w:val="0"/>
        <w:spacing w:line="360" w:lineRule="auto"/>
        <w:jc w:val="left"/>
        <w:rPr>
          <w:rFonts w:hint="eastAsia" w:ascii="宋体" w:hAnsi="宋体" w:eastAsia="宋体" w:cs="宋体"/>
          <w:sz w:val="21"/>
          <w:szCs w:val="21"/>
        </w:rPr>
      </w:pPr>
    </w:p>
    <w:p>
      <w:pPr>
        <w:autoSpaceDE w:val="0"/>
        <w:autoSpaceDN w:val="0"/>
        <w:adjustRightInd w:val="0"/>
        <w:snapToGrid w:val="0"/>
        <w:spacing w:line="360" w:lineRule="auto"/>
        <w:jc w:val="left"/>
        <w:rPr>
          <w:rFonts w:hint="eastAsia" w:ascii="宋体" w:hAnsi="宋体" w:eastAsia="宋体" w:cs="宋体"/>
          <w:sz w:val="21"/>
          <w:szCs w:val="21"/>
        </w:rPr>
      </w:pPr>
    </w:p>
    <w:tbl>
      <w:tblPr>
        <w:tblStyle w:val="46"/>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noWrap w:val="0"/>
            <w:vAlign w:val="top"/>
          </w:tcPr>
          <w:p>
            <w:pPr>
              <w:adjustRightInd w:val="0"/>
              <w:snapToGrid w:val="0"/>
              <w:spacing w:line="360" w:lineRule="auto"/>
              <w:textAlignment w:val="baseline"/>
              <w:rPr>
                <w:rFonts w:hint="eastAsia" w:ascii="宋体" w:hAnsi="宋体" w:eastAsia="宋体" w:cs="宋体"/>
                <w:sz w:val="21"/>
                <w:szCs w:val="21"/>
              </w:rPr>
            </w:pPr>
          </w:p>
          <w:p>
            <w:pPr>
              <w:adjustRightInd w:val="0"/>
              <w:snapToGrid w:val="0"/>
              <w:spacing w:line="360" w:lineRule="auto"/>
              <w:textAlignment w:val="baseline"/>
              <w:rPr>
                <w:rFonts w:hint="eastAsia" w:ascii="宋体" w:hAnsi="宋体" w:eastAsia="宋体" w:cs="宋体"/>
                <w:sz w:val="21"/>
                <w:szCs w:val="21"/>
              </w:rPr>
            </w:pPr>
          </w:p>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甲方：(盖章)</w:t>
            </w:r>
          </w:p>
          <w:p>
            <w:pPr>
              <w:adjustRightInd w:val="0"/>
              <w:snapToGrid w:val="0"/>
              <w:spacing w:line="360" w:lineRule="auto"/>
              <w:textAlignment w:val="baseline"/>
              <w:rPr>
                <w:rFonts w:hint="eastAsia" w:ascii="宋体" w:hAnsi="宋体" w:eastAsia="宋体" w:cs="宋体"/>
                <w:kern w:val="0"/>
                <w:sz w:val="21"/>
                <w:szCs w:val="21"/>
              </w:rPr>
            </w:pPr>
          </w:p>
        </w:tc>
        <w:tc>
          <w:tcPr>
            <w:tcW w:w="4193" w:type="dxa"/>
            <w:noWrap w:val="0"/>
            <w:vAlign w:val="top"/>
          </w:tcPr>
          <w:p>
            <w:pPr>
              <w:adjustRightInd w:val="0"/>
              <w:snapToGrid w:val="0"/>
              <w:spacing w:line="360" w:lineRule="auto"/>
              <w:textAlignment w:val="baseline"/>
              <w:rPr>
                <w:rFonts w:hint="eastAsia" w:ascii="宋体" w:hAnsi="宋体" w:eastAsia="宋体" w:cs="宋体"/>
                <w:kern w:val="0"/>
                <w:sz w:val="21"/>
                <w:szCs w:val="21"/>
              </w:rPr>
            </w:pPr>
          </w:p>
          <w:p>
            <w:pPr>
              <w:adjustRightInd w:val="0"/>
              <w:snapToGrid w:val="0"/>
              <w:spacing w:line="360" w:lineRule="auto"/>
              <w:textAlignment w:val="baseline"/>
              <w:rPr>
                <w:rFonts w:hint="eastAsia" w:ascii="宋体" w:hAnsi="宋体" w:eastAsia="宋体" w:cs="宋体"/>
                <w:kern w:val="0"/>
                <w:sz w:val="21"/>
                <w:szCs w:val="21"/>
              </w:rPr>
            </w:pPr>
          </w:p>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乙方：（盖章）</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p>
            <w:pPr>
              <w:adjustRightInd w:val="0"/>
              <w:snapToGrid w:val="0"/>
              <w:spacing w:line="360" w:lineRule="auto"/>
              <w:ind w:left="19" w:leftChars="9"/>
              <w:textAlignment w:val="baseline"/>
              <w:rPr>
                <w:rFonts w:hint="eastAsia" w:ascii="宋体" w:hAnsi="宋体" w:eastAsia="宋体" w:cs="宋体"/>
                <w:kern w:val="0"/>
                <w:sz w:val="21"/>
                <w:szCs w:val="21"/>
              </w:rPr>
            </w:pPr>
          </w:p>
        </w:tc>
        <w:tc>
          <w:tcPr>
            <w:tcW w:w="4193"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c>
          <w:tcPr>
            <w:tcW w:w="4193"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r>
    </w:tbl>
    <w:p>
      <w:pPr>
        <w:snapToGrid w:val="0"/>
        <w:spacing w:line="360" w:lineRule="auto"/>
        <w:rPr>
          <w:rFonts w:hint="eastAsia" w:ascii="宋体" w:hAnsi="宋体" w:eastAsia="宋体" w:cs="宋体"/>
          <w:sz w:val="21"/>
          <w:szCs w:val="21"/>
        </w:rPr>
      </w:pPr>
    </w:p>
    <w:p>
      <w:pPr>
        <w:pStyle w:val="13"/>
        <w:tabs>
          <w:tab w:val="left" w:pos="720"/>
        </w:tabs>
        <w:snapToGrid w:val="0"/>
        <w:spacing w:line="360" w:lineRule="auto"/>
        <w:outlineLvl w:val="1"/>
        <w:rPr>
          <w:rFonts w:hint="eastAsia" w:ascii="宋体" w:hAnsi="宋体" w:eastAsia="宋体" w:cs="宋体"/>
          <w:b/>
          <w:sz w:val="21"/>
          <w:szCs w:val="21"/>
        </w:rPr>
      </w:pPr>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98" w:name="_Toc26712"/>
      <w:r>
        <w:rPr>
          <w:rFonts w:hint="eastAsia" w:ascii="宋体" w:hAnsi="宋体" w:eastAsia="宋体" w:cs="宋体"/>
          <w:b/>
          <w:sz w:val="21"/>
          <w:szCs w:val="21"/>
        </w:rPr>
        <w:t>附件3 中标通知书/中选通知书/谈判记录表</w:t>
      </w:r>
      <w:bookmarkEnd w:id="198"/>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99" w:name="_Toc16205"/>
      <w:r>
        <w:rPr>
          <w:rFonts w:hint="eastAsia" w:ascii="宋体" w:hAnsi="宋体" w:eastAsia="宋体" w:cs="宋体"/>
          <w:b/>
          <w:sz w:val="21"/>
          <w:szCs w:val="21"/>
        </w:rPr>
        <w:t>附件4 签约合同价清单</w:t>
      </w:r>
      <w:bookmarkEnd w:id="199"/>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200" w:name="_Toc7695"/>
      <w:r>
        <w:rPr>
          <w:rFonts w:hint="eastAsia" w:ascii="宋体" w:hAnsi="宋体" w:eastAsia="宋体" w:cs="宋体"/>
          <w:b/>
          <w:sz w:val="21"/>
          <w:szCs w:val="21"/>
        </w:rPr>
        <w:t>附件5 澄清与答疑文件</w:t>
      </w:r>
      <w:bookmarkEnd w:id="200"/>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201" w:name="_Toc26965"/>
      <w:r>
        <w:rPr>
          <w:rFonts w:hint="eastAsia" w:ascii="宋体" w:hAnsi="宋体" w:eastAsia="宋体" w:cs="宋体"/>
          <w:b/>
          <w:sz w:val="21"/>
          <w:szCs w:val="21"/>
        </w:rPr>
        <w:t>附件6 最高投标限价公示说明</w:t>
      </w:r>
      <w:bookmarkEnd w:id="201"/>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202" w:name="_Toc22933"/>
      <w:r>
        <w:rPr>
          <w:rFonts w:hint="eastAsia" w:ascii="宋体" w:hAnsi="宋体" w:eastAsia="宋体" w:cs="宋体"/>
          <w:b/>
          <w:sz w:val="21"/>
          <w:szCs w:val="21"/>
        </w:rPr>
        <w:t>附件7 用户需求书/技术规格书</w:t>
      </w:r>
      <w:bookmarkEnd w:id="202"/>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203" w:name="_Toc14482"/>
      <w:r>
        <w:rPr>
          <w:rFonts w:hint="eastAsia" w:ascii="宋体" w:hAnsi="宋体" w:eastAsia="宋体" w:cs="宋体"/>
          <w:b/>
          <w:bCs/>
          <w:kern w:val="0"/>
          <w:sz w:val="21"/>
          <w:szCs w:val="21"/>
        </w:rPr>
        <w:t>第四部分 合同附录</w:t>
      </w:r>
      <w:bookmarkEnd w:id="203"/>
    </w:p>
    <w:p>
      <w:pPr>
        <w:snapToGrid w:val="0"/>
        <w:spacing w:line="360" w:lineRule="auto"/>
        <w:outlineLvl w:val="1"/>
        <w:rPr>
          <w:rFonts w:hint="eastAsia" w:ascii="宋体" w:hAnsi="宋体" w:eastAsia="宋体" w:cs="宋体"/>
          <w:b/>
          <w:sz w:val="21"/>
          <w:szCs w:val="21"/>
        </w:rPr>
      </w:pPr>
      <w:bookmarkStart w:id="204" w:name="_Toc492458580"/>
      <w:bookmarkStart w:id="205" w:name="_Toc499044866"/>
      <w:bookmarkStart w:id="206" w:name="_Toc494117898"/>
      <w:bookmarkStart w:id="207" w:name="_Toc23186"/>
      <w:r>
        <w:rPr>
          <w:rFonts w:hint="eastAsia" w:ascii="宋体" w:hAnsi="宋体" w:eastAsia="宋体" w:cs="宋体"/>
          <w:b/>
          <w:sz w:val="21"/>
          <w:szCs w:val="21"/>
        </w:rPr>
        <w:t xml:space="preserve">附录1 </w:t>
      </w:r>
      <w:bookmarkEnd w:id="204"/>
      <w:bookmarkEnd w:id="205"/>
      <w:bookmarkEnd w:id="206"/>
      <w:bookmarkStart w:id="208" w:name="_Toc499044867"/>
      <w:bookmarkStart w:id="209" w:name="_Toc494117899"/>
      <w:bookmarkStart w:id="210" w:name="_Toc492458581"/>
      <w:r>
        <w:rPr>
          <w:rFonts w:hint="eastAsia" w:ascii="宋体" w:hAnsi="宋体" w:eastAsia="宋体" w:cs="宋体"/>
          <w:b/>
          <w:sz w:val="21"/>
          <w:szCs w:val="21"/>
        </w:rPr>
        <w:t>履约保函（格式）</w:t>
      </w:r>
      <w:bookmarkEnd w:id="207"/>
      <w:bookmarkEnd w:id="208"/>
      <w:bookmarkEnd w:id="209"/>
      <w:bookmarkEnd w:id="210"/>
    </w:p>
    <w:p>
      <w:pPr>
        <w:jc w:val="center"/>
        <w:rPr>
          <w:rFonts w:hint="eastAsia" w:ascii="宋体" w:hAnsi="宋体" w:eastAsia="宋体" w:cs="宋体"/>
          <w:b/>
          <w:bCs/>
          <w:sz w:val="21"/>
          <w:szCs w:val="21"/>
        </w:rPr>
      </w:pPr>
      <w:r>
        <w:rPr>
          <w:rFonts w:hint="eastAsia" w:ascii="宋体" w:hAnsi="宋体" w:eastAsia="宋体" w:cs="宋体"/>
          <w:b/>
          <w:bCs/>
          <w:sz w:val="21"/>
          <w:szCs w:val="21"/>
        </w:rPr>
        <w:t xml:space="preserve">                             保函编号：</w:t>
      </w: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jc w:val="center"/>
        <w:rPr>
          <w:rFonts w:hint="eastAsia" w:ascii="宋体" w:hAnsi="宋体" w:eastAsia="宋体" w:cs="宋体"/>
          <w:b/>
          <w:sz w:val="21"/>
          <w:szCs w:val="21"/>
        </w:rPr>
      </w:pP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甲方（全称）：</w:t>
      </w:r>
      <w:r>
        <w:rPr>
          <w:rFonts w:hint="eastAsia" w:ascii="宋体" w:hAnsi="宋体" w:eastAsia="宋体" w:cs="宋体"/>
          <w:sz w:val="21"/>
          <w:szCs w:val="21"/>
          <w:u w:val="single"/>
        </w:rPr>
        <w:t xml:space="preserve">                  </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鉴于甲方</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2、担保期限为自本保函生效之日起至</w:t>
      </w:r>
      <w:r>
        <w:rPr>
          <w:rFonts w:hint="eastAsia" w:ascii="宋体" w:hAnsi="宋体" w:eastAsia="宋体" w:cs="宋体"/>
          <w:sz w:val="21"/>
          <w:szCs w:val="21"/>
          <w:u w:val="single"/>
        </w:rPr>
        <w:t xml:space="preserve">           </w:t>
      </w:r>
      <w:r>
        <w:rPr>
          <w:rFonts w:hint="eastAsia" w:ascii="宋体" w:hAnsi="宋体" w:eastAsia="宋体" w:cs="宋体"/>
          <w:sz w:val="21"/>
          <w:szCs w:val="21"/>
        </w:rPr>
        <w:t>之日止。</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本保函自我方加盖公章之日起生效。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担保人（盖公章）：</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邮政编码：</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电话：</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传真：</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时间：</w:t>
      </w:r>
    </w:p>
    <w:p>
      <w:pPr>
        <w:pStyle w:val="2"/>
        <w:rPr>
          <w:rFonts w:hint="eastAsia" w:ascii="宋体" w:hAnsi="宋体" w:eastAsia="宋体" w:cs="宋体"/>
          <w:sz w:val="21"/>
          <w:szCs w:val="21"/>
        </w:rPr>
      </w:pPr>
    </w:p>
    <w:p>
      <w:pPr>
        <w:snapToGrid w:val="0"/>
        <w:spacing w:line="360" w:lineRule="auto"/>
        <w:outlineLvl w:val="1"/>
        <w:rPr>
          <w:rFonts w:hint="eastAsia" w:ascii="宋体" w:hAnsi="宋体" w:eastAsia="宋体" w:cs="宋体"/>
          <w:b/>
          <w:sz w:val="21"/>
          <w:szCs w:val="21"/>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pStyle w:val="13"/>
        <w:tabs>
          <w:tab w:val="left" w:pos="720"/>
        </w:tabs>
        <w:snapToGrid w:val="0"/>
        <w:ind w:left="0" w:firstLine="0"/>
        <w:jc w:val="left"/>
        <w:outlineLvl w:val="1"/>
        <w:rPr>
          <w:rFonts w:hint="eastAsia" w:ascii="宋体" w:hAnsi="宋体" w:eastAsia="宋体" w:cs="宋体"/>
          <w:b/>
          <w:bCs/>
          <w:sz w:val="21"/>
          <w:szCs w:val="21"/>
        </w:rPr>
      </w:pPr>
      <w:bookmarkStart w:id="211" w:name="_Toc3357"/>
      <w:r>
        <w:rPr>
          <w:rFonts w:hint="eastAsia" w:ascii="宋体" w:hAnsi="宋体" w:eastAsia="宋体" w:cs="宋体"/>
          <w:b/>
          <w:bCs/>
          <w:sz w:val="21"/>
          <w:szCs w:val="21"/>
        </w:rPr>
        <w:t>第五部分  招标文件/自主竞争性谈判文件/直接委托谈判文件、澄清与答疑文件及其他补充资料（如有，另册）</w:t>
      </w:r>
      <w:bookmarkEnd w:id="211"/>
    </w:p>
    <w:p>
      <w:pPr>
        <w:pStyle w:val="13"/>
        <w:tabs>
          <w:tab w:val="left" w:pos="720"/>
        </w:tabs>
        <w:snapToGrid w:val="0"/>
        <w:spacing w:line="360" w:lineRule="auto"/>
        <w:ind w:left="0" w:firstLine="0"/>
        <w:jc w:val="left"/>
        <w:outlineLvl w:val="1"/>
        <w:rPr>
          <w:rFonts w:hint="eastAsia" w:ascii="宋体" w:hAnsi="宋体" w:eastAsia="宋体" w:cs="宋体"/>
          <w:b/>
          <w:bCs/>
          <w:sz w:val="21"/>
          <w:szCs w:val="21"/>
        </w:rPr>
      </w:pPr>
    </w:p>
    <w:p>
      <w:pPr>
        <w:pStyle w:val="13"/>
        <w:tabs>
          <w:tab w:val="left" w:pos="720"/>
        </w:tabs>
        <w:snapToGrid w:val="0"/>
        <w:spacing w:line="360" w:lineRule="auto"/>
        <w:ind w:left="0" w:firstLine="0"/>
        <w:jc w:val="left"/>
        <w:outlineLvl w:val="1"/>
        <w:rPr>
          <w:rFonts w:hint="eastAsia" w:ascii="宋体" w:hAnsi="宋体" w:eastAsia="宋体" w:cs="宋体"/>
          <w:b/>
          <w:bCs/>
          <w:sz w:val="21"/>
          <w:szCs w:val="21"/>
        </w:rPr>
      </w:pPr>
    </w:p>
    <w:p>
      <w:pPr>
        <w:pStyle w:val="13"/>
        <w:tabs>
          <w:tab w:val="left" w:pos="720"/>
        </w:tabs>
        <w:snapToGrid w:val="0"/>
        <w:spacing w:line="360" w:lineRule="auto"/>
        <w:ind w:left="0" w:firstLine="0"/>
        <w:jc w:val="left"/>
        <w:outlineLvl w:val="1"/>
        <w:rPr>
          <w:rFonts w:hint="eastAsia" w:ascii="宋体" w:hAnsi="宋体" w:eastAsia="宋体" w:cs="宋体"/>
          <w:b/>
          <w:bCs/>
          <w:sz w:val="21"/>
          <w:szCs w:val="21"/>
        </w:rPr>
      </w:pPr>
    </w:p>
    <w:p>
      <w:pPr>
        <w:pStyle w:val="13"/>
        <w:tabs>
          <w:tab w:val="left" w:pos="720"/>
        </w:tabs>
        <w:snapToGrid w:val="0"/>
        <w:ind w:left="0" w:firstLine="0"/>
        <w:jc w:val="left"/>
        <w:outlineLvl w:val="1"/>
        <w:rPr>
          <w:rFonts w:hint="eastAsia" w:ascii="宋体" w:hAnsi="宋体" w:eastAsia="宋体" w:cs="宋体"/>
          <w:b/>
          <w:bCs/>
          <w:sz w:val="21"/>
          <w:szCs w:val="21"/>
        </w:rPr>
      </w:pPr>
      <w:bookmarkStart w:id="212" w:name="_Toc27528"/>
      <w:r>
        <w:rPr>
          <w:rFonts w:hint="eastAsia" w:ascii="宋体" w:hAnsi="宋体" w:eastAsia="宋体" w:cs="宋体"/>
          <w:b/>
          <w:bCs/>
          <w:sz w:val="21"/>
          <w:szCs w:val="21"/>
        </w:rPr>
        <w:t>第六部分  投标文件/谈判响应文件、澄清文件及其他补充资料（如有，另册）</w:t>
      </w:r>
      <w:bookmarkEnd w:id="212"/>
    </w:p>
    <w:p>
      <w:pPr>
        <w:pStyle w:val="2"/>
        <w:rPr>
          <w:rFonts w:hint="eastAsia" w:ascii="宋体" w:hAnsi="宋体" w:eastAsia="宋体" w:cs="宋体"/>
          <w:sz w:val="21"/>
          <w:szCs w:val="21"/>
        </w:rPr>
        <w:sectPr>
          <w:pgSz w:w="11906" w:h="16838"/>
          <w:pgMar w:top="1440" w:right="1797" w:bottom="1440" w:left="1797" w:header="851" w:footer="851" w:gutter="0"/>
          <w:cols w:space="720" w:num="1"/>
          <w:docGrid w:linePitch="312" w:charSpace="0"/>
        </w:sectPr>
      </w:pPr>
    </w:p>
    <w:p>
      <w:pPr>
        <w:snapToGrid w:val="0"/>
        <w:spacing w:line="360" w:lineRule="auto"/>
        <w:jc w:val="center"/>
        <w:outlineLvl w:val="0"/>
        <w:rPr>
          <w:rFonts w:ascii="宋体" w:hAnsi="宋体" w:cs="宋体"/>
          <w:bCs/>
          <w:sz w:val="32"/>
          <w:szCs w:val="32"/>
        </w:rPr>
      </w:pPr>
      <w:bookmarkStart w:id="213" w:name="_Toc28436"/>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第六章</w:t>
      </w:r>
      <w:bookmarkStart w:id="214"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0"/>
      <w:bookmarkEnd w:id="71"/>
      <w:bookmarkEnd w:id="72"/>
      <w:bookmarkEnd w:id="73"/>
      <w:bookmarkEnd w:id="213"/>
      <w:bookmarkEnd w:id="214"/>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5"/>
        <w:spacing w:line="360" w:lineRule="auto"/>
        <w:rPr>
          <w:rFonts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lang w:val="en-US" w:eastAsia="zh-CN"/>
        </w:rPr>
        <w:t>五</w:t>
      </w:r>
      <w:r>
        <w:rPr>
          <w:rFonts w:hint="eastAsia" w:ascii="宋体" w:hAnsi="宋体"/>
          <w:szCs w:val="21"/>
        </w:rPr>
        <w:t>、</w:t>
      </w:r>
      <w:r>
        <w:rPr>
          <w:rFonts w:hint="eastAsia" w:hAnsi="宋体"/>
          <w:bCs/>
          <w:szCs w:val="21"/>
        </w:rPr>
        <w:t>服务方案（如有）</w:t>
      </w:r>
    </w:p>
    <w:p>
      <w:pPr>
        <w:adjustRightInd w:val="0"/>
        <w:snapToGrid w:val="0"/>
        <w:spacing w:line="360" w:lineRule="auto"/>
        <w:rPr>
          <w:rFonts w:ascii="宋体" w:hAnsi="宋体"/>
          <w:szCs w:val="21"/>
        </w:rPr>
      </w:pPr>
      <w:r>
        <w:rPr>
          <w:rFonts w:hint="eastAsia" w:ascii="宋体" w:hAnsi="宋体"/>
          <w:szCs w:val="21"/>
          <w:lang w:val="en-US" w:eastAsia="zh-CN"/>
        </w:rPr>
        <w:t>六</w:t>
      </w:r>
      <w:r>
        <w:rPr>
          <w:rFonts w:hint="eastAsia" w:ascii="宋体" w:hAnsi="宋体"/>
          <w:szCs w:val="21"/>
        </w:rPr>
        <w:t>、报价一览表</w:t>
      </w:r>
    </w:p>
    <w:p>
      <w:pPr>
        <w:adjustRightInd w:val="0"/>
        <w:snapToGrid w:val="0"/>
        <w:spacing w:line="360" w:lineRule="auto"/>
        <w:jc w:val="left"/>
        <w:rPr>
          <w:rFonts w:ascii="宋体" w:hAnsi="宋体"/>
          <w:szCs w:val="21"/>
        </w:rPr>
      </w:pPr>
      <w:r>
        <w:rPr>
          <w:rFonts w:hint="eastAsia" w:ascii="宋体" w:hAnsi="宋体"/>
          <w:szCs w:val="21"/>
          <w:lang w:val="en-US" w:eastAsia="zh-CN"/>
        </w:rPr>
        <w:t>七</w:t>
      </w:r>
      <w:r>
        <w:rPr>
          <w:rFonts w:hint="eastAsia" w:ascii="宋体" w:hAnsi="宋体"/>
          <w:szCs w:val="21"/>
        </w:rPr>
        <w:t>、分项价格表</w:t>
      </w:r>
    </w:p>
    <w:p>
      <w:pPr>
        <w:adjustRightInd w:val="0"/>
        <w:snapToGrid w:val="0"/>
        <w:spacing w:line="360" w:lineRule="auto"/>
        <w:rPr>
          <w:rFonts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215" w:name="_Toc14530"/>
      <w:bookmarkStart w:id="216" w:name="_Toc32600"/>
      <w:bookmarkStart w:id="217" w:name="_Toc17721"/>
      <w:bookmarkStart w:id="218" w:name="_Toc32569"/>
      <w:bookmarkStart w:id="219" w:name="_Toc7657"/>
      <w:r>
        <w:rPr>
          <w:rFonts w:hint="eastAsia" w:ascii="宋体" w:hAnsi="宋体" w:cs="宋体"/>
          <w:b/>
          <w:sz w:val="32"/>
          <w:szCs w:val="32"/>
        </w:rPr>
        <w:t>一、谈判承诺书</w:t>
      </w:r>
      <w:bookmarkEnd w:id="215"/>
      <w:bookmarkEnd w:id="216"/>
      <w:bookmarkEnd w:id="217"/>
      <w:bookmarkEnd w:id="218"/>
      <w:bookmarkEnd w:id="219"/>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Cs w:val="21"/>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jc w:val="center"/>
        <w:outlineLvl w:val="1"/>
        <w:rPr>
          <w:rFonts w:ascii="宋体" w:hAnsi="宋体" w:cs="宋体"/>
          <w:b/>
          <w:sz w:val="32"/>
          <w:szCs w:val="32"/>
        </w:rPr>
      </w:pPr>
      <w:bookmarkStart w:id="220" w:name="_Toc3026"/>
      <w:bookmarkStart w:id="221" w:name="_Toc31277"/>
      <w:bookmarkStart w:id="222" w:name="_Toc10496"/>
      <w:bookmarkStart w:id="223" w:name="_Toc10467"/>
      <w:bookmarkStart w:id="224" w:name="_Toc1313"/>
      <w:r>
        <w:rPr>
          <w:rFonts w:hint="eastAsia" w:ascii="宋体" w:hAnsi="宋体" w:cs="宋体"/>
          <w:b/>
          <w:sz w:val="32"/>
          <w:szCs w:val="32"/>
        </w:rPr>
        <w:t>二、法定代表人身份证明书</w:t>
      </w:r>
      <w:bookmarkEnd w:id="220"/>
      <w:bookmarkEnd w:id="221"/>
      <w:bookmarkEnd w:id="222"/>
      <w:bookmarkEnd w:id="223"/>
      <w:bookmarkEnd w:id="224"/>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225" w:name="_Toc27642"/>
      <w:bookmarkStart w:id="226" w:name="_Toc21066"/>
      <w:bookmarkStart w:id="227" w:name="_Toc761"/>
      <w:bookmarkStart w:id="228" w:name="_Toc29253"/>
      <w:bookmarkStart w:id="229" w:name="_Toc14170"/>
      <w:r>
        <w:rPr>
          <w:rFonts w:hint="eastAsia" w:ascii="宋体" w:hAnsi="宋体" w:cs="宋体"/>
          <w:b/>
          <w:sz w:val="32"/>
          <w:szCs w:val="32"/>
        </w:rPr>
        <w:t>三、授权委托书</w:t>
      </w:r>
      <w:bookmarkEnd w:id="225"/>
      <w:bookmarkEnd w:id="226"/>
      <w:bookmarkEnd w:id="227"/>
      <w:bookmarkEnd w:id="228"/>
      <w:bookmarkEnd w:id="229"/>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pStyle w:val="2"/>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2336;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6192;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230" w:name="_Toc8191"/>
      <w:bookmarkStart w:id="231" w:name="_Toc2295"/>
      <w:bookmarkStart w:id="232" w:name="_Toc18944"/>
      <w:bookmarkStart w:id="233" w:name="_Toc1257"/>
      <w:bookmarkStart w:id="234" w:name="_Toc11357"/>
      <w:r>
        <w:rPr>
          <w:rFonts w:hint="eastAsia" w:ascii="宋体" w:hAnsi="宋体" w:cs="宋体"/>
          <w:b/>
          <w:sz w:val="32"/>
          <w:szCs w:val="32"/>
        </w:rPr>
        <w:t>四、谈判单位资格证明文件</w:t>
      </w:r>
      <w:bookmarkEnd w:id="230"/>
      <w:bookmarkEnd w:id="231"/>
      <w:bookmarkEnd w:id="232"/>
      <w:bookmarkEnd w:id="233"/>
      <w:bookmarkEnd w:id="234"/>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rPr>
          <w:rFonts w:ascii="宋体" w:hAnsi="宋体" w:cs="宋体"/>
        </w:rPr>
      </w:pPr>
      <w:r>
        <w:rPr>
          <w:rFonts w:hint="eastAsia" w:ascii="宋体" w:hAnsi="宋体" w:cs="宋体"/>
          <w:bCs/>
        </w:rPr>
        <w:t>1.</w:t>
      </w:r>
      <w:r>
        <w:rPr>
          <w:rFonts w:hint="eastAsia" w:ascii="宋体" w:hAnsi="宋体" w:cs="宋体"/>
          <w:szCs w:val="21"/>
          <w:lang w:eastAsia="zh-CN"/>
        </w:rPr>
        <w:t>须提供</w:t>
      </w:r>
      <w:r>
        <w:rPr>
          <w:rFonts w:hint="eastAsia" w:ascii="宋体" w:hAnsi="宋体" w:cs="宋体"/>
          <w:szCs w:val="21"/>
        </w:rPr>
        <w:t>营业执照</w:t>
      </w:r>
      <w:r>
        <w:rPr>
          <w:rFonts w:hint="eastAsia" w:ascii="宋体" w:hAnsi="宋体" w:cs="宋体"/>
        </w:rPr>
        <w:t>。</w:t>
      </w:r>
    </w:p>
    <w:p>
      <w:pPr>
        <w:widowControl/>
        <w:spacing w:line="360" w:lineRule="auto"/>
        <w:ind w:firstLine="420" w:firstLineChars="200"/>
        <w:rPr>
          <w:rFonts w:hint="eastAsia" w:ascii="宋体" w:hAnsi="宋体" w:cs="宋体"/>
        </w:rPr>
      </w:pPr>
      <w:r>
        <w:rPr>
          <w:rFonts w:hint="eastAsia" w:ascii="宋体" w:hAnsi="宋体" w:cs="宋体"/>
          <w:lang w:val="en-US" w:eastAsia="zh-CN"/>
        </w:rPr>
        <w:t>2</w:t>
      </w:r>
      <w:r>
        <w:rPr>
          <w:rFonts w:hint="eastAsia" w:ascii="宋体" w:hAnsi="宋体" w:cs="宋体"/>
        </w:rPr>
        <w:t>.</w:t>
      </w:r>
      <w:r>
        <w:rPr>
          <w:rFonts w:hint="eastAsia" w:ascii="宋体" w:hAnsi="宋体" w:cs="宋体"/>
          <w:lang w:val="en-US" w:eastAsia="zh-CN"/>
        </w:rPr>
        <w:t>须提供</w:t>
      </w:r>
      <w:r>
        <w:rPr>
          <w:rFonts w:hint="eastAsia" w:ascii="宋体" w:hAnsi="宋体" w:cs="宋体"/>
        </w:rPr>
        <w:t>响应文件递交截止之日前</w:t>
      </w:r>
      <w:r>
        <w:rPr>
          <w:rFonts w:hint="eastAsia" w:ascii="宋体" w:hAnsi="宋体" w:cs="宋体"/>
          <w:lang w:val="en-US" w:eastAsia="zh-CN"/>
        </w:rPr>
        <w:t>36个月内</w:t>
      </w:r>
      <w:r>
        <w:rPr>
          <w:rFonts w:hint="eastAsia" w:ascii="宋体" w:hAnsi="宋体" w:cs="宋体"/>
        </w:rPr>
        <w:t>的</w:t>
      </w:r>
      <w:r>
        <w:rPr>
          <w:rFonts w:hint="eastAsia" w:ascii="宋体" w:hAnsi="宋体" w:cs="宋体"/>
          <w:lang w:eastAsia="zh-CN"/>
        </w:rPr>
        <w:t>管道疏通</w:t>
      </w:r>
      <w:r>
        <w:rPr>
          <w:rFonts w:hint="eastAsia" w:ascii="宋体" w:hAnsi="宋体" w:cs="宋体"/>
        </w:rPr>
        <w:t>服务类</w:t>
      </w:r>
      <w:r>
        <w:rPr>
          <w:rFonts w:hint="eastAsia" w:ascii="宋体" w:hAnsi="宋体" w:cs="宋体"/>
          <w:lang w:eastAsia="zh-CN"/>
        </w:rPr>
        <w:t>相关</w:t>
      </w:r>
      <w:r>
        <w:rPr>
          <w:rFonts w:hint="eastAsia" w:ascii="宋体" w:hAnsi="宋体" w:cs="宋体"/>
        </w:rPr>
        <w:t>业绩。不接受联合体业绩、港澳台或境外业绩。业绩证明材料以同时提供的合同原件扫描件和发票（开票金额不少于合同金额的10%）原件扫描件为准（均须加盖投标人单位公章），业绩金额以合同中金额为准，时间以合同中采购单位的签字时间为准。</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1、上述证明文件复印件均须加盖谈判单位公章（鲜章）。</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w:t>
      </w:r>
      <w:r>
        <w:rPr>
          <w:rFonts w:hint="eastAsia" w:ascii="宋体" w:hAnsi="宋体"/>
          <w:b/>
          <w:bCs/>
          <w:szCs w:val="21"/>
        </w:rPr>
        <w:t>上述证明文件如须递交原件的，应用文件袋单独包装，在响应文件递交的同时一并提交</w:t>
      </w:r>
      <w:r>
        <w:rPr>
          <w:rFonts w:hint="eastAsia" w:ascii="宋体" w:hAnsi="宋体" w:cs="宋体"/>
          <w:b/>
          <w:bCs/>
          <w:szCs w:val="21"/>
        </w:rPr>
        <w:t>。</w:t>
      </w:r>
    </w:p>
    <w:p>
      <w:pPr>
        <w:adjustRightInd w:val="0"/>
        <w:snapToGrid w:val="0"/>
        <w:spacing w:line="360" w:lineRule="auto"/>
        <w:ind w:firstLine="422" w:firstLineChars="200"/>
        <w:rPr>
          <w:rFonts w:ascii="宋体" w:hAnsi="宋体"/>
          <w:b/>
          <w:bCs/>
          <w:szCs w:val="21"/>
        </w:rPr>
      </w:pPr>
    </w:p>
    <w:p>
      <w:pPr>
        <w:pStyle w:val="2"/>
      </w:pPr>
    </w:p>
    <w:p>
      <w:pPr>
        <w:pStyle w:val="2"/>
        <w:sectPr>
          <w:pgSz w:w="11906" w:h="16838"/>
          <w:pgMar w:top="1440" w:right="1797" w:bottom="1440" w:left="1797" w:header="851" w:footer="851" w:gutter="0"/>
          <w:cols w:space="720" w:num="1"/>
        </w:sectPr>
      </w:pPr>
    </w:p>
    <w:p>
      <w:pPr>
        <w:adjustRightInd w:val="0"/>
        <w:snapToGrid w:val="0"/>
        <w:spacing w:line="360" w:lineRule="auto"/>
        <w:ind w:right="24"/>
        <w:jc w:val="center"/>
        <w:outlineLvl w:val="1"/>
        <w:rPr>
          <w:rFonts w:ascii="宋体" w:hAnsi="宋体" w:cs="宋体"/>
          <w:b/>
          <w:sz w:val="32"/>
          <w:szCs w:val="32"/>
        </w:rPr>
      </w:pPr>
      <w:bookmarkStart w:id="235" w:name="_Toc7528"/>
      <w:bookmarkStart w:id="236" w:name="_Toc9230"/>
      <w:bookmarkStart w:id="237" w:name="_Toc30403"/>
      <w:bookmarkStart w:id="238" w:name="_Toc23761"/>
      <w:bookmarkStart w:id="239" w:name="_Toc20484"/>
      <w:r>
        <w:rPr>
          <w:rFonts w:hint="eastAsia" w:ascii="宋体" w:hAnsi="宋体" w:cs="宋体"/>
          <w:b/>
          <w:sz w:val="32"/>
          <w:szCs w:val="32"/>
          <w:lang w:val="en-US" w:eastAsia="zh-CN"/>
        </w:rPr>
        <w:t>五</w:t>
      </w:r>
      <w:r>
        <w:rPr>
          <w:rFonts w:hint="eastAsia" w:ascii="宋体" w:hAnsi="宋体" w:cs="宋体"/>
          <w:b/>
          <w:sz w:val="32"/>
          <w:szCs w:val="32"/>
        </w:rPr>
        <w:t>、服务方案</w:t>
      </w:r>
      <w:bookmarkEnd w:id="235"/>
      <w:bookmarkEnd w:id="236"/>
      <w:bookmarkEnd w:id="237"/>
      <w:r>
        <w:rPr>
          <w:rFonts w:hint="eastAsia" w:ascii="宋体" w:hAnsi="宋体" w:cs="宋体"/>
          <w:b/>
          <w:sz w:val="32"/>
          <w:szCs w:val="32"/>
        </w:rPr>
        <w:t>（如有）</w:t>
      </w:r>
      <w:bookmarkEnd w:id="238"/>
      <w:bookmarkEnd w:id="239"/>
    </w:p>
    <w:p>
      <w:pPr>
        <w:adjustRightInd w:val="0"/>
        <w:snapToGrid w:val="0"/>
        <w:ind w:left="-88" w:leftChars="-42" w:firstLine="211" w:firstLineChars="100"/>
        <w:jc w:val="center"/>
        <w:rPr>
          <w:rFonts w:ascii="黑体" w:hAnsi="宋体" w:eastAsia="黑体"/>
          <w:b/>
          <w:bCs/>
          <w:szCs w:val="21"/>
        </w:rPr>
      </w:pPr>
    </w:p>
    <w:p>
      <w:pPr>
        <w:adjustRightInd w:val="0"/>
        <w:snapToGrid w:val="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240" w:name="_Toc5387"/>
      <w:bookmarkStart w:id="241" w:name="_Toc15835"/>
      <w:bookmarkStart w:id="242" w:name="_Toc21225"/>
      <w:bookmarkStart w:id="243" w:name="_Toc20751"/>
      <w:bookmarkStart w:id="244" w:name="_Toc25553"/>
      <w:r>
        <w:rPr>
          <w:rFonts w:hint="eastAsia" w:ascii="宋体" w:hAnsi="宋体" w:cs="宋体"/>
          <w:b/>
          <w:sz w:val="32"/>
          <w:szCs w:val="32"/>
          <w:lang w:val="en-US" w:eastAsia="zh-CN"/>
        </w:rPr>
        <w:t>六</w:t>
      </w:r>
      <w:r>
        <w:rPr>
          <w:rFonts w:hint="eastAsia" w:ascii="宋体" w:hAnsi="宋体" w:cs="宋体"/>
          <w:b/>
          <w:sz w:val="32"/>
          <w:szCs w:val="32"/>
        </w:rPr>
        <w:t>、报价一览表</w:t>
      </w:r>
      <w:bookmarkEnd w:id="240"/>
      <w:bookmarkEnd w:id="241"/>
      <w:bookmarkEnd w:id="242"/>
      <w:bookmarkEnd w:id="243"/>
      <w:bookmarkEnd w:id="244"/>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1620" w:type="dxa"/>
            <w:vAlign w:val="center"/>
          </w:tcPr>
          <w:p>
            <w:pPr>
              <w:spacing w:line="420" w:lineRule="exact"/>
              <w:jc w:val="center"/>
              <w:rPr>
                <w:rFonts w:ascii="宋体" w:hAnsi="宋体"/>
                <w:szCs w:val="21"/>
              </w:rPr>
            </w:pPr>
            <w:r>
              <w:rPr>
                <w:rFonts w:hint="eastAsia" w:ascii="宋体" w:hAnsi="宋体"/>
                <w:szCs w:val="21"/>
              </w:rPr>
              <w:t>谈判</w:t>
            </w:r>
            <w:r>
              <w:rPr>
                <w:rFonts w:ascii="宋体" w:hAnsi="宋体"/>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bookmarkStart w:id="245" w:name="_Toc5231"/>
      <w:r>
        <w:rPr>
          <w:rFonts w:hint="eastAsia" w:ascii="宋体" w:hAnsi="宋体"/>
          <w:sz w:val="21"/>
          <w:szCs w:val="21"/>
        </w:rPr>
        <w:t>谈判单位名称：</w:t>
      </w:r>
      <w:r>
        <w:rPr>
          <w:rFonts w:hint="eastAsia" w:ascii="宋体" w:hAnsi="宋体"/>
          <w:sz w:val="21"/>
          <w:szCs w:val="21"/>
          <w:u w:val="single"/>
        </w:rPr>
        <w:t xml:space="preserve">    （盖单位章）</w:t>
      </w:r>
      <w:bookmarkEnd w:id="245"/>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46" w:name="_Toc28605"/>
      <w:r>
        <w:rPr>
          <w:rFonts w:hint="eastAsia" w:ascii="宋体" w:hAnsi="宋体"/>
          <w:szCs w:val="21"/>
        </w:rPr>
        <w:t>法定代表人或其委托代理人(签字或盖章)：</w:t>
      </w:r>
      <w:bookmarkEnd w:id="246"/>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cols w:space="720" w:num="1"/>
          <w:docGrid w:type="lines" w:linePitch="312" w:charSpace="0"/>
        </w:sectPr>
      </w:pPr>
    </w:p>
    <w:p>
      <w:pPr>
        <w:numPr>
          <w:ilvl w:val="0"/>
          <w:numId w:val="8"/>
        </w:numPr>
        <w:adjustRightInd w:val="0"/>
        <w:snapToGrid w:val="0"/>
        <w:spacing w:line="360" w:lineRule="auto"/>
        <w:ind w:right="24"/>
        <w:jc w:val="center"/>
        <w:outlineLvl w:val="1"/>
        <w:rPr>
          <w:rFonts w:hint="eastAsia" w:ascii="宋体" w:hAnsi="宋体" w:cs="宋体"/>
          <w:b/>
          <w:sz w:val="32"/>
          <w:szCs w:val="32"/>
        </w:rPr>
      </w:pPr>
      <w:bookmarkStart w:id="247" w:name="_Toc15913"/>
      <w:r>
        <w:rPr>
          <w:rFonts w:hint="eastAsia" w:ascii="宋体" w:hAnsi="宋体" w:cs="宋体"/>
          <w:b/>
          <w:sz w:val="32"/>
          <w:szCs w:val="32"/>
        </w:rPr>
        <w:t>分项价格表</w:t>
      </w:r>
      <w:bookmarkEnd w:id="247"/>
    </w:p>
    <w:p>
      <w:pPr>
        <w:pStyle w:val="2"/>
        <w:widowControl w:val="0"/>
        <w:numPr>
          <w:ilvl w:val="0"/>
          <w:numId w:val="0"/>
        </w:numPr>
        <w:jc w:val="both"/>
      </w:pPr>
    </w:p>
    <w:tbl>
      <w:tblPr>
        <w:tblStyle w:val="46"/>
        <w:tblW w:w="891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2080"/>
        <w:gridCol w:w="906"/>
        <w:gridCol w:w="1240"/>
        <w:gridCol w:w="1534"/>
        <w:gridCol w:w="20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trPr>
        <w:tc>
          <w:tcPr>
            <w:tcW w:w="1124" w:type="dxa"/>
            <w:vAlign w:val="center"/>
          </w:tcPr>
          <w:p>
            <w:pPr>
              <w:tabs>
                <w:tab w:val="left" w:pos="403"/>
                <w:tab w:val="center" w:pos="3781"/>
              </w:tabs>
              <w:spacing w:line="420" w:lineRule="exact"/>
              <w:ind w:right="-5206" w:rightChars="-2479"/>
              <w:jc w:val="left"/>
              <w:rPr>
                <w:rFonts w:ascii="宋体" w:hAnsi="宋体"/>
                <w:b/>
                <w:bCs/>
                <w:szCs w:val="21"/>
              </w:rPr>
            </w:pPr>
            <w:r>
              <w:rPr>
                <w:rFonts w:ascii="宋体" w:hAnsi="宋体"/>
                <w:b/>
                <w:bCs/>
                <w:szCs w:val="21"/>
              </w:rPr>
              <w:t>项目名称</w:t>
            </w:r>
            <w:r>
              <w:rPr>
                <w:rFonts w:ascii="宋体" w:hAnsi="宋体"/>
                <w:b/>
                <w:bCs/>
                <w:szCs w:val="21"/>
              </w:rPr>
              <w:tab/>
            </w:r>
            <w:r>
              <w:rPr>
                <w:rFonts w:ascii="宋体" w:hAnsi="宋体"/>
                <w:b/>
                <w:bCs/>
                <w:szCs w:val="21"/>
              </w:rPr>
              <w:t>项目名称</w:t>
            </w:r>
          </w:p>
        </w:tc>
        <w:tc>
          <w:tcPr>
            <w:tcW w:w="7786" w:type="dxa"/>
            <w:gridSpan w:val="5"/>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124" w:type="dxa"/>
            <w:vAlign w:val="center"/>
          </w:tcPr>
          <w:p>
            <w:pPr>
              <w:tabs>
                <w:tab w:val="left" w:pos="403"/>
                <w:tab w:val="center" w:pos="3781"/>
              </w:tabs>
              <w:spacing w:line="420" w:lineRule="exact"/>
              <w:ind w:right="-5206" w:rightChars="-2479"/>
              <w:jc w:val="left"/>
              <w:rPr>
                <w:rFonts w:ascii="宋体" w:hAnsi="宋体"/>
                <w:b/>
                <w:bCs/>
                <w:szCs w:val="21"/>
              </w:rPr>
            </w:pPr>
            <w:r>
              <w:rPr>
                <w:rFonts w:hint="eastAsia" w:ascii="宋体" w:hAnsi="宋体"/>
                <w:b/>
                <w:bCs/>
                <w:szCs w:val="21"/>
              </w:rPr>
              <w:t>项目</w:t>
            </w:r>
            <w:r>
              <w:rPr>
                <w:rFonts w:ascii="宋体" w:hAnsi="宋体"/>
                <w:b/>
                <w:bCs/>
                <w:szCs w:val="21"/>
              </w:rPr>
              <w:t>编号</w:t>
            </w:r>
          </w:p>
        </w:tc>
        <w:tc>
          <w:tcPr>
            <w:tcW w:w="7786" w:type="dxa"/>
            <w:gridSpan w:val="5"/>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124" w:type="dxa"/>
            <w:vAlign w:val="center"/>
          </w:tcPr>
          <w:p>
            <w:pPr>
              <w:spacing w:line="240" w:lineRule="auto"/>
              <w:jc w:val="center"/>
              <w:rPr>
                <w:rFonts w:hint="default" w:ascii="宋体" w:hAnsi="宋体" w:cs="宋体"/>
                <w:b/>
                <w:bCs/>
                <w:lang w:val="en-US" w:eastAsia="zh-CN"/>
              </w:rPr>
            </w:pPr>
            <w:r>
              <w:rPr>
                <w:rFonts w:hint="eastAsia" w:ascii="宋体" w:hAnsi="宋体" w:cs="宋体"/>
                <w:b/>
                <w:bCs/>
                <w:lang w:val="en-US" w:eastAsia="zh-CN"/>
              </w:rPr>
              <w:t>序号</w:t>
            </w:r>
          </w:p>
        </w:tc>
        <w:tc>
          <w:tcPr>
            <w:tcW w:w="2080" w:type="dxa"/>
            <w:vAlign w:val="center"/>
          </w:tcPr>
          <w:p>
            <w:pPr>
              <w:spacing w:line="240" w:lineRule="auto"/>
              <w:jc w:val="center"/>
              <w:rPr>
                <w:rFonts w:hint="eastAsia" w:ascii="宋体" w:hAnsi="宋体" w:eastAsia="宋体"/>
                <w:b/>
                <w:bCs/>
                <w:szCs w:val="21"/>
                <w:u w:val="single"/>
                <w:lang w:val="en-US" w:eastAsia="zh-CN"/>
              </w:rPr>
            </w:pPr>
            <w:r>
              <w:rPr>
                <w:rFonts w:hint="eastAsia" w:ascii="宋体" w:hAnsi="宋体"/>
                <w:b/>
                <w:bCs/>
                <w:szCs w:val="21"/>
                <w:u w:val="none"/>
                <w:lang w:val="en-US" w:eastAsia="zh-CN"/>
              </w:rPr>
              <w:t>类别</w:t>
            </w:r>
          </w:p>
        </w:tc>
        <w:tc>
          <w:tcPr>
            <w:tcW w:w="906" w:type="dxa"/>
            <w:vAlign w:val="center"/>
          </w:tcPr>
          <w:p>
            <w:pPr>
              <w:spacing w:line="240" w:lineRule="auto"/>
              <w:jc w:val="center"/>
              <w:rPr>
                <w:rFonts w:hint="default" w:ascii="宋体" w:hAnsi="宋体" w:eastAsia="宋体" w:cs="Times New Roman"/>
                <w:b/>
                <w:bCs/>
                <w:szCs w:val="21"/>
                <w:lang w:val="en-US" w:eastAsia="zh-CN"/>
              </w:rPr>
            </w:pPr>
            <w:r>
              <w:rPr>
                <w:rFonts w:hint="eastAsia" w:ascii="宋体" w:hAnsi="宋体" w:eastAsia="宋体" w:cs="Times New Roman"/>
                <w:b/>
                <w:bCs/>
                <w:szCs w:val="21"/>
                <w:lang w:val="en-US" w:eastAsia="zh-CN"/>
              </w:rPr>
              <w:t>单位</w:t>
            </w:r>
          </w:p>
        </w:tc>
        <w:tc>
          <w:tcPr>
            <w:tcW w:w="1240" w:type="dxa"/>
            <w:vAlign w:val="center"/>
          </w:tcPr>
          <w:p>
            <w:pPr>
              <w:spacing w:line="240" w:lineRule="auto"/>
              <w:jc w:val="center"/>
              <w:rPr>
                <w:rFonts w:hint="eastAsia" w:ascii="宋体" w:hAnsi="宋体" w:eastAsia="宋体"/>
                <w:b/>
                <w:bCs/>
                <w:szCs w:val="21"/>
                <w:lang w:val="en-US" w:eastAsia="zh-CN"/>
              </w:rPr>
            </w:pPr>
            <w:r>
              <w:rPr>
                <w:rFonts w:hint="eastAsia" w:ascii="宋体" w:hAnsi="宋体"/>
                <w:b/>
                <w:bCs/>
                <w:szCs w:val="21"/>
                <w:lang w:val="en-US" w:eastAsia="zh-CN"/>
              </w:rPr>
              <w:t>预估疏通次数</w:t>
            </w:r>
          </w:p>
        </w:tc>
        <w:tc>
          <w:tcPr>
            <w:tcW w:w="1534" w:type="dxa"/>
            <w:vAlign w:val="center"/>
          </w:tcPr>
          <w:p>
            <w:pPr>
              <w:spacing w:line="240" w:lineRule="auto"/>
              <w:jc w:val="center"/>
              <w:rPr>
                <w:rFonts w:hint="eastAsia" w:ascii="宋体" w:hAnsi="宋体"/>
                <w:b/>
                <w:bCs/>
                <w:szCs w:val="21"/>
                <w:lang w:val="en-US" w:eastAsia="zh-CN"/>
              </w:rPr>
            </w:pPr>
            <w:r>
              <w:rPr>
                <w:rFonts w:hint="eastAsia" w:ascii="宋体" w:hAnsi="宋体"/>
                <w:b/>
                <w:bCs/>
                <w:szCs w:val="21"/>
                <w:lang w:val="en-US" w:eastAsia="zh-CN"/>
              </w:rPr>
              <w:t>单价</w:t>
            </w:r>
          </w:p>
          <w:p>
            <w:pPr>
              <w:spacing w:line="240" w:lineRule="auto"/>
              <w:jc w:val="center"/>
              <w:rPr>
                <w:rFonts w:hint="default" w:ascii="宋体" w:hAnsi="宋体" w:eastAsia="宋体" w:cs="Times New Roman"/>
                <w:b/>
                <w:bCs/>
                <w:kern w:val="2"/>
                <w:sz w:val="21"/>
                <w:szCs w:val="21"/>
                <w:lang w:val="en-US" w:eastAsia="zh-CN" w:bidi="ar-SA"/>
              </w:rPr>
            </w:pPr>
            <w:r>
              <w:rPr>
                <w:rFonts w:hint="eastAsia" w:ascii="宋体" w:hAnsi="宋体"/>
                <w:b/>
                <w:bCs/>
                <w:szCs w:val="21"/>
                <w:lang w:val="en-US" w:eastAsia="zh-CN"/>
              </w:rPr>
              <w:t>（元）</w:t>
            </w:r>
          </w:p>
        </w:tc>
        <w:tc>
          <w:tcPr>
            <w:tcW w:w="2026" w:type="dxa"/>
            <w:vAlign w:val="center"/>
          </w:tcPr>
          <w:p>
            <w:pPr>
              <w:spacing w:line="240" w:lineRule="auto"/>
              <w:jc w:val="center"/>
              <w:rPr>
                <w:rFonts w:hint="eastAsia" w:ascii="宋体" w:hAnsi="宋体"/>
                <w:b/>
                <w:bCs/>
                <w:szCs w:val="21"/>
                <w:lang w:val="en-US" w:eastAsia="zh-CN"/>
              </w:rPr>
            </w:pPr>
            <w:r>
              <w:rPr>
                <w:rFonts w:hint="eastAsia" w:ascii="宋体" w:hAnsi="宋体"/>
                <w:b/>
                <w:bCs/>
                <w:szCs w:val="21"/>
                <w:lang w:val="en-US" w:eastAsia="zh-CN"/>
              </w:rPr>
              <w:t>小计</w:t>
            </w:r>
          </w:p>
          <w:p>
            <w:pPr>
              <w:spacing w:line="240" w:lineRule="auto"/>
              <w:jc w:val="center"/>
              <w:rPr>
                <w:rFonts w:hint="default" w:ascii="宋体" w:hAnsi="宋体"/>
                <w:b/>
                <w:bCs/>
                <w:szCs w:val="21"/>
                <w:lang w:val="en-US" w:eastAsia="zh-CN"/>
              </w:rPr>
            </w:pPr>
            <w:r>
              <w:rPr>
                <w:rFonts w:hint="eastAsia" w:ascii="宋体" w:hAnsi="宋体"/>
                <w:b/>
                <w:bCs/>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24" w:type="dxa"/>
            <w:vAlign w:val="center"/>
          </w:tcPr>
          <w:p>
            <w:pPr>
              <w:spacing w:line="240" w:lineRule="auto"/>
              <w:jc w:val="center"/>
              <w:rPr>
                <w:rFonts w:ascii="宋体" w:hAnsi="宋体"/>
                <w:b/>
                <w:szCs w:val="21"/>
              </w:rPr>
            </w:pPr>
            <w:r>
              <w:rPr>
                <w:rFonts w:hint="eastAsia" w:ascii="宋体" w:hAnsi="宋体" w:cs="宋体"/>
                <w:b/>
                <w:bCs/>
                <w:lang w:val="en-US" w:eastAsia="zh-CN"/>
              </w:rPr>
              <w:t>1</w:t>
            </w:r>
          </w:p>
        </w:tc>
        <w:tc>
          <w:tcPr>
            <w:tcW w:w="2080" w:type="dxa"/>
            <w:vAlign w:val="center"/>
          </w:tcPr>
          <w:p>
            <w:pPr>
              <w:spacing w:line="240" w:lineRule="auto"/>
              <w:jc w:val="center"/>
              <w:rPr>
                <w:rFonts w:ascii="宋体" w:hAnsi="宋体"/>
                <w:szCs w:val="21"/>
                <w:u w:val="single"/>
              </w:rPr>
            </w:pPr>
            <w:r>
              <w:rPr>
                <w:rFonts w:hint="eastAsia" w:ascii="宋体" w:hAnsi="宋体" w:cs="宋体"/>
                <w:b/>
                <w:bCs/>
                <w:lang w:val="en-US" w:eastAsia="zh-CN"/>
              </w:rPr>
              <w:t>普通堵塞疏通</w:t>
            </w:r>
            <w:r>
              <w:rPr>
                <w:rFonts w:hint="eastAsia" w:ascii="宋体" w:hAnsi="宋体"/>
                <w:b/>
                <w:szCs w:val="21"/>
              </w:rPr>
              <w:t xml:space="preserve"> </w:t>
            </w:r>
          </w:p>
        </w:tc>
        <w:tc>
          <w:tcPr>
            <w:tcW w:w="906" w:type="dxa"/>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次</w:t>
            </w:r>
          </w:p>
        </w:tc>
        <w:tc>
          <w:tcPr>
            <w:tcW w:w="1240" w:type="dxa"/>
            <w:vAlign w:val="center"/>
          </w:tcPr>
          <w:p>
            <w:pPr>
              <w:spacing w:line="240" w:lineRule="auto"/>
              <w:jc w:val="center"/>
              <w:rPr>
                <w:rFonts w:hint="default" w:ascii="宋体" w:hAnsi="宋体" w:eastAsia="宋体" w:cs="Times New Roman"/>
                <w:kern w:val="2"/>
                <w:sz w:val="21"/>
                <w:szCs w:val="21"/>
                <w:u w:val="single"/>
                <w:lang w:val="en-US" w:eastAsia="zh-CN" w:bidi="ar-SA"/>
              </w:rPr>
            </w:pPr>
            <w:r>
              <w:rPr>
                <w:rFonts w:hint="eastAsia" w:ascii="宋体" w:hAnsi="宋体" w:cs="Times New Roman"/>
                <w:kern w:val="2"/>
                <w:sz w:val="21"/>
                <w:szCs w:val="21"/>
                <w:u w:val="none"/>
                <w:lang w:val="en-US" w:eastAsia="zh-CN" w:bidi="ar-SA"/>
              </w:rPr>
              <w:t>1206</w:t>
            </w:r>
          </w:p>
        </w:tc>
        <w:tc>
          <w:tcPr>
            <w:tcW w:w="1534" w:type="dxa"/>
            <w:vAlign w:val="center"/>
          </w:tcPr>
          <w:p>
            <w:pPr>
              <w:spacing w:line="240" w:lineRule="auto"/>
              <w:jc w:val="center"/>
              <w:rPr>
                <w:rFonts w:hint="eastAsia" w:ascii="宋体" w:hAnsi="宋体" w:eastAsia="宋体" w:cs="Times New Roman"/>
                <w:kern w:val="2"/>
                <w:sz w:val="21"/>
                <w:szCs w:val="21"/>
                <w:u w:val="single"/>
                <w:lang w:val="en-US" w:eastAsia="zh-CN" w:bidi="ar-SA"/>
              </w:rPr>
            </w:pPr>
            <w:r>
              <w:rPr>
                <w:rFonts w:hint="eastAsia" w:ascii="宋体" w:hAnsi="宋体" w:cs="Times New Roman"/>
                <w:kern w:val="2"/>
                <w:sz w:val="21"/>
                <w:szCs w:val="21"/>
                <w:u w:val="none"/>
                <w:lang w:val="en-US" w:eastAsia="zh-CN" w:bidi="ar-SA"/>
              </w:rPr>
              <w:t>100.00</w:t>
            </w:r>
          </w:p>
        </w:tc>
        <w:tc>
          <w:tcPr>
            <w:tcW w:w="2026" w:type="dxa"/>
            <w:vAlign w:val="center"/>
          </w:tcPr>
          <w:p>
            <w:pPr>
              <w:spacing w:line="240" w:lineRule="auto"/>
              <w:rPr>
                <w:rFonts w:hint="eastAsia" w:ascii="宋体" w:hAnsi="宋体" w:eastAsia="宋体" w:cs="Times New Roman"/>
                <w:kern w:val="2"/>
                <w:sz w:val="21"/>
                <w:szCs w:val="21"/>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124" w:type="dxa"/>
            <w:vAlign w:val="center"/>
          </w:tcPr>
          <w:p>
            <w:pPr>
              <w:spacing w:line="240" w:lineRule="auto"/>
              <w:jc w:val="center"/>
              <w:rPr>
                <w:rFonts w:hint="default" w:ascii="宋体" w:hAnsi="宋体"/>
                <w:b/>
                <w:szCs w:val="21"/>
                <w:lang w:val="en-US"/>
              </w:rPr>
            </w:pPr>
            <w:r>
              <w:rPr>
                <w:rFonts w:hint="eastAsia" w:ascii="宋体" w:hAnsi="宋体" w:cs="宋体"/>
                <w:b/>
                <w:bCs/>
                <w:lang w:val="en-US" w:eastAsia="zh-CN"/>
              </w:rPr>
              <w:t>2</w:t>
            </w:r>
          </w:p>
        </w:tc>
        <w:tc>
          <w:tcPr>
            <w:tcW w:w="2080" w:type="dxa"/>
            <w:vAlign w:val="center"/>
          </w:tcPr>
          <w:p>
            <w:pPr>
              <w:spacing w:line="240" w:lineRule="auto"/>
              <w:jc w:val="center"/>
              <w:rPr>
                <w:rFonts w:ascii="宋体" w:hAnsi="宋体"/>
                <w:szCs w:val="21"/>
              </w:rPr>
            </w:pPr>
            <w:r>
              <w:rPr>
                <w:rFonts w:hint="eastAsia" w:ascii="宋体" w:hAnsi="宋体" w:cs="宋体"/>
                <w:b/>
                <w:bCs/>
                <w:lang w:val="en-US" w:eastAsia="zh-CN"/>
              </w:rPr>
              <w:t>排污总出口管道堵塞疏通</w:t>
            </w:r>
          </w:p>
        </w:tc>
        <w:tc>
          <w:tcPr>
            <w:tcW w:w="906"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次</w:t>
            </w:r>
          </w:p>
        </w:tc>
        <w:tc>
          <w:tcPr>
            <w:tcW w:w="1240" w:type="dxa"/>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p>
        </w:tc>
        <w:tc>
          <w:tcPr>
            <w:tcW w:w="1534"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260.00</w:t>
            </w:r>
          </w:p>
        </w:tc>
        <w:tc>
          <w:tcPr>
            <w:tcW w:w="2026" w:type="dxa"/>
            <w:vAlign w:val="center"/>
          </w:tcPr>
          <w:p>
            <w:pPr>
              <w:spacing w:line="240" w:lineRule="auto"/>
              <w:rPr>
                <w:rFonts w:hint="default"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124" w:type="dxa"/>
            <w:vAlign w:val="center"/>
          </w:tcPr>
          <w:p>
            <w:pPr>
              <w:spacing w:line="240" w:lineRule="auto"/>
              <w:jc w:val="center"/>
              <w:rPr>
                <w:rFonts w:ascii="宋体" w:hAnsi="宋体"/>
                <w:b/>
                <w:szCs w:val="21"/>
              </w:rPr>
            </w:pPr>
            <w:r>
              <w:rPr>
                <w:rFonts w:hint="eastAsia" w:ascii="宋体" w:hAnsi="宋体" w:cs="宋体"/>
                <w:b/>
                <w:bCs/>
                <w:lang w:val="en-US" w:eastAsia="zh-CN"/>
              </w:rPr>
              <w:t>3</w:t>
            </w:r>
          </w:p>
        </w:tc>
        <w:tc>
          <w:tcPr>
            <w:tcW w:w="2080" w:type="dxa"/>
            <w:vAlign w:val="center"/>
          </w:tcPr>
          <w:p>
            <w:pPr>
              <w:spacing w:line="240" w:lineRule="auto"/>
              <w:jc w:val="center"/>
              <w:rPr>
                <w:rFonts w:ascii="宋体" w:hAnsi="宋体"/>
                <w:szCs w:val="21"/>
              </w:rPr>
            </w:pPr>
            <w:r>
              <w:rPr>
                <w:rFonts w:hint="eastAsia" w:ascii="宋体" w:hAnsi="宋体" w:cs="宋体"/>
                <w:b/>
                <w:bCs/>
                <w:lang w:val="en-US" w:eastAsia="zh-CN"/>
              </w:rPr>
              <w:t>中间连接管道堵塞疏通</w:t>
            </w:r>
            <w:r>
              <w:rPr>
                <w:rFonts w:hint="eastAsia" w:ascii="宋体" w:hAnsi="宋体"/>
                <w:b/>
                <w:szCs w:val="21"/>
              </w:rPr>
              <w:t xml:space="preserve"> </w:t>
            </w:r>
          </w:p>
        </w:tc>
        <w:tc>
          <w:tcPr>
            <w:tcW w:w="906"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次</w:t>
            </w:r>
          </w:p>
        </w:tc>
        <w:tc>
          <w:tcPr>
            <w:tcW w:w="1240" w:type="dxa"/>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306</w:t>
            </w:r>
          </w:p>
        </w:tc>
        <w:tc>
          <w:tcPr>
            <w:tcW w:w="1534"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600.00</w:t>
            </w:r>
          </w:p>
        </w:tc>
        <w:tc>
          <w:tcPr>
            <w:tcW w:w="2026" w:type="dxa"/>
            <w:vAlign w:val="center"/>
          </w:tcPr>
          <w:p>
            <w:pPr>
              <w:spacing w:line="240" w:lineRule="auto"/>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24" w:type="dxa"/>
            <w:vAlign w:val="center"/>
          </w:tcPr>
          <w:p>
            <w:pPr>
              <w:spacing w:line="420" w:lineRule="exact"/>
              <w:jc w:val="center"/>
              <w:rPr>
                <w:rFonts w:ascii="宋体" w:hAnsi="宋体"/>
                <w:szCs w:val="21"/>
              </w:rPr>
            </w:pPr>
          </w:p>
        </w:tc>
        <w:tc>
          <w:tcPr>
            <w:tcW w:w="5760" w:type="dxa"/>
            <w:gridSpan w:val="4"/>
            <w:vAlign w:val="center"/>
          </w:tcPr>
          <w:p>
            <w:pPr>
              <w:spacing w:line="420" w:lineRule="exact"/>
              <w:jc w:val="center"/>
              <w:rPr>
                <w:rFonts w:ascii="宋体" w:hAnsi="宋体"/>
                <w:szCs w:val="21"/>
              </w:rPr>
            </w:pPr>
            <w:r>
              <w:rPr>
                <w:rFonts w:hint="eastAsia" w:ascii="宋体" w:hAnsi="宋体"/>
                <w:szCs w:val="21"/>
                <w:lang w:val="en-US" w:eastAsia="zh-CN"/>
              </w:rPr>
              <w:t>合 计</w:t>
            </w:r>
          </w:p>
        </w:tc>
        <w:tc>
          <w:tcPr>
            <w:tcW w:w="2026"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24" w:type="dxa"/>
            <w:vAlign w:val="center"/>
          </w:tcPr>
          <w:p>
            <w:pPr>
              <w:spacing w:line="420" w:lineRule="exact"/>
              <w:jc w:val="center"/>
              <w:rPr>
                <w:rFonts w:hint="eastAsia" w:ascii="宋体" w:hAnsi="宋体" w:eastAsia="宋体"/>
                <w:szCs w:val="21"/>
                <w:lang w:val="en-US" w:eastAsia="zh-CN"/>
              </w:rPr>
            </w:pPr>
            <w:r>
              <w:rPr>
                <w:rFonts w:hint="eastAsia" w:ascii="宋体" w:hAnsi="宋体"/>
                <w:szCs w:val="21"/>
                <w:lang w:val="en-US" w:eastAsia="zh-CN"/>
              </w:rPr>
              <w:t>备 注</w:t>
            </w:r>
          </w:p>
        </w:tc>
        <w:tc>
          <w:tcPr>
            <w:tcW w:w="7786" w:type="dxa"/>
            <w:gridSpan w:val="5"/>
            <w:vAlign w:val="center"/>
          </w:tcPr>
          <w:p>
            <w:pPr>
              <w:spacing w:line="420" w:lineRule="exact"/>
              <w:rPr>
                <w:rFonts w:ascii="宋体" w:hAnsi="宋体"/>
                <w:szCs w:val="21"/>
              </w:rPr>
            </w:pPr>
          </w:p>
        </w:tc>
      </w:tr>
    </w:tbl>
    <w:p>
      <w:pPr>
        <w:pStyle w:val="2"/>
        <w:ind w:left="0" w:leftChars="0"/>
      </w:pPr>
    </w:p>
    <w:p>
      <w:pPr>
        <w:adjustRightInd w:val="0"/>
        <w:snapToGrid w:val="0"/>
        <w:spacing w:line="360" w:lineRule="auto"/>
        <w:ind w:left="-88" w:leftChars="-42"/>
        <w:rPr>
          <w:rFonts w:ascii="宋体" w:hAnsi="宋体"/>
          <w:b/>
          <w:szCs w:val="21"/>
        </w:rPr>
      </w:pPr>
      <w:r>
        <w:rPr>
          <w:rFonts w:hint="eastAsia" w:ascii="宋体" w:hAnsi="宋体"/>
          <w:b/>
          <w:szCs w:val="21"/>
        </w:rPr>
        <w:t>备注：</w:t>
      </w:r>
    </w:p>
    <w:p>
      <w:pPr>
        <w:adjustRightInd w:val="0"/>
        <w:snapToGrid w:val="0"/>
        <w:spacing w:line="24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pStyle w:val="27"/>
        <w:adjustRightInd w:val="0"/>
        <w:snapToGrid w:val="0"/>
        <w:spacing w:line="240" w:lineRule="auto"/>
        <w:ind w:firstLine="422" w:firstLineChars="200"/>
        <w:outlineLvl w:val="0"/>
        <w:rPr>
          <w:rFonts w:hint="eastAsia" w:ascii="宋体" w:hAnsi="宋体"/>
          <w:b/>
          <w:sz w:val="21"/>
          <w:szCs w:val="21"/>
          <w:lang w:val="en-US" w:eastAsia="zh-CN"/>
        </w:rPr>
      </w:pPr>
      <w:bookmarkStart w:id="248" w:name="_Toc8266"/>
      <w:r>
        <w:rPr>
          <w:rFonts w:hint="eastAsia" w:ascii="宋体" w:hAnsi="宋体"/>
          <w:b/>
          <w:sz w:val="21"/>
          <w:szCs w:val="21"/>
        </w:rPr>
        <w:t>2.</w:t>
      </w:r>
      <w:r>
        <w:rPr>
          <w:rFonts w:hint="eastAsia" w:ascii="宋体" w:hAnsi="宋体"/>
          <w:b/>
          <w:sz w:val="21"/>
          <w:szCs w:val="21"/>
          <w:lang w:val="en-US" w:eastAsia="zh-CN"/>
        </w:rPr>
        <w:t>本项目“预估疏通次数”的单价为最高限价单价，不超过最高谈判限价的单价为有效报价。</w:t>
      </w:r>
      <w:bookmarkEnd w:id="248"/>
    </w:p>
    <w:p>
      <w:pPr>
        <w:pStyle w:val="27"/>
        <w:adjustRightInd w:val="0"/>
        <w:snapToGrid w:val="0"/>
        <w:spacing w:line="240" w:lineRule="auto"/>
        <w:ind w:firstLine="422" w:firstLineChars="200"/>
        <w:outlineLvl w:val="0"/>
        <w:rPr>
          <w:rFonts w:ascii="宋体" w:hAnsi="宋体"/>
          <w:sz w:val="21"/>
          <w:szCs w:val="21"/>
        </w:rPr>
      </w:pPr>
      <w:bookmarkStart w:id="249" w:name="_Toc10436"/>
      <w:r>
        <w:rPr>
          <w:rFonts w:hint="eastAsia" w:ascii="宋体" w:hAnsi="宋体"/>
          <w:b/>
          <w:sz w:val="21"/>
          <w:szCs w:val="21"/>
          <w:lang w:val="en-US" w:eastAsia="zh-CN"/>
        </w:rPr>
        <w:t>3.此表中“预估疏通次数”不作为最终的疏通次数（具体详见用户需求书），《分项价格表》中合计金额应与《报价一览表》内“谈判总报价”金额一致。</w:t>
      </w:r>
      <w:bookmarkEnd w:id="249"/>
    </w:p>
    <w:p>
      <w:pPr>
        <w:pStyle w:val="27"/>
        <w:adjustRightInd w:val="0"/>
        <w:snapToGrid w:val="0"/>
        <w:spacing w:line="360" w:lineRule="auto"/>
        <w:outlineLvl w:val="0"/>
        <w:rPr>
          <w:rFonts w:ascii="宋体" w:hAnsi="宋体"/>
          <w:sz w:val="21"/>
          <w:szCs w:val="21"/>
        </w:rPr>
      </w:pPr>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250" w:name="_Toc9077"/>
      <w:bookmarkStart w:id="251" w:name="_Toc27585"/>
      <w:bookmarkStart w:id="252" w:name="_Toc22739"/>
      <w:bookmarkStart w:id="253" w:name="_Toc27918"/>
      <w:bookmarkStart w:id="254" w:name="_Toc16688"/>
      <w:r>
        <w:rPr>
          <w:rFonts w:hint="eastAsia" w:ascii="宋体" w:hAnsi="宋体" w:cs="宋体"/>
          <w:b/>
          <w:sz w:val="32"/>
          <w:szCs w:val="32"/>
          <w:lang w:val="en-US" w:eastAsia="zh-CN"/>
        </w:rPr>
        <w:t>八</w:t>
      </w:r>
      <w:r>
        <w:rPr>
          <w:rFonts w:hint="eastAsia" w:ascii="宋体" w:hAnsi="宋体" w:cs="宋体"/>
          <w:b/>
          <w:sz w:val="32"/>
          <w:szCs w:val="32"/>
        </w:rPr>
        <w:t>、其他资料</w:t>
      </w:r>
      <w:bookmarkEnd w:id="250"/>
      <w:bookmarkEnd w:id="251"/>
      <w:bookmarkEnd w:id="252"/>
      <w:r>
        <w:rPr>
          <w:rFonts w:hint="eastAsia" w:ascii="宋体" w:hAnsi="宋体" w:cs="宋体"/>
          <w:b/>
          <w:sz w:val="32"/>
          <w:szCs w:val="32"/>
        </w:rPr>
        <w:t>（如有）</w:t>
      </w:r>
      <w:bookmarkEnd w:id="253"/>
      <w:bookmarkEnd w:id="254"/>
    </w:p>
    <w:p>
      <w:pPr>
        <w:adjustRightInd w:val="0"/>
        <w:snapToGrid w:val="0"/>
        <w:spacing w:before="156" w:beforeLines="50" w:line="360" w:lineRule="auto"/>
        <w:ind w:firstLine="420" w:firstLineChars="200"/>
        <w:jc w:val="left"/>
        <w:rPr>
          <w:rFonts w:ascii="宋体" w:hAnsi="宋体"/>
          <w:szCs w:val="21"/>
        </w:rPr>
      </w:pPr>
      <w:bookmarkStart w:id="255" w:name="_Toc5412"/>
      <w:bookmarkStart w:id="256" w:name="_Toc10648"/>
      <w:bookmarkStart w:id="257" w:name="_Toc18188"/>
      <w:bookmarkStart w:id="258" w:name="_Toc22084"/>
      <w:r>
        <w:rPr>
          <w:rFonts w:hint="eastAsia" w:ascii="宋体" w:hAnsi="宋体"/>
          <w:szCs w:val="21"/>
        </w:rPr>
        <w:t>谈判单位认为需要提供的其他报价资料，格式自拟。</w:t>
      </w:r>
      <w:bookmarkEnd w:id="255"/>
      <w:bookmarkEnd w:id="256"/>
      <w:bookmarkEnd w:id="257"/>
      <w:bookmarkEnd w:id="258"/>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kLcYBAACc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SBJnLD04uefP86//px/f2fL&#10;pE/vsaKyO0+FcfgAA9XOcaRgoj20waYvEWKUJ6jTRV01RCbTpdVytSopJSk3O4RfPF33AeNHBZYl&#10;o+aBni+rKo6fMY6lc0nq5uBWG5Of0Li/AoQ5RlTegel2YjJOnKw47IaJ3g6aE7HraQ9q7mjtOTOf&#10;HMlM08bZCLOxm4zUEf37Q6Qx8nQJdYQiVsmhR8v8pgVLW/Hcz1VPP9X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6QtxgEAAJwDAAAOAAAAAAAAAAEAIAAAAB4BAABkcnMvZTJvRG9jLnht&#10;bFBLBQYAAAAABgAGAFkBAABWBQAAAAA=&#10;">
              <v:fill on="f" focussize="0,0"/>
              <v:stroke on="f"/>
              <v:imagedata o:title=""/>
              <o:lock v:ext="edit" aspectratio="f"/>
              <v:textbox inset="0mm,0mm,0mm,0mm" style="mso-fit-shape-to-text:t;">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wordWrap w:val="0"/>
      <w:rPr>
        <w:rFonts w:hint="eastAsia"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280" w:firstLineChars="100"/>
      <w:rPr>
        <w:rFonts w:ascii="宋体" w:hAnsi="宋体"/>
        <w:sz w:val="28"/>
        <w:szCs w:val="28"/>
      </w:rPr>
    </w:pPr>
    <w:r>
      <w:rPr>
        <w:rStyle w:val="50"/>
        <w:rFonts w:hint="eastAsia"/>
        <w:sz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r>
      <w:rPr>
        <w:rStyle w:val="50"/>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F27C3"/>
    <w:multiLevelType w:val="singleLevel"/>
    <w:tmpl w:val="CBDF27C3"/>
    <w:lvl w:ilvl="0" w:tentative="0">
      <w:start w:val="1"/>
      <w:numFmt w:val="decimal"/>
      <w:lvlText w:val="%1."/>
      <w:lvlJc w:val="left"/>
      <w:pPr>
        <w:tabs>
          <w:tab w:val="left" w:pos="312"/>
        </w:tabs>
      </w:p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248D8C"/>
    <w:multiLevelType w:val="singleLevel"/>
    <w:tmpl w:val="38248D8C"/>
    <w:lvl w:ilvl="0" w:tentative="0">
      <w:start w:val="3"/>
      <w:numFmt w:val="chineseCounting"/>
      <w:suff w:val="nothing"/>
      <w:lvlText w:val="%1、"/>
      <w:lvlJc w:val="left"/>
      <w:rPr>
        <w:rFonts w:hint="eastAsia"/>
      </w:rPr>
    </w:lvl>
  </w:abstractNum>
  <w:abstractNum w:abstractNumId="6">
    <w:nsid w:val="653328B1"/>
    <w:multiLevelType w:val="singleLevel"/>
    <w:tmpl w:val="653328B1"/>
    <w:lvl w:ilvl="0" w:tentative="0">
      <w:start w:val="7"/>
      <w:numFmt w:val="chineseCounting"/>
      <w:suff w:val="nothing"/>
      <w:lvlText w:val="%1、"/>
      <w:lvlJc w:val="left"/>
      <w:rPr>
        <w:rFonts w:hint="eastAsia"/>
      </w:rPr>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A3B1E"/>
    <w:rsid w:val="004B3D80"/>
    <w:rsid w:val="004B41B1"/>
    <w:rsid w:val="00504DED"/>
    <w:rsid w:val="00526589"/>
    <w:rsid w:val="00545140"/>
    <w:rsid w:val="0055214F"/>
    <w:rsid w:val="005556A5"/>
    <w:rsid w:val="0056117D"/>
    <w:rsid w:val="0056143E"/>
    <w:rsid w:val="005837A3"/>
    <w:rsid w:val="0058754B"/>
    <w:rsid w:val="005901FF"/>
    <w:rsid w:val="005B35B9"/>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E5673"/>
    <w:rsid w:val="00DF363F"/>
    <w:rsid w:val="00E04FD6"/>
    <w:rsid w:val="00E24889"/>
    <w:rsid w:val="00E32EEF"/>
    <w:rsid w:val="00E342DB"/>
    <w:rsid w:val="00E5084D"/>
    <w:rsid w:val="00E60C44"/>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6AFF"/>
    <w:rsid w:val="01375331"/>
    <w:rsid w:val="01403F6F"/>
    <w:rsid w:val="014D6F55"/>
    <w:rsid w:val="01932790"/>
    <w:rsid w:val="01EA6EEC"/>
    <w:rsid w:val="01F95304"/>
    <w:rsid w:val="021B19D1"/>
    <w:rsid w:val="02263AD9"/>
    <w:rsid w:val="024C0DC0"/>
    <w:rsid w:val="02787973"/>
    <w:rsid w:val="02787D91"/>
    <w:rsid w:val="029A1968"/>
    <w:rsid w:val="02AB7973"/>
    <w:rsid w:val="02BF5617"/>
    <w:rsid w:val="02FB4FEB"/>
    <w:rsid w:val="03727DAF"/>
    <w:rsid w:val="03D41287"/>
    <w:rsid w:val="03F31A5E"/>
    <w:rsid w:val="03F91117"/>
    <w:rsid w:val="03FC0CEA"/>
    <w:rsid w:val="04240981"/>
    <w:rsid w:val="042B3AFB"/>
    <w:rsid w:val="04EE0D07"/>
    <w:rsid w:val="054E6891"/>
    <w:rsid w:val="05EB6762"/>
    <w:rsid w:val="05F777CC"/>
    <w:rsid w:val="061842D1"/>
    <w:rsid w:val="067428EB"/>
    <w:rsid w:val="067B6F39"/>
    <w:rsid w:val="06AD62E4"/>
    <w:rsid w:val="06D605B3"/>
    <w:rsid w:val="070C68F7"/>
    <w:rsid w:val="071C6A43"/>
    <w:rsid w:val="072B22BC"/>
    <w:rsid w:val="074A7874"/>
    <w:rsid w:val="074C43F1"/>
    <w:rsid w:val="07650D5D"/>
    <w:rsid w:val="07A76048"/>
    <w:rsid w:val="07A77438"/>
    <w:rsid w:val="07B16F85"/>
    <w:rsid w:val="08232382"/>
    <w:rsid w:val="082F5114"/>
    <w:rsid w:val="083D23B2"/>
    <w:rsid w:val="086136BB"/>
    <w:rsid w:val="08786792"/>
    <w:rsid w:val="08807627"/>
    <w:rsid w:val="08832554"/>
    <w:rsid w:val="089F6734"/>
    <w:rsid w:val="09322AD0"/>
    <w:rsid w:val="093252EE"/>
    <w:rsid w:val="09422E59"/>
    <w:rsid w:val="094A4EE7"/>
    <w:rsid w:val="0959407C"/>
    <w:rsid w:val="095E38C5"/>
    <w:rsid w:val="097D1C20"/>
    <w:rsid w:val="09811B96"/>
    <w:rsid w:val="098A3350"/>
    <w:rsid w:val="09A23D38"/>
    <w:rsid w:val="09AB154E"/>
    <w:rsid w:val="0A2948BE"/>
    <w:rsid w:val="0A316A36"/>
    <w:rsid w:val="0A451CA7"/>
    <w:rsid w:val="0AE24958"/>
    <w:rsid w:val="0AF74A1D"/>
    <w:rsid w:val="0B4432D5"/>
    <w:rsid w:val="0B590F4A"/>
    <w:rsid w:val="0B8511E8"/>
    <w:rsid w:val="0B9713C4"/>
    <w:rsid w:val="0BAA700E"/>
    <w:rsid w:val="0BEB10E2"/>
    <w:rsid w:val="0C1A66D1"/>
    <w:rsid w:val="0C411CD0"/>
    <w:rsid w:val="0C5B1FA9"/>
    <w:rsid w:val="0C833386"/>
    <w:rsid w:val="0C8E4136"/>
    <w:rsid w:val="0CA062F8"/>
    <w:rsid w:val="0CED2457"/>
    <w:rsid w:val="0D2C1377"/>
    <w:rsid w:val="0D5C5AB2"/>
    <w:rsid w:val="0D614F04"/>
    <w:rsid w:val="0D6A4C3D"/>
    <w:rsid w:val="0D6B79A8"/>
    <w:rsid w:val="0DBD7268"/>
    <w:rsid w:val="0DCC335E"/>
    <w:rsid w:val="0DF87606"/>
    <w:rsid w:val="0E04554D"/>
    <w:rsid w:val="0E0C0187"/>
    <w:rsid w:val="0E1253A7"/>
    <w:rsid w:val="0E94477A"/>
    <w:rsid w:val="0EBC2000"/>
    <w:rsid w:val="0F143C2E"/>
    <w:rsid w:val="0F340DCE"/>
    <w:rsid w:val="0F3918CC"/>
    <w:rsid w:val="0F397095"/>
    <w:rsid w:val="0FD663C6"/>
    <w:rsid w:val="0FD74C28"/>
    <w:rsid w:val="0FEA3549"/>
    <w:rsid w:val="0FED06EC"/>
    <w:rsid w:val="1008523D"/>
    <w:rsid w:val="100F1E49"/>
    <w:rsid w:val="10190CBD"/>
    <w:rsid w:val="102D14D1"/>
    <w:rsid w:val="10A05079"/>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B83B76"/>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921D7A"/>
    <w:rsid w:val="1BBD3D34"/>
    <w:rsid w:val="1BBE13E9"/>
    <w:rsid w:val="1BC54211"/>
    <w:rsid w:val="1BCC07FF"/>
    <w:rsid w:val="1BED31A7"/>
    <w:rsid w:val="1C2D03AA"/>
    <w:rsid w:val="1CE400B3"/>
    <w:rsid w:val="1D2119DA"/>
    <w:rsid w:val="1D225BA7"/>
    <w:rsid w:val="1D481945"/>
    <w:rsid w:val="1D9F6122"/>
    <w:rsid w:val="1E2B1E83"/>
    <w:rsid w:val="1E453774"/>
    <w:rsid w:val="1E5E5C12"/>
    <w:rsid w:val="1E7277E4"/>
    <w:rsid w:val="1E8D7EC4"/>
    <w:rsid w:val="1EB05FC3"/>
    <w:rsid w:val="1EB57C64"/>
    <w:rsid w:val="1EB75293"/>
    <w:rsid w:val="1EDD61C5"/>
    <w:rsid w:val="1EE456C8"/>
    <w:rsid w:val="1EFA23B0"/>
    <w:rsid w:val="1EFC62F3"/>
    <w:rsid w:val="1F2F00D5"/>
    <w:rsid w:val="1F375C0D"/>
    <w:rsid w:val="1F3D0CE1"/>
    <w:rsid w:val="1F541C2F"/>
    <w:rsid w:val="1FA7260B"/>
    <w:rsid w:val="1FEE3736"/>
    <w:rsid w:val="2034266D"/>
    <w:rsid w:val="20441BF7"/>
    <w:rsid w:val="20567811"/>
    <w:rsid w:val="207B20B8"/>
    <w:rsid w:val="208C5A94"/>
    <w:rsid w:val="20AE2C72"/>
    <w:rsid w:val="20C87EE6"/>
    <w:rsid w:val="20DF6696"/>
    <w:rsid w:val="21156537"/>
    <w:rsid w:val="218469C1"/>
    <w:rsid w:val="21FB6487"/>
    <w:rsid w:val="22620C72"/>
    <w:rsid w:val="22754B37"/>
    <w:rsid w:val="22AE5F02"/>
    <w:rsid w:val="22E54FD6"/>
    <w:rsid w:val="24552B00"/>
    <w:rsid w:val="24582CE4"/>
    <w:rsid w:val="246C3202"/>
    <w:rsid w:val="247F23A4"/>
    <w:rsid w:val="24CD7C86"/>
    <w:rsid w:val="250462EA"/>
    <w:rsid w:val="252D7657"/>
    <w:rsid w:val="25355DF2"/>
    <w:rsid w:val="25390605"/>
    <w:rsid w:val="253A3746"/>
    <w:rsid w:val="25671777"/>
    <w:rsid w:val="256C29A0"/>
    <w:rsid w:val="25752417"/>
    <w:rsid w:val="25933BDB"/>
    <w:rsid w:val="25AD1F0D"/>
    <w:rsid w:val="25B66BA8"/>
    <w:rsid w:val="25E70ABF"/>
    <w:rsid w:val="266E4660"/>
    <w:rsid w:val="26CF4594"/>
    <w:rsid w:val="270A1874"/>
    <w:rsid w:val="271E4DAB"/>
    <w:rsid w:val="274759C4"/>
    <w:rsid w:val="274B7559"/>
    <w:rsid w:val="27944F81"/>
    <w:rsid w:val="28166B73"/>
    <w:rsid w:val="282442D9"/>
    <w:rsid w:val="284367B5"/>
    <w:rsid w:val="285718A5"/>
    <w:rsid w:val="28A74D81"/>
    <w:rsid w:val="28EB4C69"/>
    <w:rsid w:val="28F865CB"/>
    <w:rsid w:val="29053276"/>
    <w:rsid w:val="29250E1B"/>
    <w:rsid w:val="295A53EB"/>
    <w:rsid w:val="29803AA3"/>
    <w:rsid w:val="29884B07"/>
    <w:rsid w:val="298957C4"/>
    <w:rsid w:val="29DF4E52"/>
    <w:rsid w:val="2A1D6A45"/>
    <w:rsid w:val="2A6F6EBA"/>
    <w:rsid w:val="2A830C79"/>
    <w:rsid w:val="2AD11736"/>
    <w:rsid w:val="2AF94DA4"/>
    <w:rsid w:val="2B1029CF"/>
    <w:rsid w:val="2B1D6E88"/>
    <w:rsid w:val="2B5F0E77"/>
    <w:rsid w:val="2B7F64C1"/>
    <w:rsid w:val="2BA3212D"/>
    <w:rsid w:val="2BE7007A"/>
    <w:rsid w:val="2BFE408A"/>
    <w:rsid w:val="2C234403"/>
    <w:rsid w:val="2CDF0482"/>
    <w:rsid w:val="2D22640D"/>
    <w:rsid w:val="2D464D5F"/>
    <w:rsid w:val="2D4E5097"/>
    <w:rsid w:val="2D592D22"/>
    <w:rsid w:val="2D7D7F0E"/>
    <w:rsid w:val="2DE33AEA"/>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0FE6656"/>
    <w:rsid w:val="31272F44"/>
    <w:rsid w:val="315D543C"/>
    <w:rsid w:val="31936105"/>
    <w:rsid w:val="31AE740B"/>
    <w:rsid w:val="31B658D4"/>
    <w:rsid w:val="32316E69"/>
    <w:rsid w:val="325B404D"/>
    <w:rsid w:val="32887E5F"/>
    <w:rsid w:val="329A50AF"/>
    <w:rsid w:val="329E5AD1"/>
    <w:rsid w:val="32CC51E5"/>
    <w:rsid w:val="32E6051A"/>
    <w:rsid w:val="32F33B15"/>
    <w:rsid w:val="33A718ED"/>
    <w:rsid w:val="33AA3E3F"/>
    <w:rsid w:val="3442047A"/>
    <w:rsid w:val="34AC6BE3"/>
    <w:rsid w:val="34EB329F"/>
    <w:rsid w:val="34FE1F7D"/>
    <w:rsid w:val="35270865"/>
    <w:rsid w:val="358509EE"/>
    <w:rsid w:val="35C42A65"/>
    <w:rsid w:val="3609516B"/>
    <w:rsid w:val="361B7BDC"/>
    <w:rsid w:val="364221AD"/>
    <w:rsid w:val="36627D01"/>
    <w:rsid w:val="36AC6FD2"/>
    <w:rsid w:val="36AE45FE"/>
    <w:rsid w:val="36C07B16"/>
    <w:rsid w:val="36D4159F"/>
    <w:rsid w:val="36E67798"/>
    <w:rsid w:val="36FF0DB1"/>
    <w:rsid w:val="37067020"/>
    <w:rsid w:val="371F0F70"/>
    <w:rsid w:val="372649E2"/>
    <w:rsid w:val="372C59AA"/>
    <w:rsid w:val="373000B7"/>
    <w:rsid w:val="37824D2F"/>
    <w:rsid w:val="37963F54"/>
    <w:rsid w:val="379A6B89"/>
    <w:rsid w:val="37BF2E3D"/>
    <w:rsid w:val="37D107AA"/>
    <w:rsid w:val="37F0163F"/>
    <w:rsid w:val="37FD7E74"/>
    <w:rsid w:val="38926D93"/>
    <w:rsid w:val="38B04B0E"/>
    <w:rsid w:val="38FD54AF"/>
    <w:rsid w:val="390741E5"/>
    <w:rsid w:val="391F264A"/>
    <w:rsid w:val="39243472"/>
    <w:rsid w:val="392B2144"/>
    <w:rsid w:val="394205BC"/>
    <w:rsid w:val="3997588E"/>
    <w:rsid w:val="39AC6B30"/>
    <w:rsid w:val="39B46D56"/>
    <w:rsid w:val="39C828E7"/>
    <w:rsid w:val="39DD557C"/>
    <w:rsid w:val="39FC4298"/>
    <w:rsid w:val="3A4536A9"/>
    <w:rsid w:val="3A552184"/>
    <w:rsid w:val="3A800711"/>
    <w:rsid w:val="3A810CA0"/>
    <w:rsid w:val="3A96496C"/>
    <w:rsid w:val="3A9F3479"/>
    <w:rsid w:val="3ABC7EEE"/>
    <w:rsid w:val="3AD90E81"/>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DF371D0"/>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728FD"/>
    <w:rsid w:val="40B8702E"/>
    <w:rsid w:val="40CA0DB3"/>
    <w:rsid w:val="40DC5CDB"/>
    <w:rsid w:val="410603FC"/>
    <w:rsid w:val="410D06B8"/>
    <w:rsid w:val="414035F3"/>
    <w:rsid w:val="418B0BC2"/>
    <w:rsid w:val="41A274B6"/>
    <w:rsid w:val="41C034AF"/>
    <w:rsid w:val="42311D52"/>
    <w:rsid w:val="424A712C"/>
    <w:rsid w:val="4263268C"/>
    <w:rsid w:val="429F7E60"/>
    <w:rsid w:val="42A66B85"/>
    <w:rsid w:val="42CB2D35"/>
    <w:rsid w:val="42D21256"/>
    <w:rsid w:val="42E06AE9"/>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501D8"/>
    <w:rsid w:val="44DB6B8D"/>
    <w:rsid w:val="45E2495B"/>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9F569F2"/>
    <w:rsid w:val="4A0366CF"/>
    <w:rsid w:val="4A256483"/>
    <w:rsid w:val="4A38641F"/>
    <w:rsid w:val="4A800E57"/>
    <w:rsid w:val="4A87400F"/>
    <w:rsid w:val="4A9F5D83"/>
    <w:rsid w:val="4AB52052"/>
    <w:rsid w:val="4AF859CC"/>
    <w:rsid w:val="4B652EFD"/>
    <w:rsid w:val="4B657DEC"/>
    <w:rsid w:val="4B6F63D5"/>
    <w:rsid w:val="4B8152D3"/>
    <w:rsid w:val="4B965649"/>
    <w:rsid w:val="4BBA0F4B"/>
    <w:rsid w:val="4BC03621"/>
    <w:rsid w:val="4BC22F72"/>
    <w:rsid w:val="4BEC1DA9"/>
    <w:rsid w:val="4C001FDF"/>
    <w:rsid w:val="4C454D9D"/>
    <w:rsid w:val="4C6D4FD8"/>
    <w:rsid w:val="4C956109"/>
    <w:rsid w:val="4CB12B2C"/>
    <w:rsid w:val="4CB2553B"/>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D177C"/>
    <w:rsid w:val="4E6E459C"/>
    <w:rsid w:val="4E98618A"/>
    <w:rsid w:val="4E9D352C"/>
    <w:rsid w:val="4EB95E17"/>
    <w:rsid w:val="4F6B02B8"/>
    <w:rsid w:val="4FA43165"/>
    <w:rsid w:val="4FB6214D"/>
    <w:rsid w:val="4FFA2095"/>
    <w:rsid w:val="500D1820"/>
    <w:rsid w:val="50325684"/>
    <w:rsid w:val="50E65CE2"/>
    <w:rsid w:val="511E0033"/>
    <w:rsid w:val="51202751"/>
    <w:rsid w:val="51366F1E"/>
    <w:rsid w:val="5143280B"/>
    <w:rsid w:val="51546F21"/>
    <w:rsid w:val="518A1586"/>
    <w:rsid w:val="51A86476"/>
    <w:rsid w:val="51AA5CA9"/>
    <w:rsid w:val="51DD620D"/>
    <w:rsid w:val="51F83F85"/>
    <w:rsid w:val="52051862"/>
    <w:rsid w:val="52245275"/>
    <w:rsid w:val="52275B04"/>
    <w:rsid w:val="522A5D40"/>
    <w:rsid w:val="52535651"/>
    <w:rsid w:val="53163533"/>
    <w:rsid w:val="533E77CC"/>
    <w:rsid w:val="53570112"/>
    <w:rsid w:val="53807561"/>
    <w:rsid w:val="53EC2A4F"/>
    <w:rsid w:val="5444354A"/>
    <w:rsid w:val="547A6B2A"/>
    <w:rsid w:val="54C51909"/>
    <w:rsid w:val="551D6AF9"/>
    <w:rsid w:val="55A60ADC"/>
    <w:rsid w:val="55CD0D4E"/>
    <w:rsid w:val="55D857C5"/>
    <w:rsid w:val="5603196F"/>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8C55DD"/>
    <w:rsid w:val="58B21650"/>
    <w:rsid w:val="58C00F3E"/>
    <w:rsid w:val="59103E6F"/>
    <w:rsid w:val="59373C72"/>
    <w:rsid w:val="5945207E"/>
    <w:rsid w:val="595B4F2E"/>
    <w:rsid w:val="59662B14"/>
    <w:rsid w:val="596C42A4"/>
    <w:rsid w:val="596D221D"/>
    <w:rsid w:val="59A237B5"/>
    <w:rsid w:val="59A77712"/>
    <w:rsid w:val="59B02759"/>
    <w:rsid w:val="5A5F3EF1"/>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822A4"/>
    <w:rsid w:val="5E9C2B92"/>
    <w:rsid w:val="5ED441A0"/>
    <w:rsid w:val="5F111534"/>
    <w:rsid w:val="5F1D3E1B"/>
    <w:rsid w:val="5FBC6FFC"/>
    <w:rsid w:val="5FD91B32"/>
    <w:rsid w:val="5FDE3D1C"/>
    <w:rsid w:val="5FEB36B0"/>
    <w:rsid w:val="600037C3"/>
    <w:rsid w:val="60070235"/>
    <w:rsid w:val="600B76B1"/>
    <w:rsid w:val="60247960"/>
    <w:rsid w:val="60337FBD"/>
    <w:rsid w:val="60557909"/>
    <w:rsid w:val="60646378"/>
    <w:rsid w:val="608B596D"/>
    <w:rsid w:val="608E7CA1"/>
    <w:rsid w:val="60B20DDE"/>
    <w:rsid w:val="60CF6017"/>
    <w:rsid w:val="60EC58A1"/>
    <w:rsid w:val="60F765D6"/>
    <w:rsid w:val="61273959"/>
    <w:rsid w:val="619B0A4D"/>
    <w:rsid w:val="619D1B34"/>
    <w:rsid w:val="619E6915"/>
    <w:rsid w:val="61BC5698"/>
    <w:rsid w:val="61C05E29"/>
    <w:rsid w:val="61E220CA"/>
    <w:rsid w:val="621F3A28"/>
    <w:rsid w:val="623817CD"/>
    <w:rsid w:val="623D05EF"/>
    <w:rsid w:val="625671C6"/>
    <w:rsid w:val="626D5F1F"/>
    <w:rsid w:val="628D5A05"/>
    <w:rsid w:val="629635F2"/>
    <w:rsid w:val="62DB156F"/>
    <w:rsid w:val="62E35C5C"/>
    <w:rsid w:val="6308602C"/>
    <w:rsid w:val="633914DA"/>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5373D5"/>
    <w:rsid w:val="65735926"/>
    <w:rsid w:val="65A300A1"/>
    <w:rsid w:val="65DB5C3D"/>
    <w:rsid w:val="65DC330D"/>
    <w:rsid w:val="66126967"/>
    <w:rsid w:val="66780DEE"/>
    <w:rsid w:val="668E1E21"/>
    <w:rsid w:val="66926F8C"/>
    <w:rsid w:val="66966882"/>
    <w:rsid w:val="66F269C9"/>
    <w:rsid w:val="67285BDC"/>
    <w:rsid w:val="679D60BC"/>
    <w:rsid w:val="67C1521F"/>
    <w:rsid w:val="67FB2FC2"/>
    <w:rsid w:val="6838125F"/>
    <w:rsid w:val="684E7153"/>
    <w:rsid w:val="68942469"/>
    <w:rsid w:val="68996F46"/>
    <w:rsid w:val="68A270B1"/>
    <w:rsid w:val="69522C18"/>
    <w:rsid w:val="69A85914"/>
    <w:rsid w:val="69AA4ADC"/>
    <w:rsid w:val="69B54893"/>
    <w:rsid w:val="69D41E73"/>
    <w:rsid w:val="69F0666F"/>
    <w:rsid w:val="69F406AF"/>
    <w:rsid w:val="69FA018D"/>
    <w:rsid w:val="6A25465E"/>
    <w:rsid w:val="6A3A09AD"/>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CD14C3"/>
    <w:rsid w:val="6EF06A3A"/>
    <w:rsid w:val="6F231086"/>
    <w:rsid w:val="6F2C1077"/>
    <w:rsid w:val="6F4412DE"/>
    <w:rsid w:val="6FB01FF6"/>
    <w:rsid w:val="702D3037"/>
    <w:rsid w:val="70854008"/>
    <w:rsid w:val="70A00296"/>
    <w:rsid w:val="710111C0"/>
    <w:rsid w:val="711844AB"/>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3324B"/>
    <w:rsid w:val="781B6350"/>
    <w:rsid w:val="78661D77"/>
    <w:rsid w:val="787542C9"/>
    <w:rsid w:val="78761059"/>
    <w:rsid w:val="787C4A52"/>
    <w:rsid w:val="787D1A38"/>
    <w:rsid w:val="78833D88"/>
    <w:rsid w:val="78C70562"/>
    <w:rsid w:val="792279DB"/>
    <w:rsid w:val="797C1AA1"/>
    <w:rsid w:val="79904524"/>
    <w:rsid w:val="79BA4CCB"/>
    <w:rsid w:val="7A934CC7"/>
    <w:rsid w:val="7AB846A8"/>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A43608"/>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rFonts w:ascii="Times New Roman" w:hAnsi="Times New Roman" w:eastAsia="宋体"/>
      <w:b/>
      <w:bCs/>
      <w:kern w:val="0"/>
      <w:sz w:val="32"/>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32"/>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082AA-6EAD-4CB7-8D8D-0D8F60306F4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11890</Words>
  <Characters>3408</Characters>
  <Lines>28</Lines>
  <Paragraphs>30</Paragraphs>
  <TotalTime>13</TotalTime>
  <ScaleCrop>false</ScaleCrop>
  <LinksUpToDate>false</LinksUpToDate>
  <CharactersWithSpaces>15268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CXM</cp:lastModifiedBy>
  <cp:lastPrinted>2022-04-18T03:24:00Z</cp:lastPrinted>
  <dcterms:modified xsi:type="dcterms:W3CDTF">2022-04-20T02:44:33Z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7C874A77AA8D4DEBB146A54206B9C58F</vt:lpwstr>
  </property>
</Properties>
</file>